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C5A6" w14:textId="77777777" w:rsidR="008469EA" w:rsidRPr="00DE2B01" w:rsidRDefault="008469EA" w:rsidP="008469EA">
      <w:pPr>
        <w:spacing w:after="0" w:line="240" w:lineRule="auto"/>
        <w:rPr>
          <w:rFonts w:ascii="Century Gothic" w:eastAsia="Calibri" w:hAnsi="Century Gothic"/>
          <w:b/>
        </w:rPr>
      </w:pPr>
      <w:r w:rsidRPr="00DE2B01">
        <w:rPr>
          <w:rFonts w:ascii="Century Gothic" w:eastAsia="Calibri" w:hAnsi="Century Gothic"/>
          <w:b/>
          <w:lang w:eastAsia="es-ES_tradnl"/>
        </w:rPr>
        <w:t>COLOMBIA COMPRA EFICIENTE – Competencia Consultiva – Contratación Estatal – Normas Generales – Alcance – No vinculante</w:t>
      </w:r>
    </w:p>
    <w:p w14:paraId="46254A2B" w14:textId="77777777" w:rsidR="008469EA" w:rsidRPr="00DE2B01" w:rsidRDefault="008469EA" w:rsidP="008469EA">
      <w:pPr>
        <w:spacing w:after="0" w:line="240" w:lineRule="auto"/>
        <w:rPr>
          <w:rFonts w:ascii="Century Gothic" w:eastAsia="Times New Roman" w:hAnsi="Century Gothic"/>
          <w:sz w:val="20"/>
          <w:szCs w:val="20"/>
          <w:lang w:eastAsia="es-ES_tradnl"/>
        </w:rPr>
      </w:pPr>
    </w:p>
    <w:p w14:paraId="1F9B3DCC" w14:textId="77777777" w:rsidR="008469EA" w:rsidRPr="00DE2B01" w:rsidRDefault="008469EA" w:rsidP="008469EA">
      <w:pPr>
        <w:spacing w:line="240" w:lineRule="auto"/>
        <w:rPr>
          <w:rFonts w:ascii="Century Gothic" w:eastAsia="Times New Roman" w:hAnsi="Century Gothic"/>
          <w:sz w:val="20"/>
          <w:szCs w:val="20"/>
          <w:lang w:eastAsia="es-ES_tradnl"/>
        </w:rPr>
      </w:pPr>
      <w:r w:rsidRPr="00DE2B01">
        <w:rPr>
          <w:rFonts w:ascii="Century Gothic" w:eastAsia="Times New Roman" w:hAnsi="Century Gothic"/>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19E7D59" w14:textId="77777777" w:rsidR="008469EA" w:rsidRPr="00DE2B01" w:rsidRDefault="008469EA" w:rsidP="008469EA">
      <w:pPr>
        <w:spacing w:after="0" w:line="240" w:lineRule="auto"/>
        <w:rPr>
          <w:rFonts w:ascii="Century Gothic" w:eastAsia="Times New Roman" w:hAnsi="Century Gothic"/>
          <w:sz w:val="20"/>
          <w:szCs w:val="20"/>
          <w:lang w:eastAsia="es-ES_tradnl"/>
        </w:rPr>
      </w:pPr>
      <w:r w:rsidRPr="00DE2B01">
        <w:rPr>
          <w:rFonts w:ascii="Century Gothic" w:eastAsia="Times New Roman" w:hAnsi="Century Gothic"/>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583B88B0" w14:textId="77777777" w:rsidR="008469EA" w:rsidRPr="00DE2B01" w:rsidRDefault="008469EA" w:rsidP="008469EA">
      <w:pPr>
        <w:spacing w:after="0"/>
        <w:rPr>
          <w:rFonts w:ascii="Century Gothic" w:hAnsi="Century Gothic"/>
        </w:rPr>
      </w:pPr>
    </w:p>
    <w:p w14:paraId="7EF79B1B" w14:textId="77777777" w:rsidR="008469EA" w:rsidRPr="00DE2B01" w:rsidRDefault="008469EA" w:rsidP="008469EA">
      <w:pPr>
        <w:spacing w:after="0" w:line="240" w:lineRule="auto"/>
        <w:rPr>
          <w:rFonts w:ascii="Century Gothic" w:eastAsia="Times New Roman" w:hAnsi="Century Gothic"/>
          <w:b/>
          <w:bCs/>
          <w:color w:val="000000" w:themeColor="text1"/>
          <w:shd w:val="clear" w:color="auto" w:fill="FFFFFF"/>
          <w:lang w:val="es-ES" w:eastAsia="es-MX"/>
        </w:rPr>
      </w:pPr>
      <w:r w:rsidRPr="00DE2B01">
        <w:rPr>
          <w:rFonts w:ascii="Century Gothic" w:eastAsia="Times New Roman" w:hAnsi="Century Gothic"/>
          <w:b/>
          <w:bCs/>
          <w:color w:val="000000" w:themeColor="text1"/>
          <w:shd w:val="clear" w:color="auto" w:fill="FFFFFF"/>
          <w:lang w:val="es-ES" w:eastAsia="es-MX"/>
        </w:rPr>
        <w:t>CONTRATO DE INTERVENTORÍA – Finalidad – Ley 1474 de 2011 – Artículo 83</w:t>
      </w:r>
    </w:p>
    <w:p w14:paraId="7C064C79" w14:textId="77777777" w:rsidR="008469EA" w:rsidRPr="00DE2B01" w:rsidRDefault="008469EA" w:rsidP="008469EA">
      <w:pPr>
        <w:spacing w:after="0" w:line="276" w:lineRule="auto"/>
        <w:rPr>
          <w:rFonts w:ascii="Century Gothic" w:eastAsia="Times New Roman" w:hAnsi="Century Gothic"/>
          <w:color w:val="000000" w:themeColor="text1"/>
          <w:shd w:val="clear" w:color="auto" w:fill="FFFFFF"/>
          <w:lang w:val="es-ES" w:eastAsia="es-MX"/>
        </w:rPr>
      </w:pPr>
    </w:p>
    <w:p w14:paraId="18B0ACEE" w14:textId="77777777" w:rsidR="008469EA" w:rsidRPr="00DE2B01" w:rsidRDefault="008469EA" w:rsidP="008469EA">
      <w:pPr>
        <w:spacing w:after="0" w:line="240" w:lineRule="auto"/>
        <w:rPr>
          <w:rFonts w:ascii="Century Gothic" w:eastAsia="Times New Roman" w:hAnsi="Century Gothic"/>
          <w:color w:val="000000" w:themeColor="text1"/>
          <w:sz w:val="20"/>
          <w:szCs w:val="20"/>
          <w:shd w:val="clear" w:color="auto" w:fill="FFFFFF"/>
          <w:lang w:val="es-ES" w:eastAsia="es-MX"/>
        </w:rPr>
      </w:pPr>
      <w:r w:rsidRPr="00DE2B01">
        <w:rPr>
          <w:rFonts w:ascii="Century Gothic" w:eastAsia="Times New Roman" w:hAnsi="Century Gothic"/>
          <w:color w:val="000000" w:themeColor="text1"/>
          <w:sz w:val="20"/>
          <w:szCs w:val="20"/>
          <w:shd w:val="clear" w:color="auto" w:fill="FFFFFF"/>
          <w:lang w:val="es-ES" w:eastAsia="es-MX"/>
        </w:rPr>
        <w:t>La Ley 1474 de 2011 enmarcó el seguimiento, control y vigilancia de la ejecución del contrato estatal dentro del principio de moralidad administrativa. El artículo 83 ibidem 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supervisión en interventoría, como mecanismos que pueden usar las Entidades Estatales para vigilar el contrato […].</w:t>
      </w:r>
    </w:p>
    <w:p w14:paraId="4CE6DA63" w14:textId="77777777" w:rsidR="008469EA" w:rsidRPr="00DE2B01" w:rsidRDefault="008469EA" w:rsidP="008469EA">
      <w:pPr>
        <w:spacing w:after="0" w:line="276" w:lineRule="auto"/>
        <w:rPr>
          <w:rFonts w:ascii="Century Gothic" w:eastAsia="Times New Roman" w:hAnsi="Century Gothic"/>
          <w:color w:val="000000" w:themeColor="text1"/>
          <w:shd w:val="clear" w:color="auto" w:fill="FFFFFF"/>
          <w:lang w:val="es-ES" w:eastAsia="es-MX"/>
        </w:rPr>
      </w:pPr>
    </w:p>
    <w:p w14:paraId="4F54DD15" w14:textId="77777777" w:rsidR="008469EA" w:rsidRPr="00DE2B01" w:rsidRDefault="008469EA" w:rsidP="008469EA">
      <w:pPr>
        <w:spacing w:after="0" w:line="240" w:lineRule="auto"/>
        <w:rPr>
          <w:rFonts w:ascii="Century Gothic" w:eastAsia="Times New Roman" w:hAnsi="Century Gothic"/>
          <w:b/>
          <w:bCs/>
          <w:color w:val="000000" w:themeColor="text1"/>
          <w:shd w:val="clear" w:color="auto" w:fill="FFFFFF"/>
          <w:lang w:val="es-ES" w:eastAsia="es-MX"/>
        </w:rPr>
      </w:pPr>
      <w:r w:rsidRPr="00DE2B01">
        <w:rPr>
          <w:rFonts w:ascii="Century Gothic" w:eastAsia="Times New Roman" w:hAnsi="Century Gothic"/>
          <w:b/>
          <w:bCs/>
          <w:color w:val="000000" w:themeColor="text1"/>
          <w:shd w:val="clear" w:color="auto" w:fill="FFFFFF"/>
          <w:lang w:val="es-ES" w:eastAsia="es-MX"/>
        </w:rPr>
        <w:t>CONTRATO DE INTERVENTORÍA – Características</w:t>
      </w:r>
    </w:p>
    <w:p w14:paraId="05B255A9" w14:textId="77777777" w:rsidR="008469EA" w:rsidRPr="00DE2B01" w:rsidRDefault="008469EA" w:rsidP="008469EA">
      <w:pPr>
        <w:spacing w:after="0" w:line="276" w:lineRule="auto"/>
        <w:rPr>
          <w:rFonts w:ascii="Century Gothic" w:eastAsia="Times New Roman" w:hAnsi="Century Gothic"/>
          <w:b/>
          <w:bCs/>
          <w:color w:val="000000" w:themeColor="text1"/>
          <w:shd w:val="clear" w:color="auto" w:fill="FFFFFF"/>
          <w:lang w:val="es-ES" w:eastAsia="es-MX"/>
        </w:rPr>
      </w:pPr>
    </w:p>
    <w:p w14:paraId="258CDE82" w14:textId="77777777" w:rsidR="008469EA" w:rsidRPr="00DE2B01" w:rsidRDefault="008469EA" w:rsidP="008469EA">
      <w:pPr>
        <w:spacing w:after="0" w:line="240" w:lineRule="auto"/>
        <w:rPr>
          <w:rFonts w:ascii="Century Gothic" w:eastAsia="Times New Roman" w:hAnsi="Century Gothic"/>
          <w:color w:val="000000" w:themeColor="text1"/>
          <w:sz w:val="20"/>
          <w:shd w:val="clear" w:color="auto" w:fill="FFFFFF"/>
          <w:lang w:val="es-ES" w:eastAsia="es-MX"/>
        </w:rPr>
      </w:pPr>
      <w:r w:rsidRPr="00DE2B01">
        <w:rPr>
          <w:rFonts w:ascii="Century Gothic" w:eastAsia="Times New Roman" w:hAnsi="Century Gothic"/>
          <w:color w:val="000000" w:themeColor="text1"/>
          <w:sz w:val="20"/>
          <w:shd w:val="clear" w:color="auto" w:fill="FFFFFF"/>
          <w:lang w:val="es-ES" w:eastAsia="es-MX"/>
        </w:rPr>
        <w:t xml:space="preserve">[…]la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especia del contrato de consultoría – art. 32, numeral 2, inciso 2, Ley 80 de 1993 </w:t>
      </w:r>
      <w:r w:rsidRPr="00DE2B01">
        <w:rPr>
          <w:rFonts w:eastAsia="Times New Roman"/>
          <w:color w:val="000000" w:themeColor="text1"/>
          <w:sz w:val="20"/>
          <w:shd w:val="clear" w:color="auto" w:fill="FFFFFF"/>
          <w:lang w:val="es-ES" w:eastAsia="es-MX"/>
        </w:rPr>
        <w:t>‒</w:t>
      </w:r>
      <w:r w:rsidRPr="00DE2B01">
        <w:rPr>
          <w:rFonts w:ascii="Century Gothic" w:eastAsia="Times New Roman" w:hAnsi="Century Gothic"/>
          <w:color w:val="000000" w:themeColor="text1"/>
          <w:sz w:val="20"/>
          <w:shd w:val="clear" w:color="auto" w:fill="FFFFFF"/>
          <w:lang w:val="es-ES" w:eastAsia="es-MX"/>
        </w:rPr>
        <w:t>, de manera que la interventor</w:t>
      </w:r>
      <w:r w:rsidRPr="00DE2B01">
        <w:rPr>
          <w:rFonts w:ascii="Century Gothic" w:eastAsia="Times New Roman" w:hAnsi="Century Gothic" w:cs="Century Gothic"/>
          <w:color w:val="000000" w:themeColor="text1"/>
          <w:sz w:val="20"/>
          <w:shd w:val="clear" w:color="auto" w:fill="FFFFFF"/>
          <w:lang w:val="es-ES" w:eastAsia="es-MX"/>
        </w:rPr>
        <w:t>í</w:t>
      </w:r>
      <w:r w:rsidRPr="00DE2B01">
        <w:rPr>
          <w:rFonts w:ascii="Century Gothic" w:eastAsia="Times New Roman" w:hAnsi="Century Gothic"/>
          <w:color w:val="000000" w:themeColor="text1"/>
          <w:sz w:val="20"/>
          <w:shd w:val="clear" w:color="auto" w:fill="FFFFFF"/>
          <w:lang w:val="es-ES" w:eastAsia="es-MX"/>
        </w:rPr>
        <w:t xml:space="preserve">a es realizada por </w:t>
      </w:r>
      <w:r w:rsidRPr="00DE2B01">
        <w:rPr>
          <w:rFonts w:ascii="Century Gothic" w:eastAsia="Times New Roman" w:hAnsi="Century Gothic" w:cs="Century Gothic"/>
          <w:color w:val="000000" w:themeColor="text1"/>
          <w:sz w:val="20"/>
          <w:shd w:val="clear" w:color="auto" w:fill="FFFFFF"/>
          <w:lang w:val="es-ES" w:eastAsia="es-MX"/>
        </w:rPr>
        <w:t>“</w:t>
      </w:r>
      <w:r w:rsidRPr="00DE2B01">
        <w:rPr>
          <w:rFonts w:ascii="Century Gothic" w:eastAsia="Times New Roman" w:hAnsi="Century Gothic"/>
          <w:color w:val="000000" w:themeColor="text1"/>
          <w:sz w:val="20"/>
          <w:shd w:val="clear" w:color="auto" w:fill="FFFFFF"/>
          <w:lang w:val="es-ES" w:eastAsia="es-MX"/>
        </w:rPr>
        <w:t>una persona natural o jur</w:t>
      </w:r>
      <w:r w:rsidRPr="00DE2B01">
        <w:rPr>
          <w:rFonts w:ascii="Century Gothic" w:eastAsia="Times New Roman" w:hAnsi="Century Gothic" w:cs="Century Gothic"/>
          <w:color w:val="000000" w:themeColor="text1"/>
          <w:sz w:val="20"/>
          <w:shd w:val="clear" w:color="auto" w:fill="FFFFFF"/>
          <w:lang w:val="es-ES" w:eastAsia="es-MX"/>
        </w:rPr>
        <w:t>í</w:t>
      </w:r>
      <w:r w:rsidRPr="00DE2B01">
        <w:rPr>
          <w:rFonts w:ascii="Century Gothic" w:eastAsia="Times New Roman" w:hAnsi="Century Gothic"/>
          <w:color w:val="000000" w:themeColor="text1"/>
          <w:sz w:val="20"/>
          <w:shd w:val="clear" w:color="auto" w:fill="FFFFFF"/>
          <w:lang w:val="es-ES" w:eastAsia="es-MX"/>
        </w:rPr>
        <w:t>dica contratada para tal fin por la Entidad Estatal</w:t>
      </w:r>
      <w:r w:rsidRPr="00DE2B01">
        <w:rPr>
          <w:rFonts w:ascii="Century Gothic" w:eastAsia="Times New Roman" w:hAnsi="Century Gothic" w:cs="Century Gothic"/>
          <w:color w:val="000000" w:themeColor="text1"/>
          <w:sz w:val="20"/>
          <w:shd w:val="clear" w:color="auto" w:fill="FFFFFF"/>
          <w:lang w:val="es-ES" w:eastAsia="es-MX"/>
        </w:rPr>
        <w:t>”</w:t>
      </w:r>
      <w:r w:rsidRPr="00DE2B01">
        <w:rPr>
          <w:rFonts w:ascii="Century Gothic" w:eastAsia="Times New Roman" w:hAnsi="Century Gothic"/>
          <w:color w:val="000000" w:themeColor="text1"/>
          <w:sz w:val="20"/>
          <w:shd w:val="clear" w:color="auto" w:fill="FFFFFF"/>
          <w:lang w:val="es-ES" w:eastAsia="es-MX"/>
        </w:rPr>
        <w:t xml:space="preserve"> </w:t>
      </w:r>
      <w:r w:rsidRPr="00DE2B01">
        <w:rPr>
          <w:rFonts w:ascii="Century Gothic" w:eastAsia="Times New Roman" w:hAnsi="Century Gothic" w:cs="Century Gothic"/>
          <w:color w:val="000000" w:themeColor="text1"/>
          <w:sz w:val="20"/>
          <w:shd w:val="clear" w:color="auto" w:fill="FFFFFF"/>
          <w:lang w:val="es-ES" w:eastAsia="es-MX"/>
        </w:rPr>
        <w:t>–</w:t>
      </w:r>
      <w:r w:rsidRPr="00DE2B01">
        <w:rPr>
          <w:rFonts w:ascii="Century Gothic" w:eastAsia="Times New Roman" w:hAnsi="Century Gothic"/>
          <w:color w:val="000000" w:themeColor="text1"/>
          <w:sz w:val="20"/>
          <w:shd w:val="clear" w:color="auto" w:fill="FFFFFF"/>
          <w:lang w:val="es-ES" w:eastAsia="es-MX"/>
        </w:rPr>
        <w:t>art. 83, Ley 1474</w:t>
      </w:r>
      <w:r w:rsidRPr="00DE2B01">
        <w:rPr>
          <w:rFonts w:ascii="Century Gothic" w:eastAsia="Times New Roman" w:hAnsi="Century Gothic" w:cs="Century Gothic"/>
          <w:color w:val="000000" w:themeColor="text1"/>
          <w:sz w:val="20"/>
          <w:shd w:val="clear" w:color="auto" w:fill="FFFFFF"/>
          <w:lang w:val="es-ES" w:eastAsia="es-MX"/>
        </w:rPr>
        <w:t>–</w:t>
      </w:r>
      <w:r w:rsidRPr="00DE2B01">
        <w:rPr>
          <w:rFonts w:ascii="Century Gothic" w:eastAsia="Times New Roman" w:hAnsi="Century Gothic"/>
          <w:color w:val="000000" w:themeColor="text1"/>
          <w:sz w:val="20"/>
          <w:shd w:val="clear" w:color="auto" w:fill="FFFFFF"/>
          <w:lang w:val="es-ES" w:eastAsia="es-MX"/>
        </w:rPr>
        <w:t xml:space="preserve">. </w:t>
      </w:r>
      <w:proofErr w:type="spellStart"/>
      <w:r w:rsidRPr="00DE2B01">
        <w:rPr>
          <w:rFonts w:ascii="Century Gothic" w:eastAsia="Times New Roman" w:hAnsi="Century Gothic"/>
          <w:color w:val="000000" w:themeColor="text1"/>
          <w:sz w:val="20"/>
          <w:shd w:val="clear" w:color="auto" w:fill="FFFFFF"/>
          <w:lang w:val="es-ES" w:eastAsia="es-MX"/>
        </w:rPr>
        <w:t>iv</w:t>
      </w:r>
      <w:proofErr w:type="spellEnd"/>
      <w:r w:rsidRPr="00DE2B01">
        <w:rPr>
          <w:rFonts w:ascii="Century Gothic" w:eastAsia="Times New Roman" w:hAnsi="Century Gothic"/>
          <w:color w:val="000000" w:themeColor="text1"/>
          <w:sz w:val="20"/>
          <w:shd w:val="clear" w:color="auto" w:fill="FFFFFF"/>
          <w:lang w:val="es-ES" w:eastAsia="es-MX"/>
        </w:rPr>
        <w:t>) Le es inherente el seguimiento t</w:t>
      </w:r>
      <w:r w:rsidRPr="00DE2B01">
        <w:rPr>
          <w:rFonts w:ascii="Century Gothic" w:eastAsia="Times New Roman" w:hAnsi="Century Gothic" w:cs="Century Gothic"/>
          <w:color w:val="000000" w:themeColor="text1"/>
          <w:sz w:val="20"/>
          <w:shd w:val="clear" w:color="auto" w:fill="FFFFFF"/>
          <w:lang w:val="es-ES" w:eastAsia="es-MX"/>
        </w:rPr>
        <w:t>é</w:t>
      </w:r>
      <w:r w:rsidRPr="00DE2B01">
        <w:rPr>
          <w:rFonts w:ascii="Century Gothic" w:eastAsia="Times New Roman" w:hAnsi="Century Gothic"/>
          <w:color w:val="000000" w:themeColor="text1"/>
          <w:sz w:val="20"/>
          <w:shd w:val="clear" w:color="auto" w:fill="FFFFFF"/>
          <w:lang w:val="es-ES" w:eastAsia="es-MX"/>
        </w:rPr>
        <w:t xml:space="preserve">cnico, frente a la vigilancia de la correcta ejecución del contrato vigilado; sin embargo, el artículo 83 de la Ley 1474 de 2011 permite que en el </w:t>
      </w:r>
      <w:r w:rsidRPr="00DE2B01">
        <w:rPr>
          <w:rFonts w:ascii="Century Gothic" w:eastAsia="Times New Roman" w:hAnsi="Century Gothic"/>
          <w:color w:val="000000" w:themeColor="text1"/>
          <w:sz w:val="20"/>
          <w:shd w:val="clear" w:color="auto" w:fill="FFFFFF"/>
          <w:lang w:val="es-ES" w:eastAsia="es-MX"/>
        </w:rPr>
        <w:lastRenderedPageBreak/>
        <w:t>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23, inciso 4–.</w:t>
      </w:r>
    </w:p>
    <w:p w14:paraId="2840D7DA" w14:textId="77777777" w:rsidR="008469EA" w:rsidRPr="00DE2B01" w:rsidRDefault="008469EA" w:rsidP="008469EA">
      <w:pPr>
        <w:spacing w:after="0"/>
        <w:rPr>
          <w:rFonts w:ascii="Century Gothic" w:hAnsi="Century Gothic"/>
          <w:lang w:val="es-ES"/>
        </w:rPr>
      </w:pPr>
    </w:p>
    <w:p w14:paraId="5AA589A1" w14:textId="77777777" w:rsidR="008469EA" w:rsidRPr="00DE2B01" w:rsidRDefault="008469EA" w:rsidP="008469EA">
      <w:pPr>
        <w:spacing w:after="0" w:line="240" w:lineRule="auto"/>
        <w:contextualSpacing/>
        <w:rPr>
          <w:rFonts w:ascii="Century Gothic" w:eastAsia="Calibri" w:hAnsi="Century Gothic"/>
          <w:b/>
          <w:bCs/>
          <w:lang w:val="es-MX" w:eastAsia="es-ES_tradnl"/>
        </w:rPr>
      </w:pPr>
      <w:r w:rsidRPr="00DE2B01">
        <w:rPr>
          <w:rFonts w:ascii="Century Gothic" w:eastAsia="Calibri" w:hAnsi="Century Gothic"/>
          <w:b/>
          <w:bCs/>
          <w:lang w:val="es-MX" w:eastAsia="es-ES_tradnl"/>
        </w:rPr>
        <w:t>FACTOR MULTIPLICADOR – Noción – Estipulación del precio</w:t>
      </w:r>
    </w:p>
    <w:p w14:paraId="1B9DD19D" w14:textId="77777777" w:rsidR="008469EA" w:rsidRPr="00DE2B01" w:rsidRDefault="008469EA" w:rsidP="008469EA">
      <w:pPr>
        <w:spacing w:after="0" w:line="240" w:lineRule="auto"/>
        <w:contextualSpacing/>
        <w:rPr>
          <w:rFonts w:ascii="Century Gothic" w:eastAsia="Calibri" w:hAnsi="Century Gothic"/>
          <w:b/>
          <w:bCs/>
          <w:lang w:val="es-MX" w:eastAsia="es-ES_tradnl"/>
        </w:rPr>
      </w:pPr>
    </w:p>
    <w:p w14:paraId="107F2BA3" w14:textId="77777777" w:rsidR="008469EA" w:rsidRPr="00DE2B01" w:rsidRDefault="008469EA" w:rsidP="008469EA">
      <w:pPr>
        <w:spacing w:after="0" w:line="240" w:lineRule="auto"/>
        <w:contextualSpacing/>
        <w:rPr>
          <w:rFonts w:ascii="Century Gothic" w:eastAsia="Times New Roman" w:hAnsi="Century Gothic"/>
          <w:noProof/>
          <w:sz w:val="20"/>
          <w:szCs w:val="20"/>
          <w:lang w:val="es-ES_tradnl" w:eastAsia="es-ES_tradnl"/>
        </w:rPr>
      </w:pPr>
      <w:r w:rsidRPr="00DE2B01">
        <w:rPr>
          <w:rFonts w:ascii="Century Gothic" w:eastAsia="Times New Roman" w:hAnsi="Century Gothic"/>
          <w:noProof/>
          <w:sz w:val="20"/>
          <w:szCs w:val="20"/>
          <w:lang w:val="es-ES_tradnl" w:eastAsia="es-ES_tradnl"/>
        </w:rPr>
        <w:t>En la estipulación del precio de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 . De esta manera se obtiene un subtotal de costos directos a partir de la sumatoria de los valores correspondientes a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79B9B725" w14:textId="77777777" w:rsidR="008469EA" w:rsidRPr="00DE2B01" w:rsidRDefault="008469EA" w:rsidP="008469EA">
      <w:pPr>
        <w:spacing w:after="0" w:line="240" w:lineRule="auto"/>
        <w:contextualSpacing/>
        <w:rPr>
          <w:rFonts w:ascii="Century Gothic" w:eastAsia="Times New Roman" w:hAnsi="Century Gothic"/>
          <w:noProof/>
          <w:sz w:val="20"/>
          <w:szCs w:val="20"/>
          <w:lang w:val="es-ES_tradnl" w:eastAsia="es-ES_tradnl"/>
        </w:rPr>
      </w:pPr>
    </w:p>
    <w:p w14:paraId="64B409B7" w14:textId="77777777" w:rsidR="008469EA" w:rsidRPr="00DE2B01" w:rsidRDefault="008469EA" w:rsidP="008469EA">
      <w:pPr>
        <w:spacing w:after="0" w:line="240" w:lineRule="auto"/>
        <w:contextualSpacing/>
        <w:rPr>
          <w:rFonts w:ascii="Century Gothic" w:eastAsia="Calibri" w:hAnsi="Century Gothic"/>
          <w:b/>
          <w:bCs/>
          <w:lang w:val="es-MX" w:eastAsia="es-ES_tradnl"/>
        </w:rPr>
      </w:pPr>
      <w:r w:rsidRPr="00DE2B01">
        <w:rPr>
          <w:rFonts w:ascii="Century Gothic" w:eastAsia="Calibri" w:hAnsi="Century Gothic"/>
          <w:b/>
          <w:bCs/>
          <w:lang w:val="es-MX" w:eastAsia="es-ES_tradnl"/>
        </w:rPr>
        <w:t>FACTOR MULTIPLICADOR – Ausencia de marco normativo – Deber de planeación – Principio de autonomía</w:t>
      </w:r>
    </w:p>
    <w:p w14:paraId="69E5944F" w14:textId="77777777" w:rsidR="008469EA" w:rsidRPr="00DE2B01" w:rsidRDefault="008469EA" w:rsidP="008469EA">
      <w:pPr>
        <w:spacing w:after="0" w:line="240" w:lineRule="auto"/>
        <w:contextualSpacing/>
        <w:rPr>
          <w:rFonts w:ascii="Century Gothic" w:eastAsia="Calibri" w:hAnsi="Century Gothic"/>
          <w:b/>
          <w:bCs/>
          <w:lang w:val="es-MX" w:eastAsia="es-ES_tradnl"/>
        </w:rPr>
      </w:pPr>
    </w:p>
    <w:p w14:paraId="27778AF2" w14:textId="77777777" w:rsidR="008469EA" w:rsidRPr="00DE2B01" w:rsidRDefault="008469EA" w:rsidP="008469EA">
      <w:pPr>
        <w:spacing w:after="0" w:line="240" w:lineRule="auto"/>
        <w:contextualSpacing/>
        <w:rPr>
          <w:rFonts w:ascii="Century Gothic" w:eastAsia="Times New Roman" w:hAnsi="Century Gothic"/>
          <w:noProof/>
          <w:sz w:val="20"/>
          <w:szCs w:val="20"/>
          <w:lang w:val="es-ES_tradnl" w:eastAsia="es-ES_tradnl"/>
        </w:rPr>
      </w:pPr>
      <w:r w:rsidRPr="00DE2B01">
        <w:rPr>
          <w:rFonts w:ascii="Century Gothic" w:eastAsia="Times New Roman" w:hAnsi="Century Gothic"/>
          <w:noProof/>
          <w:sz w:val="20"/>
          <w:szCs w:val="20"/>
          <w:lang w:val="es-ES_tradnl" w:eastAsia="es-ES_tradnl"/>
        </w:rPr>
        <w:t>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14:paraId="301A1D23" w14:textId="77777777" w:rsidR="008469EA" w:rsidRPr="00DE2B01" w:rsidRDefault="008469EA" w:rsidP="008469EA">
      <w:pPr>
        <w:spacing w:after="0" w:line="240" w:lineRule="auto"/>
        <w:contextualSpacing/>
        <w:rPr>
          <w:rFonts w:ascii="Century Gothic" w:eastAsia="Times New Roman" w:hAnsi="Century Gothic"/>
          <w:noProof/>
          <w:sz w:val="20"/>
          <w:szCs w:val="20"/>
          <w:lang w:val="es-ES_tradnl" w:eastAsia="es-ES_tradnl"/>
        </w:rPr>
      </w:pPr>
    </w:p>
    <w:p w14:paraId="74DC9C88" w14:textId="77777777" w:rsidR="008469EA" w:rsidRPr="00DE2B01" w:rsidRDefault="008469EA" w:rsidP="008469EA">
      <w:pPr>
        <w:spacing w:after="0" w:line="240" w:lineRule="auto"/>
        <w:contextualSpacing/>
        <w:rPr>
          <w:rFonts w:ascii="Century Gothic" w:eastAsia="Times New Roman" w:hAnsi="Century Gothic"/>
          <w:noProof/>
          <w:sz w:val="20"/>
          <w:szCs w:val="20"/>
          <w:lang w:val="es-ES_tradnl" w:eastAsia="es-ES_tradnl"/>
        </w:rPr>
      </w:pPr>
      <w:r w:rsidRPr="00DE2B01">
        <w:rPr>
          <w:rFonts w:ascii="Century Gothic" w:eastAsia="Times New Roman" w:hAnsi="Century Gothic"/>
          <w:noProof/>
          <w:sz w:val="20"/>
          <w:szCs w:val="20"/>
          <w:lang w:val="es-ES_tradnl" w:eastAsia="es-ES_tradnl"/>
        </w:rPr>
        <w:t>[…]el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w14:paraId="4E6DFEEC" w14:textId="77777777" w:rsidR="008469EA" w:rsidRPr="00DE2B01" w:rsidRDefault="008469EA" w:rsidP="008469EA">
      <w:pPr>
        <w:spacing w:after="0"/>
        <w:rPr>
          <w:rFonts w:ascii="Century Gothic" w:hAnsi="Century Gothic"/>
          <w:lang w:val="es-ES_tradnl"/>
        </w:rPr>
      </w:pPr>
    </w:p>
    <w:p w14:paraId="059036A5" w14:textId="77777777" w:rsidR="00093283" w:rsidRDefault="008469EA">
      <w:pPr>
        <w:spacing w:after="262"/>
        <w:ind w:left="-5" w:right="0"/>
      </w:pPr>
      <w:r>
        <w:rPr>
          <w:noProof/>
        </w:rPr>
        <w:drawing>
          <wp:anchor distT="0" distB="0" distL="114300" distR="114300" simplePos="0" relativeHeight="251658240" behindDoc="0" locked="0" layoutInCell="1" allowOverlap="0" wp14:anchorId="0ABC58FD" wp14:editId="76AE9E86">
            <wp:simplePos x="0" y="0"/>
            <wp:positionH relativeFrom="column">
              <wp:posOffset>3211830</wp:posOffset>
            </wp:positionH>
            <wp:positionV relativeFrom="paragraph">
              <wp:posOffset>-24760</wp:posOffset>
            </wp:positionV>
            <wp:extent cx="2400300" cy="615950"/>
            <wp:effectExtent l="0" t="0" r="0" b="0"/>
            <wp:wrapSquare wrapText="bothSides"/>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7"/>
                    <a:stretch>
                      <a:fillRect/>
                    </a:stretch>
                  </pic:blipFill>
                  <pic:spPr>
                    <a:xfrm>
                      <a:off x="0" y="0"/>
                      <a:ext cx="2400300" cy="615950"/>
                    </a:xfrm>
                    <a:prstGeom prst="rect">
                      <a:avLst/>
                    </a:prstGeom>
                  </pic:spPr>
                </pic:pic>
              </a:graphicData>
            </a:graphic>
          </wp:anchor>
        </w:drawing>
      </w:r>
      <w:r>
        <w:t>Bogotá D.C., 25 Septiembre 2023</w:t>
      </w:r>
    </w:p>
    <w:p w14:paraId="088D0FEB" w14:textId="77777777" w:rsidR="00093283" w:rsidRDefault="008469EA">
      <w:pPr>
        <w:spacing w:after="7"/>
        <w:ind w:left="-5" w:right="0"/>
      </w:pPr>
      <w:r>
        <w:t>Señor</w:t>
      </w:r>
    </w:p>
    <w:p w14:paraId="26A851C9" w14:textId="77777777" w:rsidR="00093283" w:rsidRDefault="008469EA">
      <w:pPr>
        <w:pStyle w:val="Ttulo1"/>
        <w:numPr>
          <w:ilvl w:val="0"/>
          <w:numId w:val="0"/>
        </w:numPr>
        <w:spacing w:after="10"/>
        <w:ind w:left="-5" w:right="0"/>
      </w:pPr>
      <w:r>
        <w:t>Jimmy Fernando Alarcón Jiménez</w:t>
      </w:r>
    </w:p>
    <w:p w14:paraId="22565454" w14:textId="77777777" w:rsidR="00093283" w:rsidRDefault="008469EA">
      <w:pPr>
        <w:spacing w:after="7"/>
        <w:ind w:left="-5" w:right="0"/>
      </w:pPr>
      <w:r>
        <w:t>Oficina de contratación</w:t>
      </w:r>
    </w:p>
    <w:p w14:paraId="64EDD8DB" w14:textId="77777777" w:rsidR="00093283" w:rsidRDefault="008469EA">
      <w:pPr>
        <w:spacing w:after="7"/>
        <w:ind w:left="-5" w:right="0"/>
      </w:pPr>
      <w:r>
        <w:t>Municipio de Acacias</w:t>
      </w:r>
    </w:p>
    <w:p w14:paraId="13A52832" w14:textId="77777777" w:rsidR="00093283" w:rsidRDefault="008469EA">
      <w:pPr>
        <w:spacing w:after="260"/>
        <w:ind w:left="-5" w:right="0"/>
      </w:pPr>
      <w:r>
        <w:t>Acacias, Meta</w:t>
      </w:r>
    </w:p>
    <w:p w14:paraId="4203C973" w14:textId="77777777" w:rsidR="00093283" w:rsidRDefault="008469EA">
      <w:pPr>
        <w:spacing w:after="26" w:line="259" w:lineRule="auto"/>
        <w:ind w:left="0" w:right="634" w:firstLine="0"/>
        <w:jc w:val="center"/>
      </w:pPr>
      <w:r>
        <w:rPr>
          <w:b/>
        </w:rPr>
        <w:t>Concepto C-388 de 2023</w:t>
      </w:r>
    </w:p>
    <w:tbl>
      <w:tblPr>
        <w:tblStyle w:val="TableGrid"/>
        <w:tblW w:w="7840" w:type="dxa"/>
        <w:tblInd w:w="1059" w:type="dxa"/>
        <w:tblCellMar>
          <w:top w:w="0" w:type="dxa"/>
          <w:left w:w="0" w:type="dxa"/>
          <w:bottom w:w="0" w:type="dxa"/>
          <w:right w:w="0" w:type="dxa"/>
        </w:tblCellMar>
        <w:tblLook w:val="04A0" w:firstRow="1" w:lastRow="0" w:firstColumn="1" w:lastColumn="0" w:noHBand="0" w:noVBand="1"/>
      </w:tblPr>
      <w:tblGrid>
        <w:gridCol w:w="1542"/>
        <w:gridCol w:w="6298"/>
      </w:tblGrid>
      <w:tr w:rsidR="00093283" w14:paraId="4EDFFD36" w14:textId="77777777">
        <w:trPr>
          <w:trHeight w:val="2132"/>
        </w:trPr>
        <w:tc>
          <w:tcPr>
            <w:tcW w:w="1542" w:type="dxa"/>
            <w:tcBorders>
              <w:top w:val="nil"/>
              <w:left w:val="nil"/>
              <w:bottom w:val="nil"/>
              <w:right w:val="nil"/>
            </w:tcBorders>
          </w:tcPr>
          <w:p w14:paraId="26541EF7" w14:textId="77777777" w:rsidR="00093283" w:rsidRDefault="008469EA">
            <w:pPr>
              <w:spacing w:after="0" w:line="259" w:lineRule="auto"/>
              <w:ind w:left="238" w:right="0" w:firstLine="0"/>
              <w:jc w:val="left"/>
            </w:pPr>
            <w:r>
              <w:rPr>
                <w:b/>
              </w:rPr>
              <w:t>Temas:</w:t>
            </w:r>
          </w:p>
        </w:tc>
        <w:tc>
          <w:tcPr>
            <w:tcW w:w="6298" w:type="dxa"/>
            <w:tcBorders>
              <w:top w:val="nil"/>
              <w:left w:val="nil"/>
              <w:bottom w:val="nil"/>
              <w:right w:val="nil"/>
            </w:tcBorders>
          </w:tcPr>
          <w:p w14:paraId="0434A993" w14:textId="77777777" w:rsidR="00093283" w:rsidRDefault="008469EA">
            <w:pPr>
              <w:spacing w:after="0" w:line="259" w:lineRule="auto"/>
              <w:ind w:left="0" w:right="0" w:firstLine="0"/>
            </w:pPr>
            <w:r>
              <w:t xml:space="preserve">COLOMBIA COMPRA EFICIENTE –  Competencia Consultiva  – </w:t>
            </w:r>
          </w:p>
          <w:p w14:paraId="735A1696" w14:textId="77777777" w:rsidR="00093283" w:rsidRDefault="008469EA">
            <w:pPr>
              <w:spacing w:after="0" w:line="259" w:lineRule="auto"/>
              <w:ind w:left="0" w:right="0" w:firstLine="0"/>
            </w:pPr>
            <w:r>
              <w:t xml:space="preserve">Contratación Estatal  – Normas </w:t>
            </w:r>
            <w:r>
              <w:t xml:space="preserve">Generales / FUNCIÓN </w:t>
            </w:r>
          </w:p>
          <w:p w14:paraId="62215C72" w14:textId="77777777" w:rsidR="00093283" w:rsidRDefault="008469EA">
            <w:pPr>
              <w:spacing w:after="0" w:line="259" w:lineRule="auto"/>
              <w:ind w:left="0" w:right="0" w:firstLine="0"/>
            </w:pPr>
            <w:r>
              <w:t xml:space="preserve">CONSULTIVA  – Alcance  – No vinculante / CONTRATO DE </w:t>
            </w:r>
          </w:p>
          <w:p w14:paraId="34E4673E" w14:textId="77777777" w:rsidR="00093283" w:rsidRDefault="008469EA">
            <w:pPr>
              <w:spacing w:after="0" w:line="259" w:lineRule="auto"/>
              <w:ind w:left="0" w:right="0" w:firstLine="0"/>
            </w:pPr>
            <w:r>
              <w:t xml:space="preserve">INTERVENTORÍA  – Finalidad  – Ley 1474 de 2011 / CONTRATO </w:t>
            </w:r>
          </w:p>
          <w:p w14:paraId="39598998" w14:textId="77777777" w:rsidR="00093283" w:rsidRDefault="008469EA">
            <w:pPr>
              <w:tabs>
                <w:tab w:val="center" w:pos="1515"/>
                <w:tab w:val="center" w:pos="2788"/>
                <w:tab w:val="center" w:pos="3901"/>
                <w:tab w:val="center" w:pos="4984"/>
                <w:tab w:val="right" w:pos="6298"/>
              </w:tabs>
              <w:spacing w:after="0" w:line="259" w:lineRule="auto"/>
              <w:ind w:left="0" w:right="0" w:firstLine="0"/>
              <w:jc w:val="left"/>
            </w:pPr>
            <w:r>
              <w:t xml:space="preserve">DE </w:t>
            </w:r>
            <w:r>
              <w:tab/>
              <w:t xml:space="preserve">INTERVENTORÍA </w:t>
            </w:r>
            <w:r>
              <w:tab/>
              <w:t xml:space="preserve"> – </w:t>
            </w:r>
            <w:r>
              <w:tab/>
              <w:t xml:space="preserve">Características </w:t>
            </w:r>
            <w:r>
              <w:tab/>
              <w:t xml:space="preserve">/ </w:t>
            </w:r>
            <w:r>
              <w:tab/>
              <w:t xml:space="preserve">FACTOR </w:t>
            </w:r>
          </w:p>
          <w:p w14:paraId="3B005E6A" w14:textId="77777777" w:rsidR="00093283" w:rsidRDefault="008469EA">
            <w:pPr>
              <w:spacing w:after="0" w:line="259" w:lineRule="auto"/>
              <w:ind w:left="0" w:right="0" w:firstLine="0"/>
            </w:pPr>
            <w:r>
              <w:t xml:space="preserve">MULTIPLICADOR  – Noción  – Estipulación de precio / FACTOR </w:t>
            </w:r>
          </w:p>
          <w:p w14:paraId="1832EC51" w14:textId="77777777" w:rsidR="00093283" w:rsidRDefault="008469EA">
            <w:pPr>
              <w:spacing w:after="0" w:line="259" w:lineRule="auto"/>
              <w:ind w:left="0" w:right="0" w:firstLine="0"/>
              <w:jc w:val="left"/>
            </w:pPr>
            <w:r>
              <w:t>MULTIPLICADOR – Ausencia de marco normativo</w:t>
            </w:r>
          </w:p>
          <w:p w14:paraId="74A090CD" w14:textId="77777777" w:rsidR="00093283" w:rsidRDefault="008469EA">
            <w:pPr>
              <w:spacing w:after="0" w:line="259" w:lineRule="auto"/>
              <w:ind w:left="0" w:right="0" w:firstLine="0"/>
              <w:jc w:val="left"/>
            </w:pPr>
            <w:r>
              <w:t>Deber de planeación – Principio de autonomía</w:t>
            </w:r>
          </w:p>
        </w:tc>
      </w:tr>
      <w:tr w:rsidR="00093283" w14:paraId="0DDC73BE" w14:textId="77777777">
        <w:trPr>
          <w:trHeight w:val="361"/>
        </w:trPr>
        <w:tc>
          <w:tcPr>
            <w:tcW w:w="1542" w:type="dxa"/>
            <w:tcBorders>
              <w:top w:val="nil"/>
              <w:left w:val="nil"/>
              <w:bottom w:val="nil"/>
              <w:right w:val="nil"/>
            </w:tcBorders>
            <w:vAlign w:val="bottom"/>
          </w:tcPr>
          <w:p w14:paraId="0201DA76" w14:textId="77777777" w:rsidR="00093283" w:rsidRDefault="008469EA">
            <w:pPr>
              <w:spacing w:after="0" w:line="259" w:lineRule="auto"/>
              <w:ind w:left="0" w:right="0" w:firstLine="0"/>
              <w:jc w:val="left"/>
            </w:pPr>
            <w:r>
              <w:rPr>
                <w:b/>
              </w:rPr>
              <w:t>Radicación:</w:t>
            </w:r>
          </w:p>
        </w:tc>
        <w:tc>
          <w:tcPr>
            <w:tcW w:w="6298" w:type="dxa"/>
            <w:tcBorders>
              <w:top w:val="nil"/>
              <w:left w:val="nil"/>
              <w:bottom w:val="nil"/>
              <w:right w:val="nil"/>
            </w:tcBorders>
            <w:vAlign w:val="bottom"/>
          </w:tcPr>
          <w:p w14:paraId="1C268C2E" w14:textId="77777777" w:rsidR="00093283" w:rsidRDefault="008469EA">
            <w:pPr>
              <w:spacing w:after="0" w:line="259" w:lineRule="auto"/>
              <w:ind w:left="0" w:right="0" w:firstLine="0"/>
              <w:jc w:val="left"/>
            </w:pPr>
            <w:r>
              <w:t>Respuesta a consulta P20230811014130</w:t>
            </w:r>
          </w:p>
        </w:tc>
      </w:tr>
    </w:tbl>
    <w:p w14:paraId="5D50FEE3" w14:textId="77777777" w:rsidR="00093283" w:rsidRDefault="008469EA">
      <w:pPr>
        <w:spacing w:after="298"/>
        <w:ind w:left="-5" w:right="0"/>
      </w:pPr>
      <w:r>
        <w:t>Estimado señor Alarcón:</w:t>
      </w:r>
    </w:p>
    <w:p w14:paraId="074F3385" w14:textId="77777777" w:rsidR="00093283" w:rsidRDefault="008469EA">
      <w:pPr>
        <w:spacing w:after="315"/>
        <w:ind w:left="-5" w:right="0"/>
      </w:pPr>
      <w:r>
        <w:t xml:space="preserve">En virtud de la competencia conferida por el numeral 8 del artículo 11 y el numeral 5 del </w:t>
      </w:r>
      <w:r>
        <w:t>artículo 3 del Decreto Ley 4170 de 2011, la Agencia Nacional de Contratación Pública - Colombia Compra Eficiente- responde a su consulta del 11 de agosto de 2023.</w:t>
      </w:r>
    </w:p>
    <w:p w14:paraId="04781BC2" w14:textId="77777777" w:rsidR="00093283" w:rsidRDefault="008469EA">
      <w:pPr>
        <w:pStyle w:val="Ttulo1"/>
        <w:spacing w:after="308"/>
        <w:ind w:left="693" w:right="0" w:hanging="708"/>
      </w:pPr>
      <w:r>
        <w:t>Problema planteado</w:t>
      </w:r>
    </w:p>
    <w:p w14:paraId="0ECD9BED" w14:textId="77777777" w:rsidR="00093283" w:rsidRDefault="008469EA">
      <w:pPr>
        <w:spacing w:after="286"/>
        <w:ind w:left="-5" w:right="0"/>
      </w:pPr>
      <w:r>
        <w:t>E n relación con  la aplicación del factor multiplicador en contratos de interventoría, usted  plantea las siguientes inquietudes:</w:t>
      </w:r>
    </w:p>
    <w:p w14:paraId="00E37A4A" w14:textId="77777777" w:rsidR="00093283" w:rsidRDefault="008469EA">
      <w:pPr>
        <w:spacing w:after="240" w:line="241" w:lineRule="auto"/>
        <w:ind w:left="846" w:right="755"/>
      </w:pPr>
      <w:r>
        <w:rPr>
          <w:sz w:val="21"/>
        </w:rPr>
        <w:t xml:space="preserve">“ PREGUNTA 1: ¿Si se usa el factor multiplicador como fórmula para la determinación de los costos del contrato, el contratista debe demostrar el gasto de todos los componentes de costo que se tuvieron en cuenta para determinarlo? En este caso el pago de las prestaciones sociales del personal. </w:t>
      </w:r>
    </w:p>
    <w:p w14:paraId="31D71C49" w14:textId="77777777" w:rsidR="00093283" w:rsidRDefault="008469EA">
      <w:pPr>
        <w:spacing w:after="240" w:line="241" w:lineRule="auto"/>
        <w:ind w:left="846" w:right="755"/>
      </w:pPr>
      <w:r>
        <w:rPr>
          <w:sz w:val="21"/>
        </w:rPr>
        <w:t xml:space="preserve">PREGUNTA 2: ¿En caso de que el contratista no asuma tal costo por la modalidad de contratación del personal del que dispone para la ejecución del contrato, se debe disminuir el porcentaje correspondiente a este concepto a través de una modificación al contrato o en el acta de liquidación del mismo? </w:t>
      </w:r>
    </w:p>
    <w:p w14:paraId="2464E73A" w14:textId="77777777" w:rsidR="00093283" w:rsidRDefault="008469EA">
      <w:pPr>
        <w:spacing w:after="240" w:line="241" w:lineRule="auto"/>
        <w:ind w:left="846" w:right="755"/>
      </w:pPr>
      <w:r>
        <w:rPr>
          <w:sz w:val="21"/>
        </w:rPr>
        <w:lastRenderedPageBreak/>
        <w:t>PREGUNTA 3: ¿Es posible determinar en el presupuesto oficial el porcentaje Factor Multiplicador a través de únicamente costos indirectos como lo son, papelería, transporte, arrendamientos, servicios públicos, ensayos de laboratorio y multiplicarle este porcentaje al valor de costos directos de personal? Es decir, los componentes del FM no son factor prestacional sino de costos indirectos.</w:t>
      </w:r>
    </w:p>
    <w:p w14:paraId="4E075EB8" w14:textId="77777777" w:rsidR="00093283" w:rsidRDefault="008469EA">
      <w:pPr>
        <w:spacing w:after="311" w:line="241" w:lineRule="auto"/>
        <w:ind w:left="846" w:right="755"/>
      </w:pPr>
      <w:r>
        <w:rPr>
          <w:sz w:val="21"/>
        </w:rPr>
        <w:t>PREGUNTA 4: ¿Es posible determinar el presupuesto oficial de un contrato de interventoría a través de la suma de los costos de personal + los costos directos (aplicando la figura del AIU) en vez del Factor Multiplicador?”</w:t>
      </w:r>
      <w:r>
        <w:t>.</w:t>
      </w:r>
    </w:p>
    <w:p w14:paraId="0BC99559" w14:textId="77777777" w:rsidR="00093283" w:rsidRDefault="008469EA">
      <w:pPr>
        <w:pStyle w:val="Ttulo1"/>
        <w:spacing w:after="308"/>
        <w:ind w:left="693" w:right="0" w:hanging="708"/>
      </w:pPr>
      <w:r>
        <w:t>Consideraciones</w:t>
      </w:r>
    </w:p>
    <w:p w14:paraId="4F7320B1" w14:textId="77777777" w:rsidR="00093283" w:rsidRDefault="008469EA">
      <w:pPr>
        <w:ind w:left="-5" w:right="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240478DC" wp14:editId="5A9D6544">
                <wp:simplePos x="0" y="0"/>
                <wp:positionH relativeFrom="column">
                  <wp:posOffset>1062344</wp:posOffset>
                </wp:positionH>
                <wp:positionV relativeFrom="paragraph">
                  <wp:posOffset>714189</wp:posOffset>
                </wp:positionV>
                <wp:extent cx="52816" cy="156071"/>
                <wp:effectExtent l="0" t="0" r="0" b="0"/>
                <wp:wrapNone/>
                <wp:docPr id="75243" name="Group 75243"/>
                <wp:cNvGraphicFramePr/>
                <a:graphic xmlns:a="http://schemas.openxmlformats.org/drawingml/2006/main">
                  <a:graphicData uri="http://schemas.microsoft.com/office/word/2010/wordprocessingGroup">
                    <wpg:wgp>
                      <wpg:cNvGrpSpPr/>
                      <wpg:grpSpPr>
                        <a:xfrm>
                          <a:off x="0" y="0"/>
                          <a:ext cx="52816" cy="156071"/>
                          <a:chOff x="0" y="0"/>
                          <a:chExt cx="52816" cy="156071"/>
                        </a:xfrm>
                      </wpg:grpSpPr>
                      <wps:wsp>
                        <wps:cNvPr id="78852" name="Shape 78852"/>
                        <wps:cNvSpPr/>
                        <wps:spPr>
                          <a:xfrm>
                            <a:off x="0" y="0"/>
                            <a:ext cx="52816" cy="156071"/>
                          </a:xfrm>
                          <a:custGeom>
                            <a:avLst/>
                            <a:gdLst/>
                            <a:ahLst/>
                            <a:cxnLst/>
                            <a:rect l="0" t="0" r="0" b="0"/>
                            <a:pathLst>
                              <a:path w="52816" h="156071">
                                <a:moveTo>
                                  <a:pt x="0" y="0"/>
                                </a:moveTo>
                                <a:lnTo>
                                  <a:pt x="52816" y="0"/>
                                </a:lnTo>
                                <a:lnTo>
                                  <a:pt x="52816" y="156071"/>
                                </a:lnTo>
                                <a:lnTo>
                                  <a:pt x="0" y="156071"/>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75243" style="width:4.15871pt;height:12.2891pt;position:absolute;z-index:-2147483313;mso-position-horizontal-relative:text;mso-position-horizontal:absolute;margin-left:83.6491pt;mso-position-vertical-relative:text;margin-top:56.2354pt;" coordsize="528,1560">
                <v:shape id="Shape 78853" style="position:absolute;width:528;height:1560;left:0;top:0;" coordsize="52816,156071" path="m0,0l52816,0l52816,156071l0,156071l0,0">
                  <v:stroke weight="0pt" endcap="flat" joinstyle="miter" miterlimit="10" on="false" color="#000000" opacity="0"/>
                  <v:fill on="true" color="#e6e6e6"/>
                </v:shape>
              </v:group>
            </w:pict>
          </mc:Fallback>
        </mc:AlternateContent>
      </w:r>
      <w:r>
        <w:t>En ejercicio de las competencias previstas en los artículos 3, numeral 5° y 11, numeral 8 ° del Decreto-Ley 4170 de 2011, la Agencia Nacional de Contratación Pública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w:t>
      </w:r>
      <w:r>
        <w:t>ral en materia de compras y contratación pública. En este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0EBA0A55" w14:textId="77777777" w:rsidR="00093283" w:rsidRDefault="008469EA">
      <w:pPr>
        <w:ind w:left="-15" w:right="0" w:firstLine="708"/>
      </w:pPr>
      <w:r>
        <w:t xml:space="preserve">La competencia de esta entidad se fija con límites claros, con el objeto de evitar que la Agencia intervenga como una instancia de validación de las actuaciones de las </w:t>
      </w:r>
      <w:r>
        <w:t>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w:t>
      </w:r>
      <w:r>
        <w:t>estos temas corresponde a la entidad que adelanta el procedimiento de selección y, en caso de conflicto, a las autoridades judiciales, fiscales y/o disciplinarias, según corresponda.</w:t>
      </w:r>
    </w:p>
    <w:p w14:paraId="122B252A" w14:textId="77777777" w:rsidR="00093283" w:rsidRDefault="008469EA">
      <w:pPr>
        <w:ind w:left="-15" w:right="0" w:firstLine="708"/>
      </w:pPr>
      <w:r>
        <w:t xml:space="preserve">Bajo este entendido ,  la Subdirección -dentro del límite de sus atribuciones, esto es, haciendo abstracción de cualquier caso particular que pueda llegar a proponer el </w:t>
      </w:r>
      <w:r>
        <w:lastRenderedPageBreak/>
        <w:t xml:space="preserve">peticionario- resolverá la presente consulta de acuerdo con el alcance general de las normas en materia de contratación estatal. Con tal propósito, analizará los siguientes temas: </w:t>
      </w:r>
      <w:r>
        <w:rPr>
          <w:i/>
        </w:rPr>
        <w:t>(</w:t>
      </w:r>
      <w:r>
        <w:t xml:space="preserve"> </w:t>
      </w:r>
      <w:r>
        <w:rPr>
          <w:i/>
        </w:rPr>
        <w:t>i)</w:t>
      </w:r>
      <w:r>
        <w:t xml:space="preserve"> los efectos de los conceptos emitidos por la Agencia Nacional de Contratación Pública -Colombia Compra Eficiente;  </w:t>
      </w:r>
      <w:r>
        <w:rPr>
          <w:i/>
        </w:rPr>
        <w:t>( ii )</w:t>
      </w:r>
      <w:r>
        <w:t xml:space="preserve"> la finalidad y características del contrato de interventoría a la luz de lo previsto en el artículo 83 de la Ley 1474 de 2011; y  </w:t>
      </w:r>
      <w:r>
        <w:rPr>
          <w:i/>
        </w:rPr>
        <w:t>( iii )</w:t>
      </w:r>
      <w:r>
        <w:t xml:space="preserve">  la noción del factor multiplicador, la estipulación del precio ant</w:t>
      </w:r>
      <w:r>
        <w:t>e la ausencia de marco normativo y el deber de planeación en el marco de la autonomía de la voluntad.</w:t>
      </w:r>
    </w:p>
    <w:p w14:paraId="1C3D7E46" w14:textId="77777777" w:rsidR="00093283" w:rsidRDefault="008469EA">
      <w:pPr>
        <w:spacing w:after="965"/>
        <w:ind w:left="-15" w:right="0" w:firstLine="708"/>
      </w:pPr>
      <w:r>
        <w:t>La Agencia Nacional de Contratación Pública -Colombia Compra Eficiente- se ha referido previamente a los temas planteados en los conceptos  4201714000006240 del 27 de septiembre de 2017,  conceptos C-064 del 28 de febrero de 2020, C-150 del 18 de marzo de 2020, C-075 del 26 de marzo de 2020, C-180 del 13 de abril de 2020, C-344 del 26 de mayo de 2020, C-765 del 7 de enero de 2021, C-411 del 17 de agosto de 2021, C-650 del 22 de diciembre de 2021, C-238 del 27 de abril de 2022, C-432 del 13 de julio de 2022,</w:t>
      </w:r>
      <w:r>
        <w:t xml:space="preserve"> C- 590 del 20 de septiembre de 2022,  C-716 del 15 de noviembre de 2022,  C-114 del 4 de mayo de 2023, C-198 del 16 de junio de 2023, C-250 del 31 de julio de 2023 y C-288 del 14 de julio de 2023,  entre otros</w:t>
      </w:r>
      <w:r>
        <w:rPr>
          <w:vertAlign w:val="superscript"/>
        </w:rPr>
        <w:footnoteReference w:id="2"/>
      </w:r>
      <w:r>
        <w:t xml:space="preserve"> . Las tesis propuestas se reiteran y complementan en lo pertinente a continuación:</w:t>
      </w:r>
    </w:p>
    <w:p w14:paraId="7E21F7E0" w14:textId="77777777" w:rsidR="00093283" w:rsidRDefault="008469EA">
      <w:pPr>
        <w:pStyle w:val="Ttulo2"/>
        <w:ind w:left="693" w:right="0" w:hanging="708"/>
      </w:pPr>
      <w:r>
        <w:t>Los efectos de los conceptos emitidos por Colombia Compra Eficiente</w:t>
      </w:r>
    </w:p>
    <w:p w14:paraId="782F5245" w14:textId="77777777" w:rsidR="00093283" w:rsidRDefault="008469EA">
      <w:pPr>
        <w:spacing w:after="146"/>
        <w:ind w:left="-5" w:right="0"/>
      </w:pPr>
      <w:r>
        <w:t xml:space="preserve">Además de lo anteriormente expuesto sobre la competencia consultiva de esta entidad, cabe aclarar que, en </w:t>
      </w:r>
      <w:r>
        <w:t>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relacionadas en los artículos antes referidos. Esta atribución se relaciona con el artículo 28 de la Ley 1437 de 2011, sustituido por el artículo 1 de la Ley 1755, que dispone lo s</w:t>
      </w:r>
      <w:r>
        <w:t xml:space="preserve">iguiente: </w:t>
      </w:r>
    </w:p>
    <w:p w14:paraId="4A7411AF" w14:textId="77777777" w:rsidR="00093283" w:rsidRDefault="008469EA">
      <w:pPr>
        <w:spacing w:after="248" w:line="240" w:lineRule="auto"/>
        <w:ind w:left="704" w:right="755"/>
      </w:pPr>
      <w:r>
        <w:rPr>
          <w:sz w:val="20"/>
        </w:rPr>
        <w:t xml:space="preserve">“ Artículo 28. Alcance de los conceptos. Salvo disposición legal en contrario, los conceptos emitidos por las autoridades como respuestas a peticiones realizadas en ejercicio del derecho a formular consultas no serán de obligatorio cumplimiento o ejecución”. </w:t>
      </w:r>
    </w:p>
    <w:p w14:paraId="61D740B6" w14:textId="77777777" w:rsidR="00093283" w:rsidRDefault="008469EA">
      <w:pPr>
        <w:spacing w:after="200"/>
        <w:ind w:left="-5" w:right="0"/>
      </w:pPr>
      <w:r>
        <w:t xml:space="preserve"> La ley es clara cuando establece que los conceptos emitidos por las autoridades al responder peticiones realizadas en ejercicio del derecho a formular consultas  – como fue el caso del concepto de la solicitud de queja – no son de obligatorio cumplimiento o de obligatoria ejecución, en otras palabras, no tienen efectos vinculantes. Las respuestas emitidas como concepto, entonces, consisten en la posición hermenéutica que las entidades </w:t>
      </w:r>
      <w:r>
        <w:lastRenderedPageBreak/>
        <w:t>tienen respecto del ordenamiento jurídico. Esto explica por qué esta Agencia no resuelve controversias concretas ni brinda asesoría a los partícipes de la contratación estatal</w:t>
      </w:r>
      <w:r>
        <w:rPr>
          <w:vertAlign w:val="superscript"/>
        </w:rPr>
        <w:footnoteReference w:id="3"/>
      </w:r>
      <w:r>
        <w:t>.</w:t>
      </w:r>
    </w:p>
    <w:p w14:paraId="19DA73AA" w14:textId="77777777" w:rsidR="00093283" w:rsidRDefault="008469EA">
      <w:pPr>
        <w:spacing w:after="164"/>
        <w:ind w:left="-5" w:right="0"/>
      </w:pPr>
      <w:r>
        <w:t xml:space="preserve"> Esta posición es compartida por varias entidades públicas que ejercen la misma función. Por ejemplo, la Procuraduría General de la Nación aclaró que el concepto </w:t>
      </w:r>
      <w:r>
        <w:rPr>
          <w:i/>
        </w:rPr>
        <w:t>“</w:t>
      </w:r>
      <w:r>
        <w:t xml:space="preserve"> </w:t>
      </w:r>
      <w:r>
        <w:rPr>
          <w:i/>
        </w:rPr>
        <w:t>[  …]   sólo constituye un criterio auxiliar de interpretación y que no tiene carácter vinculante de acuerdo con lo dispuesto en los artículos 230 de la Constitución Política, 5° de la Ley 153 de 1887 y 28 de la ley 1437 de 2011 ”</w:t>
      </w:r>
      <w:r>
        <w:rPr>
          <w:vertAlign w:val="superscript"/>
        </w:rPr>
        <w:footnoteReference w:id="4"/>
      </w:r>
      <w:r>
        <w:rPr>
          <w:i/>
        </w:rPr>
        <w:t xml:space="preserve"> </w:t>
      </w:r>
      <w:r>
        <w:t>. Igualmente, en concepto del año 2017</w:t>
      </w:r>
      <w:r>
        <w:rPr>
          <w:vertAlign w:val="superscript"/>
        </w:rPr>
        <w:footnoteReference w:id="5"/>
      </w:r>
      <w:r>
        <w:t xml:space="preserve"> , la Contraloría General de la República precisó que los  “ [ … ] conceptos emitidos por la Oficina Jurídica de la Contraloría General de la República, son orientaciones de carácter general que [ …]  no son de obligatorio cumplimiento o ejecución, ni tienen el carácter de fuente normativa y sólo pueden ser utilizados para facilitar la interpretación y aplicación de las normas jurídicas vigentes […]”.</w:t>
      </w:r>
    </w:p>
    <w:p w14:paraId="6C9409A9" w14:textId="77777777" w:rsidR="00093283" w:rsidRDefault="008469EA">
      <w:pPr>
        <w:spacing w:after="146"/>
        <w:ind w:left="-5" w:right="0"/>
      </w:pPr>
      <w:r>
        <w:t xml:space="preserve"> 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w:t>
      </w:r>
      <w:r>
        <w:t>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 Al respecto, el profesor Enrique José Arboleda Perdomo</w:t>
      </w:r>
      <w:r>
        <w:rPr>
          <w:vertAlign w:val="superscript"/>
        </w:rPr>
        <w:footnoteReference w:id="6"/>
      </w:r>
      <w:r>
        <w:t xml:space="preserve"> , al interpretar el artículo transcrito, expuso lo siguiente:</w:t>
      </w:r>
    </w:p>
    <w:p w14:paraId="06438E7C" w14:textId="77777777" w:rsidR="00093283" w:rsidRDefault="008469EA">
      <w:pPr>
        <w:spacing w:line="240" w:lineRule="auto"/>
        <w:ind w:left="704" w:right="755"/>
      </w:pPr>
      <w:r>
        <w:rPr>
          <w:sz w:val="20"/>
        </w:rPr>
        <w:t xml:space="preserve">“ El artículo 28 regula los efectos jurídicos de los conceptos que emita la entidad como respuesta a las consultas que le formulen los particulares, ordenando que  </w:t>
      </w:r>
      <w:r>
        <w:rPr>
          <w:i/>
          <w:sz w:val="20"/>
        </w:rPr>
        <w:t xml:space="preserve">no </w:t>
      </w:r>
      <w:r>
        <w:rPr>
          <w:i/>
          <w:sz w:val="20"/>
        </w:rPr>
        <w:lastRenderedPageBreak/>
        <w:t xml:space="preserve">serán de obligatorio cumplimiento o ejecución </w:t>
      </w:r>
      <w:r>
        <w:rPr>
          <w:sz w:val="20"/>
        </w:rPr>
        <w:t>. De este mandato surgen las siguientes consideraciones:</w:t>
      </w:r>
    </w:p>
    <w:p w14:paraId="68BDE8B6" w14:textId="77777777" w:rsidR="00093283" w:rsidRDefault="008469EA">
      <w:pPr>
        <w:spacing w:line="240" w:lineRule="auto"/>
        <w:ind w:left="704" w:right="755"/>
      </w:pPr>
      <w:r>
        <w:rPr>
          <w:sz w:val="20"/>
        </w:rPr>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58957AC3" w14:textId="77777777" w:rsidR="00093283" w:rsidRDefault="008469EA">
      <w:pPr>
        <w:spacing w:line="240" w:lineRule="auto"/>
        <w:ind w:left="704" w:right="755"/>
      </w:pPr>
      <w:r>
        <w:rPr>
          <w:sz w:val="20"/>
        </w:rPr>
        <w:t xml:space="preserve">La segunda, que la forma como la administración actúa de manera vinculante para sí misma y para la Generalidad de las personas es el reglamento, no sólo a través de la potestad </w:t>
      </w:r>
      <w:r>
        <w:rPr>
          <w:sz w:val="20"/>
        </w:rPr>
        <w:t xml:space="preserve">reglamentaria propia del presidente de la República, sino a través de los demás reglamentos de la administración en el preciso marco de las competencias de cada organismo o entidad, por lo cual los conceptos emitidos no pueden suplir ni menos aún competir con los reglamentos. </w:t>
      </w:r>
    </w:p>
    <w:p w14:paraId="79937336" w14:textId="77777777" w:rsidR="00093283" w:rsidRDefault="008469EA">
      <w:pPr>
        <w:spacing w:after="178" w:line="240" w:lineRule="auto"/>
        <w:ind w:left="704" w:right="755"/>
      </w:pPr>
      <w:r>
        <w:rPr>
          <w:sz w:val="20"/>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w:t>
      </w:r>
    </w:p>
    <w:p w14:paraId="28B7DFCC" w14:textId="77777777" w:rsidR="00093283" w:rsidRDefault="008469EA">
      <w:pPr>
        <w:spacing w:after="164"/>
        <w:ind w:left="-5" w:right="0"/>
      </w:pPr>
      <w:r>
        <w:t xml:space="preserve"> 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w:t>
      </w:r>
      <w:r>
        <w: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w:t>
      </w:r>
      <w:r>
        <w:t xml:space="preserve"> de la disposición normativa, el concepto emitido por la entidad no deja de ser tal y no adquiere efectos vinculantes, por más que coincida con el de la autoridad judicial, pues, en esa hipótesis, lo que vincula es la decisión del juez, no el criterio de la entidad que ejerció la función consultiva, pues, como se viene diciendo, dicha competencia se enmarca en el artículo 28 de la Ley 1437 de 2011, en otras palabras, los conceptos “no serán de obligatorio cumplimiento o ejecución”.</w:t>
      </w:r>
    </w:p>
    <w:p w14:paraId="31114E48" w14:textId="77777777" w:rsidR="00093283" w:rsidRDefault="008469EA">
      <w:pPr>
        <w:spacing w:after="175"/>
        <w:ind w:left="-5" w:right="0"/>
      </w:pPr>
      <w:r>
        <w:t xml:space="preserve"> En similares términos, el artículo 112 de la Ley 1437 de 2011 establece, en relación con la Sala de Consulta y Servicio Civil, que  “[  … ] los conceptos de la Sala no serán vinculantes, salvo que la ley disponga lo contrario” </w:t>
      </w:r>
      <w:r>
        <w:rPr>
          <w:vertAlign w:val="superscript"/>
        </w:rPr>
        <w:footnoteReference w:id="7"/>
      </w:r>
      <w:r>
        <w:t xml:space="preserve"> . Se trata,  </w:t>
      </w:r>
      <w:r>
        <w:rPr>
          <w:i/>
        </w:rPr>
        <w:t xml:space="preserve">mutatis  </w:t>
      </w:r>
      <w:proofErr w:type="spellStart"/>
      <w:r>
        <w:rPr>
          <w:i/>
        </w:rPr>
        <w:t>mutandi</w:t>
      </w:r>
      <w:proofErr w:type="spellEnd"/>
      <w:r>
        <w:t>,</w:t>
      </w:r>
      <w:r>
        <w:rPr>
          <w:i/>
        </w:rPr>
        <w:t xml:space="preserve">   </w:t>
      </w:r>
      <w:r>
        <w:t xml:space="preserve">del ejercicio de una función consultiva, cuyos efectos, por ende, serán los mismos: no vinculantes ni de </w:t>
      </w:r>
      <w:r>
        <w:lastRenderedPageBreak/>
        <w:t>obligatorio cumplimiento. En relación con el tema objeto de controversia, la Sala de Consulta y Servicio Civil del Consejo de Estado</w:t>
      </w:r>
      <w:r>
        <w:rPr>
          <w:vertAlign w:val="superscript"/>
        </w:rPr>
        <w:footnoteReference w:id="8"/>
      </w:r>
      <w:r>
        <w:t>, se pronunció en los siguientes términos:</w:t>
      </w:r>
    </w:p>
    <w:p w14:paraId="7FF4EA55" w14:textId="77777777" w:rsidR="00093283" w:rsidRDefault="008469EA">
      <w:pPr>
        <w:spacing w:line="240" w:lineRule="auto"/>
        <w:ind w:left="704" w:right="755"/>
      </w:pPr>
      <w:r>
        <w:rPr>
          <w:sz w:val="20"/>
        </w:rPr>
        <w:t>“ 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w:t>
      </w:r>
      <w:r>
        <w:rPr>
          <w:sz w:val="20"/>
        </w:rPr>
        <w:t>endencia de criterios, dentro de una lógica de colaboración armónica de poderes (art.113 C.P).</w:t>
      </w:r>
    </w:p>
    <w:p w14:paraId="71CEB856" w14:textId="77777777" w:rsidR="00093283" w:rsidRDefault="008469EA">
      <w:pPr>
        <w:spacing w:after="178" w:line="240" w:lineRule="auto"/>
        <w:ind w:left="709" w:right="348" w:firstLine="0"/>
        <w:jc w:val="left"/>
      </w:pPr>
      <w:r>
        <w:rPr>
          <w:sz w:val="20"/>
        </w:rPr>
        <w:t>No se trata entonces de dar la razón a una u otra posición en temas controvertibles, sino de rendir un concepto jurídico que sirva a la Administración en la búsqueda del cumplimiento de las finalidades esenciales del Estado”.</w:t>
      </w:r>
    </w:p>
    <w:p w14:paraId="2282A604" w14:textId="77777777" w:rsidR="00093283" w:rsidRDefault="008469EA">
      <w:pPr>
        <w:spacing w:after="164"/>
        <w:ind w:left="-5" w:right="0"/>
      </w:pPr>
      <w:r>
        <w:t xml:space="preserve"> El ejercicio de la función consultiva del artículo 28 de la Ley 1437 de 2011 descarta la resolución de controversias en curso o de problemas cuyos efectos se concreten. Lo primero, debe manejarlo la propia entidad ante la que se presenta el problema, y lo segundo el juez competente. En últimas, siempre que no exista una decisión judicial vinculante, los destinatarios de la norma serán los que interpreten el ordenamiento jurídico. Así las cosas, a título de ejemplo, si una entidad considera que un término v</w:t>
      </w:r>
      <w:r>
        <w:t>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w:t>
      </w:r>
      <w:r>
        <w:t>. El peso de la interpretación depende de la razonabilidad de los argumentos y de la inteligibilidad de la opinión, pero nunca de la autoridad de quien opina.</w:t>
      </w:r>
    </w:p>
    <w:p w14:paraId="0927BB27" w14:textId="77777777" w:rsidR="00093283" w:rsidRDefault="008469EA">
      <w:pPr>
        <w:ind w:left="-5" w:right="0"/>
      </w:pPr>
      <w:r>
        <w:t xml:space="preserve"> 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w:t>
      </w:r>
      <w:r>
        <w:t xml:space="preserve"> misma no es vinculante.</w:t>
      </w:r>
    </w:p>
    <w:p w14:paraId="54437686" w14:textId="77777777" w:rsidR="00093283" w:rsidRDefault="008469EA">
      <w:pPr>
        <w:spacing w:after="634"/>
        <w:ind w:left="-5" w:right="0"/>
      </w:pPr>
      <w:r>
        <w:t xml:space="preserve"> Así las cosas, los conceptos de esta Agencia no son actos administrativos y, por lo mismo, no tienen efectos vinculantes en relación con una situación jurídica particular y concreta. </w:t>
      </w:r>
      <w:r>
        <w:lastRenderedPageBreak/>
        <w:t>Simplemente, en ellos se expone un criterio que, aunque jurídicamente fundamentado, no representa la única interpretación válida del ordenamiento jurídico.</w:t>
      </w:r>
    </w:p>
    <w:p w14:paraId="3B26C4BA" w14:textId="77777777" w:rsidR="00093283" w:rsidRDefault="008469EA">
      <w:pPr>
        <w:pStyle w:val="Ttulo2"/>
        <w:ind w:left="693" w:right="0" w:hanging="708"/>
      </w:pPr>
      <w:r>
        <w:t>El contrato de interventoría: finalidades y principales características</w:t>
      </w:r>
    </w:p>
    <w:p w14:paraId="5955E970" w14:textId="77777777" w:rsidR="00093283" w:rsidRDefault="008469EA">
      <w:pPr>
        <w:ind w:left="-5" w:right="0"/>
      </w:pPr>
      <w:r>
        <w:t xml:space="preserve">La Ley 1474 de 2011  "[p] </w:t>
      </w:r>
      <w:proofErr w:type="spellStart"/>
      <w:r>
        <w:t>or</w:t>
      </w:r>
      <w:proofErr w:type="spellEnd"/>
      <w:r>
        <w:t xml:space="preserve"> la cual se dictan normas orientadas a fortalecer los mecanismos de prevención, investigación y sanción de actos de corrupción y la efectividad del control de la gestión pública" tuvo como uno de sus propósitos enmarcar el  seguimiento, control y vigilancia de la ejecución del contrato estatal dentro del principio de moralidad administrativa. En efecto, en su artículo 83 se dispuso que  “ con el fin de proteger la moralidad administrativa, de prevenir la ocurrencia de actos de corrupción y de tutelar la t</w:t>
      </w:r>
      <w:r>
        <w:t xml:space="preserve">ransparencia de la actividad contractual, las entidades públicas están obligadas a vigilar permanentemente la correcta ejecución del objeto contratado a través de un supervisor o un interventor, según corresponda ” . Además, el legislador, en el mismo precepto, definió las nociones de  </w:t>
      </w:r>
      <w:r>
        <w:rPr>
          <w:i/>
        </w:rPr>
        <w:t>supervisión</w:t>
      </w:r>
      <w:r>
        <w:t xml:space="preserve"> e  </w:t>
      </w:r>
      <w:r>
        <w:rPr>
          <w:i/>
        </w:rPr>
        <w:t xml:space="preserve">interventoría </w:t>
      </w:r>
      <w:r>
        <w:t>, como mecanismos que pueden usar las entidades estatales para vigilar el contrato, en estos términos:</w:t>
      </w:r>
    </w:p>
    <w:p w14:paraId="4FE94DAC" w14:textId="77777777" w:rsidR="00093283" w:rsidRDefault="008469EA">
      <w:pPr>
        <w:spacing w:after="119" w:line="241" w:lineRule="auto"/>
        <w:ind w:left="719" w:right="755"/>
      </w:pPr>
      <w:r>
        <w:rPr>
          <w:sz w:val="21"/>
        </w:rPr>
        <w:t>“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4558D1C" w14:textId="77777777" w:rsidR="00093283" w:rsidRDefault="008469EA">
      <w:pPr>
        <w:spacing w:after="299" w:line="241" w:lineRule="auto"/>
        <w:ind w:left="719" w:right="755"/>
      </w:pPr>
      <w:r>
        <w:rPr>
          <w:sz w:val="21"/>
        </w:rPr>
        <w:t xml:space="preserve">La interventoría consistirá en el seguimiento técnico que sobre el cumplimiento del contrato realice una persona natural o jurídica contratada para tal fin por la Entidad </w:t>
      </w:r>
      <w:r>
        <w:rPr>
          <w:sz w:val="21"/>
        </w:rPr>
        <w:t>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1134BE8" w14:textId="77777777" w:rsidR="00093283" w:rsidRDefault="008469EA">
      <w:pPr>
        <w:ind w:left="-15" w:right="0" w:firstLine="709"/>
      </w:pPr>
      <w:r>
        <w:t xml:space="preserve">De conformidad con lo anterior, dentro de las principales características del contrato de interventoría, pueden mencionarse:  </w:t>
      </w:r>
      <w:r>
        <w:rPr>
          <w:i/>
        </w:rPr>
        <w:t>(i)</w:t>
      </w:r>
      <w:r>
        <w:t xml:space="preserve"> es un mecanismo de vigilancia contingente, de suerte que solo es obligatorio para el seguimiento de los contratos de obra adjudicados por licitación pública  - art. 32, numeral 1 - ; en los demás casos se requerirá cuando  “ el seguimiento del contrato suponga conocimiento especializado en la materia, o cuando la complejidad o la extensión del mismo lo justifiquen”   - art. 83, Ley 1474 de 2011 - ;  </w:t>
      </w:r>
      <w:r>
        <w:rPr>
          <w:i/>
        </w:rPr>
        <w:t>( ii )</w:t>
      </w:r>
      <w:r>
        <w:t xml:space="preserve"> este mecanismo de vigilancia exige, en su ejecución, la utilización de conocimientos especializado</w:t>
      </w:r>
      <w:r>
        <w:t xml:space="preserve">s; ( iii ) en virtud de lo anterior, la entidad contrata un experto a través de un concurso de méritos, al tratarse la interventoría de una especie del contrato de consultoría - </w:t>
      </w:r>
      <w:r>
        <w:lastRenderedPageBreak/>
        <w:t>art. 32, numeral 2, inciso 2, Ley 80 de 1993</w:t>
      </w:r>
      <w:r>
        <w:rPr>
          <w:vertAlign w:val="superscript"/>
        </w:rPr>
        <w:footnoteReference w:id="9"/>
      </w:r>
      <w:r>
        <w:t xml:space="preserve"> -,  de manera que la interventoría es realizada por una  “ persona natural o jurídica contratada para tal fin por la Entidad Estatal ”  ‒ art. 83, Ley 1474 - ;  </w:t>
      </w:r>
      <w:r>
        <w:rPr>
          <w:i/>
        </w:rPr>
        <w:t xml:space="preserve">( </w:t>
      </w:r>
      <w:proofErr w:type="spellStart"/>
      <w:r>
        <w:rPr>
          <w:i/>
        </w:rPr>
        <w:t>iv</w:t>
      </w:r>
      <w:proofErr w:type="spellEnd"/>
      <w:r>
        <w:rPr>
          <w:i/>
        </w:rPr>
        <w:t xml:space="preserve"> )</w:t>
      </w:r>
      <w: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w:t>
      </w:r>
      <w:r>
        <w:t xml:space="preserve"> de que no se encomiende al interventor el seguimiento total del contrato, en el contrato de interventoría  “ se deberán indicar las actividades técnicas a cargo del interventor y las demás quedarán a cargo de la Entidad a través del supervisor”  ‒  art. 83, inciso 3‒  ; y, finalmente, </w:t>
      </w:r>
      <w:r>
        <w:rPr>
          <w:i/>
        </w:rPr>
        <w:t xml:space="preserve"> (vi)</w:t>
      </w:r>
      <w:r>
        <w:t xml:space="preserve"> el contrato de interventoría será supervisado directamente por la entidad  - art. 83, inciso 4-.</w:t>
      </w:r>
    </w:p>
    <w:p w14:paraId="7C53C9DC" w14:textId="77777777" w:rsidR="00093283" w:rsidRDefault="008469EA">
      <w:pPr>
        <w:ind w:left="-15" w:right="0" w:firstLine="709"/>
      </w:pPr>
      <w:r>
        <w:t xml:space="preserve">Por otra parte, interesa mencionar que el interventor es un contratista externo a la entidad estatal y al contratista vigilado, de tal forma que es seleccionado por la entidad estatal mediante los procedimientos del artículo 2 de la Ley 1150 de 2007, en principio, a través del concurso de méritos. Lo anterior, sin perjuicio de que eventualmente aplique alguna causal especial que permita la celebración de este tipo de contratos mediante una modalidad diferente, como podría suceder frente a la posibilidad de </w:t>
      </w:r>
      <w:r>
        <w:t>realizar, por ejemplo, una contratación de mínima cuantía o una contratación directa, en caso de presentarse alguna de las causales establecidas en el artículo 2 de la Ley 1150 de 2007, que dé lugar a acudir a otra modalidad de selección.</w:t>
      </w:r>
    </w:p>
    <w:p w14:paraId="3574012C" w14:textId="77777777" w:rsidR="00093283" w:rsidRDefault="008469EA">
      <w:pPr>
        <w:ind w:left="-15" w:right="0" w:firstLine="709"/>
      </w:pPr>
      <w:r>
        <w:t>El interventor contratado usará las facultades previstas en el artículo 84 de la Ley 1474 de 2011 para hacer el seguimiento al cumplimiento obligacional del contrato y estará sometido a los deberes y responsabilidades que implica el ejercicio de dicha actividad. Así las cosas, aun cuando el contrato de interventoría se celebra con un tercero a quien se le confía la labor de vigilar la ejecución idónea de otro contrato, por lo general un contrato de obra pública, aquel actúa con facultades similares a las qu</w:t>
      </w:r>
      <w:r>
        <w:t>e tiene la entidad estatal cuando ejerce la supervisión por su propia cuenta. Esto, en la medida en que ambos son mecanismos a través de los cuales las entidades cumplen el deber de vigilar la correcta ejecución de los contratos, por lo que comparten una finalidad común.</w:t>
      </w:r>
    </w:p>
    <w:p w14:paraId="3E5DBF63" w14:textId="77777777" w:rsidR="00093283" w:rsidRDefault="008469EA">
      <w:pPr>
        <w:spacing w:after="157"/>
        <w:ind w:left="-15" w:right="0" w:firstLine="709"/>
      </w:pPr>
      <w:r>
        <w:t>Ahora bien, el contrato de interventoría supone la existencia de otro contrato -es decir, el contrato vigilado-, por lo que la jurisprudencia ha caracterizado esta tipología como un negocio jurídico íntimamente relacionado en su objeto con el contrato respecto del que ejerce las actividades del interventor</w:t>
      </w:r>
      <w:r>
        <w:rPr>
          <w:vertAlign w:val="superscript"/>
        </w:rPr>
        <w:footnoteReference w:id="10"/>
      </w:r>
      <w:r>
        <w:t xml:space="preserve"> . No obstante, a pesar de ello, el contrato de </w:t>
      </w:r>
      <w:r>
        <w:t xml:space="preserve">interventoría es independiente del otro contrato en aspectos específicos como, por ejemplo, la prórroga y el incumplimiento. En efecto, la prórroga de la obra no implica de suyo la del interventor, aunque puede realizarse cumpliendo las solemnidades de ley; además, el </w:t>
      </w:r>
      <w:r>
        <w:lastRenderedPageBreak/>
        <w:t>incumplimiento del contrato vigilado, como lo sería un contrato de obra, no significa por sí solo el incumplimiento del de interventoría</w:t>
      </w:r>
      <w:r>
        <w:rPr>
          <w:vertAlign w:val="superscript"/>
        </w:rPr>
        <w:footnoteReference w:id="11"/>
      </w:r>
      <w:r>
        <w:t>.</w:t>
      </w:r>
    </w:p>
    <w:p w14:paraId="2D8420F7" w14:textId="77777777" w:rsidR="00093283" w:rsidRDefault="008469EA">
      <w:pPr>
        <w:spacing w:after="155"/>
        <w:ind w:left="-15" w:right="0" w:firstLine="709"/>
      </w:pPr>
      <w:r>
        <w:t>El contrato de interventoría es un contrato bilateral, conmutativo y oneroso, por lo que crea obligaciones tanto para la entidad contratante como para el contratista interventor. Asimismo, este contrato es de ejecución sucesiva, toda vez que las prestaciones se prolongan en el tiempo, es decir, la satisfacción de las prestaciones no se da con la prestación de un solo servicio, sino que se requiere el desarrollo de dicha actividad durante un periodo de tiempo. No obstante, también puede ser de ejecución inme</w:t>
      </w:r>
      <w:r>
        <w:t>diata cuando recae sobre obligaciones, razón por la cual tendría la virtualidad de modificar su naturaleza siendo, no ya de ejecución sucesiva, sino instantánea</w:t>
      </w:r>
      <w:r>
        <w:rPr>
          <w:vertAlign w:val="superscript"/>
        </w:rPr>
        <w:footnoteReference w:id="12"/>
      </w:r>
      <w:r>
        <w:t>.</w:t>
      </w:r>
    </w:p>
    <w:p w14:paraId="40F18211" w14:textId="77777777" w:rsidR="00093283" w:rsidRDefault="008469EA">
      <w:pPr>
        <w:spacing w:after="295"/>
        <w:ind w:left="-15" w:right="0" w:firstLine="709"/>
      </w:pPr>
      <w:r>
        <w:t xml:space="preserve">A su vez, las obligaciones del interventor se derivan de dos fuentes: (i) las disposiciones normativas de carácter legal o reglamentario; y (i </w:t>
      </w:r>
      <w:proofErr w:type="spellStart"/>
      <w:r>
        <w:t>i</w:t>
      </w:r>
      <w:proofErr w:type="spellEnd"/>
      <w:r>
        <w:t xml:space="preserve"> ) el contrato  –</w:t>
      </w:r>
      <w:proofErr w:type="spellStart"/>
      <w:r>
        <w:t>l o</w:t>
      </w:r>
      <w:proofErr w:type="spellEnd"/>
      <w:r>
        <w:t xml:space="preserve"> que incluye no solo la minuta, sino también el pliego de condiciones, o el documento equivalente, y sus anexos – . Ciertamente, la Ley 1474 de 2011 es el principal cuerpo normativo en el que se encuentran consagrados los deberes de los interventores. Estas obligaciones, con fundamento en los artículos 83  –i </w:t>
      </w:r>
      <w:proofErr w:type="spellStart"/>
      <w:r>
        <w:t>nciso</w:t>
      </w:r>
      <w:proofErr w:type="spellEnd"/>
      <w:r>
        <w:t xml:space="preserve"> 3 – y 84 de dicha Ley, se sintetizan en el ejercicio de una adecuada inspección del cumplimiento del contrato objeto de interventoría. Por ello, como indica el referido artíc</w:t>
      </w:r>
      <w:r>
        <w:t>ulo 84,  “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0C1793F4" w14:textId="77777777" w:rsidR="00093283" w:rsidRDefault="008469EA">
      <w:pPr>
        <w:ind w:left="-15" w:right="0" w:firstLine="709"/>
      </w:pPr>
      <w:r>
        <w:t xml:space="preserve">Esto último no obsta para que las partes, en ejercicio de su autonomía de la voluntad, puedan estipular en el contrato -con la debida justificación- obligaciones conexas, que el interventor también deberá cumplir e incluso contemplar, pues el plazo de ejecución del contrato de interventoría puede extenderse por un término adicional a la liquidación del contrato objeto de seguimiento, para que vigile el cumplimiento de las obligaciones  post- </w:t>
      </w:r>
    </w:p>
    <w:p w14:paraId="7F93BFF1" w14:textId="77777777" w:rsidR="00093283" w:rsidRDefault="00093283">
      <w:pPr>
        <w:sectPr w:rsidR="00093283">
          <w:headerReference w:type="even" r:id="rId8"/>
          <w:headerReference w:type="default" r:id="rId9"/>
          <w:footerReference w:type="even" r:id="rId10"/>
          <w:footerReference w:type="default" r:id="rId11"/>
          <w:headerReference w:type="first" r:id="rId12"/>
          <w:footerReference w:type="first" r:id="rId13"/>
          <w:pgSz w:w="12240" w:h="15840"/>
          <w:pgMar w:top="2290" w:right="1640" w:bottom="1819" w:left="1701" w:header="467" w:footer="552" w:gutter="0"/>
          <w:cols w:space="720"/>
        </w:sectPr>
      </w:pPr>
    </w:p>
    <w:p w14:paraId="62378B9E" w14:textId="77777777" w:rsidR="00093283" w:rsidRDefault="008469EA">
      <w:pPr>
        <w:spacing w:after="414"/>
        <w:ind w:left="-5" w:right="0"/>
      </w:pPr>
      <w:r>
        <w:lastRenderedPageBreak/>
        <w:t>contractuales que queden pendientes, salvaguardando así el equilibrio económico del contrato de interventoría.</w:t>
      </w:r>
    </w:p>
    <w:p w14:paraId="07F40B09" w14:textId="77777777" w:rsidR="00093283" w:rsidRDefault="008469EA">
      <w:pPr>
        <w:pStyle w:val="Ttulo2"/>
        <w:ind w:left="-5" w:right="0"/>
      </w:pPr>
      <w:r>
        <w:t xml:space="preserve">La noción del factor multiplicador, la estipulación del precio ante la ausencia de marco </w:t>
      </w:r>
      <w:r>
        <w:t>normativo y el deber de planeación en el marco de la autonomía de la voluntad</w:t>
      </w:r>
    </w:p>
    <w:p w14:paraId="38581B8E" w14:textId="77777777" w:rsidR="00093283" w:rsidRDefault="008469EA">
      <w:pPr>
        <w:spacing w:after="11"/>
        <w:ind w:left="-5" w:right="0"/>
      </w:pPr>
      <w:r>
        <w:t>Por interesar a la presente consulta, es menester precisar que por  precio se entiende aquel  “ valor pecuniario en que se estima algo ”</w:t>
      </w:r>
      <w:r>
        <w:rPr>
          <w:vertAlign w:val="superscript"/>
        </w:rPr>
        <w:footnoteReference w:id="13"/>
      </w:r>
      <w:r>
        <w:t xml:space="preserve"> .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2725F4C6" w14:textId="77777777" w:rsidR="00093283" w:rsidRDefault="008469EA">
      <w:pPr>
        <w:spacing w:after="0" w:line="259" w:lineRule="auto"/>
        <w:ind w:left="0" w:right="0" w:firstLine="0"/>
        <w:jc w:val="left"/>
      </w:pPr>
      <w:r>
        <w:t xml:space="preserve"> </w:t>
      </w:r>
    </w:p>
    <w:p w14:paraId="762C0FC4" w14:textId="77777777" w:rsidR="00093283" w:rsidRDefault="008469EA">
      <w:pPr>
        <w:spacing w:after="119" w:line="241" w:lineRule="auto"/>
        <w:ind w:left="719" w:right="755"/>
      </w:pPr>
      <w:r>
        <w:rPr>
          <w:sz w:val="21"/>
        </w:rPr>
        <w:t xml:space="preserve">“ [Artículo 1849 del </w:t>
      </w:r>
      <w:r>
        <w:rPr>
          <w:sz w:val="21"/>
        </w:rPr>
        <w:t>Código Civil]: La compraventa es un contrato en que una de las partes se obliga a dar una cosa y la otra a pagarla en dinero. Aquella se dice vender y esta comprar. El dinero que el comprador da por la cosa vendida se llama precio.</w:t>
      </w:r>
    </w:p>
    <w:p w14:paraId="1365C91E" w14:textId="77777777" w:rsidR="00093283" w:rsidRDefault="008469EA">
      <w:pPr>
        <w:spacing w:after="299" w:line="241" w:lineRule="auto"/>
        <w:ind w:left="719" w:right="755"/>
      </w:pPr>
      <w:r>
        <w:rPr>
          <w:sz w:val="21"/>
        </w:rPr>
        <w:t>[Artículo 905 del Código de Comercio]: La compraventa es un contrato en que una de las partes se obliga a trasmitir la propiedad de una cosa y la otra a pagarla en dinero. El dinero que el comprador da por la cosa vendida se llama precio”.</w:t>
      </w:r>
    </w:p>
    <w:p w14:paraId="42E14191" w14:textId="77777777" w:rsidR="00093283" w:rsidRDefault="008469EA">
      <w:pPr>
        <w:spacing w:after="10"/>
        <w:ind w:left="-15" w:right="0" w:firstLine="708"/>
      </w:pPr>
      <w:r>
        <w:t>El precio es uno de los elementos de los contratos estatales, que por lo general se identifica con el valor del contrato . Aunque no todo contrato lo incluye  – pues también existen negocios gratuitos – lo usual es que los contratos estatales se configuren como onerosos y, la mayoría de las veces, como conmutativos, cuando hay un acuerdo entre el objeto y la contraprestación pactado por escrito entre la entidad estatal y el contratista</w:t>
      </w:r>
      <w:r>
        <w:rPr>
          <w:vertAlign w:val="superscript"/>
        </w:rPr>
        <w:footnoteReference w:id="14"/>
      </w:r>
      <w:r>
        <w:t xml:space="preserve"> .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Pr>
          <w:vertAlign w:val="superscript"/>
        </w:rPr>
        <w:footnoteReference w:id="15"/>
      </w:r>
      <w:r>
        <w:t xml:space="preserve"> , en los términos de los artículos 1864 y 1865 del Código Civil y, de manera general está </w:t>
      </w:r>
      <w:r>
        <w:lastRenderedPageBreak/>
        <w:t>compuesto por dos elementos esenciales: los costos y la utilidad, cuya estructuración interna depende de las condiciones técnicas, financieras, regulatorias, etc. de cada contrato</w:t>
      </w:r>
    </w:p>
    <w:p w14:paraId="569D1DF5" w14:textId="77777777" w:rsidR="00093283" w:rsidRDefault="008469EA">
      <w:pPr>
        <w:spacing w:after="250" w:line="259" w:lineRule="auto"/>
        <w:ind w:left="0" w:right="0" w:firstLine="0"/>
        <w:jc w:val="left"/>
      </w:pPr>
      <w:r>
        <w:rPr>
          <w:sz w:val="15"/>
        </w:rPr>
        <w:t>16</w:t>
      </w:r>
      <w:r>
        <w:t>.</w:t>
      </w:r>
    </w:p>
    <w:p w14:paraId="64932861" w14:textId="77777777" w:rsidR="00093283" w:rsidRDefault="008469EA">
      <w:pPr>
        <w:ind w:left="-15" w:right="0" w:firstLine="709"/>
      </w:pPr>
      <w: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 que incluye el estudio del mercado – y definir la metodología con la cual estructurarán el precio del contrato. Dicho de otro modo, hace parte de los estudios previos la definición del esquema que la Administración usará </w:t>
      </w:r>
      <w:r>
        <w:t>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Pr>
          <w:vertAlign w:val="superscript"/>
        </w:rPr>
        <w:t>17</w:t>
      </w:r>
      <w:r>
        <w:t xml:space="preserve"> . No hay, pues, una sola metodología para pactar el precio y, en gran medida, la manera de hacerlo ha obedecido a la costumbre mercantil y a la influencia de disciplinas técnicas, como la ingeniería o la administración de empresa</w:t>
      </w:r>
      <w:r>
        <w:t>s, en la contratación estatal.</w:t>
      </w:r>
    </w:p>
    <w:p w14:paraId="7C80EC0C" w14:textId="77777777" w:rsidR="00093283" w:rsidRDefault="008469EA">
      <w:pPr>
        <w:spacing w:after="1840"/>
        <w:ind w:left="-15" w:right="0" w:firstLine="709"/>
      </w:pPr>
      <w:r>
        <w:t>Una de las metodologías que ha hecho carrera en la práctica contractual pública es el sistema de precios unitarios, método en el marco del cual la entidad contratante, al momento de estimar valor del contrato separa a los costos directos –  es decir, los que están directamente implicados en la ejecución del objeto – , de los costos indirectos  – que equivalen a los rubros que no tienen que ver de manera inmediata con la ejecución de las actividades contractuales, pero que integran también el precio, bien po</w:t>
      </w:r>
      <w:r>
        <w:t xml:space="preserve">rque constituyen erogaciones administrativas o contingentes para el contratista o bien porque se dirigen a salvaguardar </w:t>
      </w:r>
    </w:p>
    <w:p w14:paraId="78EC8E41" w14:textId="77777777" w:rsidR="00093283" w:rsidRDefault="008469EA">
      <w:pPr>
        <w:spacing w:after="306" w:line="259" w:lineRule="auto"/>
        <w:ind w:left="0" w:right="0" w:firstLine="0"/>
        <w:jc w:val="left"/>
      </w:pPr>
      <w:r>
        <w:rPr>
          <w:rFonts w:ascii="Calibri" w:eastAsia="Calibri" w:hAnsi="Calibri" w:cs="Calibri"/>
          <w:noProof/>
        </w:rPr>
        <mc:AlternateContent>
          <mc:Choice Requires="wpg">
            <w:drawing>
              <wp:inline distT="0" distB="0" distL="0" distR="0" wp14:anchorId="6342B745" wp14:editId="117DBC8B">
                <wp:extent cx="1828800" cy="6350"/>
                <wp:effectExtent l="0" t="0" r="0" b="0"/>
                <wp:docPr id="77272" name="Group 77272"/>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2430" name="Shape 12430"/>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272" style="width:144pt;height:0.5pt;mso-position-horizontal-relative:char;mso-position-vertical-relative:line" coordsize="18288,63">
                <v:shape id="Shape 12430" style="position:absolute;width:18288;height:0;left:0;top:0;" coordsize="1828800,0" path="m0,0l1828800,0">
                  <v:stroke weight="0.5pt" endcap="flat" joinstyle="miter" miterlimit="10" on="true" color="#000000"/>
                  <v:fill on="false" color="#000000" opacity="0"/>
                </v:shape>
              </v:group>
            </w:pict>
          </mc:Fallback>
        </mc:AlternateContent>
      </w:r>
    </w:p>
    <w:p w14:paraId="261A443B" w14:textId="77777777" w:rsidR="00093283" w:rsidRDefault="008469EA">
      <w:pPr>
        <w:numPr>
          <w:ilvl w:val="0"/>
          <w:numId w:val="1"/>
        </w:numPr>
        <w:spacing w:after="0" w:line="259" w:lineRule="auto"/>
        <w:ind w:right="-15" w:hanging="171"/>
        <w:jc w:val="right"/>
      </w:pPr>
      <w:r>
        <w:rPr>
          <w:sz w:val="14"/>
        </w:rPr>
        <w:t xml:space="preserve">Consejo de Estado, Sección Tercera, Subsección A sentencia de 19 de julio de </w:t>
      </w:r>
      <w:r>
        <w:rPr>
          <w:sz w:val="14"/>
        </w:rPr>
        <w:t xml:space="preserve">2018, M.P. Marta Nubia Velázquez Rico, Rad. </w:t>
      </w:r>
    </w:p>
    <w:p w14:paraId="58B86592" w14:textId="77777777" w:rsidR="00093283" w:rsidRDefault="008469EA">
      <w:pPr>
        <w:spacing w:after="169" w:line="250" w:lineRule="auto"/>
        <w:ind w:left="-5" w:right="0"/>
      </w:pPr>
      <w:r>
        <w:rPr>
          <w:sz w:val="14"/>
        </w:rPr>
        <w:t xml:space="preserve">2013-01826(57.576) </w:t>
      </w:r>
    </w:p>
    <w:p w14:paraId="351D7F96" w14:textId="77777777" w:rsidR="00093283" w:rsidRDefault="008469EA">
      <w:pPr>
        <w:numPr>
          <w:ilvl w:val="0"/>
          <w:numId w:val="1"/>
        </w:numPr>
        <w:spacing w:after="0" w:line="259" w:lineRule="auto"/>
        <w:ind w:right="-15" w:hanging="171"/>
        <w:jc w:val="right"/>
      </w:pPr>
      <w:r>
        <w:rPr>
          <w:sz w:val="14"/>
        </w:rPr>
        <w:t xml:space="preserve">“ La manera como las ofertas presentan el precio varía demasiado, incluso por razón de la costumbre que se impone en </w:t>
      </w:r>
    </w:p>
    <w:p w14:paraId="47B46666" w14:textId="77777777" w:rsidR="00093283" w:rsidRDefault="008469EA">
      <w:pPr>
        <w:spacing w:after="3" w:line="250" w:lineRule="auto"/>
        <w:ind w:left="-5" w:right="0"/>
      </w:pPr>
      <w:r>
        <w:rPr>
          <w:sz w:val="14"/>
        </w:rPr>
        <w:t xml:space="preserve">determinados negocios. Por ejemplo, tratándose de la </w:t>
      </w:r>
      <w:r>
        <w:rPr>
          <w:sz w:val="14"/>
        </w:rPr>
        <w:t>compraventa, del suministro o la prestación de servicios profesionales  – entre otros contratos, que de hecho son la mayoría – el valor que se ofrece no se desglosa para revelar al destinatario su estructura de costos. El proponente se limita a establecer una cifra por la que está dispuesto a asumir ciertas obligaciones, pero el comprador desconoce cómo se compone internamente, es decir, no sabe –  ni usualmente le interesa conocerlo – qué parte del valor corresponde a gastos de mano de obra, de transporte,</w:t>
      </w:r>
      <w:r>
        <w:rPr>
          <w:sz w:val="14"/>
        </w:rPr>
        <w:t xml:space="preserve"> de energía, cuál es la utilidad esperada, entre otros conceptos. En estos casos se limita a conocer con claridad absoluta cuánto le costará el bien o el servicio, porque es lo que pagará.</w:t>
      </w:r>
    </w:p>
    <w:p w14:paraId="6EC926C7" w14:textId="77777777" w:rsidR="00093283" w:rsidRDefault="008469EA">
      <w:pPr>
        <w:spacing w:after="0" w:line="259" w:lineRule="auto"/>
        <w:ind w:right="-15"/>
        <w:jc w:val="right"/>
      </w:pPr>
      <w:r>
        <w:rPr>
          <w:sz w:val="14"/>
        </w:rPr>
        <w:t xml:space="preserve">Sin embargo, en otros negocios, como la obra pública, la concesión y la consultoría, el Estado está acostumbrado a que se desglosen </w:t>
      </w:r>
    </w:p>
    <w:p w14:paraId="35E18453" w14:textId="77777777" w:rsidR="00093283" w:rsidRDefault="008469EA">
      <w:pPr>
        <w:spacing w:after="3" w:line="250" w:lineRule="auto"/>
        <w:ind w:left="-5" w:right="0"/>
      </w:pPr>
      <w:r>
        <w:rPr>
          <w:sz w:val="14"/>
        </w:rPr>
        <w:lastRenderedPageBreak/>
        <w:t xml:space="preserve">intensamente los costos, exigiendo no sólo el precio total sino una distinción entre los </w:t>
      </w:r>
      <w:r>
        <w:rPr>
          <w:i/>
          <w:sz w:val="14"/>
        </w:rPr>
        <w:t>costos</w:t>
      </w:r>
      <w:r>
        <w:rPr>
          <w:sz w:val="14"/>
        </w:rPr>
        <w:t xml:space="preserve"> </w:t>
      </w:r>
      <w:r>
        <w:rPr>
          <w:i/>
          <w:sz w:val="14"/>
        </w:rPr>
        <w:t xml:space="preserve"> directos</w:t>
      </w:r>
      <w:r>
        <w:rPr>
          <w:sz w:val="14"/>
        </w:rPr>
        <w:t xml:space="preserve"> y los</w:t>
      </w:r>
      <w:r>
        <w:rPr>
          <w:i/>
          <w:sz w:val="14"/>
        </w:rPr>
        <w:t xml:space="preserve"> costos indirectos </w:t>
      </w:r>
      <w:r>
        <w:rPr>
          <w:sz w:val="14"/>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 representados en los  </w:t>
      </w:r>
      <w:r>
        <w:rPr>
          <w:i/>
          <w:sz w:val="14"/>
        </w:rPr>
        <w:t>ítems</w:t>
      </w:r>
      <w:r>
        <w:rPr>
          <w:sz w:val="14"/>
        </w:rPr>
        <w:t xml:space="preserve"> que componen el contrato – . Los costos  </w:t>
      </w:r>
      <w:r>
        <w:rPr>
          <w:i/>
          <w:sz w:val="14"/>
        </w:rPr>
        <w:t>indirectos</w:t>
      </w:r>
      <w:r>
        <w:rPr>
          <w:sz w:val="14"/>
        </w:rPr>
        <w:t xml:space="preserve"> aluden a los gastos que también son necesarios para la obra, pero que no hacen parte de los elementos mismos con los que s</w:t>
      </w:r>
      <w:r>
        <w:rPr>
          <w:sz w:val="14"/>
        </w:rPr>
        <w:t>e construye, es decir, se trata de los costos de administración de la obra, los imprevistos que se presentan durante su ejecución y la utilidad esperada ” (MARÍN CORTÉS, Fabián. El precio. Serie: Las cláusulas del contrato estatal. Medellín: Librería Jurídica Sánchez y Centro de Estudios de Derecho Administrativo –CEDA–, 2012. pp. 63-64).</w:t>
      </w:r>
    </w:p>
    <w:p w14:paraId="279E2A83" w14:textId="77777777" w:rsidR="00093283" w:rsidRDefault="008469EA">
      <w:pPr>
        <w:ind w:left="-5" w:right="0"/>
      </w:pPr>
      <w:r>
        <w:t xml:space="preserve">su ganancia – , solicitando a los proponentes que discriminen los últimos al momento de presentar la propuesta.  En tal sentido, mientras que los costos directos se evidencian en el análisis de precios unitarios  – APU – , como la sumatoria de los valores de los  </w:t>
      </w:r>
      <w:r>
        <w:rPr>
          <w:i/>
        </w:rPr>
        <w:t>ítems</w:t>
      </w:r>
      <w:r>
        <w:t xml:space="preserve"> según su unidad de medida, los costos indirectos se suelen abreviar en las variables que integran el acrónimo AIU  – Administración, Imprevistos y Utilidad – , que se calcula como un porcentaje aplicado a los costos indirectos. De esta forma, en los contratos en los que se aplica el sistema de precios unitarios el valor del contrato y de las ofertas se determina por la sumatoria de los costos directos – APU – y los costos indirectos – suma equivalente al porcentaje de AIU–.</w:t>
      </w:r>
    </w:p>
    <w:p w14:paraId="79D1AC91" w14:textId="77777777" w:rsidR="00093283" w:rsidRDefault="008469EA">
      <w:pPr>
        <w:ind w:left="-15" w:right="0" w:firstLine="709"/>
      </w:pPr>
      <w:r>
        <w:t>De otra parte,  en la estipulación del precio de los contratos de consultoría es común la utilización del sistema de factor multiplicador, el cual permite imputar al contrato los costos directos asociados a salarios del personal vinculado con carácter exclusivo al proyecto, así como conceptos asociados a prestaciones sociales, la utilidad del ingeniero y los costos de administración</w:t>
      </w:r>
      <w:r>
        <w:rPr>
          <w:vertAlign w:val="superscript"/>
        </w:rPr>
        <w:footnoteReference w:id="16"/>
      </w:r>
      <w:r>
        <w:t xml:space="preserve"> .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w:t>
      </w:r>
      <w:r>
        <w:t>te la aplicación del factor multiplicador.</w:t>
      </w:r>
    </w:p>
    <w:p w14:paraId="7BD633BA" w14:textId="77777777" w:rsidR="00093283" w:rsidRDefault="008469EA">
      <w:pPr>
        <w:spacing w:after="154"/>
        <w:ind w:left="-15" w:right="0" w:firstLine="709"/>
      </w:pPr>
      <w:r>
        <w:t>En ese contexto, las metodologías señaladas están asociadas, por un lado, a la estimación del valor del contrato por parte de la Entidad Estatal en el marco de lo requerido por la planeación correspondiente, y  por otro lado, a la determinación del precio del contrato en el marco del proceso de selección, en la medida en que se tornan relevantes para la presentación de la oferta económica. Sin embargo, debe advertirse que ni en el sistema de precios unitario ni el factor multiplicador son asuntos expresamen</w:t>
      </w:r>
      <w:r>
        <w:t>te regulados en el conjunto de las disposiciones legales y reglamentarias que integran la normativa contractual del Estado. La justificación de estas formas de establecer o cotizar el precio procede, incluso, de la formación universitaria que reciben los ingenieros, a quienes se les enseña esta metodología para elaborar las ofertas. En ese sentido, estas metodologías para la configuración del precio del contrato, determinantes para la elaboración de la propuesta económica, no proceden de la ley ni del regla</w:t>
      </w:r>
      <w:r>
        <w:t>mento, sino de la costumbre</w:t>
      </w:r>
      <w:r>
        <w:rPr>
          <w:vertAlign w:val="superscript"/>
        </w:rPr>
        <w:t>19</w:t>
      </w:r>
      <w:r>
        <w:t>.</w:t>
      </w:r>
    </w:p>
    <w:p w14:paraId="638B6CEA" w14:textId="77777777" w:rsidR="00093283" w:rsidRDefault="008469EA">
      <w:pPr>
        <w:ind w:left="-15" w:right="0" w:firstLine="708"/>
      </w:pPr>
      <w:r>
        <w:lastRenderedPageBreak/>
        <w:t>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w:t>
      </w:r>
      <w:r>
        <w:t xml:space="preserve"> 4 que:  “ Cuando el valor del contrato esté determinado por precios unitarios, la Entidad Estatal debe incluir la forma como los calculó y soportar sus cálculos presupuestales en la estimación de aquello ” .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w:t>
      </w:r>
      <w:r>
        <w:t xml:space="preserve"> valor del contrato, esto, independientemente del método que haya utilizado para calcularlo.</w:t>
      </w:r>
    </w:p>
    <w:p w14:paraId="76DE4112" w14:textId="77777777" w:rsidR="00093283" w:rsidRDefault="008469EA">
      <w:pPr>
        <w:ind w:left="-5" w:right="0"/>
      </w:pPr>
      <w:r>
        <w:t xml:space="preserve"> Así pues, 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w:t>
      </w:r>
      <w:r>
        <w:t>s como las explicadas, siempre que resulten adecuadas y proporcionales al objeto del contrato.</w:t>
      </w:r>
    </w:p>
    <w:p w14:paraId="4773373D" w14:textId="77777777" w:rsidR="00093283" w:rsidRDefault="008469EA">
      <w:pPr>
        <w:ind w:left="-5" w:right="0"/>
      </w:pPr>
      <w:r>
        <w:t xml:space="preserve"> En ese orden, ante la ausencia de un marco normativo particularmente aplicable a las referidas metodologías, corresponderá a las Entidades Estatales establecer las reglas para su aplicación, con el propósito de dar a conocer los aspectos que deben tenerse en cuenta a la hora de configurar las ofertas. A partir de tales reglas, la entidad podrá exigir el desglose de determinados factores imputables a costos directos de cierta forma, realizar una tasación del AIU o el factor multiplicador, y en general, esta</w:t>
      </w:r>
      <w:r>
        <w:t>blecer parámetros que garanticen el desarrollo de principios de la función administrativa y de la gestión fiscal, dentro de los cuales se encuentra el principio de economía, postulado este, que exige la optimización de los recursos públicos.</w:t>
      </w:r>
    </w:p>
    <w:p w14:paraId="2A1B07FD" w14:textId="77777777" w:rsidR="00093283" w:rsidRDefault="008469EA">
      <w:pPr>
        <w:ind w:left="-5" w:right="0"/>
      </w:pPr>
      <w:r>
        <w:t xml:space="preserve"> Bajo esta órbita, se aclara que los proponentes al momento de estructurar sus ofertas tienen la obligación, respecto del proceso de selección, de conocer las normas que lo rigen, sus características, condiciones de ejecución del contrato y riesgos previsibles. Esto, en razón a que, mediante la presentación de la oferta se pone en contexto a la entidad contratante frente a una serie de documentos que en conjunto conforman un acervo probatorio, de los requisitos que se pretenden hacer valer y que permiten de</w:t>
      </w:r>
      <w:r>
        <w:t>terminar, entre varias ofertas, la que represente la mejor condición de elegibilidad.</w:t>
      </w:r>
    </w:p>
    <w:p w14:paraId="6A0E2CCE" w14:textId="77777777" w:rsidR="00093283" w:rsidRDefault="008469EA">
      <w:pPr>
        <w:ind w:left="-5" w:right="0"/>
      </w:pPr>
      <w:r>
        <w:t xml:space="preserve"> Los requisitos de los proponentes, que se hacen valer por medio de la oferta en su integridad, pueden ser entendidos en tres cales: i)  </w:t>
      </w:r>
      <w:r>
        <w:rPr>
          <w:i/>
        </w:rPr>
        <w:t xml:space="preserve">subjetivos,  </w:t>
      </w:r>
      <w:r>
        <w:t xml:space="preserve">que atienden a las calidades, </w:t>
      </w:r>
      <w:r>
        <w:lastRenderedPageBreak/>
        <w:t xml:space="preserve">capacidades, idoneidad y condiciones de los oferentes;  ii )  </w:t>
      </w:r>
      <w:r>
        <w:rPr>
          <w:i/>
        </w:rPr>
        <w:t xml:space="preserve">objetivos  </w:t>
      </w:r>
      <w:r>
        <w:t xml:space="preserve">que se refieren a aspectos técnicos, económicos, presupuestales, etc., que permiten ponderar las ofertas en su real y efectiva dimensión; y  iii )  </w:t>
      </w:r>
      <w:r>
        <w:rPr>
          <w:i/>
        </w:rPr>
        <w:t xml:space="preserve">formales  </w:t>
      </w:r>
      <w:r>
        <w:t xml:space="preserve">que se atienden a la instrumentalización y protocolización de los actos jurídicos, tanto de la propuesta como del contrato estatal. </w:t>
      </w:r>
    </w:p>
    <w:p w14:paraId="3CD9C802" w14:textId="77777777" w:rsidR="00093283" w:rsidRDefault="008469EA">
      <w:pPr>
        <w:ind w:left="-15" w:right="0" w:firstLine="709"/>
      </w:pPr>
      <w:r>
        <w:t xml:space="preserve">Ahora bien, desde luego que los costos asociados al personal requerido para ejecutar el contrato son un aspecto que entran a determinar su precio, por lo que son un tema para considerar al hacer el ofrecimiento económico en la etapa de presentación de ofertas, con sujeción al mecanismo para determinar el precio que regule la entidad en el pliego de condiciones. En ese sentido, cuando una entidad incorpora el mecanismo del factor multiplicador debe incluir las reglas para que estos sean considerados por los </w:t>
      </w:r>
      <w:r>
        <w:t>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w:t>
      </w:r>
      <w:r>
        <w:t xml:space="preserve">a para ejecutar el proyecto, así como la posibilidad de que los costos de dicha contratación – ya sea laboral o por prestación de servicios – , se incorporen al precio del contrato, por la vía del factor multiplicador aplicado para hacer la oferta económica. </w:t>
      </w:r>
    </w:p>
    <w:p w14:paraId="09DAC128" w14:textId="77777777" w:rsidR="00093283" w:rsidRDefault="008469EA">
      <w:pPr>
        <w:spacing w:after="144"/>
        <w:ind w:left="-15" w:right="0" w:firstLine="708"/>
      </w:pPr>
      <w:r>
        <w:t xml:space="preserve">En conclusión, cuando la Entidad Estatal haga uso del factor multiplicador, debe asegurarse de ejercer una buena vigilancia de la ejecución contractual, con el fin de poder realizar adecuadamente la auditoría de los costos del contrato para apagar sólo aquello que se hayan causado efectivamente. Por tanto, podrán verificarse los soportes contables, administrativos y financieros de la ejecución, ya que la Entidad Estatal sólo debe pagar aquellos costos que hubieran sido pagados por el contratista so pena de </w:t>
      </w:r>
      <w:r>
        <w:t>que se configure un enriquecimiento sin causa de su parte.</w:t>
      </w:r>
    </w:p>
    <w:p w14:paraId="2830D980" w14:textId="77777777" w:rsidR="00093283" w:rsidRDefault="008469EA">
      <w:pPr>
        <w:pStyle w:val="Ttulo1"/>
        <w:spacing w:after="261"/>
        <w:ind w:left="693" w:right="0" w:hanging="708"/>
      </w:pPr>
      <w:r>
        <w:t>Respuesta</w:t>
      </w:r>
    </w:p>
    <w:p w14:paraId="7514BF4A" w14:textId="77777777" w:rsidR="00093283" w:rsidRDefault="008469EA">
      <w:pPr>
        <w:spacing w:after="240" w:line="241" w:lineRule="auto"/>
        <w:ind w:left="846" w:right="755"/>
      </w:pPr>
      <w:r>
        <w:rPr>
          <w:sz w:val="21"/>
        </w:rPr>
        <w:t xml:space="preserve">“ PREGUNTA 1: ¿Si se usa el factor multiplicador como fórmula para la determinación de los costos del contrato, el contratista debe demostrar el gasto de todos los componentes de costo que se tuvieron en cuenta para </w:t>
      </w:r>
      <w:r>
        <w:rPr>
          <w:sz w:val="21"/>
        </w:rPr>
        <w:t>determinarlo? En este caso el pago de las prestaciones sociales del personal.</w:t>
      </w:r>
    </w:p>
    <w:p w14:paraId="37FB7823" w14:textId="77777777" w:rsidR="00093283" w:rsidRDefault="008469EA">
      <w:pPr>
        <w:spacing w:after="240" w:line="241" w:lineRule="auto"/>
        <w:ind w:left="846" w:right="755"/>
      </w:pPr>
      <w:r>
        <w:rPr>
          <w:sz w:val="21"/>
        </w:rPr>
        <w:t xml:space="preserve">PREGUNTA 2: ¿En caso de que el contratista no asuma tal costo por la modalidad de contratación del personal del que dispone para la ejecución del contrato, se debe disminuir el porcentaje correspondiente a este concepto a través de una modificación al contrato o en el acta de liquidación del mismo? </w:t>
      </w:r>
    </w:p>
    <w:p w14:paraId="453CB31A" w14:textId="77777777" w:rsidR="00093283" w:rsidRDefault="008469EA">
      <w:pPr>
        <w:spacing w:after="240" w:line="241" w:lineRule="auto"/>
        <w:ind w:left="846" w:right="755"/>
      </w:pPr>
      <w:r>
        <w:rPr>
          <w:sz w:val="21"/>
        </w:rPr>
        <w:t xml:space="preserve">PREGUNTA 3: ¿Es posible determinar en el presupuesto oficial el porcentaje Factor Multiplicador a través de únicamente costos indirectos como lo son, </w:t>
      </w:r>
      <w:r>
        <w:rPr>
          <w:sz w:val="21"/>
        </w:rPr>
        <w:lastRenderedPageBreak/>
        <w:t>papelería, transporte, arrendamientos, servicios públicos, ensayos de laboratorio y multiplicarle este porcentaje al valor de costos directos de personal? Es decir, los componentes del FM no son factor prestacional sino de costos indirectos.</w:t>
      </w:r>
    </w:p>
    <w:p w14:paraId="44AFC4DC" w14:textId="77777777" w:rsidR="00093283" w:rsidRDefault="008469EA">
      <w:pPr>
        <w:spacing w:after="292" w:line="241" w:lineRule="auto"/>
        <w:ind w:left="846" w:right="755"/>
      </w:pPr>
      <w:r>
        <w:rPr>
          <w:sz w:val="21"/>
        </w:rPr>
        <w:t>PREGUNTA 4: ¿Es posible determinar el presupuesto oficial de un contrato de interventoría a través de la suma de los costos de personal + los costos directos (aplicando la figura del AIU) en vez del Factor Multiplicador?”</w:t>
      </w:r>
      <w:r>
        <w:t>.</w:t>
      </w:r>
    </w:p>
    <w:p w14:paraId="262012A7" w14:textId="77777777" w:rsidR="00093283" w:rsidRDefault="008469EA">
      <w:pPr>
        <w:ind w:left="-5" w:right="0"/>
      </w:pPr>
      <w:r>
        <w:t>En ejercicio de las competencias establecidas en los artículos 3, numeral 5° y 11, numeral 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brindar asesorías, ni para pronunciarse sobre asuntos particulares, mucho menos para brindar directrices especiales so</w:t>
      </w:r>
      <w:r>
        <w:t>bre la definición y/o estructuración de  un metodología específica para calcular el valor de un contrato a partir del sistema de precios unitarios o del factor multiplicador.</w:t>
      </w:r>
    </w:p>
    <w:p w14:paraId="37784545" w14:textId="77777777" w:rsidR="00093283" w:rsidRDefault="008469EA">
      <w:pPr>
        <w:ind w:left="-15" w:right="0" w:firstLine="709"/>
      </w:pPr>
      <w:r>
        <w:t>Sin embargo, en línea con las precisiones normativas previamente realizadas, para dar respuesta en bloque a las inquietudes que originaron la presente consulta, conviene precisar que  la estipulación del precio en los contratos de consultoría a través del sistema del factor multiplicador, en líneas generales, permite imputar al contrato los costos directos asociados a salarios del personal vinculado con carácter exclusivo al proyecto, así como conceptos asociados a prestaciones sociales, la utilidad de inge</w:t>
      </w:r>
      <w:r>
        <w:t>niero y los costos de administración. Sin embargo, dicha metodología no se encuentra reglamentada por la normativa contractual, pues como se indicó en acápite precedente, su justificación procede de la costumbre.</w:t>
      </w:r>
    </w:p>
    <w:p w14:paraId="1C062F2D" w14:textId="77777777" w:rsidR="00093283" w:rsidRDefault="008469EA">
      <w:pPr>
        <w:ind w:left="-15" w:right="0" w:firstLine="709"/>
      </w:pPr>
      <w:r>
        <w:t>De ahí que, pese a que el factor multiplicador no está mencionado en el artículo 2.2.1.1.2.1.1 del Decreto 1082 de 2015 que regula el contenido del estudio del sector, en criterio de esta Agencia las Entidades Estatales no están exentas de incluir en los estudios previos la razón con base en la cual determinaron la viabilidad de usar tal metodología para estimar el valor del contrato y establecer las reglas para su aplicación con el propósito de dar a conocer los aspectos que deben tenerse en cuenta al mome</w:t>
      </w:r>
      <w:r>
        <w:t>nto de configurar las ofertas. A partir de tales reglas, la entidad podrá exigir el desglose de determinados factores imputables a costos directos de cierta forma, realizar una tasación del AIU o el factor multiplicador y, en general, establecer parámetros que garanticen el desarrollo de principios de la función administrativa y de la gestión fiscal.</w:t>
      </w:r>
    </w:p>
    <w:p w14:paraId="344C9349" w14:textId="77777777" w:rsidR="00093283" w:rsidRDefault="008469EA">
      <w:pPr>
        <w:ind w:left="-15" w:right="0" w:firstLine="709"/>
      </w:pPr>
      <w:r>
        <w:t xml:space="preserve">Si se usa el factor multiplicador como fórmula para la determinación de los costos del contrato, el contratista debe demostrar el gasto de todos los componentes de costo que se tuvieron en cuenta para determinarlo. En este contexto, en el caso de los salarios y </w:t>
      </w:r>
      <w:r>
        <w:lastRenderedPageBreak/>
        <w:t>prestaciones sociales, si el contratista no debe asumir tal costo por la modalidad de contratación del personal del que dispone para la ejecución del contrato, se debe disminuir el porcentaje correspondiente a este concepto a través de una modificación al contrato o en el acta de liquidación del mismo.</w:t>
      </w:r>
    </w:p>
    <w:p w14:paraId="78BB2B5C" w14:textId="77777777" w:rsidR="00093283" w:rsidRDefault="008469EA">
      <w:pPr>
        <w:ind w:left="-15" w:right="0" w:firstLine="709"/>
      </w:pPr>
      <w:r>
        <w:t xml:space="preserve">Los costos asociados al personal requerido para ejecutar el contrato son un aspecto que incide en la determinación de su precio, por lo que constituye un punto que debe considerarse en clave del ofrecimiento económico en la etapa de presentación de ofertas, (con sujeción al mecanismo para determinar el precio que regule la entidad en el pliego de condiciones). En este sentido, cuando una entidad incorpora el mecanismo del factor multiplicador debe incluir las reglas para que estos sean considerados por los </w:t>
      </w:r>
      <w:r>
        <w:t>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w:t>
      </w:r>
      <w:r>
        <w:t>a para ejecutar el proyecto, así como la posibilidad de que los costos de dicha contratación – ya sea laboral o por prestación de servicios –,  se incorporen al precio del contrato, por la vía del factor multiplicador aplicado para hacer la oferta económica.</w:t>
      </w:r>
    </w:p>
    <w:p w14:paraId="3F7B7271" w14:textId="77777777" w:rsidR="00093283" w:rsidRDefault="008469EA">
      <w:pPr>
        <w:spacing w:after="295"/>
        <w:ind w:left="-5" w:right="0"/>
      </w:pPr>
      <w:r>
        <w:t>Este concepto tiene el alcance previsto en el artículo 28 del Código de Procedimiento Administrativo y de lo Contencioso Administrativo.</w:t>
      </w:r>
    </w:p>
    <w:p w14:paraId="7DE22300" w14:textId="77777777" w:rsidR="00093283" w:rsidRDefault="008469EA">
      <w:pPr>
        <w:spacing w:after="0"/>
        <w:ind w:left="-5" w:right="0"/>
      </w:pPr>
      <w:r>
        <w:t>Atentamente,</w:t>
      </w:r>
    </w:p>
    <w:p w14:paraId="6765C1EA" w14:textId="3B0C454E" w:rsidR="00093283" w:rsidRDefault="008469EA">
      <w:pPr>
        <w:spacing w:after="399" w:line="259" w:lineRule="auto"/>
        <w:ind w:left="2244" w:right="0" w:firstLine="0"/>
        <w:jc w:val="left"/>
      </w:pPr>
      <w:r>
        <w:rPr>
          <w:noProof/>
        </w:rPr>
        <w:drawing>
          <wp:inline distT="0" distB="0" distL="0" distR="0" wp14:anchorId="0C520EE4" wp14:editId="4311EB3D">
            <wp:extent cx="3161665" cy="1209040"/>
            <wp:effectExtent l="0" t="0" r="635" b="0"/>
            <wp:docPr id="1302939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9429" name="Imagen 1"/>
                    <pic:cNvPicPr>
                      <a:picLocks noChangeAspect="1"/>
                    </pic:cNvPicPr>
                  </pic:nvPicPr>
                  <pic:blipFill>
                    <a:blip r:embed="rId14"/>
                    <a:stretch>
                      <a:fillRect/>
                    </a:stretch>
                  </pic:blipFill>
                  <pic:spPr>
                    <a:xfrm>
                      <a:off x="0" y="0"/>
                      <a:ext cx="3161665" cy="1209040"/>
                    </a:xfrm>
                    <a:prstGeom prst="rect">
                      <a:avLst/>
                    </a:prstGeom>
                  </pic:spPr>
                </pic:pic>
              </a:graphicData>
            </a:graphic>
          </wp:inline>
        </w:drawing>
      </w:r>
    </w:p>
    <w:p w14:paraId="45CD2538" w14:textId="77777777" w:rsidR="00093283" w:rsidRDefault="008469EA">
      <w:pPr>
        <w:spacing w:after="0" w:line="216" w:lineRule="auto"/>
        <w:ind w:left="-15" w:right="5399" w:firstLine="639"/>
        <w:jc w:val="left"/>
      </w:pPr>
      <w:r>
        <w:rPr>
          <w:sz w:val="16"/>
        </w:rPr>
        <w:t>Diego Andrés Zambrano Pérez Elaboró:</w:t>
      </w:r>
    </w:p>
    <w:p w14:paraId="6A19AECE" w14:textId="77777777" w:rsidR="00093283" w:rsidRDefault="008469EA">
      <w:pPr>
        <w:spacing w:after="29" w:line="216" w:lineRule="auto"/>
        <w:ind w:left="649" w:right="0"/>
        <w:jc w:val="left"/>
      </w:pPr>
      <w:r>
        <w:rPr>
          <w:sz w:val="16"/>
        </w:rPr>
        <w:t>Contratista de la Subdirección de Gestión Contractual</w:t>
      </w:r>
    </w:p>
    <w:p w14:paraId="76541064" w14:textId="77777777" w:rsidR="00093283" w:rsidRDefault="008469EA">
      <w:pPr>
        <w:spacing w:after="0" w:line="216" w:lineRule="auto"/>
        <w:ind w:left="-15" w:right="5399" w:firstLine="639"/>
        <w:jc w:val="left"/>
      </w:pPr>
      <w:r>
        <w:rPr>
          <w:sz w:val="16"/>
        </w:rPr>
        <w:t>Alejandro Raúl Sarmiento Cantillo Revisó:</w:t>
      </w:r>
    </w:p>
    <w:p w14:paraId="1205BA53" w14:textId="77777777" w:rsidR="00093283" w:rsidRDefault="008469EA">
      <w:pPr>
        <w:spacing w:after="29" w:line="216" w:lineRule="auto"/>
        <w:ind w:left="649" w:right="0"/>
        <w:jc w:val="left"/>
      </w:pPr>
      <w:r>
        <w:rPr>
          <w:sz w:val="16"/>
        </w:rPr>
        <w:t>Gestor T1-15 de la Subdirección de Gestión Contractual</w:t>
      </w:r>
    </w:p>
    <w:p w14:paraId="00C9CE82" w14:textId="77777777" w:rsidR="00093283" w:rsidRDefault="008469EA">
      <w:pPr>
        <w:spacing w:after="0" w:line="216" w:lineRule="auto"/>
        <w:ind w:left="-15" w:right="5399" w:firstLine="639"/>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48546425" wp14:editId="6892C305">
                <wp:simplePos x="0" y="0"/>
                <wp:positionH relativeFrom="column">
                  <wp:posOffset>405765</wp:posOffset>
                </wp:positionH>
                <wp:positionV relativeFrom="paragraph">
                  <wp:posOffset>-265955</wp:posOffset>
                </wp:positionV>
                <wp:extent cx="3287395" cy="486371"/>
                <wp:effectExtent l="0" t="0" r="0" b="0"/>
                <wp:wrapNone/>
                <wp:docPr id="75863" name="Group 75863"/>
                <wp:cNvGraphicFramePr/>
                <a:graphic xmlns:a="http://schemas.openxmlformats.org/drawingml/2006/main">
                  <a:graphicData uri="http://schemas.microsoft.com/office/word/2010/wordprocessingGroup">
                    <wpg:wgp>
                      <wpg:cNvGrpSpPr/>
                      <wpg:grpSpPr>
                        <a:xfrm>
                          <a:off x="0" y="0"/>
                          <a:ext cx="3287395" cy="486371"/>
                          <a:chOff x="0" y="0"/>
                          <a:chExt cx="3287395" cy="486371"/>
                        </a:xfrm>
                      </wpg:grpSpPr>
                      <wps:wsp>
                        <wps:cNvPr id="17830" name="Shape 17830"/>
                        <wps:cNvSpPr/>
                        <wps:spPr>
                          <a:xfrm>
                            <a:off x="0" y="0"/>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7831" name="Shape 17831"/>
                        <wps:cNvSpPr/>
                        <wps:spPr>
                          <a:xfrm>
                            <a:off x="0" y="0"/>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7832" name="Shape 17832"/>
                        <wps:cNvSpPr/>
                        <wps:spPr>
                          <a:xfrm>
                            <a:off x="0" y="243185"/>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7833" name="Shape 17833"/>
                        <wps:cNvSpPr/>
                        <wps:spPr>
                          <a:xfrm>
                            <a:off x="0" y="243185"/>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7834" name="Shape 17834"/>
                        <wps:cNvSpPr/>
                        <wps:spPr>
                          <a:xfrm>
                            <a:off x="0" y="486371"/>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863" style="width:258.85pt;height:38.2969pt;position:absolute;z-index:-2147483157;mso-position-horizontal-relative:text;mso-position-horizontal:absolute;margin-left:31.95pt;mso-position-vertical-relative:text;margin-top:-20.9414pt;" coordsize="32873,4863">
                <v:shape id="Shape 17830" style="position:absolute;width:32873;height:0;left:0;top:0;" coordsize="3287395,0" path="m0,0l3287395,0">
                  <v:stroke weight="0.75pt" endcap="square" dashstyle="0 4" joinstyle="miter" miterlimit="10" on="true" color="#7f7f7f"/>
                  <v:fill on="false" color="#000000" opacity="0"/>
                </v:shape>
                <v:shape id="Shape 17831" style="position:absolute;width:32873;height:0;left:0;top:0;" coordsize="3287395,0" path="m0,0l3287395,0">
                  <v:stroke weight="0.75pt" endcap="square" dashstyle="0 4" joinstyle="miter" miterlimit="10" on="true" color="#7f7f7f"/>
                  <v:fill on="false" color="#000000" opacity="0"/>
                </v:shape>
                <v:shape id="Shape 17832" style="position:absolute;width:32873;height:0;left:0;top:2431;" coordsize="3287395,0" path="m0,0l3287395,0">
                  <v:stroke weight="0.75pt" endcap="square" dashstyle="0 4" joinstyle="miter" miterlimit="10" on="true" color="#7f7f7f"/>
                  <v:fill on="false" color="#000000" opacity="0"/>
                </v:shape>
                <v:shape id="Shape 17833" style="position:absolute;width:32873;height:0;left:0;top:2431;" coordsize="3287395,0" path="m0,0l3287395,0">
                  <v:stroke weight="0.75pt" endcap="square" dashstyle="0 4" joinstyle="miter" miterlimit="10" on="true" color="#7f7f7f"/>
                  <v:fill on="false" color="#000000" opacity="0"/>
                </v:shape>
                <v:shape id="Shape 17834" style="position:absolute;width:32873;height:0;left:0;top:4863;" coordsize="3287395,0" path="m0,0l3287395,0">
                  <v:stroke weight="0.75pt" endcap="square" dashstyle="0 4" joinstyle="miter" miterlimit="10" on="true" color="#7f7f7f"/>
                  <v:fill on="false" color="#000000" opacity="0"/>
                </v:shape>
              </v:group>
            </w:pict>
          </mc:Fallback>
        </mc:AlternateContent>
      </w:r>
      <w:r>
        <w:rPr>
          <w:sz w:val="16"/>
        </w:rPr>
        <w:t>Nohelia del Carmen Zawady Palacio Aprobó:</w:t>
      </w:r>
    </w:p>
    <w:p w14:paraId="59040839" w14:textId="77777777" w:rsidR="00093283" w:rsidRDefault="008469EA">
      <w:pPr>
        <w:spacing w:after="29" w:line="216" w:lineRule="auto"/>
        <w:ind w:left="649" w:right="5399"/>
        <w:jc w:val="left"/>
      </w:pPr>
      <w:r>
        <w:rPr>
          <w:sz w:val="16"/>
        </w:rPr>
        <w:t>Subdirectora de Gestión Contractual</w:t>
      </w:r>
    </w:p>
    <w:sectPr w:rsidR="00093283">
      <w:headerReference w:type="even" r:id="rId15"/>
      <w:headerReference w:type="default" r:id="rId16"/>
      <w:footerReference w:type="even" r:id="rId17"/>
      <w:footerReference w:type="default" r:id="rId18"/>
      <w:headerReference w:type="first" r:id="rId19"/>
      <w:footerReference w:type="first" r:id="rId20"/>
      <w:pgSz w:w="12240" w:h="15840"/>
      <w:pgMar w:top="2294" w:right="1701" w:bottom="1819" w:left="1701" w:header="467" w:footer="5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345B" w14:textId="77777777" w:rsidR="008469EA" w:rsidRDefault="008469EA">
      <w:pPr>
        <w:spacing w:after="0" w:line="240" w:lineRule="auto"/>
      </w:pPr>
      <w:r>
        <w:separator/>
      </w:r>
    </w:p>
  </w:endnote>
  <w:endnote w:type="continuationSeparator" w:id="0">
    <w:p w14:paraId="7FDABC6B" w14:textId="77777777" w:rsidR="008469EA" w:rsidRDefault="0084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257CF37E"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D516D82"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7E30597" w14:textId="77777777" w:rsidR="00093283" w:rsidRDefault="008469EA">
          <w:pPr>
            <w:spacing w:after="0" w:line="259" w:lineRule="auto"/>
            <w:ind w:left="7" w:right="0"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0B5A6B51"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26D3C6C3"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4595FBA5" w14:textId="77777777" w:rsidR="00093283" w:rsidRDefault="008469EA">
    <w:pPr>
      <w:spacing w:after="0" w:line="259" w:lineRule="auto"/>
      <w:ind w:left="-1701" w:firstLine="0"/>
      <w:jc w:val="left"/>
    </w:pPr>
    <w:r>
      <w:rPr>
        <w:noProof/>
      </w:rPr>
      <w:drawing>
        <wp:anchor distT="0" distB="0" distL="114300" distR="114300" simplePos="0" relativeHeight="251667456" behindDoc="0" locked="0" layoutInCell="1" allowOverlap="0" wp14:anchorId="0F8A6E1F" wp14:editId="4CAF479E">
          <wp:simplePos x="0" y="0"/>
          <wp:positionH relativeFrom="page">
            <wp:posOffset>1080135</wp:posOffset>
          </wp:positionH>
          <wp:positionV relativeFrom="page">
            <wp:posOffset>8906157</wp:posOffset>
          </wp:positionV>
          <wp:extent cx="5612131" cy="65024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1AA00B37"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D190B50"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34D3CDCF" w14:textId="77777777" w:rsidR="00093283" w:rsidRDefault="008469EA">
          <w:pPr>
            <w:spacing w:after="0" w:line="259" w:lineRule="auto"/>
            <w:ind w:left="7" w:right="0"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3C8B5E8F"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9B75E0E"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08DB0571" w14:textId="77777777" w:rsidR="00093283" w:rsidRDefault="008469EA">
    <w:pPr>
      <w:spacing w:after="0" w:line="259" w:lineRule="auto"/>
      <w:ind w:left="-1701" w:firstLine="0"/>
      <w:jc w:val="left"/>
    </w:pPr>
    <w:r>
      <w:rPr>
        <w:noProof/>
      </w:rPr>
      <w:drawing>
        <wp:anchor distT="0" distB="0" distL="114300" distR="114300" simplePos="0" relativeHeight="251668480" behindDoc="0" locked="0" layoutInCell="1" allowOverlap="0" wp14:anchorId="7B5B669D" wp14:editId="7C7C9CA7">
          <wp:simplePos x="0" y="0"/>
          <wp:positionH relativeFrom="page">
            <wp:posOffset>1080135</wp:posOffset>
          </wp:positionH>
          <wp:positionV relativeFrom="page">
            <wp:posOffset>8906157</wp:posOffset>
          </wp:positionV>
          <wp:extent cx="5612131" cy="650240"/>
          <wp:effectExtent l="0" t="0" r="0" b="0"/>
          <wp:wrapSquare wrapText="bothSides"/>
          <wp:docPr id="490844853"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4A6E7586"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4C4E437"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073E12F" w14:textId="77777777" w:rsidR="00093283" w:rsidRDefault="008469EA">
          <w:pPr>
            <w:spacing w:after="0" w:line="259" w:lineRule="auto"/>
            <w:ind w:left="7" w:right="0"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78927B52"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26920249"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0A9F68B4" w14:textId="77777777" w:rsidR="00093283" w:rsidRDefault="008469EA">
    <w:pPr>
      <w:spacing w:after="0" w:line="259" w:lineRule="auto"/>
      <w:ind w:left="-1701" w:firstLine="0"/>
      <w:jc w:val="left"/>
    </w:pPr>
    <w:r>
      <w:rPr>
        <w:noProof/>
      </w:rPr>
      <w:drawing>
        <wp:anchor distT="0" distB="0" distL="114300" distR="114300" simplePos="0" relativeHeight="251669504" behindDoc="0" locked="0" layoutInCell="1" allowOverlap="0" wp14:anchorId="2B55E104" wp14:editId="18A60FC7">
          <wp:simplePos x="0" y="0"/>
          <wp:positionH relativeFrom="page">
            <wp:posOffset>1080135</wp:posOffset>
          </wp:positionH>
          <wp:positionV relativeFrom="page">
            <wp:posOffset>8906157</wp:posOffset>
          </wp:positionV>
          <wp:extent cx="5612131" cy="650240"/>
          <wp:effectExtent l="0" t="0" r="0" b="0"/>
          <wp:wrapSquare wrapText="bothSides"/>
          <wp:docPr id="120007401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35EDD4AD"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003C196"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B268CD5" w14:textId="77777777" w:rsidR="00093283" w:rsidRDefault="008469EA">
          <w:pPr>
            <w:spacing w:after="0" w:line="259" w:lineRule="auto"/>
            <w:ind w:left="7" w:right="0" w:firstLine="0"/>
            <w:jc w:val="center"/>
          </w:pPr>
          <w:r>
            <w:rPr>
              <w:sz w:val="16"/>
            </w:rPr>
            <w:t xml:space="preserve">CÓDIGO: </w:t>
          </w:r>
          <w:r>
            <w:rPr>
              <w:b/>
              <w:sz w:val="16"/>
            </w:rPr>
            <w:t>CCE-REC-FM-1</w:t>
          </w:r>
          <w:r>
            <w:rPr>
              <w:b/>
              <w:sz w:val="16"/>
            </w:rPr>
            <w:t>7</w:t>
          </w:r>
        </w:p>
      </w:tc>
      <w:tc>
        <w:tcPr>
          <w:tcW w:w="2699" w:type="dxa"/>
          <w:tcBorders>
            <w:top w:val="single" w:sz="4" w:space="0" w:color="808080"/>
            <w:left w:val="single" w:sz="4" w:space="0" w:color="808080"/>
            <w:bottom w:val="single" w:sz="4" w:space="0" w:color="808080"/>
            <w:right w:val="single" w:sz="4" w:space="0" w:color="808080"/>
          </w:tcBorders>
        </w:tcPr>
        <w:p w14:paraId="60F58C16"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70C177C"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0004C885" w14:textId="77777777" w:rsidR="00093283" w:rsidRDefault="008469EA">
    <w:pPr>
      <w:spacing w:after="0" w:line="259" w:lineRule="auto"/>
      <w:ind w:left="-1701" w:right="0" w:firstLine="0"/>
      <w:jc w:val="left"/>
    </w:pPr>
    <w:r>
      <w:rPr>
        <w:noProof/>
      </w:rPr>
      <w:drawing>
        <wp:anchor distT="0" distB="0" distL="114300" distR="114300" simplePos="0" relativeHeight="251679744" behindDoc="0" locked="0" layoutInCell="1" allowOverlap="0" wp14:anchorId="1F21A139" wp14:editId="6832DA20">
          <wp:simplePos x="0" y="0"/>
          <wp:positionH relativeFrom="page">
            <wp:posOffset>1080135</wp:posOffset>
          </wp:positionH>
          <wp:positionV relativeFrom="page">
            <wp:posOffset>8906157</wp:posOffset>
          </wp:positionV>
          <wp:extent cx="5612131" cy="650240"/>
          <wp:effectExtent l="0" t="0" r="0" b="0"/>
          <wp:wrapSquare wrapText="bothSides"/>
          <wp:docPr id="10551" name="Picture 10551"/>
          <wp:cNvGraphicFramePr/>
          <a:graphic xmlns:a="http://schemas.openxmlformats.org/drawingml/2006/main">
            <a:graphicData uri="http://schemas.openxmlformats.org/drawingml/2006/picture">
              <pic:pic xmlns:pic="http://schemas.openxmlformats.org/drawingml/2006/picture">
                <pic:nvPicPr>
                  <pic:cNvPr id="10551" name="Picture 10551"/>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0F360478"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0E91A23D"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409A906" w14:textId="77777777" w:rsidR="00093283" w:rsidRDefault="008469EA">
          <w:pPr>
            <w:spacing w:after="0" w:line="259" w:lineRule="auto"/>
            <w:ind w:left="7" w:right="0"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01A5FAC3"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5791CB6D"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265635CE" w14:textId="77777777" w:rsidR="00093283" w:rsidRDefault="008469EA">
    <w:pPr>
      <w:spacing w:after="0" w:line="259" w:lineRule="auto"/>
      <w:ind w:left="-1701" w:right="0" w:firstLine="0"/>
      <w:jc w:val="left"/>
    </w:pPr>
    <w:r>
      <w:rPr>
        <w:noProof/>
      </w:rPr>
      <w:drawing>
        <wp:anchor distT="0" distB="0" distL="114300" distR="114300" simplePos="0" relativeHeight="251680768" behindDoc="0" locked="0" layoutInCell="1" allowOverlap="0" wp14:anchorId="01E6F657" wp14:editId="14850C9F">
          <wp:simplePos x="0" y="0"/>
          <wp:positionH relativeFrom="page">
            <wp:posOffset>1080135</wp:posOffset>
          </wp:positionH>
          <wp:positionV relativeFrom="page">
            <wp:posOffset>8906157</wp:posOffset>
          </wp:positionV>
          <wp:extent cx="5612131" cy="650240"/>
          <wp:effectExtent l="0" t="0" r="0" b="0"/>
          <wp:wrapSquare wrapText="bothSides"/>
          <wp:docPr id="220447227" name="Picture 10551"/>
          <wp:cNvGraphicFramePr/>
          <a:graphic xmlns:a="http://schemas.openxmlformats.org/drawingml/2006/main">
            <a:graphicData uri="http://schemas.openxmlformats.org/drawingml/2006/picture">
              <pic:pic xmlns:pic="http://schemas.openxmlformats.org/drawingml/2006/picture">
                <pic:nvPicPr>
                  <pic:cNvPr id="10551" name="Picture 10551"/>
                  <pic:cNvPicPr/>
                </pic:nvPicPr>
                <pic:blipFill>
                  <a:blip r:embed="rId1"/>
                  <a:stretch>
                    <a:fillRect/>
                  </a:stretch>
                </pic:blipFill>
                <pic:spPr>
                  <a:xfrm>
                    <a:off x="0" y="0"/>
                    <a:ext cx="5612131" cy="65024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3" w:type="dxa"/>
        <w:left w:w="108" w:type="dxa"/>
        <w:bottom w:w="0" w:type="dxa"/>
        <w:right w:w="115" w:type="dxa"/>
      </w:tblCellMar>
      <w:tblLook w:val="04A0" w:firstRow="1" w:lastRow="0" w:firstColumn="1" w:lastColumn="0" w:noHBand="0" w:noVBand="1"/>
    </w:tblPr>
    <w:tblGrid>
      <w:gridCol w:w="1271"/>
      <w:gridCol w:w="2693"/>
      <w:gridCol w:w="2699"/>
      <w:gridCol w:w="2268"/>
    </w:tblGrid>
    <w:tr w:rsidR="00093283" w14:paraId="321FA2F5"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1C86C33" w14:textId="77777777" w:rsidR="00093283" w:rsidRDefault="008469EA">
          <w:pPr>
            <w:spacing w:after="0" w:line="259" w:lineRule="auto"/>
            <w:ind w:left="34" w:right="0"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0EBD351" w14:textId="77777777" w:rsidR="00093283" w:rsidRDefault="008469EA">
          <w:pPr>
            <w:spacing w:after="0" w:line="259" w:lineRule="auto"/>
            <w:ind w:left="7" w:right="0"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5216AEC1" w14:textId="77777777" w:rsidR="00093283" w:rsidRDefault="008469EA">
          <w:pPr>
            <w:spacing w:after="0" w:line="259" w:lineRule="auto"/>
            <w:ind w:left="0" w:right="0"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B3B0445" w14:textId="77777777" w:rsidR="00093283" w:rsidRDefault="008469EA">
          <w:pPr>
            <w:spacing w:after="0" w:line="259" w:lineRule="auto"/>
            <w:ind w:left="0" w:right="0"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16</w:t>
          </w:r>
          <w:r>
            <w:rPr>
              <w:b/>
              <w:sz w:val="16"/>
            </w:rPr>
            <w:fldChar w:fldCharType="end"/>
          </w:r>
        </w:p>
      </w:tc>
    </w:tr>
  </w:tbl>
  <w:p w14:paraId="02BB6D52" w14:textId="77777777" w:rsidR="00093283" w:rsidRDefault="008469EA">
    <w:pPr>
      <w:spacing w:after="0" w:line="259" w:lineRule="auto"/>
      <w:ind w:left="-1701" w:right="0" w:firstLine="0"/>
      <w:jc w:val="left"/>
    </w:pPr>
    <w:r>
      <w:rPr>
        <w:noProof/>
      </w:rPr>
      <w:drawing>
        <wp:anchor distT="0" distB="0" distL="114300" distR="114300" simplePos="0" relativeHeight="251681792" behindDoc="0" locked="0" layoutInCell="1" allowOverlap="0" wp14:anchorId="3F87BF3F" wp14:editId="55C0B511">
          <wp:simplePos x="0" y="0"/>
          <wp:positionH relativeFrom="page">
            <wp:posOffset>1080135</wp:posOffset>
          </wp:positionH>
          <wp:positionV relativeFrom="page">
            <wp:posOffset>8906157</wp:posOffset>
          </wp:positionV>
          <wp:extent cx="5612131" cy="650240"/>
          <wp:effectExtent l="0" t="0" r="0" b="0"/>
          <wp:wrapSquare wrapText="bothSides"/>
          <wp:docPr id="81816005" name="Picture 10551"/>
          <wp:cNvGraphicFramePr/>
          <a:graphic xmlns:a="http://schemas.openxmlformats.org/drawingml/2006/main">
            <a:graphicData uri="http://schemas.openxmlformats.org/drawingml/2006/picture">
              <pic:pic xmlns:pic="http://schemas.openxmlformats.org/drawingml/2006/picture">
                <pic:nvPicPr>
                  <pic:cNvPr id="10551" name="Picture 10551"/>
                  <pic:cNvPicPr/>
                </pic:nvPicPr>
                <pic:blipFill>
                  <a:blip r:embed="rId1"/>
                  <a:stretch>
                    <a:fillRect/>
                  </a:stretch>
                </pic:blipFill>
                <pic:spPr>
                  <a:xfrm>
                    <a:off x="0" y="0"/>
                    <a:ext cx="5612131" cy="650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F430" w14:textId="77777777" w:rsidR="00093283" w:rsidRDefault="008469EA">
      <w:pPr>
        <w:spacing w:after="0" w:line="259" w:lineRule="auto"/>
        <w:ind w:left="0" w:firstLine="0"/>
        <w:jc w:val="right"/>
      </w:pPr>
      <w:r>
        <w:separator/>
      </w:r>
    </w:p>
  </w:footnote>
  <w:footnote w:type="continuationSeparator" w:id="0">
    <w:p w14:paraId="7356E872" w14:textId="77777777" w:rsidR="00093283" w:rsidRDefault="008469EA">
      <w:pPr>
        <w:spacing w:after="0" w:line="259" w:lineRule="auto"/>
        <w:ind w:left="0" w:firstLine="0"/>
        <w:jc w:val="right"/>
      </w:pPr>
      <w:r>
        <w:continuationSeparator/>
      </w:r>
    </w:p>
  </w:footnote>
  <w:footnote w:id="1">
    <w:p w14:paraId="5CEF3D91" w14:textId="77777777" w:rsidR="00093283" w:rsidRDefault="008469EA">
      <w:pPr>
        <w:pStyle w:val="footnotedescription"/>
        <w:ind w:right="61"/>
        <w:jc w:val="right"/>
      </w:pPr>
      <w:r>
        <w:rPr>
          <w:rStyle w:val="footnotemark"/>
        </w:rPr>
        <w:footnoteRef/>
      </w:r>
      <w:r>
        <w:t xml:space="preserve"> La Agencia Nacional de Contratación Pública -Colombia Compra </w:t>
      </w:r>
      <w:r>
        <w:t xml:space="preserve">Eficiente- fue creada por el Decreto-Ley 4170 de 2011. Su objetivo </w:t>
      </w:r>
    </w:p>
    <w:p w14:paraId="6119CF32" w14:textId="77777777" w:rsidR="00093283" w:rsidRDefault="008469EA">
      <w:pPr>
        <w:pStyle w:val="footnotedescription"/>
        <w:spacing w:line="240" w:lineRule="auto"/>
        <w:ind w:right="61"/>
      </w:pPr>
      <w:r>
        <w:t xml:space="preserve">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Pr>
          <w:i/>
        </w:rPr>
        <w:t xml:space="preserve">ibidem  </w:t>
      </w:r>
      <w:r>
        <w:t xml:space="preserve">señala, de manera precisa, las funciones de la entidad. Concretamente, el numeral 5º del citado artículo establece que le corresponde a esta entidad:  </w:t>
      </w:r>
      <w:r>
        <w:rPr>
          <w:i/>
        </w:rPr>
        <w:t xml:space="preserve">“[ a] </w:t>
      </w:r>
      <w:proofErr w:type="spellStart"/>
      <w:r>
        <w:rPr>
          <w:i/>
        </w:rPr>
        <w:t>bsolver</w:t>
      </w:r>
      <w:proofErr w:type="spellEnd"/>
      <w:r>
        <w:rPr>
          <w:i/>
        </w:rPr>
        <w:t xml:space="preserve"> consultas sobre la aplicación de normas de carácter general y expedir circulares externas en materia de compras y contratación pública ”</w:t>
      </w:r>
      <w:r>
        <w:t>.</w:t>
      </w:r>
      <w:r>
        <w:rPr>
          <w:i/>
        </w:rPr>
        <w:t xml:space="preserve"> </w:t>
      </w:r>
      <w:r>
        <w:t xml:space="preserve"> A su turno, el numeral 8º del artículo 11  </w:t>
      </w:r>
      <w:r>
        <w:rPr>
          <w:i/>
        </w:rPr>
        <w:t>ibidem</w:t>
      </w:r>
      <w:r>
        <w:t xml:space="preserve"> indica que es función de la Subdirección de Gestión Contractual: </w:t>
      </w:r>
      <w:r>
        <w:rPr>
          <w:i/>
        </w:rPr>
        <w:t>“</w:t>
      </w:r>
      <w:r>
        <w:t xml:space="preserve"> </w:t>
      </w:r>
      <w:r>
        <w:rPr>
          <w:i/>
        </w:rPr>
        <w:t xml:space="preserve"> [a] </w:t>
      </w:r>
      <w:proofErr w:type="spellStart"/>
      <w:r>
        <w:rPr>
          <w:i/>
        </w:rPr>
        <w:t>bsolver</w:t>
      </w:r>
      <w:proofErr w:type="spellEnd"/>
      <w:r>
        <w:rPr>
          <w:i/>
        </w:rPr>
        <w:t xml:space="preserve"> consultas sobre la aplicación de normas de carácter general”</w:t>
      </w:r>
      <w:r>
        <w:t>.</w:t>
      </w:r>
    </w:p>
  </w:footnote>
  <w:footnote w:id="2">
    <w:p w14:paraId="362EA41B" w14:textId="77777777" w:rsidR="00093283" w:rsidRDefault="008469EA">
      <w:pPr>
        <w:pStyle w:val="footnotedescription"/>
        <w:ind w:right="61"/>
        <w:jc w:val="right"/>
      </w:pPr>
      <w:r>
        <w:rPr>
          <w:rStyle w:val="footnotemark"/>
        </w:rPr>
        <w:footnoteRef/>
      </w:r>
      <w:r>
        <w:t xml:space="preserve"> Estos conceptos pueden ser consultados en la relatoría de Colombia Compra Eficiente en el siguiente enlace:  </w:t>
      </w:r>
    </w:p>
    <w:p w14:paraId="365A6BB6" w14:textId="77777777" w:rsidR="00093283" w:rsidRDefault="008469EA">
      <w:pPr>
        <w:pStyle w:val="footnotedescription"/>
        <w:jc w:val="left"/>
      </w:pPr>
      <w:hyperlink r:id="rId1">
        <w:r>
          <w:rPr>
            <w:u w:val="single" w:color="000000"/>
          </w:rPr>
          <w:t>http://relatoria.colombiacompra.gov.co/busqueda/conceptos</w:t>
        </w:r>
      </w:hyperlink>
    </w:p>
  </w:footnote>
  <w:footnote w:id="3">
    <w:p w14:paraId="45E2FF08" w14:textId="77777777" w:rsidR="00093283" w:rsidRDefault="008469EA">
      <w:pPr>
        <w:pStyle w:val="footnotedescription"/>
        <w:ind w:right="61"/>
        <w:jc w:val="right"/>
      </w:pPr>
      <w:r>
        <w:rPr>
          <w:rStyle w:val="footnotemark"/>
        </w:rPr>
        <w:footnoteRef/>
      </w:r>
      <w:r>
        <w:t xml:space="preserve"> Cfr. Respuestas emitidas dentro de los radicados Nos.: </w:t>
      </w:r>
      <w:r>
        <w:t xml:space="preserve">4202013000002250, 4202013000002249, 202013000002232, </w:t>
      </w:r>
    </w:p>
    <w:tbl>
      <w:tblPr>
        <w:tblStyle w:val="TableGrid"/>
        <w:tblW w:w="8877" w:type="dxa"/>
        <w:tblInd w:w="0" w:type="dxa"/>
        <w:tblCellMar>
          <w:top w:w="0" w:type="dxa"/>
          <w:left w:w="0" w:type="dxa"/>
          <w:bottom w:w="0" w:type="dxa"/>
          <w:right w:w="0" w:type="dxa"/>
        </w:tblCellMar>
        <w:tblLook w:val="04A0" w:firstRow="1" w:lastRow="0" w:firstColumn="1" w:lastColumn="0" w:noHBand="0" w:noVBand="1"/>
      </w:tblPr>
      <w:tblGrid>
        <w:gridCol w:w="6043"/>
        <w:gridCol w:w="1511"/>
        <w:gridCol w:w="1323"/>
      </w:tblGrid>
      <w:tr w:rsidR="00093283" w14:paraId="5AFBDF16" w14:textId="77777777">
        <w:trPr>
          <w:trHeight w:val="146"/>
        </w:trPr>
        <w:tc>
          <w:tcPr>
            <w:tcW w:w="6043" w:type="dxa"/>
            <w:tcBorders>
              <w:top w:val="nil"/>
              <w:left w:val="nil"/>
              <w:bottom w:val="nil"/>
              <w:right w:val="nil"/>
            </w:tcBorders>
          </w:tcPr>
          <w:p w14:paraId="305EAE8C" w14:textId="77777777" w:rsidR="00093283" w:rsidRDefault="008469EA">
            <w:pPr>
              <w:tabs>
                <w:tab w:val="center" w:pos="2153"/>
                <w:tab w:val="center" w:pos="3663"/>
                <w:tab w:val="center" w:pos="5174"/>
              </w:tabs>
              <w:spacing w:after="160" w:line="259" w:lineRule="auto"/>
              <w:ind w:left="0" w:right="0" w:firstLine="0"/>
              <w:jc w:val="left"/>
            </w:pPr>
            <w:r>
              <w:rPr>
                <w:sz w:val="14"/>
              </w:rPr>
              <w:t xml:space="preserve">4202013000002225, </w:t>
            </w:r>
            <w:r>
              <w:rPr>
                <w:sz w:val="14"/>
              </w:rPr>
              <w:tab/>
              <w:t xml:space="preserve">4202013000002227, </w:t>
            </w:r>
            <w:r>
              <w:rPr>
                <w:sz w:val="14"/>
              </w:rPr>
              <w:tab/>
              <w:t xml:space="preserve">4202013000002220, </w:t>
            </w:r>
            <w:r>
              <w:rPr>
                <w:sz w:val="14"/>
              </w:rPr>
              <w:tab/>
              <w:t xml:space="preserve">4202013000002221, </w:t>
            </w:r>
          </w:p>
        </w:tc>
        <w:tc>
          <w:tcPr>
            <w:tcW w:w="1511" w:type="dxa"/>
            <w:tcBorders>
              <w:top w:val="nil"/>
              <w:left w:val="nil"/>
              <w:bottom w:val="nil"/>
              <w:right w:val="nil"/>
            </w:tcBorders>
          </w:tcPr>
          <w:p w14:paraId="3B5B0621" w14:textId="77777777" w:rsidR="00093283" w:rsidRDefault="008469EA">
            <w:pPr>
              <w:spacing w:after="160" w:line="259" w:lineRule="auto"/>
              <w:ind w:left="0" w:right="0" w:firstLine="0"/>
              <w:jc w:val="left"/>
            </w:pPr>
            <w:r>
              <w:rPr>
                <w:sz w:val="14"/>
              </w:rPr>
              <w:t xml:space="preserve">4202013000002217, </w:t>
            </w:r>
          </w:p>
        </w:tc>
        <w:tc>
          <w:tcPr>
            <w:tcW w:w="1323" w:type="dxa"/>
            <w:tcBorders>
              <w:top w:val="nil"/>
              <w:left w:val="nil"/>
              <w:bottom w:val="nil"/>
              <w:right w:val="nil"/>
            </w:tcBorders>
          </w:tcPr>
          <w:p w14:paraId="2E06EE97" w14:textId="77777777" w:rsidR="00093283" w:rsidRDefault="008469EA">
            <w:pPr>
              <w:spacing w:after="160" w:line="259" w:lineRule="auto"/>
              <w:ind w:left="0" w:right="0" w:firstLine="0"/>
            </w:pPr>
            <w:r>
              <w:rPr>
                <w:sz w:val="14"/>
              </w:rPr>
              <w:t xml:space="preserve">4202013000002215, </w:t>
            </w:r>
          </w:p>
        </w:tc>
      </w:tr>
      <w:tr w:rsidR="00093283" w14:paraId="4F75BA4E" w14:textId="77777777">
        <w:trPr>
          <w:trHeight w:val="161"/>
        </w:trPr>
        <w:tc>
          <w:tcPr>
            <w:tcW w:w="6043" w:type="dxa"/>
            <w:tcBorders>
              <w:top w:val="nil"/>
              <w:left w:val="nil"/>
              <w:bottom w:val="nil"/>
              <w:right w:val="nil"/>
            </w:tcBorders>
          </w:tcPr>
          <w:p w14:paraId="0BAA2CBB" w14:textId="77777777" w:rsidR="00093283" w:rsidRDefault="008469EA">
            <w:pPr>
              <w:tabs>
                <w:tab w:val="center" w:pos="2153"/>
                <w:tab w:val="center" w:pos="3663"/>
                <w:tab w:val="center" w:pos="5174"/>
              </w:tabs>
              <w:spacing w:after="160" w:line="259" w:lineRule="auto"/>
              <w:ind w:left="0" w:right="0" w:firstLine="0"/>
              <w:jc w:val="left"/>
            </w:pPr>
            <w:r>
              <w:rPr>
                <w:sz w:val="14"/>
              </w:rPr>
              <w:t xml:space="preserve">4202013000002230, </w:t>
            </w:r>
            <w:r>
              <w:rPr>
                <w:sz w:val="14"/>
              </w:rPr>
              <w:tab/>
              <w:t xml:space="preserve">4202013000002223, </w:t>
            </w:r>
            <w:r>
              <w:rPr>
                <w:sz w:val="14"/>
              </w:rPr>
              <w:tab/>
              <w:t xml:space="preserve">4202013000002219, </w:t>
            </w:r>
            <w:r>
              <w:rPr>
                <w:sz w:val="14"/>
              </w:rPr>
              <w:tab/>
            </w:r>
            <w:r>
              <w:rPr>
                <w:sz w:val="14"/>
              </w:rPr>
              <w:t xml:space="preserve">4202013000002237, </w:t>
            </w:r>
          </w:p>
        </w:tc>
        <w:tc>
          <w:tcPr>
            <w:tcW w:w="1511" w:type="dxa"/>
            <w:tcBorders>
              <w:top w:val="nil"/>
              <w:left w:val="nil"/>
              <w:bottom w:val="nil"/>
              <w:right w:val="nil"/>
            </w:tcBorders>
          </w:tcPr>
          <w:p w14:paraId="1A82BE54" w14:textId="77777777" w:rsidR="00093283" w:rsidRDefault="008469EA">
            <w:pPr>
              <w:spacing w:after="160" w:line="259" w:lineRule="auto"/>
              <w:ind w:left="0" w:right="0" w:firstLine="0"/>
              <w:jc w:val="left"/>
            </w:pPr>
            <w:r>
              <w:rPr>
                <w:sz w:val="14"/>
              </w:rPr>
              <w:t xml:space="preserve">4202013000002210, </w:t>
            </w:r>
          </w:p>
        </w:tc>
        <w:tc>
          <w:tcPr>
            <w:tcW w:w="1323" w:type="dxa"/>
            <w:tcBorders>
              <w:top w:val="nil"/>
              <w:left w:val="nil"/>
              <w:bottom w:val="nil"/>
              <w:right w:val="nil"/>
            </w:tcBorders>
          </w:tcPr>
          <w:p w14:paraId="24CC5F6E" w14:textId="77777777" w:rsidR="00093283" w:rsidRDefault="008469EA">
            <w:pPr>
              <w:spacing w:after="160" w:line="259" w:lineRule="auto"/>
              <w:ind w:left="0" w:right="0" w:firstLine="0"/>
            </w:pPr>
            <w:r>
              <w:rPr>
                <w:sz w:val="14"/>
              </w:rPr>
              <w:t xml:space="preserve">4202013000002278, </w:t>
            </w:r>
          </w:p>
        </w:tc>
      </w:tr>
      <w:tr w:rsidR="00093283" w14:paraId="183421A0" w14:textId="77777777">
        <w:trPr>
          <w:trHeight w:val="161"/>
        </w:trPr>
        <w:tc>
          <w:tcPr>
            <w:tcW w:w="6043" w:type="dxa"/>
            <w:tcBorders>
              <w:top w:val="nil"/>
              <w:left w:val="nil"/>
              <w:bottom w:val="nil"/>
              <w:right w:val="nil"/>
            </w:tcBorders>
          </w:tcPr>
          <w:p w14:paraId="727916C7" w14:textId="77777777" w:rsidR="00093283" w:rsidRDefault="008469EA">
            <w:pPr>
              <w:tabs>
                <w:tab w:val="center" w:pos="2153"/>
                <w:tab w:val="center" w:pos="3663"/>
                <w:tab w:val="center" w:pos="5174"/>
              </w:tabs>
              <w:spacing w:after="160" w:line="259" w:lineRule="auto"/>
              <w:ind w:left="0" w:right="0" w:firstLine="0"/>
              <w:jc w:val="left"/>
            </w:pPr>
            <w:r>
              <w:rPr>
                <w:sz w:val="14"/>
              </w:rPr>
              <w:t xml:space="preserve">4202013000002277, </w:t>
            </w:r>
            <w:r>
              <w:rPr>
                <w:sz w:val="14"/>
              </w:rPr>
              <w:tab/>
              <w:t xml:space="preserve">4202013000002272, </w:t>
            </w:r>
            <w:r>
              <w:rPr>
                <w:sz w:val="14"/>
              </w:rPr>
              <w:tab/>
              <w:t xml:space="preserve">4202013000002696, </w:t>
            </w:r>
            <w:r>
              <w:rPr>
                <w:sz w:val="14"/>
              </w:rPr>
              <w:tab/>
              <w:t xml:space="preserve">4202013000002699, </w:t>
            </w:r>
          </w:p>
        </w:tc>
        <w:tc>
          <w:tcPr>
            <w:tcW w:w="1511" w:type="dxa"/>
            <w:tcBorders>
              <w:top w:val="nil"/>
              <w:left w:val="nil"/>
              <w:bottom w:val="nil"/>
              <w:right w:val="nil"/>
            </w:tcBorders>
          </w:tcPr>
          <w:p w14:paraId="2A6BC555" w14:textId="77777777" w:rsidR="00093283" w:rsidRDefault="008469EA">
            <w:pPr>
              <w:spacing w:after="160" w:line="259" w:lineRule="auto"/>
              <w:ind w:left="0" w:right="0" w:firstLine="0"/>
              <w:jc w:val="left"/>
            </w:pPr>
            <w:r>
              <w:rPr>
                <w:sz w:val="14"/>
              </w:rPr>
              <w:t xml:space="preserve">4202012000002681, </w:t>
            </w:r>
          </w:p>
        </w:tc>
        <w:tc>
          <w:tcPr>
            <w:tcW w:w="1323" w:type="dxa"/>
            <w:tcBorders>
              <w:top w:val="nil"/>
              <w:left w:val="nil"/>
              <w:bottom w:val="nil"/>
              <w:right w:val="nil"/>
            </w:tcBorders>
          </w:tcPr>
          <w:p w14:paraId="037E1D3B" w14:textId="77777777" w:rsidR="00093283" w:rsidRDefault="008469EA">
            <w:pPr>
              <w:spacing w:after="160" w:line="259" w:lineRule="auto"/>
              <w:ind w:left="0" w:right="0" w:firstLine="0"/>
            </w:pPr>
            <w:r>
              <w:rPr>
                <w:sz w:val="14"/>
              </w:rPr>
              <w:t xml:space="preserve">4202012000002683, </w:t>
            </w:r>
          </w:p>
        </w:tc>
      </w:tr>
      <w:tr w:rsidR="00093283" w14:paraId="5D754372" w14:textId="77777777">
        <w:trPr>
          <w:trHeight w:val="161"/>
        </w:trPr>
        <w:tc>
          <w:tcPr>
            <w:tcW w:w="6043" w:type="dxa"/>
            <w:tcBorders>
              <w:top w:val="nil"/>
              <w:left w:val="nil"/>
              <w:bottom w:val="nil"/>
              <w:right w:val="nil"/>
            </w:tcBorders>
          </w:tcPr>
          <w:p w14:paraId="22FAABA7" w14:textId="77777777" w:rsidR="00093283" w:rsidRDefault="008469EA">
            <w:pPr>
              <w:tabs>
                <w:tab w:val="center" w:pos="2153"/>
                <w:tab w:val="center" w:pos="3663"/>
                <w:tab w:val="center" w:pos="5174"/>
              </w:tabs>
              <w:spacing w:after="160" w:line="259" w:lineRule="auto"/>
              <w:ind w:left="0" w:right="0" w:firstLine="0"/>
              <w:jc w:val="left"/>
            </w:pPr>
            <w:r>
              <w:rPr>
                <w:sz w:val="14"/>
              </w:rPr>
              <w:t xml:space="preserve">4202012000002676, </w:t>
            </w:r>
            <w:r>
              <w:rPr>
                <w:sz w:val="14"/>
              </w:rPr>
              <w:tab/>
              <w:t xml:space="preserve">4202012000002682, </w:t>
            </w:r>
            <w:r>
              <w:rPr>
                <w:sz w:val="14"/>
              </w:rPr>
              <w:tab/>
              <w:t xml:space="preserve">4202012000002689, </w:t>
            </w:r>
            <w:r>
              <w:rPr>
                <w:sz w:val="14"/>
              </w:rPr>
              <w:tab/>
            </w:r>
            <w:r>
              <w:rPr>
                <w:sz w:val="14"/>
              </w:rPr>
              <w:t xml:space="preserve">4202013000002697, </w:t>
            </w:r>
          </w:p>
        </w:tc>
        <w:tc>
          <w:tcPr>
            <w:tcW w:w="1511" w:type="dxa"/>
            <w:tcBorders>
              <w:top w:val="nil"/>
              <w:left w:val="nil"/>
              <w:bottom w:val="nil"/>
              <w:right w:val="nil"/>
            </w:tcBorders>
          </w:tcPr>
          <w:p w14:paraId="0597E5CF" w14:textId="77777777" w:rsidR="00093283" w:rsidRDefault="008469EA">
            <w:pPr>
              <w:spacing w:after="160" w:line="259" w:lineRule="auto"/>
              <w:ind w:left="0" w:right="0" w:firstLine="0"/>
              <w:jc w:val="left"/>
            </w:pPr>
            <w:r>
              <w:rPr>
                <w:sz w:val="14"/>
              </w:rPr>
              <w:t xml:space="preserve">4202013000002723, </w:t>
            </w:r>
          </w:p>
        </w:tc>
        <w:tc>
          <w:tcPr>
            <w:tcW w:w="1323" w:type="dxa"/>
            <w:tcBorders>
              <w:top w:val="nil"/>
              <w:left w:val="nil"/>
              <w:bottom w:val="nil"/>
              <w:right w:val="nil"/>
            </w:tcBorders>
          </w:tcPr>
          <w:p w14:paraId="2F57FC42" w14:textId="77777777" w:rsidR="00093283" w:rsidRDefault="008469EA">
            <w:pPr>
              <w:spacing w:after="160" w:line="259" w:lineRule="auto"/>
              <w:ind w:left="0" w:right="0" w:firstLine="0"/>
            </w:pPr>
            <w:r>
              <w:rPr>
                <w:sz w:val="14"/>
              </w:rPr>
              <w:t xml:space="preserve">4202012000002688, </w:t>
            </w:r>
          </w:p>
        </w:tc>
      </w:tr>
      <w:tr w:rsidR="00093283" w14:paraId="250126F7" w14:textId="77777777">
        <w:trPr>
          <w:trHeight w:val="307"/>
        </w:trPr>
        <w:tc>
          <w:tcPr>
            <w:tcW w:w="6043" w:type="dxa"/>
            <w:tcBorders>
              <w:top w:val="nil"/>
              <w:left w:val="nil"/>
              <w:bottom w:val="nil"/>
              <w:right w:val="nil"/>
            </w:tcBorders>
          </w:tcPr>
          <w:p w14:paraId="76A95396" w14:textId="77777777" w:rsidR="00093283" w:rsidRDefault="008469EA">
            <w:pPr>
              <w:spacing w:after="160" w:line="259" w:lineRule="auto"/>
              <w:ind w:left="0" w:right="0" w:firstLine="0"/>
              <w:jc w:val="left"/>
            </w:pPr>
            <w:r>
              <w:rPr>
                <w:sz w:val="14"/>
              </w:rPr>
              <w:t xml:space="preserve">4202013000002813, </w:t>
            </w:r>
            <w:r>
              <w:rPr>
                <w:sz w:val="14"/>
              </w:rPr>
              <w:tab/>
              <w:t xml:space="preserve">4202013000002808, </w:t>
            </w:r>
            <w:r>
              <w:rPr>
                <w:sz w:val="14"/>
              </w:rPr>
              <w:tab/>
              <w:t xml:space="preserve">4202013000002798, </w:t>
            </w:r>
            <w:r>
              <w:rPr>
                <w:sz w:val="14"/>
              </w:rPr>
              <w:tab/>
              <w:t>4202013000002793, 4202013000002790 y 4202020000002788, entre muchos otros similares.</w:t>
            </w:r>
          </w:p>
        </w:tc>
        <w:tc>
          <w:tcPr>
            <w:tcW w:w="1511" w:type="dxa"/>
            <w:tcBorders>
              <w:top w:val="nil"/>
              <w:left w:val="nil"/>
              <w:bottom w:val="nil"/>
              <w:right w:val="nil"/>
            </w:tcBorders>
          </w:tcPr>
          <w:p w14:paraId="58F8A644" w14:textId="77777777" w:rsidR="00093283" w:rsidRDefault="008469EA">
            <w:pPr>
              <w:spacing w:after="160" w:line="259" w:lineRule="auto"/>
              <w:ind w:left="0" w:right="0" w:firstLine="0"/>
              <w:jc w:val="left"/>
            </w:pPr>
            <w:r>
              <w:rPr>
                <w:sz w:val="14"/>
              </w:rPr>
              <w:t xml:space="preserve">4202013000002792, </w:t>
            </w:r>
          </w:p>
        </w:tc>
        <w:tc>
          <w:tcPr>
            <w:tcW w:w="1323" w:type="dxa"/>
            <w:tcBorders>
              <w:top w:val="nil"/>
              <w:left w:val="nil"/>
              <w:bottom w:val="nil"/>
              <w:right w:val="nil"/>
            </w:tcBorders>
          </w:tcPr>
          <w:p w14:paraId="560F5372" w14:textId="77777777" w:rsidR="00093283" w:rsidRDefault="008469EA">
            <w:pPr>
              <w:spacing w:after="160" w:line="259" w:lineRule="auto"/>
              <w:ind w:left="0" w:right="0" w:firstLine="0"/>
            </w:pPr>
            <w:r>
              <w:rPr>
                <w:sz w:val="14"/>
              </w:rPr>
              <w:t xml:space="preserve">4202013000002791, </w:t>
            </w:r>
          </w:p>
        </w:tc>
      </w:tr>
    </w:tbl>
    <w:p w14:paraId="38409072" w14:textId="77777777" w:rsidR="008469EA" w:rsidRDefault="008469EA"/>
  </w:footnote>
  <w:footnote w:id="4">
    <w:p w14:paraId="1FF24087" w14:textId="77777777" w:rsidR="00093283" w:rsidRDefault="008469EA">
      <w:pPr>
        <w:pStyle w:val="footnotedescription"/>
        <w:spacing w:after="150" w:line="245" w:lineRule="auto"/>
        <w:ind w:firstLine="709"/>
      </w:pPr>
      <w:r>
        <w:rPr>
          <w:rStyle w:val="footnotemark"/>
        </w:rPr>
        <w:footnoteRef/>
      </w:r>
      <w:r>
        <w:t xml:space="preserve"> </w:t>
      </w:r>
      <w:r>
        <w:t>Procuraduría General de la Nación. Concepto del 15 de octubre de 2014. Procuraduría  Delegada para Asuntos Disciplinarios. Radicado PAD C-114-2014.</w:t>
      </w:r>
    </w:p>
  </w:footnote>
  <w:footnote w:id="5">
    <w:p w14:paraId="2BA25017" w14:textId="77777777" w:rsidR="00093283" w:rsidRDefault="008469EA">
      <w:pPr>
        <w:pStyle w:val="footnotedescription"/>
        <w:spacing w:after="29"/>
        <w:ind w:left="708"/>
        <w:jc w:val="left"/>
      </w:pPr>
      <w:r>
        <w:rPr>
          <w:rStyle w:val="footnotemark"/>
        </w:rPr>
        <w:footnoteRef/>
      </w:r>
      <w:r>
        <w:t xml:space="preserve"> Contraloría General de la República. Oficina Jurídica. Concepto 80112-OJ-008 2017.</w:t>
      </w:r>
    </w:p>
  </w:footnote>
  <w:footnote w:id="6">
    <w:p w14:paraId="0CE73C0E" w14:textId="77777777" w:rsidR="00093283" w:rsidRDefault="008469EA">
      <w:pPr>
        <w:pStyle w:val="footnotedescription"/>
        <w:spacing w:line="246" w:lineRule="auto"/>
        <w:ind w:firstLine="708"/>
      </w:pPr>
      <w:r>
        <w:rPr>
          <w:rStyle w:val="footnotemark"/>
        </w:rPr>
        <w:footnoteRef/>
      </w:r>
      <w:r>
        <w:t xml:space="preserve"> ARBOLEDA PERDOMO, Enrique José. Comentarios al Nuevo Código de Procedimiento Administrativo y de lo Contencioso Administrativo (2ª ed.). Editorial Legis. Bogotá. 2012. p.59.</w:t>
      </w:r>
    </w:p>
  </w:footnote>
  <w:footnote w:id="7">
    <w:p w14:paraId="1DF79352" w14:textId="77777777" w:rsidR="00093283" w:rsidRDefault="008469EA">
      <w:pPr>
        <w:pStyle w:val="footnotedescription"/>
        <w:spacing w:line="242" w:lineRule="auto"/>
        <w:ind w:right="61" w:firstLine="709"/>
      </w:pPr>
      <w:r>
        <w:rPr>
          <w:rStyle w:val="footnotemark"/>
        </w:rPr>
        <w:footnoteRef/>
      </w:r>
      <w: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r>
        <w:rPr>
          <w:u w:val="single" w:color="000000"/>
        </w:rPr>
        <w:t>https://issuu.com/estudiolegalhernandez/docs/ahb._funci__n_consultiva_y_consejo_</w:t>
      </w:r>
      <w:r>
        <w:t>.</w:t>
      </w:r>
    </w:p>
  </w:footnote>
  <w:footnote w:id="8">
    <w:p w14:paraId="3DDB670A" w14:textId="77777777" w:rsidR="00093283" w:rsidRDefault="008469EA">
      <w:pPr>
        <w:pStyle w:val="footnotedescription"/>
        <w:spacing w:line="245" w:lineRule="auto"/>
        <w:ind w:firstLine="708"/>
      </w:pPr>
      <w:r>
        <w:rPr>
          <w:rStyle w:val="footnotemark"/>
        </w:rPr>
        <w:footnoteRef/>
      </w:r>
      <w:r>
        <w:t xml:space="preserve"> CONSEJO DE ESTADO. Sala de Consulta y Servicio Civil. Concepto del 5 de octubre de 2009. Expediente 11001-03-06-000- 2009-00049-00(1966). C.P. William Zambrano Cetina.</w:t>
      </w:r>
    </w:p>
  </w:footnote>
  <w:footnote w:id="9">
    <w:p w14:paraId="250CB198" w14:textId="77777777" w:rsidR="00093283" w:rsidRDefault="008469EA">
      <w:pPr>
        <w:pStyle w:val="footnotedescription"/>
        <w:spacing w:after="524"/>
        <w:ind w:left="708"/>
        <w:jc w:val="left"/>
      </w:pPr>
      <w:r>
        <w:rPr>
          <w:rStyle w:val="footnotemark"/>
        </w:rPr>
        <w:footnoteRef/>
      </w:r>
      <w:r>
        <w:t xml:space="preserve"> “Son también contratos de consultoría los que tienen por objeto la interventoría […]”.</w:t>
      </w:r>
    </w:p>
  </w:footnote>
  <w:footnote w:id="10">
    <w:p w14:paraId="7305C837" w14:textId="77777777" w:rsidR="00093283" w:rsidRDefault="008469EA">
      <w:pPr>
        <w:pStyle w:val="footnotedescription"/>
        <w:ind w:left="100"/>
        <w:jc w:val="center"/>
      </w:pPr>
      <w:r>
        <w:rPr>
          <w:rStyle w:val="footnotemark"/>
        </w:rPr>
        <w:footnoteRef/>
      </w:r>
      <w:r>
        <w:t xml:space="preserve"> Consejo de Estado. Sección Tercera. Sentencia del 28 de febrero de 2013. </w:t>
      </w:r>
      <w:proofErr w:type="spellStart"/>
      <w:r>
        <w:t>Exp</w:t>
      </w:r>
      <w:proofErr w:type="spellEnd"/>
      <w:r>
        <w:t xml:space="preserve">. 24.266 M.P. Danilo Rojas </w:t>
      </w:r>
      <w:proofErr w:type="spellStart"/>
      <w:r>
        <w:t>Betancourth</w:t>
      </w:r>
      <w:proofErr w:type="spellEnd"/>
      <w:r>
        <w:t>.</w:t>
      </w:r>
    </w:p>
  </w:footnote>
  <w:footnote w:id="11">
    <w:p w14:paraId="3FDEE86E" w14:textId="77777777" w:rsidR="00093283" w:rsidRDefault="008469EA">
      <w:pPr>
        <w:pStyle w:val="footnotedescription"/>
        <w:ind w:right="61"/>
        <w:jc w:val="right"/>
      </w:pPr>
      <w:r>
        <w:rPr>
          <w:rStyle w:val="footnotemark"/>
        </w:rPr>
        <w:footnoteRef/>
      </w:r>
      <w:r>
        <w:t xml:space="preserve"> Consejo de Estado, Sección Tercera. Sentencia del 8 de marzo de 1996, expediente  </w:t>
      </w:r>
      <w:proofErr w:type="spellStart"/>
      <w:r>
        <w:t>n.°</w:t>
      </w:r>
      <w:proofErr w:type="spellEnd"/>
      <w:r>
        <w:t xml:space="preserve"> 8070, C.P. Jesús María Carrillo:  “ el </w:t>
      </w:r>
    </w:p>
    <w:p w14:paraId="6587A6F0" w14:textId="77777777" w:rsidR="00093283" w:rsidRDefault="008469EA">
      <w:pPr>
        <w:pStyle w:val="footnotedescription"/>
        <w:spacing w:after="135" w:line="240" w:lineRule="auto"/>
        <w:ind w:right="61"/>
      </w:pPr>
      <w:r>
        <w:t xml:space="preserve">interventor carece de facultades para exigir del contratante un supuesto derecho a prórrogas, como queriendo hacer valer el </w:t>
      </w:r>
      <w:r>
        <w:t xml:space="preserve">contrato de interventoría como un contrato accesorio del contrato de obra, y con esa perspectiva alegar que por la sola naturaleza accesoria "debe" obtener la misma suerte que la del contrato principal ” . Consejo de Estado, Sala de lo Contencioso Administrativo, Sección Tercera, sentencia del 13 de septiembre de 1991, expediente  </w:t>
      </w:r>
      <w:proofErr w:type="spellStart"/>
      <w:r>
        <w:t>n°</w:t>
      </w:r>
      <w:proofErr w:type="spellEnd"/>
      <w:r>
        <w:t xml:space="preserve"> . 5127, C.P. Carlos Betancur:  “ Debe distinguirse entre el contrato de obra pública y el de interventoría, pues el incumplimiento del contratista de obra no puede imputarse al</w:t>
      </w:r>
      <w:r>
        <w:t xml:space="preserve"> del interventor como si éste fuera obligado a la ejecución de la obra”.  </w:t>
      </w:r>
    </w:p>
  </w:footnote>
  <w:footnote w:id="12">
    <w:p w14:paraId="201C435E" w14:textId="77777777" w:rsidR="00093283" w:rsidRDefault="008469EA">
      <w:pPr>
        <w:pStyle w:val="footnotedescription"/>
        <w:ind w:right="61"/>
        <w:jc w:val="right"/>
      </w:pPr>
      <w:r>
        <w:rPr>
          <w:rStyle w:val="footnotemark"/>
        </w:rPr>
        <w:footnoteRef/>
      </w:r>
      <w:r>
        <w:t xml:space="preserve"> SANCHEZ CALVO, John Gilberto. La liquidación. Análisis del contrato de interventoría desde la visión de la jurisprudencia </w:t>
      </w:r>
    </w:p>
    <w:p w14:paraId="7751427D" w14:textId="77777777" w:rsidR="00093283" w:rsidRDefault="008469EA">
      <w:pPr>
        <w:pStyle w:val="footnotedescription"/>
        <w:jc w:val="left"/>
      </w:pPr>
      <w:r>
        <w:t xml:space="preserve">colombiana. Disponible en el siguiente enlace: </w:t>
      </w:r>
      <w:hyperlink r:id="rId2">
        <w:r>
          <w:rPr>
            <w:u w:val="single" w:color="000000"/>
          </w:rPr>
          <w:t>https://revistas.usergioarboleda.edu.co/index.php/Cuadernos/article/download/1008/844/3102</w:t>
        </w:r>
      </w:hyperlink>
    </w:p>
  </w:footnote>
  <w:footnote w:id="13">
    <w:p w14:paraId="0370B158" w14:textId="77777777" w:rsidR="00093283" w:rsidRDefault="008469EA">
      <w:pPr>
        <w:pStyle w:val="footnotedescription"/>
        <w:spacing w:after="184"/>
        <w:ind w:left="708"/>
        <w:jc w:val="left"/>
      </w:pPr>
      <w:r>
        <w:rPr>
          <w:rStyle w:val="footnotemark"/>
        </w:rPr>
        <w:footnoteRef/>
      </w:r>
      <w:r>
        <w:t xml:space="preserve"> Diccionario de la Lengua Española.</w:t>
      </w:r>
    </w:p>
  </w:footnote>
  <w:footnote w:id="14">
    <w:p w14:paraId="1550413B" w14:textId="77777777" w:rsidR="00093283" w:rsidRDefault="008469EA">
      <w:pPr>
        <w:pStyle w:val="footnotedescription"/>
        <w:spacing w:after="176" w:line="241" w:lineRule="auto"/>
        <w:ind w:firstLine="708"/>
      </w:pPr>
      <w:r>
        <w:rPr>
          <w:rStyle w:val="footnotemark"/>
        </w:rPr>
        <w:footnoteRef/>
      </w:r>
      <w:r>
        <w:t xml:space="preserve"> Al respecto, la doctrina sostiene que  “ Los contratos instados por los entes, organismos y entidades del sector público […  ] tienen [ … ] un carácter oneroso. Efectivamente, el carácter sinalagmático del contrato comporta [ …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w:t>
      </w:r>
      <w:r>
        <w:t xml:space="preserve">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t>
      </w:r>
      <w:proofErr w:type="spellStart"/>
      <w:r>
        <w:t>Wolker</w:t>
      </w:r>
      <w:proofErr w:type="spellEnd"/>
      <w:r>
        <w:t xml:space="preserve">   </w:t>
      </w:r>
      <w:proofErr w:type="spellStart"/>
      <w:r>
        <w:t>Kluwer</w:t>
      </w:r>
      <w:proofErr w:type="spellEnd"/>
      <w:r>
        <w:t xml:space="preserve">, 2018. p. 268).     </w:t>
      </w:r>
    </w:p>
  </w:footnote>
  <w:footnote w:id="15">
    <w:p w14:paraId="42E33A1E" w14:textId="77777777" w:rsidR="00093283" w:rsidRDefault="008469EA">
      <w:pPr>
        <w:pStyle w:val="footnotedescription"/>
        <w:spacing w:line="245" w:lineRule="auto"/>
        <w:ind w:firstLine="708"/>
      </w:pPr>
      <w:r>
        <w:rPr>
          <w:rStyle w:val="footnotemark"/>
        </w:rPr>
        <w:footnoteRef/>
      </w:r>
      <w:r>
        <w:t xml:space="preserve"> MARÍN CORTÉS, Fabián G. El precio. Ed. Librería Jurídica Sánchez R. Ltda. y Centro de Estudios de Derecho Administrativo, Medellín, 2012, p. 60. </w:t>
      </w:r>
    </w:p>
  </w:footnote>
  <w:footnote w:id="16">
    <w:p w14:paraId="223967E4" w14:textId="77777777" w:rsidR="00093283" w:rsidRDefault="008469EA">
      <w:pPr>
        <w:pStyle w:val="footnotedescription"/>
        <w:jc w:val="right"/>
      </w:pPr>
      <w:r>
        <w:rPr>
          <w:rStyle w:val="footnotemark"/>
        </w:rPr>
        <w:footnoteRef/>
      </w:r>
      <w:r>
        <w:t xml:space="preserve"> El factor multiplicador se encontraba regulado en los artículos 33, 34 y 35 del Decreto 1522 de 1983,  “ Por </w:t>
      </w:r>
      <w:r>
        <w:t xml:space="preserve">el cual se dictan normas </w:t>
      </w:r>
    </w:p>
    <w:p w14:paraId="0F536B40" w14:textId="77777777" w:rsidR="00093283" w:rsidRDefault="008469EA">
      <w:pPr>
        <w:pStyle w:val="footnotedescription"/>
        <w:spacing w:line="243" w:lineRule="auto"/>
      </w:pPr>
      <w:r>
        <w:t xml:space="preserve">sobre registro de proponentes y concurso de méritos ” .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 </w:t>
      </w:r>
      <w:r>
        <w:rPr>
          <w:vertAlign w:val="superscript"/>
        </w:rPr>
        <w:t>19</w:t>
      </w:r>
      <w:r>
        <w:t xml:space="preserve"> MARÍN, </w:t>
      </w:r>
      <w:proofErr w:type="spellStart"/>
      <w:r>
        <w:t>Op</w:t>
      </w:r>
      <w:proofErr w:type="spellEnd"/>
      <w:r>
        <w:t>. Cit., pp. 64-65.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B41C" w14:textId="77777777" w:rsidR="00093283" w:rsidRDefault="008469EA">
    <w:pPr>
      <w:spacing w:after="5" w:line="259" w:lineRule="auto"/>
      <w:ind w:left="0" w:right="0" w:firstLine="0"/>
      <w:jc w:val="left"/>
    </w:pPr>
    <w:r>
      <w:rPr>
        <w:noProof/>
      </w:rPr>
      <w:drawing>
        <wp:anchor distT="0" distB="0" distL="114300" distR="114300" simplePos="0" relativeHeight="251658240" behindDoc="0" locked="0" layoutInCell="1" allowOverlap="0" wp14:anchorId="6C2D7F96" wp14:editId="28848C76">
          <wp:simplePos x="0" y="0"/>
          <wp:positionH relativeFrom="page">
            <wp:posOffset>4935220</wp:posOffset>
          </wp:positionH>
          <wp:positionV relativeFrom="page">
            <wp:posOffset>296285</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000D6529" wp14:editId="1CEE84A7">
              <wp:simplePos x="0" y="0"/>
              <wp:positionH relativeFrom="page">
                <wp:posOffset>1080135</wp:posOffset>
              </wp:positionH>
              <wp:positionV relativeFrom="page">
                <wp:posOffset>372745</wp:posOffset>
              </wp:positionV>
              <wp:extent cx="1399540" cy="485775"/>
              <wp:effectExtent l="0" t="0" r="0" b="0"/>
              <wp:wrapSquare wrapText="bothSides"/>
              <wp:docPr id="77998" name="Group 7799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7999" name="Picture 7799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8000" name="Picture 7800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7998" style="width:110.2pt;height:38.25pt;position:absolute;mso-position-horizontal-relative:page;mso-position-horizontal:absolute;margin-left:85.05pt;mso-position-vertical-relative:page;margin-top:29.35pt;" coordsize="13995,4857">
              <v:shape id="Picture 77999" style="position:absolute;width:13995;height:4857;left:0;top:0;" filled="f">
                <v:imagedata r:id="rId32"/>
              </v:shape>
              <v:shape id="Picture 78000" style="position:absolute;width:13995;height:4857;left:0;top:0;" filled="f">
                <v:imagedata r:id="rId32"/>
              </v:shape>
              <w10:wrap type="square"/>
            </v:group>
          </w:pict>
        </mc:Fallback>
      </mc:AlternateContent>
    </w:r>
    <w:r>
      <w:rPr>
        <w:color w:val="002060"/>
        <w:sz w:val="16"/>
      </w:rPr>
      <w:t>FORMATO PQRSD</w:t>
    </w:r>
  </w:p>
  <w:p w14:paraId="6FB887C3" w14:textId="77777777" w:rsidR="00093283" w:rsidRDefault="008469EA">
    <w:pPr>
      <w:spacing w:after="5" w:line="259" w:lineRule="auto"/>
      <w:ind w:left="0" w:right="0" w:firstLine="0"/>
      <w:jc w:val="left"/>
    </w:pPr>
    <w:r>
      <w:rPr>
        <w:b/>
        <w:sz w:val="16"/>
      </w:rPr>
      <w:t xml:space="preserve">Código: </w:t>
    </w:r>
    <w:r>
      <w:rPr>
        <w:sz w:val="16"/>
      </w:rPr>
      <w:t>CCE-REC-FM-17</w:t>
    </w:r>
  </w:p>
  <w:p w14:paraId="153D2BC5" w14:textId="77777777" w:rsidR="00093283" w:rsidRDefault="008469EA">
    <w:pPr>
      <w:spacing w:after="0" w:line="259" w:lineRule="auto"/>
      <w:ind w:left="0" w:right="0" w:firstLine="0"/>
      <w:jc w:val="left"/>
    </w:pPr>
    <w:r>
      <w:rPr>
        <w:b/>
        <w:sz w:val="16"/>
      </w:rPr>
      <w:t xml:space="preserve">Versión: </w:t>
    </w:r>
    <w:r>
      <w:rPr>
        <w:sz w:val="16"/>
      </w:rPr>
      <w:t>02 DEL 31 DE AGOSTO DE 2023</w:t>
    </w:r>
  </w:p>
  <w:p w14:paraId="66C4D5A4" w14:textId="77777777" w:rsidR="00093283" w:rsidRDefault="008469EA">
    <w:r>
      <w:rPr>
        <w:rFonts w:ascii="Calibri" w:eastAsia="Calibri" w:hAnsi="Calibri" w:cs="Calibri"/>
        <w:noProof/>
      </w:rPr>
      <mc:AlternateContent>
        <mc:Choice Requires="wpg">
          <w:drawing>
            <wp:anchor distT="0" distB="0" distL="114300" distR="114300" simplePos="0" relativeHeight="251660288" behindDoc="1" locked="0" layoutInCell="1" allowOverlap="1" wp14:anchorId="0563BB56" wp14:editId="5E1689FD">
              <wp:simplePos x="0" y="0"/>
              <wp:positionH relativeFrom="page">
                <wp:posOffset>0</wp:posOffset>
              </wp:positionH>
              <wp:positionV relativeFrom="page">
                <wp:posOffset>0</wp:posOffset>
              </wp:positionV>
              <wp:extent cx="7772400" cy="10058399"/>
              <wp:effectExtent l="0" t="0" r="0" b="0"/>
              <wp:wrapNone/>
              <wp:docPr id="78025" name="Group 7802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8026" name="Picture 78026"/>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8029" name="Picture 78029"/>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028" name="Picture 78028"/>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027" name="Picture 78027"/>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8025" style="width:612pt;height:792pt;position:absolute;z-index:-2147483648;mso-position-horizontal-relative:page;mso-position-horizontal:absolute;margin-left:9.53674e-07pt;mso-position-vertical-relative:page;margin-top:0pt;" coordsize="77724,100583">
              <v:shape id="Picture 78026" style="position:absolute;width:4389;height:23530;left:73334;top:0;" filled="f">
                <v:imagedata r:id="rId35"/>
              </v:shape>
              <v:shape id="Picture 78029" style="position:absolute;width:4785;height:30998;left:0;top:69555;" filled="f">
                <v:imagedata r:id="rId36"/>
              </v:shape>
              <v:shape id="Picture 78028" style="position:absolute;width:4785;height:30998;left:0;top:69555;" filled="f">
                <v:imagedata r:id="rId36"/>
              </v:shape>
              <v:shape id="Picture 78027" style="position:absolute;width:4389;height:23530;left:73334;top:0;" filled="f">
                <v:imagedata r:id="rId3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1002" w14:textId="77777777" w:rsidR="00093283" w:rsidRDefault="008469EA">
    <w:pPr>
      <w:spacing w:after="5" w:line="259" w:lineRule="auto"/>
      <w:ind w:left="0" w:right="0" w:firstLine="0"/>
      <w:jc w:val="left"/>
    </w:pPr>
    <w:r>
      <w:rPr>
        <w:noProof/>
      </w:rPr>
      <w:drawing>
        <wp:anchor distT="0" distB="0" distL="114300" distR="114300" simplePos="0" relativeHeight="251661312" behindDoc="0" locked="0" layoutInCell="1" allowOverlap="0" wp14:anchorId="21B88E25" wp14:editId="4031F61C">
          <wp:simplePos x="0" y="0"/>
          <wp:positionH relativeFrom="page">
            <wp:posOffset>4935220</wp:posOffset>
          </wp:positionH>
          <wp:positionV relativeFrom="page">
            <wp:posOffset>296285</wp:posOffset>
          </wp:positionV>
          <wp:extent cx="1757045" cy="628650"/>
          <wp:effectExtent l="0" t="0" r="0" b="0"/>
          <wp:wrapSquare wrapText="bothSides"/>
          <wp:docPr id="158075946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57BB73C0" wp14:editId="4D5475F3">
              <wp:simplePos x="0" y="0"/>
              <wp:positionH relativeFrom="page">
                <wp:posOffset>1080135</wp:posOffset>
              </wp:positionH>
              <wp:positionV relativeFrom="page">
                <wp:posOffset>372745</wp:posOffset>
              </wp:positionV>
              <wp:extent cx="1399540" cy="485775"/>
              <wp:effectExtent l="0" t="0" r="0" b="0"/>
              <wp:wrapSquare wrapText="bothSides"/>
              <wp:docPr id="77899" name="Group 77899"/>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7900" name="Picture 77900"/>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7901" name="Picture 77901"/>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7899" style="width:110.2pt;height:38.25pt;position:absolute;mso-position-horizontal-relative:page;mso-position-horizontal:absolute;margin-left:85.05pt;mso-position-vertical-relative:page;margin-top:29.35pt;" coordsize="13995,4857">
              <v:shape id="Picture 77900" style="position:absolute;width:13995;height:4857;left:0;top:0;" filled="f">
                <v:imagedata r:id="rId32"/>
              </v:shape>
              <v:shape id="Picture 77901" style="position:absolute;width:13995;height:4857;left:0;top:0;" filled="f">
                <v:imagedata r:id="rId32"/>
              </v:shape>
              <w10:wrap type="square"/>
            </v:group>
          </w:pict>
        </mc:Fallback>
      </mc:AlternateContent>
    </w:r>
    <w:r>
      <w:rPr>
        <w:color w:val="002060"/>
        <w:sz w:val="16"/>
      </w:rPr>
      <w:t>FORMATO PQRSD</w:t>
    </w:r>
  </w:p>
  <w:p w14:paraId="4C550553" w14:textId="77777777" w:rsidR="00093283" w:rsidRDefault="008469EA">
    <w:pPr>
      <w:spacing w:after="5" w:line="259" w:lineRule="auto"/>
      <w:ind w:left="0" w:right="0" w:firstLine="0"/>
      <w:jc w:val="left"/>
    </w:pPr>
    <w:r>
      <w:rPr>
        <w:b/>
        <w:sz w:val="16"/>
      </w:rPr>
      <w:t xml:space="preserve">Código: </w:t>
    </w:r>
    <w:r>
      <w:rPr>
        <w:sz w:val="16"/>
      </w:rPr>
      <w:t>CCE-REC-FM-17</w:t>
    </w:r>
  </w:p>
  <w:p w14:paraId="74BA30DE" w14:textId="77777777" w:rsidR="00093283" w:rsidRDefault="008469EA">
    <w:pPr>
      <w:spacing w:after="0" w:line="259" w:lineRule="auto"/>
      <w:ind w:left="0" w:right="0" w:firstLine="0"/>
      <w:jc w:val="left"/>
    </w:pPr>
    <w:r>
      <w:rPr>
        <w:b/>
        <w:sz w:val="16"/>
      </w:rPr>
      <w:t xml:space="preserve">Versión: </w:t>
    </w:r>
    <w:r>
      <w:rPr>
        <w:sz w:val="16"/>
      </w:rPr>
      <w:t xml:space="preserve">02 DEL 31 </w:t>
    </w:r>
    <w:r>
      <w:rPr>
        <w:sz w:val="16"/>
      </w:rPr>
      <w:t>DE AGOSTO DE 2023</w:t>
    </w:r>
  </w:p>
  <w:p w14:paraId="25F1AE2F" w14:textId="77777777" w:rsidR="00093283" w:rsidRDefault="008469EA">
    <w:r>
      <w:rPr>
        <w:rFonts w:ascii="Calibri" w:eastAsia="Calibri" w:hAnsi="Calibri" w:cs="Calibri"/>
        <w:noProof/>
      </w:rPr>
      <mc:AlternateContent>
        <mc:Choice Requires="wpg">
          <w:drawing>
            <wp:anchor distT="0" distB="0" distL="114300" distR="114300" simplePos="0" relativeHeight="251663360" behindDoc="1" locked="0" layoutInCell="1" allowOverlap="1" wp14:anchorId="3C3DC604" wp14:editId="28E26005">
              <wp:simplePos x="0" y="0"/>
              <wp:positionH relativeFrom="page">
                <wp:posOffset>0</wp:posOffset>
              </wp:positionH>
              <wp:positionV relativeFrom="page">
                <wp:posOffset>0</wp:posOffset>
              </wp:positionV>
              <wp:extent cx="7772400" cy="10058399"/>
              <wp:effectExtent l="0" t="0" r="0" b="0"/>
              <wp:wrapNone/>
              <wp:docPr id="77926" name="Group 77926"/>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7927" name="Picture 77927"/>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7930" name="Picture 77930"/>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7929" name="Picture 77929"/>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7928" name="Picture 77928"/>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7926" style="width:612pt;height:792pt;position:absolute;z-index:-2147483648;mso-position-horizontal-relative:page;mso-position-horizontal:absolute;margin-left:9.53674e-07pt;mso-position-vertical-relative:page;margin-top:0pt;" coordsize="77724,100583">
              <v:shape id="Picture 77927" style="position:absolute;width:4389;height:23530;left:73334;top:0;" filled="f">
                <v:imagedata r:id="rId35"/>
              </v:shape>
              <v:shape id="Picture 77930" style="position:absolute;width:4785;height:30998;left:0;top:69555;" filled="f">
                <v:imagedata r:id="rId36"/>
              </v:shape>
              <v:shape id="Picture 77929" style="position:absolute;width:4785;height:30998;left:0;top:69555;" filled="f">
                <v:imagedata r:id="rId36"/>
              </v:shape>
              <v:shape id="Picture 77928" style="position:absolute;width:4389;height:23530;left:73334;top:0;" filled="f">
                <v:imagedata r:id="rId3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8B20" w14:textId="77777777" w:rsidR="00093283" w:rsidRDefault="008469EA">
    <w:pPr>
      <w:spacing w:after="5" w:line="259" w:lineRule="auto"/>
      <w:ind w:left="0" w:right="0" w:firstLine="0"/>
      <w:jc w:val="left"/>
    </w:pPr>
    <w:r>
      <w:rPr>
        <w:noProof/>
      </w:rPr>
      <w:drawing>
        <wp:anchor distT="0" distB="0" distL="114300" distR="114300" simplePos="0" relativeHeight="251664384" behindDoc="0" locked="0" layoutInCell="1" allowOverlap="0" wp14:anchorId="5392AA2D" wp14:editId="3C9775C3">
          <wp:simplePos x="0" y="0"/>
          <wp:positionH relativeFrom="page">
            <wp:posOffset>4935220</wp:posOffset>
          </wp:positionH>
          <wp:positionV relativeFrom="page">
            <wp:posOffset>296285</wp:posOffset>
          </wp:positionV>
          <wp:extent cx="1757045" cy="628650"/>
          <wp:effectExtent l="0" t="0" r="0" b="0"/>
          <wp:wrapSquare wrapText="bothSides"/>
          <wp:docPr id="142092706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198D8585" wp14:editId="65480453">
              <wp:simplePos x="0" y="0"/>
              <wp:positionH relativeFrom="page">
                <wp:posOffset>1080135</wp:posOffset>
              </wp:positionH>
              <wp:positionV relativeFrom="page">
                <wp:posOffset>372745</wp:posOffset>
              </wp:positionV>
              <wp:extent cx="1399540" cy="485775"/>
              <wp:effectExtent l="0" t="0" r="0" b="0"/>
              <wp:wrapSquare wrapText="bothSides"/>
              <wp:docPr id="77800" name="Group 77800"/>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7801" name="Picture 77801"/>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7802" name="Picture 77802"/>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7800" style="width:110.2pt;height:38.25pt;position:absolute;mso-position-horizontal-relative:page;mso-position-horizontal:absolute;margin-left:85.05pt;mso-position-vertical-relative:page;margin-top:29.35pt;" coordsize="13995,4857">
              <v:shape id="Picture 77801" style="position:absolute;width:13995;height:4857;left:0;top:0;" filled="f">
                <v:imagedata r:id="rId32"/>
              </v:shape>
              <v:shape id="Picture 77802" style="position:absolute;width:13995;height:4857;left:0;top:0;" filled="f">
                <v:imagedata r:id="rId32"/>
              </v:shape>
              <w10:wrap type="square"/>
            </v:group>
          </w:pict>
        </mc:Fallback>
      </mc:AlternateContent>
    </w:r>
    <w:r>
      <w:rPr>
        <w:color w:val="002060"/>
        <w:sz w:val="16"/>
      </w:rPr>
      <w:t>FORMATO PQRSD</w:t>
    </w:r>
  </w:p>
  <w:p w14:paraId="56360EA9" w14:textId="77777777" w:rsidR="00093283" w:rsidRDefault="008469EA">
    <w:pPr>
      <w:spacing w:after="5" w:line="259" w:lineRule="auto"/>
      <w:ind w:left="0" w:right="0" w:firstLine="0"/>
      <w:jc w:val="left"/>
    </w:pPr>
    <w:r>
      <w:rPr>
        <w:b/>
        <w:sz w:val="16"/>
      </w:rPr>
      <w:t xml:space="preserve">Código: </w:t>
    </w:r>
    <w:r>
      <w:rPr>
        <w:sz w:val="16"/>
      </w:rPr>
      <w:t>CCE-REC-FM-17</w:t>
    </w:r>
  </w:p>
  <w:p w14:paraId="72DD4089" w14:textId="77777777" w:rsidR="00093283" w:rsidRDefault="008469EA">
    <w:pPr>
      <w:spacing w:after="0" w:line="259" w:lineRule="auto"/>
      <w:ind w:left="0" w:right="0" w:firstLine="0"/>
      <w:jc w:val="left"/>
    </w:pPr>
    <w:r>
      <w:rPr>
        <w:b/>
        <w:sz w:val="16"/>
      </w:rPr>
      <w:t xml:space="preserve">Versión: </w:t>
    </w:r>
    <w:r>
      <w:rPr>
        <w:sz w:val="16"/>
      </w:rPr>
      <w:t>02 DEL 31 DE AGOSTO DE 2023</w:t>
    </w:r>
  </w:p>
  <w:p w14:paraId="2D01AB20" w14:textId="77777777" w:rsidR="00093283" w:rsidRDefault="008469EA">
    <w:r>
      <w:rPr>
        <w:rFonts w:ascii="Calibri" w:eastAsia="Calibri" w:hAnsi="Calibri" w:cs="Calibri"/>
        <w:noProof/>
      </w:rPr>
      <mc:AlternateContent>
        <mc:Choice Requires="wpg">
          <w:drawing>
            <wp:anchor distT="0" distB="0" distL="114300" distR="114300" simplePos="0" relativeHeight="251666432" behindDoc="1" locked="0" layoutInCell="1" allowOverlap="1" wp14:anchorId="16DAC929" wp14:editId="6263D7AD">
              <wp:simplePos x="0" y="0"/>
              <wp:positionH relativeFrom="page">
                <wp:posOffset>0</wp:posOffset>
              </wp:positionH>
              <wp:positionV relativeFrom="page">
                <wp:posOffset>0</wp:posOffset>
              </wp:positionV>
              <wp:extent cx="7772400" cy="10058399"/>
              <wp:effectExtent l="0" t="0" r="0" b="0"/>
              <wp:wrapNone/>
              <wp:docPr id="77827" name="Group 77827"/>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7828" name="Picture 77828"/>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7831" name="Picture 77831"/>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7830" name="Picture 77830"/>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7829" name="Picture 77829"/>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7827" style="width:612pt;height:792pt;position:absolute;z-index:-2147483648;mso-position-horizontal-relative:page;mso-position-horizontal:absolute;margin-left:9.53674e-07pt;mso-position-vertical-relative:page;margin-top:0pt;" coordsize="77724,100583">
              <v:shape id="Picture 77828" style="position:absolute;width:4389;height:23530;left:73334;top:0;" filled="f">
                <v:imagedata r:id="rId35"/>
              </v:shape>
              <v:shape id="Picture 77831" style="position:absolute;width:4785;height:30998;left:0;top:69555;" filled="f">
                <v:imagedata r:id="rId36"/>
              </v:shape>
              <v:shape id="Picture 77830" style="position:absolute;width:4785;height:30998;left:0;top:69555;" filled="f">
                <v:imagedata r:id="rId36"/>
              </v:shape>
              <v:shape id="Picture 77829" style="position:absolute;width:4389;height:23530;left:73334;top:0;" filled="f">
                <v:imagedata r:id="rId35"/>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93F" w14:textId="77777777" w:rsidR="00093283" w:rsidRDefault="008469EA">
    <w:pPr>
      <w:spacing w:after="5" w:line="259" w:lineRule="auto"/>
      <w:ind w:left="0" w:right="0" w:firstLine="0"/>
      <w:jc w:val="left"/>
    </w:pPr>
    <w:r>
      <w:rPr>
        <w:noProof/>
      </w:rPr>
      <w:drawing>
        <wp:anchor distT="0" distB="0" distL="114300" distR="114300" simplePos="0" relativeHeight="251670528" behindDoc="0" locked="0" layoutInCell="1" allowOverlap="0" wp14:anchorId="35B7F70C" wp14:editId="6D8D5236">
          <wp:simplePos x="0" y="0"/>
          <wp:positionH relativeFrom="page">
            <wp:posOffset>4935220</wp:posOffset>
          </wp:positionH>
          <wp:positionV relativeFrom="page">
            <wp:posOffset>296285</wp:posOffset>
          </wp:positionV>
          <wp:extent cx="1757045" cy="628650"/>
          <wp:effectExtent l="0" t="0" r="0" b="0"/>
          <wp:wrapSquare wrapText="bothSides"/>
          <wp:docPr id="13117" name="Picture 13117"/>
          <wp:cNvGraphicFramePr/>
          <a:graphic xmlns:a="http://schemas.openxmlformats.org/drawingml/2006/main">
            <a:graphicData uri="http://schemas.openxmlformats.org/drawingml/2006/picture">
              <pic:pic xmlns:pic="http://schemas.openxmlformats.org/drawingml/2006/picture">
                <pic:nvPicPr>
                  <pic:cNvPr id="13117" name="Picture 13117"/>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6197CD10" wp14:editId="17A2CAF0">
              <wp:simplePos x="0" y="0"/>
              <wp:positionH relativeFrom="page">
                <wp:posOffset>1080135</wp:posOffset>
              </wp:positionH>
              <wp:positionV relativeFrom="page">
                <wp:posOffset>372745</wp:posOffset>
              </wp:positionV>
              <wp:extent cx="1399540" cy="485775"/>
              <wp:effectExtent l="0" t="0" r="0" b="0"/>
              <wp:wrapSquare wrapText="bothSides"/>
              <wp:docPr id="78306" name="Group 7830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8307" name="Picture 7830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8308" name="Picture 7830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8306" style="width:110.2pt;height:38.25pt;position:absolute;mso-position-horizontal-relative:page;mso-position-horizontal:absolute;margin-left:85.05pt;mso-position-vertical-relative:page;margin-top:29.35pt;" coordsize="13995,4857">
              <v:shape id="Picture 78307" style="position:absolute;width:13995;height:4857;left:0;top:0;" filled="f">
                <v:imagedata r:id="rId32"/>
              </v:shape>
              <v:shape id="Picture 78308" style="position:absolute;width:13995;height:4857;left:0;top:0;" filled="f">
                <v:imagedata r:id="rId32"/>
              </v:shape>
              <w10:wrap type="square"/>
            </v:group>
          </w:pict>
        </mc:Fallback>
      </mc:AlternateContent>
    </w:r>
    <w:r>
      <w:rPr>
        <w:color w:val="002060"/>
        <w:sz w:val="16"/>
      </w:rPr>
      <w:t>FORMATO PQRSD</w:t>
    </w:r>
  </w:p>
  <w:p w14:paraId="14E8CEC0" w14:textId="77777777" w:rsidR="00093283" w:rsidRDefault="008469EA">
    <w:pPr>
      <w:spacing w:after="5" w:line="259" w:lineRule="auto"/>
      <w:ind w:left="0" w:right="0" w:firstLine="0"/>
      <w:jc w:val="left"/>
    </w:pPr>
    <w:r>
      <w:rPr>
        <w:b/>
        <w:sz w:val="16"/>
      </w:rPr>
      <w:t xml:space="preserve">Código: </w:t>
    </w:r>
    <w:r>
      <w:rPr>
        <w:sz w:val="16"/>
      </w:rPr>
      <w:t>CCE-REC-FM-17</w:t>
    </w:r>
  </w:p>
  <w:p w14:paraId="42504EC7" w14:textId="77777777" w:rsidR="00093283" w:rsidRDefault="008469EA">
    <w:pPr>
      <w:spacing w:after="208" w:line="259" w:lineRule="auto"/>
      <w:ind w:left="0" w:right="0" w:firstLine="0"/>
      <w:jc w:val="left"/>
    </w:pPr>
    <w:r>
      <w:rPr>
        <w:b/>
        <w:sz w:val="16"/>
      </w:rPr>
      <w:t xml:space="preserve">Versión: </w:t>
    </w:r>
    <w:r>
      <w:rPr>
        <w:sz w:val="16"/>
      </w:rPr>
      <w:t>02 DEL 31 DE AGOSTO DE 2023</w:t>
    </w:r>
  </w:p>
  <w:p w14:paraId="1DEAF685" w14:textId="77777777" w:rsidR="00093283" w:rsidRDefault="008469EA">
    <w:pPr>
      <w:spacing w:after="0" w:line="259" w:lineRule="auto"/>
      <w:ind w:left="4878" w:right="-61" w:firstLine="0"/>
      <w:jc w:val="left"/>
    </w:pPr>
    <w:r>
      <w:t xml:space="preserve"> </w:t>
    </w:r>
    <w:r>
      <w:tab/>
      <w:t xml:space="preserve"> </w:t>
    </w:r>
    <w:r>
      <w:tab/>
      <w:t xml:space="preserve"> </w:t>
    </w:r>
  </w:p>
  <w:p w14:paraId="5A001811" w14:textId="77777777" w:rsidR="00093283" w:rsidRDefault="008469EA">
    <w:r>
      <w:rPr>
        <w:rFonts w:ascii="Calibri" w:eastAsia="Calibri" w:hAnsi="Calibri" w:cs="Calibri"/>
        <w:noProof/>
      </w:rPr>
      <mc:AlternateContent>
        <mc:Choice Requires="wpg">
          <w:drawing>
            <wp:anchor distT="0" distB="0" distL="114300" distR="114300" simplePos="0" relativeHeight="251672576" behindDoc="1" locked="0" layoutInCell="1" allowOverlap="1" wp14:anchorId="5B5010C8" wp14:editId="29A0C052">
              <wp:simplePos x="0" y="0"/>
              <wp:positionH relativeFrom="page">
                <wp:posOffset>0</wp:posOffset>
              </wp:positionH>
              <wp:positionV relativeFrom="page">
                <wp:posOffset>0</wp:posOffset>
              </wp:positionV>
              <wp:extent cx="7772400" cy="10058399"/>
              <wp:effectExtent l="0" t="0" r="0" b="0"/>
              <wp:wrapNone/>
              <wp:docPr id="78340" name="Group 7834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8341" name="Picture 78341"/>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8344" name="Picture 78344"/>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343" name="Picture 78343"/>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342" name="Picture 78342"/>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8340" style="width:612pt;height:792pt;position:absolute;z-index:-2147483648;mso-position-horizontal-relative:page;mso-position-horizontal:absolute;margin-left:9.53674e-07pt;mso-position-vertical-relative:page;margin-top:0pt;" coordsize="77724,100583">
              <v:shape id="Picture 78341" style="position:absolute;width:4389;height:23530;left:73334;top:0;" filled="f">
                <v:imagedata r:id="rId35"/>
              </v:shape>
              <v:shape id="Picture 78344" style="position:absolute;width:4785;height:30998;left:0;top:69555;" filled="f">
                <v:imagedata r:id="rId36"/>
              </v:shape>
              <v:shape id="Picture 78343" style="position:absolute;width:4785;height:30998;left:0;top:69555;" filled="f">
                <v:imagedata r:id="rId36"/>
              </v:shape>
              <v:shape id="Picture 78342" style="position:absolute;width:4389;height:23530;left:73334;top:0;" filled="f">
                <v:imagedata r:id="rId35"/>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6D5" w14:textId="77777777" w:rsidR="00093283" w:rsidRDefault="008469EA">
    <w:pPr>
      <w:spacing w:after="5" w:line="259" w:lineRule="auto"/>
      <w:ind w:left="0" w:right="0" w:firstLine="0"/>
      <w:jc w:val="left"/>
    </w:pPr>
    <w:r>
      <w:rPr>
        <w:noProof/>
      </w:rPr>
      <w:drawing>
        <wp:anchor distT="0" distB="0" distL="114300" distR="114300" simplePos="0" relativeHeight="251673600" behindDoc="0" locked="0" layoutInCell="1" allowOverlap="0" wp14:anchorId="16FEC057" wp14:editId="46258613">
          <wp:simplePos x="0" y="0"/>
          <wp:positionH relativeFrom="page">
            <wp:posOffset>4935220</wp:posOffset>
          </wp:positionH>
          <wp:positionV relativeFrom="page">
            <wp:posOffset>296285</wp:posOffset>
          </wp:positionV>
          <wp:extent cx="1757045" cy="628650"/>
          <wp:effectExtent l="0" t="0" r="0" b="0"/>
          <wp:wrapSquare wrapText="bothSides"/>
          <wp:docPr id="11794" name="Picture 11794"/>
          <wp:cNvGraphicFramePr/>
          <a:graphic xmlns:a="http://schemas.openxmlformats.org/drawingml/2006/main">
            <a:graphicData uri="http://schemas.openxmlformats.org/drawingml/2006/picture">
              <pic:pic xmlns:pic="http://schemas.openxmlformats.org/drawingml/2006/picture">
                <pic:nvPicPr>
                  <pic:cNvPr id="11794" name="Picture 11794"/>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289550C9" wp14:editId="0348E63F">
              <wp:simplePos x="0" y="0"/>
              <wp:positionH relativeFrom="page">
                <wp:posOffset>1080135</wp:posOffset>
              </wp:positionH>
              <wp:positionV relativeFrom="page">
                <wp:posOffset>372745</wp:posOffset>
              </wp:positionV>
              <wp:extent cx="1399540" cy="485775"/>
              <wp:effectExtent l="0" t="0" r="0" b="0"/>
              <wp:wrapSquare wrapText="bothSides"/>
              <wp:docPr id="78202" name="Group 78202"/>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8203" name="Picture 78203"/>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8204" name="Picture 78204"/>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8202" style="width:110.2pt;height:38.25pt;position:absolute;mso-position-horizontal-relative:page;mso-position-horizontal:absolute;margin-left:85.05pt;mso-position-vertical-relative:page;margin-top:29.35pt;" coordsize="13995,4857">
              <v:shape id="Picture 78203" style="position:absolute;width:13995;height:4857;left:0;top:0;" filled="f">
                <v:imagedata r:id="rId32"/>
              </v:shape>
              <v:shape id="Picture 78204" style="position:absolute;width:13995;height:4857;left:0;top:0;" filled="f">
                <v:imagedata r:id="rId32"/>
              </v:shape>
              <w10:wrap type="square"/>
            </v:group>
          </w:pict>
        </mc:Fallback>
      </mc:AlternateContent>
    </w:r>
    <w:r>
      <w:rPr>
        <w:color w:val="002060"/>
        <w:sz w:val="16"/>
      </w:rPr>
      <w:t>FORMATO PQRSD</w:t>
    </w:r>
  </w:p>
  <w:p w14:paraId="1CEA5444" w14:textId="77777777" w:rsidR="00093283" w:rsidRDefault="008469EA">
    <w:pPr>
      <w:spacing w:after="5" w:line="259" w:lineRule="auto"/>
      <w:ind w:left="0" w:right="0" w:firstLine="0"/>
      <w:jc w:val="left"/>
    </w:pPr>
    <w:r>
      <w:rPr>
        <w:b/>
        <w:sz w:val="16"/>
      </w:rPr>
      <w:t xml:space="preserve">Código: </w:t>
    </w:r>
    <w:r>
      <w:rPr>
        <w:sz w:val="16"/>
      </w:rPr>
      <w:t>CCE-REC-FM-17</w:t>
    </w:r>
  </w:p>
  <w:p w14:paraId="64AF63FB" w14:textId="77777777" w:rsidR="00093283" w:rsidRDefault="008469EA">
    <w:pPr>
      <w:spacing w:after="208" w:line="259" w:lineRule="auto"/>
      <w:ind w:left="0" w:right="0" w:firstLine="0"/>
      <w:jc w:val="left"/>
    </w:pPr>
    <w:r>
      <w:rPr>
        <w:b/>
        <w:sz w:val="16"/>
      </w:rPr>
      <w:t xml:space="preserve">Versión: </w:t>
    </w:r>
    <w:r>
      <w:rPr>
        <w:sz w:val="16"/>
      </w:rPr>
      <w:t>02 DEL 31 DE AGOSTO DE 2023</w:t>
    </w:r>
  </w:p>
  <w:p w14:paraId="379B85A0" w14:textId="77777777" w:rsidR="00093283" w:rsidRDefault="008469EA">
    <w:pPr>
      <w:spacing w:after="0" w:line="259" w:lineRule="auto"/>
      <w:ind w:left="0" w:right="-61" w:firstLine="0"/>
      <w:jc w:val="right"/>
    </w:pPr>
    <w:r>
      <w:t xml:space="preserve"> </w:t>
    </w:r>
    <w:r>
      <w:tab/>
      <w:t xml:space="preserve"> </w:t>
    </w:r>
  </w:p>
  <w:p w14:paraId="6462251D" w14:textId="77777777" w:rsidR="00093283" w:rsidRDefault="008469EA">
    <w:r>
      <w:rPr>
        <w:rFonts w:ascii="Calibri" w:eastAsia="Calibri" w:hAnsi="Calibri" w:cs="Calibri"/>
        <w:noProof/>
      </w:rPr>
      <mc:AlternateContent>
        <mc:Choice Requires="wpg">
          <w:drawing>
            <wp:anchor distT="0" distB="0" distL="114300" distR="114300" simplePos="0" relativeHeight="251675648" behindDoc="1" locked="0" layoutInCell="1" allowOverlap="1" wp14:anchorId="1EB5AD58" wp14:editId="3AC7D420">
              <wp:simplePos x="0" y="0"/>
              <wp:positionH relativeFrom="page">
                <wp:posOffset>0</wp:posOffset>
              </wp:positionH>
              <wp:positionV relativeFrom="page">
                <wp:posOffset>0</wp:posOffset>
              </wp:positionV>
              <wp:extent cx="7772400" cy="10058399"/>
              <wp:effectExtent l="0" t="0" r="0" b="0"/>
              <wp:wrapNone/>
              <wp:docPr id="78234" name="Group 7823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8235" name="Picture 78235"/>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8238" name="Picture 78238"/>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237" name="Picture 78237"/>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236" name="Picture 78236"/>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8234" style="width:612pt;height:792pt;position:absolute;z-index:-2147483648;mso-position-horizontal-relative:page;mso-position-horizontal:absolute;margin-left:9.53674e-07pt;mso-position-vertical-relative:page;margin-top:0pt;" coordsize="77724,100583">
              <v:shape id="Picture 78235" style="position:absolute;width:4389;height:23530;left:73334;top:0;" filled="f">
                <v:imagedata r:id="rId35"/>
              </v:shape>
              <v:shape id="Picture 78238" style="position:absolute;width:4785;height:30998;left:0;top:69555;" filled="f">
                <v:imagedata r:id="rId36"/>
              </v:shape>
              <v:shape id="Picture 78237" style="position:absolute;width:4785;height:30998;left:0;top:69555;" filled="f">
                <v:imagedata r:id="rId36"/>
              </v:shape>
              <v:shape id="Picture 78236" style="position:absolute;width:4389;height:23530;left:73334;top:0;" filled="f">
                <v:imagedata r:id="rId35"/>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C8AC" w14:textId="77777777" w:rsidR="00093283" w:rsidRDefault="008469EA">
    <w:pPr>
      <w:spacing w:after="5" w:line="259" w:lineRule="auto"/>
      <w:ind w:left="0" w:right="0" w:firstLine="0"/>
      <w:jc w:val="left"/>
    </w:pPr>
    <w:r>
      <w:rPr>
        <w:noProof/>
      </w:rPr>
      <w:drawing>
        <wp:anchor distT="0" distB="0" distL="114300" distR="114300" simplePos="0" relativeHeight="251676672" behindDoc="0" locked="0" layoutInCell="1" allowOverlap="0" wp14:anchorId="4F41FF43" wp14:editId="31EA9378">
          <wp:simplePos x="0" y="0"/>
          <wp:positionH relativeFrom="page">
            <wp:posOffset>4935220</wp:posOffset>
          </wp:positionH>
          <wp:positionV relativeFrom="page">
            <wp:posOffset>296285</wp:posOffset>
          </wp:positionV>
          <wp:extent cx="1757045" cy="628650"/>
          <wp:effectExtent l="0" t="0" r="0" b="0"/>
          <wp:wrapSquare wrapText="bothSides"/>
          <wp:docPr id="10525" name="Picture 10525"/>
          <wp:cNvGraphicFramePr/>
          <a:graphic xmlns:a="http://schemas.openxmlformats.org/drawingml/2006/main">
            <a:graphicData uri="http://schemas.openxmlformats.org/drawingml/2006/picture">
              <pic:pic xmlns:pic="http://schemas.openxmlformats.org/drawingml/2006/picture">
                <pic:nvPicPr>
                  <pic:cNvPr id="10525" name="Picture 10525"/>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0F282C2D" wp14:editId="13337C10">
              <wp:simplePos x="0" y="0"/>
              <wp:positionH relativeFrom="page">
                <wp:posOffset>1080135</wp:posOffset>
              </wp:positionH>
              <wp:positionV relativeFrom="page">
                <wp:posOffset>372745</wp:posOffset>
              </wp:positionV>
              <wp:extent cx="1399540" cy="485775"/>
              <wp:effectExtent l="0" t="0" r="0" b="0"/>
              <wp:wrapSquare wrapText="bothSides"/>
              <wp:docPr id="78098" name="Group 7809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8099" name="Picture 7809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8100" name="Picture 7810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8098" style="width:110.2pt;height:38.25pt;position:absolute;mso-position-horizontal-relative:page;mso-position-horizontal:absolute;margin-left:85.05pt;mso-position-vertical-relative:page;margin-top:29.35pt;" coordsize="13995,4857">
              <v:shape id="Picture 78099" style="position:absolute;width:13995;height:4857;left:0;top:0;" filled="f">
                <v:imagedata r:id="rId32"/>
              </v:shape>
              <v:shape id="Picture 78100" style="position:absolute;width:13995;height:4857;left:0;top:0;" filled="f">
                <v:imagedata r:id="rId32"/>
              </v:shape>
              <w10:wrap type="square"/>
            </v:group>
          </w:pict>
        </mc:Fallback>
      </mc:AlternateContent>
    </w:r>
    <w:r>
      <w:rPr>
        <w:color w:val="002060"/>
        <w:sz w:val="16"/>
      </w:rPr>
      <w:t>FORMATO PQRSD</w:t>
    </w:r>
  </w:p>
  <w:p w14:paraId="599E4DA4" w14:textId="77777777" w:rsidR="00093283" w:rsidRDefault="008469EA">
    <w:pPr>
      <w:spacing w:after="5" w:line="259" w:lineRule="auto"/>
      <w:ind w:left="0" w:right="0" w:firstLine="0"/>
      <w:jc w:val="left"/>
    </w:pPr>
    <w:r>
      <w:rPr>
        <w:b/>
        <w:sz w:val="16"/>
      </w:rPr>
      <w:t xml:space="preserve">Código: </w:t>
    </w:r>
    <w:r>
      <w:rPr>
        <w:sz w:val="16"/>
      </w:rPr>
      <w:t>CCE-REC-FM-17</w:t>
    </w:r>
  </w:p>
  <w:p w14:paraId="291580A5" w14:textId="77777777" w:rsidR="00093283" w:rsidRDefault="008469EA">
    <w:pPr>
      <w:spacing w:after="208" w:line="259" w:lineRule="auto"/>
      <w:ind w:left="0" w:right="0" w:firstLine="0"/>
      <w:jc w:val="left"/>
    </w:pPr>
    <w:r>
      <w:rPr>
        <w:b/>
        <w:sz w:val="16"/>
      </w:rPr>
      <w:t xml:space="preserve">Versión: </w:t>
    </w:r>
    <w:r>
      <w:rPr>
        <w:sz w:val="16"/>
      </w:rPr>
      <w:t>02 DEL 31 DE AGOSTO DE 2023</w:t>
    </w:r>
  </w:p>
  <w:p w14:paraId="38F4FB48" w14:textId="77777777" w:rsidR="00093283" w:rsidRDefault="008469EA">
    <w:pPr>
      <w:spacing w:after="0" w:line="259" w:lineRule="auto"/>
      <w:ind w:left="6259" w:right="-61" w:firstLine="0"/>
      <w:jc w:val="left"/>
    </w:pPr>
    <w:r>
      <w:t xml:space="preserve"> </w:t>
    </w:r>
    <w:r>
      <w:tab/>
      <w:t xml:space="preserve"> </w:t>
    </w:r>
  </w:p>
  <w:p w14:paraId="2958BB9F" w14:textId="77777777" w:rsidR="00093283" w:rsidRDefault="008469EA">
    <w:r>
      <w:rPr>
        <w:rFonts w:ascii="Calibri" w:eastAsia="Calibri" w:hAnsi="Calibri" w:cs="Calibri"/>
        <w:noProof/>
      </w:rPr>
      <mc:AlternateContent>
        <mc:Choice Requires="wpg">
          <w:drawing>
            <wp:anchor distT="0" distB="0" distL="114300" distR="114300" simplePos="0" relativeHeight="251678720" behindDoc="1" locked="0" layoutInCell="1" allowOverlap="1" wp14:anchorId="392B30C1" wp14:editId="48FA25C4">
              <wp:simplePos x="0" y="0"/>
              <wp:positionH relativeFrom="page">
                <wp:posOffset>0</wp:posOffset>
              </wp:positionH>
              <wp:positionV relativeFrom="page">
                <wp:posOffset>0</wp:posOffset>
              </wp:positionV>
              <wp:extent cx="7772400" cy="10058399"/>
              <wp:effectExtent l="0" t="0" r="0" b="0"/>
              <wp:wrapNone/>
              <wp:docPr id="78130" name="Group 7813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8131" name="Picture 78131"/>
                        <pic:cNvPicPr/>
                      </pic:nvPicPr>
                      <pic:blipFill>
                        <a:blip r:embed="rId33"/>
                        <a:stretch>
                          <a:fillRect/>
                        </a:stretch>
                      </pic:blipFill>
                      <pic:spPr>
                        <a:xfrm>
                          <a:off x="7333488" y="0"/>
                          <a:ext cx="438912" cy="2353056"/>
                        </a:xfrm>
                        <a:prstGeom prst="rect">
                          <a:avLst/>
                        </a:prstGeom>
                      </pic:spPr>
                    </pic:pic>
                    <pic:pic xmlns:pic="http://schemas.openxmlformats.org/drawingml/2006/picture">
                      <pic:nvPicPr>
                        <pic:cNvPr id="78134" name="Picture 78134"/>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133" name="Picture 78133"/>
                        <pic:cNvPicPr/>
                      </pic:nvPicPr>
                      <pic:blipFill>
                        <a:blip r:embed="rId34"/>
                        <a:stretch>
                          <a:fillRect/>
                        </a:stretch>
                      </pic:blipFill>
                      <pic:spPr>
                        <a:xfrm>
                          <a:off x="0" y="6955536"/>
                          <a:ext cx="478536" cy="3099816"/>
                        </a:xfrm>
                        <a:prstGeom prst="rect">
                          <a:avLst/>
                        </a:prstGeom>
                      </pic:spPr>
                    </pic:pic>
                    <pic:pic xmlns:pic="http://schemas.openxmlformats.org/drawingml/2006/picture">
                      <pic:nvPicPr>
                        <pic:cNvPr id="78132" name="Picture 78132"/>
                        <pic:cNvPicPr/>
                      </pic:nvPicPr>
                      <pic:blipFill>
                        <a:blip r:embed="rId33"/>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8130" style="width:612pt;height:792pt;position:absolute;z-index:-2147483648;mso-position-horizontal-relative:page;mso-position-horizontal:absolute;margin-left:9.53674e-07pt;mso-position-vertical-relative:page;margin-top:0pt;" coordsize="77724,100583">
              <v:shape id="Picture 78131" style="position:absolute;width:4389;height:23530;left:73334;top:0;" filled="f">
                <v:imagedata r:id="rId35"/>
              </v:shape>
              <v:shape id="Picture 78134" style="position:absolute;width:4785;height:30998;left:0;top:69555;" filled="f">
                <v:imagedata r:id="rId36"/>
              </v:shape>
              <v:shape id="Picture 78133" style="position:absolute;width:4785;height:30998;left:0;top:69555;" filled="f">
                <v:imagedata r:id="rId36"/>
              </v:shape>
              <v:shape id="Picture 78132" style="position:absolute;width:4389;height:23530;left:73334;top:0;" filled="f">
                <v:imagedata r:id="rId3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7B75"/>
    <w:multiLevelType w:val="multilevel"/>
    <w:tmpl w:val="25686EE8"/>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DE4C53"/>
    <w:multiLevelType w:val="hybridMultilevel"/>
    <w:tmpl w:val="898AF284"/>
    <w:lvl w:ilvl="0" w:tplc="4A4E1A42">
      <w:start w:val="16"/>
      <w:numFmt w:val="decimal"/>
      <w:lvlText w:val="%1"/>
      <w:lvlJc w:val="left"/>
      <w:pPr>
        <w:ind w:left="171"/>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C7F8F182">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988A85C4">
      <w:start w:val="1"/>
      <w:numFmt w:val="lowerRoman"/>
      <w:lvlText w:val="%3"/>
      <w:lvlJc w:val="left"/>
      <w:pPr>
        <w:ind w:left="250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10305836">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8DFA3C38">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A5089C08">
      <w:start w:val="1"/>
      <w:numFmt w:val="lowerRoman"/>
      <w:lvlText w:val="%6"/>
      <w:lvlJc w:val="left"/>
      <w:pPr>
        <w:ind w:left="466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52B2D9EC">
      <w:start w:val="1"/>
      <w:numFmt w:val="decimal"/>
      <w:lvlText w:val="%7"/>
      <w:lvlJc w:val="left"/>
      <w:pPr>
        <w:ind w:left="538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DCE6F978">
      <w:start w:val="1"/>
      <w:numFmt w:val="lowerLetter"/>
      <w:lvlText w:val="%8"/>
      <w:lvlJc w:val="left"/>
      <w:pPr>
        <w:ind w:left="610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027E1A1A">
      <w:start w:val="1"/>
      <w:numFmt w:val="lowerRoman"/>
      <w:lvlText w:val="%9"/>
      <w:lvlJc w:val="left"/>
      <w:pPr>
        <w:ind w:left="682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num w:numId="1" w16cid:durableId="1980574462">
    <w:abstractNumId w:val="1"/>
  </w:num>
  <w:num w:numId="2" w16cid:durableId="151410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83"/>
    <w:rsid w:val="00093283"/>
    <w:rsid w:val="008469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85FB"/>
  <w15:docId w15:val="{A847AE28-8435-4F34-A04E-7F48F4A2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left="10" w:right="61"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2"/>
      </w:numPr>
      <w:spacing w:after="132" w:line="268" w:lineRule="auto"/>
      <w:ind w:left="10" w:right="61" w:hanging="10"/>
      <w:jc w:val="both"/>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2"/>
      </w:numPr>
      <w:spacing w:after="132" w:line="268" w:lineRule="auto"/>
      <w:ind w:left="10" w:right="61" w:hanging="10"/>
      <w:jc w:val="both"/>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9" w:lineRule="auto"/>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revistas.usergioarboleda.edu.co/index.php/Cuadernos/article/download/1008/844/3102"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_rels/header2.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_rels/header3.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_rels/header4.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_rels/header5.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_rels/header6.xml.rels><?xml version="1.0" encoding="UTF-8" standalone="yes"?>
<Relationships xmlns="http://schemas.openxmlformats.org/package/2006/relationships"><Relationship Id="rId34" Type="http://schemas.openxmlformats.org/officeDocument/2006/relationships/image" Target="media/image5.png"/><Relationship Id="rId3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32" Type="http://schemas.openxmlformats.org/officeDocument/2006/relationships/image" Target="media/image20.png"/><Relationship Id="rId36" Type="http://schemas.openxmlformats.org/officeDocument/2006/relationships/image" Target="media/image7.png"/><Relationship Id="rId35"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7757</Words>
  <Characters>42665</Characters>
  <Application>Microsoft Office Word</Application>
  <DocSecurity>0</DocSecurity>
  <Lines>355</Lines>
  <Paragraphs>100</Paragraphs>
  <ScaleCrop>false</ScaleCrop>
  <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cp:revision>
  <dcterms:created xsi:type="dcterms:W3CDTF">2024-03-15T19:44:00Z</dcterms:created>
  <dcterms:modified xsi:type="dcterms:W3CDTF">2024-03-15T19:44:00Z</dcterms:modified>
</cp:coreProperties>
</file>