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DAD81" w14:textId="77777777" w:rsidR="005B4D3E" w:rsidRPr="00851774" w:rsidRDefault="005B4D3E" w:rsidP="005B4D3E">
      <w:pPr>
        <w:spacing w:after="0" w:line="240" w:lineRule="auto"/>
        <w:ind w:right="102"/>
        <w:jc w:val="both"/>
        <w:rPr>
          <w:rFonts w:ascii="Century Gothic" w:eastAsiaTheme="minorEastAsia" w:hAnsi="Century Gothic" w:cs="Arial"/>
          <w:b/>
          <w:lang w:val="es-ES_tradnl" w:eastAsia="es-CO"/>
        </w:rPr>
      </w:pPr>
      <w:bookmarkStart w:id="0" w:name="_Hlk94281581"/>
      <w:bookmarkStart w:id="1" w:name="_Hlk102489058"/>
      <w:bookmarkStart w:id="2" w:name="_Hlk34951122"/>
      <w:r w:rsidRPr="00851774">
        <w:rPr>
          <w:rFonts w:ascii="Century Gothic" w:eastAsiaTheme="minorEastAsia" w:hAnsi="Century Gothic" w:cs="Arial"/>
          <w:b/>
          <w:lang w:val="es-ES_tradnl" w:eastAsia="es-CO"/>
        </w:rPr>
        <w:t xml:space="preserve">DECRETO 092 DE 2017 – Finalidad – Clases de contratos </w:t>
      </w:r>
    </w:p>
    <w:p w14:paraId="3475F353" w14:textId="77777777" w:rsidR="005B4D3E" w:rsidRPr="00851774" w:rsidRDefault="005B4D3E" w:rsidP="005B4D3E">
      <w:pPr>
        <w:spacing w:after="0" w:line="240" w:lineRule="auto"/>
        <w:ind w:right="102"/>
        <w:jc w:val="both"/>
        <w:rPr>
          <w:rFonts w:ascii="Century Gothic" w:eastAsiaTheme="minorEastAsia" w:hAnsi="Century Gothic" w:cs="Arial"/>
          <w:sz w:val="20"/>
          <w:szCs w:val="20"/>
          <w:lang w:val="es-ES_tradnl" w:eastAsia="es-CO"/>
        </w:rPr>
      </w:pPr>
    </w:p>
    <w:p w14:paraId="2C04793E" w14:textId="77777777" w:rsidR="005B4D3E" w:rsidRPr="00851774" w:rsidRDefault="005B4D3E" w:rsidP="005B4D3E">
      <w:pPr>
        <w:spacing w:after="0" w:line="240" w:lineRule="auto"/>
        <w:jc w:val="both"/>
        <w:rPr>
          <w:rFonts w:ascii="Century Gothic" w:eastAsia="Arial" w:hAnsi="Century Gothic" w:cs="Arial"/>
          <w:sz w:val="20"/>
          <w:szCs w:val="20"/>
          <w:lang w:val="es-ES_tradnl"/>
        </w:rPr>
      </w:pPr>
      <w:r w:rsidRPr="00851774">
        <w:rPr>
          <w:rFonts w:ascii="Century Gothic" w:eastAsia="Arial" w:hAnsi="Century Gothic" w:cs="Arial"/>
          <w:sz w:val="20"/>
          <w:szCs w:val="20"/>
          <w:lang w:val="es-ES_tradnl"/>
        </w:rPr>
        <w:t xml:space="preserve">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w:t>
      </w:r>
      <w:proofErr w:type="spellStart"/>
      <w:r w:rsidRPr="00851774">
        <w:rPr>
          <w:rFonts w:ascii="Century Gothic" w:eastAsia="Arial" w:hAnsi="Century Gothic" w:cs="Arial"/>
          <w:sz w:val="20"/>
          <w:szCs w:val="20"/>
          <w:lang w:val="es-ES_tradnl"/>
        </w:rPr>
        <w:t>ii</w:t>
      </w:r>
      <w:proofErr w:type="spellEnd"/>
      <w:r w:rsidRPr="00851774">
        <w:rPr>
          <w:rFonts w:ascii="Century Gothic" w:eastAsia="Arial" w:hAnsi="Century Gothic" w:cs="Arial"/>
          <w:sz w:val="20"/>
          <w:szCs w:val="20"/>
          <w:lang w:val="es-ES_tradnl"/>
        </w:rPr>
        <w:t>) los convenios de asociación, para el desarrollo conjunto de actividades relacionadas con las funciones de las entidades estatales, en desarrollo del artículo 96 de la Ley 489 de 1998.</w:t>
      </w:r>
    </w:p>
    <w:p w14:paraId="42ABFAF1" w14:textId="77777777" w:rsidR="005B4D3E" w:rsidRPr="00851774" w:rsidRDefault="005B4D3E" w:rsidP="005B4D3E">
      <w:pPr>
        <w:spacing w:after="0"/>
        <w:rPr>
          <w:rFonts w:ascii="Century Gothic" w:hAnsi="Century Gothic" w:cs="Arial"/>
          <w:shd w:val="clear" w:color="auto" w:fill="FFFFFF"/>
        </w:rPr>
      </w:pPr>
    </w:p>
    <w:p w14:paraId="5AC6CAF6" w14:textId="77777777" w:rsidR="005B4D3E" w:rsidRPr="00851774" w:rsidRDefault="005B4D3E" w:rsidP="005B4D3E">
      <w:pPr>
        <w:spacing w:after="0"/>
        <w:jc w:val="both"/>
        <w:rPr>
          <w:rFonts w:ascii="Century Gothic" w:eastAsia="Calibri" w:hAnsi="Century Gothic" w:cs="Arial"/>
          <w:b/>
          <w:lang w:val="es-ES_tradnl" w:eastAsia="es-ES_tradnl"/>
        </w:rPr>
      </w:pPr>
      <w:r w:rsidRPr="00851774">
        <w:rPr>
          <w:rFonts w:ascii="Century Gothic" w:eastAsia="Calibri" w:hAnsi="Century Gothic" w:cs="Arial"/>
          <w:b/>
          <w:lang w:val="es-ES_tradnl" w:eastAsia="es-ES_tradnl"/>
        </w:rPr>
        <w:t>ASOCIACIONES DE PADRES DE FAMILIA – Contrato de asociación – Objeto – Requisitos</w:t>
      </w:r>
    </w:p>
    <w:p w14:paraId="17653049" w14:textId="77777777" w:rsidR="005B4D3E" w:rsidRPr="00851774" w:rsidRDefault="005B4D3E" w:rsidP="005B4D3E">
      <w:pPr>
        <w:spacing w:after="0"/>
        <w:rPr>
          <w:rFonts w:ascii="Century Gothic" w:hAnsi="Century Gothic" w:cs="Arial"/>
          <w:shd w:val="clear" w:color="auto" w:fill="FFFFFF"/>
        </w:rPr>
      </w:pPr>
    </w:p>
    <w:p w14:paraId="1FFA3018" w14:textId="77777777" w:rsidR="005B4D3E" w:rsidRPr="00851774" w:rsidRDefault="005B4D3E" w:rsidP="005B4D3E">
      <w:pPr>
        <w:spacing w:after="0" w:line="240" w:lineRule="auto"/>
        <w:jc w:val="both"/>
        <w:rPr>
          <w:rFonts w:ascii="Century Gothic" w:eastAsia="Arial" w:hAnsi="Century Gothic" w:cs="Arial"/>
          <w:sz w:val="20"/>
          <w:szCs w:val="20"/>
        </w:rPr>
      </w:pPr>
      <w:r w:rsidRPr="00851774">
        <w:rPr>
          <w:rFonts w:ascii="Century Gothic" w:eastAsia="Arial" w:hAnsi="Century Gothic" w:cs="Arial"/>
          <w:sz w:val="20"/>
          <w:szCs w:val="20"/>
        </w:rPr>
        <w:t>[…] en lo referente a la “contratación con las asociaciones de padres de familia”, resulta importante aclarar que esta figura se encuentra regulada por el artículo 9 del Decreto 1286 de 2005, el cual la describe como “[…] una entidad de jurídica de derecho privado, sin ánimo de lucro, que se constituye por la decisión libre y voluntaria de los padres de familia de los estudiantes matriculados en un establecimiento educativo” [Énfasis fuera de texto]. De acuerdo con lo anterior, al considerarse las asociaciones de padres de familia como ESAL, las Entidades Estatales se encuentran facultadas para suscribir con estas, bajo el régimen señalado en el Decreto 092 de 2017, convenios de asociación para el desarrollo conjunto de actividades relacionadas con los cometidos y funciones asignadas a aquellas conforme a la Constitución y a la ley.</w:t>
      </w:r>
    </w:p>
    <w:p w14:paraId="5C13DECF" w14:textId="77777777" w:rsidR="005B4D3E" w:rsidRPr="00851774" w:rsidRDefault="005B4D3E" w:rsidP="005B4D3E">
      <w:pPr>
        <w:spacing w:after="0" w:line="240" w:lineRule="auto"/>
        <w:jc w:val="both"/>
        <w:rPr>
          <w:rFonts w:ascii="Century Gothic" w:eastAsia="Arial" w:hAnsi="Century Gothic" w:cs="Arial"/>
          <w:sz w:val="20"/>
          <w:szCs w:val="20"/>
        </w:rPr>
      </w:pPr>
    </w:p>
    <w:p w14:paraId="0157A017" w14:textId="77777777" w:rsidR="005B4D3E" w:rsidRPr="00851774" w:rsidRDefault="005B4D3E" w:rsidP="005B4D3E">
      <w:pPr>
        <w:spacing w:after="0" w:line="240" w:lineRule="auto"/>
        <w:jc w:val="both"/>
        <w:rPr>
          <w:rFonts w:ascii="Century Gothic" w:eastAsia="Arial" w:hAnsi="Century Gothic" w:cs="Arial"/>
          <w:sz w:val="20"/>
          <w:szCs w:val="20"/>
        </w:rPr>
      </w:pPr>
      <w:r w:rsidRPr="00851774">
        <w:rPr>
          <w:rFonts w:ascii="Century Gothic" w:eastAsia="Arial" w:hAnsi="Century Gothic" w:cs="Arial"/>
          <w:sz w:val="20"/>
          <w:szCs w:val="20"/>
        </w:rPr>
        <w:t xml:space="preserve">Sin embargo, para ello, esto es, suscribir convenios de asociación con las asociaciones de padres de familia, las Entidades Estatales deberán tener en cuenta lo siguiente: i) la asociación de padres de familia deberá encontrarse legalmente constituida, según las reglas dispuestas en el inciso segundo del artículo 9 del Decreto 1286 de 2005; </w:t>
      </w:r>
      <w:proofErr w:type="spellStart"/>
      <w:r w:rsidRPr="00851774">
        <w:rPr>
          <w:rFonts w:ascii="Century Gothic" w:eastAsia="Arial" w:hAnsi="Century Gothic" w:cs="Arial"/>
          <w:sz w:val="20"/>
          <w:szCs w:val="20"/>
        </w:rPr>
        <w:t>ii</w:t>
      </w:r>
      <w:proofErr w:type="spellEnd"/>
      <w:r w:rsidRPr="00851774">
        <w:rPr>
          <w:rFonts w:ascii="Century Gothic" w:eastAsia="Arial" w:hAnsi="Century Gothic" w:cs="Arial"/>
          <w:sz w:val="20"/>
          <w:szCs w:val="20"/>
        </w:rPr>
        <w:t xml:space="preserve">) el objeto contractual del convenio de asociación, deberá guardar afinidad con las funciones y cometidos de la entidad pública, según la Constitución y la ley; </w:t>
      </w:r>
      <w:proofErr w:type="spellStart"/>
      <w:r w:rsidRPr="00851774">
        <w:rPr>
          <w:rFonts w:ascii="Century Gothic" w:eastAsia="Arial" w:hAnsi="Century Gothic" w:cs="Arial"/>
          <w:sz w:val="20"/>
          <w:szCs w:val="20"/>
        </w:rPr>
        <w:t>iii</w:t>
      </w:r>
      <w:proofErr w:type="spellEnd"/>
      <w:r w:rsidRPr="00851774">
        <w:rPr>
          <w:rFonts w:ascii="Century Gothic" w:eastAsia="Arial" w:hAnsi="Century Gothic" w:cs="Arial"/>
          <w:sz w:val="20"/>
          <w:szCs w:val="20"/>
        </w:rPr>
        <w:t>) deberán observarse las prohibiciones dispuestas en el artículo 12 ibidem para las asociaciones de padres de familia, esto, con el fin de que el desarrollo de las actividades objeto del convenio, no excedan los límites señalados en tal disposición, puesto que, particularmente en su literal c), establece que estas asociaciones tienen prohibido “[a]sumir las competencias y funciones propias de las autoridades y demás organismos colectivos del establecimiento educativo, o aquellas propias de los organismos y entidades de fiscalización, evaluación, inspección y vigilancia del sector educativo”.</w:t>
      </w:r>
    </w:p>
    <w:p w14:paraId="19A5539F" w14:textId="77777777" w:rsidR="005B4D3E" w:rsidRPr="00851774" w:rsidRDefault="005B4D3E" w:rsidP="005B4D3E">
      <w:pPr>
        <w:spacing w:after="0"/>
        <w:rPr>
          <w:rFonts w:ascii="Century Gothic" w:hAnsi="Century Gothic" w:cs="Arial"/>
          <w:shd w:val="clear" w:color="auto" w:fill="FFFFFF"/>
        </w:rPr>
      </w:pPr>
    </w:p>
    <w:p w14:paraId="7685B641" w14:textId="77777777" w:rsidR="005B4D3E" w:rsidRPr="00851774" w:rsidRDefault="005B4D3E" w:rsidP="005B4D3E">
      <w:pPr>
        <w:spacing w:after="0" w:line="240" w:lineRule="auto"/>
        <w:rPr>
          <w:rFonts w:ascii="Century Gothic" w:eastAsia="Times New Roman" w:hAnsi="Century Gothic" w:cs="Arial"/>
          <w:b/>
          <w:color w:val="000000" w:themeColor="text1"/>
          <w:lang w:eastAsia="es-ES"/>
        </w:rPr>
      </w:pPr>
      <w:r w:rsidRPr="00851774">
        <w:rPr>
          <w:rFonts w:ascii="Century Gothic" w:eastAsia="Times New Roman" w:hAnsi="Century Gothic" w:cs="Arial"/>
          <w:b/>
          <w:color w:val="000000" w:themeColor="text1"/>
          <w:lang w:eastAsia="es-ES"/>
        </w:rPr>
        <w:t xml:space="preserve">MODALIDADES DE SELECCIÓN – Clases </w:t>
      </w:r>
    </w:p>
    <w:p w14:paraId="02ADC980" w14:textId="77777777" w:rsidR="005B4D3E" w:rsidRPr="00851774" w:rsidRDefault="005B4D3E" w:rsidP="005B4D3E">
      <w:pPr>
        <w:spacing w:after="0" w:line="240" w:lineRule="auto"/>
        <w:rPr>
          <w:rFonts w:ascii="Century Gothic" w:eastAsia="Times New Roman" w:hAnsi="Century Gothic" w:cs="Arial"/>
          <w:b/>
          <w:color w:val="000000" w:themeColor="text1"/>
          <w:sz w:val="20"/>
          <w:szCs w:val="20"/>
          <w:lang w:eastAsia="es-ES"/>
        </w:rPr>
      </w:pPr>
    </w:p>
    <w:p w14:paraId="6017E254" w14:textId="77777777" w:rsidR="005B4D3E" w:rsidRPr="00851774" w:rsidRDefault="005B4D3E" w:rsidP="005B4D3E">
      <w:pPr>
        <w:widowControl w:val="0"/>
        <w:autoSpaceDE w:val="0"/>
        <w:autoSpaceDN w:val="0"/>
        <w:spacing w:after="0" w:line="240" w:lineRule="auto"/>
        <w:jc w:val="both"/>
        <w:rPr>
          <w:rFonts w:ascii="Century Gothic" w:eastAsia="Arial MT" w:hAnsi="Century Gothic" w:cs="Arial"/>
          <w:sz w:val="20"/>
          <w:szCs w:val="20"/>
          <w:lang w:val="es-ES" w:eastAsia="es-ES_tradnl"/>
        </w:rPr>
      </w:pPr>
      <w:r w:rsidRPr="00851774">
        <w:rPr>
          <w:rFonts w:ascii="Century Gothic" w:eastAsia="Times New Roman" w:hAnsi="Century Gothic" w:cs="Arial"/>
          <w:sz w:val="20"/>
          <w:szCs w:val="20"/>
          <w:lang w:eastAsia="es-ES_tradnl"/>
        </w:rPr>
        <w:t xml:space="preserve">[…] </w:t>
      </w:r>
      <w:r w:rsidRPr="00851774">
        <w:rPr>
          <w:rFonts w:ascii="Century Gothic" w:eastAsia="Arial MT" w:hAnsi="Century Gothic" w:cs="Arial"/>
          <w:sz w:val="20"/>
          <w:szCs w:val="20"/>
          <w:lang w:val="es-ES" w:eastAsia="es-ES_tradnl"/>
        </w:rPr>
        <w:t>teniendo en cuenta la reforma introducida con la Ley 1474</w:t>
      </w:r>
      <w:r w:rsidRPr="00851774">
        <w:rPr>
          <w:rFonts w:ascii="Century Gothic" w:eastAsia="Arial MT" w:hAnsi="Century Gothic" w:cs="Arial"/>
          <w:spacing w:val="1"/>
          <w:sz w:val="20"/>
          <w:szCs w:val="20"/>
          <w:lang w:val="es-ES" w:eastAsia="es-ES_tradnl"/>
        </w:rPr>
        <w:t xml:space="preserve"> </w:t>
      </w:r>
      <w:r w:rsidRPr="00851774">
        <w:rPr>
          <w:rFonts w:ascii="Century Gothic" w:eastAsia="Arial MT" w:hAnsi="Century Gothic" w:cs="Arial"/>
          <w:sz w:val="20"/>
          <w:szCs w:val="20"/>
          <w:lang w:val="es-ES" w:eastAsia="es-ES_tradnl"/>
        </w:rPr>
        <w:t xml:space="preserve">de 2011, los procedimientos actualmente regulados son los siguientes: i) licitación pública, </w:t>
      </w:r>
      <w:proofErr w:type="spellStart"/>
      <w:r w:rsidRPr="00851774">
        <w:rPr>
          <w:rFonts w:ascii="Century Gothic" w:eastAsia="Arial MT" w:hAnsi="Century Gothic" w:cs="Arial"/>
          <w:sz w:val="20"/>
          <w:szCs w:val="20"/>
          <w:lang w:val="es-ES" w:eastAsia="es-ES_tradnl"/>
        </w:rPr>
        <w:t>ii</w:t>
      </w:r>
      <w:proofErr w:type="spellEnd"/>
      <w:r w:rsidRPr="00851774">
        <w:rPr>
          <w:rFonts w:ascii="Century Gothic" w:eastAsia="Arial MT" w:hAnsi="Century Gothic" w:cs="Arial"/>
          <w:sz w:val="20"/>
          <w:szCs w:val="20"/>
          <w:lang w:val="es-ES" w:eastAsia="es-ES_tradnl"/>
        </w:rPr>
        <w:t>)</w:t>
      </w:r>
      <w:r w:rsidRPr="00851774">
        <w:rPr>
          <w:rFonts w:ascii="Century Gothic" w:eastAsia="Arial MT" w:hAnsi="Century Gothic" w:cs="Arial"/>
          <w:spacing w:val="1"/>
          <w:sz w:val="20"/>
          <w:szCs w:val="20"/>
          <w:lang w:val="es-ES" w:eastAsia="es-ES_tradnl"/>
        </w:rPr>
        <w:t xml:space="preserve"> </w:t>
      </w:r>
      <w:r w:rsidRPr="00851774">
        <w:rPr>
          <w:rFonts w:ascii="Century Gothic" w:eastAsia="Arial MT" w:hAnsi="Century Gothic" w:cs="Arial"/>
          <w:sz w:val="20"/>
          <w:szCs w:val="20"/>
          <w:lang w:val="es-ES" w:eastAsia="es-ES_tradnl"/>
        </w:rPr>
        <w:t xml:space="preserve">selección abreviada, </w:t>
      </w:r>
      <w:proofErr w:type="spellStart"/>
      <w:r w:rsidRPr="00851774">
        <w:rPr>
          <w:rFonts w:ascii="Century Gothic" w:eastAsia="Arial MT" w:hAnsi="Century Gothic" w:cs="Arial"/>
          <w:sz w:val="20"/>
          <w:szCs w:val="20"/>
          <w:lang w:val="es-ES" w:eastAsia="es-ES_tradnl"/>
        </w:rPr>
        <w:t>iii</w:t>
      </w:r>
      <w:proofErr w:type="spellEnd"/>
      <w:r w:rsidRPr="00851774">
        <w:rPr>
          <w:rFonts w:ascii="Century Gothic" w:eastAsia="Arial MT" w:hAnsi="Century Gothic" w:cs="Arial"/>
          <w:sz w:val="20"/>
          <w:szCs w:val="20"/>
          <w:lang w:val="es-ES" w:eastAsia="es-ES_tradnl"/>
        </w:rPr>
        <w:t xml:space="preserve">) concurso de méritos, </w:t>
      </w:r>
      <w:proofErr w:type="spellStart"/>
      <w:r w:rsidRPr="00851774">
        <w:rPr>
          <w:rFonts w:ascii="Century Gothic" w:eastAsia="Arial MT" w:hAnsi="Century Gothic" w:cs="Arial"/>
          <w:sz w:val="20"/>
          <w:szCs w:val="20"/>
          <w:lang w:val="es-ES" w:eastAsia="es-ES_tradnl"/>
        </w:rPr>
        <w:t>iv</w:t>
      </w:r>
      <w:proofErr w:type="spellEnd"/>
      <w:r w:rsidRPr="00851774">
        <w:rPr>
          <w:rFonts w:ascii="Century Gothic" w:eastAsia="Arial MT" w:hAnsi="Century Gothic" w:cs="Arial"/>
          <w:sz w:val="20"/>
          <w:szCs w:val="20"/>
          <w:lang w:val="es-ES" w:eastAsia="es-ES_tradnl"/>
        </w:rPr>
        <w:t>) mínima cuantía y v) contratación directa. En</w:t>
      </w:r>
      <w:r w:rsidRPr="00851774">
        <w:rPr>
          <w:rFonts w:ascii="Century Gothic" w:eastAsia="Arial MT" w:hAnsi="Century Gothic" w:cs="Arial"/>
          <w:spacing w:val="1"/>
          <w:sz w:val="20"/>
          <w:szCs w:val="20"/>
          <w:lang w:val="es-ES" w:eastAsia="es-ES_tradnl"/>
        </w:rPr>
        <w:t xml:space="preserve"> </w:t>
      </w:r>
      <w:r w:rsidRPr="00851774">
        <w:rPr>
          <w:rFonts w:ascii="Century Gothic" w:eastAsia="Arial MT" w:hAnsi="Century Gothic" w:cs="Arial"/>
          <w:sz w:val="20"/>
          <w:szCs w:val="20"/>
          <w:lang w:val="es-ES" w:eastAsia="es-ES_tradnl"/>
        </w:rPr>
        <w:t>dichos</w:t>
      </w:r>
      <w:r w:rsidRPr="00851774">
        <w:rPr>
          <w:rFonts w:ascii="Century Gothic" w:eastAsia="Arial MT" w:hAnsi="Century Gothic" w:cs="Arial"/>
          <w:spacing w:val="-6"/>
          <w:sz w:val="20"/>
          <w:szCs w:val="20"/>
          <w:lang w:val="es-ES" w:eastAsia="es-ES_tradnl"/>
        </w:rPr>
        <w:t xml:space="preserve"> </w:t>
      </w:r>
      <w:r w:rsidRPr="00851774">
        <w:rPr>
          <w:rFonts w:ascii="Century Gothic" w:eastAsia="Arial MT" w:hAnsi="Century Gothic" w:cs="Arial"/>
          <w:sz w:val="20"/>
          <w:szCs w:val="20"/>
          <w:lang w:val="es-ES" w:eastAsia="es-ES_tradnl"/>
        </w:rPr>
        <w:t>procedimientos</w:t>
      </w:r>
      <w:r w:rsidRPr="00851774">
        <w:rPr>
          <w:rFonts w:ascii="Century Gothic" w:eastAsia="Arial MT" w:hAnsi="Century Gothic" w:cs="Arial"/>
          <w:spacing w:val="-6"/>
          <w:sz w:val="20"/>
          <w:szCs w:val="20"/>
          <w:lang w:val="es-ES" w:eastAsia="es-ES_tradnl"/>
        </w:rPr>
        <w:t xml:space="preserve"> </w:t>
      </w:r>
      <w:r w:rsidRPr="00851774">
        <w:rPr>
          <w:rFonts w:ascii="Century Gothic" w:eastAsia="Arial MT" w:hAnsi="Century Gothic" w:cs="Arial"/>
          <w:sz w:val="20"/>
          <w:szCs w:val="20"/>
          <w:lang w:val="es-ES" w:eastAsia="es-ES_tradnl"/>
        </w:rPr>
        <w:t>constan</w:t>
      </w:r>
      <w:r w:rsidRPr="00851774">
        <w:rPr>
          <w:rFonts w:ascii="Century Gothic" w:eastAsia="Arial MT" w:hAnsi="Century Gothic" w:cs="Arial"/>
          <w:spacing w:val="-5"/>
          <w:sz w:val="20"/>
          <w:szCs w:val="20"/>
          <w:lang w:val="es-ES" w:eastAsia="es-ES_tradnl"/>
        </w:rPr>
        <w:t xml:space="preserve"> </w:t>
      </w:r>
      <w:r w:rsidRPr="00851774">
        <w:rPr>
          <w:rFonts w:ascii="Century Gothic" w:eastAsia="Arial MT" w:hAnsi="Century Gothic" w:cs="Arial"/>
          <w:sz w:val="20"/>
          <w:szCs w:val="20"/>
          <w:lang w:val="es-ES" w:eastAsia="es-ES_tradnl"/>
        </w:rPr>
        <w:t>las</w:t>
      </w:r>
      <w:r w:rsidRPr="00851774">
        <w:rPr>
          <w:rFonts w:ascii="Century Gothic" w:eastAsia="Arial MT" w:hAnsi="Century Gothic" w:cs="Arial"/>
          <w:spacing w:val="-6"/>
          <w:sz w:val="20"/>
          <w:szCs w:val="20"/>
          <w:lang w:val="es-ES" w:eastAsia="es-ES_tradnl"/>
        </w:rPr>
        <w:t xml:space="preserve"> </w:t>
      </w:r>
      <w:r w:rsidRPr="00851774">
        <w:rPr>
          <w:rFonts w:ascii="Century Gothic" w:eastAsia="Arial MT" w:hAnsi="Century Gothic" w:cs="Arial"/>
          <w:sz w:val="20"/>
          <w:szCs w:val="20"/>
          <w:lang w:val="es-ES" w:eastAsia="es-ES_tradnl"/>
        </w:rPr>
        <w:t>etapas</w:t>
      </w:r>
      <w:r w:rsidRPr="00851774">
        <w:rPr>
          <w:rFonts w:ascii="Century Gothic" w:eastAsia="Arial MT" w:hAnsi="Century Gothic" w:cs="Arial"/>
          <w:spacing w:val="-6"/>
          <w:sz w:val="20"/>
          <w:szCs w:val="20"/>
          <w:lang w:val="es-ES" w:eastAsia="es-ES_tradnl"/>
        </w:rPr>
        <w:t xml:space="preserve"> </w:t>
      </w:r>
      <w:r w:rsidRPr="00851774">
        <w:rPr>
          <w:rFonts w:ascii="Century Gothic" w:eastAsia="Arial MT" w:hAnsi="Century Gothic" w:cs="Arial"/>
          <w:sz w:val="20"/>
          <w:szCs w:val="20"/>
          <w:lang w:val="es-ES" w:eastAsia="es-ES_tradnl"/>
        </w:rPr>
        <w:t>para</w:t>
      </w:r>
      <w:r w:rsidRPr="00851774">
        <w:rPr>
          <w:rFonts w:ascii="Century Gothic" w:eastAsia="Arial MT" w:hAnsi="Century Gothic" w:cs="Arial"/>
          <w:spacing w:val="-5"/>
          <w:sz w:val="20"/>
          <w:szCs w:val="20"/>
          <w:lang w:val="es-ES" w:eastAsia="es-ES_tradnl"/>
        </w:rPr>
        <w:t xml:space="preserve"> </w:t>
      </w:r>
      <w:r w:rsidRPr="00851774">
        <w:rPr>
          <w:rFonts w:ascii="Century Gothic" w:eastAsia="Arial MT" w:hAnsi="Century Gothic" w:cs="Arial"/>
          <w:sz w:val="20"/>
          <w:szCs w:val="20"/>
          <w:lang w:val="es-ES" w:eastAsia="es-ES_tradnl"/>
        </w:rPr>
        <w:t>la</w:t>
      </w:r>
      <w:r w:rsidRPr="00851774">
        <w:rPr>
          <w:rFonts w:ascii="Century Gothic" w:eastAsia="Arial MT" w:hAnsi="Century Gothic" w:cs="Arial"/>
          <w:spacing w:val="-6"/>
          <w:sz w:val="20"/>
          <w:szCs w:val="20"/>
          <w:lang w:val="es-ES" w:eastAsia="es-ES_tradnl"/>
        </w:rPr>
        <w:t xml:space="preserve"> </w:t>
      </w:r>
      <w:r w:rsidRPr="00851774">
        <w:rPr>
          <w:rFonts w:ascii="Century Gothic" w:eastAsia="Arial MT" w:hAnsi="Century Gothic" w:cs="Arial"/>
          <w:sz w:val="20"/>
          <w:szCs w:val="20"/>
          <w:lang w:val="es-ES" w:eastAsia="es-ES_tradnl"/>
        </w:rPr>
        <w:t>adquisición</w:t>
      </w:r>
      <w:r w:rsidRPr="00851774">
        <w:rPr>
          <w:rFonts w:ascii="Century Gothic" w:eastAsia="Arial MT" w:hAnsi="Century Gothic" w:cs="Arial"/>
          <w:spacing w:val="-5"/>
          <w:sz w:val="20"/>
          <w:szCs w:val="20"/>
          <w:lang w:val="es-ES" w:eastAsia="es-ES_tradnl"/>
        </w:rPr>
        <w:t xml:space="preserve"> </w:t>
      </w:r>
      <w:r w:rsidRPr="00851774">
        <w:rPr>
          <w:rFonts w:ascii="Century Gothic" w:eastAsia="Arial MT" w:hAnsi="Century Gothic" w:cs="Arial"/>
          <w:sz w:val="20"/>
          <w:szCs w:val="20"/>
          <w:lang w:val="es-ES" w:eastAsia="es-ES_tradnl"/>
        </w:rPr>
        <w:t>de</w:t>
      </w:r>
      <w:r w:rsidRPr="00851774">
        <w:rPr>
          <w:rFonts w:ascii="Century Gothic" w:eastAsia="Arial MT" w:hAnsi="Century Gothic" w:cs="Arial"/>
          <w:spacing w:val="-6"/>
          <w:sz w:val="20"/>
          <w:szCs w:val="20"/>
          <w:lang w:val="es-ES" w:eastAsia="es-ES_tradnl"/>
        </w:rPr>
        <w:t xml:space="preserve"> </w:t>
      </w:r>
      <w:r w:rsidRPr="00851774">
        <w:rPr>
          <w:rFonts w:ascii="Century Gothic" w:eastAsia="Arial MT" w:hAnsi="Century Gothic" w:cs="Arial"/>
          <w:sz w:val="20"/>
          <w:szCs w:val="20"/>
          <w:lang w:val="es-ES" w:eastAsia="es-ES_tradnl"/>
        </w:rPr>
        <w:t>obras,</w:t>
      </w:r>
      <w:r w:rsidRPr="00851774">
        <w:rPr>
          <w:rFonts w:ascii="Century Gothic" w:eastAsia="Arial MT" w:hAnsi="Century Gothic" w:cs="Arial"/>
          <w:spacing w:val="-6"/>
          <w:sz w:val="20"/>
          <w:szCs w:val="20"/>
          <w:lang w:val="es-ES" w:eastAsia="es-ES_tradnl"/>
        </w:rPr>
        <w:t xml:space="preserve"> </w:t>
      </w:r>
      <w:r w:rsidRPr="00851774">
        <w:rPr>
          <w:rFonts w:ascii="Century Gothic" w:eastAsia="Arial MT" w:hAnsi="Century Gothic" w:cs="Arial"/>
          <w:sz w:val="20"/>
          <w:szCs w:val="20"/>
          <w:lang w:val="es-ES" w:eastAsia="es-ES_tradnl"/>
        </w:rPr>
        <w:t>bienes</w:t>
      </w:r>
      <w:r w:rsidRPr="00851774">
        <w:rPr>
          <w:rFonts w:ascii="Century Gothic" w:eastAsia="Arial MT" w:hAnsi="Century Gothic" w:cs="Arial"/>
          <w:spacing w:val="-5"/>
          <w:sz w:val="20"/>
          <w:szCs w:val="20"/>
          <w:lang w:val="es-ES" w:eastAsia="es-ES_tradnl"/>
        </w:rPr>
        <w:t xml:space="preserve"> </w:t>
      </w:r>
      <w:r w:rsidRPr="00851774">
        <w:rPr>
          <w:rFonts w:ascii="Century Gothic" w:eastAsia="Arial MT" w:hAnsi="Century Gothic" w:cs="Arial"/>
          <w:sz w:val="20"/>
          <w:szCs w:val="20"/>
          <w:lang w:val="es-ES" w:eastAsia="es-ES_tradnl"/>
        </w:rPr>
        <w:t>y</w:t>
      </w:r>
      <w:r w:rsidRPr="00851774">
        <w:rPr>
          <w:rFonts w:ascii="Century Gothic" w:eastAsia="Arial MT" w:hAnsi="Century Gothic" w:cs="Arial"/>
          <w:spacing w:val="-6"/>
          <w:sz w:val="20"/>
          <w:szCs w:val="20"/>
          <w:lang w:val="es-ES" w:eastAsia="es-ES_tradnl"/>
        </w:rPr>
        <w:t xml:space="preserve"> </w:t>
      </w:r>
      <w:r w:rsidRPr="00851774">
        <w:rPr>
          <w:rFonts w:ascii="Century Gothic" w:eastAsia="Arial MT" w:hAnsi="Century Gothic" w:cs="Arial"/>
          <w:sz w:val="20"/>
          <w:szCs w:val="20"/>
          <w:lang w:val="es-ES" w:eastAsia="es-ES_tradnl"/>
        </w:rPr>
        <w:t>servicios,</w:t>
      </w:r>
      <w:r w:rsidRPr="00851774">
        <w:rPr>
          <w:rFonts w:ascii="Century Gothic" w:eastAsia="Arial MT" w:hAnsi="Century Gothic" w:cs="Arial"/>
          <w:spacing w:val="-5"/>
          <w:sz w:val="20"/>
          <w:szCs w:val="20"/>
          <w:lang w:val="es-ES" w:eastAsia="es-ES_tradnl"/>
        </w:rPr>
        <w:t xml:space="preserve"> </w:t>
      </w:r>
      <w:r w:rsidRPr="00851774">
        <w:rPr>
          <w:rFonts w:ascii="Century Gothic" w:eastAsia="Arial MT" w:hAnsi="Century Gothic" w:cs="Arial"/>
          <w:sz w:val="20"/>
          <w:szCs w:val="20"/>
          <w:lang w:val="es-ES" w:eastAsia="es-ES_tradnl"/>
        </w:rPr>
        <w:t>por</w:t>
      </w:r>
      <w:r w:rsidRPr="00851774">
        <w:rPr>
          <w:rFonts w:ascii="Century Gothic" w:eastAsia="Arial MT" w:hAnsi="Century Gothic" w:cs="Arial"/>
          <w:spacing w:val="-6"/>
          <w:sz w:val="20"/>
          <w:szCs w:val="20"/>
          <w:lang w:val="es-ES" w:eastAsia="es-ES_tradnl"/>
        </w:rPr>
        <w:t xml:space="preserve"> </w:t>
      </w:r>
      <w:r w:rsidRPr="00851774">
        <w:rPr>
          <w:rFonts w:ascii="Century Gothic" w:eastAsia="Arial MT" w:hAnsi="Century Gothic" w:cs="Arial"/>
          <w:sz w:val="20"/>
          <w:szCs w:val="20"/>
          <w:lang w:val="es-ES" w:eastAsia="es-ES_tradnl"/>
        </w:rPr>
        <w:t>lo</w:t>
      </w:r>
      <w:r w:rsidRPr="00851774">
        <w:rPr>
          <w:rFonts w:ascii="Century Gothic" w:eastAsia="Arial MT" w:hAnsi="Century Gothic" w:cs="Arial"/>
          <w:spacing w:val="-59"/>
          <w:sz w:val="20"/>
          <w:szCs w:val="20"/>
          <w:lang w:val="es-ES" w:eastAsia="es-ES_tradnl"/>
        </w:rPr>
        <w:t xml:space="preserve"> </w:t>
      </w:r>
      <w:r w:rsidRPr="00851774">
        <w:rPr>
          <w:rFonts w:ascii="Century Gothic" w:eastAsia="Arial MT" w:hAnsi="Century Gothic" w:cs="Arial"/>
          <w:sz w:val="20"/>
          <w:szCs w:val="20"/>
          <w:lang w:val="es-ES" w:eastAsia="es-ES_tradnl"/>
        </w:rPr>
        <w:t>que</w:t>
      </w:r>
      <w:r w:rsidRPr="00851774">
        <w:rPr>
          <w:rFonts w:ascii="Century Gothic" w:eastAsia="Arial MT" w:hAnsi="Century Gothic" w:cs="Arial"/>
          <w:spacing w:val="-9"/>
          <w:sz w:val="20"/>
          <w:szCs w:val="20"/>
          <w:lang w:val="es-ES" w:eastAsia="es-ES_tradnl"/>
        </w:rPr>
        <w:t xml:space="preserve"> </w:t>
      </w:r>
      <w:r w:rsidRPr="00851774">
        <w:rPr>
          <w:rFonts w:ascii="Century Gothic" w:eastAsia="Arial MT" w:hAnsi="Century Gothic" w:cs="Arial"/>
          <w:sz w:val="20"/>
          <w:szCs w:val="20"/>
          <w:lang w:val="es-ES" w:eastAsia="es-ES_tradnl"/>
        </w:rPr>
        <w:t>cada</w:t>
      </w:r>
      <w:r w:rsidRPr="00851774">
        <w:rPr>
          <w:rFonts w:ascii="Century Gothic" w:eastAsia="Arial MT" w:hAnsi="Century Gothic" w:cs="Arial"/>
          <w:spacing w:val="-8"/>
          <w:sz w:val="20"/>
          <w:szCs w:val="20"/>
          <w:lang w:val="es-ES" w:eastAsia="es-ES_tradnl"/>
        </w:rPr>
        <w:t xml:space="preserve"> </w:t>
      </w:r>
      <w:r w:rsidRPr="00851774">
        <w:rPr>
          <w:rFonts w:ascii="Century Gothic" w:eastAsia="Arial MT" w:hAnsi="Century Gothic" w:cs="Arial"/>
          <w:sz w:val="20"/>
          <w:szCs w:val="20"/>
          <w:lang w:val="es-ES" w:eastAsia="es-ES_tradnl"/>
        </w:rPr>
        <w:t>entidad</w:t>
      </w:r>
      <w:r w:rsidRPr="00851774">
        <w:rPr>
          <w:rFonts w:ascii="Century Gothic" w:eastAsia="Arial MT" w:hAnsi="Century Gothic" w:cs="Arial"/>
          <w:spacing w:val="-7"/>
          <w:sz w:val="20"/>
          <w:szCs w:val="20"/>
          <w:lang w:val="es-ES" w:eastAsia="es-ES_tradnl"/>
        </w:rPr>
        <w:t xml:space="preserve"> </w:t>
      </w:r>
      <w:r w:rsidRPr="00851774">
        <w:rPr>
          <w:rFonts w:ascii="Century Gothic" w:eastAsia="Arial MT" w:hAnsi="Century Gothic" w:cs="Arial"/>
          <w:sz w:val="20"/>
          <w:szCs w:val="20"/>
          <w:lang w:val="es-ES" w:eastAsia="es-ES_tradnl"/>
        </w:rPr>
        <w:t>es</w:t>
      </w:r>
      <w:r w:rsidRPr="00851774">
        <w:rPr>
          <w:rFonts w:ascii="Century Gothic" w:eastAsia="Arial MT" w:hAnsi="Century Gothic" w:cs="Arial"/>
          <w:spacing w:val="-8"/>
          <w:sz w:val="20"/>
          <w:szCs w:val="20"/>
          <w:lang w:val="es-ES" w:eastAsia="es-ES_tradnl"/>
        </w:rPr>
        <w:t xml:space="preserve"> </w:t>
      </w:r>
      <w:r w:rsidRPr="00851774">
        <w:rPr>
          <w:rFonts w:ascii="Century Gothic" w:eastAsia="Arial MT" w:hAnsi="Century Gothic" w:cs="Arial"/>
          <w:sz w:val="20"/>
          <w:szCs w:val="20"/>
          <w:lang w:val="es-ES" w:eastAsia="es-ES_tradnl"/>
        </w:rPr>
        <w:t>responsable</w:t>
      </w:r>
      <w:r w:rsidRPr="00851774">
        <w:rPr>
          <w:rFonts w:ascii="Century Gothic" w:eastAsia="Arial MT" w:hAnsi="Century Gothic" w:cs="Arial"/>
          <w:spacing w:val="-8"/>
          <w:sz w:val="20"/>
          <w:szCs w:val="20"/>
          <w:lang w:val="es-ES" w:eastAsia="es-ES_tradnl"/>
        </w:rPr>
        <w:t xml:space="preserve"> </w:t>
      </w:r>
      <w:r w:rsidRPr="00851774">
        <w:rPr>
          <w:rFonts w:ascii="Century Gothic" w:eastAsia="Arial MT" w:hAnsi="Century Gothic" w:cs="Arial"/>
          <w:sz w:val="20"/>
          <w:szCs w:val="20"/>
          <w:lang w:val="es-ES" w:eastAsia="es-ES_tradnl"/>
        </w:rPr>
        <w:t>de</w:t>
      </w:r>
      <w:r w:rsidRPr="00851774">
        <w:rPr>
          <w:rFonts w:ascii="Century Gothic" w:eastAsia="Arial MT" w:hAnsi="Century Gothic" w:cs="Arial"/>
          <w:spacing w:val="-9"/>
          <w:sz w:val="20"/>
          <w:szCs w:val="20"/>
          <w:lang w:val="es-ES" w:eastAsia="es-ES_tradnl"/>
        </w:rPr>
        <w:t xml:space="preserve"> </w:t>
      </w:r>
      <w:r w:rsidRPr="00851774">
        <w:rPr>
          <w:rFonts w:ascii="Century Gothic" w:eastAsia="Arial MT" w:hAnsi="Century Gothic" w:cs="Arial"/>
          <w:sz w:val="20"/>
          <w:szCs w:val="20"/>
          <w:lang w:val="es-ES" w:eastAsia="es-ES_tradnl"/>
        </w:rPr>
        <w:t>estructurar</w:t>
      </w:r>
      <w:r w:rsidRPr="00851774">
        <w:rPr>
          <w:rFonts w:ascii="Century Gothic" w:eastAsia="Arial MT" w:hAnsi="Century Gothic" w:cs="Arial"/>
          <w:spacing w:val="-7"/>
          <w:sz w:val="20"/>
          <w:szCs w:val="20"/>
          <w:lang w:val="es-ES" w:eastAsia="es-ES_tradnl"/>
        </w:rPr>
        <w:t xml:space="preserve"> </w:t>
      </w:r>
      <w:r w:rsidRPr="00851774">
        <w:rPr>
          <w:rFonts w:ascii="Century Gothic" w:eastAsia="Arial MT" w:hAnsi="Century Gothic" w:cs="Arial"/>
          <w:sz w:val="20"/>
          <w:szCs w:val="20"/>
          <w:lang w:val="es-ES" w:eastAsia="es-ES_tradnl"/>
        </w:rPr>
        <w:t>los</w:t>
      </w:r>
      <w:r w:rsidRPr="00851774">
        <w:rPr>
          <w:rFonts w:ascii="Century Gothic" w:eastAsia="Arial MT" w:hAnsi="Century Gothic" w:cs="Arial"/>
          <w:spacing w:val="-8"/>
          <w:sz w:val="20"/>
          <w:szCs w:val="20"/>
          <w:lang w:val="es-ES" w:eastAsia="es-ES_tradnl"/>
        </w:rPr>
        <w:t xml:space="preserve"> </w:t>
      </w:r>
      <w:r w:rsidRPr="00851774">
        <w:rPr>
          <w:rFonts w:ascii="Century Gothic" w:eastAsia="Arial MT" w:hAnsi="Century Gothic" w:cs="Arial"/>
          <w:sz w:val="20"/>
          <w:szCs w:val="20"/>
          <w:lang w:val="es-ES" w:eastAsia="es-ES_tradnl"/>
        </w:rPr>
        <w:t>procedimientos</w:t>
      </w:r>
      <w:r w:rsidRPr="00851774">
        <w:rPr>
          <w:rFonts w:ascii="Century Gothic" w:eastAsia="Arial MT" w:hAnsi="Century Gothic" w:cs="Arial"/>
          <w:spacing w:val="-7"/>
          <w:sz w:val="20"/>
          <w:szCs w:val="20"/>
          <w:lang w:val="es-ES" w:eastAsia="es-ES_tradnl"/>
        </w:rPr>
        <w:t xml:space="preserve"> </w:t>
      </w:r>
      <w:r w:rsidRPr="00851774">
        <w:rPr>
          <w:rFonts w:ascii="Century Gothic" w:eastAsia="Arial MT" w:hAnsi="Century Gothic" w:cs="Arial"/>
          <w:sz w:val="20"/>
          <w:szCs w:val="20"/>
          <w:lang w:val="es-ES" w:eastAsia="es-ES_tradnl"/>
        </w:rPr>
        <w:t>de</w:t>
      </w:r>
      <w:r w:rsidRPr="00851774">
        <w:rPr>
          <w:rFonts w:ascii="Century Gothic" w:eastAsia="Arial MT" w:hAnsi="Century Gothic" w:cs="Arial"/>
          <w:spacing w:val="-8"/>
          <w:sz w:val="20"/>
          <w:szCs w:val="20"/>
          <w:lang w:val="es-ES" w:eastAsia="es-ES_tradnl"/>
        </w:rPr>
        <w:t xml:space="preserve"> </w:t>
      </w:r>
      <w:r w:rsidRPr="00851774">
        <w:rPr>
          <w:rFonts w:ascii="Century Gothic" w:eastAsia="Arial MT" w:hAnsi="Century Gothic" w:cs="Arial"/>
          <w:sz w:val="20"/>
          <w:szCs w:val="20"/>
          <w:lang w:val="es-ES" w:eastAsia="es-ES_tradnl"/>
        </w:rPr>
        <w:t>contratación,</w:t>
      </w:r>
      <w:r w:rsidRPr="00851774">
        <w:rPr>
          <w:rFonts w:ascii="Century Gothic" w:eastAsia="Arial MT" w:hAnsi="Century Gothic" w:cs="Arial"/>
          <w:spacing w:val="-9"/>
          <w:sz w:val="20"/>
          <w:szCs w:val="20"/>
          <w:lang w:val="es-ES" w:eastAsia="es-ES_tradnl"/>
        </w:rPr>
        <w:t xml:space="preserve"> </w:t>
      </w:r>
      <w:r w:rsidRPr="00851774">
        <w:rPr>
          <w:rFonts w:ascii="Century Gothic" w:eastAsia="Arial MT" w:hAnsi="Century Gothic" w:cs="Arial"/>
          <w:sz w:val="20"/>
          <w:szCs w:val="20"/>
          <w:lang w:val="es-ES" w:eastAsia="es-ES_tradnl"/>
        </w:rPr>
        <w:t>siempre</w:t>
      </w:r>
      <w:r w:rsidRPr="00851774">
        <w:rPr>
          <w:rFonts w:ascii="Century Gothic" w:eastAsia="Arial MT" w:hAnsi="Century Gothic" w:cs="Arial"/>
          <w:spacing w:val="-8"/>
          <w:sz w:val="20"/>
          <w:szCs w:val="20"/>
          <w:lang w:val="es-ES" w:eastAsia="es-ES_tradnl"/>
        </w:rPr>
        <w:t xml:space="preserve"> </w:t>
      </w:r>
      <w:r w:rsidRPr="00851774">
        <w:rPr>
          <w:rFonts w:ascii="Century Gothic" w:eastAsia="Arial MT" w:hAnsi="Century Gothic" w:cs="Arial"/>
          <w:sz w:val="20"/>
          <w:szCs w:val="20"/>
          <w:lang w:val="es-ES" w:eastAsia="es-ES_tradnl"/>
        </w:rPr>
        <w:t>que</w:t>
      </w:r>
      <w:r w:rsidRPr="00851774">
        <w:rPr>
          <w:rFonts w:ascii="Century Gothic" w:eastAsia="Arial MT" w:hAnsi="Century Gothic" w:cs="Arial"/>
          <w:spacing w:val="-58"/>
          <w:sz w:val="20"/>
          <w:szCs w:val="20"/>
          <w:lang w:val="es-ES" w:eastAsia="es-ES_tradnl"/>
        </w:rPr>
        <w:t xml:space="preserve"> </w:t>
      </w:r>
      <w:r w:rsidRPr="00851774">
        <w:rPr>
          <w:rFonts w:ascii="Century Gothic" w:eastAsia="Arial MT" w:hAnsi="Century Gothic" w:cs="Arial"/>
          <w:sz w:val="20"/>
          <w:szCs w:val="20"/>
          <w:lang w:val="es-ES" w:eastAsia="es-ES_tradnl"/>
        </w:rPr>
        <w:t>respete</w:t>
      </w:r>
      <w:r w:rsidRPr="00851774">
        <w:rPr>
          <w:rFonts w:ascii="Century Gothic" w:eastAsia="Arial MT" w:hAnsi="Century Gothic" w:cs="Arial"/>
          <w:spacing w:val="-2"/>
          <w:sz w:val="20"/>
          <w:szCs w:val="20"/>
          <w:lang w:val="es-ES" w:eastAsia="es-ES_tradnl"/>
        </w:rPr>
        <w:t xml:space="preserve"> </w:t>
      </w:r>
      <w:r w:rsidRPr="00851774">
        <w:rPr>
          <w:rFonts w:ascii="Century Gothic" w:eastAsia="Arial MT" w:hAnsi="Century Gothic" w:cs="Arial"/>
          <w:sz w:val="20"/>
          <w:szCs w:val="20"/>
          <w:lang w:val="es-ES" w:eastAsia="es-ES_tradnl"/>
        </w:rPr>
        <w:t>el</w:t>
      </w:r>
      <w:r w:rsidRPr="00851774">
        <w:rPr>
          <w:rFonts w:ascii="Century Gothic" w:eastAsia="Arial MT" w:hAnsi="Century Gothic" w:cs="Arial"/>
          <w:spacing w:val="-1"/>
          <w:sz w:val="20"/>
          <w:szCs w:val="20"/>
          <w:lang w:val="es-ES" w:eastAsia="es-ES_tradnl"/>
        </w:rPr>
        <w:t xml:space="preserve"> </w:t>
      </w:r>
      <w:r w:rsidRPr="00851774">
        <w:rPr>
          <w:rFonts w:ascii="Century Gothic" w:eastAsia="Arial MT" w:hAnsi="Century Gothic" w:cs="Arial"/>
          <w:sz w:val="20"/>
          <w:szCs w:val="20"/>
          <w:lang w:val="es-ES" w:eastAsia="es-ES_tradnl"/>
        </w:rPr>
        <w:t>principio</w:t>
      </w:r>
      <w:r w:rsidRPr="00851774">
        <w:rPr>
          <w:rFonts w:ascii="Century Gothic" w:eastAsia="Arial MT" w:hAnsi="Century Gothic" w:cs="Arial"/>
          <w:spacing w:val="-1"/>
          <w:sz w:val="20"/>
          <w:szCs w:val="20"/>
          <w:lang w:val="es-ES" w:eastAsia="es-ES_tradnl"/>
        </w:rPr>
        <w:t xml:space="preserve"> </w:t>
      </w:r>
      <w:r w:rsidRPr="00851774">
        <w:rPr>
          <w:rFonts w:ascii="Century Gothic" w:eastAsia="Arial MT" w:hAnsi="Century Gothic" w:cs="Arial"/>
          <w:sz w:val="20"/>
          <w:szCs w:val="20"/>
          <w:lang w:val="es-ES" w:eastAsia="es-ES_tradnl"/>
        </w:rPr>
        <w:t>de</w:t>
      </w:r>
      <w:r w:rsidRPr="00851774">
        <w:rPr>
          <w:rFonts w:ascii="Century Gothic" w:eastAsia="Arial MT" w:hAnsi="Century Gothic" w:cs="Arial"/>
          <w:spacing w:val="-1"/>
          <w:sz w:val="20"/>
          <w:szCs w:val="20"/>
          <w:lang w:val="es-ES" w:eastAsia="es-ES_tradnl"/>
        </w:rPr>
        <w:t xml:space="preserve"> </w:t>
      </w:r>
      <w:r w:rsidRPr="00851774">
        <w:rPr>
          <w:rFonts w:ascii="Century Gothic" w:eastAsia="Arial MT" w:hAnsi="Century Gothic" w:cs="Arial"/>
          <w:sz w:val="20"/>
          <w:szCs w:val="20"/>
          <w:lang w:val="es-ES" w:eastAsia="es-ES_tradnl"/>
        </w:rPr>
        <w:t>legalidad.</w:t>
      </w:r>
    </w:p>
    <w:p w14:paraId="0F529E84" w14:textId="77777777" w:rsidR="005B4D3E" w:rsidRPr="00851774" w:rsidRDefault="005B4D3E" w:rsidP="005B4D3E">
      <w:pPr>
        <w:widowControl w:val="0"/>
        <w:autoSpaceDE w:val="0"/>
        <w:autoSpaceDN w:val="0"/>
        <w:spacing w:after="0" w:line="240" w:lineRule="auto"/>
        <w:jc w:val="both"/>
        <w:rPr>
          <w:rFonts w:ascii="Century Gothic" w:eastAsia="Calibri" w:hAnsi="Century Gothic" w:cs="Arial"/>
          <w:b/>
          <w:bCs/>
          <w:color w:val="000000" w:themeColor="text1"/>
          <w:sz w:val="20"/>
          <w:szCs w:val="20"/>
          <w:lang w:val="es-ES"/>
        </w:rPr>
      </w:pPr>
    </w:p>
    <w:p w14:paraId="6F97EAF1" w14:textId="77777777" w:rsidR="005B4D3E" w:rsidRPr="00851774" w:rsidRDefault="005B4D3E" w:rsidP="005B4D3E">
      <w:pPr>
        <w:spacing w:after="0" w:line="240" w:lineRule="auto"/>
        <w:jc w:val="both"/>
        <w:rPr>
          <w:rFonts w:ascii="Century Gothic" w:eastAsia="Calibri" w:hAnsi="Century Gothic" w:cs="Arial"/>
          <w:b/>
          <w:bCs/>
          <w:color w:val="000000" w:themeColor="text1"/>
          <w:lang w:val="es-ES_tradnl" w:eastAsia="es-ES_tradnl"/>
        </w:rPr>
      </w:pPr>
      <w:r w:rsidRPr="00851774">
        <w:rPr>
          <w:rFonts w:ascii="Century Gothic" w:eastAsia="Calibri" w:hAnsi="Century Gothic" w:cs="Arial"/>
          <w:b/>
          <w:bCs/>
          <w:color w:val="000000" w:themeColor="text1"/>
          <w:lang w:val="es-ES_tradnl" w:eastAsia="es-ES_tradnl"/>
        </w:rPr>
        <w:t>MÍNIMA CUANTÍA – Concepto – Regulación – Requisitos</w:t>
      </w:r>
    </w:p>
    <w:p w14:paraId="321D1A36" w14:textId="77777777" w:rsidR="005B4D3E" w:rsidRPr="00851774" w:rsidRDefault="005B4D3E" w:rsidP="005B4D3E">
      <w:pPr>
        <w:spacing w:after="0" w:line="240" w:lineRule="auto"/>
        <w:jc w:val="both"/>
        <w:rPr>
          <w:rFonts w:ascii="Century Gothic" w:eastAsia="Calibri" w:hAnsi="Century Gothic" w:cs="Arial"/>
          <w:b/>
          <w:bCs/>
          <w:color w:val="000000" w:themeColor="text1"/>
          <w:sz w:val="20"/>
          <w:szCs w:val="20"/>
          <w:lang w:val="es-ES_tradnl" w:eastAsia="es-ES_tradnl"/>
        </w:rPr>
      </w:pPr>
    </w:p>
    <w:p w14:paraId="21834A6F" w14:textId="77777777" w:rsidR="005B4D3E" w:rsidRPr="00851774" w:rsidRDefault="005B4D3E" w:rsidP="005B4D3E">
      <w:pPr>
        <w:spacing w:after="0" w:line="240" w:lineRule="auto"/>
        <w:ind w:right="62"/>
        <w:jc w:val="both"/>
        <w:rPr>
          <w:rFonts w:ascii="Century Gothic" w:eastAsia="Calibri" w:hAnsi="Century Gothic" w:cs="Arial"/>
          <w:sz w:val="20"/>
          <w:szCs w:val="20"/>
          <w:lang w:val="es-ES_tradnl" w:eastAsia="es-ES_tradnl"/>
        </w:rPr>
      </w:pPr>
      <w:r w:rsidRPr="00851774">
        <w:rPr>
          <w:rFonts w:ascii="Century Gothic" w:eastAsia="Calibri" w:hAnsi="Century Gothic" w:cs="Arial"/>
          <w:sz w:val="20"/>
          <w:szCs w:val="20"/>
          <w:lang w:eastAsia="es-ES_tradnl"/>
        </w:rPr>
        <w:t>[…] l</w:t>
      </w:r>
      <w:r w:rsidRPr="00851774">
        <w:rPr>
          <w:rFonts w:ascii="Century Gothic" w:eastAsia="Calibri" w:hAnsi="Century Gothic" w:cs="Arial"/>
          <w:sz w:val="20"/>
          <w:szCs w:val="20"/>
          <w:lang w:val="es-ES_tradnl" w:eastAsia="es-ES_tradnl"/>
        </w:rPr>
        <w:t xml:space="preserve">a mínima cuantía es una modalidad de selección en virtud de la cual la Entidad Estatal realiza una convocatoria pública para recibir ofertas de bienes, obras o servicios cuyo valor no excede el diez por ciento (10%) de la menor cuantía. Esta modalidad de selección fue creada en el 2011 por la Ley 1450, modificada por el artículo 94 de la Ley 1474 de 2011 –que adicionó el numeral 5º al artículo 2 de la Ley 1150 de 2007– y posteriormente por la Ley 2069 de 2020, estableciendo que el factor determinante para llevar a cabo tal procedimiento es la cuantía –calculada como presupuesto oficial a partir del estudio del sector–, “independientemente de su objeto”. </w:t>
      </w:r>
    </w:p>
    <w:p w14:paraId="44CB3C5F" w14:textId="77777777" w:rsidR="005B4D3E" w:rsidRPr="00851774" w:rsidRDefault="005B4D3E" w:rsidP="005B4D3E">
      <w:pPr>
        <w:spacing w:after="0" w:line="240" w:lineRule="auto"/>
        <w:jc w:val="both"/>
        <w:rPr>
          <w:rFonts w:ascii="Century Gothic" w:eastAsia="Calibri" w:hAnsi="Century Gothic" w:cs="Arial"/>
          <w:sz w:val="20"/>
          <w:szCs w:val="20"/>
          <w:lang w:val="es-ES_tradnl" w:eastAsia="es-ES_tradnl"/>
        </w:rPr>
      </w:pPr>
    </w:p>
    <w:p w14:paraId="43D7DD41" w14:textId="77777777" w:rsidR="005B4D3E" w:rsidRPr="00851774" w:rsidRDefault="005B4D3E" w:rsidP="005B4D3E">
      <w:pPr>
        <w:spacing w:after="0" w:line="240" w:lineRule="auto"/>
        <w:jc w:val="both"/>
        <w:rPr>
          <w:rFonts w:ascii="Century Gothic" w:eastAsia="Calibri" w:hAnsi="Century Gothic" w:cs="Arial"/>
          <w:sz w:val="20"/>
          <w:szCs w:val="20"/>
          <w:lang w:val="es-ES_tradnl" w:eastAsia="es-ES_tradnl"/>
        </w:rPr>
      </w:pPr>
      <w:r w:rsidRPr="00851774">
        <w:rPr>
          <w:rFonts w:ascii="Century Gothic" w:eastAsia="Calibri" w:hAnsi="Century Gothic" w:cs="Arial"/>
          <w:sz w:val="20"/>
          <w:szCs w:val="20"/>
          <w:lang w:val="es-ES_tradnl" w:eastAsia="es-ES_tradnl"/>
        </w:rPr>
        <w:t xml:space="preserve">Dicho de otro modo, la mínima cuantía es un procedimiento de selección excepcional, porque es una excepción adicional a la regla general constituida por la licitación pública, pero se parece a esta en que también es un llamado general a presentar ofertas, efectuado por la Entidad Estatal interesada en contratar, aunque es distinta en otros aspectos, como su conducencia y su procedimiento; lo primero, porque solo procede por razón de una cuantía específica, y lo segundo, porque sus requisitos, etapas y términos son peculiares. </w:t>
      </w:r>
    </w:p>
    <w:p w14:paraId="4B4FF129" w14:textId="77777777" w:rsidR="005B4D3E" w:rsidRPr="00851774" w:rsidRDefault="005B4D3E" w:rsidP="005B4D3E">
      <w:pPr>
        <w:spacing w:after="0"/>
        <w:rPr>
          <w:rFonts w:ascii="Century Gothic" w:hAnsi="Century Gothic" w:cs="Arial"/>
          <w:shd w:val="clear" w:color="auto" w:fill="FFFFFF"/>
        </w:rPr>
      </w:pPr>
    </w:p>
    <w:p w14:paraId="54E396F9" w14:textId="77777777" w:rsidR="005B4D3E" w:rsidRPr="00851774" w:rsidRDefault="005B4D3E" w:rsidP="005B4D3E">
      <w:pPr>
        <w:spacing w:after="0"/>
        <w:rPr>
          <w:rFonts w:ascii="Century Gothic" w:hAnsi="Century Gothic" w:cs="Arial"/>
          <w:b/>
          <w:bCs/>
          <w:shd w:val="clear" w:color="auto" w:fill="FFFFFF"/>
        </w:rPr>
      </w:pPr>
      <w:r w:rsidRPr="00851774">
        <w:rPr>
          <w:rFonts w:ascii="Century Gothic" w:hAnsi="Century Gothic" w:cs="Arial"/>
          <w:b/>
          <w:bCs/>
          <w:shd w:val="clear" w:color="auto" w:fill="FFFFFF"/>
        </w:rPr>
        <w:t>CONTRATO DE PRESTACIÓN DE SERVICIOS – Fijación de honorarios – Facultad de la entidad – Justificación en los estudios previos</w:t>
      </w:r>
    </w:p>
    <w:p w14:paraId="3A23A992" w14:textId="77777777" w:rsidR="005B4D3E" w:rsidRPr="00851774" w:rsidRDefault="005B4D3E" w:rsidP="005B4D3E">
      <w:pPr>
        <w:spacing w:after="0"/>
        <w:rPr>
          <w:rFonts w:ascii="Century Gothic" w:hAnsi="Century Gothic" w:cs="Arial"/>
          <w:shd w:val="clear" w:color="auto" w:fill="FFFFFF"/>
        </w:rPr>
      </w:pPr>
    </w:p>
    <w:p w14:paraId="052D1B16" w14:textId="77777777" w:rsidR="005B4D3E" w:rsidRPr="00851774" w:rsidRDefault="005B4D3E" w:rsidP="005B4D3E">
      <w:pPr>
        <w:spacing w:after="0" w:line="240" w:lineRule="auto"/>
        <w:jc w:val="both"/>
        <w:rPr>
          <w:rFonts w:ascii="Century Gothic" w:hAnsi="Century Gothic" w:cs="Arial"/>
          <w:noProof/>
          <w:sz w:val="20"/>
          <w:szCs w:val="20"/>
          <w:lang w:val="es-ES_tradnl"/>
        </w:rPr>
      </w:pPr>
      <w:r w:rsidRPr="00851774">
        <w:rPr>
          <w:rFonts w:ascii="Century Gothic" w:hAnsi="Century Gothic" w:cs="Arial"/>
          <w:noProof/>
          <w:sz w:val="20"/>
          <w:szCs w:val="20"/>
          <w:lang w:val="es-ES_tradnl"/>
        </w:rPr>
        <w:t xml:space="preserve">[….] en lo concerniente a los </w:t>
      </w:r>
      <w:r w:rsidRPr="00851774">
        <w:rPr>
          <w:rFonts w:ascii="Century Gothic" w:hAnsi="Century Gothic" w:cs="Arial"/>
          <w:i/>
          <w:iCs/>
          <w:noProof/>
          <w:sz w:val="20"/>
          <w:szCs w:val="20"/>
          <w:lang w:val="es-ES_tradnl"/>
        </w:rPr>
        <w:t xml:space="preserve">honorarios </w:t>
      </w:r>
      <w:r w:rsidRPr="00851774">
        <w:rPr>
          <w:rFonts w:ascii="Century Gothic" w:hAnsi="Century Gothic" w:cs="Arial"/>
          <w:noProof/>
          <w:sz w:val="20"/>
          <w:szCs w:val="20"/>
          <w:lang w:val="es-ES_tradnl"/>
        </w:rPr>
        <w:t>en esta tipología contractual, resulta a bien indicar, que no existe en el Sistema de Compra y Contratación Pública una disposición que establezca la forma en la que deberían fijarse los honorarios de los contratistas de prestación de servicios profesionales, de apoyo a la gestión y de trabajos artísticos, pues en virtud del principio de autonomía de la voluntad, las partes pueden determinar el contenido de los contratos estales e incluir las condiciones, clásulas o estipulaciones que consideren necesarias para desarrollar el objeto contractual, siempre que no sean contrarias a la Constitución Política, la ley y el orden público.</w:t>
      </w:r>
    </w:p>
    <w:p w14:paraId="2E74D4B0" w14:textId="77777777" w:rsidR="005B4D3E" w:rsidRPr="00851774" w:rsidRDefault="005B4D3E" w:rsidP="005B4D3E">
      <w:pPr>
        <w:spacing w:after="0" w:line="240" w:lineRule="auto"/>
        <w:jc w:val="both"/>
        <w:rPr>
          <w:rFonts w:ascii="Century Gothic" w:eastAsia="Calibri" w:hAnsi="Century Gothic" w:cs="Arial"/>
          <w:sz w:val="20"/>
          <w:szCs w:val="20"/>
          <w:lang w:val="es-ES_tradnl"/>
        </w:rPr>
      </w:pPr>
    </w:p>
    <w:p w14:paraId="53103888" w14:textId="77777777" w:rsidR="005B4D3E" w:rsidRPr="00851774" w:rsidRDefault="005B4D3E" w:rsidP="005B4D3E">
      <w:pPr>
        <w:spacing w:after="0" w:line="240" w:lineRule="auto"/>
        <w:jc w:val="both"/>
        <w:rPr>
          <w:rFonts w:ascii="Century Gothic" w:eastAsia="Calibri" w:hAnsi="Century Gothic" w:cs="Arial"/>
          <w:sz w:val="20"/>
          <w:szCs w:val="20"/>
          <w:lang w:val="es-ES_tradnl"/>
        </w:rPr>
      </w:pPr>
      <w:r w:rsidRPr="00851774">
        <w:rPr>
          <w:rFonts w:ascii="Century Gothic" w:eastAsia="Calibri" w:hAnsi="Century Gothic" w:cs="Arial"/>
          <w:sz w:val="20"/>
          <w:szCs w:val="20"/>
          <w:lang w:val="es-ES_tradnl"/>
        </w:rPr>
        <w:t>En consecuencia, las Entidades Estatales durante la etapa de planeación, tienen el deber de realizar el análisis del sector y justificar la modalidad de contratación en los documentos del proceso, que para el caso de los procesos que impliquen una contratación directa y en los contratos de prestación de servicios profesionales, de apoyo a la gestión y de trabajos artísticos se constata en los estudios y documentos previos, los cuales deben indicar, entre otras, las condiciones mínimas exigidas para suplir la necesidad de la entidad, así como los requisitos que debe acreditar el futuro contratista para el cumplimiento del objeto contractual.</w:t>
      </w:r>
    </w:p>
    <w:p w14:paraId="30559605" w14:textId="77777777" w:rsidR="005B4D3E" w:rsidRPr="00851774" w:rsidRDefault="005B4D3E" w:rsidP="005B4D3E">
      <w:pPr>
        <w:spacing w:after="0"/>
        <w:rPr>
          <w:rFonts w:ascii="Century Gothic" w:hAnsi="Century Gothic" w:cs="Arial"/>
          <w:shd w:val="clear" w:color="auto" w:fill="FFFFFF"/>
        </w:rPr>
      </w:pPr>
    </w:p>
    <w:p w14:paraId="5E6904C6" w14:textId="77777777" w:rsidR="005B4D3E" w:rsidRPr="00851774" w:rsidRDefault="005B4D3E" w:rsidP="005B4D3E">
      <w:pPr>
        <w:spacing w:after="0"/>
        <w:rPr>
          <w:rFonts w:ascii="Century Gothic" w:hAnsi="Century Gothic" w:cs="Arial"/>
          <w:b/>
          <w:bCs/>
          <w:shd w:val="clear" w:color="auto" w:fill="FFFFFF"/>
        </w:rPr>
      </w:pPr>
      <w:r w:rsidRPr="00851774">
        <w:rPr>
          <w:rFonts w:ascii="Century Gothic" w:hAnsi="Century Gothic" w:cs="Arial"/>
          <w:b/>
          <w:bCs/>
          <w:shd w:val="clear" w:color="auto" w:fill="FFFFFF"/>
        </w:rPr>
        <w:t>CONTRATOS DE PRESTACIÓN DE SERVICIOS – Distinción – Contratos de consultoría</w:t>
      </w:r>
    </w:p>
    <w:p w14:paraId="7DE8FA4A" w14:textId="77777777" w:rsidR="005B4D3E" w:rsidRPr="00851774" w:rsidRDefault="005B4D3E" w:rsidP="005B4D3E">
      <w:pPr>
        <w:spacing w:after="0"/>
        <w:rPr>
          <w:rFonts w:ascii="Century Gothic" w:hAnsi="Century Gothic" w:cs="Arial"/>
          <w:shd w:val="clear" w:color="auto" w:fill="FFFFFF"/>
        </w:rPr>
      </w:pPr>
    </w:p>
    <w:p w14:paraId="6DD6EB55" w14:textId="77777777" w:rsidR="005B4D3E" w:rsidRPr="00851774" w:rsidRDefault="005B4D3E" w:rsidP="005B4D3E">
      <w:pPr>
        <w:spacing w:after="0" w:line="240" w:lineRule="auto"/>
        <w:jc w:val="both"/>
        <w:rPr>
          <w:rFonts w:ascii="Century Gothic" w:hAnsi="Century Gothic" w:cs="Arial"/>
          <w:sz w:val="20"/>
          <w:szCs w:val="20"/>
          <w:shd w:val="clear" w:color="auto" w:fill="FFFFFF"/>
        </w:rPr>
      </w:pPr>
      <w:r w:rsidRPr="00851774">
        <w:rPr>
          <w:rFonts w:ascii="Century Gothic" w:hAnsi="Century Gothic" w:cs="Arial"/>
          <w:sz w:val="20"/>
          <w:szCs w:val="20"/>
          <w:shd w:val="clear" w:color="auto" w:fill="FFFFFF"/>
        </w:rPr>
        <w:t xml:space="preserve">[…] pese a que el contrato de consultoría y el de prestación de servicios se asemejan en lo intelectual y profesional, el primero no puede tener como objeto contractual, actividades </w:t>
      </w:r>
      <w:r w:rsidRPr="00851774">
        <w:rPr>
          <w:rFonts w:ascii="Century Gothic" w:hAnsi="Century Gothic" w:cs="Arial"/>
          <w:sz w:val="20"/>
          <w:szCs w:val="20"/>
          <w:shd w:val="clear" w:color="auto" w:fill="FFFFFF"/>
        </w:rPr>
        <w:lastRenderedPageBreak/>
        <w:t>del segundo. Esto por cuanto, como lo indicó el Consejo de Estado en la antes referida sentencia de unificación jurisprudencial, si bien existe un componente intelectual y profesional, tanto en los contratos de prestación de servicios profesionales y en los contratos de consultoría, el objeto contractual de este último es especial y debe celebrarse, por regla general, mediante la modalidad de selección de concurso de méritos. Así pues, debe aclararse, que no es factible suscribir un contrato de prestación de servicios profesionales para ejecutar actividades que se enmarcan en los contratos tipificados en el artículo 32 de la Ley 80 de 1993, como, por ejemplo, las consultorías.</w:t>
      </w:r>
    </w:p>
    <w:p w14:paraId="690EFEDB" w14:textId="77777777" w:rsidR="005B4D3E" w:rsidRPr="00851774" w:rsidRDefault="005B4D3E" w:rsidP="005B4D3E">
      <w:pPr>
        <w:spacing w:after="0" w:line="240" w:lineRule="auto"/>
        <w:jc w:val="both"/>
        <w:rPr>
          <w:rFonts w:ascii="Century Gothic" w:hAnsi="Century Gothic" w:cs="Arial"/>
          <w:sz w:val="20"/>
          <w:szCs w:val="20"/>
          <w:shd w:val="clear" w:color="auto" w:fill="FFFFFF"/>
        </w:rPr>
      </w:pPr>
    </w:p>
    <w:p w14:paraId="7F5415CF" w14:textId="77777777" w:rsidR="005B4D3E" w:rsidRPr="00851774" w:rsidRDefault="005B4D3E" w:rsidP="005B4D3E">
      <w:pPr>
        <w:spacing w:after="0" w:line="240" w:lineRule="auto"/>
        <w:jc w:val="both"/>
        <w:rPr>
          <w:rFonts w:ascii="Century Gothic" w:hAnsi="Century Gothic" w:cs="Arial"/>
          <w:sz w:val="20"/>
          <w:szCs w:val="20"/>
          <w:shd w:val="clear" w:color="auto" w:fill="FFFFFF"/>
        </w:rPr>
      </w:pPr>
      <w:r w:rsidRPr="00851774">
        <w:rPr>
          <w:rFonts w:ascii="Century Gothic" w:hAnsi="Century Gothic" w:cs="Arial"/>
          <w:sz w:val="20"/>
          <w:szCs w:val="20"/>
          <w:shd w:val="clear" w:color="auto" w:fill="FFFFFF"/>
        </w:rPr>
        <w:t>Bajo este entendimiento, la característica fundamental para identificar los contratos de consultoría es el carácter ampliamente técnico de su contenido, que se diferencia de otros tipos contractuales, como el de prestación de servicios –apoyo a la gestión, servicios profesionales o de ejecución de trabajos artísticos–. A diferencia del contrato de consultoría, el de prestación de servicios supone tal y como se indicó en el numeral anterior, el desarrollo de actividades de colaboración y apoyo a la gestión de la entidad dirigidas al cumplimiento de las funciones asignadas a esta, de carácter temporal, excepcional u ocasional, siempre que no haya suficiente personal de planta o que, existiendo, está sobrecargado de trabajo, o que sean actividades que requieran conocimientos especializados, según lo prescrito en el numeral 3 del artículo 32 de la Ley 80 de 1993.</w:t>
      </w:r>
    </w:p>
    <w:p w14:paraId="57D5A8DF" w14:textId="77777777" w:rsidR="005B4D3E" w:rsidRPr="00851774" w:rsidRDefault="005B4D3E" w:rsidP="005B4D3E">
      <w:pPr>
        <w:spacing w:after="0"/>
        <w:rPr>
          <w:rFonts w:ascii="Century Gothic" w:hAnsi="Century Gothic" w:cs="Arial"/>
          <w:shd w:val="clear" w:color="auto" w:fill="FFFFFF"/>
        </w:rPr>
      </w:pPr>
    </w:p>
    <w:p w14:paraId="3ABC6AD3" w14:textId="77777777" w:rsidR="005B4D3E" w:rsidRPr="00851774" w:rsidRDefault="005B4D3E" w:rsidP="005B4D3E">
      <w:pPr>
        <w:spacing w:after="0"/>
        <w:rPr>
          <w:rFonts w:ascii="Century Gothic" w:hAnsi="Century Gothic"/>
          <w:b/>
          <w:bCs/>
        </w:rPr>
      </w:pPr>
      <w:r w:rsidRPr="00851774">
        <w:rPr>
          <w:rFonts w:ascii="Century Gothic" w:hAnsi="Century Gothic"/>
          <w:b/>
          <w:bCs/>
        </w:rPr>
        <w:t>SUBSANABILIDAD DE LA OFERTA – Reglas -Artículo 5 de la ley 1150 – Artículo 5 de la ley 1882 de 2018</w:t>
      </w:r>
    </w:p>
    <w:p w14:paraId="695AE522" w14:textId="77777777" w:rsidR="005B4D3E" w:rsidRPr="00851774" w:rsidRDefault="005B4D3E" w:rsidP="005B4D3E">
      <w:pPr>
        <w:spacing w:after="0"/>
        <w:rPr>
          <w:rFonts w:ascii="Century Gothic" w:hAnsi="Century Gothic"/>
        </w:rPr>
      </w:pPr>
    </w:p>
    <w:p w14:paraId="5F154A4D" w14:textId="77777777" w:rsidR="005B4D3E" w:rsidRPr="00851774" w:rsidRDefault="005B4D3E" w:rsidP="005B4D3E">
      <w:pPr>
        <w:spacing w:after="0" w:line="240" w:lineRule="auto"/>
        <w:jc w:val="both"/>
        <w:rPr>
          <w:rFonts w:ascii="Century Gothic" w:hAnsi="Century Gothic"/>
          <w:sz w:val="20"/>
          <w:szCs w:val="20"/>
        </w:rPr>
      </w:pPr>
      <w:r w:rsidRPr="00851774">
        <w:rPr>
          <w:rFonts w:ascii="Century Gothic" w:hAnsi="Century Gothic"/>
          <w:sz w:val="20"/>
          <w:szCs w:val="20"/>
        </w:rPr>
        <w:t>La regla de subsanabilidad es un mecanismo previsto en los procesos de contratación que se regulan por el EGCAP. Esta regla, prevista en el artículo 5 de la Ley 1150 de 2007, consiste en permitir que los proponentes puedan enmendar, corregir o modificar los errores en los que se incurre en los documentos contentivos de la oferta. Así lo ha establecido el Consejo de Estado, en los siguientes términos: “[…] materializar un principio general de primacía de lo sustancial sobre lo formal, adoptando medidas de saneamiento del proceso de selección tendientes a que los meros defectos formales, que no afecten sustancialmente la oferta, referidos a la documentación o instrumentalización de la misma, priven a la administración de considerar una oferta por causa de tales falencias”.</w:t>
      </w:r>
    </w:p>
    <w:p w14:paraId="4ED05CF7" w14:textId="77777777" w:rsidR="005B4D3E" w:rsidRPr="00851774" w:rsidRDefault="005B4D3E" w:rsidP="005B4D3E">
      <w:pPr>
        <w:spacing w:after="0"/>
        <w:rPr>
          <w:rFonts w:ascii="Century Gothic" w:hAnsi="Century Gothic"/>
        </w:rPr>
      </w:pPr>
      <w:r w:rsidRPr="00851774">
        <w:rPr>
          <w:rFonts w:ascii="Century Gothic" w:hAnsi="Century Gothic"/>
        </w:rPr>
        <w:t>[…]</w:t>
      </w:r>
    </w:p>
    <w:p w14:paraId="2A8B4646" w14:textId="77777777" w:rsidR="005B4D3E" w:rsidRPr="00851774" w:rsidRDefault="005B4D3E" w:rsidP="005B4D3E">
      <w:pPr>
        <w:spacing w:after="0"/>
        <w:jc w:val="both"/>
        <w:rPr>
          <w:rFonts w:ascii="Century Gothic" w:hAnsi="Century Gothic"/>
          <w:sz w:val="20"/>
          <w:szCs w:val="20"/>
        </w:rPr>
      </w:pPr>
      <w:r w:rsidRPr="00851774">
        <w:rPr>
          <w:rFonts w:ascii="Century Gothic" w:hAnsi="Century Gothic"/>
          <w:sz w:val="20"/>
          <w:szCs w:val="20"/>
        </w:rPr>
        <w:t>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w:t>
      </w:r>
    </w:p>
    <w:p w14:paraId="3C13BD67" w14:textId="77777777" w:rsidR="005B4D3E" w:rsidRPr="00851774" w:rsidRDefault="005B4D3E" w:rsidP="005B4D3E">
      <w:pPr>
        <w:spacing w:after="0"/>
        <w:rPr>
          <w:rFonts w:ascii="Century Gothic" w:hAnsi="Century Gothic" w:cs="Arial"/>
          <w:shd w:val="clear" w:color="auto" w:fill="FFFFFF"/>
        </w:rPr>
      </w:pPr>
    </w:p>
    <w:p w14:paraId="5C55E751" w14:textId="77777777" w:rsidR="005B4D3E" w:rsidRPr="00851774" w:rsidRDefault="005B4D3E" w:rsidP="005B4D3E">
      <w:pPr>
        <w:spacing w:after="0"/>
        <w:rPr>
          <w:rFonts w:ascii="Century Gothic" w:hAnsi="Century Gothic" w:cs="Arial"/>
          <w:shd w:val="clear" w:color="auto" w:fill="FFFFFF"/>
        </w:rPr>
      </w:pPr>
    </w:p>
    <w:p w14:paraId="6697F287" w14:textId="77777777" w:rsidR="005B4D3E" w:rsidRPr="00851774" w:rsidRDefault="005B4D3E" w:rsidP="005B4D3E">
      <w:pPr>
        <w:spacing w:after="0"/>
        <w:rPr>
          <w:rFonts w:ascii="Century Gothic" w:hAnsi="Century Gothic" w:cs="Arial"/>
          <w:shd w:val="clear" w:color="auto" w:fill="FFFFFF"/>
        </w:rPr>
      </w:pPr>
    </w:p>
    <w:p w14:paraId="6E4018A8" w14:textId="77777777" w:rsidR="005B4D3E" w:rsidRDefault="005B4D3E" w:rsidP="005B4D3E">
      <w:pPr>
        <w:spacing w:after="0"/>
        <w:rPr>
          <w:rFonts w:ascii="Century Gothic" w:eastAsia="Geomanist Light" w:hAnsi="Century Gothic" w:cs="Arial"/>
          <w:lang w:val="es-MX"/>
        </w:rPr>
      </w:pPr>
      <w:r w:rsidRPr="00851774">
        <w:rPr>
          <w:rFonts w:ascii="Century Gothic" w:hAnsi="Century Gothic" w:cs="Arial"/>
          <w:shd w:val="clear" w:color="auto" w:fill="FFFFFF"/>
        </w:rPr>
        <w:lastRenderedPageBreak/>
        <w:t>Bogotá D.C., [Día] de [</w:t>
      </w:r>
      <w:proofErr w:type="spellStart"/>
      <w:r w:rsidRPr="00851774">
        <w:rPr>
          <w:rFonts w:ascii="Century Gothic" w:hAnsi="Century Gothic" w:cs="Arial"/>
          <w:shd w:val="clear" w:color="auto" w:fill="FFFFFF"/>
        </w:rPr>
        <w:t>Mes.NombreCapitalizado</w:t>
      </w:r>
      <w:proofErr w:type="spellEnd"/>
      <w:r w:rsidRPr="00851774">
        <w:rPr>
          <w:rFonts w:ascii="Century Gothic" w:hAnsi="Century Gothic" w:cs="Arial"/>
          <w:shd w:val="clear" w:color="auto" w:fill="FFFFFF"/>
        </w:rPr>
        <w:t>] de [Año]</w:t>
      </w:r>
      <w:r w:rsidRPr="00851774">
        <w:rPr>
          <w:rFonts w:ascii="Century Gothic" w:hAnsi="Century Gothic" w:cs="Calibri"/>
          <w:shd w:val="clear" w:color="auto" w:fill="FFFFFF"/>
        </w:rPr>
        <w:tab/>
      </w:r>
      <w:r w:rsidRPr="00851774">
        <w:rPr>
          <w:rFonts w:ascii="Arial" w:hAnsi="Arial" w:cs="Arial"/>
          <w:shd w:val="clear" w:color="auto" w:fill="FFFFFF"/>
        </w:rPr>
        <w:t>    </w:t>
      </w:r>
      <w:r w:rsidRPr="00851774">
        <w:rPr>
          <w:rFonts w:ascii="Century Gothic" w:hAnsi="Century Gothic" w:cs="Arial"/>
          <w:shd w:val="clear" w:color="auto" w:fill="FFFFFF"/>
        </w:rPr>
        <w:t> </w:t>
      </w:r>
      <w:r w:rsidRPr="00851774">
        <w:rPr>
          <w:rFonts w:ascii="Arial" w:hAnsi="Arial" w:cs="Arial"/>
          <w:shd w:val="clear" w:color="auto" w:fill="FFFFFF"/>
        </w:rPr>
        <w:t> </w:t>
      </w:r>
      <w:r w:rsidRPr="00851774">
        <w:rPr>
          <w:rFonts w:ascii="Century Gothic" w:hAnsi="Century Gothic" w:cs="Century Gothic"/>
          <w:shd w:val="clear" w:color="auto" w:fill="FFFFFF"/>
        </w:rPr>
        <w:t> </w:t>
      </w:r>
      <w:r w:rsidRPr="00851774">
        <w:rPr>
          <w:rFonts w:ascii="Century Gothic" w:eastAsia="Geomanist Light" w:hAnsi="Century Gothic" w:cs="Arial"/>
          <w:lang w:val="es-MX"/>
        </w:rPr>
        <w:cr/>
      </w:r>
    </w:p>
    <w:p w14:paraId="4F16E0AE" w14:textId="77777777" w:rsidR="007D6E6F" w:rsidRDefault="007D6E6F" w:rsidP="005B4D3E">
      <w:pPr>
        <w:spacing w:after="0"/>
        <w:rPr>
          <w:rFonts w:ascii="Century Gothic" w:eastAsia="Geomanist Light" w:hAnsi="Century Gothic" w:cs="Arial"/>
          <w:lang w:val="es-MX"/>
        </w:rPr>
      </w:pPr>
    </w:p>
    <w:p w14:paraId="5E0F825D" w14:textId="108345A5" w:rsidR="007D6E6F" w:rsidRPr="00851774" w:rsidRDefault="007D6E6F" w:rsidP="007D6E6F">
      <w:pPr>
        <w:spacing w:after="0"/>
        <w:jc w:val="right"/>
        <w:rPr>
          <w:rFonts w:ascii="Century Gothic" w:eastAsia="Geomanist Light" w:hAnsi="Century Gothic" w:cs="Arial"/>
          <w:lang w:val="es-MX"/>
        </w:rPr>
      </w:pPr>
      <w:r w:rsidRPr="007D6E6F">
        <w:rPr>
          <w:rFonts w:ascii="Century Gothic" w:eastAsia="Geomanist Light" w:hAnsi="Century Gothic" w:cs="Arial"/>
          <w:lang w:val="es-MX"/>
        </w:rPr>
        <w:drawing>
          <wp:inline distT="0" distB="0" distL="0" distR="0" wp14:anchorId="171397D2" wp14:editId="65B414B3">
            <wp:extent cx="3267531" cy="990738"/>
            <wp:effectExtent l="0" t="0" r="9525" b="0"/>
            <wp:docPr id="3712459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245903" name=""/>
                    <pic:cNvPicPr/>
                  </pic:nvPicPr>
                  <pic:blipFill>
                    <a:blip r:embed="rId10"/>
                    <a:stretch>
                      <a:fillRect/>
                    </a:stretch>
                  </pic:blipFill>
                  <pic:spPr>
                    <a:xfrm>
                      <a:off x="0" y="0"/>
                      <a:ext cx="3267531" cy="990738"/>
                    </a:xfrm>
                    <a:prstGeom prst="rect">
                      <a:avLst/>
                    </a:prstGeom>
                  </pic:spPr>
                </pic:pic>
              </a:graphicData>
            </a:graphic>
          </wp:inline>
        </w:drawing>
      </w:r>
    </w:p>
    <w:p w14:paraId="2BFEC949" w14:textId="77777777" w:rsidR="005B4D3E" w:rsidRPr="00851774" w:rsidRDefault="005B4D3E" w:rsidP="005B4D3E">
      <w:pPr>
        <w:contextualSpacing/>
        <w:jc w:val="both"/>
        <w:rPr>
          <w:rFonts w:ascii="Century Gothic" w:eastAsia="Calibri" w:hAnsi="Century Gothic" w:cs="Arial"/>
          <w:lang w:eastAsia="es-ES_tradnl"/>
        </w:rPr>
      </w:pPr>
      <w:r w:rsidRPr="00851774">
        <w:rPr>
          <w:rFonts w:ascii="Century Gothic" w:eastAsia="Calibri" w:hAnsi="Century Gothic" w:cs="Arial"/>
          <w:lang w:eastAsia="es-ES_tradnl"/>
        </w:rPr>
        <w:t>Señora</w:t>
      </w:r>
    </w:p>
    <w:p w14:paraId="687CD0DB" w14:textId="77777777" w:rsidR="005B4D3E" w:rsidRPr="00851774" w:rsidRDefault="005B4D3E" w:rsidP="005B4D3E">
      <w:pPr>
        <w:contextualSpacing/>
        <w:jc w:val="both"/>
        <w:rPr>
          <w:rFonts w:ascii="Century Gothic" w:eastAsia="Calibri" w:hAnsi="Century Gothic" w:cs="Arial"/>
          <w:b/>
          <w:lang w:eastAsia="es-ES_tradnl"/>
        </w:rPr>
      </w:pPr>
      <w:proofErr w:type="spellStart"/>
      <w:r w:rsidRPr="00851774">
        <w:rPr>
          <w:rFonts w:ascii="Century Gothic" w:eastAsia="Calibri" w:hAnsi="Century Gothic" w:cs="Arial"/>
          <w:b/>
          <w:lang w:eastAsia="es-ES_tradnl"/>
        </w:rPr>
        <w:t>Nicolle</w:t>
      </w:r>
      <w:proofErr w:type="spellEnd"/>
      <w:r w:rsidRPr="00851774">
        <w:rPr>
          <w:rFonts w:ascii="Century Gothic" w:eastAsia="Calibri" w:hAnsi="Century Gothic" w:cs="Arial"/>
          <w:b/>
          <w:lang w:eastAsia="es-ES_tradnl"/>
        </w:rPr>
        <w:t xml:space="preserve"> Daniela Rueda Fernández</w:t>
      </w:r>
    </w:p>
    <w:p w14:paraId="17654B83" w14:textId="77777777" w:rsidR="005B4D3E" w:rsidRPr="00851774" w:rsidRDefault="005B4D3E" w:rsidP="005B4D3E">
      <w:pPr>
        <w:contextualSpacing/>
        <w:jc w:val="both"/>
        <w:rPr>
          <w:rFonts w:ascii="Century Gothic" w:eastAsia="Calibri" w:hAnsi="Century Gothic" w:cs="Arial"/>
          <w:bCs/>
          <w:lang w:eastAsia="es-ES_tradnl"/>
        </w:rPr>
      </w:pPr>
      <w:r w:rsidRPr="00851774">
        <w:rPr>
          <w:rFonts w:ascii="Century Gothic" w:hAnsi="Century Gothic"/>
        </w:rPr>
        <w:t>Bucaramanga, Santander</w:t>
      </w:r>
    </w:p>
    <w:p w14:paraId="240E8DEC" w14:textId="77777777" w:rsidR="005B4D3E" w:rsidRPr="00851774" w:rsidRDefault="005B4D3E" w:rsidP="005B4D3E">
      <w:pPr>
        <w:contextualSpacing/>
        <w:rPr>
          <w:rFonts w:ascii="Century Gothic" w:eastAsia="Calibri" w:hAnsi="Century Gothic" w:cs="Arial"/>
          <w:b/>
          <w:bCs/>
          <w:lang w:val="es-ES_tradnl" w:eastAsia="es-ES_tradnl"/>
        </w:rPr>
      </w:pPr>
    </w:p>
    <w:p w14:paraId="5D676C73" w14:textId="77777777" w:rsidR="005B4D3E" w:rsidRPr="00851774" w:rsidRDefault="005B4D3E" w:rsidP="005B4D3E">
      <w:pPr>
        <w:ind w:left="2124" w:firstLine="570"/>
        <w:contextualSpacing/>
        <w:rPr>
          <w:rFonts w:ascii="Century Gothic" w:eastAsia="Calibri" w:hAnsi="Century Gothic" w:cs="Arial"/>
          <w:b/>
          <w:bCs/>
          <w:lang w:val="es-ES_tradnl" w:eastAsia="es-ES_tradnl"/>
        </w:rPr>
      </w:pPr>
      <w:r w:rsidRPr="00851774">
        <w:rPr>
          <w:rFonts w:ascii="Century Gothic" w:eastAsia="Calibri" w:hAnsi="Century Gothic" w:cs="Arial"/>
          <w:b/>
          <w:bCs/>
          <w:lang w:val="es-ES_tradnl" w:eastAsia="es-ES_tradnl"/>
        </w:rPr>
        <w:t>Concepto C – 024 de 2024</w:t>
      </w:r>
    </w:p>
    <w:p w14:paraId="63B8702F" w14:textId="77777777" w:rsidR="005B4D3E" w:rsidRPr="00851774" w:rsidRDefault="005B4D3E" w:rsidP="005B4D3E">
      <w:pPr>
        <w:contextualSpacing/>
        <w:jc w:val="both"/>
        <w:rPr>
          <w:rFonts w:ascii="Century Gothic" w:eastAsia="Calibri" w:hAnsi="Century Gothic" w:cs="Arial"/>
          <w:highlight w:val="yellow"/>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B4D3E" w:rsidRPr="00851774" w14:paraId="15BCC13E" w14:textId="77777777" w:rsidTr="001B01B8">
        <w:tc>
          <w:tcPr>
            <w:tcW w:w="2689" w:type="dxa"/>
          </w:tcPr>
          <w:p w14:paraId="35B4B74E" w14:textId="77777777" w:rsidR="005B4D3E" w:rsidRPr="00851774" w:rsidRDefault="005B4D3E" w:rsidP="001B01B8">
            <w:pPr>
              <w:contextualSpacing/>
              <w:jc w:val="both"/>
              <w:rPr>
                <w:rFonts w:ascii="Century Gothic" w:eastAsia="Calibri" w:hAnsi="Century Gothic" w:cs="Arial"/>
                <w:highlight w:val="yellow"/>
                <w:lang w:val="es-ES_tradnl" w:eastAsia="es-ES_tradnl"/>
              </w:rPr>
            </w:pPr>
            <w:r w:rsidRPr="00851774">
              <w:rPr>
                <w:rFonts w:ascii="Century Gothic" w:eastAsia="Calibri" w:hAnsi="Century Gothic" w:cs="Arial"/>
                <w:b/>
                <w:lang w:val="es-ES_tradnl" w:eastAsia="es-ES_tradnl"/>
              </w:rPr>
              <w:t>Temas:</w:t>
            </w:r>
            <w:r w:rsidRPr="00851774">
              <w:rPr>
                <w:rFonts w:ascii="Century Gothic" w:eastAsia="Calibri" w:hAnsi="Century Gothic" w:cs="Arial"/>
                <w:lang w:val="es-ES_tradnl" w:eastAsia="es-ES_tradnl"/>
              </w:rPr>
              <w:t xml:space="preserve">                                      </w:t>
            </w:r>
          </w:p>
        </w:tc>
        <w:tc>
          <w:tcPr>
            <w:tcW w:w="6237" w:type="dxa"/>
          </w:tcPr>
          <w:p w14:paraId="70E90B51" w14:textId="77777777" w:rsidR="005B4D3E" w:rsidRPr="00851774" w:rsidRDefault="005B4D3E" w:rsidP="001B01B8">
            <w:pPr>
              <w:spacing w:after="120"/>
              <w:contextualSpacing/>
              <w:jc w:val="both"/>
              <w:rPr>
                <w:rFonts w:ascii="Century Gothic" w:eastAsia="Calibri" w:hAnsi="Century Gothic" w:cs="Arial"/>
                <w:bCs/>
                <w:lang w:val="es-ES_tradnl" w:eastAsia="es-ES_tradnl"/>
              </w:rPr>
            </w:pPr>
            <w:r w:rsidRPr="00851774">
              <w:rPr>
                <w:rFonts w:ascii="Century Gothic" w:eastAsia="Calibri" w:hAnsi="Century Gothic" w:cs="Arial"/>
                <w:bCs/>
                <w:lang w:val="es-ES_tradnl" w:eastAsia="es-ES_tradnl"/>
              </w:rPr>
              <w:t>DECRETO 092 DE 2017 – Finalidad – Clases de contratos / ASOCIACIONES DE PADRES DE FAMILIA – Contrato de asociación – Objeto – Alcance / MODALIDADES DE SELECCIÓN – Clases / MÍNIMA CUANTÍA – Concepto – Regulación – Requisitos / CONTRATO DE PRESTACIÓN DE SERVICIOS – Fijación de honorarios – Facultad de la entidad – Justificación en estudios previos / CONTRATO DE PRESTACIÓN DE SERVICIOS – Distinción – Contratos de consultoría / SUBSANABILIDAD DE LA OFERTA – Reglas -Artículo 5 de la ley 1150 – Artículo 5 de la ley 1882 de 2018</w:t>
            </w:r>
          </w:p>
          <w:p w14:paraId="3764166A" w14:textId="77777777" w:rsidR="005B4D3E" w:rsidRPr="00851774" w:rsidRDefault="005B4D3E" w:rsidP="001B01B8">
            <w:pPr>
              <w:spacing w:after="120"/>
              <w:contextualSpacing/>
              <w:jc w:val="both"/>
              <w:rPr>
                <w:rFonts w:ascii="Century Gothic" w:eastAsia="Calibri" w:hAnsi="Century Gothic" w:cs="Arial"/>
                <w:bCs/>
                <w:sz w:val="12"/>
                <w:szCs w:val="12"/>
                <w:lang w:val="es-ES_tradnl" w:eastAsia="es-ES_tradnl"/>
              </w:rPr>
            </w:pPr>
          </w:p>
        </w:tc>
      </w:tr>
      <w:tr w:rsidR="005B4D3E" w:rsidRPr="00851774" w14:paraId="273A39FF" w14:textId="77777777" w:rsidTr="001B01B8">
        <w:trPr>
          <w:trHeight w:val="227"/>
        </w:trPr>
        <w:tc>
          <w:tcPr>
            <w:tcW w:w="2689" w:type="dxa"/>
          </w:tcPr>
          <w:p w14:paraId="054E2E1C" w14:textId="77777777" w:rsidR="005B4D3E" w:rsidRPr="00851774" w:rsidRDefault="005B4D3E" w:rsidP="001B01B8">
            <w:pPr>
              <w:contextualSpacing/>
              <w:jc w:val="both"/>
              <w:rPr>
                <w:rFonts w:ascii="Century Gothic" w:eastAsia="Calibri" w:hAnsi="Century Gothic" w:cs="Arial"/>
                <w:b/>
                <w:lang w:val="es-ES_tradnl" w:eastAsia="es-ES_tradnl"/>
              </w:rPr>
            </w:pPr>
            <w:r w:rsidRPr="00851774">
              <w:rPr>
                <w:rFonts w:ascii="Century Gothic" w:eastAsia="Calibri" w:hAnsi="Century Gothic" w:cs="Arial"/>
                <w:b/>
                <w:lang w:val="es-ES_tradnl" w:eastAsia="es-ES_tradnl"/>
              </w:rPr>
              <w:t>Radicación:</w:t>
            </w:r>
            <w:r w:rsidRPr="00851774">
              <w:rPr>
                <w:rFonts w:ascii="Century Gothic" w:eastAsia="Calibri" w:hAnsi="Century Gothic" w:cs="Arial"/>
                <w:lang w:val="es-ES_tradnl" w:eastAsia="es-ES_tradnl"/>
              </w:rPr>
              <w:t xml:space="preserve">                             </w:t>
            </w:r>
          </w:p>
        </w:tc>
        <w:tc>
          <w:tcPr>
            <w:tcW w:w="6237" w:type="dxa"/>
          </w:tcPr>
          <w:p w14:paraId="234B9FB2" w14:textId="77777777" w:rsidR="005B4D3E" w:rsidRPr="00851774" w:rsidRDefault="005B4D3E" w:rsidP="001B01B8">
            <w:pPr>
              <w:contextualSpacing/>
              <w:jc w:val="both"/>
              <w:rPr>
                <w:rFonts w:ascii="Century Gothic" w:eastAsia="Calibri" w:hAnsi="Century Gothic" w:cs="Arial"/>
                <w:lang w:val="es-ES_tradnl" w:eastAsia="es-ES_tradnl"/>
              </w:rPr>
            </w:pPr>
            <w:r w:rsidRPr="00851774">
              <w:rPr>
                <w:rFonts w:ascii="Century Gothic" w:eastAsia="Calibri" w:hAnsi="Century Gothic" w:cs="Arial"/>
                <w:lang w:val="es-ES_tradnl" w:eastAsia="es-ES_tradnl"/>
              </w:rPr>
              <w:t>Respuesta a consulta No. P20240205001133</w:t>
            </w:r>
            <w:r w:rsidRPr="00851774">
              <w:rPr>
                <w:rFonts w:ascii="Century Gothic" w:eastAsia="Calibri" w:hAnsi="Century Gothic" w:cs="Arial"/>
                <w:lang w:val="es-ES_tradnl" w:eastAsia="es-ES_tradnl"/>
              </w:rPr>
              <w:tab/>
            </w:r>
            <w:r w:rsidRPr="00851774">
              <w:rPr>
                <w:rFonts w:ascii="Century Gothic" w:eastAsia="Calibri" w:hAnsi="Century Gothic" w:cs="Arial"/>
                <w:lang w:val="es-ES_tradnl" w:eastAsia="es-ES_tradnl"/>
              </w:rPr>
              <w:tab/>
            </w:r>
          </w:p>
        </w:tc>
      </w:tr>
    </w:tbl>
    <w:p w14:paraId="7FCFA64D" w14:textId="77777777" w:rsidR="005B4D3E" w:rsidRPr="00851774" w:rsidRDefault="005B4D3E" w:rsidP="005B4D3E">
      <w:pPr>
        <w:contextualSpacing/>
        <w:jc w:val="both"/>
        <w:rPr>
          <w:rFonts w:ascii="Century Gothic" w:eastAsia="Calibri" w:hAnsi="Century Gothic" w:cs="Arial"/>
          <w:lang w:val="es-ES_tradnl" w:eastAsia="es-ES_tradnl"/>
        </w:rPr>
      </w:pPr>
    </w:p>
    <w:p w14:paraId="5C2BE0CA" w14:textId="77777777" w:rsidR="005B4D3E" w:rsidRPr="00851774" w:rsidRDefault="005B4D3E" w:rsidP="005B4D3E">
      <w:pPr>
        <w:contextualSpacing/>
        <w:jc w:val="both"/>
        <w:rPr>
          <w:rFonts w:ascii="Century Gothic" w:eastAsia="Calibri" w:hAnsi="Century Gothic" w:cs="Arial"/>
          <w:lang w:val="es-ES_tradnl" w:eastAsia="es-ES_tradnl"/>
        </w:rPr>
      </w:pPr>
    </w:p>
    <w:p w14:paraId="1A5B994D" w14:textId="77777777" w:rsidR="005B4D3E" w:rsidRPr="00851774" w:rsidRDefault="005B4D3E" w:rsidP="005B4D3E">
      <w:pPr>
        <w:contextualSpacing/>
        <w:jc w:val="both"/>
        <w:rPr>
          <w:rFonts w:ascii="Century Gothic" w:eastAsia="Calibri" w:hAnsi="Century Gothic" w:cs="Arial"/>
          <w:lang w:val="es-ES" w:eastAsia="es-ES"/>
        </w:rPr>
      </w:pPr>
      <w:r w:rsidRPr="00851774">
        <w:rPr>
          <w:rFonts w:ascii="Century Gothic" w:eastAsia="Calibri" w:hAnsi="Century Gothic" w:cs="Arial"/>
          <w:lang w:val="es-ES" w:eastAsia="es-ES"/>
        </w:rPr>
        <w:t>Estimada Señora Rueda:</w:t>
      </w:r>
    </w:p>
    <w:p w14:paraId="4714D260" w14:textId="77777777" w:rsidR="005B4D3E" w:rsidRPr="00851774" w:rsidRDefault="005B4D3E" w:rsidP="005B4D3E">
      <w:pPr>
        <w:spacing w:line="276" w:lineRule="auto"/>
        <w:contextualSpacing/>
        <w:jc w:val="both"/>
        <w:rPr>
          <w:rFonts w:ascii="Century Gothic" w:eastAsia="Calibri" w:hAnsi="Century Gothic" w:cs="Arial"/>
          <w:szCs w:val="24"/>
          <w:lang w:val="es-ES_tradnl" w:eastAsia="es-ES_tradnl"/>
        </w:rPr>
      </w:pPr>
    </w:p>
    <w:bookmarkEnd w:id="0"/>
    <w:bookmarkEnd w:id="1"/>
    <w:p w14:paraId="04D77795" w14:textId="77777777" w:rsidR="005B4D3E" w:rsidRPr="00851774" w:rsidRDefault="005B4D3E" w:rsidP="005B4D3E">
      <w:pPr>
        <w:spacing w:after="0" w:line="276" w:lineRule="auto"/>
        <w:jc w:val="both"/>
        <w:rPr>
          <w:rFonts w:ascii="Century Gothic" w:eastAsia="Calibri" w:hAnsi="Century Gothic" w:cs="Arial"/>
          <w:lang w:val="es-ES_tradnl"/>
        </w:rPr>
      </w:pPr>
      <w:r w:rsidRPr="00851774">
        <w:rPr>
          <w:rFonts w:ascii="Century Gothic" w:eastAsia="Calibri" w:hAnsi="Century Gothic" w:cs="Arial"/>
          <w:lang w:val="es-ES_tradnl"/>
        </w:rPr>
        <w:t>En ejercicio de la competencia otorgada por el numeral 5° del artículo 3 y el numeral 8° del artículo 11 del Decreto Ley 4170 de 2011</w:t>
      </w:r>
      <w:bookmarkStart w:id="3" w:name="_Hlk99120496"/>
      <w:r w:rsidRPr="00851774">
        <w:rPr>
          <w:rFonts w:ascii="Century Gothic" w:eastAsia="Arial MT" w:hAnsi="Century Gothic" w:cs="Arial MT"/>
          <w:lang w:val="es-ES"/>
        </w:rPr>
        <w:t xml:space="preserve">, </w:t>
      </w:r>
      <w:bookmarkEnd w:id="3"/>
      <w:r w:rsidRPr="00851774">
        <w:rPr>
          <w:rFonts w:ascii="Century Gothic" w:eastAsia="Calibri" w:hAnsi="Century Gothic" w:cs="Arial"/>
          <w:lang w:val="es-ES_tradnl"/>
        </w:rPr>
        <w:t>la Agencia Nacional de Contratación Pública – Colombia Compra Eficiente– responde su petición recibida el 05 de febrero de 2024.</w:t>
      </w:r>
    </w:p>
    <w:p w14:paraId="59134646" w14:textId="77777777" w:rsidR="005B4D3E" w:rsidRPr="00851774" w:rsidRDefault="005B4D3E" w:rsidP="005B4D3E">
      <w:pPr>
        <w:spacing w:after="0" w:line="276" w:lineRule="auto"/>
        <w:jc w:val="both"/>
        <w:rPr>
          <w:rFonts w:ascii="Century Gothic" w:eastAsia="Calibri" w:hAnsi="Century Gothic" w:cs="Arial"/>
          <w:b/>
          <w:lang w:val="es-ES_tradnl"/>
        </w:rPr>
      </w:pPr>
    </w:p>
    <w:p w14:paraId="537BDFA5" w14:textId="77777777" w:rsidR="005B4D3E" w:rsidRPr="00851774" w:rsidRDefault="005B4D3E" w:rsidP="005B4D3E">
      <w:pPr>
        <w:numPr>
          <w:ilvl w:val="0"/>
          <w:numId w:val="1"/>
        </w:numPr>
        <w:tabs>
          <w:tab w:val="left" w:pos="0"/>
          <w:tab w:val="left" w:pos="142"/>
          <w:tab w:val="left" w:pos="284"/>
        </w:tabs>
        <w:spacing w:after="0" w:line="276" w:lineRule="auto"/>
        <w:ind w:left="0" w:firstLine="0"/>
        <w:contextualSpacing/>
        <w:jc w:val="both"/>
        <w:rPr>
          <w:rFonts w:ascii="Century Gothic" w:eastAsia="Calibri" w:hAnsi="Century Gothic" w:cs="Arial"/>
          <w:b/>
          <w:lang w:val="es-ES_tradnl"/>
        </w:rPr>
      </w:pPr>
      <w:r w:rsidRPr="00851774">
        <w:rPr>
          <w:rFonts w:ascii="Century Gothic" w:eastAsia="Calibri" w:hAnsi="Century Gothic" w:cs="Arial"/>
          <w:b/>
          <w:lang w:val="es-ES_tradnl"/>
        </w:rPr>
        <w:t xml:space="preserve">Problemas planteados </w:t>
      </w:r>
    </w:p>
    <w:p w14:paraId="523F8C37" w14:textId="77777777" w:rsidR="005B4D3E" w:rsidRPr="00851774" w:rsidRDefault="005B4D3E" w:rsidP="005B4D3E">
      <w:pPr>
        <w:tabs>
          <w:tab w:val="left" w:pos="0"/>
          <w:tab w:val="left" w:pos="142"/>
          <w:tab w:val="left" w:pos="284"/>
        </w:tabs>
        <w:spacing w:after="0" w:line="276" w:lineRule="auto"/>
        <w:contextualSpacing/>
        <w:jc w:val="both"/>
        <w:rPr>
          <w:rFonts w:ascii="Century Gothic" w:eastAsia="Calibri" w:hAnsi="Century Gothic" w:cs="Arial"/>
          <w:b/>
          <w:lang w:val="es-ES_tradnl"/>
        </w:rPr>
      </w:pPr>
    </w:p>
    <w:p w14:paraId="6AF2FA90" w14:textId="77777777" w:rsidR="005B4D3E" w:rsidRPr="00851774" w:rsidRDefault="005B4D3E" w:rsidP="005B4D3E">
      <w:pPr>
        <w:tabs>
          <w:tab w:val="left" w:pos="0"/>
          <w:tab w:val="left" w:pos="142"/>
          <w:tab w:val="left" w:pos="284"/>
        </w:tabs>
        <w:spacing w:after="0" w:line="276" w:lineRule="auto"/>
        <w:contextualSpacing/>
        <w:jc w:val="both"/>
        <w:rPr>
          <w:rFonts w:ascii="Century Gothic" w:hAnsi="Century Gothic" w:cs="Arial"/>
          <w:sz w:val="20"/>
          <w:szCs w:val="20"/>
          <w:lang w:val="es-ES_tradnl"/>
        </w:rPr>
      </w:pPr>
      <w:r w:rsidRPr="00851774">
        <w:rPr>
          <w:rFonts w:ascii="Century Gothic" w:eastAsia="Calibri" w:hAnsi="Century Gothic" w:cs="Arial"/>
          <w:bCs/>
          <w:lang w:val="es-ES_tradnl"/>
        </w:rPr>
        <w:t>Usted realiza las siguientes preguntas:</w:t>
      </w:r>
    </w:p>
    <w:p w14:paraId="06834553" w14:textId="77777777" w:rsidR="005B4D3E" w:rsidRPr="00851774" w:rsidRDefault="005B4D3E" w:rsidP="005B4D3E">
      <w:pPr>
        <w:spacing w:after="0" w:line="240" w:lineRule="auto"/>
        <w:jc w:val="both"/>
        <w:rPr>
          <w:rFonts w:ascii="Century Gothic" w:hAnsi="Century Gothic" w:cs="Arial"/>
          <w:lang w:val="es-ES_tradnl"/>
        </w:rPr>
      </w:pPr>
    </w:p>
    <w:p w14:paraId="750740EA" w14:textId="77777777" w:rsidR="005B4D3E" w:rsidRPr="00FE6FD8" w:rsidRDefault="005B4D3E" w:rsidP="005B4D3E">
      <w:pPr>
        <w:spacing w:after="0" w:line="240" w:lineRule="auto"/>
        <w:ind w:left="709" w:right="709"/>
        <w:jc w:val="both"/>
        <w:textAlignment w:val="baseline"/>
        <w:rPr>
          <w:rFonts w:ascii="Century Gothic" w:hAnsi="Century Gothic" w:cs="Arial"/>
          <w:sz w:val="20"/>
          <w:szCs w:val="20"/>
          <w:shd w:val="clear" w:color="auto" w:fill="FFFFFF"/>
        </w:rPr>
      </w:pPr>
      <w:r w:rsidRPr="00FE6FD8">
        <w:rPr>
          <w:rFonts w:ascii="Century Gothic" w:hAnsi="Century Gothic" w:cs="Arial"/>
          <w:sz w:val="20"/>
          <w:szCs w:val="20"/>
          <w:shd w:val="clear" w:color="auto" w:fill="FFFFFF"/>
        </w:rPr>
        <w:t>“1. ¿Se puede entregar subsidios de transporte escolar a la asociación de padres de familia, para que sea la misma asociación de padres de familia quiénes contraten el transporte escolar que requieren sus hijos para llegar a los colegios veredales?</w:t>
      </w:r>
    </w:p>
    <w:p w14:paraId="325240F4" w14:textId="77777777" w:rsidR="005B4D3E" w:rsidRPr="00FE6FD8" w:rsidRDefault="005B4D3E" w:rsidP="005B4D3E">
      <w:pPr>
        <w:spacing w:before="120" w:after="0" w:line="240" w:lineRule="auto"/>
        <w:ind w:left="709" w:right="709"/>
        <w:jc w:val="both"/>
        <w:textAlignment w:val="baseline"/>
        <w:rPr>
          <w:rFonts w:ascii="Century Gothic" w:hAnsi="Century Gothic" w:cs="Arial"/>
          <w:sz w:val="20"/>
          <w:szCs w:val="20"/>
          <w:shd w:val="clear" w:color="auto" w:fill="FFFFFF"/>
        </w:rPr>
      </w:pPr>
      <w:r w:rsidRPr="00FE6FD8">
        <w:rPr>
          <w:rFonts w:ascii="Century Gothic" w:hAnsi="Century Gothic" w:cs="Arial"/>
          <w:sz w:val="20"/>
          <w:szCs w:val="20"/>
          <w:shd w:val="clear" w:color="auto" w:fill="FFFFFF"/>
        </w:rPr>
        <w:t xml:space="preserve">2. ¿Se puede contratar con recursos de cajas menores, por ejemplo; mantenimiento de un aire acondicionado, limpieza de sillas, mantenimiento de computadores, etc. </w:t>
      </w:r>
      <w:proofErr w:type="gramStart"/>
      <w:r w:rsidRPr="00FE6FD8">
        <w:rPr>
          <w:rFonts w:ascii="Century Gothic" w:hAnsi="Century Gothic" w:cs="Arial"/>
          <w:sz w:val="20"/>
          <w:szCs w:val="20"/>
          <w:shd w:val="clear" w:color="auto" w:fill="FFFFFF"/>
        </w:rPr>
        <w:t xml:space="preserve">Evadiendo los procesos de contratación pública que </w:t>
      </w:r>
      <w:r w:rsidRPr="00FE6FD8">
        <w:rPr>
          <w:rFonts w:ascii="Century Gothic" w:hAnsi="Century Gothic" w:cs="Arial"/>
          <w:sz w:val="20"/>
          <w:szCs w:val="20"/>
          <w:shd w:val="clear" w:color="auto" w:fill="FFFFFF"/>
        </w:rPr>
        <w:lastRenderedPageBreak/>
        <w:t>se encuentren en la página, a través del establecimiento de esas cajas menores de una Entidad Pública?</w:t>
      </w:r>
      <w:proofErr w:type="gramEnd"/>
    </w:p>
    <w:p w14:paraId="18929281" w14:textId="77777777" w:rsidR="005B4D3E" w:rsidRPr="00FE6FD8" w:rsidRDefault="005B4D3E" w:rsidP="005B4D3E">
      <w:pPr>
        <w:spacing w:before="120" w:after="0" w:line="240" w:lineRule="auto"/>
        <w:ind w:left="709" w:right="709"/>
        <w:jc w:val="both"/>
        <w:textAlignment w:val="baseline"/>
        <w:rPr>
          <w:rFonts w:ascii="Century Gothic" w:hAnsi="Century Gothic" w:cs="Arial"/>
          <w:sz w:val="20"/>
          <w:szCs w:val="20"/>
          <w:shd w:val="clear" w:color="auto" w:fill="FFFFFF"/>
        </w:rPr>
      </w:pPr>
      <w:r w:rsidRPr="00FE6FD8">
        <w:rPr>
          <w:rFonts w:ascii="Century Gothic" w:hAnsi="Century Gothic" w:cs="Arial"/>
          <w:sz w:val="20"/>
          <w:szCs w:val="20"/>
          <w:shd w:val="clear" w:color="auto" w:fill="FFFFFF"/>
        </w:rPr>
        <w:t xml:space="preserve">3. ¿Un contratista de prestación de servicios, puede tener un sueldo más alto que un </w:t>
      </w:r>
      <w:proofErr w:type="gramStart"/>
      <w:r w:rsidRPr="00FE6FD8">
        <w:rPr>
          <w:rFonts w:ascii="Century Gothic" w:hAnsi="Century Gothic" w:cs="Arial"/>
          <w:sz w:val="20"/>
          <w:szCs w:val="20"/>
          <w:shd w:val="clear" w:color="auto" w:fill="FFFFFF"/>
        </w:rPr>
        <w:t>Alcalde</w:t>
      </w:r>
      <w:proofErr w:type="gramEnd"/>
      <w:r w:rsidRPr="00FE6FD8">
        <w:rPr>
          <w:rFonts w:ascii="Century Gothic" w:hAnsi="Century Gothic" w:cs="Arial"/>
          <w:sz w:val="20"/>
          <w:szCs w:val="20"/>
          <w:shd w:val="clear" w:color="auto" w:fill="FFFFFF"/>
        </w:rPr>
        <w:t xml:space="preserve"> de un municipio de quinta (05) y/o sexta (06) categoría?</w:t>
      </w:r>
    </w:p>
    <w:p w14:paraId="4A0B2BBD" w14:textId="77777777" w:rsidR="005B4D3E" w:rsidRPr="00FE6FD8" w:rsidRDefault="005B4D3E" w:rsidP="005B4D3E">
      <w:pPr>
        <w:spacing w:before="120" w:after="0" w:line="240" w:lineRule="auto"/>
        <w:ind w:left="709" w:right="709"/>
        <w:jc w:val="both"/>
        <w:textAlignment w:val="baseline"/>
        <w:rPr>
          <w:rFonts w:ascii="Century Gothic" w:hAnsi="Century Gothic" w:cs="Arial"/>
          <w:sz w:val="20"/>
          <w:szCs w:val="20"/>
          <w:shd w:val="clear" w:color="auto" w:fill="FFFFFF"/>
        </w:rPr>
      </w:pPr>
      <w:r w:rsidRPr="00FE6FD8">
        <w:rPr>
          <w:rFonts w:ascii="Century Gothic" w:hAnsi="Century Gothic" w:cs="Arial"/>
          <w:sz w:val="20"/>
          <w:szCs w:val="20"/>
          <w:shd w:val="clear" w:color="auto" w:fill="FFFFFF"/>
        </w:rPr>
        <w:t>4. En materia de cobro coactivo ¿le puedo entregar a un particular que realice el cobro coactivo y sustancie actos para que firme el tesorero, para darle a cambio el 16% a título de prima de éxito gracias a su gestión?</w:t>
      </w:r>
    </w:p>
    <w:p w14:paraId="2999D970" w14:textId="77777777" w:rsidR="005B4D3E" w:rsidRPr="00FE6FD8" w:rsidRDefault="005B4D3E" w:rsidP="005B4D3E">
      <w:pPr>
        <w:spacing w:before="120" w:after="0" w:line="240" w:lineRule="auto"/>
        <w:ind w:left="709" w:right="709"/>
        <w:jc w:val="both"/>
        <w:textAlignment w:val="baseline"/>
        <w:rPr>
          <w:rFonts w:ascii="Century Gothic" w:hAnsi="Century Gothic" w:cs="Arial"/>
          <w:sz w:val="20"/>
          <w:szCs w:val="20"/>
          <w:shd w:val="clear" w:color="auto" w:fill="FFFFFF"/>
        </w:rPr>
      </w:pPr>
      <w:r w:rsidRPr="00FE6FD8">
        <w:rPr>
          <w:rFonts w:ascii="Century Gothic" w:hAnsi="Century Gothic" w:cs="Arial"/>
          <w:sz w:val="20"/>
          <w:szCs w:val="20"/>
          <w:shd w:val="clear" w:color="auto" w:fill="FFFFFF"/>
        </w:rPr>
        <w:t>5. A la hora de contratar el PLAN DE DESARROLLO de un Municipio, ¿se puede realizar bajo la modalidad de contratación directa a través de un contrato de prestación de servicios profesionales?</w:t>
      </w:r>
    </w:p>
    <w:p w14:paraId="0E37671F" w14:textId="77777777" w:rsidR="005B4D3E" w:rsidRPr="00FE6FD8" w:rsidRDefault="005B4D3E" w:rsidP="005B4D3E">
      <w:pPr>
        <w:spacing w:before="120" w:after="0" w:line="240" w:lineRule="auto"/>
        <w:ind w:left="709" w:right="709"/>
        <w:jc w:val="both"/>
        <w:textAlignment w:val="baseline"/>
        <w:rPr>
          <w:rFonts w:ascii="Century Gothic" w:hAnsi="Century Gothic" w:cs="Arial"/>
          <w:sz w:val="20"/>
          <w:szCs w:val="20"/>
          <w:shd w:val="clear" w:color="auto" w:fill="FFFFFF"/>
        </w:rPr>
      </w:pPr>
      <w:r w:rsidRPr="00FE6FD8">
        <w:rPr>
          <w:rFonts w:ascii="Century Gothic" w:hAnsi="Century Gothic" w:cs="Arial"/>
          <w:sz w:val="20"/>
          <w:szCs w:val="20"/>
          <w:shd w:val="clear" w:color="auto" w:fill="FFFFFF"/>
        </w:rPr>
        <w:t xml:space="preserve">6. Cuando se presenta una hoja de vida como requisito habilitante en un proceso de Licitación Pública, no cumple en el traslado de la valoración ¿se puede cambiar por otra hoja de vida que sí cumpla, sin que genere una causal de rechazo y sin que se genera una mejora de propuesta?” </w:t>
      </w:r>
      <w:r w:rsidRPr="00790EAE">
        <w:rPr>
          <w:rFonts w:ascii="Century Gothic" w:hAnsi="Century Gothic" w:cs="Arial"/>
          <w:sz w:val="20"/>
          <w:szCs w:val="20"/>
          <w:shd w:val="clear" w:color="auto" w:fill="FFFFFF"/>
        </w:rPr>
        <w:t>[Sic]</w:t>
      </w:r>
      <w:r>
        <w:rPr>
          <w:rFonts w:ascii="Century Gothic" w:hAnsi="Century Gothic" w:cs="Arial"/>
          <w:sz w:val="20"/>
          <w:szCs w:val="20"/>
          <w:shd w:val="clear" w:color="auto" w:fill="FFFFFF"/>
        </w:rPr>
        <w:t>.</w:t>
      </w:r>
    </w:p>
    <w:p w14:paraId="7E7BC409" w14:textId="77777777" w:rsidR="005B4D3E" w:rsidRPr="00851774" w:rsidRDefault="005B4D3E" w:rsidP="005B4D3E">
      <w:pPr>
        <w:spacing w:after="0" w:line="240" w:lineRule="auto"/>
        <w:ind w:left="709" w:right="709"/>
        <w:jc w:val="both"/>
        <w:textAlignment w:val="baseline"/>
        <w:rPr>
          <w:rFonts w:ascii="Century Gothic" w:hAnsi="Century Gothic" w:cs="Arial"/>
          <w:sz w:val="21"/>
          <w:szCs w:val="21"/>
          <w:shd w:val="clear" w:color="auto" w:fill="FFFFFF"/>
        </w:rPr>
      </w:pPr>
    </w:p>
    <w:p w14:paraId="6D1C7AD0" w14:textId="77777777" w:rsidR="005B4D3E" w:rsidRPr="00851774" w:rsidRDefault="005B4D3E" w:rsidP="005B4D3E">
      <w:pPr>
        <w:numPr>
          <w:ilvl w:val="0"/>
          <w:numId w:val="1"/>
        </w:numPr>
        <w:tabs>
          <w:tab w:val="left" w:pos="0"/>
          <w:tab w:val="left" w:pos="284"/>
        </w:tabs>
        <w:spacing w:after="0" w:line="240" w:lineRule="auto"/>
        <w:ind w:left="0" w:firstLine="0"/>
        <w:contextualSpacing/>
        <w:jc w:val="both"/>
        <w:rPr>
          <w:rFonts w:ascii="Century Gothic" w:eastAsia="Calibri" w:hAnsi="Century Gothic" w:cs="Arial"/>
          <w:b/>
          <w:lang w:val="es-ES_tradnl"/>
        </w:rPr>
      </w:pPr>
      <w:r w:rsidRPr="00851774">
        <w:rPr>
          <w:rFonts w:ascii="Century Gothic" w:eastAsia="Calibri" w:hAnsi="Century Gothic" w:cs="Arial"/>
          <w:b/>
          <w:lang w:val="es-ES_tradnl"/>
        </w:rPr>
        <w:t>Consideraciones</w:t>
      </w:r>
    </w:p>
    <w:p w14:paraId="78A06CFA" w14:textId="77777777" w:rsidR="005B4D3E" w:rsidRPr="00851774" w:rsidRDefault="005B4D3E" w:rsidP="005B4D3E">
      <w:pPr>
        <w:spacing w:after="0" w:line="276" w:lineRule="auto"/>
        <w:jc w:val="both"/>
        <w:rPr>
          <w:rFonts w:ascii="Century Gothic" w:eastAsia="Calibri" w:hAnsi="Century Gothic" w:cs="Arial"/>
          <w:lang w:val="es-ES"/>
        </w:rPr>
      </w:pPr>
    </w:p>
    <w:p w14:paraId="3D81B6EB" w14:textId="77777777" w:rsidR="005B4D3E" w:rsidRPr="00851774" w:rsidRDefault="005B4D3E" w:rsidP="005B4D3E">
      <w:pPr>
        <w:spacing w:after="120" w:line="276" w:lineRule="auto"/>
        <w:jc w:val="both"/>
        <w:rPr>
          <w:rFonts w:ascii="Century Gothic" w:eastAsia="Calibri" w:hAnsi="Century Gothic" w:cs="Arial"/>
          <w:lang w:val="es-ES_tradnl"/>
        </w:rPr>
      </w:pPr>
      <w:r w:rsidRPr="00851774">
        <w:rPr>
          <w:rFonts w:ascii="Century Gothic" w:eastAsia="Calibri" w:hAnsi="Century Gothic" w:cs="Arial"/>
          <w:lang w:val="es-ES_tradnl"/>
        </w:rPr>
        <w:t>En ejercicio de las competencias establecidas en los artículos 3, numeral 5° y 11, numeral 8° del Decreto 4170 de 2011, la Agencia Nacional de Contratación Pública – Colombia Compra Eficiente resuelve consultas sobre 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 de todos los partícipes de la contratación estatal.</w:t>
      </w:r>
    </w:p>
    <w:p w14:paraId="34533834" w14:textId="77777777" w:rsidR="005B4D3E" w:rsidRPr="00851774" w:rsidRDefault="005B4D3E" w:rsidP="005B4D3E">
      <w:pPr>
        <w:spacing w:after="120" w:line="276" w:lineRule="auto"/>
        <w:ind w:firstLine="708"/>
        <w:jc w:val="both"/>
        <w:rPr>
          <w:rFonts w:ascii="Century Gothic" w:eastAsia="Calibri" w:hAnsi="Century Gothic" w:cs="Arial"/>
          <w:lang w:val="es-ES_tradnl"/>
        </w:rPr>
      </w:pPr>
      <w:r w:rsidRPr="00851774">
        <w:rPr>
          <w:rFonts w:ascii="Century Gothic" w:eastAsia="Calibri" w:hAnsi="Century Gothic" w:cs="Arial"/>
          <w:lang w:val="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851774">
        <w:rPr>
          <w:rFonts w:ascii="Century Gothic" w:eastAsia="Calibri" w:hAnsi="Century Gothic" w:cs="Arial"/>
          <w:vertAlign w:val="superscript"/>
          <w:lang w:val="es-ES_tradnl"/>
        </w:rPr>
        <w:footnoteReference w:id="1"/>
      </w:r>
      <w:r w:rsidRPr="00851774">
        <w:rPr>
          <w:rFonts w:ascii="Century Gothic" w:eastAsia="Calibri" w:hAnsi="Century Gothic" w:cs="Arial"/>
          <w:vertAlign w:val="superscript"/>
          <w:lang w:val="es-ES_tradnl"/>
        </w:rPr>
        <w:t>.</w:t>
      </w:r>
      <w:r w:rsidRPr="00851774">
        <w:rPr>
          <w:rFonts w:ascii="Century Gothic" w:eastAsia="Calibri" w:hAnsi="Century Gothic" w:cs="Arial"/>
          <w:lang w:val="es-ES_tradnl"/>
        </w:rPr>
        <w:t xml:space="preserve"> Esta competencia de interpretación de normas generales, por definición, no puede extenderse a la resolución de controversias ni brindar asesorías sobre casos puntuales. </w:t>
      </w:r>
    </w:p>
    <w:p w14:paraId="779FECC4" w14:textId="77777777" w:rsidR="005B4D3E" w:rsidRPr="00851774" w:rsidRDefault="005B4D3E" w:rsidP="005B4D3E">
      <w:pPr>
        <w:spacing w:after="120" w:line="276" w:lineRule="auto"/>
        <w:ind w:firstLine="708"/>
        <w:jc w:val="both"/>
        <w:rPr>
          <w:rFonts w:ascii="Century Gothic" w:eastAsia="Calibri" w:hAnsi="Century Gothic" w:cs="Arial"/>
          <w:lang w:val="es-ES_tradnl"/>
        </w:rPr>
      </w:pPr>
      <w:r w:rsidRPr="00851774">
        <w:rPr>
          <w:rFonts w:ascii="Century Gothic" w:eastAsia="Calibri" w:hAnsi="Century Gothic" w:cs="Arial"/>
          <w:lang w:val="es-ES_tradnl"/>
        </w:rPr>
        <w:lastRenderedPageBreak/>
        <w:t xml:space="preserve">En atención a lo anterior, la Subdirección de Gestión Contractual de esta Agencia, dentro de los límites de sus atribuciones –esto es, haciendo abstracción del caso particular expuesto por la peticionaria– resolverá la consulta conforme a las normas generales en materia de contratación estatal, luego de analizar los siguientes temas: i) convenios de asociación regulados en el Decreto 092 de 2017: contratación con las asociaciones de padres de familia; </w:t>
      </w:r>
      <w:proofErr w:type="spellStart"/>
      <w:r w:rsidRPr="00851774">
        <w:rPr>
          <w:rFonts w:ascii="Century Gothic" w:eastAsia="Calibri" w:hAnsi="Century Gothic" w:cs="Arial"/>
          <w:lang w:val="es-ES_tradnl"/>
        </w:rPr>
        <w:t>ii</w:t>
      </w:r>
      <w:proofErr w:type="spellEnd"/>
      <w:r w:rsidRPr="00851774">
        <w:rPr>
          <w:rFonts w:ascii="Century Gothic" w:eastAsia="Calibri" w:hAnsi="Century Gothic" w:cs="Arial"/>
          <w:lang w:val="es-ES_tradnl"/>
        </w:rPr>
        <w:t xml:space="preserve">) </w:t>
      </w:r>
      <w:bookmarkStart w:id="4" w:name="_Hlk160097897"/>
      <w:r w:rsidRPr="00851774">
        <w:rPr>
          <w:rFonts w:ascii="Century Gothic" w:eastAsia="Calibri" w:hAnsi="Century Gothic" w:cs="Arial"/>
          <w:lang w:val="es-ES_tradnl"/>
        </w:rPr>
        <w:t>modalidades de selección de contratistas reguladas en el Estatuto General de Contratación Pública: particularidades de la modalidad de selección de mínima cuantía</w:t>
      </w:r>
      <w:bookmarkEnd w:id="4"/>
      <w:r w:rsidRPr="00851774">
        <w:rPr>
          <w:rFonts w:ascii="Century Gothic" w:eastAsia="Calibri" w:hAnsi="Century Gothic" w:cs="Arial"/>
          <w:lang w:val="es-ES_tradnl"/>
        </w:rPr>
        <w:t xml:space="preserve">; </w:t>
      </w:r>
      <w:proofErr w:type="spellStart"/>
      <w:r w:rsidRPr="00851774">
        <w:rPr>
          <w:rFonts w:ascii="Century Gothic" w:eastAsia="Calibri" w:hAnsi="Century Gothic" w:cs="Arial"/>
          <w:lang w:val="es-ES_tradnl"/>
        </w:rPr>
        <w:t>iii</w:t>
      </w:r>
      <w:proofErr w:type="spellEnd"/>
      <w:r w:rsidRPr="00851774">
        <w:rPr>
          <w:rFonts w:ascii="Century Gothic" w:eastAsia="Calibri" w:hAnsi="Century Gothic" w:cs="Arial"/>
          <w:lang w:val="es-ES_tradnl"/>
        </w:rPr>
        <w:t>) generalidades del contrato de prestación de servicios</w:t>
      </w:r>
      <w:r>
        <w:rPr>
          <w:rFonts w:ascii="Century Gothic" w:eastAsia="Calibri" w:hAnsi="Century Gothic" w:cs="Arial"/>
          <w:lang w:val="es-ES_tradnl"/>
        </w:rPr>
        <w:t xml:space="preserve">; </w:t>
      </w:r>
      <w:proofErr w:type="spellStart"/>
      <w:r>
        <w:rPr>
          <w:rFonts w:ascii="Century Gothic" w:eastAsia="Calibri" w:hAnsi="Century Gothic" w:cs="Arial"/>
          <w:lang w:val="es-ES_tradnl"/>
        </w:rPr>
        <w:t>iv</w:t>
      </w:r>
      <w:proofErr w:type="spellEnd"/>
      <w:r>
        <w:rPr>
          <w:rFonts w:ascii="Century Gothic" w:eastAsia="Calibri" w:hAnsi="Century Gothic" w:cs="Arial"/>
          <w:lang w:val="es-ES_tradnl"/>
        </w:rPr>
        <w:t>)</w:t>
      </w:r>
      <w:r w:rsidRPr="00851774">
        <w:rPr>
          <w:rFonts w:ascii="Century Gothic" w:eastAsia="Calibri" w:hAnsi="Century Gothic" w:cs="Arial"/>
          <w:lang w:val="es-ES_tradnl"/>
        </w:rPr>
        <w:t xml:space="preserve"> distinción del contrato de consultoría; y v) reglas de subsanabilidad de las ofertas en los procesos regulados por el Estatuto General de Contratación de la Administración Pública.</w:t>
      </w:r>
    </w:p>
    <w:p w14:paraId="4D4B1F27" w14:textId="77777777" w:rsidR="005B4D3E" w:rsidRPr="00851774" w:rsidRDefault="005B4D3E" w:rsidP="005B4D3E">
      <w:pPr>
        <w:spacing w:after="120" w:line="276" w:lineRule="auto"/>
        <w:ind w:firstLine="708"/>
        <w:jc w:val="both"/>
        <w:rPr>
          <w:rFonts w:ascii="Century Gothic" w:eastAsia="Calibri" w:hAnsi="Century Gothic" w:cs="Arial"/>
          <w:lang w:val="es-ES_tradnl"/>
        </w:rPr>
      </w:pPr>
      <w:r w:rsidRPr="00851774">
        <w:rPr>
          <w:rFonts w:ascii="Century Gothic" w:eastAsia="Calibri" w:hAnsi="Century Gothic" w:cs="Arial"/>
          <w:lang w:val="es-ES_tradnl"/>
        </w:rPr>
        <w:t>La Agencia Nacional de Contratación Pública – Colombia Compra Eficiente, se ha pronunciado en diferentes conceptos sobre la contratación con entidades privadas sin ánimo de lucro y de reconocida idoneidad –desde ahora ESAL–, con fundamento en el Decreto 092 de 2017, entre otros, en los conceptos, C- 537 del 27 de septiembre de 2021,  C-021 del 22 de febrero de 2022, C-236 del 27 de abril de 2022, C-273 del 6 de mayo de 2022, C-274 del 6 de mayo de 2022, C-291 del 18 de mayo de 2022, C-331 del 24 de mayo de 2022, C-477 del 26 de julio de 2022, C-550 del 31 de agosto de 2022, C-560 del 7 de septiembre de 2022, C-624 del 28 de septiembre de 2022, C-771 del 30 de diciembre de 2022 y C-853 del 9 de diciembre de 2022, C-026 de 16 de marzo de 2023, C-037 de 05 de abril de 2023, C-203 de 21 de junio de 2023, C-003 del 02 de febrero de 2024.</w:t>
      </w:r>
    </w:p>
    <w:p w14:paraId="55F6F010" w14:textId="77777777" w:rsidR="005B4D3E" w:rsidRPr="00851774" w:rsidRDefault="005B4D3E" w:rsidP="005B4D3E">
      <w:pPr>
        <w:spacing w:after="120" w:line="276" w:lineRule="auto"/>
        <w:ind w:firstLine="708"/>
        <w:jc w:val="both"/>
        <w:rPr>
          <w:rFonts w:ascii="Century Gothic" w:eastAsia="Calibri" w:hAnsi="Century Gothic" w:cs="Arial"/>
          <w:lang w:val="es-ES_tradnl"/>
        </w:rPr>
      </w:pPr>
      <w:r w:rsidRPr="00851774">
        <w:rPr>
          <w:rFonts w:ascii="Century Gothic" w:eastAsia="Calibri" w:hAnsi="Century Gothic" w:cs="Arial"/>
          <w:lang w:val="es-ES_tradnl"/>
        </w:rPr>
        <w:t>Así mismo, esta Agencia en los conceptos C-562 del 25 de octubre de 2021, C-625 del 14 de septiembre de 2022, C-927 del 29 de diciembre de 2022, C-393 del 27 de septiembre de 2023, entre otros, estudió la modalidad de selección de mínima cuantía su regulación y las características del procedimiento. De igual forma, sobre las características del contrato de prestación de servicios se pronunció, particularmente en los conceptos C- 936 de 19 de diciembre de 2022, C- 057 de 29 de marzo de 2023, C-102 de 5 de mayo de 2023, C-135 de 25 de mayo de 2023, C-178 de 8 de junio de 2023, C-192 de 13 de junio de 2023, C-334 de 17 de agosto de 2023, C-420 de 10 de octubre de 2023, C-443 de 21 de octubre de 2023, C-472 del 11 de diciembre de 2023. Igualmente, en los conceptos, C- 707 del 17 de enero de 2022, C-052 del 3 de marzo de 2022, C-933 del 9 de febrero de 2023, C-266 del 12 de julio de 2023.</w:t>
      </w:r>
    </w:p>
    <w:p w14:paraId="7D6467EE" w14:textId="77777777" w:rsidR="005B4D3E" w:rsidRPr="00851774" w:rsidRDefault="005B4D3E" w:rsidP="005B4D3E">
      <w:pPr>
        <w:spacing w:after="0" w:line="276" w:lineRule="auto"/>
        <w:ind w:firstLine="708"/>
        <w:jc w:val="both"/>
        <w:rPr>
          <w:rFonts w:ascii="Century Gothic" w:eastAsia="Calibri" w:hAnsi="Century Gothic" w:cs="Arial"/>
          <w:lang w:val="es-ES_tradnl"/>
        </w:rPr>
      </w:pPr>
      <w:r w:rsidRPr="00851774">
        <w:rPr>
          <w:rFonts w:ascii="Century Gothic" w:eastAsia="Calibri" w:hAnsi="Century Gothic" w:cs="Arial"/>
          <w:lang w:val="es-ES_tradnl"/>
        </w:rPr>
        <w:lastRenderedPageBreak/>
        <w:t>Adicionalmente, Colombia Compra Eficiente estudió las reglas de subsanabilidad de las ofertas, entre otros, en los conceptos C–802 del 1 de febrero de 2021, C–010 del 16 de febrero de 2021, C–217 del 14 de mayo de 2021, C–250 del 2 de junio de 2021, C-877 del 22 de diciembre de 2022, C-058 del 10 de mayo de 2023, C-125 del 11 de mayo de 2023 y C-265 del 26 de julio de 2023, C-409 del 20 de noviembre de 2023</w:t>
      </w:r>
      <w:r w:rsidRPr="00851774">
        <w:rPr>
          <w:rFonts w:ascii="Century Gothic" w:eastAsia="Calibri" w:hAnsi="Century Gothic" w:cs="Arial"/>
          <w:vertAlign w:val="superscript"/>
          <w:lang w:val="es-ES_tradnl"/>
        </w:rPr>
        <w:footnoteReference w:id="2"/>
      </w:r>
      <w:r w:rsidRPr="00851774">
        <w:rPr>
          <w:rFonts w:ascii="Century Gothic" w:eastAsia="Calibri" w:hAnsi="Century Gothic" w:cs="Arial"/>
          <w:lang w:val="es-ES_tradnl"/>
        </w:rPr>
        <w:t>.Las tesis propuestas en tales conceptos se reiteran a continuación y se complementan en lo pertinente.</w:t>
      </w:r>
    </w:p>
    <w:p w14:paraId="0FF418AA" w14:textId="77777777" w:rsidR="005B4D3E" w:rsidRPr="00851774" w:rsidRDefault="005B4D3E" w:rsidP="005B4D3E">
      <w:pPr>
        <w:widowControl w:val="0"/>
        <w:autoSpaceDE w:val="0"/>
        <w:autoSpaceDN w:val="0"/>
        <w:spacing w:after="0" w:line="276" w:lineRule="auto"/>
        <w:ind w:firstLine="708"/>
        <w:jc w:val="both"/>
        <w:rPr>
          <w:rFonts w:ascii="Century Gothic" w:hAnsi="Century Gothic" w:cs="Arial"/>
          <w:b/>
          <w:lang w:val="es-MX"/>
        </w:rPr>
      </w:pPr>
    </w:p>
    <w:p w14:paraId="2262E755" w14:textId="77777777" w:rsidR="005B4D3E" w:rsidRPr="00851774" w:rsidRDefault="005B4D3E" w:rsidP="005B4D3E">
      <w:pPr>
        <w:spacing w:after="0" w:line="276" w:lineRule="auto"/>
        <w:contextualSpacing/>
        <w:jc w:val="both"/>
        <w:rPr>
          <w:rFonts w:ascii="Century Gothic" w:eastAsia="Arial" w:hAnsi="Century Gothic" w:cs="Arial"/>
          <w:b/>
          <w:bCs/>
          <w:lang w:val="es-ES_tradnl" w:eastAsia="es-ES_tradnl"/>
        </w:rPr>
      </w:pPr>
      <w:bookmarkStart w:id="5" w:name="_Hlk73970609"/>
      <w:r w:rsidRPr="00851774">
        <w:rPr>
          <w:rFonts w:ascii="Century Gothic" w:eastAsia="Arial" w:hAnsi="Century Gothic" w:cs="Arial"/>
          <w:b/>
          <w:bCs/>
          <w:lang w:val="es-ES_tradnl" w:eastAsia="es-ES_tradnl"/>
        </w:rPr>
        <w:t>2.1. Convenios de asociación regulados en el Decreto 092 de 2017: contratación con las asociaciones de padres de familia</w:t>
      </w:r>
    </w:p>
    <w:p w14:paraId="47517CD9" w14:textId="77777777" w:rsidR="005B4D3E" w:rsidRPr="00851774" w:rsidRDefault="005B4D3E" w:rsidP="005B4D3E">
      <w:pPr>
        <w:spacing w:after="0" w:line="276" w:lineRule="auto"/>
        <w:contextualSpacing/>
        <w:jc w:val="both"/>
        <w:rPr>
          <w:rFonts w:ascii="Century Gothic" w:eastAsia="Arial" w:hAnsi="Century Gothic" w:cs="Arial"/>
          <w:b/>
          <w:bCs/>
          <w:lang w:val="es-ES_tradnl" w:eastAsia="es-ES_tradnl"/>
        </w:rPr>
      </w:pPr>
    </w:p>
    <w:p w14:paraId="1C2F69ED" w14:textId="77777777" w:rsidR="005B4D3E" w:rsidRPr="00851774" w:rsidRDefault="005B4D3E" w:rsidP="005B4D3E">
      <w:pPr>
        <w:spacing w:after="0" w:line="276" w:lineRule="auto"/>
        <w:jc w:val="both"/>
        <w:rPr>
          <w:rFonts w:ascii="Century Gothic" w:eastAsia="Calibri" w:hAnsi="Century Gothic" w:cs="Arial"/>
          <w:lang w:val="es-ES_tradnl"/>
        </w:rPr>
      </w:pPr>
      <w:r w:rsidRPr="00851774">
        <w:rPr>
          <w:rFonts w:ascii="Century Gothic" w:eastAsia="Calibri" w:hAnsi="Century Gothic" w:cs="Arial"/>
          <w:lang w:val="es-ES_tradn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Sin Ánimo de Lucro, en adelante ESAL, con el fin de impulsar programas y actividades de interés público acordes con el Plan Nacional y los planes seccionales de desarrollo</w:t>
      </w:r>
      <w:r w:rsidRPr="00851774">
        <w:rPr>
          <w:rFonts w:ascii="Century Gothic" w:eastAsia="Calibri" w:hAnsi="Century Gothic" w:cs="Arial"/>
          <w:lang w:val="es-ES_tradnl"/>
        </w:rPr>
        <w:footnoteReference w:id="3"/>
      </w:r>
      <w:r w:rsidRPr="00851774">
        <w:rPr>
          <w:rFonts w:ascii="Century Gothic" w:eastAsia="Calibri" w:hAnsi="Century Gothic" w:cs="Arial"/>
          <w:lang w:val="es-ES_tradnl"/>
        </w:rPr>
        <w:t>.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Pr="00851774">
        <w:rPr>
          <w:rFonts w:ascii="Century Gothic" w:eastAsia="Calibri" w:hAnsi="Century Gothic" w:cs="Arial"/>
          <w:lang w:val="es-ES_tradnl"/>
        </w:rPr>
        <w:footnoteReference w:id="4"/>
      </w:r>
      <w:r w:rsidRPr="00851774">
        <w:rPr>
          <w:rFonts w:ascii="Century Gothic" w:eastAsia="Calibri" w:hAnsi="Century Gothic" w:cs="Arial"/>
          <w:lang w:val="es-ES_tradnl"/>
        </w:rPr>
        <w:t>.</w:t>
      </w:r>
    </w:p>
    <w:p w14:paraId="61FF5B73" w14:textId="77777777" w:rsidR="005B4D3E" w:rsidRPr="00851774" w:rsidRDefault="005B4D3E" w:rsidP="005B4D3E">
      <w:pPr>
        <w:spacing w:after="120" w:line="276" w:lineRule="auto"/>
        <w:ind w:firstLine="709"/>
        <w:jc w:val="both"/>
        <w:rPr>
          <w:rFonts w:ascii="Century Gothic" w:eastAsia="Calibri" w:hAnsi="Century Gothic" w:cs="Arial"/>
          <w:lang w:val="es-ES_tradnl"/>
        </w:rPr>
      </w:pPr>
      <w:r w:rsidRPr="00851774">
        <w:rPr>
          <w:rFonts w:ascii="Century Gothic" w:eastAsia="Calibri" w:hAnsi="Century Gothic" w:cs="Arial"/>
          <w:lang w:val="es-ES_tradnl"/>
        </w:rPr>
        <w:t xml:space="preserve">El Decreto 092 de 2017 dispone las reglas para las contrataciones que realicen las Entidades Estatales con las ESAL. El Decreto regula dos (2) eventos: i) los contratos del artículo 355 de la Constitución Política con el fin de impulsar </w:t>
      </w:r>
      <w:r w:rsidRPr="00851774">
        <w:rPr>
          <w:rFonts w:ascii="Century Gothic" w:eastAsia="Calibri" w:hAnsi="Century Gothic" w:cs="Arial"/>
          <w:lang w:val="es-ES_tradnl"/>
        </w:rPr>
        <w:lastRenderedPageBreak/>
        <w:t xml:space="preserve">programas y actividades de interés público de acuerdo con el Plan Nacional o los planes seccionales de desarrollo; y </w:t>
      </w:r>
      <w:proofErr w:type="spellStart"/>
      <w:r w:rsidRPr="00851774">
        <w:rPr>
          <w:rFonts w:ascii="Century Gothic" w:eastAsia="Calibri" w:hAnsi="Century Gothic" w:cs="Arial"/>
          <w:lang w:val="es-ES_tradnl"/>
        </w:rPr>
        <w:t>ii</w:t>
      </w:r>
      <w:proofErr w:type="spellEnd"/>
      <w:r w:rsidRPr="00851774">
        <w:rPr>
          <w:rFonts w:ascii="Century Gothic" w:eastAsia="Calibri" w:hAnsi="Century Gothic" w:cs="Arial"/>
          <w:lang w:val="es-ES_tradnl"/>
        </w:rPr>
        <w:t>) los convenios de asociación, para el desarrollo conjunto de actividades relacionadas con las funciones de las Entidades Estatales, en desarrollo del artículo 96 de la Ley 489 de 1998.</w:t>
      </w:r>
    </w:p>
    <w:p w14:paraId="1C642704" w14:textId="77777777" w:rsidR="005B4D3E" w:rsidRPr="00851774" w:rsidRDefault="005B4D3E" w:rsidP="005B4D3E">
      <w:pPr>
        <w:spacing w:after="120" w:line="276" w:lineRule="auto"/>
        <w:ind w:firstLine="709"/>
        <w:jc w:val="both"/>
        <w:rPr>
          <w:rFonts w:ascii="Century Gothic" w:eastAsia="Calibri" w:hAnsi="Century Gothic" w:cs="Arial"/>
          <w:lang w:val="es-ES_tradnl"/>
        </w:rPr>
      </w:pPr>
      <w:r w:rsidRPr="00851774">
        <w:rPr>
          <w:rFonts w:ascii="Century Gothic" w:eastAsia="Calibri" w:hAnsi="Century Gothic" w:cs="Arial"/>
          <w:lang w:val="es-ES_tradnl"/>
        </w:rPr>
        <w:t xml:space="preserve">Los contratos del artículo 355 de la Constitución Política, tiene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092 de 2017, por regla general, la entidad debe adelantar un proceso competitivo para seleccionar la ESAL contratista. En particular, debe verificar el cumplimiento de los siguientes requisitos: i) que el objeto del contrato corresponda a programas y actividades de interés público acordes con el Plan Nacional o Seccional de Desarrollo; y </w:t>
      </w:r>
      <w:proofErr w:type="spellStart"/>
      <w:r w:rsidRPr="00851774">
        <w:rPr>
          <w:rFonts w:ascii="Century Gothic" w:eastAsia="Calibri" w:hAnsi="Century Gothic" w:cs="Arial"/>
          <w:lang w:val="es-ES_tradnl"/>
        </w:rPr>
        <w:t>ii</w:t>
      </w:r>
      <w:proofErr w:type="spellEnd"/>
      <w:r w:rsidRPr="00851774">
        <w:rPr>
          <w:rFonts w:ascii="Century Gothic" w:eastAsia="Calibri" w:hAnsi="Century Gothic" w:cs="Arial"/>
          <w:lang w:val="es-ES_tradnl"/>
        </w:rPr>
        <w:t>) que no haya una contraprestación directa a favor de la Entidad Estatal, es decir, que el programa o actividad a desarrollar esté dirigida al beneficio de la población en general, ya que cuando se adquieren bienes y servicios o se ejecutan obras en una relación conmutativa, las normas aplicables son las del Estatuto General de Contratación de la Administración Pública, en adelante EGCAP.</w:t>
      </w:r>
    </w:p>
    <w:p w14:paraId="49398EEE" w14:textId="77777777" w:rsidR="005B4D3E" w:rsidRPr="00851774" w:rsidRDefault="005B4D3E" w:rsidP="005B4D3E">
      <w:pPr>
        <w:spacing w:before="120" w:after="0" w:line="276" w:lineRule="auto"/>
        <w:ind w:firstLine="709"/>
        <w:jc w:val="both"/>
        <w:rPr>
          <w:rFonts w:ascii="Century Gothic" w:eastAsia="Calibri" w:hAnsi="Century Gothic" w:cs="Arial"/>
          <w:lang w:val="es-ES_tradnl"/>
        </w:rPr>
      </w:pPr>
      <w:r w:rsidRPr="00851774">
        <w:rPr>
          <w:rFonts w:ascii="Century Gothic" w:eastAsia="Calibri" w:hAnsi="Century Gothic" w:cs="Arial"/>
          <w:lang w:val="es-ES_tradnl"/>
        </w:rPr>
        <w:t>De otro lado, los convenios de asociación, los cuales se relacionan con el objeto bajo consulta, “[t]</w:t>
      </w:r>
      <w:proofErr w:type="spellStart"/>
      <w:r w:rsidRPr="00851774">
        <w:rPr>
          <w:rFonts w:ascii="Century Gothic" w:eastAsia="Calibri" w:hAnsi="Century Gothic" w:cs="Arial"/>
          <w:lang w:val="es-ES_tradnl"/>
        </w:rPr>
        <w:t>ienen</w:t>
      </w:r>
      <w:proofErr w:type="spellEnd"/>
      <w:r w:rsidRPr="00851774">
        <w:rPr>
          <w:rFonts w:ascii="Century Gothic" w:eastAsia="Calibri" w:hAnsi="Century Gothic" w:cs="Arial"/>
          <w:lang w:val="es-ES_tradnl"/>
        </w:rPr>
        <w:t xml:space="preserve"> como finalidad que la entidad estatal, cualquiera que sea su naturaleza y ordenamiento administrativo, se asocien con personas jurídicas particulares para el desarrollo conjunto de actividades relacionadas con los cometidos y funciones asignadas a aquellas conforme a la Constitución y a la Ley”</w:t>
      </w:r>
      <w:r w:rsidRPr="00FE6FD8">
        <w:rPr>
          <w:rFonts w:ascii="Century Gothic" w:eastAsia="Calibri" w:hAnsi="Century Gothic" w:cs="Arial"/>
          <w:vertAlign w:val="superscript"/>
          <w:lang w:val="es-ES_tradnl"/>
        </w:rPr>
        <w:footnoteReference w:id="5"/>
      </w:r>
      <w:r w:rsidRPr="00851774">
        <w:rPr>
          <w:rFonts w:ascii="Century Gothic" w:eastAsia="Calibri" w:hAnsi="Century Gothic" w:cs="Arial"/>
          <w:lang w:val="es-ES_tradnl"/>
        </w:rPr>
        <w:t>.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toral del convenio</w:t>
      </w:r>
      <w:r w:rsidRPr="00851774">
        <w:rPr>
          <w:rFonts w:ascii="Century Gothic" w:eastAsia="Calibri" w:hAnsi="Century Gothic" w:cs="Arial"/>
          <w:vertAlign w:val="superscript"/>
          <w:lang w:val="es-ES_tradnl"/>
        </w:rPr>
        <w:footnoteReference w:id="6"/>
      </w:r>
      <w:r w:rsidRPr="00851774">
        <w:rPr>
          <w:rFonts w:ascii="Century Gothic" w:eastAsia="Calibri" w:hAnsi="Century Gothic" w:cs="Arial"/>
          <w:vertAlign w:val="superscript"/>
          <w:lang w:val="es-ES_tradnl"/>
        </w:rPr>
        <w:t>.</w:t>
      </w:r>
      <w:r w:rsidRPr="00851774">
        <w:rPr>
          <w:rFonts w:ascii="Century Gothic" w:eastAsia="Calibri" w:hAnsi="Century Gothic" w:cs="Arial"/>
          <w:lang w:val="es-ES_tradnl"/>
        </w:rPr>
        <w:t xml:space="preserve"> El convenio de asociación no es conmutativo y, por tanto, la entidad </w:t>
      </w:r>
      <w:r w:rsidRPr="00851774">
        <w:rPr>
          <w:rFonts w:ascii="Century Gothic" w:eastAsia="Calibri" w:hAnsi="Century Gothic" w:cs="Arial"/>
          <w:lang w:val="es-ES_tradnl"/>
        </w:rPr>
        <w:lastRenderedPageBreak/>
        <w:t>no instruye al contratista para desarrollar los programas o actividades previstas, sino que se asocia con él para el cumplimiento de objetivos comunes</w:t>
      </w:r>
      <w:r w:rsidRPr="00851774">
        <w:rPr>
          <w:rFonts w:ascii="Century Gothic" w:eastAsia="Calibri" w:hAnsi="Century Gothic" w:cs="Arial"/>
          <w:lang w:val="es-ES_tradnl"/>
        </w:rPr>
        <w:footnoteReference w:id="7"/>
      </w:r>
      <w:r w:rsidRPr="00851774">
        <w:rPr>
          <w:rFonts w:ascii="Century Gothic" w:eastAsia="Calibri" w:hAnsi="Century Gothic" w:cs="Arial"/>
          <w:lang w:val="es-ES_tradnl"/>
        </w:rPr>
        <w:t>.</w:t>
      </w:r>
    </w:p>
    <w:p w14:paraId="402D2F6E" w14:textId="77777777" w:rsidR="005B4D3E" w:rsidRPr="00851774" w:rsidRDefault="005B4D3E" w:rsidP="005B4D3E">
      <w:pPr>
        <w:spacing w:before="120" w:after="0" w:line="276" w:lineRule="auto"/>
        <w:ind w:firstLine="709"/>
        <w:jc w:val="both"/>
        <w:rPr>
          <w:rFonts w:ascii="Century Gothic" w:eastAsia="Calibri" w:hAnsi="Century Gothic" w:cs="Arial"/>
          <w:lang w:val="es-ES_tradnl"/>
        </w:rPr>
      </w:pPr>
      <w:r w:rsidRPr="00851774">
        <w:rPr>
          <w:rFonts w:ascii="Century Gothic" w:eastAsia="Calibri" w:hAnsi="Century Gothic" w:cs="Arial"/>
          <w:lang w:val="es-ES_tradnl"/>
        </w:rPr>
        <w:t>La normativa vigente no impide que varias entidades suscriban conjuntamente el convenio de asociación y tampoco que dos o más ESAL puedan hacerlo a través de las figuras asociativas autorizadas por la ley, por ejemplo, como unión temporal o como consorcio.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las ESAL, aporte al menos el treinta por ciento (30%) del valor del convenio para celebrarlo directamente. Además, en atención al inciso 2 del artículo 5 del Decreto 092 de 2017, deben asegurarse de que no haya otras ESAL que ofrezcan su compromiso de recursos en dinero en una proporción no inferior al 30% del valor total del convenio. En caso de que sí, la entidad deberá seleccionar objetivamente con cual asociarse.</w:t>
      </w:r>
    </w:p>
    <w:p w14:paraId="2081692D" w14:textId="77777777" w:rsidR="005B4D3E" w:rsidRPr="00851774" w:rsidRDefault="005B4D3E" w:rsidP="005B4D3E">
      <w:pPr>
        <w:spacing w:after="0" w:line="276" w:lineRule="auto"/>
        <w:ind w:firstLine="708"/>
        <w:jc w:val="both"/>
        <w:rPr>
          <w:rFonts w:ascii="Century Gothic" w:eastAsia="Calibri" w:hAnsi="Century Gothic" w:cs="Arial"/>
          <w:lang w:val="es-ES_tradnl"/>
        </w:rPr>
      </w:pPr>
      <w:r w:rsidRPr="00851774">
        <w:rPr>
          <w:rFonts w:ascii="Century Gothic" w:eastAsia="Calibri" w:hAnsi="Century Gothic" w:cs="Arial"/>
          <w:lang w:val="es-ES_tradnl"/>
        </w:rPr>
        <w:t xml:space="preserve">La noción “seleccionar de forma objetiva”, contenida en la disposición sub examine no puede ser entendida como una remisión total a la Leyes 80 de 1993 y 1150 de 2007. A lo que se refiere la norma es que la Entidad Estatal debe diseñar herramientas que permitan una comparación objetiva de las ESAL para seleccionar objetivamente a aquella que tenga las mejores condiciones para alcanzar el resultado esperado con el proyecto de cooperación. Por ello, la entidad puede tomar la decisión de acudir a los procesos de selección de contratistas que </w:t>
      </w:r>
      <w:r w:rsidRPr="00851774">
        <w:rPr>
          <w:rFonts w:ascii="Century Gothic" w:eastAsia="Calibri" w:hAnsi="Century Gothic" w:cs="Arial"/>
          <w:lang w:val="es-ES_tradnl"/>
        </w:rPr>
        <w:lastRenderedPageBreak/>
        <w:t>establece el EGCAP o, incluso, al trámite que regula el inciso 2 del artículo 2 del Decreto 092 de 2017.</w:t>
      </w:r>
    </w:p>
    <w:p w14:paraId="1FACB180" w14:textId="77777777" w:rsidR="005B4D3E" w:rsidRPr="00851774" w:rsidRDefault="005B4D3E" w:rsidP="005B4D3E">
      <w:pPr>
        <w:spacing w:before="120" w:after="0" w:line="276" w:lineRule="auto"/>
        <w:ind w:firstLine="709"/>
        <w:jc w:val="both"/>
        <w:rPr>
          <w:rFonts w:ascii="Century Gothic" w:eastAsia="Calibri" w:hAnsi="Century Gothic" w:cs="Arial"/>
          <w:lang w:val="es-ES_tradnl"/>
        </w:rPr>
      </w:pPr>
      <w:r w:rsidRPr="00851774">
        <w:rPr>
          <w:rFonts w:ascii="Century Gothic" w:eastAsia="Calibri" w:hAnsi="Century Gothic" w:cs="Arial"/>
          <w:lang w:val="es-ES_tradnl"/>
        </w:rPr>
        <w:t xml:space="preserve">Ahora bien, teniendo en cuenta su pregunta número 1, es decir, </w:t>
      </w:r>
      <w:bookmarkStart w:id="7" w:name="_Hlk160179086"/>
      <w:r w:rsidRPr="00851774">
        <w:rPr>
          <w:rFonts w:ascii="Century Gothic" w:eastAsia="Calibri" w:hAnsi="Century Gothic" w:cs="Arial"/>
          <w:lang w:val="es-ES_tradnl"/>
        </w:rPr>
        <w:t xml:space="preserve">en lo referente a la “contratación con las asociaciones de padres de familia”, resulta importante aclarar que esta figura se encuentra regulada por el artículo 9 del Decreto 1286 de 2005, el cual la describe como </w:t>
      </w:r>
      <w:r w:rsidRPr="00FE6FD8">
        <w:rPr>
          <w:rFonts w:ascii="Century Gothic" w:eastAsia="Calibri" w:hAnsi="Century Gothic" w:cs="Arial"/>
          <w:i/>
          <w:iCs/>
          <w:lang w:val="es-ES_tradnl"/>
        </w:rPr>
        <w:t>“[…] una entidad de jurídica de derecho privado, sin ánimo de lucro, que se constituye por la decisión libre y voluntaria de los padres de familia de los estudiantes matriculados en un establecimiento educativo”</w:t>
      </w:r>
      <w:r w:rsidRPr="00851774">
        <w:rPr>
          <w:rFonts w:ascii="Century Gothic" w:eastAsia="Calibri" w:hAnsi="Century Gothic" w:cs="Arial"/>
          <w:lang w:val="es-ES_tradnl"/>
        </w:rPr>
        <w:t xml:space="preserve"> [Énfasis fuera de texto]. De acuerdo con lo anterior, al considerarse las asociaciones de padres de familia como ESAL, las Entidades Estatales se encuentran facultadas para suscribir con estas, bajo el régimen señalado en el Decreto 092 de 2017, convenios de asociación para el desarrollo conjunto de actividades relacionadas con los cometidos y funciones asignadas a aquellas conforme a la Constitución y a la ley.</w:t>
      </w:r>
    </w:p>
    <w:p w14:paraId="3F224049" w14:textId="77777777" w:rsidR="005B4D3E" w:rsidRPr="00851774" w:rsidRDefault="005B4D3E" w:rsidP="005B4D3E">
      <w:pPr>
        <w:spacing w:before="120" w:after="0" w:line="276" w:lineRule="auto"/>
        <w:ind w:firstLine="709"/>
        <w:jc w:val="both"/>
        <w:rPr>
          <w:rFonts w:ascii="Century Gothic" w:eastAsia="Calibri" w:hAnsi="Century Gothic" w:cs="Arial"/>
          <w:lang w:val="es-ES_tradnl"/>
        </w:rPr>
      </w:pPr>
      <w:r w:rsidRPr="00851774">
        <w:rPr>
          <w:rFonts w:ascii="Century Gothic" w:eastAsia="Calibri" w:hAnsi="Century Gothic" w:cs="Arial"/>
          <w:lang w:val="es-ES_tradnl"/>
        </w:rPr>
        <w:t xml:space="preserve">Sin embargo, para ello, esto es, suscribir convenios de asociación con las asociaciones de padres de familia, las Entidades Estatales deberán tener en cuenta lo siguiente: i) la asociación de padres de familia deberá encontrarse legalmente constituida, según las reglas dispuestas en el inciso segundo del artículo 9 del Decreto 1286 de 2005; </w:t>
      </w:r>
      <w:proofErr w:type="spellStart"/>
      <w:r w:rsidRPr="00851774">
        <w:rPr>
          <w:rFonts w:ascii="Century Gothic" w:eastAsia="Calibri" w:hAnsi="Century Gothic" w:cs="Arial"/>
          <w:lang w:val="es-ES_tradnl"/>
        </w:rPr>
        <w:t>ii</w:t>
      </w:r>
      <w:proofErr w:type="spellEnd"/>
      <w:r w:rsidRPr="00851774">
        <w:rPr>
          <w:rFonts w:ascii="Century Gothic" w:eastAsia="Calibri" w:hAnsi="Century Gothic" w:cs="Arial"/>
          <w:lang w:val="es-ES_tradnl"/>
        </w:rPr>
        <w:t xml:space="preserve">) el objeto contractual del convenio de asociación, deberá guardar afinidad con las funciones y cometidos de la entidad pública, según la Constitución y la ley; </w:t>
      </w:r>
      <w:proofErr w:type="spellStart"/>
      <w:r w:rsidRPr="00851774">
        <w:rPr>
          <w:rFonts w:ascii="Century Gothic" w:eastAsia="Calibri" w:hAnsi="Century Gothic" w:cs="Arial"/>
          <w:lang w:val="es-ES_tradnl"/>
        </w:rPr>
        <w:t>iii</w:t>
      </w:r>
      <w:proofErr w:type="spellEnd"/>
      <w:r w:rsidRPr="00851774">
        <w:rPr>
          <w:rFonts w:ascii="Century Gothic" w:eastAsia="Calibri" w:hAnsi="Century Gothic" w:cs="Arial"/>
          <w:lang w:val="es-ES_tradnl"/>
        </w:rPr>
        <w:t>) deberán observarse las prohibiciones dispuestas en el artículo 12 ibidem para las asociaciones de padres de familia, esto, con el fin de que el desarrollo de las actividades objeto del convenio, no excedan los límites señalados en tal disposición, puesto que, particularmente en su literal c), establece que estas asociaciones tienen prohibido “[a]sumir las competencias y funciones propias de las autoridades y demás organismos colectivos del establecimiento educativo, o aquellas propias de los organismos y entidades de fiscalización, evaluación, inspección y vigilancia del sector educativo”.</w:t>
      </w:r>
      <w:bookmarkEnd w:id="7"/>
      <w:r>
        <w:rPr>
          <w:rFonts w:ascii="Century Gothic" w:eastAsia="Calibri" w:hAnsi="Century Gothic" w:cs="Arial"/>
          <w:lang w:val="es-ES_tradnl"/>
        </w:rPr>
        <w:t xml:space="preserve"> </w:t>
      </w:r>
      <w:r w:rsidRPr="00851774">
        <w:rPr>
          <w:rFonts w:ascii="Century Gothic" w:eastAsia="Calibri" w:hAnsi="Century Gothic" w:cs="Arial"/>
          <w:lang w:val="es-ES_tradnl"/>
        </w:rPr>
        <w:t xml:space="preserve">En ese contexto, las entidades públicas que pretendan suscribir convenios de asociación con las asociaciones de padres de familia, también considerados como ESAL, deberán tener en cuenta lo indicado en el párrafo anterior y lo dispuesto en el artículo 5 del Decreto 092 de 2017. </w:t>
      </w:r>
    </w:p>
    <w:p w14:paraId="2009009F" w14:textId="77777777" w:rsidR="005B4D3E" w:rsidRPr="00851774" w:rsidRDefault="005B4D3E" w:rsidP="005B4D3E">
      <w:pPr>
        <w:spacing w:after="0" w:line="276" w:lineRule="auto"/>
        <w:jc w:val="both"/>
        <w:rPr>
          <w:rFonts w:ascii="Century Gothic" w:eastAsia="Arial" w:hAnsi="Century Gothic" w:cs="Arial"/>
        </w:rPr>
      </w:pPr>
    </w:p>
    <w:p w14:paraId="14698DE9" w14:textId="77777777" w:rsidR="005B4D3E" w:rsidRPr="00851774" w:rsidRDefault="005B4D3E" w:rsidP="005B4D3E">
      <w:pPr>
        <w:spacing w:after="0" w:line="276" w:lineRule="auto"/>
        <w:jc w:val="both"/>
        <w:rPr>
          <w:rFonts w:ascii="Century Gothic" w:eastAsia="Arial" w:hAnsi="Century Gothic" w:cs="Arial"/>
          <w:b/>
          <w:bCs/>
        </w:rPr>
      </w:pPr>
      <w:r w:rsidRPr="00851774">
        <w:rPr>
          <w:rFonts w:ascii="Century Gothic" w:eastAsia="Arial" w:hAnsi="Century Gothic" w:cs="Arial"/>
          <w:b/>
          <w:bCs/>
        </w:rPr>
        <w:t>2.2. Modalidades de selección de contratistas reguladas en el Estatuto General de Contratación Pública: particularidades de la modalidad de selección de mínima cuantía. Reiteración de línea</w:t>
      </w:r>
    </w:p>
    <w:p w14:paraId="3075D553" w14:textId="77777777" w:rsidR="005B4D3E" w:rsidRPr="00851774" w:rsidRDefault="005B4D3E" w:rsidP="005B4D3E">
      <w:pPr>
        <w:spacing w:after="0" w:line="276" w:lineRule="auto"/>
        <w:jc w:val="both"/>
        <w:rPr>
          <w:rFonts w:ascii="Century Gothic" w:eastAsia="Arial" w:hAnsi="Century Gothic" w:cs="Arial"/>
        </w:rPr>
      </w:pPr>
    </w:p>
    <w:p w14:paraId="3385950A" w14:textId="77777777" w:rsidR="005B4D3E" w:rsidRPr="00851774" w:rsidRDefault="005B4D3E" w:rsidP="005B4D3E">
      <w:pPr>
        <w:spacing w:after="0" w:line="276" w:lineRule="auto"/>
        <w:jc w:val="both"/>
        <w:rPr>
          <w:rFonts w:ascii="Century Gothic" w:eastAsia="Calibri" w:hAnsi="Century Gothic" w:cs="Arial"/>
          <w:lang w:val="es-ES_tradnl"/>
        </w:rPr>
      </w:pPr>
      <w:r w:rsidRPr="00851774">
        <w:rPr>
          <w:rFonts w:ascii="Century Gothic" w:eastAsia="Calibri" w:hAnsi="Century Gothic" w:cs="Arial"/>
          <w:lang w:val="es-ES_tradnl"/>
        </w:rPr>
        <w:t>La contratación pública comprende, entre otros aspectos, la toma de decisiones del gasto que las entidades realizan como ejecución de los recursos públicos asignados para adquirir bienes, obras o servicios que satisfagan sus necesidades, y en esa medida cumplir el interés general, que es la finalidad que la ley les confía a través de las funciones que se les encomiendan. Para las adquisiciones, las entidades estructuran sus procedimientos de contratación previamente definidos por la ley, consultando las normas que los rigen para determinar la forma que el ordenamiento prevé para adelantarlos. En esta medida, conforme al artículo 29 de la Constitución Política, los procesos de selección son una manifestación de la legalidad de las formas de cada proceso en sede administrativa</w:t>
      </w:r>
      <w:r w:rsidRPr="00851774">
        <w:rPr>
          <w:rFonts w:ascii="Century Gothic" w:eastAsia="Calibri" w:hAnsi="Century Gothic" w:cs="Arial"/>
          <w:vertAlign w:val="superscript"/>
          <w:lang w:val="es-ES_tradnl"/>
        </w:rPr>
        <w:footnoteReference w:id="8"/>
      </w:r>
      <w:r w:rsidRPr="00851774">
        <w:rPr>
          <w:rFonts w:ascii="Century Gothic" w:eastAsia="Calibri" w:hAnsi="Century Gothic" w:cs="Arial"/>
          <w:vertAlign w:val="superscript"/>
          <w:lang w:val="es-ES_tradnl"/>
        </w:rPr>
        <w:t>.</w:t>
      </w:r>
    </w:p>
    <w:p w14:paraId="26B369D7" w14:textId="77777777" w:rsidR="005B4D3E" w:rsidRPr="00851774" w:rsidRDefault="005B4D3E" w:rsidP="005B4D3E">
      <w:pPr>
        <w:spacing w:before="120" w:after="0" w:line="276" w:lineRule="auto"/>
        <w:jc w:val="both"/>
        <w:rPr>
          <w:rFonts w:ascii="Century Gothic" w:eastAsia="Arial" w:hAnsi="Century Gothic" w:cs="Arial"/>
        </w:rPr>
      </w:pPr>
      <w:r w:rsidRPr="00851774">
        <w:rPr>
          <w:rFonts w:ascii="Century Gothic" w:eastAsia="Arial" w:hAnsi="Century Gothic" w:cs="Arial"/>
        </w:rPr>
        <w:tab/>
        <w:t xml:space="preserve">Inicialmente, la Ley 80 de 1993 estableció tres (3) procedimientos de selección, esto es: i) licitación o concurso público, </w:t>
      </w:r>
      <w:proofErr w:type="spellStart"/>
      <w:r w:rsidRPr="00851774">
        <w:rPr>
          <w:rFonts w:ascii="Century Gothic" w:eastAsia="Arial" w:hAnsi="Century Gothic" w:cs="Arial"/>
        </w:rPr>
        <w:t>ii</w:t>
      </w:r>
      <w:proofErr w:type="spellEnd"/>
      <w:r w:rsidRPr="00851774">
        <w:rPr>
          <w:rFonts w:ascii="Century Gothic" w:eastAsia="Arial" w:hAnsi="Century Gothic" w:cs="Arial"/>
        </w:rPr>
        <w:t xml:space="preserve">) contratación sin formalidades plenas y </w:t>
      </w:r>
      <w:proofErr w:type="spellStart"/>
      <w:r w:rsidRPr="00851774">
        <w:rPr>
          <w:rFonts w:ascii="Century Gothic" w:eastAsia="Arial" w:hAnsi="Century Gothic" w:cs="Arial"/>
        </w:rPr>
        <w:t>iii</w:t>
      </w:r>
      <w:proofErr w:type="spellEnd"/>
      <w:r w:rsidRPr="00851774">
        <w:rPr>
          <w:rFonts w:ascii="Century Gothic" w:eastAsia="Arial" w:hAnsi="Century Gothic" w:cs="Arial"/>
        </w:rPr>
        <w:t xml:space="preserve">) contratación directa. Sin embargo, después del año 2007, el ordenamiento jurídico reguló nuevos procesos de selección. En efecto, con el artículo 2 de la Ley 1150 de 2007 y la modificación realizada a este por la Ley 1474 de 2011, los procedimientos de selección son los siguientes:  i) licitación pública, </w:t>
      </w:r>
      <w:proofErr w:type="spellStart"/>
      <w:r w:rsidRPr="00851774">
        <w:rPr>
          <w:rFonts w:ascii="Century Gothic" w:eastAsia="Arial" w:hAnsi="Century Gothic" w:cs="Arial"/>
        </w:rPr>
        <w:t>ii</w:t>
      </w:r>
      <w:proofErr w:type="spellEnd"/>
      <w:r w:rsidRPr="00851774">
        <w:rPr>
          <w:rFonts w:ascii="Century Gothic" w:eastAsia="Arial" w:hAnsi="Century Gothic" w:cs="Arial"/>
        </w:rPr>
        <w:t xml:space="preserve">) selección abreviada, </w:t>
      </w:r>
      <w:proofErr w:type="spellStart"/>
      <w:r w:rsidRPr="00851774">
        <w:rPr>
          <w:rFonts w:ascii="Century Gothic" w:eastAsia="Arial" w:hAnsi="Century Gothic" w:cs="Arial"/>
        </w:rPr>
        <w:t>iii</w:t>
      </w:r>
      <w:proofErr w:type="spellEnd"/>
      <w:r w:rsidRPr="00851774">
        <w:rPr>
          <w:rFonts w:ascii="Century Gothic" w:eastAsia="Arial" w:hAnsi="Century Gothic" w:cs="Arial"/>
        </w:rPr>
        <w:t xml:space="preserve">) concurso de méritos, </w:t>
      </w:r>
      <w:proofErr w:type="spellStart"/>
      <w:r w:rsidRPr="00851774">
        <w:rPr>
          <w:rFonts w:ascii="Century Gothic" w:eastAsia="Arial" w:hAnsi="Century Gothic" w:cs="Arial"/>
        </w:rPr>
        <w:t>iv</w:t>
      </w:r>
      <w:proofErr w:type="spellEnd"/>
      <w:r w:rsidRPr="00851774">
        <w:rPr>
          <w:rFonts w:ascii="Century Gothic" w:eastAsia="Arial" w:hAnsi="Century Gothic" w:cs="Arial"/>
        </w:rPr>
        <w:t>) mínima cuantía y v) contratación directa. En dichos procedimientos constan las etapas para la adquisición de obras, bienes y servicios, por lo que cada entidad es responsable de estructurar los procedimientos de contratación, siempre que respete el principio de legalidad.</w:t>
      </w:r>
    </w:p>
    <w:p w14:paraId="4BF02257" w14:textId="77777777" w:rsidR="005B4D3E" w:rsidRPr="00851774" w:rsidRDefault="005B4D3E" w:rsidP="005B4D3E">
      <w:pPr>
        <w:widowControl w:val="0"/>
        <w:autoSpaceDE w:val="0"/>
        <w:autoSpaceDN w:val="0"/>
        <w:spacing w:before="120" w:after="120" w:line="276" w:lineRule="auto"/>
        <w:ind w:firstLine="709"/>
        <w:jc w:val="both"/>
        <w:rPr>
          <w:rFonts w:ascii="Century Gothic" w:eastAsia="Arial MT" w:hAnsi="Century Gothic" w:cs="Arial"/>
          <w:lang w:val="es-ES"/>
        </w:rPr>
      </w:pPr>
      <w:r w:rsidRPr="00851774">
        <w:rPr>
          <w:rFonts w:ascii="Century Gothic" w:eastAsia="Arial MT" w:hAnsi="Century Gothic" w:cs="Arial"/>
          <w:lang w:val="es-ES"/>
        </w:rPr>
        <w:t>Para las adquisiciones, las entidades deben estructurar un procedimiento de contratación que es reglado, es decir, el procedimiento no es discrecional, y se deben consultar las normas</w:t>
      </w:r>
      <w:r w:rsidRPr="00851774">
        <w:rPr>
          <w:rFonts w:ascii="Century Gothic" w:eastAsia="Arial MT" w:hAnsi="Century Gothic" w:cs="Arial"/>
          <w:spacing w:val="1"/>
          <w:lang w:val="es-ES"/>
        </w:rPr>
        <w:t xml:space="preserve"> </w:t>
      </w:r>
      <w:r w:rsidRPr="00851774">
        <w:rPr>
          <w:rFonts w:ascii="Century Gothic" w:eastAsia="Arial MT" w:hAnsi="Century Gothic" w:cs="Arial"/>
          <w:lang w:val="es-ES"/>
        </w:rPr>
        <w:t>que rigen el Sistema de Compra Pública para determinar la forma que la ley prevé para</w:t>
      </w:r>
      <w:r w:rsidRPr="00851774">
        <w:rPr>
          <w:rFonts w:ascii="Century Gothic" w:eastAsia="Arial MT" w:hAnsi="Century Gothic" w:cs="Arial"/>
          <w:spacing w:val="1"/>
          <w:lang w:val="es-ES"/>
        </w:rPr>
        <w:t xml:space="preserve"> </w:t>
      </w:r>
      <w:r w:rsidRPr="00851774">
        <w:rPr>
          <w:rFonts w:ascii="Century Gothic" w:eastAsia="Arial MT" w:hAnsi="Century Gothic" w:cs="Arial"/>
          <w:lang w:val="es-ES"/>
        </w:rPr>
        <w:t>adelantarlo.</w:t>
      </w:r>
      <w:r w:rsidRPr="00851774">
        <w:rPr>
          <w:rFonts w:ascii="Century Gothic" w:eastAsia="Arial MT" w:hAnsi="Century Gothic" w:cs="Arial"/>
          <w:spacing w:val="-13"/>
          <w:lang w:val="es-ES"/>
        </w:rPr>
        <w:t xml:space="preserve"> </w:t>
      </w:r>
      <w:r w:rsidRPr="00851774">
        <w:rPr>
          <w:rFonts w:ascii="Century Gothic" w:eastAsia="Arial MT" w:hAnsi="Century Gothic" w:cs="Arial"/>
          <w:lang w:val="es-ES"/>
        </w:rPr>
        <w:t>Por</w:t>
      </w:r>
      <w:r w:rsidRPr="00851774">
        <w:rPr>
          <w:rFonts w:ascii="Century Gothic" w:eastAsia="Arial MT" w:hAnsi="Century Gothic" w:cs="Arial"/>
          <w:spacing w:val="-12"/>
          <w:lang w:val="es-ES"/>
        </w:rPr>
        <w:t xml:space="preserve"> </w:t>
      </w:r>
      <w:r w:rsidRPr="00851774">
        <w:rPr>
          <w:rFonts w:ascii="Century Gothic" w:eastAsia="Arial MT" w:hAnsi="Century Gothic" w:cs="Arial"/>
          <w:lang w:val="es-ES"/>
        </w:rPr>
        <w:t>consiguiente,</w:t>
      </w:r>
      <w:r w:rsidRPr="00851774">
        <w:rPr>
          <w:rFonts w:ascii="Century Gothic" w:eastAsia="Arial MT" w:hAnsi="Century Gothic" w:cs="Arial"/>
          <w:spacing w:val="-12"/>
          <w:lang w:val="es-ES"/>
        </w:rPr>
        <w:t xml:space="preserve"> </w:t>
      </w:r>
      <w:r w:rsidRPr="00851774">
        <w:rPr>
          <w:rFonts w:ascii="Century Gothic" w:eastAsia="Arial MT" w:hAnsi="Century Gothic" w:cs="Arial"/>
          <w:lang w:val="es-ES"/>
        </w:rPr>
        <w:t>las</w:t>
      </w:r>
      <w:r w:rsidRPr="00851774">
        <w:rPr>
          <w:rFonts w:ascii="Century Gothic" w:eastAsia="Arial MT" w:hAnsi="Century Gothic" w:cs="Arial"/>
          <w:spacing w:val="-13"/>
          <w:lang w:val="es-ES"/>
        </w:rPr>
        <w:t xml:space="preserve"> </w:t>
      </w:r>
      <w:r w:rsidRPr="00851774">
        <w:rPr>
          <w:rFonts w:ascii="Century Gothic" w:eastAsia="Arial MT" w:hAnsi="Century Gothic" w:cs="Arial"/>
          <w:lang w:val="es-ES"/>
        </w:rPr>
        <w:t>principales</w:t>
      </w:r>
      <w:r w:rsidRPr="00851774">
        <w:rPr>
          <w:rFonts w:ascii="Century Gothic" w:eastAsia="Arial MT" w:hAnsi="Century Gothic" w:cs="Arial"/>
          <w:spacing w:val="-12"/>
          <w:lang w:val="es-ES"/>
        </w:rPr>
        <w:t xml:space="preserve"> </w:t>
      </w:r>
      <w:r w:rsidRPr="00851774">
        <w:rPr>
          <w:rFonts w:ascii="Century Gothic" w:eastAsia="Arial MT" w:hAnsi="Century Gothic" w:cs="Arial"/>
          <w:lang w:val="es-ES"/>
        </w:rPr>
        <w:t>normas</w:t>
      </w:r>
      <w:r w:rsidRPr="00851774">
        <w:rPr>
          <w:rFonts w:ascii="Century Gothic" w:eastAsia="Arial MT" w:hAnsi="Century Gothic" w:cs="Arial"/>
          <w:spacing w:val="-12"/>
          <w:lang w:val="es-ES"/>
        </w:rPr>
        <w:t xml:space="preserve"> </w:t>
      </w:r>
      <w:r w:rsidRPr="00851774">
        <w:rPr>
          <w:rFonts w:ascii="Century Gothic" w:eastAsia="Arial MT" w:hAnsi="Century Gothic" w:cs="Arial"/>
          <w:lang w:val="es-ES"/>
        </w:rPr>
        <w:t>son:</w:t>
      </w:r>
      <w:r w:rsidRPr="00851774">
        <w:rPr>
          <w:rFonts w:ascii="Century Gothic" w:eastAsia="Arial MT" w:hAnsi="Century Gothic" w:cs="Arial"/>
          <w:spacing w:val="-13"/>
          <w:lang w:val="es-ES"/>
        </w:rPr>
        <w:t xml:space="preserve"> </w:t>
      </w:r>
      <w:r w:rsidRPr="00851774">
        <w:rPr>
          <w:rFonts w:ascii="Century Gothic" w:eastAsia="Arial MT" w:hAnsi="Century Gothic" w:cs="Arial"/>
          <w:lang w:val="es-ES"/>
        </w:rPr>
        <w:t>la</w:t>
      </w:r>
      <w:r w:rsidRPr="00851774">
        <w:rPr>
          <w:rFonts w:ascii="Century Gothic" w:eastAsia="Arial MT" w:hAnsi="Century Gothic" w:cs="Arial"/>
          <w:spacing w:val="-12"/>
          <w:lang w:val="es-ES"/>
        </w:rPr>
        <w:t xml:space="preserve"> </w:t>
      </w:r>
      <w:r w:rsidRPr="00851774">
        <w:rPr>
          <w:rFonts w:ascii="Century Gothic" w:eastAsia="Arial MT" w:hAnsi="Century Gothic" w:cs="Arial"/>
          <w:lang w:val="es-ES"/>
        </w:rPr>
        <w:t>Ley</w:t>
      </w:r>
      <w:r w:rsidRPr="00851774">
        <w:rPr>
          <w:rFonts w:ascii="Century Gothic" w:eastAsia="Arial MT" w:hAnsi="Century Gothic" w:cs="Arial"/>
          <w:spacing w:val="-12"/>
          <w:lang w:val="es-ES"/>
        </w:rPr>
        <w:t xml:space="preserve"> </w:t>
      </w:r>
      <w:r w:rsidRPr="00851774">
        <w:rPr>
          <w:rFonts w:ascii="Century Gothic" w:eastAsia="Arial MT" w:hAnsi="Century Gothic" w:cs="Arial"/>
          <w:lang w:val="es-ES"/>
        </w:rPr>
        <w:t>80</w:t>
      </w:r>
      <w:r w:rsidRPr="00851774">
        <w:rPr>
          <w:rFonts w:ascii="Century Gothic" w:eastAsia="Arial MT" w:hAnsi="Century Gothic" w:cs="Arial"/>
          <w:spacing w:val="-13"/>
          <w:lang w:val="es-ES"/>
        </w:rPr>
        <w:t xml:space="preserve"> </w:t>
      </w:r>
      <w:r w:rsidRPr="00851774">
        <w:rPr>
          <w:rFonts w:ascii="Century Gothic" w:eastAsia="Arial MT" w:hAnsi="Century Gothic" w:cs="Arial"/>
          <w:lang w:val="es-ES"/>
        </w:rPr>
        <w:t>de</w:t>
      </w:r>
      <w:r w:rsidRPr="00851774">
        <w:rPr>
          <w:rFonts w:ascii="Century Gothic" w:eastAsia="Arial MT" w:hAnsi="Century Gothic" w:cs="Arial"/>
          <w:spacing w:val="-12"/>
          <w:lang w:val="es-ES"/>
        </w:rPr>
        <w:t xml:space="preserve"> </w:t>
      </w:r>
      <w:r w:rsidRPr="00851774">
        <w:rPr>
          <w:rFonts w:ascii="Century Gothic" w:eastAsia="Arial MT" w:hAnsi="Century Gothic" w:cs="Arial"/>
          <w:lang w:val="es-ES"/>
        </w:rPr>
        <w:t>1993,</w:t>
      </w:r>
      <w:r w:rsidRPr="00851774">
        <w:rPr>
          <w:rFonts w:ascii="Century Gothic" w:eastAsia="Arial MT" w:hAnsi="Century Gothic" w:cs="Arial"/>
          <w:spacing w:val="-12"/>
          <w:lang w:val="es-ES"/>
        </w:rPr>
        <w:t xml:space="preserve"> </w:t>
      </w:r>
      <w:r w:rsidRPr="00851774">
        <w:rPr>
          <w:rFonts w:ascii="Century Gothic" w:eastAsia="Arial MT" w:hAnsi="Century Gothic" w:cs="Arial"/>
          <w:lang w:val="es-ES"/>
        </w:rPr>
        <w:t>–EGCAP–; la Ley 1150 de 2007 que, entre otras disposiciones,</w:t>
      </w:r>
      <w:r w:rsidRPr="00851774">
        <w:rPr>
          <w:rFonts w:ascii="Century Gothic" w:eastAsia="Arial MT" w:hAnsi="Century Gothic" w:cs="Arial"/>
          <w:spacing w:val="1"/>
          <w:lang w:val="es-ES"/>
        </w:rPr>
        <w:t xml:space="preserve"> </w:t>
      </w:r>
      <w:r w:rsidRPr="00851774">
        <w:rPr>
          <w:rFonts w:ascii="Century Gothic" w:eastAsia="Arial MT" w:hAnsi="Century Gothic" w:cs="Arial"/>
          <w:lang w:val="es-ES"/>
        </w:rPr>
        <w:t>regula</w:t>
      </w:r>
      <w:r w:rsidRPr="00851774">
        <w:rPr>
          <w:rFonts w:ascii="Century Gothic" w:eastAsia="Arial MT" w:hAnsi="Century Gothic" w:cs="Arial"/>
          <w:spacing w:val="-16"/>
          <w:lang w:val="es-ES"/>
        </w:rPr>
        <w:t xml:space="preserve"> </w:t>
      </w:r>
      <w:r w:rsidRPr="00851774">
        <w:rPr>
          <w:rFonts w:ascii="Century Gothic" w:eastAsia="Arial MT" w:hAnsi="Century Gothic" w:cs="Arial"/>
          <w:lang w:val="es-ES"/>
        </w:rPr>
        <w:t>las</w:t>
      </w:r>
      <w:r w:rsidRPr="00851774">
        <w:rPr>
          <w:rFonts w:ascii="Century Gothic" w:eastAsia="Arial MT" w:hAnsi="Century Gothic" w:cs="Arial"/>
          <w:spacing w:val="-15"/>
          <w:lang w:val="es-ES"/>
        </w:rPr>
        <w:t xml:space="preserve"> </w:t>
      </w:r>
      <w:r w:rsidRPr="00851774">
        <w:rPr>
          <w:rFonts w:ascii="Century Gothic" w:eastAsia="Arial MT" w:hAnsi="Century Gothic" w:cs="Arial"/>
          <w:lang w:val="es-ES"/>
        </w:rPr>
        <w:t>modalidades</w:t>
      </w:r>
      <w:r w:rsidRPr="00851774">
        <w:rPr>
          <w:rFonts w:ascii="Century Gothic" w:eastAsia="Arial MT" w:hAnsi="Century Gothic" w:cs="Arial"/>
          <w:spacing w:val="-15"/>
          <w:lang w:val="es-ES"/>
        </w:rPr>
        <w:t xml:space="preserve"> </w:t>
      </w:r>
      <w:r w:rsidRPr="00851774">
        <w:rPr>
          <w:rFonts w:ascii="Century Gothic" w:eastAsia="Arial MT" w:hAnsi="Century Gothic" w:cs="Arial"/>
          <w:lang w:val="es-ES"/>
        </w:rPr>
        <w:t>de</w:t>
      </w:r>
      <w:r w:rsidRPr="00851774">
        <w:rPr>
          <w:rFonts w:ascii="Century Gothic" w:eastAsia="Arial MT" w:hAnsi="Century Gothic" w:cs="Arial"/>
          <w:spacing w:val="-15"/>
          <w:lang w:val="es-ES"/>
        </w:rPr>
        <w:t xml:space="preserve"> </w:t>
      </w:r>
      <w:r w:rsidRPr="00851774">
        <w:rPr>
          <w:rFonts w:ascii="Century Gothic" w:eastAsia="Arial MT" w:hAnsi="Century Gothic" w:cs="Arial"/>
          <w:lang w:val="es-ES"/>
        </w:rPr>
        <w:t>selección</w:t>
      </w:r>
      <w:r w:rsidRPr="00851774">
        <w:rPr>
          <w:rFonts w:ascii="Century Gothic" w:eastAsia="Arial MT" w:hAnsi="Century Gothic" w:cs="Arial"/>
          <w:spacing w:val="-15"/>
          <w:lang w:val="es-ES"/>
        </w:rPr>
        <w:t xml:space="preserve"> </w:t>
      </w:r>
      <w:r w:rsidRPr="00851774">
        <w:rPr>
          <w:rFonts w:ascii="Century Gothic" w:eastAsia="Arial MT" w:hAnsi="Century Gothic" w:cs="Arial"/>
          <w:lang w:val="es-ES"/>
        </w:rPr>
        <w:t>para</w:t>
      </w:r>
      <w:r w:rsidRPr="00851774">
        <w:rPr>
          <w:rFonts w:ascii="Century Gothic" w:eastAsia="Arial MT" w:hAnsi="Century Gothic" w:cs="Arial"/>
          <w:spacing w:val="-15"/>
          <w:lang w:val="es-ES"/>
        </w:rPr>
        <w:t xml:space="preserve"> </w:t>
      </w:r>
      <w:r w:rsidRPr="00851774">
        <w:rPr>
          <w:rFonts w:ascii="Century Gothic" w:eastAsia="Arial MT" w:hAnsi="Century Gothic" w:cs="Arial"/>
          <w:lang w:val="es-ES"/>
        </w:rPr>
        <w:t>la</w:t>
      </w:r>
      <w:r w:rsidRPr="00851774">
        <w:rPr>
          <w:rFonts w:ascii="Century Gothic" w:eastAsia="Arial MT" w:hAnsi="Century Gothic" w:cs="Arial"/>
          <w:spacing w:val="-15"/>
          <w:lang w:val="es-ES"/>
        </w:rPr>
        <w:t xml:space="preserve"> </w:t>
      </w:r>
      <w:r w:rsidRPr="00851774">
        <w:rPr>
          <w:rFonts w:ascii="Century Gothic" w:eastAsia="Arial MT" w:hAnsi="Century Gothic" w:cs="Arial"/>
          <w:lang w:val="es-ES"/>
        </w:rPr>
        <w:t>escogencia</w:t>
      </w:r>
      <w:r w:rsidRPr="00851774">
        <w:rPr>
          <w:rFonts w:ascii="Century Gothic" w:eastAsia="Arial MT" w:hAnsi="Century Gothic" w:cs="Arial"/>
          <w:spacing w:val="-15"/>
          <w:lang w:val="es-ES"/>
        </w:rPr>
        <w:t xml:space="preserve"> </w:t>
      </w:r>
      <w:r w:rsidRPr="00851774">
        <w:rPr>
          <w:rFonts w:ascii="Century Gothic" w:eastAsia="Arial MT" w:hAnsi="Century Gothic" w:cs="Arial"/>
          <w:lang w:val="es-ES"/>
        </w:rPr>
        <w:t>del</w:t>
      </w:r>
      <w:r w:rsidRPr="00851774">
        <w:rPr>
          <w:rFonts w:ascii="Century Gothic" w:eastAsia="Arial MT" w:hAnsi="Century Gothic" w:cs="Arial"/>
          <w:spacing w:val="-15"/>
          <w:lang w:val="es-ES"/>
        </w:rPr>
        <w:t xml:space="preserve"> </w:t>
      </w:r>
      <w:r w:rsidRPr="00851774">
        <w:rPr>
          <w:rFonts w:ascii="Century Gothic" w:eastAsia="Arial MT" w:hAnsi="Century Gothic" w:cs="Arial"/>
          <w:lang w:val="es-ES"/>
        </w:rPr>
        <w:t>contratista;</w:t>
      </w:r>
      <w:r w:rsidRPr="00851774">
        <w:rPr>
          <w:rFonts w:ascii="Century Gothic" w:eastAsia="Arial MT" w:hAnsi="Century Gothic" w:cs="Arial"/>
          <w:spacing w:val="-15"/>
          <w:lang w:val="es-ES"/>
        </w:rPr>
        <w:t xml:space="preserve"> </w:t>
      </w:r>
      <w:r w:rsidRPr="00851774">
        <w:rPr>
          <w:rFonts w:ascii="Century Gothic" w:eastAsia="Arial MT" w:hAnsi="Century Gothic" w:cs="Arial"/>
          <w:lang w:val="es-ES"/>
        </w:rPr>
        <w:t>y</w:t>
      </w:r>
      <w:r w:rsidRPr="00851774">
        <w:rPr>
          <w:rFonts w:ascii="Century Gothic" w:eastAsia="Arial MT" w:hAnsi="Century Gothic" w:cs="Arial"/>
          <w:spacing w:val="-15"/>
          <w:lang w:val="es-ES"/>
        </w:rPr>
        <w:t xml:space="preserve"> </w:t>
      </w:r>
      <w:r w:rsidRPr="00851774">
        <w:rPr>
          <w:rFonts w:ascii="Century Gothic" w:eastAsia="Arial MT" w:hAnsi="Century Gothic" w:cs="Arial"/>
          <w:lang w:val="es-ES"/>
        </w:rPr>
        <w:t>el</w:t>
      </w:r>
      <w:r w:rsidRPr="00851774">
        <w:rPr>
          <w:rFonts w:ascii="Century Gothic" w:eastAsia="Arial MT" w:hAnsi="Century Gothic" w:cs="Arial"/>
          <w:spacing w:val="-15"/>
          <w:lang w:val="es-ES"/>
        </w:rPr>
        <w:t xml:space="preserve"> </w:t>
      </w:r>
      <w:r w:rsidRPr="00851774">
        <w:rPr>
          <w:rFonts w:ascii="Century Gothic" w:eastAsia="Arial MT" w:hAnsi="Century Gothic" w:cs="Arial"/>
          <w:lang w:val="es-ES"/>
        </w:rPr>
        <w:t>Decreto</w:t>
      </w:r>
      <w:r w:rsidRPr="00851774">
        <w:rPr>
          <w:rFonts w:ascii="Century Gothic" w:eastAsia="Arial MT" w:hAnsi="Century Gothic" w:cs="Arial"/>
          <w:spacing w:val="-15"/>
          <w:lang w:val="es-ES"/>
        </w:rPr>
        <w:t xml:space="preserve"> </w:t>
      </w:r>
      <w:r w:rsidRPr="00851774">
        <w:rPr>
          <w:rFonts w:ascii="Century Gothic" w:eastAsia="Arial MT" w:hAnsi="Century Gothic" w:cs="Arial"/>
          <w:lang w:val="es-ES"/>
        </w:rPr>
        <w:t>1082</w:t>
      </w:r>
      <w:r w:rsidRPr="00851774">
        <w:rPr>
          <w:rFonts w:ascii="Century Gothic" w:eastAsia="Arial MT" w:hAnsi="Century Gothic" w:cs="Arial"/>
          <w:spacing w:val="-15"/>
          <w:lang w:val="es-ES"/>
        </w:rPr>
        <w:t xml:space="preserve"> </w:t>
      </w:r>
      <w:r w:rsidRPr="00851774">
        <w:rPr>
          <w:rFonts w:ascii="Century Gothic" w:eastAsia="Arial MT" w:hAnsi="Century Gothic" w:cs="Arial"/>
          <w:lang w:val="es-ES"/>
        </w:rPr>
        <w:t>de</w:t>
      </w:r>
      <w:r w:rsidRPr="00851774">
        <w:rPr>
          <w:rFonts w:ascii="Century Gothic" w:eastAsia="Arial MT" w:hAnsi="Century Gothic" w:cs="Arial"/>
          <w:spacing w:val="-15"/>
          <w:lang w:val="es-ES"/>
        </w:rPr>
        <w:t xml:space="preserve"> </w:t>
      </w:r>
      <w:r w:rsidRPr="00851774">
        <w:rPr>
          <w:rFonts w:ascii="Century Gothic" w:eastAsia="Arial MT" w:hAnsi="Century Gothic" w:cs="Arial"/>
          <w:lang w:val="es-ES"/>
        </w:rPr>
        <w:t>2015,</w:t>
      </w:r>
      <w:r w:rsidRPr="00851774">
        <w:rPr>
          <w:rFonts w:ascii="Century Gothic" w:eastAsia="Arial MT" w:hAnsi="Century Gothic" w:cs="Arial"/>
          <w:spacing w:val="-59"/>
          <w:lang w:val="es-ES"/>
        </w:rPr>
        <w:t xml:space="preserve"> </w:t>
      </w:r>
      <w:r w:rsidRPr="00851774">
        <w:rPr>
          <w:rFonts w:ascii="Century Gothic" w:eastAsia="Arial MT" w:hAnsi="Century Gothic" w:cs="Arial"/>
          <w:lang w:val="es-ES"/>
        </w:rPr>
        <w:t>que</w:t>
      </w:r>
      <w:r w:rsidRPr="00851774">
        <w:rPr>
          <w:rFonts w:ascii="Century Gothic" w:eastAsia="Arial MT" w:hAnsi="Century Gothic" w:cs="Arial"/>
          <w:spacing w:val="-9"/>
          <w:lang w:val="es-ES"/>
        </w:rPr>
        <w:t xml:space="preserve"> </w:t>
      </w:r>
      <w:r w:rsidRPr="00851774">
        <w:rPr>
          <w:rFonts w:ascii="Century Gothic" w:eastAsia="Arial MT" w:hAnsi="Century Gothic" w:cs="Arial"/>
          <w:lang w:val="es-ES"/>
        </w:rPr>
        <w:t>es</w:t>
      </w:r>
      <w:r w:rsidRPr="00851774">
        <w:rPr>
          <w:rFonts w:ascii="Century Gothic" w:eastAsia="Arial MT" w:hAnsi="Century Gothic" w:cs="Arial"/>
          <w:spacing w:val="-9"/>
          <w:lang w:val="es-ES"/>
        </w:rPr>
        <w:t xml:space="preserve"> </w:t>
      </w:r>
      <w:r w:rsidRPr="00851774">
        <w:rPr>
          <w:rFonts w:ascii="Century Gothic" w:eastAsia="Arial MT" w:hAnsi="Century Gothic" w:cs="Arial"/>
          <w:lang w:val="es-ES"/>
        </w:rPr>
        <w:t>reglamentario</w:t>
      </w:r>
      <w:r w:rsidRPr="00851774">
        <w:rPr>
          <w:rFonts w:ascii="Century Gothic" w:eastAsia="Arial MT" w:hAnsi="Century Gothic" w:cs="Arial"/>
          <w:spacing w:val="-8"/>
          <w:lang w:val="es-ES"/>
        </w:rPr>
        <w:t xml:space="preserve"> </w:t>
      </w:r>
      <w:r w:rsidRPr="00851774">
        <w:rPr>
          <w:rFonts w:ascii="Century Gothic" w:eastAsia="Arial MT" w:hAnsi="Century Gothic" w:cs="Arial"/>
          <w:lang w:val="es-ES"/>
        </w:rPr>
        <w:t>y</w:t>
      </w:r>
      <w:r w:rsidRPr="00851774">
        <w:rPr>
          <w:rFonts w:ascii="Century Gothic" w:eastAsia="Arial MT" w:hAnsi="Century Gothic" w:cs="Arial"/>
          <w:spacing w:val="-9"/>
          <w:lang w:val="es-ES"/>
        </w:rPr>
        <w:t xml:space="preserve"> </w:t>
      </w:r>
      <w:r w:rsidRPr="00851774">
        <w:rPr>
          <w:rFonts w:ascii="Century Gothic" w:eastAsia="Arial MT" w:hAnsi="Century Gothic" w:cs="Arial"/>
          <w:lang w:val="es-ES"/>
        </w:rPr>
        <w:t>concreta</w:t>
      </w:r>
      <w:r w:rsidRPr="00851774">
        <w:rPr>
          <w:rFonts w:ascii="Century Gothic" w:eastAsia="Arial MT" w:hAnsi="Century Gothic" w:cs="Arial"/>
          <w:spacing w:val="-8"/>
          <w:lang w:val="es-ES"/>
        </w:rPr>
        <w:t xml:space="preserve"> </w:t>
      </w:r>
      <w:r w:rsidRPr="00851774">
        <w:rPr>
          <w:rFonts w:ascii="Century Gothic" w:eastAsia="Arial MT" w:hAnsi="Century Gothic" w:cs="Arial"/>
          <w:lang w:val="es-ES"/>
        </w:rPr>
        <w:t>cada</w:t>
      </w:r>
      <w:r w:rsidRPr="00851774">
        <w:rPr>
          <w:rFonts w:ascii="Century Gothic" w:eastAsia="Arial MT" w:hAnsi="Century Gothic" w:cs="Arial"/>
          <w:spacing w:val="-9"/>
          <w:lang w:val="es-ES"/>
        </w:rPr>
        <w:t xml:space="preserve"> </w:t>
      </w:r>
      <w:r w:rsidRPr="00851774">
        <w:rPr>
          <w:rFonts w:ascii="Century Gothic" w:eastAsia="Arial MT" w:hAnsi="Century Gothic" w:cs="Arial"/>
          <w:lang w:val="es-ES"/>
        </w:rPr>
        <w:t>modalidad</w:t>
      </w:r>
      <w:r w:rsidRPr="00851774">
        <w:rPr>
          <w:rFonts w:ascii="Century Gothic" w:eastAsia="Arial MT" w:hAnsi="Century Gothic" w:cs="Arial"/>
          <w:spacing w:val="-8"/>
          <w:lang w:val="es-ES"/>
        </w:rPr>
        <w:t xml:space="preserve"> </w:t>
      </w:r>
      <w:r w:rsidRPr="00851774">
        <w:rPr>
          <w:rFonts w:ascii="Century Gothic" w:eastAsia="Arial MT" w:hAnsi="Century Gothic" w:cs="Arial"/>
          <w:lang w:val="es-ES"/>
        </w:rPr>
        <w:t>de</w:t>
      </w:r>
      <w:r w:rsidRPr="00851774">
        <w:rPr>
          <w:rFonts w:ascii="Century Gothic" w:eastAsia="Arial MT" w:hAnsi="Century Gothic" w:cs="Arial"/>
          <w:spacing w:val="-9"/>
          <w:lang w:val="es-ES"/>
        </w:rPr>
        <w:t xml:space="preserve"> </w:t>
      </w:r>
      <w:r w:rsidRPr="00851774">
        <w:rPr>
          <w:rFonts w:ascii="Century Gothic" w:eastAsia="Arial MT" w:hAnsi="Century Gothic" w:cs="Arial"/>
          <w:lang w:val="es-ES"/>
        </w:rPr>
        <w:t>selección,</w:t>
      </w:r>
      <w:r w:rsidRPr="00851774">
        <w:rPr>
          <w:rFonts w:ascii="Century Gothic" w:eastAsia="Arial MT" w:hAnsi="Century Gothic" w:cs="Arial"/>
          <w:spacing w:val="-8"/>
          <w:lang w:val="es-ES"/>
        </w:rPr>
        <w:t xml:space="preserve"> </w:t>
      </w:r>
      <w:r w:rsidRPr="00851774">
        <w:rPr>
          <w:rFonts w:ascii="Century Gothic" w:eastAsia="Arial MT" w:hAnsi="Century Gothic" w:cs="Arial"/>
          <w:lang w:val="es-ES"/>
        </w:rPr>
        <w:t>señalando</w:t>
      </w:r>
      <w:r w:rsidRPr="00851774">
        <w:rPr>
          <w:rFonts w:ascii="Century Gothic" w:eastAsia="Arial MT" w:hAnsi="Century Gothic" w:cs="Arial"/>
          <w:spacing w:val="-9"/>
          <w:lang w:val="es-ES"/>
        </w:rPr>
        <w:t xml:space="preserve"> </w:t>
      </w:r>
      <w:r w:rsidRPr="00851774">
        <w:rPr>
          <w:rFonts w:ascii="Century Gothic" w:eastAsia="Arial MT" w:hAnsi="Century Gothic" w:cs="Arial"/>
          <w:lang w:val="es-ES"/>
        </w:rPr>
        <w:t>reglas</w:t>
      </w:r>
      <w:r w:rsidRPr="00851774">
        <w:rPr>
          <w:rFonts w:ascii="Century Gothic" w:eastAsia="Arial MT" w:hAnsi="Century Gothic" w:cs="Arial"/>
          <w:spacing w:val="-8"/>
          <w:lang w:val="es-ES"/>
        </w:rPr>
        <w:t xml:space="preserve"> </w:t>
      </w:r>
      <w:r w:rsidRPr="00851774">
        <w:rPr>
          <w:rFonts w:ascii="Century Gothic" w:eastAsia="Arial MT" w:hAnsi="Century Gothic" w:cs="Arial"/>
          <w:lang w:val="es-ES"/>
        </w:rPr>
        <w:t>o</w:t>
      </w:r>
      <w:r w:rsidRPr="00851774">
        <w:rPr>
          <w:rFonts w:ascii="Century Gothic" w:eastAsia="Arial MT" w:hAnsi="Century Gothic" w:cs="Arial"/>
          <w:spacing w:val="-9"/>
          <w:lang w:val="es-ES"/>
        </w:rPr>
        <w:t xml:space="preserve"> </w:t>
      </w:r>
      <w:r w:rsidRPr="00851774">
        <w:rPr>
          <w:rFonts w:ascii="Century Gothic" w:eastAsia="Arial MT" w:hAnsi="Century Gothic" w:cs="Arial"/>
          <w:lang w:val="es-ES"/>
        </w:rPr>
        <w:t>pasos</w:t>
      </w:r>
      <w:r w:rsidRPr="00851774">
        <w:rPr>
          <w:rFonts w:ascii="Century Gothic" w:eastAsia="Arial MT" w:hAnsi="Century Gothic" w:cs="Arial"/>
          <w:spacing w:val="-8"/>
          <w:lang w:val="es-ES"/>
        </w:rPr>
        <w:t xml:space="preserve"> </w:t>
      </w:r>
      <w:r w:rsidRPr="00851774">
        <w:rPr>
          <w:rFonts w:ascii="Century Gothic" w:eastAsia="Arial MT" w:hAnsi="Century Gothic" w:cs="Arial"/>
          <w:lang w:val="es-ES"/>
        </w:rPr>
        <w:t>a</w:t>
      </w:r>
      <w:r w:rsidRPr="00851774">
        <w:rPr>
          <w:rFonts w:ascii="Century Gothic" w:eastAsia="Arial MT" w:hAnsi="Century Gothic" w:cs="Arial"/>
          <w:spacing w:val="-9"/>
          <w:lang w:val="es-ES"/>
        </w:rPr>
        <w:t xml:space="preserve"> </w:t>
      </w:r>
      <w:r w:rsidRPr="00851774">
        <w:rPr>
          <w:rFonts w:ascii="Century Gothic" w:eastAsia="Arial MT" w:hAnsi="Century Gothic" w:cs="Arial"/>
          <w:lang w:val="es-ES"/>
        </w:rPr>
        <w:t>seguir</w:t>
      </w:r>
      <w:r w:rsidRPr="00851774">
        <w:rPr>
          <w:rFonts w:ascii="Century Gothic" w:eastAsia="Arial MT" w:hAnsi="Century Gothic" w:cs="Arial"/>
          <w:spacing w:val="1"/>
          <w:lang w:val="es-ES"/>
        </w:rPr>
        <w:t xml:space="preserve"> </w:t>
      </w:r>
      <w:r w:rsidRPr="00851774">
        <w:rPr>
          <w:rFonts w:ascii="Century Gothic" w:eastAsia="Arial MT" w:hAnsi="Century Gothic" w:cs="Arial"/>
          <w:lang w:val="es-ES"/>
        </w:rPr>
        <w:t>para</w:t>
      </w:r>
      <w:r w:rsidRPr="00851774">
        <w:rPr>
          <w:rFonts w:ascii="Century Gothic" w:eastAsia="Arial MT" w:hAnsi="Century Gothic" w:cs="Arial"/>
          <w:spacing w:val="-2"/>
          <w:lang w:val="es-ES"/>
        </w:rPr>
        <w:t xml:space="preserve"> </w:t>
      </w:r>
      <w:r w:rsidRPr="00851774">
        <w:rPr>
          <w:rFonts w:ascii="Century Gothic" w:eastAsia="Arial MT" w:hAnsi="Century Gothic" w:cs="Arial"/>
          <w:lang w:val="es-ES"/>
        </w:rPr>
        <w:t>celebrar</w:t>
      </w:r>
      <w:r w:rsidRPr="00851774">
        <w:rPr>
          <w:rFonts w:ascii="Century Gothic" w:eastAsia="Arial MT" w:hAnsi="Century Gothic" w:cs="Arial"/>
          <w:spacing w:val="-1"/>
          <w:lang w:val="es-ES"/>
        </w:rPr>
        <w:t xml:space="preserve"> </w:t>
      </w:r>
      <w:r w:rsidRPr="00851774">
        <w:rPr>
          <w:rFonts w:ascii="Century Gothic" w:eastAsia="Arial MT" w:hAnsi="Century Gothic" w:cs="Arial"/>
          <w:lang w:val="es-ES"/>
        </w:rPr>
        <w:t>el</w:t>
      </w:r>
      <w:r w:rsidRPr="00851774">
        <w:rPr>
          <w:rFonts w:ascii="Century Gothic" w:eastAsia="Arial MT" w:hAnsi="Century Gothic" w:cs="Arial"/>
          <w:spacing w:val="-1"/>
          <w:lang w:val="es-ES"/>
        </w:rPr>
        <w:t xml:space="preserve"> </w:t>
      </w:r>
      <w:r w:rsidRPr="00851774">
        <w:rPr>
          <w:rFonts w:ascii="Century Gothic" w:eastAsia="Arial MT" w:hAnsi="Century Gothic" w:cs="Arial"/>
          <w:lang w:val="es-ES"/>
        </w:rPr>
        <w:lastRenderedPageBreak/>
        <w:t>contrato</w:t>
      </w:r>
      <w:r w:rsidRPr="00851774">
        <w:rPr>
          <w:rFonts w:ascii="Century Gothic" w:eastAsia="Arial MT" w:hAnsi="Century Gothic" w:cs="Arial"/>
          <w:spacing w:val="-1"/>
          <w:lang w:val="es-ES"/>
        </w:rPr>
        <w:t xml:space="preserve"> </w:t>
      </w:r>
      <w:r w:rsidRPr="00851774">
        <w:rPr>
          <w:rFonts w:ascii="Century Gothic" w:eastAsia="Arial MT" w:hAnsi="Century Gothic" w:cs="Arial"/>
          <w:lang w:val="es-ES"/>
        </w:rPr>
        <w:t>estatal.</w:t>
      </w:r>
    </w:p>
    <w:p w14:paraId="56623726" w14:textId="77777777" w:rsidR="005B4D3E" w:rsidRPr="00851774" w:rsidRDefault="005B4D3E" w:rsidP="005B4D3E">
      <w:pPr>
        <w:spacing w:before="120" w:after="0" w:line="276" w:lineRule="auto"/>
        <w:jc w:val="both"/>
        <w:rPr>
          <w:rFonts w:ascii="Century Gothic" w:eastAsia="Calibri" w:hAnsi="Century Gothic" w:cs="Arial"/>
          <w:lang w:val="es-ES_tradnl"/>
        </w:rPr>
      </w:pPr>
      <w:r w:rsidRPr="00851774">
        <w:rPr>
          <w:rFonts w:ascii="Century Gothic" w:eastAsia="Arial" w:hAnsi="Century Gothic" w:cs="Arial"/>
        </w:rPr>
        <w:tab/>
        <w:t>De acuerdo con lo anterior, en lo que respecta a la modalidad de selección de mínima cuantía, debe precisarse que esa es una modalidad de selección en virtud de la cual la Entidad Estatal realiza una convocatoria pública para recibir ofertas de bienes, obras o servicios cuyo valor no excede el diez por ciento (10%) de la menor cuantía. Esta modalidad de selección fue creada en el 2011 por el artículo 274 de la Ley 1450 de 2011, modificado por el artículo 94 de la Ley 1474 de 2011</w:t>
      </w:r>
      <w:r w:rsidRPr="00851774">
        <w:rPr>
          <w:rFonts w:ascii="Century Gothic" w:eastAsia="Calibri" w:hAnsi="Century Gothic" w:cs="Arial"/>
          <w:vertAlign w:val="superscript"/>
          <w:lang w:val="es-ES_tradnl"/>
        </w:rPr>
        <w:footnoteReference w:id="9"/>
      </w:r>
      <w:r w:rsidRPr="00851774">
        <w:rPr>
          <w:rFonts w:ascii="Century Gothic" w:eastAsia="Calibri" w:hAnsi="Century Gothic" w:cs="Arial"/>
          <w:lang w:val="es-ES_tradnl"/>
        </w:rPr>
        <w:t xml:space="preserve"> –que adicionó el numeral 5º al artículo 2 de la Ley 1150 de 2007– y posteriormente por la Ley 2069 de 2020, estableciendo que el factor determinante para llevar a cabo tal procedimiento es la cuantía –calculada como presupuesto oficial a partir del estudio del sector–, “independientemente de su objeto”</w:t>
      </w:r>
      <w:r w:rsidRPr="00851774">
        <w:rPr>
          <w:rFonts w:ascii="Century Gothic" w:eastAsia="Calibri" w:hAnsi="Century Gothic" w:cs="Arial"/>
          <w:vertAlign w:val="superscript"/>
          <w:lang w:val="es-ES_tradnl"/>
        </w:rPr>
        <w:footnoteReference w:id="10"/>
      </w:r>
      <w:r w:rsidRPr="00851774">
        <w:rPr>
          <w:rFonts w:ascii="Century Gothic" w:eastAsia="Calibri" w:hAnsi="Century Gothic" w:cs="Arial"/>
          <w:lang w:val="es-ES_tradnl"/>
        </w:rPr>
        <w:t>.</w:t>
      </w:r>
    </w:p>
    <w:p w14:paraId="10EA9AF4" w14:textId="77777777" w:rsidR="005B4D3E" w:rsidRPr="00851774" w:rsidRDefault="005B4D3E" w:rsidP="005B4D3E">
      <w:pPr>
        <w:spacing w:before="120" w:after="0" w:line="276" w:lineRule="auto"/>
        <w:jc w:val="both"/>
        <w:rPr>
          <w:rFonts w:ascii="Century Gothic" w:eastAsia="Arial" w:hAnsi="Century Gothic" w:cs="Arial"/>
        </w:rPr>
      </w:pPr>
      <w:r w:rsidRPr="00851774">
        <w:rPr>
          <w:rFonts w:ascii="Century Gothic" w:eastAsia="Arial" w:hAnsi="Century Gothic" w:cs="Arial"/>
        </w:rPr>
        <w:tab/>
        <w:t>Dicho de otro modo, la mínima cuantía es un procedimiento de selección excepcional</w:t>
      </w:r>
      <w:r w:rsidRPr="00851774">
        <w:rPr>
          <w:rFonts w:ascii="Century Gothic" w:eastAsia="Calibri" w:hAnsi="Century Gothic" w:cs="Arial"/>
          <w:vertAlign w:val="superscript"/>
          <w:lang w:val="es-ES_tradnl"/>
        </w:rPr>
        <w:footnoteReference w:id="11"/>
      </w:r>
      <w:r w:rsidRPr="00851774">
        <w:rPr>
          <w:rFonts w:ascii="Century Gothic" w:eastAsia="Calibri" w:hAnsi="Century Gothic" w:cs="Arial"/>
          <w:lang w:val="es-ES_tradnl"/>
        </w:rPr>
        <w:t>, porque es una excepción adicional a la regla general constituida por la licitación pública, pero se parce a esta en que también es un llamado general a presentar ofertas, efectuado por la Entidad Estatal interesada en contratar, aunque es distinta en otros aspectos, como su conducencia y su procedimiento; lo primero, porque solo procede por razón de una cuantía específica</w:t>
      </w:r>
      <w:r w:rsidRPr="00851774">
        <w:rPr>
          <w:rFonts w:ascii="Century Gothic" w:eastAsia="Calibri" w:hAnsi="Century Gothic" w:cs="Arial"/>
          <w:vertAlign w:val="superscript"/>
          <w:lang w:val="es-ES_tradnl"/>
        </w:rPr>
        <w:footnoteReference w:id="12"/>
      </w:r>
      <w:r w:rsidRPr="00851774">
        <w:rPr>
          <w:rFonts w:ascii="Century Gothic" w:eastAsia="Calibri" w:hAnsi="Century Gothic" w:cs="Arial"/>
          <w:lang w:val="es-ES_tradnl"/>
        </w:rPr>
        <w:t>, y lo segundo, porque sus requisitos, etapas y términos son peculiares.</w:t>
      </w:r>
      <w:r w:rsidRPr="00851774">
        <w:rPr>
          <w:rFonts w:ascii="Century Gothic" w:eastAsia="Arial" w:hAnsi="Century Gothic" w:cs="Arial"/>
        </w:rPr>
        <w:t xml:space="preserve"> </w:t>
      </w:r>
      <w:r w:rsidRPr="00851774">
        <w:rPr>
          <w:rFonts w:ascii="Century Gothic" w:eastAsia="Calibri" w:hAnsi="Century Gothic" w:cs="Arial"/>
          <w:lang w:val="es-ES_tradnl" w:eastAsia="es-CO"/>
        </w:rPr>
        <w:t>Lo anterior, ha sido ratificado por el Consejo de Estado, de la siguiente forma:</w:t>
      </w:r>
    </w:p>
    <w:p w14:paraId="13473692" w14:textId="77777777" w:rsidR="005B4D3E" w:rsidRPr="00851774" w:rsidRDefault="005B4D3E" w:rsidP="005B4D3E">
      <w:pPr>
        <w:spacing w:after="0" w:line="240" w:lineRule="auto"/>
        <w:ind w:left="709" w:right="709"/>
        <w:jc w:val="both"/>
        <w:rPr>
          <w:rFonts w:ascii="Century Gothic" w:eastAsia="Times New Roman" w:hAnsi="Century Gothic" w:cs="Arial"/>
          <w:sz w:val="20"/>
          <w:szCs w:val="20"/>
          <w:lang w:val="es-ES_tradnl" w:eastAsia="es-MX"/>
        </w:rPr>
      </w:pPr>
    </w:p>
    <w:p w14:paraId="2E052DCC" w14:textId="77777777" w:rsidR="005B4D3E" w:rsidRPr="00851774" w:rsidRDefault="005B4D3E" w:rsidP="005B4D3E">
      <w:pPr>
        <w:spacing w:after="0" w:line="240" w:lineRule="auto"/>
        <w:ind w:left="709" w:right="709"/>
        <w:jc w:val="both"/>
        <w:rPr>
          <w:rFonts w:ascii="Century Gothic" w:eastAsia="Times New Roman" w:hAnsi="Century Gothic" w:cs="Arial"/>
          <w:sz w:val="20"/>
          <w:szCs w:val="20"/>
          <w:lang w:val="es-ES_tradnl" w:eastAsia="es-MX"/>
        </w:rPr>
      </w:pPr>
      <w:r w:rsidRPr="00851774">
        <w:rPr>
          <w:rFonts w:ascii="Century Gothic" w:eastAsia="Times New Roman" w:hAnsi="Century Gothic" w:cs="Arial"/>
          <w:sz w:val="20"/>
          <w:szCs w:val="20"/>
          <w:lang w:val="es-ES_tradnl" w:eastAsia="es-MX"/>
        </w:rPr>
        <w:t>“Así, pues, cuando el monto de la contratación sea equivalente a la mínima cuantía de la entidad estatal, pero, concomitante a ello, esta última (la entidad) advierta que también aplica alguna modalidad de selección específica (dadas las condiciones especiales del objeto), ella debe acudir al procedimiento establecido para la mínima cuantía; así, por ejemplo, si la administración necesita contratar la prestación de servicios de salud (supuesto que se enmarca en el trámite de selección abreviada), pero el valor del contrato no excede del 10% de la menor cuantía de la entidad, este último será el criterio que se debe tener en cuenta para la escogencia del contratista; por tanto, el procedimiento que debe seguirse será el de mínima cuantía, independientemente -se insiste- del objeto a contratar”</w:t>
      </w:r>
      <w:r w:rsidRPr="00851774">
        <w:rPr>
          <w:rFonts w:ascii="Century Gothic" w:eastAsia="Times New Roman" w:hAnsi="Century Gothic" w:cs="Arial"/>
          <w:sz w:val="20"/>
          <w:szCs w:val="20"/>
          <w:vertAlign w:val="superscript"/>
          <w:lang w:val="es-ES_tradnl" w:eastAsia="es-MX"/>
        </w:rPr>
        <w:footnoteReference w:id="13"/>
      </w:r>
      <w:r w:rsidRPr="00851774">
        <w:rPr>
          <w:rFonts w:ascii="Century Gothic" w:eastAsia="Times New Roman" w:hAnsi="Century Gothic" w:cs="Arial"/>
          <w:sz w:val="20"/>
          <w:szCs w:val="20"/>
          <w:lang w:val="es-ES_tradnl" w:eastAsia="es-MX"/>
        </w:rPr>
        <w:t xml:space="preserve">. </w:t>
      </w:r>
    </w:p>
    <w:p w14:paraId="17BAABC6" w14:textId="77777777" w:rsidR="005B4D3E" w:rsidRPr="00851774" w:rsidRDefault="005B4D3E" w:rsidP="005B4D3E">
      <w:pPr>
        <w:spacing w:after="0" w:line="276" w:lineRule="auto"/>
        <w:ind w:left="709" w:right="709"/>
        <w:jc w:val="both"/>
        <w:rPr>
          <w:rFonts w:ascii="Century Gothic" w:eastAsia="Times New Roman" w:hAnsi="Century Gothic" w:cs="Arial"/>
          <w:lang w:val="es-ES_tradnl" w:eastAsia="es-MX"/>
        </w:rPr>
      </w:pPr>
    </w:p>
    <w:p w14:paraId="6F5C9B66" w14:textId="77777777" w:rsidR="005B4D3E" w:rsidRPr="00851774" w:rsidRDefault="005B4D3E" w:rsidP="005B4D3E">
      <w:pPr>
        <w:spacing w:after="0" w:line="276" w:lineRule="auto"/>
        <w:jc w:val="both"/>
        <w:rPr>
          <w:rFonts w:ascii="Century Gothic" w:eastAsia="Arial" w:hAnsi="Century Gothic" w:cs="Arial"/>
        </w:rPr>
      </w:pPr>
      <w:r w:rsidRPr="00851774">
        <w:rPr>
          <w:rFonts w:ascii="Century Gothic" w:eastAsia="Arial" w:hAnsi="Century Gothic" w:cs="Arial"/>
        </w:rPr>
        <w:tab/>
        <w:t xml:space="preserve">En conclusión, podría afirmarse entonces, </w:t>
      </w:r>
      <w:proofErr w:type="gramStart"/>
      <w:r w:rsidRPr="00851774">
        <w:rPr>
          <w:rFonts w:ascii="Century Gothic" w:eastAsia="Arial" w:hAnsi="Century Gothic" w:cs="Arial"/>
        </w:rPr>
        <w:t>que</w:t>
      </w:r>
      <w:proofErr w:type="gramEnd"/>
      <w:r w:rsidRPr="00851774">
        <w:rPr>
          <w:rFonts w:ascii="Century Gothic" w:eastAsia="Arial" w:hAnsi="Century Gothic" w:cs="Arial"/>
        </w:rPr>
        <w:t xml:space="preserve"> sin importar el objeto del contrato, la Entidad Estatal deberá adelantar el procedimiento de selección del contratista a través de la modalidad de mínima cuantía, siempre que, en el caso concreto, el valor del contrato no exceda el diez por ciento (10%) de la menor cuantía de la entidad. Sin embargo, es pertinente aclarar, que existen entidades públicas a las que, dependiendo de la cuantía del proceso de contratación, no les resulta aplicable el EGCAP, ni mucho menos las precitadas reglas del artículo 2 de la Ley 1150 de 2007, sino, las dispuestas en el derecho privado. Por ejemplo, las Instituciones Educativas mediante los Fondos de Servicios Educativos, estará supeditada en cuanto al régimen contractual aplicable, a la cuantía del proceso de contratación. Lo anterior, en razón a que, de acuerdo con lo señalado en el artículo 13 de la Ley 715 de 2001, en caso de que los procesos de contratación de dichos entes no superen los veinte (20) salarios mínimos legales mensuales vigentes, </w:t>
      </w:r>
      <w:r w:rsidRPr="00851774">
        <w:rPr>
          <w:rFonts w:ascii="Century Gothic" w:eastAsia="Arial" w:hAnsi="Century Gothic" w:cs="Arial"/>
        </w:rPr>
        <w:lastRenderedPageBreak/>
        <w:t>el proceso se ceñirá por las reglas definidas por el Consejo Directivo, esto es, por el derecho privado.</w:t>
      </w:r>
    </w:p>
    <w:p w14:paraId="4EC29B67" w14:textId="77777777" w:rsidR="005B4D3E" w:rsidRPr="00851774" w:rsidRDefault="005B4D3E" w:rsidP="005B4D3E">
      <w:pPr>
        <w:spacing w:before="120" w:after="0" w:line="276" w:lineRule="auto"/>
        <w:jc w:val="both"/>
        <w:rPr>
          <w:rFonts w:ascii="Century Gothic" w:eastAsia="Arial" w:hAnsi="Century Gothic" w:cs="Arial"/>
        </w:rPr>
      </w:pPr>
      <w:r w:rsidRPr="00851774">
        <w:rPr>
          <w:rFonts w:ascii="Century Gothic" w:eastAsia="Arial" w:hAnsi="Century Gothic" w:cs="Arial"/>
        </w:rPr>
        <w:tab/>
        <w:t>Finalmente, serán las Entidades Estatales que pretendan adelantar un proceso de contratación, las facultadas para dilucidar, de acuerdo con la normativa vigente y el régimen de contratación que les resulte aplicable, la forma en la que deberán adelantar dichos procedimientos.</w:t>
      </w:r>
    </w:p>
    <w:p w14:paraId="1AD0A84B" w14:textId="77777777" w:rsidR="005B4D3E" w:rsidRPr="00851774" w:rsidRDefault="005B4D3E" w:rsidP="005B4D3E">
      <w:pPr>
        <w:spacing w:after="0" w:line="276" w:lineRule="auto"/>
        <w:jc w:val="both"/>
        <w:rPr>
          <w:rFonts w:ascii="Century Gothic" w:eastAsia="Arial" w:hAnsi="Century Gothic" w:cs="Arial"/>
        </w:rPr>
      </w:pPr>
    </w:p>
    <w:p w14:paraId="51D511F9" w14:textId="77777777" w:rsidR="005B4D3E" w:rsidRPr="00851774" w:rsidRDefault="005B4D3E" w:rsidP="005B4D3E">
      <w:pPr>
        <w:spacing w:after="0" w:line="276" w:lineRule="auto"/>
        <w:jc w:val="both"/>
        <w:rPr>
          <w:rFonts w:ascii="Century Gothic" w:eastAsia="Arial" w:hAnsi="Century Gothic" w:cs="Arial"/>
          <w:b/>
          <w:bCs/>
        </w:rPr>
      </w:pPr>
      <w:r w:rsidRPr="00851774">
        <w:rPr>
          <w:rFonts w:ascii="Century Gothic" w:eastAsia="Arial" w:hAnsi="Century Gothic" w:cs="Arial"/>
          <w:b/>
          <w:bCs/>
        </w:rPr>
        <w:t>2.3. Generalidades del contrato de prestación de servicios: facultad de la entidad para fijar honorarios. Reiteración de línea</w:t>
      </w:r>
    </w:p>
    <w:p w14:paraId="761F574B" w14:textId="77777777" w:rsidR="005B4D3E" w:rsidRPr="00851774" w:rsidRDefault="005B4D3E" w:rsidP="005B4D3E">
      <w:pPr>
        <w:spacing w:after="0" w:line="276" w:lineRule="auto"/>
        <w:jc w:val="both"/>
        <w:rPr>
          <w:rFonts w:ascii="Century Gothic" w:eastAsia="Arial" w:hAnsi="Century Gothic" w:cs="Arial"/>
        </w:rPr>
      </w:pPr>
    </w:p>
    <w:bookmarkEnd w:id="5"/>
    <w:p w14:paraId="2B64D048" w14:textId="77777777" w:rsidR="005B4D3E" w:rsidRPr="00851774" w:rsidRDefault="005B4D3E" w:rsidP="005B4D3E">
      <w:pPr>
        <w:tabs>
          <w:tab w:val="left" w:pos="0"/>
        </w:tabs>
        <w:spacing w:line="276" w:lineRule="auto"/>
        <w:contextualSpacing/>
        <w:jc w:val="both"/>
        <w:rPr>
          <w:rFonts w:ascii="Century Gothic" w:eastAsia="Arial" w:hAnsi="Century Gothic" w:cs="Arial"/>
        </w:rPr>
      </w:pPr>
      <w:r w:rsidRPr="00851774">
        <w:rPr>
          <w:rFonts w:ascii="Century Gothic" w:eastAsia="Arial" w:hAnsi="Century Gothic" w:cs="Arial"/>
        </w:rPr>
        <w:t>El contrato de prestación de servicios es un contrato estatal típico, regulado en el numeral 3 del artículo 32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 La celebración de dicho contrato debe efectuarse a través de la modalidad de contratación directa. Así lo dispone el artículo 2, numeral 4º, literal h), de la Ley 1150 de 2007:</w:t>
      </w:r>
    </w:p>
    <w:p w14:paraId="559733B2" w14:textId="77777777" w:rsidR="005B4D3E" w:rsidRPr="00851774" w:rsidRDefault="005B4D3E" w:rsidP="005B4D3E">
      <w:pPr>
        <w:spacing w:after="0" w:line="276" w:lineRule="auto"/>
        <w:ind w:right="709"/>
        <w:contextualSpacing/>
        <w:jc w:val="both"/>
        <w:rPr>
          <w:rFonts w:ascii="Century Gothic" w:eastAsia="Calibri" w:hAnsi="Century Gothic" w:cs="Arial"/>
          <w:lang w:val="es-ES_tradnl"/>
        </w:rPr>
      </w:pPr>
    </w:p>
    <w:p w14:paraId="24A70FD4" w14:textId="77777777" w:rsidR="005B4D3E" w:rsidRPr="00851774" w:rsidRDefault="005B4D3E" w:rsidP="005B4D3E">
      <w:pPr>
        <w:spacing w:after="0" w:line="240" w:lineRule="auto"/>
        <w:ind w:left="709" w:right="709"/>
        <w:contextualSpacing/>
        <w:jc w:val="both"/>
        <w:rPr>
          <w:rFonts w:ascii="Century Gothic" w:eastAsia="Calibri" w:hAnsi="Century Gothic" w:cs="Arial"/>
          <w:sz w:val="21"/>
          <w:szCs w:val="21"/>
          <w:lang w:val="es-MX"/>
        </w:rPr>
      </w:pPr>
      <w:r w:rsidRPr="00851774">
        <w:rPr>
          <w:rFonts w:ascii="Century Gothic" w:eastAsia="Yu Gothic UI Semibold" w:hAnsi="Century Gothic" w:cs="Arial"/>
          <w:iCs/>
          <w:sz w:val="21"/>
          <w:szCs w:val="21"/>
          <w:lang w:eastAsia="es-MX"/>
        </w:rPr>
        <w:t>“</w:t>
      </w:r>
      <w:r w:rsidRPr="00851774">
        <w:rPr>
          <w:rFonts w:ascii="Century Gothic" w:eastAsia="Calibri" w:hAnsi="Century Gothic" w:cs="Arial"/>
          <w:sz w:val="21"/>
          <w:szCs w:val="21"/>
          <w:lang w:val="es-MX"/>
        </w:rPr>
        <w:t>La escogencia del contratista se efectuará con arreglo a las modalidades de selección de licitación pública, selección abreviada, concurso de méritos y contratación directa, con base en las siguientes reglas:</w:t>
      </w:r>
    </w:p>
    <w:p w14:paraId="3816FB87" w14:textId="77777777" w:rsidR="005B4D3E" w:rsidRPr="00851774" w:rsidRDefault="005B4D3E" w:rsidP="005B4D3E">
      <w:pPr>
        <w:spacing w:after="0" w:line="240" w:lineRule="auto"/>
        <w:ind w:left="709" w:right="709"/>
        <w:contextualSpacing/>
        <w:jc w:val="both"/>
        <w:rPr>
          <w:rFonts w:ascii="Century Gothic" w:eastAsia="Calibri" w:hAnsi="Century Gothic" w:cs="Arial"/>
          <w:sz w:val="21"/>
          <w:szCs w:val="21"/>
          <w:lang w:val="es-MX"/>
        </w:rPr>
      </w:pPr>
      <w:r w:rsidRPr="00851774">
        <w:rPr>
          <w:rFonts w:ascii="Century Gothic" w:eastAsia="Calibri" w:hAnsi="Century Gothic" w:cs="Arial"/>
          <w:sz w:val="21"/>
          <w:szCs w:val="21"/>
          <w:lang w:val="es-MX"/>
        </w:rPr>
        <w:t>[…]</w:t>
      </w:r>
    </w:p>
    <w:p w14:paraId="64BC36C5" w14:textId="77777777" w:rsidR="005B4D3E" w:rsidRPr="00851774" w:rsidRDefault="005B4D3E" w:rsidP="005B4D3E">
      <w:pPr>
        <w:spacing w:after="0" w:line="240" w:lineRule="auto"/>
        <w:ind w:left="709" w:right="709"/>
        <w:contextualSpacing/>
        <w:jc w:val="both"/>
        <w:rPr>
          <w:rFonts w:ascii="Century Gothic" w:eastAsia="Calibri" w:hAnsi="Century Gothic" w:cs="Arial"/>
          <w:sz w:val="12"/>
          <w:szCs w:val="12"/>
          <w:lang w:val="es-MX"/>
        </w:rPr>
      </w:pPr>
    </w:p>
    <w:p w14:paraId="238DFD68" w14:textId="77777777" w:rsidR="005B4D3E" w:rsidRPr="00851774" w:rsidRDefault="005B4D3E" w:rsidP="005B4D3E">
      <w:pPr>
        <w:spacing w:after="0" w:line="240" w:lineRule="auto"/>
        <w:ind w:left="709" w:right="709"/>
        <w:contextualSpacing/>
        <w:jc w:val="both"/>
        <w:rPr>
          <w:rFonts w:ascii="Century Gothic" w:eastAsia="Calibri" w:hAnsi="Century Gothic" w:cs="Arial"/>
          <w:sz w:val="21"/>
          <w:szCs w:val="21"/>
          <w:lang w:val="es-MX"/>
        </w:rPr>
      </w:pPr>
      <w:r w:rsidRPr="00851774">
        <w:rPr>
          <w:rFonts w:ascii="Century Gothic" w:eastAsia="Calibri" w:hAnsi="Century Gothic" w:cs="Arial"/>
          <w:sz w:val="21"/>
          <w:szCs w:val="21"/>
          <w:lang w:val="es-MX"/>
        </w:rPr>
        <w:t>4. Contratación directa. La modalidad de selección de contratación directa, solamente procederá en los siguientes casos:</w:t>
      </w:r>
    </w:p>
    <w:p w14:paraId="193F5075" w14:textId="77777777" w:rsidR="005B4D3E" w:rsidRPr="00851774" w:rsidRDefault="005B4D3E" w:rsidP="005B4D3E">
      <w:pPr>
        <w:spacing w:after="0" w:line="240" w:lineRule="auto"/>
        <w:ind w:left="709" w:right="709"/>
        <w:contextualSpacing/>
        <w:jc w:val="both"/>
        <w:rPr>
          <w:rFonts w:ascii="Century Gothic" w:eastAsia="Calibri" w:hAnsi="Century Gothic" w:cs="Arial"/>
          <w:sz w:val="21"/>
          <w:szCs w:val="21"/>
          <w:lang w:val="es-MX"/>
        </w:rPr>
      </w:pPr>
      <w:r w:rsidRPr="00851774">
        <w:rPr>
          <w:rFonts w:ascii="Century Gothic" w:eastAsia="Calibri" w:hAnsi="Century Gothic" w:cs="Arial"/>
          <w:sz w:val="21"/>
          <w:szCs w:val="21"/>
          <w:lang w:val="es-MX"/>
        </w:rPr>
        <w:t>[…]</w:t>
      </w:r>
    </w:p>
    <w:p w14:paraId="2CFE4B88" w14:textId="77777777" w:rsidR="005B4D3E" w:rsidRPr="00851774" w:rsidRDefault="005B4D3E" w:rsidP="005B4D3E">
      <w:pPr>
        <w:spacing w:after="0" w:line="240" w:lineRule="auto"/>
        <w:ind w:left="709" w:right="709"/>
        <w:contextualSpacing/>
        <w:jc w:val="both"/>
        <w:rPr>
          <w:rFonts w:ascii="Century Gothic" w:eastAsia="Calibri" w:hAnsi="Century Gothic" w:cs="Arial"/>
          <w:sz w:val="12"/>
          <w:szCs w:val="12"/>
          <w:lang w:val="es-MX"/>
        </w:rPr>
      </w:pPr>
    </w:p>
    <w:p w14:paraId="32A46EA2" w14:textId="77777777" w:rsidR="005B4D3E" w:rsidRPr="00851774" w:rsidRDefault="005B4D3E" w:rsidP="005B4D3E">
      <w:pPr>
        <w:spacing w:after="0" w:line="240" w:lineRule="auto"/>
        <w:ind w:left="709" w:right="709"/>
        <w:contextualSpacing/>
        <w:jc w:val="both"/>
        <w:rPr>
          <w:rFonts w:ascii="Century Gothic" w:eastAsia="Calibri" w:hAnsi="Century Gothic" w:cs="Arial"/>
          <w:sz w:val="21"/>
          <w:szCs w:val="21"/>
          <w:lang w:val="es-MX"/>
        </w:rPr>
      </w:pPr>
      <w:r w:rsidRPr="00851774">
        <w:rPr>
          <w:rFonts w:ascii="Century Gothic" w:eastAsia="Calibri" w:hAnsi="Century Gothic" w:cs="Arial"/>
          <w:sz w:val="21"/>
          <w:szCs w:val="21"/>
          <w:lang w:val="es-MX"/>
        </w:rPr>
        <w:t>h) Para la prestación de servicios profesionales y de apoyo a la gestión, o para la ejecución de trabajos artísticos que sólo puedan encomendarse a determinadas personas naturales</w:t>
      </w:r>
      <w:r w:rsidRPr="00851774">
        <w:rPr>
          <w:rFonts w:ascii="Century Gothic" w:eastAsia="Yu Gothic UI Semibold" w:hAnsi="Century Gothic" w:cs="Arial"/>
          <w:iCs/>
          <w:sz w:val="21"/>
          <w:szCs w:val="21"/>
          <w:lang w:eastAsia="es-MX"/>
        </w:rPr>
        <w:t>”</w:t>
      </w:r>
      <w:r w:rsidRPr="00851774">
        <w:rPr>
          <w:rFonts w:ascii="Century Gothic" w:eastAsia="Calibri" w:hAnsi="Century Gothic" w:cs="Arial"/>
          <w:sz w:val="21"/>
          <w:szCs w:val="21"/>
          <w:lang w:val="es-MX"/>
        </w:rPr>
        <w:t>.</w:t>
      </w:r>
    </w:p>
    <w:p w14:paraId="6935089A" w14:textId="77777777" w:rsidR="005B4D3E" w:rsidRPr="00851774" w:rsidRDefault="005B4D3E" w:rsidP="005B4D3E">
      <w:pPr>
        <w:spacing w:after="0"/>
        <w:ind w:left="709" w:right="709"/>
        <w:contextualSpacing/>
        <w:jc w:val="both"/>
        <w:rPr>
          <w:rFonts w:ascii="Century Gothic" w:eastAsia="Calibri" w:hAnsi="Century Gothic" w:cs="Arial"/>
          <w:sz w:val="21"/>
          <w:szCs w:val="21"/>
          <w:lang w:val="es-MX"/>
        </w:rPr>
      </w:pPr>
    </w:p>
    <w:p w14:paraId="3297EE49" w14:textId="77777777" w:rsidR="005B4D3E" w:rsidRPr="00851774" w:rsidRDefault="005B4D3E" w:rsidP="005B4D3E">
      <w:pPr>
        <w:tabs>
          <w:tab w:val="left" w:pos="0"/>
        </w:tabs>
        <w:spacing w:line="276" w:lineRule="auto"/>
        <w:contextualSpacing/>
        <w:jc w:val="both"/>
        <w:rPr>
          <w:rFonts w:ascii="Century Gothic" w:eastAsia="Arial" w:hAnsi="Century Gothic" w:cs="Arial"/>
        </w:rPr>
      </w:pPr>
      <w:r w:rsidRPr="00851774">
        <w:rPr>
          <w:rFonts w:ascii="Century Gothic" w:hAnsi="Century Gothic" w:cs="Arial"/>
          <w:noProof/>
          <w:lang w:val="es-ES_tradnl"/>
        </w:rPr>
        <w:tab/>
      </w:r>
      <w:r w:rsidRPr="00851774">
        <w:rPr>
          <w:rFonts w:ascii="Century Gothic" w:eastAsia="Arial" w:hAnsi="Century Gothic" w:cs="Arial"/>
        </w:rPr>
        <w:t>En tal sentido, el artículo 2.2.1.2.1.4.9 del Decreto 1082 de 2015 reglamenta la contratación directa para los contratos de servicios profesionales y de apoyo a la gestión, o para la ejecución de trabajos artísticos que solo puedan encomendarse a determinadas personas naturales, en los siguientes términos:</w:t>
      </w:r>
    </w:p>
    <w:p w14:paraId="099D4768" w14:textId="77777777" w:rsidR="005B4D3E" w:rsidRPr="00851774" w:rsidRDefault="005B4D3E" w:rsidP="005B4D3E">
      <w:pPr>
        <w:tabs>
          <w:tab w:val="left" w:pos="0"/>
        </w:tabs>
        <w:spacing w:line="276" w:lineRule="auto"/>
        <w:contextualSpacing/>
        <w:jc w:val="both"/>
        <w:rPr>
          <w:rFonts w:ascii="Century Gothic" w:hAnsi="Century Gothic" w:cs="Arial"/>
          <w:noProof/>
          <w:lang w:val="es-ES_tradnl"/>
        </w:rPr>
      </w:pPr>
    </w:p>
    <w:p w14:paraId="71C90EEF" w14:textId="77777777" w:rsidR="005B4D3E" w:rsidRPr="00851774" w:rsidRDefault="005B4D3E" w:rsidP="005B4D3E">
      <w:pPr>
        <w:spacing w:after="0" w:line="240" w:lineRule="auto"/>
        <w:ind w:left="709" w:right="709"/>
        <w:contextualSpacing/>
        <w:jc w:val="both"/>
        <w:rPr>
          <w:rFonts w:ascii="Century Gothic" w:hAnsi="Century Gothic" w:cs="Arial"/>
          <w:sz w:val="21"/>
          <w:szCs w:val="21"/>
          <w:lang w:val="es-MX"/>
        </w:rPr>
      </w:pPr>
      <w:r w:rsidRPr="00851774">
        <w:rPr>
          <w:rFonts w:ascii="Century Gothic" w:eastAsia="Yu Gothic UI Semibold" w:hAnsi="Century Gothic" w:cs="Arial"/>
          <w:iCs/>
          <w:sz w:val="21"/>
          <w:szCs w:val="21"/>
          <w:lang w:eastAsia="es-MX"/>
        </w:rPr>
        <w:t>“</w:t>
      </w:r>
      <w:r w:rsidRPr="00851774">
        <w:rPr>
          <w:rFonts w:ascii="Century Gothic" w:hAnsi="Century Gothic" w:cs="Arial"/>
          <w:sz w:val="21"/>
          <w:szCs w:val="21"/>
          <w:lang w:val="es-MX"/>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494EE2D5" w14:textId="77777777" w:rsidR="005B4D3E" w:rsidRPr="00851774" w:rsidRDefault="005B4D3E" w:rsidP="005B4D3E">
      <w:pPr>
        <w:spacing w:after="0" w:line="240" w:lineRule="auto"/>
        <w:ind w:left="709" w:right="709"/>
        <w:contextualSpacing/>
        <w:jc w:val="both"/>
        <w:rPr>
          <w:rFonts w:ascii="Century Gothic" w:hAnsi="Century Gothic" w:cs="Arial"/>
          <w:sz w:val="12"/>
          <w:szCs w:val="12"/>
          <w:lang w:val="es-MX"/>
        </w:rPr>
      </w:pPr>
    </w:p>
    <w:p w14:paraId="7260D087" w14:textId="77777777" w:rsidR="005B4D3E" w:rsidRPr="00851774" w:rsidRDefault="005B4D3E" w:rsidP="005B4D3E">
      <w:pPr>
        <w:spacing w:after="0" w:line="240" w:lineRule="auto"/>
        <w:ind w:left="709" w:right="709"/>
        <w:contextualSpacing/>
        <w:jc w:val="both"/>
        <w:rPr>
          <w:rFonts w:ascii="Century Gothic" w:hAnsi="Century Gothic" w:cs="Arial"/>
          <w:sz w:val="21"/>
          <w:szCs w:val="21"/>
          <w:lang w:val="es-MX"/>
        </w:rPr>
      </w:pPr>
      <w:r w:rsidRPr="00851774">
        <w:rPr>
          <w:rFonts w:ascii="Century Gothic" w:hAnsi="Century Gothic" w:cs="Arial"/>
          <w:sz w:val="21"/>
          <w:szCs w:val="21"/>
          <w:lang w:val="es-MX"/>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072CD25E" w14:textId="77777777" w:rsidR="005B4D3E" w:rsidRPr="00851774" w:rsidRDefault="005B4D3E" w:rsidP="005B4D3E">
      <w:pPr>
        <w:spacing w:after="0" w:line="240" w:lineRule="auto"/>
        <w:ind w:left="709" w:right="709"/>
        <w:contextualSpacing/>
        <w:jc w:val="both"/>
        <w:rPr>
          <w:rFonts w:ascii="Century Gothic" w:hAnsi="Century Gothic" w:cs="Arial"/>
          <w:sz w:val="12"/>
          <w:szCs w:val="12"/>
          <w:lang w:val="es-MX"/>
        </w:rPr>
      </w:pPr>
    </w:p>
    <w:p w14:paraId="5D8F156C" w14:textId="77777777" w:rsidR="005B4D3E" w:rsidRPr="00851774" w:rsidRDefault="005B4D3E" w:rsidP="005B4D3E">
      <w:pPr>
        <w:spacing w:after="0" w:line="240" w:lineRule="auto"/>
        <w:ind w:left="709" w:right="709"/>
        <w:contextualSpacing/>
        <w:jc w:val="both"/>
        <w:rPr>
          <w:rFonts w:ascii="Century Gothic" w:hAnsi="Century Gothic" w:cs="Arial"/>
          <w:sz w:val="21"/>
          <w:szCs w:val="21"/>
          <w:lang w:val="es-MX"/>
        </w:rPr>
      </w:pPr>
      <w:r w:rsidRPr="00851774">
        <w:rPr>
          <w:rFonts w:ascii="Century Gothic" w:hAnsi="Century Gothic" w:cs="Arial"/>
          <w:sz w:val="21"/>
          <w:szCs w:val="21"/>
          <w:lang w:val="es-MX"/>
        </w:rPr>
        <w:t>La Entidad Estatal, para la contratación de trabajos artísticos que solamente puedan en</w:t>
      </w:r>
      <w:r w:rsidRPr="00851774">
        <w:rPr>
          <w:rFonts w:ascii="Century Gothic" w:hAnsi="Century Gothic" w:cs="Arial"/>
          <w:sz w:val="21"/>
          <w:szCs w:val="21"/>
          <w:lang w:val="es-MX"/>
        </w:rPr>
        <w:softHyphen/>
        <w:t>comendarse a determinadas personas naturales, debe justificar esta situación en los estudios y documentos previos</w:t>
      </w:r>
      <w:r w:rsidRPr="00851774">
        <w:rPr>
          <w:rFonts w:ascii="Century Gothic" w:eastAsia="Yu Gothic UI Semibold" w:hAnsi="Century Gothic" w:cs="Arial"/>
          <w:iCs/>
          <w:sz w:val="21"/>
          <w:szCs w:val="21"/>
          <w:lang w:eastAsia="es-MX"/>
        </w:rPr>
        <w:t>”</w:t>
      </w:r>
      <w:r w:rsidRPr="00851774">
        <w:rPr>
          <w:rFonts w:ascii="Century Gothic" w:hAnsi="Century Gothic" w:cs="Arial"/>
          <w:sz w:val="21"/>
          <w:szCs w:val="21"/>
          <w:lang w:val="es-MX"/>
        </w:rPr>
        <w:t>.</w:t>
      </w:r>
    </w:p>
    <w:p w14:paraId="5535AFB1" w14:textId="77777777" w:rsidR="005B4D3E" w:rsidRPr="00851774" w:rsidRDefault="005B4D3E" w:rsidP="005B4D3E">
      <w:pPr>
        <w:tabs>
          <w:tab w:val="left" w:pos="0"/>
        </w:tabs>
        <w:spacing w:after="0" w:line="276" w:lineRule="auto"/>
        <w:jc w:val="both"/>
        <w:rPr>
          <w:rFonts w:ascii="Century Gothic" w:hAnsi="Century Gothic" w:cs="Arial"/>
          <w:noProof/>
          <w:sz w:val="21"/>
          <w:szCs w:val="21"/>
        </w:rPr>
      </w:pPr>
    </w:p>
    <w:p w14:paraId="07A202E1" w14:textId="77777777" w:rsidR="005B4D3E" w:rsidRPr="00851774" w:rsidRDefault="005B4D3E" w:rsidP="005B4D3E">
      <w:pPr>
        <w:tabs>
          <w:tab w:val="left" w:pos="0"/>
        </w:tabs>
        <w:spacing w:line="276" w:lineRule="auto"/>
        <w:contextualSpacing/>
        <w:jc w:val="both"/>
        <w:rPr>
          <w:rFonts w:ascii="Century Gothic" w:eastAsia="Arial" w:hAnsi="Century Gothic" w:cs="Arial"/>
        </w:rPr>
      </w:pPr>
      <w:r w:rsidRPr="00851774">
        <w:rPr>
          <w:rFonts w:ascii="Century Gothic" w:hAnsi="Century Gothic" w:cs="Arial"/>
          <w:lang w:val="es-ES_tradnl"/>
        </w:rPr>
        <w:tab/>
      </w:r>
      <w:r w:rsidRPr="00851774">
        <w:rPr>
          <w:rFonts w:ascii="Century Gothic" w:eastAsia="Arial" w:hAnsi="Century Gothic" w:cs="Arial"/>
        </w:rPr>
        <w:t>A partir de las disposiciones citadas, así como de la Sentencia de Unificación Jurisprudencial del 9 de septiembre de 2021, proferida por el Consejo de Estado</w:t>
      </w:r>
      <w:r w:rsidRPr="00851774">
        <w:rPr>
          <w:rFonts w:ascii="Century Gothic" w:eastAsia="Arial" w:hAnsi="Century Gothic" w:cs="Arial"/>
          <w:vertAlign w:val="superscript"/>
        </w:rPr>
        <w:footnoteReference w:id="14"/>
      </w:r>
      <w:r w:rsidRPr="00851774">
        <w:rPr>
          <w:rFonts w:ascii="Century Gothic" w:eastAsia="Arial" w:hAnsi="Century Gothic" w:cs="Arial"/>
        </w:rPr>
        <w:t>, es posible señalar las siguientes características del contrato de prestación de servicios:</w:t>
      </w:r>
    </w:p>
    <w:p w14:paraId="6D552297" w14:textId="77777777" w:rsidR="005B4D3E" w:rsidRPr="00851774" w:rsidRDefault="005B4D3E" w:rsidP="005B4D3E">
      <w:pPr>
        <w:spacing w:before="120" w:after="120" w:line="276" w:lineRule="auto"/>
        <w:ind w:firstLine="709"/>
        <w:jc w:val="both"/>
        <w:rPr>
          <w:rFonts w:ascii="Century Gothic" w:hAnsi="Century Gothic" w:cs="Arial"/>
          <w:noProof/>
          <w:lang w:val="es-ES_tradnl"/>
        </w:rPr>
      </w:pPr>
      <w:r w:rsidRPr="00851774">
        <w:rPr>
          <w:rFonts w:ascii="Century Gothic" w:hAnsi="Century Gothic" w:cs="Arial"/>
          <w:noProof/>
          <w:lang w:val="es-ES_tradnl"/>
        </w:rPr>
        <w:t>i</w:t>
      </w:r>
      <w:r w:rsidRPr="00851774">
        <w:rPr>
          <w:rFonts w:ascii="Century Gothic" w:eastAsia="Arial" w:hAnsi="Century Gothic" w:cs="Arial"/>
        </w:rPr>
        <w:t>) Solo puede celebrarse para realizar “actividades relacionadas con la administración o funcionamiento de la entidad”, es decir, que hagan parte de su giro ordinario o quehacer cotidiano</w:t>
      </w:r>
      <w:r w:rsidRPr="00851774">
        <w:rPr>
          <w:rFonts w:ascii="Century Gothic" w:hAnsi="Century Gothic" w:cs="Arial"/>
          <w:noProof/>
          <w:vertAlign w:val="superscript"/>
          <w:lang w:val="es-ES_tradnl"/>
        </w:rPr>
        <w:footnoteReference w:id="15"/>
      </w:r>
      <w:r w:rsidRPr="00851774">
        <w:rPr>
          <w:rFonts w:ascii="Century Gothic" w:hAnsi="Century Gothic" w:cs="Arial"/>
          <w:noProof/>
          <w:lang w:val="es-ES_tradnl"/>
        </w:rPr>
        <w:t>.</w:t>
      </w:r>
    </w:p>
    <w:p w14:paraId="761CE52D" w14:textId="77777777" w:rsidR="005B4D3E" w:rsidRPr="00851774" w:rsidRDefault="005B4D3E" w:rsidP="005B4D3E">
      <w:pPr>
        <w:spacing w:after="120" w:line="276" w:lineRule="auto"/>
        <w:ind w:firstLine="709"/>
        <w:jc w:val="both"/>
        <w:rPr>
          <w:rFonts w:ascii="Century Gothic" w:hAnsi="Century Gothic" w:cs="Arial"/>
          <w:noProof/>
          <w:lang w:val="es-ES_tradnl"/>
        </w:rPr>
      </w:pPr>
      <w:r w:rsidRPr="00851774">
        <w:rPr>
          <w:rFonts w:ascii="Century Gothic" w:hAnsi="Century Gothic" w:cs="Arial"/>
          <w:noProof/>
          <w:lang w:val="es-ES_tradnl"/>
        </w:rPr>
        <w:t xml:space="preserve">ii) Respecto del tipo de personas que pueden ser contratadas, admite que se suscriba con personas naturales o jurídicas. Sin embargo, cuando se celebre con personas naturales la entidad estatal debe justificar, en los estudios previos, que las actividades “no puedan realizarse con personal de planta o requieran conocimientos especializados”. </w:t>
      </w:r>
    </w:p>
    <w:p w14:paraId="4D90E5F5" w14:textId="77777777" w:rsidR="005B4D3E" w:rsidRPr="00851774" w:rsidRDefault="005B4D3E" w:rsidP="005B4D3E">
      <w:pPr>
        <w:spacing w:after="120" w:line="276" w:lineRule="auto"/>
        <w:ind w:firstLine="709"/>
        <w:jc w:val="both"/>
        <w:rPr>
          <w:rFonts w:ascii="Century Gothic" w:hAnsi="Century Gothic" w:cs="Arial"/>
          <w:noProof/>
          <w:lang w:val="es-ES_tradnl"/>
        </w:rPr>
      </w:pPr>
      <w:r w:rsidRPr="00851774">
        <w:rPr>
          <w:rFonts w:ascii="Century Gothic" w:hAnsi="Century Gothic" w:cs="Arial"/>
          <w:noProof/>
          <w:lang w:val="es-ES_tradnl"/>
        </w:rPr>
        <w:t xml:space="preserve">iii) Si bien se celebran para obtener la prestación personal de un servicio, se diferencian del contrato de trabajo en que quien celebra el contrato de prestación de servicios debe mantener autonomía e independencia en la ejecución de la </w:t>
      </w:r>
      <w:r w:rsidRPr="00851774">
        <w:rPr>
          <w:rFonts w:ascii="Century Gothic" w:hAnsi="Century Gothic" w:cs="Arial"/>
          <w:noProof/>
          <w:lang w:val="es-ES_tradnl"/>
        </w:rPr>
        <w:lastRenderedPageBreak/>
        <w:t>labor, lo que significa que no debe existir subordinación ni dependencia, que es uno de los elementos constitutivos del vínculo laboral</w:t>
      </w:r>
      <w:r w:rsidRPr="00851774">
        <w:rPr>
          <w:rFonts w:ascii="Century Gothic" w:hAnsi="Century Gothic" w:cs="Arial"/>
          <w:noProof/>
          <w:vertAlign w:val="superscript"/>
          <w:lang w:val="es-ES_tradnl"/>
        </w:rPr>
        <w:footnoteReference w:id="16"/>
      </w:r>
      <w:r w:rsidRPr="00851774">
        <w:rPr>
          <w:rFonts w:ascii="Century Gothic" w:hAnsi="Century Gothic" w:cs="Arial"/>
          <w:noProof/>
          <w:vertAlign w:val="superscript"/>
          <w:lang w:val="es-ES_tradnl"/>
        </w:rPr>
        <w:t>.</w:t>
      </w:r>
      <w:r w:rsidRPr="00851774">
        <w:rPr>
          <w:rFonts w:ascii="Century Gothic" w:hAnsi="Century Gothic" w:cs="Arial"/>
          <w:noProof/>
          <w:lang w:val="es-ES_tradnl"/>
        </w:rPr>
        <w:t xml:space="preserve"> Por eso, el artículo 32, numeral 3º, de la Ley 80 de 1993 establece que “En ningún caso estos contratos generan relación laboral ni prestaciones sociales”. Este inciso, más que un enunciado que aluda al “ser”, se refiere al “deber ser”, pues debe interpretarse en el sentido de que los contratos de prestación de servicios profesionales no pueden generar relación laboral, ni dar lugar a que las entidades estatales paguen por su cuenta los aportes al Sistema de Seguridad Social Integral del contratista. Tal como se indicó, no puede existir subordinación y dependencia; entonces, la relación laboral está proscrita y el contratista es quien, como “trabajador independiente” –como lo califican las normas de la seguridad social– debe cotizar por su cuenta y riesgo al Sistema de Seguridad Social Integral</w:t>
      </w:r>
      <w:r w:rsidRPr="00851774">
        <w:rPr>
          <w:rFonts w:ascii="Century Gothic" w:hAnsi="Century Gothic" w:cs="Arial"/>
          <w:noProof/>
          <w:vertAlign w:val="superscript"/>
          <w:lang w:val="es-ES_tradnl"/>
        </w:rPr>
        <w:footnoteReference w:id="17"/>
      </w:r>
      <w:r w:rsidRPr="00851774">
        <w:rPr>
          <w:rFonts w:ascii="Century Gothic" w:hAnsi="Century Gothic" w:cs="Arial"/>
          <w:noProof/>
          <w:vertAlign w:val="superscript"/>
          <w:lang w:val="es-ES_tradnl"/>
        </w:rPr>
        <w:t>.</w:t>
      </w:r>
      <w:r w:rsidRPr="00851774">
        <w:rPr>
          <w:rFonts w:ascii="Century Gothic" w:hAnsi="Century Gothic" w:cs="Arial"/>
          <w:noProof/>
          <w:lang w:val="es-ES_tradnl"/>
        </w:rPr>
        <w:t xml:space="preserve"> </w:t>
      </w:r>
    </w:p>
    <w:p w14:paraId="4AD2D686" w14:textId="77777777" w:rsidR="005B4D3E" w:rsidRPr="00851774" w:rsidRDefault="005B4D3E" w:rsidP="005B4D3E">
      <w:pPr>
        <w:spacing w:after="120" w:line="276" w:lineRule="auto"/>
        <w:ind w:firstLine="709"/>
        <w:jc w:val="both"/>
        <w:rPr>
          <w:rFonts w:ascii="Century Gothic" w:hAnsi="Century Gothic" w:cs="Arial"/>
          <w:noProof/>
          <w:lang w:val="es-ES_tradnl"/>
        </w:rPr>
      </w:pPr>
      <w:r w:rsidRPr="00851774">
        <w:rPr>
          <w:rFonts w:ascii="Century Gothic" w:hAnsi="Century Gothic" w:cs="Arial"/>
          <w:noProof/>
          <w:lang w:val="es-ES_tradnl"/>
        </w:rPr>
        <w:t>A pesar de este mandato deontológico, es posible que en la práctica se configure una relación laboral, pues el contrato de trabajo es de realidad y para perfeccionarlo rige el principio de prevalencia de la realidad sobre las formalidades. En el sentido anterior, la Corte Constitucional declaró la exequibilidad condicionada del segundo inciso del numeral 3º del artículo 32, indicando que “las expresiones acusadas del numeral 3º del artículo 32 de la Ley 80 de 1993, no vulneran los preceptos constitucionales, razón por la cual deberán ser declaradas exequibles, salvo que se acredite por parte del contratista la existencia de una relación laboral subordinada”</w:t>
      </w:r>
      <w:r w:rsidRPr="00851774">
        <w:rPr>
          <w:rFonts w:ascii="Century Gothic" w:hAnsi="Century Gothic" w:cs="Arial"/>
          <w:noProof/>
          <w:vertAlign w:val="superscript"/>
          <w:lang w:val="es-ES_tradnl"/>
        </w:rPr>
        <w:footnoteReference w:id="18"/>
      </w:r>
      <w:r w:rsidRPr="00851774">
        <w:rPr>
          <w:rFonts w:ascii="Century Gothic" w:hAnsi="Century Gothic" w:cs="Arial"/>
          <w:noProof/>
          <w:lang w:val="es-ES_tradnl"/>
        </w:rPr>
        <w:t>.</w:t>
      </w:r>
    </w:p>
    <w:p w14:paraId="157CA973" w14:textId="77777777" w:rsidR="005B4D3E" w:rsidRPr="00851774" w:rsidRDefault="005B4D3E" w:rsidP="005B4D3E">
      <w:pPr>
        <w:spacing w:after="0" w:line="276" w:lineRule="auto"/>
        <w:ind w:firstLine="709"/>
        <w:jc w:val="both"/>
        <w:rPr>
          <w:rFonts w:ascii="Century Gothic" w:hAnsi="Century Gothic" w:cs="Arial"/>
          <w:noProof/>
          <w:lang w:val="es-ES_tradnl"/>
        </w:rPr>
      </w:pPr>
      <w:r w:rsidRPr="00851774">
        <w:rPr>
          <w:rFonts w:ascii="Century Gothic" w:hAnsi="Century Gothic" w:cs="Arial"/>
          <w:noProof/>
          <w:lang w:val="es-ES_tradnl"/>
        </w:rPr>
        <w:lastRenderedPageBreak/>
        <w:t>iv) Deben ser temporales. La mencionada Sentencia de Unificacion Jurisprudencial del Consejo de Estado, frente a la duración del contrato de prestación de servicios señaló que solo puede celebrarse por un “término estrictamente indispensable”. En ese entendido, unificó el sentido y alcance del término estrictamente indispensable como “aquel que aparece expresamente estipulado en la minuta del contrato de prestación de servicios, que de acuerdo 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 De igual manera, señaló que “no cabe su empleo para la cobertura indefinida de necesidades permanentes o recurrentes”. En sentido similar se manifestó la Corte Constitucional en la sentencia C-154 de 1997, expresando que:</w:t>
      </w:r>
    </w:p>
    <w:p w14:paraId="6A7D614A" w14:textId="77777777" w:rsidR="005B4D3E" w:rsidRPr="00851774" w:rsidRDefault="005B4D3E" w:rsidP="005B4D3E">
      <w:pPr>
        <w:spacing w:after="0"/>
        <w:ind w:left="709" w:right="709"/>
        <w:contextualSpacing/>
        <w:jc w:val="both"/>
        <w:rPr>
          <w:rFonts w:ascii="Century Gothic" w:eastAsia="Yu Gothic UI Semibold" w:hAnsi="Century Gothic" w:cs="Arial"/>
          <w:iCs/>
          <w:sz w:val="21"/>
          <w:szCs w:val="21"/>
          <w:lang w:eastAsia="es-MX"/>
        </w:rPr>
      </w:pPr>
    </w:p>
    <w:p w14:paraId="670A3CC8" w14:textId="77777777" w:rsidR="005B4D3E" w:rsidRPr="00851774" w:rsidRDefault="005B4D3E" w:rsidP="005B4D3E">
      <w:pPr>
        <w:spacing w:after="0"/>
        <w:ind w:left="709" w:right="709"/>
        <w:contextualSpacing/>
        <w:jc w:val="both"/>
        <w:rPr>
          <w:rFonts w:ascii="Century Gothic" w:hAnsi="Century Gothic" w:cs="Arial"/>
          <w:noProof/>
          <w:sz w:val="21"/>
          <w:szCs w:val="21"/>
          <w:lang w:val="es-ES_tradnl"/>
        </w:rPr>
      </w:pPr>
      <w:r w:rsidRPr="00851774">
        <w:rPr>
          <w:rFonts w:ascii="Century Gothic" w:eastAsia="Yu Gothic UI Semibold" w:hAnsi="Century Gothic" w:cs="Arial"/>
          <w:iCs/>
          <w:sz w:val="21"/>
          <w:szCs w:val="21"/>
          <w:lang w:eastAsia="es-MX"/>
        </w:rPr>
        <w:t>“</w:t>
      </w:r>
      <w:r w:rsidRPr="00851774">
        <w:rPr>
          <w:rFonts w:ascii="Century Gothic" w:hAnsi="Century Gothic" w:cs="Arial"/>
          <w:noProof/>
          <w:sz w:val="21"/>
          <w:szCs w:val="21"/>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851774">
        <w:rPr>
          <w:rFonts w:ascii="Century Gothic" w:hAnsi="Century Gothic" w:cs="Arial"/>
          <w:noProof/>
          <w:sz w:val="21"/>
          <w:szCs w:val="21"/>
          <w:vertAlign w:val="superscript"/>
          <w:lang w:val="es-ES_tradnl"/>
        </w:rPr>
        <w:footnoteReference w:id="19"/>
      </w:r>
      <w:r w:rsidRPr="00851774">
        <w:rPr>
          <w:rFonts w:ascii="Century Gothic" w:hAnsi="Century Gothic" w:cs="Arial"/>
          <w:noProof/>
          <w:sz w:val="21"/>
          <w:szCs w:val="21"/>
          <w:lang w:val="es-ES_tradnl"/>
        </w:rPr>
        <w:t>.</w:t>
      </w:r>
    </w:p>
    <w:p w14:paraId="0ECAA9E3" w14:textId="77777777" w:rsidR="005B4D3E" w:rsidRPr="00851774" w:rsidRDefault="005B4D3E" w:rsidP="005B4D3E">
      <w:pPr>
        <w:spacing w:after="0" w:line="276" w:lineRule="auto"/>
        <w:ind w:left="709" w:right="709"/>
        <w:contextualSpacing/>
        <w:jc w:val="both"/>
        <w:rPr>
          <w:rFonts w:ascii="Century Gothic" w:hAnsi="Century Gothic" w:cs="Arial"/>
          <w:noProof/>
          <w:lang w:val="es-ES_tradnl"/>
        </w:rPr>
      </w:pPr>
    </w:p>
    <w:p w14:paraId="0FE42C27" w14:textId="77777777" w:rsidR="005B4D3E" w:rsidRPr="00851774" w:rsidRDefault="005B4D3E" w:rsidP="005B4D3E">
      <w:pPr>
        <w:spacing w:after="120" w:line="276" w:lineRule="auto"/>
        <w:ind w:firstLine="709"/>
        <w:jc w:val="both"/>
        <w:rPr>
          <w:rFonts w:ascii="Century Gothic" w:hAnsi="Century Gothic" w:cs="Arial"/>
          <w:noProof/>
          <w:lang w:val="es-ES_tradnl"/>
        </w:rPr>
      </w:pPr>
      <w:r w:rsidRPr="00851774">
        <w:rPr>
          <w:rFonts w:ascii="Century Gothic" w:hAnsi="Century Gothic" w:cs="Arial"/>
          <w:noProof/>
          <w:lang w:val="es-ES_tradnl"/>
        </w:rPr>
        <w:t>v) Se celebran a través de la modalidad de contratación directa, independientemente de la cuantía y del tipo de servicio profesional, siempre que su objeto no sea la consultoría. Esto por cuanto, como lo indicó el Consejo de Estado en otra Sentencia de Unificación Jurisprudencial del año 2013, si bien en ambos existe un componente intelectual y profesional, el objeto del contrato de consultoría es especial y debe celebrarse, por regla general, mediante un concurso de méritos</w:t>
      </w:r>
      <w:r w:rsidRPr="00851774">
        <w:rPr>
          <w:rFonts w:ascii="Century Gothic" w:hAnsi="Century Gothic" w:cs="Arial"/>
          <w:noProof/>
          <w:vertAlign w:val="superscript"/>
          <w:lang w:val="es-ES_tradnl"/>
        </w:rPr>
        <w:footnoteReference w:id="20"/>
      </w:r>
      <w:r w:rsidRPr="00851774">
        <w:rPr>
          <w:rFonts w:ascii="Century Gothic" w:hAnsi="Century Gothic" w:cs="Arial"/>
          <w:noProof/>
          <w:lang w:val="es-ES_tradnl"/>
        </w:rPr>
        <w:t xml:space="preserve">. Esto también se deriva del artículo 2, numeral 4º, literal h) de la Ley </w:t>
      </w:r>
      <w:r w:rsidRPr="00851774">
        <w:rPr>
          <w:rFonts w:ascii="Century Gothic" w:hAnsi="Century Gothic" w:cs="Arial"/>
          <w:noProof/>
          <w:lang w:val="es-ES_tradnl"/>
        </w:rPr>
        <w:lastRenderedPageBreak/>
        <w:t>1150 de 2007, al señalar que procede la contratación directa para la prestación de servicios profesionales y de apoyo a la gestión o para la ejecución de trabajos artísticos que solo pueden encomendarse a determinadas personas.</w:t>
      </w:r>
    </w:p>
    <w:p w14:paraId="3F7EA0F8" w14:textId="77777777" w:rsidR="005B4D3E" w:rsidRPr="00851774" w:rsidRDefault="005B4D3E" w:rsidP="005B4D3E">
      <w:pPr>
        <w:spacing w:after="120" w:line="276" w:lineRule="auto"/>
        <w:ind w:firstLine="709"/>
        <w:jc w:val="both"/>
        <w:rPr>
          <w:rFonts w:ascii="Century Gothic" w:hAnsi="Century Gothic" w:cs="Arial"/>
          <w:noProof/>
          <w:lang w:val="es-ES_tradnl"/>
        </w:rPr>
      </w:pPr>
      <w:r w:rsidRPr="00851774">
        <w:rPr>
          <w:rFonts w:ascii="Century Gothic" w:hAnsi="Century Gothic" w:cs="Arial"/>
          <w:noProof/>
          <w:lang w:val="es-ES_tradnl"/>
        </w:rPr>
        <w:t>vi) Para su celebración no se requiere expedir un acto administrativo de justificación de la contratación directa</w:t>
      </w:r>
      <w:r w:rsidRPr="00851774">
        <w:rPr>
          <w:rFonts w:ascii="Century Gothic" w:hAnsi="Century Gothic" w:cs="Arial"/>
          <w:noProof/>
          <w:vertAlign w:val="superscript"/>
          <w:lang w:val="es-ES_tradnl"/>
        </w:rPr>
        <w:footnoteReference w:id="21"/>
      </w:r>
      <w:r w:rsidRPr="00851774">
        <w:rPr>
          <w:rFonts w:ascii="Century Gothic" w:hAnsi="Century Gothic" w:cs="Arial"/>
          <w:noProof/>
          <w:lang w:val="es-ES_tradnl"/>
        </w:rPr>
        <w:t>.</w:t>
      </w:r>
    </w:p>
    <w:p w14:paraId="77F22AE6" w14:textId="77777777" w:rsidR="005B4D3E" w:rsidRPr="00851774" w:rsidRDefault="005B4D3E" w:rsidP="005B4D3E">
      <w:pPr>
        <w:spacing w:after="120" w:line="276" w:lineRule="auto"/>
        <w:ind w:firstLine="709"/>
        <w:jc w:val="both"/>
        <w:rPr>
          <w:rFonts w:ascii="Century Gothic" w:hAnsi="Century Gothic" w:cs="Arial"/>
          <w:noProof/>
          <w:lang w:val="es-ES_tradnl"/>
        </w:rPr>
      </w:pPr>
      <w:r w:rsidRPr="00851774">
        <w:rPr>
          <w:rFonts w:ascii="Century Gothic" w:hAnsi="Century Gothic" w:cs="Arial"/>
          <w:noProof/>
          <w:lang w:val="es-ES_tradnl"/>
        </w:rPr>
        <w:t>vii) El contrato admite la inclusión de cláusulas excepcionales. En los contratos de prestación de servicios se puede pactar la caducidad, la modificación, interpretación o terminación unilateral, como acuerdos o elementos accidentales, así que para ejercer estas exorbitancias deben incluirse expresamente, porque no se entienden pactadas como cláusula de la naturaleza. Así se infiere del artículo 14, numeral 2º, de la Ley 80 de 1993</w:t>
      </w:r>
      <w:r w:rsidRPr="00851774">
        <w:rPr>
          <w:rFonts w:ascii="Century Gothic" w:hAnsi="Century Gothic" w:cs="Arial"/>
          <w:noProof/>
          <w:vertAlign w:val="superscript"/>
          <w:lang w:val="es-ES_tradnl"/>
        </w:rPr>
        <w:footnoteReference w:id="22"/>
      </w:r>
      <w:r w:rsidRPr="00851774">
        <w:rPr>
          <w:rFonts w:ascii="Century Gothic" w:hAnsi="Century Gothic" w:cs="Arial"/>
          <w:noProof/>
          <w:lang w:val="es-ES_tradnl"/>
        </w:rPr>
        <w:t>.</w:t>
      </w:r>
    </w:p>
    <w:p w14:paraId="2064AD79" w14:textId="77777777" w:rsidR="005B4D3E" w:rsidRPr="00851774" w:rsidRDefault="005B4D3E" w:rsidP="005B4D3E">
      <w:pPr>
        <w:spacing w:after="120" w:line="276" w:lineRule="auto"/>
        <w:ind w:firstLine="709"/>
        <w:jc w:val="both"/>
        <w:rPr>
          <w:rFonts w:ascii="Century Gothic" w:hAnsi="Century Gothic" w:cs="Arial"/>
          <w:noProof/>
          <w:lang w:val="es-ES_tradnl"/>
        </w:rPr>
      </w:pPr>
      <w:r w:rsidRPr="00851774">
        <w:rPr>
          <w:rFonts w:ascii="Century Gothic" w:hAnsi="Century Gothic" w:cs="Arial"/>
          <w:noProof/>
          <w:lang w:val="es-ES_tradnl"/>
        </w:rPr>
        <w:lastRenderedPageBreak/>
        <w:t>viii) No es obligatoria la liquidación de estos contratos, como lo establece el artículo 217 del Decreto 019 de 2012, que modificó el artículo 60 de la Ley 80 de 1993</w:t>
      </w:r>
      <w:r w:rsidRPr="00851774">
        <w:rPr>
          <w:rFonts w:ascii="Century Gothic" w:hAnsi="Century Gothic" w:cs="Arial"/>
          <w:noProof/>
          <w:vertAlign w:val="superscript"/>
          <w:lang w:val="es-ES_tradnl"/>
        </w:rPr>
        <w:footnoteReference w:id="23"/>
      </w:r>
      <w:r w:rsidRPr="00851774">
        <w:rPr>
          <w:rFonts w:ascii="Century Gothic" w:hAnsi="Century Gothic" w:cs="Arial"/>
          <w:noProof/>
          <w:lang w:val="es-ES_tradnl"/>
        </w:rPr>
        <w:t>.</w:t>
      </w:r>
    </w:p>
    <w:p w14:paraId="515FAE6F" w14:textId="77777777" w:rsidR="005B4D3E" w:rsidRPr="00851774" w:rsidRDefault="005B4D3E" w:rsidP="005B4D3E">
      <w:pPr>
        <w:spacing w:after="120" w:line="276" w:lineRule="auto"/>
        <w:ind w:firstLine="709"/>
        <w:jc w:val="both"/>
        <w:rPr>
          <w:rFonts w:ascii="Century Gothic" w:hAnsi="Century Gothic" w:cs="Arial"/>
          <w:noProof/>
          <w:lang w:val="es-ES_tradnl"/>
        </w:rPr>
      </w:pPr>
      <w:r w:rsidRPr="00851774">
        <w:rPr>
          <w:rFonts w:ascii="Century Gothic" w:hAnsi="Century Gothic" w:cs="Arial"/>
          <w:noProof/>
          <w:lang w:val="es-ES_tradnl"/>
        </w:rPr>
        <w:t>ix) Para su celebración el contratista no requiere estar inscrito en el Registro Único de Proponentes –en adelante RUP–, como lo señala el artículo 6 de la Ley 1150 de 2007</w:t>
      </w:r>
      <w:r w:rsidRPr="00851774">
        <w:rPr>
          <w:rFonts w:ascii="Century Gothic" w:hAnsi="Century Gothic" w:cs="Arial"/>
          <w:noProof/>
          <w:vertAlign w:val="superscript"/>
          <w:lang w:val="es-ES_tradnl"/>
        </w:rPr>
        <w:footnoteReference w:id="24"/>
      </w:r>
      <w:r w:rsidRPr="00851774">
        <w:rPr>
          <w:rFonts w:ascii="Century Gothic" w:hAnsi="Century Gothic" w:cs="Arial"/>
          <w:noProof/>
          <w:lang w:val="es-ES_tradnl"/>
        </w:rPr>
        <w:t>.</w:t>
      </w:r>
    </w:p>
    <w:p w14:paraId="5EB3A9FF" w14:textId="77777777" w:rsidR="005B4D3E" w:rsidRPr="00851774" w:rsidRDefault="005B4D3E" w:rsidP="005B4D3E">
      <w:pPr>
        <w:spacing w:after="120" w:line="276" w:lineRule="auto"/>
        <w:ind w:firstLine="708"/>
        <w:jc w:val="both"/>
        <w:rPr>
          <w:rFonts w:ascii="Century Gothic" w:hAnsi="Century Gothic" w:cs="Arial"/>
          <w:noProof/>
          <w:lang w:val="es-ES_tradnl"/>
        </w:rPr>
      </w:pPr>
      <w:r w:rsidRPr="00851774">
        <w:rPr>
          <w:rFonts w:ascii="Century Gothic" w:hAnsi="Century Gothic" w:cs="Arial"/>
          <w:noProof/>
          <w:lang w:val="es-ES_tradnl"/>
        </w:rPr>
        <w:t>x) No es obligtoria la exigencia de garantías</w:t>
      </w:r>
      <w:r w:rsidRPr="00851774">
        <w:rPr>
          <w:rFonts w:ascii="Century Gothic" w:hAnsi="Century Gothic" w:cs="Arial"/>
          <w:noProof/>
          <w:vertAlign w:val="superscript"/>
          <w:lang w:val="es-ES_tradnl"/>
        </w:rPr>
        <w:footnoteReference w:id="25"/>
      </w:r>
      <w:r w:rsidRPr="00851774">
        <w:rPr>
          <w:rFonts w:ascii="Century Gothic" w:hAnsi="Century Gothic" w:cs="Arial"/>
          <w:noProof/>
          <w:lang w:val="es-ES_tradnl"/>
        </w:rPr>
        <w:t>, y</w:t>
      </w:r>
    </w:p>
    <w:p w14:paraId="2D8D7507" w14:textId="77777777" w:rsidR="005B4D3E" w:rsidRPr="00851774" w:rsidRDefault="005B4D3E" w:rsidP="005B4D3E">
      <w:pPr>
        <w:spacing w:after="120" w:line="276" w:lineRule="auto"/>
        <w:ind w:firstLine="708"/>
        <w:jc w:val="both"/>
        <w:rPr>
          <w:rFonts w:ascii="Century Gothic" w:hAnsi="Century Gothic" w:cs="Arial"/>
          <w:noProof/>
          <w:lang w:val="es-ES_tradnl"/>
        </w:rPr>
      </w:pPr>
      <w:r w:rsidRPr="00851774">
        <w:rPr>
          <w:rFonts w:ascii="Century Gothic" w:hAnsi="Century Gothic" w:cs="Arial"/>
          <w:noProof/>
          <w:lang w:val="es-ES_tradnl"/>
        </w:rPr>
        <w:t>xi) Como los demás contratos estatales, se trata de un contrato solemne que debe constar por escrito y debe ser publicado en el SECOP.</w:t>
      </w:r>
    </w:p>
    <w:p w14:paraId="26CF5BC5" w14:textId="77777777" w:rsidR="005B4D3E" w:rsidRPr="00851774" w:rsidRDefault="005B4D3E" w:rsidP="005B4D3E">
      <w:pPr>
        <w:spacing w:after="120" w:line="276" w:lineRule="auto"/>
        <w:ind w:firstLine="708"/>
        <w:jc w:val="both"/>
        <w:rPr>
          <w:rFonts w:ascii="Century Gothic" w:hAnsi="Century Gothic" w:cs="Arial"/>
          <w:noProof/>
          <w:lang w:val="es-ES_tradnl"/>
        </w:rPr>
      </w:pPr>
      <w:r w:rsidRPr="00851774">
        <w:rPr>
          <w:rFonts w:ascii="Century Gothic" w:hAnsi="Century Gothic" w:cs="Arial"/>
          <w:noProof/>
          <w:lang w:val="es-ES_tradnl"/>
        </w:rPr>
        <w:t>Por otra parte, en lo concerniente a los honorarios en esta tipología contractual, resulta a bien indicar, que no existe en el Sistema de Compra y Contratación Pública una disposición que establezca la forma en la que deberían fijarse los honorarios de los contratistas de prestación de servicios profesionales, de apoyo a la gestión y de trabajos artísticos, pues en virtud del principio de autonomía de la voluntad, las partes pueden determinar el contenido de los contratos estales e incluir las condiciones, clásulas o estipulaciones que consideren necesarias para desarrollar el objeto contractual, siempre que no sean contrarias a la Constitución Política, la ley y el orden público.</w:t>
      </w:r>
    </w:p>
    <w:p w14:paraId="7C006051" w14:textId="77777777" w:rsidR="005B4D3E" w:rsidRPr="00851774" w:rsidRDefault="005B4D3E" w:rsidP="005B4D3E">
      <w:pPr>
        <w:spacing w:after="0" w:line="276" w:lineRule="auto"/>
        <w:ind w:firstLine="708"/>
        <w:jc w:val="both"/>
        <w:rPr>
          <w:rFonts w:ascii="Century Gothic" w:hAnsi="Century Gothic" w:cs="Arial"/>
          <w:noProof/>
          <w:lang w:val="es-ES_tradnl"/>
        </w:rPr>
      </w:pPr>
      <w:r w:rsidRPr="00851774">
        <w:rPr>
          <w:rFonts w:ascii="Century Gothic" w:hAnsi="Century Gothic" w:cs="Arial"/>
          <w:noProof/>
          <w:lang w:val="es-ES_tradnl"/>
        </w:rPr>
        <w:lastRenderedPageBreak/>
        <w:t>En consecuencia, las Entidades Estatales durante la etapa de planeación, tienen el deber de realizar el análisis del sector y justificar la modalidad de contratación en los documentos del proceso, que para el caso de los procesos que impliquen una contratación directa y en los contratos de prestación de servicios profesionales, de apoyo a la gestión y de trabajos artísiticosm se constata en los estudios y documentos previos, los cuales deben indicar, entre otras, las condiciones mínimas exigidas para suplir la necesidad de la entidad, así como los requisitos que debe acreditar el futuro contratista para el cumplimiento del objeto contractual.</w:t>
      </w:r>
    </w:p>
    <w:p w14:paraId="357BF5C4" w14:textId="77777777" w:rsidR="005B4D3E" w:rsidRPr="00851774" w:rsidRDefault="005B4D3E" w:rsidP="005B4D3E">
      <w:pPr>
        <w:spacing w:after="0" w:line="276" w:lineRule="auto"/>
        <w:jc w:val="both"/>
        <w:rPr>
          <w:rFonts w:ascii="Century Gothic" w:hAnsi="Century Gothic" w:cs="Arial"/>
          <w:noProof/>
          <w:lang w:val="es-ES_tradnl"/>
        </w:rPr>
      </w:pPr>
    </w:p>
    <w:p w14:paraId="6F90413C" w14:textId="77777777" w:rsidR="005B4D3E" w:rsidRPr="00851774" w:rsidRDefault="005B4D3E" w:rsidP="005B4D3E">
      <w:pPr>
        <w:spacing w:after="0" w:line="276" w:lineRule="auto"/>
        <w:jc w:val="both"/>
        <w:rPr>
          <w:rFonts w:ascii="Century Gothic" w:hAnsi="Century Gothic" w:cs="Arial"/>
          <w:b/>
          <w:bCs/>
          <w:noProof/>
          <w:lang w:val="es-ES_tradnl"/>
        </w:rPr>
      </w:pPr>
      <w:r w:rsidRPr="00851774">
        <w:rPr>
          <w:rFonts w:ascii="Century Gothic" w:hAnsi="Century Gothic" w:cs="Arial"/>
          <w:b/>
          <w:bCs/>
          <w:noProof/>
          <w:lang w:val="es-ES_tradnl"/>
        </w:rPr>
        <w:t>2</w:t>
      </w:r>
      <w:r>
        <w:rPr>
          <w:rFonts w:ascii="Century Gothic" w:hAnsi="Century Gothic" w:cs="Arial"/>
          <w:b/>
          <w:bCs/>
          <w:noProof/>
          <w:lang w:val="es-ES_tradnl"/>
        </w:rPr>
        <w:t xml:space="preserve">.4. </w:t>
      </w:r>
      <w:r w:rsidRPr="00851774">
        <w:rPr>
          <w:rFonts w:ascii="Century Gothic" w:hAnsi="Century Gothic" w:cs="Arial"/>
          <w:b/>
          <w:bCs/>
          <w:noProof/>
          <w:lang w:val="es-ES_tradnl"/>
        </w:rPr>
        <w:t>Distinción del contrato de prestación de servicios de los contratos de consultoría</w:t>
      </w:r>
    </w:p>
    <w:p w14:paraId="0C237D42" w14:textId="77777777" w:rsidR="005B4D3E" w:rsidRPr="00851774" w:rsidRDefault="005B4D3E" w:rsidP="005B4D3E">
      <w:pPr>
        <w:spacing w:after="0" w:line="276" w:lineRule="auto"/>
        <w:ind w:firstLine="709"/>
        <w:jc w:val="both"/>
        <w:rPr>
          <w:rFonts w:ascii="Century Gothic" w:hAnsi="Century Gothic" w:cs="Arial"/>
          <w:noProof/>
          <w:lang w:val="es-ES_tradnl"/>
        </w:rPr>
      </w:pPr>
    </w:p>
    <w:p w14:paraId="4888F42A" w14:textId="77777777" w:rsidR="005B4D3E" w:rsidRPr="00851774" w:rsidRDefault="005B4D3E" w:rsidP="005B4D3E">
      <w:pPr>
        <w:spacing w:after="120" w:line="276" w:lineRule="auto"/>
        <w:jc w:val="both"/>
        <w:rPr>
          <w:rFonts w:ascii="Century Gothic" w:hAnsi="Century Gothic" w:cs="Arial"/>
          <w:noProof/>
          <w:lang w:val="es-ES_tradnl"/>
        </w:rPr>
      </w:pPr>
      <w:r w:rsidRPr="00851774">
        <w:rPr>
          <w:rFonts w:ascii="Century Gothic" w:hAnsi="Century Gothic" w:cs="Arial"/>
          <w:noProof/>
          <w:lang w:val="es-ES_tradnl"/>
        </w:rPr>
        <w:t>El contrato de consultoría se encuentra definido en el el numeral 2 del artículo 32 de la Ley 80 de 1993, disposión que los define como aquelos que suscriben las entidades públicas que se refieran a los estudios necesarios para la ejecución de proyectos de inversión, estudios de diagnóstico, prefactibilidad o factibilidad para programas o proyectos específicos, así como las asesorías técnicas de coordinación, control y supervisión. De igual forma, son contratos de consultoría los que tienen por objeto la interventoría, asesoría, gerencia de obra o de proyectos, dirección, programación y la ejecución de diseños, planos, anteproyectos y proyectos</w:t>
      </w:r>
      <w:r w:rsidRPr="00851774">
        <w:rPr>
          <w:rFonts w:ascii="Century Gothic" w:hAnsi="Century Gothic"/>
          <w:vertAlign w:val="superscript"/>
        </w:rPr>
        <w:footnoteReference w:id="26"/>
      </w:r>
      <w:r w:rsidRPr="00851774">
        <w:rPr>
          <w:rFonts w:ascii="Century Gothic" w:hAnsi="Century Gothic"/>
        </w:rPr>
        <w:t xml:space="preserve"> - </w:t>
      </w:r>
      <w:r w:rsidRPr="00851774">
        <w:rPr>
          <w:rFonts w:ascii="Century Gothic" w:hAnsi="Century Gothic"/>
          <w:vertAlign w:val="superscript"/>
        </w:rPr>
        <w:footnoteReference w:id="27"/>
      </w:r>
      <w:r w:rsidRPr="00851774">
        <w:rPr>
          <w:rFonts w:ascii="Century Gothic" w:hAnsi="Century Gothic"/>
        </w:rPr>
        <w:t>.</w:t>
      </w:r>
    </w:p>
    <w:p w14:paraId="490BC906" w14:textId="77777777" w:rsidR="005B4D3E" w:rsidRPr="00851774" w:rsidRDefault="005B4D3E" w:rsidP="005B4D3E">
      <w:pPr>
        <w:spacing w:line="276" w:lineRule="auto"/>
        <w:ind w:firstLine="708"/>
        <w:jc w:val="both"/>
        <w:rPr>
          <w:rFonts w:ascii="Century Gothic" w:hAnsi="Century Gothic"/>
        </w:rPr>
      </w:pPr>
      <w:r w:rsidRPr="00851774">
        <w:rPr>
          <w:rFonts w:ascii="Century Gothic" w:hAnsi="Century Gothic" w:cs="Arial"/>
          <w:noProof/>
          <w:lang w:val="es-ES_tradnl"/>
        </w:rPr>
        <w:lastRenderedPageBreak/>
        <w:t>La doctrina, por su parte, expresa que el numeral 2 del artículo 32 de la Ley 80 de 1993, no establce una definición de contrato de consultoría, sino que, simplemente, enuncia una serie de actividades que pueden hacer parte de este tipo contractual</w:t>
      </w:r>
      <w:r w:rsidRPr="00851774">
        <w:rPr>
          <w:rFonts w:ascii="Century Gothic" w:hAnsi="Century Gothic"/>
          <w:vertAlign w:val="superscript"/>
        </w:rPr>
        <w:footnoteReference w:id="28"/>
      </w:r>
      <w:r w:rsidRPr="00851774">
        <w:rPr>
          <w:rFonts w:ascii="Century Gothic" w:hAnsi="Century Gothic" w:cs="Arial"/>
          <w:noProof/>
          <w:lang w:val="es-ES_tradnl"/>
        </w:rPr>
        <w:t>. Es decir, no hay un concepto propio de consultoría dentro de la Ley 80 de 1993, pero sí se establecen los elementos o actividades que configuran este tipo de contratos. Sobre el particular, el Consejo de Estado manifestó: “Son de la esencia del contrato de consultoría el que una parte se obligue a prestar un servicio consistente en realizar estudios para la ejecución de proyectos de inversión, estudios de diagnóstico, prefactibilidad o factibilidad para programas o proyectos determinados, prestar asesoría técnica de coordinación, control y supervisión, realizar actividades de interventoría, asesoría y gerencia de obra o de proyectos, así como la dirección, programación y la ejecución de diseños, planos, anteproyectos y proyectos, y el que la otra se obligue a pagar una determinada remuneración como retribución por el servicio prestado</w:t>
      </w:r>
      <w:r w:rsidRPr="00851774">
        <w:rPr>
          <w:rFonts w:ascii="Century Gothic" w:hAnsi="Century Gothic"/>
        </w:rPr>
        <w:t>”</w:t>
      </w:r>
      <w:r w:rsidRPr="00851774">
        <w:rPr>
          <w:rFonts w:ascii="Century Gothic" w:hAnsi="Century Gothic"/>
          <w:vertAlign w:val="superscript"/>
        </w:rPr>
        <w:footnoteReference w:id="29"/>
      </w:r>
      <w:r w:rsidRPr="00851774">
        <w:rPr>
          <w:rFonts w:ascii="Century Gothic" w:hAnsi="Century Gothic"/>
        </w:rPr>
        <w:t>.</w:t>
      </w:r>
    </w:p>
    <w:p w14:paraId="642BB5E2" w14:textId="77777777" w:rsidR="005B4D3E" w:rsidRPr="00851774" w:rsidRDefault="005B4D3E" w:rsidP="005B4D3E">
      <w:pPr>
        <w:spacing w:after="120" w:line="276" w:lineRule="auto"/>
        <w:ind w:firstLine="708"/>
        <w:jc w:val="both"/>
        <w:rPr>
          <w:rFonts w:ascii="Century Gothic" w:hAnsi="Century Gothic" w:cs="Arial"/>
          <w:noProof/>
          <w:lang w:val="es-ES_tradnl"/>
        </w:rPr>
      </w:pPr>
      <w:r w:rsidRPr="00851774">
        <w:rPr>
          <w:rFonts w:ascii="Century Gothic" w:hAnsi="Century Gothic" w:cs="Arial"/>
          <w:noProof/>
          <w:lang w:val="es-ES_tradnl"/>
        </w:rPr>
        <w:t xml:space="preserve">Ahora bien, </w:t>
      </w:r>
      <w:bookmarkStart w:id="8" w:name="_Hlk160180027"/>
      <w:r w:rsidRPr="00851774">
        <w:rPr>
          <w:rFonts w:ascii="Century Gothic" w:hAnsi="Century Gothic" w:cs="Arial"/>
          <w:noProof/>
          <w:lang w:val="es-ES_tradnl"/>
        </w:rPr>
        <w:t>pese a que el contrato de consultoría y el de prestación de servicios se asemejan en lo intelectual y profesional, el primero no puede tener como objeto contractual, actividades del segundo. Esto por cuanto, como lo indicó el Consejo de Estado en la antes referida sentencia de unificación jurisprudencial, si bien existe un componente intectual y profesional, tanto en los contratos de prestación de servicios profesionales y en los contratos de consultoría, el objeto contractual de este último es especial y debe celebrarse, por regla general, mediante la modalidad de selección de concurso de méritos. Así pues, debe aclararse, que no es factible suscribir un contrato de prestación de servicios profesionales para ejecutar actividades que se enmarcan en los contratos tipificados en el artículo 32 de la Ley 80 de 1993, como, por ejemplo, las consultorías</w:t>
      </w:r>
      <w:r w:rsidRPr="00851774">
        <w:rPr>
          <w:rFonts w:ascii="Century Gothic" w:eastAsia="Calibri" w:hAnsi="Century Gothic" w:cs="Arial"/>
          <w:noProof/>
          <w:lang w:val="es-ES_tradnl"/>
        </w:rPr>
        <w:t>.</w:t>
      </w:r>
    </w:p>
    <w:p w14:paraId="7BED7C9C" w14:textId="77777777" w:rsidR="005B4D3E" w:rsidRPr="00851774" w:rsidRDefault="005B4D3E" w:rsidP="005B4D3E">
      <w:pPr>
        <w:spacing w:after="120" w:line="276" w:lineRule="auto"/>
        <w:ind w:firstLine="708"/>
        <w:jc w:val="both"/>
        <w:rPr>
          <w:rFonts w:ascii="Century Gothic" w:hAnsi="Century Gothic" w:cs="Arial"/>
          <w:noProof/>
          <w:lang w:val="es-ES_tradnl"/>
        </w:rPr>
      </w:pPr>
      <w:r w:rsidRPr="00851774">
        <w:rPr>
          <w:rFonts w:ascii="Century Gothic" w:hAnsi="Century Gothic" w:cs="Arial"/>
          <w:noProof/>
          <w:lang w:val="es-ES_tradnl"/>
        </w:rPr>
        <w:t xml:space="preserve">Bajo este entendimiento, la característica fundamental para identifcar los contratos de consultoría es el carácter ampliamente técnico de su contenido, que se diferencia de otros tipos contractuales, como el de prestación de servicios –apoyo a la gestión, servicios profesionales o de ejecución de trabajos artísticos–. A </w:t>
      </w:r>
      <w:r w:rsidRPr="00851774">
        <w:rPr>
          <w:rFonts w:ascii="Century Gothic" w:hAnsi="Century Gothic" w:cs="Arial"/>
          <w:noProof/>
          <w:lang w:val="es-ES_tradnl"/>
        </w:rPr>
        <w:lastRenderedPageBreak/>
        <w:t>diferencia del contrato de consultoría, el de prestación de servicios supone tal y como se indicó en el numeral anterior, el desarrollo de actividades de colaboración y apoyo a la gestión de la entidad dirigidas al cumplimiento de las funciones asignadas a esta, de carácter temporal, excepcional u ocasional, siempre que no haya suficiente personal de planta o que, existiendo, está sobrecargado de trabajo, o que sean actividades que requieran conocimientos especializados, según lo prescrito en el numeral 3 del artículo 32 de la Ley 80 de 1993</w:t>
      </w:r>
      <w:bookmarkEnd w:id="8"/>
      <w:r w:rsidRPr="00851774">
        <w:rPr>
          <w:rFonts w:ascii="Century Gothic" w:hAnsi="Century Gothic"/>
          <w:vertAlign w:val="superscript"/>
        </w:rPr>
        <w:footnoteReference w:id="30"/>
      </w:r>
      <w:r w:rsidRPr="00851774">
        <w:rPr>
          <w:rFonts w:ascii="Century Gothic" w:hAnsi="Century Gothic"/>
        </w:rPr>
        <w:t>.</w:t>
      </w:r>
    </w:p>
    <w:p w14:paraId="60D260E2" w14:textId="77777777" w:rsidR="005B4D3E" w:rsidRPr="00851774" w:rsidRDefault="005B4D3E" w:rsidP="005B4D3E">
      <w:pPr>
        <w:spacing w:after="120" w:line="276" w:lineRule="auto"/>
        <w:ind w:firstLine="708"/>
        <w:jc w:val="both"/>
        <w:rPr>
          <w:rFonts w:ascii="Century Gothic" w:hAnsi="Century Gothic" w:cs="Arial"/>
          <w:noProof/>
          <w:lang w:val="es-ES_tradnl"/>
        </w:rPr>
      </w:pPr>
      <w:r w:rsidRPr="00851774">
        <w:rPr>
          <w:rFonts w:ascii="Century Gothic" w:hAnsi="Century Gothic" w:cs="Arial"/>
          <w:noProof/>
          <w:lang w:val="es-ES_tradnl"/>
        </w:rPr>
        <w:t>Finalmente, en lo que respecta a la modalidad de selección apliable para el contrato de consultoría, es importante aclarar que el numeral 3 del artículo 2 de la Ley 1150 de 2007, establece que el concurso de méritos es, en principio, la modalidad de selección aplicable para la celebración de este tipo de contratos</w:t>
      </w:r>
      <w:r w:rsidRPr="00851774">
        <w:rPr>
          <w:rFonts w:ascii="Century Gothic" w:hAnsi="Century Gothic"/>
          <w:vertAlign w:val="superscript"/>
        </w:rPr>
        <w:footnoteReference w:id="31"/>
      </w:r>
      <w:r w:rsidRPr="00851774">
        <w:rPr>
          <w:rFonts w:ascii="Century Gothic" w:hAnsi="Century Gothic"/>
        </w:rPr>
        <w:t xml:space="preserve">. </w:t>
      </w:r>
      <w:r w:rsidRPr="00851774">
        <w:rPr>
          <w:rFonts w:ascii="Century Gothic" w:hAnsi="Century Gothic" w:cs="Arial"/>
          <w:noProof/>
          <w:lang w:val="es-ES_tradnl"/>
        </w:rPr>
        <w:t xml:space="preserve">Al respecto, el Libro 2, Parte 2, Título 1, Capítulo 2, Sección 1, Subsección 3 del Decreto 1082 de 2015, regula las distintas modalidades del concurso de méritos: i) concurso de méritos abierto o sin precalificación, ii) concurso de méritos cerrado o con precalificación y iii) concurso de méritos “para la selección de consultores de diseño, planos, anteproyectos y proyectos arquitectónicos”. El primero está regulado en los artículos 2.2.1.2.1.3.1. y 2.2.1.2.1.3.2. ibidem. El segundo, además de los dos artículos anteriores, lo regulan los artículos 2.2.1.2.1.3.3. a 2.2.1.2.1.3.7. </w:t>
      </w:r>
      <w:r w:rsidRPr="00851774">
        <w:rPr>
          <w:rFonts w:ascii="Century Gothic" w:hAnsi="Century Gothic" w:cs="Arial"/>
          <w:noProof/>
          <w:lang w:val="es-ES_tradnl"/>
        </w:rPr>
        <w:lastRenderedPageBreak/>
        <w:t>ejusdem. Y, el tercero, lo regulan los artículos 2.2.1.2.1.3.8. a 2.2.1.2.1.3.25. del mencionado Decret</w:t>
      </w:r>
      <w:r w:rsidRPr="00851774">
        <w:rPr>
          <w:rFonts w:ascii="Century Gothic" w:hAnsi="Century Gothic"/>
        </w:rPr>
        <w:t>o</w:t>
      </w:r>
      <w:r w:rsidRPr="00851774">
        <w:rPr>
          <w:rFonts w:ascii="Century Gothic" w:hAnsi="Century Gothic"/>
          <w:vertAlign w:val="superscript"/>
        </w:rPr>
        <w:footnoteReference w:id="32"/>
      </w:r>
      <w:r w:rsidRPr="00851774">
        <w:rPr>
          <w:rFonts w:ascii="Century Gothic" w:hAnsi="Century Gothic"/>
        </w:rPr>
        <w:t>.</w:t>
      </w:r>
    </w:p>
    <w:p w14:paraId="01DBB3D1" w14:textId="77777777" w:rsidR="005B4D3E" w:rsidRPr="00851774" w:rsidRDefault="005B4D3E" w:rsidP="005B4D3E">
      <w:pPr>
        <w:spacing w:after="120" w:line="276" w:lineRule="auto"/>
        <w:ind w:firstLine="708"/>
        <w:jc w:val="both"/>
        <w:rPr>
          <w:rFonts w:ascii="Century Gothic" w:hAnsi="Century Gothic" w:cs="Arial"/>
          <w:noProof/>
          <w:lang w:val="es-ES_tradnl"/>
        </w:rPr>
      </w:pPr>
      <w:r w:rsidRPr="00851774">
        <w:rPr>
          <w:rFonts w:ascii="Century Gothic" w:hAnsi="Century Gothic" w:cs="Arial"/>
          <w:noProof/>
          <w:lang w:val="es-ES_tradnl"/>
        </w:rPr>
        <w:t>Sin embargo, lo anterior no significa que los contratos de consultoría solo puedan perfeccionarse con la previa realización de la modalidad de selección de un concurso de méritos. El procedimiento que antecede su celebración también puede ser, excepcionalmente, desarrollado mediante el proceso de mínima cuantía –cuando el presupuesto oficial no exceda el 10% de la menor cuantía– o el de contratación directa, pues el artículo 2º, numeral 4º de la Ley 1150 establece algunas circunstancias que así lo permiten, como la urgencia manifiesta –literal a)– o los contratos interadministrativos –literal c)–. Estas modalidades de selección alternativas, mediante las cuales, excepcionalmente, se puede celebrar un contrato de consultoría, se explican a continuación:</w:t>
      </w:r>
    </w:p>
    <w:p w14:paraId="648E1A1D" w14:textId="77777777" w:rsidR="005B4D3E" w:rsidRPr="00851774" w:rsidRDefault="005B4D3E" w:rsidP="005B4D3E">
      <w:pPr>
        <w:spacing w:after="0" w:line="276" w:lineRule="auto"/>
        <w:ind w:firstLine="708"/>
        <w:jc w:val="both"/>
        <w:rPr>
          <w:rFonts w:ascii="Century Gothic" w:eastAsia="Times New Roman" w:hAnsi="Century Gothic" w:cs="Arial"/>
          <w:iCs/>
          <w:szCs w:val="24"/>
          <w:lang w:val="es-ES_tradnl" w:eastAsia="es-ES_tradnl"/>
        </w:rPr>
      </w:pPr>
      <w:r w:rsidRPr="00851774">
        <w:rPr>
          <w:rFonts w:ascii="Century Gothic" w:hAnsi="Century Gothic" w:cs="Arial"/>
          <w:noProof/>
          <w:lang w:val="es-ES_tradnl"/>
        </w:rPr>
        <w:t>a) Respecto a la modalidad de selección de mínima cuantía, la Agencia Nacional de Contratación Pública – Colombia Compra Eficiente, en el “Manual de la Modalidad de Selección de Mínima Cuantía” expresó</w:t>
      </w:r>
      <w:r w:rsidRPr="00851774">
        <w:rPr>
          <w:rFonts w:ascii="Century Gothic" w:eastAsia="Times New Roman" w:hAnsi="Century Gothic" w:cs="Arial"/>
          <w:iCs/>
          <w:szCs w:val="24"/>
          <w:lang w:val="es-ES_tradnl" w:eastAsia="es-ES_tradnl"/>
        </w:rPr>
        <w:t xml:space="preserve">: </w:t>
      </w:r>
    </w:p>
    <w:p w14:paraId="3A8CA56D" w14:textId="77777777" w:rsidR="005B4D3E" w:rsidRPr="00851774" w:rsidRDefault="005B4D3E" w:rsidP="005B4D3E">
      <w:pPr>
        <w:spacing w:after="0" w:line="276" w:lineRule="auto"/>
        <w:jc w:val="both"/>
        <w:rPr>
          <w:rFonts w:ascii="Century Gothic" w:eastAsia="Times New Roman" w:hAnsi="Century Gothic" w:cs="Arial"/>
          <w:iCs/>
          <w:szCs w:val="24"/>
          <w:lang w:val="es-ES_tradnl" w:eastAsia="es-ES_tradnl"/>
        </w:rPr>
      </w:pPr>
    </w:p>
    <w:p w14:paraId="40B31DBD" w14:textId="77777777" w:rsidR="005B4D3E" w:rsidRPr="00851774" w:rsidRDefault="005B4D3E" w:rsidP="005B4D3E">
      <w:pPr>
        <w:spacing w:after="0" w:line="240" w:lineRule="auto"/>
        <w:ind w:left="709" w:right="709"/>
        <w:jc w:val="both"/>
        <w:rPr>
          <w:rFonts w:ascii="Century Gothic" w:eastAsia="Times New Roman" w:hAnsi="Century Gothic" w:cs="Arial"/>
          <w:iCs/>
          <w:sz w:val="21"/>
          <w:szCs w:val="21"/>
          <w:lang w:val="es-ES_tradnl" w:eastAsia="es-ES_tradnl"/>
        </w:rPr>
      </w:pPr>
      <w:r w:rsidRPr="00851774">
        <w:rPr>
          <w:rFonts w:ascii="Century Gothic" w:eastAsia="Times New Roman" w:hAnsi="Century Gothic" w:cs="Arial"/>
          <w:iCs/>
          <w:sz w:val="21"/>
          <w:szCs w:val="21"/>
          <w:lang w:val="es-ES_tradnl" w:eastAsia="es-ES_tradnl"/>
        </w:rPr>
        <w:t>“Las modalidades de selección de concurso de méritos y de mínima cuantía concurren cuando: (a) el presupuesto del Proceso de Contratación es menor o igual que la mínima cuantía de la Entidad Estatal; y (b) el objeto del Proceso de Contratación es la selección de consultores o proyectos, de conformidad con el numeral 3 del artículo 2 de la Ley 1150 de 2007.</w:t>
      </w:r>
    </w:p>
    <w:p w14:paraId="3288BF04" w14:textId="77777777" w:rsidR="005B4D3E" w:rsidRPr="00851774" w:rsidRDefault="005B4D3E" w:rsidP="005B4D3E">
      <w:pPr>
        <w:spacing w:before="120" w:after="0" w:line="240" w:lineRule="auto"/>
        <w:ind w:left="709" w:right="709"/>
        <w:jc w:val="both"/>
        <w:rPr>
          <w:rFonts w:ascii="Century Gothic" w:eastAsia="Times New Roman" w:hAnsi="Century Gothic" w:cs="Arial"/>
          <w:iCs/>
          <w:sz w:val="21"/>
          <w:szCs w:val="21"/>
          <w:lang w:val="es-ES_tradnl" w:eastAsia="es-ES_tradnl"/>
        </w:rPr>
      </w:pPr>
      <w:r w:rsidRPr="00851774">
        <w:rPr>
          <w:rFonts w:ascii="Century Gothic" w:eastAsia="Times New Roman" w:hAnsi="Century Gothic" w:cs="Arial"/>
          <w:iCs/>
          <w:sz w:val="21"/>
          <w:szCs w:val="21"/>
          <w:lang w:val="es-ES_tradnl" w:eastAsia="es-ES_tradnl"/>
        </w:rPr>
        <w:t>Dado que la selección de mínima cuantía es especial para cualquier objeto contractual, de conformidad con el inciso primero del artículo 94 de la Ley 1474 de 2011, en caso de concurrencia entre el concurso de méritos y la mínima cuantía la modalidad de selección aplicable es la de mínima cuantía”</w:t>
      </w:r>
      <w:r w:rsidRPr="00851774">
        <w:rPr>
          <w:rFonts w:ascii="Century Gothic" w:eastAsia="Times New Roman" w:hAnsi="Century Gothic" w:cs="Arial"/>
          <w:iCs/>
          <w:sz w:val="21"/>
          <w:szCs w:val="21"/>
          <w:vertAlign w:val="superscript"/>
          <w:lang w:val="es-ES_tradnl" w:eastAsia="es-ES_tradnl"/>
        </w:rPr>
        <w:footnoteReference w:id="33"/>
      </w:r>
      <w:r w:rsidRPr="00851774">
        <w:rPr>
          <w:rFonts w:ascii="Century Gothic" w:eastAsia="Times New Roman" w:hAnsi="Century Gothic" w:cs="Arial"/>
          <w:iCs/>
          <w:sz w:val="21"/>
          <w:szCs w:val="21"/>
          <w:lang w:val="es-ES_tradnl" w:eastAsia="es-ES_tradnl"/>
        </w:rPr>
        <w:t>.</w:t>
      </w:r>
    </w:p>
    <w:p w14:paraId="4314D0BF" w14:textId="77777777" w:rsidR="005B4D3E" w:rsidRPr="00851774" w:rsidRDefault="005B4D3E" w:rsidP="005B4D3E">
      <w:pPr>
        <w:spacing w:after="0" w:line="276" w:lineRule="auto"/>
        <w:ind w:firstLine="709"/>
        <w:jc w:val="both"/>
        <w:rPr>
          <w:rFonts w:ascii="Century Gothic" w:eastAsia="Times New Roman" w:hAnsi="Century Gothic" w:cs="Arial"/>
          <w:iCs/>
          <w:szCs w:val="24"/>
          <w:lang w:val="es-ES_tradnl" w:eastAsia="es-ES_tradnl"/>
        </w:rPr>
      </w:pPr>
    </w:p>
    <w:p w14:paraId="1099167E" w14:textId="77777777" w:rsidR="005B4D3E" w:rsidRPr="00851774" w:rsidRDefault="005B4D3E" w:rsidP="005B4D3E">
      <w:pPr>
        <w:spacing w:after="0" w:line="276" w:lineRule="auto"/>
        <w:ind w:firstLine="709"/>
        <w:jc w:val="both"/>
        <w:rPr>
          <w:rFonts w:ascii="Century Gothic" w:eastAsia="Times New Roman" w:hAnsi="Century Gothic" w:cs="Arial"/>
          <w:iCs/>
          <w:szCs w:val="24"/>
          <w:lang w:val="es-ES_tradnl" w:eastAsia="es-ES_tradnl"/>
        </w:rPr>
      </w:pPr>
      <w:r w:rsidRPr="00851774">
        <w:rPr>
          <w:rFonts w:ascii="Century Gothic" w:hAnsi="Century Gothic" w:cs="Arial"/>
          <w:noProof/>
          <w:lang w:val="es-ES_tradnl"/>
        </w:rPr>
        <w:t>De esta manera, la Agencia Nacional de Contratación Pública – Colombia Compra Eficiente establece que hay una regla de especialidad de la modalidad de selección de mínima cuantía respecto al concurso de méritos para la escogencia de consultores, pero con la condición de que el presupuesto de contratación sea menor o igual al dispuesto por la entidad para el proceso de selección de mínima cuantía</w:t>
      </w:r>
      <w:r w:rsidRPr="00851774">
        <w:rPr>
          <w:rFonts w:ascii="Century Gothic" w:eastAsia="Times New Roman" w:hAnsi="Century Gothic" w:cs="Arial"/>
          <w:iCs/>
          <w:szCs w:val="24"/>
          <w:lang w:val="es-ES_tradnl" w:eastAsia="es-ES_tradnl"/>
        </w:rPr>
        <w:t xml:space="preserve">. </w:t>
      </w:r>
    </w:p>
    <w:p w14:paraId="5C0090DA" w14:textId="77777777" w:rsidR="005B4D3E" w:rsidRPr="00851774" w:rsidRDefault="005B4D3E" w:rsidP="005B4D3E">
      <w:pPr>
        <w:spacing w:before="120" w:after="120" w:line="276" w:lineRule="auto"/>
        <w:ind w:firstLine="709"/>
        <w:jc w:val="both"/>
        <w:rPr>
          <w:rFonts w:ascii="Century Gothic" w:eastAsia="Times New Roman" w:hAnsi="Century Gothic" w:cs="Arial"/>
          <w:iCs/>
          <w:szCs w:val="24"/>
          <w:lang w:val="es-ES_tradnl" w:eastAsia="es-ES_tradnl"/>
        </w:rPr>
      </w:pPr>
      <w:r w:rsidRPr="00851774">
        <w:rPr>
          <w:rFonts w:ascii="Century Gothic" w:hAnsi="Century Gothic" w:cs="Arial"/>
          <w:noProof/>
          <w:lang w:val="es-ES_tradnl"/>
        </w:rPr>
        <w:t>b) Otra forma de celebrar un contrato de consultoría es de manera directa, si previamente se ha declarado la urgencia manifiesta, que está regulada en el artículo 2, numeral 4, literal a) de la Ley 1150 de 2007 y si la actividad de consultoría es indispensable para remediar o mitigar el evento urgente. Para entender la urgencia hay que acudir al artículo 42 de la Ley 80 de 1993</w:t>
      </w:r>
      <w:r w:rsidRPr="00851774">
        <w:rPr>
          <w:rFonts w:ascii="Century Gothic" w:eastAsia="Times New Roman" w:hAnsi="Century Gothic" w:cs="Arial"/>
          <w:iCs/>
          <w:szCs w:val="24"/>
          <w:vertAlign w:val="superscript"/>
          <w:lang w:val="es-ES_tradnl" w:eastAsia="es-ES_tradnl"/>
        </w:rPr>
        <w:footnoteReference w:id="34"/>
      </w:r>
      <w:r w:rsidRPr="00851774">
        <w:rPr>
          <w:rFonts w:ascii="Century Gothic" w:eastAsia="Times New Roman" w:hAnsi="Century Gothic" w:cs="Arial"/>
          <w:iCs/>
          <w:szCs w:val="24"/>
          <w:lang w:val="es-ES_tradnl" w:eastAsia="es-ES_tradnl"/>
        </w:rPr>
        <w:t xml:space="preserve">, </w:t>
      </w:r>
      <w:r w:rsidRPr="00851774">
        <w:rPr>
          <w:rFonts w:ascii="Century Gothic" w:hAnsi="Century Gothic" w:cs="Arial"/>
          <w:noProof/>
          <w:lang w:val="es-ES_tradnl"/>
        </w:rPr>
        <w:t>que la define como una circunstancia que exige, con carácter apremiante, preservar la continuidad del servicio, cuando se afecta por situaciones de fuerza mayor, desastres, calamidades o hechos relacionados con los estados de excepción. Por ello, para la doctrina, las situaciones de urgencia manifiesta deben ser concretas, inmediatas, objetivas y probadas, pues se trata de circunstancias de hechos actuales, debidamente acreditadas y fundadas por estudios técnicos, verificadas por la autoridad competente</w:t>
      </w:r>
      <w:r w:rsidRPr="00851774">
        <w:rPr>
          <w:rFonts w:ascii="Century Gothic" w:eastAsia="Times New Roman" w:hAnsi="Century Gothic" w:cs="Arial"/>
          <w:iCs/>
          <w:szCs w:val="24"/>
          <w:vertAlign w:val="superscript"/>
          <w:lang w:val="es-ES_tradnl" w:eastAsia="es-ES_tradnl"/>
        </w:rPr>
        <w:footnoteReference w:id="35"/>
      </w:r>
      <w:r w:rsidRPr="00851774">
        <w:rPr>
          <w:rFonts w:ascii="Century Gothic" w:eastAsia="Times New Roman" w:hAnsi="Century Gothic" w:cs="Arial"/>
          <w:iCs/>
          <w:szCs w:val="24"/>
          <w:lang w:val="es-ES_tradnl" w:eastAsia="es-ES_tradnl"/>
        </w:rPr>
        <w:t>.</w:t>
      </w:r>
    </w:p>
    <w:p w14:paraId="1CC1D410" w14:textId="77777777" w:rsidR="005B4D3E" w:rsidRPr="00851774" w:rsidRDefault="005B4D3E" w:rsidP="005B4D3E">
      <w:pPr>
        <w:spacing w:before="120" w:after="120" w:line="276" w:lineRule="auto"/>
        <w:ind w:firstLine="709"/>
        <w:jc w:val="both"/>
        <w:rPr>
          <w:rFonts w:ascii="Century Gothic" w:eastAsia="Times New Roman" w:hAnsi="Century Gothic" w:cs="Arial"/>
          <w:iCs/>
          <w:szCs w:val="24"/>
          <w:lang w:val="es-ES_tradnl" w:eastAsia="es-ES_tradnl"/>
        </w:rPr>
      </w:pPr>
      <w:r w:rsidRPr="00851774">
        <w:rPr>
          <w:rFonts w:ascii="Century Gothic" w:hAnsi="Century Gothic" w:cs="Arial"/>
          <w:noProof/>
          <w:lang w:val="es-ES_tradnl"/>
        </w:rPr>
        <w:t xml:space="preserve">En esos casos excepcionales, que prometen fines superiores de interés colectivo, con mayor razón, son de obligatoria aplicación los objetivos de la contratación administrativa, previstos en el artículo 3 de la Ley 80 de 1993, pues el incumplimiento de los fines estatales, la continua y eficiente prestación de los </w:t>
      </w:r>
      <w:r w:rsidRPr="00851774">
        <w:rPr>
          <w:rFonts w:ascii="Century Gothic" w:hAnsi="Century Gothic" w:cs="Arial"/>
          <w:noProof/>
          <w:lang w:val="es-ES_tradnl"/>
        </w:rPr>
        <w:lastRenderedPageBreak/>
        <w:t>servicios públicos, y la efectividad de los derechos e intereses de los administrados que colaboran con entidades y organismos del Estado en la consecución de dichos propósitos, confieren un fundamento adicional a esta causal de contratación directa</w:t>
      </w:r>
      <w:r w:rsidRPr="00851774">
        <w:rPr>
          <w:rFonts w:ascii="Century Gothic" w:eastAsia="Times New Roman" w:hAnsi="Century Gothic" w:cs="Arial"/>
          <w:iCs/>
          <w:szCs w:val="24"/>
          <w:vertAlign w:val="superscript"/>
          <w:lang w:val="es-ES_tradnl" w:eastAsia="es-ES_tradnl"/>
        </w:rPr>
        <w:footnoteReference w:id="36"/>
      </w:r>
      <w:r w:rsidRPr="00851774">
        <w:rPr>
          <w:rFonts w:ascii="Century Gothic" w:eastAsia="Times New Roman" w:hAnsi="Century Gothic" w:cs="Arial"/>
          <w:iCs/>
          <w:szCs w:val="24"/>
          <w:lang w:val="es-ES_tradnl" w:eastAsia="es-ES_tradnl"/>
        </w:rPr>
        <w:t xml:space="preserve">. </w:t>
      </w:r>
      <w:r w:rsidRPr="00851774">
        <w:rPr>
          <w:rFonts w:ascii="Century Gothic" w:hAnsi="Century Gothic" w:cs="Arial"/>
          <w:noProof/>
          <w:lang w:val="es-ES_tradnl"/>
        </w:rPr>
        <w:t>Por ello, en los supuestos y en las condiciones de una urgencia manifiesta también podrá celebrarse un contrato de consultoría, si este resulta estrictamente necesario.</w:t>
      </w:r>
    </w:p>
    <w:p w14:paraId="52F12D9F" w14:textId="77777777" w:rsidR="005B4D3E" w:rsidRPr="00851774" w:rsidRDefault="005B4D3E" w:rsidP="005B4D3E">
      <w:pPr>
        <w:spacing w:after="0" w:line="276" w:lineRule="auto"/>
        <w:ind w:firstLine="709"/>
        <w:jc w:val="both"/>
        <w:rPr>
          <w:rFonts w:ascii="Century Gothic" w:hAnsi="Century Gothic" w:cs="Arial"/>
          <w:noProof/>
          <w:lang w:val="es-ES_tradnl"/>
        </w:rPr>
      </w:pPr>
      <w:r w:rsidRPr="00851774">
        <w:rPr>
          <w:rFonts w:ascii="Century Gothic" w:hAnsi="Century Gothic" w:cs="Arial"/>
          <w:noProof/>
          <w:lang w:val="es-ES_tradnl"/>
        </w:rPr>
        <w:t>c) Finalmente, otra forma para la configuración de un contrato de consultoría es por medio de la celebración de contratos interadministrativos, la cual es una causal de contratación directa, que obedece, antes que nada, a la naturaleza de las partes. Es decir, para suscribir un contrato o un convenio interadministrativo, en principio, no interesa el objeto del contrato, pudiendo ser de obra pública, de consultoría, de suministro, de prestación de servicios, de arrendamiento, entre otros. Se establece que, en principio, no es relevante el objeto del contrato, porque el artículo 2, numeral 4, literal c), en su segundo inciso, establece una excepción a dicha regla, al prohibir que determinados contratos interadministrativos se celebren con ciertas entidades –dentro de las cuales están las instituciones de educación superior públicas– si estas son las ejecutoras, condicionándolo a que deberán estar precedidos de licitación pública o selección abreviada. Estos objetos, se recuerda, son “los contratos de obra, suministro, prestación de servicios de evaluación de conformidad respecto de las normas o reglamentaciones técnicos, encargos fiduciarios y fiducia pública”</w:t>
      </w:r>
      <w:r w:rsidRPr="00851774">
        <w:rPr>
          <w:rFonts w:ascii="Century Gothic" w:hAnsi="Century Gothic" w:cs="Arial"/>
          <w:noProof/>
          <w:lang w:val="es-ES_tradnl"/>
        </w:rPr>
        <w:footnoteReference w:id="37"/>
      </w:r>
      <w:r w:rsidRPr="00851774">
        <w:rPr>
          <w:rFonts w:ascii="Century Gothic" w:hAnsi="Century Gothic" w:cs="Arial"/>
          <w:noProof/>
          <w:lang w:val="es-ES_tradnl"/>
        </w:rPr>
        <w:t>. De este modo, podrán adelantarse mediante contratos interadministrativos los de consultoría, pues no se encuentran dentro de la restricción del artículo 2, numeral 4, literal c), en el segundo inciso de la Ley 1150 de 2007.</w:t>
      </w:r>
    </w:p>
    <w:p w14:paraId="0970155E" w14:textId="77777777" w:rsidR="005B4D3E" w:rsidRPr="00851774" w:rsidRDefault="005B4D3E" w:rsidP="005B4D3E">
      <w:pPr>
        <w:tabs>
          <w:tab w:val="left" w:pos="0"/>
        </w:tabs>
        <w:spacing w:after="0"/>
        <w:ind w:left="709" w:hanging="709"/>
        <w:jc w:val="both"/>
        <w:rPr>
          <w:rFonts w:ascii="Century Gothic" w:eastAsia="Calibri" w:hAnsi="Century Gothic" w:cs="Arial"/>
          <w:b/>
          <w:lang w:val="es-ES_tradnl"/>
        </w:rPr>
      </w:pPr>
    </w:p>
    <w:p w14:paraId="2BF05A24" w14:textId="77777777" w:rsidR="005B4D3E" w:rsidRPr="00851774" w:rsidRDefault="005B4D3E" w:rsidP="005B4D3E">
      <w:pPr>
        <w:spacing w:after="0" w:line="276" w:lineRule="auto"/>
        <w:jc w:val="both"/>
        <w:rPr>
          <w:rFonts w:ascii="Century Gothic" w:eastAsia="Calibri" w:hAnsi="Century Gothic" w:cs="Arial"/>
          <w:b/>
          <w:bCs/>
          <w:lang w:val="es-ES"/>
        </w:rPr>
      </w:pPr>
      <w:r w:rsidRPr="00851774">
        <w:rPr>
          <w:rFonts w:ascii="Century Gothic" w:eastAsia="Calibri" w:hAnsi="Century Gothic" w:cs="Arial"/>
          <w:b/>
          <w:bCs/>
          <w:lang w:val="es-ES_tradnl" w:eastAsia="es-MX"/>
        </w:rPr>
        <w:t>2.</w:t>
      </w:r>
      <w:r>
        <w:rPr>
          <w:rFonts w:ascii="Century Gothic" w:eastAsia="Calibri" w:hAnsi="Century Gothic" w:cs="Arial"/>
          <w:b/>
          <w:bCs/>
          <w:lang w:val="es-ES_tradnl" w:eastAsia="es-MX"/>
        </w:rPr>
        <w:t>5</w:t>
      </w:r>
      <w:r w:rsidRPr="00851774">
        <w:rPr>
          <w:rFonts w:ascii="Century Gothic" w:eastAsia="Calibri" w:hAnsi="Century Gothic" w:cs="Arial"/>
          <w:b/>
          <w:bCs/>
          <w:lang w:val="es-ES_tradnl" w:eastAsia="es-MX"/>
        </w:rPr>
        <w:t>. Reglas de subsanabilidad de las ofertas en los procesos regulados por el Estatuto General de Contratación de la Administración Pública. Reiteración de línea</w:t>
      </w:r>
    </w:p>
    <w:p w14:paraId="3EBEEA40" w14:textId="77777777" w:rsidR="005B4D3E" w:rsidRPr="00851774" w:rsidRDefault="005B4D3E" w:rsidP="005B4D3E">
      <w:pPr>
        <w:tabs>
          <w:tab w:val="left" w:pos="0"/>
        </w:tabs>
        <w:spacing w:after="0"/>
        <w:ind w:left="709" w:hanging="709"/>
        <w:jc w:val="both"/>
        <w:rPr>
          <w:rFonts w:ascii="Century Gothic" w:eastAsia="Times New Roman" w:hAnsi="Century Gothic" w:cs="Arial"/>
          <w:iCs/>
          <w:szCs w:val="24"/>
          <w:lang w:val="es-ES_tradnl" w:eastAsia="es-ES_tradnl"/>
        </w:rPr>
      </w:pPr>
    </w:p>
    <w:p w14:paraId="3D2D648E" w14:textId="77777777" w:rsidR="005B4D3E" w:rsidRPr="00851774" w:rsidRDefault="005B4D3E" w:rsidP="005B4D3E">
      <w:pPr>
        <w:tabs>
          <w:tab w:val="left" w:pos="567"/>
        </w:tabs>
        <w:spacing w:after="120" w:line="276" w:lineRule="auto"/>
        <w:jc w:val="both"/>
        <w:rPr>
          <w:rFonts w:ascii="Century Gothic" w:eastAsia="Calibri" w:hAnsi="Century Gothic" w:cs="Arial"/>
        </w:rPr>
      </w:pPr>
      <w:r w:rsidRPr="00851774">
        <w:rPr>
          <w:rFonts w:ascii="Century Gothic" w:eastAsia="Calibri" w:hAnsi="Century Gothic" w:cs="Arial"/>
        </w:rPr>
        <w:t xml:space="preserve">La regla de subsanabilidad es un mecanismo previsto en los procesos de contratación que se regulan por el EGCAP. Esta regla, prevista en el artículo 5 de la Ley 1150 de 2007, consiste en permitir que los proponentes puedan enmendar, </w:t>
      </w:r>
      <w:r w:rsidRPr="00851774">
        <w:rPr>
          <w:rFonts w:ascii="Century Gothic" w:eastAsia="Calibri" w:hAnsi="Century Gothic" w:cs="Arial"/>
        </w:rPr>
        <w:lastRenderedPageBreak/>
        <w:t>corregir o modificar los errores en los que se incurre en los documentos contentivos de la oferta. Así lo ha establecido el Consejo de Estado, en los siguientes términos: “[…] materializar un principio general de primacía de lo sustancial sobre lo formal, adoptando medidas de saneamiento del proceso de selección tendientes a que los meros defectos formales, que no afecten sustancialmente la oferta, referidos a la documentación o instrumentalización de la misma, priven a la administración de considerar una oferta por causa de tales falencias”</w:t>
      </w:r>
      <w:r w:rsidRPr="00851774">
        <w:rPr>
          <w:rFonts w:ascii="Century Gothic" w:eastAsia="Calibri" w:hAnsi="Century Gothic" w:cs="Arial"/>
          <w:vertAlign w:val="superscript"/>
        </w:rPr>
        <w:footnoteReference w:id="38"/>
      </w:r>
      <w:r w:rsidRPr="00851774">
        <w:rPr>
          <w:rFonts w:ascii="Century Gothic" w:eastAsia="Calibri" w:hAnsi="Century Gothic" w:cs="Arial"/>
        </w:rPr>
        <w:t xml:space="preserve">. </w:t>
      </w:r>
    </w:p>
    <w:p w14:paraId="1177641F" w14:textId="77777777" w:rsidR="005B4D3E" w:rsidRPr="00851774" w:rsidRDefault="005B4D3E" w:rsidP="005B4D3E">
      <w:pPr>
        <w:widowControl w:val="0"/>
        <w:autoSpaceDE w:val="0"/>
        <w:autoSpaceDN w:val="0"/>
        <w:spacing w:after="0" w:line="276" w:lineRule="auto"/>
        <w:ind w:firstLine="609"/>
        <w:jc w:val="both"/>
        <w:rPr>
          <w:rFonts w:ascii="Century Gothic" w:eastAsia="Calibri" w:hAnsi="Century Gothic" w:cs="Arial"/>
        </w:rPr>
      </w:pPr>
      <w:r w:rsidRPr="00851774">
        <w:rPr>
          <w:rFonts w:ascii="Century Gothic" w:eastAsia="Calibri" w:hAnsi="Century Gothic" w:cs="Arial"/>
        </w:rPr>
        <w:t>Esta Subdirección se ha pronunciado en diversas oportunidades acerca del alcance de la regla de la subsanabilidad, contenida actualmente en el parágrafo 1 del artículo 5 de la Ley 1150 de 2007, modificado por el artículo 5 de la Ley 1882 de 2018</w:t>
      </w:r>
      <w:r w:rsidRPr="00851774">
        <w:rPr>
          <w:rFonts w:ascii="Century Gothic" w:eastAsia="Calibri" w:hAnsi="Century Gothic" w:cs="Arial"/>
          <w:vertAlign w:val="superscript"/>
        </w:rPr>
        <w:footnoteReference w:id="39"/>
      </w:r>
      <w:r w:rsidRPr="00851774">
        <w:rPr>
          <w:rFonts w:ascii="Century Gothic" w:eastAsia="Calibri" w:hAnsi="Century Gothic" w:cs="Arial"/>
        </w:rPr>
        <w:t>. Al respecto, la postura que se reitera en el presente concepto es la siguiente: por regla general, la falta de entrega o los defectos frente a los requisitos que no asignan puntaje, son subsanables. La excepción se encuentra en los casos, previstos en la ley, que limitan la subsanabilidad, como, por ejemplo, la prohibición de permitir la entrega de la garantía de seriedad de la oferta que no fue aportada con la propuesta y de permitir la acreditación de circunstancias ocurridas con posterioridad al cierre del proceso.</w:t>
      </w:r>
    </w:p>
    <w:p w14:paraId="2C48A625" w14:textId="77777777" w:rsidR="005B4D3E" w:rsidRPr="00851774" w:rsidRDefault="005B4D3E" w:rsidP="005B4D3E">
      <w:pPr>
        <w:widowControl w:val="0"/>
        <w:tabs>
          <w:tab w:val="left" w:pos="284"/>
        </w:tabs>
        <w:autoSpaceDE w:val="0"/>
        <w:autoSpaceDN w:val="0"/>
        <w:spacing w:before="120" w:after="0" w:line="276" w:lineRule="auto"/>
        <w:ind w:firstLine="709"/>
        <w:jc w:val="both"/>
        <w:rPr>
          <w:rFonts w:ascii="Century Gothic" w:eastAsia="Calibri" w:hAnsi="Century Gothic" w:cs="Arial"/>
          <w:sz w:val="24"/>
          <w:lang w:val="es-ES_tradnl"/>
        </w:rPr>
      </w:pPr>
      <w:r w:rsidRPr="00851774">
        <w:rPr>
          <w:rFonts w:ascii="Century Gothic" w:eastAsia="Calibri" w:hAnsi="Century Gothic" w:cs="Arial"/>
        </w:rPr>
        <w:t xml:space="preserve">En este sentido, bajo la normativa actual que regula la subsanabilidad de las ofertas debe tenerse en cuenta que </w:t>
      </w:r>
      <w:r w:rsidRPr="00851774">
        <w:rPr>
          <w:rFonts w:ascii="Century Gothic" w:eastAsia="Arial" w:hAnsi="Century Gothic" w:cs="Arial"/>
          <w:lang w:val="es-ES"/>
        </w:rPr>
        <w:t>el</w:t>
      </w:r>
      <w:r w:rsidRPr="00851774">
        <w:rPr>
          <w:rFonts w:ascii="Century Gothic" w:eastAsia="Arial" w:hAnsi="Century Gothic" w:cs="Arial"/>
          <w:spacing w:val="-12"/>
          <w:lang w:val="es-ES"/>
        </w:rPr>
        <w:t xml:space="preserve"> </w:t>
      </w:r>
      <w:r w:rsidRPr="00851774">
        <w:rPr>
          <w:rFonts w:ascii="Century Gothic" w:eastAsia="Arial" w:hAnsi="Century Gothic" w:cs="Arial"/>
          <w:lang w:val="es-ES"/>
        </w:rPr>
        <w:t>legislador</w:t>
      </w:r>
      <w:r w:rsidRPr="00851774">
        <w:rPr>
          <w:rFonts w:ascii="Century Gothic" w:eastAsia="Arial" w:hAnsi="Century Gothic" w:cs="Arial"/>
          <w:spacing w:val="-12"/>
          <w:lang w:val="es-ES"/>
        </w:rPr>
        <w:t xml:space="preserve"> </w:t>
      </w:r>
      <w:r w:rsidRPr="00851774">
        <w:rPr>
          <w:rFonts w:ascii="Century Gothic" w:eastAsia="Arial" w:hAnsi="Century Gothic" w:cs="Arial"/>
          <w:lang w:val="es-ES"/>
        </w:rPr>
        <w:t>expidió</w:t>
      </w:r>
      <w:r w:rsidRPr="00851774">
        <w:rPr>
          <w:rFonts w:ascii="Century Gothic" w:eastAsia="Arial" w:hAnsi="Century Gothic" w:cs="Arial"/>
          <w:spacing w:val="-13"/>
          <w:lang w:val="es-ES"/>
        </w:rPr>
        <w:t xml:space="preserve"> </w:t>
      </w:r>
      <w:r w:rsidRPr="00851774">
        <w:rPr>
          <w:rFonts w:ascii="Century Gothic" w:eastAsia="Arial" w:hAnsi="Century Gothic" w:cs="Arial"/>
          <w:lang w:val="es-ES"/>
        </w:rPr>
        <w:t>la</w:t>
      </w:r>
      <w:r w:rsidRPr="00851774">
        <w:rPr>
          <w:rFonts w:ascii="Century Gothic" w:eastAsia="Arial" w:hAnsi="Century Gothic" w:cs="Arial"/>
          <w:spacing w:val="-12"/>
          <w:lang w:val="es-ES"/>
        </w:rPr>
        <w:t xml:space="preserve"> </w:t>
      </w:r>
      <w:r w:rsidRPr="00851774">
        <w:rPr>
          <w:rFonts w:ascii="Century Gothic" w:eastAsia="Arial" w:hAnsi="Century Gothic" w:cs="Arial"/>
          <w:lang w:val="es-ES"/>
        </w:rPr>
        <w:t>Ley</w:t>
      </w:r>
      <w:r w:rsidRPr="00851774">
        <w:rPr>
          <w:rFonts w:ascii="Century Gothic" w:eastAsia="Arial" w:hAnsi="Century Gothic" w:cs="Arial"/>
          <w:spacing w:val="-13"/>
          <w:lang w:val="es-ES"/>
        </w:rPr>
        <w:t xml:space="preserve"> </w:t>
      </w:r>
      <w:r w:rsidRPr="00851774">
        <w:rPr>
          <w:rFonts w:ascii="Century Gothic" w:eastAsia="Arial" w:hAnsi="Century Gothic" w:cs="Arial"/>
          <w:lang w:val="es-ES"/>
        </w:rPr>
        <w:t>1882</w:t>
      </w:r>
      <w:r w:rsidRPr="00851774">
        <w:rPr>
          <w:rFonts w:ascii="Century Gothic" w:eastAsia="Arial" w:hAnsi="Century Gothic" w:cs="Arial"/>
          <w:spacing w:val="-13"/>
          <w:lang w:val="es-ES"/>
        </w:rPr>
        <w:t xml:space="preserve"> </w:t>
      </w:r>
      <w:r w:rsidRPr="00851774">
        <w:rPr>
          <w:rFonts w:ascii="Century Gothic" w:eastAsia="Arial" w:hAnsi="Century Gothic" w:cs="Arial"/>
          <w:lang w:val="es-ES"/>
        </w:rPr>
        <w:t>de</w:t>
      </w:r>
      <w:r w:rsidRPr="00851774">
        <w:rPr>
          <w:rFonts w:ascii="Century Gothic" w:eastAsia="Arial" w:hAnsi="Century Gothic" w:cs="Arial"/>
          <w:spacing w:val="-12"/>
          <w:lang w:val="es-ES"/>
        </w:rPr>
        <w:t xml:space="preserve"> </w:t>
      </w:r>
      <w:r w:rsidRPr="00851774">
        <w:rPr>
          <w:rFonts w:ascii="Century Gothic" w:eastAsia="Arial" w:hAnsi="Century Gothic" w:cs="Arial"/>
          <w:lang w:val="es-ES"/>
        </w:rPr>
        <w:t>2018,</w:t>
      </w:r>
      <w:r w:rsidRPr="00851774">
        <w:rPr>
          <w:rFonts w:ascii="Century Gothic" w:eastAsia="Arial" w:hAnsi="Century Gothic" w:cs="Arial"/>
          <w:spacing w:val="-13"/>
          <w:lang w:val="es-ES"/>
        </w:rPr>
        <w:t xml:space="preserve"> </w:t>
      </w:r>
      <w:r w:rsidRPr="00851774">
        <w:rPr>
          <w:rFonts w:ascii="Century Gothic" w:eastAsia="Arial" w:hAnsi="Century Gothic" w:cs="Arial"/>
          <w:lang w:val="es-ES"/>
        </w:rPr>
        <w:t>con</w:t>
      </w:r>
      <w:r w:rsidRPr="00851774">
        <w:rPr>
          <w:rFonts w:ascii="Century Gothic" w:eastAsia="Arial" w:hAnsi="Century Gothic" w:cs="Arial"/>
          <w:spacing w:val="-12"/>
          <w:lang w:val="es-ES"/>
        </w:rPr>
        <w:t xml:space="preserve"> </w:t>
      </w:r>
      <w:r w:rsidRPr="00851774">
        <w:rPr>
          <w:rFonts w:ascii="Century Gothic" w:eastAsia="Arial" w:hAnsi="Century Gothic" w:cs="Arial"/>
          <w:lang w:val="es-ES"/>
        </w:rPr>
        <w:t>la</w:t>
      </w:r>
      <w:r w:rsidRPr="00851774">
        <w:rPr>
          <w:rFonts w:ascii="Century Gothic" w:eastAsia="Arial" w:hAnsi="Century Gothic" w:cs="Arial"/>
          <w:spacing w:val="-13"/>
          <w:lang w:val="es-ES"/>
        </w:rPr>
        <w:t xml:space="preserve"> </w:t>
      </w:r>
      <w:r w:rsidRPr="00851774">
        <w:rPr>
          <w:rFonts w:ascii="Century Gothic" w:eastAsia="Arial" w:hAnsi="Century Gothic" w:cs="Arial"/>
          <w:lang w:val="es-ES"/>
        </w:rPr>
        <w:t xml:space="preserve">finalidad de introducir cambios y ajustes para fortalecer la contratación pública. </w:t>
      </w:r>
      <w:r w:rsidRPr="00851774">
        <w:rPr>
          <w:rFonts w:ascii="Century Gothic" w:eastAsia="Arial" w:hAnsi="Century Gothic" w:cs="Arial"/>
          <w:lang w:val="es-ES_tradnl"/>
        </w:rPr>
        <w:t>Particularmente, el artículo 5 de dicha norma, modificó el parágrafo 1º del artículo 5 de la Ley 1150 de 2007, así:</w:t>
      </w:r>
      <w:r w:rsidRPr="00851774">
        <w:rPr>
          <w:rFonts w:ascii="Century Gothic" w:eastAsia="Arial" w:hAnsi="Century Gothic" w:cs="Arial"/>
          <w:sz w:val="24"/>
          <w:lang w:val="es-ES_tradnl"/>
        </w:rPr>
        <w:t xml:space="preserve"> </w:t>
      </w:r>
    </w:p>
    <w:p w14:paraId="7A1AABB6" w14:textId="77777777" w:rsidR="005B4D3E" w:rsidRPr="00851774" w:rsidRDefault="005B4D3E" w:rsidP="005B4D3E">
      <w:pPr>
        <w:spacing w:after="0" w:line="276" w:lineRule="auto"/>
        <w:jc w:val="both"/>
        <w:rPr>
          <w:rFonts w:ascii="Century Gothic" w:eastAsia="Calibri" w:hAnsi="Century Gothic" w:cs="Arial"/>
          <w:sz w:val="24"/>
          <w:lang w:val="es-ES_tradnl"/>
        </w:rPr>
      </w:pPr>
    </w:p>
    <w:p w14:paraId="6C3A4FE3" w14:textId="77777777" w:rsidR="005B4D3E" w:rsidRPr="00851774" w:rsidRDefault="005B4D3E" w:rsidP="005B4D3E">
      <w:pPr>
        <w:spacing w:after="0" w:line="240" w:lineRule="auto"/>
        <w:ind w:left="709" w:right="709"/>
        <w:jc w:val="both"/>
        <w:rPr>
          <w:rFonts w:ascii="Century Gothic" w:eastAsia="Calibri" w:hAnsi="Century Gothic" w:cs="Arial"/>
          <w:sz w:val="21"/>
          <w:szCs w:val="21"/>
          <w:lang w:val="es-ES_tradnl"/>
        </w:rPr>
      </w:pPr>
      <w:r w:rsidRPr="00851774">
        <w:rPr>
          <w:rFonts w:ascii="Century Gothic" w:eastAsia="Calibri" w:hAnsi="Century Gothic" w:cs="Arial"/>
          <w:sz w:val="21"/>
          <w:szCs w:val="21"/>
          <w:lang w:val="es-ES_tradnl"/>
        </w:rPr>
        <w:t xml:space="preserve">“Artículo 5°. De la selección objetiva. </w:t>
      </w:r>
    </w:p>
    <w:p w14:paraId="1417B187" w14:textId="77777777" w:rsidR="005B4D3E" w:rsidRPr="00851774" w:rsidRDefault="005B4D3E" w:rsidP="005B4D3E">
      <w:pPr>
        <w:spacing w:after="120" w:line="240" w:lineRule="auto"/>
        <w:ind w:left="709" w:right="709"/>
        <w:jc w:val="both"/>
        <w:rPr>
          <w:rFonts w:ascii="Century Gothic" w:eastAsia="Calibri" w:hAnsi="Century Gothic" w:cs="Arial"/>
          <w:sz w:val="21"/>
          <w:szCs w:val="21"/>
          <w:lang w:val="es-ES_tradnl"/>
        </w:rPr>
      </w:pPr>
      <w:r w:rsidRPr="00851774">
        <w:rPr>
          <w:rFonts w:ascii="Century Gothic" w:eastAsia="Calibri" w:hAnsi="Century Gothic" w:cs="Arial"/>
          <w:sz w:val="21"/>
          <w:szCs w:val="21"/>
          <w:lang w:val="es-ES_tradnl"/>
        </w:rPr>
        <w:t xml:space="preserve">[...] </w:t>
      </w:r>
    </w:p>
    <w:p w14:paraId="6C023778" w14:textId="77777777" w:rsidR="005B4D3E" w:rsidRPr="00851774" w:rsidRDefault="005B4D3E" w:rsidP="005B4D3E">
      <w:pPr>
        <w:spacing w:after="0" w:line="240" w:lineRule="auto"/>
        <w:ind w:left="709" w:right="709"/>
        <w:jc w:val="both"/>
        <w:rPr>
          <w:rFonts w:ascii="Century Gothic" w:eastAsia="Calibri" w:hAnsi="Century Gothic" w:cs="Arial"/>
          <w:sz w:val="21"/>
          <w:szCs w:val="21"/>
          <w:lang w:val="es-ES_tradnl"/>
        </w:rPr>
      </w:pPr>
      <w:r w:rsidRPr="00851774">
        <w:rPr>
          <w:rFonts w:ascii="Century Gothic" w:eastAsia="Calibri" w:hAnsi="Century Gothic" w:cs="Arial"/>
          <w:sz w:val="21"/>
          <w:szCs w:val="21"/>
          <w:lang w:val="es-ES_tradnl"/>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w:t>
      </w:r>
      <w:r w:rsidRPr="00851774">
        <w:rPr>
          <w:rFonts w:ascii="Century Gothic" w:eastAsia="Calibri" w:hAnsi="Century Gothic" w:cs="Arial"/>
          <w:sz w:val="21"/>
          <w:szCs w:val="21"/>
          <w:lang w:val="es-ES_tradnl"/>
        </w:rPr>
        <w:lastRenderedPageBreak/>
        <w:t xml:space="preserve">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2C16F5F9" w14:textId="77777777" w:rsidR="005B4D3E" w:rsidRPr="00851774" w:rsidRDefault="005B4D3E" w:rsidP="005B4D3E">
      <w:pPr>
        <w:spacing w:after="0" w:line="240" w:lineRule="auto"/>
        <w:jc w:val="both"/>
        <w:rPr>
          <w:rFonts w:ascii="Century Gothic" w:eastAsia="Calibri" w:hAnsi="Century Gothic" w:cs="Arial"/>
          <w:b/>
          <w:sz w:val="24"/>
          <w:lang w:val="es-ES_tradnl"/>
        </w:rPr>
      </w:pPr>
    </w:p>
    <w:p w14:paraId="07E72335" w14:textId="77777777" w:rsidR="005B4D3E" w:rsidRPr="00851774" w:rsidRDefault="005B4D3E" w:rsidP="005B4D3E">
      <w:pPr>
        <w:spacing w:after="120" w:line="276" w:lineRule="auto"/>
        <w:ind w:firstLine="709"/>
        <w:jc w:val="both"/>
        <w:rPr>
          <w:rFonts w:ascii="Century Gothic" w:eastAsia="Arial" w:hAnsi="Century Gothic" w:cs="Arial"/>
          <w:szCs w:val="24"/>
          <w:lang w:val="es-ES" w:eastAsia="es-MX"/>
        </w:rPr>
      </w:pPr>
      <w:r w:rsidRPr="00851774">
        <w:rPr>
          <w:rFonts w:ascii="Century Gothic" w:eastAsia="Calibri" w:hAnsi="Century Gothic" w:cs="Arial"/>
          <w:lang w:val="es-ES_tradnl"/>
        </w:rPr>
        <w:t xml:space="preserve">De lo anterior se colige, que la disposición precitada: i) mantiene el criterio de la Ley 80 de 1993, relativo a que todo lo que no sea necesario para la comparación de propuestas no es título suficiente para su rechazo, </w:t>
      </w:r>
      <w:proofErr w:type="spellStart"/>
      <w:r w:rsidRPr="00851774">
        <w:rPr>
          <w:rFonts w:ascii="Century Gothic" w:eastAsia="Calibri" w:hAnsi="Century Gothic" w:cs="Arial"/>
          <w:lang w:val="es-ES_tradnl"/>
        </w:rPr>
        <w:t>ii</w:t>
      </w:r>
      <w:proofErr w:type="spellEnd"/>
      <w:r w:rsidRPr="00851774">
        <w:rPr>
          <w:rFonts w:ascii="Century Gothic" w:eastAsia="Calibri" w:hAnsi="Century Gothic" w:cs="Arial"/>
          <w:lang w:val="es-ES_tradnl"/>
        </w:rPr>
        <w:t xml:space="preserve">) mantiene el criterio aclaratorio de la Ley 1150 de 2007, según el cual todo lo que no afecte la asignación de puntaje puede subsanarse e </w:t>
      </w:r>
      <w:proofErr w:type="spellStart"/>
      <w:r w:rsidRPr="00851774">
        <w:rPr>
          <w:rFonts w:ascii="Century Gothic" w:eastAsia="Calibri" w:hAnsi="Century Gothic" w:cs="Arial"/>
          <w:lang w:val="es-ES_tradnl"/>
        </w:rPr>
        <w:t>iii</w:t>
      </w:r>
      <w:proofErr w:type="spellEnd"/>
      <w:r w:rsidRPr="00851774">
        <w:rPr>
          <w:rFonts w:ascii="Century Gothic" w:eastAsia="Calibri" w:hAnsi="Century Gothic" w:cs="Arial"/>
          <w:lang w:val="es-ES_tradnl"/>
        </w:rPr>
        <w:t>) introduce modificaciones en relación con tres aspectos que se analizarán a continuación</w:t>
      </w:r>
      <w:r w:rsidRPr="00851774">
        <w:rPr>
          <w:rFonts w:ascii="Century Gothic" w:eastAsia="Arial" w:hAnsi="Century Gothic" w:cs="Arial"/>
          <w:szCs w:val="24"/>
          <w:lang w:val="es-ES" w:eastAsia="es-MX"/>
        </w:rPr>
        <w:t xml:space="preserve">. </w:t>
      </w:r>
    </w:p>
    <w:p w14:paraId="493E6240" w14:textId="77777777" w:rsidR="005B4D3E" w:rsidRPr="00851774" w:rsidRDefault="005B4D3E" w:rsidP="005B4D3E">
      <w:pPr>
        <w:spacing w:after="120" w:line="276" w:lineRule="auto"/>
        <w:ind w:firstLine="709"/>
        <w:jc w:val="both"/>
        <w:rPr>
          <w:rFonts w:ascii="Century Gothic" w:eastAsia="Arial" w:hAnsi="Century Gothic" w:cs="Arial"/>
          <w:szCs w:val="24"/>
          <w:lang w:val="es-ES" w:eastAsia="es-MX"/>
        </w:rPr>
      </w:pPr>
      <w:r w:rsidRPr="00851774">
        <w:rPr>
          <w:rFonts w:ascii="Century Gothic" w:eastAsia="Arial" w:hAnsi="Century Gothic" w:cs="Arial"/>
          <w:szCs w:val="24"/>
          <w:lang w:val="es-ES" w:eastAsia="es-MX"/>
        </w:rPr>
        <w:t>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el proceso de selección a través del sistema de subasta: en este último los documentos o requisitos subsanables deben solicitarse, como límite final, hasta el momento previo a su realización</w:t>
      </w:r>
      <w:r w:rsidRPr="00851774">
        <w:rPr>
          <w:rFonts w:ascii="Century Gothic" w:eastAsia="Arial" w:hAnsi="Century Gothic" w:cs="Arial"/>
          <w:vertAlign w:val="superscript"/>
          <w:lang w:eastAsia="es-MX"/>
        </w:rPr>
        <w:footnoteReference w:id="40"/>
      </w:r>
      <w:r w:rsidRPr="00851774">
        <w:rPr>
          <w:rFonts w:ascii="Century Gothic" w:eastAsia="Arial" w:hAnsi="Century Gothic" w:cs="Arial"/>
          <w:szCs w:val="24"/>
          <w:lang w:val="es-ES" w:eastAsia="es-MX"/>
        </w:rPr>
        <w:t>. Sin embargo, para el caso de los procesos de mínima cuantía, deberá tenerse en cuenta la regla dispuesta en el numeral 5 y 6 del artículo 2.2.1.2.1.5.2 del Decreto 1082 de 2015.</w:t>
      </w:r>
    </w:p>
    <w:p w14:paraId="794BFB5A" w14:textId="77777777" w:rsidR="005B4D3E" w:rsidRPr="00851774" w:rsidRDefault="005B4D3E" w:rsidP="005B4D3E">
      <w:pPr>
        <w:spacing w:after="0" w:line="276" w:lineRule="auto"/>
        <w:jc w:val="both"/>
        <w:rPr>
          <w:rFonts w:ascii="Century Gothic" w:eastAsia="Calibri" w:hAnsi="Century Gothic" w:cs="Arial"/>
          <w:lang w:val="es-ES_tradnl"/>
        </w:rPr>
      </w:pPr>
      <w:r w:rsidRPr="00851774">
        <w:rPr>
          <w:rFonts w:ascii="Century Gothic" w:eastAsia="Calibri" w:hAnsi="Century Gothic" w:cs="Arial"/>
          <w:lang w:val="es-ES_tradnl"/>
        </w:rPr>
        <w:tab/>
        <w:t xml:space="preserve">Así pues, para los procesos de mínima cuantía, el Decreto 1860 de 2021 que modifica el Decreto 1082 de 2015, en el numeral 5 del artículo </w:t>
      </w:r>
      <w:r w:rsidRPr="00851774">
        <w:rPr>
          <w:rFonts w:ascii="Century Gothic" w:eastAsia="Arial" w:hAnsi="Century Gothic" w:cs="Arial"/>
          <w:szCs w:val="24"/>
          <w:lang w:val="es-ES" w:eastAsia="es-MX"/>
        </w:rPr>
        <w:t>2.2.1.2.1.5.2, dispone que sin perjuicio de la oportunidad que deben otorgar las entidades para subsanar las ofertas, de acuerdo con el artículo 5 de la Ley 1150 de 2007, se establecerá un término preclusivo para recibir los documentos subsanables. En el evento que no se regule este término, los proponentes podrán subsanar sus ofertas hasta antes que finalice el traslado del informe de evaluación</w:t>
      </w:r>
      <w:bookmarkStart w:id="9" w:name="_Hlk140658491"/>
      <w:r w:rsidRPr="00851774">
        <w:rPr>
          <w:rFonts w:ascii="Century Gothic" w:hAnsi="Century Gothic" w:cs="Arial"/>
          <w:vertAlign w:val="superscript"/>
          <w:lang w:val="es-ES_tradnl"/>
        </w:rPr>
        <w:footnoteReference w:id="41"/>
      </w:r>
      <w:r w:rsidRPr="00851774">
        <w:rPr>
          <w:rFonts w:ascii="Century Gothic" w:hAnsi="Century Gothic" w:cs="Arial"/>
          <w:lang w:val="es-ES_tradnl"/>
        </w:rPr>
        <w:t>.</w:t>
      </w:r>
      <w:bookmarkEnd w:id="9"/>
    </w:p>
    <w:p w14:paraId="72F69E2F" w14:textId="77777777" w:rsidR="005B4D3E" w:rsidRPr="00851774" w:rsidRDefault="005B4D3E" w:rsidP="005B4D3E">
      <w:pPr>
        <w:spacing w:before="120" w:after="0" w:line="276" w:lineRule="auto"/>
        <w:jc w:val="both"/>
        <w:rPr>
          <w:rFonts w:ascii="Century Gothic" w:eastAsia="Calibri" w:hAnsi="Century Gothic" w:cs="Arial"/>
          <w:lang w:val="es-ES_tradnl"/>
        </w:rPr>
      </w:pPr>
      <w:r w:rsidRPr="00851774">
        <w:rPr>
          <w:rFonts w:ascii="Century Gothic" w:eastAsia="Calibri" w:hAnsi="Century Gothic" w:cs="Arial"/>
          <w:lang w:val="es-ES_tradnl"/>
        </w:rPr>
        <w:lastRenderedPageBreak/>
        <w:tab/>
        <w:t>Frente a la regla general aplicable a los demás procesos de selección, la norma fijó un límite final para que la Administración y los oferentes subsanen los requisitos o documentos que puedan y deban ser subsanados, pero nada impide y la norma no lo hace, que la Administración requiera al proponente antes de publicar el informe de evaluación. En efecto, la redacción de la norma permite que la Administración solicite a los oferentes subsanar y que estos lo hagan hasta antes del término del traslado del informe de evaluación: “deberán ser solicitados por las entidades estatales y deberán ser entregados por los proponentes hasta el término de traslado del informe de evaluación que corresponda a cada modalidad de selección”.</w:t>
      </w:r>
    </w:p>
    <w:p w14:paraId="7A1F5FE4" w14:textId="77777777" w:rsidR="005B4D3E" w:rsidRPr="00851774" w:rsidRDefault="005B4D3E" w:rsidP="005B4D3E">
      <w:pPr>
        <w:spacing w:before="120" w:after="0" w:line="276" w:lineRule="auto"/>
        <w:jc w:val="both"/>
        <w:rPr>
          <w:rFonts w:ascii="Century Gothic" w:eastAsia="Calibri" w:hAnsi="Century Gothic" w:cs="Arial"/>
          <w:lang w:val="es-ES_tradnl"/>
        </w:rPr>
      </w:pPr>
      <w:r w:rsidRPr="00851774">
        <w:rPr>
          <w:rFonts w:ascii="Century Gothic" w:eastAsia="Calibri" w:hAnsi="Century Gothic" w:cs="Arial"/>
          <w:lang w:val="es-ES_tradnl"/>
        </w:rPr>
        <w:tab/>
        <w:t xml:space="preserve">Sin embargo, de lo anterior, podría en la práctica, darse dos interpretaciones que dan lugar a dos formas de proceder en los procesos de selección, en lo que a la subsanabilidad de las ofertas se refiere. Primera, que la posibilidad para subsanar de los oferentes es el término del traslado del informe de evaluación, ya que es en este documento donde la Administración consigna los requisitos o documentos omitidos que los oferentes deben subsanar, so pena de rechazo; segunda, que el término de traslado del informe de evaluación es el límite para la subsanación de ofertas, pero no el único momento para hacerlo. De acuerdo con la primera interpretación, el informe de evaluación se convierte en la oportunidad que adopta la entidad contratante para decirles a los oferentes qué documentos o requisitos omitieron y deben subsanar y, consecuentemente, el término del traslado es la oportunidad del proponente para cumplir con lo solicitado. </w:t>
      </w:r>
    </w:p>
    <w:p w14:paraId="20AEA08C" w14:textId="77777777" w:rsidR="005B4D3E" w:rsidRPr="00851774" w:rsidRDefault="005B4D3E" w:rsidP="005B4D3E">
      <w:pPr>
        <w:spacing w:before="120" w:after="0" w:line="276" w:lineRule="auto"/>
        <w:ind w:firstLine="708"/>
        <w:jc w:val="both"/>
        <w:rPr>
          <w:rFonts w:ascii="Century Gothic" w:eastAsia="Calibri" w:hAnsi="Century Gothic" w:cs="Arial"/>
          <w:lang w:val="es-ES_tradnl"/>
        </w:rPr>
      </w:pPr>
      <w:r w:rsidRPr="00851774">
        <w:rPr>
          <w:rFonts w:ascii="Century Gothic" w:eastAsia="Calibri" w:hAnsi="Century Gothic" w:cs="Arial"/>
          <w:lang w:val="es-ES_tradnl"/>
        </w:rPr>
        <w:t xml:space="preserve">La segunda interpretación, permitiría que la entidad contratante requiera al oferente durante el proceso de evaluación de las propuestas, tan pronto advierta que hace falta un documento o requisito que se puede subsanar. En este caso, el proceso de subsanación se podría realizar con anterioridad a la publicación del informe de evaluación, de manera que, una vez se publique el informe ya se </w:t>
      </w:r>
      <w:r w:rsidRPr="00851774">
        <w:rPr>
          <w:rFonts w:ascii="Century Gothic" w:eastAsia="Calibri" w:hAnsi="Century Gothic" w:cs="Arial"/>
          <w:lang w:val="es-ES_tradnl"/>
        </w:rPr>
        <w:lastRenderedPageBreak/>
        <w:t>encuentren subsanadas las propuestas, sin perjuicio del término límite que concedió la ley.</w:t>
      </w:r>
    </w:p>
    <w:p w14:paraId="6651D1EE" w14:textId="77777777" w:rsidR="005B4D3E" w:rsidRPr="00851774" w:rsidRDefault="005B4D3E" w:rsidP="005B4D3E">
      <w:pPr>
        <w:spacing w:before="120" w:after="120" w:line="276" w:lineRule="auto"/>
        <w:ind w:firstLine="709"/>
        <w:jc w:val="both"/>
        <w:rPr>
          <w:rFonts w:ascii="Century Gothic" w:hAnsi="Century Gothic" w:cs="Arial"/>
          <w:lang w:val="es-ES_tradnl"/>
        </w:rPr>
      </w:pPr>
      <w:r w:rsidRPr="00851774">
        <w:rPr>
          <w:rFonts w:ascii="Century Gothic" w:hAnsi="Century Gothic" w:cs="Arial"/>
          <w:lang w:val="es-ES_tradnl"/>
        </w:rPr>
        <w:t>La disposición introducida por el artículo 5 de la Ley 1882 de 2018, si bien pudo significar, en la práctica de los procesos de selección, que el informe de evaluación fuera la oportunidad de la entidad contratante 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entidad advierta el defecto le solicite directamente al oferente que subsane. Esta interpretación es más consistente con los principios de economía, transparencia y selección objetiva. Lo anterior, se aclara, sin desconocer el límite que establece la norma para que los oferentes, sin perjuicio de que lo hagan antes, cuenten hasta el término de traslado del informe de evaluación con la posibilidad de presentar la información solicitada.</w:t>
      </w:r>
    </w:p>
    <w:p w14:paraId="6BEF84B4" w14:textId="77777777" w:rsidR="005B4D3E" w:rsidRPr="00851774" w:rsidRDefault="005B4D3E" w:rsidP="005B4D3E">
      <w:pPr>
        <w:spacing w:before="120" w:after="120" w:line="276" w:lineRule="auto"/>
        <w:ind w:firstLine="709"/>
        <w:jc w:val="both"/>
        <w:rPr>
          <w:rFonts w:ascii="Century Gothic" w:hAnsi="Century Gothic" w:cs="Arial"/>
          <w:lang w:val="es-ES_tradnl"/>
        </w:rPr>
      </w:pPr>
      <w:r w:rsidRPr="00851774">
        <w:rPr>
          <w:rFonts w:ascii="Century Gothic" w:hAnsi="Century Gothic" w:cs="Arial"/>
          <w:lang w:val="es-ES_tradnl"/>
        </w:rPr>
        <w:t xml:space="preserve">El segundo cambio importante de la Ley 1882 de 2018 fue la introducción de un criterio material, directamente relacionado con los aspectos subsanables: “los proponentes no podrán acreditar circunstancias ocurridas con posterioridad al cierre del proceso”. Lo anterior ofrece dos aspectos que merecen clarificación; primero, qué debe entenderse por circunstancias ocurridas con posterioridad; y segundo, qué es el cierre del proceso. </w:t>
      </w:r>
    </w:p>
    <w:p w14:paraId="5EC2E726" w14:textId="77777777" w:rsidR="005B4D3E" w:rsidRPr="00851774" w:rsidRDefault="005B4D3E" w:rsidP="005B4D3E">
      <w:pPr>
        <w:spacing w:before="120" w:after="120" w:line="276" w:lineRule="auto"/>
        <w:ind w:firstLine="709"/>
        <w:jc w:val="both"/>
        <w:rPr>
          <w:rFonts w:ascii="Century Gothic" w:hAnsi="Century Gothic" w:cs="Arial"/>
          <w:lang w:val="es-ES_tradnl"/>
        </w:rPr>
      </w:pPr>
      <w:r w:rsidRPr="00851774">
        <w:rPr>
          <w:rFonts w:ascii="Century Gothic" w:hAnsi="Century Gothic" w:cs="Arial"/>
          <w:lang w:val="es-ES_tradnl"/>
        </w:rPr>
        <w:t>La Sala de Consulta y Servicio Civil del Consejo de Estado ya había tenido la oportunidad de precisar estas expresiones, a propósito de un concepto en el que se refirió al artículo 10 del derogado Decreto 2474 de 2008, que había determinado que en 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w:t>
      </w:r>
      <w:r w:rsidRPr="00851774">
        <w:rPr>
          <w:rFonts w:ascii="Century Gothic" w:hAnsi="Century Gothic" w:cs="Arial"/>
          <w:vertAlign w:val="superscript"/>
          <w:lang w:val="es-ES_tradnl"/>
        </w:rPr>
        <w:footnoteReference w:id="42"/>
      </w:r>
      <w:r w:rsidRPr="00851774">
        <w:rPr>
          <w:rFonts w:ascii="Century Gothic" w:hAnsi="Century Gothic" w:cs="Arial"/>
          <w:lang w:val="es-ES_tradnl"/>
        </w:rPr>
        <w:t>.</w:t>
      </w:r>
    </w:p>
    <w:p w14:paraId="762A7D16" w14:textId="77777777" w:rsidR="005B4D3E" w:rsidRPr="00851774" w:rsidRDefault="005B4D3E" w:rsidP="005B4D3E">
      <w:pPr>
        <w:spacing w:before="120" w:after="120" w:line="276" w:lineRule="auto"/>
        <w:ind w:firstLine="709"/>
        <w:jc w:val="both"/>
        <w:rPr>
          <w:rFonts w:ascii="Century Gothic" w:hAnsi="Century Gothic" w:cs="Arial"/>
          <w:lang w:val="es-ES_tradnl"/>
        </w:rPr>
      </w:pPr>
      <w:r w:rsidRPr="00851774">
        <w:rPr>
          <w:rFonts w:ascii="Century Gothic" w:hAnsi="Century Gothic" w:cs="Arial"/>
          <w:lang w:val="es-ES_tradnl"/>
        </w:rPr>
        <w:lastRenderedPageBreak/>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570D9E7D" w14:textId="77777777" w:rsidR="005B4D3E" w:rsidRPr="00851774" w:rsidRDefault="005B4D3E" w:rsidP="005B4D3E">
      <w:pPr>
        <w:spacing w:before="120" w:after="120" w:line="276" w:lineRule="auto"/>
        <w:ind w:firstLine="709"/>
        <w:jc w:val="both"/>
        <w:rPr>
          <w:rFonts w:ascii="Century Gothic" w:hAnsi="Century Gothic" w:cs="Arial"/>
          <w:lang w:val="es-ES_tradnl"/>
        </w:rPr>
      </w:pPr>
      <w:r w:rsidRPr="00851774">
        <w:rPr>
          <w:rFonts w:ascii="Century Gothic" w:hAnsi="Century Gothic" w:cs="Arial"/>
          <w:lang w:val="es-ES_tradnl"/>
        </w:rPr>
        <w:t>Un mejor entendimiento del significado de la expresión “circunstancias ocurridas con posterioridad al cierre del proceso” implica distinguir entre la prueba de un hecho y el hecho mismo. En el caso de la subsanabilidad de las ofertas, una cosa es el requisito habilitante o el elemento de la propuesta y otra su prueba. Lo que prohíbe la norma es que se subsanen requisitos que no estaban materialmente cumplidos al momento de presentación de la oferta, o en palabras de la ley, que se acrediten hechos que ocurrieron después del cierre del proceso</w:t>
      </w:r>
      <w:r w:rsidRPr="00851774">
        <w:rPr>
          <w:rFonts w:ascii="Century Gothic" w:hAnsi="Century Gothic" w:cs="Arial"/>
          <w:vertAlign w:val="superscript"/>
          <w:lang w:val="es-ES_tradnl"/>
        </w:rPr>
        <w:footnoteReference w:id="43"/>
      </w:r>
      <w:r w:rsidRPr="00851774">
        <w:rPr>
          <w:rFonts w:ascii="Century Gothic" w:hAnsi="Century Gothic" w:cs="Arial"/>
          <w:lang w:val="es-ES_tradnl"/>
        </w:rPr>
        <w:t>.</w:t>
      </w:r>
    </w:p>
    <w:p w14:paraId="40861806" w14:textId="77777777" w:rsidR="005B4D3E" w:rsidRPr="00851774" w:rsidRDefault="005B4D3E" w:rsidP="005B4D3E">
      <w:pPr>
        <w:spacing w:before="120" w:after="120" w:line="276" w:lineRule="auto"/>
        <w:ind w:firstLine="709"/>
        <w:jc w:val="both"/>
        <w:rPr>
          <w:rFonts w:ascii="Century Gothic" w:hAnsi="Century Gothic" w:cs="Arial"/>
          <w:lang w:val="es-ES_tradnl"/>
        </w:rPr>
      </w:pPr>
      <w:r w:rsidRPr="00851774">
        <w:rPr>
          <w:rFonts w:ascii="Century Gothic" w:hAnsi="Century Gothic" w:cs="Arial"/>
          <w:lang w:val="es-ES_tradnl"/>
        </w:rPr>
        <w:t xml:space="preserve">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estando ésta en firme para dicho momento; </w:t>
      </w:r>
      <w:proofErr w:type="spellStart"/>
      <w:r w:rsidRPr="00851774">
        <w:rPr>
          <w:rFonts w:ascii="Century Gothic" w:hAnsi="Century Gothic" w:cs="Arial"/>
          <w:lang w:val="es-ES_tradnl"/>
        </w:rPr>
        <w:t>ii</w:t>
      </w:r>
      <w:proofErr w:type="spellEnd"/>
      <w:r w:rsidRPr="00851774">
        <w:rPr>
          <w:rFonts w:ascii="Century Gothic" w:hAnsi="Century Gothic" w:cs="Arial"/>
          <w:lang w:val="es-ES_tradnl"/>
        </w:rPr>
        <w:t>) si un oferente presentó la propuesta sin allegar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851774">
        <w:rPr>
          <w:rFonts w:ascii="Century Gothic" w:hAnsi="Century Gothic" w:cs="Arial"/>
          <w:vertAlign w:val="superscript"/>
          <w:lang w:val="es-ES_tradnl"/>
        </w:rPr>
        <w:footnoteReference w:id="44"/>
      </w:r>
      <w:r w:rsidRPr="00851774">
        <w:rPr>
          <w:rFonts w:ascii="Century Gothic" w:hAnsi="Century Gothic" w:cs="Arial"/>
          <w:lang w:val="es-ES_tradnl"/>
        </w:rPr>
        <w:t xml:space="preserve">; </w:t>
      </w:r>
      <w:proofErr w:type="spellStart"/>
      <w:r w:rsidRPr="00851774">
        <w:rPr>
          <w:rFonts w:ascii="Century Gothic" w:hAnsi="Century Gothic" w:cs="Arial"/>
          <w:lang w:val="es-ES_tradnl"/>
        </w:rPr>
        <w:t>iii</w:t>
      </w:r>
      <w:proofErr w:type="spellEnd"/>
      <w:r w:rsidRPr="00851774">
        <w:rPr>
          <w:rFonts w:ascii="Century Gothic" w:hAnsi="Century Gothic" w:cs="Arial"/>
          <w:lang w:val="es-ES_tradnl"/>
        </w:rPr>
        <w:t xml:space="preserve">) si un oferente no anexó el certificado de existencia y representación legal, el documento aportado con posterioridad debe dar cuenta de que la sociedad </w:t>
      </w:r>
      <w:r w:rsidRPr="00851774">
        <w:rPr>
          <w:rFonts w:ascii="Century Gothic" w:hAnsi="Century Gothic" w:cs="Arial"/>
          <w:lang w:val="es-ES_tradnl"/>
        </w:rPr>
        <w:lastRenderedPageBreak/>
        <w:t>existía antes del cierre del proceso</w:t>
      </w:r>
      <w:r w:rsidRPr="00851774">
        <w:rPr>
          <w:rFonts w:ascii="Century Gothic" w:hAnsi="Century Gothic" w:cs="Arial"/>
          <w:vertAlign w:val="superscript"/>
          <w:lang w:val="es-ES_tradnl"/>
        </w:rPr>
        <w:footnoteReference w:id="45"/>
      </w:r>
      <w:r w:rsidRPr="00851774">
        <w:rPr>
          <w:rFonts w:ascii="Century Gothic" w:hAnsi="Century Gothic" w:cs="Arial"/>
          <w:lang w:val="es-ES_tradnl"/>
        </w:rPr>
        <w:t xml:space="preserve">; </w:t>
      </w:r>
      <w:proofErr w:type="spellStart"/>
      <w:r w:rsidRPr="00851774">
        <w:rPr>
          <w:rFonts w:ascii="Century Gothic" w:hAnsi="Century Gothic" w:cs="Arial"/>
          <w:lang w:val="es-ES_tradnl"/>
        </w:rPr>
        <w:t>iv</w:t>
      </w:r>
      <w:proofErr w:type="spellEnd"/>
      <w:r w:rsidRPr="00851774">
        <w:rPr>
          <w:rFonts w:ascii="Century Gothic" w:hAnsi="Century Gothic" w:cs="Arial"/>
          <w:lang w:val="es-ES_tradnl"/>
        </w:rPr>
        <w:t xml:space="preserve">) si un oferente olvidó adjuntar un certificado que demuestra un título universitario, el documento, aunque tenga fecha posterior al cierre del proceso, debe acreditar que el título académico se obtuvo con anterioridad al cierre del proceso; v) si un oferente no allegó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ella, puede subsanar sin que con ello se entienda que acreditó una circunstancia ocurrida con posterioridad al cierre del proceso. </w:t>
      </w:r>
    </w:p>
    <w:p w14:paraId="73546642" w14:textId="77777777" w:rsidR="005B4D3E" w:rsidRPr="00851774" w:rsidRDefault="005B4D3E" w:rsidP="005B4D3E">
      <w:pPr>
        <w:spacing w:before="120" w:after="120" w:line="276" w:lineRule="auto"/>
        <w:ind w:firstLine="709"/>
        <w:jc w:val="both"/>
        <w:rPr>
          <w:rFonts w:ascii="Century Gothic" w:hAnsi="Century Gothic" w:cs="Arial"/>
          <w:lang w:val="es-ES_tradnl"/>
        </w:rPr>
      </w:pPr>
      <w:r w:rsidRPr="00851774">
        <w:rPr>
          <w:rFonts w:ascii="Century Gothic" w:hAnsi="Century Gothic" w:cs="Arial"/>
          <w:lang w:val="es-ES_tradnl"/>
        </w:rPr>
        <w:t xml:space="preserve">Lo anterior quiere decir que no es la prueba –usualmente un documento– lo que debe ser anterior al cierre del proceso, sino el hecho que ella acredita, es decir, ante la 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 proceso. Es por ello </w:t>
      </w:r>
      <w:proofErr w:type="gramStart"/>
      <w:r w:rsidRPr="00851774">
        <w:rPr>
          <w:rFonts w:ascii="Century Gothic" w:hAnsi="Century Gothic" w:cs="Arial"/>
          <w:lang w:val="es-ES_tradnl"/>
        </w:rPr>
        <w:t>que</w:t>
      </w:r>
      <w:proofErr w:type="gramEnd"/>
      <w:r w:rsidRPr="00851774">
        <w:rPr>
          <w:rFonts w:ascii="Century Gothic" w:hAnsi="Century Gothic" w:cs="Arial"/>
          <w:lang w:val="es-ES_tradnl"/>
        </w:rPr>
        <w:t>,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851774">
        <w:rPr>
          <w:rFonts w:ascii="Century Gothic" w:hAnsi="Century Gothic" w:cs="Arial"/>
          <w:vertAlign w:val="superscript"/>
          <w:lang w:val="es-ES_tradnl"/>
        </w:rPr>
        <w:footnoteReference w:id="46"/>
      </w:r>
      <w:r w:rsidRPr="00851774">
        <w:rPr>
          <w:rFonts w:ascii="Century Gothic" w:hAnsi="Century Gothic" w:cs="Arial"/>
          <w:lang w:val="es-ES_tradnl"/>
        </w:rPr>
        <w:t xml:space="preserve">. </w:t>
      </w:r>
    </w:p>
    <w:p w14:paraId="07E3E824" w14:textId="77777777" w:rsidR="005B4D3E" w:rsidRPr="00851774" w:rsidRDefault="005B4D3E" w:rsidP="005B4D3E">
      <w:pPr>
        <w:spacing w:before="120" w:after="0" w:line="276" w:lineRule="auto"/>
        <w:jc w:val="both"/>
        <w:rPr>
          <w:rFonts w:ascii="Century Gothic" w:eastAsia="Calibri" w:hAnsi="Century Gothic" w:cs="Arial"/>
          <w:lang w:val="es-ES_tradnl"/>
        </w:rPr>
      </w:pPr>
      <w:r w:rsidRPr="00851774">
        <w:rPr>
          <w:rFonts w:ascii="Century Gothic" w:eastAsia="Calibri" w:hAnsi="Century Gothic" w:cs="Arial"/>
          <w:lang w:val="es-ES_tradnl"/>
        </w:rPr>
        <w:tab/>
        <w:t xml:space="preserve">En línea con lo anterior, una vez verificada la ausencia de requisitos y/o documentos de la oferta, para efectos de saber si se pueden subsanar, la entidad contratante debe preguntarse, en primer lugar, si lo que hace falta es un documento que afecte la asignación de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afecte la asignación de puntaje y la respuesta al segundo interrogante debe dar cuenta de que lo omitido sea la </w:t>
      </w:r>
      <w:r w:rsidRPr="00851774">
        <w:rPr>
          <w:rFonts w:ascii="Century Gothic" w:eastAsia="Calibri" w:hAnsi="Century Gothic" w:cs="Arial"/>
          <w:lang w:val="es-ES_tradnl"/>
        </w:rPr>
        <w:lastRenderedPageBreak/>
        <w:t>prueba de una circunstancia o hecho que ocurrió con anterioridad al cierre del proceso.</w:t>
      </w:r>
    </w:p>
    <w:p w14:paraId="4D4D71C9" w14:textId="77777777" w:rsidR="005B4D3E" w:rsidRPr="00851774" w:rsidRDefault="005B4D3E" w:rsidP="005B4D3E">
      <w:pPr>
        <w:spacing w:after="0" w:line="276" w:lineRule="auto"/>
        <w:ind w:firstLine="709"/>
        <w:jc w:val="both"/>
        <w:rPr>
          <w:rFonts w:ascii="Century Gothic" w:eastAsia="Calibri" w:hAnsi="Century Gothic" w:cs="Arial"/>
          <w:lang w:val="es-ES_tradnl"/>
          <w14:ligatures w14:val="standardContextual"/>
        </w:rPr>
      </w:pPr>
      <w:r w:rsidRPr="00851774">
        <w:rPr>
          <w:rFonts w:ascii="Century Gothic" w:eastAsia="Calibri" w:hAnsi="Century Gothic" w:cs="Arial"/>
          <w:lang w:val="es-ES_tradnl"/>
          <w14:ligatures w14:val="standardContextual"/>
        </w:rPr>
        <w:t>De acuerdo con lo expuesto en torno a la subsanabilidad de las ofertas</w:t>
      </w:r>
      <w:r w:rsidRPr="00851774">
        <w:rPr>
          <w:rFonts w:ascii="Century Gothic" w:eastAsia="Times New Roman" w:hAnsi="Century Gothic" w:cs="Arial"/>
          <w:szCs w:val="24"/>
          <w:lang w:eastAsia="es-ES_tradnl"/>
          <w14:ligatures w14:val="standardContextual"/>
        </w:rPr>
        <w:t xml:space="preserve"> y teniendo en cuenta las reglas dispuestas en </w:t>
      </w:r>
      <w:r w:rsidRPr="00851774">
        <w:rPr>
          <w:rFonts w:ascii="Century Gothic" w:eastAsia="Calibri" w:hAnsi="Century Gothic" w:cs="Arial"/>
          <w:lang w:val="es-ES_tradnl"/>
          <w14:ligatures w14:val="standardContextual"/>
        </w:rPr>
        <w:t xml:space="preserve">la Ley 1882 de 2018, se itera que dicha norma mantiene el criterio de la Ley 80 de 1993, relativo a que todo lo que no sea necesario para la comparación de propuestas no es argumento suficiente para su rechazo; y se mantiene el criterio aclaratorio de la Ley 1150 de 2007, según el cual todo lo que no afecte la asignación de puntaje puede subsanarse. Por ello, si los requisitos no otorgan puntaje y tienen el carácter de habilitantes para la participación en el proceso de contratación, se entiende que, en principio, pueden subsanarse. </w:t>
      </w:r>
    </w:p>
    <w:p w14:paraId="2F131B84" w14:textId="77777777" w:rsidR="005B4D3E" w:rsidRPr="00851774" w:rsidRDefault="005B4D3E" w:rsidP="005B4D3E">
      <w:pPr>
        <w:tabs>
          <w:tab w:val="left" w:pos="567"/>
        </w:tabs>
        <w:spacing w:after="0" w:line="276" w:lineRule="auto"/>
        <w:jc w:val="both"/>
        <w:rPr>
          <w:rFonts w:ascii="Century Gothic" w:eastAsia="Calibri" w:hAnsi="Century Gothic" w:cs="Arial"/>
        </w:rPr>
      </w:pPr>
    </w:p>
    <w:p w14:paraId="0B135539" w14:textId="77777777" w:rsidR="005B4D3E" w:rsidRPr="00851774" w:rsidRDefault="005B4D3E" w:rsidP="005B4D3E">
      <w:pPr>
        <w:tabs>
          <w:tab w:val="left" w:pos="0"/>
        </w:tabs>
        <w:spacing w:after="0"/>
        <w:jc w:val="both"/>
        <w:rPr>
          <w:rFonts w:ascii="Century Gothic" w:eastAsia="Calibri" w:hAnsi="Century Gothic" w:cs="Arial"/>
          <w:b/>
          <w:lang w:val="es-ES_tradnl"/>
        </w:rPr>
      </w:pPr>
      <w:r w:rsidRPr="00851774">
        <w:rPr>
          <w:rFonts w:ascii="Century Gothic" w:eastAsia="Calibri" w:hAnsi="Century Gothic" w:cs="Arial"/>
          <w:b/>
          <w:lang w:val="es-ES_tradnl"/>
        </w:rPr>
        <w:t>3. Respuestas</w:t>
      </w:r>
    </w:p>
    <w:p w14:paraId="7FB91D02" w14:textId="77777777" w:rsidR="005B4D3E" w:rsidRPr="00851774" w:rsidRDefault="005B4D3E" w:rsidP="005B4D3E">
      <w:pPr>
        <w:spacing w:after="0" w:line="276" w:lineRule="auto"/>
        <w:jc w:val="both"/>
        <w:rPr>
          <w:rFonts w:ascii="Century Gothic" w:hAnsi="Century Gothic" w:cs="Arial"/>
          <w:lang w:val="es-ES_tradnl"/>
        </w:rPr>
      </w:pPr>
    </w:p>
    <w:p w14:paraId="7B9AC37E" w14:textId="77777777" w:rsidR="005B4D3E" w:rsidRPr="00FE6FD8" w:rsidRDefault="005B4D3E" w:rsidP="005B4D3E">
      <w:pPr>
        <w:spacing w:after="0" w:line="240" w:lineRule="auto"/>
        <w:ind w:left="709" w:right="709"/>
        <w:jc w:val="both"/>
        <w:textAlignment w:val="baseline"/>
        <w:rPr>
          <w:rFonts w:ascii="Century Gothic" w:hAnsi="Century Gothic" w:cs="Arial"/>
          <w:sz w:val="20"/>
          <w:szCs w:val="20"/>
          <w:shd w:val="clear" w:color="auto" w:fill="FFFFFF"/>
        </w:rPr>
      </w:pPr>
      <w:r w:rsidRPr="00FE6FD8">
        <w:rPr>
          <w:rFonts w:ascii="Century Gothic" w:hAnsi="Century Gothic" w:cs="Arial"/>
          <w:sz w:val="20"/>
          <w:szCs w:val="20"/>
          <w:shd w:val="clear" w:color="auto" w:fill="FFFFFF"/>
        </w:rPr>
        <w:t>“1. ¿Se puede entregar subsidios de transporte escolar a la asociación de padres de familia, para que sea la misma asociación de padres de familia quiénes contraten el transporte escolar que requieren sus hijos para llegar a los colegios veredales?” [sic]</w:t>
      </w:r>
    </w:p>
    <w:p w14:paraId="7B4ABD05" w14:textId="77777777" w:rsidR="005B4D3E" w:rsidRPr="00851774" w:rsidRDefault="005B4D3E" w:rsidP="005B4D3E">
      <w:pPr>
        <w:spacing w:after="0" w:line="276" w:lineRule="auto"/>
        <w:jc w:val="both"/>
        <w:rPr>
          <w:rFonts w:ascii="Century Gothic" w:eastAsia="Calibri" w:hAnsi="Century Gothic" w:cs="Arial"/>
          <w:lang w:val="es-ES_tradnl"/>
        </w:rPr>
      </w:pPr>
    </w:p>
    <w:p w14:paraId="7D425994" w14:textId="77777777" w:rsidR="005B4D3E" w:rsidRPr="00851774" w:rsidRDefault="005B4D3E" w:rsidP="005B4D3E">
      <w:pPr>
        <w:spacing w:after="0" w:line="276" w:lineRule="auto"/>
        <w:jc w:val="both"/>
        <w:rPr>
          <w:rFonts w:ascii="Century Gothic" w:eastAsia="Calibri" w:hAnsi="Century Gothic" w:cs="Arial"/>
          <w:lang w:val="es-ES_tradnl"/>
        </w:rPr>
      </w:pPr>
      <w:r w:rsidRPr="00851774">
        <w:rPr>
          <w:rFonts w:ascii="Century Gothic" w:eastAsia="Calibri" w:hAnsi="Century Gothic" w:cs="Arial"/>
          <w:lang w:val="es-ES_tradnl"/>
        </w:rPr>
        <w:t xml:space="preserve">De conformidad con lo expuesto en este concepto, </w:t>
      </w:r>
      <w:r w:rsidRPr="00851774">
        <w:rPr>
          <w:rFonts w:ascii="Century Gothic" w:eastAsia="Calibri" w:hAnsi="Century Gothic" w:cs="Arial"/>
          <w:i/>
          <w:iCs/>
          <w:lang w:val="es-ES_tradnl"/>
        </w:rPr>
        <w:t>las asociaciones de padres de familia</w:t>
      </w:r>
      <w:r w:rsidRPr="00851774">
        <w:rPr>
          <w:rFonts w:ascii="Century Gothic" w:eastAsia="Calibri" w:hAnsi="Century Gothic" w:cs="Arial"/>
          <w:lang w:val="es-ES_tradnl"/>
        </w:rPr>
        <w:t>, son consideradas por el artículo 9 del Decreto 1286 de 2005 como “</w:t>
      </w:r>
      <w:r w:rsidRPr="00851774">
        <w:rPr>
          <w:rFonts w:ascii="Century Gothic" w:eastAsia="Calibri" w:hAnsi="Century Gothic" w:cs="Arial"/>
          <w:i/>
          <w:iCs/>
          <w:lang w:val="es-ES_tradnl"/>
        </w:rPr>
        <w:t xml:space="preserve">entidades jurídicas de derecho privado, sin ánimo de lucro”, </w:t>
      </w:r>
      <w:r w:rsidRPr="00851774">
        <w:rPr>
          <w:rFonts w:ascii="Century Gothic" w:eastAsia="Calibri" w:hAnsi="Century Gothic" w:cs="Arial"/>
          <w:lang w:val="es-ES_tradnl"/>
        </w:rPr>
        <w:t>por ello, las Entidades Estatales se encuentran facultadas para suscribir con estas, bajo el régimen señalado en el Decreto 092 de 2017, convenios de asociación para el desarrollo conjunto de actividades relacionadas con los cometidos y funciones asignadas a aquellas por la Constitución y la ley.</w:t>
      </w:r>
    </w:p>
    <w:p w14:paraId="75739134" w14:textId="77777777" w:rsidR="005B4D3E" w:rsidRPr="00851774" w:rsidRDefault="005B4D3E" w:rsidP="005B4D3E">
      <w:pPr>
        <w:spacing w:before="120" w:after="0" w:line="276" w:lineRule="auto"/>
        <w:ind w:firstLine="709"/>
        <w:jc w:val="both"/>
        <w:rPr>
          <w:rFonts w:ascii="Century Gothic" w:eastAsia="Arial" w:hAnsi="Century Gothic" w:cs="Arial"/>
        </w:rPr>
      </w:pPr>
      <w:r w:rsidRPr="00851774">
        <w:rPr>
          <w:rFonts w:ascii="Century Gothic" w:eastAsia="Arial" w:hAnsi="Century Gothic" w:cs="Arial"/>
        </w:rPr>
        <w:t xml:space="preserve">Sin embargo, para ello, esto es, suscribir convenios de asociación con las asociaciones de padres de familia, las Entidades Estatales deberán tener en cuenta lo siguiente: </w:t>
      </w:r>
      <w:r w:rsidRPr="00851774">
        <w:rPr>
          <w:rFonts w:ascii="Century Gothic" w:eastAsia="Arial" w:hAnsi="Century Gothic" w:cs="Arial"/>
          <w:i/>
          <w:iCs/>
        </w:rPr>
        <w:t>i)</w:t>
      </w:r>
      <w:r w:rsidRPr="00851774">
        <w:rPr>
          <w:rFonts w:ascii="Century Gothic" w:eastAsia="Arial" w:hAnsi="Century Gothic" w:cs="Arial"/>
        </w:rPr>
        <w:t xml:space="preserve"> la asociación de padres de familia, según las reglas dispuestas en el inciso segundo del artículo 9 del Decreto 1286 de 2005, deberá encontrarse legalmente constituida; </w:t>
      </w:r>
      <w:proofErr w:type="spellStart"/>
      <w:r w:rsidRPr="00851774">
        <w:rPr>
          <w:rFonts w:ascii="Century Gothic" w:eastAsia="Arial" w:hAnsi="Century Gothic" w:cs="Arial"/>
          <w:i/>
          <w:iCs/>
        </w:rPr>
        <w:t>ii</w:t>
      </w:r>
      <w:proofErr w:type="spellEnd"/>
      <w:r w:rsidRPr="00851774">
        <w:rPr>
          <w:rFonts w:ascii="Century Gothic" w:eastAsia="Arial" w:hAnsi="Century Gothic" w:cs="Arial"/>
          <w:i/>
          <w:iCs/>
        </w:rPr>
        <w:t>)</w:t>
      </w:r>
      <w:r w:rsidRPr="00851774">
        <w:rPr>
          <w:rFonts w:ascii="Century Gothic" w:eastAsia="Arial" w:hAnsi="Century Gothic" w:cs="Arial"/>
        </w:rPr>
        <w:t xml:space="preserve"> el objeto contractual del convenio de asociación, deberá guardar afinidad con las funciones y cometidos de la entidad pública, según la Constitución y la ley; </w:t>
      </w:r>
      <w:proofErr w:type="spellStart"/>
      <w:r w:rsidRPr="00851774">
        <w:rPr>
          <w:rFonts w:ascii="Century Gothic" w:eastAsia="Arial" w:hAnsi="Century Gothic" w:cs="Arial"/>
          <w:i/>
          <w:iCs/>
        </w:rPr>
        <w:t>iii</w:t>
      </w:r>
      <w:proofErr w:type="spellEnd"/>
      <w:r w:rsidRPr="00851774">
        <w:rPr>
          <w:rFonts w:ascii="Century Gothic" w:eastAsia="Arial" w:hAnsi="Century Gothic" w:cs="Arial"/>
          <w:i/>
          <w:iCs/>
        </w:rPr>
        <w:t>)</w:t>
      </w:r>
      <w:r w:rsidRPr="00851774">
        <w:rPr>
          <w:rFonts w:ascii="Century Gothic" w:eastAsia="Arial" w:hAnsi="Century Gothic" w:cs="Arial"/>
        </w:rPr>
        <w:t xml:space="preserve"> deberán observarse las prohibiciones dispuestas en el artículo 12 </w:t>
      </w:r>
      <w:r w:rsidRPr="00851774">
        <w:rPr>
          <w:rFonts w:ascii="Century Gothic" w:eastAsia="Arial" w:hAnsi="Century Gothic" w:cs="Arial"/>
          <w:i/>
          <w:iCs/>
        </w:rPr>
        <w:t xml:space="preserve">ibidem </w:t>
      </w:r>
      <w:r w:rsidRPr="00851774">
        <w:rPr>
          <w:rFonts w:ascii="Century Gothic" w:eastAsia="Arial" w:hAnsi="Century Gothic" w:cs="Arial"/>
        </w:rPr>
        <w:t xml:space="preserve">para las asociaciones de padres de familia, esto, con el fin de que el desarrollo de las actividades objeto del convenio, no excedan los límites señalados en tal disposición, puesto que, particularmente en su literal c), establece que estas asociaciones tienen prohibido “[a]sumir las competencias y funciones </w:t>
      </w:r>
      <w:r w:rsidRPr="00851774">
        <w:rPr>
          <w:rFonts w:ascii="Century Gothic" w:eastAsia="Arial" w:hAnsi="Century Gothic" w:cs="Arial"/>
        </w:rPr>
        <w:lastRenderedPageBreak/>
        <w:t>propias de las autoridades y demás organismos colectivos del establecimiento educativo, o aquellas propias de los organismos y entidades de fiscalización, evaluación, inspección y vigilancia del sector educativo”.</w:t>
      </w:r>
    </w:p>
    <w:p w14:paraId="6D965D44" w14:textId="77777777" w:rsidR="005B4D3E" w:rsidRPr="00851774" w:rsidRDefault="005B4D3E" w:rsidP="005B4D3E">
      <w:pPr>
        <w:spacing w:after="0" w:line="240" w:lineRule="auto"/>
        <w:ind w:left="709" w:right="709"/>
        <w:jc w:val="both"/>
        <w:textAlignment w:val="baseline"/>
        <w:rPr>
          <w:rFonts w:ascii="Century Gothic" w:hAnsi="Century Gothic" w:cs="Arial"/>
          <w:sz w:val="21"/>
          <w:szCs w:val="21"/>
          <w:shd w:val="clear" w:color="auto" w:fill="FFFFFF"/>
        </w:rPr>
      </w:pPr>
    </w:p>
    <w:p w14:paraId="3C84F0C4" w14:textId="77777777" w:rsidR="005B4D3E" w:rsidRPr="00FE6FD8" w:rsidRDefault="005B4D3E" w:rsidP="005B4D3E">
      <w:pPr>
        <w:spacing w:after="0" w:line="240" w:lineRule="auto"/>
        <w:ind w:left="709" w:right="709"/>
        <w:jc w:val="both"/>
        <w:textAlignment w:val="baseline"/>
        <w:rPr>
          <w:rFonts w:ascii="Century Gothic" w:hAnsi="Century Gothic" w:cs="Arial"/>
          <w:sz w:val="20"/>
          <w:szCs w:val="20"/>
          <w:shd w:val="clear" w:color="auto" w:fill="FFFFFF"/>
        </w:rPr>
      </w:pPr>
      <w:r w:rsidRPr="00FE6FD8">
        <w:rPr>
          <w:rFonts w:ascii="Century Gothic" w:hAnsi="Century Gothic" w:cs="Arial"/>
          <w:sz w:val="20"/>
          <w:szCs w:val="20"/>
          <w:shd w:val="clear" w:color="auto" w:fill="FFFFFF"/>
        </w:rPr>
        <w:t xml:space="preserve">“2. ¿Se puede contratar con recursos de cajas menores, por ejemplo; mantenimiento de un aire acondicionado, limpieza de sillas, mantenimiento de computadores, etc. </w:t>
      </w:r>
      <w:proofErr w:type="gramStart"/>
      <w:r w:rsidRPr="00FE6FD8">
        <w:rPr>
          <w:rFonts w:ascii="Century Gothic" w:hAnsi="Century Gothic" w:cs="Arial"/>
          <w:sz w:val="20"/>
          <w:szCs w:val="20"/>
          <w:shd w:val="clear" w:color="auto" w:fill="FFFFFF"/>
        </w:rPr>
        <w:t>Evadiendo los procesos de contratación pública que se encuentren en la página, a través del establecimiento de esas cajas menores de una Entidad Pública?</w:t>
      </w:r>
      <w:proofErr w:type="gramEnd"/>
      <w:r w:rsidRPr="00FE6FD8">
        <w:rPr>
          <w:rFonts w:ascii="Century Gothic" w:hAnsi="Century Gothic" w:cs="Arial"/>
          <w:sz w:val="20"/>
          <w:szCs w:val="20"/>
          <w:shd w:val="clear" w:color="auto" w:fill="FFFFFF"/>
        </w:rPr>
        <w:t>” [sic]</w:t>
      </w:r>
    </w:p>
    <w:p w14:paraId="53155ACE" w14:textId="77777777" w:rsidR="005B4D3E" w:rsidRPr="00851774" w:rsidRDefault="005B4D3E" w:rsidP="005B4D3E">
      <w:pPr>
        <w:spacing w:after="0" w:line="240" w:lineRule="auto"/>
        <w:ind w:left="709" w:right="709"/>
        <w:jc w:val="both"/>
        <w:textAlignment w:val="baseline"/>
        <w:rPr>
          <w:rFonts w:ascii="Century Gothic" w:hAnsi="Century Gothic" w:cs="Arial"/>
          <w:sz w:val="21"/>
          <w:szCs w:val="21"/>
          <w:shd w:val="clear" w:color="auto" w:fill="FFFFFF"/>
        </w:rPr>
      </w:pPr>
    </w:p>
    <w:p w14:paraId="7549753D" w14:textId="77777777" w:rsidR="005B4D3E" w:rsidRPr="00851774" w:rsidRDefault="005B4D3E" w:rsidP="005B4D3E">
      <w:pPr>
        <w:widowControl w:val="0"/>
        <w:autoSpaceDE w:val="0"/>
        <w:autoSpaceDN w:val="0"/>
        <w:spacing w:after="120" w:line="276" w:lineRule="auto"/>
        <w:ind w:firstLine="708"/>
        <w:jc w:val="both"/>
        <w:rPr>
          <w:rFonts w:ascii="Century Gothic" w:eastAsia="Arial MT" w:hAnsi="Century Gothic" w:cs="Arial"/>
          <w:lang w:val="es-ES"/>
        </w:rPr>
      </w:pPr>
      <w:r w:rsidRPr="00851774">
        <w:rPr>
          <w:rFonts w:ascii="Century Gothic" w:eastAsia="Arial MT" w:hAnsi="Century Gothic" w:cs="Arial"/>
          <w:lang w:val="es-ES"/>
        </w:rPr>
        <w:t>Para las adquisiciones, las entidades deben estructurar un procedimiento de contratación que es reglado, es decir, el procedimiento no es discrecional, y se deben consultar las normas</w:t>
      </w:r>
      <w:r w:rsidRPr="00851774">
        <w:rPr>
          <w:rFonts w:ascii="Century Gothic" w:eastAsia="Arial MT" w:hAnsi="Century Gothic" w:cs="Arial"/>
          <w:spacing w:val="1"/>
          <w:lang w:val="es-ES"/>
        </w:rPr>
        <w:t xml:space="preserve"> </w:t>
      </w:r>
      <w:r w:rsidRPr="00851774">
        <w:rPr>
          <w:rFonts w:ascii="Century Gothic" w:eastAsia="Arial MT" w:hAnsi="Century Gothic" w:cs="Arial"/>
          <w:lang w:val="es-ES"/>
        </w:rPr>
        <w:t>que rigen el Sistema de Compra Pública para determinar la forma que la ley prevé para</w:t>
      </w:r>
      <w:r w:rsidRPr="00851774">
        <w:rPr>
          <w:rFonts w:ascii="Century Gothic" w:eastAsia="Arial MT" w:hAnsi="Century Gothic" w:cs="Arial"/>
          <w:spacing w:val="1"/>
          <w:lang w:val="es-ES"/>
        </w:rPr>
        <w:t xml:space="preserve"> </w:t>
      </w:r>
      <w:r w:rsidRPr="00851774">
        <w:rPr>
          <w:rFonts w:ascii="Century Gothic" w:eastAsia="Arial MT" w:hAnsi="Century Gothic" w:cs="Arial"/>
          <w:lang w:val="es-ES"/>
        </w:rPr>
        <w:t>adelantarlo.</w:t>
      </w:r>
      <w:r w:rsidRPr="00851774">
        <w:rPr>
          <w:rFonts w:ascii="Century Gothic" w:eastAsia="Arial MT" w:hAnsi="Century Gothic" w:cs="Arial"/>
          <w:spacing w:val="-13"/>
          <w:lang w:val="es-ES"/>
        </w:rPr>
        <w:t xml:space="preserve"> </w:t>
      </w:r>
      <w:r w:rsidRPr="00851774">
        <w:rPr>
          <w:rFonts w:ascii="Century Gothic" w:eastAsia="Arial MT" w:hAnsi="Century Gothic" w:cs="Arial"/>
          <w:lang w:val="es-ES"/>
        </w:rPr>
        <w:t>Por</w:t>
      </w:r>
      <w:r w:rsidRPr="00851774">
        <w:rPr>
          <w:rFonts w:ascii="Century Gothic" w:eastAsia="Arial MT" w:hAnsi="Century Gothic" w:cs="Arial"/>
          <w:spacing w:val="-12"/>
          <w:lang w:val="es-ES"/>
        </w:rPr>
        <w:t xml:space="preserve"> </w:t>
      </w:r>
      <w:r w:rsidRPr="00851774">
        <w:rPr>
          <w:rFonts w:ascii="Century Gothic" w:eastAsia="Arial MT" w:hAnsi="Century Gothic" w:cs="Arial"/>
          <w:lang w:val="es-ES"/>
        </w:rPr>
        <w:t>consiguiente,</w:t>
      </w:r>
      <w:r w:rsidRPr="00851774">
        <w:rPr>
          <w:rFonts w:ascii="Century Gothic" w:eastAsia="Arial MT" w:hAnsi="Century Gothic" w:cs="Arial"/>
          <w:spacing w:val="-12"/>
          <w:lang w:val="es-ES"/>
        </w:rPr>
        <w:t xml:space="preserve"> </w:t>
      </w:r>
      <w:r w:rsidRPr="00851774">
        <w:rPr>
          <w:rFonts w:ascii="Century Gothic" w:eastAsia="Arial MT" w:hAnsi="Century Gothic" w:cs="Arial"/>
          <w:lang w:val="es-ES"/>
        </w:rPr>
        <w:t>las</w:t>
      </w:r>
      <w:r w:rsidRPr="00851774">
        <w:rPr>
          <w:rFonts w:ascii="Century Gothic" w:eastAsia="Arial MT" w:hAnsi="Century Gothic" w:cs="Arial"/>
          <w:spacing w:val="-13"/>
          <w:lang w:val="es-ES"/>
        </w:rPr>
        <w:t xml:space="preserve"> </w:t>
      </w:r>
      <w:r w:rsidRPr="00851774">
        <w:rPr>
          <w:rFonts w:ascii="Century Gothic" w:eastAsia="Arial MT" w:hAnsi="Century Gothic" w:cs="Arial"/>
          <w:lang w:val="es-ES"/>
        </w:rPr>
        <w:t>principales</w:t>
      </w:r>
      <w:r w:rsidRPr="00851774">
        <w:rPr>
          <w:rFonts w:ascii="Century Gothic" w:eastAsia="Arial MT" w:hAnsi="Century Gothic" w:cs="Arial"/>
          <w:spacing w:val="-12"/>
          <w:lang w:val="es-ES"/>
        </w:rPr>
        <w:t xml:space="preserve"> </w:t>
      </w:r>
      <w:r w:rsidRPr="00851774">
        <w:rPr>
          <w:rFonts w:ascii="Century Gothic" w:eastAsia="Arial MT" w:hAnsi="Century Gothic" w:cs="Arial"/>
          <w:lang w:val="es-ES"/>
        </w:rPr>
        <w:t>normas</w:t>
      </w:r>
      <w:r w:rsidRPr="00851774">
        <w:rPr>
          <w:rFonts w:ascii="Century Gothic" w:eastAsia="Arial MT" w:hAnsi="Century Gothic" w:cs="Arial"/>
          <w:spacing w:val="-12"/>
          <w:lang w:val="es-ES"/>
        </w:rPr>
        <w:t xml:space="preserve"> </w:t>
      </w:r>
      <w:r w:rsidRPr="00851774">
        <w:rPr>
          <w:rFonts w:ascii="Century Gothic" w:eastAsia="Arial MT" w:hAnsi="Century Gothic" w:cs="Arial"/>
          <w:lang w:val="es-ES"/>
        </w:rPr>
        <w:t>son:</w:t>
      </w:r>
      <w:r w:rsidRPr="00851774">
        <w:rPr>
          <w:rFonts w:ascii="Century Gothic" w:eastAsia="Arial MT" w:hAnsi="Century Gothic" w:cs="Arial"/>
          <w:spacing w:val="-13"/>
          <w:lang w:val="es-ES"/>
        </w:rPr>
        <w:t xml:space="preserve"> </w:t>
      </w:r>
      <w:r w:rsidRPr="00851774">
        <w:rPr>
          <w:rFonts w:ascii="Century Gothic" w:eastAsia="Arial MT" w:hAnsi="Century Gothic" w:cs="Arial"/>
          <w:lang w:val="es-ES"/>
        </w:rPr>
        <w:t>la</w:t>
      </w:r>
      <w:r w:rsidRPr="00851774">
        <w:rPr>
          <w:rFonts w:ascii="Century Gothic" w:eastAsia="Arial MT" w:hAnsi="Century Gothic" w:cs="Arial"/>
          <w:spacing w:val="-12"/>
          <w:lang w:val="es-ES"/>
        </w:rPr>
        <w:t xml:space="preserve"> </w:t>
      </w:r>
      <w:r w:rsidRPr="00851774">
        <w:rPr>
          <w:rFonts w:ascii="Century Gothic" w:eastAsia="Arial MT" w:hAnsi="Century Gothic" w:cs="Arial"/>
          <w:lang w:val="es-ES"/>
        </w:rPr>
        <w:t>Ley</w:t>
      </w:r>
      <w:r w:rsidRPr="00851774">
        <w:rPr>
          <w:rFonts w:ascii="Century Gothic" w:eastAsia="Arial MT" w:hAnsi="Century Gothic" w:cs="Arial"/>
          <w:spacing w:val="-12"/>
          <w:lang w:val="es-ES"/>
        </w:rPr>
        <w:t xml:space="preserve"> </w:t>
      </w:r>
      <w:r w:rsidRPr="00851774">
        <w:rPr>
          <w:rFonts w:ascii="Century Gothic" w:eastAsia="Arial MT" w:hAnsi="Century Gothic" w:cs="Arial"/>
          <w:lang w:val="es-ES"/>
        </w:rPr>
        <w:t>80</w:t>
      </w:r>
      <w:r w:rsidRPr="00851774">
        <w:rPr>
          <w:rFonts w:ascii="Century Gothic" w:eastAsia="Arial MT" w:hAnsi="Century Gothic" w:cs="Arial"/>
          <w:spacing w:val="-13"/>
          <w:lang w:val="es-ES"/>
        </w:rPr>
        <w:t xml:space="preserve"> </w:t>
      </w:r>
      <w:r w:rsidRPr="00851774">
        <w:rPr>
          <w:rFonts w:ascii="Century Gothic" w:eastAsia="Arial MT" w:hAnsi="Century Gothic" w:cs="Arial"/>
          <w:lang w:val="es-ES"/>
        </w:rPr>
        <w:t>de</w:t>
      </w:r>
      <w:r w:rsidRPr="00851774">
        <w:rPr>
          <w:rFonts w:ascii="Century Gothic" w:eastAsia="Arial MT" w:hAnsi="Century Gothic" w:cs="Arial"/>
          <w:spacing w:val="-12"/>
          <w:lang w:val="es-ES"/>
        </w:rPr>
        <w:t xml:space="preserve"> </w:t>
      </w:r>
      <w:r w:rsidRPr="00851774">
        <w:rPr>
          <w:rFonts w:ascii="Century Gothic" w:eastAsia="Arial MT" w:hAnsi="Century Gothic" w:cs="Arial"/>
          <w:lang w:val="es-ES"/>
        </w:rPr>
        <w:t>1993,</w:t>
      </w:r>
      <w:r w:rsidRPr="00851774">
        <w:rPr>
          <w:rFonts w:ascii="Century Gothic" w:eastAsia="Arial MT" w:hAnsi="Century Gothic" w:cs="Arial"/>
          <w:spacing w:val="-12"/>
          <w:lang w:val="es-ES"/>
        </w:rPr>
        <w:t xml:space="preserve"> </w:t>
      </w:r>
      <w:r w:rsidRPr="00851774">
        <w:rPr>
          <w:rFonts w:ascii="Century Gothic" w:eastAsia="Arial MT" w:hAnsi="Century Gothic" w:cs="Arial"/>
          <w:lang w:val="es-ES"/>
        </w:rPr>
        <w:t>–EGCAP–; la Ley 1150 de 2007 que, entre otras disposiciones,</w:t>
      </w:r>
      <w:r w:rsidRPr="00851774">
        <w:rPr>
          <w:rFonts w:ascii="Century Gothic" w:eastAsia="Arial MT" w:hAnsi="Century Gothic" w:cs="Arial"/>
          <w:spacing w:val="1"/>
          <w:lang w:val="es-ES"/>
        </w:rPr>
        <w:t xml:space="preserve"> </w:t>
      </w:r>
      <w:r w:rsidRPr="00851774">
        <w:rPr>
          <w:rFonts w:ascii="Century Gothic" w:eastAsia="Arial MT" w:hAnsi="Century Gothic" w:cs="Arial"/>
          <w:lang w:val="es-ES"/>
        </w:rPr>
        <w:t>regula</w:t>
      </w:r>
      <w:r w:rsidRPr="00851774">
        <w:rPr>
          <w:rFonts w:ascii="Century Gothic" w:eastAsia="Arial MT" w:hAnsi="Century Gothic" w:cs="Arial"/>
          <w:spacing w:val="-16"/>
          <w:lang w:val="es-ES"/>
        </w:rPr>
        <w:t xml:space="preserve"> </w:t>
      </w:r>
      <w:r w:rsidRPr="00851774">
        <w:rPr>
          <w:rFonts w:ascii="Century Gothic" w:eastAsia="Arial MT" w:hAnsi="Century Gothic" w:cs="Arial"/>
          <w:lang w:val="es-ES"/>
        </w:rPr>
        <w:t>las</w:t>
      </w:r>
      <w:r w:rsidRPr="00851774">
        <w:rPr>
          <w:rFonts w:ascii="Century Gothic" w:eastAsia="Arial MT" w:hAnsi="Century Gothic" w:cs="Arial"/>
          <w:spacing w:val="-15"/>
          <w:lang w:val="es-ES"/>
        </w:rPr>
        <w:t xml:space="preserve"> </w:t>
      </w:r>
      <w:r w:rsidRPr="00851774">
        <w:rPr>
          <w:rFonts w:ascii="Century Gothic" w:eastAsia="Arial MT" w:hAnsi="Century Gothic" w:cs="Arial"/>
          <w:lang w:val="es-ES"/>
        </w:rPr>
        <w:t>modalidades</w:t>
      </w:r>
      <w:r w:rsidRPr="00851774">
        <w:rPr>
          <w:rFonts w:ascii="Century Gothic" w:eastAsia="Arial MT" w:hAnsi="Century Gothic" w:cs="Arial"/>
          <w:spacing w:val="-15"/>
          <w:lang w:val="es-ES"/>
        </w:rPr>
        <w:t xml:space="preserve"> </w:t>
      </w:r>
      <w:r w:rsidRPr="00851774">
        <w:rPr>
          <w:rFonts w:ascii="Century Gothic" w:eastAsia="Arial MT" w:hAnsi="Century Gothic" w:cs="Arial"/>
          <w:lang w:val="es-ES"/>
        </w:rPr>
        <w:t>de</w:t>
      </w:r>
      <w:r w:rsidRPr="00851774">
        <w:rPr>
          <w:rFonts w:ascii="Century Gothic" w:eastAsia="Arial MT" w:hAnsi="Century Gothic" w:cs="Arial"/>
          <w:spacing w:val="-15"/>
          <w:lang w:val="es-ES"/>
        </w:rPr>
        <w:t xml:space="preserve"> </w:t>
      </w:r>
      <w:r w:rsidRPr="00851774">
        <w:rPr>
          <w:rFonts w:ascii="Century Gothic" w:eastAsia="Arial MT" w:hAnsi="Century Gothic" w:cs="Arial"/>
          <w:lang w:val="es-ES"/>
        </w:rPr>
        <w:t>selección</w:t>
      </w:r>
      <w:r w:rsidRPr="00851774">
        <w:rPr>
          <w:rFonts w:ascii="Century Gothic" w:eastAsia="Arial MT" w:hAnsi="Century Gothic" w:cs="Arial"/>
          <w:spacing w:val="-15"/>
          <w:lang w:val="es-ES"/>
        </w:rPr>
        <w:t xml:space="preserve"> </w:t>
      </w:r>
      <w:r w:rsidRPr="00851774">
        <w:rPr>
          <w:rFonts w:ascii="Century Gothic" w:eastAsia="Arial MT" w:hAnsi="Century Gothic" w:cs="Arial"/>
          <w:lang w:val="es-ES"/>
        </w:rPr>
        <w:t>para</w:t>
      </w:r>
      <w:r w:rsidRPr="00851774">
        <w:rPr>
          <w:rFonts w:ascii="Century Gothic" w:eastAsia="Arial MT" w:hAnsi="Century Gothic" w:cs="Arial"/>
          <w:spacing w:val="-15"/>
          <w:lang w:val="es-ES"/>
        </w:rPr>
        <w:t xml:space="preserve"> </w:t>
      </w:r>
      <w:r w:rsidRPr="00851774">
        <w:rPr>
          <w:rFonts w:ascii="Century Gothic" w:eastAsia="Arial MT" w:hAnsi="Century Gothic" w:cs="Arial"/>
          <w:lang w:val="es-ES"/>
        </w:rPr>
        <w:t>la</w:t>
      </w:r>
      <w:r w:rsidRPr="00851774">
        <w:rPr>
          <w:rFonts w:ascii="Century Gothic" w:eastAsia="Arial MT" w:hAnsi="Century Gothic" w:cs="Arial"/>
          <w:spacing w:val="-15"/>
          <w:lang w:val="es-ES"/>
        </w:rPr>
        <w:t xml:space="preserve"> </w:t>
      </w:r>
      <w:r w:rsidRPr="00851774">
        <w:rPr>
          <w:rFonts w:ascii="Century Gothic" w:eastAsia="Arial MT" w:hAnsi="Century Gothic" w:cs="Arial"/>
          <w:lang w:val="es-ES"/>
        </w:rPr>
        <w:t>escogencia</w:t>
      </w:r>
      <w:r w:rsidRPr="00851774">
        <w:rPr>
          <w:rFonts w:ascii="Century Gothic" w:eastAsia="Arial MT" w:hAnsi="Century Gothic" w:cs="Arial"/>
          <w:spacing w:val="-15"/>
          <w:lang w:val="es-ES"/>
        </w:rPr>
        <w:t xml:space="preserve"> </w:t>
      </w:r>
      <w:r w:rsidRPr="00851774">
        <w:rPr>
          <w:rFonts w:ascii="Century Gothic" w:eastAsia="Arial MT" w:hAnsi="Century Gothic" w:cs="Arial"/>
          <w:lang w:val="es-ES"/>
        </w:rPr>
        <w:t>del</w:t>
      </w:r>
      <w:r w:rsidRPr="00851774">
        <w:rPr>
          <w:rFonts w:ascii="Century Gothic" w:eastAsia="Arial MT" w:hAnsi="Century Gothic" w:cs="Arial"/>
          <w:spacing w:val="-15"/>
          <w:lang w:val="es-ES"/>
        </w:rPr>
        <w:t xml:space="preserve"> </w:t>
      </w:r>
      <w:r w:rsidRPr="00851774">
        <w:rPr>
          <w:rFonts w:ascii="Century Gothic" w:eastAsia="Arial MT" w:hAnsi="Century Gothic" w:cs="Arial"/>
          <w:lang w:val="es-ES"/>
        </w:rPr>
        <w:t>contratista;</w:t>
      </w:r>
      <w:r w:rsidRPr="00851774">
        <w:rPr>
          <w:rFonts w:ascii="Century Gothic" w:eastAsia="Arial MT" w:hAnsi="Century Gothic" w:cs="Arial"/>
          <w:spacing w:val="-15"/>
          <w:lang w:val="es-ES"/>
        </w:rPr>
        <w:t xml:space="preserve"> </w:t>
      </w:r>
      <w:r w:rsidRPr="00851774">
        <w:rPr>
          <w:rFonts w:ascii="Century Gothic" w:eastAsia="Arial MT" w:hAnsi="Century Gothic" w:cs="Arial"/>
          <w:lang w:val="es-ES"/>
        </w:rPr>
        <w:t>y</w:t>
      </w:r>
      <w:r w:rsidRPr="00851774">
        <w:rPr>
          <w:rFonts w:ascii="Century Gothic" w:eastAsia="Arial MT" w:hAnsi="Century Gothic" w:cs="Arial"/>
          <w:spacing w:val="-15"/>
          <w:lang w:val="es-ES"/>
        </w:rPr>
        <w:t xml:space="preserve"> </w:t>
      </w:r>
      <w:r w:rsidRPr="00851774">
        <w:rPr>
          <w:rFonts w:ascii="Century Gothic" w:eastAsia="Arial MT" w:hAnsi="Century Gothic" w:cs="Arial"/>
          <w:lang w:val="es-ES"/>
        </w:rPr>
        <w:t>el</w:t>
      </w:r>
      <w:r w:rsidRPr="00851774">
        <w:rPr>
          <w:rFonts w:ascii="Century Gothic" w:eastAsia="Arial MT" w:hAnsi="Century Gothic" w:cs="Arial"/>
          <w:spacing w:val="-15"/>
          <w:lang w:val="es-ES"/>
        </w:rPr>
        <w:t xml:space="preserve"> </w:t>
      </w:r>
      <w:r w:rsidRPr="00851774">
        <w:rPr>
          <w:rFonts w:ascii="Century Gothic" w:eastAsia="Arial MT" w:hAnsi="Century Gothic" w:cs="Arial"/>
          <w:lang w:val="es-ES"/>
        </w:rPr>
        <w:t>Decreto</w:t>
      </w:r>
      <w:r w:rsidRPr="00851774">
        <w:rPr>
          <w:rFonts w:ascii="Century Gothic" w:eastAsia="Arial MT" w:hAnsi="Century Gothic" w:cs="Arial"/>
          <w:spacing w:val="-15"/>
          <w:lang w:val="es-ES"/>
        </w:rPr>
        <w:t xml:space="preserve"> </w:t>
      </w:r>
      <w:r w:rsidRPr="00851774">
        <w:rPr>
          <w:rFonts w:ascii="Century Gothic" w:eastAsia="Arial MT" w:hAnsi="Century Gothic" w:cs="Arial"/>
          <w:lang w:val="es-ES"/>
        </w:rPr>
        <w:t>1082</w:t>
      </w:r>
      <w:r w:rsidRPr="00851774">
        <w:rPr>
          <w:rFonts w:ascii="Century Gothic" w:eastAsia="Arial MT" w:hAnsi="Century Gothic" w:cs="Arial"/>
          <w:spacing w:val="-15"/>
          <w:lang w:val="es-ES"/>
        </w:rPr>
        <w:t xml:space="preserve"> </w:t>
      </w:r>
      <w:r w:rsidRPr="00851774">
        <w:rPr>
          <w:rFonts w:ascii="Century Gothic" w:eastAsia="Arial MT" w:hAnsi="Century Gothic" w:cs="Arial"/>
          <w:lang w:val="es-ES"/>
        </w:rPr>
        <w:t>de</w:t>
      </w:r>
      <w:r w:rsidRPr="00851774">
        <w:rPr>
          <w:rFonts w:ascii="Century Gothic" w:eastAsia="Arial MT" w:hAnsi="Century Gothic" w:cs="Arial"/>
          <w:spacing w:val="-15"/>
          <w:lang w:val="es-ES"/>
        </w:rPr>
        <w:t xml:space="preserve"> </w:t>
      </w:r>
      <w:r w:rsidRPr="00851774">
        <w:rPr>
          <w:rFonts w:ascii="Century Gothic" w:eastAsia="Arial MT" w:hAnsi="Century Gothic" w:cs="Arial"/>
          <w:lang w:val="es-ES"/>
        </w:rPr>
        <w:t>2015,</w:t>
      </w:r>
      <w:r w:rsidRPr="00851774">
        <w:rPr>
          <w:rFonts w:ascii="Century Gothic" w:eastAsia="Arial MT" w:hAnsi="Century Gothic" w:cs="Arial"/>
          <w:spacing w:val="-59"/>
          <w:lang w:val="es-ES"/>
        </w:rPr>
        <w:t xml:space="preserve"> </w:t>
      </w:r>
      <w:r w:rsidRPr="00851774">
        <w:rPr>
          <w:rFonts w:ascii="Century Gothic" w:eastAsia="Arial MT" w:hAnsi="Century Gothic" w:cs="Arial"/>
          <w:lang w:val="es-ES"/>
        </w:rPr>
        <w:t>que</w:t>
      </w:r>
      <w:r w:rsidRPr="00851774">
        <w:rPr>
          <w:rFonts w:ascii="Century Gothic" w:eastAsia="Arial MT" w:hAnsi="Century Gothic" w:cs="Arial"/>
          <w:spacing w:val="-9"/>
          <w:lang w:val="es-ES"/>
        </w:rPr>
        <w:t xml:space="preserve"> </w:t>
      </w:r>
      <w:r w:rsidRPr="00851774">
        <w:rPr>
          <w:rFonts w:ascii="Century Gothic" w:eastAsia="Arial MT" w:hAnsi="Century Gothic" w:cs="Arial"/>
          <w:lang w:val="es-ES"/>
        </w:rPr>
        <w:t>es</w:t>
      </w:r>
      <w:r w:rsidRPr="00851774">
        <w:rPr>
          <w:rFonts w:ascii="Century Gothic" w:eastAsia="Arial MT" w:hAnsi="Century Gothic" w:cs="Arial"/>
          <w:spacing w:val="-9"/>
          <w:lang w:val="es-ES"/>
        </w:rPr>
        <w:t xml:space="preserve"> </w:t>
      </w:r>
      <w:r w:rsidRPr="00851774">
        <w:rPr>
          <w:rFonts w:ascii="Century Gothic" w:eastAsia="Arial MT" w:hAnsi="Century Gothic" w:cs="Arial"/>
          <w:lang w:val="es-ES"/>
        </w:rPr>
        <w:t>reglamentario</w:t>
      </w:r>
      <w:r w:rsidRPr="00851774">
        <w:rPr>
          <w:rFonts w:ascii="Century Gothic" w:eastAsia="Arial MT" w:hAnsi="Century Gothic" w:cs="Arial"/>
          <w:spacing w:val="-8"/>
          <w:lang w:val="es-ES"/>
        </w:rPr>
        <w:t xml:space="preserve"> </w:t>
      </w:r>
      <w:r w:rsidRPr="00851774">
        <w:rPr>
          <w:rFonts w:ascii="Century Gothic" w:eastAsia="Arial MT" w:hAnsi="Century Gothic" w:cs="Arial"/>
          <w:lang w:val="es-ES"/>
        </w:rPr>
        <w:t>y</w:t>
      </w:r>
      <w:r w:rsidRPr="00851774">
        <w:rPr>
          <w:rFonts w:ascii="Century Gothic" w:eastAsia="Arial MT" w:hAnsi="Century Gothic" w:cs="Arial"/>
          <w:spacing w:val="-9"/>
          <w:lang w:val="es-ES"/>
        </w:rPr>
        <w:t xml:space="preserve"> </w:t>
      </w:r>
      <w:r w:rsidRPr="00851774">
        <w:rPr>
          <w:rFonts w:ascii="Century Gothic" w:eastAsia="Arial MT" w:hAnsi="Century Gothic" w:cs="Arial"/>
          <w:lang w:val="es-ES"/>
        </w:rPr>
        <w:t>concreta</w:t>
      </w:r>
      <w:r w:rsidRPr="00851774">
        <w:rPr>
          <w:rFonts w:ascii="Century Gothic" w:eastAsia="Arial MT" w:hAnsi="Century Gothic" w:cs="Arial"/>
          <w:spacing w:val="-8"/>
          <w:lang w:val="es-ES"/>
        </w:rPr>
        <w:t xml:space="preserve"> </w:t>
      </w:r>
      <w:r w:rsidRPr="00851774">
        <w:rPr>
          <w:rFonts w:ascii="Century Gothic" w:eastAsia="Arial MT" w:hAnsi="Century Gothic" w:cs="Arial"/>
          <w:lang w:val="es-ES"/>
        </w:rPr>
        <w:t>cada</w:t>
      </w:r>
      <w:r w:rsidRPr="00851774">
        <w:rPr>
          <w:rFonts w:ascii="Century Gothic" w:eastAsia="Arial MT" w:hAnsi="Century Gothic" w:cs="Arial"/>
          <w:spacing w:val="-9"/>
          <w:lang w:val="es-ES"/>
        </w:rPr>
        <w:t xml:space="preserve"> </w:t>
      </w:r>
      <w:r w:rsidRPr="00851774">
        <w:rPr>
          <w:rFonts w:ascii="Century Gothic" w:eastAsia="Arial MT" w:hAnsi="Century Gothic" w:cs="Arial"/>
          <w:lang w:val="es-ES"/>
        </w:rPr>
        <w:t>modalidad</w:t>
      </w:r>
      <w:r w:rsidRPr="00851774">
        <w:rPr>
          <w:rFonts w:ascii="Century Gothic" w:eastAsia="Arial MT" w:hAnsi="Century Gothic" w:cs="Arial"/>
          <w:spacing w:val="-8"/>
          <w:lang w:val="es-ES"/>
        </w:rPr>
        <w:t xml:space="preserve"> </w:t>
      </w:r>
      <w:r w:rsidRPr="00851774">
        <w:rPr>
          <w:rFonts w:ascii="Century Gothic" w:eastAsia="Arial MT" w:hAnsi="Century Gothic" w:cs="Arial"/>
          <w:lang w:val="es-ES"/>
        </w:rPr>
        <w:t>de</w:t>
      </w:r>
      <w:r w:rsidRPr="00851774">
        <w:rPr>
          <w:rFonts w:ascii="Century Gothic" w:eastAsia="Arial MT" w:hAnsi="Century Gothic" w:cs="Arial"/>
          <w:spacing w:val="-9"/>
          <w:lang w:val="es-ES"/>
        </w:rPr>
        <w:t xml:space="preserve"> </w:t>
      </w:r>
      <w:r w:rsidRPr="00851774">
        <w:rPr>
          <w:rFonts w:ascii="Century Gothic" w:eastAsia="Arial MT" w:hAnsi="Century Gothic" w:cs="Arial"/>
          <w:lang w:val="es-ES"/>
        </w:rPr>
        <w:t>selección,</w:t>
      </w:r>
      <w:r w:rsidRPr="00851774">
        <w:rPr>
          <w:rFonts w:ascii="Century Gothic" w:eastAsia="Arial MT" w:hAnsi="Century Gothic" w:cs="Arial"/>
          <w:spacing w:val="-8"/>
          <w:lang w:val="es-ES"/>
        </w:rPr>
        <w:t xml:space="preserve"> </w:t>
      </w:r>
      <w:r w:rsidRPr="00851774">
        <w:rPr>
          <w:rFonts w:ascii="Century Gothic" w:eastAsia="Arial MT" w:hAnsi="Century Gothic" w:cs="Arial"/>
          <w:lang w:val="es-ES"/>
        </w:rPr>
        <w:t>señalando</w:t>
      </w:r>
      <w:r w:rsidRPr="00851774">
        <w:rPr>
          <w:rFonts w:ascii="Century Gothic" w:eastAsia="Arial MT" w:hAnsi="Century Gothic" w:cs="Arial"/>
          <w:spacing w:val="-9"/>
          <w:lang w:val="es-ES"/>
        </w:rPr>
        <w:t xml:space="preserve"> </w:t>
      </w:r>
      <w:r w:rsidRPr="00851774">
        <w:rPr>
          <w:rFonts w:ascii="Century Gothic" w:eastAsia="Arial MT" w:hAnsi="Century Gothic" w:cs="Arial"/>
          <w:lang w:val="es-ES"/>
        </w:rPr>
        <w:t>reglas</w:t>
      </w:r>
      <w:r w:rsidRPr="00851774">
        <w:rPr>
          <w:rFonts w:ascii="Century Gothic" w:eastAsia="Arial MT" w:hAnsi="Century Gothic" w:cs="Arial"/>
          <w:spacing w:val="-8"/>
          <w:lang w:val="es-ES"/>
        </w:rPr>
        <w:t xml:space="preserve"> </w:t>
      </w:r>
      <w:r w:rsidRPr="00851774">
        <w:rPr>
          <w:rFonts w:ascii="Century Gothic" w:eastAsia="Arial MT" w:hAnsi="Century Gothic" w:cs="Arial"/>
          <w:lang w:val="es-ES"/>
        </w:rPr>
        <w:t>o</w:t>
      </w:r>
      <w:r w:rsidRPr="00851774">
        <w:rPr>
          <w:rFonts w:ascii="Century Gothic" w:eastAsia="Arial MT" w:hAnsi="Century Gothic" w:cs="Arial"/>
          <w:spacing w:val="-9"/>
          <w:lang w:val="es-ES"/>
        </w:rPr>
        <w:t xml:space="preserve"> </w:t>
      </w:r>
      <w:r w:rsidRPr="00851774">
        <w:rPr>
          <w:rFonts w:ascii="Century Gothic" w:eastAsia="Arial MT" w:hAnsi="Century Gothic" w:cs="Arial"/>
          <w:lang w:val="es-ES"/>
        </w:rPr>
        <w:t>pasos</w:t>
      </w:r>
      <w:r w:rsidRPr="00851774">
        <w:rPr>
          <w:rFonts w:ascii="Century Gothic" w:eastAsia="Arial MT" w:hAnsi="Century Gothic" w:cs="Arial"/>
          <w:spacing w:val="-8"/>
          <w:lang w:val="es-ES"/>
        </w:rPr>
        <w:t xml:space="preserve"> </w:t>
      </w:r>
      <w:r w:rsidRPr="00851774">
        <w:rPr>
          <w:rFonts w:ascii="Century Gothic" w:eastAsia="Arial MT" w:hAnsi="Century Gothic" w:cs="Arial"/>
          <w:lang w:val="es-ES"/>
        </w:rPr>
        <w:t>a</w:t>
      </w:r>
      <w:r w:rsidRPr="00851774">
        <w:rPr>
          <w:rFonts w:ascii="Century Gothic" w:eastAsia="Arial MT" w:hAnsi="Century Gothic" w:cs="Arial"/>
          <w:spacing w:val="-9"/>
          <w:lang w:val="es-ES"/>
        </w:rPr>
        <w:t xml:space="preserve"> </w:t>
      </w:r>
      <w:r w:rsidRPr="00851774">
        <w:rPr>
          <w:rFonts w:ascii="Century Gothic" w:eastAsia="Arial MT" w:hAnsi="Century Gothic" w:cs="Arial"/>
          <w:lang w:val="es-ES"/>
        </w:rPr>
        <w:t>seguir</w:t>
      </w:r>
      <w:r w:rsidRPr="00851774">
        <w:rPr>
          <w:rFonts w:ascii="Century Gothic" w:eastAsia="Arial MT" w:hAnsi="Century Gothic" w:cs="Arial"/>
          <w:spacing w:val="1"/>
          <w:lang w:val="es-ES"/>
        </w:rPr>
        <w:t xml:space="preserve"> </w:t>
      </w:r>
      <w:r w:rsidRPr="00851774">
        <w:rPr>
          <w:rFonts w:ascii="Century Gothic" w:eastAsia="Arial MT" w:hAnsi="Century Gothic" w:cs="Arial"/>
          <w:lang w:val="es-ES"/>
        </w:rPr>
        <w:t>para</w:t>
      </w:r>
      <w:r w:rsidRPr="00851774">
        <w:rPr>
          <w:rFonts w:ascii="Century Gothic" w:eastAsia="Arial MT" w:hAnsi="Century Gothic" w:cs="Arial"/>
          <w:spacing w:val="-2"/>
          <w:lang w:val="es-ES"/>
        </w:rPr>
        <w:t xml:space="preserve"> </w:t>
      </w:r>
      <w:r w:rsidRPr="00851774">
        <w:rPr>
          <w:rFonts w:ascii="Century Gothic" w:eastAsia="Arial MT" w:hAnsi="Century Gothic" w:cs="Arial"/>
          <w:lang w:val="es-ES"/>
        </w:rPr>
        <w:t>celebrar</w:t>
      </w:r>
      <w:r w:rsidRPr="00851774">
        <w:rPr>
          <w:rFonts w:ascii="Century Gothic" w:eastAsia="Arial MT" w:hAnsi="Century Gothic" w:cs="Arial"/>
          <w:spacing w:val="-1"/>
          <w:lang w:val="es-ES"/>
        </w:rPr>
        <w:t xml:space="preserve"> </w:t>
      </w:r>
      <w:r w:rsidRPr="00851774">
        <w:rPr>
          <w:rFonts w:ascii="Century Gothic" w:eastAsia="Arial MT" w:hAnsi="Century Gothic" w:cs="Arial"/>
          <w:lang w:val="es-ES"/>
        </w:rPr>
        <w:t>el</w:t>
      </w:r>
      <w:r w:rsidRPr="00851774">
        <w:rPr>
          <w:rFonts w:ascii="Century Gothic" w:eastAsia="Arial MT" w:hAnsi="Century Gothic" w:cs="Arial"/>
          <w:spacing w:val="-1"/>
          <w:lang w:val="es-ES"/>
        </w:rPr>
        <w:t xml:space="preserve"> </w:t>
      </w:r>
      <w:r w:rsidRPr="00851774">
        <w:rPr>
          <w:rFonts w:ascii="Century Gothic" w:eastAsia="Arial MT" w:hAnsi="Century Gothic" w:cs="Arial"/>
          <w:lang w:val="es-ES"/>
        </w:rPr>
        <w:t>contrato</w:t>
      </w:r>
      <w:r w:rsidRPr="00851774">
        <w:rPr>
          <w:rFonts w:ascii="Century Gothic" w:eastAsia="Arial MT" w:hAnsi="Century Gothic" w:cs="Arial"/>
          <w:spacing w:val="-1"/>
          <w:lang w:val="es-ES"/>
        </w:rPr>
        <w:t xml:space="preserve"> </w:t>
      </w:r>
      <w:r w:rsidRPr="00851774">
        <w:rPr>
          <w:rFonts w:ascii="Century Gothic" w:eastAsia="Arial MT" w:hAnsi="Century Gothic" w:cs="Arial"/>
          <w:lang w:val="es-ES"/>
        </w:rPr>
        <w:t>estatal.</w:t>
      </w:r>
    </w:p>
    <w:p w14:paraId="1E238E49" w14:textId="77777777" w:rsidR="005B4D3E" w:rsidRPr="00851774" w:rsidRDefault="005B4D3E" w:rsidP="005B4D3E">
      <w:pPr>
        <w:spacing w:before="120" w:line="276" w:lineRule="auto"/>
        <w:ind w:firstLine="708"/>
        <w:jc w:val="both"/>
        <w:rPr>
          <w:rFonts w:ascii="Century Gothic" w:eastAsia="Calibri" w:hAnsi="Century Gothic" w:cs="Arial"/>
          <w:lang w:val="es-ES_tradnl"/>
        </w:rPr>
      </w:pPr>
      <w:r w:rsidRPr="00851774">
        <w:rPr>
          <w:rFonts w:ascii="Century Gothic" w:eastAsia="Arial" w:hAnsi="Century Gothic" w:cs="Arial"/>
        </w:rPr>
        <w:t>De acuerdo con lo anterior, en lo que respecta a la modalidad de selección de mínima cuantía, debe precisarse que esta es una modalidad de selección en virtud de la cual la Entidad Estatal realiza una convocatoria pública para recibir ofertas de bienes, obras o servicios cuyo valor no excede el diez por ciento (10%) de la menor cuantía.</w:t>
      </w:r>
      <w:r w:rsidRPr="00851774">
        <w:t xml:space="preserve"> </w:t>
      </w:r>
      <w:r w:rsidRPr="00851774">
        <w:rPr>
          <w:rFonts w:ascii="Century Gothic" w:eastAsia="Calibri" w:hAnsi="Century Gothic" w:cs="Arial"/>
          <w:lang w:val="es-ES_tradnl"/>
        </w:rPr>
        <w:t xml:space="preserve">En ese contexto, podría afirmarse entonces, </w:t>
      </w:r>
      <w:proofErr w:type="gramStart"/>
      <w:r w:rsidRPr="00851774">
        <w:rPr>
          <w:rFonts w:ascii="Century Gothic" w:eastAsia="Calibri" w:hAnsi="Century Gothic" w:cs="Arial"/>
          <w:lang w:val="es-ES_tradnl"/>
        </w:rPr>
        <w:t>que</w:t>
      </w:r>
      <w:proofErr w:type="gramEnd"/>
      <w:r w:rsidRPr="00851774">
        <w:rPr>
          <w:rFonts w:ascii="Century Gothic" w:eastAsia="Calibri" w:hAnsi="Century Gothic" w:cs="Arial"/>
          <w:lang w:val="es-ES_tradnl"/>
        </w:rPr>
        <w:t xml:space="preserve"> sin importar el objeto del contrato, la Entidad Estatal deberá adelantar el procedimiento de selección del contratista a través de la modalidad de mínima cuantía, siempre que, en el caso concreto, el valor del contrato, como se indicó, no exceda el diez por ciento (10%) de la menor cuantía de la entidad.</w:t>
      </w:r>
      <w:r w:rsidRPr="00851774">
        <w:t xml:space="preserve"> </w:t>
      </w:r>
      <w:r w:rsidRPr="00851774">
        <w:rPr>
          <w:rFonts w:ascii="Century Gothic" w:eastAsia="Calibri" w:hAnsi="Century Gothic" w:cs="Arial"/>
          <w:lang w:val="es-ES_tradnl"/>
        </w:rPr>
        <w:t>Sin embargo, es pertinente aclarar, que existen entidades públicas a las que, dependiendo de la cuantía del proceso de contratación, no les resulta aplicable el EGCAP, ni mucho menos las precitadas reglas del artículo 2 de la Ley 1150 de 2007, sino, las dispuestas en el derecho privado. Por ejemplo, las contrataciones que realizan las Instituciones Educativas mediante los Fondos de Servicios Educativos.</w:t>
      </w:r>
    </w:p>
    <w:p w14:paraId="55165A5D" w14:textId="77777777" w:rsidR="005B4D3E" w:rsidRPr="00851774" w:rsidRDefault="005B4D3E" w:rsidP="005B4D3E">
      <w:pPr>
        <w:spacing w:before="120" w:after="0" w:line="276" w:lineRule="auto"/>
        <w:jc w:val="both"/>
        <w:rPr>
          <w:rFonts w:ascii="Century Gothic" w:eastAsia="Arial" w:hAnsi="Century Gothic" w:cs="Arial"/>
        </w:rPr>
      </w:pPr>
      <w:r w:rsidRPr="00851774">
        <w:rPr>
          <w:rFonts w:ascii="Century Gothic" w:eastAsia="Arial" w:hAnsi="Century Gothic" w:cs="Arial"/>
        </w:rPr>
        <w:tab/>
        <w:t>Finalmente, serán las Entidades Estatales que pretendan adelantar un proceso de contratación, las facultadas para dilucidar, de acuerdo con la normativa vigente y el régimen de contratación que les resulte aplicable, la forma en la que deberán adelantar dichos procedimientos.</w:t>
      </w:r>
    </w:p>
    <w:p w14:paraId="55958570" w14:textId="77777777" w:rsidR="005B4D3E" w:rsidRPr="00851774" w:rsidRDefault="005B4D3E" w:rsidP="005B4D3E">
      <w:pPr>
        <w:spacing w:after="0" w:line="240" w:lineRule="auto"/>
        <w:ind w:left="709" w:right="709"/>
        <w:jc w:val="both"/>
        <w:textAlignment w:val="baseline"/>
        <w:rPr>
          <w:rFonts w:ascii="Century Gothic" w:hAnsi="Century Gothic" w:cs="Arial"/>
          <w:sz w:val="21"/>
          <w:szCs w:val="21"/>
          <w:shd w:val="clear" w:color="auto" w:fill="FFFFFF"/>
        </w:rPr>
      </w:pPr>
    </w:p>
    <w:p w14:paraId="642D09DA" w14:textId="77777777" w:rsidR="005B4D3E" w:rsidRPr="00FE6FD8" w:rsidRDefault="005B4D3E" w:rsidP="005B4D3E">
      <w:pPr>
        <w:spacing w:after="0" w:line="240" w:lineRule="auto"/>
        <w:ind w:left="709" w:right="709"/>
        <w:jc w:val="both"/>
        <w:textAlignment w:val="baseline"/>
        <w:rPr>
          <w:rFonts w:ascii="Century Gothic" w:hAnsi="Century Gothic" w:cs="Arial"/>
          <w:sz w:val="20"/>
          <w:szCs w:val="20"/>
          <w:shd w:val="clear" w:color="auto" w:fill="FFFFFF"/>
        </w:rPr>
      </w:pPr>
      <w:r w:rsidRPr="00FE6FD8">
        <w:rPr>
          <w:rFonts w:ascii="Century Gothic" w:hAnsi="Century Gothic" w:cs="Arial"/>
          <w:sz w:val="20"/>
          <w:szCs w:val="20"/>
          <w:shd w:val="clear" w:color="auto" w:fill="FFFFFF"/>
        </w:rPr>
        <w:t xml:space="preserve">“3. ¿Un contratista de prestación de servicios, puede tener un sueldo más alto que un </w:t>
      </w:r>
      <w:proofErr w:type="gramStart"/>
      <w:r w:rsidRPr="00FE6FD8">
        <w:rPr>
          <w:rFonts w:ascii="Century Gothic" w:hAnsi="Century Gothic" w:cs="Arial"/>
          <w:sz w:val="20"/>
          <w:szCs w:val="20"/>
          <w:shd w:val="clear" w:color="auto" w:fill="FFFFFF"/>
        </w:rPr>
        <w:t>Alcalde</w:t>
      </w:r>
      <w:proofErr w:type="gramEnd"/>
      <w:r w:rsidRPr="00FE6FD8">
        <w:rPr>
          <w:rFonts w:ascii="Century Gothic" w:hAnsi="Century Gothic" w:cs="Arial"/>
          <w:sz w:val="20"/>
          <w:szCs w:val="20"/>
          <w:shd w:val="clear" w:color="auto" w:fill="FFFFFF"/>
        </w:rPr>
        <w:t xml:space="preserve"> de un municipio de quinta (05) y/o sexta (06) categoría?</w:t>
      </w:r>
    </w:p>
    <w:p w14:paraId="2EDFED2D" w14:textId="77777777" w:rsidR="005B4D3E" w:rsidRPr="00FE6FD8" w:rsidRDefault="005B4D3E" w:rsidP="005B4D3E">
      <w:pPr>
        <w:spacing w:after="0" w:line="240" w:lineRule="auto"/>
        <w:ind w:left="709" w:right="709"/>
        <w:jc w:val="both"/>
        <w:textAlignment w:val="baseline"/>
        <w:rPr>
          <w:rFonts w:ascii="Century Gothic" w:hAnsi="Century Gothic" w:cs="Arial"/>
          <w:sz w:val="20"/>
          <w:szCs w:val="20"/>
          <w:shd w:val="clear" w:color="auto" w:fill="FFFFFF"/>
        </w:rPr>
      </w:pPr>
      <w:r w:rsidRPr="00FE6FD8">
        <w:rPr>
          <w:rFonts w:ascii="Century Gothic" w:hAnsi="Century Gothic" w:cs="Arial"/>
          <w:sz w:val="20"/>
          <w:szCs w:val="20"/>
          <w:shd w:val="clear" w:color="auto" w:fill="FFFFFF"/>
        </w:rPr>
        <w:t>[…]</w:t>
      </w:r>
    </w:p>
    <w:p w14:paraId="5F9AB049" w14:textId="77777777" w:rsidR="005B4D3E" w:rsidRPr="00FE6FD8" w:rsidRDefault="005B4D3E" w:rsidP="005B4D3E">
      <w:pPr>
        <w:spacing w:after="0" w:line="240" w:lineRule="auto"/>
        <w:ind w:left="709" w:right="709"/>
        <w:jc w:val="both"/>
        <w:textAlignment w:val="baseline"/>
        <w:rPr>
          <w:rFonts w:ascii="Century Gothic" w:hAnsi="Century Gothic" w:cs="Arial"/>
          <w:sz w:val="20"/>
          <w:szCs w:val="20"/>
          <w:shd w:val="clear" w:color="auto" w:fill="FFFFFF"/>
        </w:rPr>
      </w:pPr>
      <w:r w:rsidRPr="00FE6FD8">
        <w:rPr>
          <w:rFonts w:ascii="Century Gothic" w:hAnsi="Century Gothic" w:cs="Arial"/>
          <w:sz w:val="20"/>
          <w:szCs w:val="20"/>
          <w:shd w:val="clear" w:color="auto" w:fill="FFFFFF"/>
        </w:rPr>
        <w:t>5. A la hora de contratar el PLAN DE DESARROLLO de un Municipio, ¿se puede realizar bajo la modalidad de contratación directa a través de un contrato de prestación de servicios profesionales?” [sic]</w:t>
      </w:r>
    </w:p>
    <w:p w14:paraId="4C69D1A9" w14:textId="77777777" w:rsidR="005B4D3E" w:rsidRPr="00851774" w:rsidRDefault="005B4D3E" w:rsidP="005B4D3E">
      <w:pPr>
        <w:spacing w:after="0" w:line="240" w:lineRule="auto"/>
        <w:ind w:left="709" w:right="709"/>
        <w:jc w:val="both"/>
        <w:textAlignment w:val="baseline"/>
        <w:rPr>
          <w:rFonts w:ascii="Century Gothic" w:hAnsi="Century Gothic" w:cs="Arial"/>
          <w:sz w:val="21"/>
          <w:szCs w:val="21"/>
          <w:shd w:val="clear" w:color="auto" w:fill="FFFFFF"/>
        </w:rPr>
      </w:pPr>
    </w:p>
    <w:p w14:paraId="129D24E0" w14:textId="77777777" w:rsidR="005B4D3E" w:rsidRPr="00851774" w:rsidRDefault="005B4D3E" w:rsidP="005B4D3E">
      <w:pPr>
        <w:spacing w:after="0" w:line="276" w:lineRule="auto"/>
        <w:jc w:val="both"/>
        <w:rPr>
          <w:rFonts w:ascii="Century Gothic" w:eastAsia="Calibri" w:hAnsi="Century Gothic" w:cs="Arial"/>
          <w:lang w:val="es-ES_tradnl"/>
        </w:rPr>
      </w:pPr>
      <w:r w:rsidRPr="00851774">
        <w:rPr>
          <w:rFonts w:ascii="Century Gothic" w:eastAsia="Calibri" w:hAnsi="Century Gothic" w:cs="Arial"/>
          <w:lang w:val="es-ES_tradnl"/>
        </w:rPr>
        <w:tab/>
        <w:t>Teniendo en cuenta lo expuesto en el considerando 2.3, se itera, que no existe en el Sistema de Compra y Contratación Pública una disposición que establezca la forma en la que deberían fijarse los honorarios de los contratistas de prestación de servicios profesionales, de apoyo a la gestión y de trabajos artísticos, pues en virtud del principio de autonomía de la voluntad, las partes pueden determinar el contenido de los contratos estales e incluir las condiciones, cláusulas o estipulaciones que consideren necesarias para desarrollar el objeto contractual, siempre que no sean contrarias a la Constitución Política, la ley y el orden público.</w:t>
      </w:r>
    </w:p>
    <w:p w14:paraId="319C6F1B" w14:textId="77777777" w:rsidR="005B4D3E" w:rsidRPr="00851774" w:rsidRDefault="005B4D3E" w:rsidP="005B4D3E">
      <w:pPr>
        <w:spacing w:before="120" w:after="0" w:line="276" w:lineRule="auto"/>
        <w:ind w:firstLine="709"/>
        <w:jc w:val="both"/>
        <w:rPr>
          <w:rFonts w:ascii="Century Gothic" w:eastAsia="Calibri" w:hAnsi="Century Gothic" w:cs="Arial"/>
          <w:lang w:val="es-ES_tradnl"/>
        </w:rPr>
      </w:pPr>
      <w:r w:rsidRPr="00851774">
        <w:rPr>
          <w:rFonts w:ascii="Century Gothic" w:eastAsia="Calibri" w:hAnsi="Century Gothic" w:cs="Arial"/>
          <w:lang w:val="es-ES_tradnl"/>
        </w:rPr>
        <w:t>En consecuencia, las Entidades Estatales durante la etapa de planeación, tienen el deber de realizar el análisis del sector y justificar la modalidad de contratación en los documentos del proceso, que para el caso de los procesos que impliquen una contratación directa y en los contratos de prestación de servicios profesionales, de apoyo a la gestión y de trabajos artísticos se constata en los estudios y documentos previos, los cuales deben indicar, entre otras, las condiciones mínimas exigidas para suplir la necesidad de la entidad, así como los requisitos que debe acreditar el futuro contratista para el cumplimiento del objeto contractual.</w:t>
      </w:r>
    </w:p>
    <w:p w14:paraId="595F2E75" w14:textId="77777777" w:rsidR="005B4D3E" w:rsidRPr="00851774" w:rsidRDefault="005B4D3E" w:rsidP="005B4D3E">
      <w:pPr>
        <w:spacing w:before="120" w:after="0" w:line="276" w:lineRule="auto"/>
        <w:ind w:firstLine="709"/>
        <w:jc w:val="both"/>
        <w:rPr>
          <w:rFonts w:ascii="Century Gothic" w:eastAsia="Calibri" w:hAnsi="Century Gothic" w:cs="Arial"/>
          <w:lang w:val="es-ES_tradnl"/>
        </w:rPr>
      </w:pPr>
      <w:r w:rsidRPr="00851774">
        <w:rPr>
          <w:rFonts w:ascii="Century Gothic" w:eastAsia="Calibri" w:hAnsi="Century Gothic" w:cs="Arial"/>
          <w:lang w:val="es-ES_tradnl"/>
        </w:rPr>
        <w:t>Por otro lado, resulta a bien precisar que, pese a que el contrato de consultoría y el de prestación de servicios se asemejan en lo intelectual y profesional, el primero no puede tener como objeto contractual, actividades del segundo. Esto por cuanto, como lo indicó el Consejo de Estado en la antes referida sentencia de unificación jurisprudencial, si bien existe un componente intelectual y profesional, tanto en los contratos de prestación de servicios profesionales y en los contratos de consultoría, el objeto contractual de este último es especial y debe celebrarse, por regla general, mediante la modalidad de selección de concurso de méritos. Así pues, debe aclararse, que no es factible suscribir un contrato de prestación de servicios profesionales para ejecutar actividades que se enmarcan en los contratos tipificados en el artículo 32 de la Ley 80 de 1993, como, por ejemplo, las consultorías.</w:t>
      </w:r>
    </w:p>
    <w:p w14:paraId="33861B91" w14:textId="77777777" w:rsidR="005B4D3E" w:rsidRPr="00851774" w:rsidRDefault="005B4D3E" w:rsidP="005B4D3E">
      <w:pPr>
        <w:spacing w:before="120" w:after="0" w:line="276" w:lineRule="auto"/>
        <w:ind w:firstLine="709"/>
        <w:jc w:val="both"/>
        <w:rPr>
          <w:rFonts w:ascii="Century Gothic" w:eastAsia="Calibri" w:hAnsi="Century Gothic" w:cs="Arial"/>
          <w:lang w:val="es-ES_tradnl"/>
        </w:rPr>
      </w:pPr>
      <w:r w:rsidRPr="00851774">
        <w:rPr>
          <w:rFonts w:ascii="Century Gothic" w:eastAsia="Calibri" w:hAnsi="Century Gothic" w:cs="Arial"/>
          <w:lang w:val="es-ES_tradnl"/>
        </w:rPr>
        <w:lastRenderedPageBreak/>
        <w:t>Bajo este entendimiento, la característica fundamental para identificar los contratos de consultoría es el carácter ampliamente técnico de su contenido, que se diferencia de otros tipos contractuales, como el de prestación de servicios –apoyo a la gestión, servicios profesionales o de ejecución de trabajos artísticos–.</w:t>
      </w:r>
      <w:r w:rsidRPr="00851774">
        <w:t xml:space="preserve"> </w:t>
      </w:r>
      <w:r w:rsidRPr="00851774">
        <w:rPr>
          <w:rFonts w:ascii="Century Gothic" w:eastAsia="Calibri" w:hAnsi="Century Gothic" w:cs="Arial"/>
          <w:lang w:val="es-ES_tradnl"/>
        </w:rPr>
        <w:t>A diferencia del contrato de consultoría, el de prestación de servicios supone tal y como se indicó en el numeral anterior, el desarrollo de actividades de colaboración y apoyo a la gestión de la entidad dirigidas al cumplimiento de las funciones asignadas a esta, de carácter temporal, excepcional u ocasional, siempre que no haya suficiente personal de planta o que, existiendo, está sobrecargado de trabajo, o que sean actividades que requieran conocimientos especializados, según lo prescrito en el numeral 3 del artículo 32 de la Ley 80 de 1993.</w:t>
      </w:r>
    </w:p>
    <w:p w14:paraId="3ADC5415" w14:textId="77777777" w:rsidR="005B4D3E" w:rsidRPr="00851774" w:rsidRDefault="005B4D3E" w:rsidP="005B4D3E">
      <w:pPr>
        <w:spacing w:before="120" w:after="0" w:line="276" w:lineRule="auto"/>
        <w:ind w:firstLine="709"/>
        <w:jc w:val="both"/>
        <w:rPr>
          <w:rFonts w:ascii="Century Gothic" w:eastAsia="Calibri" w:hAnsi="Century Gothic" w:cs="Arial"/>
          <w:i/>
          <w:iCs/>
          <w:lang w:val="es-ES_tradnl"/>
        </w:rPr>
      </w:pPr>
      <w:r w:rsidRPr="00851774">
        <w:rPr>
          <w:rFonts w:ascii="Century Gothic" w:eastAsia="Calibri" w:hAnsi="Century Gothic" w:cs="Arial"/>
          <w:lang w:val="es-ES_tradnl"/>
        </w:rPr>
        <w:t xml:space="preserve">De esta manera, las entidades deberán identificar si las actividades que pretendan contratar por prestación de servicios, se enmarcan o no en las reglas dispuestas en el numeral 3 del artículo 32 de la Ley 80 de 1993 o, si en cambio, son propias de un contrato de consultoría según lo señalado en numeral 2 </w:t>
      </w:r>
      <w:r w:rsidRPr="00851774">
        <w:rPr>
          <w:rFonts w:ascii="Century Gothic" w:eastAsia="Calibri" w:hAnsi="Century Gothic" w:cs="Arial"/>
          <w:i/>
          <w:iCs/>
          <w:lang w:val="es-ES_tradnl"/>
        </w:rPr>
        <w:t>ibidem.</w:t>
      </w:r>
    </w:p>
    <w:p w14:paraId="31926B44" w14:textId="77777777" w:rsidR="005B4D3E" w:rsidRPr="00851774" w:rsidRDefault="005B4D3E" w:rsidP="005B4D3E">
      <w:pPr>
        <w:spacing w:after="0" w:line="240" w:lineRule="auto"/>
        <w:ind w:left="709" w:right="709"/>
        <w:jc w:val="both"/>
        <w:textAlignment w:val="baseline"/>
        <w:rPr>
          <w:rFonts w:ascii="Century Gothic" w:hAnsi="Century Gothic" w:cs="Arial"/>
          <w:sz w:val="21"/>
          <w:szCs w:val="21"/>
          <w:shd w:val="clear" w:color="auto" w:fill="FFFFFF"/>
        </w:rPr>
      </w:pPr>
    </w:p>
    <w:p w14:paraId="5929EE09" w14:textId="77777777" w:rsidR="005B4D3E" w:rsidRPr="00FE6FD8" w:rsidRDefault="005B4D3E" w:rsidP="005B4D3E">
      <w:pPr>
        <w:spacing w:after="0" w:line="240" w:lineRule="auto"/>
        <w:ind w:left="709" w:right="709"/>
        <w:jc w:val="both"/>
        <w:textAlignment w:val="baseline"/>
        <w:rPr>
          <w:rFonts w:ascii="Century Gothic" w:hAnsi="Century Gothic" w:cs="Arial"/>
          <w:sz w:val="20"/>
          <w:szCs w:val="20"/>
          <w:shd w:val="clear" w:color="auto" w:fill="FFFFFF"/>
        </w:rPr>
      </w:pPr>
      <w:r w:rsidRPr="00FE6FD8">
        <w:rPr>
          <w:rFonts w:ascii="Century Gothic" w:hAnsi="Century Gothic" w:cs="Arial"/>
          <w:sz w:val="20"/>
          <w:szCs w:val="20"/>
          <w:shd w:val="clear" w:color="auto" w:fill="FFFFFF"/>
        </w:rPr>
        <w:t>“4. En materia de cobro coactivo ¿le puedo entregar a un particular que realice el cobro coactivo y sustancie actos para que firme el tesorero, para darle a cambio el 16% a título de prima de éxito gracias a su gestión?” [sic]</w:t>
      </w:r>
    </w:p>
    <w:p w14:paraId="389DC369" w14:textId="77777777" w:rsidR="005B4D3E" w:rsidRPr="00851774" w:rsidRDefault="005B4D3E" w:rsidP="005B4D3E">
      <w:pPr>
        <w:spacing w:after="0" w:line="276" w:lineRule="auto"/>
        <w:jc w:val="both"/>
        <w:rPr>
          <w:rFonts w:ascii="Century Gothic" w:eastAsia="Calibri" w:hAnsi="Century Gothic" w:cs="Arial"/>
          <w:lang w:val="es-ES_tradnl"/>
        </w:rPr>
      </w:pPr>
    </w:p>
    <w:p w14:paraId="175E5B74" w14:textId="77777777" w:rsidR="005B4D3E" w:rsidRPr="00851774" w:rsidRDefault="005B4D3E" w:rsidP="005B4D3E">
      <w:pPr>
        <w:spacing w:after="0" w:line="276" w:lineRule="auto"/>
        <w:jc w:val="both"/>
        <w:rPr>
          <w:rFonts w:ascii="Century Gothic" w:eastAsia="Calibri" w:hAnsi="Century Gothic" w:cs="Arial"/>
          <w:lang w:val="es-ES_tradnl"/>
        </w:rPr>
      </w:pPr>
      <w:r w:rsidRPr="00851774">
        <w:rPr>
          <w:rFonts w:ascii="Century Gothic" w:eastAsia="Calibri" w:hAnsi="Century Gothic" w:cs="Arial"/>
          <w:lang w:val="es-ES_tradnl"/>
        </w:rPr>
        <w:tab/>
        <w:t xml:space="preserve">La Agencia Nacional de Contratación Pública – Colombia Compra Eficiente, solo tiene competencia para responder solicitudes sobre la aplicación de normas de carácter general en materia de compras y contratación pública. Por ello, debe abstenerse de emitir pronunciamientos, cuyo propósito sea el resolver situaciones que no se refieran al alcance interpretativo de las disposiciones que rigen la contratación estatal. En ese contexto, es pertinente indicar que Colombia Compra Eficiente,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 </w:t>
      </w:r>
    </w:p>
    <w:p w14:paraId="19E72F7C" w14:textId="77777777" w:rsidR="005B4D3E" w:rsidRPr="00851774" w:rsidRDefault="005B4D3E" w:rsidP="005B4D3E">
      <w:pPr>
        <w:spacing w:before="120" w:after="0" w:line="276" w:lineRule="auto"/>
        <w:ind w:firstLine="709"/>
        <w:jc w:val="both"/>
        <w:rPr>
          <w:rFonts w:ascii="Century Gothic" w:eastAsia="Calibri" w:hAnsi="Century Gothic" w:cs="Arial"/>
          <w:lang w:val="es-ES_tradnl"/>
        </w:rPr>
      </w:pPr>
      <w:r w:rsidRPr="00851774">
        <w:rPr>
          <w:rFonts w:ascii="Century Gothic" w:eastAsia="Calibri" w:hAnsi="Century Gothic" w:cs="Arial"/>
          <w:lang w:val="es-ES_tradnl"/>
        </w:rPr>
        <w:t>Por ende, ser</w:t>
      </w:r>
      <w:r w:rsidRPr="00851774">
        <w:rPr>
          <w:rFonts w:ascii="Century Gothic" w:eastAsia="Calibri" w:hAnsi="Century Gothic" w:cs="Century Gothic"/>
          <w:lang w:val="es-ES_tradnl"/>
        </w:rPr>
        <w:t>á</w:t>
      </w:r>
      <w:r w:rsidRPr="00851774">
        <w:rPr>
          <w:rFonts w:ascii="Century Gothic" w:eastAsia="Calibri" w:hAnsi="Century Gothic" w:cs="Arial"/>
          <w:lang w:val="es-ES_tradnl"/>
        </w:rPr>
        <w:t>n las entidades p</w:t>
      </w:r>
      <w:r w:rsidRPr="00851774">
        <w:rPr>
          <w:rFonts w:ascii="Century Gothic" w:eastAsia="Calibri" w:hAnsi="Century Gothic" w:cs="Century Gothic"/>
          <w:lang w:val="es-ES_tradnl"/>
        </w:rPr>
        <w:t>ú</w:t>
      </w:r>
      <w:r w:rsidRPr="00851774">
        <w:rPr>
          <w:rFonts w:ascii="Century Gothic" w:eastAsia="Calibri" w:hAnsi="Century Gothic" w:cs="Arial"/>
          <w:lang w:val="es-ES_tradnl"/>
        </w:rPr>
        <w:t>blicas, de conformidad con disposiciones jurídicas que les sean aplicables, las competentes para determinar en cada caso particular y concreto, la forma en la que deberán adelantar los trámites y actividades relacionadas con el cobro coactivo de las obligaciones que tengan a su favor.</w:t>
      </w:r>
    </w:p>
    <w:p w14:paraId="55156051" w14:textId="77777777" w:rsidR="005B4D3E" w:rsidRPr="00851774" w:rsidRDefault="005B4D3E" w:rsidP="005B4D3E">
      <w:pPr>
        <w:spacing w:after="0" w:line="276" w:lineRule="auto"/>
        <w:jc w:val="both"/>
        <w:rPr>
          <w:rFonts w:ascii="Century Gothic" w:eastAsia="Calibri" w:hAnsi="Century Gothic" w:cs="Arial"/>
          <w:lang w:val="es-ES_tradnl"/>
        </w:rPr>
      </w:pPr>
    </w:p>
    <w:p w14:paraId="301CED13" w14:textId="77777777" w:rsidR="005B4D3E" w:rsidRPr="00FE6FD8" w:rsidRDefault="005B4D3E" w:rsidP="005B4D3E">
      <w:pPr>
        <w:spacing w:after="0" w:line="240" w:lineRule="auto"/>
        <w:ind w:left="709" w:right="709"/>
        <w:jc w:val="both"/>
        <w:textAlignment w:val="baseline"/>
        <w:rPr>
          <w:rFonts w:ascii="Century Gothic" w:hAnsi="Century Gothic" w:cs="Arial"/>
          <w:sz w:val="20"/>
          <w:szCs w:val="20"/>
          <w:shd w:val="clear" w:color="auto" w:fill="FFFFFF"/>
        </w:rPr>
      </w:pPr>
      <w:r w:rsidRPr="00FE6FD8">
        <w:rPr>
          <w:rFonts w:ascii="Century Gothic" w:hAnsi="Century Gothic" w:cs="Arial"/>
          <w:sz w:val="20"/>
          <w:szCs w:val="20"/>
          <w:shd w:val="clear" w:color="auto" w:fill="FFFFFF"/>
        </w:rPr>
        <w:lastRenderedPageBreak/>
        <w:t>“6. Cuando se presenta una hoja de vida como requisito habilitante en un proceso de Licitación Pública, no cumple en el traslado de la valoración ¿se puede cambiar por otra hoja de vida que sí cumpla, sin que genere una causal de rechazo y sin que se genera una mejora de propuesta?” [sic]</w:t>
      </w:r>
    </w:p>
    <w:p w14:paraId="60BFD016" w14:textId="77777777" w:rsidR="005B4D3E" w:rsidRPr="00851774" w:rsidRDefault="005B4D3E" w:rsidP="005B4D3E">
      <w:pPr>
        <w:spacing w:after="0" w:line="276" w:lineRule="auto"/>
        <w:jc w:val="both"/>
        <w:rPr>
          <w:rFonts w:ascii="Century Gothic" w:eastAsia="Calibri" w:hAnsi="Century Gothic" w:cs="Arial"/>
          <w:lang w:val="es-ES_tradnl"/>
        </w:rPr>
      </w:pPr>
    </w:p>
    <w:p w14:paraId="399EC232" w14:textId="77777777" w:rsidR="005B4D3E" w:rsidRPr="00851774" w:rsidRDefault="005B4D3E" w:rsidP="005B4D3E">
      <w:pPr>
        <w:spacing w:after="0" w:line="276" w:lineRule="auto"/>
        <w:ind w:firstLine="708"/>
        <w:jc w:val="both"/>
        <w:rPr>
          <w:rFonts w:ascii="Century Gothic" w:eastAsia="Calibri" w:hAnsi="Century Gothic" w:cs="Arial"/>
          <w:lang w:val="es-ES_tradnl"/>
        </w:rPr>
      </w:pPr>
      <w:r w:rsidRPr="00851774">
        <w:rPr>
          <w:rFonts w:ascii="Century Gothic" w:eastAsia="Calibri" w:hAnsi="Century Gothic" w:cs="Arial"/>
          <w:lang w:val="es-ES_tradnl"/>
        </w:rPr>
        <w:t>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w:t>
      </w:r>
    </w:p>
    <w:p w14:paraId="1A8CC8B7" w14:textId="77777777" w:rsidR="005B4D3E" w:rsidRPr="00851774" w:rsidRDefault="005B4D3E" w:rsidP="005B4D3E">
      <w:pPr>
        <w:spacing w:before="120" w:after="0" w:line="276" w:lineRule="auto"/>
        <w:jc w:val="both"/>
        <w:rPr>
          <w:rFonts w:ascii="Century Gothic" w:eastAsia="Calibri" w:hAnsi="Century Gothic" w:cs="Arial"/>
          <w:lang w:val="es-ES_tradnl"/>
        </w:rPr>
      </w:pPr>
      <w:r w:rsidRPr="00851774">
        <w:rPr>
          <w:rFonts w:ascii="Century Gothic" w:eastAsia="Calibri" w:hAnsi="Century Gothic" w:cs="Arial"/>
          <w:lang w:val="es-ES_tradnl"/>
        </w:rPr>
        <w:tab/>
        <w:t>Así pues, una vez verificada la ausencia de requisitos y/o documentos de la oferta, para efectos de saber si se pueden subsanar, la entidad contratante debe preguntarse, en primer lugar, si lo que hace falta es un documento que afecte la asignación de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afecte la asignación de puntaje y la respuesta al segundo interrogante debe dar cuenta de que lo omitido sea la prueba de una circunstancia o hecho que ocurrió con anterioridad al cierre del proceso.</w:t>
      </w:r>
    </w:p>
    <w:p w14:paraId="25FCD213" w14:textId="77777777" w:rsidR="005B4D3E" w:rsidRPr="00851774" w:rsidRDefault="005B4D3E" w:rsidP="005B4D3E">
      <w:pPr>
        <w:spacing w:before="120" w:after="0" w:line="276" w:lineRule="auto"/>
        <w:ind w:firstLine="708"/>
        <w:jc w:val="both"/>
        <w:rPr>
          <w:rFonts w:ascii="Century Gothic" w:eastAsia="Calibri" w:hAnsi="Century Gothic" w:cs="Arial"/>
          <w:lang w:val="es-ES_tradnl"/>
        </w:rPr>
      </w:pPr>
      <w:r w:rsidRPr="00851774">
        <w:rPr>
          <w:rFonts w:ascii="Century Gothic" w:eastAsia="Calibri" w:hAnsi="Century Gothic" w:cs="Arial"/>
          <w:lang w:val="es-ES_tradnl"/>
        </w:rPr>
        <w:t>De acuerdo con lo expuesto en torno a la subsanabilidad de las ofertas y teniendo en cuenta las reglas dispuestas en la Ley 1882 de 2018, se itera que dicha norma mantiene el criterio de la Ley 80 de 1993, relativo a que todo lo que no sea necesario para la comparación de propuestas no es argumento suficiente para su rechazo; y se mantiene el criterio aclaratorio de la Ley 1150 de 2007, según el cual todo lo que no afecte la asignación de puntaje puede subsanarse. Por ello, si los requisitos no otorgan puntaje y tienen el carácter de habilitantes para la participación en el proceso de contratación, se entiende que, en principio, pueden subsanarse.</w:t>
      </w:r>
    </w:p>
    <w:p w14:paraId="6F13E237" w14:textId="77777777" w:rsidR="005B4D3E" w:rsidRPr="00851774" w:rsidRDefault="005B4D3E" w:rsidP="005B4D3E">
      <w:pPr>
        <w:spacing w:after="0" w:line="276" w:lineRule="auto"/>
        <w:jc w:val="both"/>
        <w:rPr>
          <w:rFonts w:ascii="Century Gothic" w:eastAsia="Arial" w:hAnsi="Century Gothic" w:cs="Arial"/>
        </w:rPr>
      </w:pPr>
    </w:p>
    <w:p w14:paraId="68DA4479" w14:textId="77777777" w:rsidR="005B4D3E" w:rsidRPr="00851774" w:rsidRDefault="005B4D3E" w:rsidP="005B4D3E">
      <w:pPr>
        <w:widowControl w:val="0"/>
        <w:autoSpaceDE w:val="0"/>
        <w:autoSpaceDN w:val="0"/>
        <w:spacing w:after="0" w:line="276" w:lineRule="auto"/>
        <w:jc w:val="both"/>
        <w:rPr>
          <w:rFonts w:ascii="Century Gothic" w:hAnsi="Century Gothic" w:cs="Arial"/>
          <w:lang w:val="es-ES_tradnl" w:bidi="es-ES"/>
        </w:rPr>
      </w:pPr>
      <w:r w:rsidRPr="00851774">
        <w:rPr>
          <w:rFonts w:ascii="Century Gothic" w:hAnsi="Century Gothic" w:cs="Arial"/>
          <w:lang w:val="es-ES_tradnl"/>
        </w:rPr>
        <w:t>Este concepto tiene el alcance previsto en el artículo 28 del Código de Procedimiento Administrativo y de lo Contencioso Administrativo.</w:t>
      </w:r>
    </w:p>
    <w:p w14:paraId="1881D6C3" w14:textId="77777777" w:rsidR="005B4D3E" w:rsidRPr="00851774" w:rsidRDefault="005B4D3E" w:rsidP="005B4D3E">
      <w:pPr>
        <w:widowControl w:val="0"/>
        <w:autoSpaceDE w:val="0"/>
        <w:autoSpaceDN w:val="0"/>
        <w:spacing w:after="0" w:line="276" w:lineRule="auto"/>
        <w:jc w:val="both"/>
        <w:rPr>
          <w:rFonts w:ascii="Century Gothic" w:hAnsi="Century Gothic" w:cs="Arial"/>
          <w:lang w:val="es-ES_tradnl" w:bidi="es-ES"/>
        </w:rPr>
      </w:pPr>
    </w:p>
    <w:p w14:paraId="4818B388" w14:textId="77777777" w:rsidR="005B4D3E" w:rsidRPr="00851774" w:rsidRDefault="005B4D3E" w:rsidP="005B4D3E">
      <w:pPr>
        <w:tabs>
          <w:tab w:val="left" w:pos="426"/>
        </w:tabs>
        <w:spacing w:line="276" w:lineRule="auto"/>
        <w:jc w:val="both"/>
        <w:rPr>
          <w:rFonts w:ascii="Century Gothic" w:eastAsia="Times New Roman" w:hAnsi="Century Gothic" w:cs="Arial"/>
        </w:rPr>
      </w:pPr>
      <w:r w:rsidRPr="00851774">
        <w:rPr>
          <w:rFonts w:ascii="Century Gothic" w:eastAsia="Times New Roman" w:hAnsi="Century Gothic" w:cs="Arial"/>
        </w:rPr>
        <w:lastRenderedPageBreak/>
        <w:t>Atentamente,</w:t>
      </w:r>
    </w:p>
    <w:p w14:paraId="76AC4730" w14:textId="4EB5DE6A" w:rsidR="005B4D3E" w:rsidRPr="00851774" w:rsidRDefault="007D6E6F" w:rsidP="005B4D3E">
      <w:pPr>
        <w:jc w:val="center"/>
        <w:rPr>
          <w:rFonts w:ascii="Century Gothic" w:eastAsia="Times New Roman" w:hAnsi="Century Gothic" w:cs="Arial"/>
          <w:lang w:eastAsia="es-CO"/>
        </w:rPr>
      </w:pPr>
      <w:r>
        <w:rPr>
          <w:rStyle w:val="wacimagecontainer"/>
          <w:rFonts w:ascii="Segoe UI" w:hAnsi="Segoe UI" w:cs="Segoe UI"/>
          <w:noProof/>
          <w:color w:val="000000"/>
          <w:sz w:val="18"/>
          <w:szCs w:val="18"/>
          <w:shd w:val="clear" w:color="auto" w:fill="FFFFFF"/>
        </w:rPr>
        <w:drawing>
          <wp:inline distT="0" distB="0" distL="0" distR="0" wp14:anchorId="08999ABE" wp14:editId="794AF599">
            <wp:extent cx="3156585" cy="1208405"/>
            <wp:effectExtent l="0" t="0" r="5715" b="0"/>
            <wp:docPr id="154132043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6585" cy="1208405"/>
                    </a:xfrm>
                    <a:prstGeom prst="rect">
                      <a:avLst/>
                    </a:prstGeom>
                    <a:noFill/>
                    <a:ln>
                      <a:noFill/>
                    </a:ln>
                  </pic:spPr>
                </pic:pic>
              </a:graphicData>
            </a:graphic>
          </wp:inline>
        </w:drawing>
      </w:r>
      <w:r>
        <w:rPr>
          <w:rFonts w:ascii="Calibri" w:hAnsi="Calibri" w:cs="Calibri"/>
          <w:color w:val="000000"/>
          <w:shd w:val="clear" w:color="auto" w:fill="FFFFFF"/>
        </w:rPr>
        <w:br/>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5B4D3E" w:rsidRPr="00851774" w14:paraId="5675437C" w14:textId="77777777" w:rsidTr="001B01B8">
        <w:trPr>
          <w:trHeight w:val="409"/>
        </w:trPr>
        <w:tc>
          <w:tcPr>
            <w:tcW w:w="817" w:type="dxa"/>
            <w:tcBorders>
              <w:top w:val="nil"/>
              <w:left w:val="nil"/>
              <w:bottom w:val="nil"/>
              <w:right w:val="nil"/>
            </w:tcBorders>
            <w:vAlign w:val="center"/>
            <w:hideMark/>
          </w:tcPr>
          <w:p w14:paraId="4A33F406" w14:textId="77777777" w:rsidR="005B4D3E" w:rsidRPr="00851774" w:rsidRDefault="005B4D3E" w:rsidP="001B01B8">
            <w:pPr>
              <w:spacing w:after="0" w:line="240" w:lineRule="auto"/>
              <w:jc w:val="both"/>
              <w:rPr>
                <w:rFonts w:ascii="Century Gothic" w:hAnsi="Century Gothic" w:cs="Arial"/>
                <w:sz w:val="16"/>
                <w:szCs w:val="16"/>
              </w:rPr>
            </w:pPr>
            <w:r w:rsidRPr="00851774">
              <w:rPr>
                <w:rFonts w:ascii="Century Gothic" w:hAnsi="Century Gothic"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4625601F" w14:textId="77777777" w:rsidR="005B4D3E" w:rsidRPr="00851774" w:rsidRDefault="005B4D3E" w:rsidP="001B01B8">
            <w:pPr>
              <w:spacing w:after="0" w:line="240" w:lineRule="auto"/>
              <w:jc w:val="both"/>
              <w:rPr>
                <w:rFonts w:ascii="Century Gothic" w:hAnsi="Century Gothic" w:cs="Arial"/>
                <w:sz w:val="16"/>
                <w:szCs w:val="16"/>
              </w:rPr>
            </w:pPr>
            <w:r w:rsidRPr="00851774">
              <w:rPr>
                <w:rFonts w:ascii="Century Gothic" w:hAnsi="Century Gothic" w:cs="Arial"/>
                <w:sz w:val="16"/>
                <w:szCs w:val="16"/>
              </w:rPr>
              <w:t>Nasly Yeana Mosquera Rivas</w:t>
            </w:r>
          </w:p>
          <w:p w14:paraId="22E56C37" w14:textId="77777777" w:rsidR="005B4D3E" w:rsidRPr="00851774" w:rsidRDefault="005B4D3E" w:rsidP="001B01B8">
            <w:pPr>
              <w:spacing w:after="0" w:line="240" w:lineRule="auto"/>
              <w:jc w:val="both"/>
              <w:rPr>
                <w:rFonts w:ascii="Century Gothic" w:hAnsi="Century Gothic" w:cs="Arial"/>
                <w:sz w:val="16"/>
                <w:szCs w:val="16"/>
              </w:rPr>
            </w:pPr>
            <w:r w:rsidRPr="00851774">
              <w:rPr>
                <w:rFonts w:ascii="Century Gothic" w:hAnsi="Century Gothic" w:cs="Arial"/>
                <w:sz w:val="16"/>
                <w:szCs w:val="16"/>
              </w:rPr>
              <w:t>Analista T2 – 06 de la Subdirección de Gestión Contractual</w:t>
            </w:r>
          </w:p>
        </w:tc>
      </w:tr>
      <w:tr w:rsidR="005B4D3E" w:rsidRPr="00851774" w14:paraId="5922B492" w14:textId="77777777" w:rsidTr="001B01B8">
        <w:trPr>
          <w:trHeight w:val="409"/>
        </w:trPr>
        <w:tc>
          <w:tcPr>
            <w:tcW w:w="817" w:type="dxa"/>
            <w:tcBorders>
              <w:top w:val="nil"/>
              <w:left w:val="nil"/>
              <w:right w:val="nil"/>
            </w:tcBorders>
            <w:vAlign w:val="center"/>
          </w:tcPr>
          <w:p w14:paraId="6BAACD27" w14:textId="77777777" w:rsidR="005B4D3E" w:rsidRPr="00851774" w:rsidRDefault="005B4D3E" w:rsidP="001B01B8">
            <w:pPr>
              <w:jc w:val="both"/>
              <w:rPr>
                <w:rFonts w:ascii="Century Gothic" w:hAnsi="Century Gothic" w:cs="Arial"/>
                <w:sz w:val="16"/>
                <w:szCs w:val="16"/>
              </w:rPr>
            </w:pPr>
            <w:r w:rsidRPr="00851774">
              <w:rPr>
                <w:rFonts w:ascii="Century Gothic" w:hAnsi="Century Gothic"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128D3A98" w14:textId="77777777" w:rsidR="005B4D3E" w:rsidRPr="00851774" w:rsidRDefault="005B4D3E" w:rsidP="001B01B8">
            <w:pPr>
              <w:spacing w:after="0" w:line="240" w:lineRule="auto"/>
              <w:jc w:val="both"/>
              <w:rPr>
                <w:rFonts w:ascii="Century Gothic" w:hAnsi="Century Gothic" w:cs="Arial"/>
                <w:sz w:val="16"/>
                <w:szCs w:val="16"/>
              </w:rPr>
            </w:pPr>
            <w:r w:rsidRPr="00851774">
              <w:rPr>
                <w:rFonts w:ascii="Century Gothic" w:hAnsi="Century Gothic" w:cs="Arial"/>
                <w:sz w:val="16"/>
                <w:szCs w:val="16"/>
              </w:rPr>
              <w:t xml:space="preserve">Alejandro Sarmiento Cantillo </w:t>
            </w:r>
          </w:p>
          <w:p w14:paraId="4F0DA293" w14:textId="77777777" w:rsidR="005B4D3E" w:rsidRPr="00851774" w:rsidRDefault="005B4D3E" w:rsidP="001B01B8">
            <w:pPr>
              <w:spacing w:after="0" w:line="240" w:lineRule="auto"/>
              <w:jc w:val="both"/>
              <w:rPr>
                <w:rFonts w:ascii="Century Gothic" w:hAnsi="Century Gothic" w:cs="Arial"/>
                <w:sz w:val="16"/>
                <w:szCs w:val="16"/>
              </w:rPr>
            </w:pPr>
            <w:r w:rsidRPr="00851774">
              <w:rPr>
                <w:rFonts w:ascii="Century Gothic" w:hAnsi="Century Gothic" w:cs="Arial"/>
                <w:sz w:val="16"/>
                <w:szCs w:val="16"/>
              </w:rPr>
              <w:t>Gestor T1 – 15 de la Subdirección de Gestión Contractual</w:t>
            </w:r>
          </w:p>
        </w:tc>
      </w:tr>
      <w:tr w:rsidR="005B4D3E" w:rsidRPr="00851774" w14:paraId="67DA3E79" w14:textId="77777777" w:rsidTr="001B01B8">
        <w:trPr>
          <w:trHeight w:val="389"/>
        </w:trPr>
        <w:tc>
          <w:tcPr>
            <w:tcW w:w="817" w:type="dxa"/>
            <w:tcBorders>
              <w:top w:val="nil"/>
              <w:left w:val="nil"/>
              <w:bottom w:val="nil"/>
              <w:right w:val="nil"/>
            </w:tcBorders>
            <w:vAlign w:val="center"/>
            <w:hideMark/>
          </w:tcPr>
          <w:p w14:paraId="237636B5" w14:textId="77777777" w:rsidR="005B4D3E" w:rsidRPr="00851774" w:rsidRDefault="005B4D3E" w:rsidP="001B01B8">
            <w:pPr>
              <w:spacing w:after="0" w:line="240" w:lineRule="auto"/>
              <w:jc w:val="both"/>
              <w:rPr>
                <w:rFonts w:ascii="Century Gothic" w:hAnsi="Century Gothic" w:cs="Arial"/>
                <w:sz w:val="16"/>
                <w:szCs w:val="16"/>
              </w:rPr>
            </w:pPr>
            <w:r w:rsidRPr="00851774">
              <w:rPr>
                <w:rFonts w:ascii="Century Gothic" w:hAnsi="Century Gothic"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091D864A" w14:textId="77777777" w:rsidR="005B4D3E" w:rsidRPr="00851774" w:rsidRDefault="005B4D3E" w:rsidP="001B01B8">
            <w:pPr>
              <w:spacing w:after="0" w:line="240" w:lineRule="auto"/>
              <w:jc w:val="both"/>
              <w:rPr>
                <w:rFonts w:ascii="Century Gothic" w:hAnsi="Century Gothic" w:cs="Arial"/>
                <w:sz w:val="16"/>
                <w:szCs w:val="16"/>
              </w:rPr>
            </w:pPr>
            <w:r w:rsidRPr="00851774">
              <w:rPr>
                <w:rFonts w:ascii="Century Gothic" w:hAnsi="Century Gothic" w:cs="Arial"/>
                <w:sz w:val="16"/>
                <w:szCs w:val="16"/>
              </w:rPr>
              <w:t xml:space="preserve">Nohelia del Carmen </w:t>
            </w:r>
            <w:proofErr w:type="spellStart"/>
            <w:r w:rsidRPr="00851774">
              <w:rPr>
                <w:rFonts w:ascii="Century Gothic" w:hAnsi="Century Gothic" w:cs="Arial"/>
                <w:sz w:val="16"/>
                <w:szCs w:val="16"/>
              </w:rPr>
              <w:t>Zawady</w:t>
            </w:r>
            <w:proofErr w:type="spellEnd"/>
            <w:r w:rsidRPr="00851774">
              <w:rPr>
                <w:rFonts w:ascii="Century Gothic" w:hAnsi="Century Gothic" w:cs="Arial"/>
                <w:sz w:val="16"/>
                <w:szCs w:val="16"/>
              </w:rPr>
              <w:t xml:space="preserve"> Palacio</w:t>
            </w:r>
          </w:p>
          <w:p w14:paraId="4CB571C4" w14:textId="77777777" w:rsidR="005B4D3E" w:rsidRPr="00851774" w:rsidRDefault="005B4D3E" w:rsidP="001B01B8">
            <w:pPr>
              <w:spacing w:after="0" w:line="240" w:lineRule="auto"/>
              <w:jc w:val="both"/>
              <w:rPr>
                <w:rFonts w:ascii="Century Gothic" w:hAnsi="Century Gothic" w:cs="Arial"/>
                <w:sz w:val="16"/>
                <w:szCs w:val="16"/>
              </w:rPr>
            </w:pPr>
            <w:r w:rsidRPr="00851774">
              <w:rPr>
                <w:rFonts w:ascii="Century Gothic" w:hAnsi="Century Gothic" w:cs="Arial"/>
                <w:sz w:val="16"/>
                <w:szCs w:val="16"/>
              </w:rPr>
              <w:t>Subdirectora de Gestión Contractual ANCP - CCE</w:t>
            </w:r>
          </w:p>
        </w:tc>
      </w:tr>
      <w:bookmarkEnd w:id="2"/>
    </w:tbl>
    <w:p w14:paraId="3A9B92BB" w14:textId="77777777" w:rsidR="005B4D3E" w:rsidRPr="00851774" w:rsidRDefault="005B4D3E" w:rsidP="005B4D3E"/>
    <w:p w14:paraId="7D58E38D" w14:textId="77777777" w:rsidR="005B4D3E" w:rsidRPr="00851774" w:rsidRDefault="005B4D3E" w:rsidP="005B4D3E"/>
    <w:p w14:paraId="51B39F44" w14:textId="77777777" w:rsidR="008E5C2E" w:rsidRDefault="008E5C2E"/>
    <w:sectPr w:rsidR="008E5C2E" w:rsidSect="005B4D3E">
      <w:headerReference w:type="default" r:id="rId12"/>
      <w:footerReference w:type="default" r:id="rId13"/>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9968D" w14:textId="77777777" w:rsidR="005B4D3E" w:rsidRDefault="005B4D3E" w:rsidP="005B4D3E">
      <w:pPr>
        <w:spacing w:after="0" w:line="240" w:lineRule="auto"/>
      </w:pPr>
      <w:r>
        <w:separator/>
      </w:r>
    </w:p>
  </w:endnote>
  <w:endnote w:type="continuationSeparator" w:id="0">
    <w:p w14:paraId="59DF310F" w14:textId="77777777" w:rsidR="005B4D3E" w:rsidRDefault="005B4D3E" w:rsidP="005B4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Geomanist Light">
    <w:panose1 w:val="00000000000000000000"/>
    <w:charset w:val="00"/>
    <w:family w:val="modern"/>
    <w:notTrueType/>
    <w:pitch w:val="variable"/>
    <w:sig w:usb0="A000002F" w:usb1="1000004A" w:usb2="00000000" w:usb3="00000000" w:csb0="00000193" w:csb1="00000000"/>
  </w:font>
  <w:font w:name="Yu Gothic UI Semibold">
    <w:panose1 w:val="020B07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0F2D" w14:textId="77777777" w:rsidR="005C0C7A" w:rsidRDefault="005C0C7A">
    <w:pPr>
      <w:pStyle w:val="Piedepgina"/>
    </w:pPr>
    <w:r>
      <w:rPr>
        <w:noProof/>
        <w:lang w:eastAsia="es-CO"/>
      </w:rPr>
      <w:drawing>
        <wp:inline distT="0" distB="0" distL="0" distR="0" wp14:anchorId="1C84CD55" wp14:editId="2DC5F4E5">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62336" behindDoc="0" locked="0" layoutInCell="1" allowOverlap="1" wp14:anchorId="1E50C5D1" wp14:editId="1BC1A77D">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4366A000"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DCE20A7" w14:textId="77777777" w:rsidR="005C0C7A" w:rsidRPr="003F3941" w:rsidRDefault="005C0C7A" w:rsidP="006219F8">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47C78D05" w14:textId="77777777" w:rsidR="005C0C7A" w:rsidRPr="003F3941" w:rsidRDefault="005C0C7A"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w:t>
          </w:r>
          <w:r>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4D79D74D" w14:textId="77777777" w:rsidR="005C0C7A" w:rsidRPr="003F3941" w:rsidRDefault="005C0C7A" w:rsidP="00FC2B5D">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22</w:t>
          </w:r>
          <w:r w:rsidRPr="003F3941">
            <w:rPr>
              <w:rFonts w:ascii="Century Gothic" w:hAnsi="Century Gothic"/>
              <w:sz w:val="16"/>
              <w:szCs w:val="16"/>
            </w:rPr>
            <w:t xml:space="preserve"> DE </w:t>
          </w:r>
          <w:r>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64580AF" w14:textId="77777777" w:rsidR="005C0C7A" w:rsidRPr="003F3941" w:rsidRDefault="005C0C7A"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Pr>
              <w:rFonts w:ascii="Century Gothic" w:hAnsi="Century Gothic"/>
              <w:b/>
              <w:bCs/>
              <w:noProof/>
              <w:sz w:val="16"/>
              <w:szCs w:val="16"/>
            </w:rPr>
            <w:t>2</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Pr>
              <w:rFonts w:ascii="Century Gothic" w:hAnsi="Century Gothic"/>
              <w:b/>
              <w:bCs/>
              <w:noProof/>
              <w:sz w:val="16"/>
              <w:szCs w:val="16"/>
            </w:rPr>
            <w:t>2</w:t>
          </w:r>
          <w:r w:rsidRPr="003F3941">
            <w:rPr>
              <w:rFonts w:ascii="Century Gothic" w:hAnsi="Century Gothic"/>
              <w:b/>
              <w:bCs/>
              <w:sz w:val="16"/>
              <w:szCs w:val="16"/>
            </w:rPr>
            <w:fldChar w:fldCharType="end"/>
          </w:r>
        </w:p>
      </w:tc>
    </w:tr>
  </w:tbl>
  <w:p w14:paraId="53150574" w14:textId="77777777" w:rsidR="005C0C7A" w:rsidRDefault="005C0C7A"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05DB1" w14:textId="77777777" w:rsidR="005B4D3E" w:rsidRDefault="005B4D3E" w:rsidP="005B4D3E">
      <w:pPr>
        <w:spacing w:after="0" w:line="240" w:lineRule="auto"/>
      </w:pPr>
      <w:r>
        <w:separator/>
      </w:r>
    </w:p>
  </w:footnote>
  <w:footnote w:type="continuationSeparator" w:id="0">
    <w:p w14:paraId="67C71650" w14:textId="77777777" w:rsidR="005B4D3E" w:rsidRDefault="005B4D3E" w:rsidP="005B4D3E">
      <w:pPr>
        <w:spacing w:after="0" w:line="240" w:lineRule="auto"/>
      </w:pPr>
      <w:r>
        <w:continuationSeparator/>
      </w:r>
    </w:p>
  </w:footnote>
  <w:footnote w:id="1">
    <w:p w14:paraId="24035B83" w14:textId="77777777" w:rsidR="005B4D3E" w:rsidRPr="00FE6FD8" w:rsidRDefault="005B4D3E" w:rsidP="005B4D3E">
      <w:pPr>
        <w:pStyle w:val="Textonotapie"/>
        <w:ind w:firstLine="708"/>
        <w:jc w:val="both"/>
        <w:rPr>
          <w:rFonts w:ascii="Century Gothic" w:hAnsi="Century Gothic" w:cs="Arial"/>
          <w:sz w:val="16"/>
          <w:szCs w:val="16"/>
          <w:lang w:val="es-ES"/>
        </w:rPr>
      </w:pPr>
      <w:r w:rsidRPr="00FE6FD8">
        <w:rPr>
          <w:rStyle w:val="Refdenotaalpie"/>
          <w:rFonts w:ascii="Century Gothic" w:hAnsi="Century Gothic" w:cs="Arial"/>
          <w:sz w:val="16"/>
          <w:szCs w:val="16"/>
        </w:rPr>
        <w:footnoteRef/>
      </w:r>
      <w:r w:rsidRPr="00FE6FD8">
        <w:rPr>
          <w:rFonts w:ascii="Century Gothic" w:hAnsi="Century Gothic" w:cs="Arial"/>
          <w:sz w:val="16"/>
          <w:szCs w:val="16"/>
        </w:rPr>
        <w:t xml:space="preserve"> La Agencia Nacional de Contratación Pública </w:t>
      </w:r>
      <w:r w:rsidRPr="00FE6FD8">
        <w:rPr>
          <w:rFonts w:ascii="Arial" w:hAnsi="Arial" w:cs="Arial"/>
          <w:sz w:val="16"/>
          <w:szCs w:val="16"/>
        </w:rPr>
        <w:t>‒</w:t>
      </w:r>
      <w:r w:rsidRPr="00FE6FD8">
        <w:rPr>
          <w:rFonts w:ascii="Century Gothic" w:hAnsi="Century Gothic" w:cs="Arial"/>
          <w:sz w:val="16"/>
          <w:szCs w:val="16"/>
        </w:rPr>
        <w:t xml:space="preserve"> Colombia Compra Eficiente fue creada por el Decreto Ley 4170 de 2011. Su objetivo es servir como ente rector de la pol</w:t>
      </w:r>
      <w:r w:rsidRPr="00FE6FD8">
        <w:rPr>
          <w:rFonts w:ascii="Century Gothic" w:hAnsi="Century Gothic" w:cs="Century Gothic"/>
          <w:sz w:val="16"/>
          <w:szCs w:val="16"/>
        </w:rPr>
        <w:t>í</w:t>
      </w:r>
      <w:r w:rsidRPr="00FE6FD8">
        <w:rPr>
          <w:rFonts w:ascii="Century Gothic" w:hAnsi="Century Gothic" w:cs="Arial"/>
          <w:sz w:val="16"/>
          <w:szCs w:val="16"/>
        </w:rPr>
        <w:t>tica de compras y contrataci</w:t>
      </w:r>
      <w:r w:rsidRPr="00FE6FD8">
        <w:rPr>
          <w:rFonts w:ascii="Century Gothic" w:hAnsi="Century Gothic" w:cs="Century Gothic"/>
          <w:sz w:val="16"/>
          <w:szCs w:val="16"/>
        </w:rPr>
        <w:t>ó</w:t>
      </w:r>
      <w:r w:rsidRPr="00FE6FD8">
        <w:rPr>
          <w:rFonts w:ascii="Century Gothic" w:hAnsi="Century Gothic" w:cs="Arial"/>
          <w:sz w:val="16"/>
          <w:szCs w:val="16"/>
        </w:rPr>
        <w:t xml:space="preserve">n del Estado. Para tales fines, como </w:t>
      </w:r>
      <w:r w:rsidRPr="00FE6FD8">
        <w:rPr>
          <w:rFonts w:ascii="Century Gothic" w:hAnsi="Century Gothic" w:cs="Century Gothic"/>
          <w:sz w:val="16"/>
          <w:szCs w:val="16"/>
        </w:rPr>
        <w:t>ó</w:t>
      </w:r>
      <w:r w:rsidRPr="00FE6FD8">
        <w:rPr>
          <w:rFonts w:ascii="Century Gothic" w:hAnsi="Century Gothic" w:cs="Arial"/>
          <w:sz w:val="16"/>
          <w:szCs w:val="16"/>
        </w:rPr>
        <w:t>rgano t</w:t>
      </w:r>
      <w:r w:rsidRPr="00FE6FD8">
        <w:rPr>
          <w:rFonts w:ascii="Century Gothic" w:hAnsi="Century Gothic" w:cs="Century Gothic"/>
          <w:sz w:val="16"/>
          <w:szCs w:val="16"/>
        </w:rPr>
        <w:t>é</w:t>
      </w:r>
      <w:r w:rsidRPr="00FE6FD8">
        <w:rPr>
          <w:rFonts w:ascii="Century Gothic" w:hAnsi="Century Gothic" w:cs="Arial"/>
          <w:sz w:val="16"/>
          <w:szCs w:val="16"/>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FE6FD8">
        <w:rPr>
          <w:rFonts w:ascii="Century Gothic" w:hAnsi="Century Gothic" w:cs="Arial"/>
          <w:i/>
          <w:iCs/>
          <w:sz w:val="16"/>
          <w:szCs w:val="16"/>
        </w:rPr>
        <w:t xml:space="preserve">ibidem </w:t>
      </w:r>
      <w:r w:rsidRPr="00FE6FD8">
        <w:rPr>
          <w:rFonts w:ascii="Century Gothic" w:hAnsi="Century Gothic" w:cs="Arial"/>
          <w:sz w:val="16"/>
          <w:szCs w:val="16"/>
        </w:rPr>
        <w:t>señala, de manera precisa, las funciones de Colombia Compra Eficiente. Concretamente, el numeral 5º de este artículo establece que le corresponde a esta entidad: “[a]</w:t>
      </w:r>
      <w:proofErr w:type="spellStart"/>
      <w:r w:rsidRPr="00FE6FD8">
        <w:rPr>
          <w:rFonts w:ascii="Century Gothic" w:hAnsi="Century Gothic" w:cs="Arial"/>
          <w:sz w:val="16"/>
          <w:szCs w:val="16"/>
        </w:rPr>
        <w:t>bsolver</w:t>
      </w:r>
      <w:proofErr w:type="spellEnd"/>
      <w:r w:rsidRPr="00FE6FD8">
        <w:rPr>
          <w:rFonts w:ascii="Century Gothic" w:hAnsi="Century Gothic" w:cs="Arial"/>
          <w:sz w:val="16"/>
          <w:szCs w:val="16"/>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FE6FD8">
        <w:rPr>
          <w:rFonts w:ascii="Century Gothic" w:hAnsi="Century Gothic" w:cs="Arial"/>
          <w:sz w:val="16"/>
          <w:szCs w:val="16"/>
        </w:rPr>
        <w:t>bsolver</w:t>
      </w:r>
      <w:proofErr w:type="spellEnd"/>
      <w:r w:rsidRPr="00FE6FD8">
        <w:rPr>
          <w:rFonts w:ascii="Century Gothic" w:hAnsi="Century Gothic" w:cs="Arial"/>
          <w:sz w:val="16"/>
          <w:szCs w:val="16"/>
        </w:rPr>
        <w:t xml:space="preserve"> consultas sobre la aplicación de normas de carácter general”.</w:t>
      </w:r>
    </w:p>
  </w:footnote>
  <w:footnote w:id="2">
    <w:p w14:paraId="2FDA69C3" w14:textId="77777777" w:rsidR="005B4D3E" w:rsidRPr="00FE6FD8" w:rsidRDefault="005B4D3E" w:rsidP="005B4D3E">
      <w:pPr>
        <w:pStyle w:val="Textonotapie"/>
        <w:ind w:firstLine="708"/>
        <w:jc w:val="both"/>
        <w:rPr>
          <w:rFonts w:ascii="Century Gothic" w:hAnsi="Century Gothic" w:cs="Arial"/>
          <w:sz w:val="16"/>
          <w:szCs w:val="16"/>
        </w:rPr>
      </w:pPr>
      <w:r w:rsidRPr="00FE6FD8">
        <w:rPr>
          <w:rStyle w:val="Refdenotaalpie"/>
          <w:rFonts w:ascii="Century Gothic" w:hAnsi="Century Gothic" w:cs="Arial"/>
          <w:sz w:val="16"/>
          <w:szCs w:val="16"/>
        </w:rPr>
        <w:footnoteRef/>
      </w:r>
      <w:r w:rsidRPr="00FE6FD8">
        <w:rPr>
          <w:rFonts w:ascii="Century Gothic" w:hAnsi="Century Gothic"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FE6FD8">
          <w:rPr>
            <w:rStyle w:val="Hipervnculo"/>
            <w:rFonts w:ascii="Century Gothic" w:hAnsi="Century Gothic" w:cs="Arial"/>
            <w:sz w:val="16"/>
            <w:szCs w:val="16"/>
          </w:rPr>
          <w:t>https://relatoria.colombiacompra.gov.co/busqueda/conceptos</w:t>
        </w:r>
      </w:hyperlink>
      <w:r w:rsidRPr="00FE6FD8">
        <w:rPr>
          <w:rStyle w:val="Hipervnculo"/>
          <w:rFonts w:ascii="Century Gothic" w:hAnsi="Century Gothic" w:cs="Arial"/>
          <w:sz w:val="16"/>
          <w:szCs w:val="16"/>
        </w:rPr>
        <w:t xml:space="preserve">. </w:t>
      </w:r>
      <w:r w:rsidRPr="00FE6FD8">
        <w:rPr>
          <w:rFonts w:ascii="Century Gothic" w:hAnsi="Century Gothic" w:cs="Arial"/>
          <w:sz w:val="16"/>
          <w:szCs w:val="16"/>
          <w:shd w:val="clear" w:color="auto" w:fill="E6E6E6"/>
        </w:rPr>
        <w:t xml:space="preserve"> </w:t>
      </w:r>
    </w:p>
  </w:footnote>
  <w:footnote w:id="3">
    <w:p w14:paraId="69182804" w14:textId="77777777" w:rsidR="005B4D3E" w:rsidRPr="00FE6FD8" w:rsidRDefault="005B4D3E" w:rsidP="005B4D3E">
      <w:pPr>
        <w:pStyle w:val="Textonotapie"/>
        <w:ind w:firstLine="708"/>
        <w:jc w:val="both"/>
        <w:rPr>
          <w:rFonts w:ascii="Century Gothic" w:hAnsi="Century Gothic" w:cs="Arial"/>
          <w:sz w:val="16"/>
          <w:szCs w:val="16"/>
        </w:rPr>
      </w:pPr>
    </w:p>
    <w:p w14:paraId="5EC41AE9" w14:textId="77777777" w:rsidR="005B4D3E" w:rsidRPr="00FE6FD8" w:rsidRDefault="005B4D3E" w:rsidP="005B4D3E">
      <w:pPr>
        <w:pStyle w:val="Textonotapie"/>
        <w:ind w:firstLine="708"/>
        <w:jc w:val="both"/>
        <w:rPr>
          <w:rFonts w:ascii="Century Gothic" w:hAnsi="Century Gothic" w:cs="Arial"/>
          <w:sz w:val="16"/>
          <w:szCs w:val="16"/>
        </w:rPr>
      </w:pPr>
      <w:r w:rsidRPr="00FE6FD8">
        <w:rPr>
          <w:rStyle w:val="Refdenotaalpie"/>
          <w:rFonts w:ascii="Century Gothic" w:hAnsi="Century Gothic" w:cs="Arial"/>
          <w:sz w:val="16"/>
          <w:szCs w:val="16"/>
        </w:rPr>
        <w:footnoteRef/>
      </w:r>
      <w:r w:rsidRPr="00FE6FD8">
        <w:rPr>
          <w:rFonts w:ascii="Century Gothic" w:hAnsi="Century Gothic" w:cs="Arial"/>
          <w:sz w:val="16"/>
          <w:szCs w:val="16"/>
        </w:rPr>
        <w:t xml:space="preserve"> Sobre esta norma, consultar los conceptos del 8 de octubre de 2019, con radicado No. 2201913000007532, y del 20 de diciembre de 2019, con radicado No. 4201913000008240.</w:t>
      </w:r>
    </w:p>
  </w:footnote>
  <w:footnote w:id="4">
    <w:p w14:paraId="24494758" w14:textId="77777777" w:rsidR="005B4D3E" w:rsidRPr="00FE6FD8" w:rsidRDefault="005B4D3E" w:rsidP="005B4D3E">
      <w:pPr>
        <w:pStyle w:val="Textonotapie"/>
        <w:ind w:firstLine="708"/>
        <w:jc w:val="both"/>
        <w:rPr>
          <w:rFonts w:ascii="Century Gothic" w:hAnsi="Century Gothic"/>
          <w:sz w:val="16"/>
          <w:szCs w:val="16"/>
        </w:rPr>
      </w:pPr>
    </w:p>
    <w:p w14:paraId="2A42C79F" w14:textId="77777777" w:rsidR="005B4D3E" w:rsidRPr="00FE6FD8" w:rsidRDefault="005B4D3E" w:rsidP="005B4D3E">
      <w:pPr>
        <w:pStyle w:val="Textonotapie"/>
        <w:ind w:firstLine="708"/>
        <w:jc w:val="both"/>
        <w:rPr>
          <w:rFonts w:ascii="Century Gothic" w:hAnsi="Century Gothic" w:cs="Arial"/>
          <w:sz w:val="16"/>
          <w:szCs w:val="16"/>
        </w:rPr>
      </w:pPr>
      <w:r w:rsidRPr="00FE6FD8">
        <w:rPr>
          <w:rStyle w:val="Refdenotaalpie"/>
          <w:rFonts w:ascii="Century Gothic" w:hAnsi="Century Gothic"/>
          <w:sz w:val="16"/>
          <w:szCs w:val="16"/>
        </w:rPr>
        <w:footnoteRef/>
      </w:r>
      <w:r w:rsidRPr="00FE6FD8">
        <w:rPr>
          <w:rFonts w:ascii="Century Gothic" w:hAnsi="Century Gothic"/>
          <w:sz w:val="16"/>
          <w:szCs w:val="16"/>
        </w:rPr>
        <w:t xml:space="preserve"> </w:t>
      </w:r>
      <w:r w:rsidRPr="00FE6FD8">
        <w:rPr>
          <w:rFonts w:ascii="Century Gothic" w:hAnsi="Century Gothic" w:cs="Arial"/>
          <w:sz w:val="16"/>
          <w:szCs w:val="16"/>
        </w:rPr>
        <w:t>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5EF0F1A1" w14:textId="77777777" w:rsidR="005B4D3E" w:rsidRPr="00FE6FD8" w:rsidRDefault="005B4D3E" w:rsidP="005B4D3E">
      <w:pPr>
        <w:pStyle w:val="Textonotapie"/>
        <w:ind w:firstLine="708"/>
        <w:jc w:val="both"/>
        <w:rPr>
          <w:rFonts w:ascii="Century Gothic" w:hAnsi="Century Gothic" w:cs="Arial"/>
          <w:sz w:val="16"/>
          <w:szCs w:val="16"/>
        </w:rPr>
      </w:pPr>
      <w:r w:rsidRPr="00FE6FD8">
        <w:rPr>
          <w:rFonts w:ascii="Century Gothic" w:hAnsi="Century Gothic" w:cs="Arial"/>
          <w:sz w:val="16"/>
          <w:szCs w:val="16"/>
        </w:rPr>
        <w:t xml:space="preserve">Los convenios de asociación a que se refiere el presente artículo </w:t>
      </w:r>
      <w:bookmarkStart w:id="6" w:name="_Hlk36023315"/>
      <w:r w:rsidRPr="00FE6FD8">
        <w:rPr>
          <w:rFonts w:ascii="Century Gothic" w:hAnsi="Century Gothic" w:cs="Arial"/>
          <w:sz w:val="16"/>
          <w:szCs w:val="16"/>
        </w:rPr>
        <w:t>se celebrarán de conformidad con lo dispuesto en el artículo 355 de la Constitución Política</w:t>
      </w:r>
      <w:bookmarkEnd w:id="6"/>
      <w:r w:rsidRPr="00FE6FD8">
        <w:rPr>
          <w:rFonts w:ascii="Century Gothic" w:hAnsi="Century Gothic" w:cs="Arial"/>
          <w:sz w:val="16"/>
          <w:szCs w:val="16"/>
        </w:rPr>
        <w:t>, en ellos se determinará con precisión su objeto, término, obligaciones de las partes, aportes, coordinación y todos aquellos aspectos que se consideren pertinentes”.</w:t>
      </w:r>
    </w:p>
  </w:footnote>
  <w:footnote w:id="5">
    <w:p w14:paraId="5C72A9A5" w14:textId="77777777" w:rsidR="005B4D3E" w:rsidRPr="00FE6FD8" w:rsidRDefault="005B4D3E" w:rsidP="005B4D3E">
      <w:pPr>
        <w:pStyle w:val="Textonotapie"/>
        <w:ind w:firstLine="708"/>
        <w:jc w:val="both"/>
        <w:rPr>
          <w:rFonts w:ascii="Century Gothic" w:hAnsi="Century Gothic" w:cs="Arial"/>
          <w:sz w:val="16"/>
          <w:szCs w:val="16"/>
        </w:rPr>
      </w:pPr>
    </w:p>
    <w:p w14:paraId="35E2F7F5" w14:textId="77777777" w:rsidR="005B4D3E" w:rsidRPr="00FE6FD8" w:rsidRDefault="005B4D3E" w:rsidP="005B4D3E">
      <w:pPr>
        <w:pStyle w:val="Textonotapie"/>
        <w:ind w:firstLine="708"/>
        <w:jc w:val="both"/>
        <w:rPr>
          <w:rFonts w:ascii="Century Gothic" w:hAnsi="Century Gothic" w:cs="Arial"/>
          <w:sz w:val="16"/>
          <w:szCs w:val="16"/>
        </w:rPr>
      </w:pPr>
      <w:r w:rsidRPr="00FE6FD8">
        <w:rPr>
          <w:rStyle w:val="Refdenotaalpie"/>
          <w:rFonts w:ascii="Century Gothic" w:hAnsi="Century Gothic" w:cs="Arial"/>
          <w:sz w:val="16"/>
          <w:szCs w:val="16"/>
        </w:rPr>
        <w:footnoteRef/>
      </w:r>
      <w:r w:rsidRPr="00FE6FD8">
        <w:rPr>
          <w:rFonts w:ascii="Century Gothic" w:hAnsi="Century Gothic" w:cs="Arial"/>
          <w:sz w:val="16"/>
          <w:szCs w:val="16"/>
        </w:rPr>
        <w:t xml:space="preserve"> Concepto del 3 de septiembre de 2019, con radicado No. 2201913000006512.</w:t>
      </w:r>
    </w:p>
  </w:footnote>
  <w:footnote w:id="6">
    <w:p w14:paraId="5F4F43C0" w14:textId="77777777" w:rsidR="005B4D3E" w:rsidRPr="00FE6FD8" w:rsidRDefault="005B4D3E" w:rsidP="005B4D3E">
      <w:pPr>
        <w:pStyle w:val="Textonotapie"/>
        <w:ind w:firstLine="709"/>
        <w:jc w:val="both"/>
        <w:rPr>
          <w:rFonts w:ascii="Century Gothic" w:hAnsi="Century Gothic" w:cs="Arial"/>
          <w:sz w:val="16"/>
          <w:szCs w:val="16"/>
        </w:rPr>
      </w:pPr>
      <w:r w:rsidRPr="00FE6FD8">
        <w:rPr>
          <w:rStyle w:val="Refdenotaalpie"/>
          <w:rFonts w:ascii="Century Gothic" w:hAnsi="Century Gothic" w:cs="Arial"/>
          <w:sz w:val="16"/>
          <w:szCs w:val="16"/>
        </w:rPr>
        <w:footnoteRef/>
      </w:r>
      <w:r w:rsidRPr="00FE6FD8">
        <w:rPr>
          <w:rFonts w:ascii="Century Gothic" w:hAnsi="Century Gothic" w:cs="Arial"/>
          <w:sz w:val="16"/>
          <w:szCs w:val="16"/>
        </w:rPr>
        <w:t xml:space="preserve"> Decreto 092 de 2017: “Artículo 5. </w:t>
      </w:r>
      <w:r w:rsidRPr="00FE6FD8">
        <w:rPr>
          <w:rFonts w:ascii="Century Gothic" w:hAnsi="Century Gothic" w:cs="Arial"/>
          <w:i/>
          <w:iCs/>
          <w:sz w:val="16"/>
          <w:szCs w:val="16"/>
        </w:rPr>
        <w:t>Asociación con entidades privadas sin ánimo de lucro para cumplir actividades propias de las Entidades Estatales.</w:t>
      </w:r>
      <w:r w:rsidRPr="00FE6FD8">
        <w:rPr>
          <w:rFonts w:ascii="Century Gothic" w:hAnsi="Century Gothic" w:cs="Arial"/>
          <w:sz w:val="16"/>
          <w:szCs w:val="16"/>
        </w:rPr>
        <w:t xml:space="preserve"> Los convenios de asociación que celebren entidades privadas sin ánimo de lucro de reconocida idoneidad y Entidades Estatales para el desarrollo conjunto de actividades relacionadas con los cometidos y funciones que a estas les asigna la Ley a los que hace referencia el artículo 96 de la Ley 489 de 1998,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7EE6FD1B" w14:textId="77777777" w:rsidR="005B4D3E" w:rsidRPr="00FE6FD8" w:rsidRDefault="005B4D3E" w:rsidP="005B4D3E">
      <w:pPr>
        <w:pStyle w:val="Textonotapie"/>
        <w:ind w:firstLine="709"/>
        <w:jc w:val="both"/>
        <w:rPr>
          <w:rFonts w:ascii="Century Gothic" w:hAnsi="Century Gothic" w:cs="Arial"/>
          <w:sz w:val="16"/>
          <w:szCs w:val="16"/>
        </w:rPr>
      </w:pPr>
      <w:r w:rsidRPr="00FE6FD8">
        <w:rPr>
          <w:rFonts w:ascii="Century Gothic" w:hAnsi="Century Gothic" w:cs="Arial"/>
          <w:sz w:val="16"/>
          <w:szCs w:val="16"/>
        </w:rPr>
        <w:t>Si hay más de una entidad privada sin ánimo de lucro que ofrezca su compromiso de recursos en dinero para el desarrollo conjunto de actividades relacionadas con los cometidos y funciones asignadas por Ley a una Entidad Estatal, en una proporción no inferior al 30% del valor total del convenio, la Entidad Estatal debe seleccionar de forma objetiva a tal entidad y justificar los criterios para tal selección.</w:t>
      </w:r>
    </w:p>
    <w:p w14:paraId="7E88E546" w14:textId="77777777" w:rsidR="005B4D3E" w:rsidRPr="00FE6FD8" w:rsidRDefault="005B4D3E" w:rsidP="005B4D3E">
      <w:pPr>
        <w:pStyle w:val="Textonotapie"/>
        <w:ind w:firstLine="708"/>
        <w:jc w:val="both"/>
        <w:rPr>
          <w:rFonts w:ascii="Century Gothic" w:hAnsi="Century Gothic" w:cs="Arial"/>
          <w:sz w:val="16"/>
          <w:szCs w:val="16"/>
        </w:rPr>
      </w:pPr>
      <w:r w:rsidRPr="00FE6FD8">
        <w:rPr>
          <w:rFonts w:ascii="Century Gothic" w:hAnsi="Century Gothic" w:cs="Arial"/>
          <w:sz w:val="16"/>
          <w:szCs w:val="16"/>
        </w:rPr>
        <w:t>[…]”.</w:t>
      </w:r>
    </w:p>
    <w:p w14:paraId="64D0A0FE" w14:textId="77777777" w:rsidR="005B4D3E" w:rsidRPr="00FE6FD8" w:rsidRDefault="005B4D3E" w:rsidP="005B4D3E">
      <w:pPr>
        <w:pStyle w:val="Textonotapie"/>
        <w:ind w:firstLine="709"/>
        <w:jc w:val="both"/>
        <w:rPr>
          <w:rFonts w:ascii="Century Gothic" w:hAnsi="Century Gothic" w:cs="Arial"/>
          <w:sz w:val="16"/>
          <w:szCs w:val="16"/>
        </w:rPr>
      </w:pPr>
    </w:p>
  </w:footnote>
  <w:footnote w:id="7">
    <w:p w14:paraId="32BD2623" w14:textId="77777777" w:rsidR="005B4D3E" w:rsidRPr="00FE6FD8" w:rsidRDefault="005B4D3E" w:rsidP="005B4D3E">
      <w:pPr>
        <w:pStyle w:val="Textonotapie"/>
        <w:ind w:firstLine="708"/>
        <w:jc w:val="both"/>
        <w:rPr>
          <w:rFonts w:ascii="Century Gothic" w:hAnsi="Century Gothic" w:cs="Arial"/>
          <w:sz w:val="16"/>
          <w:szCs w:val="16"/>
        </w:rPr>
      </w:pPr>
      <w:r w:rsidRPr="00FE6FD8">
        <w:rPr>
          <w:rStyle w:val="Refdenotaalpie"/>
          <w:rFonts w:ascii="Century Gothic" w:hAnsi="Century Gothic" w:cs="Arial"/>
          <w:sz w:val="16"/>
          <w:szCs w:val="16"/>
        </w:rPr>
        <w:footnoteRef/>
      </w:r>
      <w:r w:rsidRPr="00FE6FD8">
        <w:rPr>
          <w:rFonts w:ascii="Century Gothic" w:hAnsi="Century Gothic" w:cs="Arial"/>
          <w:sz w:val="16"/>
          <w:szCs w:val="16"/>
        </w:rPr>
        <w:t xml:space="preserve"> Sobre la naturaleza de los convenios de asociación, se reitera lo expuesto en el concepto del 19 de noviembre de 2019, con radicado No. 2201913000008611.</w:t>
      </w:r>
    </w:p>
    <w:p w14:paraId="1D6CDBD7" w14:textId="77777777" w:rsidR="005B4D3E" w:rsidRPr="00FE6FD8" w:rsidRDefault="005B4D3E" w:rsidP="005B4D3E">
      <w:pPr>
        <w:pStyle w:val="Textonotapie"/>
        <w:ind w:firstLine="708"/>
        <w:jc w:val="both"/>
        <w:rPr>
          <w:rFonts w:ascii="Century Gothic" w:hAnsi="Century Gothic" w:cs="Arial"/>
          <w:sz w:val="16"/>
          <w:szCs w:val="16"/>
        </w:rPr>
      </w:pPr>
    </w:p>
  </w:footnote>
  <w:footnote w:id="8">
    <w:p w14:paraId="743A99C0" w14:textId="77777777" w:rsidR="005B4D3E" w:rsidRPr="00FE6FD8" w:rsidRDefault="005B4D3E" w:rsidP="005B4D3E">
      <w:pPr>
        <w:spacing w:after="0" w:line="240" w:lineRule="auto"/>
        <w:ind w:left="118" w:right="176" w:firstLine="708"/>
        <w:contextualSpacing/>
        <w:jc w:val="both"/>
        <w:rPr>
          <w:rFonts w:ascii="Century Gothic" w:hAnsi="Century Gothic" w:cs="Arial"/>
          <w:sz w:val="16"/>
          <w:szCs w:val="16"/>
        </w:rPr>
      </w:pPr>
      <w:r w:rsidRPr="00FE6FD8">
        <w:rPr>
          <w:rStyle w:val="Refdenotaalpie"/>
          <w:rFonts w:ascii="Century Gothic" w:hAnsi="Century Gothic" w:cs="Arial"/>
          <w:sz w:val="16"/>
          <w:szCs w:val="16"/>
        </w:rPr>
        <w:footnoteRef/>
      </w:r>
      <w:r w:rsidRPr="00FE6FD8">
        <w:rPr>
          <w:rFonts w:ascii="Century Gothic" w:hAnsi="Century Gothic" w:cs="Arial"/>
          <w:sz w:val="16"/>
          <w:szCs w:val="16"/>
        </w:rPr>
        <w:t xml:space="preserve"> Al</w:t>
      </w:r>
      <w:r w:rsidRPr="00FE6FD8">
        <w:rPr>
          <w:rFonts w:ascii="Century Gothic" w:hAnsi="Century Gothic" w:cs="Arial"/>
          <w:spacing w:val="-8"/>
          <w:sz w:val="16"/>
          <w:szCs w:val="16"/>
        </w:rPr>
        <w:t xml:space="preserve"> </w:t>
      </w:r>
      <w:r w:rsidRPr="00FE6FD8">
        <w:rPr>
          <w:rFonts w:ascii="Century Gothic" w:hAnsi="Century Gothic" w:cs="Arial"/>
          <w:sz w:val="16"/>
          <w:szCs w:val="16"/>
        </w:rPr>
        <w:t>respecto,</w:t>
      </w:r>
      <w:r w:rsidRPr="00FE6FD8">
        <w:rPr>
          <w:rFonts w:ascii="Century Gothic" w:hAnsi="Century Gothic" w:cs="Arial"/>
          <w:spacing w:val="-8"/>
          <w:sz w:val="16"/>
          <w:szCs w:val="16"/>
        </w:rPr>
        <w:t xml:space="preserve"> </w:t>
      </w:r>
      <w:r w:rsidRPr="00FE6FD8">
        <w:rPr>
          <w:rFonts w:ascii="Century Gothic" w:hAnsi="Century Gothic" w:cs="Arial"/>
          <w:sz w:val="16"/>
          <w:szCs w:val="16"/>
        </w:rPr>
        <w:t>la</w:t>
      </w:r>
      <w:r w:rsidRPr="00FE6FD8">
        <w:rPr>
          <w:rFonts w:ascii="Century Gothic" w:hAnsi="Century Gothic" w:cs="Arial"/>
          <w:spacing w:val="-8"/>
          <w:sz w:val="16"/>
          <w:szCs w:val="16"/>
        </w:rPr>
        <w:t xml:space="preserve"> </w:t>
      </w:r>
      <w:r w:rsidRPr="00FE6FD8">
        <w:rPr>
          <w:rFonts w:ascii="Century Gothic" w:hAnsi="Century Gothic" w:cs="Arial"/>
          <w:sz w:val="16"/>
          <w:szCs w:val="16"/>
        </w:rPr>
        <w:t>jurisprudencia</w:t>
      </w:r>
      <w:r w:rsidRPr="00FE6FD8">
        <w:rPr>
          <w:rFonts w:ascii="Century Gothic" w:hAnsi="Century Gothic" w:cs="Arial"/>
          <w:spacing w:val="-8"/>
          <w:sz w:val="16"/>
          <w:szCs w:val="16"/>
        </w:rPr>
        <w:t xml:space="preserve"> </w:t>
      </w:r>
      <w:r w:rsidRPr="00FE6FD8">
        <w:rPr>
          <w:rFonts w:ascii="Century Gothic" w:hAnsi="Century Gothic" w:cs="Arial"/>
          <w:sz w:val="16"/>
          <w:szCs w:val="16"/>
        </w:rPr>
        <w:t>explica</w:t>
      </w:r>
      <w:r w:rsidRPr="00FE6FD8">
        <w:rPr>
          <w:rFonts w:ascii="Century Gothic" w:hAnsi="Century Gothic" w:cs="Arial"/>
          <w:spacing w:val="-8"/>
          <w:sz w:val="16"/>
          <w:szCs w:val="16"/>
        </w:rPr>
        <w:t xml:space="preserve"> </w:t>
      </w:r>
      <w:r w:rsidRPr="00FE6FD8">
        <w:rPr>
          <w:rFonts w:ascii="Century Gothic" w:hAnsi="Century Gothic" w:cs="Arial"/>
          <w:sz w:val="16"/>
          <w:szCs w:val="16"/>
        </w:rPr>
        <w:t>que</w:t>
      </w:r>
      <w:r w:rsidRPr="00FE6FD8">
        <w:rPr>
          <w:rFonts w:ascii="Century Gothic" w:hAnsi="Century Gothic" w:cs="Arial"/>
          <w:spacing w:val="-8"/>
          <w:sz w:val="16"/>
          <w:szCs w:val="16"/>
        </w:rPr>
        <w:t xml:space="preserve"> </w:t>
      </w:r>
      <w:r w:rsidRPr="00FE6FD8">
        <w:rPr>
          <w:rFonts w:ascii="Century Gothic" w:hAnsi="Century Gothic" w:cs="Arial"/>
          <w:sz w:val="16"/>
          <w:szCs w:val="16"/>
        </w:rPr>
        <w:t>la</w:t>
      </w:r>
      <w:r w:rsidRPr="00FE6FD8">
        <w:rPr>
          <w:rFonts w:ascii="Century Gothic" w:hAnsi="Century Gothic" w:cs="Arial"/>
          <w:spacing w:val="-9"/>
          <w:sz w:val="16"/>
          <w:szCs w:val="16"/>
        </w:rPr>
        <w:t xml:space="preserve"> </w:t>
      </w:r>
      <w:r w:rsidRPr="00FE6FD8">
        <w:rPr>
          <w:rFonts w:ascii="Century Gothic" w:hAnsi="Century Gothic" w:cs="Arial"/>
          <w:sz w:val="16"/>
          <w:szCs w:val="16"/>
        </w:rPr>
        <w:t>garantía</w:t>
      </w:r>
      <w:r w:rsidRPr="00FE6FD8">
        <w:rPr>
          <w:rFonts w:ascii="Century Gothic" w:hAnsi="Century Gothic" w:cs="Arial"/>
          <w:spacing w:val="-8"/>
          <w:sz w:val="16"/>
          <w:szCs w:val="16"/>
        </w:rPr>
        <w:t xml:space="preserve"> </w:t>
      </w:r>
      <w:r w:rsidRPr="00FE6FD8">
        <w:rPr>
          <w:rFonts w:ascii="Century Gothic" w:hAnsi="Century Gothic" w:cs="Arial"/>
          <w:sz w:val="16"/>
          <w:szCs w:val="16"/>
        </w:rPr>
        <w:t>del</w:t>
      </w:r>
      <w:r w:rsidRPr="00FE6FD8">
        <w:rPr>
          <w:rFonts w:ascii="Century Gothic" w:hAnsi="Century Gothic" w:cs="Arial"/>
          <w:spacing w:val="-8"/>
          <w:sz w:val="16"/>
          <w:szCs w:val="16"/>
        </w:rPr>
        <w:t xml:space="preserve"> </w:t>
      </w:r>
      <w:r w:rsidRPr="00FE6FD8">
        <w:rPr>
          <w:rFonts w:ascii="Century Gothic" w:hAnsi="Century Gothic" w:cs="Arial"/>
          <w:sz w:val="16"/>
          <w:szCs w:val="16"/>
        </w:rPr>
        <w:t>debido</w:t>
      </w:r>
      <w:r w:rsidRPr="00FE6FD8">
        <w:rPr>
          <w:rFonts w:ascii="Century Gothic" w:hAnsi="Century Gothic" w:cs="Arial"/>
          <w:spacing w:val="-8"/>
          <w:sz w:val="16"/>
          <w:szCs w:val="16"/>
        </w:rPr>
        <w:t xml:space="preserve"> </w:t>
      </w:r>
      <w:r w:rsidRPr="00FE6FD8">
        <w:rPr>
          <w:rFonts w:ascii="Century Gothic" w:hAnsi="Century Gothic" w:cs="Arial"/>
          <w:sz w:val="16"/>
          <w:szCs w:val="16"/>
        </w:rPr>
        <w:t>proceso</w:t>
      </w:r>
      <w:r w:rsidRPr="00FE6FD8">
        <w:rPr>
          <w:rFonts w:ascii="Century Gothic" w:hAnsi="Century Gothic" w:cs="Arial"/>
          <w:spacing w:val="-8"/>
          <w:sz w:val="16"/>
          <w:szCs w:val="16"/>
        </w:rPr>
        <w:t xml:space="preserve"> </w:t>
      </w:r>
      <w:r w:rsidRPr="00FE6FD8">
        <w:rPr>
          <w:rFonts w:ascii="Century Gothic" w:hAnsi="Century Gothic" w:cs="Arial"/>
          <w:sz w:val="16"/>
          <w:szCs w:val="16"/>
        </w:rPr>
        <w:t>“…]</w:t>
      </w:r>
      <w:r w:rsidRPr="00FE6FD8">
        <w:rPr>
          <w:rFonts w:ascii="Century Gothic" w:hAnsi="Century Gothic" w:cs="Arial"/>
          <w:spacing w:val="-8"/>
          <w:sz w:val="16"/>
          <w:szCs w:val="16"/>
        </w:rPr>
        <w:t xml:space="preserve"> </w:t>
      </w:r>
      <w:r w:rsidRPr="00FE6FD8">
        <w:rPr>
          <w:rFonts w:ascii="Century Gothic" w:hAnsi="Century Gothic" w:cs="Arial"/>
          <w:sz w:val="16"/>
          <w:szCs w:val="16"/>
        </w:rPr>
        <w:t>tampoco</w:t>
      </w:r>
      <w:r w:rsidRPr="00FE6FD8">
        <w:rPr>
          <w:rFonts w:ascii="Century Gothic" w:hAnsi="Century Gothic" w:cs="Arial"/>
          <w:spacing w:val="-8"/>
          <w:sz w:val="16"/>
          <w:szCs w:val="16"/>
        </w:rPr>
        <w:t xml:space="preserve"> </w:t>
      </w:r>
      <w:r w:rsidRPr="00FE6FD8">
        <w:rPr>
          <w:rFonts w:ascii="Century Gothic" w:hAnsi="Century Gothic" w:cs="Arial"/>
          <w:sz w:val="16"/>
          <w:szCs w:val="16"/>
        </w:rPr>
        <w:t>es</w:t>
      </w:r>
      <w:r w:rsidRPr="00FE6FD8">
        <w:rPr>
          <w:rFonts w:ascii="Century Gothic" w:hAnsi="Century Gothic" w:cs="Arial"/>
          <w:spacing w:val="-8"/>
          <w:sz w:val="16"/>
          <w:szCs w:val="16"/>
        </w:rPr>
        <w:t xml:space="preserve"> </w:t>
      </w:r>
      <w:r w:rsidRPr="00FE6FD8">
        <w:rPr>
          <w:rFonts w:ascii="Century Gothic" w:hAnsi="Century Gothic" w:cs="Arial"/>
          <w:sz w:val="16"/>
          <w:szCs w:val="16"/>
        </w:rPr>
        <w:t>exclusiva</w:t>
      </w:r>
      <w:r w:rsidRPr="00FE6FD8">
        <w:rPr>
          <w:rFonts w:ascii="Century Gothic" w:hAnsi="Century Gothic" w:cs="Arial"/>
          <w:spacing w:val="-8"/>
          <w:sz w:val="16"/>
          <w:szCs w:val="16"/>
        </w:rPr>
        <w:t xml:space="preserve"> </w:t>
      </w:r>
      <w:r w:rsidRPr="00FE6FD8">
        <w:rPr>
          <w:rFonts w:ascii="Century Gothic" w:hAnsi="Century Gothic" w:cs="Arial"/>
          <w:sz w:val="16"/>
          <w:szCs w:val="16"/>
        </w:rPr>
        <w:t>de</w:t>
      </w:r>
      <w:r w:rsidRPr="00FE6FD8">
        <w:rPr>
          <w:rFonts w:ascii="Century Gothic" w:hAnsi="Century Gothic" w:cs="Arial"/>
          <w:spacing w:val="1"/>
          <w:sz w:val="16"/>
          <w:szCs w:val="16"/>
        </w:rPr>
        <w:t xml:space="preserve"> </w:t>
      </w:r>
      <w:r w:rsidRPr="00FE6FD8">
        <w:rPr>
          <w:rFonts w:ascii="Century Gothic" w:hAnsi="Century Gothic" w:cs="Arial"/>
          <w:sz w:val="16"/>
          <w:szCs w:val="16"/>
        </w:rPr>
        <w:t>los procedimientos sancionatorios contractuales, sino de los demás trámites administrativos que se surten al</w:t>
      </w:r>
      <w:r w:rsidRPr="00FE6FD8">
        <w:rPr>
          <w:rFonts w:ascii="Century Gothic" w:hAnsi="Century Gothic" w:cs="Arial"/>
          <w:spacing w:val="1"/>
          <w:sz w:val="16"/>
          <w:szCs w:val="16"/>
        </w:rPr>
        <w:t xml:space="preserve"> </w:t>
      </w:r>
      <w:r w:rsidRPr="00FE6FD8">
        <w:rPr>
          <w:rFonts w:ascii="Century Gothic" w:hAnsi="Century Gothic" w:cs="Arial"/>
          <w:sz w:val="16"/>
          <w:szCs w:val="16"/>
        </w:rPr>
        <w:t>interior de la actividad contractual, que también deben garantizar un procedimiento previo que racionalice las</w:t>
      </w:r>
      <w:r w:rsidRPr="00FE6FD8">
        <w:rPr>
          <w:rFonts w:ascii="Century Gothic" w:hAnsi="Century Gothic" w:cs="Arial"/>
          <w:spacing w:val="1"/>
          <w:sz w:val="16"/>
          <w:szCs w:val="16"/>
        </w:rPr>
        <w:t xml:space="preserve"> </w:t>
      </w:r>
      <w:r w:rsidRPr="00FE6FD8">
        <w:rPr>
          <w:rFonts w:ascii="Century Gothic" w:hAnsi="Century Gothic" w:cs="Arial"/>
          <w:sz w:val="16"/>
          <w:szCs w:val="16"/>
        </w:rPr>
        <w:t>decisiones</w:t>
      </w:r>
      <w:r w:rsidRPr="00FE6FD8">
        <w:rPr>
          <w:rFonts w:ascii="Century Gothic" w:hAnsi="Century Gothic" w:cs="Arial"/>
          <w:spacing w:val="-12"/>
          <w:sz w:val="16"/>
          <w:szCs w:val="16"/>
        </w:rPr>
        <w:t xml:space="preserve"> </w:t>
      </w:r>
      <w:r w:rsidRPr="00FE6FD8">
        <w:rPr>
          <w:rFonts w:ascii="Century Gothic" w:hAnsi="Century Gothic" w:cs="Arial"/>
          <w:sz w:val="16"/>
          <w:szCs w:val="16"/>
        </w:rPr>
        <w:t>que</w:t>
      </w:r>
      <w:r w:rsidRPr="00FE6FD8">
        <w:rPr>
          <w:rFonts w:ascii="Century Gothic" w:hAnsi="Century Gothic" w:cs="Arial"/>
          <w:spacing w:val="-11"/>
          <w:sz w:val="16"/>
          <w:szCs w:val="16"/>
        </w:rPr>
        <w:t xml:space="preserve"> </w:t>
      </w:r>
      <w:r w:rsidRPr="00FE6FD8">
        <w:rPr>
          <w:rFonts w:ascii="Century Gothic" w:hAnsi="Century Gothic" w:cs="Arial"/>
          <w:sz w:val="16"/>
          <w:szCs w:val="16"/>
        </w:rPr>
        <w:t>se</w:t>
      </w:r>
      <w:r w:rsidRPr="00FE6FD8">
        <w:rPr>
          <w:rFonts w:ascii="Century Gothic" w:hAnsi="Century Gothic" w:cs="Arial"/>
          <w:spacing w:val="-11"/>
          <w:sz w:val="16"/>
          <w:szCs w:val="16"/>
        </w:rPr>
        <w:t xml:space="preserve"> </w:t>
      </w:r>
      <w:r w:rsidRPr="00FE6FD8">
        <w:rPr>
          <w:rFonts w:ascii="Century Gothic" w:hAnsi="Century Gothic" w:cs="Arial"/>
          <w:sz w:val="16"/>
          <w:szCs w:val="16"/>
        </w:rPr>
        <w:t>adoptan</w:t>
      </w:r>
      <w:r w:rsidRPr="00FE6FD8">
        <w:rPr>
          <w:rFonts w:ascii="Century Gothic" w:hAnsi="Century Gothic" w:cs="Arial"/>
          <w:spacing w:val="-11"/>
          <w:sz w:val="16"/>
          <w:szCs w:val="16"/>
        </w:rPr>
        <w:t xml:space="preserve"> </w:t>
      </w:r>
      <w:r w:rsidRPr="00FE6FD8">
        <w:rPr>
          <w:rFonts w:ascii="Century Gothic" w:hAnsi="Century Gothic" w:cs="Arial"/>
          <w:sz w:val="16"/>
          <w:szCs w:val="16"/>
        </w:rPr>
        <w:t>a</w:t>
      </w:r>
      <w:r w:rsidRPr="00FE6FD8">
        <w:rPr>
          <w:rFonts w:ascii="Century Gothic" w:hAnsi="Century Gothic" w:cs="Arial"/>
          <w:spacing w:val="-11"/>
          <w:sz w:val="16"/>
          <w:szCs w:val="16"/>
        </w:rPr>
        <w:t xml:space="preserve"> </w:t>
      </w:r>
      <w:r w:rsidRPr="00FE6FD8">
        <w:rPr>
          <w:rFonts w:ascii="Century Gothic" w:hAnsi="Century Gothic" w:cs="Arial"/>
          <w:sz w:val="16"/>
          <w:szCs w:val="16"/>
        </w:rPr>
        <w:t>través</w:t>
      </w:r>
      <w:r w:rsidRPr="00FE6FD8">
        <w:rPr>
          <w:rFonts w:ascii="Century Gothic" w:hAnsi="Century Gothic" w:cs="Arial"/>
          <w:spacing w:val="-11"/>
          <w:sz w:val="16"/>
          <w:szCs w:val="16"/>
        </w:rPr>
        <w:t xml:space="preserve"> </w:t>
      </w:r>
      <w:r w:rsidRPr="00FE6FD8">
        <w:rPr>
          <w:rFonts w:ascii="Century Gothic" w:hAnsi="Century Gothic" w:cs="Arial"/>
          <w:sz w:val="16"/>
          <w:szCs w:val="16"/>
        </w:rPr>
        <w:t>suyo.</w:t>
      </w:r>
      <w:r w:rsidRPr="00FE6FD8">
        <w:rPr>
          <w:rFonts w:ascii="Century Gothic" w:hAnsi="Century Gothic" w:cs="Arial"/>
          <w:spacing w:val="-11"/>
          <w:sz w:val="16"/>
          <w:szCs w:val="16"/>
        </w:rPr>
        <w:t xml:space="preserve"> </w:t>
      </w:r>
      <w:r w:rsidRPr="00FE6FD8">
        <w:rPr>
          <w:rFonts w:ascii="Century Gothic" w:hAnsi="Century Gothic" w:cs="Arial"/>
          <w:sz w:val="16"/>
          <w:szCs w:val="16"/>
        </w:rPr>
        <w:t>Los</w:t>
      </w:r>
      <w:r w:rsidRPr="00FE6FD8">
        <w:rPr>
          <w:rFonts w:ascii="Century Gothic" w:hAnsi="Century Gothic" w:cs="Arial"/>
          <w:spacing w:val="-11"/>
          <w:sz w:val="16"/>
          <w:szCs w:val="16"/>
        </w:rPr>
        <w:t xml:space="preserve"> </w:t>
      </w:r>
      <w:r w:rsidRPr="00FE6FD8">
        <w:rPr>
          <w:rFonts w:ascii="Century Gothic" w:hAnsi="Century Gothic" w:cs="Arial"/>
          <w:sz w:val="16"/>
          <w:szCs w:val="16"/>
        </w:rPr>
        <w:t>más</w:t>
      </w:r>
      <w:r w:rsidRPr="00FE6FD8">
        <w:rPr>
          <w:rFonts w:ascii="Century Gothic" w:hAnsi="Century Gothic" w:cs="Arial"/>
          <w:spacing w:val="-11"/>
          <w:sz w:val="16"/>
          <w:szCs w:val="16"/>
        </w:rPr>
        <w:t xml:space="preserve"> </w:t>
      </w:r>
      <w:r w:rsidRPr="00FE6FD8">
        <w:rPr>
          <w:rFonts w:ascii="Century Gothic" w:hAnsi="Century Gothic" w:cs="Arial"/>
          <w:sz w:val="16"/>
          <w:szCs w:val="16"/>
        </w:rPr>
        <w:t>representativos</w:t>
      </w:r>
      <w:r w:rsidRPr="00FE6FD8">
        <w:rPr>
          <w:rFonts w:ascii="Century Gothic" w:hAnsi="Century Gothic" w:cs="Arial"/>
          <w:spacing w:val="-11"/>
          <w:sz w:val="16"/>
          <w:szCs w:val="16"/>
        </w:rPr>
        <w:t xml:space="preserve"> </w:t>
      </w:r>
      <w:r w:rsidRPr="00FE6FD8">
        <w:rPr>
          <w:rFonts w:ascii="Century Gothic" w:hAnsi="Century Gothic" w:cs="Arial"/>
          <w:sz w:val="16"/>
          <w:szCs w:val="16"/>
        </w:rPr>
        <w:t>son</w:t>
      </w:r>
      <w:r w:rsidRPr="00FE6FD8">
        <w:rPr>
          <w:rFonts w:ascii="Century Gothic" w:hAnsi="Century Gothic" w:cs="Arial"/>
          <w:spacing w:val="-11"/>
          <w:sz w:val="16"/>
          <w:szCs w:val="16"/>
        </w:rPr>
        <w:t xml:space="preserve"> </w:t>
      </w:r>
      <w:r w:rsidRPr="00FE6FD8">
        <w:rPr>
          <w:rFonts w:ascii="Century Gothic" w:hAnsi="Century Gothic" w:cs="Arial"/>
          <w:sz w:val="16"/>
          <w:szCs w:val="16"/>
        </w:rPr>
        <w:t>los</w:t>
      </w:r>
      <w:r w:rsidRPr="00FE6FD8">
        <w:rPr>
          <w:rFonts w:ascii="Century Gothic" w:hAnsi="Century Gothic" w:cs="Arial"/>
          <w:spacing w:val="-11"/>
          <w:sz w:val="16"/>
          <w:szCs w:val="16"/>
        </w:rPr>
        <w:t xml:space="preserve"> </w:t>
      </w:r>
      <w:r w:rsidRPr="00FE6FD8">
        <w:rPr>
          <w:rFonts w:ascii="Century Gothic" w:hAnsi="Century Gothic" w:cs="Arial"/>
          <w:sz w:val="16"/>
          <w:szCs w:val="16"/>
        </w:rPr>
        <w:t>procesos</w:t>
      </w:r>
      <w:r w:rsidRPr="00FE6FD8">
        <w:rPr>
          <w:rFonts w:ascii="Century Gothic" w:hAnsi="Century Gothic" w:cs="Arial"/>
          <w:spacing w:val="-11"/>
          <w:sz w:val="16"/>
          <w:szCs w:val="16"/>
        </w:rPr>
        <w:t xml:space="preserve"> </w:t>
      </w:r>
      <w:r w:rsidRPr="00FE6FD8">
        <w:rPr>
          <w:rFonts w:ascii="Century Gothic" w:hAnsi="Century Gothic" w:cs="Arial"/>
          <w:sz w:val="16"/>
          <w:szCs w:val="16"/>
        </w:rPr>
        <w:t>de</w:t>
      </w:r>
      <w:r w:rsidRPr="00FE6FD8">
        <w:rPr>
          <w:rFonts w:ascii="Century Gothic" w:hAnsi="Century Gothic" w:cs="Arial"/>
          <w:spacing w:val="-12"/>
          <w:sz w:val="16"/>
          <w:szCs w:val="16"/>
        </w:rPr>
        <w:t xml:space="preserve"> </w:t>
      </w:r>
      <w:r w:rsidRPr="00FE6FD8">
        <w:rPr>
          <w:rFonts w:ascii="Century Gothic" w:hAnsi="Century Gothic" w:cs="Arial"/>
          <w:sz w:val="16"/>
          <w:szCs w:val="16"/>
        </w:rPr>
        <w:t>selección</w:t>
      </w:r>
      <w:r w:rsidRPr="00FE6FD8">
        <w:rPr>
          <w:rFonts w:ascii="Century Gothic" w:hAnsi="Century Gothic" w:cs="Arial"/>
          <w:spacing w:val="-11"/>
          <w:sz w:val="16"/>
          <w:szCs w:val="16"/>
        </w:rPr>
        <w:t xml:space="preserve"> </w:t>
      </w:r>
      <w:r w:rsidRPr="00FE6FD8">
        <w:rPr>
          <w:rFonts w:ascii="Century Gothic" w:hAnsi="Century Gothic" w:cs="Arial"/>
          <w:sz w:val="16"/>
          <w:szCs w:val="16"/>
        </w:rPr>
        <w:t>de</w:t>
      </w:r>
      <w:r w:rsidRPr="00FE6FD8">
        <w:rPr>
          <w:rFonts w:ascii="Century Gothic" w:hAnsi="Century Gothic" w:cs="Arial"/>
          <w:spacing w:val="-11"/>
          <w:sz w:val="16"/>
          <w:szCs w:val="16"/>
        </w:rPr>
        <w:t xml:space="preserve"> </w:t>
      </w:r>
      <w:r w:rsidRPr="00FE6FD8">
        <w:rPr>
          <w:rFonts w:ascii="Century Gothic" w:hAnsi="Century Gothic" w:cs="Arial"/>
          <w:sz w:val="16"/>
          <w:szCs w:val="16"/>
        </w:rPr>
        <w:t>contratistas,</w:t>
      </w:r>
      <w:r w:rsidRPr="00FE6FD8">
        <w:rPr>
          <w:rFonts w:ascii="Century Gothic" w:hAnsi="Century Gothic" w:cs="Arial"/>
          <w:spacing w:val="-50"/>
          <w:sz w:val="16"/>
          <w:szCs w:val="16"/>
        </w:rPr>
        <w:t xml:space="preserve"> </w:t>
      </w:r>
      <w:r w:rsidRPr="00FE6FD8">
        <w:rPr>
          <w:rFonts w:ascii="Century Gothic" w:hAnsi="Century Gothic" w:cs="Arial"/>
          <w:sz w:val="16"/>
          <w:szCs w:val="16"/>
        </w:rPr>
        <w:t>cuyas etapas y requisitos son de estricta observancia, tanto para la administración como para los participantes,</w:t>
      </w:r>
      <w:r w:rsidRPr="00FE6FD8">
        <w:rPr>
          <w:rFonts w:ascii="Century Gothic" w:hAnsi="Century Gothic" w:cs="Arial"/>
          <w:spacing w:val="-50"/>
          <w:sz w:val="16"/>
          <w:szCs w:val="16"/>
        </w:rPr>
        <w:t xml:space="preserve"> </w:t>
      </w:r>
      <w:r w:rsidRPr="00FE6FD8">
        <w:rPr>
          <w:rFonts w:ascii="Century Gothic" w:hAnsi="Century Gothic" w:cs="Arial"/>
          <w:sz w:val="16"/>
          <w:szCs w:val="16"/>
        </w:rPr>
        <w:t>en señal de respeto al principio de legalidad como a este derecho que integra el debido proceso” (CONSEJO</w:t>
      </w:r>
      <w:r w:rsidRPr="00FE6FD8">
        <w:rPr>
          <w:rFonts w:ascii="Century Gothic" w:hAnsi="Century Gothic" w:cs="Arial"/>
          <w:spacing w:val="1"/>
          <w:sz w:val="16"/>
          <w:szCs w:val="16"/>
        </w:rPr>
        <w:t xml:space="preserve"> </w:t>
      </w:r>
      <w:r w:rsidRPr="00FE6FD8">
        <w:rPr>
          <w:rFonts w:ascii="Century Gothic" w:hAnsi="Century Gothic" w:cs="Arial"/>
          <w:sz w:val="16"/>
          <w:szCs w:val="16"/>
        </w:rPr>
        <w:t>DE</w:t>
      </w:r>
      <w:r w:rsidRPr="00FE6FD8">
        <w:rPr>
          <w:rFonts w:ascii="Century Gothic" w:hAnsi="Century Gothic" w:cs="Arial"/>
          <w:spacing w:val="-4"/>
          <w:sz w:val="16"/>
          <w:szCs w:val="16"/>
        </w:rPr>
        <w:t xml:space="preserve"> </w:t>
      </w:r>
      <w:r w:rsidRPr="00FE6FD8">
        <w:rPr>
          <w:rFonts w:ascii="Century Gothic" w:hAnsi="Century Gothic" w:cs="Arial"/>
          <w:sz w:val="16"/>
          <w:szCs w:val="16"/>
        </w:rPr>
        <w:t>ESTADO.</w:t>
      </w:r>
      <w:r w:rsidRPr="00FE6FD8">
        <w:rPr>
          <w:rFonts w:ascii="Century Gothic" w:hAnsi="Century Gothic" w:cs="Arial"/>
          <w:spacing w:val="-4"/>
          <w:sz w:val="16"/>
          <w:szCs w:val="16"/>
        </w:rPr>
        <w:t xml:space="preserve"> </w:t>
      </w:r>
      <w:r w:rsidRPr="00FE6FD8">
        <w:rPr>
          <w:rFonts w:ascii="Century Gothic" w:hAnsi="Century Gothic" w:cs="Arial"/>
          <w:sz w:val="16"/>
          <w:szCs w:val="16"/>
        </w:rPr>
        <w:t>Sección</w:t>
      </w:r>
      <w:r w:rsidRPr="00FE6FD8">
        <w:rPr>
          <w:rFonts w:ascii="Century Gothic" w:hAnsi="Century Gothic" w:cs="Arial"/>
          <w:spacing w:val="-3"/>
          <w:sz w:val="16"/>
          <w:szCs w:val="16"/>
        </w:rPr>
        <w:t xml:space="preserve"> </w:t>
      </w:r>
      <w:r w:rsidRPr="00FE6FD8">
        <w:rPr>
          <w:rFonts w:ascii="Century Gothic" w:hAnsi="Century Gothic" w:cs="Arial"/>
          <w:sz w:val="16"/>
          <w:szCs w:val="16"/>
        </w:rPr>
        <w:t>Tercera.</w:t>
      </w:r>
      <w:r w:rsidRPr="00FE6FD8">
        <w:rPr>
          <w:rFonts w:ascii="Century Gothic" w:hAnsi="Century Gothic" w:cs="Arial"/>
          <w:spacing w:val="-4"/>
          <w:sz w:val="16"/>
          <w:szCs w:val="16"/>
        </w:rPr>
        <w:t xml:space="preserve"> </w:t>
      </w:r>
      <w:r w:rsidRPr="00FE6FD8">
        <w:rPr>
          <w:rFonts w:ascii="Century Gothic" w:hAnsi="Century Gothic" w:cs="Arial"/>
          <w:sz w:val="16"/>
          <w:szCs w:val="16"/>
        </w:rPr>
        <w:t>Sentencia</w:t>
      </w:r>
      <w:r w:rsidRPr="00FE6FD8">
        <w:rPr>
          <w:rFonts w:ascii="Century Gothic" w:hAnsi="Century Gothic" w:cs="Arial"/>
          <w:spacing w:val="-3"/>
          <w:sz w:val="16"/>
          <w:szCs w:val="16"/>
        </w:rPr>
        <w:t xml:space="preserve"> </w:t>
      </w:r>
      <w:r w:rsidRPr="00FE6FD8">
        <w:rPr>
          <w:rFonts w:ascii="Century Gothic" w:hAnsi="Century Gothic" w:cs="Arial"/>
          <w:sz w:val="16"/>
          <w:szCs w:val="16"/>
        </w:rPr>
        <w:t>del</w:t>
      </w:r>
      <w:r w:rsidRPr="00FE6FD8">
        <w:rPr>
          <w:rFonts w:ascii="Century Gothic" w:hAnsi="Century Gothic" w:cs="Arial"/>
          <w:spacing w:val="-4"/>
          <w:sz w:val="16"/>
          <w:szCs w:val="16"/>
        </w:rPr>
        <w:t xml:space="preserve"> </w:t>
      </w:r>
      <w:r w:rsidRPr="00FE6FD8">
        <w:rPr>
          <w:rFonts w:ascii="Century Gothic" w:hAnsi="Century Gothic" w:cs="Arial"/>
          <w:sz w:val="16"/>
          <w:szCs w:val="16"/>
        </w:rPr>
        <w:t>23</w:t>
      </w:r>
      <w:r w:rsidRPr="00FE6FD8">
        <w:rPr>
          <w:rFonts w:ascii="Century Gothic" w:hAnsi="Century Gothic" w:cs="Arial"/>
          <w:spacing w:val="-3"/>
          <w:sz w:val="16"/>
          <w:szCs w:val="16"/>
        </w:rPr>
        <w:t xml:space="preserve"> </w:t>
      </w:r>
      <w:r w:rsidRPr="00FE6FD8">
        <w:rPr>
          <w:rFonts w:ascii="Century Gothic" w:hAnsi="Century Gothic" w:cs="Arial"/>
          <w:sz w:val="16"/>
          <w:szCs w:val="16"/>
        </w:rPr>
        <w:t>de</w:t>
      </w:r>
      <w:r w:rsidRPr="00FE6FD8">
        <w:rPr>
          <w:rFonts w:ascii="Century Gothic" w:hAnsi="Century Gothic" w:cs="Arial"/>
          <w:spacing w:val="-4"/>
          <w:sz w:val="16"/>
          <w:szCs w:val="16"/>
        </w:rPr>
        <w:t xml:space="preserve"> </w:t>
      </w:r>
      <w:r w:rsidRPr="00FE6FD8">
        <w:rPr>
          <w:rFonts w:ascii="Century Gothic" w:hAnsi="Century Gothic" w:cs="Arial"/>
          <w:sz w:val="16"/>
          <w:szCs w:val="16"/>
        </w:rPr>
        <w:t>junio</w:t>
      </w:r>
      <w:r w:rsidRPr="00FE6FD8">
        <w:rPr>
          <w:rFonts w:ascii="Century Gothic" w:hAnsi="Century Gothic" w:cs="Arial"/>
          <w:spacing w:val="-3"/>
          <w:sz w:val="16"/>
          <w:szCs w:val="16"/>
        </w:rPr>
        <w:t xml:space="preserve"> </w:t>
      </w:r>
      <w:r w:rsidRPr="00FE6FD8">
        <w:rPr>
          <w:rFonts w:ascii="Century Gothic" w:hAnsi="Century Gothic" w:cs="Arial"/>
          <w:sz w:val="16"/>
          <w:szCs w:val="16"/>
        </w:rPr>
        <w:t>de</w:t>
      </w:r>
      <w:r w:rsidRPr="00FE6FD8">
        <w:rPr>
          <w:rFonts w:ascii="Century Gothic" w:hAnsi="Century Gothic" w:cs="Arial"/>
          <w:spacing w:val="-4"/>
          <w:sz w:val="16"/>
          <w:szCs w:val="16"/>
        </w:rPr>
        <w:t xml:space="preserve"> </w:t>
      </w:r>
      <w:r w:rsidRPr="00FE6FD8">
        <w:rPr>
          <w:rFonts w:ascii="Century Gothic" w:hAnsi="Century Gothic" w:cs="Arial"/>
          <w:sz w:val="16"/>
          <w:szCs w:val="16"/>
        </w:rPr>
        <w:t>2010.</w:t>
      </w:r>
      <w:r w:rsidRPr="00FE6FD8">
        <w:rPr>
          <w:rFonts w:ascii="Century Gothic" w:hAnsi="Century Gothic" w:cs="Arial"/>
          <w:spacing w:val="-3"/>
          <w:sz w:val="16"/>
          <w:szCs w:val="16"/>
        </w:rPr>
        <w:t xml:space="preserve"> </w:t>
      </w:r>
      <w:r w:rsidRPr="00FE6FD8">
        <w:rPr>
          <w:rFonts w:ascii="Century Gothic" w:hAnsi="Century Gothic" w:cs="Arial"/>
          <w:sz w:val="16"/>
          <w:szCs w:val="16"/>
        </w:rPr>
        <w:t>Rad.</w:t>
      </w:r>
      <w:r w:rsidRPr="00FE6FD8">
        <w:rPr>
          <w:rFonts w:ascii="Century Gothic" w:hAnsi="Century Gothic" w:cs="Arial"/>
          <w:spacing w:val="-4"/>
          <w:sz w:val="16"/>
          <w:szCs w:val="16"/>
        </w:rPr>
        <w:t xml:space="preserve"> </w:t>
      </w:r>
      <w:r w:rsidRPr="00FE6FD8">
        <w:rPr>
          <w:rFonts w:ascii="Century Gothic" w:hAnsi="Century Gothic" w:cs="Arial"/>
          <w:sz w:val="16"/>
          <w:szCs w:val="16"/>
        </w:rPr>
        <w:t>16.367.</w:t>
      </w:r>
      <w:r w:rsidRPr="00FE6FD8">
        <w:rPr>
          <w:rFonts w:ascii="Century Gothic" w:hAnsi="Century Gothic" w:cs="Arial"/>
          <w:spacing w:val="-3"/>
          <w:sz w:val="16"/>
          <w:szCs w:val="16"/>
        </w:rPr>
        <w:t xml:space="preserve"> </w:t>
      </w:r>
      <w:r w:rsidRPr="00FE6FD8">
        <w:rPr>
          <w:rFonts w:ascii="Century Gothic" w:hAnsi="Century Gothic" w:cs="Arial"/>
          <w:sz w:val="16"/>
          <w:szCs w:val="16"/>
        </w:rPr>
        <w:t>C.P.</w:t>
      </w:r>
      <w:r w:rsidRPr="00FE6FD8">
        <w:rPr>
          <w:rFonts w:ascii="Century Gothic" w:hAnsi="Century Gothic" w:cs="Arial"/>
          <w:spacing w:val="-4"/>
          <w:sz w:val="16"/>
          <w:szCs w:val="16"/>
        </w:rPr>
        <w:t xml:space="preserve"> </w:t>
      </w:r>
      <w:r w:rsidRPr="00FE6FD8">
        <w:rPr>
          <w:rFonts w:ascii="Century Gothic" w:hAnsi="Century Gothic" w:cs="Arial"/>
          <w:sz w:val="16"/>
          <w:szCs w:val="16"/>
        </w:rPr>
        <w:t>Enrique</w:t>
      </w:r>
      <w:r w:rsidRPr="00FE6FD8">
        <w:rPr>
          <w:rFonts w:ascii="Century Gothic" w:hAnsi="Century Gothic" w:cs="Arial"/>
          <w:spacing w:val="-3"/>
          <w:sz w:val="16"/>
          <w:szCs w:val="16"/>
        </w:rPr>
        <w:t xml:space="preserve"> </w:t>
      </w:r>
      <w:r w:rsidRPr="00FE6FD8">
        <w:rPr>
          <w:rFonts w:ascii="Century Gothic" w:hAnsi="Century Gothic" w:cs="Arial"/>
          <w:sz w:val="16"/>
          <w:szCs w:val="16"/>
        </w:rPr>
        <w:t>Gil</w:t>
      </w:r>
      <w:r w:rsidRPr="00FE6FD8">
        <w:rPr>
          <w:rFonts w:ascii="Century Gothic" w:hAnsi="Century Gothic" w:cs="Arial"/>
          <w:spacing w:val="-4"/>
          <w:sz w:val="16"/>
          <w:szCs w:val="16"/>
        </w:rPr>
        <w:t xml:space="preserve"> </w:t>
      </w:r>
      <w:r w:rsidRPr="00FE6FD8">
        <w:rPr>
          <w:rFonts w:ascii="Century Gothic" w:hAnsi="Century Gothic" w:cs="Arial"/>
          <w:sz w:val="16"/>
          <w:szCs w:val="16"/>
        </w:rPr>
        <w:t>Botero).</w:t>
      </w:r>
    </w:p>
  </w:footnote>
  <w:footnote w:id="9">
    <w:p w14:paraId="07294201" w14:textId="77777777" w:rsidR="005B4D3E" w:rsidRPr="00FE6FD8" w:rsidRDefault="005B4D3E" w:rsidP="005B4D3E">
      <w:pPr>
        <w:pStyle w:val="Textonotapie"/>
        <w:ind w:firstLine="709"/>
        <w:contextualSpacing/>
        <w:jc w:val="both"/>
        <w:rPr>
          <w:rFonts w:ascii="Century Gothic" w:hAnsi="Century Gothic" w:cs="Arial"/>
          <w:color w:val="000000"/>
          <w:sz w:val="16"/>
          <w:szCs w:val="16"/>
          <w:lang w:val="es-ES_tradnl"/>
        </w:rPr>
      </w:pPr>
      <w:r w:rsidRPr="00FE6FD8">
        <w:rPr>
          <w:rStyle w:val="Refdenotaalpie"/>
          <w:rFonts w:ascii="Century Gothic" w:hAnsi="Century Gothic" w:cs="Arial"/>
          <w:color w:val="000000"/>
          <w:sz w:val="16"/>
          <w:szCs w:val="16"/>
          <w:lang w:val="es-ES_tradnl"/>
        </w:rPr>
        <w:footnoteRef/>
      </w:r>
      <w:r w:rsidRPr="00FE6FD8">
        <w:rPr>
          <w:rFonts w:ascii="Century Gothic" w:hAnsi="Century Gothic" w:cs="Arial"/>
          <w:color w:val="000000"/>
          <w:sz w:val="16"/>
          <w:szCs w:val="16"/>
          <w:lang w:val="es-ES_tradnl"/>
        </w:rPr>
        <w:t xml:space="preserve"> En efecto, este artículo dispuso: “Adiciónese al artículo 2o de la Ley 1150 de 2007 el siguiente numeral.</w:t>
      </w:r>
    </w:p>
    <w:p w14:paraId="54D5DF87" w14:textId="77777777" w:rsidR="005B4D3E" w:rsidRPr="00FE6FD8" w:rsidRDefault="005B4D3E" w:rsidP="005B4D3E">
      <w:pPr>
        <w:pStyle w:val="Textonotapie"/>
        <w:ind w:firstLine="709"/>
        <w:contextualSpacing/>
        <w:jc w:val="both"/>
        <w:rPr>
          <w:rFonts w:ascii="Century Gothic" w:hAnsi="Century Gothic" w:cs="Arial"/>
          <w:color w:val="000000"/>
          <w:sz w:val="16"/>
          <w:szCs w:val="16"/>
          <w:lang w:val="es-ES_tradnl"/>
        </w:rPr>
      </w:pPr>
      <w:r w:rsidRPr="00FE6FD8">
        <w:rPr>
          <w:rFonts w:ascii="Century Gothic" w:hAnsi="Century Gothic" w:cs="Arial"/>
          <w:color w:val="000000"/>
          <w:sz w:val="16"/>
          <w:szCs w:val="16"/>
          <w:lang w:val="es-ES_tradnl"/>
        </w:rPr>
        <w:t>La contratación cuyo valor no excede del 10 por ciento de la menor cuantía de la entidad independientemente de su objeto, se efectuará de conformidad con las siguientes reglas:</w:t>
      </w:r>
    </w:p>
    <w:p w14:paraId="2BED1C9B" w14:textId="77777777" w:rsidR="005B4D3E" w:rsidRPr="00FE6FD8" w:rsidRDefault="005B4D3E" w:rsidP="005B4D3E">
      <w:pPr>
        <w:pStyle w:val="Textonotapie"/>
        <w:ind w:firstLine="709"/>
        <w:contextualSpacing/>
        <w:jc w:val="both"/>
        <w:rPr>
          <w:rFonts w:ascii="Century Gothic" w:hAnsi="Century Gothic" w:cs="Arial"/>
          <w:color w:val="000000"/>
          <w:sz w:val="16"/>
          <w:szCs w:val="16"/>
          <w:lang w:val="es-ES_tradnl"/>
        </w:rPr>
      </w:pPr>
      <w:r w:rsidRPr="00FE6FD8">
        <w:rPr>
          <w:rFonts w:ascii="Century Gothic" w:hAnsi="Century Gothic" w:cs="Arial"/>
          <w:color w:val="000000"/>
          <w:sz w:val="16"/>
          <w:szCs w:val="16"/>
          <w:lang w:val="es-ES_tradnl"/>
        </w:rPr>
        <w:t>a) Se publicará una invitación, por un término no inferior a un día hábil, en la cual se señalará el objeto a contratar, el presupuesto destinado para tal fin, así como las condiciones técnicas exigidas;</w:t>
      </w:r>
    </w:p>
    <w:p w14:paraId="426F22A0" w14:textId="77777777" w:rsidR="005B4D3E" w:rsidRPr="00FE6FD8" w:rsidRDefault="005B4D3E" w:rsidP="005B4D3E">
      <w:pPr>
        <w:pStyle w:val="Textonotapie"/>
        <w:ind w:firstLine="709"/>
        <w:contextualSpacing/>
        <w:jc w:val="both"/>
        <w:rPr>
          <w:rFonts w:ascii="Century Gothic" w:hAnsi="Century Gothic" w:cs="Arial"/>
          <w:color w:val="000000"/>
          <w:sz w:val="16"/>
          <w:szCs w:val="16"/>
          <w:lang w:val="es-ES_tradnl"/>
        </w:rPr>
      </w:pPr>
      <w:r w:rsidRPr="00FE6FD8">
        <w:rPr>
          <w:rFonts w:ascii="Century Gothic" w:hAnsi="Century Gothic" w:cs="Arial"/>
          <w:color w:val="000000"/>
          <w:sz w:val="16"/>
          <w:szCs w:val="16"/>
          <w:lang w:val="es-ES_tradnl"/>
        </w:rPr>
        <w:t>b) El término previsto en la invitación para presentar la oferta no podrá ser inferior a un día hábil;</w:t>
      </w:r>
    </w:p>
    <w:p w14:paraId="3C90366E" w14:textId="77777777" w:rsidR="005B4D3E" w:rsidRPr="00FE6FD8" w:rsidRDefault="005B4D3E" w:rsidP="005B4D3E">
      <w:pPr>
        <w:pStyle w:val="Textonotapie"/>
        <w:ind w:firstLine="709"/>
        <w:contextualSpacing/>
        <w:jc w:val="both"/>
        <w:rPr>
          <w:rFonts w:ascii="Century Gothic" w:hAnsi="Century Gothic" w:cs="Arial"/>
          <w:color w:val="000000"/>
          <w:sz w:val="16"/>
          <w:szCs w:val="16"/>
          <w:lang w:val="es-ES_tradnl"/>
        </w:rPr>
      </w:pPr>
      <w:r w:rsidRPr="00FE6FD8">
        <w:rPr>
          <w:rFonts w:ascii="Century Gothic" w:hAnsi="Century Gothic" w:cs="Arial"/>
          <w:color w:val="000000"/>
          <w:sz w:val="16"/>
          <w:szCs w:val="16"/>
          <w:lang w:val="es-ES_tradnl"/>
        </w:rPr>
        <w:t>c) La entidad seleccionará, mediante comunicación de aceptación de la oferta, la propuesta con el menor precio, siempre y cuando cumpla con las condiciones exigidas;</w:t>
      </w:r>
    </w:p>
    <w:p w14:paraId="0384FFCB" w14:textId="77777777" w:rsidR="005B4D3E" w:rsidRPr="00FE6FD8" w:rsidRDefault="005B4D3E" w:rsidP="005B4D3E">
      <w:pPr>
        <w:pStyle w:val="Textonotapie"/>
        <w:ind w:firstLine="709"/>
        <w:contextualSpacing/>
        <w:jc w:val="both"/>
        <w:rPr>
          <w:rFonts w:ascii="Century Gothic" w:hAnsi="Century Gothic" w:cs="Arial"/>
          <w:color w:val="000000"/>
          <w:sz w:val="16"/>
          <w:szCs w:val="16"/>
          <w:lang w:val="es-ES_tradnl"/>
        </w:rPr>
      </w:pPr>
      <w:r w:rsidRPr="00FE6FD8">
        <w:rPr>
          <w:rFonts w:ascii="Century Gothic" w:hAnsi="Century Gothic" w:cs="Arial"/>
          <w:color w:val="000000"/>
          <w:sz w:val="16"/>
          <w:szCs w:val="16"/>
          <w:lang w:val="es-ES_tradnl"/>
        </w:rPr>
        <w:t>d) La comunicación de aceptación junto con la oferta constituyen para todos los efectos el contrato celebrado, con base en lo cual se efectuará el respectivo registro presupuestal.</w:t>
      </w:r>
    </w:p>
    <w:p w14:paraId="2055BC74" w14:textId="77777777" w:rsidR="005B4D3E" w:rsidRPr="00FE6FD8" w:rsidRDefault="005B4D3E" w:rsidP="005B4D3E">
      <w:pPr>
        <w:pStyle w:val="Textonotapie"/>
        <w:ind w:firstLine="709"/>
        <w:contextualSpacing/>
        <w:jc w:val="both"/>
        <w:rPr>
          <w:rFonts w:ascii="Century Gothic" w:hAnsi="Century Gothic" w:cs="Arial"/>
          <w:color w:val="000000"/>
          <w:sz w:val="16"/>
          <w:szCs w:val="16"/>
          <w:lang w:val="es-ES_tradnl"/>
        </w:rPr>
      </w:pPr>
      <w:r w:rsidRPr="00FE6FD8">
        <w:rPr>
          <w:rFonts w:ascii="Century Gothic" w:hAnsi="Century Gothic" w:cs="Arial"/>
          <w:color w:val="000000"/>
          <w:sz w:val="16"/>
          <w:szCs w:val="16"/>
          <w:lang w:val="es-ES_tradnl"/>
        </w:rPr>
        <w:t>PARÁGRAFO 1o. Las particularidades del procedimiento aquí previsto, así como la posibilidad que tengan las entidades de realizar estas adquisiciones en establecimientos que correspondan a la definición de “gran almacén” señalada por la Superintendencia de Industria y Comercio, se determinarán en el reglamento que para el efecto expida el Gobierno Nacional.</w:t>
      </w:r>
    </w:p>
    <w:p w14:paraId="142B8057" w14:textId="77777777" w:rsidR="005B4D3E" w:rsidRPr="00FE6FD8" w:rsidRDefault="005B4D3E" w:rsidP="005B4D3E">
      <w:pPr>
        <w:pStyle w:val="Textonotapie"/>
        <w:ind w:firstLine="709"/>
        <w:contextualSpacing/>
        <w:jc w:val="both"/>
        <w:rPr>
          <w:rFonts w:ascii="Century Gothic" w:hAnsi="Century Gothic" w:cs="Arial"/>
          <w:color w:val="000000"/>
          <w:sz w:val="16"/>
          <w:szCs w:val="16"/>
          <w:lang w:val="es-ES_tradnl"/>
        </w:rPr>
      </w:pPr>
      <w:r w:rsidRPr="00FE6FD8">
        <w:rPr>
          <w:rFonts w:ascii="Century Gothic" w:hAnsi="Century Gothic" w:cs="Arial"/>
          <w:color w:val="000000"/>
          <w:sz w:val="16"/>
          <w:szCs w:val="16"/>
          <w:lang w:val="es-ES_tradnl"/>
        </w:rPr>
        <w:t>PARÁGRAFO 2o. La contratación a que se refiere el presente artículo se realizará exclusivamente con las reglas en él contempladas y en su reglamentación. En particular no se aplicará lo previsto en la Ley 816 de 2003, ni en el artículo 12 de la Ley 1150 de 2007”.</w:t>
      </w:r>
    </w:p>
  </w:footnote>
  <w:footnote w:id="10">
    <w:p w14:paraId="63E7470B" w14:textId="77777777" w:rsidR="005B4D3E" w:rsidRPr="00FE6FD8" w:rsidRDefault="005B4D3E" w:rsidP="005B4D3E">
      <w:pPr>
        <w:pStyle w:val="Textonotapie"/>
        <w:ind w:firstLine="709"/>
        <w:contextualSpacing/>
        <w:jc w:val="both"/>
        <w:rPr>
          <w:rFonts w:ascii="Century Gothic" w:hAnsi="Century Gothic" w:cs="Arial"/>
          <w:color w:val="000000"/>
          <w:sz w:val="16"/>
          <w:szCs w:val="16"/>
          <w:lang w:val="es-ES_tradnl"/>
        </w:rPr>
      </w:pPr>
    </w:p>
    <w:p w14:paraId="3A9D6F1A" w14:textId="77777777" w:rsidR="005B4D3E" w:rsidRPr="00FE6FD8" w:rsidRDefault="005B4D3E" w:rsidP="005B4D3E">
      <w:pPr>
        <w:pStyle w:val="Textonotapie"/>
        <w:ind w:firstLine="709"/>
        <w:contextualSpacing/>
        <w:jc w:val="both"/>
        <w:rPr>
          <w:rFonts w:ascii="Century Gothic" w:hAnsi="Century Gothic" w:cs="Arial"/>
          <w:color w:val="000000"/>
          <w:sz w:val="16"/>
          <w:szCs w:val="16"/>
          <w:lang w:val="es-ES_tradnl"/>
        </w:rPr>
      </w:pPr>
      <w:r w:rsidRPr="00FE6FD8">
        <w:rPr>
          <w:rStyle w:val="Refdenotaalpie"/>
          <w:rFonts w:ascii="Century Gothic" w:hAnsi="Century Gothic" w:cs="Arial"/>
          <w:color w:val="000000"/>
          <w:sz w:val="16"/>
          <w:szCs w:val="16"/>
          <w:lang w:val="es-ES_tradnl"/>
        </w:rPr>
        <w:footnoteRef/>
      </w:r>
      <w:r w:rsidRPr="00FE6FD8">
        <w:rPr>
          <w:rFonts w:ascii="Century Gothic" w:hAnsi="Century Gothic" w:cs="Arial"/>
          <w:color w:val="000000"/>
          <w:sz w:val="16"/>
          <w:szCs w:val="16"/>
          <w:lang w:val="es-ES_tradnl"/>
        </w:rPr>
        <w:t xml:space="preserve"> Esto lo ratifica el artículo 2.2.1.2.1.5.2. del Decreto 1082 de 2015.</w:t>
      </w:r>
    </w:p>
  </w:footnote>
  <w:footnote w:id="11">
    <w:p w14:paraId="44BC06D2" w14:textId="77777777" w:rsidR="005B4D3E" w:rsidRPr="00FE6FD8" w:rsidRDefault="005B4D3E" w:rsidP="005B4D3E">
      <w:pPr>
        <w:pStyle w:val="Textonotapie"/>
        <w:ind w:firstLine="709"/>
        <w:contextualSpacing/>
        <w:jc w:val="both"/>
        <w:rPr>
          <w:rFonts w:ascii="Century Gothic" w:hAnsi="Century Gothic" w:cs="Arial"/>
          <w:color w:val="000000"/>
          <w:sz w:val="16"/>
          <w:szCs w:val="16"/>
          <w:lang w:val="es-ES_tradnl"/>
        </w:rPr>
      </w:pPr>
      <w:r w:rsidRPr="00FE6FD8">
        <w:rPr>
          <w:rStyle w:val="Refdenotaalpie"/>
          <w:rFonts w:ascii="Century Gothic" w:hAnsi="Century Gothic" w:cs="Arial"/>
          <w:color w:val="000000"/>
          <w:sz w:val="16"/>
          <w:szCs w:val="16"/>
          <w:lang w:val="es-ES_tradnl"/>
        </w:rPr>
        <w:footnoteRef/>
      </w:r>
      <w:r w:rsidRPr="00FE6FD8">
        <w:rPr>
          <w:rFonts w:ascii="Century Gothic" w:hAnsi="Century Gothic" w:cs="Arial"/>
          <w:color w:val="000000"/>
          <w:sz w:val="16"/>
          <w:szCs w:val="16"/>
          <w:lang w:val="es-ES_tradnl"/>
        </w:rPr>
        <w:t xml:space="preserve"> DÁVILA VINUEZA, Luis Guillermo. Régimen jurídico de la contratación estatal. 3ª ed. Bogotá: Legis, 2016. p. 463.</w:t>
      </w:r>
    </w:p>
  </w:footnote>
  <w:footnote w:id="12">
    <w:p w14:paraId="7C5E7FFA" w14:textId="77777777" w:rsidR="005B4D3E" w:rsidRPr="00FE6FD8" w:rsidRDefault="005B4D3E" w:rsidP="005B4D3E">
      <w:pPr>
        <w:pStyle w:val="Textonotapie"/>
        <w:ind w:firstLine="709"/>
        <w:contextualSpacing/>
        <w:jc w:val="both"/>
        <w:rPr>
          <w:rFonts w:ascii="Century Gothic" w:hAnsi="Century Gothic" w:cs="Arial"/>
          <w:color w:val="000000"/>
          <w:sz w:val="16"/>
          <w:szCs w:val="16"/>
          <w:lang w:val="es-ES_tradnl"/>
        </w:rPr>
      </w:pPr>
    </w:p>
    <w:p w14:paraId="506083EB" w14:textId="77777777" w:rsidR="005B4D3E" w:rsidRPr="00FE6FD8" w:rsidRDefault="005B4D3E" w:rsidP="005B4D3E">
      <w:pPr>
        <w:pStyle w:val="Textonotapie"/>
        <w:ind w:firstLine="709"/>
        <w:contextualSpacing/>
        <w:jc w:val="both"/>
        <w:rPr>
          <w:rFonts w:ascii="Century Gothic" w:hAnsi="Century Gothic" w:cs="Arial"/>
          <w:color w:val="000000"/>
          <w:sz w:val="16"/>
          <w:szCs w:val="16"/>
          <w:lang w:val="es-ES_tradnl"/>
        </w:rPr>
      </w:pPr>
      <w:r w:rsidRPr="00FE6FD8">
        <w:rPr>
          <w:rStyle w:val="Refdenotaalpie"/>
          <w:rFonts w:ascii="Century Gothic" w:hAnsi="Century Gothic" w:cs="Arial"/>
          <w:color w:val="000000"/>
          <w:sz w:val="16"/>
          <w:szCs w:val="16"/>
          <w:lang w:val="es-ES_tradnl"/>
        </w:rPr>
        <w:footnoteRef/>
      </w:r>
      <w:r w:rsidRPr="00FE6FD8">
        <w:rPr>
          <w:rFonts w:ascii="Century Gothic" w:hAnsi="Century Gothic" w:cs="Arial"/>
          <w:color w:val="000000"/>
          <w:sz w:val="16"/>
          <w:szCs w:val="16"/>
          <w:lang w:val="es-ES_tradnl"/>
        </w:rPr>
        <w:t xml:space="preserve"> La contratación de mínima cuantía es aquella que no excede el 10% de la menor cuantía, o sea, que no supera el 10% de los topes definidos en el artículo 2, numeral 2, literal b) de la Ley 1150 de 2007, que dispone: “Se entenderá por menor cuantía los valores que a continuación se relacionan, determinados en función de los presupuestos anuales de las entidades públicas expresados en salarios mínimos legales mensuales.</w:t>
      </w:r>
    </w:p>
    <w:p w14:paraId="21B1B001" w14:textId="77777777" w:rsidR="005B4D3E" w:rsidRPr="00FE6FD8" w:rsidRDefault="005B4D3E" w:rsidP="005B4D3E">
      <w:pPr>
        <w:pStyle w:val="Textonotapie"/>
        <w:ind w:firstLine="709"/>
        <w:contextualSpacing/>
        <w:jc w:val="both"/>
        <w:rPr>
          <w:rFonts w:ascii="Century Gothic" w:hAnsi="Century Gothic" w:cs="Arial"/>
          <w:color w:val="000000"/>
          <w:sz w:val="16"/>
          <w:szCs w:val="16"/>
          <w:lang w:val="es-ES_tradnl"/>
        </w:rPr>
      </w:pPr>
      <w:r w:rsidRPr="00FE6FD8">
        <w:rPr>
          <w:rFonts w:ascii="Century Gothic" w:hAnsi="Century Gothic" w:cs="Arial"/>
          <w:color w:val="000000"/>
          <w:sz w:val="16"/>
          <w:szCs w:val="16"/>
          <w:lang w:val="es-ES_tradnl"/>
        </w:rPr>
        <w:t>Para las entidades que tengan un presupuesto anual superior o igual a 1.200.000 salarios mínimos legales mensuales, la menor cuantía será hasta 1.000 salarios mínimos legales mensuales.</w:t>
      </w:r>
    </w:p>
    <w:p w14:paraId="38B9E3D7" w14:textId="77777777" w:rsidR="005B4D3E" w:rsidRPr="00FE6FD8" w:rsidRDefault="005B4D3E" w:rsidP="005B4D3E">
      <w:pPr>
        <w:pStyle w:val="Textonotapie"/>
        <w:ind w:firstLine="709"/>
        <w:contextualSpacing/>
        <w:jc w:val="both"/>
        <w:rPr>
          <w:rFonts w:ascii="Century Gothic" w:hAnsi="Century Gothic" w:cs="Arial"/>
          <w:color w:val="000000"/>
          <w:sz w:val="16"/>
          <w:szCs w:val="16"/>
          <w:lang w:val="es-ES_tradnl"/>
        </w:rPr>
      </w:pPr>
      <w:r w:rsidRPr="00FE6FD8">
        <w:rPr>
          <w:rFonts w:ascii="Century Gothic" w:hAnsi="Century Gothic" w:cs="Arial"/>
          <w:color w:val="000000"/>
          <w:sz w:val="16"/>
          <w:szCs w:val="16"/>
          <w:lang w:val="es-ES_tradnl"/>
        </w:rPr>
        <w:t>Las que tengan un presupuesto anual superior o igual a 850.000 salarios mínimos legales mensuales e inferiores a 1.200.000 salarios mínimos legales mensuales, la menor cuantía será hasta 850 salarios mínimos legales mensuales.</w:t>
      </w:r>
    </w:p>
    <w:p w14:paraId="4E6681E7" w14:textId="77777777" w:rsidR="005B4D3E" w:rsidRPr="00FE6FD8" w:rsidRDefault="005B4D3E" w:rsidP="005B4D3E">
      <w:pPr>
        <w:pStyle w:val="Textonotapie"/>
        <w:ind w:firstLine="709"/>
        <w:contextualSpacing/>
        <w:jc w:val="both"/>
        <w:rPr>
          <w:rFonts w:ascii="Century Gothic" w:hAnsi="Century Gothic" w:cs="Arial"/>
          <w:color w:val="000000"/>
          <w:sz w:val="16"/>
          <w:szCs w:val="16"/>
          <w:lang w:val="es-ES_tradnl"/>
        </w:rPr>
      </w:pPr>
      <w:r w:rsidRPr="00FE6FD8">
        <w:rPr>
          <w:rFonts w:ascii="Century Gothic" w:hAnsi="Century Gothic" w:cs="Arial"/>
          <w:color w:val="000000"/>
          <w:sz w:val="16"/>
          <w:szCs w:val="16"/>
          <w:lang w:val="es-ES_tradnl"/>
        </w:rPr>
        <w:t>Las que tengan un presupuesto anual superior o igual a 400.000 salarios mínimos legales mensuales e inferior a 850.000 salarios mínimos legales mensuales, la menor cuantía será hasta 650 salarios mínimos legales mensuales.</w:t>
      </w:r>
    </w:p>
    <w:p w14:paraId="4D9249BE" w14:textId="77777777" w:rsidR="005B4D3E" w:rsidRPr="00FE6FD8" w:rsidRDefault="005B4D3E" w:rsidP="005B4D3E">
      <w:pPr>
        <w:pStyle w:val="Textonotapie"/>
        <w:ind w:firstLine="709"/>
        <w:contextualSpacing/>
        <w:jc w:val="both"/>
        <w:rPr>
          <w:rFonts w:ascii="Century Gothic" w:hAnsi="Century Gothic" w:cs="Arial"/>
          <w:color w:val="000000"/>
          <w:sz w:val="16"/>
          <w:szCs w:val="16"/>
          <w:lang w:val="es-ES_tradnl"/>
        </w:rPr>
      </w:pPr>
      <w:r w:rsidRPr="00FE6FD8">
        <w:rPr>
          <w:rFonts w:ascii="Century Gothic" w:hAnsi="Century Gothic" w:cs="Arial"/>
          <w:color w:val="000000"/>
          <w:sz w:val="16"/>
          <w:szCs w:val="16"/>
          <w:lang w:val="es-ES_tradnl"/>
        </w:rPr>
        <w:t>Las que tengan un presupuesto anual superior o igual a 120.000 salarios mínimos legales mensuales e inferior a 400.000 salarios mínimos legales mensuales, la menor cuantía será hasta 450 salarios mínimos legales mensuales.</w:t>
      </w:r>
    </w:p>
    <w:p w14:paraId="0023DB2A" w14:textId="77777777" w:rsidR="005B4D3E" w:rsidRPr="00FE6FD8" w:rsidRDefault="005B4D3E" w:rsidP="005B4D3E">
      <w:pPr>
        <w:pStyle w:val="Textonotapie"/>
        <w:ind w:firstLine="709"/>
        <w:contextualSpacing/>
        <w:jc w:val="both"/>
        <w:rPr>
          <w:rFonts w:ascii="Century Gothic" w:hAnsi="Century Gothic" w:cs="Arial"/>
          <w:color w:val="000000"/>
          <w:sz w:val="16"/>
          <w:szCs w:val="16"/>
          <w:lang w:val="es-ES_tradnl"/>
        </w:rPr>
      </w:pPr>
      <w:r w:rsidRPr="00FE6FD8">
        <w:rPr>
          <w:rFonts w:ascii="Century Gothic" w:hAnsi="Century Gothic" w:cs="Arial"/>
          <w:color w:val="000000"/>
          <w:sz w:val="16"/>
          <w:szCs w:val="16"/>
          <w:lang w:val="es-ES_tradnl"/>
        </w:rPr>
        <w:t>Las que tengan un presupuesto anual inferior a 120.000 salarios mínimos legales mensuales, la menor cuantía será hasta 280 salarios mínimos legales mensuales”.</w:t>
      </w:r>
    </w:p>
  </w:footnote>
  <w:footnote w:id="13">
    <w:p w14:paraId="7A9B8543" w14:textId="77777777" w:rsidR="005B4D3E" w:rsidRPr="00FE6FD8" w:rsidRDefault="005B4D3E" w:rsidP="005B4D3E">
      <w:pPr>
        <w:pStyle w:val="Textonotapie"/>
        <w:ind w:firstLine="709"/>
        <w:contextualSpacing/>
        <w:jc w:val="both"/>
        <w:rPr>
          <w:rFonts w:ascii="Century Gothic" w:hAnsi="Century Gothic" w:cs="Arial"/>
          <w:sz w:val="16"/>
          <w:szCs w:val="16"/>
        </w:rPr>
      </w:pPr>
    </w:p>
    <w:p w14:paraId="3B546596" w14:textId="77777777" w:rsidR="005B4D3E" w:rsidRPr="00FE6FD8" w:rsidRDefault="005B4D3E" w:rsidP="005B4D3E">
      <w:pPr>
        <w:pStyle w:val="Textonotapie"/>
        <w:ind w:firstLine="709"/>
        <w:contextualSpacing/>
        <w:jc w:val="both"/>
        <w:rPr>
          <w:rFonts w:ascii="Century Gothic" w:hAnsi="Century Gothic" w:cs="Arial"/>
          <w:color w:val="000000" w:themeColor="text1"/>
          <w:sz w:val="16"/>
          <w:szCs w:val="16"/>
          <w:lang w:val="es-ES_tradnl"/>
        </w:rPr>
      </w:pPr>
      <w:r w:rsidRPr="00FE6FD8">
        <w:rPr>
          <w:rStyle w:val="Refdenotaalpie"/>
          <w:rFonts w:ascii="Century Gothic" w:hAnsi="Century Gothic" w:cs="Arial"/>
          <w:sz w:val="16"/>
          <w:szCs w:val="16"/>
        </w:rPr>
        <w:footnoteRef/>
      </w:r>
      <w:r w:rsidRPr="00FE6FD8">
        <w:rPr>
          <w:rFonts w:ascii="Century Gothic" w:hAnsi="Century Gothic" w:cs="Arial"/>
          <w:sz w:val="16"/>
          <w:szCs w:val="16"/>
        </w:rPr>
        <w:t xml:space="preserve"> </w:t>
      </w:r>
      <w:r w:rsidRPr="00FE6FD8">
        <w:rPr>
          <w:rFonts w:ascii="Century Gothic" w:hAnsi="Century Gothic" w:cs="Arial"/>
          <w:color w:val="000000" w:themeColor="text1"/>
          <w:sz w:val="16"/>
          <w:szCs w:val="16"/>
          <w:lang w:val="es-ES_tradnl"/>
        </w:rPr>
        <w:t xml:space="preserve">Consejo de Estado. Sección Tercera. Subsección A. Auto del 29 de marzo de 2017. </w:t>
      </w:r>
      <w:proofErr w:type="spellStart"/>
      <w:r w:rsidRPr="00FE6FD8">
        <w:rPr>
          <w:rFonts w:ascii="Century Gothic" w:hAnsi="Century Gothic" w:cs="Arial"/>
          <w:color w:val="000000" w:themeColor="text1"/>
          <w:sz w:val="16"/>
          <w:szCs w:val="16"/>
          <w:lang w:val="es-ES_tradnl"/>
        </w:rPr>
        <w:t>Exp</w:t>
      </w:r>
      <w:proofErr w:type="spellEnd"/>
      <w:r w:rsidRPr="00FE6FD8">
        <w:rPr>
          <w:rFonts w:ascii="Century Gothic" w:hAnsi="Century Gothic" w:cs="Arial"/>
          <w:color w:val="000000" w:themeColor="text1"/>
          <w:sz w:val="16"/>
          <w:szCs w:val="16"/>
          <w:lang w:val="es-ES_tradnl"/>
        </w:rPr>
        <w:t>. 56.307. Consejero: Carlos Alberto Zambrano Barrera.</w:t>
      </w:r>
    </w:p>
  </w:footnote>
  <w:footnote w:id="14">
    <w:p w14:paraId="2FC9F24D" w14:textId="77777777" w:rsidR="005B4D3E" w:rsidRPr="00FE6FD8" w:rsidRDefault="005B4D3E" w:rsidP="005B4D3E">
      <w:pPr>
        <w:pStyle w:val="Textonotapie"/>
        <w:ind w:firstLine="708"/>
        <w:jc w:val="both"/>
        <w:rPr>
          <w:rFonts w:ascii="Century Gothic" w:hAnsi="Century Gothic" w:cs="Arial"/>
          <w:sz w:val="16"/>
          <w:szCs w:val="16"/>
        </w:rPr>
      </w:pPr>
      <w:r w:rsidRPr="00FE6FD8">
        <w:rPr>
          <w:rStyle w:val="Refdenotaalpie"/>
          <w:rFonts w:ascii="Century Gothic" w:hAnsi="Century Gothic" w:cs="Arial"/>
          <w:sz w:val="16"/>
          <w:szCs w:val="16"/>
        </w:rPr>
        <w:footnoteRef/>
      </w:r>
      <w:r w:rsidRPr="00FE6FD8">
        <w:rPr>
          <w:rFonts w:ascii="Century Gothic" w:hAnsi="Century Gothic" w:cs="Arial"/>
          <w:sz w:val="16"/>
          <w:szCs w:val="16"/>
        </w:rPr>
        <w:t xml:space="preserve"> Consejo de Estado. Sección Segunda. Sentencia del 9 de septiembre de 2021. Expediente No. 05001-23-33-000-2013-01143-01(1317-16). M.P. Dra. Sandra Lisset Ibarra Vélez.</w:t>
      </w:r>
    </w:p>
    <w:p w14:paraId="71614066" w14:textId="77777777" w:rsidR="005B4D3E" w:rsidRPr="00FE6FD8" w:rsidRDefault="005B4D3E" w:rsidP="005B4D3E">
      <w:pPr>
        <w:pStyle w:val="Textonotapie"/>
        <w:ind w:firstLine="708"/>
        <w:jc w:val="both"/>
        <w:rPr>
          <w:rFonts w:ascii="Century Gothic" w:hAnsi="Century Gothic" w:cs="Arial"/>
          <w:sz w:val="16"/>
          <w:szCs w:val="16"/>
        </w:rPr>
      </w:pPr>
    </w:p>
  </w:footnote>
  <w:footnote w:id="15">
    <w:p w14:paraId="3AF06D62" w14:textId="77777777" w:rsidR="005B4D3E" w:rsidRPr="00FE6FD8" w:rsidRDefault="005B4D3E" w:rsidP="005B4D3E">
      <w:pPr>
        <w:pStyle w:val="Textonotapie"/>
        <w:ind w:firstLine="708"/>
        <w:jc w:val="both"/>
        <w:rPr>
          <w:rFonts w:ascii="Century Gothic" w:hAnsi="Century Gothic" w:cs="Arial"/>
          <w:sz w:val="16"/>
          <w:szCs w:val="16"/>
        </w:rPr>
      </w:pPr>
      <w:r w:rsidRPr="00FE6FD8">
        <w:rPr>
          <w:rStyle w:val="Refdenotaalpie"/>
          <w:rFonts w:ascii="Century Gothic" w:hAnsi="Century Gothic" w:cs="Arial"/>
          <w:sz w:val="16"/>
          <w:szCs w:val="16"/>
        </w:rPr>
        <w:footnoteRef/>
      </w:r>
      <w:r w:rsidRPr="00FE6FD8">
        <w:rPr>
          <w:rFonts w:ascii="Century Gothic" w:hAnsi="Century Gothic" w:cs="Arial"/>
          <w:sz w:val="16"/>
          <w:szCs w:val="16"/>
        </w:rPr>
        <w:t xml:space="preserve"> Así lo señaló el Consejo de Estado en la sentencia de unificación en mención, al indicar que “cualquier contrato de prestación de servicios tiene por objeto genérico “desarrollar actividades relacionadas con la administración o funcionamiento de la entidad”.</w:t>
      </w:r>
    </w:p>
    <w:p w14:paraId="34A12AD5" w14:textId="77777777" w:rsidR="005B4D3E" w:rsidRPr="00FE6FD8" w:rsidRDefault="005B4D3E" w:rsidP="005B4D3E">
      <w:pPr>
        <w:pStyle w:val="Textonotapie"/>
        <w:ind w:firstLine="708"/>
        <w:jc w:val="both"/>
        <w:rPr>
          <w:rFonts w:ascii="Century Gothic" w:hAnsi="Century Gothic" w:cs="Arial"/>
          <w:sz w:val="16"/>
          <w:szCs w:val="16"/>
          <w:lang w:val="es-ES_tradnl"/>
        </w:rPr>
      </w:pPr>
    </w:p>
  </w:footnote>
  <w:footnote w:id="16">
    <w:p w14:paraId="25F50C3D" w14:textId="77777777" w:rsidR="005B4D3E" w:rsidRPr="00FE6FD8" w:rsidRDefault="005B4D3E" w:rsidP="005B4D3E">
      <w:pPr>
        <w:pStyle w:val="Textonotapie"/>
        <w:ind w:firstLine="708"/>
        <w:jc w:val="both"/>
        <w:rPr>
          <w:rFonts w:ascii="Century Gothic" w:hAnsi="Century Gothic" w:cs="Arial"/>
          <w:sz w:val="16"/>
          <w:szCs w:val="16"/>
          <w:lang w:val="es-ES"/>
        </w:rPr>
      </w:pPr>
      <w:r w:rsidRPr="00FE6FD8">
        <w:rPr>
          <w:rStyle w:val="Refdenotaalpie"/>
          <w:rFonts w:ascii="Century Gothic" w:hAnsi="Century Gothic" w:cs="Arial"/>
          <w:sz w:val="16"/>
          <w:szCs w:val="16"/>
        </w:rPr>
        <w:footnoteRef/>
      </w:r>
      <w:r w:rsidRPr="00FE6FD8">
        <w:rPr>
          <w:rFonts w:ascii="Century Gothic" w:hAnsi="Century Gothic" w:cs="Arial"/>
          <w:sz w:val="16"/>
          <w:szCs w:val="16"/>
        </w:rPr>
        <w:t xml:space="preserve"> </w:t>
      </w:r>
      <w:r w:rsidRPr="00FE6FD8">
        <w:rPr>
          <w:rFonts w:ascii="Century Gothic" w:hAnsi="Century Gothic" w:cs="Arial"/>
          <w:sz w:val="16"/>
          <w:szCs w:val="16"/>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 2. Quien presta el servicio se denomina trabajador, quien lo recibe y remunera, empleador, y la remuneración, cualquiera que sea su forma, salario”.</w:t>
      </w:r>
    </w:p>
    <w:p w14:paraId="44E3585A" w14:textId="77777777" w:rsidR="005B4D3E" w:rsidRPr="00FE6FD8" w:rsidRDefault="005B4D3E" w:rsidP="005B4D3E">
      <w:pPr>
        <w:pStyle w:val="Textonotapie"/>
        <w:ind w:firstLine="709"/>
        <w:jc w:val="both"/>
        <w:rPr>
          <w:rFonts w:ascii="Century Gothic" w:hAnsi="Century Gothic" w:cs="Arial"/>
          <w:sz w:val="16"/>
          <w:szCs w:val="16"/>
          <w:lang w:val="es-ES"/>
        </w:rPr>
      </w:pPr>
    </w:p>
  </w:footnote>
  <w:footnote w:id="17">
    <w:p w14:paraId="60C14684" w14:textId="77777777" w:rsidR="005B4D3E" w:rsidRPr="00FE6FD8" w:rsidRDefault="005B4D3E" w:rsidP="005B4D3E">
      <w:pPr>
        <w:pStyle w:val="Textonotapie"/>
        <w:ind w:firstLine="709"/>
        <w:jc w:val="both"/>
        <w:rPr>
          <w:rFonts w:ascii="Century Gothic" w:hAnsi="Century Gothic" w:cs="Arial"/>
          <w:sz w:val="16"/>
          <w:szCs w:val="16"/>
          <w:lang w:val="es-ES"/>
        </w:rPr>
      </w:pPr>
      <w:r w:rsidRPr="00FE6FD8">
        <w:rPr>
          <w:rStyle w:val="Refdenotaalpie"/>
          <w:rFonts w:ascii="Century Gothic" w:hAnsi="Century Gothic" w:cs="Arial"/>
          <w:sz w:val="16"/>
          <w:szCs w:val="16"/>
        </w:rPr>
        <w:footnoteRef/>
      </w:r>
      <w:r w:rsidRPr="00FE6FD8">
        <w:rPr>
          <w:rFonts w:ascii="Century Gothic" w:hAnsi="Century Gothic" w:cs="Arial"/>
          <w:sz w:val="16"/>
          <w:szCs w:val="16"/>
        </w:rPr>
        <w:t xml:space="preserve"> </w:t>
      </w:r>
      <w:r w:rsidRPr="00FE6FD8">
        <w:rPr>
          <w:rFonts w:ascii="Century Gothic" w:hAnsi="Century Gothic" w:cs="Arial"/>
          <w:sz w:val="16"/>
          <w:szCs w:val="16"/>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71BB1D47" w14:textId="77777777" w:rsidR="005B4D3E" w:rsidRPr="00FE6FD8" w:rsidRDefault="005B4D3E" w:rsidP="005B4D3E">
      <w:pPr>
        <w:pStyle w:val="Textonotapie"/>
        <w:ind w:firstLine="709"/>
        <w:jc w:val="both"/>
        <w:rPr>
          <w:rFonts w:ascii="Century Gothic" w:hAnsi="Century Gothic" w:cs="Arial"/>
          <w:sz w:val="16"/>
          <w:szCs w:val="16"/>
          <w:lang w:val="es-ES"/>
        </w:rPr>
      </w:pPr>
      <w:r w:rsidRPr="00FE6FD8">
        <w:rPr>
          <w:rFonts w:ascii="Century Gothic" w:hAnsi="Century Gothic" w:cs="Arial"/>
          <w:sz w:val="16"/>
          <w:szCs w:val="16"/>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325F1924" w14:textId="77777777" w:rsidR="005B4D3E" w:rsidRPr="00FE6FD8" w:rsidRDefault="005B4D3E" w:rsidP="005B4D3E">
      <w:pPr>
        <w:pStyle w:val="Textonotapie"/>
        <w:ind w:firstLine="709"/>
        <w:jc w:val="both"/>
        <w:rPr>
          <w:rFonts w:ascii="Century Gothic" w:hAnsi="Century Gothic" w:cs="Arial"/>
          <w:sz w:val="16"/>
          <w:szCs w:val="16"/>
          <w:lang w:val="es-ES"/>
        </w:rPr>
      </w:pPr>
      <w:r w:rsidRPr="00FE6FD8">
        <w:rPr>
          <w:rFonts w:ascii="Century Gothic" w:hAnsi="Century Gothic" w:cs="Arial"/>
          <w:sz w:val="16"/>
          <w:szCs w:val="16"/>
          <w:lang w:val="es-ES"/>
        </w:rPr>
        <w:t>El Gobierno nacional reglamentará el mecanismo para realizar la mensualización de que trata el presente artículo.</w:t>
      </w:r>
    </w:p>
    <w:p w14:paraId="055446BC" w14:textId="77777777" w:rsidR="005B4D3E" w:rsidRPr="00FE6FD8" w:rsidRDefault="005B4D3E" w:rsidP="005B4D3E">
      <w:pPr>
        <w:pStyle w:val="Textonotapie"/>
        <w:ind w:firstLine="709"/>
        <w:jc w:val="both"/>
        <w:rPr>
          <w:rFonts w:ascii="Century Gothic" w:hAnsi="Century Gothic" w:cs="Arial"/>
          <w:sz w:val="16"/>
          <w:szCs w:val="16"/>
          <w:lang w:val="pt-BR"/>
        </w:rPr>
      </w:pPr>
      <w:r w:rsidRPr="00FE6FD8">
        <w:rPr>
          <w:rFonts w:ascii="Century Gothic" w:hAnsi="Century Gothic" w:cs="Arial"/>
          <w:sz w:val="16"/>
          <w:szCs w:val="16"/>
          <w:lang w:val="pt-BR"/>
        </w:rPr>
        <w:t>[…]”.</w:t>
      </w:r>
    </w:p>
    <w:p w14:paraId="0D2A46CF" w14:textId="77777777" w:rsidR="005B4D3E" w:rsidRPr="00FE6FD8" w:rsidRDefault="005B4D3E" w:rsidP="005B4D3E">
      <w:pPr>
        <w:pStyle w:val="Textonotapie"/>
        <w:ind w:firstLine="709"/>
        <w:jc w:val="both"/>
        <w:rPr>
          <w:rFonts w:ascii="Century Gothic" w:hAnsi="Century Gothic" w:cs="Arial"/>
          <w:sz w:val="16"/>
          <w:szCs w:val="16"/>
          <w:lang w:val="pt-BR"/>
        </w:rPr>
      </w:pPr>
    </w:p>
  </w:footnote>
  <w:footnote w:id="18">
    <w:p w14:paraId="29EB22A1" w14:textId="77777777" w:rsidR="005B4D3E" w:rsidRPr="00FE6FD8" w:rsidRDefault="005B4D3E" w:rsidP="005B4D3E">
      <w:pPr>
        <w:pStyle w:val="Textonotapie"/>
        <w:ind w:firstLine="709"/>
        <w:jc w:val="both"/>
        <w:rPr>
          <w:rFonts w:ascii="Century Gothic" w:hAnsi="Century Gothic" w:cs="Arial"/>
          <w:sz w:val="16"/>
          <w:szCs w:val="16"/>
          <w:lang w:val="es-ES"/>
        </w:rPr>
      </w:pPr>
      <w:r w:rsidRPr="00FE6FD8">
        <w:rPr>
          <w:rStyle w:val="Refdenotaalpie"/>
          <w:rFonts w:ascii="Century Gothic" w:hAnsi="Century Gothic" w:cs="Arial"/>
          <w:sz w:val="16"/>
          <w:szCs w:val="16"/>
        </w:rPr>
        <w:footnoteRef/>
      </w:r>
      <w:r w:rsidRPr="00FE6FD8">
        <w:rPr>
          <w:rFonts w:ascii="Century Gothic" w:hAnsi="Century Gothic" w:cs="Arial"/>
          <w:sz w:val="16"/>
          <w:szCs w:val="16"/>
          <w:lang w:val="pt-BR"/>
        </w:rPr>
        <w:t xml:space="preserve"> Corte Constitucional. Sentencia C-154 de 1997. </w:t>
      </w:r>
      <w:r w:rsidRPr="00FE6FD8">
        <w:rPr>
          <w:rFonts w:ascii="Century Gothic" w:hAnsi="Century Gothic" w:cs="Arial"/>
          <w:sz w:val="16"/>
          <w:szCs w:val="16"/>
          <w:lang w:val="es-ES"/>
        </w:rPr>
        <w:t>M.P.: Hernando Herrera Vergara.</w:t>
      </w:r>
    </w:p>
    <w:p w14:paraId="3C9C5381" w14:textId="77777777" w:rsidR="005B4D3E" w:rsidRPr="00FE6FD8" w:rsidRDefault="005B4D3E" w:rsidP="005B4D3E">
      <w:pPr>
        <w:pStyle w:val="Textonotapie"/>
        <w:ind w:firstLine="709"/>
        <w:jc w:val="both"/>
        <w:rPr>
          <w:rFonts w:ascii="Century Gothic" w:hAnsi="Century Gothic" w:cs="Arial"/>
          <w:sz w:val="16"/>
          <w:szCs w:val="16"/>
          <w:lang w:val="es-ES"/>
        </w:rPr>
      </w:pPr>
    </w:p>
  </w:footnote>
  <w:footnote w:id="19">
    <w:p w14:paraId="543C4D9C" w14:textId="77777777" w:rsidR="005B4D3E" w:rsidRPr="00FE6FD8" w:rsidRDefault="005B4D3E" w:rsidP="005B4D3E">
      <w:pPr>
        <w:pStyle w:val="Textonotapie"/>
        <w:ind w:firstLine="709"/>
        <w:jc w:val="both"/>
        <w:rPr>
          <w:rFonts w:ascii="Century Gothic" w:hAnsi="Century Gothic" w:cs="Arial"/>
          <w:sz w:val="16"/>
          <w:szCs w:val="16"/>
          <w:lang w:val="es-ES"/>
        </w:rPr>
      </w:pPr>
      <w:r w:rsidRPr="00FE6FD8">
        <w:rPr>
          <w:rStyle w:val="Refdenotaalpie"/>
          <w:rFonts w:ascii="Century Gothic" w:hAnsi="Century Gothic" w:cs="Arial"/>
          <w:sz w:val="16"/>
          <w:szCs w:val="16"/>
        </w:rPr>
        <w:footnoteRef/>
      </w:r>
      <w:r w:rsidRPr="00FE6FD8">
        <w:rPr>
          <w:rFonts w:ascii="Century Gothic" w:hAnsi="Century Gothic" w:cs="Arial"/>
          <w:sz w:val="16"/>
          <w:szCs w:val="16"/>
        </w:rPr>
        <w:t xml:space="preserve"> </w:t>
      </w:r>
      <w:r w:rsidRPr="00FE6FD8">
        <w:rPr>
          <w:rFonts w:ascii="Century Gothic" w:hAnsi="Century Gothic" w:cs="Arial"/>
          <w:sz w:val="16"/>
          <w:szCs w:val="16"/>
          <w:lang w:val="es-ES"/>
        </w:rPr>
        <w:t>Ibid.</w:t>
      </w:r>
    </w:p>
    <w:p w14:paraId="287A3A08" w14:textId="77777777" w:rsidR="005B4D3E" w:rsidRPr="00FE6FD8" w:rsidRDefault="005B4D3E" w:rsidP="005B4D3E">
      <w:pPr>
        <w:pStyle w:val="Textonotapie"/>
        <w:ind w:firstLine="709"/>
        <w:jc w:val="both"/>
        <w:rPr>
          <w:rFonts w:ascii="Century Gothic" w:hAnsi="Century Gothic" w:cs="Arial"/>
          <w:sz w:val="16"/>
          <w:szCs w:val="16"/>
          <w:lang w:val="es-ES"/>
        </w:rPr>
      </w:pPr>
    </w:p>
  </w:footnote>
  <w:footnote w:id="20">
    <w:p w14:paraId="74110F02" w14:textId="77777777" w:rsidR="005B4D3E" w:rsidRPr="00FE6FD8" w:rsidRDefault="005B4D3E" w:rsidP="005B4D3E">
      <w:pPr>
        <w:pStyle w:val="Textonotapie"/>
        <w:ind w:firstLine="709"/>
        <w:jc w:val="both"/>
        <w:rPr>
          <w:rFonts w:ascii="Century Gothic" w:hAnsi="Century Gothic" w:cs="Arial"/>
          <w:sz w:val="16"/>
          <w:szCs w:val="16"/>
        </w:rPr>
      </w:pPr>
      <w:r w:rsidRPr="00FE6FD8">
        <w:rPr>
          <w:rStyle w:val="Refdenotaalpie"/>
          <w:rFonts w:ascii="Century Gothic" w:hAnsi="Century Gothic" w:cs="Arial"/>
          <w:sz w:val="16"/>
          <w:szCs w:val="16"/>
        </w:rPr>
        <w:footnoteRef/>
      </w:r>
      <w:r w:rsidRPr="00FE6FD8">
        <w:rPr>
          <w:rFonts w:ascii="Century Gothic" w:hAnsi="Century Gothic" w:cs="Arial"/>
          <w:sz w:val="16"/>
          <w:szCs w:val="16"/>
        </w:rPr>
        <w:t xml:space="preserve"> </w:t>
      </w:r>
      <w:r w:rsidRPr="00FE6FD8">
        <w:rPr>
          <w:rFonts w:ascii="Century Gothic" w:hAnsi="Century Gothic" w:cs="Arial"/>
          <w:sz w:val="16"/>
          <w:szCs w:val="16"/>
          <w:lang w:val="es-ES"/>
        </w:rPr>
        <w:t xml:space="preserve">Consejo de Estado. Sección Tercera. Subsección C. Sentencia de Unificación del 2 de diciembre de 2013. </w:t>
      </w:r>
      <w:proofErr w:type="spellStart"/>
      <w:r w:rsidRPr="00FE6FD8">
        <w:rPr>
          <w:rFonts w:ascii="Century Gothic" w:hAnsi="Century Gothic" w:cs="Arial"/>
          <w:sz w:val="16"/>
          <w:szCs w:val="16"/>
          <w:lang w:val="es-ES"/>
        </w:rPr>
        <w:t>Exp</w:t>
      </w:r>
      <w:proofErr w:type="spellEnd"/>
      <w:r w:rsidRPr="00FE6FD8">
        <w:rPr>
          <w:rFonts w:ascii="Century Gothic" w:hAnsi="Century Gothic" w:cs="Arial"/>
          <w:sz w:val="16"/>
          <w:szCs w:val="16"/>
          <w:lang w:val="es-ES"/>
        </w:rPr>
        <w:t xml:space="preserve">. 41.719. C.P. Jaime Orlando Santofimio Gamboa. </w:t>
      </w:r>
    </w:p>
    <w:p w14:paraId="4D79B237" w14:textId="77777777" w:rsidR="005B4D3E" w:rsidRPr="00FE6FD8" w:rsidRDefault="005B4D3E" w:rsidP="005B4D3E">
      <w:pPr>
        <w:pStyle w:val="Textonotapie"/>
        <w:ind w:firstLine="709"/>
        <w:jc w:val="both"/>
        <w:rPr>
          <w:rFonts w:ascii="Century Gothic" w:hAnsi="Century Gothic" w:cs="Arial"/>
          <w:sz w:val="16"/>
          <w:szCs w:val="16"/>
          <w:lang w:val="es-ES"/>
        </w:rPr>
      </w:pPr>
      <w:r w:rsidRPr="00FE6FD8">
        <w:rPr>
          <w:rFonts w:ascii="Century Gothic" w:hAnsi="Century Gothic" w:cs="Arial"/>
          <w:sz w:val="16"/>
          <w:szCs w:val="16"/>
          <w:lang w:val="es-ES"/>
        </w:rPr>
        <w:t>Además,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50B6D6CC" w14:textId="77777777" w:rsidR="005B4D3E" w:rsidRPr="00FE6FD8" w:rsidRDefault="005B4D3E" w:rsidP="005B4D3E">
      <w:pPr>
        <w:pStyle w:val="Textonotapie"/>
        <w:ind w:firstLine="709"/>
        <w:jc w:val="both"/>
        <w:rPr>
          <w:rFonts w:ascii="Century Gothic" w:hAnsi="Century Gothic" w:cs="Arial"/>
          <w:sz w:val="16"/>
          <w:szCs w:val="16"/>
          <w:lang w:val="es-ES"/>
        </w:rPr>
      </w:pPr>
      <w:r w:rsidRPr="00FE6FD8">
        <w:rPr>
          <w:rFonts w:ascii="Century Gothic" w:hAnsi="Century Gothic" w:cs="Arial"/>
          <w:sz w:val="16"/>
          <w:szCs w:val="16"/>
          <w:lang w:val="es-ES"/>
        </w:rPr>
        <w:t>Son también contratos de consultoría los que tienen por objeto la interventoría, asesoría, gerencia de obra o de proyectos, dirección, programación y la ejecución de diseños, planos, anteproyectos y proyectos.</w:t>
      </w:r>
    </w:p>
    <w:p w14:paraId="115B42C1" w14:textId="77777777" w:rsidR="005B4D3E" w:rsidRPr="00FE6FD8" w:rsidRDefault="005B4D3E" w:rsidP="005B4D3E">
      <w:pPr>
        <w:pStyle w:val="Textonotapie"/>
        <w:ind w:firstLine="709"/>
        <w:jc w:val="both"/>
        <w:rPr>
          <w:rFonts w:ascii="Century Gothic" w:hAnsi="Century Gothic" w:cs="Arial"/>
          <w:sz w:val="16"/>
          <w:szCs w:val="16"/>
          <w:lang w:val="es-ES"/>
        </w:rPr>
      </w:pPr>
      <w:r w:rsidRPr="00FE6FD8">
        <w:rPr>
          <w:rFonts w:ascii="Century Gothic" w:hAnsi="Century Gothic" w:cs="Arial"/>
          <w:sz w:val="16"/>
          <w:szCs w:val="16"/>
          <w:lang w:val="es-ES"/>
        </w:rPr>
        <w:t xml:space="preserve">Ninguna orden del interventor de una obra podrá darse verbalmente. Es obligatorio para el interventor entregar por escrito sus órdenes o sugerencias y ellas deben </w:t>
      </w:r>
      <w:proofErr w:type="gramStart"/>
      <w:r w:rsidRPr="00FE6FD8">
        <w:rPr>
          <w:rFonts w:ascii="Century Gothic" w:hAnsi="Century Gothic" w:cs="Arial"/>
          <w:sz w:val="16"/>
          <w:szCs w:val="16"/>
          <w:lang w:val="es-ES"/>
        </w:rPr>
        <w:t>enmarcarse dentro de</w:t>
      </w:r>
      <w:proofErr w:type="gramEnd"/>
      <w:r w:rsidRPr="00FE6FD8">
        <w:rPr>
          <w:rFonts w:ascii="Century Gothic" w:hAnsi="Century Gothic" w:cs="Arial"/>
          <w:sz w:val="16"/>
          <w:szCs w:val="16"/>
          <w:lang w:val="es-ES"/>
        </w:rPr>
        <w:t xml:space="preserve"> los términos del respectivo contrato”.</w:t>
      </w:r>
    </w:p>
    <w:p w14:paraId="751C9624" w14:textId="77777777" w:rsidR="005B4D3E" w:rsidRPr="00FE6FD8" w:rsidRDefault="005B4D3E" w:rsidP="005B4D3E">
      <w:pPr>
        <w:pStyle w:val="Textonotapie"/>
        <w:ind w:firstLine="709"/>
        <w:jc w:val="both"/>
        <w:rPr>
          <w:rFonts w:ascii="Century Gothic" w:hAnsi="Century Gothic" w:cs="Arial"/>
          <w:sz w:val="16"/>
          <w:szCs w:val="16"/>
          <w:lang w:val="es-ES"/>
        </w:rPr>
      </w:pPr>
    </w:p>
  </w:footnote>
  <w:footnote w:id="21">
    <w:p w14:paraId="64B8CD79" w14:textId="77777777" w:rsidR="005B4D3E" w:rsidRPr="00FE6FD8" w:rsidRDefault="005B4D3E" w:rsidP="005B4D3E">
      <w:pPr>
        <w:pStyle w:val="Textonotapie"/>
        <w:ind w:firstLine="709"/>
        <w:jc w:val="both"/>
        <w:rPr>
          <w:rFonts w:ascii="Century Gothic" w:hAnsi="Century Gothic" w:cs="Arial"/>
          <w:sz w:val="16"/>
          <w:szCs w:val="16"/>
          <w:lang w:val="es-ES"/>
        </w:rPr>
      </w:pPr>
      <w:r w:rsidRPr="00FE6FD8">
        <w:rPr>
          <w:rStyle w:val="Refdenotaalpie"/>
          <w:rFonts w:ascii="Century Gothic" w:hAnsi="Century Gothic" w:cs="Arial"/>
          <w:sz w:val="16"/>
          <w:szCs w:val="16"/>
        </w:rPr>
        <w:footnoteRef/>
      </w:r>
      <w:r w:rsidRPr="00FE6FD8">
        <w:rPr>
          <w:rFonts w:ascii="Century Gothic" w:hAnsi="Century Gothic" w:cs="Arial"/>
          <w:sz w:val="16"/>
          <w:szCs w:val="16"/>
        </w:rPr>
        <w:t xml:space="preserve"> </w:t>
      </w:r>
      <w:r w:rsidRPr="00FE6FD8">
        <w:rPr>
          <w:rFonts w:ascii="Century Gothic" w:hAnsi="Century Gothic" w:cs="Arial"/>
          <w:sz w:val="16"/>
          <w:szCs w:val="16"/>
          <w:lang w:val="es-ES"/>
        </w:rPr>
        <w:t>Así lo dispone el artículo 2.2.1.2.1.4.1. del Decreto 1082 de 2015: “La Entidad Estatal debe señalar en un acto administrativo la justificación para contratar bajo la modalidad de contratación directa, el cual debe contener:</w:t>
      </w:r>
    </w:p>
    <w:p w14:paraId="20AF9877" w14:textId="77777777" w:rsidR="005B4D3E" w:rsidRPr="00FE6FD8" w:rsidRDefault="005B4D3E" w:rsidP="005B4D3E">
      <w:pPr>
        <w:pStyle w:val="Textonotapie"/>
        <w:ind w:firstLine="709"/>
        <w:jc w:val="both"/>
        <w:rPr>
          <w:rFonts w:ascii="Century Gothic" w:hAnsi="Century Gothic" w:cs="Arial"/>
          <w:sz w:val="16"/>
          <w:szCs w:val="16"/>
          <w:lang w:val="es-ES"/>
        </w:rPr>
      </w:pPr>
      <w:r w:rsidRPr="00FE6FD8">
        <w:rPr>
          <w:rFonts w:ascii="Century Gothic" w:hAnsi="Century Gothic" w:cs="Arial"/>
          <w:sz w:val="16"/>
          <w:szCs w:val="16"/>
          <w:lang w:val="es-ES"/>
        </w:rPr>
        <w:t>1. La causal que invoca para contratar directamente.</w:t>
      </w:r>
    </w:p>
    <w:p w14:paraId="0B78CA3A" w14:textId="77777777" w:rsidR="005B4D3E" w:rsidRPr="00FE6FD8" w:rsidRDefault="005B4D3E" w:rsidP="005B4D3E">
      <w:pPr>
        <w:pStyle w:val="Textonotapie"/>
        <w:ind w:firstLine="709"/>
        <w:jc w:val="both"/>
        <w:rPr>
          <w:rFonts w:ascii="Century Gothic" w:hAnsi="Century Gothic" w:cs="Arial"/>
          <w:sz w:val="16"/>
          <w:szCs w:val="16"/>
          <w:lang w:val="es-ES"/>
        </w:rPr>
      </w:pPr>
      <w:r w:rsidRPr="00FE6FD8">
        <w:rPr>
          <w:rFonts w:ascii="Century Gothic" w:hAnsi="Century Gothic" w:cs="Arial"/>
          <w:sz w:val="16"/>
          <w:szCs w:val="16"/>
          <w:lang w:val="es-ES"/>
        </w:rPr>
        <w:t>2. El objeto del contrato.</w:t>
      </w:r>
    </w:p>
    <w:p w14:paraId="33F2C101" w14:textId="77777777" w:rsidR="005B4D3E" w:rsidRPr="00FE6FD8" w:rsidRDefault="005B4D3E" w:rsidP="005B4D3E">
      <w:pPr>
        <w:pStyle w:val="Textonotapie"/>
        <w:ind w:firstLine="709"/>
        <w:jc w:val="both"/>
        <w:rPr>
          <w:rFonts w:ascii="Century Gothic" w:hAnsi="Century Gothic" w:cs="Arial"/>
          <w:sz w:val="16"/>
          <w:szCs w:val="16"/>
          <w:lang w:val="es-ES"/>
        </w:rPr>
      </w:pPr>
      <w:r w:rsidRPr="00FE6FD8">
        <w:rPr>
          <w:rFonts w:ascii="Century Gothic" w:hAnsi="Century Gothic" w:cs="Arial"/>
          <w:sz w:val="16"/>
          <w:szCs w:val="16"/>
          <w:lang w:val="es-ES"/>
        </w:rPr>
        <w:t>3. El presupuesto para la contratación y las condiciones que exigirá al contratista.</w:t>
      </w:r>
    </w:p>
    <w:p w14:paraId="02E3041B" w14:textId="77777777" w:rsidR="005B4D3E" w:rsidRPr="00FE6FD8" w:rsidRDefault="005B4D3E" w:rsidP="005B4D3E">
      <w:pPr>
        <w:pStyle w:val="Textonotapie"/>
        <w:ind w:firstLine="709"/>
        <w:jc w:val="both"/>
        <w:rPr>
          <w:rFonts w:ascii="Century Gothic" w:hAnsi="Century Gothic" w:cs="Arial"/>
          <w:sz w:val="16"/>
          <w:szCs w:val="16"/>
          <w:lang w:val="es-ES"/>
        </w:rPr>
      </w:pPr>
      <w:r w:rsidRPr="00FE6FD8">
        <w:rPr>
          <w:rFonts w:ascii="Century Gothic" w:hAnsi="Century Gothic" w:cs="Arial"/>
          <w:sz w:val="16"/>
          <w:szCs w:val="16"/>
          <w:lang w:val="es-ES"/>
        </w:rPr>
        <w:t>4. El lugar en el cual los interesados pueden consultar los estudios y documentos previos.</w:t>
      </w:r>
    </w:p>
    <w:p w14:paraId="5A2130E3" w14:textId="77777777" w:rsidR="005B4D3E" w:rsidRPr="00FE6FD8" w:rsidRDefault="005B4D3E" w:rsidP="005B4D3E">
      <w:pPr>
        <w:pStyle w:val="Textonotapie"/>
        <w:ind w:firstLine="709"/>
        <w:jc w:val="both"/>
        <w:rPr>
          <w:rFonts w:ascii="Century Gothic" w:hAnsi="Century Gothic" w:cs="Arial"/>
          <w:sz w:val="16"/>
          <w:szCs w:val="16"/>
          <w:lang w:val="es-ES"/>
        </w:rPr>
      </w:pPr>
      <w:r w:rsidRPr="00FE6FD8">
        <w:rPr>
          <w:rFonts w:ascii="Century Gothic" w:hAnsi="Century Gothic" w:cs="Arial"/>
          <w:sz w:val="16"/>
          <w:szCs w:val="16"/>
          <w:lang w:val="es-ES"/>
        </w:rPr>
        <w:t>Este acto administrativo no es necesario cuando el contrato a celebrar es de prestación de servicios profesionales y de apoyo a la gestión, y para los contratos de que tratan los literales (a) y (b) del artículo 2.2.1.2.1.4.3 del presente decreto”.</w:t>
      </w:r>
    </w:p>
    <w:p w14:paraId="465D4D55" w14:textId="77777777" w:rsidR="005B4D3E" w:rsidRPr="00FE6FD8" w:rsidRDefault="005B4D3E" w:rsidP="005B4D3E">
      <w:pPr>
        <w:pStyle w:val="Textonotapie"/>
        <w:ind w:firstLine="709"/>
        <w:jc w:val="both"/>
        <w:rPr>
          <w:rFonts w:ascii="Century Gothic" w:hAnsi="Century Gothic" w:cs="Arial"/>
          <w:sz w:val="16"/>
          <w:szCs w:val="16"/>
          <w:lang w:val="es-ES"/>
        </w:rPr>
      </w:pPr>
    </w:p>
  </w:footnote>
  <w:footnote w:id="22">
    <w:p w14:paraId="046C90B2" w14:textId="77777777" w:rsidR="005B4D3E" w:rsidRPr="00FE6FD8" w:rsidRDefault="005B4D3E" w:rsidP="005B4D3E">
      <w:pPr>
        <w:pStyle w:val="Textonotapie"/>
        <w:ind w:firstLine="709"/>
        <w:jc w:val="both"/>
        <w:rPr>
          <w:rFonts w:ascii="Century Gothic" w:hAnsi="Century Gothic" w:cs="Arial"/>
          <w:sz w:val="16"/>
          <w:szCs w:val="16"/>
          <w:lang w:val="es-ES"/>
        </w:rPr>
      </w:pPr>
      <w:r w:rsidRPr="00FE6FD8">
        <w:rPr>
          <w:rStyle w:val="Refdenotaalpie"/>
          <w:rFonts w:ascii="Century Gothic" w:hAnsi="Century Gothic" w:cs="Arial"/>
          <w:sz w:val="16"/>
          <w:szCs w:val="16"/>
        </w:rPr>
        <w:footnoteRef/>
      </w:r>
      <w:r w:rsidRPr="00FE6FD8">
        <w:rPr>
          <w:rFonts w:ascii="Century Gothic" w:hAnsi="Century Gothic" w:cs="Arial"/>
          <w:sz w:val="16"/>
          <w:szCs w:val="16"/>
        </w:rPr>
        <w:t xml:space="preserve"> </w:t>
      </w:r>
      <w:r w:rsidRPr="00FE6FD8">
        <w:rPr>
          <w:rFonts w:ascii="Century Gothic" w:hAnsi="Century Gothic" w:cs="Arial"/>
          <w:sz w:val="16"/>
          <w:szCs w:val="16"/>
          <w:lang w:val="es-ES"/>
        </w:rPr>
        <w:t xml:space="preserve">La norma expresa: “Art. 14. </w:t>
      </w:r>
      <w:r w:rsidRPr="00FE6FD8">
        <w:rPr>
          <w:rFonts w:ascii="Century Gothic" w:hAnsi="Century Gothic" w:cs="Arial"/>
          <w:sz w:val="16"/>
          <w:szCs w:val="16"/>
        </w:rPr>
        <w:t>P</w:t>
      </w:r>
      <w:r w:rsidRPr="00FE6FD8">
        <w:rPr>
          <w:rFonts w:ascii="Century Gothic" w:hAnsi="Century Gothic" w:cs="Arial"/>
          <w:sz w:val="16"/>
          <w:szCs w:val="16"/>
          <w:lang w:val="es-ES"/>
        </w:rPr>
        <w:t>ara el cumplimiento de los fines de la contratación, las entidades estatales al celebrar un contrato:</w:t>
      </w:r>
    </w:p>
    <w:p w14:paraId="53F7B5D5" w14:textId="77777777" w:rsidR="005B4D3E" w:rsidRPr="00FE6FD8" w:rsidRDefault="005B4D3E" w:rsidP="005B4D3E">
      <w:pPr>
        <w:pStyle w:val="Textonotapie"/>
        <w:ind w:firstLine="709"/>
        <w:jc w:val="both"/>
        <w:rPr>
          <w:rFonts w:ascii="Century Gothic" w:hAnsi="Century Gothic" w:cs="Arial"/>
          <w:sz w:val="16"/>
          <w:szCs w:val="16"/>
          <w:lang w:val="es-ES"/>
        </w:rPr>
      </w:pPr>
      <w:r w:rsidRPr="00FE6FD8">
        <w:rPr>
          <w:rFonts w:ascii="Century Gothic" w:hAnsi="Century Gothic" w:cs="Arial"/>
          <w:sz w:val="16"/>
          <w:szCs w:val="16"/>
          <w:lang w:val="es-ES"/>
        </w:rPr>
        <w:t>[…]</w:t>
      </w:r>
    </w:p>
    <w:p w14:paraId="61079CEB" w14:textId="77777777" w:rsidR="005B4D3E" w:rsidRPr="00FE6FD8" w:rsidRDefault="005B4D3E" w:rsidP="005B4D3E">
      <w:pPr>
        <w:pStyle w:val="Textonotapie"/>
        <w:ind w:firstLine="709"/>
        <w:jc w:val="both"/>
        <w:rPr>
          <w:rFonts w:ascii="Century Gothic" w:hAnsi="Century Gothic" w:cs="Arial"/>
          <w:sz w:val="16"/>
          <w:szCs w:val="16"/>
          <w:lang w:val="es-ES"/>
        </w:rPr>
      </w:pPr>
      <w:r w:rsidRPr="00FE6FD8">
        <w:rPr>
          <w:rFonts w:ascii="Century Gothic" w:hAnsi="Century Gothic" w:cs="Arial"/>
          <w:sz w:val="16"/>
          <w:szCs w:val="16"/>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7C1BDCD4" w14:textId="77777777" w:rsidR="005B4D3E" w:rsidRPr="00FE6FD8" w:rsidRDefault="005B4D3E" w:rsidP="005B4D3E">
      <w:pPr>
        <w:pStyle w:val="Textonotapie"/>
        <w:ind w:firstLine="709"/>
        <w:jc w:val="both"/>
        <w:rPr>
          <w:rFonts w:ascii="Century Gothic" w:hAnsi="Century Gothic" w:cs="Arial"/>
          <w:sz w:val="16"/>
          <w:szCs w:val="16"/>
          <w:lang w:val="es-ES"/>
        </w:rPr>
      </w:pPr>
      <w:r w:rsidRPr="00FE6FD8">
        <w:rPr>
          <w:rFonts w:ascii="Century Gothic" w:hAnsi="Century Gothic" w:cs="Arial"/>
          <w:sz w:val="16"/>
          <w:szCs w:val="16"/>
          <w:lang w:val="es-ES"/>
        </w:rPr>
        <w:t>Las entidades estatales podrán pactar estas cláusulas en los contratos de suministro y de prestación de servicios.</w:t>
      </w:r>
    </w:p>
    <w:p w14:paraId="53F39BB6" w14:textId="77777777" w:rsidR="005B4D3E" w:rsidRPr="00FE6FD8" w:rsidRDefault="005B4D3E" w:rsidP="005B4D3E">
      <w:pPr>
        <w:pStyle w:val="Textonotapie"/>
        <w:ind w:firstLine="709"/>
        <w:jc w:val="both"/>
        <w:rPr>
          <w:rFonts w:ascii="Century Gothic" w:hAnsi="Century Gothic" w:cs="Arial"/>
          <w:sz w:val="16"/>
          <w:szCs w:val="16"/>
          <w:lang w:val="es-ES"/>
        </w:rPr>
      </w:pPr>
      <w:r w:rsidRPr="00FE6FD8">
        <w:rPr>
          <w:rFonts w:ascii="Century Gothic" w:hAnsi="Century Gothic" w:cs="Arial"/>
          <w:sz w:val="16"/>
          <w:szCs w:val="16"/>
          <w:lang w:val="es-ES"/>
        </w:rPr>
        <w:t>[…]”.</w:t>
      </w:r>
    </w:p>
    <w:p w14:paraId="43A98822" w14:textId="77777777" w:rsidR="005B4D3E" w:rsidRPr="00FE6FD8" w:rsidRDefault="005B4D3E" w:rsidP="005B4D3E">
      <w:pPr>
        <w:pStyle w:val="Textonotapie"/>
        <w:ind w:firstLine="709"/>
        <w:jc w:val="both"/>
        <w:rPr>
          <w:rFonts w:ascii="Century Gothic" w:hAnsi="Century Gothic" w:cs="Arial"/>
          <w:sz w:val="16"/>
          <w:szCs w:val="16"/>
          <w:lang w:val="es-ES"/>
        </w:rPr>
      </w:pPr>
    </w:p>
  </w:footnote>
  <w:footnote w:id="23">
    <w:p w14:paraId="59D85339" w14:textId="77777777" w:rsidR="005B4D3E" w:rsidRPr="00FE6FD8" w:rsidRDefault="005B4D3E" w:rsidP="005B4D3E">
      <w:pPr>
        <w:pStyle w:val="Textonotapie"/>
        <w:ind w:firstLine="709"/>
        <w:jc w:val="both"/>
        <w:rPr>
          <w:rFonts w:ascii="Century Gothic" w:hAnsi="Century Gothic" w:cs="Arial"/>
          <w:sz w:val="16"/>
          <w:szCs w:val="16"/>
          <w:lang w:val="es-ES"/>
        </w:rPr>
      </w:pPr>
      <w:r w:rsidRPr="00FE6FD8">
        <w:rPr>
          <w:rStyle w:val="Refdenotaalpie"/>
          <w:rFonts w:ascii="Century Gothic" w:hAnsi="Century Gothic" w:cs="Arial"/>
          <w:sz w:val="16"/>
          <w:szCs w:val="16"/>
        </w:rPr>
        <w:footnoteRef/>
      </w:r>
      <w:r w:rsidRPr="00FE6FD8">
        <w:rPr>
          <w:rFonts w:ascii="Century Gothic" w:hAnsi="Century Gothic" w:cs="Arial"/>
          <w:sz w:val="16"/>
          <w:szCs w:val="16"/>
        </w:rPr>
        <w:t xml:space="preserve"> </w:t>
      </w:r>
      <w:r w:rsidRPr="00FE6FD8">
        <w:rPr>
          <w:rFonts w:ascii="Century Gothic" w:hAnsi="Century Gothic" w:cs="Arial"/>
          <w:sz w:val="16"/>
          <w:szCs w:val="16"/>
          <w:lang w:val="es-ES"/>
        </w:rPr>
        <w:t>La norma dispone: “La liquidación a que se refiere el presente artículo no será obligatoria en los contratos de prestación de servicios profesionales y de apoyo a la gestión”.</w:t>
      </w:r>
    </w:p>
    <w:p w14:paraId="5AFD8780" w14:textId="77777777" w:rsidR="005B4D3E" w:rsidRPr="00FE6FD8" w:rsidRDefault="005B4D3E" w:rsidP="005B4D3E">
      <w:pPr>
        <w:pStyle w:val="Textonotapie"/>
        <w:ind w:firstLine="709"/>
        <w:jc w:val="both"/>
        <w:rPr>
          <w:rFonts w:ascii="Century Gothic" w:hAnsi="Century Gothic" w:cs="Arial"/>
          <w:sz w:val="16"/>
          <w:szCs w:val="16"/>
          <w:lang w:val="es-ES"/>
        </w:rPr>
      </w:pPr>
    </w:p>
  </w:footnote>
  <w:footnote w:id="24">
    <w:p w14:paraId="4B441284" w14:textId="77777777" w:rsidR="005B4D3E" w:rsidRPr="00FE6FD8" w:rsidRDefault="005B4D3E" w:rsidP="005B4D3E">
      <w:pPr>
        <w:pStyle w:val="Textonotapie"/>
        <w:ind w:firstLine="709"/>
        <w:jc w:val="both"/>
        <w:rPr>
          <w:rFonts w:ascii="Century Gothic" w:hAnsi="Century Gothic" w:cs="Arial"/>
          <w:sz w:val="16"/>
          <w:szCs w:val="16"/>
        </w:rPr>
      </w:pPr>
      <w:r w:rsidRPr="00FE6FD8">
        <w:rPr>
          <w:rStyle w:val="Refdenotaalpie"/>
          <w:rFonts w:ascii="Century Gothic" w:hAnsi="Century Gothic" w:cs="Arial"/>
          <w:sz w:val="16"/>
          <w:szCs w:val="16"/>
        </w:rPr>
        <w:footnoteRef/>
      </w:r>
      <w:r w:rsidRPr="00FE6FD8">
        <w:rPr>
          <w:rFonts w:ascii="Century Gothic" w:hAnsi="Century Gothic" w:cs="Arial"/>
          <w:sz w:val="16"/>
          <w:szCs w:val="16"/>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0D8723B4" w14:textId="77777777" w:rsidR="005B4D3E" w:rsidRPr="00FE6FD8" w:rsidRDefault="005B4D3E" w:rsidP="005B4D3E">
      <w:pPr>
        <w:pStyle w:val="Textonotapie"/>
        <w:ind w:firstLine="709"/>
        <w:jc w:val="both"/>
        <w:rPr>
          <w:rFonts w:ascii="Century Gothic" w:hAnsi="Century Gothic" w:cs="Arial"/>
          <w:sz w:val="16"/>
          <w:szCs w:val="16"/>
        </w:rPr>
      </w:pPr>
      <w:r w:rsidRPr="00FE6FD8">
        <w:rPr>
          <w:rFonts w:ascii="Century Gothic" w:hAnsi="Century Gothic" w:cs="Arial"/>
          <w:sz w:val="16"/>
          <w:szCs w:val="16"/>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14716A63" w14:textId="77777777" w:rsidR="005B4D3E" w:rsidRPr="00FE6FD8" w:rsidRDefault="005B4D3E" w:rsidP="005B4D3E">
      <w:pPr>
        <w:pStyle w:val="Textonotapie"/>
        <w:ind w:firstLine="709"/>
        <w:jc w:val="both"/>
        <w:rPr>
          <w:rFonts w:ascii="Century Gothic" w:hAnsi="Century Gothic" w:cs="Arial"/>
          <w:sz w:val="16"/>
          <w:szCs w:val="16"/>
        </w:rPr>
      </w:pPr>
      <w:r w:rsidRPr="00FE6FD8">
        <w:rPr>
          <w:rFonts w:ascii="Century Gothic" w:hAnsi="Century Gothic" w:cs="Arial"/>
          <w:sz w:val="16"/>
          <w:szCs w:val="16"/>
        </w:rPr>
        <w:t>[…]”.</w:t>
      </w:r>
    </w:p>
    <w:p w14:paraId="5E0B2211" w14:textId="77777777" w:rsidR="005B4D3E" w:rsidRPr="00FE6FD8" w:rsidRDefault="005B4D3E" w:rsidP="005B4D3E">
      <w:pPr>
        <w:pStyle w:val="Textonotapie"/>
        <w:ind w:firstLine="709"/>
        <w:jc w:val="both"/>
        <w:rPr>
          <w:rFonts w:ascii="Century Gothic" w:hAnsi="Century Gothic" w:cs="Arial"/>
          <w:sz w:val="16"/>
          <w:szCs w:val="16"/>
          <w:lang w:val="es-ES"/>
        </w:rPr>
      </w:pPr>
    </w:p>
  </w:footnote>
  <w:footnote w:id="25">
    <w:p w14:paraId="6C26D8AA" w14:textId="77777777" w:rsidR="005B4D3E" w:rsidRPr="00FE6FD8" w:rsidRDefault="005B4D3E" w:rsidP="005B4D3E">
      <w:pPr>
        <w:pStyle w:val="Textonotapie"/>
        <w:ind w:firstLine="709"/>
        <w:jc w:val="both"/>
        <w:rPr>
          <w:rFonts w:ascii="Century Gothic" w:hAnsi="Century Gothic" w:cs="Arial"/>
          <w:sz w:val="16"/>
          <w:szCs w:val="16"/>
          <w:lang w:val="es-ES"/>
        </w:rPr>
      </w:pPr>
      <w:r w:rsidRPr="00FE6FD8">
        <w:rPr>
          <w:rStyle w:val="Refdenotaalpie"/>
          <w:rFonts w:ascii="Century Gothic" w:hAnsi="Century Gothic" w:cs="Arial"/>
          <w:sz w:val="16"/>
          <w:szCs w:val="16"/>
        </w:rPr>
        <w:footnoteRef/>
      </w:r>
      <w:r w:rsidRPr="00FE6FD8">
        <w:rPr>
          <w:rFonts w:ascii="Century Gothic" w:hAnsi="Century Gothic" w:cs="Arial"/>
          <w:sz w:val="16"/>
          <w:szCs w:val="16"/>
        </w:rPr>
        <w:t xml:space="preserve"> </w:t>
      </w:r>
      <w:r w:rsidRPr="00FE6FD8">
        <w:rPr>
          <w:rFonts w:ascii="Century Gothic" w:hAnsi="Century Gothic" w:cs="Arial"/>
          <w:sz w:val="16"/>
          <w:szCs w:val="16"/>
          <w:lang w:val="es-ES"/>
        </w:rPr>
        <w:t>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p w14:paraId="2952E094" w14:textId="77777777" w:rsidR="005B4D3E" w:rsidRPr="00FE6FD8" w:rsidRDefault="005B4D3E" w:rsidP="005B4D3E">
      <w:pPr>
        <w:pStyle w:val="Textonotapie"/>
        <w:ind w:firstLine="709"/>
        <w:jc w:val="both"/>
        <w:rPr>
          <w:rFonts w:ascii="Century Gothic" w:hAnsi="Century Gothic" w:cs="Arial"/>
          <w:sz w:val="16"/>
          <w:szCs w:val="16"/>
          <w:lang w:val="es-ES"/>
        </w:rPr>
      </w:pPr>
    </w:p>
  </w:footnote>
  <w:footnote w:id="26">
    <w:p w14:paraId="6B7E5A1D" w14:textId="77777777" w:rsidR="005B4D3E" w:rsidRPr="00FE6FD8" w:rsidRDefault="005B4D3E" w:rsidP="005B4D3E">
      <w:pPr>
        <w:pStyle w:val="Textonotapie"/>
        <w:ind w:firstLine="708"/>
        <w:jc w:val="both"/>
        <w:rPr>
          <w:rFonts w:ascii="Century Gothic" w:hAnsi="Century Gothic"/>
          <w:sz w:val="16"/>
          <w:szCs w:val="16"/>
        </w:rPr>
      </w:pPr>
      <w:r w:rsidRPr="00FE6FD8">
        <w:rPr>
          <w:rStyle w:val="Refdenotaalpie"/>
          <w:rFonts w:ascii="Century Gothic" w:hAnsi="Century Gothic"/>
          <w:sz w:val="16"/>
          <w:szCs w:val="16"/>
        </w:rPr>
        <w:footnoteRef/>
      </w:r>
      <w:r w:rsidRPr="00FE6FD8">
        <w:rPr>
          <w:rFonts w:ascii="Century Gothic" w:hAnsi="Century Gothic"/>
          <w:sz w:val="16"/>
          <w:szCs w:val="16"/>
        </w:rPr>
        <w:t xml:space="preserve"> Según este artículo: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w:t>
      </w:r>
    </w:p>
    <w:p w14:paraId="69540E42" w14:textId="77777777" w:rsidR="005B4D3E" w:rsidRPr="00FE6FD8" w:rsidRDefault="005B4D3E" w:rsidP="005B4D3E">
      <w:pPr>
        <w:pStyle w:val="Textonotapie"/>
        <w:ind w:firstLine="708"/>
        <w:jc w:val="both"/>
        <w:rPr>
          <w:rFonts w:ascii="Century Gothic" w:hAnsi="Century Gothic"/>
          <w:sz w:val="16"/>
          <w:szCs w:val="16"/>
        </w:rPr>
      </w:pPr>
      <w:r w:rsidRPr="00FE6FD8">
        <w:rPr>
          <w:rFonts w:ascii="Century Gothic" w:hAnsi="Century Gothic"/>
          <w:sz w:val="16"/>
          <w:szCs w:val="16"/>
        </w:rPr>
        <w:t xml:space="preserve">Son también contratos de consultoría los que tienen por objeto la interventoría, asesoría, gerencia de obra o de proyectos, dirección, programación y la ejecución de diseños, planos, anteproyectos y proyectos. </w:t>
      </w:r>
    </w:p>
    <w:p w14:paraId="58B3E067" w14:textId="77777777" w:rsidR="005B4D3E" w:rsidRPr="00FE6FD8" w:rsidRDefault="005B4D3E" w:rsidP="005B4D3E">
      <w:pPr>
        <w:pStyle w:val="Textonotapie"/>
        <w:ind w:firstLine="708"/>
        <w:jc w:val="both"/>
        <w:rPr>
          <w:rFonts w:ascii="Century Gothic" w:hAnsi="Century Gothic"/>
          <w:sz w:val="16"/>
          <w:szCs w:val="16"/>
        </w:rPr>
      </w:pPr>
      <w:r w:rsidRPr="00FE6FD8">
        <w:rPr>
          <w:rFonts w:ascii="Century Gothic" w:hAnsi="Century Gothic"/>
          <w:sz w:val="16"/>
          <w:szCs w:val="16"/>
        </w:rPr>
        <w:t xml:space="preserve">Ninguna orden del interventor de una obra podrá darse verbalmente. Es obligatorio para el interventor entregar por escrito sus órdenes o sugerencias y ellas deben </w:t>
      </w:r>
      <w:proofErr w:type="gramStart"/>
      <w:r w:rsidRPr="00FE6FD8">
        <w:rPr>
          <w:rFonts w:ascii="Century Gothic" w:hAnsi="Century Gothic"/>
          <w:sz w:val="16"/>
          <w:szCs w:val="16"/>
        </w:rPr>
        <w:t>enmarcarse dentro de</w:t>
      </w:r>
      <w:proofErr w:type="gramEnd"/>
      <w:r w:rsidRPr="00FE6FD8">
        <w:rPr>
          <w:rFonts w:ascii="Century Gothic" w:hAnsi="Century Gothic"/>
          <w:sz w:val="16"/>
          <w:szCs w:val="16"/>
        </w:rPr>
        <w:t xml:space="preserve"> los términos del respectivo contrato”.</w:t>
      </w:r>
    </w:p>
    <w:p w14:paraId="07B4B4E0" w14:textId="77777777" w:rsidR="005B4D3E" w:rsidRPr="00FE6FD8" w:rsidRDefault="005B4D3E" w:rsidP="005B4D3E">
      <w:pPr>
        <w:pStyle w:val="Textonotapie"/>
        <w:ind w:firstLine="708"/>
        <w:jc w:val="both"/>
        <w:rPr>
          <w:rFonts w:ascii="Century Gothic" w:hAnsi="Century Gothic"/>
          <w:sz w:val="16"/>
          <w:szCs w:val="16"/>
          <w:lang w:val="es-CO"/>
        </w:rPr>
      </w:pPr>
    </w:p>
  </w:footnote>
  <w:footnote w:id="27">
    <w:p w14:paraId="3A8BA69B" w14:textId="77777777" w:rsidR="005B4D3E" w:rsidRPr="00FE6FD8" w:rsidRDefault="005B4D3E" w:rsidP="005B4D3E">
      <w:pPr>
        <w:pStyle w:val="Textonotapie"/>
        <w:ind w:firstLine="708"/>
        <w:jc w:val="both"/>
        <w:rPr>
          <w:rFonts w:ascii="Century Gothic" w:hAnsi="Century Gothic"/>
          <w:sz w:val="16"/>
          <w:szCs w:val="16"/>
          <w:lang w:val="es-CO"/>
        </w:rPr>
      </w:pPr>
      <w:r w:rsidRPr="00FE6FD8">
        <w:rPr>
          <w:rStyle w:val="Refdenotaalpie"/>
          <w:rFonts w:ascii="Century Gothic" w:hAnsi="Century Gothic"/>
          <w:sz w:val="16"/>
          <w:szCs w:val="16"/>
        </w:rPr>
        <w:footnoteRef/>
      </w:r>
      <w:r w:rsidRPr="00FE6FD8">
        <w:rPr>
          <w:rFonts w:ascii="Century Gothic" w:hAnsi="Century Gothic"/>
          <w:sz w:val="16"/>
          <w:szCs w:val="16"/>
        </w:rPr>
        <w:t xml:space="preserve"> Al respecto, la Sección Tercera del Consejo de Estado en Sentencia de Unificación con radicado 41.179 señaló frente al contrato de consultoría lo siguiente: “Su objeto contractual está centrado hacia el desarrollo de actividades que implican el despliegue de actividades de carácter eminentemente intelectivo, pero presenta como particularidad sustantiva que tales esfuerzos están dirigidos, específicamente, al cumplimiento de ciertos cometidos expresamente definidos por el numeral 2° del artículo 32 de la Ley 80 de 1993; esto es, para la realización de estudios necesarios para la ejecución de proyectos de inversión, estudios de diagnóstico, prefactibilidad o factibilidad para programas o proyectos específicos, así como a las asesorías técnicas de coordinación, control o supervisión. Se incluyen dentro de este tipo aquellos contratos que tienen por objeto la interventoría, asesoría, gerencia de obra o de proyectos, dirección, programas y la ejecución de diseños, planos, anteproyectos y proyectos. […] Además de estos objetos contractuales, se incluyen allí aquellos que las demás disposiciones legales especiales (y reglamentarias) establezcan”. CONSEJO DE ESTADO. Sección Tercera. Subsección C. Sentencia de Unificación del 2 de diciembre de 2013. Radicado. 11001-03-26-000- 2011-00039-00(41719). Magistrado Ponente: Jaime Orlando Santofimio Gamboa.</w:t>
      </w:r>
    </w:p>
  </w:footnote>
  <w:footnote w:id="28">
    <w:p w14:paraId="1A8348C0" w14:textId="77777777" w:rsidR="005B4D3E" w:rsidRPr="00FE6FD8" w:rsidRDefault="005B4D3E" w:rsidP="005B4D3E">
      <w:pPr>
        <w:pStyle w:val="Textonotapie"/>
        <w:jc w:val="both"/>
        <w:rPr>
          <w:rFonts w:ascii="Century Gothic" w:hAnsi="Century Gothic"/>
          <w:sz w:val="16"/>
          <w:szCs w:val="16"/>
        </w:rPr>
      </w:pPr>
    </w:p>
    <w:p w14:paraId="398AA952" w14:textId="77777777" w:rsidR="005B4D3E" w:rsidRPr="00FE6FD8" w:rsidRDefault="005B4D3E" w:rsidP="005B4D3E">
      <w:pPr>
        <w:pStyle w:val="Textonotapie"/>
        <w:ind w:firstLine="708"/>
        <w:jc w:val="both"/>
        <w:rPr>
          <w:rFonts w:ascii="Century Gothic" w:hAnsi="Century Gothic"/>
          <w:sz w:val="16"/>
          <w:szCs w:val="16"/>
        </w:rPr>
      </w:pPr>
      <w:r w:rsidRPr="00FE6FD8">
        <w:rPr>
          <w:rStyle w:val="Refdenotaalpie"/>
          <w:rFonts w:ascii="Century Gothic" w:hAnsi="Century Gothic"/>
          <w:sz w:val="16"/>
          <w:szCs w:val="16"/>
        </w:rPr>
        <w:footnoteRef/>
      </w:r>
      <w:r w:rsidRPr="00FE6FD8">
        <w:rPr>
          <w:rFonts w:ascii="Century Gothic" w:hAnsi="Century Gothic"/>
          <w:sz w:val="16"/>
          <w:szCs w:val="16"/>
        </w:rPr>
        <w:t xml:space="preserve"> DÁVILA VINUEZA, Guillermo. Régimen jurídico de la contratación estatal. Bogotá: Legis, 2016. p. 849.</w:t>
      </w:r>
    </w:p>
    <w:p w14:paraId="178E71C7" w14:textId="77777777" w:rsidR="005B4D3E" w:rsidRPr="00FE6FD8" w:rsidRDefault="005B4D3E" w:rsidP="005B4D3E">
      <w:pPr>
        <w:pStyle w:val="Textonotapie"/>
        <w:jc w:val="both"/>
        <w:rPr>
          <w:rFonts w:ascii="Century Gothic" w:hAnsi="Century Gothic"/>
          <w:sz w:val="16"/>
          <w:szCs w:val="16"/>
          <w:lang w:val="es-CO"/>
        </w:rPr>
      </w:pPr>
    </w:p>
  </w:footnote>
  <w:footnote w:id="29">
    <w:p w14:paraId="4EAFA19B" w14:textId="77777777" w:rsidR="005B4D3E" w:rsidRPr="00FE6FD8" w:rsidRDefault="005B4D3E" w:rsidP="005B4D3E">
      <w:pPr>
        <w:pStyle w:val="Textonotapie"/>
        <w:ind w:firstLine="708"/>
        <w:jc w:val="both"/>
        <w:rPr>
          <w:rFonts w:ascii="Century Gothic" w:hAnsi="Century Gothic"/>
          <w:sz w:val="16"/>
          <w:szCs w:val="16"/>
        </w:rPr>
      </w:pPr>
      <w:r w:rsidRPr="00FE6FD8">
        <w:rPr>
          <w:rStyle w:val="Refdenotaalpie"/>
          <w:rFonts w:ascii="Century Gothic" w:hAnsi="Century Gothic"/>
          <w:sz w:val="16"/>
          <w:szCs w:val="16"/>
        </w:rPr>
        <w:footnoteRef/>
      </w:r>
      <w:r w:rsidRPr="00FE6FD8">
        <w:rPr>
          <w:rFonts w:ascii="Century Gothic" w:hAnsi="Century Gothic"/>
          <w:sz w:val="16"/>
          <w:szCs w:val="16"/>
        </w:rPr>
        <w:t xml:space="preserve"> CONSEJO DE ESTADO. Sección Tercera. Subsección C. Sentencia del 25 de abril del 2012. Radicado. 52001-23-31-000-2000-00173-01(22167). Magistrado Ponente: Jaime Orlando Santofimio Gamboa.</w:t>
      </w:r>
    </w:p>
    <w:p w14:paraId="42D787A2" w14:textId="77777777" w:rsidR="005B4D3E" w:rsidRPr="00FE6FD8" w:rsidRDefault="005B4D3E" w:rsidP="005B4D3E">
      <w:pPr>
        <w:pStyle w:val="Textonotapie"/>
        <w:ind w:firstLine="708"/>
        <w:jc w:val="both"/>
        <w:rPr>
          <w:rFonts w:ascii="Century Gothic" w:hAnsi="Century Gothic"/>
          <w:sz w:val="16"/>
          <w:szCs w:val="16"/>
          <w:lang w:val="es-CO"/>
        </w:rPr>
      </w:pPr>
    </w:p>
  </w:footnote>
  <w:footnote w:id="30">
    <w:p w14:paraId="617B20E6" w14:textId="77777777" w:rsidR="005B4D3E" w:rsidRPr="00FE6FD8" w:rsidRDefault="005B4D3E" w:rsidP="005B4D3E">
      <w:pPr>
        <w:pStyle w:val="Textonotapie"/>
        <w:ind w:firstLine="708"/>
        <w:jc w:val="both"/>
        <w:rPr>
          <w:rFonts w:ascii="Century Gothic" w:hAnsi="Century Gothic"/>
          <w:sz w:val="16"/>
          <w:szCs w:val="16"/>
        </w:rPr>
      </w:pPr>
      <w:r w:rsidRPr="00FE6FD8">
        <w:rPr>
          <w:rStyle w:val="Refdenotaalpie"/>
          <w:rFonts w:ascii="Century Gothic" w:hAnsi="Century Gothic"/>
          <w:sz w:val="16"/>
          <w:szCs w:val="16"/>
        </w:rPr>
        <w:footnoteRef/>
      </w:r>
      <w:r w:rsidRPr="00FE6FD8">
        <w:rPr>
          <w:rFonts w:ascii="Century Gothic" w:hAnsi="Century Gothic"/>
          <w:sz w:val="16"/>
          <w:szCs w:val="16"/>
        </w:rPr>
        <w:t xml:space="preserve"> Al respecto: Al respecto, el Consejo de Estado ha señalado la diferencia entre estos dos contratos, de la siguiente manera: “[…] mientras que el contrato de consultoría está revestido de una cláusula de estricta tipicidad cerrada (que condiciona de manera detallada la procedencia de dicho contrato), el de prestación de servicios goza de una regulación jurídica amplia, que se instrumentaliza por vía de los mencionados tres contratos (profesional, de simple apoyo a la gestión y de ejecución de trabajos artísticos que sólo pueden encomendarse a determinadas personas naturales), de manera que los objetos contractuales que no estén comprendidos dentro del contrato de consultoría (de acuerdo con la Ley 80 de 1993 y las demás disposiciones legales especiales actuales o futuras) podrán ser satisfechos por medio del de prestación de servicios siempre que satisfaga los referentes conceptuales que establece el numeral 3° del artículo 32 de la Ley 80 de 1993, conforme a la debida planeación contractual y en armonía con los criterios jurídicos que han sido decantados en el precedente de esta Corporación y en esta providencia” CONSEJO DE ESTADO. Sección Tercera. Subsección C. Sentencia del 2 de diciembre de 2013. Radicado. 11001-03-26-000-2011-00039-00(41719). Magistrado Ponente: Jaime Orlando Santofimio Gamboa</w:t>
      </w:r>
    </w:p>
    <w:p w14:paraId="4BAA0998" w14:textId="77777777" w:rsidR="005B4D3E" w:rsidRPr="00FE6FD8" w:rsidRDefault="005B4D3E" w:rsidP="005B4D3E">
      <w:pPr>
        <w:pStyle w:val="Textonotapie"/>
        <w:ind w:firstLine="708"/>
        <w:jc w:val="both"/>
        <w:rPr>
          <w:rFonts w:ascii="Century Gothic" w:hAnsi="Century Gothic"/>
          <w:sz w:val="16"/>
          <w:szCs w:val="16"/>
          <w:lang w:val="es-CO"/>
        </w:rPr>
      </w:pPr>
    </w:p>
  </w:footnote>
  <w:footnote w:id="31">
    <w:p w14:paraId="553EF797" w14:textId="77777777" w:rsidR="005B4D3E" w:rsidRPr="00FE6FD8" w:rsidRDefault="005B4D3E" w:rsidP="005B4D3E">
      <w:pPr>
        <w:pStyle w:val="Textonotapie"/>
        <w:ind w:firstLine="708"/>
        <w:jc w:val="both"/>
        <w:rPr>
          <w:rFonts w:ascii="Century Gothic" w:hAnsi="Century Gothic"/>
          <w:sz w:val="16"/>
          <w:szCs w:val="16"/>
        </w:rPr>
      </w:pPr>
      <w:r w:rsidRPr="00FE6FD8">
        <w:rPr>
          <w:rStyle w:val="Refdenotaalpie"/>
          <w:rFonts w:ascii="Century Gothic" w:hAnsi="Century Gothic"/>
          <w:sz w:val="16"/>
          <w:szCs w:val="16"/>
        </w:rPr>
        <w:footnoteRef/>
      </w:r>
      <w:r w:rsidRPr="00FE6FD8">
        <w:rPr>
          <w:rFonts w:ascii="Century Gothic" w:hAnsi="Century Gothic"/>
          <w:sz w:val="16"/>
          <w:szCs w:val="16"/>
        </w:rPr>
        <w:t xml:space="preserve"> En efecto, este numeral, modificado por el artículo 219 del Decreto 19 de 2012, dispone que el concurso de méritos: “Corresponde a la modalidad prevista para la selección de consultores o proyectos, en la que se podrán utilizar sistemas de concurso abierto o de precalificación. En este último caso, la conformación de la lista de precalificados se hará mediante convocatoria pública, permitiéndose establecer listas limitadas de oferentes mediante resolución motivada, que se entenderá notificada en estrados a los interesados, en la audiencia pública de conformación de la lista, utilizando para el efecto, entre otros, criterios de experiencia, capacidad intelectual y de organización de los proponentes, según sea el caso.</w:t>
      </w:r>
    </w:p>
    <w:p w14:paraId="6BAD40DB" w14:textId="77777777" w:rsidR="005B4D3E" w:rsidRPr="00FE6FD8" w:rsidRDefault="005B4D3E" w:rsidP="005B4D3E">
      <w:pPr>
        <w:pStyle w:val="Textonotapie"/>
        <w:ind w:firstLine="708"/>
        <w:jc w:val="both"/>
        <w:rPr>
          <w:rFonts w:ascii="Century Gothic" w:hAnsi="Century Gothic"/>
          <w:sz w:val="16"/>
          <w:szCs w:val="16"/>
        </w:rPr>
      </w:pPr>
    </w:p>
    <w:p w14:paraId="709E0C10" w14:textId="77777777" w:rsidR="005B4D3E" w:rsidRPr="00FE6FD8" w:rsidRDefault="005B4D3E" w:rsidP="005B4D3E">
      <w:pPr>
        <w:pStyle w:val="Textonotapie"/>
        <w:ind w:firstLine="708"/>
        <w:jc w:val="both"/>
        <w:rPr>
          <w:rFonts w:ascii="Century Gothic" w:hAnsi="Century Gothic"/>
          <w:sz w:val="16"/>
          <w:szCs w:val="16"/>
        </w:rPr>
      </w:pPr>
      <w:r w:rsidRPr="00FE6FD8">
        <w:rPr>
          <w:rFonts w:ascii="Century Gothic" w:hAnsi="Century Gothic"/>
          <w:sz w:val="16"/>
          <w:szCs w:val="16"/>
        </w:rPr>
        <w:t>De conformidad con las condiciones que señale el reglamento, en desarrollo de estos procesos de selección, las propuestas técnicas o de proyectos podrán ser presentadas en forma anónima ante un jurado plural, impar deliberante y calificado”.</w:t>
      </w:r>
    </w:p>
    <w:p w14:paraId="7A41C16A" w14:textId="77777777" w:rsidR="005B4D3E" w:rsidRPr="00FE6FD8" w:rsidRDefault="005B4D3E" w:rsidP="005B4D3E">
      <w:pPr>
        <w:pStyle w:val="Textonotapie"/>
        <w:ind w:firstLine="708"/>
        <w:jc w:val="both"/>
        <w:rPr>
          <w:rFonts w:ascii="Century Gothic" w:hAnsi="Century Gothic"/>
          <w:sz w:val="16"/>
          <w:szCs w:val="16"/>
          <w:lang w:val="es-CO"/>
        </w:rPr>
      </w:pPr>
    </w:p>
  </w:footnote>
  <w:footnote w:id="32">
    <w:p w14:paraId="47A5E63C" w14:textId="77777777" w:rsidR="005B4D3E" w:rsidRPr="00FE6FD8" w:rsidRDefault="005B4D3E" w:rsidP="005B4D3E">
      <w:pPr>
        <w:pStyle w:val="Textonotapie"/>
        <w:ind w:firstLine="708"/>
        <w:jc w:val="both"/>
        <w:rPr>
          <w:rFonts w:ascii="Century Gothic" w:hAnsi="Century Gothic"/>
          <w:sz w:val="16"/>
          <w:szCs w:val="16"/>
          <w:lang w:val="es-CO"/>
        </w:rPr>
      </w:pPr>
      <w:r w:rsidRPr="00FE6FD8">
        <w:rPr>
          <w:rStyle w:val="Refdenotaalpie"/>
          <w:rFonts w:ascii="Century Gothic" w:hAnsi="Century Gothic"/>
          <w:sz w:val="16"/>
          <w:szCs w:val="16"/>
        </w:rPr>
        <w:footnoteRef/>
      </w:r>
      <w:r w:rsidRPr="00FE6FD8">
        <w:rPr>
          <w:rFonts w:ascii="Century Gothic" w:hAnsi="Century Gothic"/>
          <w:sz w:val="16"/>
          <w:szCs w:val="16"/>
        </w:rPr>
        <w:t xml:space="preserve"> </w:t>
      </w:r>
      <w:r w:rsidRPr="00FE6FD8">
        <w:rPr>
          <w:rFonts w:ascii="Century Gothic" w:hAnsi="Century Gothic"/>
          <w:sz w:val="16"/>
          <w:szCs w:val="16"/>
          <w:lang w:val="es-CO"/>
        </w:rPr>
        <w:t>La Sección Tercera del Consejo de Estado, en autos del 25 de julio de 2018 y del 20 de febrero de 2019, suspendió provisionalmente, por un lado, el numeral 6 del artículo 2.2.1.2.1.3.2. original del Decreto 1082 de 2015 –antes de la modificación realizada por el Decreto 399 del 13 de abril de 2021– y, por el otro, los numerales 3, 4 y 5 de la misma disposición, en su redacción original. Las normas suspendidas regulaban el concurso de méritos abierto o sin precalificación. Posteriormente, el artículo 2 del Decreto 399 de 2021 reformó la reglamentación del concurso de méritos, para adecuarla a los pronunciamientos del Consejo de Estado que habían suspendido provisionalmente algunos numerales del artículo 2.2.1.2.1.3.2. del Decreto 1082 de 2015.</w:t>
      </w:r>
    </w:p>
  </w:footnote>
  <w:footnote w:id="33">
    <w:p w14:paraId="427E66D6" w14:textId="77777777" w:rsidR="005B4D3E" w:rsidRPr="00FE6FD8" w:rsidRDefault="005B4D3E" w:rsidP="005B4D3E">
      <w:pPr>
        <w:pStyle w:val="Textonotapie"/>
        <w:ind w:firstLine="708"/>
        <w:jc w:val="both"/>
        <w:rPr>
          <w:rFonts w:ascii="Century Gothic" w:hAnsi="Century Gothic" w:cs="Arial"/>
          <w:sz w:val="16"/>
          <w:szCs w:val="16"/>
        </w:rPr>
      </w:pPr>
    </w:p>
    <w:p w14:paraId="063BEDD2" w14:textId="77777777" w:rsidR="005B4D3E" w:rsidRPr="00FE6FD8" w:rsidRDefault="005B4D3E" w:rsidP="005B4D3E">
      <w:pPr>
        <w:pStyle w:val="Textonotapie"/>
        <w:ind w:firstLine="708"/>
        <w:jc w:val="both"/>
        <w:rPr>
          <w:rFonts w:ascii="Century Gothic" w:hAnsi="Century Gothic" w:cs="Arial"/>
          <w:sz w:val="16"/>
          <w:szCs w:val="16"/>
        </w:rPr>
      </w:pPr>
      <w:r w:rsidRPr="00FE6FD8">
        <w:rPr>
          <w:rStyle w:val="Refdenotaalpie"/>
          <w:rFonts w:ascii="Century Gothic" w:hAnsi="Century Gothic" w:cs="Arial"/>
          <w:sz w:val="16"/>
          <w:szCs w:val="16"/>
        </w:rPr>
        <w:footnoteRef/>
      </w:r>
      <w:r w:rsidRPr="00FE6FD8">
        <w:rPr>
          <w:rFonts w:ascii="Century Gothic" w:hAnsi="Century Gothic" w:cs="Arial"/>
          <w:sz w:val="16"/>
          <w:szCs w:val="16"/>
        </w:rPr>
        <w:t xml:space="preserve"> AGENCIA NACIONAL DE CONTRATACIÓN PÚBLICA – COLOMBIA COMPRA EFIENTE-. Manual de la Modalidad de selección de mínima cuantía –M-MSMC-03–. p. 10. Así mismo, la Agencia en la versión 02 del Manual de la modalidad de selección de mínima cuantía expresó: “Las modalidades de selección de concurso de méritos y de mínima cuantía concurren cuando: (a) el presupuesto del Proceso de Contratación es menor o igual que la mínima cuantía de la Entidad Estatal; y (b) el objeto del Proceso de Contratación es la selección de consultores o proyectos, de conformidad con el numeral 3 del artículo 2 de la Ley 1150 de 2007. El principio de economía contenido en la Ley 80 de 1993 busca </w:t>
      </w:r>
      <w:proofErr w:type="gramStart"/>
      <w:r w:rsidRPr="00FE6FD8">
        <w:rPr>
          <w:rFonts w:ascii="Century Gothic" w:hAnsi="Century Gothic" w:cs="Arial"/>
          <w:sz w:val="16"/>
          <w:szCs w:val="16"/>
        </w:rPr>
        <w:t>que</w:t>
      </w:r>
      <w:proofErr w:type="gramEnd"/>
      <w:r w:rsidRPr="00FE6FD8">
        <w:rPr>
          <w:rFonts w:ascii="Century Gothic" w:hAnsi="Century Gothic" w:cs="Arial"/>
          <w:sz w:val="16"/>
          <w:szCs w:val="16"/>
        </w:rPr>
        <w:t xml:space="preserve"> en la selección del contratista, la Entidad Estatal cumpla y establezca los procedimientos y etapas estrictamente necesarios para asegurar la selección objetiva de la propuesta más favorable, con austeridad de tiempo, medios y gastos. En consecuencia, dado que la selección de mínima cuantía es especial para cualquier objeto y que la selección de mínima cuantía permite obtener una mayor economía en el trámite del Proceso de Contratación, en caso de concurrencia del concurso de méritos y de mínima cuantía, Colombia Compra Eficiente considera que la modalidad de selección aplicable es la de mínima cuantía” (AGENCIA NACIONAL DE CONTRATACIÓN PÚBLICA – COLOMBIA COMPRA EFIENTE-. Manual de la Modalidad de selección de mínima cuantía –M-MSMC-02–. p. 10)</w:t>
      </w:r>
    </w:p>
    <w:p w14:paraId="441F4F1B" w14:textId="77777777" w:rsidR="005B4D3E" w:rsidRPr="00FE6FD8" w:rsidRDefault="005B4D3E" w:rsidP="005B4D3E">
      <w:pPr>
        <w:pStyle w:val="Textonotapie"/>
        <w:jc w:val="both"/>
        <w:rPr>
          <w:rFonts w:ascii="Century Gothic" w:hAnsi="Century Gothic" w:cs="Arial"/>
          <w:sz w:val="16"/>
          <w:szCs w:val="16"/>
          <w:lang w:val="es-CO"/>
        </w:rPr>
      </w:pPr>
    </w:p>
  </w:footnote>
  <w:footnote w:id="34">
    <w:p w14:paraId="002A9308" w14:textId="77777777" w:rsidR="005B4D3E" w:rsidRPr="00FE6FD8" w:rsidRDefault="005B4D3E" w:rsidP="005B4D3E">
      <w:pPr>
        <w:pStyle w:val="Textonotapie"/>
        <w:ind w:firstLine="708"/>
        <w:jc w:val="both"/>
        <w:rPr>
          <w:rFonts w:ascii="Century Gothic" w:hAnsi="Century Gothic" w:cs="Arial"/>
          <w:sz w:val="16"/>
          <w:szCs w:val="16"/>
        </w:rPr>
      </w:pPr>
      <w:r w:rsidRPr="00FE6FD8">
        <w:rPr>
          <w:rStyle w:val="Refdenotaalpie"/>
          <w:rFonts w:ascii="Century Gothic" w:hAnsi="Century Gothic" w:cs="Arial"/>
          <w:sz w:val="16"/>
          <w:szCs w:val="16"/>
        </w:rPr>
        <w:footnoteRef/>
      </w:r>
      <w:r w:rsidRPr="00FE6FD8">
        <w:rPr>
          <w:rFonts w:ascii="Century Gothic" w:hAnsi="Century Gothic" w:cs="Arial"/>
          <w:sz w:val="16"/>
          <w:szCs w:val="16"/>
        </w:rPr>
        <w:t xml:space="preserve"> “ARTÍCULO 42. DE LA URGENCIA MANIFIESTA. Existe urgencia manifiesta cuando la continuidad del servicio exige el suministro de bienes, o la prestación de servicios, o la ejecución de obras en el inmediato futuro; cuando se presenten situaciones relacionadas con los estados de excepción; cuando se trate de conjurar situaciones excepcionales relacionadas con hechos de calamidad o constitutivos de fuerza mayor o desastre que demanden actuaciones inmediatas y, en general, cuando se trate de situaciones similares que imposibiliten acudir a los procedimientos de selección o concurso públicos. </w:t>
      </w:r>
    </w:p>
    <w:p w14:paraId="7C5753AC" w14:textId="77777777" w:rsidR="005B4D3E" w:rsidRPr="00FE6FD8" w:rsidRDefault="005B4D3E" w:rsidP="005B4D3E">
      <w:pPr>
        <w:pStyle w:val="Textonotapie"/>
        <w:spacing w:before="120"/>
        <w:ind w:firstLine="708"/>
        <w:jc w:val="both"/>
        <w:rPr>
          <w:rFonts w:ascii="Century Gothic" w:hAnsi="Century Gothic" w:cs="Arial"/>
          <w:sz w:val="16"/>
          <w:szCs w:val="16"/>
        </w:rPr>
      </w:pPr>
      <w:r w:rsidRPr="00FE6FD8">
        <w:rPr>
          <w:rFonts w:ascii="Century Gothic" w:hAnsi="Century Gothic" w:cs="Arial"/>
          <w:sz w:val="16"/>
          <w:szCs w:val="16"/>
        </w:rPr>
        <w:t>La urgencia manifiesta se declarará mediante acto administrativo motivado […]”.</w:t>
      </w:r>
    </w:p>
    <w:p w14:paraId="3D31EF69" w14:textId="77777777" w:rsidR="005B4D3E" w:rsidRPr="00FE6FD8" w:rsidRDefault="005B4D3E" w:rsidP="005B4D3E">
      <w:pPr>
        <w:pStyle w:val="Textonotapie"/>
        <w:jc w:val="both"/>
        <w:rPr>
          <w:rFonts w:ascii="Century Gothic" w:hAnsi="Century Gothic" w:cs="Arial"/>
          <w:sz w:val="16"/>
          <w:szCs w:val="16"/>
          <w:lang w:val="es-CO"/>
        </w:rPr>
      </w:pPr>
    </w:p>
  </w:footnote>
  <w:footnote w:id="35">
    <w:p w14:paraId="3FBA7605" w14:textId="77777777" w:rsidR="005B4D3E" w:rsidRPr="00FE6FD8" w:rsidRDefault="005B4D3E" w:rsidP="005B4D3E">
      <w:pPr>
        <w:pStyle w:val="Textonotapie"/>
        <w:ind w:firstLine="708"/>
        <w:jc w:val="both"/>
        <w:rPr>
          <w:rFonts w:ascii="Century Gothic" w:hAnsi="Century Gothic" w:cs="Arial"/>
          <w:sz w:val="16"/>
          <w:szCs w:val="16"/>
        </w:rPr>
      </w:pPr>
      <w:r w:rsidRPr="00FE6FD8">
        <w:rPr>
          <w:rStyle w:val="Refdenotaalpie"/>
          <w:rFonts w:ascii="Century Gothic" w:hAnsi="Century Gothic" w:cs="Arial"/>
          <w:sz w:val="16"/>
          <w:szCs w:val="16"/>
        </w:rPr>
        <w:footnoteRef/>
      </w:r>
      <w:r w:rsidRPr="00FE6FD8">
        <w:rPr>
          <w:rFonts w:ascii="Century Gothic" w:hAnsi="Century Gothic" w:cs="Arial"/>
          <w:sz w:val="16"/>
          <w:szCs w:val="16"/>
        </w:rPr>
        <w:t xml:space="preserve"> DROMI, José Roberto. La licitación pública. Buenos Aires: Ciudad Argentina, 1980. p. 166-168</w:t>
      </w:r>
    </w:p>
    <w:p w14:paraId="6F4E86B7" w14:textId="77777777" w:rsidR="005B4D3E" w:rsidRPr="00FE6FD8" w:rsidRDefault="005B4D3E" w:rsidP="005B4D3E">
      <w:pPr>
        <w:pStyle w:val="Textonotapie"/>
        <w:jc w:val="both"/>
        <w:rPr>
          <w:rFonts w:ascii="Century Gothic" w:hAnsi="Century Gothic" w:cs="Arial"/>
          <w:sz w:val="16"/>
          <w:szCs w:val="16"/>
          <w:lang w:val="es-CO"/>
        </w:rPr>
      </w:pPr>
    </w:p>
  </w:footnote>
  <w:footnote w:id="36">
    <w:p w14:paraId="3292FFB6" w14:textId="77777777" w:rsidR="005B4D3E" w:rsidRPr="00FE6FD8" w:rsidRDefault="005B4D3E" w:rsidP="005B4D3E">
      <w:pPr>
        <w:pStyle w:val="Textonotapie"/>
        <w:ind w:firstLine="708"/>
        <w:jc w:val="both"/>
        <w:rPr>
          <w:rFonts w:ascii="Century Gothic" w:hAnsi="Century Gothic" w:cs="Arial"/>
          <w:sz w:val="16"/>
          <w:szCs w:val="16"/>
        </w:rPr>
      </w:pPr>
      <w:r w:rsidRPr="00FE6FD8">
        <w:rPr>
          <w:rStyle w:val="Refdenotaalpie"/>
          <w:rFonts w:ascii="Century Gothic" w:hAnsi="Century Gothic" w:cs="Arial"/>
          <w:sz w:val="16"/>
          <w:szCs w:val="16"/>
        </w:rPr>
        <w:footnoteRef/>
      </w:r>
      <w:r w:rsidRPr="00FE6FD8">
        <w:rPr>
          <w:rFonts w:ascii="Century Gothic" w:hAnsi="Century Gothic" w:cs="Arial"/>
          <w:sz w:val="16"/>
          <w:szCs w:val="16"/>
        </w:rPr>
        <w:t xml:space="preserve"> CONSEJO DE ESTADO. Sala de Consulta y de Servicio Civil. Concepto del 28 de enero de 1998. Rad. 1.073. C.P. Javier Henao </w:t>
      </w:r>
      <w:proofErr w:type="spellStart"/>
      <w:r w:rsidRPr="00FE6FD8">
        <w:rPr>
          <w:rFonts w:ascii="Century Gothic" w:hAnsi="Century Gothic" w:cs="Arial"/>
          <w:sz w:val="16"/>
          <w:szCs w:val="16"/>
        </w:rPr>
        <w:t>Hidrón</w:t>
      </w:r>
      <w:proofErr w:type="spellEnd"/>
      <w:r w:rsidRPr="00FE6FD8">
        <w:rPr>
          <w:rFonts w:ascii="Century Gothic" w:hAnsi="Century Gothic" w:cs="Arial"/>
          <w:sz w:val="16"/>
          <w:szCs w:val="16"/>
        </w:rPr>
        <w:t>.</w:t>
      </w:r>
    </w:p>
    <w:p w14:paraId="4C68ABE1" w14:textId="77777777" w:rsidR="005B4D3E" w:rsidRPr="00FE6FD8" w:rsidRDefault="005B4D3E" w:rsidP="005B4D3E">
      <w:pPr>
        <w:pStyle w:val="Textonotapie"/>
        <w:jc w:val="both"/>
        <w:rPr>
          <w:rFonts w:ascii="Century Gothic" w:hAnsi="Century Gothic" w:cs="Arial"/>
          <w:sz w:val="16"/>
          <w:szCs w:val="16"/>
          <w:lang w:val="es-CO"/>
        </w:rPr>
      </w:pPr>
    </w:p>
  </w:footnote>
  <w:footnote w:id="37">
    <w:p w14:paraId="6696AA82" w14:textId="77777777" w:rsidR="005B4D3E" w:rsidRPr="00FE6FD8" w:rsidRDefault="005B4D3E" w:rsidP="005B4D3E">
      <w:pPr>
        <w:pStyle w:val="Textonotapie"/>
        <w:ind w:firstLine="708"/>
        <w:jc w:val="both"/>
        <w:rPr>
          <w:rFonts w:ascii="Century Gothic" w:hAnsi="Century Gothic" w:cs="Arial"/>
          <w:sz w:val="16"/>
          <w:szCs w:val="16"/>
          <w:lang w:val="es-CO"/>
        </w:rPr>
      </w:pPr>
      <w:r w:rsidRPr="00FE6FD8">
        <w:rPr>
          <w:rStyle w:val="Refdenotaalpie"/>
          <w:rFonts w:ascii="Century Gothic" w:hAnsi="Century Gothic" w:cs="Arial"/>
          <w:sz w:val="16"/>
          <w:szCs w:val="16"/>
        </w:rPr>
        <w:footnoteRef/>
      </w:r>
      <w:r w:rsidRPr="00FE6FD8">
        <w:rPr>
          <w:rFonts w:ascii="Century Gothic" w:hAnsi="Century Gothic" w:cs="Arial"/>
          <w:sz w:val="16"/>
          <w:szCs w:val="16"/>
        </w:rPr>
        <w:t xml:space="preserve"> “El literal c, del numeral 4, del artículo 2 de la Ley 1150 de 2007, prescribe: c) Contratos interadministrativos, siempre que las obligaciones derivadas del mismo tengan relación directa con el objeto de la entidad ejecutora señalado en la ley o en sus reglamentos”.</w:t>
      </w:r>
    </w:p>
  </w:footnote>
  <w:footnote w:id="38">
    <w:p w14:paraId="3D1819EA" w14:textId="77777777" w:rsidR="005B4D3E" w:rsidRPr="00FE6FD8" w:rsidRDefault="005B4D3E" w:rsidP="005B4D3E">
      <w:pPr>
        <w:pStyle w:val="Textonotapie"/>
        <w:ind w:firstLine="708"/>
        <w:jc w:val="both"/>
        <w:rPr>
          <w:rFonts w:ascii="Century Gothic" w:eastAsia="Times New Roman" w:hAnsi="Century Gothic" w:cs="Arial"/>
          <w:color w:val="000000"/>
          <w:sz w:val="16"/>
          <w:szCs w:val="16"/>
          <w:lang w:eastAsia="es-CO"/>
        </w:rPr>
      </w:pPr>
      <w:r w:rsidRPr="00FE6FD8">
        <w:rPr>
          <w:rStyle w:val="Refdenotaalpie"/>
          <w:rFonts w:ascii="Century Gothic" w:hAnsi="Century Gothic" w:cs="Arial"/>
          <w:color w:val="000000"/>
          <w:sz w:val="16"/>
          <w:szCs w:val="16"/>
        </w:rPr>
        <w:footnoteRef/>
      </w:r>
      <w:r w:rsidRPr="00FE6FD8">
        <w:rPr>
          <w:rFonts w:ascii="Century Gothic" w:hAnsi="Century Gothic" w:cs="Arial"/>
          <w:color w:val="000000"/>
          <w:sz w:val="16"/>
          <w:szCs w:val="16"/>
        </w:rPr>
        <w:t xml:space="preserve"> </w:t>
      </w:r>
      <w:r w:rsidRPr="00FE6FD8">
        <w:rPr>
          <w:rFonts w:ascii="Century Gothic" w:eastAsia="Times New Roman" w:hAnsi="Century Gothic" w:cs="Arial"/>
          <w:color w:val="000000"/>
          <w:sz w:val="16"/>
          <w:szCs w:val="16"/>
          <w:lang w:eastAsia="es-CO"/>
        </w:rPr>
        <w:t xml:space="preserve">Consejo de Estado. Sala de Consulta y Servicio Civil. Concepto del 20 de mayo de 2010. </w:t>
      </w:r>
      <w:proofErr w:type="spellStart"/>
      <w:r w:rsidRPr="00FE6FD8">
        <w:rPr>
          <w:rFonts w:ascii="Century Gothic" w:eastAsia="Times New Roman" w:hAnsi="Century Gothic" w:cs="Arial"/>
          <w:color w:val="000000"/>
          <w:sz w:val="16"/>
          <w:szCs w:val="16"/>
          <w:lang w:eastAsia="es-CO"/>
        </w:rPr>
        <w:t>Exp</w:t>
      </w:r>
      <w:proofErr w:type="spellEnd"/>
      <w:r w:rsidRPr="00FE6FD8">
        <w:rPr>
          <w:rFonts w:ascii="Century Gothic" w:eastAsia="Times New Roman" w:hAnsi="Century Gothic" w:cs="Arial"/>
          <w:color w:val="000000"/>
          <w:sz w:val="16"/>
          <w:szCs w:val="16"/>
          <w:lang w:eastAsia="es-CO"/>
        </w:rPr>
        <w:t>. 1.992. C.P. Enrique José Arboleda Perdomo.</w:t>
      </w:r>
    </w:p>
    <w:p w14:paraId="60A6F3EE" w14:textId="77777777" w:rsidR="005B4D3E" w:rsidRPr="00FE6FD8" w:rsidRDefault="005B4D3E" w:rsidP="005B4D3E">
      <w:pPr>
        <w:pStyle w:val="Textonotapie"/>
        <w:ind w:firstLine="708"/>
        <w:jc w:val="both"/>
        <w:rPr>
          <w:rFonts w:ascii="Century Gothic" w:eastAsia="Times New Roman" w:hAnsi="Century Gothic" w:cs="Arial"/>
          <w:color w:val="000000"/>
          <w:sz w:val="16"/>
          <w:szCs w:val="16"/>
          <w:lang w:eastAsia="es-CO"/>
        </w:rPr>
      </w:pPr>
    </w:p>
  </w:footnote>
  <w:footnote w:id="39">
    <w:p w14:paraId="7FE8EE10" w14:textId="77777777" w:rsidR="005B4D3E" w:rsidRPr="00FE6FD8" w:rsidRDefault="005B4D3E" w:rsidP="005B4D3E">
      <w:pPr>
        <w:pStyle w:val="Textonotapie"/>
        <w:ind w:firstLine="708"/>
        <w:jc w:val="both"/>
        <w:rPr>
          <w:rFonts w:ascii="Century Gothic" w:eastAsia="Times New Roman" w:hAnsi="Century Gothic" w:cs="Arial"/>
          <w:color w:val="000000"/>
          <w:sz w:val="16"/>
          <w:szCs w:val="16"/>
          <w:lang w:eastAsia="es-CO"/>
        </w:rPr>
      </w:pPr>
      <w:r w:rsidRPr="00FE6FD8">
        <w:rPr>
          <w:rStyle w:val="Refdenotaalpie"/>
          <w:rFonts w:ascii="Century Gothic" w:hAnsi="Century Gothic" w:cs="Arial"/>
          <w:color w:val="000000"/>
          <w:sz w:val="16"/>
          <w:szCs w:val="16"/>
        </w:rPr>
        <w:footnoteRef/>
      </w:r>
      <w:r w:rsidRPr="00FE6FD8">
        <w:rPr>
          <w:rFonts w:ascii="Century Gothic" w:hAnsi="Century Gothic" w:cs="Arial"/>
          <w:color w:val="000000"/>
          <w:sz w:val="16"/>
          <w:szCs w:val="16"/>
        </w:rPr>
        <w:t xml:space="preserve"> </w:t>
      </w:r>
      <w:r w:rsidRPr="00FE6FD8">
        <w:rPr>
          <w:rFonts w:ascii="Century Gothic" w:eastAsia="Times New Roman" w:hAnsi="Century Gothic" w:cs="Arial"/>
          <w:color w:val="000000"/>
          <w:sz w:val="16"/>
          <w:szCs w:val="16"/>
          <w:lang w:eastAsia="es-CO"/>
        </w:rPr>
        <w:t>Ver conceptos: C-008 del 4 de mayo de 2020, C-267 del 4 de mayo de 2020, C-283 del 4 de mayo de 2020, C-365 del 30 de junio de 2020 y C-730 del 14 de diciembre del 2020 y C-779 de 18 de enero de 2021.</w:t>
      </w:r>
    </w:p>
  </w:footnote>
  <w:footnote w:id="40">
    <w:p w14:paraId="2601DEA4" w14:textId="77777777" w:rsidR="005B4D3E" w:rsidRPr="00FE6FD8" w:rsidRDefault="005B4D3E" w:rsidP="005B4D3E">
      <w:pPr>
        <w:pBdr>
          <w:top w:val="nil"/>
          <w:left w:val="nil"/>
          <w:bottom w:val="nil"/>
          <w:right w:val="nil"/>
          <w:between w:val="nil"/>
        </w:pBdr>
        <w:spacing w:after="0"/>
        <w:ind w:firstLine="709"/>
        <w:jc w:val="both"/>
        <w:rPr>
          <w:rFonts w:ascii="Century Gothic" w:eastAsia="Arial" w:hAnsi="Century Gothic" w:cs="Arial"/>
          <w:color w:val="000000"/>
          <w:sz w:val="16"/>
          <w:szCs w:val="16"/>
        </w:rPr>
      </w:pPr>
      <w:r w:rsidRPr="00FE6FD8">
        <w:rPr>
          <w:rFonts w:ascii="Century Gothic" w:hAnsi="Century Gothic" w:cs="Arial"/>
          <w:sz w:val="16"/>
          <w:szCs w:val="16"/>
          <w:vertAlign w:val="superscript"/>
        </w:rPr>
        <w:footnoteRef/>
      </w:r>
      <w:r w:rsidRPr="00FE6FD8">
        <w:rPr>
          <w:rFonts w:ascii="Century Gothic" w:eastAsia="Arial" w:hAnsi="Century Gothic" w:cs="Arial"/>
          <w:color w:val="000000"/>
          <w:sz w:val="16"/>
          <w:szCs w:val="16"/>
          <w:vertAlign w:val="superscript"/>
        </w:rPr>
        <w:t xml:space="preserve"> </w:t>
      </w:r>
      <w:r w:rsidRPr="00FE6FD8">
        <w:rPr>
          <w:rFonts w:ascii="Century Gothic" w:eastAsia="Arial" w:hAnsi="Century Gothic" w:cs="Arial"/>
          <w:color w:val="000000"/>
          <w:sz w:val="16"/>
          <w:szCs w:val="16"/>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41">
    <w:p w14:paraId="30C6F2C0" w14:textId="77777777" w:rsidR="005B4D3E" w:rsidRPr="00FE6FD8" w:rsidRDefault="005B4D3E" w:rsidP="005B4D3E">
      <w:pPr>
        <w:pStyle w:val="NormalWeb"/>
        <w:shd w:val="clear" w:color="auto" w:fill="FFFFFF"/>
        <w:spacing w:after="0"/>
        <w:ind w:firstLine="708"/>
        <w:jc w:val="both"/>
        <w:rPr>
          <w:rFonts w:ascii="Century Gothic" w:hAnsi="Century Gothic" w:cs="Arial"/>
          <w:sz w:val="16"/>
          <w:szCs w:val="16"/>
        </w:rPr>
      </w:pPr>
    </w:p>
    <w:p w14:paraId="5B5B79ED" w14:textId="77777777" w:rsidR="005B4D3E" w:rsidRPr="00FE6FD8" w:rsidRDefault="005B4D3E" w:rsidP="005B4D3E">
      <w:pPr>
        <w:pStyle w:val="NormalWeb"/>
        <w:shd w:val="clear" w:color="auto" w:fill="FFFFFF"/>
        <w:spacing w:after="0"/>
        <w:ind w:firstLine="708"/>
        <w:jc w:val="both"/>
        <w:rPr>
          <w:rFonts w:ascii="Century Gothic" w:hAnsi="Century Gothic" w:cs="Arial"/>
          <w:sz w:val="16"/>
          <w:szCs w:val="16"/>
          <w:lang w:val="es-ES"/>
        </w:rPr>
      </w:pPr>
      <w:r w:rsidRPr="00FE6FD8">
        <w:rPr>
          <w:rStyle w:val="Refdenotaalpie"/>
          <w:rFonts w:ascii="Century Gothic" w:eastAsia="Arial" w:hAnsi="Century Gothic" w:cs="Arial"/>
          <w:sz w:val="16"/>
          <w:szCs w:val="16"/>
        </w:rPr>
        <w:footnoteRef/>
      </w:r>
      <w:r w:rsidRPr="00FE6FD8">
        <w:rPr>
          <w:rFonts w:ascii="Century Gothic" w:hAnsi="Century Gothic" w:cs="Arial"/>
          <w:sz w:val="16"/>
          <w:szCs w:val="16"/>
        </w:rPr>
        <w:t xml:space="preserve"> “</w:t>
      </w:r>
      <w:r w:rsidRPr="00FE6FD8">
        <w:rPr>
          <w:rFonts w:ascii="Century Gothic" w:hAnsi="Century Gothic" w:cs="Arial"/>
          <w:bCs/>
          <w:sz w:val="16"/>
          <w:szCs w:val="16"/>
          <w:shd w:val="clear" w:color="auto" w:fill="FFFFFF"/>
        </w:rPr>
        <w:t>2.2.1.2.1.5.2</w:t>
      </w:r>
      <w:r w:rsidRPr="00FE6FD8">
        <w:rPr>
          <w:rFonts w:ascii="Century Gothic" w:hAnsi="Century Gothic" w:cs="Arial"/>
          <w:sz w:val="16"/>
          <w:szCs w:val="16"/>
          <w:lang w:val="es-ES"/>
        </w:rPr>
        <w:t xml:space="preserve">5. </w:t>
      </w:r>
      <w:r w:rsidRPr="00FE6FD8">
        <w:rPr>
          <w:rFonts w:ascii="Century Gothic" w:hAnsi="Century Gothic" w:cs="Arial"/>
          <w:bCs/>
          <w:sz w:val="16"/>
          <w:szCs w:val="16"/>
          <w:lang w:val="es-ES"/>
        </w:rPr>
        <w:t>Procedimiento para la contratación de mínima cuantía.</w:t>
      </w:r>
      <w:r w:rsidRPr="00FE6FD8">
        <w:rPr>
          <w:rFonts w:ascii="Century Gothic" w:hAnsi="Century Gothic" w:cs="Arial"/>
          <w:sz w:val="16"/>
          <w:szCs w:val="16"/>
          <w:lang w:val="es-ES"/>
        </w:rPr>
        <w:t> Las siguientes reglas son aplicables a la contratación cuyo valor no excede del diez por ciento (10%) de la menor cuantía de la Entidad Estatal, independientemente de su objeto:</w:t>
      </w:r>
    </w:p>
    <w:p w14:paraId="5F61728E" w14:textId="77777777" w:rsidR="005B4D3E" w:rsidRPr="00FE6FD8" w:rsidRDefault="005B4D3E" w:rsidP="005B4D3E">
      <w:pPr>
        <w:pStyle w:val="NormalWeb"/>
        <w:shd w:val="clear" w:color="auto" w:fill="FFFFFF"/>
        <w:spacing w:after="0"/>
        <w:ind w:firstLine="708"/>
        <w:jc w:val="both"/>
        <w:rPr>
          <w:rFonts w:ascii="Century Gothic" w:hAnsi="Century Gothic" w:cs="Arial"/>
          <w:sz w:val="16"/>
          <w:szCs w:val="16"/>
          <w:lang w:val="es-ES"/>
        </w:rPr>
      </w:pPr>
      <w:r w:rsidRPr="00FE6FD8">
        <w:rPr>
          <w:rFonts w:ascii="Century Gothic" w:hAnsi="Century Gothic" w:cs="Arial"/>
          <w:sz w:val="16"/>
          <w:szCs w:val="16"/>
          <w:lang w:val="es-ES"/>
        </w:rPr>
        <w:t>[…]</w:t>
      </w:r>
    </w:p>
    <w:p w14:paraId="38749C49" w14:textId="77777777" w:rsidR="005B4D3E" w:rsidRPr="00FE6FD8" w:rsidRDefault="005B4D3E" w:rsidP="005B4D3E">
      <w:pPr>
        <w:pStyle w:val="NormalWeb"/>
        <w:shd w:val="clear" w:color="auto" w:fill="FFFFFF"/>
        <w:spacing w:after="0"/>
        <w:ind w:firstLine="708"/>
        <w:jc w:val="both"/>
        <w:rPr>
          <w:rFonts w:ascii="Century Gothic" w:hAnsi="Century Gothic" w:cs="Arial"/>
          <w:sz w:val="16"/>
          <w:szCs w:val="16"/>
          <w:lang w:val="es-ES"/>
        </w:rPr>
      </w:pPr>
      <w:r w:rsidRPr="00FE6FD8">
        <w:rPr>
          <w:rFonts w:ascii="Century Gothic" w:hAnsi="Century Gothic" w:cs="Arial"/>
          <w:sz w:val="16"/>
          <w:szCs w:val="16"/>
          <w:lang w:val="es-ES"/>
        </w:rPr>
        <w:t>5. La Entidad Estatal debe revisar las ofertas económicas y verificar que la de menor precio cumple con las condiciones de la invitación. Si esta no cumple, la Entidad Estatal debe verificar el cumplimento de los requisitos de la invitación de la oferta con el segundo mejor precio, y así sucesivamente. Lo anterior sin perjuicio de la oportunidad que deberán otorgar las Entidades Estatales para subsanar las ofertas, en los términos del artículo </w:t>
      </w:r>
      <w:hyperlink r:id="rId2" w:anchor="5" w:history="1">
        <w:r w:rsidRPr="00FE6FD8">
          <w:rPr>
            <w:rFonts w:ascii="Century Gothic" w:hAnsi="Century Gothic" w:cs="Arial"/>
            <w:sz w:val="16"/>
            <w:szCs w:val="16"/>
            <w:u w:val="single"/>
            <w:lang w:val="es-ES"/>
          </w:rPr>
          <w:t>5 </w:t>
        </w:r>
      </w:hyperlink>
      <w:r w:rsidRPr="00FE6FD8">
        <w:rPr>
          <w:rFonts w:ascii="Century Gothic" w:hAnsi="Century Gothic" w:cs="Arial"/>
          <w:sz w:val="16"/>
          <w:szCs w:val="16"/>
          <w:lang w:val="es-ES"/>
        </w:rPr>
        <w:t>de la Ley 1150 de 2007, para lo cual establecerán un término preclusivo en la invitación para recibir los documentos subsanables, frente a cada uno de los requerimientos. En caso de que no se establezca este término, los proponentes podrán subsanar sus ofertas hasta antes de que finalice el traslado del informe de evaluación</w:t>
      </w:r>
      <w:r w:rsidRPr="00FE6FD8">
        <w:rPr>
          <w:rFonts w:ascii="Century Gothic" w:hAnsi="Century Gothic" w:cs="Arial"/>
          <w:sz w:val="16"/>
          <w:szCs w:val="16"/>
        </w:rPr>
        <w:t>”</w:t>
      </w:r>
      <w:r w:rsidRPr="00FE6FD8">
        <w:rPr>
          <w:rFonts w:ascii="Century Gothic" w:hAnsi="Century Gothic" w:cs="Arial"/>
          <w:sz w:val="16"/>
          <w:szCs w:val="16"/>
          <w:lang w:val="es-ES"/>
        </w:rPr>
        <w:t>.</w:t>
      </w:r>
    </w:p>
    <w:p w14:paraId="6C9C692B" w14:textId="77777777" w:rsidR="005B4D3E" w:rsidRPr="00FE6FD8" w:rsidRDefault="005B4D3E" w:rsidP="005B4D3E">
      <w:pPr>
        <w:pStyle w:val="Textonotapie"/>
        <w:jc w:val="both"/>
        <w:rPr>
          <w:rFonts w:ascii="Century Gothic" w:hAnsi="Century Gothic" w:cs="Arial"/>
          <w:sz w:val="16"/>
          <w:szCs w:val="16"/>
          <w:lang w:val="es-ES"/>
        </w:rPr>
      </w:pPr>
    </w:p>
  </w:footnote>
  <w:footnote w:id="42">
    <w:p w14:paraId="477B8FDB" w14:textId="77777777" w:rsidR="005B4D3E" w:rsidRPr="00FE6FD8" w:rsidRDefault="005B4D3E" w:rsidP="005B4D3E">
      <w:pPr>
        <w:pStyle w:val="Textonotapie"/>
        <w:ind w:firstLine="709"/>
        <w:jc w:val="both"/>
        <w:rPr>
          <w:rFonts w:ascii="Century Gothic" w:hAnsi="Century Gothic" w:cs="Arial"/>
          <w:color w:val="000000"/>
          <w:sz w:val="16"/>
          <w:szCs w:val="16"/>
        </w:rPr>
      </w:pPr>
      <w:r w:rsidRPr="00FE6FD8">
        <w:rPr>
          <w:rStyle w:val="Refdenotaalpie"/>
          <w:rFonts w:ascii="Century Gothic" w:hAnsi="Century Gothic" w:cs="Arial"/>
          <w:color w:val="000000"/>
          <w:sz w:val="16"/>
          <w:szCs w:val="16"/>
        </w:rPr>
        <w:footnoteRef/>
      </w:r>
      <w:r w:rsidRPr="00FE6FD8">
        <w:rPr>
          <w:rFonts w:ascii="Century Gothic" w:hAnsi="Century Gothic" w:cs="Arial"/>
          <w:color w:val="000000"/>
          <w:sz w:val="16"/>
          <w:szCs w:val="16"/>
        </w:rPr>
        <w:t xml:space="preserve"> “Sin embargo, debe tenerse en cuenta que la última norma en cita -Decreto 2474 de 2008, aparte subrayado-, establece un límite a la subsanabilidad, puesto que en cualquier caso debe referirse o recaer sobre circunstancias ocurridas antes del cierre del respectivo proceso, esto es, del vencimiento del plazo para presentar ofertas.</w:t>
      </w:r>
    </w:p>
    <w:p w14:paraId="6A4A9A80" w14:textId="77777777" w:rsidR="005B4D3E" w:rsidRPr="00FE6FD8" w:rsidRDefault="005B4D3E" w:rsidP="005B4D3E">
      <w:pPr>
        <w:pStyle w:val="Textonotapie"/>
        <w:ind w:firstLine="709"/>
        <w:jc w:val="both"/>
        <w:rPr>
          <w:rFonts w:ascii="Century Gothic" w:hAnsi="Century Gothic" w:cs="Arial"/>
          <w:color w:val="000000"/>
          <w:sz w:val="16"/>
          <w:szCs w:val="16"/>
        </w:rPr>
      </w:pPr>
      <w:r w:rsidRPr="00FE6FD8">
        <w:rPr>
          <w:rFonts w:ascii="Century Gothic" w:hAnsi="Century Gothic" w:cs="Arial"/>
          <w:color w:val="000000"/>
          <w:sz w:val="16"/>
          <w:szCs w:val="16"/>
        </w:rPr>
        <w:t xml:space="preserve"> 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la misma,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 (Consejo de Estado. Sala de Consulta y Servicio Civil. Concepto del 6 de noviembre de 2008. Expediente: 1927. Consejero Ponente: William Zambrano Cetina).</w:t>
      </w:r>
    </w:p>
    <w:p w14:paraId="4B160773" w14:textId="77777777" w:rsidR="005B4D3E" w:rsidRPr="00FE6FD8" w:rsidRDefault="005B4D3E" w:rsidP="005B4D3E">
      <w:pPr>
        <w:pStyle w:val="Textonotapie"/>
        <w:ind w:firstLine="709"/>
        <w:jc w:val="both"/>
        <w:rPr>
          <w:rFonts w:ascii="Century Gothic" w:hAnsi="Century Gothic" w:cs="Arial"/>
          <w:color w:val="000000"/>
          <w:sz w:val="16"/>
          <w:szCs w:val="16"/>
        </w:rPr>
      </w:pPr>
    </w:p>
  </w:footnote>
  <w:footnote w:id="43">
    <w:p w14:paraId="2728B6A6" w14:textId="77777777" w:rsidR="005B4D3E" w:rsidRPr="00FE6FD8" w:rsidRDefault="005B4D3E" w:rsidP="005B4D3E">
      <w:pPr>
        <w:pStyle w:val="Textonotapie"/>
        <w:jc w:val="both"/>
        <w:rPr>
          <w:rFonts w:ascii="Century Gothic" w:hAnsi="Century Gothic" w:cs="Arial"/>
          <w:sz w:val="16"/>
          <w:szCs w:val="16"/>
        </w:rPr>
      </w:pPr>
    </w:p>
  </w:footnote>
  <w:footnote w:id="44">
    <w:p w14:paraId="5FF3B90C" w14:textId="77777777" w:rsidR="005B4D3E" w:rsidRPr="00FE6FD8" w:rsidRDefault="005B4D3E" w:rsidP="005B4D3E">
      <w:pPr>
        <w:pStyle w:val="Textonotapie"/>
        <w:ind w:firstLine="709"/>
        <w:jc w:val="both"/>
        <w:rPr>
          <w:rFonts w:ascii="Century Gothic" w:hAnsi="Century Gothic" w:cs="Arial"/>
          <w:color w:val="000000"/>
          <w:sz w:val="16"/>
          <w:szCs w:val="16"/>
        </w:rPr>
      </w:pPr>
      <w:r w:rsidRPr="00FE6FD8">
        <w:rPr>
          <w:rStyle w:val="Refdenotaalpie"/>
          <w:rFonts w:ascii="Century Gothic" w:hAnsi="Century Gothic" w:cs="Arial"/>
          <w:color w:val="000000"/>
          <w:sz w:val="16"/>
          <w:szCs w:val="16"/>
        </w:rPr>
        <w:footnoteRef/>
      </w:r>
      <w:r w:rsidRPr="00FE6FD8">
        <w:rPr>
          <w:rFonts w:ascii="Century Gothic" w:hAnsi="Century Gothic" w:cs="Arial"/>
          <w:color w:val="000000"/>
          <w:sz w:val="16"/>
          <w:szCs w:val="16"/>
        </w:rPr>
        <w:t xml:space="preserve"> Ver CONSEJO DE ESTADO, Sección Tercera, Subsección C. Sentencia del 26 de febrero de 2011. C.P. Jaime Orlando Santofimio. Rad. 36.408. </w:t>
      </w:r>
    </w:p>
    <w:p w14:paraId="240EEAC9" w14:textId="77777777" w:rsidR="005B4D3E" w:rsidRPr="00FE6FD8" w:rsidRDefault="005B4D3E" w:rsidP="005B4D3E">
      <w:pPr>
        <w:pStyle w:val="Textonotapie"/>
        <w:ind w:firstLine="709"/>
        <w:jc w:val="both"/>
        <w:rPr>
          <w:rFonts w:ascii="Century Gothic" w:hAnsi="Century Gothic" w:cs="Arial"/>
          <w:color w:val="000000"/>
          <w:sz w:val="16"/>
          <w:szCs w:val="16"/>
        </w:rPr>
      </w:pPr>
    </w:p>
  </w:footnote>
  <w:footnote w:id="45">
    <w:p w14:paraId="6B51EA4C" w14:textId="77777777" w:rsidR="005B4D3E" w:rsidRPr="00FE6FD8" w:rsidRDefault="005B4D3E" w:rsidP="005B4D3E">
      <w:pPr>
        <w:pStyle w:val="Textonotapie"/>
        <w:ind w:firstLine="709"/>
        <w:jc w:val="both"/>
        <w:rPr>
          <w:rFonts w:ascii="Century Gothic" w:hAnsi="Century Gothic" w:cs="Arial"/>
          <w:color w:val="000000"/>
          <w:sz w:val="16"/>
          <w:szCs w:val="16"/>
        </w:rPr>
      </w:pPr>
      <w:r w:rsidRPr="00FE6FD8">
        <w:rPr>
          <w:rStyle w:val="Refdenotaalpie"/>
          <w:rFonts w:ascii="Century Gothic" w:hAnsi="Century Gothic" w:cs="Arial"/>
          <w:color w:val="000000"/>
          <w:sz w:val="16"/>
          <w:szCs w:val="16"/>
        </w:rPr>
        <w:footnoteRef/>
      </w:r>
      <w:r w:rsidRPr="00FE6FD8">
        <w:rPr>
          <w:rFonts w:ascii="Century Gothic" w:hAnsi="Century Gothic" w:cs="Arial"/>
          <w:color w:val="000000"/>
          <w:sz w:val="16"/>
          <w:szCs w:val="16"/>
        </w:rPr>
        <w:t xml:space="preserve"> Ver CONSEJO DE ESTADO, Sección Tercera, Subsección C. Sentencia del 26 de febrero de 2014. C.P. Enrique Gil Botero. Rad. 25.804. </w:t>
      </w:r>
    </w:p>
    <w:p w14:paraId="4096582D" w14:textId="77777777" w:rsidR="005B4D3E" w:rsidRPr="00FE6FD8" w:rsidRDefault="005B4D3E" w:rsidP="005B4D3E">
      <w:pPr>
        <w:pStyle w:val="Textonotapie"/>
        <w:ind w:firstLine="709"/>
        <w:jc w:val="both"/>
        <w:rPr>
          <w:rFonts w:ascii="Century Gothic" w:hAnsi="Century Gothic" w:cs="Arial"/>
          <w:color w:val="000000"/>
          <w:sz w:val="16"/>
          <w:szCs w:val="16"/>
        </w:rPr>
      </w:pPr>
    </w:p>
  </w:footnote>
  <w:footnote w:id="46">
    <w:p w14:paraId="62C185D8" w14:textId="77777777" w:rsidR="005B4D3E" w:rsidRPr="00FE6FD8" w:rsidRDefault="005B4D3E" w:rsidP="005B4D3E">
      <w:pPr>
        <w:pStyle w:val="Textonotapie"/>
        <w:ind w:firstLine="709"/>
        <w:jc w:val="both"/>
        <w:rPr>
          <w:rFonts w:ascii="Century Gothic" w:hAnsi="Century Gothic" w:cs="Arial"/>
          <w:color w:val="000000"/>
          <w:sz w:val="16"/>
          <w:szCs w:val="16"/>
        </w:rPr>
      </w:pPr>
      <w:r w:rsidRPr="00FE6FD8">
        <w:rPr>
          <w:rStyle w:val="Refdenotaalpie"/>
          <w:rFonts w:ascii="Century Gothic" w:hAnsi="Century Gothic" w:cs="Arial"/>
          <w:color w:val="000000"/>
          <w:sz w:val="16"/>
          <w:szCs w:val="16"/>
        </w:rPr>
        <w:footnoteRef/>
      </w:r>
      <w:r w:rsidRPr="00FE6FD8">
        <w:rPr>
          <w:rFonts w:ascii="Century Gothic" w:hAnsi="Century Gothic" w:cs="Arial"/>
          <w:color w:val="000000"/>
          <w:sz w:val="16"/>
          <w:szCs w:val="16"/>
        </w:rPr>
        <w:t xml:space="preserve"> CONSEJO DE ESTADO. Sala de Consulta y Servicio Civil. Concepto del 20 de mayo de 2010. Expediente: 1992. Consejero Ponente: Enrique José Arboleda Perdomo.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A4F5" w14:textId="77777777" w:rsidR="005C0C7A" w:rsidRDefault="005C0C7A">
    <w:pPr>
      <w:pStyle w:val="Encabezado"/>
    </w:pPr>
    <w:r>
      <w:rPr>
        <w:noProof/>
        <w:lang w:eastAsia="es-CO"/>
      </w:rPr>
      <w:drawing>
        <wp:anchor distT="0" distB="0" distL="114300" distR="114300" simplePos="0" relativeHeight="251659264" behindDoc="1" locked="0" layoutInCell="1" allowOverlap="1" wp14:anchorId="6CCB8EBC" wp14:editId="582FA43A">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lang w:eastAsia="es-CO"/>
      </w:rPr>
      <w:drawing>
        <wp:anchor distT="0" distB="0" distL="114300" distR="114300" simplePos="0" relativeHeight="251663360" behindDoc="0" locked="0" layoutInCell="1" allowOverlap="1" wp14:anchorId="36BC2E7F" wp14:editId="6C50876A">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lang w:eastAsia="es-CO"/>
      </w:rPr>
      <w:drawing>
        <wp:anchor distT="0" distB="0" distL="114300" distR="114300" simplePos="0" relativeHeight="251661312" behindDoc="0" locked="0" layoutInCell="1" allowOverlap="1" wp14:anchorId="6867E012" wp14:editId="740C0866">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60288" behindDoc="0" locked="0" layoutInCell="1" allowOverlap="1" wp14:anchorId="0CAB268C" wp14:editId="1CF2752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591D1DA6" w14:textId="77777777" w:rsidR="005C0C7A" w:rsidRDefault="005C0C7A">
    <w:pPr>
      <w:pStyle w:val="Encabezado"/>
    </w:pPr>
  </w:p>
  <w:p w14:paraId="4D07508E" w14:textId="77777777" w:rsidR="005C0C7A" w:rsidRDefault="005C0C7A">
    <w:pPr>
      <w:pStyle w:val="Encabezado"/>
    </w:pPr>
  </w:p>
  <w:p w14:paraId="2CAA3CF7" w14:textId="77777777" w:rsidR="005C0C7A" w:rsidRPr="004A305D" w:rsidRDefault="005C0C7A"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19F1A05B" w14:textId="77777777" w:rsidR="005C0C7A" w:rsidRPr="004A305D" w:rsidRDefault="005C0C7A"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w:t>
    </w:r>
    <w:r>
      <w:rPr>
        <w:rFonts w:ascii="Century Gothic" w:eastAsia="Geo" w:hAnsi="Century Gothic" w:cs="Geo"/>
        <w:bCs/>
        <w:color w:val="000000"/>
        <w:sz w:val="16"/>
        <w:szCs w:val="16"/>
        <w:lang w:eastAsia="es-CO"/>
      </w:rPr>
      <w:t>7</w:t>
    </w:r>
  </w:p>
  <w:p w14:paraId="65A1879E" w14:textId="77777777" w:rsidR="005C0C7A" w:rsidRDefault="005C0C7A"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22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00DC99F6" w14:textId="77777777" w:rsidR="005C0C7A" w:rsidRDefault="005C0C7A" w:rsidP="005B5D8B">
    <w:pPr>
      <w:spacing w:after="0"/>
      <w:rPr>
        <w:rFonts w:ascii="Century Gothic" w:eastAsia="Geo" w:hAnsi="Century Gothic" w:cs="Geo"/>
        <w:sz w:val="16"/>
        <w:szCs w:val="16"/>
        <w:lang w:eastAsia="es-CO"/>
      </w:rPr>
    </w:pPr>
  </w:p>
  <w:p w14:paraId="2A0B1283" w14:textId="77777777" w:rsidR="005C0C7A" w:rsidRPr="005B5D8B" w:rsidRDefault="005C0C7A" w:rsidP="005B5D8B">
    <w:pPr>
      <w:spacing w:after="0"/>
      <w:rPr>
        <w:rFonts w:ascii="Century Gothic" w:eastAsia="Geo" w:hAnsi="Century Gothic"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187885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3E"/>
    <w:rsid w:val="005727E1"/>
    <w:rsid w:val="005818E2"/>
    <w:rsid w:val="005B4D3E"/>
    <w:rsid w:val="007D6E6F"/>
    <w:rsid w:val="008E5C2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527AC"/>
  <w15:chartTrackingRefBased/>
  <w15:docId w15:val="{3497C2B9-1EEB-4E48-8E6C-5371DAF6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D3E"/>
    <w:rPr>
      <w:kern w:val="0"/>
      <w14:ligatures w14:val="none"/>
    </w:rPr>
  </w:style>
  <w:style w:type="paragraph" w:styleId="Ttulo1">
    <w:name w:val="heading 1"/>
    <w:basedOn w:val="Normal"/>
    <w:next w:val="Normal"/>
    <w:link w:val="Ttulo1Car"/>
    <w:uiPriority w:val="9"/>
    <w:qFormat/>
    <w:rsid w:val="005B4D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B4D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B4D3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B4D3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B4D3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B4D3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B4D3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B4D3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B4D3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B4D3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B4D3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B4D3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B4D3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B4D3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B4D3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B4D3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B4D3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B4D3E"/>
    <w:rPr>
      <w:rFonts w:eastAsiaTheme="majorEastAsia" w:cstheme="majorBidi"/>
      <w:color w:val="272727" w:themeColor="text1" w:themeTint="D8"/>
    </w:rPr>
  </w:style>
  <w:style w:type="paragraph" w:styleId="Ttulo">
    <w:name w:val="Title"/>
    <w:basedOn w:val="Normal"/>
    <w:next w:val="Normal"/>
    <w:link w:val="TtuloCar"/>
    <w:uiPriority w:val="10"/>
    <w:qFormat/>
    <w:rsid w:val="005B4D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B4D3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B4D3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B4D3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B4D3E"/>
    <w:pPr>
      <w:spacing w:before="160"/>
      <w:jc w:val="center"/>
    </w:pPr>
    <w:rPr>
      <w:i/>
      <w:iCs/>
      <w:color w:val="404040" w:themeColor="text1" w:themeTint="BF"/>
    </w:rPr>
  </w:style>
  <w:style w:type="character" w:customStyle="1" w:styleId="CitaCar">
    <w:name w:val="Cita Car"/>
    <w:basedOn w:val="Fuentedeprrafopredeter"/>
    <w:link w:val="Cita"/>
    <w:uiPriority w:val="29"/>
    <w:rsid w:val="005B4D3E"/>
    <w:rPr>
      <w:i/>
      <w:iCs/>
      <w:color w:val="404040" w:themeColor="text1" w:themeTint="BF"/>
    </w:rPr>
  </w:style>
  <w:style w:type="paragraph" w:styleId="Prrafodelista">
    <w:name w:val="List Paragraph"/>
    <w:basedOn w:val="Normal"/>
    <w:uiPriority w:val="34"/>
    <w:qFormat/>
    <w:rsid w:val="005B4D3E"/>
    <w:pPr>
      <w:ind w:left="720"/>
      <w:contextualSpacing/>
    </w:pPr>
  </w:style>
  <w:style w:type="character" w:styleId="nfasisintenso">
    <w:name w:val="Intense Emphasis"/>
    <w:basedOn w:val="Fuentedeprrafopredeter"/>
    <w:uiPriority w:val="21"/>
    <w:qFormat/>
    <w:rsid w:val="005B4D3E"/>
    <w:rPr>
      <w:i/>
      <w:iCs/>
      <w:color w:val="0F4761" w:themeColor="accent1" w:themeShade="BF"/>
    </w:rPr>
  </w:style>
  <w:style w:type="paragraph" w:styleId="Citadestacada">
    <w:name w:val="Intense Quote"/>
    <w:basedOn w:val="Normal"/>
    <w:next w:val="Normal"/>
    <w:link w:val="CitadestacadaCar"/>
    <w:uiPriority w:val="30"/>
    <w:qFormat/>
    <w:rsid w:val="005B4D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B4D3E"/>
    <w:rPr>
      <w:i/>
      <w:iCs/>
      <w:color w:val="0F4761" w:themeColor="accent1" w:themeShade="BF"/>
    </w:rPr>
  </w:style>
  <w:style w:type="character" w:styleId="Referenciaintensa">
    <w:name w:val="Intense Reference"/>
    <w:basedOn w:val="Fuentedeprrafopredeter"/>
    <w:uiPriority w:val="32"/>
    <w:qFormat/>
    <w:rsid w:val="005B4D3E"/>
    <w:rPr>
      <w:b/>
      <w:bCs/>
      <w:smallCaps/>
      <w:color w:val="0F4761" w:themeColor="accent1" w:themeShade="BF"/>
      <w:spacing w:val="5"/>
    </w:rPr>
  </w:style>
  <w:style w:type="paragraph" w:styleId="Encabezado">
    <w:name w:val="header"/>
    <w:basedOn w:val="Normal"/>
    <w:link w:val="EncabezadoCar"/>
    <w:uiPriority w:val="99"/>
    <w:unhideWhenUsed/>
    <w:rsid w:val="005B4D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4D3E"/>
    <w:rPr>
      <w:kern w:val="0"/>
      <w14:ligatures w14:val="none"/>
    </w:rPr>
  </w:style>
  <w:style w:type="paragraph" w:styleId="Piedepgina">
    <w:name w:val="footer"/>
    <w:basedOn w:val="Normal"/>
    <w:link w:val="PiedepginaCar"/>
    <w:uiPriority w:val="99"/>
    <w:unhideWhenUsed/>
    <w:rsid w:val="005B4D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4D3E"/>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5B4D3E"/>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5B4D3E"/>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5B4D3E"/>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nhideWhenUsed/>
    <w:qFormat/>
    <w:rsid w:val="005B4D3E"/>
    <w:rPr>
      <w:vertAlign w:val="superscript"/>
    </w:rPr>
  </w:style>
  <w:style w:type="table" w:styleId="Tablaconcuadrcula">
    <w:name w:val="Table Grid"/>
    <w:basedOn w:val="Tablanormal"/>
    <w:uiPriority w:val="39"/>
    <w:rsid w:val="005B4D3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B4D3E"/>
    <w:rPr>
      <w:color w:val="0000FF"/>
      <w:u w:val="single"/>
    </w:rPr>
  </w:style>
  <w:style w:type="paragraph" w:customStyle="1" w:styleId="Appelnotedebasde">
    <w:name w:val="Appel note de bas de..."/>
    <w:basedOn w:val="Normal"/>
    <w:link w:val="Refdenotaalpie"/>
    <w:rsid w:val="005B4D3E"/>
    <w:pPr>
      <w:spacing w:line="240" w:lineRule="exact"/>
    </w:pPr>
    <w:rPr>
      <w:kern w:val="2"/>
      <w:vertAlign w:val="superscript"/>
      <w14:ligatures w14:val="standardContextual"/>
    </w:rPr>
  </w:style>
  <w:style w:type="paragraph" w:styleId="NormalWeb">
    <w:name w:val="Normal (Web)"/>
    <w:basedOn w:val="Normal"/>
    <w:link w:val="NormalWebCar"/>
    <w:uiPriority w:val="99"/>
    <w:unhideWhenUsed/>
    <w:rsid w:val="005B4D3E"/>
    <w:rPr>
      <w:rFonts w:ascii="Times New Roman" w:hAnsi="Times New Roman" w:cs="Times New Roman"/>
      <w:sz w:val="24"/>
      <w:szCs w:val="24"/>
    </w:rPr>
  </w:style>
  <w:style w:type="character" w:customStyle="1" w:styleId="NormalWebCar">
    <w:name w:val="Normal (Web) Car"/>
    <w:link w:val="NormalWeb"/>
    <w:uiPriority w:val="99"/>
    <w:rsid w:val="005B4D3E"/>
    <w:rPr>
      <w:rFonts w:ascii="Times New Roman" w:hAnsi="Times New Roman" w:cs="Times New Roman"/>
      <w:kern w:val="0"/>
      <w:sz w:val="24"/>
      <w:szCs w:val="24"/>
      <w14:ligatures w14:val="none"/>
    </w:rPr>
  </w:style>
  <w:style w:type="character" w:customStyle="1" w:styleId="wacimagecontainer">
    <w:name w:val="wacimagecontainer"/>
    <w:basedOn w:val="Fuentedeprrafopredeter"/>
    <w:rsid w:val="007D6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www.funcionpublica.gov.co/eva/gestornormativo/norma.php?i=25678"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367CE3-654C-4030-8973-25E7ADB56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11197A-ED76-4F84-BE54-22037A89917C}">
  <ds:schemaRefs>
    <ds:schemaRef ds:uri="http://schemas.microsoft.com/sharepoint/v3/contenttype/forms"/>
  </ds:schemaRefs>
</ds:datastoreItem>
</file>

<file path=customXml/itemProps3.xml><?xml version="1.0" encoding="utf-8"?>
<ds:datastoreItem xmlns:ds="http://schemas.openxmlformats.org/officeDocument/2006/customXml" ds:itemID="{8D475067-A057-47CF-9EDE-05C2F6CD925E}">
  <ds:schemaRefs>
    <ds:schemaRef ds:uri="http://www.w3.org/XML/1998/namespace"/>
    <ds:schemaRef ds:uri="http://purl.org/dc/dcmitype/"/>
    <ds:schemaRef ds:uri="9d85dbaf-23eb-4e57-a637-93dcacc8b1a1"/>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a6cb9e4b-f1d1-4245-83ec-6cad768d538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11730</Words>
  <Characters>64518</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Nasly Yeana Mosquera Rivas</cp:lastModifiedBy>
  <cp:revision>2</cp:revision>
  <dcterms:created xsi:type="dcterms:W3CDTF">2024-03-11T22:57:00Z</dcterms:created>
  <dcterms:modified xsi:type="dcterms:W3CDTF">2024-03-11T22:57:00Z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