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35E6" w14:textId="77777777" w:rsidR="00934D8A" w:rsidRPr="00D01437" w:rsidRDefault="00934D8A" w:rsidP="00934D8A">
      <w:pPr>
        <w:spacing w:after="0" w:line="240" w:lineRule="auto"/>
        <w:ind w:right="102"/>
        <w:jc w:val="both"/>
        <w:rPr>
          <w:rFonts w:ascii="Century Gothic" w:eastAsiaTheme="minorEastAsia" w:hAnsi="Century Gothic" w:cs="Arial"/>
          <w:b/>
          <w:lang w:val="es-ES_tradnl" w:eastAsia="es-CO"/>
        </w:rPr>
      </w:pPr>
      <w:bookmarkStart w:id="0" w:name="_Hlk94281581"/>
      <w:bookmarkStart w:id="1" w:name="_Hlk102489058"/>
      <w:bookmarkStart w:id="2" w:name="_Hlk34951122"/>
      <w:r w:rsidRPr="00D01437">
        <w:rPr>
          <w:rFonts w:ascii="Century Gothic" w:eastAsiaTheme="minorEastAsia" w:hAnsi="Century Gothic" w:cs="Arial"/>
          <w:b/>
          <w:lang w:val="es-ES_tradnl" w:eastAsia="es-CO"/>
        </w:rPr>
        <w:t xml:space="preserve">DECRETO 092 DE 2017 – Finalidad – Clases de contratos </w:t>
      </w:r>
    </w:p>
    <w:p w14:paraId="3B817EFD" w14:textId="77777777" w:rsidR="00934D8A" w:rsidRPr="00D01437" w:rsidRDefault="00934D8A" w:rsidP="00934D8A">
      <w:pPr>
        <w:spacing w:after="0" w:line="240" w:lineRule="auto"/>
        <w:ind w:right="102"/>
        <w:jc w:val="both"/>
        <w:rPr>
          <w:rFonts w:ascii="Century Gothic" w:eastAsiaTheme="minorEastAsia" w:hAnsi="Century Gothic" w:cs="Arial"/>
          <w:sz w:val="20"/>
          <w:szCs w:val="20"/>
          <w:lang w:val="es-ES_tradnl" w:eastAsia="es-CO"/>
        </w:rPr>
      </w:pPr>
    </w:p>
    <w:p w14:paraId="71F17FDB" w14:textId="77777777" w:rsidR="00934D8A" w:rsidRPr="00D01437" w:rsidRDefault="00934D8A" w:rsidP="00934D8A">
      <w:pPr>
        <w:spacing w:after="0" w:line="240" w:lineRule="auto"/>
        <w:jc w:val="both"/>
        <w:rPr>
          <w:rFonts w:ascii="Century Gothic" w:eastAsia="Arial" w:hAnsi="Century Gothic" w:cs="Arial"/>
          <w:sz w:val="20"/>
          <w:szCs w:val="20"/>
          <w:lang w:val="es-ES_tradnl"/>
        </w:rPr>
      </w:pPr>
      <w:r w:rsidRPr="00D01437">
        <w:rPr>
          <w:rFonts w:ascii="Century Gothic" w:eastAsia="Arial" w:hAnsi="Century Gothic" w:cs="Arial"/>
          <w:sz w:val="20"/>
          <w:szCs w:val="20"/>
          <w:lang w:val="es-ES_tradnl"/>
        </w:rPr>
        <w:t>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w:t>
      </w:r>
    </w:p>
    <w:p w14:paraId="58C2ED7E" w14:textId="77777777" w:rsidR="00934D8A" w:rsidRPr="00D01437" w:rsidRDefault="00934D8A" w:rsidP="00934D8A">
      <w:pPr>
        <w:spacing w:after="0" w:line="240" w:lineRule="auto"/>
        <w:jc w:val="both"/>
        <w:rPr>
          <w:rFonts w:ascii="Century Gothic" w:eastAsia="Calibri" w:hAnsi="Century Gothic" w:cs="Arial"/>
          <w:b/>
          <w:lang w:val="es-ES_tradnl"/>
        </w:rPr>
      </w:pPr>
    </w:p>
    <w:p w14:paraId="491DDB35" w14:textId="77777777" w:rsidR="00934D8A" w:rsidRPr="00D01437" w:rsidRDefault="00934D8A" w:rsidP="00934D8A">
      <w:pPr>
        <w:spacing w:after="0" w:line="240" w:lineRule="auto"/>
        <w:jc w:val="both"/>
        <w:rPr>
          <w:rFonts w:ascii="Century Gothic" w:eastAsia="Calibri" w:hAnsi="Century Gothic" w:cs="Arial"/>
          <w:b/>
          <w:lang w:val="es-ES_tradnl"/>
        </w:rPr>
      </w:pPr>
      <w:r w:rsidRPr="00D01437">
        <w:rPr>
          <w:rFonts w:ascii="Century Gothic" w:eastAsia="Calibri" w:hAnsi="Century Gothic" w:cs="Arial"/>
          <w:b/>
          <w:lang w:val="es-ES_tradnl"/>
        </w:rPr>
        <w:t xml:space="preserve">CONTRATACIÓN CON ESAL – Contrato de colaboración – Objeto – Alcance </w:t>
      </w:r>
    </w:p>
    <w:p w14:paraId="196F5154" w14:textId="77777777" w:rsidR="00934D8A" w:rsidRPr="00D01437" w:rsidRDefault="00934D8A" w:rsidP="00934D8A">
      <w:pPr>
        <w:spacing w:after="0" w:line="240" w:lineRule="auto"/>
        <w:jc w:val="both"/>
        <w:rPr>
          <w:rFonts w:ascii="Century Gothic" w:eastAsia="Calibri" w:hAnsi="Century Gothic" w:cs="Arial"/>
          <w:bCs/>
          <w:sz w:val="20"/>
          <w:szCs w:val="20"/>
          <w:lang w:val="es-ES_tradnl"/>
        </w:rPr>
      </w:pPr>
    </w:p>
    <w:p w14:paraId="5E8FCB85" w14:textId="77777777" w:rsidR="00934D8A" w:rsidRPr="00D01437" w:rsidRDefault="00934D8A" w:rsidP="00934D8A">
      <w:pPr>
        <w:spacing w:after="0" w:line="240" w:lineRule="auto"/>
        <w:jc w:val="both"/>
        <w:rPr>
          <w:rFonts w:ascii="Century Gothic" w:hAnsi="Century Gothic" w:cs="Arial"/>
          <w:sz w:val="20"/>
          <w:szCs w:val="20"/>
          <w:lang w:val="es-ES_tradnl"/>
        </w:rPr>
      </w:pPr>
      <w:r w:rsidRPr="00D01437">
        <w:rPr>
          <w:rFonts w:ascii="Century Gothic" w:hAnsi="Century Gothic" w:cs="Arial"/>
          <w:sz w:val="20"/>
          <w:szCs w:val="20"/>
          <w:lang w:val="es-ES_tradnl"/>
        </w:rPr>
        <w:t>Los contratos del artículo 355 de la Constitución Política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w:t>
      </w:r>
    </w:p>
    <w:p w14:paraId="4D7F9C82" w14:textId="77777777" w:rsidR="00934D8A" w:rsidRPr="00D01437" w:rsidRDefault="00934D8A" w:rsidP="00934D8A">
      <w:pPr>
        <w:spacing w:after="0" w:line="240" w:lineRule="auto"/>
        <w:jc w:val="both"/>
        <w:rPr>
          <w:rFonts w:ascii="Century Gothic" w:hAnsi="Century Gothic" w:cs="Arial"/>
          <w:sz w:val="21"/>
          <w:szCs w:val="21"/>
          <w:lang w:val="es-ES_tradnl"/>
        </w:rPr>
      </w:pPr>
    </w:p>
    <w:p w14:paraId="33A41659" w14:textId="77777777" w:rsidR="00934D8A" w:rsidRPr="00D01437" w:rsidRDefault="00934D8A" w:rsidP="00934D8A">
      <w:pPr>
        <w:spacing w:after="0" w:line="240" w:lineRule="auto"/>
        <w:jc w:val="both"/>
        <w:rPr>
          <w:rFonts w:ascii="Century Gothic" w:eastAsia="Calibri" w:hAnsi="Century Gothic" w:cs="Arial"/>
          <w:b/>
          <w:lang w:val="es-ES_tradnl"/>
        </w:rPr>
      </w:pPr>
      <w:bookmarkStart w:id="3" w:name="_Hlk109118876"/>
      <w:r w:rsidRPr="00D01437">
        <w:rPr>
          <w:rFonts w:ascii="Century Gothic" w:eastAsia="Calibri" w:hAnsi="Century Gothic" w:cs="Arial"/>
          <w:b/>
          <w:lang w:val="es-ES_tradnl"/>
        </w:rPr>
        <w:t>CONTRATACIÓN CON ESAL –</w:t>
      </w:r>
      <w:bookmarkEnd w:id="3"/>
      <w:r w:rsidRPr="00D01437">
        <w:rPr>
          <w:rFonts w:ascii="Century Gothic" w:eastAsia="Calibri" w:hAnsi="Century Gothic" w:cs="Arial"/>
          <w:b/>
          <w:lang w:val="es-ES_tradnl"/>
        </w:rPr>
        <w:t xml:space="preserve"> Contrato de asociación – Objeto – Alcance </w:t>
      </w:r>
    </w:p>
    <w:p w14:paraId="38FA161F" w14:textId="77777777" w:rsidR="00934D8A" w:rsidRPr="00D01437" w:rsidRDefault="00934D8A" w:rsidP="00934D8A">
      <w:pPr>
        <w:spacing w:after="0" w:line="240" w:lineRule="auto"/>
        <w:jc w:val="both"/>
        <w:rPr>
          <w:rFonts w:ascii="Century Gothic" w:eastAsia="Calibri" w:hAnsi="Century Gothic" w:cs="Arial"/>
          <w:b/>
          <w:lang w:val="es-ES_tradnl"/>
        </w:rPr>
      </w:pPr>
    </w:p>
    <w:p w14:paraId="6D2F692B" w14:textId="77777777" w:rsidR="00934D8A" w:rsidRPr="00D01437" w:rsidRDefault="00934D8A" w:rsidP="00934D8A">
      <w:pPr>
        <w:spacing w:after="0" w:line="240" w:lineRule="auto"/>
        <w:jc w:val="both"/>
        <w:rPr>
          <w:rFonts w:ascii="Century Gothic" w:hAnsi="Century Gothic" w:cs="Arial"/>
          <w:sz w:val="20"/>
          <w:szCs w:val="20"/>
          <w:lang w:val="es-ES_tradnl"/>
        </w:rPr>
      </w:pPr>
      <w:r w:rsidRPr="00D01437">
        <w:rPr>
          <w:rFonts w:ascii="Century Gothic" w:hAnsi="Century Gothic" w:cs="Arial"/>
          <w:sz w:val="20"/>
          <w:szCs w:val="20"/>
          <w:lang w:val="es-ES_tradnl"/>
        </w:rPr>
        <w:t>De otro lado, los convenios de asociación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p>
    <w:p w14:paraId="4EE28284" w14:textId="77777777" w:rsidR="00934D8A" w:rsidRPr="00D01437" w:rsidRDefault="00934D8A" w:rsidP="00934D8A">
      <w:pPr>
        <w:spacing w:after="0" w:line="240" w:lineRule="auto"/>
        <w:jc w:val="both"/>
        <w:rPr>
          <w:rFonts w:ascii="Century Gothic" w:hAnsi="Century Gothic" w:cs="Arial"/>
          <w:sz w:val="20"/>
          <w:szCs w:val="20"/>
          <w:lang w:val="es-ES_tradnl"/>
        </w:rPr>
      </w:pPr>
    </w:p>
    <w:p w14:paraId="62B5F15F" w14:textId="77777777" w:rsidR="00934D8A" w:rsidRPr="00D01437" w:rsidRDefault="00934D8A" w:rsidP="00934D8A">
      <w:pPr>
        <w:spacing w:after="0" w:line="240" w:lineRule="auto"/>
        <w:jc w:val="both"/>
        <w:rPr>
          <w:rFonts w:ascii="Century Gothic" w:eastAsia="Calibri" w:hAnsi="Century Gothic" w:cs="Arial"/>
          <w:b/>
          <w:lang w:val="es-ES_tradnl"/>
        </w:rPr>
      </w:pPr>
      <w:r w:rsidRPr="00D01437">
        <w:rPr>
          <w:rFonts w:ascii="Century Gothic" w:eastAsia="Calibri" w:hAnsi="Century Gothic" w:cs="Arial"/>
          <w:b/>
          <w:lang w:val="es-ES_tradnl"/>
        </w:rPr>
        <w:t xml:space="preserve">DECRETO 092 DE 2017 – Criterios – Aplicación </w:t>
      </w:r>
    </w:p>
    <w:p w14:paraId="78F9A72B" w14:textId="77777777" w:rsidR="00934D8A" w:rsidRPr="00D01437" w:rsidRDefault="00934D8A" w:rsidP="00934D8A">
      <w:pPr>
        <w:spacing w:after="0" w:line="240" w:lineRule="auto"/>
        <w:jc w:val="both"/>
        <w:rPr>
          <w:rFonts w:ascii="Century Gothic" w:hAnsi="Century Gothic" w:cs="Arial"/>
          <w:sz w:val="21"/>
          <w:szCs w:val="21"/>
          <w:lang w:val="es-ES_tradnl"/>
        </w:rPr>
      </w:pPr>
    </w:p>
    <w:p w14:paraId="1C8F1EC6" w14:textId="77777777" w:rsidR="00934D8A" w:rsidRPr="00D01437" w:rsidRDefault="00934D8A" w:rsidP="00934D8A">
      <w:pPr>
        <w:spacing w:after="0" w:line="240" w:lineRule="auto"/>
        <w:jc w:val="both"/>
        <w:rPr>
          <w:rFonts w:ascii="Century Gothic" w:hAnsi="Century Gothic" w:cs="Arial"/>
          <w:sz w:val="20"/>
          <w:szCs w:val="20"/>
          <w:lang w:val="es-ES_tradnl"/>
        </w:rPr>
      </w:pPr>
      <w:r w:rsidRPr="00D01437">
        <w:rPr>
          <w:rFonts w:ascii="Century Gothic" w:hAnsi="Century Gothic" w:cs="Arial"/>
          <w:sz w:val="20"/>
          <w:szCs w:val="20"/>
          <w:lang w:val="es-ES_tradnl"/>
        </w:rPr>
        <w:t>[…] 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399C590A" w14:textId="77777777" w:rsidR="00934D8A" w:rsidRPr="00D01437" w:rsidRDefault="00934D8A" w:rsidP="00934D8A">
      <w:pPr>
        <w:spacing w:after="0" w:line="240" w:lineRule="auto"/>
        <w:jc w:val="both"/>
        <w:rPr>
          <w:rFonts w:ascii="Century Gothic" w:eastAsia="Arial" w:hAnsi="Century Gothic" w:cs="Arial"/>
          <w:sz w:val="20"/>
          <w:szCs w:val="20"/>
          <w:lang w:val="es-ES_tradnl"/>
        </w:rPr>
      </w:pPr>
    </w:p>
    <w:p w14:paraId="3E109692" w14:textId="77777777" w:rsidR="00934D8A" w:rsidRPr="00D01437" w:rsidRDefault="00934D8A" w:rsidP="00934D8A">
      <w:pPr>
        <w:spacing w:after="0" w:line="240" w:lineRule="auto"/>
        <w:jc w:val="both"/>
        <w:rPr>
          <w:rFonts w:ascii="Century Gothic" w:eastAsia="Arial" w:hAnsi="Century Gothic" w:cs="Arial"/>
          <w:b/>
          <w:bCs/>
          <w:lang w:val="es-ES_tradnl"/>
        </w:rPr>
      </w:pPr>
      <w:r w:rsidRPr="00D01437">
        <w:rPr>
          <w:rFonts w:ascii="Century Gothic" w:eastAsia="Arial" w:hAnsi="Century Gothic" w:cs="Arial"/>
          <w:b/>
          <w:bCs/>
          <w:lang w:val="es-ES_tradnl"/>
        </w:rPr>
        <w:t xml:space="preserve">DECRETO 092 DE 2017 – Normativa vigente </w:t>
      </w:r>
    </w:p>
    <w:p w14:paraId="1D6D32E3" w14:textId="77777777" w:rsidR="00934D8A" w:rsidRPr="00D01437" w:rsidRDefault="00934D8A" w:rsidP="00934D8A">
      <w:pPr>
        <w:spacing w:after="0" w:line="240" w:lineRule="auto"/>
        <w:jc w:val="both"/>
        <w:rPr>
          <w:rFonts w:ascii="Century Gothic" w:eastAsia="Arial" w:hAnsi="Century Gothic" w:cs="Arial"/>
          <w:b/>
          <w:bCs/>
          <w:lang w:val="es-ES_tradnl"/>
        </w:rPr>
      </w:pPr>
    </w:p>
    <w:p w14:paraId="0145EBC3" w14:textId="77777777" w:rsidR="00934D8A" w:rsidRPr="00D01437" w:rsidRDefault="00934D8A" w:rsidP="00934D8A">
      <w:pPr>
        <w:spacing w:after="0" w:line="240" w:lineRule="auto"/>
        <w:jc w:val="both"/>
        <w:rPr>
          <w:rFonts w:ascii="Century Gothic" w:eastAsia="Arial" w:hAnsi="Century Gothic" w:cs="Arial"/>
          <w:b/>
          <w:bCs/>
          <w:lang w:val="es-ES_tradnl"/>
        </w:rPr>
      </w:pPr>
      <w:r w:rsidRPr="00D01437">
        <w:rPr>
          <w:rFonts w:ascii="Century Gothic" w:hAnsi="Century Gothic" w:cs="Arial"/>
          <w:sz w:val="20"/>
          <w:szCs w:val="20"/>
          <w:lang w:val="es-ES_tradnl"/>
        </w:rPr>
        <w:t>En este orden de ideas,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ii) tampoco debe condicionarse a que la contratación con las ESAL garantice la optimización de los recursos públicos en términos de eficiencia, eficacia, economía y manejo del riesgo; iii) el objeto del contrato debe estar acorde con el plan nacional o seccional de desarrollo; iv) no puede condicionarse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debe establecer una relación conmutativa en el cual haya una contraprestación directa a favor de la entidad, ni instrucciones precisas dadas por esta al contratista para cumplir con el objeto del contrato.</w:t>
      </w:r>
    </w:p>
    <w:p w14:paraId="72723B47" w14:textId="77777777" w:rsidR="00934D8A" w:rsidRPr="00D01437" w:rsidRDefault="00934D8A" w:rsidP="00934D8A">
      <w:pPr>
        <w:spacing w:after="0" w:line="240" w:lineRule="auto"/>
        <w:rPr>
          <w:rFonts w:ascii="Arial" w:eastAsia="Geomanist Light" w:hAnsi="Arial" w:cs="Arial"/>
          <w:lang w:val="es-MX"/>
        </w:rPr>
      </w:pPr>
    </w:p>
    <w:p w14:paraId="23590FC7" w14:textId="77777777" w:rsidR="00934D8A" w:rsidRPr="00D01437" w:rsidRDefault="00934D8A" w:rsidP="00934D8A">
      <w:pPr>
        <w:spacing w:after="0"/>
        <w:rPr>
          <w:rFonts w:ascii="Century Gothic" w:hAnsi="Century Gothic" w:cs="Arial"/>
          <w:shd w:val="clear" w:color="auto" w:fill="FFFFFF"/>
          <w:lang w:val="es-MX"/>
        </w:rPr>
      </w:pPr>
    </w:p>
    <w:p w14:paraId="2ABF0369" w14:textId="77777777" w:rsidR="00934D8A" w:rsidRPr="00D01437" w:rsidRDefault="00934D8A" w:rsidP="00934D8A">
      <w:pPr>
        <w:spacing w:after="0"/>
        <w:rPr>
          <w:rFonts w:ascii="Century Gothic" w:hAnsi="Century Gothic" w:cs="Arial"/>
          <w:shd w:val="clear" w:color="auto" w:fill="FFFFFF"/>
          <w:lang w:val="es-MX"/>
        </w:rPr>
      </w:pPr>
    </w:p>
    <w:p w14:paraId="7CF29CDF" w14:textId="77777777" w:rsidR="00934D8A" w:rsidRPr="00D01437" w:rsidRDefault="00934D8A" w:rsidP="00934D8A">
      <w:pPr>
        <w:spacing w:after="0"/>
        <w:rPr>
          <w:rFonts w:ascii="Century Gothic" w:hAnsi="Century Gothic" w:cs="Arial"/>
          <w:shd w:val="clear" w:color="auto" w:fill="FFFFFF"/>
          <w:lang w:val="es-MX"/>
        </w:rPr>
      </w:pPr>
    </w:p>
    <w:p w14:paraId="02790D07" w14:textId="77777777" w:rsidR="00934D8A" w:rsidRPr="00D01437" w:rsidRDefault="00934D8A" w:rsidP="00934D8A">
      <w:pPr>
        <w:spacing w:after="0"/>
        <w:rPr>
          <w:rFonts w:ascii="Century Gothic" w:hAnsi="Century Gothic" w:cs="Arial"/>
          <w:shd w:val="clear" w:color="auto" w:fill="FFFFFF"/>
          <w:lang w:val="es-MX"/>
        </w:rPr>
      </w:pPr>
    </w:p>
    <w:p w14:paraId="78F57C50" w14:textId="77777777" w:rsidR="00934D8A" w:rsidRPr="00D01437" w:rsidRDefault="00934D8A" w:rsidP="00934D8A">
      <w:pPr>
        <w:spacing w:after="0"/>
        <w:rPr>
          <w:rFonts w:ascii="Century Gothic" w:hAnsi="Century Gothic" w:cs="Arial"/>
          <w:shd w:val="clear" w:color="auto" w:fill="FFFFFF"/>
          <w:lang w:val="es-MX"/>
        </w:rPr>
      </w:pPr>
    </w:p>
    <w:p w14:paraId="7CAF00CC" w14:textId="77777777" w:rsidR="00934D8A" w:rsidRPr="00D01437" w:rsidRDefault="00934D8A" w:rsidP="00934D8A">
      <w:pPr>
        <w:spacing w:after="0"/>
        <w:rPr>
          <w:rFonts w:ascii="Century Gothic" w:hAnsi="Century Gothic" w:cs="Arial"/>
          <w:shd w:val="clear" w:color="auto" w:fill="FFFFFF"/>
          <w:lang w:val="es-MX"/>
        </w:rPr>
      </w:pPr>
    </w:p>
    <w:p w14:paraId="60BE8D11" w14:textId="77777777" w:rsidR="00934D8A" w:rsidRPr="00D01437" w:rsidRDefault="00934D8A" w:rsidP="00934D8A">
      <w:pPr>
        <w:spacing w:after="0"/>
        <w:rPr>
          <w:rFonts w:ascii="Century Gothic" w:hAnsi="Century Gothic" w:cs="Arial"/>
          <w:shd w:val="clear" w:color="auto" w:fill="FFFFFF"/>
          <w:lang w:val="es-MX"/>
        </w:rPr>
      </w:pPr>
    </w:p>
    <w:p w14:paraId="0936A1DE" w14:textId="77777777" w:rsidR="00934D8A" w:rsidRPr="00D01437" w:rsidRDefault="00934D8A" w:rsidP="00934D8A">
      <w:pPr>
        <w:spacing w:after="0"/>
        <w:rPr>
          <w:rFonts w:ascii="Century Gothic" w:hAnsi="Century Gothic" w:cs="Arial"/>
          <w:shd w:val="clear" w:color="auto" w:fill="FFFFFF"/>
          <w:lang w:val="es-MX"/>
        </w:rPr>
      </w:pPr>
    </w:p>
    <w:p w14:paraId="0FEC6937" w14:textId="77777777" w:rsidR="00934D8A" w:rsidRPr="00D01437" w:rsidRDefault="00934D8A" w:rsidP="00934D8A">
      <w:pPr>
        <w:spacing w:after="0"/>
        <w:rPr>
          <w:rFonts w:ascii="Century Gothic" w:hAnsi="Century Gothic" w:cs="Arial"/>
          <w:shd w:val="clear" w:color="auto" w:fill="FFFFFF"/>
          <w:lang w:val="es-MX"/>
        </w:rPr>
      </w:pPr>
    </w:p>
    <w:p w14:paraId="7B8D12DB" w14:textId="77777777" w:rsidR="00934D8A" w:rsidRPr="00D01437" w:rsidRDefault="00934D8A" w:rsidP="00934D8A">
      <w:pPr>
        <w:spacing w:after="0"/>
        <w:rPr>
          <w:rFonts w:ascii="Century Gothic" w:hAnsi="Century Gothic" w:cs="Arial"/>
          <w:shd w:val="clear" w:color="auto" w:fill="FFFFFF"/>
          <w:lang w:val="es-MX"/>
        </w:rPr>
      </w:pPr>
    </w:p>
    <w:p w14:paraId="6E195E62" w14:textId="77777777" w:rsidR="00934D8A" w:rsidRPr="00D01437" w:rsidRDefault="00934D8A" w:rsidP="00934D8A">
      <w:pPr>
        <w:spacing w:after="0"/>
        <w:rPr>
          <w:rFonts w:ascii="Century Gothic" w:hAnsi="Century Gothic" w:cs="Arial"/>
          <w:shd w:val="clear" w:color="auto" w:fill="FFFFFF"/>
          <w:lang w:val="es-MX"/>
        </w:rPr>
      </w:pPr>
    </w:p>
    <w:p w14:paraId="5E46B522" w14:textId="77777777" w:rsidR="00934D8A" w:rsidRPr="00D01437" w:rsidRDefault="00934D8A" w:rsidP="00934D8A">
      <w:pPr>
        <w:spacing w:after="0"/>
        <w:rPr>
          <w:rFonts w:ascii="Century Gothic" w:hAnsi="Century Gothic" w:cs="Arial"/>
          <w:shd w:val="clear" w:color="auto" w:fill="FFFFFF"/>
          <w:lang w:val="es-MX"/>
        </w:rPr>
      </w:pPr>
    </w:p>
    <w:p w14:paraId="599FC9F8" w14:textId="77777777" w:rsidR="00934D8A" w:rsidRPr="00D01437" w:rsidRDefault="00934D8A" w:rsidP="00934D8A">
      <w:pPr>
        <w:spacing w:after="0"/>
        <w:rPr>
          <w:rFonts w:ascii="Century Gothic" w:hAnsi="Century Gothic" w:cs="Arial"/>
          <w:shd w:val="clear" w:color="auto" w:fill="FFFFFF"/>
          <w:lang w:val="es-MX"/>
        </w:rPr>
      </w:pPr>
    </w:p>
    <w:p w14:paraId="62140928" w14:textId="77777777" w:rsidR="00934D8A" w:rsidRPr="00D01437" w:rsidRDefault="00934D8A" w:rsidP="00934D8A">
      <w:pPr>
        <w:spacing w:after="0"/>
        <w:rPr>
          <w:rFonts w:ascii="Century Gothic" w:hAnsi="Century Gothic" w:cs="Arial"/>
          <w:shd w:val="clear" w:color="auto" w:fill="FFFFFF"/>
          <w:lang w:val="es-MX"/>
        </w:rPr>
      </w:pPr>
    </w:p>
    <w:p w14:paraId="35B02A1C" w14:textId="77777777" w:rsidR="00934D8A" w:rsidRDefault="00934D8A" w:rsidP="00934D8A">
      <w:pPr>
        <w:spacing w:after="0"/>
        <w:rPr>
          <w:rFonts w:ascii="Century Gothic" w:hAnsi="Century Gothic" w:cs="Arial"/>
          <w:shd w:val="clear" w:color="auto" w:fill="FFFFFF"/>
          <w:lang w:val="es-MX"/>
        </w:rPr>
      </w:pPr>
    </w:p>
    <w:p w14:paraId="7A6C9632" w14:textId="77777777" w:rsidR="00BB28CD" w:rsidRDefault="00BB28CD" w:rsidP="00934D8A">
      <w:pPr>
        <w:spacing w:after="0"/>
        <w:rPr>
          <w:rFonts w:ascii="Century Gothic" w:hAnsi="Century Gothic" w:cs="Arial"/>
          <w:shd w:val="clear" w:color="auto" w:fill="FFFFFF"/>
          <w:lang w:val="es-MX"/>
        </w:rPr>
      </w:pPr>
    </w:p>
    <w:p w14:paraId="2F437F47" w14:textId="77777777" w:rsidR="00BB28CD" w:rsidRDefault="00BB28CD" w:rsidP="00934D8A">
      <w:pPr>
        <w:spacing w:after="0"/>
        <w:rPr>
          <w:rFonts w:ascii="Century Gothic" w:hAnsi="Century Gothic" w:cs="Arial"/>
          <w:shd w:val="clear" w:color="auto" w:fill="FFFFFF"/>
          <w:lang w:val="es-MX"/>
        </w:rPr>
      </w:pPr>
    </w:p>
    <w:p w14:paraId="1ED2717C" w14:textId="77777777" w:rsidR="00BB28CD" w:rsidRDefault="00BB28CD" w:rsidP="00934D8A">
      <w:pPr>
        <w:spacing w:after="0"/>
        <w:rPr>
          <w:rFonts w:ascii="Century Gothic" w:hAnsi="Century Gothic" w:cs="Arial"/>
          <w:shd w:val="clear" w:color="auto" w:fill="FFFFFF"/>
          <w:lang w:val="es-MX"/>
        </w:rPr>
      </w:pPr>
    </w:p>
    <w:p w14:paraId="7DFA77A0" w14:textId="77777777" w:rsidR="00BB28CD" w:rsidRDefault="00BB28CD" w:rsidP="00934D8A">
      <w:pPr>
        <w:spacing w:after="0"/>
        <w:rPr>
          <w:rFonts w:ascii="Century Gothic" w:hAnsi="Century Gothic" w:cs="Arial"/>
          <w:shd w:val="clear" w:color="auto" w:fill="FFFFFF"/>
          <w:lang w:val="es-MX"/>
        </w:rPr>
      </w:pPr>
    </w:p>
    <w:p w14:paraId="13293231" w14:textId="77777777" w:rsidR="00BB28CD" w:rsidRDefault="00BB28CD" w:rsidP="00934D8A">
      <w:pPr>
        <w:spacing w:after="0"/>
        <w:rPr>
          <w:rFonts w:ascii="Century Gothic" w:hAnsi="Century Gothic" w:cs="Arial"/>
          <w:shd w:val="clear" w:color="auto" w:fill="FFFFFF"/>
          <w:lang w:val="es-MX"/>
        </w:rPr>
      </w:pPr>
    </w:p>
    <w:p w14:paraId="2EF8CE52" w14:textId="77777777" w:rsidR="00BB28CD" w:rsidRPr="00D01437" w:rsidRDefault="00BB28CD" w:rsidP="00934D8A">
      <w:pPr>
        <w:spacing w:after="0"/>
        <w:rPr>
          <w:rFonts w:ascii="Century Gothic" w:hAnsi="Century Gothic" w:cs="Arial"/>
          <w:shd w:val="clear" w:color="auto" w:fill="FFFFFF"/>
          <w:lang w:val="es-MX"/>
        </w:rPr>
      </w:pPr>
    </w:p>
    <w:p w14:paraId="424C4133" w14:textId="77777777" w:rsidR="00934D8A" w:rsidRPr="00D01437" w:rsidRDefault="00934D8A" w:rsidP="00934D8A">
      <w:pPr>
        <w:spacing w:after="0"/>
        <w:rPr>
          <w:rFonts w:ascii="Century Gothic" w:hAnsi="Century Gothic" w:cs="Arial"/>
          <w:shd w:val="clear" w:color="auto" w:fill="FFFFFF"/>
          <w:lang w:val="es-MX"/>
        </w:rPr>
      </w:pPr>
    </w:p>
    <w:p w14:paraId="2E06735E" w14:textId="77777777" w:rsidR="00934D8A" w:rsidRPr="00D01437" w:rsidRDefault="00934D8A" w:rsidP="00934D8A">
      <w:pPr>
        <w:spacing w:after="0"/>
        <w:rPr>
          <w:rFonts w:ascii="Century Gothic" w:hAnsi="Century Gothic" w:cs="Arial"/>
          <w:shd w:val="clear" w:color="auto" w:fill="FFFFFF"/>
          <w:lang w:val="es-MX"/>
        </w:rPr>
      </w:pPr>
    </w:p>
    <w:p w14:paraId="4884B27E" w14:textId="77777777" w:rsidR="00934D8A" w:rsidRPr="00D01437" w:rsidRDefault="00934D8A" w:rsidP="00934D8A">
      <w:pPr>
        <w:spacing w:after="0"/>
        <w:rPr>
          <w:rFonts w:ascii="Century Gothic" w:eastAsia="Geomanist Light" w:hAnsi="Century Gothic" w:cs="Arial"/>
          <w:lang w:val="es-MX"/>
        </w:rPr>
      </w:pPr>
      <w:r w:rsidRPr="00D01437">
        <w:rPr>
          <w:rFonts w:ascii="Century Gothic" w:hAnsi="Century Gothic" w:cs="Arial"/>
          <w:shd w:val="clear" w:color="auto" w:fill="FFFFFF"/>
        </w:rPr>
        <w:lastRenderedPageBreak/>
        <w:t>Bogotá D.C., [Día] de [Mes.NombreCapitalizado] de [Año]</w:t>
      </w:r>
      <w:r w:rsidRPr="00D01437">
        <w:rPr>
          <w:rFonts w:ascii="Century Gothic" w:hAnsi="Century Gothic" w:cs="Calibri"/>
          <w:shd w:val="clear" w:color="auto" w:fill="FFFFFF"/>
        </w:rPr>
        <w:tab/>
      </w:r>
      <w:r w:rsidRPr="00D01437">
        <w:rPr>
          <w:rFonts w:ascii="Arial" w:hAnsi="Arial" w:cs="Arial"/>
          <w:shd w:val="clear" w:color="auto" w:fill="FFFFFF"/>
        </w:rPr>
        <w:t>    </w:t>
      </w:r>
      <w:r w:rsidRPr="00D01437">
        <w:rPr>
          <w:rFonts w:ascii="Century Gothic" w:hAnsi="Century Gothic" w:cs="Arial"/>
          <w:shd w:val="clear" w:color="auto" w:fill="FFFFFF"/>
        </w:rPr>
        <w:t> </w:t>
      </w:r>
      <w:r w:rsidRPr="00D01437">
        <w:rPr>
          <w:rFonts w:ascii="Arial" w:hAnsi="Arial" w:cs="Arial"/>
          <w:shd w:val="clear" w:color="auto" w:fill="FFFFFF"/>
        </w:rPr>
        <w:t> </w:t>
      </w:r>
      <w:r w:rsidRPr="00D01437">
        <w:rPr>
          <w:rFonts w:ascii="Century Gothic" w:hAnsi="Century Gothic" w:cs="Century Gothic"/>
          <w:shd w:val="clear" w:color="auto" w:fill="FFFFFF"/>
        </w:rPr>
        <w:t> </w:t>
      </w:r>
      <w:r w:rsidRPr="00D01437">
        <w:rPr>
          <w:rFonts w:ascii="Century Gothic" w:eastAsia="Geomanist Light" w:hAnsi="Century Gothic" w:cs="Arial"/>
          <w:lang w:val="es-MX"/>
        </w:rPr>
        <w:cr/>
      </w:r>
    </w:p>
    <w:p w14:paraId="25C06158" w14:textId="77777777" w:rsidR="00934D8A" w:rsidRPr="00D01437" w:rsidRDefault="00934D8A" w:rsidP="00934D8A">
      <w:pPr>
        <w:spacing w:after="0"/>
        <w:jc w:val="right"/>
        <w:rPr>
          <w:noProof/>
          <w14:ligatures w14:val="standardContextual"/>
        </w:rPr>
      </w:pPr>
    </w:p>
    <w:p w14:paraId="60633114" w14:textId="77777777" w:rsidR="00934D8A" w:rsidRPr="00D01437" w:rsidRDefault="00934D8A" w:rsidP="00934D8A">
      <w:pPr>
        <w:spacing w:after="0"/>
        <w:jc w:val="right"/>
        <w:rPr>
          <w:rFonts w:ascii="Century Gothic" w:eastAsia="Geomanist Light" w:hAnsi="Century Gothic" w:cs="Arial"/>
          <w:lang w:val="es-MX"/>
        </w:rPr>
      </w:pPr>
    </w:p>
    <w:p w14:paraId="585EAA60" w14:textId="77777777" w:rsidR="00934D8A" w:rsidRPr="00D01437" w:rsidRDefault="00934D8A" w:rsidP="00934D8A">
      <w:pPr>
        <w:spacing w:after="0"/>
        <w:rPr>
          <w:rFonts w:ascii="Century Gothic" w:eastAsia="Geomanist Light" w:hAnsi="Century Gothic" w:cs="Arial"/>
          <w:lang w:val="es-MX"/>
        </w:rPr>
      </w:pPr>
    </w:p>
    <w:p w14:paraId="00499BB4" w14:textId="77777777" w:rsidR="00934D8A" w:rsidRPr="00D01437" w:rsidRDefault="00934D8A" w:rsidP="00934D8A">
      <w:pPr>
        <w:contextualSpacing/>
        <w:jc w:val="both"/>
        <w:rPr>
          <w:rFonts w:ascii="Century Gothic" w:eastAsia="Calibri" w:hAnsi="Century Gothic" w:cs="Arial"/>
          <w:lang w:eastAsia="es-ES_tradnl"/>
        </w:rPr>
      </w:pPr>
      <w:r w:rsidRPr="00D01437">
        <w:rPr>
          <w:rFonts w:ascii="Century Gothic" w:eastAsia="Calibri" w:hAnsi="Century Gothic" w:cs="Arial"/>
          <w:lang w:eastAsia="es-ES_tradnl"/>
        </w:rPr>
        <w:t>Señora</w:t>
      </w:r>
    </w:p>
    <w:p w14:paraId="22E6EA69" w14:textId="77777777" w:rsidR="00934D8A" w:rsidRDefault="00934D8A" w:rsidP="00934D8A">
      <w:pPr>
        <w:contextualSpacing/>
        <w:jc w:val="both"/>
        <w:rPr>
          <w:rFonts w:ascii="Century Gothic" w:eastAsia="Calibri" w:hAnsi="Century Gothic" w:cs="Arial"/>
          <w:b/>
          <w:lang w:eastAsia="es-ES_tradnl"/>
        </w:rPr>
      </w:pPr>
      <w:r>
        <w:rPr>
          <w:rFonts w:ascii="Century Gothic" w:eastAsia="Calibri" w:hAnsi="Century Gothic" w:cs="Arial"/>
          <w:b/>
          <w:lang w:eastAsia="es-ES_tradnl"/>
        </w:rPr>
        <w:t>M</w:t>
      </w:r>
      <w:r w:rsidRPr="00307015">
        <w:rPr>
          <w:rFonts w:ascii="Century Gothic" w:eastAsia="Calibri" w:hAnsi="Century Gothic" w:cs="Arial"/>
          <w:b/>
          <w:lang w:eastAsia="es-ES_tradnl"/>
        </w:rPr>
        <w:t>iriam Cecilia Medina Buitrago</w:t>
      </w:r>
    </w:p>
    <w:p w14:paraId="0FBB8375" w14:textId="77777777" w:rsidR="00934D8A" w:rsidRPr="00D01437" w:rsidRDefault="00934D8A" w:rsidP="00934D8A">
      <w:pPr>
        <w:contextualSpacing/>
        <w:jc w:val="both"/>
        <w:rPr>
          <w:rFonts w:ascii="Century Gothic" w:eastAsia="Calibri" w:hAnsi="Century Gothic" w:cs="Arial"/>
          <w:bCs/>
          <w:lang w:eastAsia="es-ES_tradnl"/>
        </w:rPr>
      </w:pPr>
      <w:r w:rsidRPr="00D01437">
        <w:rPr>
          <w:rFonts w:ascii="Century Gothic" w:eastAsia="Geomanist Light" w:hAnsi="Century Gothic" w:cs="Arial"/>
          <w:lang w:val="es-MX"/>
        </w:rPr>
        <w:t>Bucaramanga, Santander</w:t>
      </w:r>
    </w:p>
    <w:p w14:paraId="27AEE20B" w14:textId="77777777" w:rsidR="00934D8A" w:rsidRDefault="00934D8A" w:rsidP="00934D8A">
      <w:pPr>
        <w:contextualSpacing/>
        <w:rPr>
          <w:rFonts w:ascii="Century Gothic" w:eastAsia="Calibri" w:hAnsi="Century Gothic" w:cs="Arial"/>
          <w:b/>
          <w:bCs/>
          <w:lang w:val="es-ES_tradnl" w:eastAsia="es-ES_tradnl"/>
        </w:rPr>
      </w:pPr>
    </w:p>
    <w:p w14:paraId="014C9975" w14:textId="07426D29" w:rsidR="00BB28CD" w:rsidRPr="00D01437" w:rsidRDefault="00BB28CD" w:rsidP="00BB28CD">
      <w:pPr>
        <w:contextualSpacing/>
        <w:jc w:val="right"/>
        <w:rPr>
          <w:rFonts w:ascii="Century Gothic" w:eastAsia="Calibri" w:hAnsi="Century Gothic" w:cs="Arial"/>
          <w:b/>
          <w:bCs/>
          <w:lang w:val="es-ES_tradnl" w:eastAsia="es-ES_tradnl"/>
        </w:rPr>
      </w:pPr>
      <w:r w:rsidRPr="00BB28CD">
        <w:rPr>
          <w:rFonts w:ascii="Century Gothic" w:eastAsia="Calibri" w:hAnsi="Century Gothic" w:cs="Arial"/>
          <w:b/>
          <w:bCs/>
          <w:lang w:val="es-ES_tradnl" w:eastAsia="es-ES_tradnl"/>
        </w:rPr>
        <w:drawing>
          <wp:inline distT="0" distB="0" distL="0" distR="0" wp14:anchorId="1A627B57" wp14:editId="4F2269FC">
            <wp:extent cx="3324689" cy="990738"/>
            <wp:effectExtent l="0" t="0" r="9525" b="0"/>
            <wp:docPr id="13134121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412173" name=""/>
                    <pic:cNvPicPr/>
                  </pic:nvPicPr>
                  <pic:blipFill>
                    <a:blip r:embed="rId10"/>
                    <a:stretch>
                      <a:fillRect/>
                    </a:stretch>
                  </pic:blipFill>
                  <pic:spPr>
                    <a:xfrm>
                      <a:off x="0" y="0"/>
                      <a:ext cx="3324689" cy="990738"/>
                    </a:xfrm>
                    <a:prstGeom prst="rect">
                      <a:avLst/>
                    </a:prstGeom>
                  </pic:spPr>
                </pic:pic>
              </a:graphicData>
            </a:graphic>
          </wp:inline>
        </w:drawing>
      </w:r>
    </w:p>
    <w:p w14:paraId="7B227EDC" w14:textId="77777777" w:rsidR="00934D8A" w:rsidRPr="00D01437" w:rsidRDefault="00934D8A" w:rsidP="00934D8A">
      <w:pPr>
        <w:contextualSpacing/>
        <w:rPr>
          <w:rFonts w:ascii="Century Gothic" w:eastAsia="Calibri" w:hAnsi="Century Gothic" w:cs="Arial"/>
          <w:b/>
          <w:bCs/>
          <w:lang w:val="es-ES_tradnl" w:eastAsia="es-ES_tradnl"/>
        </w:rPr>
      </w:pPr>
    </w:p>
    <w:p w14:paraId="7569A6F8" w14:textId="77777777" w:rsidR="00934D8A" w:rsidRPr="00D01437" w:rsidRDefault="00934D8A" w:rsidP="00934D8A">
      <w:pPr>
        <w:ind w:left="2124" w:firstLine="570"/>
        <w:contextualSpacing/>
        <w:rPr>
          <w:rFonts w:ascii="Century Gothic" w:eastAsia="Calibri" w:hAnsi="Century Gothic" w:cs="Arial"/>
          <w:b/>
          <w:bCs/>
          <w:lang w:val="es-ES_tradnl" w:eastAsia="es-ES_tradnl"/>
        </w:rPr>
      </w:pPr>
      <w:r w:rsidRPr="00D01437">
        <w:rPr>
          <w:rFonts w:ascii="Century Gothic" w:eastAsia="Calibri" w:hAnsi="Century Gothic" w:cs="Arial"/>
          <w:b/>
          <w:bCs/>
          <w:lang w:val="es-ES_tradnl" w:eastAsia="es-ES_tradnl"/>
        </w:rPr>
        <w:t>Concepto C – 027 de 2024</w:t>
      </w:r>
    </w:p>
    <w:p w14:paraId="71376B68" w14:textId="77777777" w:rsidR="00934D8A" w:rsidRPr="00D01437" w:rsidRDefault="00934D8A" w:rsidP="00934D8A">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34D8A" w:rsidRPr="00D01437" w14:paraId="2D08FF3E" w14:textId="77777777" w:rsidTr="0072221E">
        <w:tc>
          <w:tcPr>
            <w:tcW w:w="2689" w:type="dxa"/>
          </w:tcPr>
          <w:p w14:paraId="76206399" w14:textId="77777777" w:rsidR="00934D8A" w:rsidRPr="00D01437" w:rsidRDefault="00934D8A" w:rsidP="0072221E">
            <w:pPr>
              <w:contextualSpacing/>
              <w:jc w:val="both"/>
              <w:rPr>
                <w:rFonts w:ascii="Century Gothic" w:eastAsia="Calibri" w:hAnsi="Century Gothic" w:cs="Arial"/>
                <w:lang w:val="es-ES_tradnl" w:eastAsia="es-ES_tradnl"/>
              </w:rPr>
            </w:pPr>
            <w:r w:rsidRPr="00D01437">
              <w:rPr>
                <w:rFonts w:ascii="Century Gothic" w:eastAsia="Calibri" w:hAnsi="Century Gothic" w:cs="Arial"/>
                <w:b/>
                <w:lang w:val="es-ES_tradnl" w:eastAsia="es-ES_tradnl"/>
              </w:rPr>
              <w:t>Temas:</w:t>
            </w:r>
            <w:r w:rsidRPr="00D01437">
              <w:rPr>
                <w:rFonts w:ascii="Century Gothic" w:eastAsia="Calibri" w:hAnsi="Century Gothic" w:cs="Arial"/>
                <w:lang w:val="es-ES_tradnl" w:eastAsia="es-ES_tradnl"/>
              </w:rPr>
              <w:t xml:space="preserve">                                      </w:t>
            </w:r>
          </w:p>
        </w:tc>
        <w:tc>
          <w:tcPr>
            <w:tcW w:w="6237" w:type="dxa"/>
          </w:tcPr>
          <w:p w14:paraId="5399D74C" w14:textId="6D358C60" w:rsidR="00934D8A" w:rsidRPr="00D01437" w:rsidRDefault="00934D8A" w:rsidP="0072221E">
            <w:pPr>
              <w:spacing w:after="120"/>
              <w:contextualSpacing/>
              <w:jc w:val="both"/>
              <w:rPr>
                <w:rFonts w:ascii="Century Gothic" w:eastAsia="Calibri" w:hAnsi="Century Gothic" w:cs="Arial"/>
                <w:bCs/>
                <w:lang w:val="es-ES_tradnl" w:eastAsia="es-ES_tradnl"/>
              </w:rPr>
            </w:pPr>
            <w:r w:rsidRPr="00D01437">
              <w:rPr>
                <w:rFonts w:ascii="Century Gothic" w:eastAsia="Calibri" w:hAnsi="Century Gothic" w:cs="Arial"/>
                <w:bCs/>
                <w:lang w:val="es-ES_tradnl" w:eastAsia="es-ES_tradnl"/>
              </w:rPr>
              <w:t xml:space="preserve">DECRETO 092 DE 2017 – Finalidad – Clases de contratos / CONTRATACIÓN CON ESAL – Contrato de colaboración – Objeto – Alcance / DECRETO 092 DE 2017 – Criterios – Aplicación / DECRETO 092 DE 2017 – Normativa vigente </w:t>
            </w:r>
          </w:p>
          <w:p w14:paraId="4FE55C0B" w14:textId="77777777" w:rsidR="00934D8A" w:rsidRPr="00D01437" w:rsidRDefault="00934D8A" w:rsidP="0072221E">
            <w:pPr>
              <w:spacing w:after="120"/>
              <w:contextualSpacing/>
              <w:jc w:val="both"/>
              <w:rPr>
                <w:rFonts w:ascii="Century Gothic" w:eastAsia="Calibri" w:hAnsi="Century Gothic" w:cs="Arial"/>
                <w:bCs/>
                <w:sz w:val="12"/>
                <w:szCs w:val="12"/>
                <w:lang w:val="es-ES_tradnl" w:eastAsia="es-ES_tradnl"/>
              </w:rPr>
            </w:pPr>
          </w:p>
        </w:tc>
      </w:tr>
      <w:tr w:rsidR="00934D8A" w:rsidRPr="00D01437" w14:paraId="6F302B4B" w14:textId="77777777" w:rsidTr="0072221E">
        <w:trPr>
          <w:trHeight w:val="227"/>
        </w:trPr>
        <w:tc>
          <w:tcPr>
            <w:tcW w:w="2689" w:type="dxa"/>
          </w:tcPr>
          <w:p w14:paraId="4D34C0EB" w14:textId="77777777" w:rsidR="00934D8A" w:rsidRPr="00D01437" w:rsidRDefault="00934D8A" w:rsidP="0072221E">
            <w:pPr>
              <w:contextualSpacing/>
              <w:jc w:val="both"/>
              <w:rPr>
                <w:rFonts w:ascii="Century Gothic" w:eastAsia="Calibri" w:hAnsi="Century Gothic" w:cs="Arial"/>
                <w:b/>
                <w:lang w:val="es-ES_tradnl" w:eastAsia="es-ES_tradnl"/>
              </w:rPr>
            </w:pPr>
            <w:r w:rsidRPr="00D01437">
              <w:rPr>
                <w:rFonts w:ascii="Century Gothic" w:eastAsia="Calibri" w:hAnsi="Century Gothic" w:cs="Arial"/>
                <w:b/>
                <w:lang w:val="es-ES_tradnl" w:eastAsia="es-ES_tradnl"/>
              </w:rPr>
              <w:t>Radicación:</w:t>
            </w:r>
            <w:r w:rsidRPr="00D01437">
              <w:rPr>
                <w:rFonts w:ascii="Century Gothic" w:eastAsia="Calibri" w:hAnsi="Century Gothic" w:cs="Arial"/>
                <w:lang w:val="es-ES_tradnl" w:eastAsia="es-ES_tradnl"/>
              </w:rPr>
              <w:t xml:space="preserve">                             </w:t>
            </w:r>
          </w:p>
        </w:tc>
        <w:tc>
          <w:tcPr>
            <w:tcW w:w="6237" w:type="dxa"/>
          </w:tcPr>
          <w:p w14:paraId="7BD9D793" w14:textId="77777777" w:rsidR="00934D8A" w:rsidRPr="00D01437" w:rsidRDefault="00934D8A" w:rsidP="0072221E">
            <w:pPr>
              <w:contextualSpacing/>
              <w:jc w:val="both"/>
              <w:rPr>
                <w:rFonts w:ascii="Century Gothic" w:eastAsia="Calibri" w:hAnsi="Century Gothic" w:cs="Arial"/>
                <w:lang w:val="es-ES_tradnl" w:eastAsia="es-ES_tradnl"/>
              </w:rPr>
            </w:pPr>
            <w:r w:rsidRPr="00D01437">
              <w:rPr>
                <w:rFonts w:ascii="Century Gothic" w:eastAsia="Calibri" w:hAnsi="Century Gothic" w:cs="Arial"/>
                <w:lang w:val="es-ES_tradnl" w:eastAsia="es-ES_tradnl"/>
              </w:rPr>
              <w:t>Respuesta a consulta No. P20240208001307</w:t>
            </w:r>
            <w:r w:rsidRPr="00D01437">
              <w:rPr>
                <w:rFonts w:ascii="Century Gothic" w:eastAsia="Calibri" w:hAnsi="Century Gothic" w:cs="Arial"/>
                <w:lang w:val="es-ES_tradnl" w:eastAsia="es-ES_tradnl"/>
              </w:rPr>
              <w:tab/>
            </w:r>
          </w:p>
        </w:tc>
      </w:tr>
    </w:tbl>
    <w:p w14:paraId="25F9D70E" w14:textId="77777777" w:rsidR="00934D8A" w:rsidRPr="00D01437" w:rsidRDefault="00934D8A" w:rsidP="00934D8A">
      <w:pPr>
        <w:contextualSpacing/>
        <w:jc w:val="both"/>
        <w:rPr>
          <w:rFonts w:ascii="Century Gothic" w:eastAsia="Calibri" w:hAnsi="Century Gothic" w:cs="Arial"/>
          <w:lang w:val="es-ES_tradnl" w:eastAsia="es-ES_tradnl"/>
        </w:rPr>
      </w:pPr>
    </w:p>
    <w:p w14:paraId="7CBC02D5" w14:textId="77777777" w:rsidR="00934D8A" w:rsidRPr="00D01437" w:rsidRDefault="00934D8A" w:rsidP="00934D8A">
      <w:pPr>
        <w:contextualSpacing/>
        <w:jc w:val="both"/>
        <w:rPr>
          <w:rFonts w:ascii="Century Gothic" w:eastAsia="Calibri" w:hAnsi="Century Gothic" w:cs="Arial"/>
          <w:lang w:val="es-ES_tradnl" w:eastAsia="es-ES_tradnl"/>
        </w:rPr>
      </w:pPr>
    </w:p>
    <w:p w14:paraId="53C5A1E9" w14:textId="77777777" w:rsidR="00934D8A" w:rsidRPr="00D01437" w:rsidRDefault="00934D8A" w:rsidP="00934D8A">
      <w:pPr>
        <w:contextualSpacing/>
        <w:jc w:val="both"/>
        <w:rPr>
          <w:rFonts w:ascii="Century Gothic" w:eastAsia="Calibri" w:hAnsi="Century Gothic" w:cs="Arial"/>
          <w:lang w:val="es-ES" w:eastAsia="es-ES"/>
        </w:rPr>
      </w:pPr>
      <w:r w:rsidRPr="00D01437">
        <w:rPr>
          <w:rFonts w:ascii="Century Gothic" w:eastAsia="Calibri" w:hAnsi="Century Gothic" w:cs="Arial"/>
          <w:lang w:val="es-ES" w:eastAsia="es-ES"/>
        </w:rPr>
        <w:t>Estimad</w:t>
      </w:r>
      <w:r>
        <w:rPr>
          <w:rFonts w:ascii="Century Gothic" w:eastAsia="Calibri" w:hAnsi="Century Gothic" w:cs="Arial"/>
          <w:lang w:val="es-ES" w:eastAsia="es-ES"/>
        </w:rPr>
        <w:t xml:space="preserve">a señora </w:t>
      </w:r>
      <w:r w:rsidRPr="00472F6E">
        <w:rPr>
          <w:rFonts w:ascii="Century Gothic" w:eastAsia="Calibri" w:hAnsi="Century Gothic" w:cs="Arial"/>
          <w:lang w:val="es-ES" w:eastAsia="es-ES"/>
        </w:rPr>
        <w:t>Medina</w:t>
      </w:r>
      <w:r>
        <w:rPr>
          <w:rFonts w:ascii="Century Gothic" w:eastAsia="Calibri" w:hAnsi="Century Gothic" w:cs="Arial"/>
          <w:lang w:val="es-ES" w:eastAsia="es-ES"/>
        </w:rPr>
        <w:t>:</w:t>
      </w:r>
    </w:p>
    <w:p w14:paraId="3319B166" w14:textId="77777777" w:rsidR="00934D8A" w:rsidRPr="00D01437" w:rsidRDefault="00934D8A" w:rsidP="00934D8A">
      <w:pPr>
        <w:spacing w:line="276" w:lineRule="auto"/>
        <w:contextualSpacing/>
        <w:jc w:val="both"/>
        <w:rPr>
          <w:rFonts w:ascii="Century Gothic" w:eastAsia="Calibri" w:hAnsi="Century Gothic" w:cs="Arial"/>
          <w:szCs w:val="24"/>
          <w:lang w:val="es-ES_tradnl" w:eastAsia="es-ES_tradnl"/>
        </w:rPr>
      </w:pPr>
    </w:p>
    <w:bookmarkEnd w:id="0"/>
    <w:bookmarkEnd w:id="1"/>
    <w:p w14:paraId="7BB7715A" w14:textId="77777777" w:rsidR="00934D8A" w:rsidRPr="00D01437" w:rsidRDefault="00934D8A" w:rsidP="00934D8A">
      <w:pPr>
        <w:spacing w:after="0" w:line="276" w:lineRule="auto"/>
        <w:jc w:val="both"/>
        <w:rPr>
          <w:rFonts w:ascii="Century Gothic" w:eastAsia="Calibri" w:hAnsi="Century Gothic" w:cs="Arial"/>
          <w:lang w:val="es-ES_tradnl"/>
        </w:rPr>
      </w:pPr>
      <w:r w:rsidRPr="00D01437">
        <w:rPr>
          <w:rFonts w:ascii="Century Gothic" w:eastAsia="Calibri" w:hAnsi="Century Gothic" w:cs="Arial"/>
          <w:lang w:val="es-ES_tradnl"/>
        </w:rPr>
        <w:t>En ejercicio de la competencia otorgada por el numeral 5° del artículo 3 y el numeral 8° del artículo 11 del Decreto Ley 4170 de 2011</w:t>
      </w:r>
      <w:bookmarkStart w:id="4" w:name="_Hlk99120496"/>
      <w:r w:rsidRPr="00D01437">
        <w:rPr>
          <w:rFonts w:ascii="Century Gothic" w:eastAsia="Arial MT" w:hAnsi="Century Gothic" w:cs="Arial MT"/>
          <w:lang w:val="es-ES"/>
        </w:rPr>
        <w:t xml:space="preserve">, </w:t>
      </w:r>
      <w:bookmarkEnd w:id="4"/>
      <w:r w:rsidRPr="00D01437">
        <w:rPr>
          <w:rFonts w:ascii="Century Gothic" w:eastAsia="Calibri" w:hAnsi="Century Gothic" w:cs="Arial"/>
          <w:lang w:val="es-ES_tradnl"/>
        </w:rPr>
        <w:t>la Agencia Nacional de Contratación Pública – Colombia Compra Eficiente– responde su petición del 08 de febrero de 2024.</w:t>
      </w:r>
    </w:p>
    <w:p w14:paraId="47848357" w14:textId="77777777" w:rsidR="00934D8A" w:rsidRPr="00D01437" w:rsidRDefault="00934D8A" w:rsidP="00934D8A">
      <w:pPr>
        <w:spacing w:after="0" w:line="276" w:lineRule="auto"/>
        <w:jc w:val="both"/>
        <w:rPr>
          <w:rFonts w:ascii="Century Gothic" w:eastAsia="Calibri" w:hAnsi="Century Gothic" w:cs="Arial"/>
          <w:b/>
          <w:lang w:val="es-ES_tradnl"/>
        </w:rPr>
      </w:pPr>
    </w:p>
    <w:p w14:paraId="41AF8995" w14:textId="77777777" w:rsidR="00934D8A" w:rsidRPr="00D01437" w:rsidRDefault="00934D8A" w:rsidP="00934D8A">
      <w:pPr>
        <w:numPr>
          <w:ilvl w:val="0"/>
          <w:numId w:val="1"/>
        </w:numPr>
        <w:tabs>
          <w:tab w:val="left" w:pos="0"/>
          <w:tab w:val="left" w:pos="142"/>
          <w:tab w:val="left" w:pos="284"/>
        </w:tabs>
        <w:spacing w:after="0" w:line="276" w:lineRule="auto"/>
        <w:ind w:left="0" w:firstLine="0"/>
        <w:contextualSpacing/>
        <w:jc w:val="both"/>
        <w:rPr>
          <w:rFonts w:ascii="Century Gothic" w:eastAsia="Calibri" w:hAnsi="Century Gothic" w:cs="Arial"/>
          <w:b/>
          <w:lang w:val="es-ES_tradnl"/>
        </w:rPr>
      </w:pPr>
      <w:r w:rsidRPr="00D01437">
        <w:rPr>
          <w:rFonts w:ascii="Century Gothic" w:eastAsia="Calibri" w:hAnsi="Century Gothic" w:cs="Arial"/>
          <w:b/>
          <w:lang w:val="es-ES_tradnl"/>
        </w:rPr>
        <w:t xml:space="preserve">Problemas planteados </w:t>
      </w:r>
    </w:p>
    <w:p w14:paraId="063DDEF7" w14:textId="77777777" w:rsidR="00934D8A" w:rsidRPr="00D01437" w:rsidRDefault="00934D8A" w:rsidP="00934D8A">
      <w:pPr>
        <w:tabs>
          <w:tab w:val="left" w:pos="0"/>
          <w:tab w:val="left" w:pos="142"/>
          <w:tab w:val="left" w:pos="284"/>
        </w:tabs>
        <w:spacing w:after="0" w:line="276" w:lineRule="auto"/>
        <w:contextualSpacing/>
        <w:jc w:val="both"/>
        <w:rPr>
          <w:rFonts w:ascii="Century Gothic" w:eastAsia="Calibri" w:hAnsi="Century Gothic" w:cs="Arial"/>
          <w:b/>
          <w:lang w:val="es-ES_tradnl"/>
        </w:rPr>
      </w:pPr>
    </w:p>
    <w:p w14:paraId="0E9F684D" w14:textId="77777777" w:rsidR="00934D8A" w:rsidRPr="00D01437" w:rsidRDefault="00934D8A" w:rsidP="00934D8A">
      <w:pPr>
        <w:tabs>
          <w:tab w:val="left" w:pos="0"/>
          <w:tab w:val="left" w:pos="142"/>
          <w:tab w:val="left" w:pos="284"/>
        </w:tabs>
        <w:spacing w:after="0" w:line="276" w:lineRule="auto"/>
        <w:contextualSpacing/>
        <w:jc w:val="both"/>
        <w:rPr>
          <w:rFonts w:ascii="Century Gothic" w:hAnsi="Century Gothic" w:cs="Arial"/>
          <w:sz w:val="20"/>
          <w:szCs w:val="20"/>
          <w:lang w:val="es-ES_tradnl"/>
        </w:rPr>
      </w:pPr>
      <w:r w:rsidRPr="00D01437">
        <w:rPr>
          <w:rFonts w:ascii="Century Gothic" w:eastAsia="Calibri" w:hAnsi="Century Gothic" w:cs="Arial"/>
          <w:bCs/>
          <w:lang w:val="es-ES_tradnl"/>
        </w:rPr>
        <w:t>De conformidad con lo establecido en el Decreto 092 de 2017, usted realiza las siguientes consultas:</w:t>
      </w:r>
    </w:p>
    <w:p w14:paraId="1470F8CA" w14:textId="77777777" w:rsidR="00934D8A" w:rsidRPr="00D01437" w:rsidRDefault="00934D8A" w:rsidP="00934D8A">
      <w:pPr>
        <w:spacing w:after="0" w:line="240" w:lineRule="auto"/>
        <w:jc w:val="both"/>
        <w:rPr>
          <w:rFonts w:ascii="Century Gothic" w:hAnsi="Century Gothic" w:cs="Arial"/>
          <w:lang w:val="es-ES_tradnl"/>
        </w:rPr>
      </w:pPr>
    </w:p>
    <w:p w14:paraId="4D05144E" w14:textId="77777777" w:rsidR="00934D8A" w:rsidRPr="00D01437" w:rsidRDefault="00934D8A" w:rsidP="00934D8A">
      <w:pPr>
        <w:spacing w:before="120" w:after="0" w:line="240" w:lineRule="auto"/>
        <w:ind w:left="709" w:right="709"/>
        <w:jc w:val="both"/>
        <w:rPr>
          <w:rFonts w:ascii="Century Gothic" w:hAnsi="Century Gothic" w:cs="Arial"/>
          <w:sz w:val="21"/>
          <w:szCs w:val="21"/>
          <w:lang w:val="es-ES_tradnl"/>
        </w:rPr>
      </w:pPr>
      <w:r w:rsidRPr="00D01437">
        <w:rPr>
          <w:rFonts w:ascii="Century Gothic" w:hAnsi="Century Gothic" w:cs="Arial"/>
          <w:sz w:val="21"/>
          <w:szCs w:val="21"/>
          <w:lang w:val="es-ES_tradnl"/>
        </w:rPr>
        <w:lastRenderedPageBreak/>
        <w:t>“1) Es de carácter obligatorio que las ESAL, hagan cualquier tipo de aporte en recursos ya sea inferior o superior al 30% en los convenios de asociación suscritos en virtud del artículo 5 del Decreto 092 de 2017?</w:t>
      </w:r>
    </w:p>
    <w:p w14:paraId="56E8D3A5" w14:textId="77777777" w:rsidR="00934D8A" w:rsidRPr="00D01437" w:rsidRDefault="00934D8A" w:rsidP="00934D8A">
      <w:pPr>
        <w:spacing w:before="120" w:after="0" w:line="240" w:lineRule="auto"/>
        <w:ind w:left="709" w:right="709"/>
        <w:jc w:val="both"/>
        <w:rPr>
          <w:rFonts w:ascii="Century Gothic" w:hAnsi="Century Gothic" w:cs="Arial"/>
          <w:sz w:val="21"/>
          <w:szCs w:val="21"/>
          <w:lang w:val="es-ES_tradnl"/>
        </w:rPr>
      </w:pPr>
      <w:r w:rsidRPr="00D01437">
        <w:rPr>
          <w:rFonts w:ascii="Century Gothic" w:hAnsi="Century Gothic" w:cs="Arial"/>
          <w:sz w:val="21"/>
          <w:szCs w:val="21"/>
          <w:lang w:val="es-ES_tradnl"/>
        </w:rPr>
        <w:t>2) Se puede suscribir o aperturar un proceso de selección para suscribir un convenio de asociación sin que sea necesario el aporte de la ESAL?</w:t>
      </w:r>
    </w:p>
    <w:p w14:paraId="3D0C3C94" w14:textId="77777777" w:rsidR="00934D8A" w:rsidRPr="00D01437" w:rsidRDefault="00934D8A" w:rsidP="00934D8A">
      <w:pPr>
        <w:spacing w:before="120" w:after="0" w:line="240" w:lineRule="auto"/>
        <w:ind w:left="709" w:right="709"/>
        <w:jc w:val="both"/>
        <w:rPr>
          <w:rFonts w:ascii="Century Gothic" w:hAnsi="Century Gothic" w:cs="Arial"/>
          <w:sz w:val="21"/>
          <w:szCs w:val="21"/>
          <w:lang w:val="es-ES_tradnl"/>
        </w:rPr>
      </w:pPr>
      <w:r w:rsidRPr="00D01437">
        <w:rPr>
          <w:rFonts w:ascii="Century Gothic" w:hAnsi="Century Gothic" w:cs="Arial"/>
          <w:sz w:val="21"/>
          <w:szCs w:val="21"/>
          <w:lang w:val="es-ES_tradnl"/>
        </w:rPr>
        <w:t>3) En Los convenios de cooperación establecidos en el art 2 ibidem, es necesario que ambas partes aporten recursos o para este caso es posible que se suscriba un convenio de cooperación sin la necesidad de aportes por parte de la ESAL”. [sic]</w:t>
      </w:r>
    </w:p>
    <w:p w14:paraId="197CD93A" w14:textId="77777777" w:rsidR="00934D8A" w:rsidRPr="00D01437" w:rsidRDefault="00934D8A" w:rsidP="00934D8A">
      <w:pPr>
        <w:spacing w:after="0" w:line="276" w:lineRule="auto"/>
        <w:ind w:right="709"/>
        <w:jc w:val="both"/>
        <w:rPr>
          <w:rFonts w:ascii="Century Gothic" w:hAnsi="Century Gothic" w:cs="Arial"/>
        </w:rPr>
      </w:pPr>
    </w:p>
    <w:p w14:paraId="65A64947" w14:textId="77777777" w:rsidR="00934D8A" w:rsidRPr="00D01437" w:rsidRDefault="00934D8A" w:rsidP="00934D8A">
      <w:pPr>
        <w:numPr>
          <w:ilvl w:val="0"/>
          <w:numId w:val="1"/>
        </w:numPr>
        <w:tabs>
          <w:tab w:val="left" w:pos="0"/>
          <w:tab w:val="left" w:pos="284"/>
        </w:tabs>
        <w:spacing w:after="0" w:line="240" w:lineRule="auto"/>
        <w:ind w:left="0" w:firstLine="0"/>
        <w:contextualSpacing/>
        <w:jc w:val="both"/>
        <w:rPr>
          <w:rFonts w:ascii="Century Gothic" w:eastAsia="Calibri" w:hAnsi="Century Gothic" w:cs="Arial"/>
          <w:b/>
          <w:lang w:val="es-ES_tradnl"/>
        </w:rPr>
      </w:pPr>
      <w:r w:rsidRPr="00D01437">
        <w:rPr>
          <w:rFonts w:ascii="Century Gothic" w:eastAsia="Calibri" w:hAnsi="Century Gothic" w:cs="Arial"/>
          <w:b/>
          <w:lang w:val="es-ES_tradnl"/>
        </w:rPr>
        <w:t>Consideraciones</w:t>
      </w:r>
    </w:p>
    <w:p w14:paraId="37562660" w14:textId="77777777" w:rsidR="00934D8A" w:rsidRPr="00D01437" w:rsidRDefault="00934D8A" w:rsidP="00934D8A">
      <w:pPr>
        <w:spacing w:after="0" w:line="276" w:lineRule="auto"/>
        <w:jc w:val="both"/>
        <w:rPr>
          <w:rFonts w:ascii="Century Gothic" w:eastAsia="Calibri" w:hAnsi="Century Gothic" w:cs="Arial"/>
          <w:lang w:val="es-ES"/>
        </w:rPr>
      </w:pPr>
    </w:p>
    <w:p w14:paraId="7F0AF4D5" w14:textId="77777777" w:rsidR="00934D8A" w:rsidRPr="00D01437" w:rsidRDefault="00934D8A" w:rsidP="00934D8A">
      <w:pPr>
        <w:spacing w:after="120" w:line="276" w:lineRule="auto"/>
        <w:jc w:val="both"/>
        <w:rPr>
          <w:rFonts w:ascii="Century Gothic" w:hAnsi="Century Gothic" w:cs="Arial"/>
          <w:lang w:val="es-ES"/>
        </w:rPr>
      </w:pPr>
      <w:r w:rsidRPr="00D01437">
        <w:rPr>
          <w:rFonts w:ascii="Century Gothic" w:hAnsi="Century Gothic" w:cs="Arial"/>
          <w:bCs/>
        </w:rPr>
        <w:t xml:space="preserve">En ejercicio de las competencias establecidas en los artículos 3, numeral 5° y 11, numeral 8° del Decreto 4170 de 2011, la Agencia Nacional de Contratación Pública – Colombia Compra Eficiente resuelve consultas sobre </w:t>
      </w:r>
      <w:r w:rsidRPr="00D01437">
        <w:rPr>
          <w:rFonts w:ascii="Century Gothic" w:hAnsi="Century Gothic" w:cs="Arial"/>
          <w:lang w:val="es-ES"/>
        </w:rPr>
        <w:t>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D01437">
        <w:rPr>
          <w:rFonts w:ascii="Century Gothic" w:hAnsi="Century Gothic" w:cs="Arial"/>
          <w:bCs/>
        </w:rPr>
        <w:t xml:space="preserve"> de todos los partícipes de la contratación estatal.</w:t>
      </w:r>
    </w:p>
    <w:p w14:paraId="625F85EA" w14:textId="77777777" w:rsidR="00934D8A" w:rsidRPr="00D01437" w:rsidRDefault="00934D8A" w:rsidP="00934D8A">
      <w:pPr>
        <w:spacing w:after="120" w:line="276" w:lineRule="auto"/>
        <w:ind w:firstLine="708"/>
        <w:jc w:val="both"/>
        <w:rPr>
          <w:rFonts w:ascii="Century Gothic" w:hAnsi="Century Gothic" w:cs="Arial"/>
          <w:lang w:val="es-ES"/>
        </w:rPr>
      </w:pPr>
      <w:r w:rsidRPr="00D01437">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01437">
        <w:rPr>
          <w:rFonts w:ascii="Century Gothic" w:hAnsi="Century Gothic" w:cs="Arial"/>
          <w:vertAlign w:val="superscript"/>
          <w:lang w:val="es-ES"/>
        </w:rPr>
        <w:footnoteReference w:id="1"/>
      </w:r>
      <w:r w:rsidRPr="00D01437">
        <w:rPr>
          <w:rFonts w:ascii="Century Gothic" w:hAnsi="Century Gothic" w:cs="Arial"/>
          <w:lang w:val="es-ES"/>
        </w:rPr>
        <w:t xml:space="preserve">. Esta competencia de interpretación de normas generales, por definición, no puede extenderse a la resolución de controversias ni brindar asesorías sobre casos puntuales. </w:t>
      </w:r>
    </w:p>
    <w:p w14:paraId="05A149A3" w14:textId="77777777" w:rsidR="00934D8A" w:rsidRPr="00D01437" w:rsidRDefault="00934D8A" w:rsidP="00934D8A">
      <w:pPr>
        <w:spacing w:after="120" w:line="276" w:lineRule="auto"/>
        <w:ind w:firstLine="708"/>
        <w:jc w:val="both"/>
        <w:rPr>
          <w:rFonts w:ascii="Century Gothic" w:eastAsia="Calibri" w:hAnsi="Century Gothic" w:cs="Arial"/>
          <w:lang w:val="es-ES"/>
        </w:rPr>
      </w:pPr>
      <w:r w:rsidRPr="00D01437">
        <w:rPr>
          <w:rFonts w:ascii="Century Gothic" w:eastAsia="Calibri" w:hAnsi="Century Gothic" w:cs="Arial"/>
          <w:lang w:val="es-MX"/>
        </w:rPr>
        <w:t xml:space="preserve">En atención a lo anterior, </w:t>
      </w:r>
      <w:r w:rsidRPr="00D01437">
        <w:rPr>
          <w:rFonts w:ascii="Century Gothic" w:eastAsia="Calibri" w:hAnsi="Century Gothic" w:cs="Arial"/>
          <w:lang w:val="es-ES"/>
        </w:rPr>
        <w:t xml:space="preserve">la Subdirección de Gestión Contractual de esta Agencia, dentro de los límites de sus atribuciones, resolverá la consulta conforme a </w:t>
      </w:r>
      <w:r w:rsidRPr="00D01437">
        <w:rPr>
          <w:rFonts w:ascii="Century Gothic" w:eastAsia="Calibri" w:hAnsi="Century Gothic" w:cs="Arial"/>
          <w:lang w:val="es-ES"/>
        </w:rPr>
        <w:lastRenderedPageBreak/>
        <w:t>las normas generales en materia de contratación estatal</w:t>
      </w:r>
      <w:r w:rsidRPr="00D01437">
        <w:rPr>
          <w:rFonts w:ascii="Century Gothic" w:eastAsia="Calibri" w:hAnsi="Century Gothic" w:cs="Arial"/>
          <w:lang w:val="es-ES_tradnl" w:eastAsia="es-MX"/>
        </w:rPr>
        <w:t>, luego de analizar el régimen de los contratos del Decreto 092 de 2017.</w:t>
      </w:r>
    </w:p>
    <w:p w14:paraId="1792ADB6" w14:textId="77777777" w:rsidR="00934D8A" w:rsidRPr="00D01437" w:rsidRDefault="00934D8A" w:rsidP="00934D8A">
      <w:pPr>
        <w:widowControl w:val="0"/>
        <w:autoSpaceDE w:val="0"/>
        <w:autoSpaceDN w:val="0"/>
        <w:spacing w:before="120" w:after="0" w:line="276" w:lineRule="auto"/>
        <w:ind w:firstLine="709"/>
        <w:jc w:val="both"/>
        <w:rPr>
          <w:rFonts w:ascii="Century Gothic" w:hAnsi="Century Gothic" w:cs="Arial"/>
        </w:rPr>
      </w:pPr>
      <w:r w:rsidRPr="00D01437">
        <w:rPr>
          <w:rFonts w:ascii="Century Gothic" w:hAnsi="Century Gothic" w:cs="Arial"/>
        </w:rPr>
        <w:t>La Agencia Nacional de Contratación Pública – Colombia Compra Eficiente se ha pronunciado en diferentes conceptos sobre la contratación con entidades privadas sin ánimo de lucro y de reconocida idoneidad –desde ahora ESAL–, con fundamento en el Decreto 092 de 2017, en particular en los Conceptos, C- 537 del 27 de septiembre de 2021,  C-021 del 22 de febrero de 2022, C-236 del 27 de abril de 2022, C-273 del 6 de mayo de 2022, C-274 del 6 de mayo de 2022, C-291 del 18 de mayo de 2022, C-331 del 24 de mayo de 2022, C-477 del 26 de julio de 2022, C-550 del 31 de agosto de 2022, C-560 del 7 de septiembre de 2022, C-624 del 28 de septiembre de 2022, C-771 del 30 de diciembre de 2022 y C-853 del 9 de diciembre de 2022, C-026 de 16 de marzo de 2023, C-037 de 05 de abril de 2023, C-203 de 21 de junio de 2023</w:t>
      </w:r>
      <w:r w:rsidRPr="00D01437">
        <w:rPr>
          <w:rFonts w:ascii="Century Gothic" w:eastAsia="Calibri" w:hAnsi="Century Gothic" w:cs="Arial"/>
          <w:vertAlign w:val="superscript"/>
        </w:rPr>
        <w:footnoteReference w:id="2"/>
      </w:r>
      <w:r w:rsidRPr="00D01437">
        <w:rPr>
          <w:rFonts w:ascii="Century Gothic" w:hAnsi="Century Gothic" w:cs="Arial"/>
        </w:rPr>
        <w:t>. Las tesis propuestas en tales conceptos se reiteran a continuación y se complementan en lo pertinente</w:t>
      </w:r>
      <w:r w:rsidRPr="00D01437">
        <w:rPr>
          <w:rFonts w:ascii="Century Gothic" w:eastAsia="Calibri" w:hAnsi="Century Gothic" w:cs="Arial"/>
          <w:bCs/>
          <w:lang w:val="es-ES_tradnl"/>
        </w:rPr>
        <w:t>.</w:t>
      </w:r>
    </w:p>
    <w:p w14:paraId="711EDB22" w14:textId="77777777" w:rsidR="00934D8A" w:rsidRPr="00D01437" w:rsidRDefault="00934D8A" w:rsidP="00934D8A">
      <w:pPr>
        <w:widowControl w:val="0"/>
        <w:autoSpaceDE w:val="0"/>
        <w:autoSpaceDN w:val="0"/>
        <w:spacing w:after="0" w:line="276" w:lineRule="auto"/>
        <w:ind w:firstLine="708"/>
        <w:jc w:val="both"/>
        <w:rPr>
          <w:rFonts w:ascii="Century Gothic" w:hAnsi="Century Gothic" w:cs="Arial"/>
          <w:b/>
          <w:lang w:val="es-MX"/>
        </w:rPr>
      </w:pPr>
    </w:p>
    <w:p w14:paraId="47C99426" w14:textId="77777777" w:rsidR="00934D8A" w:rsidRPr="00D01437" w:rsidRDefault="00934D8A" w:rsidP="00934D8A">
      <w:pPr>
        <w:spacing w:after="0" w:line="276" w:lineRule="auto"/>
        <w:contextualSpacing/>
        <w:jc w:val="both"/>
        <w:rPr>
          <w:rFonts w:ascii="Century Gothic" w:eastAsia="Arial" w:hAnsi="Century Gothic" w:cs="Arial"/>
          <w:b/>
          <w:bCs/>
          <w:lang w:val="es-ES_tradnl" w:eastAsia="es-ES_tradnl"/>
        </w:rPr>
      </w:pPr>
      <w:bookmarkStart w:id="5" w:name="_Hlk73970609"/>
      <w:r w:rsidRPr="00D01437">
        <w:rPr>
          <w:rFonts w:ascii="Century Gothic" w:eastAsia="Arial" w:hAnsi="Century Gothic" w:cs="Arial"/>
          <w:b/>
          <w:bCs/>
          <w:lang w:val="es-ES_tradnl" w:eastAsia="es-ES_tradnl"/>
        </w:rPr>
        <w:t>2.1. Régimen de los contratos del Decreto 092 de 2017. Reiteración de línea</w:t>
      </w:r>
    </w:p>
    <w:p w14:paraId="1B4545C1" w14:textId="77777777" w:rsidR="00934D8A" w:rsidRPr="00D01437" w:rsidRDefault="00934D8A" w:rsidP="00934D8A">
      <w:pPr>
        <w:spacing w:after="0" w:line="276" w:lineRule="auto"/>
        <w:contextualSpacing/>
        <w:jc w:val="both"/>
        <w:rPr>
          <w:rFonts w:ascii="Century Gothic" w:eastAsia="Arial" w:hAnsi="Century Gothic" w:cs="Arial"/>
          <w:b/>
          <w:bCs/>
          <w:lang w:val="es-ES_tradnl" w:eastAsia="es-ES_tradnl"/>
        </w:rPr>
      </w:pPr>
    </w:p>
    <w:p w14:paraId="4B91CFAF" w14:textId="77777777" w:rsidR="00934D8A" w:rsidRPr="00D01437" w:rsidRDefault="00934D8A" w:rsidP="00934D8A">
      <w:pPr>
        <w:spacing w:after="0" w:line="276" w:lineRule="auto"/>
        <w:jc w:val="both"/>
        <w:rPr>
          <w:rFonts w:ascii="Century Gothic" w:eastAsia="Arial" w:hAnsi="Century Gothic" w:cs="Arial"/>
        </w:rPr>
      </w:pPr>
      <w:r w:rsidRPr="00D01437">
        <w:rPr>
          <w:rFonts w:ascii="Century Gothic" w:eastAsia="Arial" w:hAnsi="Century Gothic" w:cs="Aria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D01437">
        <w:rPr>
          <w:rFonts w:ascii="Century Gothic" w:hAnsi="Century Gothic" w:cs="Arial"/>
          <w:vertAlign w:val="superscript"/>
        </w:rPr>
        <w:footnoteReference w:id="3"/>
      </w:r>
      <w:r w:rsidRPr="00D01437">
        <w:rPr>
          <w:rFonts w:ascii="Century Gothic" w:eastAsia="Calibri" w:hAnsi="Century Gothic" w:cs="Arial"/>
          <w:bCs/>
          <w:lang w:val="es-ES_tradnl"/>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D01437">
        <w:rPr>
          <w:rFonts w:ascii="Century Gothic" w:eastAsia="Calibri" w:hAnsi="Century Gothic" w:cs="Arial"/>
          <w:bCs/>
          <w:vertAlign w:val="superscript"/>
          <w:lang w:val="es-ES_tradnl"/>
        </w:rPr>
        <w:footnoteReference w:id="4"/>
      </w:r>
      <w:r w:rsidRPr="00D01437">
        <w:rPr>
          <w:rFonts w:ascii="Century Gothic" w:eastAsia="Calibri" w:hAnsi="Century Gothic" w:cs="Arial"/>
          <w:bCs/>
          <w:lang w:val="es-ES_tradnl"/>
        </w:rPr>
        <w:t>.</w:t>
      </w:r>
    </w:p>
    <w:p w14:paraId="33D94CDC" w14:textId="77777777" w:rsidR="00934D8A" w:rsidRPr="00D01437" w:rsidRDefault="00934D8A" w:rsidP="00934D8A">
      <w:pPr>
        <w:spacing w:before="120" w:after="0" w:line="276" w:lineRule="auto"/>
        <w:jc w:val="both"/>
        <w:rPr>
          <w:rFonts w:ascii="Century Gothic" w:eastAsia="Arial" w:hAnsi="Century Gothic" w:cs="Arial"/>
        </w:rPr>
      </w:pPr>
      <w:r w:rsidRPr="00D01437">
        <w:rPr>
          <w:rFonts w:ascii="Century Gothic" w:eastAsia="Arial" w:hAnsi="Century Gothic" w:cs="Arial"/>
        </w:rPr>
        <w:lastRenderedPageBreak/>
        <w:tab/>
        <w:t>El Decreto 092 de 2017 dispone reglas para las contrataciones que realicen las Entidades Estatales con las ESAL. El Decreto regula dos (2) eventos: i) los contratos del artículo 355 de la Constitución Política con el fin de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w:t>
      </w:r>
    </w:p>
    <w:p w14:paraId="3266570F" w14:textId="77777777" w:rsidR="00934D8A" w:rsidRPr="00D01437" w:rsidRDefault="00934D8A" w:rsidP="00934D8A">
      <w:pPr>
        <w:spacing w:before="120" w:after="0" w:line="276" w:lineRule="auto"/>
        <w:ind w:firstLine="708"/>
        <w:jc w:val="both"/>
        <w:rPr>
          <w:rFonts w:ascii="Century Gothic" w:eastAsia="Arial" w:hAnsi="Century Gothic" w:cs="Arial"/>
        </w:rPr>
      </w:pPr>
      <w:r w:rsidRPr="00D01437">
        <w:rPr>
          <w:rFonts w:ascii="Century Gothic" w:eastAsia="Arial" w:hAnsi="Century Gothic" w:cs="Arial"/>
        </w:rPr>
        <w:t xml:space="preserve">Los </w:t>
      </w:r>
      <w:r w:rsidRPr="00D01437">
        <w:rPr>
          <w:rFonts w:ascii="Century Gothic" w:eastAsia="Arial" w:hAnsi="Century Gothic" w:cs="Arial"/>
          <w:i/>
          <w:iCs/>
        </w:rPr>
        <w:t xml:space="preserve">contratos del artículo 355 de la Constitución Política, </w:t>
      </w:r>
      <w:r w:rsidRPr="00D01437">
        <w:rPr>
          <w:rFonts w:ascii="Century Gothic" w:eastAsia="Arial" w:hAnsi="Century Gothic" w:cs="Arial"/>
        </w:rPr>
        <w:t>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ESAL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dirigida al beneficio de la población en general, ya que cuando se adquieren bienes y servicios o se ejecutan obras en una relación conmutativa, las normas aplicables son las del Estatuto General de Contratación de la Administración Pública, en adelante EGCAP.</w:t>
      </w:r>
    </w:p>
    <w:p w14:paraId="1B26AAB3" w14:textId="77777777" w:rsidR="00934D8A" w:rsidRPr="00D01437" w:rsidRDefault="00934D8A" w:rsidP="00934D8A">
      <w:pPr>
        <w:spacing w:before="120" w:after="0" w:line="276" w:lineRule="auto"/>
        <w:ind w:firstLine="708"/>
        <w:jc w:val="both"/>
        <w:rPr>
          <w:rFonts w:ascii="Century Gothic" w:eastAsia="Arial" w:hAnsi="Century Gothic" w:cs="Arial"/>
        </w:rPr>
      </w:pPr>
      <w:r w:rsidRPr="00D01437">
        <w:rPr>
          <w:rFonts w:ascii="Century Gothic" w:eastAsia="Arial" w:hAnsi="Century Gothic" w:cs="Arial"/>
        </w:rPr>
        <w:t xml:space="preserve">De otro lado, los </w:t>
      </w:r>
      <w:r w:rsidRPr="00D01437">
        <w:rPr>
          <w:rFonts w:ascii="Century Gothic" w:eastAsia="Arial" w:hAnsi="Century Gothic" w:cs="Arial"/>
          <w:i/>
          <w:iCs/>
        </w:rPr>
        <w:t xml:space="preserve">convenios de asociación </w:t>
      </w:r>
      <w:r w:rsidRPr="00D01437">
        <w:rPr>
          <w:rFonts w:ascii="Century Gothic" w:eastAsia="Arial" w:hAnsi="Century Gothic" w:cs="Arial"/>
        </w:rPr>
        <w:t>“[t]ienen como finalidad que la entidad estatal, cualquiera que sea su naturaleza y ordenamiento administrativo, se asocien con personas jurídicas particulares para el desarrollo conjunto de actividades relacionadas con los cometidos y funciones asignadas a aquellas conforme a la Constitución y a la Ley”</w:t>
      </w:r>
      <w:r w:rsidRPr="00D01437">
        <w:rPr>
          <w:rFonts w:ascii="Century Gothic" w:hAnsi="Century Gothic" w:cs="Arial"/>
          <w:vertAlign w:val="superscript"/>
        </w:rPr>
        <w:footnoteReference w:id="5"/>
      </w:r>
      <w:r w:rsidRPr="00D01437">
        <w:rPr>
          <w:rFonts w:ascii="Century Gothic" w:eastAsia="Calibri" w:hAnsi="Century Gothic" w:cs="Arial"/>
          <w:bCs/>
          <w:lang w:val="es-ES_tradnl"/>
        </w:rPr>
        <w:t>. En</w:t>
      </w:r>
      <w:r w:rsidRPr="00D01437">
        <w:rPr>
          <w:rFonts w:ascii="Century Gothic" w:eastAsia="Arial" w:hAnsi="Century Gothic" w:cs="Arial"/>
        </w:rPr>
        <w:t xml:space="preserve"> estos convenios existen aportes dirigidos, especialmente, a lograr la ejecución del convenio. De todos modos, la entidad </w:t>
      </w:r>
      <w:r w:rsidRPr="00D01437">
        <w:rPr>
          <w:rFonts w:ascii="Century Gothic" w:eastAsia="Arial" w:hAnsi="Century Gothic" w:cs="Arial"/>
        </w:rPr>
        <w:lastRenderedPageBreak/>
        <w:t>deberá adelantar un proceso competitivo, salvo cuando la ESAL comprometa recursos en dinero para la ejecución de estas actividades, en una proporción no inferior al 30% del valor total del convenio</w:t>
      </w:r>
      <w:r w:rsidRPr="00D01437">
        <w:rPr>
          <w:rFonts w:ascii="Century Gothic" w:eastAsia="Calibri" w:hAnsi="Century Gothic" w:cs="Arial"/>
          <w:bCs/>
          <w:vertAlign w:val="superscript"/>
          <w:lang w:val="es-ES_tradnl"/>
        </w:rPr>
        <w:footnoteReference w:id="6"/>
      </w:r>
      <w:r w:rsidRPr="00D01437">
        <w:rPr>
          <w:rFonts w:ascii="Century Gothic" w:eastAsia="Arial" w:hAnsi="Century Gothic" w:cs="Arial"/>
        </w:rPr>
        <w:t>. El convenio de asociación no es conmutativo y, por tanto, la entidad no instruye al contratista para desarrollar los programas o actividades previstas, sino que se asocia con él para el cumplimiento de objetivos comunes</w:t>
      </w:r>
      <w:r w:rsidRPr="00D01437">
        <w:rPr>
          <w:rFonts w:ascii="Century Gothic" w:hAnsi="Century Gothic" w:cs="Arial"/>
          <w:vertAlign w:val="superscript"/>
          <w:lang w:val="es-MX"/>
        </w:rPr>
        <w:footnoteReference w:id="7"/>
      </w:r>
      <w:r w:rsidRPr="00D01437">
        <w:rPr>
          <w:rFonts w:ascii="Century Gothic" w:eastAsia="Calibri" w:hAnsi="Century Gothic" w:cs="Arial"/>
          <w:bCs/>
          <w:lang w:val="es-ES_tradnl"/>
        </w:rPr>
        <w:t>.</w:t>
      </w:r>
    </w:p>
    <w:p w14:paraId="356F5D1C" w14:textId="77777777" w:rsidR="00934D8A" w:rsidRPr="00D01437" w:rsidRDefault="00934D8A" w:rsidP="00934D8A">
      <w:pPr>
        <w:spacing w:before="120" w:after="0" w:line="276" w:lineRule="auto"/>
        <w:ind w:firstLine="708"/>
        <w:jc w:val="both"/>
        <w:rPr>
          <w:rFonts w:ascii="Century Gothic" w:eastAsia="Arial" w:hAnsi="Century Gothic" w:cs="Arial"/>
        </w:rPr>
      </w:pPr>
      <w:r w:rsidRPr="00D01437">
        <w:rPr>
          <w:rFonts w:ascii="Century Gothic" w:eastAsia="Arial" w:hAnsi="Century Gothic" w:cs="Arial"/>
        </w:rPr>
        <w:t xml:space="preserve">La normativa vigente no impide que varias entidades suscriban conjuntamente el convenio de asociación y tampoco que dos o más ESAL puedan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(30%) del valor del convenio para celebrarlo directamente. Además, en atención al inciso 2 del artículo 5 del Decreto 092 de 2017, deben asegurarse de que no haya otras ESAL que ofrezcan su compromiso de recursos en dinero en una proporción no inferior al 30% del valor total del </w:t>
      </w:r>
      <w:r w:rsidRPr="00D01437">
        <w:rPr>
          <w:rFonts w:ascii="Century Gothic" w:eastAsia="Arial" w:hAnsi="Century Gothic" w:cs="Arial"/>
        </w:rPr>
        <w:lastRenderedPageBreak/>
        <w:t>convenio. En caso de que sí, la entidad deberá seleccionar objetivamente con cual asociarse.</w:t>
      </w:r>
    </w:p>
    <w:p w14:paraId="0C53CAF9" w14:textId="77777777" w:rsidR="00934D8A" w:rsidRPr="00D01437" w:rsidRDefault="00934D8A" w:rsidP="00934D8A">
      <w:pPr>
        <w:spacing w:before="120" w:after="0" w:line="276" w:lineRule="auto"/>
        <w:ind w:firstLine="709"/>
        <w:jc w:val="both"/>
        <w:rPr>
          <w:rFonts w:ascii="Arial" w:hAnsi="Arial" w:cs="Arial"/>
          <w:lang w:val="es-MX"/>
        </w:rPr>
      </w:pPr>
      <w:r w:rsidRPr="00D01437">
        <w:rPr>
          <w:rFonts w:ascii="Century Gothic" w:eastAsia="Arial" w:hAnsi="Century Gothic" w:cs="Arial"/>
        </w:rPr>
        <w:t xml:space="preserve">La noción </w:t>
      </w:r>
      <w:r w:rsidRPr="00D01437">
        <w:rPr>
          <w:rFonts w:ascii="Century Gothic" w:eastAsia="Arial" w:hAnsi="Century Gothic" w:cs="Arial"/>
          <w:i/>
          <w:iCs/>
        </w:rPr>
        <w:t xml:space="preserve">“seleccionar de forma objetiva”, </w:t>
      </w:r>
      <w:r w:rsidRPr="00D01437">
        <w:rPr>
          <w:rFonts w:ascii="Century Gothic" w:eastAsia="Arial" w:hAnsi="Century Gothic" w:cs="Arial"/>
        </w:rPr>
        <w:t xml:space="preserve">contenida en la disposición </w:t>
      </w:r>
      <w:r w:rsidRPr="00D01437">
        <w:rPr>
          <w:rFonts w:ascii="Century Gothic" w:eastAsia="Arial" w:hAnsi="Century Gothic" w:cs="Arial"/>
          <w:i/>
          <w:iCs/>
        </w:rPr>
        <w:t xml:space="preserve">sub examine </w:t>
      </w:r>
      <w:r w:rsidRPr="00D01437">
        <w:rPr>
          <w:rFonts w:ascii="Century Gothic" w:eastAsia="Arial" w:hAnsi="Century Gothic" w:cs="Arial"/>
        </w:rPr>
        <w:t xml:space="preserve">no puede ser entendida como una remisión total a la Leyes 80 de 1993 y 1150 de 2007. A lo que se refiere la norma es que la Entidad Estatal debe diseñar herramientas que permitan una comparación objetiva de las ESAL para seleccionar objetivamente a aquella que tenga las mejores condiciones para alcanzar el resultado esperado con el proyecto de cooperación. Por ello, la entidad puede tomar la decisión de acudir a los procesos de selección de contratistas que establece el EGCAP o, incluso, al trámite que regula el inciso 2 del artículo 2 del Decreto 092 de 2017. </w:t>
      </w:r>
      <w:r w:rsidRPr="00D01437">
        <w:rPr>
          <w:rFonts w:ascii="Century Gothic" w:eastAsia="Arial" w:hAnsi="Century Gothic" w:cs="Arial"/>
          <w:lang w:val="es-MX"/>
        </w:rPr>
        <w:t xml:space="preserve">Sin embargo, resulta a bien aclarar que </w:t>
      </w:r>
      <w:r w:rsidRPr="00D01437">
        <w:rPr>
          <w:rFonts w:ascii="Century Gothic" w:eastAsia="Arial" w:hAnsi="Century Gothic" w:cs="Arial"/>
          <w:u w:val="single"/>
          <w:lang w:val="es-MX"/>
        </w:rPr>
        <w:t>los negocios jurídicos que regula el Decreto 092 de 2017 “[…]son esencialmente distintos a los contratos para la adquisición y aprovisionamiento de bienes, obras o servicios regulados por el estatuto de contratación y[,como tal,] no hacen parte del sistema de compra pública</w:t>
      </w:r>
      <w:r w:rsidRPr="00D01437">
        <w:rPr>
          <w:rFonts w:ascii="Century Gothic" w:eastAsia="Arial" w:hAnsi="Century Gothic" w:cs="Arial"/>
          <w:lang w:val="es-MX"/>
        </w:rPr>
        <w:t xml:space="preserve">. […] </w:t>
      </w:r>
      <w:r w:rsidRPr="00D01437">
        <w:rPr>
          <w:rFonts w:ascii="Century Gothic" w:eastAsia="Arial" w:hAnsi="Century Gothic" w:cs="Arial"/>
          <w:u w:val="single"/>
          <w:lang w:val="es-MX"/>
        </w:rPr>
        <w:t>De acuerdo con lo anterior, si la entidad estatal adquiere o se abastece de un bien, obra o servicio en un contrato conmutativo en el cual el proveedor es una [ESAL], debe aplicar el régimen contenido en las Leyes 80 de 1993 y 1150 de 2007</w:t>
      </w:r>
      <w:r w:rsidRPr="00D01437">
        <w:rPr>
          <w:rFonts w:ascii="Century Gothic" w:eastAsia="Arial" w:hAnsi="Century Gothic" w:cs="Arial"/>
          <w:lang w:val="es-MX"/>
        </w:rPr>
        <w:t>, y no el Decreto 092 de 2017”</w:t>
      </w:r>
      <w:r w:rsidRPr="00D01437">
        <w:rPr>
          <w:rFonts w:ascii="Century Gothic" w:hAnsi="Century Gothic" w:cs="Arial"/>
          <w:vertAlign w:val="superscript"/>
          <w:lang w:val="es-MX"/>
        </w:rPr>
        <w:footnoteReference w:id="8"/>
      </w:r>
      <w:r w:rsidRPr="00D01437">
        <w:rPr>
          <w:rFonts w:ascii="Century Gothic" w:hAnsi="Century Gothic" w:cs="Arial"/>
          <w:lang w:val="es-MX"/>
        </w:rPr>
        <w:t>. Así lo consideró la Sala de Consulta y Servicio Civil del Consejo de Estado</w:t>
      </w:r>
      <w:r w:rsidRPr="00D01437">
        <w:rPr>
          <w:rFonts w:ascii="Century Gothic" w:hAnsi="Century Gothic" w:cs="Arial"/>
          <w:vertAlign w:val="superscript"/>
          <w:lang w:val="es-MX"/>
        </w:rPr>
        <w:footnoteReference w:id="9"/>
      </w:r>
      <w:r w:rsidRPr="00D01437">
        <w:rPr>
          <w:rFonts w:ascii="Century Gothic" w:hAnsi="Century Gothic" w:cs="Arial"/>
          <w:lang w:val="es-MX"/>
        </w:rPr>
        <w:t>:</w:t>
      </w:r>
    </w:p>
    <w:p w14:paraId="059E7718" w14:textId="77777777" w:rsidR="00934D8A" w:rsidRPr="00D01437" w:rsidRDefault="00934D8A" w:rsidP="00934D8A">
      <w:pPr>
        <w:spacing w:after="0" w:line="240" w:lineRule="auto"/>
        <w:ind w:left="709" w:right="709"/>
        <w:jc w:val="both"/>
        <w:rPr>
          <w:rFonts w:ascii="Century Gothic" w:eastAsia="Calibri" w:hAnsi="Century Gothic" w:cs="Arial"/>
          <w:sz w:val="21"/>
          <w:szCs w:val="21"/>
        </w:rPr>
      </w:pPr>
    </w:p>
    <w:p w14:paraId="2B4B95E2" w14:textId="77777777" w:rsidR="00934D8A" w:rsidRPr="00D01437" w:rsidRDefault="00934D8A" w:rsidP="00934D8A">
      <w:pPr>
        <w:spacing w:after="0" w:line="240" w:lineRule="auto"/>
        <w:ind w:left="709" w:right="709"/>
        <w:jc w:val="both"/>
        <w:rPr>
          <w:rFonts w:ascii="Century Gothic" w:eastAsia="Calibri" w:hAnsi="Century Gothic" w:cs="Arial"/>
          <w:b/>
          <w:bCs/>
          <w:i/>
          <w:iCs/>
          <w:sz w:val="21"/>
          <w:szCs w:val="21"/>
        </w:rPr>
      </w:pPr>
      <w:r w:rsidRPr="00D01437">
        <w:rPr>
          <w:rFonts w:ascii="Century Gothic" w:eastAsia="Calibri" w:hAnsi="Century Gothic" w:cs="Arial"/>
          <w:sz w:val="21"/>
          <w:szCs w:val="21"/>
        </w:rPr>
        <w:t xml:space="preserve">“Como ya se indicó, el objeto de los contratos que autoriza el inciso segundo del artículo 355 Superior, se limita a la realización de actividades o programas de interés público que, conforme a los planes de desarrollo, adelanten instituciones privadas sin ánimo de lucro. </w:t>
      </w:r>
      <w:r w:rsidRPr="00D01437">
        <w:rPr>
          <w:rFonts w:ascii="Century Gothic" w:eastAsia="Calibri" w:hAnsi="Century Gothic" w:cs="Arial"/>
          <w:b/>
          <w:bCs/>
          <w:i/>
          <w:iCs/>
          <w:sz w:val="21"/>
          <w:szCs w:val="21"/>
        </w:rPr>
        <w:t>Aquellos que generan una contraprestación directa a favor de la entidad contratante y los que tienen por objeto desarrollar proyectos específicos, corresponden al giro normal de las funciones propias de la entidad estatal, y por lo tanto, se tipifican dentro de cualquiera de las modalidades de contratación de la ley 80 de 1.993, debiendo sujetarse a los procedimientos allí previstos, en especial los de escogencia del contratista.</w:t>
      </w:r>
    </w:p>
    <w:p w14:paraId="0DC1C17E" w14:textId="77777777" w:rsidR="00934D8A" w:rsidRPr="00D01437" w:rsidRDefault="00934D8A" w:rsidP="00934D8A">
      <w:pPr>
        <w:spacing w:before="120" w:after="0" w:line="240" w:lineRule="auto"/>
        <w:ind w:left="709" w:right="709"/>
        <w:jc w:val="both"/>
        <w:rPr>
          <w:rFonts w:ascii="Century Gothic" w:eastAsia="Calibri" w:hAnsi="Century Gothic" w:cs="Arial"/>
          <w:sz w:val="21"/>
          <w:szCs w:val="21"/>
        </w:rPr>
      </w:pPr>
      <w:r w:rsidRPr="00D01437">
        <w:rPr>
          <w:rFonts w:ascii="Century Gothic" w:eastAsia="Calibri" w:hAnsi="Century Gothic" w:cs="Arial"/>
          <w:sz w:val="21"/>
          <w:szCs w:val="21"/>
        </w:rPr>
        <w:t xml:space="preserve">Cuando el artículo 355 autoriza a las entidades estatales a celebrar contratos para “impulsar” programas y actividades de interés público, se refiere a los del ente privado y no a los del Estado, pues respecto de éste </w:t>
      </w:r>
      <w:r w:rsidRPr="00D01437">
        <w:rPr>
          <w:rFonts w:ascii="Century Gothic" w:eastAsia="Calibri" w:hAnsi="Century Gothic" w:cs="Arial"/>
          <w:sz w:val="21"/>
          <w:szCs w:val="21"/>
        </w:rPr>
        <w:lastRenderedPageBreak/>
        <w:t>el deber constitucional es no sólo impulsarlos sino cumplirlos, conforme las disposiciones contractuales vigentes, como sería por ejemplo, contratos de prestación de servicios o de obra pública”. [Énfasis fuera de texto]</w:t>
      </w:r>
    </w:p>
    <w:p w14:paraId="5D28AFB3" w14:textId="77777777" w:rsidR="00934D8A" w:rsidRPr="00D01437" w:rsidRDefault="00934D8A" w:rsidP="00934D8A">
      <w:pPr>
        <w:spacing w:after="0" w:line="276" w:lineRule="auto"/>
        <w:ind w:firstLine="708"/>
        <w:jc w:val="both"/>
        <w:rPr>
          <w:rFonts w:ascii="Century Gothic" w:eastAsia="Calibri" w:hAnsi="Century Gothic" w:cs="Arial"/>
        </w:rPr>
      </w:pPr>
    </w:p>
    <w:p w14:paraId="7CE95751" w14:textId="77777777" w:rsidR="00934D8A" w:rsidRPr="00D01437" w:rsidRDefault="00934D8A" w:rsidP="00934D8A">
      <w:pPr>
        <w:spacing w:after="0" w:line="276" w:lineRule="auto"/>
        <w:ind w:firstLine="708"/>
        <w:jc w:val="both"/>
        <w:rPr>
          <w:rFonts w:ascii="Century Gothic" w:eastAsia="Calibri" w:hAnsi="Century Gothic" w:cs="Arial"/>
        </w:rPr>
      </w:pPr>
      <w:r w:rsidRPr="00D01437">
        <w:rPr>
          <w:rFonts w:ascii="Century Gothic" w:eastAsia="Calibri" w:hAnsi="Century Gothic" w:cs="Arial"/>
        </w:rPr>
        <w:t>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ESAL no implica que necesariamente deba celebrarse un contrato de colaboración o un convenio de asociación. Así lo reconoció la Corte Constitucional en la sentencia C-287 del 18 de abril de 2012, en la que sostuvo lo siguiente:</w:t>
      </w:r>
    </w:p>
    <w:p w14:paraId="1EC7B0D8" w14:textId="77777777" w:rsidR="00934D8A" w:rsidRPr="00D01437" w:rsidRDefault="00934D8A" w:rsidP="00934D8A">
      <w:pPr>
        <w:spacing w:after="0" w:line="240" w:lineRule="auto"/>
        <w:ind w:left="709" w:right="709"/>
        <w:jc w:val="both"/>
        <w:rPr>
          <w:rFonts w:ascii="Arial" w:eastAsia="Calibri" w:hAnsi="Arial" w:cs="Arial"/>
          <w:sz w:val="21"/>
          <w:szCs w:val="21"/>
        </w:rPr>
      </w:pPr>
    </w:p>
    <w:p w14:paraId="6DD81007" w14:textId="77777777" w:rsidR="00934D8A" w:rsidRPr="00D01437" w:rsidRDefault="00934D8A" w:rsidP="00934D8A">
      <w:pPr>
        <w:spacing w:after="0" w:line="240" w:lineRule="auto"/>
        <w:ind w:left="709" w:right="709"/>
        <w:jc w:val="both"/>
        <w:rPr>
          <w:rFonts w:ascii="Century Gothic" w:eastAsia="Calibri" w:hAnsi="Century Gothic" w:cs="Arial"/>
          <w:sz w:val="21"/>
          <w:szCs w:val="21"/>
        </w:rPr>
      </w:pPr>
      <w:r w:rsidRPr="00D01437">
        <w:rPr>
          <w:rFonts w:ascii="Century Gothic" w:eastAsia="Calibri" w:hAnsi="Century Gothic" w:cs="Arial"/>
          <w:sz w:val="21"/>
          <w:szCs w:val="21"/>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14EBDA47" w14:textId="77777777" w:rsidR="00934D8A" w:rsidRPr="00D01437" w:rsidRDefault="00934D8A" w:rsidP="00934D8A">
      <w:pPr>
        <w:spacing w:before="120" w:after="0" w:line="240" w:lineRule="auto"/>
        <w:ind w:left="709" w:right="709"/>
        <w:jc w:val="both"/>
        <w:rPr>
          <w:rFonts w:ascii="Century Gothic" w:eastAsia="Calibri" w:hAnsi="Century Gothic" w:cs="Arial"/>
          <w:sz w:val="21"/>
          <w:szCs w:val="21"/>
        </w:rPr>
      </w:pPr>
      <w:r w:rsidRPr="00D01437">
        <w:rPr>
          <w:rFonts w:ascii="Century Gothic" w:eastAsia="Calibri" w:hAnsi="Century Gothic" w:cs="Arial"/>
          <w:i/>
          <w:iCs/>
          <w:sz w:val="21"/>
          <w:szCs w:val="21"/>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D01437">
        <w:rPr>
          <w:rFonts w:ascii="Century Gothic" w:eastAsia="Calibri" w:hAnsi="Century Gothic" w:cs="Arial"/>
          <w:sz w:val="21"/>
          <w:szCs w:val="21"/>
        </w:rPr>
        <w:t>.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 [Cursivas propias]</w:t>
      </w:r>
    </w:p>
    <w:p w14:paraId="3721817A" w14:textId="77777777" w:rsidR="00934D8A" w:rsidRPr="00D01437" w:rsidRDefault="00934D8A" w:rsidP="00934D8A">
      <w:pPr>
        <w:tabs>
          <w:tab w:val="left" w:pos="1122"/>
        </w:tabs>
        <w:spacing w:after="0" w:line="276" w:lineRule="auto"/>
        <w:ind w:firstLine="709"/>
        <w:jc w:val="both"/>
        <w:rPr>
          <w:rFonts w:ascii="Century Gothic" w:eastAsia="Calibri" w:hAnsi="Century Gothic" w:cs="Arial"/>
        </w:rPr>
      </w:pPr>
    </w:p>
    <w:p w14:paraId="1B70FB31" w14:textId="77777777" w:rsidR="00934D8A" w:rsidRPr="00D01437" w:rsidRDefault="00934D8A" w:rsidP="00934D8A">
      <w:pPr>
        <w:tabs>
          <w:tab w:val="left" w:pos="1122"/>
        </w:tabs>
        <w:spacing w:after="0" w:line="276" w:lineRule="auto"/>
        <w:ind w:firstLine="709"/>
        <w:jc w:val="both"/>
        <w:rPr>
          <w:rFonts w:ascii="Century Gothic" w:eastAsia="Calibri" w:hAnsi="Century Gothic" w:cs="Arial"/>
        </w:rPr>
      </w:pPr>
      <w:r w:rsidRPr="00D01437">
        <w:rPr>
          <w:rFonts w:ascii="Century Gothic" w:eastAsia="Calibri" w:hAnsi="Century Gothic" w:cs="Arial"/>
        </w:rPr>
        <w:t>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w:t>
      </w:r>
      <w:r w:rsidRPr="00D01437">
        <w:rPr>
          <w:rFonts w:ascii="Century Gothic" w:hAnsi="Century Gothic"/>
        </w:rPr>
        <w:t xml:space="preserve"> </w:t>
      </w:r>
      <w:r w:rsidRPr="00D01437">
        <w:rPr>
          <w:rFonts w:ascii="Century Gothic" w:eastAsia="Calibri" w:hAnsi="Century Gothic" w:cs="Arial"/>
        </w:rPr>
        <w:t xml:space="preserve">Con todo, las ESAL pueden participar en igualdad de condiciones en procesos de contratación regidos por la Ley 80 de 1993, la Ley 1150 de 2007 y el Decreto 1082 de 2015, siempre y cuando cumplan con los requisitos exigidos en los documentos del proceso. De esta manera, ni los contratos del artículo 355 de la Constitución Política ni los </w:t>
      </w:r>
      <w:r w:rsidRPr="00D01437">
        <w:rPr>
          <w:rFonts w:ascii="Century Gothic" w:eastAsia="Calibri" w:hAnsi="Century Gothic" w:cs="Arial"/>
        </w:rPr>
        <w:lastRenderedPageBreak/>
        <w:t>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14:paraId="5861406B" w14:textId="77777777" w:rsidR="00934D8A" w:rsidRPr="00D01437" w:rsidRDefault="00934D8A" w:rsidP="00934D8A">
      <w:pPr>
        <w:spacing w:after="0" w:line="276" w:lineRule="auto"/>
        <w:jc w:val="both"/>
        <w:rPr>
          <w:rFonts w:ascii="Century Gothic" w:eastAsia="Arial" w:hAnsi="Century Gothic" w:cs="Arial"/>
        </w:rPr>
      </w:pPr>
    </w:p>
    <w:p w14:paraId="25F13CDD" w14:textId="77777777" w:rsidR="00934D8A" w:rsidRPr="00D01437" w:rsidRDefault="00934D8A" w:rsidP="00934D8A">
      <w:pPr>
        <w:spacing w:after="0" w:line="276" w:lineRule="auto"/>
        <w:jc w:val="both"/>
        <w:rPr>
          <w:rFonts w:ascii="Century Gothic" w:eastAsia="Arial" w:hAnsi="Century Gothic" w:cs="Arial"/>
          <w:b/>
          <w:bCs/>
        </w:rPr>
      </w:pPr>
      <w:r w:rsidRPr="00D01437">
        <w:rPr>
          <w:rFonts w:ascii="Century Gothic" w:eastAsia="Arial" w:hAnsi="Century Gothic" w:cs="Arial"/>
          <w:b/>
          <w:bCs/>
        </w:rPr>
        <w:t>2.1.1. Suspensión provisional de algunas normas del Decreto 092 de 2017. Reiteración de línea</w:t>
      </w:r>
    </w:p>
    <w:p w14:paraId="32B8A4A8" w14:textId="77777777" w:rsidR="00934D8A" w:rsidRPr="00D01437" w:rsidRDefault="00934D8A" w:rsidP="00934D8A">
      <w:pPr>
        <w:spacing w:after="0" w:line="276" w:lineRule="auto"/>
        <w:jc w:val="both"/>
        <w:rPr>
          <w:rFonts w:ascii="Century Gothic" w:eastAsia="Arial" w:hAnsi="Century Gothic" w:cs="Arial"/>
        </w:rPr>
      </w:pPr>
    </w:p>
    <w:p w14:paraId="7091879C" w14:textId="77777777" w:rsidR="00934D8A" w:rsidRPr="00D01437" w:rsidRDefault="00934D8A" w:rsidP="00934D8A">
      <w:pPr>
        <w:spacing w:line="276" w:lineRule="auto"/>
        <w:jc w:val="both"/>
        <w:rPr>
          <w:rFonts w:ascii="Century Gothic" w:eastAsia="Calibri" w:hAnsi="Century Gothic" w:cs="Arial"/>
        </w:rPr>
      </w:pPr>
      <w:r w:rsidRPr="00D01437">
        <w:rPr>
          <w:rFonts w:ascii="Century Gothic" w:eastAsia="Calibri" w:hAnsi="Century Gothic" w:cs="Arial"/>
        </w:rPr>
        <w:t>El Consejo de Estado, en el Auto del 6 de agosto de 2019 de la Sección Tercera, Subsección A, radicado No. 11001-03-26-000-2018-00113-00 (62.003), Consejero Ponente Carlos Alberto Zambrano Barrera, estudió la solicitud de suspensión provisional del inciso 2 del artículo 1, literales a y c del artículo 2, inciso 5 del artículo 2, inciso 2 del artículo 3, inciso final del artículo 4 y artículo 5 del Decreto 092 de 2017</w:t>
      </w:r>
      <w:r w:rsidRPr="00D01437">
        <w:rPr>
          <w:rFonts w:ascii="Century Gothic" w:eastAsia="Calibri" w:hAnsi="Century Gothic" w:cs="Arial"/>
          <w:vertAlign w:val="superscript"/>
        </w:rPr>
        <w:footnoteReference w:id="10"/>
      </w:r>
      <w:r w:rsidRPr="00D01437">
        <w:rPr>
          <w:rFonts w:ascii="Century Gothic" w:eastAsia="Calibri" w:hAnsi="Century Gothic" w:cs="Arial"/>
        </w:rPr>
        <w:t>. Cabe precisar que las decisiones adoptadas en el auto indicado fueron mantenidas en su mayoría en el Auto del 15 de marzo de 2022 de la Sala Plena del Consejo de Estado</w:t>
      </w:r>
      <w:r w:rsidRPr="00D01437">
        <w:rPr>
          <w:rFonts w:ascii="Century Gothic" w:eastAsia="Calibri" w:hAnsi="Century Gothic" w:cs="Arial"/>
          <w:vertAlign w:val="superscript"/>
        </w:rPr>
        <w:footnoteReference w:id="11"/>
      </w:r>
      <w:r w:rsidRPr="00D01437">
        <w:rPr>
          <w:rFonts w:ascii="Century Gothic" w:eastAsia="Calibri" w:hAnsi="Century Gothic" w:cs="Arial"/>
        </w:rPr>
        <w:t xml:space="preserve">, mediante el cual se resuelve el recurso de súplica frente al anterior auto que, como se explicará, suspendió provisionalmente varios apartes del Decreto 092 de 2017. En este sentido, en el último auto se levantó la suspensión provisional del inciso segundo del artículo 1 y del inciso segundo del artículo 3, manteniendo en lo demás la suspensión provisional, como se precisará a continuación. </w:t>
      </w:r>
    </w:p>
    <w:p w14:paraId="1A0C6FEC" w14:textId="77777777" w:rsidR="00934D8A" w:rsidRPr="00D01437" w:rsidRDefault="00934D8A" w:rsidP="00934D8A">
      <w:pPr>
        <w:spacing w:before="120" w:after="0" w:line="276" w:lineRule="auto"/>
        <w:ind w:firstLine="708"/>
        <w:jc w:val="both"/>
        <w:rPr>
          <w:rFonts w:ascii="Century Gothic" w:eastAsia="Calibri" w:hAnsi="Century Gothic" w:cs="Arial"/>
        </w:rPr>
      </w:pPr>
      <w:r w:rsidRPr="00D01437">
        <w:rPr>
          <w:rFonts w:ascii="Century Gothic" w:eastAsia="Calibri" w:hAnsi="Century Gothic" w:cs="Arial"/>
        </w:rPr>
        <w:t xml:space="preserve">La </w:t>
      </w:r>
      <w:r w:rsidRPr="00D01437">
        <w:rPr>
          <w:rFonts w:ascii="Century Gothic" w:eastAsia="Calibri" w:hAnsi="Century Gothic" w:cs="Arial"/>
          <w:i/>
          <w:iCs/>
        </w:rPr>
        <w:t>primera</w:t>
      </w:r>
      <w:r w:rsidRPr="00D01437">
        <w:rPr>
          <w:rFonts w:ascii="Century Gothic" w:eastAsia="Calibri" w:hAnsi="Century Gothic" w:cs="Arial"/>
        </w:rPr>
        <w:t xml:space="preserve"> norma que estudió el Consejo de Estado en el auto del 6 de agosto de 2019 fue el inciso 2 del artículo 1 del Decreto 092 de 2017, el cual establece que la interpretación de las expresiones que se encuentran en mayúsculas en el Decreto 092 de 2017 se harían de conformidad con la guía que expida la Agencia Nacional de Contratación Pública</w:t>
      </w:r>
      <w:r w:rsidRPr="00D01437">
        <w:rPr>
          <w:rFonts w:ascii="Century Gothic" w:eastAsia="Calibri" w:hAnsi="Century Gothic" w:cs="Arial"/>
          <w:vertAlign w:val="superscript"/>
        </w:rPr>
        <w:footnoteReference w:id="12"/>
      </w:r>
      <w:r w:rsidRPr="00D01437">
        <w:rPr>
          <w:rFonts w:ascii="Century Gothic" w:eastAsia="Calibri" w:hAnsi="Century Gothic" w:cs="Arial"/>
        </w:rPr>
        <w:t xml:space="preserve">. Señaló que esta </w:t>
      </w:r>
      <w:r w:rsidRPr="00D01437">
        <w:rPr>
          <w:rFonts w:ascii="Century Gothic" w:eastAsia="Calibri" w:hAnsi="Century Gothic" w:cs="Arial"/>
        </w:rPr>
        <w:lastRenderedPageBreak/>
        <w:t>disposición, así como el inciso segundo del artículo 3 del Decreto 092 de 2017</w:t>
      </w:r>
      <w:r w:rsidRPr="00D01437">
        <w:rPr>
          <w:rFonts w:ascii="Century Gothic" w:eastAsia="Calibri" w:hAnsi="Century Gothic" w:cs="Arial"/>
          <w:vertAlign w:val="superscript"/>
        </w:rPr>
        <w:footnoteReference w:id="13"/>
      </w:r>
      <w:r w:rsidRPr="00D01437">
        <w:rPr>
          <w:rFonts w:ascii="Century Gothic" w:eastAsia="Calibri" w:hAnsi="Century Gothic" w:cs="Arial"/>
        </w:rPr>
        <w:t xml:space="preserve">, excedían la potestad reglamentaria, que estaba exclusivamente asignada al Presidente de la República, toda vez que la esencia de la facultad reglamentaria es de carácter permanente, inalienable, intransferible e irrenunciable, y el Presidente no la podía delegar en una entidad como la Agencia Nacional de Contratación Pública – Colombia Compra Eficiente, para que a través de una guía reglamentara los vacíos de un Decreto. Al respecto señaló: </w:t>
      </w:r>
    </w:p>
    <w:p w14:paraId="6A2E7B23" w14:textId="77777777" w:rsidR="00934D8A" w:rsidRPr="00D01437" w:rsidRDefault="00934D8A" w:rsidP="00934D8A">
      <w:pPr>
        <w:spacing w:after="0" w:line="276" w:lineRule="auto"/>
        <w:jc w:val="both"/>
        <w:rPr>
          <w:rFonts w:ascii="Century Gothic" w:eastAsia="Calibri" w:hAnsi="Century Gothic" w:cs="Arial"/>
        </w:rPr>
      </w:pPr>
    </w:p>
    <w:p w14:paraId="1436D5B8" w14:textId="77777777" w:rsidR="00934D8A" w:rsidRPr="00D01437" w:rsidRDefault="00934D8A" w:rsidP="00934D8A">
      <w:pPr>
        <w:tabs>
          <w:tab w:val="left" w:pos="8789"/>
        </w:tabs>
        <w:spacing w:after="0" w:line="240" w:lineRule="auto"/>
        <w:ind w:left="708" w:right="709"/>
        <w:jc w:val="both"/>
        <w:rPr>
          <w:rFonts w:ascii="Century Gothic" w:eastAsia="Calibri" w:hAnsi="Century Gothic" w:cs="Arial"/>
          <w:sz w:val="21"/>
          <w:szCs w:val="21"/>
        </w:rPr>
      </w:pPr>
      <w:r w:rsidRPr="00D01437">
        <w:rPr>
          <w:rFonts w:ascii="Century Gothic" w:eastAsia="Calibri" w:hAnsi="Century Gothic" w:cs="Arial"/>
          <w:sz w:val="21"/>
          <w:szCs w:val="21"/>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14:paraId="16B1ABD1" w14:textId="77777777" w:rsidR="00934D8A" w:rsidRPr="00D01437" w:rsidRDefault="00934D8A" w:rsidP="00934D8A">
      <w:pPr>
        <w:tabs>
          <w:tab w:val="left" w:pos="8789"/>
        </w:tabs>
        <w:spacing w:after="0" w:line="276" w:lineRule="auto"/>
        <w:ind w:left="708" w:right="709"/>
        <w:jc w:val="both"/>
        <w:rPr>
          <w:rFonts w:ascii="Century Gothic" w:eastAsia="Calibri" w:hAnsi="Century Gothic" w:cs="Arial"/>
        </w:rPr>
      </w:pPr>
    </w:p>
    <w:p w14:paraId="39193EB4" w14:textId="77777777" w:rsidR="00934D8A" w:rsidRPr="00D01437" w:rsidRDefault="00934D8A" w:rsidP="00934D8A">
      <w:pPr>
        <w:spacing w:after="0" w:line="276" w:lineRule="auto"/>
        <w:ind w:firstLine="709"/>
        <w:jc w:val="both"/>
        <w:rPr>
          <w:rFonts w:ascii="Century Gothic" w:eastAsia="Calibri" w:hAnsi="Century Gothic" w:cs="Arial"/>
        </w:rPr>
      </w:pPr>
      <w:r w:rsidRPr="00D01437">
        <w:rPr>
          <w:rFonts w:ascii="Century Gothic" w:eastAsia="Calibri" w:hAnsi="Century Gothic" w:cs="Arial"/>
        </w:rPr>
        <w:t>En virtud de este análisis, el Consejo de Estado, en el auto del 9 de agosto de 2019 suspendió provisionalmente el inciso 2 del artículo primero y el inciso 2 del artículo 3, lo que significaba que los contratos celebrados ESAL no tenían que aplicar la “Guía para la contratación con entidades privadas sin ánimo de lucro y de reconocida idoneidad”, expedida por la Agencia Nacional de Contratación Pública - Colombia Compra Eficiente. Sin embargo, mediante el auto del 15 de marzo de 2022 de la Sala Plena del Consejo de Estado, al que se hizo referencia en inicio de este acápite, se ordenó levantar la suspensión provisional del inciso segundo del artículo 1 y del inciso segundo del artículo 3, al considerar la Alta Corporación que:</w:t>
      </w:r>
    </w:p>
    <w:p w14:paraId="188747B3" w14:textId="77777777" w:rsidR="00934D8A" w:rsidRPr="00D01437" w:rsidRDefault="00934D8A" w:rsidP="00934D8A">
      <w:pPr>
        <w:spacing w:after="0" w:line="276" w:lineRule="auto"/>
        <w:ind w:firstLine="709"/>
        <w:jc w:val="both"/>
        <w:rPr>
          <w:rFonts w:ascii="Century Gothic" w:eastAsia="Calibri" w:hAnsi="Century Gothic" w:cs="Arial"/>
        </w:rPr>
      </w:pPr>
    </w:p>
    <w:p w14:paraId="18D65C5F" w14:textId="77777777" w:rsidR="00934D8A" w:rsidRPr="00D01437" w:rsidRDefault="00934D8A" w:rsidP="00934D8A">
      <w:pPr>
        <w:spacing w:after="0" w:line="240" w:lineRule="auto"/>
        <w:ind w:left="708" w:right="709"/>
        <w:jc w:val="both"/>
        <w:rPr>
          <w:rFonts w:ascii="Century Gothic" w:eastAsia="Calibri" w:hAnsi="Century Gothic" w:cs="Arial"/>
          <w:sz w:val="21"/>
          <w:szCs w:val="21"/>
        </w:rPr>
      </w:pPr>
      <w:r w:rsidRPr="00D01437">
        <w:rPr>
          <w:rFonts w:ascii="Century Gothic" w:eastAsia="Calibri" w:hAnsi="Century Gothic" w:cs="Arial"/>
          <w:sz w:val="21"/>
          <w:szCs w:val="21"/>
        </w:rPr>
        <w:lastRenderedPageBreak/>
        <w:t>“28. Contrario a la conclusión a la que se arribó en el auto suplicado, la Sala observa que de la simple confrontación de la norma no se advierte, prima facie, que lo ordenado en el inciso segundo del artículo 1, así como en el inciso segundo del artículo 3 del Decreto 092 de 2017, conlleve, per se, la delegación de la facultad reglamentaria directa de la Constitución, atribuida al Gobierno nacional en el artículo 355 superior”.</w:t>
      </w:r>
    </w:p>
    <w:p w14:paraId="72A260C8" w14:textId="77777777" w:rsidR="00934D8A" w:rsidRPr="00D01437" w:rsidRDefault="00934D8A" w:rsidP="00934D8A">
      <w:pPr>
        <w:spacing w:after="0" w:line="276" w:lineRule="auto"/>
        <w:ind w:left="708" w:right="709"/>
        <w:jc w:val="both"/>
        <w:rPr>
          <w:rFonts w:ascii="Century Gothic" w:eastAsia="Calibri" w:hAnsi="Century Gothic" w:cs="Arial"/>
        </w:rPr>
      </w:pPr>
    </w:p>
    <w:p w14:paraId="5A67C24E" w14:textId="77777777" w:rsidR="00934D8A" w:rsidRPr="00D01437" w:rsidRDefault="00934D8A" w:rsidP="00934D8A">
      <w:pPr>
        <w:spacing w:after="0" w:line="276" w:lineRule="auto"/>
        <w:ind w:firstLine="709"/>
        <w:jc w:val="both"/>
        <w:rPr>
          <w:rFonts w:ascii="Century Gothic" w:eastAsia="Calibri" w:hAnsi="Century Gothic" w:cs="Arial"/>
        </w:rPr>
      </w:pPr>
      <w:r w:rsidRPr="00D01437">
        <w:rPr>
          <w:rFonts w:ascii="Century Gothic" w:eastAsia="Calibri" w:hAnsi="Century Gothic" w:cs="Arial"/>
        </w:rPr>
        <w:t xml:space="preserve">En armonía con lo anterior, en relación con el inciso segundo del artículo primero del Decreto 092 de 2017, que establece que las expresiones utilizadas en el decreto con mayúscula inicial deben ser entendidas con el significado indicado en la guía que expida la Agencia Nacional de Contratación Pública – Colombia Compra Eficiente, el Consejo de Estado consideró procedente levantar la suspensión provisional, al considerar que: </w:t>
      </w:r>
    </w:p>
    <w:p w14:paraId="599608AB" w14:textId="77777777" w:rsidR="00934D8A" w:rsidRPr="00D01437" w:rsidRDefault="00934D8A" w:rsidP="00934D8A">
      <w:pPr>
        <w:spacing w:after="0" w:line="276" w:lineRule="auto"/>
        <w:ind w:firstLine="709"/>
        <w:jc w:val="both"/>
        <w:rPr>
          <w:rFonts w:ascii="Century Gothic" w:eastAsia="Calibri" w:hAnsi="Century Gothic" w:cs="Arial"/>
        </w:rPr>
      </w:pPr>
    </w:p>
    <w:p w14:paraId="6BD77C42" w14:textId="77777777" w:rsidR="00934D8A" w:rsidRPr="00D01437" w:rsidRDefault="00934D8A" w:rsidP="00934D8A">
      <w:pPr>
        <w:spacing w:after="0" w:line="240" w:lineRule="auto"/>
        <w:ind w:left="708" w:right="709"/>
        <w:jc w:val="both"/>
        <w:rPr>
          <w:rFonts w:ascii="Century Gothic" w:eastAsia="Calibri" w:hAnsi="Century Gothic" w:cs="Arial"/>
          <w:sz w:val="21"/>
          <w:szCs w:val="21"/>
        </w:rPr>
      </w:pPr>
      <w:r w:rsidRPr="00D01437">
        <w:rPr>
          <w:rFonts w:ascii="Century Gothic" w:eastAsia="Calibri" w:hAnsi="Century Gothic" w:cs="Arial"/>
          <w:sz w:val="21"/>
          <w:szCs w:val="21"/>
        </w:rPr>
        <w:t>“35. En esa medida determinó el Gobierno nacional que para la interpretación del decreto que nos ocupa, las expresiones utilizadas con mayúscula inicial deben ser entendidas con el significado indicado en la guía que expida la Agencia Nacional de Contratación Pública –Colombia Compra Eficiente– para su correspondiente aplicación, lo que implica una orientación tendiente a propiciar una integración normativa con definiciones que ya existen en el ordenamiento jurídico y que fundamentará la interpretación de dichas expresiones. En este orden de ideas, no existe habilitación a Colombia Compra Eficiente para crear definiciones normativas de estas expresiones, sino que de las que ya cuenta el ordenamiento jurídico realiza la guía. Por ello, no hay delegación de la competencia para crear el decreto constitucional que le compete al Gobierno nacional”.</w:t>
      </w:r>
    </w:p>
    <w:p w14:paraId="44C6DEA5" w14:textId="77777777" w:rsidR="00934D8A" w:rsidRPr="00D01437" w:rsidRDefault="00934D8A" w:rsidP="00934D8A">
      <w:pPr>
        <w:spacing w:after="0" w:line="276" w:lineRule="auto"/>
        <w:ind w:firstLine="709"/>
        <w:jc w:val="both"/>
        <w:rPr>
          <w:rFonts w:ascii="Century Gothic" w:eastAsia="Calibri" w:hAnsi="Century Gothic" w:cs="Arial"/>
        </w:rPr>
      </w:pPr>
    </w:p>
    <w:p w14:paraId="1C5844B9" w14:textId="77777777" w:rsidR="00934D8A" w:rsidRPr="00D01437" w:rsidRDefault="00934D8A" w:rsidP="00934D8A">
      <w:pPr>
        <w:spacing w:line="276" w:lineRule="auto"/>
        <w:ind w:firstLine="709"/>
        <w:jc w:val="both"/>
        <w:rPr>
          <w:rFonts w:ascii="Century Gothic" w:eastAsia="Calibri" w:hAnsi="Century Gothic" w:cs="Arial"/>
        </w:rPr>
      </w:pPr>
      <w:r w:rsidRPr="00D01437">
        <w:rPr>
          <w:rFonts w:ascii="Century Gothic" w:eastAsia="Calibri" w:hAnsi="Century Gothic" w:cs="Arial"/>
        </w:rPr>
        <w:t>Además, en relación con el inciso segundo del artículo 3, que establece que la Entidad Estatal debe definir en los documentos del proceso las características que debe acreditar la ESAL, para lo que deberá tener en consideración los criterios establecidos en la guía que expida Colombia Compra Eficiente, el Consejo de Estado también resolvió levantar la suspensión provisional, al considerar que el análisis sobre su validez se debe reservar para el momento en que se profiera la sentencia respectiva, pues, a su juicio, no resulta evidente que se haya delegado indebidamente el ejercicio de la potestad reglamentaria</w:t>
      </w:r>
      <w:r w:rsidRPr="00D01437">
        <w:rPr>
          <w:rFonts w:ascii="Century Gothic" w:eastAsia="Calibri" w:hAnsi="Century Gothic" w:cs="Arial"/>
          <w:vertAlign w:val="superscript"/>
        </w:rPr>
        <w:footnoteReference w:id="14"/>
      </w:r>
      <w:r w:rsidRPr="00D01437">
        <w:rPr>
          <w:rFonts w:ascii="Century Gothic" w:eastAsia="Calibri" w:hAnsi="Century Gothic" w:cs="Arial"/>
        </w:rPr>
        <w:t>.</w:t>
      </w:r>
    </w:p>
    <w:p w14:paraId="01512C73" w14:textId="77777777" w:rsidR="00934D8A" w:rsidRPr="00D01437" w:rsidRDefault="00934D8A" w:rsidP="00934D8A">
      <w:pPr>
        <w:spacing w:before="120" w:line="276" w:lineRule="auto"/>
        <w:ind w:firstLine="709"/>
        <w:jc w:val="both"/>
        <w:rPr>
          <w:rFonts w:ascii="Century Gothic" w:eastAsia="Calibri" w:hAnsi="Century Gothic" w:cs="Arial"/>
        </w:rPr>
      </w:pPr>
      <w:r w:rsidRPr="00D01437">
        <w:rPr>
          <w:rFonts w:ascii="Century Gothic" w:eastAsia="Calibri" w:hAnsi="Century Gothic" w:cs="Arial"/>
        </w:rPr>
        <w:lastRenderedPageBreak/>
        <w:t>Ahora bien, cabe precisar que mediante el auto del 15 de marzo de 2022 de la Sala Plena del Consejo de Estado únicamente se levantó la suspensión provisional de las normas desarrolladas hasta este lugar, por lo que, en lo demás, se confirmó la decisión de suspensión provisional de los demás apartes del Decreto 019 de 2017 dictada en el auto del 6 de agosto de 2019, como se procede a explicar.</w:t>
      </w:r>
    </w:p>
    <w:p w14:paraId="2222F6F2" w14:textId="77777777" w:rsidR="00934D8A" w:rsidRPr="00D01437" w:rsidRDefault="00934D8A" w:rsidP="00934D8A">
      <w:pPr>
        <w:spacing w:before="120" w:after="0" w:line="276" w:lineRule="auto"/>
        <w:ind w:firstLine="709"/>
        <w:jc w:val="both"/>
        <w:rPr>
          <w:rFonts w:ascii="Century Gothic" w:eastAsia="Calibri" w:hAnsi="Century Gothic" w:cs="Arial"/>
        </w:rPr>
      </w:pPr>
      <w:r w:rsidRPr="00D01437">
        <w:rPr>
          <w:rFonts w:ascii="Century Gothic" w:eastAsia="Calibri" w:hAnsi="Century Gothic" w:cs="Arial"/>
        </w:rPr>
        <w:t xml:space="preserve">La </w:t>
      </w:r>
      <w:r w:rsidRPr="00D01437">
        <w:rPr>
          <w:rFonts w:ascii="Century Gothic" w:eastAsia="Calibri" w:hAnsi="Century Gothic" w:cs="Arial"/>
          <w:i/>
          <w:iCs/>
        </w:rPr>
        <w:t>segunda</w:t>
      </w:r>
      <w:r w:rsidRPr="00D01437">
        <w:rPr>
          <w:rFonts w:ascii="Century Gothic" w:eastAsia="Calibri" w:hAnsi="Century Gothic" w:cs="Arial"/>
        </w:rPr>
        <w:t xml:space="preserve"> norma que analizó el Consejo de Estado en el auto del 6 de agosto de 2019, fue el literal a), del artículo 2, del Decreto 092, que establece que únicamente se podrá contratar con ESAL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D01437">
        <w:rPr>
          <w:rFonts w:ascii="Century Gothic" w:hAnsi="Century Gothic" w:cs="Arial"/>
          <w:vertAlign w:val="superscript"/>
        </w:rPr>
        <w:footnoteReference w:id="15"/>
      </w:r>
      <w:r w:rsidRPr="00D01437">
        <w:rPr>
          <w:rFonts w:ascii="Century Gothic" w:eastAsia="Calibri" w:hAnsi="Century Gothic" w:cs="Arial"/>
        </w:rPr>
        <w:t xml:space="preserve">. </w:t>
      </w:r>
      <w:bookmarkStart w:id="8" w:name="_Hlk95756502"/>
      <w:r w:rsidRPr="00D01437">
        <w:rPr>
          <w:rFonts w:ascii="Century Gothic" w:eastAsia="Calibri" w:hAnsi="Century Gothic" w:cs="Arial"/>
        </w:rPr>
        <w:t xml:space="preserve">En relación con esta norma, encontró que el literal a) del 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w:t>
      </w:r>
      <w:bookmarkEnd w:id="8"/>
      <w:r w:rsidRPr="00D01437">
        <w:rPr>
          <w:rFonts w:ascii="Century Gothic" w:eastAsia="Calibri" w:hAnsi="Century Gothic" w:cs="Arial"/>
        </w:rPr>
        <w:t xml:space="preserve">En relación con lo anterior, el auto del Consejo de Estado explica que: </w:t>
      </w:r>
    </w:p>
    <w:p w14:paraId="32685A1D" w14:textId="77777777" w:rsidR="00934D8A" w:rsidRPr="00D01437" w:rsidRDefault="00934D8A" w:rsidP="00934D8A">
      <w:pPr>
        <w:spacing w:after="0" w:line="276" w:lineRule="auto"/>
        <w:jc w:val="both"/>
        <w:rPr>
          <w:rFonts w:ascii="Century Gothic" w:eastAsia="Calibri" w:hAnsi="Century Gothic" w:cs="Arial"/>
        </w:rPr>
      </w:pPr>
    </w:p>
    <w:p w14:paraId="6855D25A" w14:textId="77777777" w:rsidR="00934D8A" w:rsidRPr="00D01437" w:rsidRDefault="00934D8A" w:rsidP="00934D8A">
      <w:pPr>
        <w:spacing w:after="0" w:line="240" w:lineRule="auto"/>
        <w:ind w:left="708" w:right="709"/>
        <w:jc w:val="both"/>
        <w:rPr>
          <w:rFonts w:ascii="Century Gothic" w:eastAsia="Calibri" w:hAnsi="Century Gothic" w:cs="Arial"/>
          <w:sz w:val="21"/>
          <w:szCs w:val="21"/>
        </w:rPr>
      </w:pPr>
      <w:r w:rsidRPr="00D01437">
        <w:rPr>
          <w:rFonts w:ascii="Century Gothic" w:eastAsia="Calibri" w:hAnsi="Century Gothic" w:cs="Arial"/>
          <w:sz w:val="21"/>
          <w:szCs w:val="21"/>
        </w:rPr>
        <w:t xml:space="preserve">“El aparte acusado exige que el objeto del contrato corresponda directamente a los programas contenidos en los diferentes planes de </w:t>
      </w:r>
      <w:r w:rsidRPr="00D01437">
        <w:rPr>
          <w:rFonts w:ascii="Century Gothic" w:eastAsia="Calibri" w:hAnsi="Century Gothic" w:cs="Arial"/>
          <w:sz w:val="21"/>
          <w:szCs w:val="21"/>
        </w:rPr>
        <w:lastRenderedPageBreak/>
        <w:t xml:space="preserve">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3F73B7A6" w14:textId="77777777" w:rsidR="00934D8A" w:rsidRPr="00D01437" w:rsidRDefault="00934D8A" w:rsidP="00934D8A">
      <w:pPr>
        <w:spacing w:after="0" w:line="276" w:lineRule="auto"/>
        <w:jc w:val="both"/>
        <w:rPr>
          <w:rFonts w:ascii="Century Gothic" w:eastAsia="Calibri" w:hAnsi="Century Gothic" w:cs="Arial"/>
        </w:rPr>
      </w:pPr>
    </w:p>
    <w:p w14:paraId="55594182" w14:textId="77777777" w:rsidR="00934D8A" w:rsidRPr="00D01437" w:rsidRDefault="00934D8A" w:rsidP="00934D8A">
      <w:pPr>
        <w:spacing w:after="0" w:line="276" w:lineRule="auto"/>
        <w:ind w:firstLine="708"/>
        <w:jc w:val="both"/>
        <w:rPr>
          <w:rFonts w:ascii="Century Gothic" w:eastAsia="Calibri" w:hAnsi="Century Gothic" w:cs="Arial"/>
        </w:rPr>
      </w:pPr>
      <w:r w:rsidRPr="00D01437">
        <w:rPr>
          <w:rFonts w:ascii="Century Gothic" w:eastAsia="Calibri" w:hAnsi="Century Gothic" w:cs="Arial"/>
        </w:rPr>
        <w:t xml:space="preserve">Asimismo,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5C32E8C6" w14:textId="77777777" w:rsidR="00934D8A" w:rsidRPr="00D01437" w:rsidRDefault="00934D8A" w:rsidP="00934D8A">
      <w:pPr>
        <w:spacing w:after="0" w:line="276" w:lineRule="auto"/>
        <w:jc w:val="both"/>
        <w:rPr>
          <w:rFonts w:ascii="Century Gothic" w:eastAsia="Calibri" w:hAnsi="Century Gothic" w:cs="Arial"/>
        </w:rPr>
      </w:pPr>
    </w:p>
    <w:p w14:paraId="2818D7E3" w14:textId="77777777" w:rsidR="00934D8A" w:rsidRPr="00D01437" w:rsidRDefault="00934D8A" w:rsidP="00934D8A">
      <w:pPr>
        <w:tabs>
          <w:tab w:val="left" w:pos="8080"/>
        </w:tabs>
        <w:spacing w:after="0" w:line="240" w:lineRule="auto"/>
        <w:ind w:left="708" w:right="709"/>
        <w:jc w:val="both"/>
        <w:rPr>
          <w:rFonts w:ascii="Century Gothic" w:eastAsia="Calibri" w:hAnsi="Century Gothic" w:cs="Arial"/>
          <w:sz w:val="21"/>
          <w:szCs w:val="21"/>
        </w:rPr>
      </w:pPr>
      <w:r w:rsidRPr="00D01437">
        <w:rPr>
          <w:rFonts w:ascii="Century Gothic" w:eastAsia="Calibri" w:hAnsi="Century Gothic" w:cs="Arial"/>
          <w:sz w:val="21"/>
          <w:szCs w:val="21"/>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5C1EDEC7" w14:textId="77777777" w:rsidR="00934D8A" w:rsidRPr="00D01437" w:rsidRDefault="00934D8A" w:rsidP="00934D8A">
      <w:pPr>
        <w:spacing w:after="0" w:line="276" w:lineRule="auto"/>
        <w:jc w:val="both"/>
        <w:rPr>
          <w:rFonts w:ascii="Century Gothic" w:eastAsia="Calibri" w:hAnsi="Century Gothic" w:cs="Arial"/>
        </w:rPr>
      </w:pPr>
      <w:r w:rsidRPr="00D01437">
        <w:rPr>
          <w:rFonts w:ascii="Century Gothic" w:eastAsia="Calibri" w:hAnsi="Century Gothic" w:cs="Arial"/>
        </w:rPr>
        <w:t xml:space="preserve"> </w:t>
      </w:r>
    </w:p>
    <w:p w14:paraId="275564CA" w14:textId="77777777" w:rsidR="00934D8A" w:rsidRPr="00D01437" w:rsidRDefault="00934D8A" w:rsidP="00934D8A">
      <w:pPr>
        <w:spacing w:line="276" w:lineRule="auto"/>
        <w:ind w:firstLine="709"/>
        <w:jc w:val="both"/>
        <w:rPr>
          <w:rFonts w:ascii="Century Gothic" w:eastAsia="Calibri" w:hAnsi="Century Gothic" w:cs="Arial"/>
        </w:rPr>
      </w:pPr>
      <w:bookmarkStart w:id="9" w:name="_Hlk95756534"/>
      <w:r w:rsidRPr="00D01437">
        <w:rPr>
          <w:rFonts w:ascii="Century Gothic" w:eastAsia="Calibri" w:hAnsi="Century Gothic" w:cs="Arial"/>
        </w:rPr>
        <w:t>Así las cosas, el Consejo de Estado suspendió provisionalmente el literal a), por lo cual el objeto de los contratos debe ser acorde con los planes nacionales o seccionales de desarrollo; y no necesariamente estar previstos directamente en ellos. Por lo demás, no sólo se pueden celebrar contratos para los objetos específicos señalados en el Decreto 092 de 2017.</w:t>
      </w:r>
    </w:p>
    <w:bookmarkEnd w:id="9"/>
    <w:p w14:paraId="120873D3" w14:textId="77777777" w:rsidR="00934D8A" w:rsidRPr="00D01437" w:rsidRDefault="00934D8A" w:rsidP="00934D8A">
      <w:pPr>
        <w:spacing w:after="0" w:line="276" w:lineRule="auto"/>
        <w:ind w:firstLine="709"/>
        <w:jc w:val="both"/>
        <w:rPr>
          <w:rFonts w:ascii="Century Gothic" w:eastAsia="Calibri" w:hAnsi="Century Gothic" w:cs="Arial"/>
        </w:rPr>
      </w:pPr>
      <w:r w:rsidRPr="00D01437">
        <w:rPr>
          <w:rFonts w:ascii="Century Gothic" w:eastAsia="Calibri" w:hAnsi="Century Gothic" w:cs="Arial"/>
        </w:rPr>
        <w:t xml:space="preserve">El Consejo de Estado, en el auto del 6 de agosto de 2019, en </w:t>
      </w:r>
      <w:r w:rsidRPr="00D01437">
        <w:rPr>
          <w:rFonts w:ascii="Century Gothic" w:eastAsia="Calibri" w:hAnsi="Century Gothic" w:cs="Arial"/>
          <w:i/>
          <w:iCs/>
        </w:rPr>
        <w:t>tercer</w:t>
      </w:r>
      <w:r w:rsidRPr="00D01437">
        <w:rPr>
          <w:rFonts w:ascii="Century Gothic" w:eastAsia="Calibri" w:hAnsi="Century Gothic" w:cs="Arial"/>
        </w:rPr>
        <w:t xml:space="preserve"> lugar, examinó el literal c) y el inciso 5 del artículo 2 del Decreto</w:t>
      </w:r>
      <w:r w:rsidRPr="00D01437">
        <w:rPr>
          <w:rFonts w:ascii="Century Gothic" w:eastAsia="Calibri" w:hAnsi="Century Gothic" w:cs="Arial"/>
          <w:vertAlign w:val="superscript"/>
        </w:rPr>
        <w:footnoteReference w:id="16"/>
      </w:r>
      <w:r w:rsidRPr="00D01437">
        <w:rPr>
          <w:rFonts w:ascii="Century Gothic" w:eastAsia="Calibri" w:hAnsi="Century Gothic" w:cs="Arial"/>
        </w:rPr>
        <w:t xml:space="preserve">, señalando que contraría </w:t>
      </w:r>
      <w:r w:rsidRPr="00D01437">
        <w:rPr>
          <w:rFonts w:ascii="Century Gothic" w:eastAsia="Calibri" w:hAnsi="Century Gothic" w:cs="Arial"/>
        </w:rPr>
        <w:lastRenderedPageBreak/>
        <w:t xml:space="preserve">la norma constitucional al condicionar que los contratos sólo se pueden celebrar cuando no exista oferta en el mercado, sometiendo su celebración a que, de existir oferta, la contratación con las ESAL represente la optimización de los recursos públicos en términos de eficiencia, eficacia, economía y manejo del riesgo, toda vez que se desconocería la naturaleza de las ESAL que implica que ellas no participan en el mercado de bienes y servicios de la misma forma que las demás sociedades. En este sentido, el Consejo de Estado manifestó: </w:t>
      </w:r>
    </w:p>
    <w:p w14:paraId="69502258" w14:textId="77777777" w:rsidR="00934D8A" w:rsidRPr="00D01437" w:rsidRDefault="00934D8A" w:rsidP="00934D8A">
      <w:pPr>
        <w:spacing w:after="0" w:line="276" w:lineRule="auto"/>
        <w:jc w:val="both"/>
        <w:rPr>
          <w:rFonts w:ascii="Century Gothic" w:eastAsia="Calibri" w:hAnsi="Century Gothic" w:cs="Arial"/>
        </w:rPr>
      </w:pPr>
    </w:p>
    <w:p w14:paraId="424268C1" w14:textId="77777777" w:rsidR="00934D8A" w:rsidRPr="00D01437" w:rsidRDefault="00934D8A" w:rsidP="00934D8A">
      <w:pPr>
        <w:spacing w:after="0" w:line="240" w:lineRule="auto"/>
        <w:ind w:left="708" w:right="709"/>
        <w:jc w:val="both"/>
        <w:rPr>
          <w:rFonts w:ascii="Century Gothic" w:eastAsia="Calibri" w:hAnsi="Century Gothic" w:cs="Arial"/>
          <w:sz w:val="21"/>
          <w:szCs w:val="21"/>
        </w:rPr>
      </w:pPr>
      <w:r w:rsidRPr="00D01437">
        <w:rPr>
          <w:rFonts w:ascii="Century Gothic" w:eastAsia="Calibri" w:hAnsi="Century Gothic" w:cs="Arial"/>
          <w:sz w:val="21"/>
          <w:szCs w:val="21"/>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(ii) desarrollan programas y actividades de interés público con reconocida idoneidad. No son, entonces, entidades creadas para competir en el mercado”.</w:t>
      </w:r>
    </w:p>
    <w:p w14:paraId="08B98557" w14:textId="77777777" w:rsidR="00934D8A" w:rsidRPr="00D01437" w:rsidRDefault="00934D8A" w:rsidP="00934D8A">
      <w:pPr>
        <w:spacing w:after="0" w:line="276" w:lineRule="auto"/>
        <w:jc w:val="both"/>
        <w:rPr>
          <w:rFonts w:ascii="Century Gothic" w:eastAsia="Calibri" w:hAnsi="Century Gothic" w:cs="Arial"/>
        </w:rPr>
      </w:pPr>
    </w:p>
    <w:p w14:paraId="503D0A2F" w14:textId="77777777" w:rsidR="00934D8A" w:rsidRPr="00D01437" w:rsidRDefault="00934D8A" w:rsidP="00934D8A">
      <w:pPr>
        <w:spacing w:line="276" w:lineRule="auto"/>
        <w:ind w:firstLine="709"/>
        <w:jc w:val="both"/>
        <w:rPr>
          <w:rFonts w:ascii="Century Gothic" w:eastAsia="Calibri" w:hAnsi="Century Gothic" w:cs="Arial"/>
        </w:rPr>
      </w:pPr>
      <w:r w:rsidRPr="00D01437">
        <w:rPr>
          <w:rFonts w:ascii="Century Gothic" w:eastAsia="Calibri" w:hAnsi="Century Gothic" w:cs="Arial"/>
        </w:rPr>
        <w:t>Por tanto, suspendió provisionalmente el literal c) y el inciso 5º del artículo 2 del Decreto 092 de 2017, razón por la cual los procesos de contratación con entidades privadas sin ánimo de lucro no quedan condicionados a la inexistencia de oferta en el mercado de bienes y servicios, ni a que la ESAL garantice la mejor oferta y la optimización de los recursos públicos. Lo anterior, en la medida que estas condiciones son propias de la contratación del Estatuto General de Contratación de la Administración Pública, no del régimen jurídico especial que establece el artículo 355 de la Constitución Política.</w:t>
      </w:r>
    </w:p>
    <w:p w14:paraId="50BC9406" w14:textId="77777777" w:rsidR="00934D8A" w:rsidRPr="00D01437" w:rsidRDefault="00934D8A" w:rsidP="00934D8A">
      <w:pPr>
        <w:spacing w:after="0" w:line="276" w:lineRule="auto"/>
        <w:ind w:firstLine="709"/>
        <w:jc w:val="both"/>
        <w:rPr>
          <w:rFonts w:ascii="Century Gothic" w:eastAsia="Calibri" w:hAnsi="Century Gothic" w:cs="Arial"/>
        </w:rPr>
      </w:pPr>
      <w:r w:rsidRPr="00D01437">
        <w:rPr>
          <w:rFonts w:ascii="Century Gothic" w:eastAsia="Calibri" w:hAnsi="Century Gothic" w:cs="Arial"/>
        </w:rPr>
        <w:t xml:space="preserve">La </w:t>
      </w:r>
      <w:r w:rsidRPr="00D01437">
        <w:rPr>
          <w:rFonts w:ascii="Century Gothic" w:eastAsia="Calibri" w:hAnsi="Century Gothic" w:cs="Arial"/>
          <w:i/>
          <w:iCs/>
        </w:rPr>
        <w:t>cuarta</w:t>
      </w:r>
      <w:r w:rsidRPr="00D01437">
        <w:rPr>
          <w:rFonts w:ascii="Century Gothic" w:eastAsia="Calibri" w:hAnsi="Century Gothic" w:cs="Arial"/>
        </w:rPr>
        <w:t xml:space="preserve"> norma que estudió el Consejo de Estado en el auto del 6 de agosto de 2019 fue el inciso final del artículo 4 del Decreto 092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D01437">
        <w:rPr>
          <w:rFonts w:ascii="Century Gothic" w:eastAsia="Calibri" w:hAnsi="Century Gothic" w:cs="Arial"/>
          <w:vertAlign w:val="superscript"/>
        </w:rPr>
        <w:footnoteReference w:id="17"/>
      </w:r>
      <w:r w:rsidRPr="00D01437">
        <w:rPr>
          <w:rFonts w:ascii="Century Gothic" w:eastAsia="Calibri" w:hAnsi="Century Gothic" w:cs="Arial"/>
        </w:rPr>
        <w:t xml:space="preserve">. Para la Sala, esta norma vulnera el </w:t>
      </w:r>
      <w:r w:rsidRPr="00D01437">
        <w:rPr>
          <w:rFonts w:ascii="Century Gothic" w:eastAsia="Calibri" w:hAnsi="Century Gothic" w:cs="Arial"/>
        </w:rPr>
        <w:lastRenderedPageBreak/>
        <w:t xml:space="preserve">principio de igualdad, por establecer un privilegio para determinadas personas jurídicas o naturales que ejecutaran únicamente las actividades allí previstas, contratándolas sin realizar un proceso competitivo. El Consejo de Estado se pronunció en los siguientes términos: </w:t>
      </w:r>
    </w:p>
    <w:p w14:paraId="6D879A0C" w14:textId="77777777" w:rsidR="00934D8A" w:rsidRPr="00D01437" w:rsidRDefault="00934D8A" w:rsidP="00934D8A">
      <w:pPr>
        <w:spacing w:after="0" w:line="276" w:lineRule="auto"/>
        <w:jc w:val="both"/>
        <w:rPr>
          <w:rFonts w:ascii="Century Gothic" w:eastAsia="Calibri" w:hAnsi="Century Gothic" w:cs="Arial"/>
        </w:rPr>
      </w:pPr>
    </w:p>
    <w:p w14:paraId="062D9F78" w14:textId="77777777" w:rsidR="00934D8A" w:rsidRPr="00D01437" w:rsidRDefault="00934D8A" w:rsidP="00934D8A">
      <w:pPr>
        <w:spacing w:after="0" w:line="240" w:lineRule="auto"/>
        <w:ind w:left="708" w:right="709"/>
        <w:jc w:val="both"/>
        <w:rPr>
          <w:rFonts w:ascii="Century Gothic" w:eastAsia="Calibri" w:hAnsi="Century Gothic" w:cs="Arial"/>
          <w:sz w:val="21"/>
          <w:szCs w:val="21"/>
        </w:rPr>
      </w:pPr>
      <w:r w:rsidRPr="00D01437">
        <w:rPr>
          <w:rFonts w:ascii="Century Gothic" w:eastAsia="Calibri" w:hAnsi="Century Gothic" w:cs="Arial"/>
          <w:sz w:val="21"/>
          <w:szCs w:val="21"/>
        </w:rPr>
        <w:t xml:space="preserve">“Puestas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 </w:t>
      </w:r>
    </w:p>
    <w:p w14:paraId="1F4B81A8" w14:textId="77777777" w:rsidR="00934D8A" w:rsidRPr="00D01437" w:rsidRDefault="00934D8A" w:rsidP="00934D8A">
      <w:pPr>
        <w:spacing w:after="0" w:line="276" w:lineRule="auto"/>
        <w:ind w:firstLine="709"/>
        <w:jc w:val="both"/>
        <w:rPr>
          <w:rFonts w:ascii="Century Gothic" w:eastAsia="Calibri" w:hAnsi="Century Gothic" w:cs="Arial"/>
        </w:rPr>
      </w:pPr>
      <w:bookmarkStart w:id="10" w:name="_Hlk95756891"/>
    </w:p>
    <w:p w14:paraId="2EB9D350" w14:textId="77777777" w:rsidR="00934D8A" w:rsidRPr="00D01437" w:rsidRDefault="00934D8A" w:rsidP="00934D8A">
      <w:pPr>
        <w:spacing w:line="276" w:lineRule="auto"/>
        <w:ind w:firstLine="709"/>
        <w:jc w:val="both"/>
        <w:rPr>
          <w:rFonts w:ascii="Century Gothic" w:eastAsia="Calibri" w:hAnsi="Century Gothic" w:cs="Arial"/>
        </w:rPr>
      </w:pPr>
      <w:r w:rsidRPr="00D01437">
        <w:rPr>
          <w:rFonts w:ascii="Century Gothic" w:eastAsia="Calibri" w:hAnsi="Century Gothic" w:cs="Arial"/>
        </w:rPr>
        <w:t xml:space="preserve">Por consiguiente, se suspendió provisionalmente el inciso final del artículo 4 por violar el principio de igualdad, de manera que la contratación de actividades y programas de interés público debe realizarse a través de un proceso competitivo para escoger a la ESAL. </w:t>
      </w:r>
      <w:bookmarkEnd w:id="10"/>
      <w:r w:rsidRPr="00D01437">
        <w:rPr>
          <w:rFonts w:ascii="Century Gothic" w:eastAsia="Calibri" w:hAnsi="Century Gothic" w:cs="Arial"/>
        </w:rPr>
        <w:t xml:space="preserve">En estos procesos, entonces, se debe acudir a los criterios aplicables a los otros negocios jurídicos que regula el Decreto 092 de 2017, particularmente las exigencias del artículo 2 </w:t>
      </w:r>
      <w:r w:rsidRPr="00D01437">
        <w:rPr>
          <w:rFonts w:ascii="Century Gothic" w:eastAsia="Calibri" w:hAnsi="Century Gothic" w:cs="Arial"/>
          <w:i/>
          <w:iCs/>
        </w:rPr>
        <w:t>ibidem</w:t>
      </w:r>
      <w:r w:rsidRPr="00D01437">
        <w:rPr>
          <w:rFonts w:ascii="Century Gothic" w:eastAsia="Calibri" w:hAnsi="Century Gothic" w:cs="Arial"/>
        </w:rPr>
        <w:t xml:space="preserve">. Incluso, habría que tener en cuenta las exigencias del inciso 2 del artículo 4 </w:t>
      </w:r>
      <w:r w:rsidRPr="00D01437">
        <w:rPr>
          <w:rFonts w:ascii="Century Gothic" w:eastAsia="Calibri" w:hAnsi="Century Gothic" w:cs="Arial"/>
          <w:i/>
          <w:iCs/>
        </w:rPr>
        <w:t>íbídem</w:t>
      </w:r>
      <w:r w:rsidRPr="00D01437">
        <w:rPr>
          <w:rFonts w:ascii="Century Gothic" w:eastAsia="Calibri" w:hAnsi="Century Gothic" w:cs="Arial"/>
        </w:rPr>
        <w:t>, siempre que se configuren los supuestos de aplicación de dicha normativa, esto es, siempre que exista más de una entidad sin ánimo de lucro de reconocida idoneidad.</w:t>
      </w:r>
    </w:p>
    <w:p w14:paraId="29EC7044" w14:textId="77777777" w:rsidR="00934D8A" w:rsidRPr="00D01437" w:rsidRDefault="00934D8A" w:rsidP="00934D8A">
      <w:pPr>
        <w:spacing w:before="120" w:line="276" w:lineRule="auto"/>
        <w:ind w:firstLine="709"/>
        <w:jc w:val="both"/>
        <w:rPr>
          <w:rFonts w:ascii="Century Gothic" w:eastAsia="Calibri" w:hAnsi="Century Gothic" w:cs="Arial"/>
        </w:rPr>
      </w:pPr>
      <w:r w:rsidRPr="00D01437">
        <w:rPr>
          <w:rFonts w:ascii="Century Gothic" w:eastAsia="Calibri" w:hAnsi="Century Gothic" w:cs="Arial"/>
        </w:rPr>
        <w:t xml:space="preserve">Por último, en </w:t>
      </w:r>
      <w:r w:rsidRPr="00D01437">
        <w:rPr>
          <w:rFonts w:ascii="Century Gothic" w:eastAsia="Calibri" w:hAnsi="Century Gothic" w:cs="Arial"/>
          <w:i/>
          <w:iCs/>
        </w:rPr>
        <w:t xml:space="preserve">quinto </w:t>
      </w:r>
      <w:r w:rsidRPr="00D01437">
        <w:rPr>
          <w:rFonts w:ascii="Century Gothic" w:eastAsia="Calibri" w:hAnsi="Century Gothic" w:cs="Arial"/>
        </w:rPr>
        <w:t xml:space="preserve">lugar, el Consejo de Estado en el auto del 6 de agosto de 2019 analizó la solicitud de suspensión del artículo 5 del Decreto 092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 negó la solicitud </w:t>
      </w:r>
      <w:r w:rsidRPr="00D01437">
        <w:rPr>
          <w:rFonts w:ascii="Century Gothic" w:eastAsia="Calibri" w:hAnsi="Century Gothic" w:cs="Arial"/>
        </w:rPr>
        <w:lastRenderedPageBreak/>
        <w:t xml:space="preserve">de suspensión provisional, reservando el análisis sobre la legalidad de dicho artículo a la sentencia. </w:t>
      </w:r>
    </w:p>
    <w:p w14:paraId="6E9BB020" w14:textId="77777777" w:rsidR="00934D8A" w:rsidRPr="00D01437" w:rsidRDefault="00934D8A" w:rsidP="00934D8A">
      <w:pPr>
        <w:spacing w:before="120" w:after="0" w:line="276" w:lineRule="auto"/>
        <w:ind w:firstLine="709"/>
        <w:jc w:val="both"/>
        <w:rPr>
          <w:rFonts w:ascii="Century Gothic" w:eastAsia="Calibri" w:hAnsi="Century Gothic" w:cs="Arial"/>
        </w:rPr>
      </w:pPr>
      <w:r w:rsidRPr="00D01437">
        <w:rPr>
          <w:rFonts w:ascii="Century Gothic" w:eastAsia="Calibri" w:hAnsi="Century Gothic" w:cs="Arial"/>
        </w:rPr>
        <w:t>La Sala Plena del Consejo de Estado en Auto del 15 de marzo de 2022 estima que debe mantenerse la suspensión provisional del literal a) del artículo 2 del Decreto 092 de 2017. Lo anterior en la medida que esta restringe y contraria la finalidad de apoyo y fomento prevista en el artículo 355 de la Constitución Política, pues –pese a que la norma superior no hizo diferenciación alguna al respecto– el decreto limita su órbita de aplicación a un catálogo de actividades y programas de interés público susceptibles de este mecanismo</w:t>
      </w:r>
      <w:r w:rsidRPr="00D01437">
        <w:rPr>
          <w:rFonts w:ascii="Century Gothic" w:eastAsia="Calibri" w:hAnsi="Century Gothic" w:cs="Arial"/>
          <w:vertAlign w:val="superscript"/>
        </w:rPr>
        <w:footnoteReference w:id="18"/>
      </w:r>
      <w:r w:rsidRPr="00D01437">
        <w:rPr>
          <w:rFonts w:ascii="Century Gothic" w:eastAsia="Calibri" w:hAnsi="Century Gothic" w:cs="Arial"/>
        </w:rPr>
        <w:t xml:space="preserve">. Por lo demás, respecto al inciso final del artículo 4 </w:t>
      </w:r>
      <w:r w:rsidRPr="00D01437">
        <w:rPr>
          <w:rFonts w:ascii="Century Gothic" w:eastAsia="Calibri" w:hAnsi="Century Gothic" w:cs="Arial"/>
          <w:i/>
          <w:iCs/>
        </w:rPr>
        <w:t>ibidem</w:t>
      </w:r>
      <w:r w:rsidRPr="00D01437">
        <w:rPr>
          <w:rFonts w:ascii="Century Gothic" w:eastAsia="Calibri" w:hAnsi="Century Gothic" w:cs="Arial"/>
        </w:rPr>
        <w:t>, el Consejo de Estado mantiene la medida cautelar al configurarse el cargo de violación del principio de igualdad. Para estos efectos, considera que:</w:t>
      </w:r>
    </w:p>
    <w:p w14:paraId="65C0AA24" w14:textId="77777777" w:rsidR="00934D8A" w:rsidRPr="00D01437" w:rsidRDefault="00934D8A" w:rsidP="00934D8A">
      <w:pPr>
        <w:spacing w:after="0" w:line="276" w:lineRule="auto"/>
        <w:ind w:firstLine="709"/>
        <w:jc w:val="both"/>
        <w:rPr>
          <w:rFonts w:ascii="Century Gothic" w:eastAsia="Calibri" w:hAnsi="Century Gothic" w:cs="Arial"/>
        </w:rPr>
      </w:pPr>
    </w:p>
    <w:p w14:paraId="2B4C2449" w14:textId="77777777" w:rsidR="00934D8A" w:rsidRPr="00D01437" w:rsidRDefault="00934D8A" w:rsidP="00934D8A">
      <w:pPr>
        <w:spacing w:after="120" w:line="240" w:lineRule="auto"/>
        <w:ind w:left="709" w:right="709"/>
        <w:jc w:val="both"/>
        <w:rPr>
          <w:rFonts w:ascii="Century Gothic" w:eastAsia="Calibri" w:hAnsi="Century Gothic" w:cs="Arial"/>
          <w:sz w:val="21"/>
          <w:szCs w:val="21"/>
        </w:rPr>
      </w:pPr>
      <w:r w:rsidRPr="00D01437">
        <w:rPr>
          <w:rFonts w:ascii="Century Gothic" w:eastAsia="Calibri" w:hAnsi="Century Gothic" w:cs="Arial"/>
          <w:sz w:val="21"/>
          <w:szCs w:val="21"/>
        </w:rPr>
        <w:t xml:space="preserve">“73. […] la simple afirmación referida a que existe una relación inherente entre el producto del contrato y el contratista en las actividades exceptuadas del proceso competitivo de selección no permite concluir, razonablemente, que en las demás actividades de interés general aquello no se presente, o que, por ese simple hecho, merezcan un trato diferente. </w:t>
      </w:r>
    </w:p>
    <w:p w14:paraId="2318CC01" w14:textId="77777777" w:rsidR="00934D8A" w:rsidRPr="00D01437" w:rsidRDefault="00934D8A" w:rsidP="00934D8A">
      <w:pPr>
        <w:spacing w:after="0" w:line="240" w:lineRule="auto"/>
        <w:ind w:left="709" w:right="709"/>
        <w:jc w:val="both"/>
        <w:rPr>
          <w:rFonts w:ascii="Century Gothic" w:eastAsia="Calibri" w:hAnsi="Century Gothic" w:cs="Arial"/>
          <w:sz w:val="21"/>
          <w:szCs w:val="21"/>
        </w:rPr>
      </w:pPr>
      <w:r w:rsidRPr="00D01437">
        <w:rPr>
          <w:rFonts w:ascii="Century Gothic" w:eastAsia="Calibri" w:hAnsi="Century Gothic" w:cs="Arial"/>
          <w:sz w:val="21"/>
          <w:szCs w:val="21"/>
        </w:rPr>
        <w:t>74. En efecto, si en otros ámbitos de actividad de interés público que pueden adelantar entidades privadas sin ánimo de lucro se llega a presentar la situación de que sólo una de ellas esté en capacidad de realizarla, no será factible contratar directamente con ella, puesto que no hace parte de las actividades enunciadas en la norma: de índole artística, cultural, deportiva o de promoción de la diversidad étnica”</w:t>
      </w:r>
      <w:r w:rsidRPr="00D01437">
        <w:rPr>
          <w:rFonts w:ascii="Century Gothic" w:eastAsia="Calibri" w:hAnsi="Century Gothic" w:cs="Arial"/>
          <w:sz w:val="21"/>
          <w:szCs w:val="21"/>
          <w:vertAlign w:val="superscript"/>
        </w:rPr>
        <w:footnoteReference w:id="19"/>
      </w:r>
      <w:r w:rsidRPr="00D01437">
        <w:rPr>
          <w:rFonts w:ascii="Century Gothic" w:eastAsia="Calibri" w:hAnsi="Century Gothic" w:cs="Arial"/>
          <w:sz w:val="21"/>
          <w:szCs w:val="21"/>
        </w:rPr>
        <w:t xml:space="preserve">.  </w:t>
      </w:r>
    </w:p>
    <w:p w14:paraId="095700C8" w14:textId="77777777" w:rsidR="00934D8A" w:rsidRPr="00D01437" w:rsidRDefault="00934D8A" w:rsidP="00934D8A">
      <w:pPr>
        <w:spacing w:after="0" w:line="276" w:lineRule="auto"/>
        <w:jc w:val="both"/>
        <w:rPr>
          <w:rFonts w:ascii="Century Gothic" w:eastAsia="Arial" w:hAnsi="Century Gothic" w:cs="Arial"/>
        </w:rPr>
      </w:pPr>
    </w:p>
    <w:p w14:paraId="69C5B7E5" w14:textId="77777777" w:rsidR="00934D8A" w:rsidRPr="00D01437" w:rsidRDefault="00934D8A" w:rsidP="00934D8A">
      <w:pPr>
        <w:spacing w:after="0" w:line="276" w:lineRule="auto"/>
        <w:ind w:firstLine="708"/>
        <w:jc w:val="both"/>
        <w:rPr>
          <w:rFonts w:ascii="Century Gothic" w:eastAsia="Arial" w:hAnsi="Century Gothic" w:cs="Arial"/>
        </w:rPr>
      </w:pPr>
      <w:r w:rsidRPr="00D01437">
        <w:rPr>
          <w:rFonts w:ascii="Century Gothic" w:eastAsia="Arial" w:hAnsi="Century Gothic" w:cs="Arial"/>
        </w:rPr>
        <w:t xml:space="preserve">De lo anterior se desprende que la contratación con ESAL se sigue rigiendo por el Decreto 092 de 2017, salvo lo que fue objeto de suspensión provisional. Por lo tanto, las Entidades Estatales que deseen celebrar contratos de interés público, en los términos del artículo 355 de la Constitución Política, deberán contratar con ESAL de reconocida idoneidad, como ya se dijo, realizando un proceso competitivo, y </w:t>
      </w:r>
      <w:r w:rsidRPr="00D01437">
        <w:rPr>
          <w:rFonts w:ascii="Century Gothic" w:eastAsia="Arial" w:hAnsi="Century Gothic" w:cs="Arial"/>
        </w:rPr>
        <w:lastRenderedPageBreak/>
        <w:t>teniendo en cuenta lo siguiente: i) no debe condicionarse el proceso de contratación a la inexistencia de oferta en el mercado de bienes y servicios; ii) tampoco debe condicionarse a que la contratación con las ESAL garantice la optimización de los recursos públicos en términos de eficiencia, eficacia, economía y manejo del riesgo; iii) el objeto del contrato debe estar acorde con el plan nacional o seccional de desarrollo; iv) no puede condicionarse únicamente a que las actividades o programas correspondan exclusivamente a promover los derechos de personas en situación de debilidad manifiesta o indefensión, los derechos de las minorías, el derecho a la educación, el derecho a la paz,</w:t>
      </w:r>
      <w:r w:rsidRPr="00D01437">
        <w:t xml:space="preserve"> </w:t>
      </w:r>
      <w:r w:rsidRPr="00D01437">
        <w:rPr>
          <w:rFonts w:ascii="Century Gothic" w:eastAsia="Arial" w:hAnsi="Century Gothic" w:cs="Arial"/>
        </w:rPr>
        <w:t>las manifestaciones artísticas, culturales, deportivas y de promoción de la diversidad étnica colombiana, por lo que basta con cumplir el anterior numeral iii); y v) el contrato no debe establecer una relación conmutativa en la cual haya una contraprestación directa a favor de la entidad, ni instrucciones precisas dadas por ésta al contratista para cumplir con el objeto del contrato.</w:t>
      </w:r>
    </w:p>
    <w:p w14:paraId="612CB1B8" w14:textId="77777777" w:rsidR="00934D8A" w:rsidRPr="00D01437" w:rsidRDefault="00934D8A" w:rsidP="00934D8A">
      <w:pPr>
        <w:spacing w:before="120" w:after="0" w:line="276" w:lineRule="auto"/>
        <w:jc w:val="both"/>
        <w:rPr>
          <w:rFonts w:ascii="Century Gothic" w:eastAsia="Arial" w:hAnsi="Century Gothic" w:cs="Arial"/>
        </w:rPr>
      </w:pPr>
      <w:r w:rsidRPr="00D01437">
        <w:rPr>
          <w:rFonts w:ascii="Century Gothic" w:eastAsia="Arial" w:hAnsi="Century Gothic" w:cs="Arial"/>
        </w:rPr>
        <w:tab/>
        <w:t xml:space="preserve">En caso de que se pretenda suscribir un </w:t>
      </w:r>
      <w:r w:rsidRPr="00D01437">
        <w:rPr>
          <w:rFonts w:ascii="Century Gothic" w:eastAsia="Arial" w:hAnsi="Century Gothic" w:cs="Arial"/>
          <w:i/>
          <w:iCs/>
        </w:rPr>
        <w:t xml:space="preserve">convenio de asociación </w:t>
      </w:r>
      <w:r w:rsidRPr="00D01437">
        <w:rPr>
          <w:rFonts w:ascii="Century Gothic" w:eastAsia="Arial" w:hAnsi="Century Gothic" w:cs="Arial"/>
        </w:rPr>
        <w:t>con ESAL de reconocida idoneidad para el cumplimiento de las funciones que la ley les asigna a las Entidades Estatales, deberá aplicarse lo dispuesto en el artículo 5 del Decreto 092 de 2017. De esta manera, deben estar sujetos a competencia, salvo en aquellos casos en que una ESAL comprometa recursos en dinero por un monto igual o superior al 30% del valor total del convenio</w:t>
      </w:r>
      <w:r w:rsidRPr="00D01437">
        <w:rPr>
          <w:rFonts w:ascii="Century Gothic" w:hAnsi="Century Gothic" w:cs="Arial"/>
          <w:sz w:val="20"/>
          <w:szCs w:val="20"/>
          <w:vertAlign w:val="superscript"/>
        </w:rPr>
        <w:footnoteReference w:id="20"/>
      </w:r>
      <w:r w:rsidRPr="00D01437">
        <w:rPr>
          <w:rFonts w:ascii="Century Gothic" w:eastAsia="Calibri" w:hAnsi="Century Gothic" w:cs="Arial"/>
        </w:rPr>
        <w:t>, y siempre que la Entidad Estatal verifique previamente que no existe ninguna otra ESAL que ofrezca aportes iguales o superiores al 30%.</w:t>
      </w:r>
    </w:p>
    <w:bookmarkEnd w:id="5"/>
    <w:p w14:paraId="0AAABE68" w14:textId="77777777" w:rsidR="00934D8A" w:rsidRPr="00D01437" w:rsidRDefault="00934D8A" w:rsidP="00934D8A">
      <w:pPr>
        <w:tabs>
          <w:tab w:val="left" w:pos="0"/>
        </w:tabs>
        <w:spacing w:after="0"/>
        <w:jc w:val="both"/>
        <w:rPr>
          <w:rFonts w:ascii="Century Gothic" w:eastAsia="Calibri" w:hAnsi="Century Gothic" w:cs="Arial"/>
          <w:b/>
          <w:lang w:val="es-ES_tradnl"/>
        </w:rPr>
      </w:pPr>
    </w:p>
    <w:p w14:paraId="53575819" w14:textId="77777777" w:rsidR="00934D8A" w:rsidRPr="00D01437" w:rsidRDefault="00934D8A" w:rsidP="00934D8A">
      <w:pPr>
        <w:tabs>
          <w:tab w:val="left" w:pos="0"/>
        </w:tabs>
        <w:spacing w:after="0"/>
        <w:jc w:val="both"/>
        <w:rPr>
          <w:rFonts w:ascii="Century Gothic" w:eastAsia="Calibri" w:hAnsi="Century Gothic" w:cs="Arial"/>
          <w:b/>
          <w:lang w:val="es-ES_tradnl"/>
        </w:rPr>
      </w:pPr>
      <w:r w:rsidRPr="00D01437">
        <w:rPr>
          <w:rFonts w:ascii="Century Gothic" w:eastAsia="Calibri" w:hAnsi="Century Gothic" w:cs="Arial"/>
          <w:b/>
          <w:lang w:val="es-ES_tradnl"/>
        </w:rPr>
        <w:t>3. Respuestas</w:t>
      </w:r>
    </w:p>
    <w:p w14:paraId="58DB9963" w14:textId="77777777" w:rsidR="00934D8A" w:rsidRPr="00D01437" w:rsidRDefault="00934D8A" w:rsidP="00934D8A">
      <w:pPr>
        <w:spacing w:after="0" w:line="276" w:lineRule="auto"/>
        <w:jc w:val="both"/>
        <w:rPr>
          <w:rFonts w:ascii="Century Gothic" w:hAnsi="Century Gothic" w:cs="Arial"/>
          <w:lang w:val="es-ES_tradnl"/>
        </w:rPr>
      </w:pPr>
    </w:p>
    <w:p w14:paraId="7B9850CA" w14:textId="77777777" w:rsidR="00934D8A" w:rsidRPr="00D01437" w:rsidRDefault="00934D8A" w:rsidP="00934D8A">
      <w:pPr>
        <w:spacing w:after="0" w:line="240" w:lineRule="auto"/>
        <w:ind w:left="709" w:right="709"/>
        <w:jc w:val="both"/>
        <w:rPr>
          <w:rFonts w:ascii="Century Gothic" w:hAnsi="Century Gothic" w:cs="Arial"/>
          <w:sz w:val="21"/>
          <w:szCs w:val="21"/>
          <w:lang w:val="es-ES_tradnl"/>
        </w:rPr>
      </w:pPr>
      <w:r w:rsidRPr="00D01437">
        <w:rPr>
          <w:rFonts w:ascii="Century Gothic" w:hAnsi="Century Gothic" w:cs="Arial"/>
          <w:sz w:val="21"/>
          <w:szCs w:val="21"/>
          <w:lang w:val="es-ES_tradnl"/>
        </w:rPr>
        <w:t>“1) Es de carácter obligatorio que las ESAL, hagan cualquier tipo de aporte en recursos ya sea inferior o superior al 30% en los convenios de asociación suscritos en virtud del artículo 5 del Decreto 092 de 2017?</w:t>
      </w:r>
    </w:p>
    <w:p w14:paraId="1D604FD1" w14:textId="77777777" w:rsidR="00934D8A" w:rsidRPr="00D01437" w:rsidRDefault="00934D8A" w:rsidP="00934D8A">
      <w:pPr>
        <w:spacing w:before="120" w:after="0" w:line="240" w:lineRule="auto"/>
        <w:ind w:left="709" w:right="709"/>
        <w:jc w:val="both"/>
        <w:rPr>
          <w:rFonts w:ascii="Century Gothic" w:hAnsi="Century Gothic" w:cs="Arial"/>
          <w:sz w:val="21"/>
          <w:szCs w:val="21"/>
          <w:lang w:val="es-ES_tradnl"/>
        </w:rPr>
      </w:pPr>
      <w:r w:rsidRPr="00D01437">
        <w:rPr>
          <w:rFonts w:ascii="Century Gothic" w:hAnsi="Century Gothic" w:cs="Arial"/>
          <w:sz w:val="21"/>
          <w:szCs w:val="21"/>
          <w:lang w:val="es-ES_tradnl"/>
        </w:rPr>
        <w:t>2) Se puede suscribir o aperturar un proceso de selección para suscribir un convenio de asociación sin que sea necesario el aporte de la ESAL?” [sic]</w:t>
      </w:r>
    </w:p>
    <w:p w14:paraId="12E2D746" w14:textId="77777777" w:rsidR="00934D8A" w:rsidRPr="00D01437" w:rsidRDefault="00934D8A" w:rsidP="00934D8A">
      <w:pPr>
        <w:spacing w:after="0" w:line="276" w:lineRule="auto"/>
        <w:ind w:right="709"/>
        <w:jc w:val="both"/>
        <w:rPr>
          <w:rFonts w:ascii="Century Gothic" w:hAnsi="Century Gothic" w:cs="Arial"/>
          <w:lang w:val="es-ES_tradnl"/>
        </w:rPr>
      </w:pPr>
    </w:p>
    <w:p w14:paraId="236963CF" w14:textId="77777777" w:rsidR="00934D8A" w:rsidRPr="00D01437" w:rsidRDefault="00934D8A" w:rsidP="00934D8A">
      <w:pPr>
        <w:spacing w:after="0" w:line="276" w:lineRule="auto"/>
        <w:jc w:val="both"/>
        <w:rPr>
          <w:rFonts w:ascii="Century Gothic" w:hAnsi="Century Gothic" w:cs="Arial"/>
          <w:lang w:val="es-ES_tradnl"/>
        </w:rPr>
      </w:pPr>
      <w:r w:rsidRPr="00D01437">
        <w:rPr>
          <w:rFonts w:ascii="Century Gothic" w:hAnsi="Century Gothic" w:cs="Arial"/>
          <w:lang w:val="es-ES_tradnl"/>
        </w:rPr>
        <w:tab/>
        <w:t xml:space="preserve">De conformidad con lo expuesto en este concepto, los convenios de asociación “[t]ienen como finalidad que la entidad estatal, cualquiera que sea su </w:t>
      </w:r>
      <w:r w:rsidRPr="00D01437">
        <w:rPr>
          <w:rFonts w:ascii="Century Gothic" w:hAnsi="Century Gothic" w:cs="Arial"/>
          <w:lang w:val="es-ES_tradnl"/>
        </w:rPr>
        <w:lastRenderedPageBreak/>
        <w:t>naturaleza y ordenamiento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p>
    <w:p w14:paraId="1D26CBB3" w14:textId="77777777" w:rsidR="00934D8A" w:rsidRPr="00D01437" w:rsidRDefault="00934D8A" w:rsidP="00934D8A">
      <w:pPr>
        <w:spacing w:before="120" w:after="0" w:line="276" w:lineRule="auto"/>
        <w:ind w:firstLine="709"/>
        <w:jc w:val="both"/>
        <w:rPr>
          <w:rFonts w:ascii="Century Gothic" w:hAnsi="Century Gothic" w:cs="Arial"/>
          <w:lang w:val="es-ES_tradnl"/>
        </w:rPr>
      </w:pPr>
      <w:r w:rsidRPr="00D01437">
        <w:rPr>
          <w:rFonts w:ascii="Century Gothic" w:hAnsi="Century Gothic" w:cs="Arial"/>
          <w:lang w:val="es-ES_tradnl"/>
        </w:rPr>
        <w:t>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(30%) del valor del convenio para celebrarlo directamente. Además, en atención al inciso 2 del artículo 5 del Decreto 092 de 2017, deben asegurarse de que no haya otras ESAL que ofrezcan su compromiso de recursos en dinero en una proporción no inferior al 30% del valor total del convenio. En caso de que sí, la entidad deberá seleccionar objetivamente con cual asociarse.</w:t>
      </w:r>
    </w:p>
    <w:p w14:paraId="74616126" w14:textId="77777777" w:rsidR="00934D8A" w:rsidRPr="00D01437" w:rsidRDefault="00934D8A" w:rsidP="00934D8A">
      <w:pPr>
        <w:spacing w:after="0" w:line="240" w:lineRule="auto"/>
        <w:ind w:left="709" w:right="709"/>
        <w:jc w:val="both"/>
        <w:rPr>
          <w:rFonts w:ascii="Century Gothic" w:hAnsi="Century Gothic" w:cs="Arial"/>
          <w:sz w:val="21"/>
          <w:szCs w:val="21"/>
          <w:lang w:val="es-ES_tradnl"/>
        </w:rPr>
      </w:pPr>
    </w:p>
    <w:p w14:paraId="56D8E7D0" w14:textId="77777777" w:rsidR="00934D8A" w:rsidRPr="00D01437" w:rsidRDefault="00934D8A" w:rsidP="00934D8A">
      <w:pPr>
        <w:spacing w:after="0" w:line="240" w:lineRule="auto"/>
        <w:ind w:left="709" w:right="709"/>
        <w:jc w:val="both"/>
        <w:rPr>
          <w:rFonts w:ascii="Century Gothic" w:hAnsi="Century Gothic" w:cs="Arial"/>
          <w:sz w:val="21"/>
          <w:szCs w:val="21"/>
          <w:lang w:val="es-ES_tradnl"/>
        </w:rPr>
      </w:pPr>
      <w:r w:rsidRPr="00D01437">
        <w:rPr>
          <w:rFonts w:ascii="Century Gothic" w:hAnsi="Century Gothic" w:cs="Arial"/>
          <w:sz w:val="21"/>
          <w:szCs w:val="21"/>
          <w:lang w:val="es-ES_tradnl"/>
        </w:rPr>
        <w:t>“3) En Los convenios de cooperación establecidos en el art 2 ibidem, es necesario que ambas partes aporten recursos o para este caso es posible que se suscriba un convenio de cooperación sin la necesidad de aportes por parte de la ESAL”. [sic]</w:t>
      </w:r>
    </w:p>
    <w:p w14:paraId="5A41FDE3" w14:textId="77777777" w:rsidR="00934D8A" w:rsidRPr="00D01437" w:rsidRDefault="00934D8A" w:rsidP="00934D8A">
      <w:pPr>
        <w:spacing w:after="0" w:line="276" w:lineRule="auto"/>
        <w:rPr>
          <w:rFonts w:ascii="Century Gothic" w:hAnsi="Century Gothic"/>
          <w:color w:val="000000" w:themeColor="text1"/>
        </w:rPr>
      </w:pPr>
    </w:p>
    <w:p w14:paraId="30B5D9D0" w14:textId="77777777" w:rsidR="00934D8A" w:rsidRPr="00D01437" w:rsidRDefault="00934D8A" w:rsidP="00934D8A">
      <w:pPr>
        <w:spacing w:line="276" w:lineRule="auto"/>
        <w:jc w:val="both"/>
        <w:rPr>
          <w:rFonts w:ascii="Century Gothic" w:hAnsi="Century Gothic"/>
        </w:rPr>
      </w:pPr>
      <w:r w:rsidRPr="00D01437">
        <w:rPr>
          <w:rFonts w:ascii="Century Gothic" w:hAnsi="Century Gothic"/>
        </w:rPr>
        <w:t xml:space="preserve">Como se expresó en el considerando de este concepto, los contratos del artículo 355 de la Constitución Política,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w:t>
      </w:r>
    </w:p>
    <w:p w14:paraId="4B71CD10" w14:textId="77777777" w:rsidR="00934D8A" w:rsidRPr="00D01437" w:rsidRDefault="00934D8A" w:rsidP="00934D8A">
      <w:pPr>
        <w:spacing w:line="276" w:lineRule="auto"/>
        <w:ind w:firstLine="708"/>
        <w:jc w:val="both"/>
        <w:rPr>
          <w:rFonts w:ascii="Century Gothic" w:hAnsi="Century Gothic"/>
        </w:rPr>
      </w:pPr>
      <w:r w:rsidRPr="00D01437">
        <w:rPr>
          <w:rFonts w:ascii="Century Gothic" w:hAnsi="Century Gothic"/>
        </w:rPr>
        <w:t xml:space="preserve">Para celebrar estos contratos, según lo establece el artículo 3 del Decreto 092 de 2017, por regla general, la entidad debe adelantar un proceso competitivo para seleccionar la ESAL de reconocida idoneidad, como ya se dijo, realizando un proceso competitivo, y teniendo en cuenta lo siguiente: i) no debe condicionarse </w:t>
      </w:r>
      <w:r w:rsidRPr="00D01437">
        <w:rPr>
          <w:rFonts w:ascii="Century Gothic" w:hAnsi="Century Gothic"/>
        </w:rPr>
        <w:lastRenderedPageBreak/>
        <w:t>el proceso de contratación a la inexistencia de oferta en el mercado de bienes y servicios; ii) tampoco debe condicionarse a que la contratación con las ESAL garantice la optimización de los recursos públicos en términos de eficiencia, eficacia, economía y manejo del riesgo; iii) el objeto del contrato debe estar acorde con el plan nacional o seccional de desarrollo; iv) no puede condicionarse únicamente a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debe establecer una relación conmutativa en la cual haya una contraprestación directa a favor de la entidad, ni instrucciones precisas dadas por ésta al contratista para cumplir con el objeto del contrato.</w:t>
      </w:r>
    </w:p>
    <w:p w14:paraId="67D4CA1C" w14:textId="77777777" w:rsidR="00934D8A" w:rsidRPr="00D01437" w:rsidRDefault="00934D8A" w:rsidP="00934D8A">
      <w:pPr>
        <w:spacing w:after="0" w:line="276" w:lineRule="auto"/>
        <w:jc w:val="both"/>
        <w:rPr>
          <w:rFonts w:ascii="Century Gothic" w:hAnsi="Century Gothic" w:cs="Arial"/>
          <w:lang w:val="es-ES"/>
        </w:rPr>
      </w:pPr>
      <w:r w:rsidRPr="00D01437">
        <w:rPr>
          <w:rFonts w:ascii="Century Gothic" w:hAnsi="Century Gothic" w:cs="Arial"/>
          <w:lang w:val="es-ES"/>
        </w:rPr>
        <w:tab/>
        <w:t>Finalmente, es pertinente indicar que Colombia Compra Eficiente,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Por ello, serán las entidades públicas que adelantan el proceso de contratación, las facultadas para determinar en cada caso particular y concreto, de conformidad con las reglas dispuestas en el Decreto 092 de 2017, la forma en la que deberán adelantar sus procesos de contratación con ESAL.</w:t>
      </w:r>
    </w:p>
    <w:p w14:paraId="695A7234" w14:textId="77777777" w:rsidR="00934D8A" w:rsidRPr="00D01437" w:rsidRDefault="00934D8A" w:rsidP="00934D8A">
      <w:pPr>
        <w:spacing w:after="0" w:line="276" w:lineRule="auto"/>
        <w:jc w:val="both"/>
        <w:rPr>
          <w:rFonts w:ascii="Century Gothic" w:hAnsi="Century Gothic" w:cs="Arial"/>
          <w:lang w:val="es-ES"/>
        </w:rPr>
      </w:pPr>
    </w:p>
    <w:p w14:paraId="4DDC3385" w14:textId="77777777" w:rsidR="00934D8A" w:rsidRPr="00D01437" w:rsidRDefault="00934D8A" w:rsidP="00934D8A">
      <w:pPr>
        <w:widowControl w:val="0"/>
        <w:autoSpaceDE w:val="0"/>
        <w:autoSpaceDN w:val="0"/>
        <w:spacing w:after="0" w:line="276" w:lineRule="auto"/>
        <w:jc w:val="both"/>
        <w:rPr>
          <w:rFonts w:ascii="Century Gothic" w:hAnsi="Century Gothic" w:cs="Arial"/>
          <w:lang w:val="es-ES_tradnl" w:bidi="es-ES"/>
        </w:rPr>
      </w:pPr>
      <w:r w:rsidRPr="00D01437">
        <w:rPr>
          <w:rFonts w:ascii="Century Gothic" w:hAnsi="Century Gothic" w:cs="Arial"/>
          <w:lang w:val="es-ES_tradnl"/>
        </w:rPr>
        <w:t>Este concepto tiene el alcance previsto en el artículo 28 del Código de Procedimiento Administrativo y de lo Contencioso Administrativo.</w:t>
      </w:r>
    </w:p>
    <w:p w14:paraId="13B14E1C" w14:textId="77777777" w:rsidR="00934D8A" w:rsidRPr="00D01437" w:rsidRDefault="00934D8A" w:rsidP="00934D8A">
      <w:pPr>
        <w:widowControl w:val="0"/>
        <w:autoSpaceDE w:val="0"/>
        <w:autoSpaceDN w:val="0"/>
        <w:spacing w:after="0" w:line="276" w:lineRule="auto"/>
        <w:jc w:val="both"/>
        <w:rPr>
          <w:rFonts w:ascii="Century Gothic" w:hAnsi="Century Gothic" w:cs="Arial"/>
          <w:lang w:val="es-ES_tradnl" w:bidi="es-ES"/>
        </w:rPr>
      </w:pPr>
    </w:p>
    <w:p w14:paraId="140E4504" w14:textId="77777777" w:rsidR="00934D8A" w:rsidRPr="00D01437" w:rsidRDefault="00934D8A" w:rsidP="00934D8A">
      <w:pPr>
        <w:tabs>
          <w:tab w:val="left" w:pos="426"/>
        </w:tabs>
        <w:spacing w:line="276" w:lineRule="auto"/>
        <w:jc w:val="both"/>
        <w:rPr>
          <w:rFonts w:ascii="Century Gothic" w:eastAsia="Times New Roman" w:hAnsi="Century Gothic" w:cs="Arial"/>
        </w:rPr>
      </w:pPr>
      <w:r w:rsidRPr="00D01437">
        <w:rPr>
          <w:rFonts w:ascii="Century Gothic" w:eastAsia="Times New Roman" w:hAnsi="Century Gothic" w:cs="Arial"/>
        </w:rPr>
        <w:t>Atentamente,</w:t>
      </w:r>
    </w:p>
    <w:p w14:paraId="027A70D1" w14:textId="294A0A75" w:rsidR="00934D8A" w:rsidRPr="00D01437" w:rsidRDefault="00BB28CD" w:rsidP="00934D8A">
      <w:pPr>
        <w:jc w:val="center"/>
        <w:rPr>
          <w:rFonts w:ascii="Century Gothic" w:eastAsia="Times New Roman" w:hAnsi="Century Gothic" w:cs="Arial"/>
          <w:lang w:eastAsia="es-CO"/>
        </w:rPr>
      </w:pPr>
      <w:r>
        <w:rPr>
          <w:rStyle w:val="wacimagecontainer"/>
          <w:rFonts w:ascii="Segoe UI" w:hAnsi="Segoe UI" w:cs="Segoe UI"/>
          <w:noProof/>
          <w:color w:val="000000"/>
          <w:sz w:val="18"/>
          <w:szCs w:val="18"/>
          <w:shd w:val="clear" w:color="auto" w:fill="FFFFFF"/>
        </w:rPr>
        <w:drawing>
          <wp:inline distT="0" distB="0" distL="0" distR="0" wp14:anchorId="334A9790" wp14:editId="1E2FC29F">
            <wp:extent cx="3157855" cy="1212215"/>
            <wp:effectExtent l="0" t="0" r="4445" b="6985"/>
            <wp:docPr id="143716382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7855" cy="1212215"/>
                    </a:xfrm>
                    <a:prstGeom prst="rect">
                      <a:avLst/>
                    </a:prstGeom>
                    <a:noFill/>
                    <a:ln>
                      <a:noFill/>
                    </a:ln>
                  </pic:spPr>
                </pic:pic>
              </a:graphicData>
            </a:graphic>
          </wp:inline>
        </w:drawing>
      </w:r>
      <w:r>
        <w:rPr>
          <w:rFonts w:ascii="Aptos" w:hAnsi="Aptos"/>
          <w:color w:val="000000"/>
          <w:shd w:val="clear" w:color="auto" w:fill="FFFFFF"/>
        </w:rPr>
        <w:br/>
      </w:r>
      <w:r w:rsidR="00934D8A" w:rsidRPr="00D01437">
        <w:rPr>
          <w:rFonts w:ascii="Calibri" w:hAnsi="Calibri" w:cs="Calibri"/>
          <w:color w:val="000000"/>
          <w:shd w:val="clear" w:color="auto" w:fill="FFFFFF"/>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934D8A" w:rsidRPr="00D01437" w14:paraId="708C3949" w14:textId="77777777" w:rsidTr="0072221E">
        <w:trPr>
          <w:trHeight w:val="315"/>
        </w:trPr>
        <w:tc>
          <w:tcPr>
            <w:tcW w:w="810" w:type="dxa"/>
            <w:tcBorders>
              <w:top w:val="nil"/>
              <w:left w:val="nil"/>
              <w:bottom w:val="nil"/>
              <w:right w:val="nil"/>
            </w:tcBorders>
            <w:shd w:val="clear" w:color="auto" w:fill="auto"/>
            <w:vAlign w:val="center"/>
            <w:hideMark/>
          </w:tcPr>
          <w:bookmarkEnd w:id="2"/>
          <w:p w14:paraId="2E46A48B" w14:textId="77777777" w:rsidR="00934D8A" w:rsidRPr="00D01437" w:rsidRDefault="00934D8A" w:rsidP="0072221E">
            <w:pPr>
              <w:spacing w:after="0" w:line="240" w:lineRule="auto"/>
              <w:textAlignment w:val="baseline"/>
              <w:rPr>
                <w:rFonts w:ascii="Segoe UI" w:eastAsia="Times New Roman" w:hAnsi="Segoe UI" w:cs="Segoe UI"/>
                <w:sz w:val="18"/>
                <w:szCs w:val="18"/>
                <w:lang w:eastAsia="es-CO"/>
              </w:rPr>
            </w:pPr>
            <w:r w:rsidRPr="00D01437">
              <w:rPr>
                <w:rFonts w:ascii="Century Gothic" w:eastAsia="Times New Roman" w:hAnsi="Century Gothic" w:cs="Segoe UI"/>
                <w:sz w:val="12"/>
                <w:szCs w:val="12"/>
                <w:lang w:val="es-ES" w:eastAsia="es-CO"/>
              </w:rPr>
              <w:lastRenderedPageBreak/>
              <w:t>Elaboró:</w:t>
            </w:r>
            <w:r w:rsidRPr="00D01437">
              <w:rPr>
                <w:rFonts w:ascii="Arial" w:eastAsia="Times New Roman" w:hAnsi="Arial" w:cs="Arial"/>
                <w:sz w:val="12"/>
                <w:szCs w:val="12"/>
                <w:lang w:val="es-ES" w:eastAsia="es-CO"/>
              </w:rPr>
              <w:t> </w:t>
            </w:r>
            <w:r w:rsidRPr="00D01437">
              <w:rPr>
                <w:rFonts w:ascii="Arial" w:eastAsia="Times New Roman" w:hAnsi="Arial" w:cs="Arial"/>
                <w:sz w:val="12"/>
                <w:szCs w:val="12"/>
                <w:lang w:eastAsia="es-CO"/>
              </w:rPr>
              <w:t> </w:t>
            </w:r>
            <w:r w:rsidRPr="00D01437">
              <w:rPr>
                <w:rFonts w:ascii="Century Gothic" w:eastAsia="Times New Roman" w:hAnsi="Century Gothic" w:cs="Segoe UI"/>
                <w:sz w:val="12"/>
                <w:szCs w:val="12"/>
                <w:lang w:eastAsia="es-CO"/>
              </w:rPr>
              <w:t> </w:t>
            </w:r>
          </w:p>
        </w:tc>
        <w:tc>
          <w:tcPr>
            <w:tcW w:w="4410" w:type="dxa"/>
            <w:tcBorders>
              <w:top w:val="nil"/>
              <w:left w:val="nil"/>
              <w:bottom w:val="dotted" w:sz="6" w:space="0" w:color="7F7F7F"/>
              <w:right w:val="nil"/>
            </w:tcBorders>
            <w:shd w:val="clear" w:color="auto" w:fill="auto"/>
            <w:vAlign w:val="center"/>
            <w:hideMark/>
          </w:tcPr>
          <w:p w14:paraId="67233F30" w14:textId="77777777" w:rsidR="00934D8A" w:rsidRPr="00D01437" w:rsidRDefault="00934D8A" w:rsidP="0072221E">
            <w:pPr>
              <w:spacing w:after="0" w:line="240" w:lineRule="auto"/>
              <w:textAlignment w:val="baseline"/>
              <w:rPr>
                <w:rFonts w:ascii="Segoe UI" w:eastAsia="Times New Roman" w:hAnsi="Segoe UI" w:cs="Segoe UI"/>
                <w:sz w:val="18"/>
                <w:szCs w:val="18"/>
                <w:lang w:eastAsia="es-CO"/>
              </w:rPr>
            </w:pPr>
            <w:r w:rsidRPr="00D01437">
              <w:rPr>
                <w:rFonts w:ascii="Century Gothic" w:eastAsia="Times New Roman" w:hAnsi="Century Gothic" w:cs="Segoe UI"/>
                <w:sz w:val="12"/>
                <w:szCs w:val="12"/>
                <w:lang w:val="es-ES" w:eastAsia="es-CO"/>
              </w:rPr>
              <w:t>Nasly Yeana Mosquera Rivas</w:t>
            </w:r>
            <w:r w:rsidRPr="00D01437">
              <w:rPr>
                <w:rFonts w:ascii="Arial" w:eastAsia="Times New Roman" w:hAnsi="Arial" w:cs="Arial"/>
                <w:sz w:val="12"/>
                <w:szCs w:val="12"/>
                <w:lang w:eastAsia="es-CO"/>
              </w:rPr>
              <w:t> </w:t>
            </w:r>
            <w:r w:rsidRPr="00D01437">
              <w:rPr>
                <w:rFonts w:ascii="Century Gothic" w:eastAsia="Times New Roman" w:hAnsi="Century Gothic" w:cs="Segoe UI"/>
                <w:sz w:val="12"/>
                <w:szCs w:val="12"/>
                <w:lang w:eastAsia="es-CO"/>
              </w:rPr>
              <w:t> </w:t>
            </w:r>
          </w:p>
          <w:p w14:paraId="4E3C0B59" w14:textId="77777777" w:rsidR="00934D8A" w:rsidRPr="00D01437" w:rsidRDefault="00934D8A" w:rsidP="0072221E">
            <w:pPr>
              <w:spacing w:after="0" w:line="240" w:lineRule="auto"/>
              <w:textAlignment w:val="baseline"/>
              <w:rPr>
                <w:rFonts w:ascii="Segoe UI" w:eastAsia="Times New Roman" w:hAnsi="Segoe UI" w:cs="Segoe UI"/>
                <w:sz w:val="18"/>
                <w:szCs w:val="18"/>
                <w:lang w:eastAsia="es-CO"/>
              </w:rPr>
            </w:pPr>
            <w:r w:rsidRPr="00D01437">
              <w:rPr>
                <w:rFonts w:ascii="Century Gothic" w:eastAsia="Times New Roman" w:hAnsi="Century Gothic" w:cs="Segoe UI"/>
                <w:sz w:val="12"/>
                <w:szCs w:val="12"/>
                <w:lang w:val="es-ES" w:eastAsia="es-CO"/>
              </w:rPr>
              <w:t>Analista T2 – 06 de la Subdirección de Gestión Contractual</w:t>
            </w:r>
            <w:r w:rsidRPr="00D01437">
              <w:rPr>
                <w:rFonts w:ascii="Arial" w:eastAsia="Times New Roman" w:hAnsi="Arial" w:cs="Arial"/>
                <w:sz w:val="12"/>
                <w:szCs w:val="12"/>
                <w:lang w:eastAsia="es-CO"/>
              </w:rPr>
              <w:t> </w:t>
            </w:r>
            <w:r w:rsidRPr="00D01437">
              <w:rPr>
                <w:rFonts w:ascii="Century Gothic" w:eastAsia="Times New Roman" w:hAnsi="Century Gothic" w:cs="Segoe UI"/>
                <w:sz w:val="12"/>
                <w:szCs w:val="12"/>
                <w:lang w:eastAsia="es-CO"/>
              </w:rPr>
              <w:t> </w:t>
            </w:r>
          </w:p>
        </w:tc>
      </w:tr>
      <w:tr w:rsidR="00934D8A" w:rsidRPr="00D01437" w14:paraId="72598252" w14:textId="77777777" w:rsidTr="0072221E">
        <w:trPr>
          <w:trHeight w:val="315"/>
        </w:trPr>
        <w:tc>
          <w:tcPr>
            <w:tcW w:w="810" w:type="dxa"/>
            <w:tcBorders>
              <w:top w:val="nil"/>
              <w:left w:val="nil"/>
              <w:bottom w:val="nil"/>
              <w:right w:val="nil"/>
            </w:tcBorders>
            <w:shd w:val="clear" w:color="auto" w:fill="auto"/>
            <w:vAlign w:val="center"/>
            <w:hideMark/>
          </w:tcPr>
          <w:p w14:paraId="4E7E8B32" w14:textId="77777777" w:rsidR="00934D8A" w:rsidRPr="00D01437" w:rsidRDefault="00934D8A" w:rsidP="0072221E">
            <w:pPr>
              <w:spacing w:after="0" w:line="240" w:lineRule="auto"/>
              <w:textAlignment w:val="baseline"/>
              <w:rPr>
                <w:rFonts w:ascii="Segoe UI" w:eastAsia="Times New Roman" w:hAnsi="Segoe UI" w:cs="Segoe UI"/>
                <w:sz w:val="18"/>
                <w:szCs w:val="18"/>
                <w:lang w:eastAsia="es-CO"/>
              </w:rPr>
            </w:pPr>
            <w:r w:rsidRPr="00D01437">
              <w:rPr>
                <w:rFonts w:ascii="Century Gothic" w:eastAsia="Times New Roman" w:hAnsi="Century Gothic" w:cs="Segoe UI"/>
                <w:sz w:val="12"/>
                <w:szCs w:val="12"/>
                <w:lang w:val="es-ES" w:eastAsia="es-CO"/>
              </w:rPr>
              <w:t>Revisó:</w:t>
            </w:r>
            <w:r w:rsidRPr="00D01437">
              <w:rPr>
                <w:rFonts w:ascii="Arial" w:eastAsia="Times New Roman" w:hAnsi="Arial" w:cs="Arial"/>
                <w:sz w:val="12"/>
                <w:szCs w:val="12"/>
                <w:lang w:val="es-ES" w:eastAsia="es-CO"/>
              </w:rPr>
              <w:t> </w:t>
            </w:r>
            <w:r w:rsidRPr="00D01437">
              <w:rPr>
                <w:rFonts w:ascii="Arial" w:eastAsia="Times New Roman" w:hAnsi="Arial" w:cs="Arial"/>
                <w:sz w:val="12"/>
                <w:szCs w:val="12"/>
                <w:lang w:eastAsia="es-CO"/>
              </w:rPr>
              <w:t> </w:t>
            </w:r>
            <w:r w:rsidRPr="00D01437">
              <w:rPr>
                <w:rFonts w:ascii="Century Gothic" w:eastAsia="Times New Roman" w:hAnsi="Century Gothic" w:cs="Segoe UI"/>
                <w:sz w:val="12"/>
                <w:szCs w:val="12"/>
                <w:lang w:eastAsia="es-CO"/>
              </w:rPr>
              <w:t> </w:t>
            </w:r>
          </w:p>
        </w:tc>
        <w:tc>
          <w:tcPr>
            <w:tcW w:w="4410" w:type="dxa"/>
            <w:tcBorders>
              <w:top w:val="dotted" w:sz="6" w:space="0" w:color="7F7F7F"/>
              <w:left w:val="nil"/>
              <w:bottom w:val="dotted" w:sz="6" w:space="0" w:color="7F7F7F"/>
              <w:right w:val="nil"/>
            </w:tcBorders>
            <w:shd w:val="clear" w:color="auto" w:fill="auto"/>
            <w:vAlign w:val="center"/>
            <w:hideMark/>
          </w:tcPr>
          <w:p w14:paraId="67AEE9BC" w14:textId="77777777" w:rsidR="00934D8A" w:rsidRPr="00D01437" w:rsidRDefault="00934D8A" w:rsidP="0072221E">
            <w:pPr>
              <w:spacing w:after="0" w:line="240" w:lineRule="auto"/>
              <w:textAlignment w:val="baseline"/>
              <w:rPr>
                <w:rFonts w:ascii="Segoe UI" w:eastAsia="Times New Roman" w:hAnsi="Segoe UI" w:cs="Segoe UI"/>
                <w:sz w:val="18"/>
                <w:szCs w:val="18"/>
                <w:lang w:eastAsia="es-CO"/>
              </w:rPr>
            </w:pPr>
            <w:r w:rsidRPr="00D01437">
              <w:rPr>
                <w:rFonts w:ascii="Century Gothic" w:eastAsia="Times New Roman" w:hAnsi="Century Gothic" w:cs="Segoe UI"/>
                <w:sz w:val="12"/>
                <w:szCs w:val="12"/>
                <w:lang w:val="es-ES" w:eastAsia="es-CO"/>
              </w:rPr>
              <w:t>Adriana katerine López Rodríguez</w:t>
            </w:r>
            <w:r w:rsidRPr="00D01437">
              <w:rPr>
                <w:rFonts w:ascii="Century Gothic" w:eastAsia="Times New Roman" w:hAnsi="Century Gothic" w:cs="Segoe UI"/>
                <w:sz w:val="12"/>
                <w:szCs w:val="12"/>
                <w:lang w:eastAsia="es-CO"/>
              </w:rPr>
              <w:t> </w:t>
            </w:r>
          </w:p>
          <w:p w14:paraId="3C49B2B4" w14:textId="77777777" w:rsidR="00934D8A" w:rsidRPr="00D01437" w:rsidRDefault="00934D8A" w:rsidP="0072221E">
            <w:pPr>
              <w:spacing w:after="0" w:line="240" w:lineRule="auto"/>
              <w:textAlignment w:val="baseline"/>
              <w:rPr>
                <w:rFonts w:ascii="Segoe UI" w:eastAsia="Times New Roman" w:hAnsi="Segoe UI" w:cs="Segoe UI"/>
                <w:sz w:val="18"/>
                <w:szCs w:val="18"/>
                <w:lang w:eastAsia="es-CO"/>
              </w:rPr>
            </w:pPr>
            <w:r w:rsidRPr="00D01437">
              <w:rPr>
                <w:rFonts w:ascii="Century Gothic" w:eastAsia="Times New Roman" w:hAnsi="Century Gothic" w:cs="Segoe UI"/>
                <w:sz w:val="12"/>
                <w:szCs w:val="12"/>
                <w:lang w:val="es-ES" w:eastAsia="es-CO"/>
              </w:rPr>
              <w:t>Contratista de la Subdirección de Gestión Contractual</w:t>
            </w:r>
            <w:r w:rsidRPr="00D01437">
              <w:rPr>
                <w:rFonts w:ascii="Arial" w:eastAsia="Times New Roman" w:hAnsi="Arial" w:cs="Arial"/>
                <w:sz w:val="12"/>
                <w:szCs w:val="12"/>
                <w:lang w:eastAsia="es-CO"/>
              </w:rPr>
              <w:t> </w:t>
            </w:r>
            <w:r w:rsidRPr="00D01437">
              <w:rPr>
                <w:rFonts w:ascii="Century Gothic" w:eastAsia="Times New Roman" w:hAnsi="Century Gothic" w:cs="Segoe UI"/>
                <w:sz w:val="12"/>
                <w:szCs w:val="12"/>
                <w:lang w:eastAsia="es-CO"/>
              </w:rPr>
              <w:t> </w:t>
            </w:r>
          </w:p>
        </w:tc>
      </w:tr>
      <w:tr w:rsidR="00934D8A" w:rsidRPr="00D01437" w14:paraId="68EF319B" w14:textId="77777777" w:rsidTr="0072221E">
        <w:trPr>
          <w:trHeight w:val="300"/>
        </w:trPr>
        <w:tc>
          <w:tcPr>
            <w:tcW w:w="810" w:type="dxa"/>
            <w:tcBorders>
              <w:top w:val="nil"/>
              <w:left w:val="nil"/>
              <w:bottom w:val="nil"/>
              <w:right w:val="nil"/>
            </w:tcBorders>
            <w:shd w:val="clear" w:color="auto" w:fill="auto"/>
            <w:vAlign w:val="center"/>
            <w:hideMark/>
          </w:tcPr>
          <w:p w14:paraId="6EE9894F" w14:textId="77777777" w:rsidR="00934D8A" w:rsidRPr="00D01437" w:rsidRDefault="00934D8A" w:rsidP="0072221E">
            <w:pPr>
              <w:spacing w:after="0" w:line="240" w:lineRule="auto"/>
              <w:textAlignment w:val="baseline"/>
              <w:rPr>
                <w:rFonts w:ascii="Segoe UI" w:eastAsia="Times New Roman" w:hAnsi="Segoe UI" w:cs="Segoe UI"/>
                <w:sz w:val="18"/>
                <w:szCs w:val="18"/>
                <w:lang w:eastAsia="es-CO"/>
              </w:rPr>
            </w:pPr>
            <w:r w:rsidRPr="00D01437">
              <w:rPr>
                <w:rFonts w:ascii="Century Gothic" w:eastAsia="Times New Roman" w:hAnsi="Century Gothic" w:cs="Segoe UI"/>
                <w:sz w:val="12"/>
                <w:szCs w:val="12"/>
                <w:lang w:val="es-ES" w:eastAsia="es-CO"/>
              </w:rPr>
              <w:t>Aprobó:</w:t>
            </w:r>
            <w:r w:rsidRPr="00D01437">
              <w:rPr>
                <w:rFonts w:ascii="Arial" w:eastAsia="Times New Roman" w:hAnsi="Arial" w:cs="Arial"/>
                <w:sz w:val="12"/>
                <w:szCs w:val="12"/>
                <w:lang w:val="es-ES" w:eastAsia="es-CO"/>
              </w:rPr>
              <w:t> </w:t>
            </w:r>
            <w:r w:rsidRPr="00D01437">
              <w:rPr>
                <w:rFonts w:ascii="Arial" w:eastAsia="Times New Roman" w:hAnsi="Arial" w:cs="Arial"/>
                <w:sz w:val="12"/>
                <w:szCs w:val="12"/>
                <w:lang w:eastAsia="es-CO"/>
              </w:rPr>
              <w:t> </w:t>
            </w:r>
            <w:r w:rsidRPr="00D01437">
              <w:rPr>
                <w:rFonts w:ascii="Century Gothic" w:eastAsia="Times New Roman" w:hAnsi="Century Gothic" w:cs="Segoe UI"/>
                <w:sz w:val="12"/>
                <w:szCs w:val="12"/>
                <w:lang w:eastAsia="es-CO"/>
              </w:rPr>
              <w:t> </w:t>
            </w:r>
          </w:p>
        </w:tc>
        <w:tc>
          <w:tcPr>
            <w:tcW w:w="4410" w:type="dxa"/>
            <w:tcBorders>
              <w:top w:val="dotted" w:sz="6" w:space="0" w:color="7F7F7F"/>
              <w:left w:val="nil"/>
              <w:bottom w:val="dotted" w:sz="6" w:space="0" w:color="7F7F7F"/>
              <w:right w:val="nil"/>
            </w:tcBorders>
            <w:shd w:val="clear" w:color="auto" w:fill="auto"/>
            <w:vAlign w:val="center"/>
            <w:hideMark/>
          </w:tcPr>
          <w:p w14:paraId="10458FEB" w14:textId="77777777" w:rsidR="00934D8A" w:rsidRPr="00D01437" w:rsidRDefault="00934D8A" w:rsidP="0072221E">
            <w:pPr>
              <w:spacing w:after="0" w:line="240" w:lineRule="auto"/>
              <w:textAlignment w:val="baseline"/>
              <w:rPr>
                <w:rFonts w:ascii="Segoe UI" w:eastAsia="Times New Roman" w:hAnsi="Segoe UI" w:cs="Segoe UI"/>
                <w:sz w:val="18"/>
                <w:szCs w:val="18"/>
                <w:lang w:eastAsia="es-CO"/>
              </w:rPr>
            </w:pPr>
            <w:r w:rsidRPr="00D01437">
              <w:rPr>
                <w:rFonts w:ascii="Century Gothic" w:eastAsia="Times New Roman" w:hAnsi="Century Gothic" w:cs="Segoe UI"/>
                <w:sz w:val="12"/>
                <w:szCs w:val="12"/>
                <w:lang w:val="es-ES" w:eastAsia="es-CO"/>
              </w:rPr>
              <w:t>Nohelia del Carmen Zawady Palacio</w:t>
            </w:r>
            <w:r w:rsidRPr="00D01437">
              <w:rPr>
                <w:rFonts w:ascii="Arial" w:eastAsia="Times New Roman" w:hAnsi="Arial" w:cs="Arial"/>
                <w:sz w:val="12"/>
                <w:szCs w:val="12"/>
                <w:lang w:eastAsia="es-CO"/>
              </w:rPr>
              <w:t> </w:t>
            </w:r>
            <w:r w:rsidRPr="00D01437">
              <w:rPr>
                <w:rFonts w:ascii="Century Gothic" w:eastAsia="Times New Roman" w:hAnsi="Century Gothic" w:cs="Segoe UI"/>
                <w:sz w:val="12"/>
                <w:szCs w:val="12"/>
                <w:lang w:eastAsia="es-CO"/>
              </w:rPr>
              <w:t> </w:t>
            </w:r>
          </w:p>
          <w:p w14:paraId="57AED35B" w14:textId="77777777" w:rsidR="00934D8A" w:rsidRPr="00D01437" w:rsidRDefault="00934D8A" w:rsidP="0072221E">
            <w:pPr>
              <w:spacing w:after="0" w:line="240" w:lineRule="auto"/>
              <w:textAlignment w:val="baseline"/>
              <w:rPr>
                <w:rFonts w:ascii="Segoe UI" w:eastAsia="Times New Roman" w:hAnsi="Segoe UI" w:cs="Segoe UI"/>
                <w:sz w:val="18"/>
                <w:szCs w:val="18"/>
                <w:lang w:eastAsia="es-CO"/>
              </w:rPr>
            </w:pPr>
            <w:r w:rsidRPr="00D01437">
              <w:rPr>
                <w:rFonts w:ascii="Century Gothic" w:eastAsia="Times New Roman" w:hAnsi="Century Gothic" w:cs="Segoe UI"/>
                <w:sz w:val="12"/>
                <w:szCs w:val="12"/>
                <w:lang w:val="es-ES" w:eastAsia="es-CO"/>
              </w:rPr>
              <w:t>Subdirectora de Gestión Contractual</w:t>
            </w:r>
            <w:r w:rsidRPr="00D01437">
              <w:rPr>
                <w:rFonts w:ascii="Arial" w:eastAsia="Times New Roman" w:hAnsi="Arial" w:cs="Arial"/>
                <w:sz w:val="12"/>
                <w:szCs w:val="12"/>
                <w:lang w:eastAsia="es-CO"/>
              </w:rPr>
              <w:t> </w:t>
            </w:r>
            <w:r w:rsidRPr="00D01437">
              <w:rPr>
                <w:rFonts w:ascii="Century Gothic" w:eastAsia="Times New Roman" w:hAnsi="Century Gothic" w:cs="Segoe UI"/>
                <w:sz w:val="12"/>
                <w:szCs w:val="12"/>
                <w:lang w:eastAsia="es-CO"/>
              </w:rPr>
              <w:t>ANCP</w:t>
            </w:r>
            <w:r w:rsidRPr="00D01437">
              <w:rPr>
                <w:rFonts w:ascii="Century Gothic" w:eastAsia="Times New Roman" w:hAnsi="Century Gothic" w:cs="Century Gothic"/>
                <w:sz w:val="12"/>
                <w:szCs w:val="12"/>
                <w:lang w:eastAsia="es-CO"/>
              </w:rPr>
              <w:t>–</w:t>
            </w:r>
            <w:r w:rsidRPr="00D01437">
              <w:rPr>
                <w:rFonts w:ascii="Century Gothic" w:eastAsia="Times New Roman" w:hAnsi="Century Gothic" w:cs="Segoe UI"/>
                <w:sz w:val="12"/>
                <w:szCs w:val="12"/>
                <w:lang w:eastAsia="es-CO"/>
              </w:rPr>
              <w:t>CCE– </w:t>
            </w:r>
          </w:p>
        </w:tc>
      </w:tr>
    </w:tbl>
    <w:p w14:paraId="3B4F088F" w14:textId="77777777" w:rsidR="00934D8A" w:rsidRPr="00D01437" w:rsidRDefault="00934D8A" w:rsidP="00934D8A">
      <w:pPr>
        <w:rPr>
          <w:rFonts w:ascii="Century Gothic" w:hAnsi="Century Gothic"/>
        </w:rPr>
      </w:pPr>
    </w:p>
    <w:p w14:paraId="62083C73" w14:textId="77777777" w:rsidR="00934D8A" w:rsidRPr="00D01437" w:rsidRDefault="00934D8A" w:rsidP="00934D8A">
      <w:pPr>
        <w:rPr>
          <w:rFonts w:ascii="Century Gothic" w:hAnsi="Century Gothic"/>
        </w:rPr>
      </w:pPr>
    </w:p>
    <w:p w14:paraId="7103F432" w14:textId="77777777" w:rsidR="00934D8A" w:rsidRPr="00D01437" w:rsidRDefault="00934D8A" w:rsidP="00934D8A"/>
    <w:p w14:paraId="3FBC1BFF" w14:textId="77777777" w:rsidR="00934D8A" w:rsidRPr="00D01437" w:rsidRDefault="00934D8A" w:rsidP="00934D8A"/>
    <w:p w14:paraId="2E8AECF7" w14:textId="77777777" w:rsidR="00934D8A" w:rsidRPr="00D01437" w:rsidRDefault="00934D8A" w:rsidP="00934D8A"/>
    <w:p w14:paraId="22B185B7" w14:textId="77777777" w:rsidR="00934D8A" w:rsidRPr="00EC653B" w:rsidRDefault="00934D8A" w:rsidP="00934D8A"/>
    <w:p w14:paraId="3C1DF1A4" w14:textId="77777777" w:rsidR="008E5C2E" w:rsidRDefault="008E5C2E"/>
    <w:sectPr w:rsidR="008E5C2E" w:rsidSect="00FC41C3">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AFDE" w14:textId="77777777" w:rsidR="00FC41C3" w:rsidRDefault="00FC41C3" w:rsidP="00934D8A">
      <w:pPr>
        <w:spacing w:after="0" w:line="240" w:lineRule="auto"/>
      </w:pPr>
      <w:r>
        <w:separator/>
      </w:r>
    </w:p>
  </w:endnote>
  <w:endnote w:type="continuationSeparator" w:id="0">
    <w:p w14:paraId="62B77AAC" w14:textId="77777777" w:rsidR="00FC41C3" w:rsidRDefault="00FC41C3" w:rsidP="0093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C607" w14:textId="77777777" w:rsidR="00000000" w:rsidRDefault="00000000">
    <w:pPr>
      <w:pStyle w:val="Piedepgina"/>
    </w:pPr>
    <w:r>
      <w:rPr>
        <w:noProof/>
        <w:lang w:eastAsia="es-CO"/>
      </w:rPr>
      <w:drawing>
        <wp:inline distT="0" distB="0" distL="0" distR="0" wp14:anchorId="461445FF" wp14:editId="12CE1CFC">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0800" behindDoc="0" locked="0" layoutInCell="1" allowOverlap="1" wp14:anchorId="083A9EC1" wp14:editId="4BE91639">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1261AA50"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AA4C9BE" w14:textId="77777777" w:rsidR="00000000" w:rsidRPr="003F3941" w:rsidRDefault="00000000" w:rsidP="006219F8">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EDC57A3" w14:textId="77777777" w:rsidR="00000000" w:rsidRPr="003F3941" w:rsidRDefault="00000000"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w:t>
          </w:r>
          <w:r>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461AEB58" w14:textId="77777777" w:rsidR="00000000" w:rsidRPr="003F3941" w:rsidRDefault="00000000"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22</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1C374B9" w14:textId="77777777" w:rsidR="00000000" w:rsidRPr="003F3941" w:rsidRDefault="00000000"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p>
      </w:tc>
    </w:tr>
  </w:tbl>
  <w:p w14:paraId="47CF6F04" w14:textId="77777777" w:rsidR="00000000" w:rsidRDefault="00000000"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EC373" w14:textId="77777777" w:rsidR="00FC41C3" w:rsidRDefault="00FC41C3" w:rsidP="00934D8A">
      <w:pPr>
        <w:spacing w:after="0" w:line="240" w:lineRule="auto"/>
      </w:pPr>
      <w:r>
        <w:separator/>
      </w:r>
    </w:p>
  </w:footnote>
  <w:footnote w:type="continuationSeparator" w:id="0">
    <w:p w14:paraId="1A598ACB" w14:textId="77777777" w:rsidR="00FC41C3" w:rsidRDefault="00FC41C3" w:rsidP="00934D8A">
      <w:pPr>
        <w:spacing w:after="0" w:line="240" w:lineRule="auto"/>
      </w:pPr>
      <w:r>
        <w:continuationSeparator/>
      </w:r>
    </w:p>
  </w:footnote>
  <w:footnote w:id="1">
    <w:p w14:paraId="44F645B8" w14:textId="77777777" w:rsidR="00934D8A" w:rsidRPr="0054001B" w:rsidRDefault="00934D8A" w:rsidP="00934D8A">
      <w:pPr>
        <w:pStyle w:val="Textonotapie"/>
        <w:ind w:firstLine="708"/>
        <w:jc w:val="both"/>
        <w:rPr>
          <w:rFonts w:ascii="Century Gothic" w:hAnsi="Century Gothic" w:cs="Arial"/>
          <w:sz w:val="18"/>
          <w:szCs w:val="18"/>
          <w:lang w:val="es-ES"/>
        </w:rPr>
      </w:pPr>
      <w:r w:rsidRPr="0054001B">
        <w:rPr>
          <w:rStyle w:val="Refdenotaalpie"/>
          <w:rFonts w:ascii="Century Gothic" w:hAnsi="Century Gothic" w:cs="Arial"/>
          <w:sz w:val="18"/>
          <w:szCs w:val="18"/>
        </w:rPr>
        <w:footnoteRef/>
      </w:r>
      <w:r w:rsidRPr="0054001B">
        <w:rPr>
          <w:rFonts w:ascii="Century Gothic" w:hAnsi="Century Gothic" w:cs="Arial"/>
          <w:sz w:val="18"/>
          <w:szCs w:val="18"/>
        </w:rPr>
        <w:t xml:space="preserve"> La Agencia Nacional de Contratación Pública </w:t>
      </w:r>
      <w:r w:rsidRPr="0054001B">
        <w:rPr>
          <w:rFonts w:ascii="Arial" w:hAnsi="Arial" w:cs="Arial"/>
          <w:sz w:val="18"/>
          <w:szCs w:val="18"/>
        </w:rPr>
        <w:t>‒</w:t>
      </w:r>
      <w:r w:rsidRPr="0054001B">
        <w:rPr>
          <w:rFonts w:ascii="Century Gothic" w:hAnsi="Century Gothic" w:cs="Arial"/>
          <w:sz w:val="18"/>
          <w:szCs w:val="18"/>
        </w:rPr>
        <w:t xml:space="preserve"> Colombia Compra Eficiente fue creada por el Decreto Ley 4170 de 2011. Su objetivo es servir como ente rector de la pol</w:t>
      </w:r>
      <w:r w:rsidRPr="0054001B">
        <w:rPr>
          <w:rFonts w:ascii="Century Gothic" w:hAnsi="Century Gothic" w:cs="Century Gothic"/>
          <w:sz w:val="18"/>
          <w:szCs w:val="18"/>
        </w:rPr>
        <w:t>í</w:t>
      </w:r>
      <w:r w:rsidRPr="0054001B">
        <w:rPr>
          <w:rFonts w:ascii="Century Gothic" w:hAnsi="Century Gothic" w:cs="Arial"/>
          <w:sz w:val="18"/>
          <w:szCs w:val="18"/>
        </w:rPr>
        <w:t>tica de compras y contrataci</w:t>
      </w:r>
      <w:r w:rsidRPr="0054001B">
        <w:rPr>
          <w:rFonts w:ascii="Century Gothic" w:hAnsi="Century Gothic" w:cs="Century Gothic"/>
          <w:sz w:val="18"/>
          <w:szCs w:val="18"/>
        </w:rPr>
        <w:t>ó</w:t>
      </w:r>
      <w:r w:rsidRPr="0054001B">
        <w:rPr>
          <w:rFonts w:ascii="Century Gothic" w:hAnsi="Century Gothic" w:cs="Arial"/>
          <w:sz w:val="18"/>
          <w:szCs w:val="18"/>
        </w:rPr>
        <w:t xml:space="preserve">n del Estado. Para tales fines, como </w:t>
      </w:r>
      <w:r w:rsidRPr="0054001B">
        <w:rPr>
          <w:rFonts w:ascii="Century Gothic" w:hAnsi="Century Gothic" w:cs="Century Gothic"/>
          <w:sz w:val="18"/>
          <w:szCs w:val="18"/>
        </w:rPr>
        <w:t>ó</w:t>
      </w:r>
      <w:r w:rsidRPr="0054001B">
        <w:rPr>
          <w:rFonts w:ascii="Century Gothic" w:hAnsi="Century Gothic" w:cs="Arial"/>
          <w:sz w:val="18"/>
          <w:szCs w:val="18"/>
        </w:rPr>
        <w:t>rgano t</w:t>
      </w:r>
      <w:r w:rsidRPr="0054001B">
        <w:rPr>
          <w:rFonts w:ascii="Century Gothic" w:hAnsi="Century Gothic" w:cs="Century Gothic"/>
          <w:sz w:val="18"/>
          <w:szCs w:val="18"/>
        </w:rPr>
        <w:t>é</w:t>
      </w:r>
      <w:r w:rsidRPr="0054001B">
        <w:rPr>
          <w:rFonts w:ascii="Century Gothic" w:hAnsi="Century Gothic" w:cs="Arial"/>
          <w:sz w:val="18"/>
          <w:szCs w:val="18"/>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54001B">
        <w:rPr>
          <w:rFonts w:ascii="Century Gothic" w:hAnsi="Century Gothic" w:cs="Arial"/>
          <w:i/>
          <w:iCs/>
          <w:sz w:val="18"/>
          <w:szCs w:val="18"/>
        </w:rPr>
        <w:t xml:space="preserve">ibidem </w:t>
      </w:r>
      <w:r w:rsidRPr="0054001B">
        <w:rPr>
          <w:rFonts w:ascii="Century Gothic" w:hAnsi="Century Gothic"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36DD7C2F" w14:textId="77777777" w:rsidR="00934D8A" w:rsidRPr="0054001B" w:rsidRDefault="00934D8A" w:rsidP="00934D8A">
      <w:pPr>
        <w:pStyle w:val="Textonotapie"/>
        <w:ind w:firstLine="708"/>
        <w:jc w:val="both"/>
        <w:rPr>
          <w:rFonts w:ascii="Century Gothic" w:hAnsi="Century Gothic" w:cs="Arial"/>
          <w:sz w:val="18"/>
          <w:szCs w:val="18"/>
        </w:rPr>
      </w:pPr>
      <w:r w:rsidRPr="0054001B">
        <w:rPr>
          <w:rStyle w:val="Refdenotaalpie"/>
          <w:rFonts w:ascii="Century Gothic" w:hAnsi="Century Gothic" w:cs="Arial"/>
          <w:sz w:val="18"/>
          <w:szCs w:val="18"/>
        </w:rPr>
        <w:footnoteRef/>
      </w:r>
      <w:r w:rsidRPr="0054001B">
        <w:rPr>
          <w:rFonts w:ascii="Century Gothic" w:hAnsi="Century Gothic"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54001B">
          <w:rPr>
            <w:rStyle w:val="Hipervnculo"/>
            <w:rFonts w:ascii="Century Gothic" w:hAnsi="Century Gothic" w:cs="Arial"/>
            <w:sz w:val="18"/>
            <w:szCs w:val="18"/>
          </w:rPr>
          <w:t>https://relatoria.colombiacompra.gov.co/busqueda/conceptos</w:t>
        </w:r>
      </w:hyperlink>
      <w:r w:rsidRPr="0054001B">
        <w:rPr>
          <w:rStyle w:val="Hipervnculo"/>
          <w:rFonts w:ascii="Century Gothic" w:hAnsi="Century Gothic" w:cs="Arial"/>
          <w:sz w:val="18"/>
          <w:szCs w:val="18"/>
        </w:rPr>
        <w:t xml:space="preserve">. </w:t>
      </w:r>
      <w:r w:rsidRPr="0054001B">
        <w:rPr>
          <w:rFonts w:ascii="Century Gothic" w:hAnsi="Century Gothic" w:cs="Arial"/>
          <w:sz w:val="18"/>
          <w:szCs w:val="18"/>
          <w:shd w:val="clear" w:color="auto" w:fill="E6E6E6"/>
        </w:rPr>
        <w:t xml:space="preserve"> </w:t>
      </w:r>
    </w:p>
  </w:footnote>
  <w:footnote w:id="3">
    <w:p w14:paraId="69F1F6D5" w14:textId="77777777" w:rsidR="00934D8A" w:rsidRPr="0054001B" w:rsidRDefault="00934D8A" w:rsidP="00934D8A">
      <w:pPr>
        <w:pStyle w:val="Textonotapie"/>
        <w:ind w:firstLine="708"/>
        <w:jc w:val="both"/>
        <w:rPr>
          <w:rFonts w:ascii="Century Gothic" w:hAnsi="Century Gothic" w:cs="Arial"/>
          <w:sz w:val="18"/>
          <w:szCs w:val="18"/>
        </w:rPr>
      </w:pPr>
      <w:r w:rsidRPr="0054001B">
        <w:rPr>
          <w:rStyle w:val="Refdenotaalpie"/>
          <w:rFonts w:ascii="Century Gothic" w:hAnsi="Century Gothic" w:cs="Arial"/>
          <w:sz w:val="18"/>
          <w:szCs w:val="18"/>
        </w:rPr>
        <w:footnoteRef/>
      </w:r>
      <w:r w:rsidRPr="0054001B">
        <w:rPr>
          <w:rFonts w:ascii="Century Gothic" w:hAnsi="Century Gothic" w:cs="Arial"/>
          <w:sz w:val="18"/>
          <w:szCs w:val="18"/>
        </w:rPr>
        <w:t xml:space="preserve"> Sobre esta norma, consultar los conceptos del 8 de octubre de 2019, con radicado No. 2201913000007532, y del 20 de diciembre de 2019, con radicado No. 4201913000008240.</w:t>
      </w:r>
    </w:p>
  </w:footnote>
  <w:footnote w:id="4">
    <w:p w14:paraId="02972878" w14:textId="77777777" w:rsidR="00934D8A" w:rsidRDefault="00934D8A" w:rsidP="00934D8A">
      <w:pPr>
        <w:pStyle w:val="Textonotapie"/>
        <w:ind w:firstLine="708"/>
        <w:jc w:val="both"/>
        <w:rPr>
          <w:rFonts w:ascii="Century Gothic" w:hAnsi="Century Gothic"/>
          <w:sz w:val="18"/>
          <w:szCs w:val="18"/>
        </w:rPr>
      </w:pPr>
    </w:p>
    <w:p w14:paraId="7BF823F6" w14:textId="77777777" w:rsidR="00934D8A" w:rsidRPr="0054001B" w:rsidRDefault="00934D8A" w:rsidP="00934D8A">
      <w:pPr>
        <w:pStyle w:val="Textonotapie"/>
        <w:ind w:firstLine="708"/>
        <w:jc w:val="both"/>
        <w:rPr>
          <w:rFonts w:ascii="Century Gothic" w:hAnsi="Century Gothic" w:cs="Arial"/>
          <w:sz w:val="18"/>
          <w:szCs w:val="18"/>
        </w:rPr>
      </w:pPr>
      <w:r w:rsidRPr="0054001B">
        <w:rPr>
          <w:rStyle w:val="Refdenotaalpie"/>
          <w:rFonts w:ascii="Century Gothic" w:hAnsi="Century Gothic"/>
          <w:sz w:val="18"/>
          <w:szCs w:val="18"/>
        </w:rPr>
        <w:footnoteRef/>
      </w:r>
      <w:r w:rsidRPr="0054001B">
        <w:rPr>
          <w:rFonts w:ascii="Century Gothic" w:hAnsi="Century Gothic"/>
          <w:sz w:val="18"/>
          <w:szCs w:val="18"/>
        </w:rPr>
        <w:t xml:space="preserve"> </w:t>
      </w:r>
      <w:r w:rsidRPr="0054001B">
        <w:rPr>
          <w:rFonts w:ascii="Century Gothic" w:hAnsi="Century Gothic" w:cs="Arial"/>
          <w:sz w:val="18"/>
          <w:szCs w:val="18"/>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79888030" w14:textId="77777777" w:rsidR="00934D8A" w:rsidRPr="0054001B" w:rsidRDefault="00934D8A" w:rsidP="00934D8A">
      <w:pPr>
        <w:pStyle w:val="Textonotapie"/>
        <w:ind w:firstLine="708"/>
        <w:jc w:val="both"/>
        <w:rPr>
          <w:rFonts w:ascii="Century Gothic" w:hAnsi="Century Gothic" w:cs="Arial"/>
          <w:sz w:val="18"/>
          <w:szCs w:val="18"/>
        </w:rPr>
      </w:pPr>
      <w:r w:rsidRPr="0054001B">
        <w:rPr>
          <w:rFonts w:ascii="Century Gothic" w:hAnsi="Century Gothic" w:cs="Arial"/>
          <w:sz w:val="18"/>
          <w:szCs w:val="18"/>
        </w:rPr>
        <w:t xml:space="preserve">Los convenios de asociación a que se refiere el presente artículo </w:t>
      </w:r>
      <w:bookmarkStart w:id="6" w:name="_Hlk36023315"/>
      <w:r w:rsidRPr="0054001B">
        <w:rPr>
          <w:rFonts w:ascii="Century Gothic" w:hAnsi="Century Gothic" w:cs="Arial"/>
          <w:sz w:val="18"/>
          <w:szCs w:val="18"/>
        </w:rPr>
        <w:t>se celebrarán de conformidad con lo dispuesto en el artículo 355 de la Constitución Política</w:t>
      </w:r>
      <w:bookmarkEnd w:id="6"/>
      <w:r w:rsidRPr="0054001B">
        <w:rPr>
          <w:rFonts w:ascii="Century Gothic" w:hAnsi="Century Gothic" w:cs="Arial"/>
          <w:sz w:val="18"/>
          <w:szCs w:val="18"/>
        </w:rPr>
        <w:t>, en ellos se determinará con precisión su objeto, término, obligaciones de las partes, aportes, coordinación y todos aquellos aspectos que se consideren pertinentes”.</w:t>
      </w:r>
    </w:p>
  </w:footnote>
  <w:footnote w:id="5">
    <w:p w14:paraId="04AAB0E5" w14:textId="77777777" w:rsidR="00934D8A" w:rsidRPr="0054001B" w:rsidRDefault="00934D8A" w:rsidP="00934D8A">
      <w:pPr>
        <w:pStyle w:val="Textonotapie"/>
        <w:ind w:firstLine="708"/>
        <w:jc w:val="both"/>
        <w:rPr>
          <w:rFonts w:ascii="Century Gothic" w:hAnsi="Century Gothic" w:cs="Arial"/>
          <w:sz w:val="18"/>
          <w:szCs w:val="18"/>
        </w:rPr>
      </w:pPr>
      <w:r w:rsidRPr="0054001B">
        <w:rPr>
          <w:rStyle w:val="Refdenotaalpie"/>
          <w:rFonts w:ascii="Century Gothic" w:hAnsi="Century Gothic" w:cs="Arial"/>
          <w:sz w:val="18"/>
          <w:szCs w:val="18"/>
        </w:rPr>
        <w:footnoteRef/>
      </w:r>
      <w:r w:rsidRPr="0054001B">
        <w:rPr>
          <w:rFonts w:ascii="Century Gothic" w:hAnsi="Century Gothic" w:cs="Arial"/>
          <w:sz w:val="18"/>
          <w:szCs w:val="18"/>
        </w:rPr>
        <w:t xml:space="preserve"> Concepto del 3 de septiembre de 2019, con radicado No. 2201913000006512.</w:t>
      </w:r>
    </w:p>
  </w:footnote>
  <w:footnote w:id="6">
    <w:p w14:paraId="2350F39F" w14:textId="77777777" w:rsidR="00934D8A" w:rsidRDefault="00934D8A" w:rsidP="00934D8A">
      <w:pPr>
        <w:pStyle w:val="Textonotapie"/>
        <w:ind w:firstLine="709"/>
        <w:jc w:val="both"/>
        <w:rPr>
          <w:rFonts w:ascii="Century Gothic" w:hAnsi="Century Gothic" w:cs="Arial"/>
          <w:sz w:val="18"/>
          <w:szCs w:val="18"/>
        </w:rPr>
      </w:pPr>
    </w:p>
    <w:p w14:paraId="739ED79A" w14:textId="77777777" w:rsidR="00934D8A" w:rsidRPr="0054001B" w:rsidRDefault="00934D8A" w:rsidP="00934D8A">
      <w:pPr>
        <w:pStyle w:val="Textonotapie"/>
        <w:ind w:firstLine="709"/>
        <w:jc w:val="both"/>
        <w:rPr>
          <w:rFonts w:ascii="Century Gothic" w:hAnsi="Century Gothic" w:cs="Arial"/>
          <w:sz w:val="18"/>
          <w:szCs w:val="18"/>
        </w:rPr>
      </w:pPr>
      <w:r w:rsidRPr="0054001B">
        <w:rPr>
          <w:rStyle w:val="Refdenotaalpie"/>
          <w:rFonts w:ascii="Century Gothic" w:hAnsi="Century Gothic" w:cs="Arial"/>
          <w:sz w:val="18"/>
          <w:szCs w:val="18"/>
        </w:rPr>
        <w:footnoteRef/>
      </w:r>
      <w:r w:rsidRPr="0054001B">
        <w:rPr>
          <w:rFonts w:ascii="Century Gothic" w:hAnsi="Century Gothic" w:cs="Arial"/>
          <w:sz w:val="18"/>
          <w:szCs w:val="18"/>
        </w:rPr>
        <w:t xml:space="preserve"> Decreto 092 de 2017: </w:t>
      </w:r>
      <w:r>
        <w:rPr>
          <w:rFonts w:ascii="Century Gothic" w:hAnsi="Century Gothic" w:cs="Arial"/>
          <w:sz w:val="18"/>
          <w:szCs w:val="18"/>
        </w:rPr>
        <w:t>“</w:t>
      </w:r>
      <w:r w:rsidRPr="0054001B">
        <w:rPr>
          <w:rFonts w:ascii="Century Gothic" w:hAnsi="Century Gothic" w:cs="Arial"/>
          <w:sz w:val="18"/>
          <w:szCs w:val="18"/>
        </w:rPr>
        <w:t xml:space="preserve">Artículo 5. </w:t>
      </w:r>
      <w:r w:rsidRPr="0054001B">
        <w:rPr>
          <w:rFonts w:ascii="Century Gothic" w:hAnsi="Century Gothic" w:cs="Arial"/>
          <w:i/>
          <w:iCs/>
          <w:sz w:val="18"/>
          <w:szCs w:val="18"/>
        </w:rPr>
        <w:t>Asociación con entidades privadas sin ánimo de lucro para cumplir actividades propias de las Entidades Estatales.</w:t>
      </w:r>
      <w:r w:rsidRPr="0054001B">
        <w:rPr>
          <w:rFonts w:ascii="Century Gothic" w:hAnsi="Century Gothic" w:cs="Arial"/>
          <w:sz w:val="18"/>
          <w:szCs w:val="18"/>
        </w:rPr>
        <w:t xml:space="preserve"> Los convenios de asociación que celebren entidades privadas sin ánimo de lucro de reconocida idoneidad y Entidades Estatales para el desarrollo conjunto de actividades relacionadas con los cometidos y funciones que a estas les asigna la Ley a los que hace referencia el artículo 96 de la Ley 489 de 1998,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2FC21BAB" w14:textId="77777777" w:rsidR="00934D8A" w:rsidRPr="0054001B" w:rsidRDefault="00934D8A" w:rsidP="00934D8A">
      <w:pPr>
        <w:pStyle w:val="Textonotapie"/>
        <w:ind w:firstLine="709"/>
        <w:jc w:val="both"/>
        <w:rPr>
          <w:rFonts w:ascii="Century Gothic" w:hAnsi="Century Gothic" w:cs="Arial"/>
          <w:sz w:val="18"/>
          <w:szCs w:val="18"/>
        </w:rPr>
      </w:pPr>
      <w:r w:rsidRPr="0054001B">
        <w:rPr>
          <w:rFonts w:ascii="Century Gothic" w:hAnsi="Century Gothic" w:cs="Arial"/>
          <w:sz w:val="18"/>
          <w:szCs w:val="18"/>
        </w:rPr>
        <w:t>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p>
    <w:p w14:paraId="44AC382D" w14:textId="77777777" w:rsidR="00934D8A" w:rsidRPr="0054001B" w:rsidRDefault="00934D8A" w:rsidP="00934D8A">
      <w:pPr>
        <w:pStyle w:val="Textonotapie"/>
        <w:ind w:firstLine="708"/>
        <w:jc w:val="both"/>
        <w:rPr>
          <w:rFonts w:ascii="Century Gothic" w:hAnsi="Century Gothic" w:cs="Arial"/>
          <w:sz w:val="18"/>
          <w:szCs w:val="18"/>
        </w:rPr>
      </w:pPr>
      <w:r w:rsidRPr="0054001B">
        <w:rPr>
          <w:rFonts w:ascii="Century Gothic" w:hAnsi="Century Gothic" w:cs="Arial"/>
          <w:sz w:val="18"/>
          <w:szCs w:val="18"/>
        </w:rPr>
        <w:t>[…]</w:t>
      </w:r>
      <w:r>
        <w:rPr>
          <w:rFonts w:ascii="Century Gothic" w:hAnsi="Century Gothic" w:cs="Arial"/>
          <w:sz w:val="18"/>
          <w:szCs w:val="18"/>
        </w:rPr>
        <w:t>”</w:t>
      </w:r>
      <w:r w:rsidRPr="0054001B">
        <w:rPr>
          <w:rFonts w:ascii="Century Gothic" w:hAnsi="Century Gothic" w:cs="Arial"/>
          <w:sz w:val="18"/>
          <w:szCs w:val="18"/>
        </w:rPr>
        <w:t>.</w:t>
      </w:r>
    </w:p>
    <w:p w14:paraId="1DF3F403" w14:textId="77777777" w:rsidR="00934D8A" w:rsidRPr="0054001B" w:rsidRDefault="00934D8A" w:rsidP="00934D8A">
      <w:pPr>
        <w:pStyle w:val="Textonotapie"/>
        <w:ind w:firstLine="709"/>
        <w:jc w:val="both"/>
        <w:rPr>
          <w:rFonts w:ascii="Century Gothic" w:hAnsi="Century Gothic" w:cs="Arial"/>
          <w:sz w:val="18"/>
          <w:szCs w:val="18"/>
        </w:rPr>
      </w:pPr>
    </w:p>
  </w:footnote>
  <w:footnote w:id="7">
    <w:p w14:paraId="32E4CC84" w14:textId="77777777" w:rsidR="00934D8A" w:rsidRPr="0054001B" w:rsidRDefault="00934D8A" w:rsidP="00934D8A">
      <w:pPr>
        <w:pStyle w:val="Textonotapie"/>
        <w:ind w:firstLine="708"/>
        <w:jc w:val="both"/>
        <w:rPr>
          <w:rFonts w:ascii="Century Gothic" w:hAnsi="Century Gothic" w:cs="Arial"/>
          <w:sz w:val="18"/>
          <w:szCs w:val="18"/>
        </w:rPr>
      </w:pPr>
      <w:r w:rsidRPr="0054001B">
        <w:rPr>
          <w:rStyle w:val="Refdenotaalpie"/>
          <w:rFonts w:ascii="Century Gothic" w:hAnsi="Century Gothic" w:cs="Arial"/>
          <w:sz w:val="18"/>
          <w:szCs w:val="18"/>
        </w:rPr>
        <w:footnoteRef/>
      </w:r>
      <w:r w:rsidRPr="0054001B">
        <w:rPr>
          <w:rFonts w:ascii="Century Gothic" w:hAnsi="Century Gothic" w:cs="Arial"/>
          <w:sz w:val="18"/>
          <w:szCs w:val="18"/>
        </w:rPr>
        <w:t xml:space="preserve"> Sobre la naturaleza de los convenios de asociación, se reitera lo expuesto en el concepto del 19 de noviembre de 2019, con radicado No. 2201913000008611.</w:t>
      </w:r>
    </w:p>
    <w:p w14:paraId="0E86AAFD" w14:textId="77777777" w:rsidR="00934D8A" w:rsidRPr="0054001B" w:rsidRDefault="00934D8A" w:rsidP="00934D8A">
      <w:pPr>
        <w:pStyle w:val="Textonotapie"/>
        <w:ind w:firstLine="708"/>
        <w:jc w:val="both"/>
        <w:rPr>
          <w:rFonts w:ascii="Century Gothic" w:hAnsi="Century Gothic" w:cs="Arial"/>
          <w:sz w:val="18"/>
          <w:szCs w:val="18"/>
        </w:rPr>
      </w:pPr>
    </w:p>
  </w:footnote>
  <w:footnote w:id="8">
    <w:p w14:paraId="5F5A66E1" w14:textId="77777777" w:rsidR="00934D8A" w:rsidRPr="0054001B" w:rsidRDefault="00934D8A" w:rsidP="00934D8A">
      <w:pPr>
        <w:pStyle w:val="Textonotapie"/>
        <w:ind w:firstLine="708"/>
        <w:jc w:val="both"/>
        <w:rPr>
          <w:rFonts w:ascii="Century Gothic" w:hAnsi="Century Gothic" w:cs="Arial"/>
          <w:color w:val="000000" w:themeColor="text1"/>
          <w:sz w:val="18"/>
          <w:szCs w:val="18"/>
        </w:rPr>
      </w:pPr>
      <w:r w:rsidRPr="0054001B">
        <w:rPr>
          <w:rStyle w:val="Refdenotaalpie"/>
          <w:rFonts w:ascii="Century Gothic" w:hAnsi="Century Gothic" w:cs="Arial"/>
          <w:color w:val="000000" w:themeColor="text1"/>
          <w:sz w:val="18"/>
          <w:szCs w:val="18"/>
        </w:rPr>
        <w:footnoteRef/>
      </w:r>
      <w:r w:rsidRPr="0054001B">
        <w:rPr>
          <w:rFonts w:ascii="Century Gothic" w:hAnsi="Century Gothic" w:cs="Arial"/>
          <w:color w:val="000000" w:themeColor="text1"/>
          <w:sz w:val="18"/>
          <w:szCs w:val="18"/>
        </w:rPr>
        <w:t xml:space="preserve"> Cfr. </w:t>
      </w:r>
      <w:bookmarkStart w:id="7" w:name="_Hlk156829568"/>
      <w:r w:rsidRPr="0054001B">
        <w:rPr>
          <w:rFonts w:ascii="Century Gothic" w:hAnsi="Century Gothic" w:cs="Arial"/>
          <w:color w:val="000000" w:themeColor="text1"/>
          <w:sz w:val="18"/>
          <w:szCs w:val="18"/>
        </w:rPr>
        <w:t>Concepto del 21 de agosto de 2019, dictado dentro del radicado No. 2201913000006047.</w:t>
      </w:r>
      <w:bookmarkEnd w:id="7"/>
    </w:p>
  </w:footnote>
  <w:footnote w:id="9">
    <w:p w14:paraId="2A299DB5" w14:textId="77777777" w:rsidR="00934D8A" w:rsidRDefault="00934D8A" w:rsidP="00934D8A">
      <w:pPr>
        <w:pStyle w:val="Textonotapie"/>
        <w:ind w:firstLine="708"/>
        <w:jc w:val="both"/>
        <w:rPr>
          <w:rFonts w:ascii="Century Gothic" w:hAnsi="Century Gothic" w:cs="Arial"/>
          <w:color w:val="000000" w:themeColor="text1"/>
          <w:sz w:val="18"/>
          <w:szCs w:val="18"/>
        </w:rPr>
      </w:pPr>
    </w:p>
    <w:p w14:paraId="1993E5AC" w14:textId="77777777" w:rsidR="00934D8A" w:rsidRPr="0054001B" w:rsidRDefault="00934D8A" w:rsidP="00934D8A">
      <w:pPr>
        <w:pStyle w:val="Textonotapie"/>
        <w:ind w:firstLine="708"/>
        <w:jc w:val="both"/>
        <w:rPr>
          <w:rFonts w:ascii="Century Gothic" w:hAnsi="Century Gothic" w:cs="Arial"/>
          <w:color w:val="000000" w:themeColor="text1"/>
          <w:sz w:val="18"/>
          <w:szCs w:val="18"/>
          <w:lang w:val="es-ES"/>
        </w:rPr>
      </w:pPr>
      <w:r w:rsidRPr="0054001B">
        <w:rPr>
          <w:rStyle w:val="Refdenotaalpie"/>
          <w:rFonts w:ascii="Century Gothic" w:hAnsi="Century Gothic" w:cs="Arial"/>
          <w:color w:val="000000" w:themeColor="text1"/>
          <w:sz w:val="18"/>
          <w:szCs w:val="18"/>
        </w:rPr>
        <w:footnoteRef/>
      </w:r>
      <w:r w:rsidRPr="0054001B">
        <w:rPr>
          <w:rFonts w:ascii="Century Gothic" w:hAnsi="Century Gothic" w:cs="Arial"/>
          <w:color w:val="000000" w:themeColor="text1"/>
          <w:sz w:val="18"/>
          <w:szCs w:val="18"/>
        </w:rPr>
        <w:t xml:space="preserve"> Concepto del 24 de febrero de 2005, con radicado No. 1626, C.P. Dra. Gloria Duque Hernández</w:t>
      </w:r>
    </w:p>
  </w:footnote>
  <w:footnote w:id="10">
    <w:p w14:paraId="59DEC4CF" w14:textId="77777777" w:rsidR="00934D8A" w:rsidRPr="0054001B" w:rsidRDefault="00934D8A" w:rsidP="00934D8A">
      <w:pPr>
        <w:pStyle w:val="Textonotapie"/>
        <w:ind w:firstLine="708"/>
        <w:jc w:val="both"/>
        <w:rPr>
          <w:rFonts w:ascii="Century Gothic" w:hAnsi="Century Gothic" w:cs="Arial"/>
          <w:color w:val="000000" w:themeColor="text1"/>
          <w:sz w:val="18"/>
          <w:szCs w:val="18"/>
        </w:rPr>
      </w:pPr>
      <w:r w:rsidRPr="0054001B">
        <w:rPr>
          <w:rStyle w:val="Refdenotaalpie"/>
          <w:rFonts w:ascii="Century Gothic" w:hAnsi="Century Gothic" w:cs="Arial"/>
          <w:color w:val="000000" w:themeColor="text1"/>
          <w:sz w:val="18"/>
          <w:szCs w:val="18"/>
        </w:rPr>
        <w:footnoteRef/>
      </w:r>
      <w:r w:rsidRPr="0054001B">
        <w:rPr>
          <w:rFonts w:ascii="Century Gothic" w:hAnsi="Century Gothic" w:cs="Arial"/>
          <w:color w:val="000000" w:themeColor="text1"/>
          <w:sz w:val="18"/>
          <w:szCs w:val="18"/>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11">
    <w:p w14:paraId="5231246C" w14:textId="77777777" w:rsidR="00934D8A" w:rsidRDefault="00934D8A" w:rsidP="00934D8A">
      <w:pPr>
        <w:pStyle w:val="Textonotapie"/>
        <w:ind w:firstLine="708"/>
        <w:rPr>
          <w:rFonts w:ascii="Century Gothic" w:hAnsi="Century Gothic"/>
          <w:sz w:val="18"/>
          <w:szCs w:val="18"/>
        </w:rPr>
      </w:pPr>
    </w:p>
    <w:p w14:paraId="424F1A4D" w14:textId="77777777" w:rsidR="00934D8A" w:rsidRPr="0054001B" w:rsidRDefault="00934D8A" w:rsidP="00934D8A">
      <w:pPr>
        <w:pStyle w:val="Textonotapie"/>
        <w:ind w:firstLine="708"/>
        <w:rPr>
          <w:rFonts w:ascii="Century Gothic" w:hAnsi="Century Gothic" w:cs="Arial"/>
          <w:color w:val="000000" w:themeColor="text1"/>
          <w:sz w:val="18"/>
          <w:szCs w:val="18"/>
        </w:rPr>
      </w:pPr>
      <w:r w:rsidRPr="0054001B">
        <w:rPr>
          <w:rStyle w:val="Refdenotaalpie"/>
          <w:rFonts w:ascii="Century Gothic" w:hAnsi="Century Gothic"/>
          <w:sz w:val="18"/>
          <w:szCs w:val="18"/>
        </w:rPr>
        <w:footnoteRef/>
      </w:r>
      <w:r w:rsidRPr="0054001B">
        <w:rPr>
          <w:rFonts w:ascii="Century Gothic" w:hAnsi="Century Gothic"/>
          <w:sz w:val="18"/>
          <w:szCs w:val="18"/>
        </w:rPr>
        <w:t xml:space="preserve"> </w:t>
      </w:r>
      <w:r w:rsidRPr="0054001B">
        <w:rPr>
          <w:rFonts w:ascii="Century Gothic" w:hAnsi="Century Gothic" w:cs="Arial"/>
          <w:color w:val="000000" w:themeColor="text1"/>
          <w:sz w:val="18"/>
          <w:szCs w:val="18"/>
        </w:rPr>
        <w:t>CONSEJO DE ESTADO. Sala Plena. Auto del 15 de marzo de 2022. Exp. 11001-03-26-000-2018-00113-01 (62.003). C.P. Rocío Araújo Oñate.</w:t>
      </w:r>
    </w:p>
  </w:footnote>
  <w:footnote w:id="12">
    <w:p w14:paraId="6FB0D85B" w14:textId="77777777" w:rsidR="00934D8A" w:rsidRDefault="00934D8A" w:rsidP="00934D8A">
      <w:pPr>
        <w:pStyle w:val="Textonotapie"/>
        <w:ind w:firstLine="708"/>
        <w:jc w:val="both"/>
        <w:rPr>
          <w:rFonts w:ascii="Century Gothic" w:hAnsi="Century Gothic" w:cs="Arial"/>
          <w:color w:val="000000" w:themeColor="text1"/>
          <w:sz w:val="18"/>
          <w:szCs w:val="18"/>
        </w:rPr>
      </w:pPr>
    </w:p>
    <w:p w14:paraId="6E6919D6" w14:textId="77777777" w:rsidR="00934D8A" w:rsidRPr="0054001B" w:rsidRDefault="00934D8A" w:rsidP="00934D8A">
      <w:pPr>
        <w:pStyle w:val="Textonotapie"/>
        <w:ind w:firstLine="708"/>
        <w:jc w:val="both"/>
        <w:rPr>
          <w:rFonts w:ascii="Century Gothic" w:eastAsia="Calibri" w:hAnsi="Century Gothic" w:cs="Arial"/>
          <w:color w:val="000000" w:themeColor="text1"/>
          <w:sz w:val="18"/>
          <w:szCs w:val="18"/>
        </w:rPr>
      </w:pPr>
      <w:r w:rsidRPr="0054001B">
        <w:rPr>
          <w:rStyle w:val="Refdenotaalpie"/>
          <w:rFonts w:ascii="Century Gothic" w:hAnsi="Century Gothic" w:cs="Arial"/>
          <w:color w:val="000000" w:themeColor="text1"/>
          <w:sz w:val="18"/>
          <w:szCs w:val="18"/>
        </w:rPr>
        <w:footnoteRef/>
      </w:r>
      <w:r w:rsidRPr="0054001B">
        <w:rPr>
          <w:rFonts w:ascii="Century Gothic" w:hAnsi="Century Gothic" w:cs="Arial"/>
          <w:color w:val="000000" w:themeColor="text1"/>
          <w:sz w:val="18"/>
          <w:szCs w:val="18"/>
        </w:rPr>
        <w:t xml:space="preserve"> </w:t>
      </w:r>
      <w:r w:rsidRPr="0054001B">
        <w:rPr>
          <w:rFonts w:ascii="Century Gothic" w:eastAsia="Calibri" w:hAnsi="Century Gothic" w:cs="Arial"/>
          <w:color w:val="000000" w:themeColor="text1"/>
          <w:sz w:val="18"/>
          <w:szCs w:val="18"/>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footnote>
  <w:footnote w:id="13">
    <w:p w14:paraId="51110D78" w14:textId="77777777" w:rsidR="00934D8A" w:rsidRDefault="00934D8A" w:rsidP="00934D8A">
      <w:pPr>
        <w:pStyle w:val="Textonotapie"/>
        <w:ind w:firstLine="708"/>
        <w:jc w:val="both"/>
        <w:rPr>
          <w:rFonts w:ascii="Century Gothic" w:hAnsi="Century Gothic" w:cs="Arial"/>
          <w:color w:val="000000" w:themeColor="text1"/>
          <w:sz w:val="18"/>
          <w:szCs w:val="18"/>
        </w:rPr>
      </w:pPr>
    </w:p>
    <w:p w14:paraId="163E8FA2" w14:textId="77777777" w:rsidR="00934D8A" w:rsidRPr="0054001B" w:rsidRDefault="00934D8A" w:rsidP="00934D8A">
      <w:pPr>
        <w:pStyle w:val="Textonotapie"/>
        <w:ind w:firstLine="708"/>
        <w:jc w:val="both"/>
        <w:rPr>
          <w:rFonts w:ascii="Century Gothic" w:hAnsi="Century Gothic" w:cs="Arial"/>
          <w:color w:val="000000" w:themeColor="text1"/>
          <w:sz w:val="18"/>
          <w:szCs w:val="18"/>
        </w:rPr>
      </w:pPr>
      <w:r w:rsidRPr="0054001B">
        <w:rPr>
          <w:rStyle w:val="Refdenotaalpie"/>
          <w:rFonts w:ascii="Century Gothic" w:hAnsi="Century Gothic" w:cs="Arial"/>
          <w:color w:val="000000" w:themeColor="text1"/>
          <w:sz w:val="18"/>
          <w:szCs w:val="18"/>
        </w:rPr>
        <w:footnoteRef/>
      </w:r>
      <w:r w:rsidRPr="0054001B">
        <w:rPr>
          <w:rFonts w:ascii="Century Gothic" w:hAnsi="Century Gothic" w:cs="Arial"/>
          <w:color w:val="000000" w:themeColor="text1"/>
          <w:sz w:val="18"/>
          <w:szCs w:val="18"/>
        </w:rPr>
        <w:t xml:space="preserve"> </w:t>
      </w:r>
      <w:r w:rsidRPr="0054001B">
        <w:rPr>
          <w:rFonts w:ascii="Century Gothic" w:eastAsia="Calibri" w:hAnsi="Century Gothic" w:cs="Arial"/>
          <w:color w:val="000000" w:themeColor="text1"/>
          <w:sz w:val="18"/>
          <w:szCs w:val="18"/>
        </w:rPr>
        <w:t>Decreto 092 de 2017, artículo 3, inciso 2: “</w:t>
      </w:r>
      <w:r w:rsidRPr="0054001B">
        <w:rPr>
          <w:rFonts w:ascii="Century Gothic" w:hAnsi="Century Gothic" w:cs="Arial"/>
          <w:color w:val="000000" w:themeColor="text1"/>
          <w:sz w:val="18"/>
          <w:szCs w:val="18"/>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14">
    <w:p w14:paraId="791907EC" w14:textId="77777777" w:rsidR="00934D8A" w:rsidRPr="0054001B" w:rsidRDefault="00934D8A" w:rsidP="00934D8A">
      <w:pPr>
        <w:spacing w:after="0" w:line="240" w:lineRule="auto"/>
        <w:ind w:firstLine="708"/>
        <w:jc w:val="both"/>
        <w:rPr>
          <w:rFonts w:ascii="Century Gothic" w:hAnsi="Century Gothic" w:cs="Arial"/>
          <w:color w:val="000000" w:themeColor="text1"/>
          <w:sz w:val="18"/>
          <w:szCs w:val="18"/>
        </w:rPr>
      </w:pPr>
      <w:r w:rsidRPr="0054001B">
        <w:rPr>
          <w:rFonts w:ascii="Century Gothic" w:hAnsi="Century Gothic" w:cs="Arial"/>
          <w:color w:val="000000" w:themeColor="text1"/>
          <w:sz w:val="18"/>
          <w:szCs w:val="18"/>
          <w:vertAlign w:val="superscript"/>
        </w:rPr>
        <w:footnoteRef/>
      </w:r>
      <w:r w:rsidRPr="0054001B">
        <w:rPr>
          <w:rFonts w:ascii="Century Gothic" w:hAnsi="Century Gothic" w:cs="Arial"/>
          <w:color w:val="000000" w:themeColor="text1"/>
          <w:sz w:val="18"/>
          <w:szCs w:val="18"/>
        </w:rPr>
        <w:t xml:space="preserve"> En el auto del 15 de marzo de 2022 se señalaron los siguientes argumentos para levantar la suspensión provisional del inciso segundo del artículo 3 del Decreto 092 de 2017: “43. En suma, lo que advierte la Sala es que para establecer si el Gobierno nacional delegó indebidamente el ejercicio de la potestad reglamentaria directa de la Constitución, es necesario realizar un estudio de fondo, que es propio de la sentencia, pues de la literalidad de las normas confrontadas no surge que la expedición de la guía, con el alcance orientador y de interpretación señalado en las disposiciones demandadas, corresponda al ejercicio incompleto y trasladado de esa potestad, como lo razona el demandante, o si se trata de la asignación de una función o tarea, dentro de la amplia esfera de configuración normativa que confieren los reglamentos constitucionales autónomos, como lo entiende el Departamento Nacional de Planeación. </w:t>
      </w:r>
    </w:p>
    <w:p w14:paraId="5051F347" w14:textId="77777777" w:rsidR="00934D8A" w:rsidRPr="0054001B" w:rsidRDefault="00934D8A" w:rsidP="00934D8A">
      <w:pPr>
        <w:spacing w:after="0" w:line="240" w:lineRule="auto"/>
        <w:ind w:firstLine="708"/>
        <w:jc w:val="both"/>
        <w:rPr>
          <w:rFonts w:ascii="Century Gothic" w:hAnsi="Century Gothic" w:cs="Arial"/>
          <w:color w:val="000000" w:themeColor="text1"/>
          <w:sz w:val="18"/>
          <w:szCs w:val="18"/>
        </w:rPr>
      </w:pPr>
      <w:r w:rsidRPr="0054001B">
        <w:rPr>
          <w:rFonts w:ascii="Century Gothic" w:hAnsi="Century Gothic" w:cs="Arial"/>
          <w:color w:val="000000" w:themeColor="text1"/>
          <w:sz w:val="18"/>
          <w:szCs w:val="18"/>
        </w:rPr>
        <w:t xml:space="preserve"> 44. Así pues, al no evidenciarse ab initio la infracción constitucional aducida en los términos del artículo 231 de la Ley 1437 de 2011, no existe fundamento jurídico para suspender provisionalmente los efectos del inciso segundo del artículo 1 y del inciso segundo del artículo 3 del Decreto 092 de 2017. En consecuencia, la Sala revocará dicha medida cautelar y la negará en relación con esas disposiciones”. (CONSEJO DE ESTADO. Sala Plena. Auto del 15 de marzo de 2022. Exp. 11001-03-26-000-2018-00113-01 (62.003). C.P. Rocío Araújo Oñate).</w:t>
      </w:r>
    </w:p>
  </w:footnote>
  <w:footnote w:id="15">
    <w:p w14:paraId="72EEBF16" w14:textId="77777777" w:rsidR="00934D8A" w:rsidRPr="0054001B" w:rsidRDefault="00934D8A" w:rsidP="00934D8A">
      <w:pPr>
        <w:spacing w:after="0" w:line="240" w:lineRule="auto"/>
        <w:ind w:firstLine="708"/>
        <w:jc w:val="both"/>
        <w:rPr>
          <w:rFonts w:ascii="Century Gothic" w:hAnsi="Century Gothic" w:cs="Arial"/>
          <w:color w:val="000000" w:themeColor="text1"/>
          <w:sz w:val="18"/>
          <w:szCs w:val="18"/>
        </w:rPr>
      </w:pPr>
      <w:r w:rsidRPr="0054001B">
        <w:rPr>
          <w:rStyle w:val="Refdenotaalpie"/>
          <w:rFonts w:ascii="Century Gothic" w:hAnsi="Century Gothic" w:cs="Arial"/>
          <w:color w:val="000000" w:themeColor="text1"/>
          <w:sz w:val="18"/>
          <w:szCs w:val="18"/>
        </w:rPr>
        <w:footnoteRef/>
      </w:r>
      <w:r w:rsidRPr="0054001B">
        <w:rPr>
          <w:rFonts w:ascii="Century Gothic" w:hAnsi="Century Gothic" w:cs="Arial"/>
          <w:color w:val="000000" w:themeColor="text1"/>
          <w:sz w:val="18"/>
          <w:szCs w:val="18"/>
        </w:rPr>
        <w:t xml:space="preserve"> Decreto 092 de 2017, Artículo 2, literal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footnote>
  <w:footnote w:id="16">
    <w:p w14:paraId="4C259618" w14:textId="77777777" w:rsidR="00934D8A" w:rsidRPr="0054001B" w:rsidRDefault="00934D8A" w:rsidP="00934D8A">
      <w:pPr>
        <w:pStyle w:val="Textonotapie"/>
        <w:ind w:firstLine="708"/>
        <w:jc w:val="both"/>
        <w:rPr>
          <w:rFonts w:ascii="Century Gothic" w:hAnsi="Century Gothic" w:cs="Arial"/>
          <w:color w:val="000000" w:themeColor="text1"/>
          <w:sz w:val="18"/>
          <w:szCs w:val="18"/>
        </w:rPr>
      </w:pPr>
      <w:r w:rsidRPr="0054001B">
        <w:rPr>
          <w:rStyle w:val="Refdenotaalpie"/>
          <w:rFonts w:ascii="Century Gothic" w:hAnsi="Century Gothic" w:cs="Arial"/>
          <w:color w:val="000000" w:themeColor="text1"/>
          <w:sz w:val="18"/>
          <w:szCs w:val="18"/>
        </w:rPr>
        <w:footnoteRef/>
      </w:r>
      <w:r w:rsidRPr="0054001B">
        <w:rPr>
          <w:rFonts w:ascii="Century Gothic" w:hAnsi="Century Gothic" w:cs="Arial"/>
          <w:color w:val="000000" w:themeColor="text1"/>
          <w:sz w:val="18"/>
          <w:szCs w:val="18"/>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footnote>
  <w:footnote w:id="17">
    <w:p w14:paraId="58FBEE29" w14:textId="77777777" w:rsidR="00934D8A" w:rsidRPr="0054001B" w:rsidRDefault="00934D8A" w:rsidP="00934D8A">
      <w:pPr>
        <w:pStyle w:val="Textonotapie"/>
        <w:ind w:firstLine="708"/>
        <w:jc w:val="both"/>
        <w:rPr>
          <w:rFonts w:ascii="Century Gothic" w:hAnsi="Century Gothic" w:cs="Arial"/>
          <w:color w:val="000000" w:themeColor="text1"/>
          <w:sz w:val="18"/>
          <w:szCs w:val="18"/>
          <w:lang w:val="es-ES"/>
        </w:rPr>
      </w:pPr>
      <w:r w:rsidRPr="0054001B">
        <w:rPr>
          <w:rStyle w:val="Refdenotaalpie"/>
          <w:rFonts w:ascii="Century Gothic" w:hAnsi="Century Gothic" w:cs="Arial"/>
          <w:color w:val="000000" w:themeColor="text1"/>
          <w:sz w:val="18"/>
          <w:szCs w:val="18"/>
        </w:rPr>
        <w:footnoteRef/>
      </w:r>
      <w:r w:rsidRPr="0054001B">
        <w:rPr>
          <w:rFonts w:ascii="Century Gothic" w:hAnsi="Century Gothic" w:cs="Arial"/>
          <w:color w:val="000000" w:themeColor="text1"/>
          <w:sz w:val="18"/>
          <w:szCs w:val="18"/>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18">
    <w:p w14:paraId="53EC73C2" w14:textId="77777777" w:rsidR="00934D8A" w:rsidRPr="0054001B" w:rsidRDefault="00934D8A" w:rsidP="00934D8A">
      <w:pPr>
        <w:pStyle w:val="Textonotapie"/>
        <w:ind w:firstLine="708"/>
        <w:jc w:val="both"/>
        <w:rPr>
          <w:rFonts w:ascii="Century Gothic" w:hAnsi="Century Gothic" w:cs="Arial"/>
          <w:sz w:val="18"/>
          <w:szCs w:val="18"/>
        </w:rPr>
      </w:pPr>
      <w:r w:rsidRPr="0054001B">
        <w:rPr>
          <w:rStyle w:val="Refdenotaalpie"/>
          <w:rFonts w:ascii="Century Gothic" w:hAnsi="Century Gothic" w:cs="Arial"/>
          <w:sz w:val="18"/>
          <w:szCs w:val="18"/>
        </w:rPr>
        <w:footnoteRef/>
      </w:r>
      <w:r w:rsidRPr="0054001B">
        <w:rPr>
          <w:rFonts w:ascii="Century Gothic" w:hAnsi="Century Gothic" w:cs="Arial"/>
          <w:sz w:val="18"/>
          <w:szCs w:val="18"/>
        </w:rPr>
        <w:t xml:space="preserve"> De esta manera, agrega que “[…] cuando el reglamento exige correspondencia directa entre los objetos de los contratos y las actividades y programas contenidos específicamente en los planes de desarrollo, excluye aquellos programas y actividades de interés público que desarrollan entidades sin ánimo de lucro y de reconocida idoneidad, que aun cuando acordes con los planes de desarrollo no encajan de manera precisa en alguna de las actividades o programas particulares contemplados en dichos planes” (Cfr. Consejo de Estado. Sala Plena. </w:t>
      </w:r>
      <w:bookmarkStart w:id="11" w:name="_Hlk102655636"/>
      <w:r w:rsidRPr="0054001B">
        <w:rPr>
          <w:rFonts w:ascii="Century Gothic" w:hAnsi="Century Gothic" w:cs="Arial"/>
          <w:sz w:val="18"/>
          <w:szCs w:val="18"/>
        </w:rPr>
        <w:t>Auto del 15 de marzo de 2022</w:t>
      </w:r>
      <w:bookmarkEnd w:id="11"/>
      <w:r w:rsidRPr="0054001B">
        <w:rPr>
          <w:rFonts w:ascii="Century Gothic" w:hAnsi="Century Gothic" w:cs="Arial"/>
          <w:sz w:val="18"/>
          <w:szCs w:val="18"/>
        </w:rPr>
        <w:t>. Exp. 62.003. C.P. Rocío Araújo Oñate).</w:t>
      </w:r>
    </w:p>
  </w:footnote>
  <w:footnote w:id="19">
    <w:p w14:paraId="3121C3A7" w14:textId="77777777" w:rsidR="00934D8A" w:rsidRDefault="00934D8A" w:rsidP="00934D8A">
      <w:pPr>
        <w:pStyle w:val="Textonotapie"/>
        <w:ind w:firstLine="708"/>
        <w:rPr>
          <w:rFonts w:ascii="Century Gothic" w:hAnsi="Century Gothic" w:cs="Arial"/>
          <w:sz w:val="18"/>
          <w:szCs w:val="18"/>
        </w:rPr>
      </w:pPr>
      <w:r w:rsidRPr="0054001B">
        <w:rPr>
          <w:rStyle w:val="Refdenotaalpie"/>
          <w:rFonts w:ascii="Century Gothic" w:hAnsi="Century Gothic" w:cs="Arial"/>
          <w:sz w:val="18"/>
          <w:szCs w:val="18"/>
        </w:rPr>
        <w:footnoteRef/>
      </w:r>
      <w:r w:rsidRPr="0054001B">
        <w:rPr>
          <w:rFonts w:ascii="Century Gothic" w:hAnsi="Century Gothic" w:cs="Arial"/>
          <w:sz w:val="18"/>
          <w:szCs w:val="18"/>
        </w:rPr>
        <w:t xml:space="preserve"> </w:t>
      </w:r>
      <w:r w:rsidRPr="0054001B">
        <w:rPr>
          <w:rFonts w:ascii="Century Gothic" w:hAnsi="Century Gothic" w:cs="Arial"/>
          <w:i/>
          <w:iCs/>
          <w:sz w:val="18"/>
          <w:szCs w:val="18"/>
        </w:rPr>
        <w:t>Ibidem</w:t>
      </w:r>
      <w:r w:rsidRPr="0054001B">
        <w:rPr>
          <w:rFonts w:ascii="Century Gothic" w:hAnsi="Century Gothic" w:cs="Arial"/>
          <w:sz w:val="18"/>
          <w:szCs w:val="18"/>
        </w:rPr>
        <w:t>.</w:t>
      </w:r>
    </w:p>
    <w:p w14:paraId="775B9FE7" w14:textId="77777777" w:rsidR="00934D8A" w:rsidRPr="0054001B" w:rsidRDefault="00934D8A" w:rsidP="00934D8A">
      <w:pPr>
        <w:pStyle w:val="Textonotapie"/>
        <w:ind w:firstLine="708"/>
        <w:rPr>
          <w:rFonts w:ascii="Century Gothic" w:hAnsi="Century Gothic" w:cs="Arial"/>
          <w:sz w:val="18"/>
          <w:szCs w:val="18"/>
        </w:rPr>
      </w:pPr>
    </w:p>
  </w:footnote>
  <w:footnote w:id="20">
    <w:p w14:paraId="111250A4" w14:textId="77777777" w:rsidR="00934D8A" w:rsidRPr="0054001B" w:rsidRDefault="00934D8A" w:rsidP="00934D8A">
      <w:pPr>
        <w:pStyle w:val="Textonotapie"/>
        <w:ind w:firstLine="708"/>
        <w:jc w:val="both"/>
        <w:rPr>
          <w:rFonts w:ascii="Century Gothic" w:hAnsi="Century Gothic" w:cs="Arial"/>
          <w:color w:val="000000" w:themeColor="text1"/>
          <w:sz w:val="18"/>
          <w:szCs w:val="18"/>
        </w:rPr>
      </w:pPr>
      <w:r w:rsidRPr="0054001B">
        <w:rPr>
          <w:rStyle w:val="Refdenotaalpie"/>
          <w:rFonts w:ascii="Century Gothic" w:hAnsi="Century Gothic" w:cs="Arial"/>
          <w:color w:val="000000" w:themeColor="text1"/>
          <w:sz w:val="18"/>
          <w:szCs w:val="18"/>
        </w:rPr>
        <w:footnoteRef/>
      </w:r>
      <w:r w:rsidRPr="0054001B">
        <w:rPr>
          <w:rFonts w:ascii="Century Gothic" w:hAnsi="Century Gothic" w:cs="Arial"/>
          <w:color w:val="000000" w:themeColor="text1"/>
          <w:sz w:val="18"/>
          <w:szCs w:val="18"/>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5077" w14:textId="77777777" w:rsidR="00000000" w:rsidRDefault="00000000">
    <w:pPr>
      <w:pStyle w:val="Encabezado"/>
    </w:pPr>
    <w:r>
      <w:rPr>
        <w:noProof/>
        <w:lang w:eastAsia="es-CO"/>
      </w:rPr>
      <w:drawing>
        <wp:anchor distT="0" distB="0" distL="114300" distR="114300" simplePos="0" relativeHeight="251653632" behindDoc="1" locked="0" layoutInCell="1" allowOverlap="1" wp14:anchorId="474DEC5D" wp14:editId="13718EEB">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lang w:eastAsia="es-CO"/>
      </w:rPr>
      <w:drawing>
        <wp:anchor distT="0" distB="0" distL="114300" distR="114300" simplePos="0" relativeHeight="251663872" behindDoc="0" locked="0" layoutInCell="1" allowOverlap="1" wp14:anchorId="06848CC4" wp14:editId="2618E1F1">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lang w:eastAsia="es-CO"/>
      </w:rPr>
      <w:drawing>
        <wp:anchor distT="0" distB="0" distL="114300" distR="114300" simplePos="0" relativeHeight="251659776" behindDoc="0" locked="0" layoutInCell="1" allowOverlap="1" wp14:anchorId="23A0B0DF" wp14:editId="66AE1814">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6704" behindDoc="0" locked="0" layoutInCell="1" allowOverlap="1" wp14:anchorId="3FDE9287" wp14:editId="58A82806">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1B979124" w14:textId="77777777" w:rsidR="00000000" w:rsidRDefault="00000000">
    <w:pPr>
      <w:pStyle w:val="Encabezado"/>
    </w:pPr>
  </w:p>
  <w:p w14:paraId="20A7D67D" w14:textId="77777777" w:rsidR="00000000" w:rsidRDefault="00000000">
    <w:pPr>
      <w:pStyle w:val="Encabezado"/>
    </w:pPr>
  </w:p>
  <w:p w14:paraId="61DC4D07" w14:textId="77777777" w:rsidR="00000000" w:rsidRPr="004A305D" w:rsidRDefault="00000000"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5B83FAA8" w14:textId="77777777" w:rsidR="00000000" w:rsidRPr="004A305D" w:rsidRDefault="00000000"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w:t>
    </w:r>
    <w:r>
      <w:rPr>
        <w:rFonts w:ascii="Century Gothic" w:eastAsia="Geo" w:hAnsi="Century Gothic" w:cs="Geo"/>
        <w:bCs/>
        <w:color w:val="000000"/>
        <w:sz w:val="16"/>
        <w:szCs w:val="16"/>
        <w:lang w:eastAsia="es-CO"/>
      </w:rPr>
      <w:t>7</w:t>
    </w:r>
  </w:p>
  <w:p w14:paraId="1FD335F8" w14:textId="65B3C068" w:rsidR="00000000" w:rsidRDefault="00000000"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22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04CA2671" w14:textId="77777777" w:rsidR="00000000" w:rsidRPr="005B5D8B" w:rsidRDefault="00000000"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87885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8A"/>
    <w:rsid w:val="005727E1"/>
    <w:rsid w:val="005818E2"/>
    <w:rsid w:val="008E5C2E"/>
    <w:rsid w:val="00934D8A"/>
    <w:rsid w:val="00A1359B"/>
    <w:rsid w:val="00BB28CD"/>
    <w:rsid w:val="00DD49DF"/>
    <w:rsid w:val="00FC41C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BB50"/>
  <w15:chartTrackingRefBased/>
  <w15:docId w15:val="{6BF3AFF3-0B76-4C26-BF7B-448534EC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D8A"/>
    <w:rPr>
      <w:kern w:val="0"/>
      <w14:ligatures w14:val="none"/>
    </w:rPr>
  </w:style>
  <w:style w:type="paragraph" w:styleId="Ttulo1">
    <w:name w:val="heading 1"/>
    <w:basedOn w:val="Normal"/>
    <w:next w:val="Normal"/>
    <w:link w:val="Ttulo1Car"/>
    <w:uiPriority w:val="9"/>
    <w:qFormat/>
    <w:rsid w:val="00934D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4D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4D8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4D8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4D8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4D8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4D8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4D8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4D8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4D8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4D8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4D8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4D8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4D8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4D8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4D8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4D8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4D8A"/>
    <w:rPr>
      <w:rFonts w:eastAsiaTheme="majorEastAsia" w:cstheme="majorBidi"/>
      <w:color w:val="272727" w:themeColor="text1" w:themeTint="D8"/>
    </w:rPr>
  </w:style>
  <w:style w:type="paragraph" w:styleId="Ttulo">
    <w:name w:val="Title"/>
    <w:basedOn w:val="Normal"/>
    <w:next w:val="Normal"/>
    <w:link w:val="TtuloCar"/>
    <w:uiPriority w:val="10"/>
    <w:qFormat/>
    <w:rsid w:val="00934D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4D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4D8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4D8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4D8A"/>
    <w:pPr>
      <w:spacing w:before="160"/>
      <w:jc w:val="center"/>
    </w:pPr>
    <w:rPr>
      <w:i/>
      <w:iCs/>
      <w:color w:val="404040" w:themeColor="text1" w:themeTint="BF"/>
    </w:rPr>
  </w:style>
  <w:style w:type="character" w:customStyle="1" w:styleId="CitaCar">
    <w:name w:val="Cita Car"/>
    <w:basedOn w:val="Fuentedeprrafopredeter"/>
    <w:link w:val="Cita"/>
    <w:uiPriority w:val="29"/>
    <w:rsid w:val="00934D8A"/>
    <w:rPr>
      <w:i/>
      <w:iCs/>
      <w:color w:val="404040" w:themeColor="text1" w:themeTint="BF"/>
    </w:rPr>
  </w:style>
  <w:style w:type="paragraph" w:styleId="Prrafodelista">
    <w:name w:val="List Paragraph"/>
    <w:basedOn w:val="Normal"/>
    <w:uiPriority w:val="34"/>
    <w:qFormat/>
    <w:rsid w:val="00934D8A"/>
    <w:pPr>
      <w:ind w:left="720"/>
      <w:contextualSpacing/>
    </w:pPr>
  </w:style>
  <w:style w:type="character" w:styleId="nfasisintenso">
    <w:name w:val="Intense Emphasis"/>
    <w:basedOn w:val="Fuentedeprrafopredeter"/>
    <w:uiPriority w:val="21"/>
    <w:qFormat/>
    <w:rsid w:val="00934D8A"/>
    <w:rPr>
      <w:i/>
      <w:iCs/>
      <w:color w:val="0F4761" w:themeColor="accent1" w:themeShade="BF"/>
    </w:rPr>
  </w:style>
  <w:style w:type="paragraph" w:styleId="Citadestacada">
    <w:name w:val="Intense Quote"/>
    <w:basedOn w:val="Normal"/>
    <w:next w:val="Normal"/>
    <w:link w:val="CitadestacadaCar"/>
    <w:uiPriority w:val="30"/>
    <w:qFormat/>
    <w:rsid w:val="00934D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4D8A"/>
    <w:rPr>
      <w:i/>
      <w:iCs/>
      <w:color w:val="0F4761" w:themeColor="accent1" w:themeShade="BF"/>
    </w:rPr>
  </w:style>
  <w:style w:type="character" w:styleId="Referenciaintensa">
    <w:name w:val="Intense Reference"/>
    <w:basedOn w:val="Fuentedeprrafopredeter"/>
    <w:uiPriority w:val="32"/>
    <w:qFormat/>
    <w:rsid w:val="00934D8A"/>
    <w:rPr>
      <w:b/>
      <w:bCs/>
      <w:smallCaps/>
      <w:color w:val="0F4761" w:themeColor="accent1" w:themeShade="BF"/>
      <w:spacing w:val="5"/>
    </w:rPr>
  </w:style>
  <w:style w:type="paragraph" w:styleId="Encabezado">
    <w:name w:val="header"/>
    <w:basedOn w:val="Normal"/>
    <w:link w:val="EncabezadoCar"/>
    <w:uiPriority w:val="99"/>
    <w:unhideWhenUsed/>
    <w:rsid w:val="00934D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4D8A"/>
    <w:rPr>
      <w:kern w:val="0"/>
      <w14:ligatures w14:val="none"/>
    </w:rPr>
  </w:style>
  <w:style w:type="paragraph" w:styleId="Piedepgina">
    <w:name w:val="footer"/>
    <w:basedOn w:val="Normal"/>
    <w:link w:val="PiedepginaCar"/>
    <w:uiPriority w:val="99"/>
    <w:unhideWhenUsed/>
    <w:rsid w:val="00934D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4D8A"/>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34D8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934D8A"/>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934D8A"/>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934D8A"/>
    <w:rPr>
      <w:vertAlign w:val="superscript"/>
    </w:rPr>
  </w:style>
  <w:style w:type="table" w:styleId="Tablaconcuadrcula">
    <w:name w:val="Table Grid"/>
    <w:basedOn w:val="Tablanormal"/>
    <w:uiPriority w:val="39"/>
    <w:rsid w:val="00934D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4D8A"/>
    <w:rPr>
      <w:color w:val="0000FF"/>
      <w:u w:val="single"/>
    </w:rPr>
  </w:style>
  <w:style w:type="paragraph" w:customStyle="1" w:styleId="Appelnotedebasde">
    <w:name w:val="Appel note de bas de..."/>
    <w:basedOn w:val="Normal"/>
    <w:link w:val="Refdenotaalpie"/>
    <w:uiPriority w:val="99"/>
    <w:rsid w:val="00934D8A"/>
    <w:pPr>
      <w:spacing w:line="240" w:lineRule="exact"/>
    </w:pPr>
    <w:rPr>
      <w:kern w:val="2"/>
      <w:vertAlign w:val="superscript"/>
      <w14:ligatures w14:val="standardContextual"/>
    </w:rPr>
  </w:style>
  <w:style w:type="character" w:customStyle="1" w:styleId="wacimagecontainer">
    <w:name w:val="wacimagecontainer"/>
    <w:basedOn w:val="Fuentedeprrafopredeter"/>
    <w:rsid w:val="00BB2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659482-B3CE-45A4-A26D-99055F52B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2F936-B30A-41B0-9EC3-AE15E7C146E2}">
  <ds:schemaRefs>
    <ds:schemaRef ds:uri="http://schemas.microsoft.com/sharepoint/v3/contenttype/forms"/>
  </ds:schemaRefs>
</ds:datastoreItem>
</file>

<file path=customXml/itemProps3.xml><?xml version="1.0" encoding="utf-8"?>
<ds:datastoreItem xmlns:ds="http://schemas.openxmlformats.org/officeDocument/2006/customXml" ds:itemID="{9EEA3A5D-AC0D-48AC-86C8-BD612EA35B9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6530</Words>
  <Characters>35919</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Nasly Yeana Mosquera Rivas</cp:lastModifiedBy>
  <cp:revision>3</cp:revision>
  <dcterms:created xsi:type="dcterms:W3CDTF">2024-03-20T20:31:00Z</dcterms:created>
  <dcterms:modified xsi:type="dcterms:W3CDTF">2024-03-20T20:34:00Z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