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3666A" w:rsidR="00C13D11" w:rsidP="00C13D11" w:rsidRDefault="00C13D11" w14:paraId="2560A962" w14:textId="77777777">
      <w:pPr>
        <w:spacing w:after="0"/>
        <w:rPr>
          <w:rFonts w:ascii="Century Gothic" w:hAnsi="Century Gothic"/>
          <w:sz w:val="20"/>
          <w:szCs w:val="20"/>
        </w:rPr>
      </w:pPr>
      <w:bookmarkStart w:name="_Hlk94281581" w:id="0"/>
      <w:bookmarkStart w:name="_Hlk102489058" w:id="1"/>
      <w:bookmarkStart w:name="_Hlk34951122" w:id="2"/>
    </w:p>
    <w:p w:rsidRPr="00A1045E" w:rsidR="00C13D11" w:rsidP="00C13D11" w:rsidRDefault="00C13D11" w14:paraId="084EEC59" w14:textId="77777777">
      <w:pPr>
        <w:spacing w:after="0" w:line="240" w:lineRule="auto"/>
        <w:jc w:val="both"/>
        <w:rPr>
          <w:rFonts w:ascii="Century Gothic" w:hAnsi="Century Gothic" w:eastAsia="Times New Roman" w:cs="Arial"/>
          <w:b/>
          <w:lang w:val="es-ES" w:eastAsia="es-ES_tradnl"/>
        </w:rPr>
      </w:pPr>
      <w:r w:rsidRPr="00A1045E">
        <w:rPr>
          <w:rFonts w:ascii="Century Gothic" w:hAnsi="Century Gothic" w:eastAsia="Calibri" w:cs="Arial"/>
          <w:b/>
          <w:lang w:val="es-MX" w:eastAsia="es-ES_tradnl"/>
        </w:rPr>
        <w:t xml:space="preserve">CABILDOS INDÍGENAS – AUTORIDADES TRADICIONALES INDÍGENAS – ASOCIACIONES DE CABILDOS INDÍGENAS Y/O AUTORIDADES TRADICIONALES INDÍGENAS – CONSEJOS INDÍGENAS Y ORGANIZACIONES INDÍGENAS – Noción – </w:t>
      </w:r>
      <w:r w:rsidRPr="00A1045E">
        <w:rPr>
          <w:rFonts w:ascii="Century Gothic" w:hAnsi="Century Gothic" w:eastAsia="Times New Roman" w:cs="Arial"/>
          <w:b/>
          <w:lang w:val="es-ES" w:eastAsia="es-ES_tradnl"/>
        </w:rPr>
        <w:t>Régimen de contratación – Decreto 1088 de 1993 – Decreto 252 de 2020 – Ley 1551 de 2012 – Decreto 1953 de 2014 – Ley 2160 de 2021 – Ley 2294 de 2023</w:t>
      </w:r>
    </w:p>
    <w:p w:rsidRPr="0003666A" w:rsidR="00C13D11" w:rsidP="00C13D11" w:rsidRDefault="00C13D11" w14:paraId="56CDBA58" w14:textId="77777777">
      <w:pPr>
        <w:spacing w:after="0" w:line="240" w:lineRule="auto"/>
        <w:jc w:val="both"/>
        <w:rPr>
          <w:rFonts w:ascii="Century Gothic" w:hAnsi="Century Gothic" w:eastAsia="Times New Roman" w:cs="Arial"/>
          <w:b/>
          <w:sz w:val="20"/>
          <w:szCs w:val="20"/>
          <w:lang w:val="es-ES" w:eastAsia="es-ES_tradnl"/>
        </w:rPr>
      </w:pPr>
    </w:p>
    <w:p w:rsidR="00C13D11" w:rsidP="00C13D11" w:rsidRDefault="00C13D11" w14:paraId="2D729BA9" w14:textId="77777777">
      <w:pPr>
        <w:spacing w:after="0" w:line="240" w:lineRule="auto"/>
        <w:jc w:val="both"/>
        <w:rPr>
          <w:rFonts w:ascii="Century Gothic" w:hAnsi="Century Gothic" w:eastAsia="Arial" w:cs="Arial"/>
          <w:sz w:val="20"/>
          <w:szCs w:val="20"/>
          <w:lang w:val="es-ES"/>
        </w:rPr>
      </w:pPr>
      <w:r>
        <w:rPr>
          <w:rFonts w:ascii="Century Gothic" w:hAnsi="Century Gothic" w:eastAsia="Arial" w:cs="Arial"/>
          <w:sz w:val="20"/>
          <w:szCs w:val="20"/>
          <w:lang w:val="es-ES"/>
        </w:rPr>
        <w:t>L</w:t>
      </w:r>
      <w:r w:rsidRPr="00390319">
        <w:rPr>
          <w:rFonts w:ascii="Century Gothic" w:hAnsi="Century Gothic" w:eastAsia="Arial" w:cs="Arial"/>
          <w:sz w:val="20"/>
          <w:szCs w:val="20"/>
          <w:lang w:val="es-ES"/>
        </w:rPr>
        <w:t>a Ley 2160 de 2021, “Por medio del cual se modifica la Ley 80 de 1993 y la Ley 1150 de 2007”, estableció nuevas regulaciones con respecto a la capacidad contractual y naturaleza jurídica de varios tipos de organización, entre ellas los cabildos indígenas y asociaciones de autoridades tradicionales indígenas. Teniendo en cuenta esta filosofía y objetivos buscados en el proyecto de ley, esta modificó, entre otras cosas, el artículo 7 de la Ley 80 de 1993 mediante su artículo 3°</w:t>
      </w:r>
      <w:r>
        <w:rPr>
          <w:rFonts w:ascii="Century Gothic" w:hAnsi="Century Gothic" w:eastAsia="Arial" w:cs="Arial"/>
          <w:sz w:val="20"/>
          <w:szCs w:val="20"/>
          <w:lang w:val="es-ES"/>
        </w:rPr>
        <w:t xml:space="preserve"> […]</w:t>
      </w:r>
    </w:p>
    <w:p w:rsidRPr="00390319" w:rsidR="00C13D11" w:rsidP="00C13D11" w:rsidRDefault="00C13D11" w14:paraId="20CA6622" w14:textId="77777777">
      <w:pPr>
        <w:spacing w:after="0" w:line="240" w:lineRule="auto"/>
        <w:jc w:val="both"/>
        <w:rPr>
          <w:rFonts w:ascii="Century Gothic" w:hAnsi="Century Gothic" w:eastAsia="Arial" w:cs="Arial"/>
          <w:sz w:val="20"/>
          <w:szCs w:val="20"/>
          <w:lang w:val="es-ES"/>
        </w:rPr>
      </w:pPr>
      <w:r w:rsidRPr="00390319">
        <w:rPr>
          <w:rFonts w:ascii="Century Gothic" w:hAnsi="Century Gothic" w:eastAsia="Arial" w:cs="Arial"/>
          <w:sz w:val="20"/>
          <w:szCs w:val="20"/>
          <w:lang w:val="es-ES"/>
        </w:rPr>
        <w:t xml:space="preserve"> </w:t>
      </w:r>
    </w:p>
    <w:p w:rsidR="00C13D11" w:rsidP="00C13D11" w:rsidRDefault="00C13D11" w14:paraId="0FBCE1A0" w14:textId="77777777">
      <w:pPr>
        <w:spacing w:after="0" w:line="240" w:lineRule="auto"/>
        <w:jc w:val="both"/>
        <w:rPr>
          <w:rFonts w:ascii="Century Gothic" w:hAnsi="Century Gothic" w:eastAsia="Arial" w:cs="Arial"/>
          <w:sz w:val="20"/>
          <w:szCs w:val="20"/>
          <w:lang w:val="es-ES"/>
        </w:rPr>
      </w:pPr>
      <w:r>
        <w:rPr>
          <w:rFonts w:ascii="Century Gothic" w:hAnsi="Century Gothic" w:eastAsia="Arial" w:cs="Arial"/>
          <w:sz w:val="20"/>
          <w:szCs w:val="20"/>
          <w:lang w:val="es-ES"/>
        </w:rPr>
        <w:t>[…]</w:t>
      </w:r>
    </w:p>
    <w:p w:rsidRPr="00390319" w:rsidR="00C13D11" w:rsidP="00C13D11" w:rsidRDefault="00C13D11" w14:paraId="5C285E3C" w14:textId="77777777">
      <w:pPr>
        <w:spacing w:after="0" w:line="240" w:lineRule="auto"/>
        <w:jc w:val="both"/>
        <w:rPr>
          <w:rFonts w:ascii="Century Gothic" w:hAnsi="Century Gothic" w:eastAsia="Arial" w:cs="Arial"/>
          <w:sz w:val="20"/>
          <w:szCs w:val="20"/>
          <w:lang w:val="es-ES"/>
        </w:rPr>
      </w:pPr>
    </w:p>
    <w:p w:rsidR="00C13D11" w:rsidP="00C13D11" w:rsidRDefault="00C13D11" w14:paraId="13B41CF5" w14:textId="77777777">
      <w:pPr>
        <w:spacing w:after="0" w:line="240" w:lineRule="auto"/>
        <w:jc w:val="both"/>
        <w:rPr>
          <w:rFonts w:ascii="Century Gothic" w:hAnsi="Century Gothic" w:eastAsia="Arial" w:cs="Arial"/>
          <w:sz w:val="20"/>
          <w:szCs w:val="20"/>
          <w:lang w:val="es-ES"/>
        </w:rPr>
      </w:pPr>
      <w:r>
        <w:rPr>
          <w:rFonts w:ascii="Century Gothic" w:hAnsi="Century Gothic" w:eastAsia="Arial" w:cs="Arial"/>
          <w:sz w:val="20"/>
          <w:szCs w:val="20"/>
          <w:lang w:val="es-ES"/>
        </w:rPr>
        <w:t xml:space="preserve">[…] </w:t>
      </w:r>
      <w:r w:rsidRPr="00390319">
        <w:rPr>
          <w:rFonts w:ascii="Century Gothic" w:hAnsi="Century Gothic" w:eastAsia="Arial" w:cs="Arial"/>
          <w:sz w:val="20"/>
          <w:szCs w:val="20"/>
          <w:lang w:val="es-ES"/>
        </w:rPr>
        <w:t>el anterior artículo fue modificado por el artículo 354 la Ley 2294 de 2023, Por el cual se expide el Plan Nacional de Desarrollo 2022-2026 "Colombia Potencia Mundial de la Vida”, estableciendo una nueva definición para “Asociaciones de autoridades tradicionales indígenas”, denominándola ahora “Asociaciones de cabildos indígenas y/o autoridades tradicionales indígenas” y adicionó como entidad para contratar al “Consejo Indígena”</w:t>
      </w:r>
      <w:r>
        <w:rPr>
          <w:rFonts w:ascii="Century Gothic" w:hAnsi="Century Gothic" w:eastAsia="Arial" w:cs="Arial"/>
          <w:sz w:val="20"/>
          <w:szCs w:val="20"/>
          <w:lang w:val="es-ES"/>
        </w:rPr>
        <w:t xml:space="preserve"> […]</w:t>
      </w:r>
    </w:p>
    <w:p w:rsidRPr="00A1045E" w:rsidR="00C13D11" w:rsidP="00C13D11" w:rsidRDefault="00C13D11" w14:paraId="7FC7B1D3" w14:textId="77777777">
      <w:pPr>
        <w:spacing w:after="0" w:line="240" w:lineRule="auto"/>
        <w:jc w:val="both"/>
        <w:rPr>
          <w:rFonts w:ascii="Century Gothic" w:hAnsi="Century Gothic" w:eastAsia="Arial" w:cs="Arial"/>
          <w:sz w:val="20"/>
          <w:szCs w:val="20"/>
          <w:lang w:val="es-ES"/>
        </w:rPr>
      </w:pPr>
    </w:p>
    <w:p w:rsidR="00C13D11" w:rsidP="00C13D11" w:rsidRDefault="00C13D11" w14:paraId="2AFDEF27" w14:textId="77777777">
      <w:pPr>
        <w:spacing w:after="0" w:line="240" w:lineRule="auto"/>
        <w:jc w:val="both"/>
        <w:rPr>
          <w:rFonts w:ascii="Century Gothic" w:hAnsi="Century Gothic" w:eastAsia="Arial" w:cs="Arial"/>
          <w:sz w:val="20"/>
          <w:szCs w:val="20"/>
          <w:lang w:val="es-ES"/>
        </w:rPr>
      </w:pPr>
      <w:r w:rsidRPr="00A1045E">
        <w:rPr>
          <w:rFonts w:ascii="Century Gothic" w:hAnsi="Century Gothic" w:eastAsia="Arial" w:cs="Arial"/>
          <w:sz w:val="20"/>
          <w:szCs w:val="20"/>
          <w:lang w:val="es-ES"/>
        </w:rPr>
        <w:t>[…]</w:t>
      </w:r>
    </w:p>
    <w:p w:rsidRPr="00A1045E" w:rsidR="00C13D11" w:rsidP="00C13D11" w:rsidRDefault="00C13D11" w14:paraId="6ACC7C9D" w14:textId="77777777">
      <w:pPr>
        <w:spacing w:after="0" w:line="240" w:lineRule="auto"/>
        <w:jc w:val="both"/>
        <w:rPr>
          <w:rFonts w:ascii="Century Gothic" w:hAnsi="Century Gothic" w:eastAsia="Arial" w:cs="Arial"/>
          <w:sz w:val="20"/>
          <w:szCs w:val="20"/>
          <w:lang w:val="es-ES"/>
        </w:rPr>
      </w:pPr>
    </w:p>
    <w:p w:rsidRPr="00A1045E" w:rsidR="00C13D11" w:rsidP="00C13D11" w:rsidRDefault="00C13D11" w14:paraId="41D57DE2" w14:textId="77777777">
      <w:pPr>
        <w:spacing w:after="0" w:line="240" w:lineRule="auto"/>
        <w:jc w:val="both"/>
        <w:rPr>
          <w:rFonts w:ascii="Century Gothic" w:hAnsi="Century Gothic" w:eastAsia="Calibri" w:cs="Arial"/>
          <w:sz w:val="20"/>
          <w:szCs w:val="20"/>
          <w:lang w:val="es-MX"/>
        </w:rPr>
      </w:pPr>
      <w:r>
        <w:rPr>
          <w:rFonts w:ascii="Century Gothic" w:hAnsi="Century Gothic" w:eastAsia="Arial" w:cs="Arial"/>
          <w:sz w:val="20"/>
          <w:szCs w:val="20"/>
          <w:lang w:val="es-ES"/>
        </w:rPr>
        <w:t>D</w:t>
      </w:r>
      <w:r w:rsidRPr="00572460">
        <w:rPr>
          <w:rFonts w:ascii="Century Gothic" w:hAnsi="Century Gothic" w:eastAsia="Arial" w:cs="Arial"/>
          <w:sz w:val="20"/>
          <w:szCs w:val="20"/>
          <w:lang w:val="es-ES"/>
        </w:rPr>
        <w:t xml:space="preserve">e los regímenes de contratación expuestos, puede concluirse que: i) los cabildos indígenas en virtud de lo consagrado en el Decreto 2164 de 1995 y en la Ley 2160 de 2021 que modificó el artículo 7 de la Ley 80 de 1993, deben entenderse como entidades públicas especiales; </w:t>
      </w:r>
      <w:proofErr w:type="spellStart"/>
      <w:r w:rsidRPr="00572460">
        <w:rPr>
          <w:rFonts w:ascii="Century Gothic" w:hAnsi="Century Gothic" w:eastAsia="Arial" w:cs="Arial"/>
          <w:sz w:val="20"/>
          <w:szCs w:val="20"/>
          <w:lang w:val="es-ES"/>
        </w:rPr>
        <w:t>ii</w:t>
      </w:r>
      <w:proofErr w:type="spellEnd"/>
      <w:r w:rsidRPr="00572460">
        <w:rPr>
          <w:rFonts w:ascii="Century Gothic" w:hAnsi="Century Gothic" w:eastAsia="Arial" w:cs="Arial"/>
          <w:sz w:val="20"/>
          <w:szCs w:val="20"/>
          <w:lang w:val="es-ES"/>
        </w:rPr>
        <w:t xml:space="preserve">) las autoridades tradicionales indígenas son consideradas entidades de derecho público de conformidad con lo dispuesto en el Decreto 1088 de 1993 y la Ley 2294 de 2023; </w:t>
      </w:r>
      <w:proofErr w:type="spellStart"/>
      <w:r w:rsidRPr="00572460">
        <w:rPr>
          <w:rFonts w:ascii="Century Gothic" w:hAnsi="Century Gothic" w:eastAsia="Arial" w:cs="Arial"/>
          <w:sz w:val="20"/>
          <w:szCs w:val="20"/>
          <w:lang w:val="es-ES"/>
        </w:rPr>
        <w:t>iii</w:t>
      </w:r>
      <w:proofErr w:type="spellEnd"/>
      <w:r w:rsidRPr="00572460">
        <w:rPr>
          <w:rFonts w:ascii="Century Gothic" w:hAnsi="Century Gothic" w:eastAsia="Arial" w:cs="Arial"/>
          <w:sz w:val="20"/>
          <w:szCs w:val="20"/>
          <w:lang w:val="es-ES"/>
        </w:rPr>
        <w:t xml:space="preserve">) las asociaciones de cabildos indígenas y/o autoridades tradicionales indígenas son consideradas entidades de derecho público de conformidad a lo expuesto en los Decretos 1088 de 1993 y 252 de 2020 y en la Ley 2294 de 2023; </w:t>
      </w:r>
      <w:proofErr w:type="spellStart"/>
      <w:r w:rsidRPr="00572460">
        <w:rPr>
          <w:rFonts w:ascii="Century Gothic" w:hAnsi="Century Gothic" w:eastAsia="Arial" w:cs="Arial"/>
          <w:sz w:val="20"/>
          <w:szCs w:val="20"/>
          <w:lang w:val="es-ES"/>
        </w:rPr>
        <w:t>iv</w:t>
      </w:r>
      <w:proofErr w:type="spellEnd"/>
      <w:r w:rsidRPr="00572460">
        <w:rPr>
          <w:rFonts w:ascii="Century Gothic" w:hAnsi="Century Gothic" w:eastAsia="Arial" w:cs="Arial"/>
          <w:sz w:val="20"/>
          <w:szCs w:val="20"/>
          <w:lang w:val="es-ES"/>
        </w:rPr>
        <w:t>) los consejos Indígenas, de conformidad con lo dispuesto en el artículo 330 constitucional, disponen que a través de estos se representarán ante el Gobierno Nacional y demás entidades a los territorios indígenas, entre otras funciones cuya naturaleza se le puede catalogar de derecho público, no obstante, lo anterior no fue definido expresamente por la Ley 2294 de 2023; v) las organizaciones indígenas, en estricto sentido, no fueron definidas como entidades de derecho público, por el contrario, la Ley 1551 de 2012 permite observar que frente a aquellas se aplicaría derecho privado, sin embargo, hay que tener en cuenta por quiénes estarán constituidas dichas organizaciones, pues en virtud del Decreto 252 de 2020 se les permitió a las organizaciones indígenas celebrar contratos o convenios de manera directa con las entidades estatales, siempre y cuando estén conformadas exclusivamente por cabildos indígenas, resguardos indígenas, asociaciones de cabildos, asociación de autoridades u otra forma de autoridad indígena propia; y vi) se considerarán entidades estatales aquellos resguardos que se asocien para administrar y ejecutar los recursos del SGP, en virtud de lo contemplado en el Decreto 1953 de 2014.</w:t>
      </w:r>
    </w:p>
    <w:p w:rsidR="00C13D11" w:rsidP="00C13D11" w:rsidRDefault="00C13D11" w14:paraId="364B21D7" w14:textId="77777777">
      <w:pPr>
        <w:spacing w:after="0" w:line="240" w:lineRule="auto"/>
        <w:jc w:val="both"/>
        <w:rPr>
          <w:rFonts w:ascii="Century Gothic" w:hAnsi="Century Gothic" w:eastAsia="Calibri" w:cs="Arial"/>
          <w:sz w:val="20"/>
          <w:szCs w:val="20"/>
          <w:lang w:val="es-ES_tradnl" w:eastAsia="es-ES_tradnl"/>
        </w:rPr>
      </w:pPr>
    </w:p>
    <w:p w:rsidRPr="00A1045E" w:rsidR="00C13D11" w:rsidP="00C13D11" w:rsidRDefault="00C13D11" w14:paraId="7B5E0DAB" w14:textId="77777777">
      <w:pPr>
        <w:spacing w:after="0" w:line="240" w:lineRule="auto"/>
        <w:jc w:val="both"/>
        <w:rPr>
          <w:rFonts w:ascii="Century Gothic" w:hAnsi="Century Gothic" w:eastAsia="Times New Roman" w:cs="Arial"/>
          <w:b/>
          <w:lang w:val="es-ES" w:eastAsia="es-ES_tradnl"/>
        </w:rPr>
      </w:pPr>
      <w:r>
        <w:rPr>
          <w:rFonts w:ascii="Century Gothic" w:hAnsi="Century Gothic" w:eastAsia="Calibri" w:cs="Arial"/>
          <w:b/>
          <w:lang w:val="es-MX" w:eastAsia="es-ES_tradnl"/>
        </w:rPr>
        <w:t>PUEBLOS Y COMUNIDADES INDÍGENAS – A</w:t>
      </w:r>
      <w:r w:rsidRPr="00D72D6A">
        <w:rPr>
          <w:rFonts w:ascii="Century Gothic" w:hAnsi="Century Gothic" w:eastAsia="Calibri" w:cs="Arial"/>
          <w:b/>
          <w:lang w:val="es-MX" w:eastAsia="es-ES_tradnl"/>
        </w:rPr>
        <w:t>rt</w:t>
      </w:r>
      <w:r>
        <w:rPr>
          <w:rFonts w:ascii="Century Gothic" w:hAnsi="Century Gothic" w:eastAsia="Calibri" w:cs="Arial"/>
          <w:b/>
          <w:lang w:val="es-MX" w:eastAsia="es-ES_tradnl"/>
        </w:rPr>
        <w:t>.</w:t>
      </w:r>
      <w:r w:rsidRPr="00D72D6A">
        <w:rPr>
          <w:rFonts w:ascii="Century Gothic" w:hAnsi="Century Gothic" w:eastAsia="Calibri" w:cs="Arial"/>
          <w:b/>
          <w:lang w:val="es-MX" w:eastAsia="es-ES_tradnl"/>
        </w:rPr>
        <w:t xml:space="preserve"> 35</w:t>
      </w:r>
      <w:r>
        <w:rPr>
          <w:rFonts w:ascii="Century Gothic" w:hAnsi="Century Gothic" w:eastAsia="Calibri" w:cs="Arial"/>
          <w:b/>
          <w:lang w:val="es-MX" w:eastAsia="es-ES_tradnl"/>
        </w:rPr>
        <w:t>3</w:t>
      </w:r>
      <w:r w:rsidRPr="00D72D6A">
        <w:rPr>
          <w:rFonts w:ascii="Century Gothic" w:hAnsi="Century Gothic" w:eastAsia="Calibri" w:cs="Arial"/>
          <w:b/>
          <w:lang w:val="es-MX" w:eastAsia="es-ES_tradnl"/>
        </w:rPr>
        <w:t xml:space="preserve"> </w:t>
      </w:r>
      <w:r>
        <w:rPr>
          <w:rFonts w:ascii="Century Gothic" w:hAnsi="Century Gothic" w:eastAsia="Calibri" w:cs="Arial"/>
          <w:b/>
          <w:lang w:val="es-MX" w:eastAsia="es-ES_tradnl"/>
        </w:rPr>
        <w:t xml:space="preserve">de </w:t>
      </w:r>
      <w:r w:rsidRPr="00D72D6A">
        <w:rPr>
          <w:rFonts w:ascii="Century Gothic" w:hAnsi="Century Gothic" w:eastAsia="Calibri" w:cs="Arial"/>
          <w:b/>
          <w:lang w:val="es-MX" w:eastAsia="es-ES_tradnl"/>
        </w:rPr>
        <w:t>la Ley 2294 de 2023</w:t>
      </w:r>
      <w:r>
        <w:rPr>
          <w:rFonts w:ascii="Century Gothic" w:hAnsi="Century Gothic" w:eastAsia="Calibri" w:cs="Arial"/>
          <w:b/>
          <w:lang w:val="es-MX" w:eastAsia="es-ES_tradnl"/>
        </w:rPr>
        <w:t xml:space="preserve"> – Contratación directa – S</w:t>
      </w:r>
      <w:r w:rsidRPr="00D72D6A">
        <w:rPr>
          <w:rFonts w:ascii="Century Gothic" w:hAnsi="Century Gothic" w:eastAsia="Calibri" w:cs="Arial"/>
          <w:b/>
          <w:lang w:val="es-MX" w:eastAsia="es-ES_tradnl"/>
        </w:rPr>
        <w:t>atisfacción de necesidades y/o servicios públicos</w:t>
      </w:r>
      <w:r>
        <w:rPr>
          <w:rFonts w:ascii="Century Gothic" w:hAnsi="Century Gothic" w:eastAsia="Calibri" w:cs="Arial"/>
          <w:b/>
          <w:lang w:val="es-MX" w:eastAsia="es-ES_tradnl"/>
        </w:rPr>
        <w:t xml:space="preserve"> – Conceptos jurídicos indeterminados – Alcance</w:t>
      </w:r>
    </w:p>
    <w:p w:rsidRPr="0003666A" w:rsidR="00C13D11" w:rsidP="00C13D11" w:rsidRDefault="00C13D11" w14:paraId="623F4DC8" w14:textId="77777777">
      <w:pPr>
        <w:spacing w:after="0" w:line="240" w:lineRule="auto"/>
        <w:jc w:val="both"/>
        <w:rPr>
          <w:rFonts w:ascii="Century Gothic" w:hAnsi="Century Gothic" w:eastAsia="Times New Roman" w:cs="Arial"/>
          <w:b/>
          <w:sz w:val="20"/>
          <w:szCs w:val="20"/>
          <w:lang w:val="es-ES" w:eastAsia="es-ES_tradnl"/>
        </w:rPr>
      </w:pPr>
    </w:p>
    <w:p w:rsidR="00C13D11" w:rsidP="00C13D11" w:rsidRDefault="00C13D11" w14:paraId="3197EAD1" w14:textId="77777777">
      <w:pPr>
        <w:spacing w:after="0" w:line="240" w:lineRule="auto"/>
        <w:jc w:val="both"/>
        <w:rPr>
          <w:rFonts w:ascii="Century Gothic" w:hAnsi="Century Gothic" w:eastAsia="Arial" w:cs="Arial"/>
          <w:sz w:val="20"/>
          <w:szCs w:val="20"/>
          <w:lang w:val="es-ES"/>
        </w:rPr>
      </w:pPr>
      <w:r>
        <w:rPr>
          <w:rFonts w:ascii="Century Gothic" w:hAnsi="Century Gothic" w:eastAsia="Arial" w:cs="Arial"/>
          <w:sz w:val="20"/>
          <w:szCs w:val="20"/>
          <w:lang w:val="es-ES"/>
        </w:rPr>
        <w:t xml:space="preserve">[…] </w:t>
      </w:r>
      <w:r w:rsidRPr="00D72D6A">
        <w:rPr>
          <w:rFonts w:ascii="Century Gothic" w:hAnsi="Century Gothic" w:eastAsia="Arial" w:cs="Arial"/>
          <w:sz w:val="20"/>
          <w:szCs w:val="20"/>
          <w:lang w:val="es-ES"/>
        </w:rPr>
        <w:t>en ausencia de una reglamentación que precise el objeto de la causal de contratación directa, los programas, planes y proyectos del plan de desarrollo relacionados con la satisfacción de necesidades y/o servicios públicos de los pueblos y comunidades indígenas se entienden dentro del sentido general de las palabras, como dispone el inciso primero del artículo 28 del Código Civil. En primer lugar, para la RAE las “necesidades” aluden a la “Carencia de las cosas que son menester para la conservación de la vida” así como al “Especial riesgo o peligro que se padece, y en que se necesita pronto auxilio”. Estas necesidades pueden relacionarse con condiciones precarias de vivienda, dificultades para acceder a los servicios de salud, bajos niveles de educación, malas condiciones sanitarias, dificultades para acceder al empleo, etc. En términos generales, se trata de necesidades cuya satisfacción es indispensable para la existencia humana. Para estos efectos, el DANE construye un Índice de Necesidades Básicas Insatisfechas, el cual constituye una metodología para identificar carencias críticas de la población y caracterizar la pobreza.</w:t>
      </w:r>
    </w:p>
    <w:p w:rsidRPr="00D72D6A" w:rsidR="00C13D11" w:rsidP="00C13D11" w:rsidRDefault="00C13D11" w14:paraId="2C1822C0" w14:textId="77777777">
      <w:pPr>
        <w:spacing w:after="0" w:line="240" w:lineRule="auto"/>
        <w:jc w:val="both"/>
        <w:rPr>
          <w:rFonts w:ascii="Century Gothic" w:hAnsi="Century Gothic" w:eastAsia="Arial" w:cs="Arial"/>
          <w:sz w:val="20"/>
          <w:szCs w:val="20"/>
          <w:lang w:val="es-ES"/>
        </w:rPr>
      </w:pPr>
    </w:p>
    <w:p w:rsidR="00C13D11" w:rsidP="00C13D11" w:rsidRDefault="00C13D11" w14:paraId="34F9FCE3" w14:textId="77777777">
      <w:pPr>
        <w:spacing w:after="0" w:line="240" w:lineRule="auto"/>
        <w:jc w:val="both"/>
        <w:rPr>
          <w:rFonts w:ascii="Century Gothic" w:hAnsi="Century Gothic" w:eastAsia="Arial" w:cs="Arial"/>
          <w:sz w:val="20"/>
          <w:szCs w:val="20"/>
          <w:lang w:val="es-ES"/>
        </w:rPr>
      </w:pPr>
      <w:r w:rsidRPr="00D72D6A">
        <w:rPr>
          <w:rFonts w:ascii="Century Gothic" w:hAnsi="Century Gothic" w:eastAsia="Arial" w:cs="Arial"/>
          <w:sz w:val="20"/>
          <w:szCs w:val="20"/>
          <w:lang w:val="es-ES"/>
        </w:rPr>
        <w:t xml:space="preserve">En segundo lugar, los “servicios públicos” son “[…] aquellas actividades que el Estado tiene el deber de prestar a todos los habitantes del territorio nacional, de manera eficiente, regular y continua, en igualdad de condiciones, en forma directa, o mediante el concurso de los particulares, con el propósito de satisfacer las necesidades de interés general que la sociedad demanda” . Mas allá de una concepción meramente orgánica, el concepto de servicio público está unido a un aspecto material, pues si “Las autoridades de la República están instituidas para […] para asegurar el cumplimiento de los deberes sociales del Estado y de los particulares” –inc. 2, art. 2 Constitucional– es claro que “Los servicios públicos son inherentes a la finalidad social del Estado” –inc. 1°, art. 365 superior–. </w:t>
      </w:r>
    </w:p>
    <w:p w:rsidRPr="00D72D6A" w:rsidR="00C13D11" w:rsidP="00C13D11" w:rsidRDefault="00C13D11" w14:paraId="756761D6" w14:textId="77777777">
      <w:pPr>
        <w:spacing w:after="0" w:line="240" w:lineRule="auto"/>
        <w:jc w:val="both"/>
        <w:rPr>
          <w:rFonts w:ascii="Century Gothic" w:hAnsi="Century Gothic" w:eastAsia="Arial" w:cs="Arial"/>
          <w:sz w:val="20"/>
          <w:szCs w:val="20"/>
          <w:lang w:val="es-ES"/>
        </w:rPr>
      </w:pPr>
    </w:p>
    <w:p w:rsidR="00C13D11" w:rsidP="00C13D11" w:rsidRDefault="00C13D11" w14:paraId="1A2132A0" w14:textId="77777777">
      <w:pPr>
        <w:spacing w:after="0" w:line="240" w:lineRule="auto"/>
        <w:jc w:val="both"/>
        <w:rPr>
          <w:rFonts w:ascii="Century Gothic" w:hAnsi="Century Gothic" w:eastAsia="Arial" w:cs="Arial"/>
          <w:sz w:val="20"/>
          <w:szCs w:val="20"/>
          <w:lang w:val="es-ES"/>
        </w:rPr>
      </w:pPr>
      <w:r w:rsidRPr="00D72D6A">
        <w:rPr>
          <w:rFonts w:ascii="Century Gothic" w:hAnsi="Century Gothic" w:eastAsia="Arial" w:cs="Arial"/>
          <w:sz w:val="20"/>
          <w:szCs w:val="20"/>
          <w:lang w:val="es-ES"/>
        </w:rPr>
        <w:t xml:space="preserve">Pueden existir necesidades que estén relacionadas con la prestación de servicios públicos: este es el caso, por ejemplo, de la salud, la educación, el agua potable y el saneamiento básico. Al fortalecerse la prestación de estos servicios, se cubren necesidades de la población. Sin embargo, como se desprende de la redacción de la casual, este nexo no tiene carácter necesario. Por ejemplo, los problemas relacionados con la vivienda o las dificultades para acceder al empleo –más que la prestación de algún servicio de naturaleza asistencial– pueden requerir medidas de fomento. Así, el literal l) del artículo 4.2 de la Ley 1150 de 2007 se refiere a “[…] la satisfacción de necesidades y/o servicios públicos […], es decir, el objeto del contrato o convenio puede referirse a uno, a otro o a ambos, siempre que se trate de programas, planes y proyectos del plan de desarrollo relacionados con los pueblos y comunidades indígenas.   </w:t>
      </w:r>
    </w:p>
    <w:p w:rsidRPr="00D72D6A" w:rsidR="00C13D11" w:rsidP="00C13D11" w:rsidRDefault="00C13D11" w14:paraId="069FDC8D" w14:textId="77777777">
      <w:pPr>
        <w:spacing w:after="0" w:line="240" w:lineRule="auto"/>
        <w:jc w:val="both"/>
        <w:rPr>
          <w:rFonts w:ascii="Century Gothic" w:hAnsi="Century Gothic" w:eastAsia="Arial" w:cs="Arial"/>
          <w:sz w:val="20"/>
          <w:szCs w:val="20"/>
          <w:lang w:val="es-ES"/>
        </w:rPr>
      </w:pPr>
    </w:p>
    <w:p w:rsidR="00C13D11" w:rsidP="00C13D11" w:rsidRDefault="00C13D11" w14:paraId="3DDCB815" w14:textId="77777777">
      <w:pPr>
        <w:spacing w:after="0" w:line="240" w:lineRule="auto"/>
        <w:jc w:val="both"/>
        <w:rPr>
          <w:rFonts w:ascii="Century Gothic" w:hAnsi="Century Gothic" w:eastAsia="Calibri" w:cs="Arial"/>
          <w:sz w:val="20"/>
          <w:szCs w:val="20"/>
          <w:lang w:val="es-ES_tradnl" w:eastAsia="es-ES_tradnl"/>
        </w:rPr>
      </w:pPr>
      <w:r w:rsidRPr="00D72D6A">
        <w:rPr>
          <w:rFonts w:ascii="Century Gothic" w:hAnsi="Century Gothic" w:eastAsia="Arial" w:cs="Arial"/>
          <w:sz w:val="20"/>
          <w:szCs w:val="20"/>
          <w:lang w:val="es-ES"/>
        </w:rPr>
        <w:t xml:space="preserve">Como se explicó </w:t>
      </w:r>
      <w:r w:rsidRPr="00D72D6A">
        <w:rPr>
          <w:rFonts w:ascii="Century Gothic" w:hAnsi="Century Gothic" w:eastAsia="Arial" w:cs="Arial"/>
          <w:i/>
          <w:iCs/>
          <w:sz w:val="20"/>
          <w:szCs w:val="20"/>
          <w:lang w:val="es-ES"/>
        </w:rPr>
        <w:t>ut supra</w:t>
      </w:r>
      <w:r w:rsidRPr="00D72D6A">
        <w:rPr>
          <w:rFonts w:ascii="Century Gothic" w:hAnsi="Century Gothic" w:eastAsia="Arial" w:cs="Arial"/>
          <w:sz w:val="20"/>
          <w:szCs w:val="20"/>
          <w:lang w:val="es-ES"/>
        </w:rPr>
        <w:t xml:space="preserve">, los conceptos jurídicos indeterminados no suponen la discrecionalidad de las autoridades. Con esa orientación, el tribunal constitucional ha señalado que, para la determinación de su alcance, los operadores jurídicos deben acudir a los valores, los principios y las reglas de derecho que sirven de fundamento a la institución jurídica en cuya regulación está contenido dicho concepto. Estos criterios o herramientas servirán de apoyo en el proceso intelectivo de los operadores jurídicos. Por regla general, </w:t>
      </w:r>
      <w:r w:rsidRPr="00D72D6A">
        <w:rPr>
          <w:rFonts w:ascii="Century Gothic" w:hAnsi="Century Gothic" w:eastAsia="Arial" w:cs="Arial"/>
          <w:sz w:val="20"/>
          <w:szCs w:val="20"/>
          <w:lang w:val="es-ES"/>
        </w:rPr>
        <w:t>la determinación del alcance de este tipo de conceptos exige que el operador jurídico lleve a cabo juicios de valor, lo cual no excluye el respectivo control.</w:t>
      </w:r>
    </w:p>
    <w:p w:rsidR="00C13D11" w:rsidP="00C13D11" w:rsidRDefault="00C13D11" w14:paraId="578ED392" w14:textId="77777777">
      <w:pPr>
        <w:spacing w:after="0" w:line="240" w:lineRule="auto"/>
        <w:jc w:val="both"/>
        <w:rPr>
          <w:rFonts w:ascii="Century Gothic" w:hAnsi="Century Gothic" w:eastAsia="Calibri" w:cs="Arial"/>
          <w:sz w:val="20"/>
          <w:szCs w:val="20"/>
          <w:lang w:val="es-ES_tradnl" w:eastAsia="es-ES_tradnl"/>
        </w:rPr>
      </w:pPr>
    </w:p>
    <w:p w:rsidR="00C13D11" w:rsidP="00C13D11" w:rsidRDefault="00C13D11" w14:paraId="1D576EFE" w14:textId="77777777">
      <w:pPr>
        <w:spacing w:after="0" w:line="240" w:lineRule="auto"/>
        <w:jc w:val="both"/>
        <w:rPr>
          <w:rFonts w:ascii="Century Gothic" w:hAnsi="Century Gothic" w:eastAsia="Calibri" w:cs="Arial"/>
          <w:b/>
          <w:lang w:val="es-MX" w:eastAsia="es-ES_tradnl"/>
        </w:rPr>
      </w:pPr>
      <w:r>
        <w:rPr>
          <w:rFonts w:ascii="Century Gothic" w:hAnsi="Century Gothic" w:eastAsia="Calibri" w:cs="Arial"/>
          <w:b/>
          <w:lang w:val="es-MX" w:eastAsia="es-ES_tradnl"/>
        </w:rPr>
        <w:t>A</w:t>
      </w:r>
      <w:r w:rsidRPr="00D72D6A">
        <w:rPr>
          <w:rFonts w:ascii="Century Gothic" w:hAnsi="Century Gothic" w:eastAsia="Calibri" w:cs="Arial"/>
          <w:b/>
          <w:lang w:val="es-MX" w:eastAsia="es-ES_tradnl"/>
        </w:rPr>
        <w:t>RT</w:t>
      </w:r>
      <w:r>
        <w:rPr>
          <w:rFonts w:ascii="Century Gothic" w:hAnsi="Century Gothic" w:eastAsia="Calibri" w:cs="Arial"/>
          <w:b/>
          <w:lang w:val="es-MX" w:eastAsia="es-ES_tradnl"/>
        </w:rPr>
        <w:t>.</w:t>
      </w:r>
      <w:r w:rsidRPr="00D72D6A">
        <w:rPr>
          <w:rFonts w:ascii="Century Gothic" w:hAnsi="Century Gothic" w:eastAsia="Calibri" w:cs="Arial"/>
          <w:b/>
          <w:lang w:val="es-MX" w:eastAsia="es-ES_tradnl"/>
        </w:rPr>
        <w:t xml:space="preserve"> 35</w:t>
      </w:r>
      <w:r>
        <w:rPr>
          <w:rFonts w:ascii="Century Gothic" w:hAnsi="Century Gothic" w:eastAsia="Calibri" w:cs="Arial"/>
          <w:b/>
          <w:lang w:val="es-MX" w:eastAsia="es-ES_tradnl"/>
        </w:rPr>
        <w:t>3</w:t>
      </w:r>
      <w:r w:rsidRPr="00D72D6A">
        <w:rPr>
          <w:rFonts w:ascii="Century Gothic" w:hAnsi="Century Gothic" w:eastAsia="Calibri" w:cs="Arial"/>
          <w:b/>
          <w:lang w:val="es-MX" w:eastAsia="es-ES_tradnl"/>
        </w:rPr>
        <w:t xml:space="preserve"> </w:t>
      </w:r>
      <w:r>
        <w:rPr>
          <w:rFonts w:ascii="Century Gothic" w:hAnsi="Century Gothic" w:eastAsia="Calibri" w:cs="Arial"/>
          <w:b/>
          <w:lang w:val="es-MX" w:eastAsia="es-ES_tradnl"/>
        </w:rPr>
        <w:t xml:space="preserve">DE </w:t>
      </w:r>
      <w:r w:rsidRPr="00D72D6A">
        <w:rPr>
          <w:rFonts w:ascii="Century Gothic" w:hAnsi="Century Gothic" w:eastAsia="Calibri" w:cs="Arial"/>
          <w:b/>
          <w:lang w:val="es-MX" w:eastAsia="es-ES_tradnl"/>
        </w:rPr>
        <w:t>LA LEY 2294 DE 2023</w:t>
      </w:r>
      <w:r>
        <w:rPr>
          <w:rFonts w:ascii="Century Gothic" w:hAnsi="Century Gothic" w:eastAsia="Calibri" w:cs="Arial"/>
          <w:b/>
          <w:lang w:val="es-MX" w:eastAsia="es-ES_tradnl"/>
        </w:rPr>
        <w:t xml:space="preserve"> – Contratación directa – Idoneidad – Conceptos jurídicos indeterminados – Enfoque diferencial – </w:t>
      </w:r>
      <w:r w:rsidRPr="00906C9A">
        <w:rPr>
          <w:rFonts w:ascii="Century Gothic" w:hAnsi="Century Gothic" w:eastAsia="Calibri" w:cs="Arial"/>
          <w:b/>
          <w:lang w:val="es-MX" w:eastAsia="es-ES_tradnl"/>
        </w:rPr>
        <w:t xml:space="preserve">Pueblos </w:t>
      </w:r>
      <w:r>
        <w:rPr>
          <w:rFonts w:ascii="Century Gothic" w:hAnsi="Century Gothic" w:eastAsia="Calibri" w:cs="Arial"/>
          <w:b/>
          <w:lang w:val="es-MX" w:eastAsia="es-ES_tradnl"/>
        </w:rPr>
        <w:t>y c</w:t>
      </w:r>
      <w:r w:rsidRPr="00906C9A">
        <w:rPr>
          <w:rFonts w:ascii="Century Gothic" w:hAnsi="Century Gothic" w:eastAsia="Calibri" w:cs="Arial"/>
          <w:b/>
          <w:lang w:val="es-MX" w:eastAsia="es-ES_tradnl"/>
        </w:rPr>
        <w:t>omunidades Indígenas</w:t>
      </w:r>
    </w:p>
    <w:p w:rsidRPr="00906C9A" w:rsidR="00C13D11" w:rsidP="00C13D11" w:rsidRDefault="00C13D11" w14:paraId="3E49CFC7" w14:textId="77777777">
      <w:pPr>
        <w:spacing w:after="0" w:line="240" w:lineRule="auto"/>
        <w:jc w:val="both"/>
        <w:rPr>
          <w:rFonts w:ascii="Century Gothic" w:hAnsi="Century Gothic" w:eastAsia="Calibri" w:cs="Arial"/>
          <w:b/>
          <w:sz w:val="20"/>
          <w:szCs w:val="20"/>
          <w:lang w:val="es-MX" w:eastAsia="es-ES_tradnl"/>
        </w:rPr>
      </w:pPr>
    </w:p>
    <w:p w:rsidR="00C13D11" w:rsidP="00C13D11" w:rsidRDefault="00C13D11" w14:paraId="30B4E667" w14:textId="77777777">
      <w:pPr>
        <w:spacing w:after="0" w:line="240" w:lineRule="auto"/>
        <w:jc w:val="both"/>
        <w:rPr>
          <w:rFonts w:ascii="Century Gothic" w:hAnsi="Century Gothic" w:eastAsia="Calibri" w:cs="Arial"/>
          <w:bCs/>
          <w:sz w:val="20"/>
          <w:szCs w:val="20"/>
          <w:lang w:val="es-MX" w:eastAsia="es-ES_tradnl"/>
        </w:rPr>
      </w:pPr>
      <w:r>
        <w:rPr>
          <w:rFonts w:ascii="Century Gothic" w:hAnsi="Century Gothic" w:eastAsia="Calibri" w:cs="Arial"/>
          <w:bCs/>
          <w:sz w:val="20"/>
          <w:szCs w:val="20"/>
          <w:lang w:val="es-MX" w:eastAsia="es-ES_tradnl"/>
        </w:rPr>
        <w:t xml:space="preserve">[…] </w:t>
      </w:r>
      <w:r w:rsidRPr="00906C9A">
        <w:rPr>
          <w:rFonts w:ascii="Century Gothic" w:hAnsi="Century Gothic" w:eastAsia="Calibri" w:cs="Arial"/>
          <w:bCs/>
          <w:sz w:val="20"/>
          <w:szCs w:val="20"/>
          <w:lang w:val="es-MX" w:eastAsia="es-ES_tradnl"/>
        </w:rPr>
        <w:t xml:space="preserve">el artículo 353 de la Ley 2294 de 2023 –que modificó el literal l) al artículo 4.2 de la Ley 1150 de 2007– dispone que en los contratos o convenios suscritos “[…] se contemplará la ejecución de obras públicas que impliquen actividades de mantenimiento y/o mejoramiento de infraestructura social y de transporte, así como suministrar bienes y/o servicios para los que se acredite idoneidad, la cual deberá ser valorada teniendo en cuenta un enfoque diferencial”. Esto implica una calificación de los Cabildos Indígenas, las asociaciones de Cabildos Indígenas y/o Autoridades Tradicionales Indígenas, Consejos Indígenas y Organizaciones Indígenas, pues la idoneidad para ejecutar las obras mencionadas, suministrar bienes o prestar servicios es un requisito sine qua non de la causal de la causal de contratación directa.  </w:t>
      </w:r>
    </w:p>
    <w:p w:rsidRPr="00906C9A" w:rsidR="00C13D11" w:rsidP="00C13D11" w:rsidRDefault="00C13D11" w14:paraId="26F7C07B" w14:textId="77777777">
      <w:pPr>
        <w:spacing w:after="0" w:line="240" w:lineRule="auto"/>
        <w:jc w:val="both"/>
        <w:rPr>
          <w:rFonts w:ascii="Century Gothic" w:hAnsi="Century Gothic" w:eastAsia="Calibri" w:cs="Arial"/>
          <w:bCs/>
          <w:sz w:val="20"/>
          <w:szCs w:val="20"/>
          <w:lang w:val="es-MX" w:eastAsia="es-ES_tradnl"/>
        </w:rPr>
      </w:pPr>
      <w:r w:rsidRPr="00906C9A">
        <w:rPr>
          <w:rFonts w:ascii="Century Gothic" w:hAnsi="Century Gothic" w:eastAsia="Calibri" w:cs="Arial"/>
          <w:bCs/>
          <w:sz w:val="20"/>
          <w:szCs w:val="20"/>
          <w:lang w:val="es-MX" w:eastAsia="es-ES_tradnl"/>
        </w:rPr>
        <w:t xml:space="preserve"> </w:t>
      </w:r>
    </w:p>
    <w:p w:rsidR="00C13D11" w:rsidP="00C13D11" w:rsidRDefault="00C13D11" w14:paraId="099FF7F8" w14:textId="77777777">
      <w:pPr>
        <w:spacing w:after="0" w:line="240" w:lineRule="auto"/>
        <w:jc w:val="both"/>
        <w:rPr>
          <w:rFonts w:ascii="Century Gothic" w:hAnsi="Century Gothic" w:eastAsia="Calibri" w:cs="Arial"/>
          <w:bCs/>
          <w:sz w:val="20"/>
          <w:szCs w:val="20"/>
          <w:lang w:val="es-MX" w:eastAsia="es-ES_tradnl"/>
        </w:rPr>
      </w:pPr>
      <w:r w:rsidRPr="00906C9A">
        <w:rPr>
          <w:rFonts w:ascii="Century Gothic" w:hAnsi="Century Gothic" w:eastAsia="Calibri" w:cs="Arial"/>
          <w:bCs/>
          <w:sz w:val="20"/>
          <w:szCs w:val="20"/>
          <w:lang w:val="es-MX" w:eastAsia="es-ES_tradnl"/>
        </w:rPr>
        <w:t xml:space="preserve">Se trata de un requisito plasmado en un </w:t>
      </w:r>
      <w:r w:rsidRPr="00906C9A">
        <w:rPr>
          <w:rFonts w:ascii="Century Gothic" w:hAnsi="Century Gothic" w:eastAsia="Calibri" w:cs="Arial"/>
          <w:bCs/>
          <w:i/>
          <w:iCs/>
          <w:sz w:val="20"/>
          <w:szCs w:val="20"/>
          <w:lang w:val="es-MX" w:eastAsia="es-ES_tradnl"/>
        </w:rPr>
        <w:t>concepto jurídicamente indeterminado</w:t>
      </w:r>
      <w:r w:rsidRPr="00906C9A">
        <w:rPr>
          <w:rFonts w:ascii="Century Gothic" w:hAnsi="Century Gothic" w:eastAsia="Calibri" w:cs="Arial"/>
          <w:bCs/>
          <w:sz w:val="20"/>
          <w:szCs w:val="20"/>
          <w:lang w:val="es-MX" w:eastAsia="es-ES_tradnl"/>
        </w:rPr>
        <w:t xml:space="preserve"> que es necesario llenar de contenido en cada caso concreto. Conforme al diccionario de la RAE, lo “idóneo” se refiere a que es “Adecuado y apropiado para algo”, lo que indica una serie de aptitudes para cumplir un fin determinado. Esto se confirma en el diccionario panhispánico del español jurídico, donde la RAE alude a la “Cualidad personal necesaria para la prestación de un servicio concreto o la asunción de un cargo”. Este requisito también se exige, por ejemplo, para la celebración de contratos de prestación de servicios profesionales y de apoyo a la gestión –art. 2.2.1.2.1.4.9 del Decreto 1082 de 2015– y para suscribir contratos del artículo 355 superior con entidades privadas sin ánimo de lucro –art. 3 del Decreto 092 de 2017–.</w:t>
      </w:r>
    </w:p>
    <w:p w:rsidRPr="00906C9A" w:rsidR="00C13D11" w:rsidP="00C13D11" w:rsidRDefault="00C13D11" w14:paraId="58F88AEE" w14:textId="77777777">
      <w:pPr>
        <w:spacing w:after="0" w:line="240" w:lineRule="auto"/>
        <w:jc w:val="both"/>
        <w:rPr>
          <w:rFonts w:ascii="Century Gothic" w:hAnsi="Century Gothic" w:eastAsia="Calibri" w:cs="Arial"/>
          <w:bCs/>
          <w:sz w:val="20"/>
          <w:szCs w:val="20"/>
          <w:lang w:val="es-MX" w:eastAsia="es-ES_tradnl"/>
        </w:rPr>
      </w:pPr>
    </w:p>
    <w:p w:rsidR="00C13D11" w:rsidP="00C13D11" w:rsidRDefault="00C13D11" w14:paraId="51F6C23F" w14:textId="77777777">
      <w:pPr>
        <w:spacing w:after="0" w:line="240" w:lineRule="auto"/>
        <w:jc w:val="both"/>
        <w:rPr>
          <w:rFonts w:ascii="Century Gothic" w:hAnsi="Century Gothic" w:eastAsia="Calibri" w:cs="Arial"/>
          <w:bCs/>
          <w:sz w:val="20"/>
          <w:szCs w:val="20"/>
          <w:lang w:val="es-MX" w:eastAsia="es-ES_tradnl"/>
        </w:rPr>
      </w:pPr>
      <w:r w:rsidRPr="00906C9A">
        <w:rPr>
          <w:rFonts w:ascii="Century Gothic" w:hAnsi="Century Gothic" w:eastAsia="Calibri" w:cs="Arial"/>
          <w:bCs/>
          <w:sz w:val="20"/>
          <w:szCs w:val="20"/>
          <w:lang w:val="es-MX" w:eastAsia="es-ES_tradnl"/>
        </w:rPr>
        <w:t xml:space="preserve">Dicha idoneidad, como mínimo, se precisa en términos de conocimiento y de experiencia, es decir, en la combinación entre el “saber” y el “saber hacer”. Estas capacidades se analizan en relación con el objeto del contrato, de donde se deprenden aptitudes teóricas y prácticas para ejecutar el proyecto. Además de lo anterior, puede verificarse con criterios como las capacidades del personal vinculado, una estructura organizacional robusta, la implementación y cumplimiento de indicadores de gestión, reputación del organismo en el medio, entre otras. Como se observa, la idoneidad es un concepto que se determina de forma valorativa, esto es, de acuerdo con el parámetro de verificación que se adopte. </w:t>
      </w:r>
    </w:p>
    <w:p w:rsidRPr="00906C9A" w:rsidR="00C13D11" w:rsidP="00C13D11" w:rsidRDefault="00C13D11" w14:paraId="0286D969" w14:textId="77777777">
      <w:pPr>
        <w:spacing w:after="0" w:line="240" w:lineRule="auto"/>
        <w:jc w:val="both"/>
        <w:rPr>
          <w:rFonts w:ascii="Century Gothic" w:hAnsi="Century Gothic" w:eastAsia="Calibri" w:cs="Arial"/>
          <w:bCs/>
          <w:sz w:val="20"/>
          <w:szCs w:val="20"/>
          <w:lang w:val="es-MX" w:eastAsia="es-ES_tradnl"/>
        </w:rPr>
      </w:pPr>
    </w:p>
    <w:p w:rsidRPr="00906C9A" w:rsidR="00C13D11" w:rsidP="00C13D11" w:rsidRDefault="00C13D11" w14:paraId="0A4F418D" w14:textId="77777777">
      <w:pPr>
        <w:spacing w:after="0" w:line="240" w:lineRule="auto"/>
        <w:jc w:val="both"/>
        <w:rPr>
          <w:rFonts w:ascii="Century Gothic" w:hAnsi="Century Gothic" w:eastAsia="Calibri" w:cs="Arial"/>
          <w:bCs/>
          <w:sz w:val="20"/>
          <w:szCs w:val="20"/>
          <w:lang w:val="es-MX" w:eastAsia="es-ES_tradnl"/>
        </w:rPr>
      </w:pPr>
      <w:r w:rsidRPr="00906C9A">
        <w:rPr>
          <w:rFonts w:ascii="Century Gothic" w:hAnsi="Century Gothic" w:eastAsia="Calibri" w:cs="Arial"/>
          <w:bCs/>
          <w:sz w:val="20"/>
          <w:szCs w:val="20"/>
          <w:lang w:val="es-MX" w:eastAsia="es-ES_tradnl"/>
        </w:rPr>
        <w:t>Al tratarse de pueblos y comunidades indígenas, la norma dispone que est</w:t>
      </w:r>
      <w:r>
        <w:rPr>
          <w:rFonts w:ascii="Century Gothic" w:hAnsi="Century Gothic" w:eastAsia="Calibri" w:cs="Arial"/>
          <w:bCs/>
          <w:sz w:val="20"/>
          <w:szCs w:val="20"/>
          <w:lang w:val="es-MX" w:eastAsia="es-ES_tradnl"/>
        </w:rPr>
        <w:t>a circunstancia</w:t>
      </w:r>
      <w:r w:rsidRPr="00906C9A">
        <w:rPr>
          <w:rFonts w:ascii="Century Gothic" w:hAnsi="Century Gothic" w:eastAsia="Calibri" w:cs="Arial"/>
          <w:bCs/>
          <w:sz w:val="20"/>
          <w:szCs w:val="20"/>
          <w:lang w:val="es-MX" w:eastAsia="es-ES_tradnl"/>
        </w:rPr>
        <w:t xml:space="preserve"> “[…] deberá ser valorada teniendo en cuenta un enfoque diferencial […]”. Desde un punto de vista jurídico, estos organismos no tienen como objeto la ejecución directa de grandes obras de infraestructura, aspecto que influye en la imposibilidad de acreditar conocimientos y experiencia en las mismas condiciones que un contratista en el marco de un proceso con pluralidad de oferentes regido por el EGCAP. No obstante, además de establecer la idoneidad en términos de apropiación de los saberes ancestrales y los beneficios de su implementación en el proyecto, la Administración también validarla respecto a las capacidades propias de los pueblos y comunidades o de quienes los conformen, en aspectos como, por ejemplo, la ejecución exitosa de convenios o contratos </w:t>
      </w:r>
      <w:r w:rsidRPr="00906C9A">
        <w:rPr>
          <w:rFonts w:ascii="Century Gothic" w:hAnsi="Century Gothic" w:eastAsia="Calibri" w:cs="Arial"/>
          <w:bCs/>
          <w:sz w:val="20"/>
          <w:szCs w:val="20"/>
          <w:lang w:val="es-MX" w:eastAsia="es-ES_tradnl"/>
        </w:rPr>
        <w:t>anteriores con objeto similar o la acreditación de competencias específicas del personal que integren al cumplimiento de obligaciones como mano de obra.</w:t>
      </w:r>
    </w:p>
    <w:p w:rsidR="00C13D11" w:rsidP="002917FA" w:rsidRDefault="00C13D11" w14:paraId="40D896A8" w14:textId="77777777">
      <w:pPr>
        <w:spacing w:after="0"/>
        <w:rPr>
          <w:rFonts w:ascii="Century Gothic" w:hAnsi="Century Gothic" w:eastAsia="Geomanist Light" w:cs="Arial"/>
          <w:color w:val="000000" w:themeColor="text1"/>
          <w:lang w:val="es-MX"/>
        </w:rPr>
      </w:pPr>
    </w:p>
    <w:p w:rsidR="00C13D11" w:rsidP="002917FA" w:rsidRDefault="00C13D11" w14:paraId="0A506732" w14:textId="77777777">
      <w:pPr>
        <w:spacing w:after="0"/>
        <w:rPr>
          <w:rFonts w:ascii="Century Gothic" w:hAnsi="Century Gothic" w:eastAsia="Geomanist Light" w:cs="Arial"/>
          <w:color w:val="000000" w:themeColor="text1"/>
          <w:lang w:val="es-MX"/>
        </w:rPr>
      </w:pPr>
    </w:p>
    <w:p w:rsidR="00C13D11" w:rsidP="002917FA" w:rsidRDefault="00C13D11" w14:paraId="40D89B23" w14:textId="77777777">
      <w:pPr>
        <w:spacing w:after="0"/>
        <w:rPr>
          <w:rFonts w:ascii="Century Gothic" w:hAnsi="Century Gothic" w:eastAsia="Geomanist Light" w:cs="Arial"/>
          <w:color w:val="000000" w:themeColor="text1"/>
          <w:lang w:val="es-MX"/>
        </w:rPr>
      </w:pPr>
    </w:p>
    <w:p w:rsidR="00C13D11" w:rsidP="002917FA" w:rsidRDefault="00C13D11" w14:paraId="1794FD7B" w14:textId="77777777">
      <w:pPr>
        <w:spacing w:after="0"/>
        <w:rPr>
          <w:rFonts w:ascii="Century Gothic" w:hAnsi="Century Gothic" w:eastAsia="Geomanist Light" w:cs="Arial"/>
          <w:color w:val="000000" w:themeColor="text1"/>
          <w:lang w:val="es-MX"/>
        </w:rPr>
      </w:pPr>
    </w:p>
    <w:p w:rsidR="00C13D11" w:rsidP="002917FA" w:rsidRDefault="00C13D11" w14:paraId="59D319D5" w14:textId="77777777">
      <w:pPr>
        <w:spacing w:after="0"/>
        <w:rPr>
          <w:rFonts w:ascii="Century Gothic" w:hAnsi="Century Gothic" w:eastAsia="Geomanist Light" w:cs="Arial"/>
          <w:color w:val="000000" w:themeColor="text1"/>
          <w:lang w:val="es-MX"/>
        </w:rPr>
      </w:pPr>
    </w:p>
    <w:p w:rsidR="00C13D11" w:rsidP="002917FA" w:rsidRDefault="00C13D11" w14:paraId="29DB24B6" w14:textId="77777777">
      <w:pPr>
        <w:spacing w:after="0"/>
        <w:rPr>
          <w:rFonts w:ascii="Century Gothic" w:hAnsi="Century Gothic" w:eastAsia="Geomanist Light" w:cs="Arial"/>
          <w:color w:val="000000" w:themeColor="text1"/>
          <w:lang w:val="es-MX"/>
        </w:rPr>
      </w:pPr>
    </w:p>
    <w:p w:rsidR="00C13D11" w:rsidP="002917FA" w:rsidRDefault="00C13D11" w14:paraId="6E10C60C" w14:textId="77777777">
      <w:pPr>
        <w:spacing w:after="0"/>
        <w:rPr>
          <w:rFonts w:ascii="Century Gothic" w:hAnsi="Century Gothic" w:eastAsia="Geomanist Light" w:cs="Arial"/>
          <w:color w:val="000000" w:themeColor="text1"/>
          <w:lang w:val="es-MX"/>
        </w:rPr>
      </w:pPr>
    </w:p>
    <w:p w:rsidR="00C13D11" w:rsidP="002917FA" w:rsidRDefault="00C13D11" w14:paraId="26AE744F" w14:textId="77777777">
      <w:pPr>
        <w:spacing w:after="0"/>
        <w:rPr>
          <w:rFonts w:ascii="Century Gothic" w:hAnsi="Century Gothic" w:eastAsia="Geomanist Light" w:cs="Arial"/>
          <w:color w:val="000000" w:themeColor="text1"/>
          <w:lang w:val="es-MX"/>
        </w:rPr>
      </w:pPr>
    </w:p>
    <w:p w:rsidR="00C13D11" w:rsidP="002917FA" w:rsidRDefault="00C13D11" w14:paraId="510AC402" w14:textId="77777777">
      <w:pPr>
        <w:spacing w:after="0"/>
        <w:rPr>
          <w:rFonts w:ascii="Century Gothic" w:hAnsi="Century Gothic" w:eastAsia="Geomanist Light" w:cs="Arial"/>
          <w:color w:val="000000" w:themeColor="text1"/>
          <w:lang w:val="es-MX"/>
        </w:rPr>
      </w:pPr>
    </w:p>
    <w:p w:rsidR="00C13D11" w:rsidP="002917FA" w:rsidRDefault="00C13D11" w14:paraId="31312FCF" w14:textId="77777777">
      <w:pPr>
        <w:spacing w:after="0"/>
        <w:rPr>
          <w:rFonts w:ascii="Century Gothic" w:hAnsi="Century Gothic" w:eastAsia="Geomanist Light" w:cs="Arial"/>
          <w:color w:val="000000" w:themeColor="text1"/>
          <w:lang w:val="es-MX"/>
        </w:rPr>
      </w:pPr>
    </w:p>
    <w:p w:rsidR="00C13D11" w:rsidP="002917FA" w:rsidRDefault="00C13D11" w14:paraId="7A7AFD0E" w14:textId="77777777">
      <w:pPr>
        <w:spacing w:after="0"/>
        <w:rPr>
          <w:rFonts w:ascii="Century Gothic" w:hAnsi="Century Gothic" w:eastAsia="Geomanist Light" w:cs="Arial"/>
          <w:color w:val="000000" w:themeColor="text1"/>
          <w:lang w:val="es-MX"/>
        </w:rPr>
      </w:pPr>
    </w:p>
    <w:p w:rsidR="00C13D11" w:rsidP="002917FA" w:rsidRDefault="00C13D11" w14:paraId="56D0DAA4" w14:textId="77777777">
      <w:pPr>
        <w:spacing w:after="0"/>
        <w:rPr>
          <w:rFonts w:ascii="Century Gothic" w:hAnsi="Century Gothic" w:eastAsia="Geomanist Light" w:cs="Arial"/>
          <w:color w:val="000000" w:themeColor="text1"/>
          <w:lang w:val="es-MX"/>
        </w:rPr>
      </w:pPr>
    </w:p>
    <w:p w:rsidR="00C13D11" w:rsidP="002917FA" w:rsidRDefault="00C13D11" w14:paraId="67C900DF" w14:textId="77777777">
      <w:pPr>
        <w:spacing w:after="0"/>
        <w:rPr>
          <w:rFonts w:ascii="Century Gothic" w:hAnsi="Century Gothic" w:eastAsia="Geomanist Light" w:cs="Arial"/>
          <w:color w:val="000000" w:themeColor="text1"/>
          <w:lang w:val="es-MX"/>
        </w:rPr>
      </w:pPr>
    </w:p>
    <w:p w:rsidR="00C13D11" w:rsidP="002917FA" w:rsidRDefault="00C13D11" w14:paraId="3E4C29AF" w14:textId="77777777">
      <w:pPr>
        <w:spacing w:after="0"/>
        <w:rPr>
          <w:rFonts w:ascii="Century Gothic" w:hAnsi="Century Gothic" w:eastAsia="Geomanist Light" w:cs="Arial"/>
          <w:color w:val="000000" w:themeColor="text1"/>
          <w:lang w:val="es-MX"/>
        </w:rPr>
      </w:pPr>
    </w:p>
    <w:p w:rsidR="00C13D11" w:rsidP="002917FA" w:rsidRDefault="00C13D11" w14:paraId="7CF8D14B" w14:textId="77777777">
      <w:pPr>
        <w:spacing w:after="0"/>
        <w:rPr>
          <w:rFonts w:ascii="Century Gothic" w:hAnsi="Century Gothic" w:eastAsia="Geomanist Light" w:cs="Arial"/>
          <w:color w:val="000000" w:themeColor="text1"/>
          <w:lang w:val="es-MX"/>
        </w:rPr>
      </w:pPr>
    </w:p>
    <w:p w:rsidR="00C13D11" w:rsidP="002917FA" w:rsidRDefault="00C13D11" w14:paraId="4B97FBA0" w14:textId="77777777">
      <w:pPr>
        <w:spacing w:after="0"/>
        <w:rPr>
          <w:rFonts w:ascii="Century Gothic" w:hAnsi="Century Gothic" w:eastAsia="Geomanist Light" w:cs="Arial"/>
          <w:color w:val="000000" w:themeColor="text1"/>
          <w:lang w:val="es-MX"/>
        </w:rPr>
      </w:pPr>
    </w:p>
    <w:p w:rsidR="00C13D11" w:rsidP="002917FA" w:rsidRDefault="00C13D11" w14:paraId="448178A4" w14:textId="77777777">
      <w:pPr>
        <w:spacing w:after="0"/>
        <w:rPr>
          <w:rFonts w:ascii="Century Gothic" w:hAnsi="Century Gothic" w:eastAsia="Geomanist Light" w:cs="Arial"/>
          <w:color w:val="000000" w:themeColor="text1"/>
          <w:lang w:val="es-MX"/>
        </w:rPr>
      </w:pPr>
    </w:p>
    <w:p w:rsidR="00C13D11" w:rsidP="002917FA" w:rsidRDefault="00C13D11" w14:paraId="6D9B661C" w14:textId="77777777">
      <w:pPr>
        <w:spacing w:after="0"/>
        <w:rPr>
          <w:rFonts w:ascii="Century Gothic" w:hAnsi="Century Gothic" w:eastAsia="Geomanist Light" w:cs="Arial"/>
          <w:color w:val="000000" w:themeColor="text1"/>
          <w:lang w:val="es-MX"/>
        </w:rPr>
      </w:pPr>
    </w:p>
    <w:p w:rsidR="00C13D11" w:rsidP="002917FA" w:rsidRDefault="00C13D11" w14:paraId="5E151748" w14:textId="77777777">
      <w:pPr>
        <w:spacing w:after="0"/>
        <w:rPr>
          <w:rFonts w:ascii="Century Gothic" w:hAnsi="Century Gothic" w:eastAsia="Geomanist Light" w:cs="Arial"/>
          <w:color w:val="000000" w:themeColor="text1"/>
          <w:lang w:val="es-MX"/>
        </w:rPr>
      </w:pPr>
    </w:p>
    <w:p w:rsidR="00C13D11" w:rsidP="002917FA" w:rsidRDefault="00C13D11" w14:paraId="0E4BD0E6" w14:textId="77777777">
      <w:pPr>
        <w:spacing w:after="0"/>
        <w:rPr>
          <w:rFonts w:ascii="Century Gothic" w:hAnsi="Century Gothic" w:eastAsia="Geomanist Light" w:cs="Arial"/>
          <w:color w:val="000000" w:themeColor="text1"/>
          <w:lang w:val="es-MX"/>
        </w:rPr>
      </w:pPr>
    </w:p>
    <w:p w:rsidR="00C13D11" w:rsidP="002917FA" w:rsidRDefault="00C13D11" w14:paraId="5E722A86" w14:textId="77777777">
      <w:pPr>
        <w:spacing w:after="0"/>
        <w:rPr>
          <w:rFonts w:ascii="Century Gothic" w:hAnsi="Century Gothic" w:eastAsia="Geomanist Light" w:cs="Arial"/>
          <w:color w:val="000000" w:themeColor="text1"/>
          <w:lang w:val="es-MX"/>
        </w:rPr>
      </w:pPr>
    </w:p>
    <w:p w:rsidR="00C13D11" w:rsidP="002917FA" w:rsidRDefault="00C13D11" w14:paraId="22C210F4" w14:textId="77777777">
      <w:pPr>
        <w:spacing w:after="0"/>
        <w:rPr>
          <w:rFonts w:ascii="Century Gothic" w:hAnsi="Century Gothic" w:eastAsia="Geomanist Light" w:cs="Arial"/>
          <w:color w:val="000000" w:themeColor="text1"/>
          <w:lang w:val="es-MX"/>
        </w:rPr>
      </w:pPr>
    </w:p>
    <w:p w:rsidR="00C13D11" w:rsidP="002917FA" w:rsidRDefault="00C13D11" w14:paraId="4D6E46DC" w14:textId="77777777">
      <w:pPr>
        <w:spacing w:after="0"/>
        <w:rPr>
          <w:rFonts w:ascii="Century Gothic" w:hAnsi="Century Gothic" w:eastAsia="Geomanist Light" w:cs="Arial"/>
          <w:color w:val="000000" w:themeColor="text1"/>
          <w:lang w:val="es-MX"/>
        </w:rPr>
      </w:pPr>
    </w:p>
    <w:p w:rsidR="00C13D11" w:rsidP="002917FA" w:rsidRDefault="00C13D11" w14:paraId="3A8D45AE" w14:textId="77777777">
      <w:pPr>
        <w:spacing w:after="0"/>
        <w:rPr>
          <w:rFonts w:ascii="Century Gothic" w:hAnsi="Century Gothic" w:eastAsia="Geomanist Light" w:cs="Arial"/>
          <w:color w:val="000000" w:themeColor="text1"/>
          <w:lang w:val="es-MX"/>
        </w:rPr>
      </w:pPr>
    </w:p>
    <w:p w:rsidR="00C13D11" w:rsidP="002917FA" w:rsidRDefault="00C13D11" w14:paraId="7EAD50DB" w14:textId="77777777">
      <w:pPr>
        <w:spacing w:after="0"/>
        <w:rPr>
          <w:rFonts w:ascii="Century Gothic" w:hAnsi="Century Gothic" w:eastAsia="Geomanist Light" w:cs="Arial"/>
          <w:color w:val="000000" w:themeColor="text1"/>
          <w:lang w:val="es-MX"/>
        </w:rPr>
      </w:pPr>
    </w:p>
    <w:p w:rsidR="00C13D11" w:rsidP="002917FA" w:rsidRDefault="00C13D11" w14:paraId="6409AFCA" w14:textId="77777777">
      <w:pPr>
        <w:spacing w:after="0"/>
        <w:rPr>
          <w:rFonts w:ascii="Century Gothic" w:hAnsi="Century Gothic" w:eastAsia="Geomanist Light" w:cs="Arial"/>
          <w:color w:val="000000" w:themeColor="text1"/>
          <w:lang w:val="es-MX"/>
        </w:rPr>
      </w:pPr>
    </w:p>
    <w:p w:rsidR="00C13D11" w:rsidP="002917FA" w:rsidRDefault="00C13D11" w14:paraId="257A0B9C" w14:textId="77777777">
      <w:pPr>
        <w:spacing w:after="0"/>
        <w:rPr>
          <w:rFonts w:ascii="Century Gothic" w:hAnsi="Century Gothic" w:eastAsia="Geomanist Light" w:cs="Arial"/>
          <w:color w:val="000000" w:themeColor="text1"/>
          <w:lang w:val="es-MX"/>
        </w:rPr>
      </w:pPr>
    </w:p>
    <w:p w:rsidR="00C13D11" w:rsidP="002917FA" w:rsidRDefault="00C13D11" w14:paraId="126A18B0" w14:textId="77777777">
      <w:pPr>
        <w:spacing w:after="0"/>
        <w:rPr>
          <w:rFonts w:ascii="Century Gothic" w:hAnsi="Century Gothic" w:eastAsia="Geomanist Light" w:cs="Arial"/>
          <w:color w:val="000000" w:themeColor="text1"/>
          <w:lang w:val="es-MX"/>
        </w:rPr>
      </w:pPr>
    </w:p>
    <w:p w:rsidR="00C13D11" w:rsidP="002917FA" w:rsidRDefault="00C13D11" w14:paraId="79C5E967" w14:textId="77777777">
      <w:pPr>
        <w:spacing w:after="0"/>
        <w:rPr>
          <w:rFonts w:ascii="Century Gothic" w:hAnsi="Century Gothic" w:eastAsia="Geomanist Light" w:cs="Arial"/>
          <w:color w:val="000000" w:themeColor="text1"/>
          <w:lang w:val="es-MX"/>
        </w:rPr>
      </w:pPr>
    </w:p>
    <w:p w:rsidR="00C13D11" w:rsidP="002917FA" w:rsidRDefault="00C13D11" w14:paraId="3F08362A" w14:textId="77777777">
      <w:pPr>
        <w:spacing w:after="0"/>
        <w:rPr>
          <w:rFonts w:ascii="Century Gothic" w:hAnsi="Century Gothic" w:eastAsia="Geomanist Light" w:cs="Arial"/>
          <w:color w:val="000000" w:themeColor="text1"/>
          <w:lang w:val="es-MX"/>
        </w:rPr>
      </w:pPr>
    </w:p>
    <w:p w:rsidR="00C13D11" w:rsidP="002917FA" w:rsidRDefault="00C13D11" w14:paraId="1FB988EC" w14:textId="77777777">
      <w:pPr>
        <w:spacing w:after="0"/>
        <w:rPr>
          <w:rFonts w:ascii="Century Gothic" w:hAnsi="Century Gothic" w:eastAsia="Geomanist Light" w:cs="Arial"/>
          <w:color w:val="000000" w:themeColor="text1"/>
          <w:lang w:val="es-MX"/>
        </w:rPr>
      </w:pPr>
    </w:p>
    <w:p w:rsidR="00C13D11" w:rsidP="002917FA" w:rsidRDefault="00C13D11" w14:paraId="77E2C143" w14:textId="77777777">
      <w:pPr>
        <w:spacing w:after="0"/>
        <w:rPr>
          <w:rFonts w:ascii="Century Gothic" w:hAnsi="Century Gothic" w:eastAsia="Geomanist Light" w:cs="Arial"/>
          <w:color w:val="000000" w:themeColor="text1"/>
          <w:lang w:val="es-MX"/>
        </w:rPr>
      </w:pPr>
    </w:p>
    <w:p w:rsidR="00C13D11" w:rsidP="002917FA" w:rsidRDefault="00C13D11" w14:paraId="63669524" w14:textId="77777777">
      <w:pPr>
        <w:spacing w:after="0"/>
        <w:rPr>
          <w:rFonts w:ascii="Century Gothic" w:hAnsi="Century Gothic" w:eastAsia="Geomanist Light" w:cs="Arial"/>
          <w:color w:val="000000" w:themeColor="text1"/>
          <w:lang w:val="es-MX"/>
        </w:rPr>
      </w:pPr>
    </w:p>
    <w:p w:rsidR="00C13D11" w:rsidP="002917FA" w:rsidRDefault="00C13D11" w14:paraId="192EA4EF" w14:textId="77777777">
      <w:pPr>
        <w:spacing w:after="0"/>
        <w:rPr>
          <w:rFonts w:ascii="Century Gothic" w:hAnsi="Century Gothic" w:eastAsia="Geomanist Light" w:cs="Arial"/>
          <w:color w:val="000000" w:themeColor="text1"/>
          <w:lang w:val="es-MX"/>
        </w:rPr>
      </w:pPr>
    </w:p>
    <w:p w:rsidR="00C13D11" w:rsidP="002917FA" w:rsidRDefault="00C13D11" w14:paraId="407BCE37" w14:textId="77777777">
      <w:pPr>
        <w:spacing w:after="0"/>
        <w:rPr>
          <w:rFonts w:ascii="Century Gothic" w:hAnsi="Century Gothic" w:eastAsia="Geomanist Light" w:cs="Arial"/>
          <w:color w:val="000000" w:themeColor="text1"/>
          <w:lang w:val="es-MX"/>
        </w:rPr>
      </w:pPr>
    </w:p>
    <w:p w:rsidR="00C13D11" w:rsidP="002917FA" w:rsidRDefault="00C13D11" w14:paraId="4A88059F" w14:textId="77777777">
      <w:pPr>
        <w:spacing w:after="0"/>
        <w:rPr>
          <w:rFonts w:ascii="Century Gothic" w:hAnsi="Century Gothic" w:eastAsia="Geomanist Light" w:cs="Arial"/>
          <w:color w:val="000000" w:themeColor="text1"/>
          <w:lang w:val="es-MX"/>
        </w:rPr>
      </w:pPr>
    </w:p>
    <w:p w:rsidR="00C13D11" w:rsidP="002917FA" w:rsidRDefault="00C13D11" w14:paraId="1359FA5D" w14:textId="77777777">
      <w:pPr>
        <w:spacing w:after="0"/>
        <w:rPr>
          <w:rFonts w:ascii="Century Gothic" w:hAnsi="Century Gothic" w:eastAsia="Geomanist Light" w:cs="Arial"/>
          <w:color w:val="000000" w:themeColor="text1"/>
          <w:lang w:val="es-MX"/>
        </w:rPr>
      </w:pPr>
    </w:p>
    <w:p w:rsidR="00C13D11" w:rsidP="002917FA" w:rsidRDefault="00C13D11" w14:paraId="56E5B536" w14:textId="77777777">
      <w:pPr>
        <w:spacing w:after="0"/>
        <w:rPr>
          <w:rFonts w:ascii="Century Gothic" w:hAnsi="Century Gothic" w:eastAsia="Geomanist Light" w:cs="Arial"/>
          <w:color w:val="000000" w:themeColor="text1"/>
          <w:lang w:val="es-MX"/>
        </w:rPr>
      </w:pPr>
    </w:p>
    <w:p w:rsidRPr="004C64AD" w:rsidR="002917FA" w:rsidP="002917FA" w:rsidRDefault="002917FA" w14:paraId="603485A7" w14:textId="4565AD10">
      <w:pPr>
        <w:spacing w:after="0"/>
        <w:rPr>
          <w:rFonts w:ascii="Century Gothic" w:hAnsi="Century Gothic" w:eastAsia="Geomanist Light" w:cs="Arial"/>
          <w:color w:val="201F1E"/>
          <w:lang w:val="es-MX"/>
        </w:rPr>
      </w:pPr>
      <w:r w:rsidRPr="004C64AD">
        <w:rPr>
          <w:rFonts w:ascii="Century Gothic" w:hAnsi="Century Gothic" w:eastAsia="Geomanist Light" w:cs="Arial"/>
          <w:color w:val="000000" w:themeColor="text1"/>
          <w:lang w:val="es-MX"/>
        </w:rPr>
        <w:t>Bogotá D.C., </w:t>
      </w:r>
      <w:r w:rsidRPr="00996FB9" w:rsidR="00996FB9">
        <w:rPr>
          <w:rFonts w:ascii="Century Gothic" w:hAnsi="Century Gothic" w:eastAsia="Geomanist Light" w:cs="Arial"/>
          <w:color w:val="201F1E"/>
          <w:lang w:val="es-MX"/>
        </w:rPr>
        <w:t>21 de Marzo de 2024</w:t>
      </w:r>
    </w:p>
    <w:p w:rsidR="002917FA" w:rsidP="002917FA" w:rsidRDefault="002917FA" w14:paraId="59F83614" w14:textId="77777777">
      <w:pPr>
        <w:spacing w:after="0"/>
        <w:rPr>
          <w:rFonts w:ascii="Century Gothic" w:hAnsi="Century Gothic" w:eastAsia="Geomanist Light" w:cs="Arial"/>
          <w:color w:val="201F1E"/>
          <w:lang w:val="es-MX"/>
        </w:rPr>
      </w:pPr>
    </w:p>
    <w:p w:rsidRPr="004C64AD" w:rsidR="00996FB9" w:rsidP="00996FB9" w:rsidRDefault="00996FB9" w14:paraId="2C43550A" w14:textId="7E3DE4C0">
      <w:pPr>
        <w:spacing w:after="0"/>
        <w:jc w:val="right"/>
        <w:rPr>
          <w:rFonts w:ascii="Century Gothic" w:hAnsi="Century Gothic" w:eastAsia="Geomanist Light" w:cs="Arial"/>
          <w:color w:val="201F1E"/>
          <w:lang w:val="es-MX"/>
        </w:rPr>
      </w:pPr>
      <w:r>
        <w:rPr>
          <w:noProof/>
        </w:rPr>
        <w:drawing>
          <wp:inline distT="0" distB="0" distL="0" distR="0" wp14:anchorId="277D8679" wp14:editId="159C9904">
            <wp:extent cx="3253476" cy="904813"/>
            <wp:effectExtent l="0" t="0" r="4445" b="0"/>
            <wp:docPr id="166246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673" name=""/>
                    <pic:cNvPicPr/>
                  </pic:nvPicPr>
                  <pic:blipFill>
                    <a:blip r:embed="rId10"/>
                    <a:stretch>
                      <a:fillRect/>
                    </a:stretch>
                  </pic:blipFill>
                  <pic:spPr>
                    <a:xfrm>
                      <a:off x="0" y="0"/>
                      <a:ext cx="3253476" cy="904813"/>
                    </a:xfrm>
                    <a:prstGeom prst="rect">
                      <a:avLst/>
                    </a:prstGeom>
                  </pic:spPr>
                </pic:pic>
              </a:graphicData>
            </a:graphic>
          </wp:inline>
        </w:drawing>
      </w:r>
    </w:p>
    <w:p w:rsidRPr="004C64AD" w:rsidR="002917FA" w:rsidP="002917FA" w:rsidRDefault="002917FA" w14:paraId="223F7203" w14:textId="77777777">
      <w:pPr>
        <w:spacing w:after="0"/>
        <w:contextualSpacing/>
        <w:jc w:val="both"/>
        <w:rPr>
          <w:rFonts w:ascii="Century Gothic" w:hAnsi="Century Gothic" w:eastAsia="Calibri" w:cs="Arial"/>
          <w:lang w:val="es-ES_tradnl" w:eastAsia="es-ES_tradnl"/>
        </w:rPr>
      </w:pPr>
    </w:p>
    <w:p w:rsidRPr="004C64AD" w:rsidR="002917FA" w:rsidP="002917FA" w:rsidRDefault="002917FA" w14:paraId="7705A146" w14:textId="77777777">
      <w:pPr>
        <w:spacing w:after="0"/>
        <w:contextualSpacing/>
        <w:jc w:val="both"/>
        <w:rPr>
          <w:rFonts w:ascii="Century Gothic" w:hAnsi="Century Gothic" w:eastAsia="Calibri" w:cs="Arial"/>
          <w:lang w:eastAsia="es-ES_tradnl"/>
        </w:rPr>
      </w:pPr>
      <w:r>
        <w:rPr>
          <w:rFonts w:ascii="Century Gothic" w:hAnsi="Century Gothic" w:eastAsia="Calibri" w:cs="Arial"/>
          <w:lang w:eastAsia="es-ES_tradnl"/>
        </w:rPr>
        <w:t>Señora</w:t>
      </w:r>
    </w:p>
    <w:p w:rsidR="002917FA" w:rsidP="002917FA" w:rsidRDefault="002917FA" w14:paraId="2E08DF82" w14:textId="77777777">
      <w:pPr>
        <w:spacing w:after="0"/>
        <w:contextualSpacing/>
        <w:jc w:val="both"/>
        <w:rPr>
          <w:rFonts w:ascii="Century Gothic" w:hAnsi="Century Gothic" w:eastAsia="Calibri" w:cs="Arial"/>
          <w:b/>
          <w:lang w:eastAsia="es-ES_tradnl"/>
        </w:rPr>
      </w:pPr>
      <w:r w:rsidRPr="00301DEB">
        <w:rPr>
          <w:rFonts w:ascii="Century Gothic" w:hAnsi="Century Gothic" w:eastAsia="Calibri" w:cs="Arial"/>
          <w:b/>
          <w:lang w:eastAsia="es-ES_tradnl"/>
        </w:rPr>
        <w:t>María Camila Ruiz Galvis</w:t>
      </w:r>
    </w:p>
    <w:p w:rsidR="002917FA" w:rsidP="002917FA" w:rsidRDefault="002917FA" w14:paraId="2573596B" w14:textId="77777777">
      <w:pPr>
        <w:spacing w:after="0"/>
        <w:contextualSpacing/>
        <w:jc w:val="both"/>
        <w:rPr>
          <w:rFonts w:ascii="Century Gothic" w:hAnsi="Century Gothic" w:eastAsia="Geomanist Light" w:cs="Arial"/>
          <w:color w:val="000000" w:themeColor="text1"/>
          <w:lang w:val="es-MX"/>
        </w:rPr>
      </w:pPr>
      <w:r w:rsidRPr="004C64AD">
        <w:rPr>
          <w:rFonts w:ascii="Century Gothic" w:hAnsi="Century Gothic" w:eastAsia="Geomanist Light" w:cs="Arial"/>
          <w:color w:val="000000" w:themeColor="text1"/>
          <w:lang w:val="es-MX"/>
        </w:rPr>
        <w:t>Bogotá D.C.</w:t>
      </w:r>
    </w:p>
    <w:p w:rsidRPr="004C64AD" w:rsidR="002917FA" w:rsidP="002917FA" w:rsidRDefault="002917FA" w14:paraId="553A1385" w14:textId="77777777">
      <w:pPr>
        <w:spacing w:after="0"/>
        <w:contextualSpacing/>
        <w:jc w:val="both"/>
        <w:rPr>
          <w:rFonts w:ascii="Century Gothic" w:hAnsi="Century Gothic" w:eastAsia="Calibri" w:cs="Arial"/>
          <w:lang w:val="es-ES_tradnl" w:eastAsia="es-ES_tradnl"/>
        </w:rPr>
      </w:pPr>
    </w:p>
    <w:p w:rsidRPr="004C64AD" w:rsidR="002917FA" w:rsidP="002917FA" w:rsidRDefault="002917FA" w14:paraId="300BB141" w14:textId="77777777">
      <w:pPr>
        <w:spacing w:after="0"/>
        <w:contextualSpacing/>
        <w:rPr>
          <w:rFonts w:ascii="Century Gothic" w:hAnsi="Century Gothic" w:eastAsia="Calibri" w:cs="Arial"/>
          <w:b/>
          <w:bCs/>
          <w:lang w:val="es-ES_tradnl" w:eastAsia="es-ES_tradnl"/>
        </w:rPr>
      </w:pPr>
    </w:p>
    <w:p w:rsidRPr="004C64AD" w:rsidR="002917FA" w:rsidP="002917FA" w:rsidRDefault="002917FA" w14:paraId="4B9BDF95" w14:textId="77777777">
      <w:pPr>
        <w:spacing w:after="0"/>
        <w:ind w:left="2124" w:firstLine="570"/>
        <w:contextualSpacing/>
        <w:rPr>
          <w:rFonts w:ascii="Century Gothic" w:hAnsi="Century Gothic" w:eastAsia="Calibri" w:cs="Arial"/>
          <w:b/>
          <w:bCs/>
          <w:lang w:val="es-ES_tradnl" w:eastAsia="es-ES_tradnl"/>
        </w:rPr>
      </w:pPr>
      <w:r w:rsidRPr="004C64AD">
        <w:rPr>
          <w:rFonts w:ascii="Century Gothic" w:hAnsi="Century Gothic" w:eastAsia="Calibri" w:cs="Arial"/>
          <w:b/>
          <w:bCs/>
          <w:lang w:val="es-ES_tradnl" w:eastAsia="es-ES_tradnl"/>
        </w:rPr>
        <w:t xml:space="preserve">Concepto C – </w:t>
      </w:r>
      <w:r>
        <w:rPr>
          <w:rFonts w:ascii="Century Gothic" w:hAnsi="Century Gothic" w:eastAsia="Calibri" w:cs="Arial"/>
          <w:b/>
          <w:bCs/>
          <w:lang w:val="es-ES_tradnl" w:eastAsia="es-ES_tradnl"/>
        </w:rPr>
        <w:t>012</w:t>
      </w:r>
      <w:r w:rsidRPr="004C64AD">
        <w:rPr>
          <w:rFonts w:ascii="Century Gothic" w:hAnsi="Century Gothic" w:eastAsia="Calibri" w:cs="Arial"/>
          <w:b/>
          <w:bCs/>
          <w:lang w:val="es-ES_tradnl" w:eastAsia="es-ES_tradnl"/>
        </w:rPr>
        <w:t xml:space="preserve"> de 202</w:t>
      </w:r>
      <w:r>
        <w:rPr>
          <w:rFonts w:ascii="Century Gothic" w:hAnsi="Century Gothic" w:eastAsia="Calibri" w:cs="Arial"/>
          <w:b/>
          <w:bCs/>
          <w:lang w:val="es-ES_tradnl" w:eastAsia="es-ES_tradnl"/>
        </w:rPr>
        <w:t>4</w:t>
      </w:r>
    </w:p>
    <w:p w:rsidRPr="004C64AD" w:rsidR="002917FA" w:rsidP="002917FA" w:rsidRDefault="002917FA" w14:paraId="35DD3038" w14:textId="77777777">
      <w:pPr>
        <w:spacing w:after="0"/>
        <w:contextualSpacing/>
        <w:jc w:val="both"/>
        <w:rPr>
          <w:rFonts w:ascii="Century Gothic" w:hAnsi="Century Gothic"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4C64AD" w:rsidR="002917FA" w:rsidTr="00B665E3" w14:paraId="3154B304" w14:textId="77777777">
        <w:tc>
          <w:tcPr>
            <w:tcW w:w="2689" w:type="dxa"/>
          </w:tcPr>
          <w:p w:rsidRPr="004C64AD" w:rsidR="002917FA" w:rsidP="00B665E3" w:rsidRDefault="002917FA" w14:paraId="018FAD10" w14:textId="77777777">
            <w:pPr>
              <w:contextualSpacing/>
              <w:jc w:val="both"/>
              <w:rPr>
                <w:rFonts w:ascii="Century Gothic" w:hAnsi="Century Gothic" w:eastAsia="Calibri" w:cs="Arial"/>
                <w:lang w:val="es-ES_tradnl" w:eastAsia="es-ES_tradnl"/>
              </w:rPr>
            </w:pPr>
            <w:r w:rsidRPr="004C64AD">
              <w:rPr>
                <w:rFonts w:ascii="Century Gothic" w:hAnsi="Century Gothic" w:eastAsia="Calibri" w:cs="Arial"/>
                <w:b/>
                <w:lang w:val="es-ES_tradnl" w:eastAsia="es-ES_tradnl"/>
              </w:rPr>
              <w:t>Temas:</w:t>
            </w:r>
            <w:r w:rsidRPr="004C64AD">
              <w:rPr>
                <w:rFonts w:ascii="Century Gothic" w:hAnsi="Century Gothic" w:eastAsia="Calibri" w:cs="Arial"/>
                <w:lang w:val="es-ES_tradnl" w:eastAsia="es-ES_tradnl"/>
              </w:rPr>
              <w:t xml:space="preserve">                                      </w:t>
            </w:r>
          </w:p>
        </w:tc>
        <w:tc>
          <w:tcPr>
            <w:tcW w:w="6237" w:type="dxa"/>
          </w:tcPr>
          <w:p w:rsidRPr="004C64AD" w:rsidR="002917FA" w:rsidP="00B665E3" w:rsidRDefault="002917FA" w14:paraId="7FEEF4AF" w14:textId="77777777">
            <w:pPr>
              <w:contextualSpacing/>
              <w:jc w:val="both"/>
              <w:rPr>
                <w:rFonts w:ascii="Century Gothic" w:hAnsi="Century Gothic" w:eastAsia="Calibri" w:cs="Arial"/>
                <w:bCs/>
                <w:lang w:val="es-MX" w:eastAsia="es-ES_tradnl"/>
              </w:rPr>
            </w:pPr>
            <w:r w:rsidRPr="00123DED">
              <w:rPr>
                <w:rFonts w:ascii="Century Gothic" w:hAnsi="Century Gothic" w:eastAsia="Calibri" w:cs="Arial"/>
                <w:bCs/>
                <w:lang w:val="es-MX" w:eastAsia="es-ES_tradnl"/>
              </w:rPr>
              <w:t>CABILDOS INDÍGENAS – AUTORIDADES TRADICIONALES INDÍGENAS – ASOCIACIONES DE CABILDOS INDÍGENAS Y/O AUTORIDADES TRADICIONALES INDÍGENAS – CONSEJOS INDÍGENAS Y ORGANIZACIONES INDÍGENAS – Noción – Régimen de contratación – Decreto 1088 de 1993 – Decreto 252 de 2020 – Ley 1551 de 2012 – Decreto 1953 de 2014 – Ley 2160 de 2021 – Ley 2294 de 2023</w:t>
            </w:r>
            <w:r>
              <w:rPr>
                <w:rFonts w:ascii="Century Gothic" w:hAnsi="Century Gothic" w:eastAsia="Calibri" w:cs="Arial"/>
                <w:bCs/>
                <w:lang w:val="es-MX" w:eastAsia="es-ES_tradnl"/>
              </w:rPr>
              <w:t xml:space="preserve"> / </w:t>
            </w:r>
            <w:r w:rsidRPr="00906C9A">
              <w:rPr>
                <w:rFonts w:ascii="Century Gothic" w:hAnsi="Century Gothic" w:eastAsia="Calibri" w:cs="Arial"/>
                <w:bCs/>
                <w:lang w:val="es-MX" w:eastAsia="es-ES_tradnl"/>
              </w:rPr>
              <w:t>PUEBLOS Y COMUNIDADES INDÍGENAS – Art. 353 de la Ley 2294 de 2023 – Contratación directa – Satisfacción de necesidades y/o servicios públicos – Conceptos jurídicos indeterminados – Alcance</w:t>
            </w:r>
            <w:r>
              <w:rPr>
                <w:rFonts w:ascii="Century Gothic" w:hAnsi="Century Gothic" w:eastAsia="Calibri" w:cs="Arial"/>
                <w:bCs/>
                <w:lang w:val="es-MX" w:eastAsia="es-ES_tradnl"/>
              </w:rPr>
              <w:t xml:space="preserve"> / </w:t>
            </w:r>
            <w:r w:rsidRPr="00906C9A">
              <w:rPr>
                <w:rFonts w:ascii="Century Gothic" w:hAnsi="Century Gothic" w:eastAsia="Calibri" w:cs="Arial"/>
                <w:bCs/>
                <w:lang w:val="es-MX" w:eastAsia="es-ES_tradnl"/>
              </w:rPr>
              <w:t>ART. 353 DE LA LEY 2294 DE 2023 – Contratación directa – Idoneidad – Conceptos jurídicos indeterminados – Enfoque diferencial – Pueblos y comunidades Indígenas</w:t>
            </w:r>
          </w:p>
          <w:p w:rsidRPr="004C64AD" w:rsidR="002917FA" w:rsidP="00B665E3" w:rsidRDefault="002917FA" w14:paraId="0D2DCE6C" w14:textId="77777777">
            <w:pPr>
              <w:contextualSpacing/>
              <w:jc w:val="both"/>
              <w:rPr>
                <w:rFonts w:ascii="Century Gothic" w:hAnsi="Century Gothic" w:eastAsia="Calibri" w:cs="Arial"/>
                <w:bCs/>
                <w:sz w:val="12"/>
                <w:szCs w:val="12"/>
                <w:lang w:val="es-ES_tradnl" w:eastAsia="es-ES_tradnl"/>
              </w:rPr>
            </w:pPr>
          </w:p>
        </w:tc>
      </w:tr>
      <w:tr w:rsidRPr="004C64AD" w:rsidR="002917FA" w:rsidTr="00B665E3" w14:paraId="487D37BF" w14:textId="77777777">
        <w:trPr>
          <w:trHeight w:val="227"/>
        </w:trPr>
        <w:tc>
          <w:tcPr>
            <w:tcW w:w="2689" w:type="dxa"/>
          </w:tcPr>
          <w:p w:rsidRPr="004C64AD" w:rsidR="002917FA" w:rsidP="00B665E3" w:rsidRDefault="002917FA" w14:paraId="1964799F" w14:textId="77777777">
            <w:pPr>
              <w:contextualSpacing/>
              <w:jc w:val="both"/>
              <w:rPr>
                <w:rFonts w:ascii="Century Gothic" w:hAnsi="Century Gothic" w:eastAsia="Calibri" w:cs="Arial"/>
                <w:b/>
                <w:lang w:val="es-ES_tradnl" w:eastAsia="es-ES_tradnl"/>
              </w:rPr>
            </w:pPr>
            <w:r w:rsidRPr="004C64AD">
              <w:rPr>
                <w:rFonts w:ascii="Century Gothic" w:hAnsi="Century Gothic" w:eastAsia="Calibri" w:cs="Arial"/>
                <w:b/>
                <w:lang w:val="es-ES_tradnl" w:eastAsia="es-ES_tradnl"/>
              </w:rPr>
              <w:t>Radicación:</w:t>
            </w:r>
            <w:r w:rsidRPr="004C64AD">
              <w:rPr>
                <w:rFonts w:ascii="Century Gothic" w:hAnsi="Century Gothic" w:eastAsia="Calibri" w:cs="Arial"/>
                <w:lang w:val="es-ES_tradnl" w:eastAsia="es-ES_tradnl"/>
              </w:rPr>
              <w:t xml:space="preserve">                             </w:t>
            </w:r>
          </w:p>
        </w:tc>
        <w:tc>
          <w:tcPr>
            <w:tcW w:w="6237" w:type="dxa"/>
          </w:tcPr>
          <w:p w:rsidRPr="004C64AD" w:rsidR="002917FA" w:rsidP="00B665E3" w:rsidRDefault="002917FA" w14:paraId="3E9A8215" w14:textId="77777777">
            <w:pPr>
              <w:contextualSpacing/>
              <w:jc w:val="both"/>
              <w:rPr>
                <w:rFonts w:ascii="Century Gothic" w:hAnsi="Century Gothic" w:eastAsia="Calibri" w:cs="Arial"/>
                <w:lang w:val="es-ES_tradnl" w:eastAsia="es-ES_tradnl"/>
              </w:rPr>
            </w:pPr>
            <w:r w:rsidRPr="004C64AD">
              <w:rPr>
                <w:rFonts w:ascii="Century Gothic" w:hAnsi="Century Gothic" w:eastAsia="Calibri" w:cs="Arial"/>
                <w:lang w:val="es-ES_tradnl" w:eastAsia="es-ES_tradnl"/>
              </w:rPr>
              <w:t xml:space="preserve">Respuesta a la consulta </w:t>
            </w:r>
            <w:r w:rsidRPr="00301DEB">
              <w:rPr>
                <w:rFonts w:ascii="Century Gothic" w:hAnsi="Century Gothic" w:eastAsia="Calibri" w:cs="Arial"/>
                <w:lang w:val="es-ES_tradnl" w:eastAsia="es-ES_tradnl"/>
              </w:rPr>
              <w:t>P20240122000569</w:t>
            </w:r>
          </w:p>
        </w:tc>
      </w:tr>
    </w:tbl>
    <w:p w:rsidRPr="004C64AD" w:rsidR="002917FA" w:rsidP="002917FA" w:rsidRDefault="002917FA" w14:paraId="06D0653E" w14:textId="77777777">
      <w:pPr>
        <w:spacing w:after="0"/>
        <w:contextualSpacing/>
        <w:jc w:val="both"/>
        <w:rPr>
          <w:rFonts w:ascii="Century Gothic" w:hAnsi="Century Gothic" w:eastAsia="Calibri" w:cs="Arial"/>
          <w:lang w:val="es-ES_tradnl" w:eastAsia="es-ES_tradnl"/>
        </w:rPr>
      </w:pPr>
    </w:p>
    <w:p w:rsidRPr="004C64AD" w:rsidR="002917FA" w:rsidP="002917FA" w:rsidRDefault="002917FA" w14:paraId="03C8C09C" w14:textId="77777777">
      <w:pPr>
        <w:spacing w:after="0"/>
        <w:contextualSpacing/>
        <w:jc w:val="both"/>
        <w:rPr>
          <w:rFonts w:ascii="Century Gothic" w:hAnsi="Century Gothic" w:eastAsia="Calibri" w:cs="Arial"/>
          <w:lang w:val="es-ES_tradnl" w:eastAsia="es-ES_tradnl"/>
        </w:rPr>
      </w:pPr>
    </w:p>
    <w:p w:rsidRPr="004C64AD" w:rsidR="002917FA" w:rsidP="002917FA" w:rsidRDefault="002917FA" w14:paraId="4791E648" w14:textId="77777777">
      <w:pPr>
        <w:spacing w:after="0"/>
        <w:contextualSpacing/>
        <w:jc w:val="both"/>
        <w:rPr>
          <w:rFonts w:ascii="Century Gothic" w:hAnsi="Century Gothic" w:eastAsia="Calibri" w:cs="Arial"/>
          <w:lang w:val="es-ES" w:eastAsia="es-ES"/>
        </w:rPr>
      </w:pPr>
      <w:r w:rsidRPr="004C64AD">
        <w:rPr>
          <w:rFonts w:ascii="Century Gothic" w:hAnsi="Century Gothic" w:eastAsia="Calibri" w:cs="Arial"/>
          <w:lang w:val="es-ES" w:eastAsia="es-ES"/>
        </w:rPr>
        <w:t>Respetad</w:t>
      </w:r>
      <w:r>
        <w:rPr>
          <w:rFonts w:ascii="Century Gothic" w:hAnsi="Century Gothic" w:eastAsia="Calibri" w:cs="Arial"/>
          <w:lang w:val="es-ES" w:eastAsia="es-ES"/>
        </w:rPr>
        <w:t>a</w:t>
      </w:r>
      <w:r w:rsidRPr="004C64AD">
        <w:rPr>
          <w:rFonts w:ascii="Century Gothic" w:hAnsi="Century Gothic" w:eastAsia="Calibri" w:cs="Arial"/>
          <w:lang w:val="es-ES" w:eastAsia="es-ES"/>
        </w:rPr>
        <w:t xml:space="preserve"> </w:t>
      </w:r>
      <w:r>
        <w:rPr>
          <w:rFonts w:ascii="Century Gothic" w:hAnsi="Century Gothic" w:eastAsia="Calibri" w:cs="Arial"/>
          <w:lang w:val="es-ES" w:eastAsia="es-ES"/>
        </w:rPr>
        <w:t>señora</w:t>
      </w:r>
      <w:r w:rsidRPr="004C64AD">
        <w:rPr>
          <w:rFonts w:ascii="Century Gothic" w:hAnsi="Century Gothic" w:eastAsia="Calibri" w:cs="Arial"/>
          <w:lang w:val="es-ES" w:eastAsia="es-ES"/>
        </w:rPr>
        <w:t xml:space="preserve"> </w:t>
      </w:r>
      <w:r w:rsidRPr="00301DEB">
        <w:rPr>
          <w:rFonts w:ascii="Century Gothic" w:hAnsi="Century Gothic" w:eastAsia="Calibri" w:cs="Arial"/>
          <w:lang w:val="es-ES" w:eastAsia="es-ES"/>
        </w:rPr>
        <w:t>Ruiz Galvis</w:t>
      </w:r>
      <w:r w:rsidRPr="004C64AD">
        <w:rPr>
          <w:rFonts w:ascii="Century Gothic" w:hAnsi="Century Gothic" w:eastAsia="Calibri" w:cs="Arial"/>
          <w:lang w:val="es-ES" w:eastAsia="es-ES"/>
        </w:rPr>
        <w:t xml:space="preserve">: </w:t>
      </w:r>
    </w:p>
    <w:p w:rsidRPr="004C64AD" w:rsidR="002917FA" w:rsidP="002917FA" w:rsidRDefault="002917FA" w14:paraId="433C282E" w14:textId="77777777">
      <w:pPr>
        <w:spacing w:after="0" w:line="276" w:lineRule="auto"/>
        <w:contextualSpacing/>
        <w:jc w:val="both"/>
        <w:rPr>
          <w:rFonts w:ascii="Century Gothic" w:hAnsi="Century Gothic" w:eastAsia="Calibri" w:cs="Arial"/>
          <w:szCs w:val="24"/>
          <w:lang w:val="es-ES_tradnl" w:eastAsia="es-ES_tradnl"/>
        </w:rPr>
      </w:pPr>
    </w:p>
    <w:bookmarkEnd w:id="0"/>
    <w:bookmarkEnd w:id="1"/>
    <w:p w:rsidRPr="004C64AD" w:rsidR="002917FA" w:rsidP="002917FA" w:rsidRDefault="002917FA" w14:paraId="75DE463F" w14:textId="77777777">
      <w:pPr>
        <w:spacing w:after="0" w:line="276" w:lineRule="auto"/>
        <w:jc w:val="both"/>
        <w:rPr>
          <w:rFonts w:ascii="Century Gothic" w:hAnsi="Century Gothic" w:eastAsia="Calibri" w:cs="Arial"/>
          <w:color w:val="000000" w:themeColor="text1"/>
          <w:lang w:val="es-ES_tradnl"/>
        </w:rPr>
      </w:pPr>
      <w:r w:rsidRPr="004C64AD">
        <w:rPr>
          <w:rFonts w:ascii="Century Gothic" w:hAnsi="Century Gothic" w:eastAsia="Calibri" w:cs="Arial"/>
          <w:color w:val="000000" w:themeColor="text1"/>
          <w:lang w:val="es-ES_tradnl"/>
        </w:rPr>
        <w:t>En ejercicio de la competencia otorgada por el numeral 8 del artículo 11 y el numeral 5 del artículo 3 del Decreto Ley 4170 de 2011</w:t>
      </w:r>
      <w:bookmarkStart w:name="_Hlk99120496" w:id="3"/>
      <w:r w:rsidRPr="004C64AD">
        <w:rPr>
          <w:rFonts w:ascii="Century Gothic" w:hAnsi="Century Gothic" w:eastAsia="Arial MT" w:cs="Arial MT"/>
          <w:lang w:val="es-ES"/>
        </w:rPr>
        <w:t xml:space="preserve">, </w:t>
      </w:r>
      <w:bookmarkEnd w:id="3"/>
      <w:r w:rsidRPr="004C64AD">
        <w:rPr>
          <w:rFonts w:ascii="Century Gothic" w:hAnsi="Century Gothic" w:eastAsia="Calibri" w:cs="Arial"/>
          <w:color w:val="000000" w:themeColor="text1"/>
          <w:lang w:val="es-ES_tradnl"/>
        </w:rPr>
        <w:t xml:space="preserve">la Agencia Nacional de Contratación Pública – Colombia Compra Eficiente responde la consulta radicada el </w:t>
      </w:r>
      <w:r>
        <w:rPr>
          <w:rFonts w:ascii="Century Gothic" w:hAnsi="Century Gothic" w:eastAsia="Calibri" w:cs="Arial"/>
          <w:color w:val="000000" w:themeColor="text1"/>
          <w:lang w:val="es-ES_tradnl"/>
        </w:rPr>
        <w:t>22 de enero de 2024</w:t>
      </w:r>
      <w:r w:rsidRPr="004C64AD">
        <w:rPr>
          <w:rFonts w:ascii="Century Gothic" w:hAnsi="Century Gothic" w:eastAsia="Calibri" w:cs="Arial"/>
          <w:color w:val="000000" w:themeColor="text1"/>
          <w:lang w:val="es-ES_tradnl"/>
        </w:rPr>
        <w:t>.</w:t>
      </w:r>
    </w:p>
    <w:p w:rsidRPr="004C64AD" w:rsidR="002917FA" w:rsidP="002917FA" w:rsidRDefault="002917FA" w14:paraId="6B39E169" w14:textId="77777777">
      <w:pPr>
        <w:spacing w:after="0" w:line="276" w:lineRule="auto"/>
        <w:jc w:val="both"/>
        <w:rPr>
          <w:rFonts w:ascii="Century Gothic" w:hAnsi="Century Gothic" w:eastAsia="Calibri" w:cs="Arial"/>
          <w:b/>
          <w:color w:val="000000" w:themeColor="text1"/>
          <w:lang w:val="es-ES_tradnl"/>
        </w:rPr>
      </w:pPr>
    </w:p>
    <w:p w:rsidRPr="004C64AD" w:rsidR="002917FA" w:rsidP="002917FA" w:rsidRDefault="002917FA" w14:paraId="2689632C" w14:textId="77777777">
      <w:pPr>
        <w:pStyle w:val="Prrafodelista"/>
        <w:numPr>
          <w:ilvl w:val="0"/>
          <w:numId w:val="6"/>
        </w:numPr>
        <w:tabs>
          <w:tab w:val="left" w:pos="0"/>
          <w:tab w:val="left" w:pos="142"/>
          <w:tab w:val="left" w:pos="284"/>
        </w:tabs>
        <w:spacing w:after="0" w:line="276" w:lineRule="auto"/>
        <w:ind w:left="0" w:firstLine="0"/>
        <w:jc w:val="both"/>
        <w:rPr>
          <w:rFonts w:ascii="Century Gothic" w:hAnsi="Century Gothic" w:eastAsia="Calibri" w:cs="Arial"/>
          <w:b/>
          <w:color w:val="000000" w:themeColor="text1"/>
          <w:lang w:val="es-ES_tradnl"/>
        </w:rPr>
      </w:pPr>
      <w:r w:rsidRPr="004C64AD">
        <w:rPr>
          <w:rFonts w:ascii="Century Gothic" w:hAnsi="Century Gothic" w:eastAsia="Calibri" w:cs="Arial"/>
          <w:b/>
          <w:color w:val="000000" w:themeColor="text1"/>
          <w:lang w:val="es-ES_tradnl"/>
        </w:rPr>
        <w:t xml:space="preserve">Problema planteado </w:t>
      </w:r>
    </w:p>
    <w:p w:rsidRPr="004C64AD" w:rsidR="002917FA" w:rsidP="002917FA" w:rsidRDefault="002917FA" w14:paraId="7FAE435B" w14:textId="77777777">
      <w:pPr>
        <w:tabs>
          <w:tab w:val="left" w:pos="426"/>
        </w:tabs>
        <w:spacing w:after="0" w:line="276" w:lineRule="auto"/>
        <w:jc w:val="both"/>
        <w:rPr>
          <w:rFonts w:ascii="Century Gothic" w:hAnsi="Century Gothic" w:eastAsia="Calibri" w:cs="Arial"/>
          <w:b/>
          <w:color w:val="000000" w:themeColor="text1"/>
          <w:lang w:val="es-ES_tradnl"/>
        </w:rPr>
      </w:pPr>
    </w:p>
    <w:p w:rsidRPr="001265C4" w:rsidR="002917FA" w:rsidP="6522FE63" w:rsidRDefault="002917FA" w14:paraId="5B5AF8FC" w14:textId="77777777">
      <w:pPr>
        <w:spacing w:after="0" w:line="276" w:lineRule="auto"/>
        <w:jc w:val="both"/>
        <w:rPr>
          <w:rFonts w:ascii="Century Gothic" w:hAnsi="Century Gothic" w:cs="Arial"/>
          <w:color w:val="000000" w:themeColor="text1"/>
          <w:lang w:val="es-ES"/>
        </w:rPr>
      </w:pPr>
      <w:bookmarkStart w:name="_Hlk148967884" w:id="4"/>
      <w:r w:rsidRPr="6522FE63" w:rsidR="002917FA">
        <w:rPr>
          <w:rFonts w:ascii="Century Gothic" w:hAnsi="Century Gothic" w:cs="Arial"/>
          <w:color w:val="000000" w:themeColor="text1" w:themeTint="FF" w:themeShade="FF"/>
          <w:lang w:val="es-ES"/>
        </w:rPr>
        <w:t xml:space="preserve">Usted realiza las siguientes preguntas: </w:t>
      </w:r>
      <w:bookmarkStart w:name="_Hlk160451003" w:id="5"/>
      <w:r w:rsidRPr="6522FE63" w:rsidR="002917FA">
        <w:rPr>
          <w:rFonts w:ascii="Century Gothic" w:hAnsi="Century Gothic" w:cs="Arial"/>
          <w:color w:val="000000" w:themeColor="text1" w:themeTint="FF" w:themeShade="FF"/>
          <w:lang w:val="es-ES"/>
        </w:rPr>
        <w:t>i) “</w:t>
      </w:r>
      <w:r w:rsidRPr="6522FE63" w:rsidR="002917FA">
        <w:rPr>
          <w:rFonts w:ascii="Century Gothic" w:hAnsi="Century Gothic" w:cs="Arial"/>
          <w:color w:val="000000" w:themeColor="text1" w:themeTint="FF" w:themeShade="FF"/>
          <w:lang w:val="es-ES"/>
        </w:rPr>
        <w:t>¿Cuál es el alcance del Artículo 353 de la Ley 2294 de 2023, respecto a la satisfacción de necesidades y/o servicios públicos de los pueblos y comunidades indígenas?</w:t>
      </w:r>
      <w:r w:rsidRPr="6522FE63" w:rsidR="002917FA">
        <w:rPr>
          <w:rFonts w:ascii="Century Gothic" w:hAnsi="Century Gothic" w:cs="Arial"/>
          <w:color w:val="000000" w:themeColor="text1" w:themeTint="FF" w:themeShade="FF"/>
          <w:lang w:val="es-ES"/>
        </w:rPr>
        <w:t>”</w:t>
      </w:r>
      <w:bookmarkEnd w:id="5"/>
      <w:r w:rsidRPr="6522FE63" w:rsidR="002917FA">
        <w:rPr>
          <w:rFonts w:ascii="Century Gothic" w:hAnsi="Century Gothic" w:cs="Arial"/>
          <w:color w:val="000000" w:themeColor="text1" w:themeTint="FF" w:themeShade="FF"/>
          <w:lang w:val="es-ES"/>
        </w:rPr>
        <w:t xml:space="preserve">, </w:t>
      </w:r>
      <w:r w:rsidRPr="6522FE63" w:rsidR="002917FA">
        <w:rPr>
          <w:rFonts w:ascii="Century Gothic" w:hAnsi="Century Gothic" w:cs="Arial"/>
          <w:color w:val="000000" w:themeColor="text1" w:themeTint="FF" w:themeShade="FF"/>
          <w:lang w:val="es-ES"/>
        </w:rPr>
        <w:t>ii</w:t>
      </w:r>
      <w:r w:rsidRPr="6522FE63" w:rsidR="002917FA">
        <w:rPr>
          <w:rFonts w:ascii="Century Gothic" w:hAnsi="Century Gothic" w:cs="Arial"/>
          <w:color w:val="000000" w:themeColor="text1" w:themeTint="FF" w:themeShade="FF"/>
          <w:lang w:val="es-ES"/>
        </w:rPr>
        <w:t>) “</w:t>
      </w:r>
      <w:r w:rsidRPr="6522FE63" w:rsidR="002917FA">
        <w:rPr>
          <w:rFonts w:ascii="Century Gothic" w:hAnsi="Century Gothic" w:cs="Arial"/>
          <w:color w:val="000000" w:themeColor="text1" w:themeTint="FF" w:themeShade="FF"/>
          <w:lang w:val="es-ES"/>
        </w:rPr>
        <w:t>¿Qué se entiende por idoneidad de los Cabildos Indígenas, las asociaciones de Cabildos Indígenas y/o Autoridades Tradicionales Indígenas, Consejos Indígenas y Organizaciones Indígenas, ¿de acuerdo con lo establecido en el artículo 353 de la Ley 2294 de 2023?</w:t>
      </w:r>
      <w:r w:rsidRPr="6522FE63" w:rsidR="002917FA">
        <w:rPr>
          <w:rFonts w:ascii="Century Gothic" w:hAnsi="Century Gothic" w:cs="Arial"/>
          <w:color w:val="000000" w:themeColor="text1" w:themeTint="FF" w:themeShade="FF"/>
          <w:lang w:val="es-ES"/>
        </w:rPr>
        <w:t xml:space="preserve">”, </w:t>
      </w:r>
      <w:r w:rsidRPr="6522FE63" w:rsidR="002917FA">
        <w:rPr>
          <w:rFonts w:ascii="Century Gothic" w:hAnsi="Century Gothic" w:cs="Arial"/>
          <w:color w:val="000000" w:themeColor="text1" w:themeTint="FF" w:themeShade="FF"/>
          <w:lang w:val="es-ES"/>
        </w:rPr>
        <w:t>iii</w:t>
      </w:r>
      <w:r w:rsidRPr="6522FE63" w:rsidR="002917FA">
        <w:rPr>
          <w:rFonts w:ascii="Century Gothic" w:hAnsi="Century Gothic" w:cs="Arial"/>
          <w:color w:val="000000" w:themeColor="text1" w:themeTint="FF" w:themeShade="FF"/>
          <w:lang w:val="es-ES"/>
        </w:rPr>
        <w:t>) “</w:t>
      </w:r>
      <w:r w:rsidRPr="6522FE63" w:rsidR="002917FA">
        <w:rPr>
          <w:rFonts w:ascii="Century Gothic" w:hAnsi="Century Gothic" w:cs="Arial"/>
          <w:color w:val="000000" w:themeColor="text1" w:themeTint="FF" w:themeShade="FF"/>
          <w:lang w:val="es-ES"/>
        </w:rPr>
        <w:t>Según los lineamientos establecidos por Colombia Compra Eficiente, ¿Qué criterios sugiere se deben aplicar para determinar o verificar la acreditación de la idoneidad con enfoque diferencial?</w:t>
      </w:r>
      <w:r w:rsidRPr="6522FE63" w:rsidR="002917FA">
        <w:rPr>
          <w:rFonts w:ascii="Century Gothic" w:hAnsi="Century Gothic" w:cs="Arial"/>
          <w:color w:val="000000" w:themeColor="text1" w:themeTint="FF" w:themeShade="FF"/>
          <w:lang w:val="es-ES"/>
        </w:rPr>
        <w:t xml:space="preserve">” y </w:t>
      </w:r>
      <w:r w:rsidRPr="6522FE63" w:rsidR="002917FA">
        <w:rPr>
          <w:rFonts w:ascii="Century Gothic" w:hAnsi="Century Gothic" w:cs="Arial"/>
          <w:color w:val="000000" w:themeColor="text1" w:themeTint="FF" w:themeShade="FF"/>
          <w:lang w:val="es-ES"/>
        </w:rPr>
        <w:t>iv</w:t>
      </w:r>
      <w:r w:rsidRPr="6522FE63" w:rsidR="002917FA">
        <w:rPr>
          <w:rFonts w:ascii="Century Gothic" w:hAnsi="Century Gothic" w:cs="Arial"/>
          <w:color w:val="000000" w:themeColor="text1" w:themeTint="FF" w:themeShade="FF"/>
          <w:lang w:val="es-ES"/>
        </w:rPr>
        <w:t>) “</w:t>
      </w:r>
      <w:r w:rsidRPr="6522FE63" w:rsidR="002917FA">
        <w:rPr>
          <w:rFonts w:ascii="Century Gothic" w:hAnsi="Century Gothic" w:cs="Arial"/>
          <w:color w:val="000000" w:themeColor="text1" w:themeTint="FF" w:themeShade="FF"/>
          <w:lang w:val="es-ES"/>
        </w:rPr>
        <w:t>¿Qué normativa le otorga capacidad para contratar a los Cabildos Indígenas, las asociaciones de Cabildos Indígenas y/o Autoridades Tradicionales Indígenas, Consejos Indígenas y Organizaciones Indígenas, ¿según lo dispuesto en el artículo 353 de la Ley 2294 de 2023?</w:t>
      </w:r>
      <w:r w:rsidRPr="6522FE63" w:rsidR="002917FA">
        <w:rPr>
          <w:rFonts w:ascii="Century Gothic" w:hAnsi="Century Gothic" w:cs="Arial"/>
          <w:color w:val="000000" w:themeColor="text1" w:themeTint="FF" w:themeShade="FF"/>
          <w:lang w:val="es-ES"/>
        </w:rPr>
        <w:t>”.</w:t>
      </w:r>
      <w:r w:rsidRPr="6522FE63" w:rsidR="002917FA">
        <w:rPr>
          <w:rFonts w:ascii="Century Gothic" w:hAnsi="Century Gothic" w:cs="Arial"/>
          <w:color w:val="000000" w:themeColor="text1" w:themeTint="FF" w:themeShade="FF"/>
          <w:lang w:val="es-ES"/>
        </w:rPr>
        <w:t xml:space="preserve">   </w:t>
      </w:r>
      <w:r w:rsidRPr="6522FE63" w:rsidR="002917FA">
        <w:rPr>
          <w:rFonts w:ascii="Century Gothic" w:hAnsi="Century Gothic" w:cs="Arial"/>
          <w:color w:val="000000" w:themeColor="text1" w:themeTint="FF" w:themeShade="FF"/>
          <w:lang w:val="es-ES"/>
        </w:rPr>
        <w:t xml:space="preserve"> </w:t>
      </w:r>
    </w:p>
    <w:bookmarkEnd w:id="4"/>
    <w:p w:rsidRPr="004C64AD" w:rsidR="002917FA" w:rsidP="002917FA" w:rsidRDefault="002917FA" w14:paraId="4C0ED05C" w14:textId="77777777">
      <w:pPr>
        <w:spacing w:after="0" w:line="276" w:lineRule="auto"/>
        <w:ind w:right="709"/>
        <w:jc w:val="both"/>
        <w:rPr>
          <w:rFonts w:ascii="Century Gothic" w:hAnsi="Century Gothic" w:cs="Arial"/>
          <w:color w:val="000000" w:themeColor="text1"/>
        </w:rPr>
      </w:pPr>
    </w:p>
    <w:p w:rsidRPr="004C64AD" w:rsidR="002917FA" w:rsidP="002917FA" w:rsidRDefault="002917FA" w14:paraId="6F5C3A14" w14:textId="77777777">
      <w:pPr>
        <w:pStyle w:val="Prrafodelista"/>
        <w:numPr>
          <w:ilvl w:val="0"/>
          <w:numId w:val="6"/>
        </w:numPr>
        <w:tabs>
          <w:tab w:val="left" w:pos="0"/>
          <w:tab w:val="left" w:pos="284"/>
        </w:tabs>
        <w:spacing w:after="0" w:line="240" w:lineRule="auto"/>
        <w:ind w:left="0" w:firstLine="0"/>
        <w:jc w:val="both"/>
        <w:rPr>
          <w:rFonts w:ascii="Century Gothic" w:hAnsi="Century Gothic" w:eastAsia="Calibri" w:cs="Arial"/>
          <w:b/>
          <w:color w:val="000000" w:themeColor="text1"/>
          <w:lang w:val="es-ES_tradnl"/>
        </w:rPr>
      </w:pPr>
      <w:r w:rsidRPr="004C64AD">
        <w:rPr>
          <w:rFonts w:ascii="Century Gothic" w:hAnsi="Century Gothic" w:eastAsia="Calibri" w:cs="Arial"/>
          <w:b/>
          <w:color w:val="000000" w:themeColor="text1"/>
          <w:lang w:val="es-ES_tradnl"/>
        </w:rPr>
        <w:t>Consideraciones</w:t>
      </w:r>
    </w:p>
    <w:p w:rsidRPr="004C64AD" w:rsidR="002917FA" w:rsidP="002917FA" w:rsidRDefault="002917FA" w14:paraId="402CF73E" w14:textId="77777777">
      <w:pPr>
        <w:spacing w:after="0" w:line="276" w:lineRule="auto"/>
        <w:jc w:val="both"/>
        <w:rPr>
          <w:rFonts w:ascii="Century Gothic" w:hAnsi="Century Gothic" w:eastAsia="Calibri" w:cs="Arial"/>
          <w:color w:val="000000" w:themeColor="text1"/>
          <w:lang w:val="es-ES"/>
        </w:rPr>
      </w:pPr>
    </w:p>
    <w:p w:rsidR="002917FA" w:rsidP="002917FA" w:rsidRDefault="002917FA" w14:paraId="1815E79B" w14:textId="77777777">
      <w:pPr>
        <w:spacing w:after="120" w:line="276" w:lineRule="auto"/>
        <w:jc w:val="both"/>
        <w:rPr>
          <w:rFonts w:ascii="Century Gothic" w:hAnsi="Century Gothic" w:cs="Arial"/>
        </w:rPr>
      </w:pPr>
      <w:r>
        <w:rPr>
          <w:rFonts w:ascii="Century Gothic" w:hAnsi="Century Gothic" w:eastAsia="Calibri"/>
          <w:lang w:val="es-ES_tradnl" w:eastAsia="es-ES_tradnl"/>
        </w:rPr>
        <w:t xml:space="preserve">De manera preliminar, </w:t>
      </w:r>
      <w:r>
        <w:rPr>
          <w:rFonts w:ascii="Century Gothic" w:hAnsi="Century Gothic" w:cs="Arial"/>
        </w:rPr>
        <w:t>conforme a los</w:t>
      </w:r>
      <w:r w:rsidRPr="000B379D">
        <w:rPr>
          <w:rFonts w:ascii="Century Gothic" w:hAnsi="Century Gothic" w:cs="Arial"/>
        </w:rPr>
        <w:t xml:space="preserve"> artículos 3, numeral 5 y 1, numeral 8 del Decreto Ley 4170 de 2011, la Agencia Nacional de Contratación Pública resuelve las consultas sobre temáticas de la contratación estatal y compras públicas relacionadas en los artículos </w:t>
      </w:r>
      <w:r w:rsidRPr="000B379D">
        <w:rPr>
          <w:rFonts w:ascii="Century Gothic" w:hAnsi="Century Gothic" w:cs="Arial"/>
          <w:lang w:val="es-ES"/>
        </w:rPr>
        <w:t>citados</w:t>
      </w:r>
      <w:r w:rsidRPr="000B379D">
        <w:rPr>
          <w:rFonts w:ascii="Century Gothic" w:hAnsi="Century Gothic" w:cs="Arial"/>
          <w:vertAlign w:val="superscript"/>
          <w:lang w:val="es-ES"/>
        </w:rPr>
        <w:footnoteReference w:id="2"/>
      </w:r>
      <w:r w:rsidRPr="000B379D">
        <w:rPr>
          <w:rFonts w:ascii="Century Gothic" w:hAnsi="Century Gothic" w:cs="Arial"/>
          <w:lang w:val="es-ES"/>
        </w:rPr>
        <w:t xml:space="preserve">. </w:t>
      </w:r>
      <w:r>
        <w:rPr>
          <w:rFonts w:ascii="Century Gothic" w:hAnsi="Century Gothic" w:cs="Arial"/>
          <w:lang w:val="es-ES"/>
        </w:rPr>
        <w:t>E</w:t>
      </w:r>
      <w:r w:rsidRPr="000B379D">
        <w:rPr>
          <w:rFonts w:ascii="Century Gothic" w:hAnsi="Century Gothic" w:cs="Arial"/>
          <w:lang w:val="es-ES"/>
        </w:rPr>
        <w:t>sta entidad solo tiene competencia para responder solicitudes sobre la interpretación de normas de carácter general en materia de compras y contratación pública</w:t>
      </w:r>
      <w:r>
        <w:rPr>
          <w:rFonts w:ascii="Century Gothic" w:hAnsi="Century Gothic" w:cs="Arial"/>
          <w:lang w:val="es-ES"/>
        </w:rPr>
        <w:t>, esto</w:t>
      </w:r>
      <w:r w:rsidRPr="000B379D">
        <w:rPr>
          <w:rFonts w:ascii="Century Gothic" w:hAnsi="Century Gothic" w:cs="Arial"/>
          <w:lang w:val="es-ES"/>
        </w:rPr>
        <w:t xml:space="preserve"> con el objeto de evitar que la Agencia actúe como una instancia de validación de las actuaciones de las entidades </w:t>
      </w:r>
      <w:r>
        <w:rPr>
          <w:rFonts w:ascii="Century Gothic" w:hAnsi="Century Gothic" w:cs="Arial"/>
          <w:lang w:val="es-ES"/>
        </w:rPr>
        <w:t>estatales. De esta manera</w:t>
      </w:r>
      <w:r w:rsidRPr="000B379D">
        <w:rPr>
          <w:rFonts w:ascii="Century Gothic" w:hAnsi="Century Gothic" w:cs="Arial"/>
          <w:lang w:val="es-ES"/>
        </w:rPr>
        <w:t xml:space="preserve">, </w:t>
      </w:r>
      <w:r>
        <w:rPr>
          <w:rFonts w:ascii="Century Gothic" w:hAnsi="Century Gothic" w:cs="Arial"/>
          <w:lang w:val="es-ES"/>
        </w:rPr>
        <w:t xml:space="preserve">la función consultiva </w:t>
      </w:r>
      <w:r w:rsidRPr="000B379D">
        <w:rPr>
          <w:rFonts w:ascii="Century Gothic" w:hAnsi="Century Gothic" w:cs="Arial"/>
          <w:lang w:val="es-ES"/>
        </w:rPr>
        <w:t>no pu</w:t>
      </w:r>
      <w:r>
        <w:rPr>
          <w:rFonts w:ascii="Century Gothic" w:hAnsi="Century Gothic" w:cs="Arial"/>
          <w:lang w:val="es-ES"/>
        </w:rPr>
        <w:t>ede</w:t>
      </w:r>
      <w:r w:rsidRPr="000B379D">
        <w:rPr>
          <w:rFonts w:ascii="Century Gothic" w:hAnsi="Century Gothic" w:cs="Arial"/>
          <w:lang w:val="es-ES"/>
        </w:rPr>
        <w:t xml:space="preserve"> extenderse a la resolución de controversias</w:t>
      </w:r>
      <w:r>
        <w:rPr>
          <w:rFonts w:ascii="Century Gothic" w:hAnsi="Century Gothic" w:cs="Arial"/>
          <w:lang w:val="es-ES"/>
        </w:rPr>
        <w:t xml:space="preserve"> ni </w:t>
      </w:r>
      <w:r w:rsidRPr="000B379D">
        <w:rPr>
          <w:rFonts w:ascii="Century Gothic" w:hAnsi="Century Gothic" w:cs="Arial"/>
          <w:lang w:val="es-ES"/>
        </w:rPr>
        <w:t>brindar asesorías sobre casos puntuales</w:t>
      </w:r>
      <w:r>
        <w:rPr>
          <w:rFonts w:ascii="Century Gothic" w:hAnsi="Century Gothic" w:cs="Arial"/>
          <w:lang w:val="es-ES"/>
        </w:rPr>
        <w:t>.</w:t>
      </w:r>
    </w:p>
    <w:p w:rsidRPr="00FC072E" w:rsidR="002917FA" w:rsidP="002917FA" w:rsidRDefault="002917FA" w14:paraId="1B62F63C" w14:textId="436A6B33">
      <w:pPr>
        <w:spacing w:after="120" w:line="276" w:lineRule="auto"/>
        <w:ind w:firstLine="708"/>
        <w:jc w:val="both"/>
        <w:rPr>
          <w:rFonts w:ascii="Century Gothic" w:hAnsi="Century Gothic" w:cs="Arial"/>
          <w:color w:val="000000" w:themeColor="text1"/>
          <w:lang w:val="es-ES"/>
        </w:rPr>
      </w:pPr>
      <w:r>
        <w:rPr>
          <w:rFonts w:ascii="Century Gothic" w:hAnsi="Century Gothic" w:cs="Arial"/>
          <w:lang w:val="es-ES"/>
        </w:rPr>
        <w:t xml:space="preserve">Por ello, </w:t>
      </w:r>
      <w:r w:rsidRPr="000B379D">
        <w:rPr>
          <w:rFonts w:ascii="Century Gothic" w:hAnsi="Century Gothic" w:cs="Arial"/>
        </w:rPr>
        <w:t>Colombia Compra Eficiente</w:t>
      </w:r>
      <w:r w:rsidRPr="00FA6BF6">
        <w:rPr>
          <w:rFonts w:ascii="Century Gothic" w:hAnsi="Century Gothic" w:cs="Arial"/>
          <w:lang w:val="es-ES"/>
        </w:rPr>
        <w:t xml:space="preserve"> –dentro de los límites de sus atribuciones, esto es, haciendo abstracción </w:t>
      </w:r>
      <w:r>
        <w:rPr>
          <w:rFonts w:ascii="Century Gothic" w:hAnsi="Century Gothic" w:cs="Arial"/>
          <w:lang w:val="es-ES"/>
        </w:rPr>
        <w:t>de cualquier situación concreta</w:t>
      </w:r>
      <w:r w:rsidRPr="00FA6BF6">
        <w:rPr>
          <w:rFonts w:ascii="Century Gothic" w:hAnsi="Century Gothic" w:cs="Arial"/>
          <w:lang w:val="es-ES"/>
        </w:rPr>
        <w:t>– resolverá la consulta conforme a las normas generales en materia de contratación estatal</w:t>
      </w:r>
      <w:r>
        <w:rPr>
          <w:rFonts w:ascii="Century Gothic" w:hAnsi="Century Gothic" w:cs="Arial"/>
          <w:lang w:val="es-ES"/>
        </w:rPr>
        <w:t>.</w:t>
      </w:r>
      <w:r>
        <w:rPr>
          <w:rFonts w:ascii="Century Gothic" w:hAnsi="Century Gothic" w:eastAsia="Calibri"/>
          <w:lang w:val="es-ES_tradnl" w:eastAsia="es-ES_tradnl"/>
        </w:rPr>
        <w:t xml:space="preserve"> Para estos efectos,</w:t>
      </w:r>
      <w:r w:rsidRPr="004C64AD">
        <w:rPr>
          <w:rFonts w:ascii="Century Gothic" w:hAnsi="Century Gothic" w:eastAsia="Calibri" w:cs="Arial"/>
          <w:bCs/>
        </w:rPr>
        <w:t xml:space="preserve"> se abordará</w:t>
      </w:r>
      <w:r>
        <w:rPr>
          <w:rFonts w:ascii="Century Gothic" w:hAnsi="Century Gothic" w:eastAsia="Calibri" w:cs="Arial"/>
          <w:bCs/>
          <w:lang w:val="es-ES"/>
        </w:rPr>
        <w:t>n los siguientes temas: i)</w:t>
      </w:r>
      <w:r w:rsidRPr="00995623">
        <w:rPr>
          <w:rFonts w:ascii="Century Gothic" w:hAnsi="Century Gothic" w:eastAsia="Calibri" w:cs="Arial"/>
          <w:bCs/>
          <w:lang w:val="es-ES"/>
        </w:rPr>
        <w:t xml:space="preserve"> regímenes de contratación de los cabildos indígenas, autoridades tradicionales indígenas, asociaciones de cabildos indígenas y/o autoridades tradicionales indígenas, </w:t>
      </w:r>
      <w:r w:rsidRPr="00995623">
        <w:rPr>
          <w:rFonts w:ascii="Century Gothic" w:hAnsi="Century Gothic" w:eastAsia="Calibri" w:cs="Arial"/>
          <w:bCs/>
          <w:lang w:val="es-ES"/>
        </w:rPr>
        <w:t>consejos indígenas y organizaciones indígenas</w:t>
      </w:r>
      <w:r>
        <w:rPr>
          <w:rFonts w:ascii="Century Gothic" w:hAnsi="Century Gothic" w:eastAsia="Calibri" w:cs="Arial"/>
          <w:bCs/>
          <w:lang w:val="es-ES"/>
        </w:rPr>
        <w:t xml:space="preserve">; y </w:t>
      </w:r>
      <w:proofErr w:type="spellStart"/>
      <w:r>
        <w:rPr>
          <w:rFonts w:ascii="Century Gothic" w:hAnsi="Century Gothic" w:eastAsia="Calibri" w:cs="Arial"/>
          <w:bCs/>
          <w:lang w:val="es-ES"/>
        </w:rPr>
        <w:t>ii</w:t>
      </w:r>
      <w:proofErr w:type="spellEnd"/>
      <w:r>
        <w:rPr>
          <w:rFonts w:ascii="Century Gothic" w:hAnsi="Century Gothic" w:eastAsia="Calibri" w:cs="Arial"/>
          <w:bCs/>
          <w:lang w:val="es-ES"/>
        </w:rPr>
        <w:t xml:space="preserve">) alcance de la causal de contratación directa del literal l) del artículo </w:t>
      </w:r>
      <w:r w:rsidR="00277B55">
        <w:rPr>
          <w:rFonts w:ascii="Century Gothic" w:hAnsi="Century Gothic" w:eastAsia="Calibri" w:cs="Arial"/>
          <w:bCs/>
          <w:lang w:val="es-ES"/>
        </w:rPr>
        <w:t>2, numeral 4</w:t>
      </w:r>
      <w:r>
        <w:rPr>
          <w:rFonts w:ascii="Century Gothic" w:hAnsi="Century Gothic" w:eastAsia="Calibri" w:cs="Arial"/>
          <w:bCs/>
          <w:lang w:val="es-ES"/>
        </w:rPr>
        <w:t xml:space="preserve"> de la Ley 1150 de 2007.</w:t>
      </w:r>
      <w:r w:rsidRPr="00835BF6">
        <w:rPr>
          <w:rFonts w:ascii="Century Gothic" w:hAnsi="Century Gothic" w:cs="Arial"/>
          <w:color w:val="000000" w:themeColor="text1"/>
          <w:lang w:val="es-ES"/>
        </w:rPr>
        <w:t xml:space="preserve">   </w:t>
      </w:r>
    </w:p>
    <w:p w:rsidR="002917FA" w:rsidP="002917FA" w:rsidRDefault="002917FA" w14:paraId="3E8D15DE" w14:textId="77777777">
      <w:pPr>
        <w:spacing w:after="0" w:line="276" w:lineRule="auto"/>
        <w:ind w:firstLine="709"/>
        <w:jc w:val="both"/>
        <w:rPr>
          <w:rFonts w:ascii="Century Gothic" w:hAnsi="Century Gothic" w:eastAsia="Calibri" w:cs="Arial"/>
          <w:color w:val="000000" w:themeColor="text1"/>
          <w:lang w:val="es-ES_tradnl"/>
        </w:rPr>
      </w:pPr>
      <w:r w:rsidRPr="00FD0CBE">
        <w:rPr>
          <w:rFonts w:ascii="Century Gothic" w:hAnsi="Century Gothic" w:eastAsia="Calibri" w:cs="Arial"/>
          <w:color w:val="000000" w:themeColor="text1"/>
          <w:lang w:val="es-ES"/>
        </w:rPr>
        <w:t>La Agencia</w:t>
      </w:r>
      <w:r>
        <w:rPr>
          <w:rFonts w:ascii="Century Gothic" w:hAnsi="Century Gothic" w:eastAsia="Calibri" w:cs="Arial"/>
          <w:color w:val="000000" w:themeColor="text1"/>
          <w:lang w:val="es-ES"/>
        </w:rPr>
        <w:t xml:space="preserve">, en el Concepto </w:t>
      </w:r>
      <w:r w:rsidRPr="00995623">
        <w:rPr>
          <w:rFonts w:ascii="Century Gothic" w:hAnsi="Century Gothic" w:eastAsia="Calibri" w:cs="Arial"/>
          <w:color w:val="000000" w:themeColor="text1"/>
          <w:lang w:val="es-ES"/>
        </w:rPr>
        <w:t xml:space="preserve">4201912000004171 del 11 de septiembre de 2019, reiterado y desarrollado en los </w:t>
      </w:r>
      <w:r>
        <w:rPr>
          <w:rFonts w:ascii="Century Gothic" w:hAnsi="Century Gothic" w:eastAsia="Calibri" w:cs="Arial"/>
          <w:color w:val="000000" w:themeColor="text1"/>
          <w:lang w:val="es-ES"/>
        </w:rPr>
        <w:t>C</w:t>
      </w:r>
      <w:r w:rsidRPr="00995623">
        <w:rPr>
          <w:rFonts w:ascii="Century Gothic" w:hAnsi="Century Gothic" w:eastAsia="Calibri" w:cs="Arial"/>
          <w:color w:val="000000" w:themeColor="text1"/>
          <w:lang w:val="es-ES"/>
        </w:rPr>
        <w:t>onceptos 4201913000006260 del 03 de octubre de 2019, 4201913000005753 del 4 de octubre de 2019, 4201913000006529 del 21 de octubre de 2019, 4201913000006859 del 19 de noviembre del 2019, 4201913000007429 del 25 de noviembre de 2019, C-235 del 13 de marzo de 2020, C-361 del 22 de julio de 2020, C-499 del 19 de agosto de 2020, C-590 del 31 de agosto de 2020, C-677 del 10 de noviembre de 2020, C-213 del 13 de mayo de 2021, C-305 del 20 de mayo de 2021, C-718 del 23 de enero de 2022, C- 720 del 25 de enero de 2022, C-731 del 26 de enero de 2022 y C-063 del 15 de marzo de 2022, C-305 de 20 de mayo de 2021, C-349 de 1 de junio de 2022, C-359 de 6 de junio de 2022, C-695 de 24 de octubre de 2022, C-707 de 25 de octubre de 2022, C-761 de 12 de octubre de 2022, C- 806  del 19 de diciembre de 2022, C- 899 de 30 de diciembre de 2022, C-928 de 26 de enero de 2023, C-961 del 30 de enero de 2023, RS20230227001739 del 27 de febrero de 2023, C- 084 del 28 de abril de 2023, C-044 del 8 de mayo de 2023, C-182 del 29 de junio de 2023</w:t>
      </w:r>
      <w:r>
        <w:rPr>
          <w:rFonts w:ascii="Century Gothic" w:hAnsi="Century Gothic" w:eastAsia="Calibri" w:cs="Arial"/>
          <w:color w:val="000000" w:themeColor="text1"/>
          <w:lang w:val="es-ES"/>
        </w:rPr>
        <w:t xml:space="preserve">, </w:t>
      </w:r>
      <w:r w:rsidRPr="00995623">
        <w:rPr>
          <w:rFonts w:ascii="Century Gothic" w:hAnsi="Century Gothic" w:eastAsia="Calibri" w:cs="Arial"/>
          <w:color w:val="000000" w:themeColor="text1"/>
          <w:lang w:val="es-ES"/>
        </w:rPr>
        <w:t>C-319 del 2 de agosto de 2023</w:t>
      </w:r>
      <w:r>
        <w:rPr>
          <w:rFonts w:ascii="Century Gothic" w:hAnsi="Century Gothic" w:eastAsia="Calibri" w:cs="Arial"/>
          <w:color w:val="000000" w:themeColor="text1"/>
          <w:lang w:val="es-ES"/>
        </w:rPr>
        <w:t xml:space="preserve"> y C-301 del 6 de octubre de 2023,</w:t>
      </w:r>
      <w:r w:rsidRPr="00995623">
        <w:rPr>
          <w:rFonts w:ascii="Century Gothic" w:hAnsi="Century Gothic" w:eastAsia="Calibri" w:cs="Arial"/>
          <w:color w:val="000000" w:themeColor="text1"/>
          <w:lang w:val="es-ES"/>
        </w:rPr>
        <w:t xml:space="preserve"> analizó el marco jurídico relacionado con la contratación por parte de indígenas, </w:t>
      </w:r>
      <w:r>
        <w:rPr>
          <w:rFonts w:ascii="Century Gothic" w:hAnsi="Century Gothic" w:eastAsia="Calibri" w:cs="Arial"/>
          <w:color w:val="000000" w:themeColor="text1"/>
          <w:lang w:val="es-ES"/>
        </w:rPr>
        <w:t>así como</w:t>
      </w:r>
      <w:r w:rsidRPr="00995623">
        <w:rPr>
          <w:rFonts w:ascii="Century Gothic" w:hAnsi="Century Gothic" w:eastAsia="Calibri" w:cs="Arial"/>
          <w:color w:val="000000" w:themeColor="text1"/>
          <w:lang w:val="es-ES"/>
        </w:rPr>
        <w:t xml:space="preserve"> las normas y jurisprudencia sobre la materia</w:t>
      </w:r>
      <w:r w:rsidRPr="004C64AD">
        <w:rPr>
          <w:rStyle w:val="Refdenotaalpie"/>
          <w:rFonts w:ascii="Century Gothic" w:hAnsi="Century Gothic" w:eastAsia="Calibri" w:cs="Arial"/>
        </w:rPr>
        <w:footnoteReference w:id="3"/>
      </w:r>
      <w:r w:rsidRPr="004C64AD">
        <w:rPr>
          <w:rStyle w:val="normaltextrun"/>
          <w:rFonts w:ascii="Century Gothic" w:hAnsi="Century Gothic" w:cs="Arial"/>
          <w:color w:val="000000"/>
          <w:shd w:val="clear" w:color="auto" w:fill="FFFFFF"/>
        </w:rPr>
        <w:t xml:space="preserve">. </w:t>
      </w:r>
      <w:r w:rsidRPr="004C64AD">
        <w:rPr>
          <w:rFonts w:ascii="Century Gothic" w:hAnsi="Century Gothic" w:eastAsia="Calibri" w:cs="Arial"/>
          <w:color w:val="000000" w:themeColor="text1"/>
          <w:lang w:val="es-ES_tradnl"/>
        </w:rPr>
        <w:t>La tesis propuesta en estos conceptos se reitera a continuación y se complementa en lo pertinente</w:t>
      </w:r>
      <w:r>
        <w:rPr>
          <w:rFonts w:ascii="Century Gothic" w:hAnsi="Century Gothic" w:eastAsia="Calibri" w:cs="Arial"/>
          <w:color w:val="000000" w:themeColor="text1"/>
          <w:lang w:val="es-ES_tradnl"/>
        </w:rPr>
        <w:t>.</w:t>
      </w:r>
    </w:p>
    <w:p w:rsidRPr="002F58F5" w:rsidR="002917FA" w:rsidP="002917FA" w:rsidRDefault="002917FA" w14:paraId="458CB6B9" w14:textId="77777777">
      <w:pPr>
        <w:spacing w:after="0" w:line="276" w:lineRule="auto"/>
        <w:ind w:firstLine="709"/>
        <w:jc w:val="both"/>
        <w:rPr>
          <w:rFonts w:ascii="Century Gothic" w:hAnsi="Century Gothic" w:eastAsia="Calibri" w:cs="Arial"/>
          <w:color w:val="000000" w:themeColor="text1"/>
          <w:sz w:val="18"/>
          <w:szCs w:val="18"/>
          <w:lang w:val="es-ES_tradnl"/>
        </w:rPr>
      </w:pPr>
    </w:p>
    <w:p w:rsidRPr="00F01F88" w:rsidR="002917FA" w:rsidP="002917FA" w:rsidRDefault="002917FA" w14:paraId="424A9F37" w14:textId="77777777">
      <w:pPr>
        <w:spacing w:after="0" w:line="276" w:lineRule="auto"/>
        <w:jc w:val="both"/>
        <w:rPr>
          <w:rFonts w:ascii="Century Gothic" w:hAnsi="Century Gothic" w:eastAsia="Calibri" w:cs="Arial"/>
          <w:b/>
          <w:bCs/>
          <w:color w:val="000000" w:themeColor="text1"/>
          <w:lang w:val="es-ES_tradnl"/>
        </w:rPr>
      </w:pPr>
      <w:r w:rsidRPr="00F01F88">
        <w:rPr>
          <w:rFonts w:ascii="Century Gothic" w:hAnsi="Century Gothic" w:eastAsia="Calibri" w:cs="Arial"/>
          <w:b/>
          <w:bCs/>
          <w:color w:val="000000" w:themeColor="text1"/>
          <w:lang w:val="es-ES_tradnl"/>
        </w:rPr>
        <w:t>2.1.</w:t>
      </w:r>
      <w:r>
        <w:rPr>
          <w:rFonts w:ascii="Century Gothic" w:hAnsi="Century Gothic" w:eastAsia="Calibri" w:cs="Arial"/>
          <w:b/>
          <w:bCs/>
          <w:color w:val="000000" w:themeColor="text1"/>
          <w:lang w:val="es-ES_tradnl"/>
        </w:rPr>
        <w:t xml:space="preserve"> </w:t>
      </w:r>
      <w:r w:rsidRPr="00F01F88">
        <w:rPr>
          <w:rFonts w:ascii="Century Gothic" w:hAnsi="Century Gothic" w:eastAsia="Calibri" w:cs="Arial"/>
          <w:b/>
          <w:bCs/>
          <w:color w:val="000000" w:themeColor="text1"/>
          <w:lang w:val="es-ES_tradnl"/>
        </w:rPr>
        <w:t>Regímenes de contratación de los cabildos indígenas, autoridades tradicionales indígenas, asociaciones de cabildos indígenas y/o autoridades tradicionales indígenas, consejos indígenas y organizaciones indígenas</w:t>
      </w:r>
    </w:p>
    <w:p w:rsidRPr="002F58F5" w:rsidR="002917FA" w:rsidP="002917FA" w:rsidRDefault="002917FA" w14:paraId="43CAC9D0" w14:textId="77777777">
      <w:pPr>
        <w:spacing w:after="0" w:line="276" w:lineRule="auto"/>
        <w:jc w:val="both"/>
        <w:rPr>
          <w:rFonts w:ascii="Century Gothic" w:hAnsi="Century Gothic" w:eastAsia="Calibri" w:cs="Arial"/>
          <w:color w:val="000000" w:themeColor="text1"/>
          <w:sz w:val="18"/>
          <w:szCs w:val="18"/>
          <w:lang w:val="es-ES_tradnl"/>
        </w:rPr>
      </w:pPr>
    </w:p>
    <w:p w:rsidR="002917FA" w:rsidP="002917FA" w:rsidRDefault="002917FA" w14:paraId="55ACF951" w14:textId="77777777">
      <w:pPr>
        <w:spacing w:after="0" w:line="276" w:lineRule="auto"/>
        <w:jc w:val="both"/>
        <w:rPr>
          <w:rFonts w:ascii="Century Gothic" w:hAnsi="Century Gothic" w:eastAsia="Calibri" w:cs="Arial"/>
          <w:lang w:val="es-ES"/>
        </w:rPr>
      </w:pPr>
      <w:r w:rsidRPr="0004430F">
        <w:rPr>
          <w:rFonts w:ascii="Century Gothic" w:hAnsi="Century Gothic" w:eastAsia="Calibri" w:cs="Arial"/>
          <w:lang w:val="es-ES"/>
        </w:rPr>
        <w:t>Con la suscripción del Convenio No. 169 de 1989 “Sobre pueblos indígenas y tribales en países independientes” de la Organización Internacional del Trabajo – OIT, incorporado al bloque de constitucionalidad</w:t>
      </w:r>
      <w:r w:rsidRPr="0004430F">
        <w:rPr>
          <w:rFonts w:ascii="Century Gothic" w:hAnsi="Century Gothic"/>
          <w:vertAlign w:val="superscript"/>
        </w:rPr>
        <w:footnoteReference w:id="4"/>
      </w:r>
      <w:r w:rsidRPr="0004430F">
        <w:rPr>
          <w:rFonts w:ascii="Century Gothic" w:hAnsi="Century Gothic" w:eastAsia="Calibri" w:cs="Arial"/>
          <w:lang w:val="es-ES"/>
        </w:rPr>
        <w:t xml:space="preserve"> mediante la Ley 21 de 1991, “Por medio de la cual se aprueba el Convenio número 169 sobre pueblos indígenas y tribales en países independientes, adoptado por la 76ava reunión de la </w:t>
      </w:r>
      <w:r w:rsidRPr="0004430F">
        <w:rPr>
          <w:rFonts w:ascii="Century Gothic" w:hAnsi="Century Gothic" w:eastAsia="Calibri" w:cs="Arial"/>
          <w:lang w:val="es-ES"/>
        </w:rPr>
        <w:t xml:space="preserve">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w:t>
      </w:r>
    </w:p>
    <w:p w:rsidRPr="0004430F" w:rsidR="002917FA" w:rsidP="002917FA" w:rsidRDefault="002917FA" w14:paraId="67E58093" w14:textId="77777777">
      <w:pPr>
        <w:spacing w:after="0" w:line="276" w:lineRule="auto"/>
        <w:jc w:val="both"/>
        <w:rPr>
          <w:rFonts w:ascii="Century Gothic" w:hAnsi="Century Gothic" w:eastAsia="Calibri" w:cs="Arial"/>
          <w:lang w:val="es-ES"/>
        </w:rPr>
      </w:pPr>
    </w:p>
    <w:p w:rsidRPr="002F58F5" w:rsidR="002917FA" w:rsidP="002917FA" w:rsidRDefault="002917FA" w14:paraId="6A8273AC" w14:textId="77777777">
      <w:pPr>
        <w:spacing w:after="120" w:line="240" w:lineRule="auto"/>
        <w:ind w:left="709" w:right="709"/>
        <w:jc w:val="both"/>
        <w:rPr>
          <w:rFonts w:ascii="Century Gothic" w:hAnsi="Century Gothic" w:eastAsia="Calibri" w:cs="Arial"/>
          <w:sz w:val="20"/>
          <w:szCs w:val="20"/>
          <w:lang w:val="es-ES"/>
        </w:rPr>
      </w:pPr>
      <w:r w:rsidRPr="002F58F5">
        <w:rPr>
          <w:rFonts w:ascii="Century Gothic" w:hAnsi="Century Gothic" w:eastAsia="Calibri" w:cs="Arial"/>
          <w:sz w:val="20"/>
          <w:szCs w:val="20"/>
          <w:lang w:val="es-ES"/>
        </w:rPr>
        <w:t>“Artículo 2.</w:t>
      </w:r>
    </w:p>
    <w:p w:rsidRPr="002F58F5" w:rsidR="002917FA" w:rsidP="002917FA" w:rsidRDefault="002917FA" w14:paraId="299C7962" w14:textId="77777777">
      <w:pPr>
        <w:spacing w:after="120" w:line="240" w:lineRule="auto"/>
        <w:ind w:left="709" w:right="709"/>
        <w:jc w:val="both"/>
        <w:rPr>
          <w:rFonts w:ascii="Century Gothic" w:hAnsi="Century Gothic" w:eastAsia="Calibri" w:cs="Arial"/>
          <w:sz w:val="20"/>
          <w:szCs w:val="20"/>
          <w:lang w:val="es-ES"/>
        </w:rPr>
      </w:pPr>
      <w:r w:rsidRPr="002F58F5">
        <w:rPr>
          <w:rFonts w:ascii="Century Gothic" w:hAnsi="Century Gothic" w:eastAsia="Calibri" w:cs="Arial"/>
          <w:sz w:val="20"/>
          <w:szCs w:val="20"/>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rsidRPr="002F58F5" w:rsidR="002917FA" w:rsidP="002917FA" w:rsidRDefault="002917FA" w14:paraId="72E96DA7" w14:textId="77777777">
      <w:pPr>
        <w:spacing w:after="120" w:line="240" w:lineRule="auto"/>
        <w:ind w:left="709" w:right="709"/>
        <w:jc w:val="both"/>
        <w:rPr>
          <w:rFonts w:ascii="Century Gothic" w:hAnsi="Century Gothic" w:eastAsia="Calibri" w:cs="Arial"/>
          <w:sz w:val="20"/>
          <w:szCs w:val="20"/>
          <w:lang w:val="es-ES"/>
        </w:rPr>
      </w:pPr>
      <w:r w:rsidRPr="002F58F5">
        <w:rPr>
          <w:rFonts w:ascii="Century Gothic" w:hAnsi="Century Gothic" w:eastAsia="Calibri" w:cs="Arial"/>
          <w:sz w:val="20"/>
          <w:szCs w:val="20"/>
          <w:lang w:val="es-ES"/>
        </w:rPr>
        <w:t>2. Esta acción deberá incluir medidas:</w:t>
      </w:r>
    </w:p>
    <w:p w:rsidRPr="002F58F5" w:rsidR="002917FA" w:rsidP="002917FA" w:rsidRDefault="002917FA" w14:paraId="0020A3B2" w14:textId="77777777">
      <w:pPr>
        <w:spacing w:after="120" w:line="240" w:lineRule="auto"/>
        <w:ind w:left="709" w:right="709"/>
        <w:jc w:val="both"/>
        <w:rPr>
          <w:rFonts w:ascii="Century Gothic" w:hAnsi="Century Gothic" w:eastAsia="Calibri" w:cs="Arial"/>
          <w:sz w:val="20"/>
          <w:szCs w:val="20"/>
          <w:lang w:val="es-ES"/>
        </w:rPr>
      </w:pPr>
      <w:r w:rsidRPr="002F58F5">
        <w:rPr>
          <w:rFonts w:ascii="Century Gothic" w:hAnsi="Century Gothic" w:eastAsia="Calibri" w:cs="Arial"/>
          <w:sz w:val="20"/>
          <w:szCs w:val="20"/>
          <w:lang w:val="es-ES"/>
        </w:rPr>
        <w:t>a). Que aseguren a los miembros de dichos pueblos gozar, en pie de igualdad, de los derechos y oportunidades que la legislación nacional otorga a los demás miembros de la población;</w:t>
      </w:r>
    </w:p>
    <w:p w:rsidRPr="002F58F5" w:rsidR="002917FA" w:rsidP="002917FA" w:rsidRDefault="002917FA" w14:paraId="7F34993C" w14:textId="77777777">
      <w:pPr>
        <w:spacing w:after="120" w:line="240" w:lineRule="auto"/>
        <w:ind w:left="709" w:right="709"/>
        <w:jc w:val="both"/>
        <w:rPr>
          <w:rFonts w:ascii="Century Gothic" w:hAnsi="Century Gothic" w:eastAsia="Calibri" w:cs="Arial"/>
          <w:sz w:val="20"/>
          <w:szCs w:val="20"/>
          <w:lang w:val="es-ES"/>
        </w:rPr>
      </w:pPr>
      <w:r w:rsidRPr="002F58F5">
        <w:rPr>
          <w:rFonts w:ascii="Century Gothic" w:hAnsi="Century Gothic" w:eastAsia="Calibri" w:cs="Arial"/>
          <w:sz w:val="20"/>
          <w:szCs w:val="20"/>
          <w:lang w:val="es-ES"/>
        </w:rPr>
        <w:t>b). Que promuevan la plena efectividad de los derechos sociales, económicos y culturales de esos pueblos, respetando su identidad social y cultural, sus costumbres y tradiciones, y sus instituciones;</w:t>
      </w:r>
    </w:p>
    <w:p w:rsidRPr="002F58F5" w:rsidR="002917FA" w:rsidP="002917FA" w:rsidRDefault="002917FA" w14:paraId="1FE78E22" w14:textId="77777777">
      <w:pPr>
        <w:spacing w:after="0" w:line="240" w:lineRule="auto"/>
        <w:ind w:left="708" w:right="709"/>
        <w:jc w:val="both"/>
        <w:rPr>
          <w:rFonts w:ascii="Century Gothic" w:hAnsi="Century Gothic" w:eastAsia="Calibri" w:cs="Arial"/>
          <w:sz w:val="20"/>
          <w:szCs w:val="20"/>
          <w:lang w:val="es-ES"/>
        </w:rPr>
      </w:pPr>
      <w:r w:rsidRPr="002F58F5">
        <w:rPr>
          <w:rFonts w:ascii="Century Gothic" w:hAnsi="Century Gothic" w:eastAsia="Calibri" w:cs="Arial"/>
          <w:sz w:val="20"/>
          <w:szCs w:val="20"/>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rsidRPr="0029097B" w:rsidR="002917FA" w:rsidP="002917FA" w:rsidRDefault="002917FA" w14:paraId="11446F78" w14:textId="77777777">
      <w:pPr>
        <w:spacing w:after="0" w:line="276" w:lineRule="auto"/>
        <w:jc w:val="both"/>
        <w:rPr>
          <w:rFonts w:ascii="Century Gothic" w:hAnsi="Century Gothic" w:eastAsia="Calibri" w:cs="Arial"/>
          <w:lang w:val="es-ES"/>
        </w:rPr>
      </w:pPr>
      <w:r w:rsidRPr="0004430F">
        <w:rPr>
          <w:rFonts w:ascii="Century Gothic" w:hAnsi="Century Gothic" w:eastAsia="Calibri" w:cs="Arial"/>
          <w:lang w:val="es-ES"/>
        </w:rPr>
        <w:tab/>
      </w:r>
    </w:p>
    <w:p w:rsidRPr="0004430F" w:rsidR="002917FA" w:rsidP="002917FA" w:rsidRDefault="002917FA" w14:paraId="0974FC27" w14:textId="77777777">
      <w:pPr>
        <w:spacing w:after="120" w:line="276" w:lineRule="auto"/>
        <w:ind w:firstLine="680"/>
        <w:jc w:val="both"/>
        <w:rPr>
          <w:rFonts w:ascii="Century Gothic" w:hAnsi="Century Gothic" w:eastAsia="Calibri" w:cs="Arial"/>
          <w:lang w:val="es-ES"/>
        </w:rPr>
      </w:pPr>
      <w:r w:rsidRPr="0004430F">
        <w:rPr>
          <w:rFonts w:ascii="Century Gothic" w:hAnsi="Century Gothic" w:eastAsia="Calibri" w:cs="Arial"/>
          <w:lang w:val="es-E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w:t>
      </w:r>
    </w:p>
    <w:p w:rsidRPr="0004430F" w:rsidR="002917FA" w:rsidP="002917FA" w:rsidRDefault="002917FA" w14:paraId="67FA286D" w14:textId="77777777">
      <w:pPr>
        <w:spacing w:before="120" w:after="0" w:line="276" w:lineRule="auto"/>
        <w:ind w:firstLine="680"/>
        <w:jc w:val="both"/>
        <w:rPr>
          <w:rFonts w:ascii="Century Gothic" w:hAnsi="Century Gothic" w:eastAsia="Calibri" w:cs="Arial"/>
          <w:lang w:val="es-ES"/>
        </w:rPr>
      </w:pPr>
      <w:r w:rsidRPr="0004430F">
        <w:rPr>
          <w:rFonts w:ascii="Century Gothic" w:hAnsi="Century Gothic" w:eastAsia="Calibri" w:cs="Arial"/>
          <w:lang w:val="es-ES"/>
        </w:rPr>
        <w:t xml:space="preserve">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p>
    <w:p w:rsidRPr="0004430F" w:rsidR="002917FA" w:rsidP="002917FA" w:rsidRDefault="002917FA" w14:paraId="02EDC9A6" w14:textId="77777777">
      <w:pPr>
        <w:spacing w:after="0"/>
        <w:jc w:val="both"/>
        <w:rPr>
          <w:rFonts w:ascii="Century Gothic" w:hAnsi="Century Gothic" w:eastAsia="Calibri" w:cs="Arial"/>
          <w:lang w:val="es-ES"/>
        </w:rPr>
      </w:pPr>
      <w:r w:rsidRPr="0004430F">
        <w:rPr>
          <w:rFonts w:ascii="Century Gothic" w:hAnsi="Century Gothic" w:eastAsia="Calibri" w:cs="Arial"/>
          <w:lang w:val="es-ES"/>
        </w:rPr>
        <w:tab/>
      </w:r>
    </w:p>
    <w:p w:rsidRPr="007304BD" w:rsidR="002917FA" w:rsidP="002917FA" w:rsidRDefault="002917FA" w14:paraId="775D95EE" w14:textId="77777777">
      <w:pPr>
        <w:spacing w:after="120" w:line="240" w:lineRule="auto"/>
        <w:ind w:left="709" w:right="709"/>
        <w:jc w:val="both"/>
        <w:rPr>
          <w:rFonts w:ascii="Century Gothic" w:hAnsi="Century Gothic" w:eastAsia="Calibri" w:cs="Arial"/>
          <w:sz w:val="20"/>
          <w:szCs w:val="20"/>
          <w:lang w:val="es-ES"/>
        </w:rPr>
      </w:pPr>
      <w:r w:rsidRPr="007304BD">
        <w:rPr>
          <w:rFonts w:ascii="Century Gothic" w:hAnsi="Century Gothic" w:eastAsia="Calibri" w:cs="Arial"/>
          <w:sz w:val="20"/>
          <w:szCs w:val="20"/>
          <w:lang w:val="es-E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w:t>
      </w:r>
    </w:p>
    <w:p w:rsidRPr="007304BD" w:rsidR="002917FA" w:rsidP="002917FA" w:rsidRDefault="002917FA" w14:paraId="5C4DC73E" w14:textId="77777777">
      <w:pPr>
        <w:spacing w:after="120" w:line="240" w:lineRule="auto"/>
        <w:ind w:left="709" w:right="709"/>
        <w:jc w:val="both"/>
        <w:rPr>
          <w:rFonts w:ascii="Century Gothic" w:hAnsi="Century Gothic" w:eastAsia="Calibri" w:cs="Arial"/>
          <w:sz w:val="20"/>
          <w:szCs w:val="20"/>
          <w:lang w:val="es-ES"/>
        </w:rPr>
      </w:pPr>
      <w:r w:rsidRPr="007304BD">
        <w:rPr>
          <w:rFonts w:ascii="Century Gothic" w:hAnsi="Century Gothic" w:eastAsia="Calibri" w:cs="Arial"/>
          <w:sz w:val="20"/>
          <w:szCs w:val="20"/>
          <w:lang w:val="es-ES"/>
        </w:rPr>
        <w:t xml:space="preserve">Los resguardos son de propiedad colectiva y no enajenable. </w:t>
      </w:r>
    </w:p>
    <w:p w:rsidRPr="007304BD" w:rsidR="002917FA" w:rsidP="002917FA" w:rsidRDefault="002917FA" w14:paraId="2EE18924" w14:textId="77777777">
      <w:pPr>
        <w:spacing w:after="120" w:line="240" w:lineRule="auto"/>
        <w:ind w:left="709" w:right="709"/>
        <w:jc w:val="both"/>
        <w:rPr>
          <w:rFonts w:ascii="Century Gothic" w:hAnsi="Century Gothic" w:eastAsia="Calibri" w:cs="Arial"/>
          <w:sz w:val="20"/>
          <w:szCs w:val="20"/>
          <w:lang w:val="es-ES"/>
        </w:rPr>
      </w:pPr>
      <w:r w:rsidRPr="007304BD">
        <w:rPr>
          <w:rFonts w:ascii="Century Gothic" w:hAnsi="Century Gothic" w:eastAsia="Calibri" w:cs="Arial"/>
          <w:sz w:val="20"/>
          <w:szCs w:val="20"/>
          <w:lang w:val="es-ES"/>
        </w:rPr>
        <w:t xml:space="preserve">La ley definirá las relaciones y la coordinación de estas entidades con aquellas de las cuales formen parte. </w:t>
      </w:r>
    </w:p>
    <w:p w:rsidRPr="007304BD" w:rsidR="002917FA" w:rsidP="002917FA" w:rsidRDefault="002917FA" w14:paraId="1D56E7F9" w14:textId="77777777">
      <w:pPr>
        <w:spacing w:after="0" w:line="240" w:lineRule="auto"/>
        <w:ind w:left="708" w:right="709"/>
        <w:jc w:val="both"/>
        <w:rPr>
          <w:rFonts w:ascii="Century Gothic" w:hAnsi="Century Gothic" w:eastAsia="Calibri" w:cs="Arial"/>
          <w:sz w:val="20"/>
          <w:szCs w:val="20"/>
          <w:lang w:val="es-ES"/>
        </w:rPr>
      </w:pPr>
      <w:r w:rsidRPr="007304BD">
        <w:rPr>
          <w:rFonts w:ascii="Century Gothic" w:hAnsi="Century Gothic" w:eastAsia="Calibri" w:cs="Arial"/>
          <w:sz w:val="20"/>
          <w:szCs w:val="20"/>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rsidRPr="0004430F" w:rsidR="002917FA" w:rsidP="002917FA" w:rsidRDefault="002917FA" w14:paraId="2A0DF048" w14:textId="77777777">
      <w:pPr>
        <w:spacing w:after="0" w:line="276" w:lineRule="auto"/>
        <w:jc w:val="both"/>
        <w:rPr>
          <w:rFonts w:ascii="Century Gothic" w:hAnsi="Century Gothic" w:eastAsia="Calibri" w:cs="Arial"/>
          <w:lang w:val="es-ES"/>
        </w:rPr>
      </w:pPr>
      <w:r w:rsidRPr="0004430F">
        <w:rPr>
          <w:rFonts w:ascii="Century Gothic" w:hAnsi="Century Gothic" w:eastAsia="Calibri" w:cs="Arial"/>
          <w:lang w:val="es-ES"/>
        </w:rPr>
        <w:tab/>
      </w:r>
    </w:p>
    <w:p w:rsidRPr="0004430F" w:rsidR="002917FA" w:rsidP="002917FA" w:rsidRDefault="002917FA" w14:paraId="73C7D62A" w14:textId="77777777">
      <w:pPr>
        <w:spacing w:after="0" w:line="276" w:lineRule="auto"/>
        <w:ind w:firstLine="708"/>
        <w:jc w:val="both"/>
        <w:rPr>
          <w:rFonts w:ascii="Century Gothic" w:hAnsi="Century Gothic" w:eastAsia="Calibri" w:cs="Arial"/>
          <w:lang w:val="es-ES"/>
        </w:rPr>
      </w:pPr>
      <w:r w:rsidRPr="0004430F">
        <w:rPr>
          <w:rFonts w:ascii="Century Gothic" w:hAnsi="Century Gothic" w:eastAsia="Calibri" w:cs="Arial"/>
          <w:lang w:val="es-ES"/>
        </w:rPr>
        <w:t xml:space="preserve">Esta norma dispuso que la conformación de las </w:t>
      </w:r>
      <w:r w:rsidRPr="0004430F">
        <w:rPr>
          <w:rFonts w:ascii="Century Gothic" w:hAnsi="Century Gothic" w:eastAsia="Calibri" w:cs="Arial"/>
          <w:i/>
          <w:iCs/>
          <w:lang w:val="es-ES"/>
        </w:rPr>
        <w:t>entidades territoriales indígenas</w:t>
      </w:r>
      <w:r w:rsidRPr="0004430F">
        <w:rPr>
          <w:rFonts w:ascii="Century Gothic" w:hAnsi="Century Gothic" w:eastAsia="Calibri" w:cs="Arial"/>
          <w:lang w:val="es-ES"/>
        </w:rPr>
        <w:t xml:space="preserve"> se realizaría de acuerdo con lo indicado en la Ley de Ordenamiento Territorial. No obstante, mientras esa ley era expedida por el Congreso de la República, la Constitución dispuso un mecanismo para poner en funcionamiento los territorios indígenas de manera transitoria. En efecto, el artículo 56 transitorio de la Constitución Política prescribe lo siguiente:  </w:t>
      </w:r>
    </w:p>
    <w:p w:rsidRPr="0004430F" w:rsidR="002917FA" w:rsidP="002F58F5" w:rsidRDefault="002917FA" w14:paraId="54700B8F" w14:textId="77777777">
      <w:pPr>
        <w:spacing w:after="0" w:line="240" w:lineRule="auto"/>
        <w:jc w:val="both"/>
        <w:rPr>
          <w:rFonts w:ascii="Century Gothic" w:hAnsi="Century Gothic" w:eastAsia="Calibri" w:cs="Arial"/>
          <w:lang w:val="es-ES"/>
        </w:rPr>
      </w:pPr>
    </w:p>
    <w:p w:rsidRPr="007304BD" w:rsidR="002917FA" w:rsidP="002917FA" w:rsidRDefault="002917FA" w14:paraId="697841FE" w14:textId="77777777">
      <w:pPr>
        <w:spacing w:after="0" w:line="240" w:lineRule="auto"/>
        <w:ind w:left="708" w:right="709"/>
        <w:jc w:val="both"/>
        <w:rPr>
          <w:rFonts w:ascii="Century Gothic" w:hAnsi="Century Gothic" w:eastAsia="Calibri" w:cs="Arial"/>
          <w:sz w:val="20"/>
          <w:szCs w:val="20"/>
          <w:lang w:val="es-ES"/>
        </w:rPr>
      </w:pPr>
      <w:r w:rsidRPr="007304BD">
        <w:rPr>
          <w:rFonts w:ascii="Century Gothic" w:hAnsi="Century Gothic" w:eastAsia="Calibri" w:cs="Arial"/>
          <w:sz w:val="20"/>
          <w:szCs w:val="20"/>
          <w:lang w:val="es-ES"/>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rsidRPr="0004430F" w:rsidR="002917FA" w:rsidP="002F58F5" w:rsidRDefault="002917FA" w14:paraId="45888D55" w14:textId="77777777">
      <w:pPr>
        <w:spacing w:after="0" w:line="240" w:lineRule="auto"/>
        <w:jc w:val="both"/>
        <w:rPr>
          <w:rFonts w:ascii="Century Gothic" w:hAnsi="Century Gothic" w:eastAsia="Calibri" w:cs="Arial"/>
          <w:lang w:val="es-ES"/>
        </w:rPr>
      </w:pPr>
    </w:p>
    <w:p w:rsidRPr="0004430F" w:rsidR="002917FA" w:rsidP="002917FA" w:rsidRDefault="002917FA" w14:paraId="22A2CA7A" w14:textId="77777777">
      <w:pPr>
        <w:spacing w:after="0" w:line="276" w:lineRule="auto"/>
        <w:ind w:firstLine="680"/>
        <w:jc w:val="both"/>
        <w:rPr>
          <w:rFonts w:ascii="Century Gothic" w:hAnsi="Century Gothic" w:eastAsia="Calibri" w:cs="Arial"/>
          <w:lang w:val="es-ES"/>
        </w:rPr>
      </w:pPr>
      <w:r w:rsidRPr="0004430F">
        <w:rPr>
          <w:rFonts w:ascii="Century Gothic" w:hAnsi="Century Gothic" w:eastAsia="Calibri" w:cs="Arial"/>
          <w:lang w:val="es-ES"/>
        </w:rPr>
        <w:t xml:space="preserve">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w:t>
      </w:r>
      <w:bookmarkStart w:name="_Hlk34989337" w:id="6"/>
      <w:r w:rsidRPr="0004430F">
        <w:rPr>
          <w:rFonts w:ascii="Century Gothic" w:hAnsi="Century Gothic" w:eastAsia="Calibri" w:cs="Arial"/>
          <w:lang w:val="es-ES"/>
        </w:rPr>
        <w:t xml:space="preserve">De este modo, basados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w:t>
      </w:r>
      <w:bookmarkEnd w:id="6"/>
      <w:r w:rsidRPr="0004430F">
        <w:rPr>
          <w:rFonts w:ascii="Century Gothic" w:hAnsi="Century Gothic" w:eastAsia="Calibri" w:cs="Arial"/>
          <w:lang w:val="es-ES"/>
        </w:rPr>
        <w:t xml:space="preserve">Al respecto, la disposición prescribe: </w:t>
      </w:r>
    </w:p>
    <w:p w:rsidRPr="0004430F" w:rsidR="002917FA" w:rsidP="002917FA" w:rsidRDefault="002917FA" w14:paraId="5A3E6091" w14:textId="77777777">
      <w:pPr>
        <w:spacing w:after="0"/>
        <w:jc w:val="both"/>
        <w:rPr>
          <w:rFonts w:ascii="Century Gothic" w:hAnsi="Century Gothic" w:eastAsia="Calibri" w:cs="Arial"/>
          <w:lang w:val="es-ES"/>
        </w:rPr>
      </w:pPr>
    </w:p>
    <w:p w:rsidRPr="00B96F21" w:rsidR="002917FA" w:rsidP="002917FA" w:rsidRDefault="002917FA" w14:paraId="260B8800" w14:textId="77777777">
      <w:pPr>
        <w:spacing w:after="120" w:line="240" w:lineRule="auto"/>
        <w:ind w:left="709"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 xml:space="preserve">“Artículo 1° Aplicabilidad. Los Cabildos y/o Autoridades Tradicionales Indígenas, en representación de sus respectivos territorios indígenas, podrán conformar asociaciones de conformidad con el presente Decreto. </w:t>
      </w:r>
    </w:p>
    <w:p w:rsidRPr="00B96F21" w:rsidR="002917FA" w:rsidP="002917FA" w:rsidRDefault="002917FA" w14:paraId="236D1C01" w14:textId="77777777">
      <w:pPr>
        <w:spacing w:after="0" w:line="240" w:lineRule="auto"/>
        <w:ind w:left="708"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Artículo 2° Naturaleza Jurídica. Las asociaciones de que trata el presente Decreto, son entidades de Derecho Público de carácter especial, con personería jurídica, patrimonio propio y autonomía administrativa”.</w:t>
      </w:r>
    </w:p>
    <w:p w:rsidRPr="0004430F" w:rsidR="002917FA" w:rsidP="002917FA" w:rsidRDefault="002917FA" w14:paraId="2BD80817" w14:textId="77777777">
      <w:pPr>
        <w:spacing w:after="0" w:line="276" w:lineRule="auto"/>
        <w:jc w:val="both"/>
        <w:rPr>
          <w:rFonts w:ascii="Century Gothic" w:hAnsi="Century Gothic" w:eastAsia="Calibri" w:cs="Arial"/>
          <w:lang w:val="es-ES"/>
        </w:rPr>
      </w:pPr>
    </w:p>
    <w:p w:rsidRPr="0004430F" w:rsidR="002917FA" w:rsidP="002917FA" w:rsidRDefault="002917FA" w14:paraId="19BB16E6" w14:textId="77777777">
      <w:pPr>
        <w:spacing w:after="120" w:line="276" w:lineRule="auto"/>
        <w:ind w:firstLine="680"/>
        <w:jc w:val="both"/>
        <w:rPr>
          <w:rFonts w:ascii="Century Gothic" w:hAnsi="Century Gothic" w:eastAsia="Calibri" w:cs="Arial"/>
          <w:lang w:val="es-ES"/>
        </w:rPr>
      </w:pPr>
      <w:r w:rsidRPr="0004430F">
        <w:rPr>
          <w:rFonts w:ascii="Century Gothic" w:hAnsi="Century Gothic" w:eastAsia="Calibri" w:cs="Arial"/>
          <w:lang w:val="es-ES"/>
        </w:rPr>
        <w:t xml:space="preserve">Con base en lo anterior, los cabildos y las autoridades tradicionales indígenas pueden asociarse en representación de sus territorios, y esas asociaciones tienen la </w:t>
      </w:r>
      <w:r w:rsidRPr="0004430F">
        <w:rPr>
          <w:rFonts w:ascii="Century Gothic" w:hAnsi="Century Gothic" w:eastAsia="Calibri" w:cs="Arial"/>
          <w:lang w:val="es-ES"/>
        </w:rPr>
        <w:t>naturaleza de ser entidades de derecho público de carácter especial, que gozan de personería jurídica y tienen capacidad para adquirir obligaciones.</w:t>
      </w:r>
    </w:p>
    <w:p w:rsidRPr="0004430F" w:rsidR="002917FA" w:rsidP="002917FA" w:rsidRDefault="002917FA" w14:paraId="396A4667" w14:textId="77777777">
      <w:pPr>
        <w:spacing w:before="120" w:after="0" w:line="276" w:lineRule="auto"/>
        <w:ind w:firstLine="680"/>
        <w:jc w:val="both"/>
        <w:rPr>
          <w:rFonts w:ascii="Century Gothic" w:hAnsi="Century Gothic" w:eastAsia="Calibri" w:cs="Arial"/>
          <w:lang w:val="es-ES"/>
        </w:rPr>
      </w:pPr>
      <w:r w:rsidRPr="0004430F">
        <w:rPr>
          <w:rFonts w:ascii="Century Gothic" w:hAnsi="Century Gothic" w:eastAsia="Calibri" w:cs="Arial"/>
          <w:lang w:val="es-E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rsidRPr="0004430F" w:rsidR="002917FA" w:rsidP="002917FA" w:rsidRDefault="002917FA" w14:paraId="3D1BB6E2" w14:textId="77777777">
      <w:pPr>
        <w:spacing w:after="0"/>
        <w:jc w:val="both"/>
        <w:rPr>
          <w:rFonts w:ascii="Century Gothic" w:hAnsi="Century Gothic" w:eastAsia="Calibri" w:cs="Arial"/>
          <w:lang w:val="es-ES"/>
        </w:rPr>
      </w:pPr>
      <w:r w:rsidRPr="0004430F">
        <w:rPr>
          <w:rFonts w:ascii="Century Gothic" w:hAnsi="Century Gothic" w:eastAsia="Calibri" w:cs="Arial"/>
          <w:lang w:val="es-ES"/>
        </w:rPr>
        <w:tab/>
      </w:r>
    </w:p>
    <w:p w:rsidRPr="00B96F21" w:rsidR="002917FA" w:rsidP="002917FA" w:rsidRDefault="002917FA" w14:paraId="6B43D14B" w14:textId="77777777">
      <w:pPr>
        <w:spacing w:after="120" w:line="240" w:lineRule="auto"/>
        <w:ind w:left="709" w:right="709"/>
        <w:jc w:val="both"/>
        <w:rPr>
          <w:rFonts w:ascii="Century Gothic" w:hAnsi="Century Gothic" w:eastAsia="Calibri" w:cs="Arial"/>
          <w:i/>
          <w:sz w:val="20"/>
          <w:szCs w:val="20"/>
          <w:lang w:val="es-ES"/>
        </w:rPr>
      </w:pPr>
      <w:r w:rsidRPr="00B96F21">
        <w:rPr>
          <w:rFonts w:ascii="Century Gothic" w:hAnsi="Century Gothic" w:eastAsia="Calibri" w:cs="Arial"/>
          <w:sz w:val="20"/>
          <w:szCs w:val="20"/>
          <w:lang w:val="es-ES"/>
        </w:rPr>
        <w:t xml:space="preserve">“Artículo 2.14.7.5.1. Naturaleza Jurídica. Los resguardos indígenas son propiedad colectiva de las comunidades indígenas en favor de las cuales se constituyen y </w:t>
      </w:r>
      <w:r w:rsidRPr="00B96F21">
        <w:rPr>
          <w:rFonts w:ascii="Century Gothic" w:hAnsi="Century Gothic" w:eastAsia="Calibri" w:cs="Arial"/>
          <w:i/>
          <w:sz w:val="20"/>
          <w:szCs w:val="20"/>
          <w:lang w:val="es-ES"/>
        </w:rPr>
        <w:t xml:space="preserve">conforme a los artículos 63 y 329 de la Constitución Política, tienen el carácter de inalienables, imprescriptibles e inembargables. </w:t>
      </w:r>
    </w:p>
    <w:p w:rsidRPr="00B96F21" w:rsidR="002917FA" w:rsidP="002917FA" w:rsidRDefault="002917FA" w14:paraId="23C1183E" w14:textId="77777777">
      <w:pPr>
        <w:spacing w:after="120" w:line="240" w:lineRule="auto"/>
        <w:ind w:left="709"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rsidRPr="00B96F21" w:rsidR="002917FA" w:rsidP="002917FA" w:rsidRDefault="002917FA" w14:paraId="41CBCEE0" w14:textId="77777777">
      <w:pPr>
        <w:spacing w:after="120" w:line="240" w:lineRule="auto"/>
        <w:ind w:left="709"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rsidRPr="00B96F21" w:rsidR="002917FA" w:rsidP="002917FA" w:rsidRDefault="002917FA" w14:paraId="42CC44BC" w14:textId="77777777">
      <w:pPr>
        <w:spacing w:after="0" w:line="240" w:lineRule="auto"/>
        <w:ind w:left="708"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rsidRPr="00B96F21" w:rsidR="002917FA" w:rsidP="002917FA" w:rsidRDefault="002917FA" w14:paraId="3175C693" w14:textId="77777777">
      <w:pPr>
        <w:spacing w:after="120" w:line="240" w:lineRule="auto"/>
        <w:ind w:left="709"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w:t>
      </w:r>
    </w:p>
    <w:p w:rsidRPr="00B96F21" w:rsidR="002917FA" w:rsidP="002917FA" w:rsidRDefault="002917FA" w14:paraId="0E4FCCEC" w14:textId="77777777">
      <w:pPr>
        <w:spacing w:after="0" w:line="240" w:lineRule="auto"/>
        <w:ind w:left="708"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 xml:space="preserve">Artículo 2.14.7.1.2. Definiciones. Para los fines exclusivos del presente título, </w:t>
      </w:r>
      <w:proofErr w:type="spellStart"/>
      <w:r w:rsidRPr="00B96F21">
        <w:rPr>
          <w:rFonts w:ascii="Century Gothic" w:hAnsi="Century Gothic" w:eastAsia="Calibri" w:cs="Arial"/>
          <w:sz w:val="20"/>
          <w:szCs w:val="20"/>
          <w:lang w:val="es-ES"/>
        </w:rPr>
        <w:t>establécense</w:t>
      </w:r>
      <w:proofErr w:type="spellEnd"/>
      <w:r w:rsidRPr="00B96F21">
        <w:rPr>
          <w:rFonts w:ascii="Century Gothic" w:hAnsi="Century Gothic" w:eastAsia="Calibri" w:cs="Arial"/>
          <w:sz w:val="20"/>
          <w:szCs w:val="20"/>
          <w:lang w:val="es-ES"/>
        </w:rPr>
        <w:t xml:space="preserve"> las siguientes definiciones:</w:t>
      </w:r>
    </w:p>
    <w:p w:rsidRPr="00B96F21" w:rsidR="002917FA" w:rsidP="002917FA" w:rsidRDefault="002917FA" w14:paraId="26753335" w14:textId="77777777">
      <w:pPr>
        <w:spacing w:after="120" w:line="240" w:lineRule="auto"/>
        <w:ind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ab/>
      </w:r>
      <w:r w:rsidRPr="00B96F21">
        <w:rPr>
          <w:rFonts w:ascii="Century Gothic" w:hAnsi="Century Gothic" w:eastAsia="Calibri" w:cs="Arial"/>
          <w:sz w:val="20"/>
          <w:szCs w:val="20"/>
          <w:lang w:val="es-ES"/>
        </w:rPr>
        <w:t>[...]</w:t>
      </w:r>
    </w:p>
    <w:p w:rsidRPr="00B96F21" w:rsidR="002917FA" w:rsidP="002917FA" w:rsidRDefault="002917FA" w14:paraId="793A37F1" w14:textId="77777777">
      <w:pPr>
        <w:spacing w:after="120" w:line="240" w:lineRule="auto"/>
        <w:ind w:left="709"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rsidRPr="00B96F21" w:rsidR="002917FA" w:rsidP="002917FA" w:rsidRDefault="002917FA" w14:paraId="49810186" w14:textId="77777777">
      <w:pPr>
        <w:spacing w:after="120" w:line="240" w:lineRule="auto"/>
        <w:ind w:left="709"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 xml:space="preserve">Para los efectos de este título, las autoridades tradicionales de las comunidades indígenas tienen, frente al </w:t>
      </w:r>
      <w:proofErr w:type="spellStart"/>
      <w:r w:rsidRPr="00B96F21">
        <w:rPr>
          <w:rFonts w:ascii="Century Gothic" w:hAnsi="Century Gothic" w:eastAsia="Calibri" w:cs="Arial"/>
          <w:sz w:val="20"/>
          <w:szCs w:val="20"/>
          <w:lang w:val="es-ES"/>
        </w:rPr>
        <w:t>Incoder</w:t>
      </w:r>
      <w:proofErr w:type="spellEnd"/>
      <w:r w:rsidRPr="00B96F21">
        <w:rPr>
          <w:rFonts w:ascii="Century Gothic" w:hAnsi="Century Gothic" w:eastAsia="Calibri" w:cs="Arial"/>
          <w:sz w:val="20"/>
          <w:szCs w:val="20"/>
          <w:lang w:val="es-ES"/>
        </w:rPr>
        <w:t xml:space="preserve">, la misma representación y atribuciones que corresponde a los cabildos indígenas. </w:t>
      </w:r>
    </w:p>
    <w:p w:rsidRPr="0004430F" w:rsidR="002917FA" w:rsidP="002917FA" w:rsidRDefault="002917FA" w14:paraId="75245DF3" w14:textId="77777777">
      <w:pPr>
        <w:spacing w:after="0" w:line="240" w:lineRule="auto"/>
        <w:ind w:left="708" w:right="709"/>
        <w:jc w:val="both"/>
        <w:rPr>
          <w:rFonts w:ascii="Century Gothic" w:hAnsi="Century Gothic" w:eastAsia="Calibri" w:cs="Arial"/>
          <w:sz w:val="21"/>
          <w:szCs w:val="21"/>
          <w:lang w:val="es-ES"/>
        </w:rPr>
      </w:pPr>
      <w:r w:rsidRPr="00B96F21">
        <w:rPr>
          <w:rFonts w:ascii="Century Gothic" w:hAnsi="Century Gothic" w:eastAsia="Calibri" w:cs="Arial"/>
          <w:sz w:val="20"/>
          <w:szCs w:val="20"/>
          <w:lang w:val="es-ES"/>
        </w:rPr>
        <w:t xml:space="preserve">5. Cabildo Indígena. </w:t>
      </w:r>
      <w:r w:rsidRPr="00B96F21">
        <w:rPr>
          <w:rFonts w:ascii="Century Gothic" w:hAnsi="Century Gothic" w:eastAsia="Calibri" w:cs="Arial"/>
          <w:i/>
          <w:sz w:val="20"/>
          <w:szCs w:val="20"/>
          <w:lang w:val="es-ES"/>
        </w:rPr>
        <w:t>Es una entidad pública especial</w:t>
      </w:r>
      <w:r w:rsidRPr="00B96F21">
        <w:rPr>
          <w:rFonts w:ascii="Century Gothic" w:hAnsi="Century Gothic" w:eastAsia="Calibri" w:cs="Arial"/>
          <w:sz w:val="20"/>
          <w:szCs w:val="20"/>
          <w:lang w:val="es-ES"/>
        </w:rPr>
        <w:t>,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w:t>
      </w:r>
      <w:r w:rsidRPr="0004430F">
        <w:rPr>
          <w:rFonts w:ascii="Century Gothic" w:hAnsi="Century Gothic" w:eastAsia="Calibri" w:cs="Arial"/>
          <w:sz w:val="21"/>
          <w:szCs w:val="21"/>
          <w:lang w:val="es-ES"/>
        </w:rPr>
        <w:t>Cursiva fuera de texto).</w:t>
      </w:r>
    </w:p>
    <w:p w:rsidRPr="0004430F" w:rsidR="002917FA" w:rsidP="002917FA" w:rsidRDefault="002917FA" w14:paraId="0F351F2D" w14:textId="77777777">
      <w:pPr>
        <w:spacing w:after="0" w:line="276" w:lineRule="auto"/>
        <w:jc w:val="both"/>
        <w:rPr>
          <w:rFonts w:ascii="Century Gothic" w:hAnsi="Century Gothic" w:eastAsia="Calibri" w:cs="Arial"/>
          <w:lang w:val="es-ES"/>
        </w:rPr>
      </w:pPr>
    </w:p>
    <w:p w:rsidRPr="0004430F" w:rsidR="002917FA" w:rsidP="002917FA" w:rsidRDefault="002917FA" w14:paraId="03F9CA68" w14:textId="77777777">
      <w:pPr>
        <w:spacing w:after="0" w:line="276" w:lineRule="auto"/>
        <w:ind w:firstLine="708"/>
        <w:jc w:val="both"/>
        <w:rPr>
          <w:rFonts w:ascii="Century Gothic" w:hAnsi="Century Gothic" w:eastAsia="Calibri" w:cs="Arial"/>
          <w:lang w:val="es-ES"/>
        </w:rPr>
      </w:pPr>
      <w:r w:rsidRPr="0004430F">
        <w:rPr>
          <w:rFonts w:ascii="Century Gothic" w:hAnsi="Century Gothic" w:eastAsia="Calibri" w:cs="Arial"/>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rsidRPr="0004430F" w:rsidR="002917FA" w:rsidP="002917FA" w:rsidRDefault="002917FA" w14:paraId="20D6AF15" w14:textId="77777777">
      <w:pPr>
        <w:spacing w:after="0"/>
        <w:jc w:val="both"/>
        <w:rPr>
          <w:rFonts w:ascii="Century Gothic" w:hAnsi="Century Gothic" w:eastAsia="Calibri" w:cs="Arial"/>
          <w:lang w:val="es-ES"/>
        </w:rPr>
      </w:pPr>
      <w:r w:rsidRPr="0004430F">
        <w:rPr>
          <w:rFonts w:ascii="Century Gothic" w:hAnsi="Century Gothic" w:eastAsia="Calibri" w:cs="Arial"/>
          <w:lang w:val="es-ES"/>
        </w:rPr>
        <w:tab/>
      </w:r>
    </w:p>
    <w:p w:rsidRPr="00B96F21" w:rsidR="002917FA" w:rsidP="002917FA" w:rsidRDefault="002917FA" w14:paraId="67076E0D" w14:textId="77777777">
      <w:pPr>
        <w:spacing w:after="120" w:line="240" w:lineRule="auto"/>
        <w:ind w:left="709"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 xml:space="preserve">“Artículo 2o. De la definición de entidades, servidores y servicios públicos. Para los solos efectos de esta ley: </w:t>
      </w:r>
    </w:p>
    <w:p w:rsidRPr="00B96F21" w:rsidR="002917FA" w:rsidP="002917FA" w:rsidRDefault="002917FA" w14:paraId="2315D61F" w14:textId="77777777">
      <w:pPr>
        <w:spacing w:after="120" w:line="240" w:lineRule="auto"/>
        <w:ind w:left="709"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 xml:space="preserve">1o. Se denominan entidades estatales: </w:t>
      </w:r>
    </w:p>
    <w:p w:rsidRPr="00B96F21" w:rsidR="002917FA" w:rsidP="002917FA" w:rsidRDefault="002917FA" w14:paraId="17C41E3C" w14:textId="77777777">
      <w:pPr>
        <w:spacing w:after="0" w:line="240" w:lineRule="auto"/>
        <w:ind w:left="708"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 xml:space="preserve">a) La Nación, las regiones, los departamentos, las provincias, el distrito capital y los distritos especiales, las áreas metropolitanas, las asociaciones de municipios, </w:t>
      </w:r>
      <w:r w:rsidRPr="00B96F21">
        <w:rPr>
          <w:rFonts w:ascii="Century Gothic" w:hAnsi="Century Gothic" w:eastAsia="Calibri" w:cs="Arial"/>
          <w:i/>
          <w:sz w:val="20"/>
          <w:szCs w:val="20"/>
          <w:lang w:val="es-ES"/>
        </w:rPr>
        <w:t>los territorios indígenas</w:t>
      </w:r>
      <w:r w:rsidRPr="00B96F21">
        <w:rPr>
          <w:rFonts w:ascii="Century Gothic" w:hAnsi="Century Gothic" w:eastAsia="Calibri" w:cs="Arial"/>
          <w:sz w:val="20"/>
          <w:szCs w:val="20"/>
          <w:lang w:val="es-E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(Énfasis fuera de texto).</w:t>
      </w:r>
    </w:p>
    <w:p w:rsidRPr="0004430F" w:rsidR="002917FA" w:rsidP="002917FA" w:rsidRDefault="002917FA" w14:paraId="59C89566" w14:textId="77777777">
      <w:pPr>
        <w:spacing w:after="0" w:line="276" w:lineRule="auto"/>
        <w:jc w:val="both"/>
        <w:rPr>
          <w:rFonts w:ascii="Century Gothic" w:hAnsi="Century Gothic" w:eastAsia="Calibri" w:cs="Arial"/>
          <w:lang w:val="es-ES"/>
        </w:rPr>
      </w:pPr>
      <w:r w:rsidRPr="0004430F">
        <w:rPr>
          <w:rFonts w:ascii="Century Gothic" w:hAnsi="Century Gothic" w:eastAsia="Calibri" w:cs="Arial"/>
          <w:lang w:val="es-ES"/>
        </w:rPr>
        <w:tab/>
      </w:r>
    </w:p>
    <w:p w:rsidRPr="0004430F" w:rsidR="002917FA" w:rsidP="002917FA" w:rsidRDefault="002917FA" w14:paraId="7F184D55" w14:textId="77777777">
      <w:pPr>
        <w:spacing w:after="120" w:line="276" w:lineRule="auto"/>
        <w:ind w:firstLine="708"/>
        <w:jc w:val="both"/>
        <w:rPr>
          <w:rFonts w:ascii="Century Gothic" w:hAnsi="Century Gothic" w:eastAsia="Calibri" w:cs="Arial"/>
          <w:lang w:val="es-ES"/>
        </w:rPr>
      </w:pPr>
      <w:r w:rsidRPr="0004430F">
        <w:rPr>
          <w:rFonts w:ascii="Century Gothic" w:hAnsi="Century Gothic" w:eastAsia="Calibri" w:cs="Arial"/>
          <w:lang w:val="es-ES"/>
        </w:rPr>
        <w:t xml:space="preserve">De acuerdo con la Ley 80 de 1993, los territorios indígenas son entidades estatales. No obstante, la existencia de ellos se encuentra condicionada a la expedición de la Ley de Ordenamiento Territorial, por lo que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rsidR="002917FA" w:rsidP="002917FA" w:rsidRDefault="002917FA" w14:paraId="625BA991" w14:textId="77777777">
      <w:pPr>
        <w:spacing w:before="120" w:after="0" w:line="276" w:lineRule="auto"/>
        <w:ind w:firstLine="680"/>
        <w:jc w:val="both"/>
        <w:rPr>
          <w:rFonts w:ascii="Century Gothic" w:hAnsi="Century Gothic" w:eastAsia="Calibri" w:cs="Arial"/>
          <w:lang w:val="es-ES"/>
        </w:rPr>
      </w:pPr>
      <w:r w:rsidRPr="0004430F">
        <w:rPr>
          <w:rFonts w:ascii="Century Gothic" w:hAnsi="Century Gothic" w:eastAsia="Calibri" w:cs="Arial"/>
          <w:lang w:val="es-ES"/>
        </w:rPr>
        <w:t>Posteriormente se expidió la Ley 1454 de 2011, “</w:t>
      </w:r>
      <w:r w:rsidRPr="0004430F">
        <w:rPr>
          <w:rFonts w:ascii="Century Gothic" w:hAnsi="Century Gothic" w:eastAsia="Calibri" w:cs="Arial"/>
          <w:i/>
          <w:iCs/>
          <w:lang w:val="es-ES"/>
        </w:rPr>
        <w:t>Por la cual se dictan normas orgánicas sobre ordenamiento territorial y se modifican otras disposiciones”,</w:t>
      </w:r>
      <w:r w:rsidRPr="0004430F">
        <w:rPr>
          <w:rFonts w:ascii="Century Gothic" w:hAnsi="Century Gothic" w:eastAsia="Calibri" w:cs="Arial"/>
          <w:lang w:val="es-ES"/>
        </w:rPr>
        <w:t xml:space="preserve">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 </w:t>
      </w:r>
    </w:p>
    <w:p w:rsidRPr="0004430F" w:rsidR="002917FA" w:rsidP="002917FA" w:rsidRDefault="002917FA" w14:paraId="71850AE5" w14:textId="77777777">
      <w:pPr>
        <w:spacing w:after="0"/>
        <w:jc w:val="both"/>
        <w:rPr>
          <w:rFonts w:ascii="Century Gothic" w:hAnsi="Century Gothic" w:eastAsia="Calibri" w:cs="Arial"/>
          <w:lang w:val="es-ES"/>
        </w:rPr>
      </w:pPr>
    </w:p>
    <w:p w:rsidRPr="00B96F21" w:rsidR="002917FA" w:rsidP="002917FA" w:rsidRDefault="002917FA" w14:paraId="17FFF0A0" w14:textId="77777777">
      <w:pPr>
        <w:spacing w:after="120" w:line="240" w:lineRule="auto"/>
        <w:ind w:left="709"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 xml:space="preserve">“Parágrafo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rsidRPr="00B96F21" w:rsidR="002917FA" w:rsidP="002917FA" w:rsidRDefault="002917FA" w14:paraId="50BEE04C" w14:textId="77777777">
      <w:pPr>
        <w:spacing w:after="0" w:line="240" w:lineRule="auto"/>
        <w:ind w:left="708" w:right="709"/>
        <w:jc w:val="both"/>
        <w:rPr>
          <w:rFonts w:ascii="Century Gothic" w:hAnsi="Century Gothic" w:eastAsia="Calibri" w:cs="Arial"/>
          <w:sz w:val="20"/>
          <w:szCs w:val="20"/>
          <w:lang w:val="es-ES"/>
        </w:rPr>
      </w:pPr>
      <w:r w:rsidRPr="00B96F21">
        <w:rPr>
          <w:rFonts w:ascii="Century Gothic" w:hAnsi="Century Gothic" w:eastAsia="Calibri" w:cs="Arial"/>
          <w:sz w:val="20"/>
          <w:szCs w:val="20"/>
          <w:lang w:val="es-ES"/>
        </w:rPr>
        <w:t>En desarrollo de esta norma y cuando corresponda, el Gobierno Nacional hará la delimitación correspondiente, previo concepto de la comisión de ordenamiento territorial, como instancia consultiva del proceso”.</w:t>
      </w:r>
    </w:p>
    <w:p w:rsidRPr="0004430F" w:rsidR="002917FA" w:rsidP="002917FA" w:rsidRDefault="002917FA" w14:paraId="45AFA9F6" w14:textId="77777777">
      <w:pPr>
        <w:spacing w:after="0" w:line="276" w:lineRule="auto"/>
        <w:jc w:val="both"/>
        <w:rPr>
          <w:rFonts w:ascii="Century Gothic" w:hAnsi="Century Gothic" w:eastAsia="Calibri" w:cs="Arial"/>
          <w:lang w:val="es-ES"/>
        </w:rPr>
      </w:pPr>
    </w:p>
    <w:p w:rsidRPr="0004430F" w:rsidR="002917FA" w:rsidP="002917FA" w:rsidRDefault="002917FA" w14:paraId="7F1820D9" w14:textId="77777777">
      <w:pPr>
        <w:spacing w:after="0" w:line="276" w:lineRule="auto"/>
        <w:ind w:firstLine="708"/>
        <w:jc w:val="both"/>
        <w:rPr>
          <w:rFonts w:ascii="Century Gothic" w:hAnsi="Century Gothic" w:eastAsia="Calibri" w:cs="Arial"/>
          <w:lang w:val="es-ES"/>
        </w:rPr>
      </w:pPr>
      <w:r w:rsidRPr="0004430F">
        <w:rPr>
          <w:rFonts w:ascii="Century Gothic" w:hAnsi="Century Gothic" w:eastAsia="Calibri" w:cs="Arial"/>
          <w:lang w:val="es-ES"/>
        </w:rPr>
        <w:t>Por su parte, la Corte Constitucional, en Sentencia C-489 de 2012, se pronunció sobre la constitucionalidad de la Ley 1454 de 2011, determinando que existe una omisión legislativa respecto de los territorios indígenas</w:t>
      </w:r>
      <w:r w:rsidRPr="0004430F">
        <w:rPr>
          <w:rFonts w:ascii="Century Gothic" w:hAnsi="Century Gothic"/>
          <w:vertAlign w:val="superscript"/>
        </w:rPr>
        <w:footnoteReference w:id="5"/>
      </w:r>
      <w:r w:rsidRPr="0004430F">
        <w:rPr>
          <w:rFonts w:ascii="Century Gothic" w:hAnsi="Century Gothic" w:eastAsia="Calibri" w:cs="Arial"/>
          <w:lang w:val="es-ES"/>
        </w:rPr>
        <w:t>:</w:t>
      </w:r>
    </w:p>
    <w:p w:rsidRPr="0004430F" w:rsidR="002917FA" w:rsidP="002917FA" w:rsidRDefault="002917FA" w14:paraId="5BB126E8" w14:textId="77777777">
      <w:pPr>
        <w:spacing w:after="0"/>
        <w:jc w:val="both"/>
        <w:rPr>
          <w:rFonts w:ascii="Century Gothic" w:hAnsi="Century Gothic" w:eastAsia="Calibri" w:cs="Arial"/>
          <w:lang w:val="es-ES"/>
        </w:rPr>
      </w:pPr>
      <w:r w:rsidRPr="0004430F">
        <w:rPr>
          <w:rFonts w:ascii="Century Gothic" w:hAnsi="Century Gothic" w:eastAsia="Calibri" w:cs="Arial"/>
          <w:lang w:val="es-ES"/>
        </w:rPr>
        <w:tab/>
      </w:r>
    </w:p>
    <w:p w:rsidRPr="00B23A8E" w:rsidR="002917FA" w:rsidP="002917FA" w:rsidRDefault="002917FA" w14:paraId="362E78B6" w14:textId="77777777">
      <w:pPr>
        <w:spacing w:after="120" w:line="240" w:lineRule="auto"/>
        <w:ind w:left="709" w:right="709"/>
        <w:jc w:val="both"/>
        <w:rPr>
          <w:rFonts w:ascii="Century Gothic" w:hAnsi="Century Gothic" w:eastAsia="Calibri" w:cs="Arial"/>
          <w:sz w:val="20"/>
          <w:szCs w:val="20"/>
          <w:lang w:val="es-ES"/>
        </w:rPr>
      </w:pPr>
      <w:r w:rsidRPr="00B23A8E">
        <w:rPr>
          <w:rFonts w:ascii="Century Gothic" w:hAnsi="Century Gothic" w:eastAsia="Calibri" w:cs="Arial"/>
          <w:sz w:val="20"/>
          <w:szCs w:val="20"/>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p>
    <w:p w:rsidRPr="00B23A8E" w:rsidR="002917FA" w:rsidP="002917FA" w:rsidRDefault="002917FA" w14:paraId="2FD99D35" w14:textId="77777777">
      <w:pPr>
        <w:spacing w:after="0" w:line="240" w:lineRule="auto"/>
        <w:ind w:left="708" w:right="709"/>
        <w:jc w:val="both"/>
        <w:rPr>
          <w:rFonts w:ascii="Century Gothic" w:hAnsi="Century Gothic" w:eastAsia="Calibri" w:cs="Arial"/>
          <w:sz w:val="20"/>
          <w:szCs w:val="20"/>
          <w:lang w:val="es-ES"/>
        </w:rPr>
      </w:pPr>
      <w:r w:rsidRPr="00B23A8E">
        <w:rPr>
          <w:rFonts w:ascii="Century Gothic" w:hAnsi="Century Gothic" w:eastAsia="Calibri" w:cs="Arial"/>
          <w:sz w:val="20"/>
          <w:szCs w:val="20"/>
          <w:lang w:val="es-ES"/>
        </w:rPr>
        <w:t>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tema sino que sirven de remisión a posteriores desarrollos. [...]”</w:t>
      </w:r>
    </w:p>
    <w:p w:rsidRPr="00BC5175" w:rsidR="002917FA" w:rsidP="002917FA" w:rsidRDefault="002917FA" w14:paraId="4A70D1D8" w14:textId="77777777">
      <w:pPr>
        <w:spacing w:after="0" w:line="276" w:lineRule="auto"/>
        <w:ind w:left="708" w:right="709"/>
        <w:jc w:val="both"/>
        <w:rPr>
          <w:rFonts w:ascii="Century Gothic" w:hAnsi="Century Gothic" w:eastAsia="Calibri" w:cs="Arial"/>
          <w:lang w:val="es-ES"/>
        </w:rPr>
      </w:pPr>
    </w:p>
    <w:p w:rsidRPr="0004430F" w:rsidR="002917FA" w:rsidP="002917FA" w:rsidRDefault="002917FA" w14:paraId="652F3245" w14:textId="77777777">
      <w:pPr>
        <w:spacing w:after="0" w:line="276" w:lineRule="auto"/>
        <w:ind w:firstLine="680"/>
        <w:jc w:val="both"/>
        <w:rPr>
          <w:rFonts w:ascii="Century Gothic" w:hAnsi="Century Gothic" w:eastAsia="Calibri" w:cs="Arial"/>
          <w:lang w:val="es-ES"/>
        </w:rPr>
      </w:pPr>
      <w:r w:rsidRPr="0004430F">
        <w:rPr>
          <w:rFonts w:ascii="Century Gothic" w:hAnsi="Century Gothic" w:eastAsia="Calibri" w:cs="Arial"/>
          <w:lang w:val="es-E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rsidRPr="0004430F" w:rsidR="002917FA" w:rsidP="002917FA" w:rsidRDefault="002917FA" w14:paraId="5EA862FF" w14:textId="77777777">
      <w:pPr>
        <w:spacing w:after="0"/>
        <w:jc w:val="both"/>
        <w:rPr>
          <w:rFonts w:ascii="Century Gothic" w:hAnsi="Century Gothic" w:eastAsia="Calibri" w:cs="Arial"/>
          <w:lang w:val="es-ES"/>
        </w:rPr>
      </w:pPr>
      <w:r w:rsidRPr="0004430F">
        <w:rPr>
          <w:rFonts w:ascii="Century Gothic" w:hAnsi="Century Gothic" w:eastAsia="Calibri" w:cs="Arial"/>
          <w:lang w:val="es-ES"/>
        </w:rPr>
        <w:tab/>
      </w:r>
    </w:p>
    <w:p w:rsidRPr="00BF1D9A" w:rsidR="002917FA" w:rsidP="002917FA" w:rsidRDefault="002917FA" w14:paraId="7CEAB9FC" w14:textId="77777777">
      <w:pPr>
        <w:spacing w:after="120" w:line="240" w:lineRule="auto"/>
        <w:ind w:left="709" w:right="709"/>
        <w:jc w:val="both"/>
        <w:rPr>
          <w:rFonts w:ascii="Century Gothic" w:hAnsi="Century Gothic" w:eastAsia="Calibri" w:cs="Arial"/>
          <w:sz w:val="20"/>
          <w:szCs w:val="20"/>
          <w:lang w:val="es-ES"/>
        </w:rPr>
      </w:pPr>
      <w:r w:rsidRPr="00BF1D9A">
        <w:rPr>
          <w:rFonts w:ascii="Century Gothic" w:hAnsi="Century Gothic" w:eastAsia="Calibri" w:cs="Arial"/>
          <w:sz w:val="20"/>
          <w:szCs w:val="20"/>
          <w:lang w:val="es-ES"/>
        </w:rPr>
        <w:t xml:space="preserve">“Artículo 6°. El artículo 3° de la Ley 136 de 1994 quedará así: </w:t>
      </w:r>
    </w:p>
    <w:p w:rsidRPr="00BF1D9A" w:rsidR="002917FA" w:rsidP="002917FA" w:rsidRDefault="002917FA" w14:paraId="53EDE139" w14:textId="77777777">
      <w:pPr>
        <w:spacing w:after="0" w:line="240" w:lineRule="auto"/>
        <w:ind w:left="708" w:right="709"/>
        <w:jc w:val="both"/>
        <w:rPr>
          <w:rFonts w:ascii="Century Gothic" w:hAnsi="Century Gothic" w:eastAsia="Calibri" w:cs="Arial"/>
          <w:sz w:val="20"/>
          <w:szCs w:val="20"/>
          <w:lang w:val="es-ES"/>
        </w:rPr>
      </w:pPr>
      <w:r w:rsidRPr="00BF1D9A">
        <w:rPr>
          <w:rFonts w:ascii="Century Gothic" w:hAnsi="Century Gothic" w:eastAsia="Calibri" w:cs="Arial"/>
          <w:sz w:val="20"/>
          <w:szCs w:val="20"/>
          <w:lang w:val="es-ES"/>
        </w:rPr>
        <w:t>Artículo 3°. Funciones de los municipios. Corresponde al municipio:</w:t>
      </w:r>
    </w:p>
    <w:p w:rsidRPr="00BF1D9A" w:rsidR="002917FA" w:rsidP="002917FA" w:rsidRDefault="002917FA" w14:paraId="67E6181A" w14:textId="77777777">
      <w:pPr>
        <w:spacing w:after="120" w:line="240" w:lineRule="auto"/>
        <w:ind w:left="709" w:right="709"/>
        <w:jc w:val="both"/>
        <w:rPr>
          <w:rFonts w:ascii="Century Gothic" w:hAnsi="Century Gothic" w:eastAsia="Calibri" w:cs="Arial"/>
          <w:sz w:val="20"/>
          <w:szCs w:val="20"/>
          <w:lang w:val="es-ES"/>
        </w:rPr>
      </w:pPr>
      <w:r w:rsidRPr="00BF1D9A">
        <w:rPr>
          <w:rFonts w:ascii="Century Gothic" w:hAnsi="Century Gothic" w:eastAsia="Calibri" w:cs="Arial"/>
          <w:sz w:val="20"/>
          <w:szCs w:val="20"/>
          <w:lang w:val="es-ES"/>
        </w:rPr>
        <w:t>[…]</w:t>
      </w:r>
    </w:p>
    <w:p w:rsidRPr="00BF1D9A" w:rsidR="002917FA" w:rsidP="002917FA" w:rsidRDefault="002917FA" w14:paraId="013799D5" w14:textId="77777777">
      <w:pPr>
        <w:spacing w:after="120" w:line="240" w:lineRule="auto"/>
        <w:ind w:left="709" w:right="709"/>
        <w:jc w:val="both"/>
        <w:rPr>
          <w:rFonts w:ascii="Century Gothic" w:hAnsi="Century Gothic" w:eastAsia="Calibri" w:cs="Arial"/>
          <w:sz w:val="20"/>
          <w:szCs w:val="20"/>
          <w:lang w:val="es-ES"/>
        </w:rPr>
      </w:pPr>
      <w:r w:rsidRPr="00BF1D9A">
        <w:rPr>
          <w:rFonts w:ascii="Century Gothic" w:hAnsi="Century Gothic" w:eastAsia="Calibri" w:cs="Arial"/>
          <w:sz w:val="20"/>
          <w:szCs w:val="20"/>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rsidRPr="00BF1D9A" w:rsidR="002917FA" w:rsidP="002917FA" w:rsidRDefault="002917FA" w14:paraId="4D152192" w14:textId="77777777">
      <w:pPr>
        <w:spacing w:after="120" w:line="240" w:lineRule="auto"/>
        <w:ind w:left="709" w:right="709"/>
        <w:jc w:val="both"/>
        <w:rPr>
          <w:rFonts w:ascii="Century Gothic" w:hAnsi="Century Gothic" w:eastAsia="Calibri" w:cs="Arial"/>
          <w:sz w:val="20"/>
          <w:szCs w:val="20"/>
          <w:lang w:val="es-ES"/>
        </w:rPr>
      </w:pPr>
      <w:r w:rsidRPr="00BF1D9A">
        <w:rPr>
          <w:rFonts w:ascii="Century Gothic" w:hAnsi="Century Gothic" w:eastAsia="Calibri" w:cs="Arial"/>
          <w:sz w:val="20"/>
          <w:szCs w:val="20"/>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rsidRPr="00BF1D9A" w:rsidR="002917FA" w:rsidP="002917FA" w:rsidRDefault="002917FA" w14:paraId="3EB5C9CA" w14:textId="77777777">
      <w:pPr>
        <w:spacing w:after="0" w:line="240" w:lineRule="auto"/>
        <w:ind w:left="708" w:right="709"/>
        <w:jc w:val="both"/>
        <w:rPr>
          <w:rFonts w:ascii="Century Gothic" w:hAnsi="Century Gothic" w:eastAsia="Calibri" w:cs="Arial"/>
          <w:sz w:val="20"/>
          <w:szCs w:val="20"/>
          <w:lang w:val="es-ES"/>
        </w:rPr>
      </w:pPr>
      <w:r w:rsidRPr="00BF1D9A">
        <w:rPr>
          <w:rFonts w:ascii="Century Gothic" w:hAnsi="Century Gothic" w:eastAsia="Calibri" w:cs="Arial"/>
          <w:sz w:val="20"/>
          <w:szCs w:val="20"/>
          <w:lang w:val="es-ES"/>
        </w:rPr>
        <w:t>18. Celebrar convenios de uso de bienes públicos y/o de usufructo comunitario con los cabildos, autoridades y organizaciones indígenas y con los organismos de acción comunal y otros organismos comunitarios. […]”</w:t>
      </w:r>
    </w:p>
    <w:p w:rsidRPr="00A12E13" w:rsidR="002917FA" w:rsidP="002917FA" w:rsidRDefault="002917FA" w14:paraId="5F0B10F7" w14:textId="77777777">
      <w:pPr>
        <w:spacing w:after="0" w:line="276" w:lineRule="auto"/>
        <w:ind w:left="708" w:right="709"/>
        <w:jc w:val="both"/>
        <w:rPr>
          <w:rFonts w:ascii="Century Gothic" w:hAnsi="Century Gothic" w:eastAsia="Calibri" w:cs="Arial"/>
          <w:lang w:val="es-ES"/>
        </w:rPr>
      </w:pPr>
    </w:p>
    <w:p w:rsidRPr="0004430F" w:rsidR="002917FA" w:rsidP="002917FA" w:rsidRDefault="002917FA" w14:paraId="4696B19E" w14:textId="77777777">
      <w:pPr>
        <w:spacing w:after="0" w:line="276" w:lineRule="auto"/>
        <w:ind w:firstLine="709"/>
        <w:jc w:val="both"/>
        <w:rPr>
          <w:rFonts w:ascii="Century Gothic" w:hAnsi="Century Gothic" w:eastAsia="Calibri" w:cs="Arial"/>
          <w:lang w:val="es-ES"/>
        </w:rPr>
      </w:pPr>
      <w:r w:rsidRPr="0004430F">
        <w:rPr>
          <w:rFonts w:ascii="Century Gothic" w:hAnsi="Century Gothic" w:eastAsia="Calibri" w:cs="Arial"/>
          <w:lang w:val="es-ES"/>
        </w:rPr>
        <w:t xml:space="preserve">Así, los municipios y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En relación con los convenios solidarios y qué debe entenderse por estos, la Ley, en el parágrafo 3 del artículo 6, prescribe lo siguiente: </w:t>
      </w:r>
    </w:p>
    <w:p w:rsidRPr="0004430F" w:rsidR="002917FA" w:rsidP="002917FA" w:rsidRDefault="002917FA" w14:paraId="1E28C4BB" w14:textId="77777777">
      <w:pPr>
        <w:spacing w:after="0"/>
        <w:jc w:val="both"/>
        <w:rPr>
          <w:rFonts w:ascii="Century Gothic" w:hAnsi="Century Gothic" w:eastAsia="Calibri" w:cs="Arial"/>
          <w:lang w:val="es-ES"/>
        </w:rPr>
      </w:pPr>
    </w:p>
    <w:p w:rsidRPr="00BF1D9A" w:rsidR="002917FA" w:rsidP="002917FA" w:rsidRDefault="002917FA" w14:paraId="1D0FF49B" w14:textId="77777777">
      <w:pPr>
        <w:spacing w:after="120" w:line="240" w:lineRule="auto"/>
        <w:ind w:left="709" w:right="709"/>
        <w:jc w:val="both"/>
        <w:rPr>
          <w:rFonts w:ascii="Century Gothic" w:hAnsi="Century Gothic" w:eastAsia="Calibri" w:cs="Arial"/>
          <w:sz w:val="20"/>
          <w:szCs w:val="20"/>
          <w:lang w:val="es-ES"/>
        </w:rPr>
      </w:pPr>
      <w:r w:rsidRPr="00BF1D9A">
        <w:rPr>
          <w:rFonts w:ascii="Century Gothic" w:hAnsi="Century Gothic" w:eastAsia="Calibri" w:cs="Arial"/>
          <w:sz w:val="20"/>
          <w:szCs w:val="20"/>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rsidRPr="00BF1D9A" w:rsidR="002917FA" w:rsidP="002917FA" w:rsidRDefault="002917FA" w14:paraId="08279A68" w14:textId="77777777">
      <w:pPr>
        <w:spacing w:after="120" w:line="240" w:lineRule="auto"/>
        <w:ind w:left="709" w:right="709"/>
        <w:jc w:val="both"/>
        <w:rPr>
          <w:rFonts w:ascii="Century Gothic" w:hAnsi="Century Gothic" w:eastAsia="Calibri" w:cs="Arial"/>
          <w:sz w:val="16"/>
          <w:szCs w:val="16"/>
          <w:lang w:val="es-ES"/>
        </w:rPr>
      </w:pPr>
      <w:r w:rsidRPr="00BF1D9A">
        <w:rPr>
          <w:rFonts w:ascii="Century Gothic" w:hAnsi="Century Gothic" w:eastAsia="Calibri" w:cs="Arial"/>
          <w:sz w:val="20"/>
          <w:szCs w:val="20"/>
          <w:lang w:val="es-ES"/>
        </w:rPr>
        <w:t>[…]</w:t>
      </w:r>
    </w:p>
    <w:p w:rsidRPr="00BF1D9A" w:rsidR="002917FA" w:rsidP="002917FA" w:rsidRDefault="002917FA" w14:paraId="725B2ED1" w14:textId="77777777">
      <w:pPr>
        <w:spacing w:after="0" w:line="240" w:lineRule="auto"/>
        <w:ind w:left="708" w:right="709"/>
        <w:jc w:val="both"/>
        <w:rPr>
          <w:rFonts w:ascii="Century Gothic" w:hAnsi="Century Gothic" w:eastAsia="Calibri" w:cs="Arial"/>
          <w:sz w:val="20"/>
          <w:szCs w:val="20"/>
          <w:lang w:val="es-ES"/>
        </w:rPr>
      </w:pPr>
      <w:r w:rsidRPr="00BF1D9A">
        <w:rPr>
          <w:rFonts w:ascii="Century Gothic" w:hAnsi="Century Gothic" w:eastAsia="Calibri" w:cs="Arial"/>
          <w:sz w:val="20"/>
          <w:szCs w:val="20"/>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rsidRPr="0004430F" w:rsidR="002917FA" w:rsidP="002917FA" w:rsidRDefault="002917FA" w14:paraId="2F1FFA1E" w14:textId="77777777">
      <w:pPr>
        <w:spacing w:after="0"/>
        <w:jc w:val="both"/>
        <w:rPr>
          <w:rFonts w:ascii="Century Gothic" w:hAnsi="Century Gothic" w:eastAsia="Calibri" w:cs="Arial"/>
          <w:lang w:val="es-ES"/>
        </w:rPr>
      </w:pPr>
    </w:p>
    <w:p w:rsidRPr="0004430F" w:rsidR="002917FA" w:rsidP="002917FA" w:rsidRDefault="002917FA" w14:paraId="78CB23D7" w14:textId="77777777">
      <w:pPr>
        <w:spacing w:after="120" w:line="276" w:lineRule="auto"/>
        <w:ind w:firstLine="708"/>
        <w:jc w:val="both"/>
        <w:rPr>
          <w:rFonts w:ascii="Century Gothic" w:hAnsi="Century Gothic" w:eastAsia="Calibri" w:cs="Arial"/>
          <w:lang w:val="es-ES"/>
        </w:rPr>
      </w:pPr>
      <w:r w:rsidRPr="0004430F">
        <w:rPr>
          <w:rFonts w:ascii="Century Gothic" w:hAnsi="Century Gothic" w:eastAsia="Calibri" w:cs="Arial"/>
          <w:lang w:val="es-ES"/>
        </w:rPr>
        <w:t>Los convenios solidarios que pueden suscribir los municipios y distritos con los cabildos, las autoridades y organizaciones indígenas, no tienen límites en cuanto a su cuantía.</w:t>
      </w:r>
    </w:p>
    <w:p w:rsidRPr="0004430F" w:rsidR="002917FA" w:rsidP="002917FA" w:rsidRDefault="002917FA" w14:paraId="242AF23B" w14:textId="77777777">
      <w:pPr>
        <w:spacing w:after="120" w:line="276" w:lineRule="auto"/>
        <w:jc w:val="both"/>
        <w:rPr>
          <w:rFonts w:ascii="Century Gothic" w:hAnsi="Century Gothic" w:eastAsia="Calibri" w:cs="Arial"/>
          <w:lang w:val="es-ES"/>
        </w:rPr>
      </w:pPr>
      <w:r w:rsidRPr="0004430F">
        <w:rPr>
          <w:rFonts w:ascii="Century Gothic" w:hAnsi="Century Gothic" w:eastAsia="Calibri" w:cs="Arial"/>
          <w:lang w:val="es-ES"/>
        </w:rPr>
        <w:tab/>
      </w:r>
      <w:r w:rsidRPr="0004430F">
        <w:rPr>
          <w:rFonts w:ascii="Century Gothic" w:hAnsi="Century Gothic" w:eastAsia="Calibri" w:cs="Arial"/>
          <w:lang w:val="es-ES"/>
        </w:rPr>
        <w:t>Posteriormente, se expidió el Decreto 1953 de 2014, “</w:t>
      </w:r>
      <w:r w:rsidRPr="0004430F">
        <w:rPr>
          <w:rFonts w:ascii="Century Gothic" w:hAnsi="Century Gothic" w:eastAsia="Calibri" w:cs="Arial"/>
          <w:i/>
          <w:iCs/>
          <w:lang w:val="es-ES"/>
        </w:rPr>
        <w:t xml:space="preserve">Por el cual se crea un régimen especial con el fin de poner en funcionamiento los Territorios Indígenas </w:t>
      </w:r>
      <w:r w:rsidRPr="0004430F">
        <w:rPr>
          <w:rFonts w:ascii="Century Gothic" w:hAnsi="Century Gothic" w:eastAsia="Calibri" w:cs="Arial"/>
          <w:i/>
          <w:iCs/>
          <w:lang w:val="es-ES"/>
        </w:rPr>
        <w:t xml:space="preserve">respecto de la administración de los sistemas propios de los pueblos indígenas hasta que el Congreso expida la ley de </w:t>
      </w:r>
      <w:proofErr w:type="spellStart"/>
      <w:r w:rsidRPr="0004430F">
        <w:rPr>
          <w:rFonts w:ascii="Century Gothic" w:hAnsi="Century Gothic" w:eastAsia="Calibri" w:cs="Arial"/>
          <w:i/>
          <w:iCs/>
          <w:lang w:val="es-ES"/>
        </w:rPr>
        <w:t>que</w:t>
      </w:r>
      <w:proofErr w:type="spellEnd"/>
      <w:r w:rsidRPr="0004430F">
        <w:rPr>
          <w:rFonts w:ascii="Century Gothic" w:hAnsi="Century Gothic" w:eastAsia="Calibri" w:cs="Arial"/>
          <w:i/>
          <w:iCs/>
          <w:lang w:val="es-ES"/>
        </w:rPr>
        <w:t xml:space="preserve"> trata el artículo 329 de la Constitución Política”.</w:t>
      </w:r>
      <w:r w:rsidRPr="0004430F">
        <w:rPr>
          <w:rFonts w:ascii="Century Gothic" w:hAnsi="Century Gothic" w:eastAsia="Calibri" w:cs="Arial"/>
          <w:lang w:val="es-ES"/>
        </w:rPr>
        <w:t xml:space="preserve">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rsidRPr="0004430F" w:rsidR="002917FA" w:rsidP="002917FA" w:rsidRDefault="002917FA" w14:paraId="1E9B967B" w14:textId="77777777">
      <w:pPr>
        <w:spacing w:after="120" w:line="276" w:lineRule="auto"/>
        <w:ind w:firstLine="708"/>
        <w:jc w:val="both"/>
        <w:rPr>
          <w:rFonts w:ascii="Century Gothic" w:hAnsi="Century Gothic" w:eastAsia="Calibri" w:cs="Arial"/>
          <w:lang w:val="es-ES"/>
        </w:rPr>
      </w:pPr>
      <w:r w:rsidRPr="0004430F">
        <w:rPr>
          <w:rFonts w:ascii="Century Gothic" w:hAnsi="Century Gothic" w:eastAsia="Calibri" w:cs="Arial"/>
          <w:lang w:val="es-ES"/>
        </w:rPr>
        <w:t xml:space="preserve">Los aspectos más relevantes de esta norma son los relacionados con el funcionamiento de los territorios indígenas. Al respecto, dispone que los resguardos podrán asociarse para administrar y ejecutar los recursos del SGP y que dichas asociaciones serán consideradas </w:t>
      </w:r>
      <w:r w:rsidRPr="0004430F">
        <w:rPr>
          <w:rFonts w:ascii="Century Gothic" w:hAnsi="Century Gothic" w:eastAsia="Calibri" w:cs="Arial"/>
          <w:i/>
          <w:iCs/>
          <w:lang w:val="es-ES"/>
        </w:rPr>
        <w:t>personas jurídicas de derecho público especial</w:t>
      </w:r>
      <w:r w:rsidRPr="0004430F">
        <w:rPr>
          <w:rFonts w:ascii="Century Gothic" w:hAnsi="Century Gothic" w:eastAsia="Calibri" w:cs="Arial"/>
          <w:lang w:val="es-ES"/>
        </w:rPr>
        <w:t xml:space="preserve">. Adicionalmente, establece que para los fines y la ejecución de los recursos de que trata dicho decreto, </w:t>
      </w:r>
      <w:r w:rsidRPr="0004430F">
        <w:rPr>
          <w:rFonts w:ascii="Century Gothic" w:hAnsi="Century Gothic" w:eastAsia="Calibri" w:cs="Arial"/>
          <w:i/>
          <w:iCs/>
          <w:lang w:val="es-ES"/>
        </w:rPr>
        <w:t>los territorios y resguardos indígenas que hayan sido autorizados para administrar recursos del SGP serán considerados entidades estatales de acuerdo con lo indicado en el artículo 2 de la Ley 80 de 1993</w:t>
      </w:r>
      <w:r w:rsidRPr="0004430F">
        <w:rPr>
          <w:rFonts w:ascii="Century Gothic" w:hAnsi="Century Gothic" w:eastAsia="Calibri" w:cs="Arial"/>
          <w:lang w:val="es-ES"/>
        </w:rPr>
        <w:t xml:space="preserve">. </w:t>
      </w:r>
    </w:p>
    <w:p w:rsidRPr="0004430F" w:rsidR="002917FA" w:rsidP="002917FA" w:rsidRDefault="002917FA" w14:paraId="51E8A661" w14:textId="77777777">
      <w:pPr>
        <w:spacing w:after="0" w:line="276" w:lineRule="auto"/>
        <w:ind w:firstLine="680"/>
        <w:jc w:val="both"/>
        <w:rPr>
          <w:rFonts w:ascii="Century Gothic" w:hAnsi="Century Gothic" w:eastAsia="Calibri" w:cs="Arial"/>
          <w:lang w:val="es-ES"/>
        </w:rPr>
      </w:pPr>
      <w:r w:rsidRPr="0004430F">
        <w:rPr>
          <w:rFonts w:ascii="Century Gothic" w:hAnsi="Century Gothic" w:eastAsia="Calibri" w:cs="Arial"/>
          <w:lang w:val="es-ES"/>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rsidRPr="0004430F" w:rsidR="002917FA" w:rsidP="002917FA" w:rsidRDefault="002917FA" w14:paraId="6543ABD5" w14:textId="77777777">
      <w:pPr>
        <w:spacing w:after="0"/>
        <w:jc w:val="both"/>
        <w:rPr>
          <w:rFonts w:ascii="Century Gothic" w:hAnsi="Century Gothic" w:eastAsia="Calibri" w:cs="Arial"/>
          <w:lang w:val="es-ES"/>
        </w:rPr>
      </w:pPr>
      <w:r w:rsidRPr="0004430F">
        <w:rPr>
          <w:rFonts w:ascii="Century Gothic" w:hAnsi="Century Gothic" w:eastAsia="Calibri" w:cs="Arial"/>
          <w:lang w:val="es-ES"/>
        </w:rPr>
        <w:tab/>
      </w:r>
    </w:p>
    <w:p w:rsidRPr="00BF1D9A" w:rsidR="002917FA" w:rsidP="002917FA" w:rsidRDefault="002917FA" w14:paraId="7023E6FD" w14:textId="77777777">
      <w:pPr>
        <w:spacing w:after="0" w:line="240" w:lineRule="auto"/>
        <w:ind w:left="708" w:right="709"/>
        <w:jc w:val="both"/>
        <w:rPr>
          <w:rFonts w:ascii="Century Gothic" w:hAnsi="Century Gothic" w:eastAsia="Calibri" w:cs="Arial"/>
          <w:sz w:val="20"/>
          <w:szCs w:val="20"/>
          <w:lang w:val="es-ES"/>
        </w:rPr>
      </w:pPr>
      <w:r w:rsidRPr="00BF1D9A">
        <w:rPr>
          <w:rFonts w:ascii="Century Gothic" w:hAnsi="Century Gothic" w:eastAsia="Calibri" w:cs="Arial"/>
          <w:sz w:val="20"/>
          <w:szCs w:val="20"/>
          <w:lang w:val="es-E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rsidRPr="00BF1D9A" w:rsidR="002917FA" w:rsidP="002917FA" w:rsidRDefault="002917FA" w14:paraId="2C61653B" w14:textId="77777777">
      <w:pPr>
        <w:spacing w:after="120" w:line="240" w:lineRule="auto"/>
        <w:ind w:left="709" w:right="709"/>
        <w:jc w:val="both"/>
        <w:rPr>
          <w:rFonts w:ascii="Century Gothic" w:hAnsi="Century Gothic" w:eastAsia="Calibri" w:cs="Arial"/>
          <w:sz w:val="20"/>
          <w:szCs w:val="20"/>
          <w:lang w:val="es-ES"/>
        </w:rPr>
      </w:pPr>
      <w:r w:rsidRPr="00BF1D9A">
        <w:rPr>
          <w:rFonts w:ascii="Century Gothic" w:hAnsi="Century Gothic" w:eastAsia="Calibri" w:cs="Arial"/>
          <w:sz w:val="20"/>
          <w:szCs w:val="20"/>
          <w:lang w:val="es-ES"/>
        </w:rPr>
        <w:t>[...]</w:t>
      </w:r>
    </w:p>
    <w:p w:rsidRPr="00BF1D9A" w:rsidR="002917FA" w:rsidP="002917FA" w:rsidRDefault="002917FA" w14:paraId="2F7562E0" w14:textId="77777777">
      <w:pPr>
        <w:spacing w:after="0" w:line="240" w:lineRule="auto"/>
        <w:ind w:left="708" w:right="709"/>
        <w:jc w:val="both"/>
        <w:rPr>
          <w:rFonts w:ascii="Century Gothic" w:hAnsi="Century Gothic" w:eastAsia="Calibri" w:cs="Arial"/>
          <w:sz w:val="20"/>
          <w:szCs w:val="20"/>
          <w:lang w:val="es-ES"/>
        </w:rPr>
      </w:pPr>
      <w:r w:rsidRPr="00BF1D9A">
        <w:rPr>
          <w:rFonts w:ascii="Century Gothic" w:hAnsi="Century Gothic" w:eastAsia="Calibri" w:cs="Arial"/>
          <w:sz w:val="20"/>
          <w:szCs w:val="20"/>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rsidRPr="0004430F" w:rsidR="002917FA" w:rsidP="002917FA" w:rsidRDefault="002917FA" w14:paraId="455EE811" w14:textId="77777777">
      <w:pPr>
        <w:spacing w:after="0"/>
        <w:jc w:val="both"/>
        <w:rPr>
          <w:rFonts w:ascii="Century Gothic" w:hAnsi="Century Gothic" w:eastAsia="Calibri" w:cs="Arial"/>
          <w:lang w:val="es-ES"/>
        </w:rPr>
      </w:pPr>
    </w:p>
    <w:p w:rsidRPr="0004430F" w:rsidR="002917FA" w:rsidP="002917FA" w:rsidRDefault="002917FA" w14:paraId="64F9B2F5" w14:textId="77777777">
      <w:pPr>
        <w:spacing w:after="120" w:line="276" w:lineRule="auto"/>
        <w:ind w:firstLine="680"/>
        <w:jc w:val="both"/>
        <w:rPr>
          <w:rFonts w:ascii="Century Gothic" w:hAnsi="Century Gothic" w:eastAsia="Calibri" w:cs="Arial"/>
          <w:lang w:val="es-ES"/>
        </w:rPr>
      </w:pPr>
      <w:r w:rsidRPr="0004430F">
        <w:rPr>
          <w:rFonts w:ascii="Century Gothic" w:hAnsi="Century Gothic" w:eastAsia="Calibri" w:cs="Arial"/>
          <w:lang w:val="es-ES"/>
        </w:rPr>
        <w:t xml:space="preserve">Por otro lado, el Decreto 1953 de 2014, en el artículo 20, determina que los actos o contratos que celebren o expidan los territorios indígenas en virtud de ese </w:t>
      </w:r>
      <w:r w:rsidRPr="0004430F">
        <w:rPr>
          <w:rFonts w:ascii="Century Gothic" w:hAnsi="Century Gothic" w:eastAsia="Calibri" w:cs="Arial"/>
          <w:lang w:val="es-ES"/>
        </w:rPr>
        <w:t>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w:t>
      </w:r>
      <w:r w:rsidRPr="0004430F">
        <w:rPr>
          <w:rFonts w:ascii="Century Gothic" w:hAnsi="Century Gothic"/>
          <w:vertAlign w:val="superscript"/>
        </w:rPr>
        <w:footnoteReference w:id="6"/>
      </w:r>
      <w:r w:rsidRPr="0004430F">
        <w:rPr>
          <w:rFonts w:ascii="Century Gothic" w:hAnsi="Century Gothic" w:eastAsia="Calibri" w:cs="Arial"/>
          <w:lang w:val="es-ES"/>
        </w:rPr>
        <w:t xml:space="preserve">. </w:t>
      </w:r>
    </w:p>
    <w:p w:rsidRPr="0004430F" w:rsidR="002917FA" w:rsidP="002917FA" w:rsidRDefault="002917FA" w14:paraId="5A535897" w14:textId="77777777">
      <w:pPr>
        <w:spacing w:after="120" w:line="276" w:lineRule="auto"/>
        <w:ind w:firstLine="709"/>
        <w:jc w:val="both"/>
        <w:rPr>
          <w:rFonts w:ascii="Century Gothic" w:hAnsi="Century Gothic" w:eastAsia="Calibri" w:cs="Arial"/>
          <w:szCs w:val="24"/>
          <w:lang w:val="es-ES" w:eastAsia="es-ES_tradnl"/>
        </w:rPr>
      </w:pPr>
      <w:r w:rsidRPr="0004430F">
        <w:rPr>
          <w:rFonts w:ascii="Century Gothic" w:hAnsi="Century Gothic" w:eastAsia="Calibri" w:cs="Arial"/>
          <w:szCs w:val="24"/>
          <w:lang w:val="es-ES" w:eastAsia="es-ES_tradnl"/>
        </w:rPr>
        <w:t>A las normas analizadas se adiciona ahora el Decreto 252 de 2020, expedido por el Gobierno Nacional, que adiciona el Decreto 1088 de 1993, el cual regula las asociaciones de Cabildos y/o Autoridades Tradicionales Indígenas y, entre otros aspectos, la naturaleza de sus actos y contratos. En este sentido,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rsidRPr="0004430F" w:rsidR="002917FA" w:rsidP="002917FA" w:rsidRDefault="002917FA" w14:paraId="4A7A6ECC" w14:textId="77777777">
      <w:pPr>
        <w:spacing w:after="120" w:line="276" w:lineRule="auto"/>
        <w:ind w:firstLine="709"/>
        <w:jc w:val="both"/>
        <w:rPr>
          <w:rFonts w:ascii="Century Gothic" w:hAnsi="Century Gothic" w:eastAsia="Calibri" w:cs="Arial"/>
          <w:szCs w:val="24"/>
          <w:lang w:val="es-ES" w:eastAsia="es-ES_tradnl"/>
        </w:rPr>
      </w:pPr>
      <w:r w:rsidRPr="0004430F">
        <w:rPr>
          <w:rFonts w:ascii="Century Gothic" w:hAnsi="Century Gothic" w:eastAsia="Calibri" w:cs="Arial"/>
          <w:szCs w:val="24"/>
          <w:lang w:val="es-ES" w:eastAsia="es-ES_tradnl"/>
        </w:rPr>
        <w:t>En este punto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personería jurídica ni capacidad jurídica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rsidRPr="0004430F" w:rsidR="002917FA" w:rsidP="002917FA" w:rsidRDefault="002917FA" w14:paraId="55F96F0F" w14:textId="77777777">
      <w:pPr>
        <w:spacing w:after="120" w:line="276" w:lineRule="auto"/>
        <w:ind w:firstLine="709"/>
        <w:jc w:val="both"/>
        <w:rPr>
          <w:rFonts w:ascii="Century Gothic" w:hAnsi="Century Gothic" w:eastAsia="Calibri" w:cs="Arial"/>
          <w:szCs w:val="24"/>
          <w:lang w:val="es-ES" w:eastAsia="es-ES_tradnl"/>
        </w:rPr>
      </w:pPr>
      <w:r w:rsidRPr="0004430F">
        <w:rPr>
          <w:rFonts w:ascii="Century Gothic" w:hAnsi="Century Gothic" w:eastAsia="Calibri" w:cs="Arial"/>
          <w:szCs w:val="24"/>
          <w:lang w:val="es-ES" w:eastAsia="es-ES_tradnl"/>
        </w:rPr>
        <w:t xml:space="preserve">En cambio, el artículo 1 del Decreto 252 de 2020 permite que las asociaciones de cabildos o asociaciones de autoridades tradicionales indígenas y las “organizaciones indígenas” contraten con las entidades estatales definidas en </w:t>
      </w:r>
      <w:r w:rsidRPr="0004430F">
        <w:rPr>
          <w:rFonts w:ascii="Century Gothic" w:hAnsi="Century Gothic" w:eastAsia="Calibri" w:cs="Arial"/>
          <w:szCs w:val="24"/>
          <w:lang w:val="es-ES" w:eastAsia="es-ES_tradnl"/>
        </w:rPr>
        <w:t xml:space="preserve">el artículo 2 de la Ley 80 de 1993, y además pueden hacerlo de manera directa –sin necesidad de participar en licitaciones u otro proceso de selección–, pero condicionado a la composición de esas organizaciones, cuyos miembros deben ser, exclusivamente: i) cabildos indígenas, </w:t>
      </w:r>
      <w:proofErr w:type="spellStart"/>
      <w:r w:rsidRPr="0004430F">
        <w:rPr>
          <w:rFonts w:ascii="Century Gothic" w:hAnsi="Century Gothic" w:eastAsia="Calibri" w:cs="Arial"/>
          <w:szCs w:val="24"/>
          <w:lang w:val="es-ES" w:eastAsia="es-ES_tradnl"/>
        </w:rPr>
        <w:t>ii</w:t>
      </w:r>
      <w:proofErr w:type="spellEnd"/>
      <w:r w:rsidRPr="0004430F">
        <w:rPr>
          <w:rFonts w:ascii="Century Gothic" w:hAnsi="Century Gothic" w:eastAsia="Calibri" w:cs="Arial"/>
          <w:szCs w:val="24"/>
          <w:lang w:val="es-ES" w:eastAsia="es-ES_tradnl"/>
        </w:rPr>
        <w:t xml:space="preserve">) resguardos indígenas, </w:t>
      </w:r>
      <w:proofErr w:type="spellStart"/>
      <w:r w:rsidRPr="0004430F">
        <w:rPr>
          <w:rFonts w:ascii="Century Gothic" w:hAnsi="Century Gothic" w:eastAsia="Calibri" w:cs="Arial"/>
          <w:szCs w:val="24"/>
          <w:lang w:val="es-ES" w:eastAsia="es-ES_tradnl"/>
        </w:rPr>
        <w:t>iii</w:t>
      </w:r>
      <w:proofErr w:type="spellEnd"/>
      <w:r w:rsidRPr="0004430F">
        <w:rPr>
          <w:rFonts w:ascii="Century Gothic" w:hAnsi="Century Gothic" w:eastAsia="Calibri" w:cs="Arial"/>
          <w:szCs w:val="24"/>
          <w:lang w:val="es-ES" w:eastAsia="es-ES_tradnl"/>
        </w:rPr>
        <w:t xml:space="preserve">) asociaciones de cabildos indígenas, </w:t>
      </w:r>
      <w:proofErr w:type="spellStart"/>
      <w:r w:rsidRPr="0004430F">
        <w:rPr>
          <w:rFonts w:ascii="Century Gothic" w:hAnsi="Century Gothic" w:eastAsia="Calibri" w:cs="Arial"/>
          <w:szCs w:val="24"/>
          <w:lang w:val="es-ES" w:eastAsia="es-ES_tradnl"/>
        </w:rPr>
        <w:t>iv</w:t>
      </w:r>
      <w:proofErr w:type="spellEnd"/>
      <w:r w:rsidRPr="0004430F">
        <w:rPr>
          <w:rFonts w:ascii="Century Gothic" w:hAnsi="Century Gothic" w:eastAsia="Calibri" w:cs="Arial"/>
          <w:szCs w:val="24"/>
          <w:lang w:val="es-ES" w:eastAsia="es-ES_tradnl"/>
        </w:rPr>
        <w:t>) asociaciones de autoridades indígenas, y v) otras formas de autoridad indígena</w:t>
      </w:r>
      <w:r w:rsidRPr="0004430F">
        <w:rPr>
          <w:rFonts w:ascii="Century Gothic" w:hAnsi="Century Gothic"/>
          <w:vertAlign w:val="superscript"/>
        </w:rPr>
        <w:footnoteReference w:id="7"/>
      </w:r>
      <w:r w:rsidRPr="0004430F">
        <w:rPr>
          <w:rFonts w:ascii="Century Gothic" w:hAnsi="Century Gothic" w:eastAsia="Calibri" w:cs="Arial"/>
          <w:szCs w:val="24"/>
          <w:lang w:val="es-ES" w:eastAsia="es-ES_tradnl"/>
        </w:rPr>
        <w:t>.</w:t>
      </w:r>
    </w:p>
    <w:p w:rsidRPr="0004430F" w:rsidR="002917FA" w:rsidP="002917FA" w:rsidRDefault="002917FA" w14:paraId="5D268251" w14:textId="77777777">
      <w:pPr>
        <w:spacing w:after="120" w:line="276" w:lineRule="auto"/>
        <w:ind w:firstLine="709"/>
        <w:jc w:val="both"/>
        <w:rPr>
          <w:rFonts w:ascii="Century Gothic" w:hAnsi="Century Gothic" w:eastAsia="Calibri" w:cs="Arial"/>
          <w:szCs w:val="24"/>
          <w:lang w:val="es-ES" w:eastAsia="es-ES_tradnl"/>
        </w:rPr>
      </w:pPr>
      <w:r w:rsidRPr="0004430F">
        <w:rPr>
          <w:rFonts w:ascii="Century Gothic" w:hAnsi="Century Gothic" w:eastAsia="Calibri" w:cs="Arial"/>
          <w:szCs w:val="24"/>
          <w:lang w:val="es-ES" w:eastAsia="es-ES_tradnl"/>
        </w:rPr>
        <w:t xml:space="preserve">En ese sentido, i) la norma le confirió a las “organizaciones indígenas” capacidad para contratar con el Estado y </w:t>
      </w:r>
      <w:proofErr w:type="spellStart"/>
      <w:r w:rsidRPr="0004430F">
        <w:rPr>
          <w:rFonts w:ascii="Century Gothic" w:hAnsi="Century Gothic" w:eastAsia="Calibri" w:cs="Arial"/>
          <w:szCs w:val="24"/>
          <w:lang w:val="es-ES" w:eastAsia="es-ES_tradnl"/>
        </w:rPr>
        <w:t>ii</w:t>
      </w:r>
      <w:proofErr w:type="spellEnd"/>
      <w:r w:rsidRPr="0004430F">
        <w:rPr>
          <w:rFonts w:ascii="Century Gothic" w:hAnsi="Century Gothic" w:eastAsia="Calibri" w:cs="Arial"/>
          <w:szCs w:val="24"/>
          <w:lang w:val="es-ES" w:eastAsia="es-ES_tradnl"/>
        </w:rPr>
        <w:t xml:space="preserve">) también autorizó a todas las entidades estatales a contratar con ellas de manera directa. Por oposición, antes de esta norma solo podían celebrar convenios solidarios con municipios y distritos. En todo caso, el Decreto 252 de 2020 no califica a las </w:t>
      </w:r>
      <w:r w:rsidRPr="0004430F">
        <w:rPr>
          <w:rFonts w:ascii="Century Gothic" w:hAnsi="Century Gothic" w:eastAsia="Calibri" w:cs="Arial"/>
          <w:i/>
          <w:iCs/>
          <w:szCs w:val="24"/>
          <w:lang w:val="es-ES" w:eastAsia="es-ES_tradnl"/>
        </w:rPr>
        <w:t>“organizaciones indígenas”</w:t>
      </w:r>
      <w:r w:rsidRPr="0004430F">
        <w:rPr>
          <w:rFonts w:ascii="Century Gothic" w:hAnsi="Century Gothic" w:eastAsia="Calibri" w:cs="Arial"/>
          <w:szCs w:val="24"/>
          <w:lang w:val="es-ES" w:eastAsia="es-ES_tradnl"/>
        </w:rPr>
        <w:t xml:space="preserve"> como entidades estatales, no regula su naturaleza o régimen legal, sino que establece la regulación indicada en materia contractual. </w:t>
      </w:r>
    </w:p>
    <w:p w:rsidRPr="00FA6559" w:rsidR="002917FA" w:rsidP="002917FA" w:rsidRDefault="002917FA" w14:paraId="29623E89" w14:textId="77777777">
      <w:pPr>
        <w:spacing w:after="0" w:line="276" w:lineRule="auto"/>
        <w:ind w:firstLine="680"/>
        <w:jc w:val="both"/>
        <w:rPr>
          <w:rFonts w:ascii="Century Gothic" w:hAnsi="Century Gothic" w:eastAsia="Times New Roman" w:cs="Arial"/>
          <w:lang w:eastAsia="es-ES_tradnl"/>
        </w:rPr>
      </w:pPr>
      <w:r w:rsidRPr="0004430F">
        <w:rPr>
          <w:rFonts w:ascii="Century Gothic" w:hAnsi="Century Gothic" w:eastAsia="Calibri" w:cs="Arial"/>
          <w:lang w:val="es-ES"/>
        </w:rPr>
        <w:t xml:space="preserve">Posteriormente, la Ley 2160 de 2021, </w:t>
      </w:r>
      <w:r w:rsidRPr="0004430F">
        <w:rPr>
          <w:rFonts w:ascii="Century Gothic" w:hAnsi="Century Gothic" w:eastAsia="Calibri" w:cs="Arial"/>
          <w:i/>
          <w:iCs/>
          <w:lang w:val="es-ES"/>
        </w:rPr>
        <w:t>“Por medio del cual se modifica la Ley 80 de 1993 y la Ley 1150 de 2007</w:t>
      </w:r>
      <w:r w:rsidRPr="0004430F">
        <w:rPr>
          <w:rFonts w:ascii="Century Gothic" w:hAnsi="Century Gothic" w:cs="Arial"/>
          <w:i/>
          <w:iCs/>
        </w:rPr>
        <w:t>”</w:t>
      </w:r>
      <w:r w:rsidRPr="0004430F">
        <w:rPr>
          <w:rFonts w:ascii="Century Gothic" w:hAnsi="Century Gothic" w:eastAsia="Calibri" w:cs="Arial"/>
          <w:lang w:val="es-ES"/>
        </w:rPr>
        <w:t>, estableció nuevas regulaciones con respecto a la capacidad contractual y naturaleza jurídica de varios tipos de organización, entre ellas los cabildos indígenas y asociaciones de autoridades tradicionales indígenas</w:t>
      </w:r>
      <w:r w:rsidRPr="00FA6559">
        <w:rPr>
          <w:rFonts w:ascii="Century Gothic" w:hAnsi="Century Gothic" w:eastAsia="Times New Roman" w:cs="Arial"/>
          <w:sz w:val="21"/>
          <w:szCs w:val="21"/>
          <w:vertAlign w:val="superscript"/>
          <w:lang w:eastAsia="es-ES_tradnl"/>
        </w:rPr>
        <w:footnoteReference w:id="8"/>
      </w:r>
      <w:r w:rsidRPr="00FA6559">
        <w:rPr>
          <w:rFonts w:ascii="Century Gothic" w:hAnsi="Century Gothic" w:eastAsia="Times New Roman" w:cs="Arial"/>
          <w:sz w:val="21"/>
          <w:szCs w:val="21"/>
          <w:lang w:eastAsia="es-ES_tradnl"/>
        </w:rPr>
        <w:t xml:space="preserve">. </w:t>
      </w:r>
      <w:r w:rsidRPr="00FA6559">
        <w:rPr>
          <w:rFonts w:ascii="Century Gothic" w:hAnsi="Century Gothic" w:eastAsia="Times New Roman" w:cs="Arial"/>
          <w:lang w:eastAsia="es-ES_tradnl"/>
        </w:rPr>
        <w:t xml:space="preserve">Teniendo en cuenta esta filosofía y objetivos buscados en el proyecto </w:t>
      </w:r>
      <w:r w:rsidRPr="00FA6559">
        <w:rPr>
          <w:rFonts w:ascii="Century Gothic" w:hAnsi="Century Gothic" w:eastAsia="Times New Roman" w:cs="Arial"/>
          <w:lang w:eastAsia="es-ES_tradnl"/>
        </w:rPr>
        <w:t xml:space="preserve">de ley, esta modificó, entre otras cosas, el artículo 7 de la Ley 80 de 1993 mediante su artículo 3°, cuyo tenor literal dispuso: </w:t>
      </w:r>
    </w:p>
    <w:p w:rsidRPr="00FA6559" w:rsidR="002917FA" w:rsidP="002917FA" w:rsidRDefault="002917FA" w14:paraId="3905D0D5" w14:textId="77777777">
      <w:pPr>
        <w:spacing w:after="0"/>
        <w:ind w:firstLine="680"/>
        <w:jc w:val="both"/>
        <w:rPr>
          <w:rFonts w:ascii="Century Gothic" w:hAnsi="Century Gothic" w:eastAsia="Times New Roman" w:cs="Arial"/>
          <w:bCs/>
          <w:lang w:val="es-ES"/>
        </w:rPr>
      </w:pPr>
    </w:p>
    <w:p w:rsidRPr="00BF1D9A" w:rsidR="002917FA" w:rsidP="002917FA" w:rsidRDefault="002917FA" w14:paraId="2F2944A9" w14:textId="77777777">
      <w:pPr>
        <w:shd w:val="clear" w:color="auto" w:fill="FFFFFF"/>
        <w:spacing w:after="120" w:line="240" w:lineRule="auto"/>
        <w:ind w:left="709" w:right="709"/>
        <w:jc w:val="both"/>
        <w:rPr>
          <w:rFonts w:ascii="Century Gothic" w:hAnsi="Century Gothic" w:eastAsia="Times New Roman" w:cs="Arial"/>
          <w:sz w:val="20"/>
          <w:szCs w:val="20"/>
          <w:lang w:val="es-ES"/>
        </w:rPr>
      </w:pPr>
      <w:r w:rsidRPr="00BF1D9A">
        <w:rPr>
          <w:rFonts w:ascii="Century Gothic" w:hAnsi="Century Gothic" w:eastAsia="Times New Roman" w:cs="Arial"/>
          <w:sz w:val="20"/>
          <w:szCs w:val="20"/>
          <w:lang w:val="es-ES"/>
        </w:rPr>
        <w:t>“ARTÍCULO 7°. ENTIDADES A CONTRATAR. Para los efectos de esta ley se entiende por:</w:t>
      </w:r>
    </w:p>
    <w:p w:rsidRPr="00BF1D9A" w:rsidR="002917FA" w:rsidP="002917FA" w:rsidRDefault="002917FA" w14:paraId="5D3BD398" w14:textId="77777777">
      <w:pPr>
        <w:shd w:val="clear" w:color="auto" w:fill="FFFFFF"/>
        <w:spacing w:after="0" w:line="240" w:lineRule="auto"/>
        <w:ind w:left="709" w:right="709"/>
        <w:jc w:val="both"/>
        <w:rPr>
          <w:rFonts w:ascii="Century Gothic" w:hAnsi="Century Gothic" w:eastAsia="Times New Roman" w:cs="Arial"/>
          <w:sz w:val="20"/>
          <w:szCs w:val="20"/>
          <w:lang w:val="es-ES"/>
        </w:rPr>
      </w:pPr>
      <w:r w:rsidRPr="00BF1D9A">
        <w:rPr>
          <w:rFonts w:ascii="Century Gothic" w:hAnsi="Century Gothic" w:eastAsia="Times New Roman" w:cs="Arial"/>
          <w:sz w:val="20"/>
          <w:szCs w:val="20"/>
          <w:lang w:val="es-ES"/>
        </w:rPr>
        <w:t xml:space="preserve">1. Cabildo Indígena: </w:t>
      </w:r>
      <w:r w:rsidRPr="00BF1D9A">
        <w:rPr>
          <w:rFonts w:ascii="Century Gothic" w:hAnsi="Century Gothic" w:eastAsia="Times New Roman" w:cs="Arial"/>
          <w:i/>
          <w:sz w:val="20"/>
          <w:szCs w:val="20"/>
          <w:lang w:val="es-ES"/>
        </w:rPr>
        <w:t>Es una entidad pública especial</w:t>
      </w:r>
      <w:r w:rsidRPr="00BF1D9A">
        <w:rPr>
          <w:rFonts w:ascii="Century Gothic" w:hAnsi="Century Gothic" w:eastAsia="Times New Roman" w:cs="Arial"/>
          <w:sz w:val="20"/>
          <w:szCs w:val="20"/>
          <w:lang w:val="es-ES"/>
        </w:rPr>
        <w:t>,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rsidRPr="00BF1D9A" w:rsidR="002917FA" w:rsidP="002917FA" w:rsidRDefault="002917FA" w14:paraId="5B316401" w14:textId="77777777">
      <w:pPr>
        <w:shd w:val="clear" w:color="auto" w:fill="FFFFFF"/>
        <w:spacing w:after="120" w:line="240" w:lineRule="auto"/>
        <w:ind w:left="709" w:right="709"/>
        <w:jc w:val="both"/>
        <w:rPr>
          <w:rFonts w:ascii="Century Gothic" w:hAnsi="Century Gothic" w:eastAsia="Times New Roman" w:cs="Arial"/>
          <w:sz w:val="20"/>
          <w:szCs w:val="20"/>
          <w:lang w:val="es-ES"/>
        </w:rPr>
      </w:pPr>
      <w:r w:rsidRPr="00BF1D9A">
        <w:rPr>
          <w:rFonts w:ascii="Century Gothic" w:hAnsi="Century Gothic" w:eastAsia="Times New Roman" w:cs="Arial"/>
          <w:sz w:val="20"/>
          <w:szCs w:val="20"/>
          <w:lang w:val="es-ES"/>
        </w:rPr>
        <w:t>[…]</w:t>
      </w:r>
    </w:p>
    <w:p w:rsidRPr="00BF1D9A" w:rsidR="002917FA" w:rsidP="002917FA" w:rsidRDefault="002917FA" w14:paraId="10D668E3" w14:textId="77777777">
      <w:pPr>
        <w:shd w:val="clear" w:color="auto" w:fill="FFFFFF"/>
        <w:spacing w:after="0" w:line="240" w:lineRule="auto"/>
        <w:ind w:left="709" w:right="709"/>
        <w:jc w:val="both"/>
        <w:rPr>
          <w:rFonts w:ascii="Century Gothic" w:hAnsi="Century Gothic" w:eastAsia="Times New Roman" w:cs="Arial"/>
          <w:sz w:val="20"/>
          <w:szCs w:val="20"/>
          <w:lang w:val="es-ES"/>
        </w:rPr>
      </w:pPr>
      <w:r w:rsidRPr="00BF1D9A">
        <w:rPr>
          <w:rFonts w:ascii="Century Gothic" w:hAnsi="Century Gothic" w:eastAsia="Times New Roman" w:cs="Arial"/>
          <w:sz w:val="20"/>
          <w:szCs w:val="20"/>
          <w:lang w:val="es-ES"/>
        </w:rPr>
        <w:t xml:space="preserve">8. Asociaciones de autoridades tradicionales indígenas. </w:t>
      </w:r>
      <w:r w:rsidRPr="00BF1D9A">
        <w:rPr>
          <w:rFonts w:ascii="Century Gothic" w:hAnsi="Century Gothic" w:eastAsia="Times New Roman" w:cs="Arial"/>
          <w:i/>
          <w:sz w:val="20"/>
          <w:szCs w:val="20"/>
          <w:lang w:val="es-ES"/>
        </w:rPr>
        <w:t>Entidad de derecho público</w:t>
      </w:r>
      <w:r w:rsidRPr="00BF1D9A">
        <w:rPr>
          <w:rFonts w:ascii="Century Gothic" w:hAnsi="Century Gothic" w:eastAsia="Times New Roman" w:cs="Arial"/>
          <w:sz w:val="20"/>
          <w:szCs w:val="20"/>
          <w:lang w:val="es-ES"/>
        </w:rPr>
        <w:t>, encargada de fomentar y coordinar con las autoridades locales, regionales y nacionales, la ejecución de proyectos en salud, educación y vivienda. Esta entidad estará conformada por diez (10) organizaciones regionales indígenas” (Énfasis fuera de texto).</w:t>
      </w:r>
    </w:p>
    <w:p w:rsidR="002917FA" w:rsidP="002917FA" w:rsidRDefault="002917FA" w14:paraId="0C827CDF" w14:textId="77777777">
      <w:pPr>
        <w:spacing w:after="0" w:line="276" w:lineRule="auto"/>
        <w:jc w:val="both"/>
        <w:rPr>
          <w:rFonts w:ascii="Century Gothic" w:hAnsi="Century Gothic" w:eastAsia="Times New Roman" w:cs="Arial"/>
          <w:lang w:val="es-ES"/>
        </w:rPr>
      </w:pPr>
      <w:r w:rsidRPr="00FA6559">
        <w:rPr>
          <w:rFonts w:ascii="Century Gothic" w:hAnsi="Century Gothic" w:eastAsia="Times New Roman" w:cs="Arial"/>
          <w:lang w:val="es-ES"/>
        </w:rPr>
        <w:tab/>
      </w:r>
    </w:p>
    <w:p w:rsidRPr="00FA6559" w:rsidR="002917FA" w:rsidP="002917FA" w:rsidRDefault="002917FA" w14:paraId="04FD3787" w14:textId="77777777">
      <w:pPr>
        <w:ind w:firstLine="708"/>
        <w:jc w:val="both"/>
        <w:rPr>
          <w:rFonts w:ascii="Century Gothic" w:hAnsi="Century Gothic" w:eastAsia="Times New Roman" w:cs="Arial"/>
          <w:lang w:val="es-ES"/>
        </w:rPr>
      </w:pPr>
      <w:r w:rsidRPr="00FA6559">
        <w:rPr>
          <w:rFonts w:ascii="Century Gothic" w:hAnsi="Century Gothic" w:eastAsia="Times New Roman" w:cs="Arial"/>
          <w:lang w:val="es-ES"/>
        </w:rPr>
        <w:t xml:space="preserve">Finalmente, el anterior artículo fue modificado por el artículo 354 la Ley 2294 de 2023, </w:t>
      </w:r>
      <w:r>
        <w:rPr>
          <w:rFonts w:ascii="Century Gothic" w:hAnsi="Century Gothic" w:eastAsia="Times New Roman" w:cs="Arial"/>
          <w:lang w:val="es-ES"/>
        </w:rPr>
        <w:t>“</w:t>
      </w:r>
      <w:r w:rsidRPr="00FA6559">
        <w:rPr>
          <w:rFonts w:ascii="Century Gothic" w:hAnsi="Century Gothic" w:cs="Arial"/>
        </w:rPr>
        <w:t>P</w:t>
      </w:r>
      <w:r w:rsidRPr="00FA6559">
        <w:rPr>
          <w:rFonts w:ascii="Century Gothic" w:hAnsi="Century Gothic" w:cs="Arial"/>
          <w:i/>
          <w:iCs/>
        </w:rPr>
        <w:t xml:space="preserve">or el cual se expide el Plan Nacional de Desarrollo 2022-2026 "Colombia Potencia Mundial de la Vida”, </w:t>
      </w:r>
      <w:r w:rsidRPr="00FA6559">
        <w:rPr>
          <w:rFonts w:ascii="Century Gothic" w:hAnsi="Century Gothic" w:cs="Arial"/>
        </w:rPr>
        <w:t>estableciendo una nueva definición para “</w:t>
      </w:r>
      <w:r w:rsidRPr="00FA6559">
        <w:rPr>
          <w:rFonts w:ascii="Century Gothic" w:hAnsi="Century Gothic" w:eastAsia="Times New Roman" w:cs="Arial"/>
          <w:lang w:val="es-ES"/>
        </w:rPr>
        <w:t xml:space="preserve">Asociaciones de autoridades tradicionales indígenas”, denominándola ahora “Asociaciones de cabildos indígenas y/o autoridades tradicionales indígenas” y adicionó como entidad para contratar al “Consejo Indígena”, bajo los siguientes términos: </w:t>
      </w:r>
    </w:p>
    <w:p w:rsidRPr="00BF1D9A" w:rsidR="002917FA" w:rsidP="002917FA" w:rsidRDefault="002917FA" w14:paraId="0147F895" w14:textId="77777777">
      <w:pPr>
        <w:spacing w:after="120" w:line="240" w:lineRule="auto"/>
        <w:ind w:left="709" w:right="709"/>
        <w:jc w:val="both"/>
        <w:rPr>
          <w:rFonts w:ascii="Century Gothic" w:hAnsi="Century Gothic" w:eastAsia="Times New Roman" w:cs="Times New Roman"/>
          <w:sz w:val="20"/>
          <w:szCs w:val="20"/>
          <w:lang w:eastAsia="es-CO"/>
        </w:rPr>
      </w:pPr>
      <w:r w:rsidRPr="00BF1D9A">
        <w:rPr>
          <w:rFonts w:ascii="Century Gothic" w:hAnsi="Century Gothic" w:eastAsia="Times New Roman" w:cs="Arial"/>
          <w:sz w:val="20"/>
          <w:szCs w:val="20"/>
          <w:lang w:eastAsia="es-CO"/>
        </w:rPr>
        <w:t>“</w:t>
      </w:r>
      <w:r w:rsidRPr="00BF1D9A">
        <w:rPr>
          <w:rFonts w:ascii="Century Gothic" w:hAnsi="Century Gothic" w:eastAsia="Times New Roman" w:cs="Arial"/>
          <w:b/>
          <w:sz w:val="20"/>
          <w:szCs w:val="20"/>
          <w:lang w:eastAsia="es-CO"/>
        </w:rPr>
        <w:t>ARTÍCULO 354.</w:t>
      </w:r>
      <w:r w:rsidRPr="00BF1D9A">
        <w:rPr>
          <w:rFonts w:ascii="Century Gothic" w:hAnsi="Century Gothic" w:eastAsia="Times New Roman" w:cs="Arial"/>
          <w:sz w:val="20"/>
          <w:szCs w:val="20"/>
          <w:lang w:eastAsia="es-CO"/>
        </w:rPr>
        <w:t xml:space="preserve"> Modifíquese el numeral 8 y adiciónese el numeral 9 al artículo 7° de la Ley 80 de 1993, así: </w:t>
      </w:r>
    </w:p>
    <w:p w:rsidRPr="00BF1D9A" w:rsidR="002917FA" w:rsidP="002917FA" w:rsidRDefault="002917FA" w14:paraId="41182AFE" w14:textId="77777777">
      <w:pPr>
        <w:spacing w:after="0" w:line="240" w:lineRule="auto"/>
        <w:ind w:left="709" w:right="709"/>
        <w:jc w:val="both"/>
        <w:rPr>
          <w:rFonts w:ascii="Century Gothic" w:hAnsi="Century Gothic" w:eastAsia="Times New Roman" w:cs="Times New Roman"/>
          <w:sz w:val="20"/>
          <w:szCs w:val="20"/>
          <w:lang w:eastAsia="es-CO"/>
        </w:rPr>
      </w:pPr>
      <w:r w:rsidRPr="00BF1D9A">
        <w:rPr>
          <w:rFonts w:ascii="Century Gothic" w:hAnsi="Century Gothic" w:eastAsia="Times New Roman" w:cs="Arial"/>
          <w:b/>
          <w:sz w:val="20"/>
          <w:szCs w:val="20"/>
          <w:lang w:eastAsia="es-CO"/>
        </w:rPr>
        <w:t>Artículo 7°. Entidades a contratar.</w:t>
      </w:r>
      <w:r w:rsidRPr="00BF1D9A">
        <w:rPr>
          <w:rFonts w:ascii="Century Gothic" w:hAnsi="Century Gothic" w:eastAsia="Times New Roman" w:cs="Arial"/>
          <w:sz w:val="20"/>
          <w:szCs w:val="20"/>
          <w:lang w:eastAsia="es-CO"/>
        </w:rPr>
        <w:t xml:space="preserve"> Para los efectos de esta ley se entiende por:</w:t>
      </w:r>
    </w:p>
    <w:p w:rsidRPr="00BF1D9A" w:rsidR="002917FA" w:rsidP="002917FA" w:rsidRDefault="002917FA" w14:paraId="57363B53" w14:textId="77777777">
      <w:pPr>
        <w:spacing w:after="120" w:line="240" w:lineRule="auto"/>
        <w:ind w:left="709" w:right="709"/>
        <w:jc w:val="both"/>
        <w:rPr>
          <w:rFonts w:ascii="Century Gothic" w:hAnsi="Century Gothic" w:eastAsia="Times New Roman" w:cs="Arial"/>
          <w:sz w:val="20"/>
          <w:szCs w:val="20"/>
          <w:lang w:eastAsia="es-CO"/>
        </w:rPr>
      </w:pPr>
      <w:r w:rsidRPr="00BF1D9A">
        <w:rPr>
          <w:rFonts w:ascii="Century Gothic" w:hAnsi="Century Gothic" w:eastAsia="Times New Roman" w:cs="Arial"/>
          <w:sz w:val="20"/>
          <w:szCs w:val="20"/>
          <w:lang w:eastAsia="es-CO"/>
        </w:rPr>
        <w:t>[…]</w:t>
      </w:r>
    </w:p>
    <w:p w:rsidRPr="00BF1D9A" w:rsidR="002917FA" w:rsidP="002917FA" w:rsidRDefault="002917FA" w14:paraId="568EB76B" w14:textId="77777777">
      <w:pPr>
        <w:spacing w:after="120" w:line="240" w:lineRule="auto"/>
        <w:ind w:left="709" w:right="709"/>
        <w:jc w:val="both"/>
        <w:rPr>
          <w:rFonts w:ascii="Century Gothic" w:hAnsi="Century Gothic" w:eastAsia="Times New Roman" w:cs="Times New Roman"/>
          <w:sz w:val="20"/>
          <w:szCs w:val="20"/>
          <w:lang w:eastAsia="es-CO"/>
        </w:rPr>
      </w:pPr>
      <w:r w:rsidRPr="00BF1D9A">
        <w:rPr>
          <w:rFonts w:ascii="Century Gothic" w:hAnsi="Century Gothic" w:eastAsia="Times New Roman" w:cs="Arial"/>
          <w:sz w:val="20"/>
          <w:szCs w:val="20"/>
          <w:lang w:eastAsia="es-CO"/>
        </w:rPr>
        <w:t xml:space="preserve">8. Asociaciones de cabildos indígenas y/o autoridades tradicionales indígenas. Entidad de derecho público, encargada de fomentar y coordinar con las autoridades locales, regionales y nacionales, la ejecución de programas, planes y proyectos del plan de desarrollo relacionados con el fortalecimiento del gobierno propio, la identidad cultural, el ejercicio de la autonomía, la garantía de los derechos, satisfacción de necesidades y/o </w:t>
      </w:r>
      <w:r w:rsidRPr="00BF1D9A">
        <w:rPr>
          <w:rFonts w:ascii="Century Gothic" w:hAnsi="Century Gothic" w:eastAsia="Times New Roman" w:cs="Arial"/>
          <w:sz w:val="20"/>
          <w:szCs w:val="20"/>
          <w:lang w:eastAsia="es-CO"/>
        </w:rPr>
        <w:t>servicios públicos de los pueblos y comunidades indígenas, conforme a los lineamientos que al respecto reglamente el Ministerio del Interior y las demás entidades técnicas con competencias relacionadas para su conformación, dentro de los seis (6) meses siguientes a la expedición de la presente ley.</w:t>
      </w:r>
    </w:p>
    <w:p w:rsidRPr="00BF1D9A" w:rsidR="002917FA" w:rsidP="002917FA" w:rsidRDefault="002917FA" w14:paraId="3C1F5CA9" w14:textId="77777777">
      <w:pPr>
        <w:spacing w:after="0" w:line="240" w:lineRule="auto"/>
        <w:ind w:left="709" w:right="709"/>
        <w:jc w:val="both"/>
        <w:rPr>
          <w:rFonts w:ascii="Century Gothic" w:hAnsi="Century Gothic" w:eastAsia="Times New Roman" w:cs="Times New Roman"/>
          <w:sz w:val="20"/>
          <w:szCs w:val="20"/>
          <w:lang w:eastAsia="es-CO"/>
        </w:rPr>
      </w:pPr>
      <w:r w:rsidRPr="00BF1D9A">
        <w:rPr>
          <w:rFonts w:ascii="Century Gothic" w:hAnsi="Century Gothic" w:eastAsia="Times New Roman" w:cs="Arial"/>
          <w:sz w:val="20"/>
          <w:szCs w:val="20"/>
          <w:lang w:eastAsia="es-CO"/>
        </w:rPr>
        <w:t>9. Consejo Indígena. Forma de gobierno indígena, conformados y reglamentados a través de sus usos y costumbres, de conformidad con lo dispuesto en el artículo 330 de la Constitución Política […]”.</w:t>
      </w:r>
    </w:p>
    <w:p w:rsidR="002917FA" w:rsidP="002917FA" w:rsidRDefault="002917FA" w14:paraId="1A32A29A" w14:textId="77777777">
      <w:pPr>
        <w:spacing w:after="0" w:line="276" w:lineRule="auto"/>
        <w:ind w:firstLine="708"/>
        <w:jc w:val="both"/>
        <w:rPr>
          <w:rFonts w:ascii="Century Gothic" w:hAnsi="Century Gothic" w:eastAsia="Times New Roman" w:cs="Arial"/>
          <w:lang w:val="es-ES"/>
        </w:rPr>
      </w:pPr>
    </w:p>
    <w:p w:rsidR="002917FA" w:rsidP="002917FA" w:rsidRDefault="002917FA" w14:paraId="2394B44E" w14:textId="77777777">
      <w:pPr>
        <w:spacing w:after="0" w:line="276" w:lineRule="auto"/>
        <w:ind w:firstLine="708"/>
        <w:jc w:val="both"/>
        <w:rPr>
          <w:rFonts w:ascii="Century Gothic" w:hAnsi="Century Gothic" w:eastAsia="Times New Roman" w:cs="Arial"/>
          <w:lang w:val="es-ES"/>
        </w:rPr>
      </w:pPr>
      <w:r w:rsidRPr="00FA6559">
        <w:rPr>
          <w:rFonts w:ascii="Century Gothic" w:hAnsi="Century Gothic" w:eastAsia="Times New Roman" w:cs="Arial"/>
          <w:lang w:val="es-ES"/>
        </w:rPr>
        <w:t>Por su parte, el artículo 353 de la Ley 2294 de 2023, modificó las causales de contratación directa previstas en la Ley 1150 de 2007, en su literal l) del numeral 4 del artículo 2, en virtud de las cuales las entidades estatales suscriben contratos y convenios con Cabildos indígenas, y demás autoridades tradicionales y organizaciones indígenas, de la siguiente forma:</w:t>
      </w:r>
    </w:p>
    <w:p w:rsidRPr="00FA6559" w:rsidR="002917FA" w:rsidP="002917FA" w:rsidRDefault="002917FA" w14:paraId="1AD5DD52" w14:textId="77777777">
      <w:pPr>
        <w:spacing w:after="0" w:line="276" w:lineRule="auto"/>
        <w:ind w:firstLine="708"/>
        <w:jc w:val="both"/>
        <w:rPr>
          <w:rFonts w:ascii="Century Gothic" w:hAnsi="Century Gothic" w:eastAsia="Times New Roman" w:cs="Times New Roman"/>
          <w:sz w:val="21"/>
          <w:szCs w:val="21"/>
          <w:lang w:eastAsia="es-CO"/>
        </w:rPr>
      </w:pPr>
    </w:p>
    <w:p w:rsidRPr="00BF1D9A" w:rsidR="002917FA" w:rsidP="002917FA" w:rsidRDefault="002917FA" w14:paraId="1998431F" w14:textId="77777777">
      <w:pPr>
        <w:spacing w:after="120" w:line="240" w:lineRule="auto"/>
        <w:ind w:left="709" w:right="709"/>
        <w:jc w:val="both"/>
        <w:rPr>
          <w:rFonts w:ascii="Century Gothic" w:hAnsi="Century Gothic" w:eastAsia="Times New Roman" w:cs="Times New Roman"/>
          <w:sz w:val="20"/>
          <w:szCs w:val="20"/>
          <w:lang w:eastAsia="es-CO"/>
        </w:rPr>
      </w:pPr>
      <w:r w:rsidRPr="00BF1D9A">
        <w:rPr>
          <w:rFonts w:ascii="Century Gothic" w:hAnsi="Century Gothic" w:eastAsia="Times New Roman" w:cs="Arial"/>
          <w:sz w:val="20"/>
          <w:szCs w:val="20"/>
          <w:lang w:eastAsia="es-CO"/>
        </w:rPr>
        <w:t>“</w:t>
      </w:r>
      <w:r w:rsidRPr="00BF1D9A">
        <w:rPr>
          <w:rFonts w:ascii="Century Gothic" w:hAnsi="Century Gothic" w:eastAsia="Times New Roman" w:cs="Arial"/>
          <w:b/>
          <w:sz w:val="20"/>
          <w:szCs w:val="20"/>
          <w:lang w:eastAsia="es-CO"/>
        </w:rPr>
        <w:t>ARTÍCULO 353.</w:t>
      </w:r>
      <w:r w:rsidRPr="00BF1D9A">
        <w:rPr>
          <w:rFonts w:ascii="Century Gothic" w:hAnsi="Century Gothic" w:eastAsia="Times New Roman" w:cs="Arial"/>
          <w:sz w:val="20"/>
          <w:szCs w:val="20"/>
          <w:lang w:eastAsia="es-CO"/>
        </w:rPr>
        <w:t xml:space="preserve"> […]</w:t>
      </w:r>
    </w:p>
    <w:p w:rsidRPr="00BF1D9A" w:rsidR="002917FA" w:rsidP="002917FA" w:rsidRDefault="002917FA" w14:paraId="0153B5D0" w14:textId="77777777">
      <w:pPr>
        <w:spacing w:after="0" w:line="240" w:lineRule="auto"/>
        <w:ind w:left="709" w:right="709"/>
        <w:jc w:val="both"/>
        <w:rPr>
          <w:rFonts w:ascii="Century Gothic" w:hAnsi="Century Gothic" w:eastAsia="Times New Roman" w:cs="Times New Roman"/>
          <w:sz w:val="20"/>
          <w:szCs w:val="20"/>
          <w:lang w:eastAsia="es-CO"/>
        </w:rPr>
      </w:pPr>
      <w:r w:rsidRPr="00BF1D9A">
        <w:rPr>
          <w:rFonts w:ascii="Century Gothic" w:hAnsi="Century Gothic" w:eastAsia="Times New Roman" w:cs="Arial"/>
          <w:sz w:val="20"/>
          <w:szCs w:val="20"/>
          <w:lang w:eastAsia="es-CO"/>
        </w:rPr>
        <w:t>l) Los contratos o convenios que las entidades estatales suscriban con los Cabildos Indígenas, las asociaciones de Cabildos Indígenas y/o Autoridades Tradicionales Indígenas, Consejos Indígenas y Organizaciones Indígenas con capacidad para contratar cuyo objeto esté relacionado con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En el marco de dichos objetos se contemplará la ejecución de obras públicas que impliquen actividades de mantenimiento y/o mejoramiento de infraestructura social y de transporte, así como suministrar bienes y/o servicios para los que se acredite idoneidad, la cual deberá ser valorada teniendo en cuenta un enfoque diferencial […]”.</w:t>
      </w:r>
    </w:p>
    <w:p w:rsidRPr="00FA6559" w:rsidR="002917FA" w:rsidP="002917FA" w:rsidRDefault="002917FA" w14:paraId="03728CDC" w14:textId="77777777">
      <w:pPr>
        <w:shd w:val="clear" w:color="auto" w:fill="FFFFFF"/>
        <w:spacing w:after="0"/>
        <w:jc w:val="both"/>
        <w:rPr>
          <w:rFonts w:ascii="Century Gothic" w:hAnsi="Century Gothic" w:eastAsia="Times New Roman" w:cs="Arial"/>
        </w:rPr>
      </w:pPr>
    </w:p>
    <w:p w:rsidR="002917FA" w:rsidP="002917FA" w:rsidRDefault="002917FA" w14:paraId="5C929269" w14:textId="77777777">
      <w:pPr>
        <w:shd w:val="clear" w:color="auto" w:fill="FFFFFF"/>
        <w:spacing w:after="0" w:line="276" w:lineRule="auto"/>
        <w:ind w:firstLine="708"/>
        <w:jc w:val="both"/>
        <w:rPr>
          <w:rFonts w:ascii="Century Gothic" w:hAnsi="Century Gothic" w:eastAsia="Calibri" w:cs="Arial"/>
          <w:lang w:val="es-MX"/>
        </w:rPr>
      </w:pPr>
      <w:r>
        <w:rPr>
          <w:rFonts w:ascii="Century Gothic" w:hAnsi="Century Gothic" w:eastAsia="Arial" w:cs="Arial"/>
          <w:lang w:val="es-ES"/>
        </w:rPr>
        <w:t>D</w:t>
      </w:r>
      <w:r w:rsidRPr="00FA6559">
        <w:rPr>
          <w:rFonts w:ascii="Century Gothic" w:hAnsi="Century Gothic" w:eastAsia="Arial" w:cs="Arial"/>
          <w:lang w:val="es-ES"/>
        </w:rPr>
        <w:t>e los regímenes de contratación expuestos, puede concluirse</w:t>
      </w:r>
      <w:r>
        <w:rPr>
          <w:rFonts w:ascii="Century Gothic" w:hAnsi="Century Gothic" w:eastAsia="Arial" w:cs="Arial"/>
          <w:lang w:val="es-ES"/>
        </w:rPr>
        <w:t xml:space="preserve"> </w:t>
      </w:r>
      <w:r w:rsidRPr="00FA6559">
        <w:rPr>
          <w:rFonts w:ascii="Century Gothic" w:hAnsi="Century Gothic" w:eastAsia="Arial" w:cs="Arial"/>
          <w:lang w:val="es-ES"/>
        </w:rPr>
        <w:t xml:space="preserve">que: i) los </w:t>
      </w:r>
      <w:r w:rsidRPr="00943080">
        <w:rPr>
          <w:rFonts w:ascii="Century Gothic" w:hAnsi="Century Gothic" w:eastAsia="Arial" w:cs="Arial"/>
          <w:lang w:val="es-ES"/>
        </w:rPr>
        <w:t xml:space="preserve">cabildos indígenas en virtud de lo consagrado en el Decreto 2164 de 1995 y en la Ley 2160 de 2021 que modificó el artículo 7 de la Ley 80 de 1993, deben entenderse como entidades públicas especiales; </w:t>
      </w:r>
      <w:proofErr w:type="spellStart"/>
      <w:r w:rsidRPr="00943080">
        <w:rPr>
          <w:rFonts w:ascii="Century Gothic" w:hAnsi="Century Gothic" w:eastAsia="Arial" w:cs="Arial"/>
          <w:lang w:val="es-ES"/>
        </w:rPr>
        <w:t>ii</w:t>
      </w:r>
      <w:proofErr w:type="spellEnd"/>
      <w:r w:rsidRPr="00943080">
        <w:rPr>
          <w:rFonts w:ascii="Century Gothic" w:hAnsi="Century Gothic" w:eastAsia="Arial" w:cs="Arial"/>
          <w:lang w:val="es-ES"/>
        </w:rPr>
        <w:t xml:space="preserve">) las autoridades tradicionales indígenas son consideradas entidades de derecho público de conformidad con lo dispuesto en el Decreto 1088 de 1993 y la Ley 2294 de 2023; </w:t>
      </w:r>
      <w:proofErr w:type="spellStart"/>
      <w:r w:rsidRPr="00943080">
        <w:rPr>
          <w:rFonts w:ascii="Century Gothic" w:hAnsi="Century Gothic" w:eastAsia="Arial" w:cs="Arial"/>
          <w:lang w:val="es-ES"/>
        </w:rPr>
        <w:t>iii</w:t>
      </w:r>
      <w:proofErr w:type="spellEnd"/>
      <w:r w:rsidRPr="00943080">
        <w:rPr>
          <w:rFonts w:ascii="Century Gothic" w:hAnsi="Century Gothic" w:eastAsia="Arial" w:cs="Arial"/>
          <w:lang w:val="es-ES"/>
        </w:rPr>
        <w:t xml:space="preserve">) las asociaciones de cabildos indígenas y/o autoridades tradicionales indígenas son consideradas entidades de derecho público de conformidad a lo expuesto en los Decretos 1088 de 1993 y 252 de 2020 y en la Ley 2294 de 2023; </w:t>
      </w:r>
      <w:proofErr w:type="spellStart"/>
      <w:r w:rsidRPr="00943080">
        <w:rPr>
          <w:rFonts w:ascii="Century Gothic" w:hAnsi="Century Gothic" w:eastAsia="Arial" w:cs="Arial"/>
          <w:lang w:val="es-ES"/>
        </w:rPr>
        <w:t>iv</w:t>
      </w:r>
      <w:proofErr w:type="spellEnd"/>
      <w:r w:rsidRPr="00943080">
        <w:rPr>
          <w:rFonts w:ascii="Century Gothic" w:hAnsi="Century Gothic" w:eastAsia="Arial" w:cs="Arial"/>
          <w:lang w:val="es-ES"/>
        </w:rPr>
        <w:t xml:space="preserve">) los consejos Indígenas, de conformidad con lo dispuesto en el artículo 330 constitucional, disponen que a través de estos se representarán ante el Gobierno Nacional y demás entidades a los territorios indígenas, entre otras funciones cuya naturaleza se le puede catalogar de derecho </w:t>
      </w:r>
      <w:r w:rsidRPr="00943080">
        <w:rPr>
          <w:rFonts w:ascii="Century Gothic" w:hAnsi="Century Gothic" w:eastAsia="Arial" w:cs="Arial"/>
          <w:lang w:val="es-ES"/>
        </w:rPr>
        <w:t>público, no obstante, lo anterior no fue definido expresamente por la Ley 2294 de 2023; v) las organizaciones indígenas, en estricto sentido, no fueron definidas como entidades de derecho público, por el contrario, la Ley 1551 de 2012 permite observar que frente a aquellas se aplicaría derecho</w:t>
      </w:r>
      <w:r w:rsidRPr="00FA6559">
        <w:rPr>
          <w:rFonts w:ascii="Century Gothic" w:hAnsi="Century Gothic" w:eastAsia="Arial" w:cs="Arial"/>
          <w:lang w:val="es-ES"/>
        </w:rPr>
        <w:t xml:space="preserve"> privado, sin embargo, hay que tener en cuenta por quiénes estarán constituidas dichas organizaciones, pues en virtud del Decreto 252 de 2020 se les permitió a las organizaciones indígenas celebrar contratos o convenios de manera directa con las entidades estatales, siempre y cuando estén conformadas exclusivamente por cabildos indígenas, resguardos indígenas, asociaciones de cabildos, asociación de autoridades u otra forma de autoridad indígena propia; y vi) se considerarán entidades estatales aquellos </w:t>
      </w:r>
      <w:r w:rsidRPr="00FA6559">
        <w:rPr>
          <w:rFonts w:ascii="Century Gothic" w:hAnsi="Century Gothic" w:eastAsia="Calibri" w:cs="Arial"/>
          <w:lang w:val="es-MX"/>
        </w:rPr>
        <w:t>resguardos que se asocien para administrar y ejecutar los recursos del SGP, en virtud de lo contemplado en el Decreto 1953 de 2014.</w:t>
      </w:r>
    </w:p>
    <w:p w:rsidR="002917FA" w:rsidP="002917FA" w:rsidRDefault="002917FA" w14:paraId="7E07BE35" w14:textId="77777777">
      <w:pPr>
        <w:shd w:val="clear" w:color="auto" w:fill="FFFFFF"/>
        <w:spacing w:after="0" w:line="276" w:lineRule="auto"/>
        <w:jc w:val="both"/>
        <w:rPr>
          <w:rFonts w:ascii="Century Gothic" w:hAnsi="Century Gothic" w:eastAsia="Calibri" w:cs="Arial"/>
          <w:lang w:val="es-MX"/>
        </w:rPr>
      </w:pPr>
    </w:p>
    <w:p w:rsidRPr="00857059" w:rsidR="002917FA" w:rsidP="002917FA" w:rsidRDefault="002917FA" w14:paraId="0A190612" w14:textId="2423BE12">
      <w:pPr>
        <w:shd w:val="clear" w:color="auto" w:fill="FFFFFF"/>
        <w:spacing w:after="0" w:line="276" w:lineRule="auto"/>
        <w:jc w:val="both"/>
        <w:rPr>
          <w:rFonts w:ascii="Century Gothic" w:hAnsi="Century Gothic" w:eastAsia="Calibri" w:cs="Arial"/>
          <w:b/>
          <w:bCs/>
          <w:lang w:val="es-MX"/>
        </w:rPr>
      </w:pPr>
      <w:r w:rsidRPr="00857059">
        <w:rPr>
          <w:rFonts w:ascii="Century Gothic" w:hAnsi="Century Gothic" w:eastAsia="Calibri" w:cs="Arial"/>
          <w:b/>
          <w:bCs/>
          <w:lang w:val="es-MX"/>
        </w:rPr>
        <w:t xml:space="preserve">2.2. Alcance de la causal de contratación directa del literal l) del artículo </w:t>
      </w:r>
      <w:r w:rsidR="00277B55">
        <w:rPr>
          <w:rFonts w:ascii="Century Gothic" w:hAnsi="Century Gothic" w:eastAsia="Calibri" w:cs="Arial"/>
          <w:b/>
          <w:bCs/>
          <w:lang w:val="es-MX"/>
        </w:rPr>
        <w:t>2</w:t>
      </w:r>
      <w:r w:rsidR="00A91B4B">
        <w:rPr>
          <w:rFonts w:ascii="Century Gothic" w:hAnsi="Century Gothic" w:eastAsia="Calibri" w:cs="Arial"/>
          <w:b/>
          <w:bCs/>
          <w:lang w:val="es-MX"/>
        </w:rPr>
        <w:t xml:space="preserve">, numeral </w:t>
      </w:r>
      <w:r w:rsidRPr="00857059">
        <w:rPr>
          <w:rFonts w:ascii="Century Gothic" w:hAnsi="Century Gothic" w:eastAsia="Calibri" w:cs="Arial"/>
          <w:b/>
          <w:bCs/>
          <w:lang w:val="es-MX"/>
        </w:rPr>
        <w:t>4 de la Ley 1150 de 2007</w:t>
      </w:r>
    </w:p>
    <w:p w:rsidR="002917FA" w:rsidP="002917FA" w:rsidRDefault="002917FA" w14:paraId="7D0A9C1B" w14:textId="77777777">
      <w:pPr>
        <w:shd w:val="clear" w:color="auto" w:fill="FFFFFF"/>
        <w:spacing w:after="0" w:line="276" w:lineRule="auto"/>
        <w:jc w:val="both"/>
        <w:rPr>
          <w:rFonts w:ascii="Century Gothic" w:hAnsi="Century Gothic" w:eastAsia="Calibri" w:cs="Arial"/>
          <w:lang w:val="es-MX"/>
        </w:rPr>
      </w:pPr>
    </w:p>
    <w:p w:rsidR="002917FA" w:rsidP="002917FA" w:rsidRDefault="002917FA" w14:paraId="1B13A129" w14:textId="77777777">
      <w:pPr>
        <w:shd w:val="clear" w:color="auto" w:fill="FFFFFF"/>
        <w:spacing w:after="120" w:line="276" w:lineRule="auto"/>
        <w:jc w:val="both"/>
        <w:rPr>
          <w:rFonts w:ascii="Century Gothic" w:hAnsi="Century Gothic" w:eastAsia="Calibri" w:cs="Arial"/>
          <w:lang w:val="es-MX"/>
        </w:rPr>
      </w:pPr>
      <w:r w:rsidRPr="006B760F">
        <w:rPr>
          <w:rFonts w:ascii="Century Gothic" w:hAnsi="Century Gothic" w:eastAsia="Calibri" w:cs="Arial"/>
          <w:lang w:val="es-MX"/>
        </w:rPr>
        <w:t xml:space="preserve">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w:t>
      </w:r>
      <w:r>
        <w:rPr>
          <w:rFonts w:ascii="Century Gothic" w:hAnsi="Century Gothic" w:eastAsia="Calibri" w:cs="Arial"/>
          <w:lang w:val="es-MX"/>
        </w:rPr>
        <w:t>l</w:t>
      </w:r>
      <w:r w:rsidRPr="006B760F">
        <w:rPr>
          <w:rFonts w:ascii="Century Gothic" w:hAnsi="Century Gothic" w:eastAsia="Calibri" w:cs="Arial"/>
          <w:lang w:val="es-MX"/>
        </w:rPr>
        <w:t>) del mencionado numeral</w:t>
      </w:r>
      <w:r>
        <w:rPr>
          <w:rFonts w:ascii="Century Gothic" w:hAnsi="Century Gothic" w:eastAsia="Calibri" w:cs="Arial"/>
          <w:lang w:val="es-MX"/>
        </w:rPr>
        <w:t>, modificado por el artículo 353 de la Ley 2294 de 2023, el cual dispone que podrán celebrarse directamente “</w:t>
      </w:r>
      <w:r w:rsidRPr="006B760F">
        <w:rPr>
          <w:rFonts w:ascii="Century Gothic" w:hAnsi="Century Gothic" w:eastAsia="Calibri" w:cs="Arial"/>
          <w:lang w:val="es-MX"/>
        </w:rPr>
        <w:t xml:space="preserve">Los contratos o convenios que las entidades estatales suscriban con </w:t>
      </w:r>
      <w:bookmarkStart w:name="_Hlk160454983" w:id="7"/>
      <w:r w:rsidRPr="006B760F">
        <w:rPr>
          <w:rFonts w:ascii="Century Gothic" w:hAnsi="Century Gothic" w:eastAsia="Calibri" w:cs="Arial"/>
          <w:lang w:val="es-MX"/>
        </w:rPr>
        <w:t>los Cabildos Indígenas, las asociaciones de Cabildos Indígenas y/o Autoridades Tradicionales Indígenas, Consejos Indígenas y Organizaciones Indígenas</w:t>
      </w:r>
      <w:bookmarkEnd w:id="7"/>
      <w:r w:rsidRPr="006B760F">
        <w:rPr>
          <w:rFonts w:ascii="Century Gothic" w:hAnsi="Century Gothic" w:eastAsia="Calibri" w:cs="Arial"/>
          <w:lang w:val="es-MX"/>
        </w:rPr>
        <w:t xml:space="preserve"> con capacidad para contratar cuyo objeto esté </w:t>
      </w:r>
      <w:bookmarkStart w:name="_Hlk160455781" w:id="8"/>
      <w:r w:rsidRPr="006B760F">
        <w:rPr>
          <w:rFonts w:ascii="Century Gothic" w:hAnsi="Century Gothic" w:eastAsia="Calibri" w:cs="Arial"/>
          <w:lang w:val="es-MX"/>
        </w:rPr>
        <w:t>relacionado con la ejecución de programas, planes y proyectos del plan de desarrollo</w:t>
      </w:r>
      <w:bookmarkEnd w:id="8"/>
      <w:r w:rsidRPr="006B760F">
        <w:rPr>
          <w:rFonts w:ascii="Century Gothic" w:hAnsi="Century Gothic" w:eastAsia="Calibri" w:cs="Arial"/>
          <w:lang w:val="es-MX"/>
        </w:rPr>
        <w:t xml:space="preserve"> relacionados con </w:t>
      </w:r>
      <w:bookmarkStart w:name="_Hlk160455552" w:id="9"/>
      <w:r w:rsidRPr="006B760F">
        <w:rPr>
          <w:rFonts w:ascii="Century Gothic" w:hAnsi="Century Gothic" w:eastAsia="Calibri" w:cs="Arial"/>
          <w:lang w:val="es-MX"/>
        </w:rPr>
        <w:t>el fortalecimiento del gobierno propio, la identidad cultural, el ejercicio de la autonomía, la garantía de los derechos, satisfacción de necesidades y/o servicios públicos de los pueblos y comunidades indígenas</w:t>
      </w:r>
      <w:bookmarkEnd w:id="9"/>
      <w:r>
        <w:rPr>
          <w:rFonts w:ascii="Century Gothic" w:hAnsi="Century Gothic" w:eastAsia="Calibri" w:cs="Arial"/>
          <w:lang w:val="es-MX"/>
        </w:rPr>
        <w:t xml:space="preserve"> […]”. </w:t>
      </w:r>
    </w:p>
    <w:p w:rsidR="002917FA" w:rsidP="002917FA" w:rsidRDefault="002917FA" w14:paraId="5B1A645B" w14:textId="77777777">
      <w:pPr>
        <w:shd w:val="clear" w:color="auto" w:fill="FFFFFF"/>
        <w:spacing w:after="120" w:line="276" w:lineRule="auto"/>
        <w:jc w:val="both"/>
        <w:rPr>
          <w:rFonts w:ascii="Century Gothic" w:hAnsi="Century Gothic" w:eastAsia="Calibri" w:cs="Arial"/>
          <w:lang w:val="es-MX"/>
        </w:rPr>
      </w:pPr>
      <w:r>
        <w:rPr>
          <w:rFonts w:ascii="Century Gothic" w:hAnsi="Century Gothic" w:eastAsia="Calibri" w:cs="Arial"/>
          <w:lang w:val="es-MX"/>
        </w:rPr>
        <w:tab/>
      </w:r>
      <w:r>
        <w:rPr>
          <w:rFonts w:ascii="Century Gothic" w:hAnsi="Century Gothic" w:eastAsia="Calibri" w:cs="Arial"/>
          <w:lang w:val="es-MX"/>
        </w:rPr>
        <w:t xml:space="preserve">Dicha causal aplica en función de los sujetos y del objeto. </w:t>
      </w:r>
      <w:r w:rsidRPr="00B562F5">
        <w:rPr>
          <w:rFonts w:ascii="Century Gothic" w:hAnsi="Century Gothic" w:eastAsia="Calibri" w:cs="Arial"/>
          <w:i/>
          <w:iCs/>
          <w:lang w:val="es-MX"/>
        </w:rPr>
        <w:t>Por un lado</w:t>
      </w:r>
      <w:r>
        <w:rPr>
          <w:rFonts w:ascii="Century Gothic" w:hAnsi="Century Gothic" w:eastAsia="Calibri" w:cs="Arial"/>
          <w:lang w:val="es-MX"/>
        </w:rPr>
        <w:t xml:space="preserve">, se circunscribe a los contratos o convenios celebrados entre las entidades públicas con los </w:t>
      </w:r>
      <w:r w:rsidRPr="00943080">
        <w:rPr>
          <w:rFonts w:ascii="Century Gothic" w:hAnsi="Century Gothic" w:eastAsia="Calibri" w:cs="Arial"/>
          <w:lang w:val="es-MX"/>
        </w:rPr>
        <w:t>“[…] Cabildos Indígenas, las asociaciones de Cabildos Indígenas y/o Autoridades Tradicionales Indígenas, Consejos Indígenas y Organizaciones Indígenas […]”</w:t>
      </w:r>
      <w:r>
        <w:rPr>
          <w:rFonts w:ascii="Century Gothic" w:hAnsi="Century Gothic" w:eastAsia="Calibri" w:cs="Arial"/>
          <w:lang w:val="es-MX"/>
        </w:rPr>
        <w:t xml:space="preserve">. Las entidades públicas son aquellas definidas en el artículo 2 de las Ley 80 de 1993, mientras que la naturaleza jurídica y la capacidad contractual de </w:t>
      </w:r>
      <w:r>
        <w:rPr>
          <w:rFonts w:ascii="Century Gothic" w:hAnsi="Century Gothic" w:eastAsia="Calibri" w:cs="Arial"/>
          <w:lang w:val="es-MX"/>
        </w:rPr>
        <w:t xml:space="preserve">las comunidades indígenas se estudió en el punto anterior. </w:t>
      </w:r>
      <w:r w:rsidRPr="00B562F5">
        <w:rPr>
          <w:rFonts w:ascii="Century Gothic" w:hAnsi="Century Gothic" w:eastAsia="Calibri" w:cs="Arial"/>
          <w:i/>
          <w:iCs/>
          <w:lang w:val="es-MX"/>
        </w:rPr>
        <w:t>Por otra parte</w:t>
      </w:r>
      <w:r>
        <w:rPr>
          <w:rFonts w:ascii="Century Gothic" w:hAnsi="Century Gothic" w:eastAsia="Calibri" w:cs="Arial"/>
          <w:lang w:val="es-MX"/>
        </w:rPr>
        <w:t xml:space="preserve">, además del criterio subjetivo, se requiere que los contratos y convenios se enfoquen en “[…] </w:t>
      </w:r>
      <w:r w:rsidRPr="00B562F5">
        <w:rPr>
          <w:rFonts w:ascii="Century Gothic" w:hAnsi="Century Gothic" w:eastAsia="Calibri" w:cs="Arial"/>
          <w:lang w:val="es-MX"/>
        </w:rPr>
        <w:t>el fortalecimiento del gobierno propio, la identidad cultural, el ejercicio de la autonomía, la garantía de los derechos, satisfacción de necesidades y/o servicios públicos de los pueblos y comunidades indígenas</w:t>
      </w:r>
      <w:r>
        <w:rPr>
          <w:rFonts w:ascii="Century Gothic" w:hAnsi="Century Gothic" w:eastAsia="Calibri" w:cs="Arial"/>
          <w:lang w:val="es-MX"/>
        </w:rPr>
        <w:t xml:space="preserve"> […]”. Es decir, la causal no es absoluta y, por tanto, la excepción a los procedimientos de la convocatoria abierta se refiere a objetos específicos. Sin embargo, es también es necesario que estén “[…] </w:t>
      </w:r>
      <w:r w:rsidRPr="00B562F5">
        <w:rPr>
          <w:rFonts w:ascii="Century Gothic" w:hAnsi="Century Gothic" w:eastAsia="Calibri" w:cs="Arial"/>
          <w:lang w:val="es-MX"/>
        </w:rPr>
        <w:t>relacionado</w:t>
      </w:r>
      <w:r>
        <w:rPr>
          <w:rFonts w:ascii="Century Gothic" w:hAnsi="Century Gothic" w:eastAsia="Calibri" w:cs="Arial"/>
          <w:lang w:val="es-MX"/>
        </w:rPr>
        <w:t>s</w:t>
      </w:r>
      <w:r w:rsidRPr="00B562F5">
        <w:rPr>
          <w:rFonts w:ascii="Century Gothic" w:hAnsi="Century Gothic" w:eastAsia="Calibri" w:cs="Arial"/>
          <w:lang w:val="es-MX"/>
        </w:rPr>
        <w:t xml:space="preserve"> con la ejecución de programas, planes y proyectos del plan de desarrollo</w:t>
      </w:r>
      <w:r>
        <w:rPr>
          <w:rFonts w:ascii="Century Gothic" w:hAnsi="Century Gothic" w:eastAsia="Calibri" w:cs="Arial"/>
          <w:lang w:val="es-MX"/>
        </w:rPr>
        <w:t xml:space="preserve"> […]”, lo cual implica una delimitación adicional.    </w:t>
      </w:r>
    </w:p>
    <w:p w:rsidRPr="00FF6120" w:rsidR="002917FA" w:rsidP="002917FA" w:rsidRDefault="002917FA" w14:paraId="1E88D552" w14:textId="3FC3543E">
      <w:pPr>
        <w:pBdr>
          <w:top w:val="nil"/>
          <w:left w:val="nil"/>
          <w:bottom w:val="nil"/>
          <w:right w:val="nil"/>
          <w:between w:val="nil"/>
        </w:pBdr>
        <w:spacing w:after="120" w:line="276" w:lineRule="auto"/>
        <w:ind w:firstLine="703"/>
        <w:jc w:val="both"/>
        <w:rPr>
          <w:rFonts w:ascii="Century Gothic" w:hAnsi="Century Gothic" w:eastAsia="Arial" w:cs="Arial"/>
          <w:color w:val="000000"/>
        </w:rPr>
      </w:pPr>
      <w:r>
        <w:rPr>
          <w:rFonts w:ascii="Century Gothic" w:hAnsi="Century Gothic" w:eastAsia="Calibri" w:cs="Arial"/>
          <w:lang w:val="es-MX"/>
        </w:rPr>
        <w:tab/>
      </w:r>
      <w:r>
        <w:rPr>
          <w:rFonts w:ascii="Century Gothic" w:hAnsi="Century Gothic" w:eastAsia="Calibri" w:cs="Arial"/>
          <w:lang w:val="es-MX"/>
        </w:rPr>
        <w:t xml:space="preserve">Desde el punto de vista del objeto, </w:t>
      </w:r>
      <w:r w:rsidRPr="00D300DB">
        <w:rPr>
          <w:rFonts w:ascii="Century Gothic" w:hAnsi="Century Gothic" w:eastAsia="Calibri" w:cs="Arial"/>
          <w:lang w:val="es-MX"/>
        </w:rPr>
        <w:t xml:space="preserve">la causal de contratación directa del literal l) del artículo </w:t>
      </w:r>
      <w:r w:rsidR="00277B55">
        <w:rPr>
          <w:rFonts w:ascii="Century Gothic" w:hAnsi="Century Gothic" w:eastAsia="Calibri" w:cs="Arial"/>
          <w:lang w:val="es-MX"/>
        </w:rPr>
        <w:t xml:space="preserve">2, numeral </w:t>
      </w:r>
      <w:r w:rsidRPr="00D300DB">
        <w:rPr>
          <w:rFonts w:ascii="Century Gothic" w:hAnsi="Century Gothic" w:eastAsia="Calibri" w:cs="Arial"/>
          <w:lang w:val="es-MX"/>
        </w:rPr>
        <w:t>4 de la Ley 1150 de 2007</w:t>
      </w:r>
      <w:r>
        <w:rPr>
          <w:rFonts w:ascii="Century Gothic" w:hAnsi="Century Gothic" w:eastAsia="Calibri" w:cs="Arial"/>
          <w:lang w:val="es-MX"/>
        </w:rPr>
        <w:t xml:space="preserve"> depende de la aplicación de </w:t>
      </w:r>
      <w:r w:rsidRPr="00D300DB">
        <w:rPr>
          <w:rFonts w:ascii="Century Gothic" w:hAnsi="Century Gothic" w:eastAsia="Calibri" w:cs="Arial"/>
          <w:i/>
          <w:iCs/>
          <w:lang w:val="es-MX"/>
        </w:rPr>
        <w:t>conceptos jurídicos indeterminados</w:t>
      </w:r>
      <w:r>
        <w:rPr>
          <w:rFonts w:ascii="Century Gothic" w:hAnsi="Century Gothic" w:eastAsia="Calibri" w:cs="Arial"/>
          <w:lang w:val="es-MX"/>
        </w:rPr>
        <w:t xml:space="preserve">. </w:t>
      </w:r>
      <w:r w:rsidRPr="00FF6120">
        <w:rPr>
          <w:rFonts w:ascii="Century Gothic" w:hAnsi="Century Gothic" w:eastAsia="Arial" w:cs="Arial"/>
          <w:color w:val="000000"/>
        </w:rPr>
        <w:t>Como explican los profesores Eduardo García de Enterría y Tomás-Ramón Fernández, “por su referencia a la realidad, los conceptos utilizados por las leyes pueden ser determinados o indeterminados”</w:t>
      </w:r>
      <w:r w:rsidRPr="00FF6120">
        <w:rPr>
          <w:rFonts w:ascii="Century Gothic" w:hAnsi="Century Gothic" w:eastAsia="Arial" w:cs="Arial"/>
          <w:color w:val="000000"/>
          <w:vertAlign w:val="superscript"/>
        </w:rPr>
        <w:footnoteReference w:id="9"/>
      </w:r>
      <w:r w:rsidRPr="00FF6120">
        <w:rPr>
          <w:rFonts w:ascii="Century Gothic" w:hAnsi="Century Gothic" w:eastAsia="Arial" w:cs="Arial"/>
          <w:color w:val="000000"/>
        </w:rPr>
        <w:t>. En el caso de los primeros, el ámbito de la realidad al que se refieren está bien determinado y, por ende, su aplicación se limita a la constatación del supuesto de hecho objeto de regulación, como pasa, por ejemplo, cuando la ley establece que se debe cumplir cierta edad para acceder al derecho de pensión. Frente a los segundos, sin embargo, “la ley refiere una esfera de realidad cuyos límites no aparecen bien precisados en su enunciado”</w:t>
      </w:r>
      <w:r w:rsidRPr="00FF6120">
        <w:rPr>
          <w:rFonts w:ascii="Century Gothic" w:hAnsi="Century Gothic" w:eastAsia="Arial" w:cs="Arial"/>
          <w:color w:val="000000"/>
          <w:vertAlign w:val="superscript"/>
        </w:rPr>
        <w:footnoteReference w:id="10"/>
      </w:r>
      <w:r w:rsidRPr="00FF6120">
        <w:rPr>
          <w:rFonts w:ascii="Century Gothic" w:hAnsi="Century Gothic" w:eastAsia="Arial" w:cs="Arial"/>
          <w:color w:val="000000"/>
        </w:rPr>
        <w:t>, como es el caso de la expresión “inmediatamente”, contenida en el artículo 43 de la Ley 80 de 1993</w:t>
      </w:r>
      <w:r w:rsidRPr="00FF6120">
        <w:rPr>
          <w:rFonts w:ascii="Century Gothic" w:hAnsi="Century Gothic" w:eastAsia="Arial" w:cs="Arial"/>
        </w:rPr>
        <w:t xml:space="preserve">, o de </w:t>
      </w:r>
      <w:r w:rsidRPr="00FF6120">
        <w:rPr>
          <w:rFonts w:ascii="Century Gothic" w:hAnsi="Century Gothic" w:eastAsia="Arial" w:cs="Arial"/>
          <w:color w:val="000000"/>
        </w:rPr>
        <w:t xml:space="preserve">“buena fe”, </w:t>
      </w:r>
      <w:r w:rsidRPr="00FF6120">
        <w:rPr>
          <w:rFonts w:ascii="Century Gothic" w:hAnsi="Century Gothic" w:eastAsia="Arial" w:cs="Arial"/>
        </w:rPr>
        <w:t xml:space="preserve">exigida </w:t>
      </w:r>
      <w:r w:rsidRPr="00FF6120">
        <w:rPr>
          <w:rFonts w:ascii="Century Gothic" w:hAnsi="Century Gothic" w:eastAsia="Arial" w:cs="Arial"/>
          <w:color w:val="000000"/>
        </w:rPr>
        <w:t xml:space="preserve">para la tenencia en el caso de la prescripción adquisitiva. Según la doctrina alemana, estos últimos </w:t>
      </w:r>
      <w:r w:rsidRPr="00FF6120">
        <w:rPr>
          <w:rFonts w:ascii="Century Gothic" w:hAnsi="Century Gothic" w:eastAsia="Arial" w:cs="Arial"/>
        </w:rPr>
        <w:t>están</w:t>
      </w:r>
      <w:r w:rsidRPr="00FF6120">
        <w:rPr>
          <w:rFonts w:ascii="Century Gothic" w:hAnsi="Century Gothic" w:eastAsia="Arial" w:cs="Arial"/>
          <w:color w:val="000000"/>
        </w:rPr>
        <w:t xml:space="preserve"> caracterizados por tener un “halo de significado” (</w:t>
      </w:r>
      <w:proofErr w:type="spellStart"/>
      <w:r w:rsidRPr="00FF6120">
        <w:rPr>
          <w:rFonts w:ascii="Century Gothic" w:hAnsi="Century Gothic" w:eastAsia="Arial" w:cs="Arial"/>
          <w:color w:val="000000"/>
        </w:rPr>
        <w:t>Begriffshof</w:t>
      </w:r>
      <w:proofErr w:type="spellEnd"/>
      <w:r w:rsidRPr="00FF6120">
        <w:rPr>
          <w:rFonts w:ascii="Century Gothic" w:hAnsi="Century Gothic" w:eastAsia="Arial" w:cs="Arial"/>
          <w:color w:val="000000"/>
        </w:rPr>
        <w:t>) usualmente amplio en relación con el tamaño de su “núcleo” (</w:t>
      </w:r>
      <w:proofErr w:type="spellStart"/>
      <w:r w:rsidRPr="00FF6120">
        <w:rPr>
          <w:rFonts w:ascii="Century Gothic" w:hAnsi="Century Gothic" w:eastAsia="Arial" w:cs="Arial"/>
          <w:color w:val="000000"/>
        </w:rPr>
        <w:t>Begriffskern</w:t>
      </w:r>
      <w:proofErr w:type="spellEnd"/>
      <w:r w:rsidRPr="00FF6120">
        <w:rPr>
          <w:rFonts w:ascii="Century Gothic" w:hAnsi="Century Gothic" w:eastAsia="Arial" w:cs="Arial"/>
          <w:color w:val="000000"/>
        </w:rPr>
        <w:t>)</w:t>
      </w:r>
      <w:r w:rsidRPr="00FF6120">
        <w:rPr>
          <w:rFonts w:ascii="Century Gothic" w:hAnsi="Century Gothic" w:eastAsia="Arial" w:cs="Arial"/>
          <w:color w:val="000000"/>
          <w:vertAlign w:val="superscript"/>
        </w:rPr>
        <w:footnoteReference w:id="11"/>
      </w:r>
      <w:r w:rsidRPr="00FF6120">
        <w:rPr>
          <w:rFonts w:ascii="Century Gothic" w:hAnsi="Century Gothic" w:eastAsia="Arial" w:cs="Arial"/>
          <w:color w:val="000000"/>
        </w:rPr>
        <w:t>.</w:t>
      </w:r>
    </w:p>
    <w:p w:rsidRPr="00FF6120" w:rsidR="002917FA" w:rsidP="002917FA" w:rsidRDefault="002917FA" w14:paraId="026C719A" w14:textId="77777777">
      <w:pPr>
        <w:pBdr>
          <w:top w:val="nil"/>
          <w:left w:val="nil"/>
          <w:bottom w:val="nil"/>
          <w:right w:val="nil"/>
          <w:between w:val="nil"/>
        </w:pBdr>
        <w:spacing w:after="120" w:line="276" w:lineRule="auto"/>
        <w:ind w:firstLine="703"/>
        <w:jc w:val="both"/>
        <w:rPr>
          <w:rFonts w:ascii="Century Gothic" w:hAnsi="Century Gothic" w:eastAsia="Arial" w:cs="Arial"/>
          <w:color w:val="000000"/>
        </w:rPr>
      </w:pPr>
      <w:r w:rsidRPr="00FF6120">
        <w:rPr>
          <w:rFonts w:ascii="Century Gothic" w:hAnsi="Century Gothic" w:eastAsia="Arial" w:cs="Arial"/>
          <w:color w:val="000000"/>
        </w:rPr>
        <w:t xml:space="preserve">En ambos casos, por tratarse de conceptos que regulan supuestos concretos, no se admite </w:t>
      </w:r>
      <w:r w:rsidRPr="00FF6120">
        <w:rPr>
          <w:rFonts w:ascii="Century Gothic" w:hAnsi="Century Gothic" w:eastAsia="Arial" w:cs="Arial"/>
        </w:rPr>
        <w:t>más</w:t>
      </w:r>
      <w:r w:rsidRPr="00FF6120">
        <w:rPr>
          <w:rFonts w:ascii="Century Gothic" w:hAnsi="Century Gothic" w:eastAsia="Arial" w:cs="Arial"/>
          <w:color w:val="000000"/>
        </w:rPr>
        <w:t xml:space="preserve"> de una solución –principio del tercero excluido–, esto es, o se da o no se da el concepto</w:t>
      </w:r>
      <w:r w:rsidRPr="00FF6120">
        <w:rPr>
          <w:rFonts w:ascii="Century Gothic" w:hAnsi="Century Gothic" w:eastAsia="Arial" w:cs="Arial"/>
          <w:color w:val="000000"/>
          <w:vertAlign w:val="superscript"/>
        </w:rPr>
        <w:footnoteReference w:id="12"/>
      </w:r>
      <w:r w:rsidRPr="00FF6120">
        <w:rPr>
          <w:rFonts w:ascii="Century Gothic" w:hAnsi="Century Gothic" w:eastAsia="Arial" w:cs="Arial"/>
          <w:color w:val="000000"/>
        </w:rPr>
        <w:t xml:space="preserve">. Para los ejemplos propuesto en el párrafo </w:t>
      </w:r>
      <w:r w:rsidRPr="00FF6120">
        <w:rPr>
          <w:rFonts w:ascii="Century Gothic" w:hAnsi="Century Gothic" w:eastAsia="Arial" w:cs="Arial"/>
          <w:color w:val="000000"/>
        </w:rPr>
        <w:t>precedente, la documentación se envía o no se envía “inmediatamente” o la tenencia fue o no de buena fe. Se trata, entonces, de un estado de indeterminación que únicamente puede superarse con una actividad de cognición</w:t>
      </w:r>
      <w:r w:rsidRPr="00FF6120">
        <w:rPr>
          <w:rFonts w:ascii="Century Gothic" w:hAnsi="Century Gothic" w:eastAsia="Arial" w:cs="Arial"/>
          <w:color w:val="000000"/>
          <w:vertAlign w:val="superscript"/>
        </w:rPr>
        <w:footnoteReference w:id="13"/>
      </w:r>
      <w:r w:rsidRPr="00FF6120">
        <w:rPr>
          <w:rFonts w:ascii="Century Gothic" w:hAnsi="Century Gothic" w:eastAsia="Arial" w:cs="Arial"/>
          <w:color w:val="000000"/>
        </w:rPr>
        <w:t xml:space="preserve"> </w:t>
      </w:r>
      <w:r w:rsidRPr="00FF6120">
        <w:rPr>
          <w:rFonts w:ascii="Century Gothic" w:hAnsi="Century Gothic" w:eastAsia="Arial" w:cs="Arial"/>
        </w:rPr>
        <w:t>que se orienta</w:t>
      </w:r>
      <w:r w:rsidRPr="00FF6120">
        <w:rPr>
          <w:rFonts w:ascii="Century Gothic" w:hAnsi="Century Gothic" w:eastAsia="Arial" w:cs="Arial"/>
          <w:color w:val="000000"/>
        </w:rPr>
        <w:t xml:space="preserve"> por las circunstancias particulares de aplicación del caso en el que se pretende hacer valer, </w:t>
      </w:r>
      <w:r w:rsidRPr="00FF6120">
        <w:rPr>
          <w:rFonts w:ascii="Century Gothic" w:hAnsi="Century Gothic" w:eastAsia="Arial" w:cs="Arial"/>
        </w:rPr>
        <w:t>sin que sea posible</w:t>
      </w:r>
      <w:r w:rsidRPr="00FF6120">
        <w:rPr>
          <w:rFonts w:ascii="Century Gothic" w:hAnsi="Century Gothic" w:eastAsia="Arial" w:cs="Arial"/>
          <w:color w:val="000000"/>
        </w:rPr>
        <w:t xml:space="preserve"> hacerlo por medio de actividades de volición</w:t>
      </w:r>
      <w:r w:rsidRPr="00FF6120">
        <w:rPr>
          <w:rFonts w:ascii="Century Gothic" w:hAnsi="Century Gothic" w:eastAsia="Arial" w:cs="Arial"/>
          <w:color w:val="000000"/>
          <w:vertAlign w:val="superscript"/>
        </w:rPr>
        <w:footnoteReference w:id="14"/>
      </w:r>
      <w:r w:rsidRPr="00FF6120">
        <w:rPr>
          <w:rFonts w:ascii="Century Gothic" w:hAnsi="Century Gothic" w:eastAsia="Arial" w:cs="Arial"/>
          <w:color w:val="000000"/>
        </w:rPr>
        <w:t>. Esto no significa que el concepto jurídico indeterminado carezca de varias interpretaciones. Incluso la doctrina foránea reconoce que esto último</w:t>
      </w:r>
      <w:r w:rsidRPr="00FF6120">
        <w:rPr>
          <w:rFonts w:ascii="Century Gothic" w:hAnsi="Century Gothic" w:eastAsia="Arial" w:cs="Arial"/>
        </w:rPr>
        <w:t xml:space="preserve"> es posible</w:t>
      </w:r>
      <w:r w:rsidRPr="00FF6120">
        <w:rPr>
          <w:rFonts w:ascii="Century Gothic" w:hAnsi="Century Gothic" w:eastAsia="Arial" w:cs="Arial"/>
          <w:color w:val="000000"/>
        </w:rPr>
        <w:t>, pues “[s]e trata de conceptos que de manera natural tienen una textura abierta, es decir, que pueden tener diversas interpretaciones, mismas que se llenan de contenido, ya en la aplicación de casos concretos”</w:t>
      </w:r>
      <w:r w:rsidRPr="00FF6120">
        <w:rPr>
          <w:rFonts w:ascii="Century Gothic" w:hAnsi="Century Gothic" w:eastAsia="Arial" w:cs="Arial"/>
          <w:color w:val="000000"/>
          <w:vertAlign w:val="superscript"/>
        </w:rPr>
        <w:footnoteReference w:id="15"/>
      </w:r>
      <w:r w:rsidRPr="00FF6120">
        <w:rPr>
          <w:rFonts w:ascii="Century Gothic" w:hAnsi="Century Gothic" w:eastAsia="Arial" w:cs="Arial"/>
          <w:color w:val="000000"/>
        </w:rPr>
        <w:t>.</w:t>
      </w:r>
    </w:p>
    <w:p w:rsidRPr="00FF6120" w:rsidR="002917FA" w:rsidP="002917FA" w:rsidRDefault="002917FA" w14:paraId="154EC703" w14:textId="77777777">
      <w:pPr>
        <w:pBdr>
          <w:top w:val="nil"/>
          <w:left w:val="nil"/>
          <w:bottom w:val="nil"/>
          <w:right w:val="nil"/>
          <w:between w:val="nil"/>
        </w:pBdr>
        <w:spacing w:after="0" w:line="276" w:lineRule="auto"/>
        <w:ind w:firstLine="703"/>
        <w:jc w:val="both"/>
        <w:rPr>
          <w:rFonts w:ascii="Century Gothic" w:hAnsi="Century Gothic" w:eastAsia="Arial" w:cs="Arial"/>
          <w:color w:val="000000"/>
        </w:rPr>
      </w:pPr>
      <w:r w:rsidRPr="00FF6120">
        <w:rPr>
          <w:rFonts w:ascii="Century Gothic" w:hAnsi="Century Gothic" w:eastAsia="Arial" w:cs="Arial"/>
          <w:color w:val="000000"/>
        </w:rPr>
        <w:tab/>
      </w:r>
      <w:r w:rsidRPr="00FF6120">
        <w:rPr>
          <w:rFonts w:ascii="Century Gothic" w:hAnsi="Century Gothic" w:eastAsia="Arial" w:cs="Arial"/>
          <w:color w:val="000000"/>
        </w:rPr>
        <w:t>El Consejo de Estado se ha aproximado a la noción de concepto jurídico indeterminado desde dos (2) frentes. Por un lado, en relación con unos casos concretos en los que consideró que estos conceptos son indeterminados: “derecho positivo”</w:t>
      </w:r>
      <w:r w:rsidRPr="00FF6120">
        <w:rPr>
          <w:rFonts w:ascii="Century Gothic" w:hAnsi="Century Gothic" w:eastAsia="Arial" w:cs="Arial"/>
          <w:color w:val="000000"/>
          <w:vertAlign w:val="superscript"/>
        </w:rPr>
        <w:footnoteReference w:id="16"/>
      </w:r>
      <w:r w:rsidRPr="00FF6120">
        <w:rPr>
          <w:rFonts w:ascii="Century Gothic" w:hAnsi="Century Gothic" w:eastAsia="Arial" w:cs="Arial"/>
          <w:color w:val="000000"/>
        </w:rPr>
        <w:t>, establecido en algunas causales de anulación de laudos arbitrales; “favorabilidad”</w:t>
      </w:r>
      <w:r w:rsidRPr="00FF6120">
        <w:rPr>
          <w:rFonts w:ascii="Century Gothic" w:hAnsi="Century Gothic" w:eastAsia="Arial" w:cs="Arial"/>
          <w:color w:val="000000"/>
          <w:vertAlign w:val="superscript"/>
        </w:rPr>
        <w:footnoteReference w:id="17"/>
      </w:r>
      <w:r w:rsidRPr="00FF6120">
        <w:rPr>
          <w:rFonts w:ascii="Century Gothic" w:hAnsi="Century Gothic" w:eastAsia="Arial" w:cs="Arial"/>
          <w:color w:val="000000"/>
        </w:rPr>
        <w:t>, contenido en el derogado artículo 29 de la Ley 80 de 1993; “moralidad administrativa”</w:t>
      </w:r>
      <w:r w:rsidRPr="00FF6120">
        <w:rPr>
          <w:rFonts w:ascii="Century Gothic" w:hAnsi="Century Gothic" w:eastAsia="Arial" w:cs="Arial"/>
          <w:color w:val="000000"/>
          <w:vertAlign w:val="superscript"/>
        </w:rPr>
        <w:footnoteReference w:id="18"/>
      </w:r>
      <w:r w:rsidRPr="00FF6120">
        <w:rPr>
          <w:rFonts w:ascii="Century Gothic" w:hAnsi="Century Gothic" w:eastAsia="Arial" w:cs="Arial"/>
          <w:color w:val="000000"/>
        </w:rPr>
        <w:t>; “conducta asumida por las partes”</w:t>
      </w:r>
      <w:r w:rsidRPr="00FF6120">
        <w:rPr>
          <w:rFonts w:ascii="Century Gothic" w:hAnsi="Century Gothic" w:eastAsia="Arial" w:cs="Arial"/>
          <w:color w:val="000000"/>
          <w:vertAlign w:val="superscript"/>
        </w:rPr>
        <w:footnoteReference w:id="19"/>
      </w:r>
      <w:r w:rsidRPr="00FF6120">
        <w:rPr>
          <w:rFonts w:ascii="Century Gothic" w:hAnsi="Century Gothic" w:eastAsia="Arial" w:cs="Arial"/>
          <w:color w:val="000000"/>
        </w:rPr>
        <w:t xml:space="preserve">, sobre condena </w:t>
      </w:r>
      <w:r w:rsidRPr="00FF6120">
        <w:rPr>
          <w:rFonts w:ascii="Century Gothic" w:hAnsi="Century Gothic" w:eastAsia="Arial" w:cs="Arial"/>
          <w:color w:val="000000"/>
        </w:rPr>
        <w:t>en costas; “determinación”</w:t>
      </w:r>
      <w:r w:rsidRPr="00FF6120">
        <w:rPr>
          <w:rFonts w:ascii="Century Gothic" w:hAnsi="Century Gothic" w:eastAsia="Arial" w:cs="Arial"/>
          <w:color w:val="000000"/>
          <w:vertAlign w:val="superscript"/>
        </w:rPr>
        <w:footnoteReference w:id="20"/>
      </w:r>
      <w:r w:rsidRPr="00FF6120">
        <w:rPr>
          <w:rFonts w:ascii="Century Gothic" w:hAnsi="Century Gothic" w:eastAsia="Arial" w:cs="Arial"/>
          <w:color w:val="000000"/>
        </w:rPr>
        <w:t>, frente a los criterios y porcentajes señalados en el anulado artículo 75 del Decreto 2474 de 2008; “tema nuevo”</w:t>
      </w:r>
      <w:r w:rsidRPr="00FF6120">
        <w:rPr>
          <w:rFonts w:ascii="Century Gothic" w:hAnsi="Century Gothic" w:eastAsia="Arial" w:cs="Arial"/>
          <w:color w:val="000000"/>
          <w:vertAlign w:val="superscript"/>
        </w:rPr>
        <w:footnoteReference w:id="21"/>
      </w:r>
      <w:r w:rsidRPr="00FF6120">
        <w:rPr>
          <w:rFonts w:ascii="Century Gothic" w:hAnsi="Century Gothic" w:eastAsia="Arial" w:cs="Arial"/>
          <w:color w:val="000000"/>
        </w:rPr>
        <w:t>, relacionado con la improcedencia del recurso de reposición; “giro ordinario”</w:t>
      </w:r>
      <w:r w:rsidRPr="00FF6120">
        <w:rPr>
          <w:rFonts w:ascii="Century Gothic" w:hAnsi="Century Gothic" w:eastAsia="Arial" w:cs="Arial"/>
          <w:color w:val="000000"/>
          <w:vertAlign w:val="superscript"/>
        </w:rPr>
        <w:footnoteReference w:id="22"/>
      </w:r>
      <w:r w:rsidRPr="00FF6120">
        <w:rPr>
          <w:rFonts w:ascii="Century Gothic" w:hAnsi="Century Gothic" w:eastAsia="Arial" w:cs="Arial"/>
          <w:color w:val="000000"/>
        </w:rPr>
        <w:t>, establecido en el artículo 21 del der</w:t>
      </w:r>
      <w:r w:rsidRPr="00FF6120">
        <w:rPr>
          <w:rFonts w:ascii="Century Gothic" w:hAnsi="Century Gothic" w:eastAsia="Arial" w:cs="Arial"/>
        </w:rPr>
        <w:t>o</w:t>
      </w:r>
      <w:r w:rsidRPr="00FF6120">
        <w:rPr>
          <w:rFonts w:ascii="Century Gothic" w:hAnsi="Century Gothic" w:eastAsia="Arial" w:cs="Arial"/>
          <w:color w:val="000000"/>
        </w:rPr>
        <w:t>gado Decreto 679 de 1994; y “los motivos o causas que impidan la escogencia objetiva”</w:t>
      </w:r>
      <w:r w:rsidRPr="00FF6120">
        <w:rPr>
          <w:rFonts w:ascii="Century Gothic" w:hAnsi="Century Gothic" w:eastAsia="Arial" w:cs="Arial"/>
          <w:color w:val="000000"/>
          <w:vertAlign w:val="superscript"/>
        </w:rPr>
        <w:footnoteReference w:id="23"/>
      </w:r>
      <w:r w:rsidRPr="00FF6120">
        <w:rPr>
          <w:rFonts w:ascii="Century Gothic" w:hAnsi="Century Gothic" w:eastAsia="Arial" w:cs="Arial"/>
          <w:color w:val="000000"/>
        </w:rPr>
        <w:t xml:space="preserve">, contenido en el artículo 25, numeral 18, de la Ley 80 de 1993, entre otros. </w:t>
      </w:r>
      <w:r w:rsidRPr="00FF6120">
        <w:rPr>
          <w:rFonts w:ascii="Century Gothic" w:hAnsi="Century Gothic" w:eastAsia="Arial" w:cs="Arial"/>
        </w:rPr>
        <w:t>P</w:t>
      </w:r>
      <w:r w:rsidRPr="00FF6120">
        <w:rPr>
          <w:rFonts w:ascii="Century Gothic" w:hAnsi="Century Gothic" w:eastAsia="Arial" w:cs="Arial"/>
          <w:color w:val="000000"/>
        </w:rPr>
        <w:t>or otro lado, el referido tribunal ha indagado sobre la noción en sí misma. En efecto, en las sentencias del 1 de junio del 2000</w:t>
      </w:r>
      <w:r w:rsidRPr="00FF6120">
        <w:rPr>
          <w:rFonts w:ascii="Century Gothic" w:hAnsi="Century Gothic" w:eastAsia="Arial" w:cs="Arial"/>
          <w:color w:val="000000"/>
          <w:vertAlign w:val="superscript"/>
        </w:rPr>
        <w:footnoteReference w:id="24"/>
      </w:r>
      <w:r w:rsidRPr="00FF6120">
        <w:rPr>
          <w:rFonts w:ascii="Century Gothic" w:hAnsi="Century Gothic" w:eastAsia="Arial" w:cs="Arial"/>
          <w:color w:val="000000"/>
        </w:rPr>
        <w:t xml:space="preserve"> y del 26 de julio de 2011</w:t>
      </w:r>
      <w:r w:rsidRPr="00FF6120">
        <w:rPr>
          <w:rFonts w:ascii="Century Gothic" w:hAnsi="Century Gothic" w:eastAsia="Arial" w:cs="Arial"/>
          <w:color w:val="000000"/>
          <w:vertAlign w:val="superscript"/>
        </w:rPr>
        <w:footnoteReference w:id="25"/>
      </w:r>
      <w:r w:rsidRPr="00FF6120">
        <w:rPr>
          <w:rFonts w:ascii="Century Gothic" w:hAnsi="Century Gothic" w:eastAsia="Arial" w:cs="Arial"/>
          <w:color w:val="000000"/>
        </w:rPr>
        <w:t xml:space="preserve">, explicó su entendimiento sobre los conceptos jurídicos indeterminados. En la decisión del 2011, consideró </w:t>
      </w:r>
      <w:r w:rsidRPr="00FF6120">
        <w:rPr>
          <w:rFonts w:ascii="Century Gothic" w:hAnsi="Century Gothic" w:eastAsia="Arial" w:cs="Arial"/>
          <w:i/>
          <w:color w:val="000000"/>
        </w:rPr>
        <w:t xml:space="preserve">in extenso </w:t>
      </w:r>
      <w:r w:rsidRPr="00FF6120">
        <w:rPr>
          <w:rFonts w:ascii="Century Gothic" w:hAnsi="Century Gothic" w:eastAsia="Arial" w:cs="Arial"/>
          <w:color w:val="000000"/>
        </w:rPr>
        <w:t>que:</w:t>
      </w:r>
    </w:p>
    <w:p w:rsidRPr="00FF6120" w:rsidR="002917FA" w:rsidP="002917FA" w:rsidRDefault="002917FA" w14:paraId="0A357C10" w14:textId="77777777">
      <w:pPr>
        <w:pBdr>
          <w:top w:val="nil"/>
          <w:left w:val="nil"/>
          <w:bottom w:val="nil"/>
          <w:right w:val="nil"/>
          <w:between w:val="nil"/>
        </w:pBdr>
        <w:spacing w:after="0" w:line="276" w:lineRule="auto"/>
        <w:ind w:firstLine="703"/>
        <w:jc w:val="both"/>
        <w:rPr>
          <w:rFonts w:ascii="Century Gothic" w:hAnsi="Century Gothic" w:eastAsia="Arial" w:cs="Arial"/>
          <w:color w:val="000000"/>
        </w:rPr>
      </w:pPr>
    </w:p>
    <w:p w:rsidRPr="00FF6120" w:rsidR="002917FA" w:rsidP="002917FA" w:rsidRDefault="002917FA" w14:paraId="40E51E3F" w14:textId="77777777">
      <w:pPr>
        <w:pBdr>
          <w:top w:val="nil"/>
          <w:left w:val="nil"/>
          <w:bottom w:val="nil"/>
          <w:right w:val="nil"/>
          <w:between w:val="nil"/>
        </w:pBdr>
        <w:shd w:val="clear" w:color="auto" w:fill="FFFFFF"/>
        <w:spacing w:after="120" w:line="240" w:lineRule="auto"/>
        <w:ind w:left="709" w:right="709"/>
        <w:jc w:val="both"/>
        <w:rPr>
          <w:rFonts w:ascii="Century Gothic" w:hAnsi="Century Gothic" w:cs="Arial"/>
          <w:color w:val="000000"/>
          <w:sz w:val="21"/>
          <w:szCs w:val="21"/>
        </w:rPr>
      </w:pPr>
      <w:r w:rsidRPr="00FF6120">
        <w:rPr>
          <w:rFonts w:ascii="Century Gothic" w:hAnsi="Century Gothic" w:eastAsia="Arial" w:cs="Arial"/>
          <w:color w:val="000000"/>
          <w:sz w:val="21"/>
          <w:szCs w:val="21"/>
        </w:rPr>
        <w:t>“La teoría de los conceptos jurídicos indeterminados comporta una sutil técnica de redacción y consecuente aplicación de las normas jurídicas frente a hipótesis específicas. Por regla general, las normas jurídicas se caracterizan por delimitar y definir de manera precisa, a través de los conceptos y términos utilizados, el ámbito de la realidad dentro de la cual están llamadas a operar, en lo que se conoce como el contenido inequívoco de la norma</w:t>
      </w:r>
      <w:bookmarkStart w:name="1fob9te" w:colFirst="0" w:colLast="0" w:id="10"/>
      <w:bookmarkEnd w:id="10"/>
      <w:r w:rsidRPr="00FF6120">
        <w:rPr>
          <w:rFonts w:ascii="Century Gothic" w:hAnsi="Century Gothic" w:eastAsia="Arial" w:cs="Arial"/>
          <w:color w:val="000000"/>
          <w:sz w:val="21"/>
          <w:szCs w:val="21"/>
        </w:rPr>
        <w:t>.</w:t>
      </w:r>
    </w:p>
    <w:p w:rsidRPr="00FF6120" w:rsidR="002917FA" w:rsidP="002917FA" w:rsidRDefault="002917FA" w14:paraId="30C625B6" w14:textId="77777777">
      <w:pPr>
        <w:pBdr>
          <w:top w:val="nil"/>
          <w:left w:val="nil"/>
          <w:bottom w:val="nil"/>
          <w:right w:val="nil"/>
          <w:between w:val="nil"/>
        </w:pBdr>
        <w:shd w:val="clear" w:color="auto" w:fill="FFFFFF"/>
        <w:spacing w:after="0" w:line="240" w:lineRule="auto"/>
        <w:ind w:left="709" w:right="709"/>
        <w:jc w:val="both"/>
        <w:rPr>
          <w:rFonts w:ascii="Century Gothic" w:hAnsi="Century Gothic" w:cs="Arial"/>
          <w:color w:val="000000"/>
          <w:sz w:val="21"/>
          <w:szCs w:val="21"/>
        </w:rPr>
      </w:pPr>
      <w:r w:rsidRPr="00FF6120">
        <w:rPr>
          <w:rFonts w:ascii="Century Gothic" w:hAnsi="Century Gothic" w:eastAsia="Arial" w:cs="Arial"/>
          <w:color w:val="000000"/>
          <w:sz w:val="21"/>
          <w:szCs w:val="21"/>
        </w:rPr>
        <w:t>En los conceptos jurídicos indeterminados, opera una clara excepción frente a esta caracterización general de la estructuración normativa, en donde precisamente lo característico es el contenido indeterminado de los elementos descriptivos (conceptos, términos utilizados) de la norma, en cuanto conceptos de contornos difíciles de delimitar (no vagos, imprecisos o contradictorios), ante la ausencia en ellos, de contenidos materiales definitivos, concretos e inequívocos, haciendo de la esfera de realidad propuesta un ámbito fructífero de lo indefinido y abstracto (buena fe, premeditación, fuerza irresistible, incapacidad para el ejercicio de funciones, buen padre de familia, justo precio, interés público, bien común, fundamento importante, confiabilidad, necesidad, etc.)</w:t>
      </w:r>
      <w:bookmarkStart w:name="3znysh7" w:colFirst="0" w:colLast="0" w:id="11"/>
      <w:bookmarkEnd w:id="11"/>
      <w:r w:rsidRPr="00FF6120">
        <w:rPr>
          <w:rFonts w:ascii="Century Gothic" w:hAnsi="Century Gothic" w:eastAsia="Arial" w:cs="Arial"/>
          <w:color w:val="000000"/>
          <w:sz w:val="21"/>
          <w:szCs w:val="21"/>
        </w:rPr>
        <w:t>.</w:t>
      </w:r>
    </w:p>
    <w:p w:rsidRPr="00FF6120" w:rsidR="002917FA" w:rsidP="002917FA" w:rsidRDefault="002917FA" w14:paraId="3CA19441" w14:textId="77777777">
      <w:pPr>
        <w:pBdr>
          <w:top w:val="nil"/>
          <w:left w:val="nil"/>
          <w:bottom w:val="nil"/>
          <w:right w:val="nil"/>
          <w:between w:val="nil"/>
        </w:pBdr>
        <w:shd w:val="clear" w:color="auto" w:fill="FFFFFF"/>
        <w:spacing w:after="120" w:line="240" w:lineRule="auto"/>
        <w:ind w:left="709" w:right="709"/>
        <w:jc w:val="both"/>
        <w:rPr>
          <w:rFonts w:ascii="Century Gothic" w:hAnsi="Century Gothic" w:cs="Arial"/>
          <w:color w:val="000000"/>
          <w:sz w:val="21"/>
          <w:szCs w:val="21"/>
        </w:rPr>
      </w:pPr>
      <w:r w:rsidRPr="00FF6120">
        <w:rPr>
          <w:rFonts w:ascii="Century Gothic" w:hAnsi="Century Gothic" w:cs="Arial"/>
          <w:color w:val="000000"/>
          <w:sz w:val="21"/>
          <w:szCs w:val="21"/>
        </w:rPr>
        <w:t>[…]</w:t>
      </w:r>
    </w:p>
    <w:p w:rsidRPr="00FF6120" w:rsidR="002917FA" w:rsidP="002917FA" w:rsidRDefault="002917FA" w14:paraId="1DC152FD" w14:textId="77777777">
      <w:pPr>
        <w:pBdr>
          <w:top w:val="nil"/>
          <w:left w:val="nil"/>
          <w:bottom w:val="nil"/>
          <w:right w:val="nil"/>
          <w:between w:val="nil"/>
        </w:pBdr>
        <w:shd w:val="clear" w:color="auto" w:fill="FFFFFF"/>
        <w:spacing w:after="0" w:line="240" w:lineRule="auto"/>
        <w:ind w:left="709" w:right="709"/>
        <w:jc w:val="both"/>
        <w:rPr>
          <w:rFonts w:ascii="Century Gothic" w:hAnsi="Century Gothic" w:cs="Arial"/>
          <w:color w:val="000000"/>
          <w:sz w:val="21"/>
          <w:szCs w:val="21"/>
        </w:rPr>
      </w:pPr>
      <w:r w:rsidRPr="00FF6120">
        <w:rPr>
          <w:rFonts w:ascii="Century Gothic" w:hAnsi="Century Gothic" w:eastAsia="Arial" w:cs="Arial"/>
          <w:color w:val="000000"/>
          <w:sz w:val="21"/>
          <w:szCs w:val="21"/>
        </w:rPr>
        <w:t>Los otros conceptos, por el contrario, tienen un contenido específico, cuyo alcance no admite mayores discusiones entre los operadores jurídicos, en relación con su significado, tal es el caso de: servidor público, matrimonio, mayor de edad, Constitución, Ley, Ministerio, establecimiento público, entre muchos otros. Lo común en ellos es que son concretos y precisos, de manera que designan contenidos mucho más puntuales y menos ambivalentes, y por eso la discrepancia sobre su alcance se reduce sustancialmente, aunque no tiene por qué desaparecer, ya que es propio de toda norma su vocación de ser interpretada, con variables lógicas posibles”.</w:t>
      </w:r>
    </w:p>
    <w:p w:rsidRPr="00FF6120" w:rsidR="002917FA" w:rsidP="002917FA" w:rsidRDefault="002917FA" w14:paraId="1C99716E" w14:textId="77777777">
      <w:pPr>
        <w:pBdr>
          <w:top w:val="nil"/>
          <w:left w:val="nil"/>
          <w:bottom w:val="nil"/>
          <w:right w:val="nil"/>
          <w:between w:val="nil"/>
        </w:pBdr>
        <w:shd w:val="clear" w:color="auto" w:fill="FFFFFF"/>
        <w:spacing w:after="0" w:line="276" w:lineRule="auto"/>
        <w:jc w:val="both"/>
        <w:rPr>
          <w:rFonts w:ascii="Century Gothic" w:hAnsi="Century Gothic" w:eastAsia="Arial" w:cs="Arial"/>
          <w:color w:val="000000"/>
        </w:rPr>
      </w:pPr>
    </w:p>
    <w:p w:rsidRPr="00FF6120" w:rsidR="002917FA" w:rsidP="002917FA" w:rsidRDefault="002917FA" w14:paraId="45A1414F" w14:textId="77777777">
      <w:pPr>
        <w:pBdr>
          <w:top w:val="nil"/>
          <w:left w:val="nil"/>
          <w:bottom w:val="nil"/>
          <w:right w:val="nil"/>
          <w:between w:val="nil"/>
        </w:pBdr>
        <w:shd w:val="clear" w:color="auto" w:fill="FFFFFF"/>
        <w:spacing w:after="0" w:line="276" w:lineRule="auto"/>
        <w:ind w:firstLine="705"/>
        <w:jc w:val="both"/>
        <w:rPr>
          <w:rFonts w:ascii="Century Gothic" w:hAnsi="Century Gothic" w:eastAsia="Arial" w:cs="Arial"/>
          <w:color w:val="000000"/>
        </w:rPr>
      </w:pPr>
      <w:r w:rsidRPr="00FF6120">
        <w:rPr>
          <w:rFonts w:ascii="Century Gothic" w:hAnsi="Century Gothic" w:eastAsia="Arial" w:cs="Arial"/>
          <w:color w:val="000000"/>
        </w:rPr>
        <w:t xml:space="preserve">A juicio del Consejo de Estado, los operadores jurídicos </w:t>
      </w:r>
      <w:r w:rsidRPr="00FF6120">
        <w:rPr>
          <w:rFonts w:ascii="Century Gothic" w:hAnsi="Century Gothic" w:eastAsia="Arial" w:cs="Arial"/>
        </w:rPr>
        <w:t>–</w:t>
      </w:r>
      <w:r w:rsidRPr="00FF6120">
        <w:rPr>
          <w:rFonts w:ascii="Century Gothic" w:hAnsi="Century Gothic" w:eastAsia="Arial" w:cs="Arial"/>
          <w:color w:val="000000"/>
        </w:rPr>
        <w:t xml:space="preserve">entre ellos la administración y el juez– son quienes deben concretar los conceptos imprecisos y generales, es decir, deben identificar los múltiples significados del concepto, distinguiendo unos escenarios de otros. Este proceso de formación de contenidos del lenguaje jurídico, para la referida autoridad judicial, se traduce en la creación de significados en el derecho. </w:t>
      </w:r>
      <w:r w:rsidRPr="00FF6120">
        <w:rPr>
          <w:rFonts w:ascii="Century Gothic" w:hAnsi="Century Gothic" w:eastAsia="Arial" w:cs="Arial"/>
        </w:rPr>
        <w:t xml:space="preserve">Con todo, igualmente </w:t>
      </w:r>
      <w:r w:rsidRPr="00FF6120">
        <w:rPr>
          <w:rFonts w:ascii="Century Gothic" w:hAnsi="Century Gothic" w:eastAsia="Arial" w:cs="Arial"/>
          <w:color w:val="000000"/>
        </w:rPr>
        <w:t>ha reconocido que “los llamados “conceptos jurídicos indeterminados” […] no le dejan a la Administración la libertad de optar entre varias posibilidades de actuación, en tanto no hay múltiples soluciones para la Administración, sino una sola justa, esto es, ajustada a los fines del derecho”</w:t>
      </w:r>
      <w:r w:rsidRPr="00FF6120">
        <w:rPr>
          <w:rFonts w:ascii="Century Gothic" w:hAnsi="Century Gothic" w:eastAsia="Arial" w:cs="Arial"/>
          <w:color w:val="000000"/>
          <w:vertAlign w:val="superscript"/>
        </w:rPr>
        <w:footnoteReference w:id="26"/>
      </w:r>
      <w:r w:rsidRPr="00FF6120">
        <w:rPr>
          <w:rFonts w:ascii="Century Gothic" w:hAnsi="Century Gothic" w:eastAsia="Arial" w:cs="Arial"/>
          <w:color w:val="000000"/>
        </w:rPr>
        <w:t>. Esto significa que no “</w:t>
      </w:r>
      <w:r w:rsidRPr="00FF6120">
        <w:rPr>
          <w:rFonts w:ascii="Century Gothic" w:hAnsi="Century Gothic" w:eastAsia="Arial" w:cs="Arial"/>
          <w:color w:val="000000"/>
          <w:highlight w:val="white"/>
        </w:rPr>
        <w:t xml:space="preserve">[…] </w:t>
      </w:r>
      <w:r w:rsidRPr="00FF6120">
        <w:rPr>
          <w:rFonts w:ascii="Century Gothic" w:hAnsi="Century Gothic" w:eastAsia="Arial" w:cs="Arial"/>
          <w:color w:val="000000"/>
        </w:rPr>
        <w:t>puede encubrirse tras un concepto jurídico indeterminado una potestad discrecional […] porque una cosa es la alternativa de elección que tiene la administración, para adoptar una decisión entre varias posibles, y otra la dificultad que tienen algunas normas de concretar su contenido, en virtud de la presencia de CJI”</w:t>
      </w:r>
      <w:r w:rsidRPr="00FF6120">
        <w:rPr>
          <w:rStyle w:val="Refdenotaalpie"/>
          <w:rFonts w:ascii="Century Gothic" w:hAnsi="Century Gothic" w:eastAsia="Arial" w:cs="Arial"/>
          <w:color w:val="000000"/>
        </w:rPr>
        <w:footnoteReference w:id="27"/>
      </w:r>
      <w:r w:rsidRPr="00FF6120">
        <w:rPr>
          <w:rFonts w:ascii="Century Gothic" w:hAnsi="Century Gothic" w:eastAsia="Arial" w:cs="Arial"/>
          <w:color w:val="000000"/>
        </w:rPr>
        <w:t>. Al respecto, en la sentencia transcrita anteriormente, también explicó que:</w:t>
      </w:r>
    </w:p>
    <w:p w:rsidRPr="00FF6120" w:rsidR="002917FA" w:rsidP="002917FA" w:rsidRDefault="002917FA" w14:paraId="56533DF4" w14:textId="77777777">
      <w:pPr>
        <w:pBdr>
          <w:top w:val="nil"/>
          <w:left w:val="nil"/>
          <w:bottom w:val="nil"/>
          <w:right w:val="nil"/>
          <w:between w:val="nil"/>
        </w:pBdr>
        <w:spacing w:after="0" w:line="276" w:lineRule="auto"/>
        <w:ind w:firstLine="703"/>
        <w:jc w:val="both"/>
        <w:rPr>
          <w:rFonts w:ascii="Century Gothic" w:hAnsi="Century Gothic" w:eastAsia="Arial" w:cs="Arial"/>
          <w:color w:val="000000"/>
        </w:rPr>
      </w:pPr>
    </w:p>
    <w:p w:rsidRPr="00FF6120" w:rsidR="002917FA" w:rsidP="002917FA" w:rsidRDefault="002917FA" w14:paraId="527C93B4" w14:textId="77777777">
      <w:pPr>
        <w:spacing w:after="0" w:line="240" w:lineRule="auto"/>
        <w:ind w:left="709" w:right="709"/>
        <w:jc w:val="both"/>
        <w:rPr>
          <w:rFonts w:ascii="Century Gothic" w:hAnsi="Century Gothic" w:cs="Arial"/>
          <w:sz w:val="21"/>
          <w:szCs w:val="21"/>
        </w:rPr>
      </w:pPr>
      <w:r w:rsidRPr="00FF6120">
        <w:rPr>
          <w:rFonts w:ascii="Century Gothic" w:hAnsi="Century Gothic" w:eastAsia="Arial" w:cs="Arial"/>
          <w:color w:val="000000"/>
          <w:sz w:val="21"/>
          <w:szCs w:val="21"/>
          <w:highlight w:val="white"/>
        </w:rPr>
        <w:t xml:space="preserve">“La diferencia la advirtió claramente Eduardo García de Enterría, en “La Lucha contra las inmunidades del poder” al señalar que “Lo peculiar de estos conceptos jurídicos indeterminados es que su calificación en una circunstancia concreta no puede ser más que una: o se da o no se da el concepto (…) Hay, pues, y esto es esencial, una unidad de solución justa en la aplicación del concepto a una circunstancia concreta. Aquí está lo peculiar del concepto jurídico indeterminado frente a lo que es propio de las potestades discrecionales, pues lo que caracteriza a estas es justamente la pluralidad de soluciones justas posibles como consecuencia de su ejercicio (…) Aquí cualquiera de estas soluciones, alternativamente, es igualmente justa, y precisamente porque lo es existe </w:t>
      </w:r>
      <w:r w:rsidRPr="00FF6120">
        <w:rPr>
          <w:rFonts w:ascii="Century Gothic" w:hAnsi="Century Gothic" w:eastAsia="Arial" w:cs="Arial"/>
          <w:color w:val="000000"/>
          <w:sz w:val="21"/>
          <w:szCs w:val="21"/>
          <w:highlight w:val="white"/>
        </w:rPr>
        <w:t xml:space="preserve">libertad de decisión (la discrecionalidad consiste esencialmente en una libertad de elección), procediendo </w:t>
      </w:r>
      <w:proofErr w:type="spellStart"/>
      <w:r w:rsidRPr="00FF6120">
        <w:rPr>
          <w:rFonts w:ascii="Century Gothic" w:hAnsi="Century Gothic" w:eastAsia="Arial" w:cs="Arial"/>
          <w:color w:val="000000"/>
          <w:sz w:val="21"/>
          <w:szCs w:val="21"/>
          <w:highlight w:val="white"/>
        </w:rPr>
        <w:t>esta</w:t>
      </w:r>
      <w:proofErr w:type="spellEnd"/>
      <w:r w:rsidRPr="00FF6120">
        <w:rPr>
          <w:rFonts w:ascii="Century Gothic" w:hAnsi="Century Gothic" w:eastAsia="Arial" w:cs="Arial"/>
          <w:color w:val="000000"/>
          <w:sz w:val="21"/>
          <w:szCs w:val="21"/>
          <w:highlight w:val="white"/>
        </w:rPr>
        <w:t xml:space="preserve"> en virtud de otros criterios materiales distintos de los jurídicos, que por ello no pueden jurídicamente ser fiscalizados. En la aplicación de un concepto jurídico indeterminado (…) lo característico es que ese valor propio del concepto o esa experiencia a que el concepto remite deben ser objeto de una estimación jurídica según el sentido de la ley que ha creado el concepto jurídico indeterminado en cuestión, ley que ha configurado este con la intención expresa de acotar un supuesto concreto, aunque su apreciación esté indeterminada; de este modo la aplicación de estos conceptos será justamente un caso de aplicación de la ley. Por ello el proceso de constatación de si un concepto jurídico indeterminado se cumple o no se cumple, no puede ser nunca un proceso volitivo de discrecionalidad o de libertad, son un proceso de juicio o estimación (…). Justamente por eso, el proceso de aplicación de conceptos jurídicos indeterminados es un proceso reglado (…), porque no admite más que una solución justa, es un proceso de aplicación e interpretación de la ley, de subsunción en sus categorías de un supuesto dado, no es un proceso de libertad de elección entre alternativas igualmente justas, o de decisión entre indiferentes jurídicos en virtud de criterios extrajurídicos, como es, en definitiva, lo propio de las facultades discrecionales</w:t>
      </w:r>
      <w:r w:rsidRPr="00FF6120">
        <w:rPr>
          <w:rFonts w:ascii="Century Gothic" w:hAnsi="Century Gothic" w:eastAsia="Arial" w:cs="Arial"/>
          <w:color w:val="000000"/>
          <w:sz w:val="21"/>
          <w:szCs w:val="21"/>
        </w:rPr>
        <w:t>”</w:t>
      </w:r>
      <w:r w:rsidRPr="00FF6120">
        <w:rPr>
          <w:rFonts w:ascii="Century Gothic" w:hAnsi="Century Gothic" w:cs="Arial"/>
          <w:sz w:val="21"/>
          <w:szCs w:val="21"/>
        </w:rPr>
        <w:t>.</w:t>
      </w:r>
    </w:p>
    <w:p w:rsidRPr="00FF6120" w:rsidR="002917FA" w:rsidP="002917FA" w:rsidRDefault="002917FA" w14:paraId="103B46F8" w14:textId="77777777">
      <w:pPr>
        <w:spacing w:after="0" w:line="276" w:lineRule="auto"/>
        <w:ind w:left="709" w:right="709"/>
        <w:jc w:val="both"/>
        <w:rPr>
          <w:rFonts w:ascii="Century Gothic" w:hAnsi="Century Gothic" w:cs="Arial"/>
        </w:rPr>
      </w:pPr>
    </w:p>
    <w:p w:rsidRPr="00FF6120" w:rsidR="002917FA" w:rsidP="002917FA" w:rsidRDefault="002917FA" w14:paraId="4D1E651F" w14:textId="77777777">
      <w:pPr>
        <w:pBdr>
          <w:top w:val="nil"/>
          <w:left w:val="nil"/>
          <w:bottom w:val="nil"/>
          <w:right w:val="nil"/>
          <w:between w:val="nil"/>
        </w:pBdr>
        <w:spacing w:after="0" w:line="276" w:lineRule="auto"/>
        <w:ind w:firstLine="709"/>
        <w:jc w:val="both"/>
        <w:rPr>
          <w:rFonts w:ascii="Century Gothic" w:hAnsi="Century Gothic" w:eastAsia="Arial" w:cs="Arial"/>
          <w:color w:val="000000"/>
        </w:rPr>
      </w:pPr>
      <w:bookmarkStart w:name="_Hlk132735690" w:id="12"/>
      <w:r w:rsidRPr="00FF6120">
        <w:rPr>
          <w:rFonts w:ascii="Century Gothic" w:hAnsi="Century Gothic" w:eastAsia="Arial" w:cs="Arial"/>
          <w:color w:val="000000"/>
        </w:rPr>
        <w:t>Aunque al operador jurídico le corresponde concretar el alcance de los conceptos jurídicos indeterminados, lo cierto es que en dicha labor no ejerce ninguna potestad discrecional, ya que</w:t>
      </w:r>
      <w:r w:rsidRPr="00FF6120">
        <w:rPr>
          <w:rFonts w:ascii="Century Gothic" w:hAnsi="Century Gothic" w:eastAsia="Arial" w:cs="Arial"/>
        </w:rPr>
        <w:t xml:space="preserve"> se trata de</w:t>
      </w:r>
      <w:r w:rsidRPr="00FF6120">
        <w:rPr>
          <w:rFonts w:ascii="Century Gothic" w:hAnsi="Century Gothic" w:eastAsia="Arial" w:cs="Arial"/>
          <w:color w:val="000000"/>
        </w:rPr>
        <w:t xml:space="preserve"> un “[…] proceso reglado que se agota en el proceso intelectivo de comprensión de una realidad en el sentido de que el concepto legal indeterminado ha pretendido, proceso en el que no interviene ninguna voluntad del aplicador, como es lo propio de quien ejercita una facultad discrecional”</w:t>
      </w:r>
      <w:r w:rsidRPr="00FF6120">
        <w:rPr>
          <w:rFonts w:ascii="Century Gothic" w:hAnsi="Century Gothic" w:eastAsia="Arial" w:cs="Arial"/>
          <w:color w:val="000000"/>
          <w:vertAlign w:val="superscript"/>
        </w:rPr>
        <w:footnoteReference w:id="28"/>
      </w:r>
      <w:r w:rsidRPr="00FF6120">
        <w:rPr>
          <w:rFonts w:ascii="Century Gothic" w:hAnsi="Century Gothic" w:eastAsia="Arial" w:cs="Arial"/>
          <w:color w:val="000000"/>
        </w:rPr>
        <w:t>. De esta forma, a los operadores jurídicos se les impone la carga de justificar, en forma expresa y detallada, las razones que le conducen a concretar el alcance de los conceptos jurídicos indeterminados que se relacionan con el ejercicio de sus funciones, lo que descart</w:t>
      </w:r>
      <w:r w:rsidRPr="00FF6120">
        <w:rPr>
          <w:rFonts w:ascii="Century Gothic" w:hAnsi="Century Gothic" w:eastAsia="Arial" w:cs="Arial"/>
        </w:rPr>
        <w:t>a</w:t>
      </w:r>
      <w:r w:rsidRPr="00FF6120">
        <w:rPr>
          <w:rFonts w:ascii="Century Gothic" w:hAnsi="Century Gothic" w:eastAsia="Arial" w:cs="Arial"/>
          <w:color w:val="000000"/>
        </w:rPr>
        <w:t xml:space="preserve"> que dichos conceptos otorguen una “vía libre a la arbitrariedad del operador jurídico”</w:t>
      </w:r>
      <w:r w:rsidRPr="00FF6120">
        <w:rPr>
          <w:rFonts w:ascii="Century Gothic" w:hAnsi="Century Gothic" w:eastAsia="Arial" w:cs="Arial"/>
          <w:color w:val="000000"/>
          <w:vertAlign w:val="superscript"/>
        </w:rPr>
        <w:footnoteReference w:id="29"/>
      </w:r>
      <w:bookmarkEnd w:id="12"/>
      <w:r w:rsidRPr="00FF6120">
        <w:rPr>
          <w:rFonts w:ascii="Century Gothic" w:hAnsi="Century Gothic" w:eastAsia="Arial" w:cs="Arial"/>
          <w:color w:val="000000"/>
        </w:rPr>
        <w:t xml:space="preserve">. En el mismo sentido, la Corte Constitucional ha decantado cuatro (4) reglas aplicables a este tipo de conceptos: </w:t>
      </w:r>
    </w:p>
    <w:p w:rsidRPr="00FF6120" w:rsidR="002917FA" w:rsidP="002917FA" w:rsidRDefault="002917FA" w14:paraId="221A259D" w14:textId="77777777">
      <w:pPr>
        <w:pBdr>
          <w:top w:val="nil"/>
          <w:left w:val="nil"/>
          <w:bottom w:val="nil"/>
          <w:right w:val="nil"/>
          <w:between w:val="nil"/>
        </w:pBdr>
        <w:spacing w:after="0" w:line="276" w:lineRule="auto"/>
        <w:ind w:left="709" w:right="709"/>
        <w:jc w:val="both"/>
        <w:rPr>
          <w:rFonts w:ascii="Century Gothic" w:hAnsi="Century Gothic" w:eastAsia="Arial" w:cs="Arial"/>
          <w:color w:val="000000"/>
        </w:rPr>
      </w:pPr>
    </w:p>
    <w:p w:rsidRPr="00FF6120" w:rsidR="002917FA" w:rsidP="002917FA" w:rsidRDefault="002917FA" w14:paraId="6021B939" w14:textId="77777777">
      <w:pPr>
        <w:pBdr>
          <w:top w:val="nil"/>
          <w:left w:val="nil"/>
          <w:bottom w:val="nil"/>
          <w:right w:val="nil"/>
          <w:between w:val="nil"/>
        </w:pBdr>
        <w:spacing w:after="120" w:line="240" w:lineRule="auto"/>
        <w:ind w:left="709" w:right="709"/>
        <w:jc w:val="both"/>
        <w:rPr>
          <w:rFonts w:ascii="Century Gothic" w:hAnsi="Century Gothic" w:eastAsia="Arial" w:cs="Arial"/>
          <w:color w:val="000000"/>
          <w:sz w:val="21"/>
          <w:szCs w:val="21"/>
        </w:rPr>
      </w:pPr>
      <w:r w:rsidRPr="00FF6120">
        <w:rPr>
          <w:rFonts w:ascii="Century Gothic" w:hAnsi="Century Gothic" w:eastAsia="Arial" w:cs="Arial"/>
          <w:color w:val="000000"/>
          <w:sz w:val="21"/>
          <w:szCs w:val="21"/>
        </w:rPr>
        <w:t xml:space="preserve">“1. Los conceptos jurídicos indeterminados no suponen la discrecionalidad de las autoridades, puesto que implican clasificar una situación para tomar una única medida apropiada o justa. </w:t>
      </w:r>
    </w:p>
    <w:p w:rsidRPr="00FF6120" w:rsidR="002917FA" w:rsidP="002917FA" w:rsidRDefault="002917FA" w14:paraId="08CB9A99" w14:textId="77777777">
      <w:pPr>
        <w:pBdr>
          <w:top w:val="nil"/>
          <w:left w:val="nil"/>
          <w:bottom w:val="nil"/>
          <w:right w:val="nil"/>
          <w:between w:val="nil"/>
        </w:pBdr>
        <w:spacing w:after="120" w:line="240" w:lineRule="auto"/>
        <w:ind w:left="709" w:right="709"/>
        <w:jc w:val="both"/>
        <w:rPr>
          <w:rFonts w:ascii="Century Gothic" w:hAnsi="Century Gothic" w:eastAsia="Arial" w:cs="Arial"/>
          <w:color w:val="000000"/>
          <w:sz w:val="21"/>
          <w:szCs w:val="21"/>
        </w:rPr>
      </w:pPr>
      <w:r w:rsidRPr="00FF6120">
        <w:rPr>
          <w:rFonts w:ascii="Century Gothic" w:hAnsi="Century Gothic" w:eastAsia="Arial" w:cs="Arial"/>
          <w:color w:val="000000"/>
          <w:sz w:val="21"/>
          <w:szCs w:val="21"/>
        </w:rPr>
        <w:t xml:space="preserve">2. Si bien se admite cierto grado de indeterminación y ambigüedad en el lenguaje jurídico, y no obstante no todo concepto jurídico indeterminado sea </w:t>
      </w:r>
      <w:r w:rsidRPr="00FF6120">
        <w:rPr>
          <w:rFonts w:ascii="Century Gothic" w:hAnsi="Century Gothic" w:eastAsia="Arial" w:cs="Arial"/>
          <w:i/>
          <w:iCs/>
          <w:color w:val="000000"/>
          <w:sz w:val="21"/>
          <w:szCs w:val="21"/>
        </w:rPr>
        <w:t>per se</w:t>
      </w:r>
      <w:r w:rsidRPr="00FF6120">
        <w:rPr>
          <w:rFonts w:ascii="Century Gothic" w:hAnsi="Century Gothic" w:eastAsia="Arial" w:cs="Arial"/>
          <w:color w:val="000000"/>
          <w:sz w:val="21"/>
          <w:szCs w:val="21"/>
        </w:rPr>
        <w:t xml:space="preserve"> inconstitucional, el legislador debe evitar emplear palabras y conceptos que impliquen un grado de ambigüedad tal, que afecten la certeza del derecho y lleven a una interpretación absolutamente discrecional de la autoridad a quien corresponde aplicar determinada disposición, especialmente cuando se trata de normas que restringen el derecho a la libertad en sus múltiples expresiones. </w:t>
      </w:r>
    </w:p>
    <w:p w:rsidRPr="00FF6120" w:rsidR="002917FA" w:rsidP="002917FA" w:rsidRDefault="002917FA" w14:paraId="05F69FB9" w14:textId="77777777">
      <w:pPr>
        <w:pBdr>
          <w:top w:val="nil"/>
          <w:left w:val="nil"/>
          <w:bottom w:val="nil"/>
          <w:right w:val="nil"/>
          <w:between w:val="nil"/>
        </w:pBdr>
        <w:spacing w:after="120" w:line="240" w:lineRule="auto"/>
        <w:ind w:left="709" w:right="709"/>
        <w:jc w:val="both"/>
        <w:rPr>
          <w:rFonts w:ascii="Century Gothic" w:hAnsi="Century Gothic" w:eastAsia="Arial" w:cs="Arial"/>
          <w:color w:val="000000"/>
          <w:sz w:val="21"/>
          <w:szCs w:val="21"/>
        </w:rPr>
      </w:pPr>
      <w:r w:rsidRPr="00FF6120">
        <w:rPr>
          <w:rFonts w:ascii="Century Gothic" w:hAnsi="Century Gothic" w:eastAsia="Arial" w:cs="Arial"/>
          <w:color w:val="000000"/>
          <w:sz w:val="21"/>
          <w:szCs w:val="21"/>
        </w:rPr>
        <w:t xml:space="preserve">3. Cuando sea posible esclarecer un concepto jurídico indeterminado, a partir de las herramientas hermenéuticas que ofrece el propio ordenamiento, la disposición no será inconstitucional. Por el contrario, si el concepto es tan abierto que no puede ser concretado en forma razonable, se desconoce el principio de legalidad. </w:t>
      </w:r>
    </w:p>
    <w:p w:rsidRPr="00FF6120" w:rsidR="002917FA" w:rsidP="002917FA" w:rsidRDefault="002917FA" w14:paraId="615A4243" w14:textId="77777777">
      <w:pPr>
        <w:pBdr>
          <w:top w:val="nil"/>
          <w:left w:val="nil"/>
          <w:bottom w:val="nil"/>
          <w:right w:val="nil"/>
          <w:between w:val="nil"/>
        </w:pBdr>
        <w:spacing w:after="0" w:line="240" w:lineRule="auto"/>
        <w:ind w:left="709" w:right="709"/>
        <w:jc w:val="both"/>
        <w:rPr>
          <w:rFonts w:ascii="Century Gothic" w:hAnsi="Century Gothic" w:eastAsia="Arial" w:cs="Arial"/>
          <w:color w:val="000000"/>
          <w:sz w:val="21"/>
          <w:szCs w:val="21"/>
        </w:rPr>
      </w:pPr>
      <w:r w:rsidRPr="00FF6120">
        <w:rPr>
          <w:rFonts w:ascii="Century Gothic" w:hAnsi="Century Gothic" w:eastAsia="Arial" w:cs="Arial"/>
          <w:color w:val="000000"/>
          <w:sz w:val="21"/>
          <w:szCs w:val="21"/>
        </w:rPr>
        <w:t>4. En materia sancionatoria, ya sea penal o disciplinaria, la exigencia de certeza sobre el supuesto de hecho de una norma es mayor, puesto que la aplicación de la misma puede implicar una afectación más profunda de los derechos y libertades constitucionalmente protegidas”</w:t>
      </w:r>
      <w:r w:rsidRPr="00FF6120">
        <w:rPr>
          <w:rFonts w:ascii="Century Gothic" w:hAnsi="Century Gothic" w:eastAsia="Arial" w:cs="Arial"/>
          <w:color w:val="000000"/>
          <w:sz w:val="21"/>
          <w:szCs w:val="21"/>
          <w:vertAlign w:val="superscript"/>
        </w:rPr>
        <w:footnoteReference w:id="30"/>
      </w:r>
      <w:r w:rsidRPr="00FF6120">
        <w:rPr>
          <w:rFonts w:ascii="Century Gothic" w:hAnsi="Century Gothic" w:eastAsia="Arial" w:cs="Arial"/>
          <w:color w:val="000000"/>
          <w:sz w:val="21"/>
          <w:szCs w:val="21"/>
        </w:rPr>
        <w:t>.</w:t>
      </w:r>
    </w:p>
    <w:p w:rsidRPr="00FF6120" w:rsidR="002917FA" w:rsidP="002917FA" w:rsidRDefault="002917FA" w14:paraId="5EACFE2C" w14:textId="77777777">
      <w:pPr>
        <w:pBdr>
          <w:top w:val="nil"/>
          <w:left w:val="nil"/>
          <w:bottom w:val="nil"/>
          <w:right w:val="nil"/>
          <w:between w:val="nil"/>
        </w:pBdr>
        <w:spacing w:after="0" w:line="276" w:lineRule="auto"/>
        <w:ind w:firstLine="705"/>
        <w:jc w:val="both"/>
        <w:rPr>
          <w:rFonts w:ascii="Century Gothic" w:hAnsi="Century Gothic" w:eastAsia="Arial" w:cs="Arial"/>
          <w:color w:val="000000"/>
        </w:rPr>
      </w:pPr>
    </w:p>
    <w:p w:rsidR="002917FA" w:rsidP="002917FA" w:rsidRDefault="002917FA" w14:paraId="2D9FC529" w14:textId="77777777">
      <w:pPr>
        <w:pBdr>
          <w:top w:val="nil"/>
          <w:left w:val="nil"/>
          <w:bottom w:val="nil"/>
          <w:right w:val="nil"/>
          <w:between w:val="nil"/>
        </w:pBdr>
        <w:spacing w:after="120" w:line="276" w:lineRule="auto"/>
        <w:ind w:firstLine="703"/>
        <w:jc w:val="both"/>
        <w:rPr>
          <w:rFonts w:ascii="Century Gothic" w:hAnsi="Century Gothic" w:eastAsia="Arial" w:cs="Arial"/>
          <w:color w:val="000000"/>
        </w:rPr>
      </w:pPr>
      <w:r w:rsidRPr="00FF6120">
        <w:rPr>
          <w:rFonts w:ascii="Century Gothic" w:hAnsi="Century Gothic" w:eastAsia="Arial" w:cs="Arial"/>
          <w:color w:val="000000"/>
        </w:rPr>
        <w:t xml:space="preserve">De acuerdo con la jurisprudencia, </w:t>
      </w:r>
      <w:bookmarkStart w:name="_Hlk160632642" w:id="13"/>
      <w:r w:rsidRPr="00FF6120">
        <w:rPr>
          <w:rFonts w:ascii="Century Gothic" w:hAnsi="Century Gothic" w:eastAsia="Arial" w:cs="Arial"/>
          <w:color w:val="000000"/>
        </w:rPr>
        <w:t xml:space="preserve">los conceptos jurídicos indeterminados no suponen la discrecionalidad de las autoridades. </w:t>
      </w:r>
      <w:r w:rsidRPr="00FF6120">
        <w:rPr>
          <w:rFonts w:ascii="Century Gothic" w:hAnsi="Century Gothic" w:eastAsia="Arial" w:cs="Arial"/>
        </w:rPr>
        <w:t>Con esa orientación</w:t>
      </w:r>
      <w:r w:rsidRPr="00FF6120">
        <w:rPr>
          <w:rFonts w:ascii="Century Gothic" w:hAnsi="Century Gothic" w:eastAsia="Arial" w:cs="Arial"/>
          <w:color w:val="000000"/>
        </w:rPr>
        <w:t xml:space="preserve">, el tribunal constitucional ha señalado que, para la determinación de su alcance, los operadores jurídicos deben acudir a los valores, los principios y las reglas de derecho que sirven de fundamento a la institución jurídica en cuya regulación está contenido </w:t>
      </w:r>
      <w:r w:rsidRPr="00FF6120">
        <w:rPr>
          <w:rFonts w:ascii="Century Gothic" w:hAnsi="Century Gothic" w:eastAsia="Arial" w:cs="Arial"/>
        </w:rPr>
        <w:t>dicho</w:t>
      </w:r>
      <w:r w:rsidRPr="00FF6120">
        <w:rPr>
          <w:rFonts w:ascii="Century Gothic" w:hAnsi="Century Gothic" w:eastAsia="Arial" w:cs="Arial"/>
          <w:color w:val="000000"/>
        </w:rPr>
        <w:t xml:space="preserve"> concepto</w:t>
      </w:r>
      <w:r w:rsidRPr="00FF6120">
        <w:rPr>
          <w:rFonts w:ascii="Century Gothic" w:hAnsi="Century Gothic" w:eastAsia="Arial" w:cs="Arial"/>
          <w:color w:val="000000"/>
          <w:vertAlign w:val="superscript"/>
        </w:rPr>
        <w:footnoteReference w:id="31"/>
      </w:r>
      <w:r w:rsidRPr="00FF6120">
        <w:rPr>
          <w:rFonts w:ascii="Century Gothic" w:hAnsi="Century Gothic" w:eastAsia="Arial" w:cs="Arial"/>
          <w:color w:val="000000"/>
        </w:rPr>
        <w:t xml:space="preserve">. Estos criterios o herramientas servirán de apoyo en el proceso intelectivo </w:t>
      </w:r>
      <w:r w:rsidRPr="00FF6120">
        <w:rPr>
          <w:rFonts w:ascii="Century Gothic" w:hAnsi="Century Gothic" w:eastAsia="Arial" w:cs="Arial"/>
        </w:rPr>
        <w:t>de los operadores jurídicos</w:t>
      </w:r>
      <w:r w:rsidRPr="00FF6120">
        <w:rPr>
          <w:rFonts w:ascii="Century Gothic" w:hAnsi="Century Gothic" w:eastAsia="Arial" w:cs="Arial"/>
          <w:color w:val="000000"/>
        </w:rPr>
        <w:t xml:space="preserve">. </w:t>
      </w:r>
      <w:r w:rsidRPr="00FF6120">
        <w:rPr>
          <w:rFonts w:ascii="Century Gothic" w:hAnsi="Century Gothic" w:eastAsia="Arial" w:cs="Arial"/>
        </w:rPr>
        <w:t>P</w:t>
      </w:r>
      <w:r w:rsidRPr="00FF6120">
        <w:rPr>
          <w:rFonts w:ascii="Century Gothic" w:hAnsi="Century Gothic" w:eastAsia="Arial" w:cs="Arial"/>
          <w:color w:val="000000"/>
        </w:rPr>
        <w:t>or regla general, la determinación del alcance de este tipo de conceptos exige que el operador jurídico lleve a cabo juicios de valor, lo cual no excluye el respectivo control</w:t>
      </w:r>
      <w:bookmarkEnd w:id="13"/>
      <w:r w:rsidRPr="00FF6120">
        <w:rPr>
          <w:rFonts w:ascii="Century Gothic" w:hAnsi="Century Gothic" w:eastAsia="Arial" w:cs="Arial"/>
        </w:rPr>
        <w:t>.</w:t>
      </w:r>
      <w:r w:rsidRPr="00FF6120">
        <w:rPr>
          <w:rFonts w:ascii="Century Gothic" w:hAnsi="Century Gothic" w:eastAsia="Arial" w:cs="Arial"/>
          <w:color w:val="000000"/>
        </w:rPr>
        <w:t xml:space="preserve"> </w:t>
      </w:r>
    </w:p>
    <w:p w:rsidR="002917FA" w:rsidP="002917FA" w:rsidRDefault="002917FA" w14:paraId="655B944D" w14:textId="77777777">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Pr>
          <w:rFonts w:ascii="Century Gothic" w:hAnsi="Century Gothic" w:eastAsia="Arial" w:cs="Arial"/>
          <w:color w:val="000000"/>
        </w:rPr>
        <w:t>T</w:t>
      </w:r>
      <w:r w:rsidRPr="009B03CF">
        <w:rPr>
          <w:rFonts w:ascii="Century Gothic" w:hAnsi="Century Gothic" w:eastAsia="Arial" w:cs="Arial"/>
          <w:color w:val="000000"/>
        </w:rPr>
        <w:t xml:space="preserve">eniendo en cuenta la competencia del artículo 189.11 superior para la debida ejecución de la ley, nada obsta para que el reglamento </w:t>
      </w:r>
      <w:r>
        <w:rPr>
          <w:rFonts w:ascii="Century Gothic" w:hAnsi="Century Gothic" w:eastAsia="Arial" w:cs="Arial"/>
          <w:color w:val="000000"/>
        </w:rPr>
        <w:t xml:space="preserve">precise el ámbito de aplicación de los </w:t>
      </w:r>
      <w:r w:rsidRPr="009B03CF">
        <w:rPr>
          <w:rFonts w:ascii="Century Gothic" w:hAnsi="Century Gothic" w:eastAsia="Arial" w:cs="Arial"/>
          <w:i/>
          <w:iCs/>
          <w:color w:val="000000"/>
        </w:rPr>
        <w:t>conceptos jurídicos indeterminados</w:t>
      </w:r>
      <w:r>
        <w:rPr>
          <w:rFonts w:ascii="Century Gothic" w:hAnsi="Century Gothic" w:eastAsia="Arial" w:cs="Arial"/>
          <w:color w:val="000000"/>
        </w:rPr>
        <w:t>. A</w:t>
      </w:r>
      <w:r w:rsidRPr="009B03CF">
        <w:rPr>
          <w:rFonts w:ascii="Century Gothic" w:hAnsi="Century Gothic" w:eastAsia="Arial" w:cs="Arial"/>
          <w:color w:val="000000"/>
        </w:rPr>
        <w:t xml:space="preserve">unque el artículo 28 del Código Civil dispone que las palabras se entenderán en su sentido natural y obvio, es decir, de acuerdo </w:t>
      </w:r>
      <w:r>
        <w:rPr>
          <w:rFonts w:ascii="Century Gothic" w:hAnsi="Century Gothic" w:eastAsia="Arial" w:cs="Arial"/>
          <w:color w:val="000000"/>
        </w:rPr>
        <w:t xml:space="preserve">con </w:t>
      </w:r>
      <w:r w:rsidRPr="009B03CF">
        <w:rPr>
          <w:rFonts w:ascii="Century Gothic" w:hAnsi="Century Gothic" w:eastAsia="Arial" w:cs="Arial"/>
          <w:color w:val="000000"/>
        </w:rPr>
        <w:t xml:space="preserve">su sentido general, también dispone que cuando se definan expresamente para ciertas materias, se les dará en éstas su significado </w:t>
      </w:r>
      <w:r w:rsidRPr="009B03CF">
        <w:rPr>
          <w:rFonts w:ascii="Century Gothic" w:hAnsi="Century Gothic" w:eastAsia="Arial" w:cs="Arial"/>
          <w:color w:val="000000"/>
        </w:rPr>
        <w:t>legal</w:t>
      </w:r>
      <w:r>
        <w:rPr>
          <w:rFonts w:ascii="Century Gothic" w:hAnsi="Century Gothic" w:eastAsia="Arial" w:cs="Arial"/>
          <w:color w:val="000000"/>
        </w:rPr>
        <w:t xml:space="preserve">. </w:t>
      </w:r>
      <w:r w:rsidRPr="00D5180E">
        <w:rPr>
          <w:rFonts w:ascii="Century Gothic" w:hAnsi="Century Gothic" w:eastAsia="Arial" w:cs="Arial"/>
          <w:color w:val="000000"/>
        </w:rPr>
        <w:t>Sin embargo,</w:t>
      </w:r>
      <w:r>
        <w:rPr>
          <w:rFonts w:ascii="Century Gothic" w:hAnsi="Century Gothic" w:eastAsia="Arial" w:cs="Arial"/>
          <w:color w:val="000000"/>
        </w:rPr>
        <w:t xml:space="preserve"> por regla general,</w:t>
      </w:r>
      <w:r w:rsidRPr="00D5180E">
        <w:rPr>
          <w:rFonts w:ascii="Century Gothic" w:hAnsi="Century Gothic" w:eastAsia="Arial" w:cs="Arial"/>
          <w:color w:val="000000"/>
        </w:rPr>
        <w:t xml:space="preserve"> l</w:t>
      </w:r>
      <w:r w:rsidRPr="00D5180E">
        <w:rPr>
          <w:rFonts w:ascii="Century Gothic" w:hAnsi="Century Gothic" w:eastAsia="Calibri" w:cs="Arial"/>
          <w:bCs/>
          <w:color w:val="000000" w:themeColor="text1"/>
          <w:lang w:val="es-ES_tradnl"/>
        </w:rPr>
        <w:t>a intervención del reglamento es accesoria, no necesaria: el Congreso de la República ejerce su competencia para la expedición de las leyes sin que normas de inferior jerarquía condicionen su vigencia o aplicación. Por ello, la competencia reglamentaria corresponde a un poder discrecional. En este contexto, si la expedición de reglamentos no es obligatoria, la ausencia de estos no excusa la inaplicación de la ley, pues contiene unos elementos mínimos que vinculan directamente a los destinatarios</w:t>
      </w:r>
      <w:r>
        <w:rPr>
          <w:rStyle w:val="Refdenotaalpie"/>
          <w:rFonts w:ascii="Century Gothic" w:hAnsi="Century Gothic" w:eastAsia="Calibri" w:cs="Arial"/>
          <w:bCs/>
          <w:color w:val="000000" w:themeColor="text1"/>
          <w:lang w:val="es-ES_tradnl"/>
        </w:rPr>
        <w:footnoteReference w:id="32"/>
      </w:r>
      <w:r w:rsidRPr="00D5180E">
        <w:rPr>
          <w:rFonts w:ascii="Century Gothic" w:hAnsi="Century Gothic" w:eastAsia="Calibri" w:cs="Arial"/>
          <w:bCs/>
          <w:color w:val="000000" w:themeColor="text1"/>
          <w:lang w:val="es-ES_tradnl"/>
        </w:rPr>
        <w:t>.</w:t>
      </w:r>
    </w:p>
    <w:p w:rsidR="002917FA" w:rsidP="002917FA" w:rsidRDefault="002917FA" w14:paraId="05554915" w14:textId="2E9F3549">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Pr>
          <w:rFonts w:ascii="Century Gothic" w:hAnsi="Century Gothic" w:eastAsia="Calibri" w:cs="Arial"/>
          <w:bCs/>
          <w:color w:val="000000" w:themeColor="text1"/>
          <w:lang w:val="es-ES_tradnl"/>
        </w:rPr>
        <w:t xml:space="preserve">Respecto al tema de la consulta, en ausencia de una reglamentación que precise el objeto de la causal de contratación directa del </w:t>
      </w:r>
      <w:r w:rsidRPr="006B6B6C">
        <w:rPr>
          <w:rFonts w:ascii="Century Gothic" w:hAnsi="Century Gothic" w:eastAsia="Calibri" w:cs="Arial"/>
          <w:bCs/>
          <w:color w:val="000000" w:themeColor="text1"/>
          <w:lang w:val="es-ES_tradnl"/>
        </w:rPr>
        <w:t xml:space="preserve">literal l) del artículo </w:t>
      </w:r>
      <w:r w:rsidR="004D49F3">
        <w:rPr>
          <w:rFonts w:ascii="Century Gothic" w:hAnsi="Century Gothic" w:eastAsia="Calibri" w:cs="Arial"/>
          <w:bCs/>
          <w:color w:val="000000" w:themeColor="text1"/>
          <w:lang w:val="es-ES_tradnl"/>
        </w:rPr>
        <w:t>2, numeral 4</w:t>
      </w:r>
      <w:r w:rsidRPr="006B6B6C">
        <w:rPr>
          <w:rFonts w:ascii="Century Gothic" w:hAnsi="Century Gothic" w:eastAsia="Calibri" w:cs="Arial"/>
          <w:bCs/>
          <w:color w:val="000000" w:themeColor="text1"/>
          <w:lang w:val="es-ES_tradnl"/>
        </w:rPr>
        <w:t xml:space="preserve"> de la Ley 1150 de 2007</w:t>
      </w:r>
      <w:r>
        <w:rPr>
          <w:rFonts w:ascii="Century Gothic" w:hAnsi="Century Gothic" w:eastAsia="Calibri" w:cs="Arial"/>
          <w:bCs/>
          <w:color w:val="000000" w:themeColor="text1"/>
          <w:lang w:val="es-ES_tradnl"/>
        </w:rPr>
        <w:t xml:space="preserve">, los </w:t>
      </w:r>
      <w:r w:rsidRPr="006B6B6C">
        <w:rPr>
          <w:rFonts w:ascii="Century Gothic" w:hAnsi="Century Gothic" w:eastAsia="Calibri" w:cs="Arial"/>
          <w:bCs/>
          <w:color w:val="000000" w:themeColor="text1"/>
          <w:lang w:val="es-ES_tradnl"/>
        </w:rPr>
        <w:t xml:space="preserve">programas, planes y proyectos del plan de desarrollo relacionados con </w:t>
      </w:r>
      <w:r>
        <w:rPr>
          <w:rFonts w:ascii="Century Gothic" w:hAnsi="Century Gothic" w:eastAsia="Calibri" w:cs="Arial"/>
          <w:bCs/>
          <w:color w:val="000000" w:themeColor="text1"/>
          <w:lang w:val="es-ES_tradnl"/>
        </w:rPr>
        <w:t>la</w:t>
      </w:r>
      <w:r w:rsidRPr="006B6B6C">
        <w:rPr>
          <w:rFonts w:ascii="Century Gothic" w:hAnsi="Century Gothic" w:eastAsia="Calibri" w:cs="Arial"/>
          <w:bCs/>
          <w:color w:val="000000" w:themeColor="text1"/>
          <w:lang w:val="es-ES_tradnl"/>
        </w:rPr>
        <w:t xml:space="preserve"> satisfacción de necesidades y/o servicios públicos de los pueblos y comunidades indígenas</w:t>
      </w:r>
      <w:r>
        <w:rPr>
          <w:rFonts w:ascii="Century Gothic" w:hAnsi="Century Gothic" w:eastAsia="Calibri" w:cs="Arial"/>
          <w:bCs/>
          <w:color w:val="000000" w:themeColor="text1"/>
          <w:lang w:val="es-ES_tradnl"/>
        </w:rPr>
        <w:t xml:space="preserve"> se entienden dentro del sentido general de las palabras, como dispone el inciso primero del artículo 28 del Código Civil. Por un lado, para la RAE las “necesidades” aluden a la “</w:t>
      </w:r>
      <w:r w:rsidRPr="00A8406B">
        <w:rPr>
          <w:rFonts w:ascii="Century Gothic" w:hAnsi="Century Gothic" w:eastAsia="Calibri" w:cs="Arial"/>
          <w:bCs/>
          <w:color w:val="000000" w:themeColor="text1"/>
          <w:lang w:val="es-ES_tradnl"/>
        </w:rPr>
        <w:t>Carencia de las cosas que son menester para la conservación de la vida</w:t>
      </w:r>
      <w:r>
        <w:rPr>
          <w:rFonts w:ascii="Century Gothic" w:hAnsi="Century Gothic" w:eastAsia="Calibri" w:cs="Arial"/>
          <w:bCs/>
          <w:color w:val="000000" w:themeColor="text1"/>
          <w:lang w:val="es-ES_tradnl"/>
        </w:rPr>
        <w:t>” así como al “</w:t>
      </w:r>
      <w:r w:rsidRPr="00A8406B">
        <w:rPr>
          <w:rFonts w:ascii="Century Gothic" w:hAnsi="Century Gothic" w:eastAsia="Calibri" w:cs="Arial"/>
          <w:bCs/>
          <w:color w:val="000000" w:themeColor="text1"/>
          <w:lang w:val="es-ES_tradnl"/>
        </w:rPr>
        <w:t>Especial riesgo o peligro que se padece, y en que se necesita pronto auxilio</w:t>
      </w:r>
      <w:r>
        <w:rPr>
          <w:rFonts w:ascii="Century Gothic" w:hAnsi="Century Gothic" w:eastAsia="Calibri" w:cs="Arial"/>
          <w:bCs/>
          <w:color w:val="000000" w:themeColor="text1"/>
          <w:lang w:val="es-ES_tradnl"/>
        </w:rPr>
        <w:t xml:space="preserve">”. Estas necesidades pueden relacionarse con condiciones precarias de vivienda, dificultades para acceder a los servicios de salud, bajos niveles de educación, malas condiciones sanitarias, dificultades para acceder al empleo, etc. En términos generales, se trata de necesidades </w:t>
      </w:r>
      <w:r w:rsidRPr="001C1388">
        <w:rPr>
          <w:rFonts w:ascii="Century Gothic" w:hAnsi="Century Gothic" w:eastAsia="Calibri" w:cs="Arial"/>
          <w:bCs/>
          <w:color w:val="000000" w:themeColor="text1"/>
          <w:lang w:val="es-ES_tradnl"/>
        </w:rPr>
        <w:t>cuya satisfacción es indispensable para la existencia humana</w:t>
      </w:r>
      <w:r>
        <w:rPr>
          <w:rFonts w:ascii="Century Gothic" w:hAnsi="Century Gothic" w:eastAsia="Calibri" w:cs="Arial"/>
          <w:bCs/>
          <w:color w:val="000000" w:themeColor="text1"/>
          <w:lang w:val="es-ES_tradnl"/>
        </w:rPr>
        <w:t>. Para estos efectos, el DANE construye un Í</w:t>
      </w:r>
      <w:r w:rsidRPr="00B12485">
        <w:rPr>
          <w:rFonts w:ascii="Century Gothic" w:hAnsi="Century Gothic" w:eastAsia="Calibri" w:cs="Arial"/>
          <w:bCs/>
          <w:color w:val="000000" w:themeColor="text1"/>
          <w:lang w:val="es-ES_tradnl"/>
        </w:rPr>
        <w:t>ndice de Necesidades Básicas Insatisfechas</w:t>
      </w:r>
      <w:r>
        <w:rPr>
          <w:rFonts w:ascii="Century Gothic" w:hAnsi="Century Gothic" w:eastAsia="Calibri" w:cs="Arial"/>
          <w:bCs/>
          <w:color w:val="000000" w:themeColor="text1"/>
          <w:lang w:val="es-ES_tradnl"/>
        </w:rPr>
        <w:t>, el cual constituye una metodología para</w:t>
      </w:r>
      <w:r w:rsidRPr="00B12485">
        <w:rPr>
          <w:rFonts w:ascii="Century Gothic" w:hAnsi="Century Gothic" w:eastAsia="Calibri" w:cs="Arial"/>
          <w:bCs/>
          <w:color w:val="000000" w:themeColor="text1"/>
          <w:lang w:val="es-ES_tradnl"/>
        </w:rPr>
        <w:t xml:space="preserve"> identificar carencias críticas </w:t>
      </w:r>
      <w:r>
        <w:rPr>
          <w:rFonts w:ascii="Century Gothic" w:hAnsi="Century Gothic" w:eastAsia="Calibri" w:cs="Arial"/>
          <w:bCs/>
          <w:color w:val="000000" w:themeColor="text1"/>
          <w:lang w:val="es-ES_tradnl"/>
        </w:rPr>
        <w:t>de la</w:t>
      </w:r>
      <w:r w:rsidRPr="00B12485">
        <w:rPr>
          <w:rFonts w:ascii="Century Gothic" w:hAnsi="Century Gothic" w:eastAsia="Calibri" w:cs="Arial"/>
          <w:bCs/>
          <w:color w:val="000000" w:themeColor="text1"/>
          <w:lang w:val="es-ES_tradnl"/>
        </w:rPr>
        <w:t xml:space="preserve"> población y caracterizar la pobreza</w:t>
      </w:r>
      <w:r>
        <w:rPr>
          <w:rFonts w:ascii="Century Gothic" w:hAnsi="Century Gothic" w:eastAsia="Calibri" w:cs="Arial"/>
          <w:bCs/>
          <w:color w:val="000000" w:themeColor="text1"/>
          <w:lang w:val="es-ES_tradnl"/>
        </w:rPr>
        <w:t>.</w:t>
      </w:r>
    </w:p>
    <w:p w:rsidR="002917FA" w:rsidP="002917FA" w:rsidRDefault="002917FA" w14:paraId="33E16ED1" w14:textId="77777777">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Pr>
          <w:rFonts w:ascii="Century Gothic" w:hAnsi="Century Gothic" w:eastAsia="Calibri" w:cs="Arial"/>
          <w:bCs/>
          <w:color w:val="000000" w:themeColor="text1"/>
          <w:lang w:val="es-ES_tradnl"/>
        </w:rPr>
        <w:t xml:space="preserve">Por su parte, los “servicios públicos” son “[…] </w:t>
      </w:r>
      <w:r w:rsidRPr="00707C72">
        <w:rPr>
          <w:rFonts w:ascii="Century Gothic" w:hAnsi="Century Gothic" w:eastAsia="Calibri" w:cs="Arial"/>
          <w:bCs/>
          <w:color w:val="000000" w:themeColor="text1"/>
          <w:lang w:val="es-ES_tradnl"/>
        </w:rPr>
        <w:t xml:space="preserve">aquellas actividades que el Estado tiene el deber de prestar a todos los habitantes del territorio nacional, de manera eficiente, regular y continua, en igualdad de condiciones, en forma directa, o mediante el concurso de los particulares, con el propósito de satisfacer </w:t>
      </w:r>
      <w:r w:rsidRPr="00707C72">
        <w:rPr>
          <w:rFonts w:ascii="Century Gothic" w:hAnsi="Century Gothic" w:eastAsia="Calibri" w:cs="Arial"/>
          <w:bCs/>
          <w:color w:val="000000" w:themeColor="text1"/>
          <w:lang w:val="es-ES_tradnl"/>
        </w:rPr>
        <w:t>las necesidades de interés general que la sociedad demanda</w:t>
      </w:r>
      <w:r>
        <w:rPr>
          <w:rFonts w:ascii="Century Gothic" w:hAnsi="Century Gothic" w:eastAsia="Calibri" w:cs="Arial"/>
          <w:bCs/>
          <w:color w:val="000000" w:themeColor="text1"/>
          <w:lang w:val="es-ES_tradnl"/>
        </w:rPr>
        <w:t>”</w:t>
      </w:r>
      <w:r>
        <w:rPr>
          <w:rStyle w:val="Refdenotaalpie"/>
          <w:rFonts w:ascii="Century Gothic" w:hAnsi="Century Gothic" w:eastAsia="Calibri" w:cs="Arial"/>
          <w:bCs/>
          <w:color w:val="000000" w:themeColor="text1"/>
          <w:lang w:val="es-ES_tradnl"/>
        </w:rPr>
        <w:footnoteReference w:id="33"/>
      </w:r>
      <w:r>
        <w:rPr>
          <w:rFonts w:ascii="Century Gothic" w:hAnsi="Century Gothic" w:eastAsia="Calibri" w:cs="Arial"/>
          <w:bCs/>
          <w:color w:val="000000" w:themeColor="text1"/>
          <w:lang w:val="es-ES_tradnl"/>
        </w:rPr>
        <w:t>. Mas allá de una concepción meramente orgánica, el concepto de servicio público está unido a un aspecto material, pues si “</w:t>
      </w:r>
      <w:r w:rsidRPr="00707C72">
        <w:rPr>
          <w:rFonts w:ascii="Century Gothic" w:hAnsi="Century Gothic" w:eastAsia="Calibri" w:cs="Arial"/>
          <w:bCs/>
          <w:color w:val="000000" w:themeColor="text1"/>
          <w:lang w:val="es-ES_tradnl"/>
        </w:rPr>
        <w:t xml:space="preserve">Las autoridades de la República están instituidas para </w:t>
      </w:r>
      <w:r>
        <w:rPr>
          <w:rFonts w:ascii="Century Gothic" w:hAnsi="Century Gothic" w:eastAsia="Calibri" w:cs="Arial"/>
          <w:bCs/>
          <w:color w:val="000000" w:themeColor="text1"/>
          <w:lang w:val="es-ES_tradnl"/>
        </w:rPr>
        <w:t>[…]</w:t>
      </w:r>
      <w:r w:rsidRPr="00707C72">
        <w:rPr>
          <w:rFonts w:ascii="Century Gothic" w:hAnsi="Century Gothic" w:eastAsia="Calibri" w:cs="Arial"/>
          <w:bCs/>
          <w:color w:val="000000" w:themeColor="text1"/>
          <w:lang w:val="es-ES_tradnl"/>
        </w:rPr>
        <w:t xml:space="preserve"> para asegurar el cumplimiento de los deberes sociales del Estado y de los particulares</w:t>
      </w:r>
      <w:r>
        <w:rPr>
          <w:rFonts w:ascii="Century Gothic" w:hAnsi="Century Gothic" w:eastAsia="Calibri" w:cs="Arial"/>
          <w:bCs/>
          <w:color w:val="000000" w:themeColor="text1"/>
          <w:lang w:val="es-ES_tradnl"/>
        </w:rPr>
        <w:t>” –inc. 2, art. 2 Constitucional– es claro que “</w:t>
      </w:r>
      <w:r w:rsidRPr="00707C72">
        <w:rPr>
          <w:rFonts w:ascii="Century Gothic" w:hAnsi="Century Gothic" w:eastAsia="Calibri" w:cs="Arial"/>
          <w:bCs/>
          <w:color w:val="000000" w:themeColor="text1"/>
          <w:lang w:val="es-ES_tradnl"/>
        </w:rPr>
        <w:t>Los servicios públicos son inherentes a la finalidad social del Estado</w:t>
      </w:r>
      <w:r>
        <w:rPr>
          <w:rFonts w:ascii="Century Gothic" w:hAnsi="Century Gothic" w:eastAsia="Calibri" w:cs="Arial"/>
          <w:bCs/>
          <w:color w:val="000000" w:themeColor="text1"/>
          <w:lang w:val="es-ES_tradnl"/>
        </w:rPr>
        <w:t xml:space="preserve">” –inc. 1°, art. 365 superior–. </w:t>
      </w:r>
    </w:p>
    <w:p w:rsidR="002917FA" w:rsidP="002917FA" w:rsidRDefault="002917FA" w14:paraId="6A6506A3" w14:textId="26700D0D">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Pr>
          <w:rFonts w:ascii="Century Gothic" w:hAnsi="Century Gothic" w:eastAsia="Calibri" w:cs="Arial"/>
          <w:bCs/>
          <w:color w:val="000000" w:themeColor="text1"/>
          <w:lang w:val="es-ES_tradnl"/>
        </w:rPr>
        <w:t>Pueden existir necesidades que estén relacionadas con la prestación de servicios públicos: este es el caso, por ejemplo, de la salud, la educación, el agua potable y el saneamiento básico. Al fortalecerse la prestación de estos servicios, se cubren necesidades de la población. Sin embargo, como se desprende de la redacción de la casual, este nexo no tiene carácter necesario. Por ejemplo, los problemas relacionados con la vivienda o las dificultades para acceder al empleo –más que la prestación de algún servicio de naturaleza asistencial– pueden requerir medidas de fomento</w:t>
      </w:r>
      <w:r>
        <w:rPr>
          <w:rStyle w:val="Refdenotaalpie"/>
          <w:rFonts w:ascii="Century Gothic" w:hAnsi="Century Gothic" w:eastAsia="Calibri" w:cs="Arial"/>
          <w:bCs/>
          <w:color w:val="000000" w:themeColor="text1"/>
          <w:lang w:val="es-ES_tradnl"/>
        </w:rPr>
        <w:footnoteReference w:id="34"/>
      </w:r>
      <w:r>
        <w:rPr>
          <w:rFonts w:ascii="Century Gothic" w:hAnsi="Century Gothic" w:eastAsia="Calibri" w:cs="Arial"/>
          <w:bCs/>
          <w:color w:val="000000" w:themeColor="text1"/>
          <w:lang w:val="es-ES_tradnl"/>
        </w:rPr>
        <w:t xml:space="preserve">. Así, el literal </w:t>
      </w:r>
      <w:r w:rsidRPr="006B6B6C">
        <w:rPr>
          <w:rFonts w:ascii="Century Gothic" w:hAnsi="Century Gothic" w:eastAsia="Calibri" w:cs="Arial"/>
          <w:bCs/>
          <w:color w:val="000000" w:themeColor="text1"/>
          <w:lang w:val="es-ES_tradnl"/>
        </w:rPr>
        <w:t xml:space="preserve">l) del artículo </w:t>
      </w:r>
      <w:r w:rsidR="002E6D6B">
        <w:rPr>
          <w:rFonts w:ascii="Century Gothic" w:hAnsi="Century Gothic" w:eastAsia="Calibri" w:cs="Arial"/>
          <w:bCs/>
          <w:color w:val="000000" w:themeColor="text1"/>
          <w:lang w:val="es-ES_tradnl"/>
        </w:rPr>
        <w:t>2, numeral 4</w:t>
      </w:r>
      <w:r w:rsidRPr="006B6B6C">
        <w:rPr>
          <w:rFonts w:ascii="Century Gothic" w:hAnsi="Century Gothic" w:eastAsia="Calibri" w:cs="Arial"/>
          <w:bCs/>
          <w:color w:val="000000" w:themeColor="text1"/>
          <w:lang w:val="es-ES_tradnl"/>
        </w:rPr>
        <w:t xml:space="preserve"> de la Ley 1150 de 2007</w:t>
      </w:r>
      <w:r>
        <w:rPr>
          <w:rFonts w:ascii="Century Gothic" w:hAnsi="Century Gothic" w:eastAsia="Calibri" w:cs="Arial"/>
          <w:bCs/>
          <w:color w:val="000000" w:themeColor="text1"/>
          <w:lang w:val="es-ES_tradnl"/>
        </w:rPr>
        <w:t xml:space="preserve"> se refiere a “[…] </w:t>
      </w:r>
      <w:r w:rsidRPr="00F4642E">
        <w:rPr>
          <w:rFonts w:ascii="Century Gothic" w:hAnsi="Century Gothic" w:eastAsia="Calibri" w:cs="Arial"/>
          <w:bCs/>
          <w:color w:val="000000" w:themeColor="text1"/>
          <w:lang w:val="es-ES_tradnl"/>
        </w:rPr>
        <w:t>la satisfacción de necesidades y/o servicios públicos</w:t>
      </w:r>
      <w:r>
        <w:rPr>
          <w:rFonts w:ascii="Century Gothic" w:hAnsi="Century Gothic" w:eastAsia="Calibri" w:cs="Arial"/>
          <w:bCs/>
          <w:color w:val="000000" w:themeColor="text1"/>
          <w:lang w:val="es-ES_tradnl"/>
        </w:rPr>
        <w:t xml:space="preserve"> […]</w:t>
      </w:r>
      <w:r w:rsidR="002E6D6B">
        <w:rPr>
          <w:rFonts w:ascii="Century Gothic" w:hAnsi="Century Gothic" w:eastAsia="Calibri" w:cs="Arial"/>
          <w:bCs/>
          <w:color w:val="000000" w:themeColor="text1"/>
          <w:lang w:val="es-ES_tradnl"/>
        </w:rPr>
        <w:t>”</w:t>
      </w:r>
      <w:r>
        <w:rPr>
          <w:rFonts w:ascii="Century Gothic" w:hAnsi="Century Gothic" w:eastAsia="Calibri" w:cs="Arial"/>
          <w:bCs/>
          <w:color w:val="000000" w:themeColor="text1"/>
          <w:lang w:val="es-ES_tradnl"/>
        </w:rPr>
        <w:t xml:space="preserve">, es decir, el objeto del contrato o convenio puede referirse a uno, a otro o a ambos, siempre que se trate de </w:t>
      </w:r>
      <w:r w:rsidRPr="006B6B6C">
        <w:rPr>
          <w:rFonts w:ascii="Century Gothic" w:hAnsi="Century Gothic" w:eastAsia="Calibri" w:cs="Arial"/>
          <w:bCs/>
          <w:color w:val="000000" w:themeColor="text1"/>
          <w:lang w:val="es-ES_tradnl"/>
        </w:rPr>
        <w:t>programas, planes y proyectos del plan de desarrollo</w:t>
      </w:r>
      <w:r>
        <w:rPr>
          <w:rFonts w:ascii="Century Gothic" w:hAnsi="Century Gothic" w:eastAsia="Calibri" w:cs="Arial"/>
          <w:bCs/>
          <w:color w:val="000000" w:themeColor="text1"/>
          <w:lang w:val="es-ES_tradnl"/>
        </w:rPr>
        <w:t xml:space="preserve"> relacionados con los </w:t>
      </w:r>
      <w:r w:rsidRPr="006B6B6C">
        <w:rPr>
          <w:rFonts w:ascii="Century Gothic" w:hAnsi="Century Gothic" w:eastAsia="Calibri" w:cs="Arial"/>
          <w:bCs/>
          <w:color w:val="000000" w:themeColor="text1"/>
          <w:lang w:val="es-ES_tradnl"/>
        </w:rPr>
        <w:t>pueblos y comunidades indígenas</w:t>
      </w:r>
      <w:r>
        <w:rPr>
          <w:rFonts w:ascii="Century Gothic" w:hAnsi="Century Gothic" w:eastAsia="Calibri" w:cs="Arial"/>
          <w:bCs/>
          <w:color w:val="000000" w:themeColor="text1"/>
          <w:lang w:val="es-ES_tradnl"/>
        </w:rPr>
        <w:t xml:space="preserve">.   </w:t>
      </w:r>
    </w:p>
    <w:p w:rsidR="002917FA" w:rsidP="002917FA" w:rsidRDefault="002917FA" w14:paraId="40BC9CB1" w14:textId="3869E482">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Pr>
          <w:rFonts w:ascii="Century Gothic" w:hAnsi="Century Gothic" w:eastAsia="Calibri" w:cs="Arial"/>
          <w:bCs/>
          <w:color w:val="000000" w:themeColor="text1"/>
          <w:lang w:val="es-ES_tradnl"/>
        </w:rPr>
        <w:t xml:space="preserve">No obstante, además de los requisitos subjetivos y objetivos explicados </w:t>
      </w:r>
      <w:r w:rsidRPr="00103099">
        <w:rPr>
          <w:rFonts w:ascii="Century Gothic" w:hAnsi="Century Gothic" w:eastAsia="Calibri" w:cs="Arial"/>
          <w:bCs/>
          <w:i/>
          <w:iCs/>
          <w:color w:val="000000" w:themeColor="text1"/>
          <w:lang w:val="es-ES_tradnl"/>
        </w:rPr>
        <w:t>ut supra</w:t>
      </w:r>
      <w:r>
        <w:rPr>
          <w:rFonts w:ascii="Century Gothic" w:hAnsi="Century Gothic" w:eastAsia="Calibri" w:cs="Arial"/>
          <w:bCs/>
          <w:color w:val="000000" w:themeColor="text1"/>
          <w:lang w:val="es-ES_tradnl"/>
        </w:rPr>
        <w:t xml:space="preserve">, la norma </w:t>
      </w:r>
      <w:bookmarkStart w:name="_Hlk160631623" w:id="14"/>
      <w:r>
        <w:rPr>
          <w:rFonts w:ascii="Century Gothic" w:hAnsi="Century Gothic" w:eastAsia="Calibri" w:cs="Arial"/>
          <w:bCs/>
          <w:color w:val="000000" w:themeColor="text1"/>
          <w:lang w:val="es-ES_tradnl"/>
        </w:rPr>
        <w:t xml:space="preserve">dispone que en los contratos o convenios suscritos “[…] </w:t>
      </w:r>
      <w:r w:rsidRPr="00103099">
        <w:rPr>
          <w:rFonts w:ascii="Century Gothic" w:hAnsi="Century Gothic" w:eastAsia="Calibri" w:cs="Arial"/>
          <w:bCs/>
          <w:color w:val="000000" w:themeColor="text1"/>
          <w:lang w:val="es-ES_tradnl"/>
        </w:rPr>
        <w:t xml:space="preserve">se contemplará </w:t>
      </w:r>
      <w:bookmarkStart w:name="_Hlk160630143" w:id="15"/>
      <w:r w:rsidRPr="00103099">
        <w:rPr>
          <w:rFonts w:ascii="Century Gothic" w:hAnsi="Century Gothic" w:eastAsia="Calibri" w:cs="Arial"/>
          <w:bCs/>
          <w:color w:val="000000" w:themeColor="text1"/>
          <w:lang w:val="es-ES_tradnl"/>
        </w:rPr>
        <w:t>la ejecución de obras públicas que impliquen actividades de mantenimiento y/o mejoramiento de infraestructura social y de transporte, así como suministrar bienes y/o servicios</w:t>
      </w:r>
      <w:bookmarkEnd w:id="15"/>
      <w:r w:rsidRPr="00103099">
        <w:rPr>
          <w:rFonts w:ascii="Century Gothic" w:hAnsi="Century Gothic" w:eastAsia="Calibri" w:cs="Arial"/>
          <w:bCs/>
          <w:color w:val="000000" w:themeColor="text1"/>
          <w:lang w:val="es-ES_tradnl"/>
        </w:rPr>
        <w:t xml:space="preserve"> para los que se acredite idoneidad, la cual </w:t>
      </w:r>
      <w:bookmarkStart w:name="_Hlk160628682" w:id="16"/>
      <w:r w:rsidRPr="00103099">
        <w:rPr>
          <w:rFonts w:ascii="Century Gothic" w:hAnsi="Century Gothic" w:eastAsia="Calibri" w:cs="Arial"/>
          <w:bCs/>
          <w:color w:val="000000" w:themeColor="text1"/>
          <w:lang w:val="es-ES_tradnl"/>
        </w:rPr>
        <w:t>deberá ser valorada teniendo en cuenta un enfoque diferencial</w:t>
      </w:r>
      <w:bookmarkEnd w:id="16"/>
      <w:r>
        <w:rPr>
          <w:rFonts w:ascii="Century Gothic" w:hAnsi="Century Gothic" w:eastAsia="Calibri" w:cs="Arial"/>
          <w:bCs/>
          <w:color w:val="000000" w:themeColor="text1"/>
          <w:lang w:val="es-ES_tradnl"/>
        </w:rPr>
        <w:t xml:space="preserve">”. Esto implica una calificación de </w:t>
      </w:r>
      <w:r w:rsidRPr="006B760F">
        <w:rPr>
          <w:rFonts w:ascii="Century Gothic" w:hAnsi="Century Gothic" w:eastAsia="Calibri" w:cs="Arial"/>
          <w:lang w:val="es-MX"/>
        </w:rPr>
        <w:t>los Cabildos Indígenas, las asociaciones de Cabildos Indígenas y/o Autoridades Tradicionales Indígenas, Consejos Indígenas y Organizaciones Indígenas</w:t>
      </w:r>
      <w:r>
        <w:rPr>
          <w:rFonts w:ascii="Century Gothic" w:hAnsi="Century Gothic" w:eastAsia="Calibri" w:cs="Arial"/>
          <w:lang w:val="es-MX"/>
        </w:rPr>
        <w:t xml:space="preserve">, pues la idoneidad para ejecutar las obras mencionadas, suministrar </w:t>
      </w:r>
      <w:r>
        <w:rPr>
          <w:rFonts w:ascii="Century Gothic" w:hAnsi="Century Gothic" w:eastAsia="Calibri" w:cs="Arial"/>
          <w:lang w:val="es-MX"/>
        </w:rPr>
        <w:t xml:space="preserve">bienes o prestar servicios es un requisito </w:t>
      </w:r>
      <w:r w:rsidRPr="008B5973">
        <w:rPr>
          <w:rFonts w:ascii="Century Gothic" w:hAnsi="Century Gothic" w:eastAsia="Calibri" w:cs="Arial"/>
          <w:i/>
          <w:iCs/>
          <w:lang w:val="es-MX"/>
        </w:rPr>
        <w:t>sine qua non</w:t>
      </w:r>
      <w:r>
        <w:rPr>
          <w:rFonts w:ascii="Century Gothic" w:hAnsi="Century Gothic" w:eastAsia="Calibri" w:cs="Arial"/>
          <w:lang w:val="es-MX"/>
        </w:rPr>
        <w:t xml:space="preserve"> de la causal de</w:t>
      </w:r>
      <w:r>
        <w:rPr>
          <w:rFonts w:ascii="Century Gothic" w:hAnsi="Century Gothic" w:eastAsia="Calibri" w:cs="Arial"/>
          <w:bCs/>
          <w:color w:val="000000" w:themeColor="text1"/>
          <w:lang w:val="es-ES_tradnl"/>
        </w:rPr>
        <w:t xml:space="preserve">l literal </w:t>
      </w:r>
      <w:r w:rsidRPr="006B6B6C">
        <w:rPr>
          <w:rFonts w:ascii="Century Gothic" w:hAnsi="Century Gothic" w:eastAsia="Calibri" w:cs="Arial"/>
          <w:bCs/>
          <w:color w:val="000000" w:themeColor="text1"/>
          <w:lang w:val="es-ES_tradnl"/>
        </w:rPr>
        <w:t>l) del artículo 2</w:t>
      </w:r>
      <w:r w:rsidR="002E6D6B">
        <w:rPr>
          <w:rFonts w:ascii="Century Gothic" w:hAnsi="Century Gothic" w:eastAsia="Calibri" w:cs="Arial"/>
          <w:bCs/>
          <w:color w:val="000000" w:themeColor="text1"/>
          <w:lang w:val="es-ES_tradnl"/>
        </w:rPr>
        <w:t>, numeral</w:t>
      </w:r>
      <w:r w:rsidR="007F77D8">
        <w:rPr>
          <w:rFonts w:ascii="Century Gothic" w:hAnsi="Century Gothic" w:eastAsia="Calibri" w:cs="Arial"/>
          <w:bCs/>
          <w:color w:val="000000" w:themeColor="text1"/>
          <w:lang w:val="es-ES_tradnl"/>
        </w:rPr>
        <w:t xml:space="preserve"> 4</w:t>
      </w:r>
      <w:r w:rsidRPr="006B6B6C">
        <w:rPr>
          <w:rFonts w:ascii="Century Gothic" w:hAnsi="Century Gothic" w:eastAsia="Calibri" w:cs="Arial"/>
          <w:bCs/>
          <w:color w:val="000000" w:themeColor="text1"/>
          <w:lang w:val="es-ES_tradnl"/>
        </w:rPr>
        <w:t xml:space="preserve"> de la Ley 1150 de 2007</w:t>
      </w:r>
      <w:r>
        <w:rPr>
          <w:rFonts w:ascii="Century Gothic" w:hAnsi="Century Gothic" w:eastAsia="Calibri" w:cs="Arial"/>
          <w:bCs/>
          <w:color w:val="000000" w:themeColor="text1"/>
          <w:lang w:val="es-ES_tradnl"/>
        </w:rPr>
        <w:t xml:space="preserve">.   </w:t>
      </w:r>
    </w:p>
    <w:p w:rsidR="002917FA" w:rsidP="002917FA" w:rsidRDefault="002917FA" w14:paraId="1ED40759" w14:textId="77777777">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Pr>
          <w:rFonts w:ascii="Century Gothic" w:hAnsi="Century Gothic" w:eastAsia="Calibri" w:cs="Arial"/>
          <w:bCs/>
          <w:color w:val="000000" w:themeColor="text1"/>
          <w:lang w:val="es-ES_tradnl"/>
        </w:rPr>
        <w:t xml:space="preserve">Nuevamente, se trata de un requisito plasmado en un </w:t>
      </w:r>
      <w:r w:rsidRPr="00923851">
        <w:rPr>
          <w:rFonts w:ascii="Century Gothic" w:hAnsi="Century Gothic" w:eastAsia="Calibri" w:cs="Arial"/>
          <w:bCs/>
          <w:i/>
          <w:iCs/>
          <w:color w:val="000000" w:themeColor="text1"/>
          <w:lang w:val="es-ES_tradnl"/>
        </w:rPr>
        <w:t>concepto jurídicamente indeterminado</w:t>
      </w:r>
      <w:r>
        <w:rPr>
          <w:rFonts w:ascii="Century Gothic" w:hAnsi="Century Gothic" w:eastAsia="Calibri" w:cs="Arial"/>
          <w:bCs/>
          <w:color w:val="000000" w:themeColor="text1"/>
          <w:lang w:val="es-ES_tradnl"/>
        </w:rPr>
        <w:t xml:space="preserve"> que es necesario llenar de contenido en cada caso concreto. Conforme al diccionario de la RAE, lo “idóneo” se refiere a que es “</w:t>
      </w:r>
      <w:r w:rsidRPr="00A43A04">
        <w:rPr>
          <w:rFonts w:ascii="Century Gothic" w:hAnsi="Century Gothic" w:eastAsia="Calibri" w:cs="Arial"/>
          <w:bCs/>
          <w:color w:val="000000" w:themeColor="text1"/>
          <w:lang w:val="es-ES_tradnl"/>
        </w:rPr>
        <w:t>Adecuado y apropiado para algo</w:t>
      </w:r>
      <w:r>
        <w:rPr>
          <w:rFonts w:ascii="Century Gothic" w:hAnsi="Century Gothic" w:eastAsia="Calibri" w:cs="Arial"/>
          <w:bCs/>
          <w:color w:val="000000" w:themeColor="text1"/>
          <w:lang w:val="es-ES_tradnl"/>
        </w:rPr>
        <w:t>”, lo que indica una serie de aptitudes para cumplir un fin determinado. Esto se confirma en el diccionario panhispánico del español jurídico, donde la RAE alude a la “</w:t>
      </w:r>
      <w:r w:rsidRPr="0017381D">
        <w:rPr>
          <w:rFonts w:ascii="Century Gothic" w:hAnsi="Century Gothic" w:eastAsia="Calibri" w:cs="Arial"/>
          <w:bCs/>
          <w:color w:val="000000" w:themeColor="text1"/>
          <w:lang w:val="es-ES_tradnl"/>
        </w:rPr>
        <w:t>Cualidad personal necesaria para la prestación de un servicio concreto o la asunción de un cargo</w:t>
      </w:r>
      <w:r>
        <w:rPr>
          <w:rFonts w:ascii="Century Gothic" w:hAnsi="Century Gothic" w:eastAsia="Calibri" w:cs="Arial"/>
          <w:bCs/>
          <w:color w:val="000000" w:themeColor="text1"/>
          <w:lang w:val="es-ES_tradnl"/>
        </w:rPr>
        <w:t xml:space="preserve">”. Este requisito también se exige, por ejemplo, para la celebración de contratos de prestación de servicios profesionales y de apoyo a la gestión –art. </w:t>
      </w:r>
      <w:r w:rsidRPr="0017381D">
        <w:rPr>
          <w:rFonts w:ascii="Century Gothic" w:hAnsi="Century Gothic" w:eastAsia="Calibri" w:cs="Arial"/>
          <w:bCs/>
          <w:color w:val="000000" w:themeColor="text1"/>
          <w:lang w:val="es-ES_tradnl"/>
        </w:rPr>
        <w:t>2.2.1.2.1.4.9</w:t>
      </w:r>
      <w:r>
        <w:rPr>
          <w:rFonts w:ascii="Century Gothic" w:hAnsi="Century Gothic" w:eastAsia="Calibri" w:cs="Arial"/>
          <w:bCs/>
          <w:color w:val="000000" w:themeColor="text1"/>
          <w:lang w:val="es-ES_tradnl"/>
        </w:rPr>
        <w:t xml:space="preserve"> del Decreto 1082 de 2015– y para suscribir contratos del artículo 355 superior con entidades privadas sin ánimo de lucro –art. 3 del Decreto 092 de 2017–.</w:t>
      </w:r>
    </w:p>
    <w:p w:rsidR="002917FA" w:rsidP="002917FA" w:rsidRDefault="002917FA" w14:paraId="472A9B07" w14:textId="77777777">
      <w:pPr>
        <w:pBdr>
          <w:top w:val="nil"/>
          <w:left w:val="nil"/>
          <w:bottom w:val="nil"/>
          <w:right w:val="nil"/>
          <w:between w:val="nil"/>
        </w:pBdr>
        <w:spacing w:after="0" w:line="276" w:lineRule="auto"/>
        <w:ind w:firstLine="703"/>
        <w:jc w:val="both"/>
        <w:rPr>
          <w:rFonts w:ascii="Century Gothic" w:hAnsi="Century Gothic" w:eastAsia="Calibri" w:cs="Arial"/>
          <w:bCs/>
          <w:color w:val="000000" w:themeColor="text1"/>
          <w:lang w:val="es-ES_tradnl"/>
        </w:rPr>
      </w:pPr>
      <w:r>
        <w:rPr>
          <w:rFonts w:ascii="Century Gothic" w:hAnsi="Century Gothic" w:eastAsia="Calibri" w:cs="Arial"/>
          <w:bCs/>
          <w:color w:val="000000" w:themeColor="text1"/>
          <w:lang w:val="es-ES_tradnl"/>
        </w:rPr>
        <w:t xml:space="preserve">Dicha idoneidad, como mínimo, se precisa en términos de conocimiento y de experiencia, es decir, en la combinación entre el “saber” y el “saber hacer”. Estas capacidades se analizan en relación con el objeto del contrato, de donde se deprenden aptitudes teóricas y prácticas para ejecutar el proyecto. Además de lo anterior, puede verificarse con criterios como las capacidades del personal vinculado, una estructura organizacional robusta, la implementación y cumplimiento de indicadores de gestión, reputación del organismo en el medio, entre otras. Como se observa, la idoneidad es un concepto que se determina de forma valorativa, esto es, de acuerdo con el parámetro de verificación que se adopte. Al tratarse de </w:t>
      </w:r>
      <w:r w:rsidRPr="00B562F5">
        <w:rPr>
          <w:rFonts w:ascii="Century Gothic" w:hAnsi="Century Gothic" w:eastAsia="Calibri" w:cs="Arial"/>
          <w:lang w:val="es-MX"/>
        </w:rPr>
        <w:t>pueblos y comunidades indígenas</w:t>
      </w:r>
      <w:r>
        <w:rPr>
          <w:rFonts w:ascii="Century Gothic" w:hAnsi="Century Gothic" w:eastAsia="Calibri" w:cs="Arial"/>
          <w:lang w:val="es-MX"/>
        </w:rPr>
        <w:t>,</w:t>
      </w:r>
      <w:r>
        <w:rPr>
          <w:rFonts w:ascii="Century Gothic" w:hAnsi="Century Gothic" w:eastAsia="Calibri" w:cs="Arial"/>
          <w:bCs/>
          <w:color w:val="000000" w:themeColor="text1"/>
          <w:lang w:val="es-ES_tradnl"/>
        </w:rPr>
        <w:t xml:space="preserve"> la norma dispone que esta circunstancia “[…] </w:t>
      </w:r>
      <w:r w:rsidRPr="00AE1058">
        <w:rPr>
          <w:rFonts w:ascii="Century Gothic" w:hAnsi="Century Gothic" w:eastAsia="Calibri" w:cs="Arial"/>
          <w:bCs/>
          <w:color w:val="000000" w:themeColor="text1"/>
          <w:lang w:val="es-ES_tradnl"/>
        </w:rPr>
        <w:t>deberá ser valorada teniendo en cuenta un enfoque diferencial</w:t>
      </w:r>
      <w:r>
        <w:rPr>
          <w:rFonts w:ascii="Century Gothic" w:hAnsi="Century Gothic" w:eastAsia="Calibri" w:cs="Arial"/>
          <w:bCs/>
          <w:color w:val="000000" w:themeColor="text1"/>
          <w:lang w:val="es-ES_tradnl"/>
        </w:rPr>
        <w:t xml:space="preserve"> […]”.</w:t>
      </w:r>
      <w:bookmarkEnd w:id="14"/>
      <w:r>
        <w:rPr>
          <w:rFonts w:ascii="Century Gothic" w:hAnsi="Century Gothic" w:eastAsia="Calibri" w:cs="Arial"/>
          <w:bCs/>
          <w:color w:val="000000" w:themeColor="text1"/>
          <w:lang w:val="es-ES_tradnl"/>
        </w:rPr>
        <w:t xml:space="preserve"> Como explica el Departamento Nacional de Planeación:</w:t>
      </w:r>
    </w:p>
    <w:p w:rsidR="002917FA" w:rsidP="002917FA" w:rsidRDefault="002917FA" w14:paraId="488A3023" w14:textId="77777777">
      <w:pPr>
        <w:pBdr>
          <w:top w:val="nil"/>
          <w:left w:val="nil"/>
          <w:bottom w:val="nil"/>
          <w:right w:val="nil"/>
          <w:between w:val="nil"/>
        </w:pBdr>
        <w:spacing w:after="0" w:line="276" w:lineRule="auto"/>
        <w:jc w:val="both"/>
        <w:rPr>
          <w:rFonts w:ascii="Century Gothic" w:hAnsi="Century Gothic" w:eastAsia="Calibri" w:cs="Arial"/>
          <w:bCs/>
          <w:color w:val="000000" w:themeColor="text1"/>
          <w:lang w:val="es-ES_tradnl"/>
        </w:rPr>
      </w:pPr>
    </w:p>
    <w:p w:rsidRPr="007126E1" w:rsidR="002917FA" w:rsidP="002917FA" w:rsidRDefault="002917FA" w14:paraId="78658B53" w14:textId="77777777">
      <w:pPr>
        <w:pBdr>
          <w:top w:val="nil"/>
          <w:left w:val="nil"/>
          <w:bottom w:val="nil"/>
          <w:right w:val="nil"/>
          <w:between w:val="nil"/>
        </w:pBdr>
        <w:spacing w:after="120" w:line="240" w:lineRule="auto"/>
        <w:ind w:left="709" w:right="709"/>
        <w:jc w:val="both"/>
        <w:rPr>
          <w:rFonts w:ascii="Century Gothic" w:hAnsi="Century Gothic" w:eastAsia="Calibri" w:cs="Arial"/>
          <w:bCs/>
          <w:color w:val="000000" w:themeColor="text1"/>
          <w:sz w:val="21"/>
          <w:szCs w:val="21"/>
          <w:lang w:val="es-ES_tradnl"/>
        </w:rPr>
      </w:pPr>
      <w:r w:rsidRPr="007126E1">
        <w:rPr>
          <w:rFonts w:ascii="Century Gothic" w:hAnsi="Century Gothic" w:eastAsia="Calibri" w:cs="Arial"/>
          <w:bCs/>
          <w:color w:val="000000" w:themeColor="text1"/>
          <w:sz w:val="21"/>
          <w:szCs w:val="21"/>
          <w:lang w:val="es-ES_tradnl"/>
        </w:rPr>
        <w:t xml:space="preserve">“El enfoque diferencial étnico remite a una perspectiva integrada de análisis, reconocimiento, respeto y garantía de los derechos individuales y colectivos de todos los grupos étnicos existentes en el país, haciendo énfasis en la igualdad de oportunidades desde la diferencia, la diversidad y la no discriminación. </w:t>
      </w:r>
    </w:p>
    <w:p w:rsidR="002917FA" w:rsidP="002917FA" w:rsidRDefault="002917FA" w14:paraId="6A9EDC78" w14:textId="77777777">
      <w:pPr>
        <w:pBdr>
          <w:top w:val="nil"/>
          <w:left w:val="nil"/>
          <w:bottom w:val="nil"/>
          <w:right w:val="nil"/>
          <w:between w:val="nil"/>
        </w:pBdr>
        <w:spacing w:after="0" w:line="240" w:lineRule="auto"/>
        <w:ind w:left="709" w:right="709"/>
        <w:jc w:val="both"/>
        <w:rPr>
          <w:rFonts w:ascii="Century Gothic" w:hAnsi="Century Gothic" w:eastAsia="Calibri" w:cs="Arial"/>
          <w:bCs/>
          <w:color w:val="000000" w:themeColor="text1"/>
          <w:lang w:val="es-ES_tradnl"/>
        </w:rPr>
      </w:pPr>
      <w:r w:rsidRPr="007126E1">
        <w:rPr>
          <w:rFonts w:ascii="Century Gothic" w:hAnsi="Century Gothic" w:eastAsia="Calibri" w:cs="Arial"/>
          <w:bCs/>
          <w:color w:val="000000" w:themeColor="text1"/>
          <w:sz w:val="21"/>
          <w:szCs w:val="21"/>
          <w:lang w:val="es-ES_tradnl"/>
        </w:rPr>
        <w:t xml:space="preserve">Con esto se busca, por un lado, permear la política pública e incidir en las acciones del Estado, y por otro, divulgar y promover una cultura de reconocimiento, respeto e igualdad en el ejercicio de los derechos para todos los grupos que integran la nación pluriétnica y multicultural, y así </w:t>
      </w:r>
      <w:r w:rsidRPr="007126E1">
        <w:rPr>
          <w:rFonts w:ascii="Century Gothic" w:hAnsi="Century Gothic" w:eastAsia="Calibri" w:cs="Arial"/>
          <w:bCs/>
          <w:color w:val="000000" w:themeColor="text1"/>
          <w:sz w:val="21"/>
          <w:szCs w:val="21"/>
          <w:lang w:val="es-ES_tradnl"/>
        </w:rPr>
        <w:t>dimensionar los alcances de su inclusión en la agenda pública y la incidencia en sus procesos comunitarios y organizativos”</w:t>
      </w:r>
      <w:r>
        <w:rPr>
          <w:rStyle w:val="Refdenotaalpie"/>
          <w:rFonts w:ascii="Century Gothic" w:hAnsi="Century Gothic" w:eastAsia="Calibri" w:cs="Arial"/>
          <w:bCs/>
          <w:color w:val="000000" w:themeColor="text1"/>
          <w:sz w:val="21"/>
          <w:szCs w:val="21"/>
          <w:lang w:val="es-ES_tradnl"/>
        </w:rPr>
        <w:footnoteReference w:id="35"/>
      </w:r>
      <w:r w:rsidRPr="007126E1">
        <w:rPr>
          <w:rFonts w:ascii="Century Gothic" w:hAnsi="Century Gothic" w:eastAsia="Calibri" w:cs="Arial"/>
          <w:bCs/>
          <w:color w:val="000000" w:themeColor="text1"/>
          <w:sz w:val="21"/>
          <w:szCs w:val="21"/>
          <w:lang w:val="es-ES_tradnl"/>
        </w:rPr>
        <w:t>.</w:t>
      </w:r>
    </w:p>
    <w:p w:rsidR="002917FA" w:rsidP="002917FA" w:rsidRDefault="002917FA" w14:paraId="6B7CE865" w14:textId="77777777">
      <w:pPr>
        <w:pBdr>
          <w:top w:val="nil"/>
          <w:left w:val="nil"/>
          <w:bottom w:val="nil"/>
          <w:right w:val="nil"/>
          <w:between w:val="nil"/>
        </w:pBdr>
        <w:spacing w:after="0" w:line="276" w:lineRule="auto"/>
        <w:ind w:left="709" w:right="709"/>
        <w:jc w:val="both"/>
        <w:rPr>
          <w:rFonts w:ascii="Century Gothic" w:hAnsi="Century Gothic" w:eastAsia="Calibri" w:cs="Arial"/>
          <w:bCs/>
          <w:color w:val="000000" w:themeColor="text1"/>
          <w:lang w:val="es-ES_tradnl"/>
        </w:rPr>
      </w:pPr>
    </w:p>
    <w:p w:rsidR="002917FA" w:rsidP="002917FA" w:rsidRDefault="002917FA" w14:paraId="31EC4DBF" w14:textId="29B11F07">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sidRPr="008804C6">
        <w:rPr>
          <w:rFonts w:ascii="Century Gothic" w:hAnsi="Century Gothic" w:eastAsia="Calibri" w:cs="Arial"/>
          <w:bCs/>
          <w:color w:val="000000" w:themeColor="text1"/>
          <w:lang w:val="es-ES_tradnl"/>
        </w:rPr>
        <w:t xml:space="preserve">Desde un punto de vista jurídico, </w:t>
      </w:r>
      <w:r>
        <w:rPr>
          <w:rFonts w:ascii="Century Gothic" w:hAnsi="Century Gothic" w:eastAsia="Calibri" w:cs="Arial"/>
          <w:bCs/>
          <w:color w:val="000000" w:themeColor="text1"/>
          <w:lang w:val="es-ES_tradnl"/>
        </w:rPr>
        <w:t>estos</w:t>
      </w:r>
      <w:r w:rsidRPr="008804C6">
        <w:rPr>
          <w:rFonts w:ascii="Century Gothic" w:hAnsi="Century Gothic" w:eastAsia="Calibri" w:cs="Arial"/>
          <w:bCs/>
          <w:color w:val="000000" w:themeColor="text1"/>
          <w:lang w:val="es-ES_tradnl"/>
        </w:rPr>
        <w:t xml:space="preserve"> organismos </w:t>
      </w:r>
      <w:r>
        <w:rPr>
          <w:rFonts w:ascii="Century Gothic" w:hAnsi="Century Gothic" w:eastAsia="Calibri" w:cs="Arial"/>
          <w:bCs/>
          <w:color w:val="000000" w:themeColor="text1"/>
          <w:lang w:val="es-ES_tradnl"/>
        </w:rPr>
        <w:t>no tienen como objeto</w:t>
      </w:r>
      <w:r w:rsidRPr="008804C6">
        <w:rPr>
          <w:rFonts w:ascii="Century Gothic" w:hAnsi="Century Gothic" w:eastAsia="Calibri" w:cs="Arial"/>
          <w:bCs/>
          <w:color w:val="000000" w:themeColor="text1"/>
          <w:lang w:val="es-ES_tradnl"/>
        </w:rPr>
        <w:t xml:space="preserve"> la ejecución directa de grandes obras de infraestructura, aspecto que influye en la imposibilidad de acreditar </w:t>
      </w:r>
      <w:r>
        <w:rPr>
          <w:rFonts w:ascii="Century Gothic" w:hAnsi="Century Gothic" w:eastAsia="Calibri" w:cs="Arial"/>
          <w:bCs/>
          <w:color w:val="000000" w:themeColor="text1"/>
          <w:lang w:val="es-ES_tradnl"/>
        </w:rPr>
        <w:t>conocimientos y</w:t>
      </w:r>
      <w:r w:rsidRPr="008804C6">
        <w:rPr>
          <w:rFonts w:ascii="Century Gothic" w:hAnsi="Century Gothic" w:eastAsia="Calibri" w:cs="Arial"/>
          <w:bCs/>
          <w:color w:val="000000" w:themeColor="text1"/>
          <w:lang w:val="es-ES_tradnl"/>
        </w:rPr>
        <w:t xml:space="preserve"> experiencia en las mismas condiciones que un contratista en el marco de un proceso</w:t>
      </w:r>
      <w:r>
        <w:rPr>
          <w:rFonts w:ascii="Century Gothic" w:hAnsi="Century Gothic" w:eastAsia="Calibri" w:cs="Arial"/>
          <w:bCs/>
          <w:color w:val="000000" w:themeColor="text1"/>
          <w:lang w:val="es-ES_tradnl"/>
        </w:rPr>
        <w:t xml:space="preserve"> con pluralidad de oferentes</w:t>
      </w:r>
      <w:r w:rsidRPr="008804C6">
        <w:rPr>
          <w:rFonts w:ascii="Century Gothic" w:hAnsi="Century Gothic" w:eastAsia="Calibri" w:cs="Arial"/>
          <w:bCs/>
          <w:color w:val="000000" w:themeColor="text1"/>
          <w:lang w:val="es-ES_tradnl"/>
        </w:rPr>
        <w:t xml:space="preserve"> regido por el EGCAP</w:t>
      </w:r>
      <w:r>
        <w:rPr>
          <w:rFonts w:ascii="Century Gothic" w:hAnsi="Century Gothic" w:eastAsia="Calibri" w:cs="Arial"/>
          <w:bCs/>
          <w:color w:val="000000" w:themeColor="text1"/>
          <w:lang w:val="es-ES_tradnl"/>
        </w:rPr>
        <w:t xml:space="preserve">. </w:t>
      </w:r>
      <w:r w:rsidRPr="008804C6">
        <w:rPr>
          <w:rFonts w:ascii="Century Gothic" w:hAnsi="Century Gothic" w:eastAsia="Calibri" w:cs="Arial"/>
          <w:bCs/>
          <w:color w:val="000000" w:themeColor="text1"/>
          <w:lang w:val="es-ES_tradnl"/>
        </w:rPr>
        <w:t>No obstante</w:t>
      </w:r>
      <w:r>
        <w:rPr>
          <w:rFonts w:ascii="Century Gothic" w:hAnsi="Century Gothic" w:eastAsia="Calibri" w:cs="Arial"/>
          <w:bCs/>
          <w:color w:val="000000" w:themeColor="text1"/>
          <w:lang w:val="es-ES_tradnl"/>
        </w:rPr>
        <w:t xml:space="preserve">, además de establecer la idoneidad en términos de apropiación de los saberes ancestrales y los beneficios de su implementación en el proyecto, la Administración también </w:t>
      </w:r>
      <w:r w:rsidR="00923ED6">
        <w:rPr>
          <w:rFonts w:ascii="Century Gothic" w:hAnsi="Century Gothic" w:eastAsia="Calibri" w:cs="Arial"/>
          <w:bCs/>
          <w:color w:val="000000" w:themeColor="text1"/>
          <w:lang w:val="es-ES_tradnl"/>
        </w:rPr>
        <w:t xml:space="preserve">podría </w:t>
      </w:r>
      <w:r>
        <w:rPr>
          <w:rFonts w:ascii="Century Gothic" w:hAnsi="Century Gothic" w:eastAsia="Calibri" w:cs="Arial"/>
          <w:bCs/>
          <w:color w:val="000000" w:themeColor="text1"/>
          <w:lang w:val="es-ES_tradnl"/>
        </w:rPr>
        <w:t>validarla</w:t>
      </w:r>
      <w:r w:rsidRPr="008804C6">
        <w:rPr>
          <w:rFonts w:ascii="Century Gothic" w:hAnsi="Century Gothic" w:eastAsia="Calibri" w:cs="Arial"/>
          <w:bCs/>
          <w:color w:val="000000" w:themeColor="text1"/>
          <w:lang w:val="es-ES_tradnl"/>
        </w:rPr>
        <w:t xml:space="preserve"> respecto a las capacidades propias de los</w:t>
      </w:r>
      <w:r>
        <w:rPr>
          <w:rFonts w:ascii="Century Gothic" w:hAnsi="Century Gothic" w:eastAsia="Calibri" w:cs="Arial"/>
          <w:bCs/>
          <w:color w:val="000000" w:themeColor="text1"/>
          <w:lang w:val="es-ES_tradnl"/>
        </w:rPr>
        <w:t xml:space="preserve"> pueblos y comunidades </w:t>
      </w:r>
      <w:r w:rsidRPr="008804C6">
        <w:rPr>
          <w:rFonts w:ascii="Century Gothic" w:hAnsi="Century Gothic" w:eastAsia="Calibri" w:cs="Arial"/>
          <w:bCs/>
          <w:color w:val="000000" w:themeColor="text1"/>
          <w:lang w:val="es-ES_tradnl"/>
        </w:rPr>
        <w:t>o de quienes los confor</w:t>
      </w:r>
      <w:r>
        <w:rPr>
          <w:rFonts w:ascii="Century Gothic" w:hAnsi="Century Gothic" w:eastAsia="Calibri" w:cs="Arial"/>
          <w:bCs/>
          <w:color w:val="000000" w:themeColor="text1"/>
          <w:lang w:val="es-ES_tradnl"/>
        </w:rPr>
        <w:t>men</w:t>
      </w:r>
      <w:r w:rsidRPr="008804C6">
        <w:rPr>
          <w:rFonts w:ascii="Century Gothic" w:hAnsi="Century Gothic" w:eastAsia="Calibri" w:cs="Arial"/>
          <w:bCs/>
          <w:color w:val="000000" w:themeColor="text1"/>
          <w:lang w:val="es-ES_tradnl"/>
        </w:rPr>
        <w:t xml:space="preserve">, en aspectos como, por ejemplo, la ejecución exitosa de convenios </w:t>
      </w:r>
      <w:r>
        <w:rPr>
          <w:rFonts w:ascii="Century Gothic" w:hAnsi="Century Gothic" w:eastAsia="Calibri" w:cs="Arial"/>
          <w:bCs/>
          <w:color w:val="000000" w:themeColor="text1"/>
          <w:lang w:val="es-ES_tradnl"/>
        </w:rPr>
        <w:t>o contratos</w:t>
      </w:r>
      <w:r w:rsidRPr="008804C6">
        <w:rPr>
          <w:rFonts w:ascii="Century Gothic" w:hAnsi="Century Gothic" w:eastAsia="Calibri" w:cs="Arial"/>
          <w:bCs/>
          <w:color w:val="000000" w:themeColor="text1"/>
          <w:lang w:val="es-ES_tradnl"/>
        </w:rPr>
        <w:t xml:space="preserve"> anteriores</w:t>
      </w:r>
      <w:r>
        <w:rPr>
          <w:rFonts w:ascii="Century Gothic" w:hAnsi="Century Gothic" w:eastAsia="Calibri" w:cs="Arial"/>
          <w:bCs/>
          <w:color w:val="000000" w:themeColor="text1"/>
          <w:lang w:val="es-ES_tradnl"/>
        </w:rPr>
        <w:t xml:space="preserve"> con objeto similar</w:t>
      </w:r>
      <w:r w:rsidRPr="008804C6">
        <w:rPr>
          <w:rFonts w:ascii="Century Gothic" w:hAnsi="Century Gothic" w:eastAsia="Calibri" w:cs="Arial"/>
          <w:bCs/>
          <w:color w:val="000000" w:themeColor="text1"/>
          <w:lang w:val="es-ES_tradnl"/>
        </w:rPr>
        <w:t xml:space="preserve"> o la acreditaci</w:t>
      </w:r>
      <w:r>
        <w:rPr>
          <w:rFonts w:ascii="Century Gothic" w:hAnsi="Century Gothic" w:eastAsia="Calibri" w:cs="Arial"/>
          <w:bCs/>
          <w:color w:val="000000" w:themeColor="text1"/>
          <w:lang w:val="es-ES_tradnl"/>
        </w:rPr>
        <w:t>ón de competencias específicas</w:t>
      </w:r>
      <w:r w:rsidRPr="008804C6">
        <w:rPr>
          <w:rFonts w:ascii="Century Gothic" w:hAnsi="Century Gothic" w:eastAsia="Calibri" w:cs="Arial"/>
          <w:bCs/>
          <w:color w:val="000000" w:themeColor="text1"/>
          <w:lang w:val="es-ES_tradnl"/>
        </w:rPr>
        <w:t xml:space="preserve"> del personal que integr</w:t>
      </w:r>
      <w:r>
        <w:rPr>
          <w:rFonts w:ascii="Century Gothic" w:hAnsi="Century Gothic" w:eastAsia="Calibri" w:cs="Arial"/>
          <w:bCs/>
          <w:color w:val="000000" w:themeColor="text1"/>
          <w:lang w:val="es-ES_tradnl"/>
        </w:rPr>
        <w:t>e</w:t>
      </w:r>
      <w:r w:rsidRPr="008804C6">
        <w:rPr>
          <w:rFonts w:ascii="Century Gothic" w:hAnsi="Century Gothic" w:eastAsia="Calibri" w:cs="Arial"/>
          <w:bCs/>
          <w:color w:val="000000" w:themeColor="text1"/>
          <w:lang w:val="es-ES_tradnl"/>
        </w:rPr>
        <w:t xml:space="preserve">n </w:t>
      </w:r>
      <w:r>
        <w:rPr>
          <w:rFonts w:ascii="Century Gothic" w:hAnsi="Century Gothic" w:eastAsia="Calibri" w:cs="Arial"/>
          <w:bCs/>
          <w:color w:val="000000" w:themeColor="text1"/>
          <w:lang w:val="es-ES_tradnl"/>
        </w:rPr>
        <w:t>a</w:t>
      </w:r>
      <w:r w:rsidRPr="008804C6">
        <w:rPr>
          <w:rFonts w:ascii="Century Gothic" w:hAnsi="Century Gothic" w:eastAsia="Calibri" w:cs="Arial"/>
          <w:bCs/>
          <w:color w:val="000000" w:themeColor="text1"/>
          <w:lang w:val="es-ES_tradnl"/>
        </w:rPr>
        <w:t>l cumplimiento de obligaciones como mano de obra</w:t>
      </w:r>
      <w:r>
        <w:rPr>
          <w:rFonts w:ascii="Century Gothic" w:hAnsi="Century Gothic" w:eastAsia="Calibri" w:cs="Arial"/>
          <w:bCs/>
          <w:color w:val="000000" w:themeColor="text1"/>
          <w:lang w:val="es-ES_tradnl"/>
        </w:rPr>
        <w:t xml:space="preserve">. </w:t>
      </w:r>
    </w:p>
    <w:p w:rsidR="002917FA" w:rsidP="002917FA" w:rsidRDefault="002917FA" w14:paraId="516F7752" w14:textId="4008DE8C">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sidRPr="00993759">
        <w:rPr>
          <w:rFonts w:ascii="Century Gothic" w:hAnsi="Century Gothic" w:eastAsia="Calibri" w:cs="Arial"/>
          <w:bCs/>
          <w:color w:val="000000" w:themeColor="text1"/>
          <w:lang w:val="es-ES_tradnl"/>
        </w:rPr>
        <w:t xml:space="preserve">De acuerdo con esto, las obligaciones </w:t>
      </w:r>
      <w:r>
        <w:rPr>
          <w:rFonts w:ascii="Century Gothic" w:hAnsi="Century Gothic" w:eastAsia="Calibri" w:cs="Arial"/>
          <w:bCs/>
          <w:color w:val="000000" w:themeColor="text1"/>
          <w:lang w:val="es-ES_tradnl"/>
        </w:rPr>
        <w:t xml:space="preserve">que asuman los </w:t>
      </w:r>
      <w:r w:rsidRPr="00943080">
        <w:rPr>
          <w:rFonts w:ascii="Century Gothic" w:hAnsi="Century Gothic" w:eastAsia="Calibri" w:cs="Arial"/>
          <w:lang w:val="es-MX"/>
        </w:rPr>
        <w:t>Cabildos Indígenas, las asociaciones de Cabildos Indígenas y/o Autoridades Tradicionales Indígenas, Consejos Indígenas y Organizaciones Indígenas</w:t>
      </w:r>
      <w:r w:rsidRPr="00993759">
        <w:rPr>
          <w:rFonts w:ascii="Century Gothic" w:hAnsi="Century Gothic" w:eastAsia="Calibri" w:cs="Arial"/>
          <w:bCs/>
          <w:color w:val="000000" w:themeColor="text1"/>
          <w:lang w:val="es-ES_tradnl"/>
        </w:rPr>
        <w:t xml:space="preserve"> en el marco de </w:t>
      </w:r>
      <w:r>
        <w:rPr>
          <w:rFonts w:ascii="Century Gothic" w:hAnsi="Century Gothic" w:eastAsia="Calibri" w:cs="Arial"/>
          <w:bCs/>
          <w:color w:val="000000" w:themeColor="text1"/>
          <w:lang w:val="es-ES_tradnl"/>
        </w:rPr>
        <w:t xml:space="preserve">la causal de contratación directa </w:t>
      </w:r>
      <w:r>
        <w:rPr>
          <w:rFonts w:ascii="Century Gothic" w:hAnsi="Century Gothic" w:eastAsia="Calibri" w:cs="Arial"/>
          <w:lang w:val="es-MX"/>
        </w:rPr>
        <w:t>de</w:t>
      </w:r>
      <w:r>
        <w:rPr>
          <w:rFonts w:ascii="Century Gothic" w:hAnsi="Century Gothic" w:eastAsia="Calibri" w:cs="Arial"/>
          <w:bCs/>
          <w:color w:val="000000" w:themeColor="text1"/>
          <w:lang w:val="es-ES_tradnl"/>
        </w:rPr>
        <w:t xml:space="preserve">l literal </w:t>
      </w:r>
      <w:r w:rsidRPr="006B6B6C">
        <w:rPr>
          <w:rFonts w:ascii="Century Gothic" w:hAnsi="Century Gothic" w:eastAsia="Calibri" w:cs="Arial"/>
          <w:bCs/>
          <w:color w:val="000000" w:themeColor="text1"/>
          <w:lang w:val="es-ES_tradnl"/>
        </w:rPr>
        <w:t xml:space="preserve">l) del artículo </w:t>
      </w:r>
      <w:r w:rsidR="00334573">
        <w:rPr>
          <w:rFonts w:ascii="Century Gothic" w:hAnsi="Century Gothic" w:eastAsia="Calibri" w:cs="Arial"/>
          <w:bCs/>
          <w:color w:val="000000" w:themeColor="text1"/>
          <w:lang w:val="es-ES_tradnl"/>
        </w:rPr>
        <w:t>2, numeral 4</w:t>
      </w:r>
      <w:r w:rsidRPr="006B6B6C">
        <w:rPr>
          <w:rFonts w:ascii="Century Gothic" w:hAnsi="Century Gothic" w:eastAsia="Calibri" w:cs="Arial"/>
          <w:bCs/>
          <w:color w:val="000000" w:themeColor="text1"/>
          <w:lang w:val="es-ES_tradnl"/>
        </w:rPr>
        <w:t xml:space="preserve"> de la Ley 1150 de 2007</w:t>
      </w:r>
      <w:r w:rsidRPr="00993759">
        <w:rPr>
          <w:rFonts w:ascii="Century Gothic" w:hAnsi="Century Gothic" w:eastAsia="Calibri" w:cs="Arial"/>
          <w:bCs/>
          <w:color w:val="000000" w:themeColor="text1"/>
          <w:lang w:val="es-ES_tradnl"/>
        </w:rPr>
        <w:t xml:space="preserve"> deben ir en sintonía con la idoneidad que puedan demostrar para asumir las mismas</w:t>
      </w:r>
      <w:r>
        <w:rPr>
          <w:rFonts w:ascii="Century Gothic" w:hAnsi="Century Gothic" w:eastAsia="Calibri" w:cs="Arial"/>
          <w:bCs/>
          <w:color w:val="000000" w:themeColor="text1"/>
          <w:lang w:val="es-ES_tradnl"/>
        </w:rPr>
        <w:t>. En otros términos, se trata de aprovechar la capacidad de estas organizaciones para</w:t>
      </w:r>
      <w:r w:rsidRPr="00472D02">
        <w:rPr>
          <w:rFonts w:ascii="Century Gothic" w:hAnsi="Century Gothic" w:eastAsia="Calibri" w:cs="Arial"/>
          <w:bCs/>
          <w:color w:val="000000" w:themeColor="text1"/>
          <w:lang w:val="es-ES_tradnl"/>
        </w:rPr>
        <w:t xml:space="preserve"> ejecu</w:t>
      </w:r>
      <w:r>
        <w:rPr>
          <w:rFonts w:ascii="Century Gothic" w:hAnsi="Century Gothic" w:eastAsia="Calibri" w:cs="Arial"/>
          <w:bCs/>
          <w:color w:val="000000" w:themeColor="text1"/>
          <w:lang w:val="es-ES_tradnl"/>
        </w:rPr>
        <w:t>tar</w:t>
      </w:r>
      <w:r w:rsidRPr="00472D02">
        <w:rPr>
          <w:rFonts w:ascii="Century Gothic" w:hAnsi="Century Gothic" w:eastAsia="Calibri" w:cs="Arial"/>
          <w:bCs/>
          <w:color w:val="000000" w:themeColor="text1"/>
          <w:lang w:val="es-ES_tradnl"/>
        </w:rPr>
        <w:t xml:space="preserve"> obras de mantenimiento y/o mejoramiento de infraestructura social y de transporte, suministrar bienes o </w:t>
      </w:r>
      <w:r>
        <w:rPr>
          <w:rFonts w:ascii="Century Gothic" w:hAnsi="Century Gothic" w:eastAsia="Calibri" w:cs="Arial"/>
          <w:bCs/>
          <w:color w:val="000000" w:themeColor="text1"/>
          <w:lang w:val="es-ES_tradnl"/>
        </w:rPr>
        <w:t xml:space="preserve">prestar </w:t>
      </w:r>
      <w:r w:rsidRPr="00472D02">
        <w:rPr>
          <w:rFonts w:ascii="Century Gothic" w:hAnsi="Century Gothic" w:eastAsia="Calibri" w:cs="Arial"/>
          <w:bCs/>
          <w:color w:val="000000" w:themeColor="text1"/>
          <w:lang w:val="es-ES_tradnl"/>
        </w:rPr>
        <w:t>servicios</w:t>
      </w:r>
      <w:r>
        <w:rPr>
          <w:rFonts w:ascii="Century Gothic" w:hAnsi="Century Gothic" w:eastAsia="Calibri" w:cs="Arial"/>
          <w:bCs/>
          <w:color w:val="000000" w:themeColor="text1"/>
          <w:lang w:val="es-ES_tradnl"/>
        </w:rPr>
        <w:t xml:space="preserve"> en beneficio de sus pueblos y comunidades.</w:t>
      </w:r>
    </w:p>
    <w:p w:rsidR="002917FA" w:rsidP="002917FA" w:rsidRDefault="002917FA" w14:paraId="3C4163F3" w14:textId="77777777">
      <w:pPr>
        <w:pBdr>
          <w:top w:val="nil"/>
          <w:left w:val="nil"/>
          <w:bottom w:val="nil"/>
          <w:right w:val="nil"/>
          <w:between w:val="nil"/>
        </w:pBdr>
        <w:spacing w:after="0" w:line="276" w:lineRule="auto"/>
        <w:ind w:firstLine="703"/>
        <w:jc w:val="both"/>
        <w:rPr>
          <w:rFonts w:ascii="Century Gothic" w:hAnsi="Century Gothic" w:eastAsia="Calibri" w:cs="Arial"/>
          <w:bCs/>
          <w:color w:val="000000" w:themeColor="text1"/>
          <w:lang w:val="es-ES_tradnl"/>
        </w:rPr>
      </w:pPr>
      <w:r w:rsidRPr="00F22FD1">
        <w:rPr>
          <w:rFonts w:ascii="Century Gothic" w:hAnsi="Century Gothic" w:eastAsia="Calibri" w:cs="Arial"/>
          <w:bCs/>
          <w:color w:val="000000" w:themeColor="text1"/>
          <w:lang w:val="es-ES_tradnl"/>
        </w:rPr>
        <w:t xml:space="preserve">Dado que la Agencia carece de atribuciones para hacer un juicio de </w:t>
      </w:r>
      <w:r>
        <w:rPr>
          <w:rFonts w:ascii="Century Gothic" w:hAnsi="Century Gothic" w:eastAsia="Calibri" w:cs="Arial"/>
          <w:bCs/>
          <w:color w:val="000000" w:themeColor="text1"/>
          <w:lang w:val="es-ES_tradnl"/>
        </w:rPr>
        <w:t>validez</w:t>
      </w:r>
      <w:r w:rsidRPr="00F22FD1">
        <w:rPr>
          <w:rFonts w:ascii="Century Gothic" w:hAnsi="Century Gothic" w:eastAsia="Calibri" w:cs="Arial"/>
          <w:bCs/>
          <w:color w:val="000000" w:themeColor="text1"/>
          <w:lang w:val="es-ES_tradnl"/>
        </w:rPr>
        <w:t xml:space="preserve"> sobre de los requisitos </w:t>
      </w:r>
      <w:r>
        <w:rPr>
          <w:rFonts w:ascii="Century Gothic" w:hAnsi="Century Gothic" w:eastAsia="Calibri" w:cs="Arial"/>
          <w:bCs/>
          <w:color w:val="000000" w:themeColor="text1"/>
          <w:lang w:val="es-ES_tradnl"/>
        </w:rPr>
        <w:t>de idoneidad</w:t>
      </w:r>
      <w:r w:rsidRPr="00F22FD1">
        <w:rPr>
          <w:rFonts w:ascii="Century Gothic" w:hAnsi="Century Gothic" w:eastAsia="Calibri" w:cs="Arial"/>
          <w:bCs/>
          <w:color w:val="000000" w:themeColor="text1"/>
          <w:lang w:val="es-ES_tradnl"/>
        </w:rPr>
        <w:t xml:space="preserve">, la entidad no puede definir un criterio universal y absoluto por vía consultiva sobre el objeto de la petición,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estos temas corresponde a la entidad de adoptar la decisión correspondiente y, en caso de conflicto, a las autoridades judiciales, fiscales y disciplinarias. De esta manera, corresponderá a cada contratante definir la viabilidad técnica, jurídica y financiera de alguna gestión contractual en </w:t>
      </w:r>
      <w:r w:rsidRPr="00F22FD1">
        <w:rPr>
          <w:rFonts w:ascii="Century Gothic" w:hAnsi="Century Gothic" w:eastAsia="Calibri" w:cs="Arial"/>
          <w:bCs/>
          <w:color w:val="000000" w:themeColor="text1"/>
          <w:lang w:val="es-ES_tradnl"/>
        </w:rPr>
        <w:t>específico, sin que sea atribución de la Agencia Nacional de Contratación Pública – Colombia Compra Eficiente validar las actuaciones adelantadas.</w:t>
      </w:r>
    </w:p>
    <w:p w:rsidRPr="00BF1D9A" w:rsidR="002917FA" w:rsidP="002917FA" w:rsidRDefault="002917FA" w14:paraId="33A42EFB" w14:textId="77777777">
      <w:pPr>
        <w:pBdr>
          <w:top w:val="nil"/>
          <w:left w:val="nil"/>
          <w:bottom w:val="nil"/>
          <w:right w:val="nil"/>
          <w:between w:val="nil"/>
        </w:pBdr>
        <w:spacing w:after="0" w:line="276" w:lineRule="auto"/>
        <w:ind w:firstLine="703"/>
        <w:jc w:val="both"/>
        <w:rPr>
          <w:rFonts w:ascii="Century Gothic" w:hAnsi="Century Gothic" w:eastAsia="Calibri" w:cs="Arial"/>
          <w:color w:val="000000" w:themeColor="text1"/>
          <w:sz w:val="16"/>
          <w:szCs w:val="16"/>
          <w:lang w:val="es-ES_tradnl"/>
        </w:rPr>
      </w:pPr>
    </w:p>
    <w:p w:rsidRPr="004C64AD" w:rsidR="002917FA" w:rsidP="002917FA" w:rsidRDefault="002917FA" w14:paraId="3CAB1486" w14:textId="77777777">
      <w:pPr>
        <w:tabs>
          <w:tab w:val="left" w:pos="0"/>
        </w:tabs>
        <w:spacing w:after="0"/>
        <w:jc w:val="both"/>
        <w:rPr>
          <w:rFonts w:ascii="Century Gothic" w:hAnsi="Century Gothic" w:eastAsia="Calibri" w:cs="Arial"/>
          <w:b/>
          <w:color w:val="000000" w:themeColor="text1"/>
          <w:lang w:val="es-ES_tradnl"/>
        </w:rPr>
      </w:pPr>
      <w:r w:rsidRPr="004C64AD">
        <w:rPr>
          <w:rFonts w:ascii="Century Gothic" w:hAnsi="Century Gothic" w:eastAsia="Calibri" w:cs="Arial"/>
          <w:b/>
          <w:color w:val="000000" w:themeColor="text1"/>
          <w:lang w:val="es-ES_tradnl"/>
        </w:rPr>
        <w:t>3. Respuesta</w:t>
      </w:r>
    </w:p>
    <w:p w:rsidRPr="00BF1D9A" w:rsidR="002917FA" w:rsidP="002917FA" w:rsidRDefault="002917FA" w14:paraId="0A3F1B25" w14:textId="77777777">
      <w:pPr>
        <w:spacing w:after="0" w:line="276" w:lineRule="auto"/>
        <w:jc w:val="both"/>
        <w:rPr>
          <w:rFonts w:ascii="Century Gothic" w:hAnsi="Century Gothic" w:cs="Arial"/>
          <w:color w:val="000000" w:themeColor="text1"/>
          <w:sz w:val="16"/>
          <w:szCs w:val="16"/>
        </w:rPr>
      </w:pPr>
    </w:p>
    <w:p w:rsidRPr="00BF1D9A" w:rsidR="002917FA" w:rsidP="002917FA" w:rsidRDefault="002917FA" w14:paraId="32011257" w14:textId="77777777">
      <w:pPr>
        <w:spacing w:after="0" w:line="240" w:lineRule="auto"/>
        <w:ind w:left="709" w:right="709"/>
        <w:jc w:val="both"/>
        <w:rPr>
          <w:rFonts w:ascii="Century Gothic" w:hAnsi="Century Gothic" w:cs="Arial"/>
          <w:color w:val="000000" w:themeColor="text1"/>
          <w:sz w:val="20"/>
          <w:szCs w:val="20"/>
        </w:rPr>
      </w:pPr>
      <w:r w:rsidRPr="00BF1D9A">
        <w:rPr>
          <w:rFonts w:ascii="Century Gothic" w:hAnsi="Century Gothic" w:cs="Arial"/>
          <w:color w:val="000000" w:themeColor="text1"/>
          <w:sz w:val="20"/>
          <w:szCs w:val="20"/>
          <w:lang w:val="es-ES_tradnl"/>
        </w:rPr>
        <w:t xml:space="preserve">i) “¿Cuál es el alcance del Artículo 353 de la Ley 2294 de 2023, respecto a la </w:t>
      </w:r>
      <w:bookmarkStart w:name="_Hlk160633134" w:id="17"/>
      <w:r w:rsidRPr="00BF1D9A">
        <w:rPr>
          <w:rFonts w:ascii="Century Gothic" w:hAnsi="Century Gothic" w:cs="Arial"/>
          <w:color w:val="000000" w:themeColor="text1"/>
          <w:sz w:val="20"/>
          <w:szCs w:val="20"/>
          <w:lang w:val="es-ES_tradnl"/>
        </w:rPr>
        <w:t>satisfacción de necesidades y/o servicios públicos</w:t>
      </w:r>
      <w:bookmarkEnd w:id="17"/>
      <w:r w:rsidRPr="00BF1D9A">
        <w:rPr>
          <w:rFonts w:ascii="Century Gothic" w:hAnsi="Century Gothic" w:cs="Arial"/>
          <w:color w:val="000000" w:themeColor="text1"/>
          <w:sz w:val="20"/>
          <w:szCs w:val="20"/>
          <w:lang w:val="es-ES_tradnl"/>
        </w:rPr>
        <w:t xml:space="preserve"> de los pueblos y comunidades indígenas?”.</w:t>
      </w:r>
    </w:p>
    <w:p w:rsidRPr="004C64AD" w:rsidR="002917FA" w:rsidP="002917FA" w:rsidRDefault="002917FA" w14:paraId="6E295A69" w14:textId="77777777">
      <w:pPr>
        <w:spacing w:after="0" w:line="276" w:lineRule="auto"/>
        <w:ind w:left="709" w:right="709"/>
        <w:jc w:val="both"/>
        <w:rPr>
          <w:rFonts w:ascii="Century Gothic" w:hAnsi="Century Gothic" w:cs="Arial"/>
          <w:color w:val="000000" w:themeColor="text1"/>
        </w:rPr>
      </w:pPr>
      <w:r w:rsidRPr="004C64AD">
        <w:rPr>
          <w:rFonts w:ascii="Century Gothic" w:hAnsi="Century Gothic" w:cs="Arial"/>
          <w:color w:val="000000" w:themeColor="text1"/>
          <w:sz w:val="21"/>
          <w:szCs w:val="21"/>
        </w:rPr>
        <w:t xml:space="preserve"> </w:t>
      </w:r>
    </w:p>
    <w:p w:rsidR="002917FA" w:rsidP="002917FA" w:rsidRDefault="002917FA" w14:paraId="437E60EF" w14:textId="723BA5E2">
      <w:pPr>
        <w:shd w:val="clear" w:color="auto" w:fill="FFFFFF"/>
        <w:spacing w:after="120" w:line="276" w:lineRule="auto"/>
        <w:jc w:val="both"/>
        <w:rPr>
          <w:rFonts w:ascii="Century Gothic" w:hAnsi="Century Gothic" w:eastAsia="Calibri" w:cs="Arial"/>
          <w:lang w:val="es-MX"/>
        </w:rPr>
      </w:pPr>
      <w:r>
        <w:rPr>
          <w:rFonts w:ascii="Century Gothic" w:hAnsi="Century Gothic" w:eastAsia="Calibri" w:cs="Arial"/>
          <w:lang w:val="es-MX"/>
        </w:rPr>
        <w:t>E</w:t>
      </w:r>
      <w:r w:rsidRPr="00D300DB">
        <w:rPr>
          <w:rFonts w:ascii="Century Gothic" w:hAnsi="Century Gothic" w:eastAsia="Calibri" w:cs="Arial"/>
          <w:lang w:val="es-MX"/>
        </w:rPr>
        <w:t xml:space="preserve">l literal l) del artículo </w:t>
      </w:r>
      <w:r w:rsidR="00334573">
        <w:rPr>
          <w:rFonts w:ascii="Century Gothic" w:hAnsi="Century Gothic" w:eastAsia="Calibri" w:cs="Arial"/>
          <w:lang w:val="es-MX"/>
        </w:rPr>
        <w:t>2, numeral 4</w:t>
      </w:r>
      <w:r w:rsidRPr="00D300DB">
        <w:rPr>
          <w:rFonts w:ascii="Century Gothic" w:hAnsi="Century Gothic" w:eastAsia="Calibri" w:cs="Arial"/>
          <w:lang w:val="es-MX"/>
        </w:rPr>
        <w:t xml:space="preserve"> de la Ley 1150 de 2007</w:t>
      </w:r>
      <w:r>
        <w:rPr>
          <w:rFonts w:ascii="Century Gothic" w:hAnsi="Century Gothic" w:eastAsia="Calibri" w:cs="Arial"/>
          <w:lang w:val="es-MX"/>
        </w:rPr>
        <w:t xml:space="preserve">, </w:t>
      </w:r>
      <w:r>
        <w:rPr>
          <w:rFonts w:ascii="Century Gothic" w:hAnsi="Century Gothic" w:eastAsia="Calibri" w:cs="Arial"/>
          <w:bCs/>
          <w:color w:val="000000" w:themeColor="text1"/>
          <w:lang w:val="es-ES_tradnl"/>
        </w:rPr>
        <w:t>modificado por el artículo 353 de la Ley 2294 de 2023,</w:t>
      </w:r>
      <w:r>
        <w:rPr>
          <w:rFonts w:ascii="Century Gothic" w:hAnsi="Century Gothic" w:eastAsia="Calibri" w:cs="Arial"/>
          <w:lang w:val="es-MX"/>
        </w:rPr>
        <w:t xml:space="preserve"> aplica en función de los sujetos y del objeto. </w:t>
      </w:r>
      <w:r w:rsidRPr="00B562F5">
        <w:rPr>
          <w:rFonts w:ascii="Century Gothic" w:hAnsi="Century Gothic" w:eastAsia="Calibri" w:cs="Arial"/>
          <w:i/>
          <w:iCs/>
          <w:lang w:val="es-MX"/>
        </w:rPr>
        <w:t>Por un lado</w:t>
      </w:r>
      <w:r>
        <w:rPr>
          <w:rFonts w:ascii="Century Gothic" w:hAnsi="Century Gothic" w:eastAsia="Calibri" w:cs="Arial"/>
          <w:lang w:val="es-MX"/>
        </w:rPr>
        <w:t xml:space="preserve">, se circunscribe a los contratos o convenios celebrados entre las entidades públicas con los </w:t>
      </w:r>
      <w:r w:rsidRPr="00943080">
        <w:rPr>
          <w:rFonts w:ascii="Century Gothic" w:hAnsi="Century Gothic" w:eastAsia="Calibri" w:cs="Arial"/>
          <w:lang w:val="es-MX"/>
        </w:rPr>
        <w:t>“[…] Cabildos Indígenas, las asociaciones de Cabildos Indígenas y/o Autoridades Tradicionales Indígenas, Consejos Indígenas y Organizaciones Indígenas […]”</w:t>
      </w:r>
      <w:r>
        <w:rPr>
          <w:rFonts w:ascii="Century Gothic" w:hAnsi="Century Gothic" w:eastAsia="Calibri" w:cs="Arial"/>
          <w:lang w:val="es-MX"/>
        </w:rPr>
        <w:t xml:space="preserve">. Las entidades públicas son aquellas definidas en el artículo 2 de las Ley 80 de 1993, mientras que la naturaleza jurídica y la capacidad contractual de las comunidades indígenas fue objeto de análisis en el numeral 2.1 del presente oficio. </w:t>
      </w:r>
    </w:p>
    <w:p w:rsidR="002917FA" w:rsidP="002917FA" w:rsidRDefault="002917FA" w14:paraId="62599527" w14:textId="44DB3388">
      <w:pPr>
        <w:shd w:val="clear" w:color="auto" w:fill="FFFFFF"/>
        <w:spacing w:after="120" w:line="276" w:lineRule="auto"/>
        <w:ind w:firstLine="708"/>
        <w:jc w:val="both"/>
        <w:rPr>
          <w:rFonts w:ascii="Century Gothic" w:hAnsi="Century Gothic" w:eastAsia="Calibri" w:cs="Arial"/>
          <w:lang w:val="es-MX"/>
        </w:rPr>
      </w:pPr>
      <w:r w:rsidRPr="00B562F5">
        <w:rPr>
          <w:rFonts w:ascii="Century Gothic" w:hAnsi="Century Gothic" w:eastAsia="Calibri" w:cs="Arial"/>
          <w:i/>
          <w:iCs/>
          <w:lang w:val="es-MX"/>
        </w:rPr>
        <w:t>Por otra parte</w:t>
      </w:r>
      <w:r>
        <w:rPr>
          <w:rFonts w:ascii="Century Gothic" w:hAnsi="Century Gothic" w:eastAsia="Calibri" w:cs="Arial"/>
          <w:lang w:val="es-MX"/>
        </w:rPr>
        <w:t xml:space="preserve">, además del criterio subjetivo, se requiere que los contratos y convenios se enfoquen en “[…] </w:t>
      </w:r>
      <w:r w:rsidRPr="00B562F5">
        <w:rPr>
          <w:rFonts w:ascii="Century Gothic" w:hAnsi="Century Gothic" w:eastAsia="Calibri" w:cs="Arial"/>
          <w:lang w:val="es-MX"/>
        </w:rPr>
        <w:t>el fortalecimiento del gobierno propio, la identidad cultural, el ejercicio de la autonomía, la garantía de los derechos, satisfacción de necesidades y/o servicios públicos de los pueblos y comunidades indígenas</w:t>
      </w:r>
      <w:r>
        <w:rPr>
          <w:rFonts w:ascii="Century Gothic" w:hAnsi="Century Gothic" w:eastAsia="Calibri" w:cs="Arial"/>
          <w:lang w:val="es-MX"/>
        </w:rPr>
        <w:t xml:space="preserve"> […]”. Es decir, la causal no es absoluta y, por tanto, la excepción a los procedimientos de la convocatoria abierta se refiere a objetos específicos. Sin embargo, es también es necesario que estén “[…] </w:t>
      </w:r>
      <w:r w:rsidRPr="00B562F5">
        <w:rPr>
          <w:rFonts w:ascii="Century Gothic" w:hAnsi="Century Gothic" w:eastAsia="Calibri" w:cs="Arial"/>
          <w:lang w:val="es-MX"/>
        </w:rPr>
        <w:t>relacionado</w:t>
      </w:r>
      <w:r>
        <w:rPr>
          <w:rFonts w:ascii="Century Gothic" w:hAnsi="Century Gothic" w:eastAsia="Calibri" w:cs="Arial"/>
          <w:lang w:val="es-MX"/>
        </w:rPr>
        <w:t>s</w:t>
      </w:r>
      <w:r w:rsidRPr="00B562F5">
        <w:rPr>
          <w:rFonts w:ascii="Century Gothic" w:hAnsi="Century Gothic" w:eastAsia="Calibri" w:cs="Arial"/>
          <w:lang w:val="es-MX"/>
        </w:rPr>
        <w:t xml:space="preserve"> con la ejecución de programas, planes y proyectos del plan de desarrollo</w:t>
      </w:r>
      <w:r>
        <w:rPr>
          <w:rFonts w:ascii="Century Gothic" w:hAnsi="Century Gothic" w:eastAsia="Calibri" w:cs="Arial"/>
          <w:lang w:val="es-MX"/>
        </w:rPr>
        <w:t xml:space="preserve"> […]”, lo cual implica una delimitación adicional. Desde el punto de vista del objeto, </w:t>
      </w:r>
      <w:r w:rsidRPr="00D300DB">
        <w:rPr>
          <w:rFonts w:ascii="Century Gothic" w:hAnsi="Century Gothic" w:eastAsia="Calibri" w:cs="Arial"/>
          <w:lang w:val="es-MX"/>
        </w:rPr>
        <w:t xml:space="preserve">la causal de contratación directa del literal l) del artículo </w:t>
      </w:r>
      <w:r w:rsidR="00277B55">
        <w:rPr>
          <w:rFonts w:ascii="Century Gothic" w:hAnsi="Century Gothic" w:eastAsia="Calibri" w:cs="Arial"/>
          <w:lang w:val="es-MX"/>
        </w:rPr>
        <w:t>2</w:t>
      </w:r>
      <w:r w:rsidRPr="00D300DB">
        <w:rPr>
          <w:rFonts w:ascii="Century Gothic" w:hAnsi="Century Gothic" w:eastAsia="Calibri" w:cs="Arial"/>
          <w:lang w:val="es-MX"/>
        </w:rPr>
        <w:t>.</w:t>
      </w:r>
      <w:r w:rsidR="00277B55">
        <w:rPr>
          <w:rFonts w:ascii="Century Gothic" w:hAnsi="Century Gothic" w:eastAsia="Calibri" w:cs="Arial"/>
          <w:lang w:val="es-MX"/>
        </w:rPr>
        <w:t>, numeral 4</w:t>
      </w:r>
      <w:r w:rsidRPr="00D300DB">
        <w:rPr>
          <w:rFonts w:ascii="Century Gothic" w:hAnsi="Century Gothic" w:eastAsia="Calibri" w:cs="Arial"/>
          <w:lang w:val="es-MX"/>
        </w:rPr>
        <w:t xml:space="preserve"> de la Ley 1150 de 2007</w:t>
      </w:r>
      <w:r>
        <w:rPr>
          <w:rFonts w:ascii="Century Gothic" w:hAnsi="Century Gothic" w:eastAsia="Calibri" w:cs="Arial"/>
          <w:lang w:val="es-MX"/>
        </w:rPr>
        <w:t xml:space="preserve"> depende de la aplicación de </w:t>
      </w:r>
      <w:r w:rsidRPr="00D300DB">
        <w:rPr>
          <w:rFonts w:ascii="Century Gothic" w:hAnsi="Century Gothic" w:eastAsia="Calibri" w:cs="Arial"/>
          <w:i/>
          <w:iCs/>
          <w:lang w:val="es-MX"/>
        </w:rPr>
        <w:t>conceptos jurídicos indeterminados</w:t>
      </w:r>
      <w:r>
        <w:rPr>
          <w:rFonts w:ascii="Century Gothic" w:hAnsi="Century Gothic" w:eastAsia="Calibri" w:cs="Arial"/>
          <w:lang w:val="es-MX"/>
        </w:rPr>
        <w:t>.</w:t>
      </w:r>
    </w:p>
    <w:p w:rsidR="002917FA" w:rsidP="002917FA" w:rsidRDefault="002917FA" w14:paraId="21BBDB54" w14:textId="77777777">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Pr>
          <w:rFonts w:ascii="Century Gothic" w:hAnsi="Century Gothic" w:eastAsia="Calibri" w:cs="Arial"/>
          <w:bCs/>
          <w:color w:val="000000" w:themeColor="text1"/>
          <w:lang w:val="es-ES_tradnl"/>
        </w:rPr>
        <w:t xml:space="preserve">Por ello, en ausencia de una reglamentación que precise el objeto de la causal de contratación directa, los </w:t>
      </w:r>
      <w:r w:rsidRPr="006B6B6C">
        <w:rPr>
          <w:rFonts w:ascii="Century Gothic" w:hAnsi="Century Gothic" w:eastAsia="Calibri" w:cs="Arial"/>
          <w:bCs/>
          <w:color w:val="000000" w:themeColor="text1"/>
          <w:lang w:val="es-ES_tradnl"/>
        </w:rPr>
        <w:t xml:space="preserve">programas, planes y proyectos del plan de desarrollo relacionados con </w:t>
      </w:r>
      <w:r>
        <w:rPr>
          <w:rFonts w:ascii="Century Gothic" w:hAnsi="Century Gothic" w:eastAsia="Calibri" w:cs="Arial"/>
          <w:bCs/>
          <w:color w:val="000000" w:themeColor="text1"/>
          <w:lang w:val="es-ES_tradnl"/>
        </w:rPr>
        <w:t>la</w:t>
      </w:r>
      <w:r w:rsidRPr="006B6B6C">
        <w:rPr>
          <w:rFonts w:ascii="Century Gothic" w:hAnsi="Century Gothic" w:eastAsia="Calibri" w:cs="Arial"/>
          <w:bCs/>
          <w:color w:val="000000" w:themeColor="text1"/>
          <w:lang w:val="es-ES_tradnl"/>
        </w:rPr>
        <w:t xml:space="preserve"> satisfacción de necesidades y/o servicios públicos de los pueblos y comunidades indígenas</w:t>
      </w:r>
      <w:r>
        <w:rPr>
          <w:rFonts w:ascii="Century Gothic" w:hAnsi="Century Gothic" w:eastAsia="Calibri" w:cs="Arial"/>
          <w:bCs/>
          <w:color w:val="000000" w:themeColor="text1"/>
          <w:lang w:val="es-ES_tradnl"/>
        </w:rPr>
        <w:t xml:space="preserve"> se entienden dentro del sentido general de las palabras, como dispone el inciso primero del artículo 28 del Código Civil. En primer lugar, para la RAE las “necesidades” aluden a la “</w:t>
      </w:r>
      <w:r w:rsidRPr="00A8406B">
        <w:rPr>
          <w:rFonts w:ascii="Century Gothic" w:hAnsi="Century Gothic" w:eastAsia="Calibri" w:cs="Arial"/>
          <w:bCs/>
          <w:color w:val="000000" w:themeColor="text1"/>
          <w:lang w:val="es-ES_tradnl"/>
        </w:rPr>
        <w:t>Carencia de las cosas que son menester para la conservación de la vida</w:t>
      </w:r>
      <w:r>
        <w:rPr>
          <w:rFonts w:ascii="Century Gothic" w:hAnsi="Century Gothic" w:eastAsia="Calibri" w:cs="Arial"/>
          <w:bCs/>
          <w:color w:val="000000" w:themeColor="text1"/>
          <w:lang w:val="es-ES_tradnl"/>
        </w:rPr>
        <w:t>” así como al “</w:t>
      </w:r>
      <w:r w:rsidRPr="00A8406B">
        <w:rPr>
          <w:rFonts w:ascii="Century Gothic" w:hAnsi="Century Gothic" w:eastAsia="Calibri" w:cs="Arial"/>
          <w:bCs/>
          <w:color w:val="000000" w:themeColor="text1"/>
          <w:lang w:val="es-ES_tradnl"/>
        </w:rPr>
        <w:t>Especial riesgo o peligro que se padece, y en que se necesita pronto auxilio</w:t>
      </w:r>
      <w:r>
        <w:rPr>
          <w:rFonts w:ascii="Century Gothic" w:hAnsi="Century Gothic" w:eastAsia="Calibri" w:cs="Arial"/>
          <w:bCs/>
          <w:color w:val="000000" w:themeColor="text1"/>
          <w:lang w:val="es-ES_tradnl"/>
        </w:rPr>
        <w:t xml:space="preserve">”. Estas necesidades pueden relacionarse con condiciones precarias de vivienda, dificultades para acceder a </w:t>
      </w:r>
      <w:r>
        <w:rPr>
          <w:rFonts w:ascii="Century Gothic" w:hAnsi="Century Gothic" w:eastAsia="Calibri" w:cs="Arial"/>
          <w:bCs/>
          <w:color w:val="000000" w:themeColor="text1"/>
          <w:lang w:val="es-ES_tradnl"/>
        </w:rPr>
        <w:t xml:space="preserve">los servicios de salud, bajos niveles de educación, malas condiciones sanitarias, dificultades para acceder al empleo, etc. En términos generales, se trata de necesidades </w:t>
      </w:r>
      <w:r w:rsidRPr="001C1388">
        <w:rPr>
          <w:rFonts w:ascii="Century Gothic" w:hAnsi="Century Gothic" w:eastAsia="Calibri" w:cs="Arial"/>
          <w:bCs/>
          <w:color w:val="000000" w:themeColor="text1"/>
          <w:lang w:val="es-ES_tradnl"/>
        </w:rPr>
        <w:t>cuya satisfacción es indispensable para la existencia humana</w:t>
      </w:r>
      <w:r>
        <w:rPr>
          <w:rFonts w:ascii="Century Gothic" w:hAnsi="Century Gothic" w:eastAsia="Calibri" w:cs="Arial"/>
          <w:bCs/>
          <w:color w:val="000000" w:themeColor="text1"/>
          <w:lang w:val="es-ES_tradnl"/>
        </w:rPr>
        <w:t>. Para estos efectos, el DANE construye un Í</w:t>
      </w:r>
      <w:r w:rsidRPr="00B12485">
        <w:rPr>
          <w:rFonts w:ascii="Century Gothic" w:hAnsi="Century Gothic" w:eastAsia="Calibri" w:cs="Arial"/>
          <w:bCs/>
          <w:color w:val="000000" w:themeColor="text1"/>
          <w:lang w:val="es-ES_tradnl"/>
        </w:rPr>
        <w:t>ndice de Necesidades Básicas Insatisfechas</w:t>
      </w:r>
      <w:r>
        <w:rPr>
          <w:rFonts w:ascii="Century Gothic" w:hAnsi="Century Gothic" w:eastAsia="Calibri" w:cs="Arial"/>
          <w:bCs/>
          <w:color w:val="000000" w:themeColor="text1"/>
          <w:lang w:val="es-ES_tradnl"/>
        </w:rPr>
        <w:t>, el cual constituye una metodología para</w:t>
      </w:r>
      <w:r w:rsidRPr="00B12485">
        <w:rPr>
          <w:rFonts w:ascii="Century Gothic" w:hAnsi="Century Gothic" w:eastAsia="Calibri" w:cs="Arial"/>
          <w:bCs/>
          <w:color w:val="000000" w:themeColor="text1"/>
          <w:lang w:val="es-ES_tradnl"/>
        </w:rPr>
        <w:t xml:space="preserve"> identificar carencias críticas </w:t>
      </w:r>
      <w:r>
        <w:rPr>
          <w:rFonts w:ascii="Century Gothic" w:hAnsi="Century Gothic" w:eastAsia="Calibri" w:cs="Arial"/>
          <w:bCs/>
          <w:color w:val="000000" w:themeColor="text1"/>
          <w:lang w:val="es-ES_tradnl"/>
        </w:rPr>
        <w:t>de la</w:t>
      </w:r>
      <w:r w:rsidRPr="00B12485">
        <w:rPr>
          <w:rFonts w:ascii="Century Gothic" w:hAnsi="Century Gothic" w:eastAsia="Calibri" w:cs="Arial"/>
          <w:bCs/>
          <w:color w:val="000000" w:themeColor="text1"/>
          <w:lang w:val="es-ES_tradnl"/>
        </w:rPr>
        <w:t xml:space="preserve"> población y caracterizar la pobreza</w:t>
      </w:r>
      <w:r>
        <w:rPr>
          <w:rFonts w:ascii="Century Gothic" w:hAnsi="Century Gothic" w:eastAsia="Calibri" w:cs="Arial"/>
          <w:bCs/>
          <w:color w:val="000000" w:themeColor="text1"/>
          <w:lang w:val="es-ES_tradnl"/>
        </w:rPr>
        <w:t>.</w:t>
      </w:r>
    </w:p>
    <w:p w:rsidR="002917FA" w:rsidP="002917FA" w:rsidRDefault="002917FA" w14:paraId="3ED9D70B" w14:textId="77777777">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Pr>
          <w:rFonts w:ascii="Century Gothic" w:hAnsi="Century Gothic" w:eastAsia="Calibri" w:cs="Arial"/>
          <w:bCs/>
          <w:color w:val="000000" w:themeColor="text1"/>
          <w:lang w:val="es-ES_tradnl"/>
        </w:rPr>
        <w:t xml:space="preserve">En segundo lugar, los “servicios públicos” son “[…] </w:t>
      </w:r>
      <w:r w:rsidRPr="00707C72">
        <w:rPr>
          <w:rFonts w:ascii="Century Gothic" w:hAnsi="Century Gothic" w:eastAsia="Calibri" w:cs="Arial"/>
          <w:bCs/>
          <w:color w:val="000000" w:themeColor="text1"/>
          <w:lang w:val="es-ES_tradnl"/>
        </w:rPr>
        <w:t>aquellas actividades que el Estado tiene el deber de prestar a todos los habitantes del territorio nacional, de manera eficiente, regular y continua, en igualdad de condiciones, en forma directa, o mediante el concurso de los particulares, con el propósito de satisfacer las necesidades de interés general que la sociedad demanda</w:t>
      </w:r>
      <w:r>
        <w:rPr>
          <w:rFonts w:ascii="Century Gothic" w:hAnsi="Century Gothic" w:eastAsia="Calibri" w:cs="Arial"/>
          <w:bCs/>
          <w:color w:val="000000" w:themeColor="text1"/>
          <w:lang w:val="es-ES_tradnl"/>
        </w:rPr>
        <w:t>”</w:t>
      </w:r>
      <w:r>
        <w:rPr>
          <w:rStyle w:val="Refdenotaalpie"/>
          <w:rFonts w:ascii="Century Gothic" w:hAnsi="Century Gothic" w:eastAsia="Calibri" w:cs="Arial"/>
          <w:bCs/>
          <w:color w:val="000000" w:themeColor="text1"/>
          <w:lang w:val="es-ES_tradnl"/>
        </w:rPr>
        <w:footnoteReference w:id="36"/>
      </w:r>
      <w:r>
        <w:rPr>
          <w:rFonts w:ascii="Century Gothic" w:hAnsi="Century Gothic" w:eastAsia="Calibri" w:cs="Arial"/>
          <w:bCs/>
          <w:color w:val="000000" w:themeColor="text1"/>
          <w:lang w:val="es-ES_tradnl"/>
        </w:rPr>
        <w:t>. Mas allá de una concepción meramente orgánica, el concepto de servicio público está unido a un aspecto material, pues si “</w:t>
      </w:r>
      <w:r w:rsidRPr="00707C72">
        <w:rPr>
          <w:rFonts w:ascii="Century Gothic" w:hAnsi="Century Gothic" w:eastAsia="Calibri" w:cs="Arial"/>
          <w:bCs/>
          <w:color w:val="000000" w:themeColor="text1"/>
          <w:lang w:val="es-ES_tradnl"/>
        </w:rPr>
        <w:t xml:space="preserve">Las autoridades de la República están instituidas para </w:t>
      </w:r>
      <w:r>
        <w:rPr>
          <w:rFonts w:ascii="Century Gothic" w:hAnsi="Century Gothic" w:eastAsia="Calibri" w:cs="Arial"/>
          <w:bCs/>
          <w:color w:val="000000" w:themeColor="text1"/>
          <w:lang w:val="es-ES_tradnl"/>
        </w:rPr>
        <w:t>[…]</w:t>
      </w:r>
      <w:r w:rsidRPr="00707C72">
        <w:rPr>
          <w:rFonts w:ascii="Century Gothic" w:hAnsi="Century Gothic" w:eastAsia="Calibri" w:cs="Arial"/>
          <w:bCs/>
          <w:color w:val="000000" w:themeColor="text1"/>
          <w:lang w:val="es-ES_tradnl"/>
        </w:rPr>
        <w:t xml:space="preserve"> para asegurar el cumplimiento de los deberes sociales del Estado y de los particulares</w:t>
      </w:r>
      <w:r>
        <w:rPr>
          <w:rFonts w:ascii="Century Gothic" w:hAnsi="Century Gothic" w:eastAsia="Calibri" w:cs="Arial"/>
          <w:bCs/>
          <w:color w:val="000000" w:themeColor="text1"/>
          <w:lang w:val="es-ES_tradnl"/>
        </w:rPr>
        <w:t>” –inc. 2, art. 2 Constitucional– es claro que “</w:t>
      </w:r>
      <w:r w:rsidRPr="00707C72">
        <w:rPr>
          <w:rFonts w:ascii="Century Gothic" w:hAnsi="Century Gothic" w:eastAsia="Calibri" w:cs="Arial"/>
          <w:bCs/>
          <w:color w:val="000000" w:themeColor="text1"/>
          <w:lang w:val="es-ES_tradnl"/>
        </w:rPr>
        <w:t>Los servicios públicos son inherentes a la finalidad social del Estado</w:t>
      </w:r>
      <w:r>
        <w:rPr>
          <w:rFonts w:ascii="Century Gothic" w:hAnsi="Century Gothic" w:eastAsia="Calibri" w:cs="Arial"/>
          <w:bCs/>
          <w:color w:val="000000" w:themeColor="text1"/>
          <w:lang w:val="es-ES_tradnl"/>
        </w:rPr>
        <w:t xml:space="preserve">” –inc. 1°, art. 365 superior–. </w:t>
      </w:r>
    </w:p>
    <w:p w:rsidR="002917FA" w:rsidP="002917FA" w:rsidRDefault="002917FA" w14:paraId="461B9D4F" w14:textId="56004451">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Pr>
          <w:rFonts w:ascii="Century Gothic" w:hAnsi="Century Gothic" w:eastAsia="Calibri" w:cs="Arial"/>
          <w:bCs/>
          <w:color w:val="000000" w:themeColor="text1"/>
          <w:lang w:val="es-ES_tradnl"/>
        </w:rPr>
        <w:t xml:space="preserve">Pueden existir necesidades que estén relacionadas con la prestación de servicios públicos: este es el caso, por ejemplo, de la salud, la educación, el agua potable y el saneamiento básico. Al fortalecerse la prestación de estos servicios, se cubren necesidades de la población. Sin embargo, como se desprende de la redacción de la casual, este nexo no tiene carácter necesario. Por ejemplo, los problemas relacionados con la vivienda o las dificultades para acceder al empleo –más que la prestación de algún servicio de naturaleza asistencial– pueden requerir medidas de fomento. Así, el literal </w:t>
      </w:r>
      <w:r w:rsidRPr="006B6B6C">
        <w:rPr>
          <w:rFonts w:ascii="Century Gothic" w:hAnsi="Century Gothic" w:eastAsia="Calibri" w:cs="Arial"/>
          <w:bCs/>
          <w:color w:val="000000" w:themeColor="text1"/>
          <w:lang w:val="es-ES_tradnl"/>
        </w:rPr>
        <w:t xml:space="preserve">l) del artículo </w:t>
      </w:r>
      <w:r w:rsidR="00277B55">
        <w:rPr>
          <w:rFonts w:ascii="Century Gothic" w:hAnsi="Century Gothic" w:eastAsia="Calibri" w:cs="Arial"/>
          <w:bCs/>
          <w:color w:val="000000" w:themeColor="text1"/>
          <w:lang w:val="es-ES_tradnl"/>
        </w:rPr>
        <w:t>2, numeral</w:t>
      </w:r>
      <w:r w:rsidRPr="006B6B6C">
        <w:rPr>
          <w:rFonts w:ascii="Century Gothic" w:hAnsi="Century Gothic" w:eastAsia="Calibri" w:cs="Arial"/>
          <w:bCs/>
          <w:color w:val="000000" w:themeColor="text1"/>
          <w:lang w:val="es-ES_tradnl"/>
        </w:rPr>
        <w:t xml:space="preserve"> 4 de la Ley 1150 de 2007</w:t>
      </w:r>
      <w:r>
        <w:rPr>
          <w:rFonts w:ascii="Century Gothic" w:hAnsi="Century Gothic" w:eastAsia="Calibri" w:cs="Arial"/>
          <w:bCs/>
          <w:color w:val="000000" w:themeColor="text1"/>
          <w:lang w:val="es-ES_tradnl"/>
        </w:rPr>
        <w:t xml:space="preserve"> se refiere a “[…] </w:t>
      </w:r>
      <w:r w:rsidRPr="00F4642E">
        <w:rPr>
          <w:rFonts w:ascii="Century Gothic" w:hAnsi="Century Gothic" w:eastAsia="Calibri" w:cs="Arial"/>
          <w:bCs/>
          <w:color w:val="000000" w:themeColor="text1"/>
          <w:lang w:val="es-ES_tradnl"/>
        </w:rPr>
        <w:t>la satisfacción de necesidades y/o servicios públicos</w:t>
      </w:r>
      <w:r>
        <w:rPr>
          <w:rFonts w:ascii="Century Gothic" w:hAnsi="Century Gothic" w:eastAsia="Calibri" w:cs="Arial"/>
          <w:bCs/>
          <w:color w:val="000000" w:themeColor="text1"/>
          <w:lang w:val="es-ES_tradnl"/>
        </w:rPr>
        <w:t xml:space="preserve"> […], es decir, el objeto del contrato o convenio puede referirse a uno, a otro o a ambos, siempre que se trate de </w:t>
      </w:r>
      <w:r w:rsidRPr="006B6B6C">
        <w:rPr>
          <w:rFonts w:ascii="Century Gothic" w:hAnsi="Century Gothic" w:eastAsia="Calibri" w:cs="Arial"/>
          <w:bCs/>
          <w:color w:val="000000" w:themeColor="text1"/>
          <w:lang w:val="es-ES_tradnl"/>
        </w:rPr>
        <w:t>programas, planes y proyectos del plan de desarrollo</w:t>
      </w:r>
      <w:r>
        <w:rPr>
          <w:rFonts w:ascii="Century Gothic" w:hAnsi="Century Gothic" w:eastAsia="Calibri" w:cs="Arial"/>
          <w:bCs/>
          <w:color w:val="000000" w:themeColor="text1"/>
          <w:lang w:val="es-ES_tradnl"/>
        </w:rPr>
        <w:t xml:space="preserve"> relacionados con los </w:t>
      </w:r>
      <w:r w:rsidRPr="006B6B6C">
        <w:rPr>
          <w:rFonts w:ascii="Century Gothic" w:hAnsi="Century Gothic" w:eastAsia="Calibri" w:cs="Arial"/>
          <w:bCs/>
          <w:color w:val="000000" w:themeColor="text1"/>
          <w:lang w:val="es-ES_tradnl"/>
        </w:rPr>
        <w:t>pueblos y comunidades indígenas</w:t>
      </w:r>
      <w:r>
        <w:rPr>
          <w:rFonts w:ascii="Century Gothic" w:hAnsi="Century Gothic" w:eastAsia="Calibri" w:cs="Arial"/>
          <w:bCs/>
          <w:color w:val="000000" w:themeColor="text1"/>
          <w:lang w:val="es-ES_tradnl"/>
        </w:rPr>
        <w:t xml:space="preserve">.   </w:t>
      </w:r>
    </w:p>
    <w:p w:rsidRPr="00770C24" w:rsidR="002917FA" w:rsidP="002917FA" w:rsidRDefault="002917FA" w14:paraId="2C6EB126" w14:textId="77777777">
      <w:pPr>
        <w:shd w:val="clear" w:color="auto" w:fill="FFFFFF"/>
        <w:spacing w:after="0" w:line="276" w:lineRule="auto"/>
        <w:ind w:firstLine="708"/>
        <w:jc w:val="both"/>
        <w:rPr>
          <w:rFonts w:ascii="Century Gothic" w:hAnsi="Century Gothic" w:eastAsia="Calibri" w:cs="Arial"/>
          <w:lang w:val="es-MX"/>
        </w:rPr>
      </w:pPr>
      <w:r>
        <w:rPr>
          <w:rFonts w:ascii="Century Gothic" w:hAnsi="Century Gothic" w:eastAsia="Calibri" w:cs="Arial"/>
          <w:lang w:val="es-MX"/>
        </w:rPr>
        <w:t xml:space="preserve">Como se explicó </w:t>
      </w:r>
      <w:r w:rsidRPr="00D72D6A">
        <w:rPr>
          <w:rFonts w:ascii="Century Gothic" w:hAnsi="Century Gothic" w:eastAsia="Calibri" w:cs="Arial"/>
          <w:i/>
          <w:iCs/>
          <w:lang w:val="es-MX"/>
        </w:rPr>
        <w:t>ut supra</w:t>
      </w:r>
      <w:r>
        <w:rPr>
          <w:rFonts w:ascii="Century Gothic" w:hAnsi="Century Gothic" w:eastAsia="Calibri" w:cs="Arial"/>
          <w:lang w:val="es-MX"/>
        </w:rPr>
        <w:t xml:space="preserve">, </w:t>
      </w:r>
      <w:r w:rsidRPr="00770C24">
        <w:rPr>
          <w:rFonts w:ascii="Century Gothic" w:hAnsi="Century Gothic" w:eastAsia="Calibri" w:cs="Arial"/>
          <w:lang w:val="es-MX"/>
        </w:rPr>
        <w:t xml:space="preserve">los conceptos jurídicos indeterminados no suponen la discrecionalidad de las autoridades. Con esa orientación, el tribunal constitucional ha señalado que, para la determinación de su alcance, los operadores jurídicos deben acudir a los valores, los principios y las reglas de derecho que sirven de fundamento a la institución jurídica en cuya regulación está contenido dicho concepto. Estos criterios o herramientas servirán de apoyo en el proceso intelectivo de los operadores jurídicos. Por regla general, la determinación </w:t>
      </w:r>
      <w:r w:rsidRPr="00770C24">
        <w:rPr>
          <w:rFonts w:ascii="Century Gothic" w:hAnsi="Century Gothic" w:eastAsia="Calibri" w:cs="Arial"/>
          <w:lang w:val="es-MX"/>
        </w:rPr>
        <w:t>del alcance de este tipo de conceptos exige que el operador jurídico lleve a cabo juicios de valor, lo cual no excluye el respectivo control</w:t>
      </w:r>
      <w:r>
        <w:rPr>
          <w:rFonts w:ascii="Century Gothic" w:hAnsi="Century Gothic" w:eastAsia="Calibri" w:cs="Arial"/>
          <w:lang w:val="es-MX"/>
        </w:rPr>
        <w:t>.</w:t>
      </w:r>
    </w:p>
    <w:p w:rsidRPr="004C64AD" w:rsidR="002917FA" w:rsidP="002917FA" w:rsidRDefault="002917FA" w14:paraId="2D8EC34A" w14:textId="77777777">
      <w:pPr>
        <w:spacing w:after="0" w:line="276" w:lineRule="auto"/>
        <w:jc w:val="both"/>
        <w:rPr>
          <w:rFonts w:ascii="Century Gothic" w:hAnsi="Century Gothic" w:cs="Arial"/>
          <w:color w:val="000000" w:themeColor="text1"/>
        </w:rPr>
      </w:pPr>
    </w:p>
    <w:p w:rsidRPr="00BF1D9A" w:rsidR="002917FA" w:rsidP="002917FA" w:rsidRDefault="002917FA" w14:paraId="58E6C878" w14:textId="77777777">
      <w:pPr>
        <w:spacing w:after="120" w:line="240" w:lineRule="auto"/>
        <w:ind w:left="709" w:right="709"/>
        <w:jc w:val="both"/>
        <w:rPr>
          <w:rFonts w:ascii="Century Gothic" w:hAnsi="Century Gothic" w:cs="Arial"/>
          <w:color w:val="000000" w:themeColor="text1"/>
          <w:sz w:val="20"/>
          <w:szCs w:val="20"/>
          <w:lang w:val="es-ES_tradnl"/>
        </w:rPr>
      </w:pPr>
      <w:proofErr w:type="spellStart"/>
      <w:r w:rsidRPr="00BF1D9A">
        <w:rPr>
          <w:rFonts w:ascii="Century Gothic" w:hAnsi="Century Gothic" w:cs="Arial"/>
          <w:color w:val="000000" w:themeColor="text1"/>
          <w:sz w:val="20"/>
          <w:szCs w:val="20"/>
          <w:lang w:val="es-ES_tradnl"/>
        </w:rPr>
        <w:t>ii</w:t>
      </w:r>
      <w:proofErr w:type="spellEnd"/>
      <w:r w:rsidRPr="00BF1D9A">
        <w:rPr>
          <w:rFonts w:ascii="Century Gothic" w:hAnsi="Century Gothic" w:cs="Arial"/>
          <w:color w:val="000000" w:themeColor="text1"/>
          <w:sz w:val="20"/>
          <w:szCs w:val="20"/>
          <w:lang w:val="es-ES_tradnl"/>
        </w:rPr>
        <w:t>) “¿Qué se entiende por idoneidad de los Cabildos Indígenas, las asociaciones de Cabildos Indígenas y/o Autoridades Tradicionales Indígenas, Consejos Indígenas y Organizaciones Indígenas, ¿de acuerdo con lo establecido en el artículo 353 de la Ley 2294 de 2023?”.</w:t>
      </w:r>
    </w:p>
    <w:p w:rsidRPr="00BF1D9A" w:rsidR="002917FA" w:rsidP="002917FA" w:rsidRDefault="002917FA" w14:paraId="28A59496" w14:textId="77777777">
      <w:pPr>
        <w:spacing w:after="0" w:line="240" w:lineRule="auto"/>
        <w:ind w:left="709" w:right="709"/>
        <w:jc w:val="both"/>
        <w:rPr>
          <w:rFonts w:ascii="Century Gothic" w:hAnsi="Century Gothic" w:cs="Arial"/>
          <w:color w:val="000000" w:themeColor="text1"/>
          <w:sz w:val="20"/>
          <w:szCs w:val="20"/>
        </w:rPr>
      </w:pPr>
      <w:proofErr w:type="spellStart"/>
      <w:r w:rsidRPr="00BF1D9A">
        <w:rPr>
          <w:rFonts w:ascii="Century Gothic" w:hAnsi="Century Gothic" w:cs="Arial"/>
          <w:color w:val="000000" w:themeColor="text1"/>
          <w:sz w:val="20"/>
          <w:szCs w:val="20"/>
          <w:lang w:val="es-ES_tradnl"/>
        </w:rPr>
        <w:t>iii</w:t>
      </w:r>
      <w:proofErr w:type="spellEnd"/>
      <w:r w:rsidRPr="00BF1D9A">
        <w:rPr>
          <w:rFonts w:ascii="Century Gothic" w:hAnsi="Century Gothic" w:cs="Arial"/>
          <w:color w:val="000000" w:themeColor="text1"/>
          <w:sz w:val="20"/>
          <w:szCs w:val="20"/>
          <w:lang w:val="es-ES_tradnl"/>
        </w:rPr>
        <w:t>) “Según los lineamientos establecidos por Colombia Compra Eficiente, ¿Qué criterios sugiere se deben aplicar para determinar o verificar la acreditación de la idoneidad con enfoque diferencial?”</w:t>
      </w:r>
    </w:p>
    <w:p w:rsidRPr="00BF1D9A" w:rsidR="002917FA" w:rsidP="002917FA" w:rsidRDefault="002917FA" w14:paraId="73421508" w14:textId="77777777">
      <w:pPr>
        <w:spacing w:after="0" w:line="276" w:lineRule="auto"/>
        <w:ind w:left="709" w:right="709"/>
        <w:jc w:val="both"/>
        <w:rPr>
          <w:rFonts w:ascii="Century Gothic" w:hAnsi="Century Gothic" w:cs="Arial"/>
          <w:color w:val="000000" w:themeColor="text1"/>
          <w:sz w:val="20"/>
          <w:szCs w:val="20"/>
        </w:rPr>
      </w:pPr>
      <w:r w:rsidRPr="00BF1D9A">
        <w:rPr>
          <w:rFonts w:ascii="Century Gothic" w:hAnsi="Century Gothic" w:cs="Arial"/>
          <w:color w:val="000000" w:themeColor="text1"/>
          <w:sz w:val="20"/>
          <w:szCs w:val="20"/>
        </w:rPr>
        <w:t xml:space="preserve"> </w:t>
      </w:r>
    </w:p>
    <w:p w:rsidR="002917FA" w:rsidP="002917FA" w:rsidRDefault="002917FA" w14:paraId="492DCC3E" w14:textId="6349C1E6">
      <w:pPr>
        <w:pBdr>
          <w:top w:val="nil"/>
          <w:left w:val="nil"/>
          <w:bottom w:val="nil"/>
          <w:right w:val="nil"/>
          <w:between w:val="nil"/>
        </w:pBdr>
        <w:spacing w:after="120" w:line="276" w:lineRule="auto"/>
        <w:jc w:val="both"/>
        <w:rPr>
          <w:rFonts w:ascii="Century Gothic" w:hAnsi="Century Gothic" w:eastAsia="Calibri" w:cs="Arial"/>
          <w:bCs/>
          <w:color w:val="000000" w:themeColor="text1"/>
          <w:lang w:val="es-ES_tradnl"/>
        </w:rPr>
      </w:pPr>
      <w:r>
        <w:rPr>
          <w:rFonts w:ascii="Century Gothic" w:hAnsi="Century Gothic" w:eastAsia="Calibri" w:cs="Arial"/>
          <w:bCs/>
          <w:color w:val="000000" w:themeColor="text1"/>
          <w:lang w:val="es-ES_tradnl"/>
        </w:rPr>
        <w:t xml:space="preserve">Además de los requisitos señalados en el punto anterior, el artículo 353 de la Ley 2294 de 2023 –que modificó el </w:t>
      </w:r>
      <w:r w:rsidRPr="00D300DB">
        <w:rPr>
          <w:rFonts w:ascii="Century Gothic" w:hAnsi="Century Gothic" w:eastAsia="Calibri" w:cs="Arial"/>
          <w:lang w:val="es-MX"/>
        </w:rPr>
        <w:t xml:space="preserve">literal l) </w:t>
      </w:r>
      <w:r>
        <w:rPr>
          <w:rFonts w:ascii="Century Gothic" w:hAnsi="Century Gothic" w:eastAsia="Calibri" w:cs="Arial"/>
          <w:lang w:val="es-MX"/>
        </w:rPr>
        <w:t>a</w:t>
      </w:r>
      <w:r w:rsidRPr="00D300DB">
        <w:rPr>
          <w:rFonts w:ascii="Century Gothic" w:hAnsi="Century Gothic" w:eastAsia="Calibri" w:cs="Arial"/>
          <w:lang w:val="es-MX"/>
        </w:rPr>
        <w:t>l artículo 2</w:t>
      </w:r>
      <w:r w:rsidR="00277B55">
        <w:rPr>
          <w:rFonts w:ascii="Century Gothic" w:hAnsi="Century Gothic" w:eastAsia="Calibri" w:cs="Arial"/>
          <w:lang w:val="es-MX"/>
        </w:rPr>
        <w:t>, numeral 4</w:t>
      </w:r>
      <w:r w:rsidRPr="00D300DB">
        <w:rPr>
          <w:rFonts w:ascii="Century Gothic" w:hAnsi="Century Gothic" w:eastAsia="Calibri" w:cs="Arial"/>
          <w:lang w:val="es-MX"/>
        </w:rPr>
        <w:t xml:space="preserve"> de la Ley 1150 de 2007</w:t>
      </w:r>
      <w:r>
        <w:rPr>
          <w:rFonts w:ascii="Century Gothic" w:hAnsi="Century Gothic" w:eastAsia="Calibri" w:cs="Arial"/>
          <w:lang w:val="es-MX"/>
        </w:rPr>
        <w:t>–</w:t>
      </w:r>
      <w:r>
        <w:rPr>
          <w:rFonts w:ascii="Century Gothic" w:hAnsi="Century Gothic" w:eastAsia="Calibri" w:cs="Arial"/>
          <w:bCs/>
          <w:color w:val="000000" w:themeColor="text1"/>
          <w:lang w:val="es-ES_tradnl"/>
        </w:rPr>
        <w:t xml:space="preserve"> dispone que en los contratos o convenios suscritos “[…] </w:t>
      </w:r>
      <w:r w:rsidRPr="00103099">
        <w:rPr>
          <w:rFonts w:ascii="Century Gothic" w:hAnsi="Century Gothic" w:eastAsia="Calibri" w:cs="Arial"/>
          <w:bCs/>
          <w:color w:val="000000" w:themeColor="text1"/>
          <w:lang w:val="es-ES_tradnl"/>
        </w:rPr>
        <w:t>se contemplará la ejecución de obras públicas que impliquen actividades de mantenimiento y/o mejoramiento de infraestructura social y de transporte, así como suministrar bienes y/o servicios para los que se acredite idoneidad, la cual deberá ser valorada teniendo en cuenta un enfoque diferencial</w:t>
      </w:r>
      <w:r>
        <w:rPr>
          <w:rFonts w:ascii="Century Gothic" w:hAnsi="Century Gothic" w:eastAsia="Calibri" w:cs="Arial"/>
          <w:bCs/>
          <w:color w:val="000000" w:themeColor="text1"/>
          <w:lang w:val="es-ES_tradnl"/>
        </w:rPr>
        <w:t xml:space="preserve">”. Esto implica una calificación de </w:t>
      </w:r>
      <w:r w:rsidRPr="006B760F">
        <w:rPr>
          <w:rFonts w:ascii="Century Gothic" w:hAnsi="Century Gothic" w:eastAsia="Calibri" w:cs="Arial"/>
          <w:lang w:val="es-MX"/>
        </w:rPr>
        <w:t>los Cabildos Indígenas, las asociaciones de Cabildos Indígenas y/o Autoridades Tradicionales Indígenas, Consejos Indígenas y Organizaciones Indígenas</w:t>
      </w:r>
      <w:r>
        <w:rPr>
          <w:rFonts w:ascii="Century Gothic" w:hAnsi="Century Gothic" w:eastAsia="Calibri" w:cs="Arial"/>
          <w:lang w:val="es-MX"/>
        </w:rPr>
        <w:t xml:space="preserve">, pues la idoneidad para ejecutar las obras mencionadas, suministrar bienes o prestar servicios es un requisito </w:t>
      </w:r>
      <w:r w:rsidRPr="008B5973">
        <w:rPr>
          <w:rFonts w:ascii="Century Gothic" w:hAnsi="Century Gothic" w:eastAsia="Calibri" w:cs="Arial"/>
          <w:i/>
          <w:iCs/>
          <w:lang w:val="es-MX"/>
        </w:rPr>
        <w:t>sine qua non</w:t>
      </w:r>
      <w:r>
        <w:rPr>
          <w:rFonts w:ascii="Century Gothic" w:hAnsi="Century Gothic" w:eastAsia="Calibri" w:cs="Arial"/>
          <w:lang w:val="es-MX"/>
        </w:rPr>
        <w:t xml:space="preserve"> de la causal de la causal de contratación directa</w:t>
      </w:r>
      <w:r>
        <w:rPr>
          <w:rFonts w:ascii="Century Gothic" w:hAnsi="Century Gothic" w:eastAsia="Calibri" w:cs="Arial"/>
          <w:bCs/>
          <w:color w:val="000000" w:themeColor="text1"/>
          <w:lang w:val="es-ES_tradnl"/>
        </w:rPr>
        <w:t xml:space="preserve">.   </w:t>
      </w:r>
    </w:p>
    <w:p w:rsidR="002917FA" w:rsidP="002917FA" w:rsidRDefault="002917FA" w14:paraId="7D013592" w14:textId="77777777">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Pr>
          <w:rFonts w:ascii="Century Gothic" w:hAnsi="Century Gothic" w:eastAsia="Calibri" w:cs="Arial"/>
          <w:bCs/>
          <w:color w:val="000000" w:themeColor="text1"/>
          <w:lang w:val="es-ES_tradnl"/>
        </w:rPr>
        <w:t xml:space="preserve">Se trata de un requisito plasmado en un </w:t>
      </w:r>
      <w:r w:rsidRPr="00923851">
        <w:rPr>
          <w:rFonts w:ascii="Century Gothic" w:hAnsi="Century Gothic" w:eastAsia="Calibri" w:cs="Arial"/>
          <w:bCs/>
          <w:i/>
          <w:iCs/>
          <w:color w:val="000000" w:themeColor="text1"/>
          <w:lang w:val="es-ES_tradnl"/>
        </w:rPr>
        <w:t>concepto jurídicamente indeterminado</w:t>
      </w:r>
      <w:r>
        <w:rPr>
          <w:rFonts w:ascii="Century Gothic" w:hAnsi="Century Gothic" w:eastAsia="Calibri" w:cs="Arial"/>
          <w:bCs/>
          <w:color w:val="000000" w:themeColor="text1"/>
          <w:lang w:val="es-ES_tradnl"/>
        </w:rPr>
        <w:t xml:space="preserve"> que es necesario llenar de contenido en cada caso concreto. Conforme al diccionario de la RAE, lo “idóneo” se refiere a que es “</w:t>
      </w:r>
      <w:r w:rsidRPr="00A43A04">
        <w:rPr>
          <w:rFonts w:ascii="Century Gothic" w:hAnsi="Century Gothic" w:eastAsia="Calibri" w:cs="Arial"/>
          <w:bCs/>
          <w:color w:val="000000" w:themeColor="text1"/>
          <w:lang w:val="es-ES_tradnl"/>
        </w:rPr>
        <w:t>Adecuado y apropiado para algo</w:t>
      </w:r>
      <w:r>
        <w:rPr>
          <w:rFonts w:ascii="Century Gothic" w:hAnsi="Century Gothic" w:eastAsia="Calibri" w:cs="Arial"/>
          <w:bCs/>
          <w:color w:val="000000" w:themeColor="text1"/>
          <w:lang w:val="es-ES_tradnl"/>
        </w:rPr>
        <w:t>”, lo que indica una serie de aptitudes para cumplir un fin determinado. Esto se confirma en el diccionario panhispánico del español jurídico, donde la RAE alude a la “</w:t>
      </w:r>
      <w:r w:rsidRPr="0017381D">
        <w:rPr>
          <w:rFonts w:ascii="Century Gothic" w:hAnsi="Century Gothic" w:eastAsia="Calibri" w:cs="Arial"/>
          <w:bCs/>
          <w:color w:val="000000" w:themeColor="text1"/>
          <w:lang w:val="es-ES_tradnl"/>
        </w:rPr>
        <w:t>Cualidad personal necesaria para la prestación de un servicio concreto o la asunción de un cargo</w:t>
      </w:r>
      <w:r>
        <w:rPr>
          <w:rFonts w:ascii="Century Gothic" w:hAnsi="Century Gothic" w:eastAsia="Calibri" w:cs="Arial"/>
          <w:bCs/>
          <w:color w:val="000000" w:themeColor="text1"/>
          <w:lang w:val="es-ES_tradnl"/>
        </w:rPr>
        <w:t xml:space="preserve">”. Este requisito también se exige, por ejemplo, para la celebración de contratos de prestación de servicios profesionales y de apoyo a la gestión –art. </w:t>
      </w:r>
      <w:r w:rsidRPr="0017381D">
        <w:rPr>
          <w:rFonts w:ascii="Century Gothic" w:hAnsi="Century Gothic" w:eastAsia="Calibri" w:cs="Arial"/>
          <w:bCs/>
          <w:color w:val="000000" w:themeColor="text1"/>
          <w:lang w:val="es-ES_tradnl"/>
        </w:rPr>
        <w:t>2.2.1.2.1.4.9</w:t>
      </w:r>
      <w:r>
        <w:rPr>
          <w:rFonts w:ascii="Century Gothic" w:hAnsi="Century Gothic" w:eastAsia="Calibri" w:cs="Arial"/>
          <w:bCs/>
          <w:color w:val="000000" w:themeColor="text1"/>
          <w:lang w:val="es-ES_tradnl"/>
        </w:rPr>
        <w:t xml:space="preserve"> del Decreto 1082 de 2015– y para suscribir contratos del artículo 355 superior con entidades privadas sin ánimo de lucro –art. 3 del Decreto 092 de 2017–.</w:t>
      </w:r>
    </w:p>
    <w:p w:rsidR="002917FA" w:rsidP="002917FA" w:rsidRDefault="002917FA" w14:paraId="32711415" w14:textId="77777777">
      <w:pPr>
        <w:spacing w:after="120" w:line="276" w:lineRule="auto"/>
        <w:ind w:firstLine="703"/>
        <w:jc w:val="both"/>
        <w:rPr>
          <w:rFonts w:ascii="Century Gothic" w:hAnsi="Century Gothic" w:eastAsia="Calibri" w:cs="Arial"/>
          <w:bCs/>
          <w:color w:val="000000" w:themeColor="text1"/>
          <w:lang w:val="es-ES_tradnl"/>
        </w:rPr>
      </w:pPr>
      <w:r>
        <w:rPr>
          <w:rFonts w:ascii="Century Gothic" w:hAnsi="Century Gothic" w:eastAsia="Calibri" w:cs="Arial"/>
          <w:bCs/>
          <w:color w:val="000000" w:themeColor="text1"/>
          <w:lang w:val="es-ES_tradnl"/>
        </w:rPr>
        <w:t xml:space="preserve">Dicha idoneidad, como mínimo, se precisa en términos de conocimiento y de experiencia, es decir, en la combinación entre el “saber” y el “saber hacer”. Estas capacidades se analizan en relación con el objeto del contrato, de donde se deprenden aptitudes teóricas y prácticas para ejecutar el proyecto. Además de lo </w:t>
      </w:r>
      <w:r>
        <w:rPr>
          <w:rFonts w:ascii="Century Gothic" w:hAnsi="Century Gothic" w:eastAsia="Calibri" w:cs="Arial"/>
          <w:bCs/>
          <w:color w:val="000000" w:themeColor="text1"/>
          <w:lang w:val="es-ES_tradnl"/>
        </w:rPr>
        <w:t xml:space="preserve">anterior, puede verificarse con criterios como las capacidades del personal vinculado, una estructura organizacional robusta, la implementación y cumplimiento de indicadores de gestión, reputación del organismo en el medio, entre otras. Como se observa, la idoneidad es un concepto que se determina de forma valorativa, esto es, de acuerdo con el parámetro de verificación que se adopte. </w:t>
      </w:r>
    </w:p>
    <w:p w:rsidR="002917FA" w:rsidP="002917FA" w:rsidRDefault="002917FA" w14:paraId="371C2ECA" w14:textId="77777777">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Pr>
          <w:rFonts w:ascii="Century Gothic" w:hAnsi="Century Gothic" w:eastAsia="Calibri" w:cs="Arial"/>
          <w:bCs/>
          <w:color w:val="000000" w:themeColor="text1"/>
          <w:lang w:val="es-ES_tradnl"/>
        </w:rPr>
        <w:t xml:space="preserve">Al tratarse de </w:t>
      </w:r>
      <w:r w:rsidRPr="00B562F5">
        <w:rPr>
          <w:rFonts w:ascii="Century Gothic" w:hAnsi="Century Gothic" w:eastAsia="Calibri" w:cs="Arial"/>
          <w:lang w:val="es-MX"/>
        </w:rPr>
        <w:t>pueblos y comunidades indígenas</w:t>
      </w:r>
      <w:r>
        <w:rPr>
          <w:rFonts w:ascii="Century Gothic" w:hAnsi="Century Gothic" w:eastAsia="Calibri" w:cs="Arial"/>
          <w:lang w:val="es-MX"/>
        </w:rPr>
        <w:t>,</w:t>
      </w:r>
      <w:r>
        <w:rPr>
          <w:rFonts w:ascii="Century Gothic" w:hAnsi="Century Gothic" w:eastAsia="Calibri" w:cs="Arial"/>
          <w:bCs/>
          <w:color w:val="000000" w:themeColor="text1"/>
          <w:lang w:val="es-ES_tradnl"/>
        </w:rPr>
        <w:t xml:space="preserve"> la norma dispone que esta circunstancia “[…] </w:t>
      </w:r>
      <w:r w:rsidRPr="00AE1058">
        <w:rPr>
          <w:rFonts w:ascii="Century Gothic" w:hAnsi="Century Gothic" w:eastAsia="Calibri" w:cs="Arial"/>
          <w:bCs/>
          <w:color w:val="000000" w:themeColor="text1"/>
          <w:lang w:val="es-ES_tradnl"/>
        </w:rPr>
        <w:t>deberá ser valorada teniendo en cuenta un enfoque diferencial</w:t>
      </w:r>
      <w:r>
        <w:rPr>
          <w:rFonts w:ascii="Century Gothic" w:hAnsi="Century Gothic" w:eastAsia="Calibri" w:cs="Arial"/>
          <w:bCs/>
          <w:color w:val="000000" w:themeColor="text1"/>
          <w:lang w:val="es-ES_tradnl"/>
        </w:rPr>
        <w:t xml:space="preserve"> […]”. </w:t>
      </w:r>
      <w:r w:rsidRPr="008804C6">
        <w:rPr>
          <w:rFonts w:ascii="Century Gothic" w:hAnsi="Century Gothic" w:eastAsia="Calibri" w:cs="Arial"/>
          <w:bCs/>
          <w:color w:val="000000" w:themeColor="text1"/>
          <w:lang w:val="es-ES_tradnl"/>
        </w:rPr>
        <w:t xml:space="preserve">Desde un punto de vista jurídico, </w:t>
      </w:r>
      <w:r>
        <w:rPr>
          <w:rFonts w:ascii="Century Gothic" w:hAnsi="Century Gothic" w:eastAsia="Calibri" w:cs="Arial"/>
          <w:bCs/>
          <w:color w:val="000000" w:themeColor="text1"/>
          <w:lang w:val="es-ES_tradnl"/>
        </w:rPr>
        <w:t>estos</w:t>
      </w:r>
      <w:r w:rsidRPr="008804C6">
        <w:rPr>
          <w:rFonts w:ascii="Century Gothic" w:hAnsi="Century Gothic" w:eastAsia="Calibri" w:cs="Arial"/>
          <w:bCs/>
          <w:color w:val="000000" w:themeColor="text1"/>
          <w:lang w:val="es-ES_tradnl"/>
        </w:rPr>
        <w:t xml:space="preserve"> organismos </w:t>
      </w:r>
      <w:r>
        <w:rPr>
          <w:rFonts w:ascii="Century Gothic" w:hAnsi="Century Gothic" w:eastAsia="Calibri" w:cs="Arial"/>
          <w:bCs/>
          <w:color w:val="000000" w:themeColor="text1"/>
          <w:lang w:val="es-ES_tradnl"/>
        </w:rPr>
        <w:t>no tienen como objeto</w:t>
      </w:r>
      <w:r w:rsidRPr="008804C6">
        <w:rPr>
          <w:rFonts w:ascii="Century Gothic" w:hAnsi="Century Gothic" w:eastAsia="Calibri" w:cs="Arial"/>
          <w:bCs/>
          <w:color w:val="000000" w:themeColor="text1"/>
          <w:lang w:val="es-ES_tradnl"/>
        </w:rPr>
        <w:t xml:space="preserve"> la ejecución directa de grandes obras de infraestructura, aspecto que influye en la imposibilidad de acreditar </w:t>
      </w:r>
      <w:r>
        <w:rPr>
          <w:rFonts w:ascii="Century Gothic" w:hAnsi="Century Gothic" w:eastAsia="Calibri" w:cs="Arial"/>
          <w:bCs/>
          <w:color w:val="000000" w:themeColor="text1"/>
          <w:lang w:val="es-ES_tradnl"/>
        </w:rPr>
        <w:t>conocimientos y</w:t>
      </w:r>
      <w:r w:rsidRPr="008804C6">
        <w:rPr>
          <w:rFonts w:ascii="Century Gothic" w:hAnsi="Century Gothic" w:eastAsia="Calibri" w:cs="Arial"/>
          <w:bCs/>
          <w:color w:val="000000" w:themeColor="text1"/>
          <w:lang w:val="es-ES_tradnl"/>
        </w:rPr>
        <w:t xml:space="preserve"> experiencia en las mismas condiciones que un contratista en el marco de un proceso</w:t>
      </w:r>
      <w:r>
        <w:rPr>
          <w:rFonts w:ascii="Century Gothic" w:hAnsi="Century Gothic" w:eastAsia="Calibri" w:cs="Arial"/>
          <w:bCs/>
          <w:color w:val="000000" w:themeColor="text1"/>
          <w:lang w:val="es-ES_tradnl"/>
        </w:rPr>
        <w:t xml:space="preserve"> con pluralidad de oferentes</w:t>
      </w:r>
      <w:r w:rsidRPr="008804C6">
        <w:rPr>
          <w:rFonts w:ascii="Century Gothic" w:hAnsi="Century Gothic" w:eastAsia="Calibri" w:cs="Arial"/>
          <w:bCs/>
          <w:color w:val="000000" w:themeColor="text1"/>
          <w:lang w:val="es-ES_tradnl"/>
        </w:rPr>
        <w:t xml:space="preserve"> regido por el EGCAP</w:t>
      </w:r>
      <w:r>
        <w:rPr>
          <w:rFonts w:ascii="Century Gothic" w:hAnsi="Century Gothic" w:eastAsia="Calibri" w:cs="Arial"/>
          <w:bCs/>
          <w:color w:val="000000" w:themeColor="text1"/>
          <w:lang w:val="es-ES_tradnl"/>
        </w:rPr>
        <w:t xml:space="preserve">. </w:t>
      </w:r>
      <w:r w:rsidRPr="008804C6">
        <w:rPr>
          <w:rFonts w:ascii="Century Gothic" w:hAnsi="Century Gothic" w:eastAsia="Calibri" w:cs="Arial"/>
          <w:bCs/>
          <w:color w:val="000000" w:themeColor="text1"/>
          <w:lang w:val="es-ES_tradnl"/>
        </w:rPr>
        <w:t>No obstante</w:t>
      </w:r>
      <w:r>
        <w:rPr>
          <w:rFonts w:ascii="Century Gothic" w:hAnsi="Century Gothic" w:eastAsia="Calibri" w:cs="Arial"/>
          <w:bCs/>
          <w:color w:val="000000" w:themeColor="text1"/>
          <w:lang w:val="es-ES_tradnl"/>
        </w:rPr>
        <w:t>, además de establecer la idoneidad en términos de apropiación de los saberes ancestrales y los beneficios de su implementación en el proyecto, la Administración también validarla</w:t>
      </w:r>
      <w:r w:rsidRPr="008804C6">
        <w:rPr>
          <w:rFonts w:ascii="Century Gothic" w:hAnsi="Century Gothic" w:eastAsia="Calibri" w:cs="Arial"/>
          <w:bCs/>
          <w:color w:val="000000" w:themeColor="text1"/>
          <w:lang w:val="es-ES_tradnl"/>
        </w:rPr>
        <w:t xml:space="preserve"> respecto a las capacidades propias de los</w:t>
      </w:r>
      <w:r>
        <w:rPr>
          <w:rFonts w:ascii="Century Gothic" w:hAnsi="Century Gothic" w:eastAsia="Calibri" w:cs="Arial"/>
          <w:bCs/>
          <w:color w:val="000000" w:themeColor="text1"/>
          <w:lang w:val="es-ES_tradnl"/>
        </w:rPr>
        <w:t xml:space="preserve"> pueblos y comunidades </w:t>
      </w:r>
      <w:r w:rsidRPr="008804C6">
        <w:rPr>
          <w:rFonts w:ascii="Century Gothic" w:hAnsi="Century Gothic" w:eastAsia="Calibri" w:cs="Arial"/>
          <w:bCs/>
          <w:color w:val="000000" w:themeColor="text1"/>
          <w:lang w:val="es-ES_tradnl"/>
        </w:rPr>
        <w:t>o de quienes los confor</w:t>
      </w:r>
      <w:r>
        <w:rPr>
          <w:rFonts w:ascii="Century Gothic" w:hAnsi="Century Gothic" w:eastAsia="Calibri" w:cs="Arial"/>
          <w:bCs/>
          <w:color w:val="000000" w:themeColor="text1"/>
          <w:lang w:val="es-ES_tradnl"/>
        </w:rPr>
        <w:t>men</w:t>
      </w:r>
      <w:r w:rsidRPr="008804C6">
        <w:rPr>
          <w:rFonts w:ascii="Century Gothic" w:hAnsi="Century Gothic" w:eastAsia="Calibri" w:cs="Arial"/>
          <w:bCs/>
          <w:color w:val="000000" w:themeColor="text1"/>
          <w:lang w:val="es-ES_tradnl"/>
        </w:rPr>
        <w:t xml:space="preserve">, en aspectos como, por ejemplo, la ejecución exitosa de convenios </w:t>
      </w:r>
      <w:r>
        <w:rPr>
          <w:rFonts w:ascii="Century Gothic" w:hAnsi="Century Gothic" w:eastAsia="Calibri" w:cs="Arial"/>
          <w:bCs/>
          <w:color w:val="000000" w:themeColor="text1"/>
          <w:lang w:val="es-ES_tradnl"/>
        </w:rPr>
        <w:t>o contratos</w:t>
      </w:r>
      <w:r w:rsidRPr="008804C6">
        <w:rPr>
          <w:rFonts w:ascii="Century Gothic" w:hAnsi="Century Gothic" w:eastAsia="Calibri" w:cs="Arial"/>
          <w:bCs/>
          <w:color w:val="000000" w:themeColor="text1"/>
          <w:lang w:val="es-ES_tradnl"/>
        </w:rPr>
        <w:t xml:space="preserve"> anteriores</w:t>
      </w:r>
      <w:r>
        <w:rPr>
          <w:rFonts w:ascii="Century Gothic" w:hAnsi="Century Gothic" w:eastAsia="Calibri" w:cs="Arial"/>
          <w:bCs/>
          <w:color w:val="000000" w:themeColor="text1"/>
          <w:lang w:val="es-ES_tradnl"/>
        </w:rPr>
        <w:t xml:space="preserve"> con objeto similar</w:t>
      </w:r>
      <w:r w:rsidRPr="008804C6">
        <w:rPr>
          <w:rFonts w:ascii="Century Gothic" w:hAnsi="Century Gothic" w:eastAsia="Calibri" w:cs="Arial"/>
          <w:bCs/>
          <w:color w:val="000000" w:themeColor="text1"/>
          <w:lang w:val="es-ES_tradnl"/>
        </w:rPr>
        <w:t xml:space="preserve"> o la acreditaci</w:t>
      </w:r>
      <w:r>
        <w:rPr>
          <w:rFonts w:ascii="Century Gothic" w:hAnsi="Century Gothic" w:eastAsia="Calibri" w:cs="Arial"/>
          <w:bCs/>
          <w:color w:val="000000" w:themeColor="text1"/>
          <w:lang w:val="es-ES_tradnl"/>
        </w:rPr>
        <w:t>ón de competencias específicas</w:t>
      </w:r>
      <w:r w:rsidRPr="008804C6">
        <w:rPr>
          <w:rFonts w:ascii="Century Gothic" w:hAnsi="Century Gothic" w:eastAsia="Calibri" w:cs="Arial"/>
          <w:bCs/>
          <w:color w:val="000000" w:themeColor="text1"/>
          <w:lang w:val="es-ES_tradnl"/>
        </w:rPr>
        <w:t xml:space="preserve"> del personal que integr</w:t>
      </w:r>
      <w:r>
        <w:rPr>
          <w:rFonts w:ascii="Century Gothic" w:hAnsi="Century Gothic" w:eastAsia="Calibri" w:cs="Arial"/>
          <w:bCs/>
          <w:color w:val="000000" w:themeColor="text1"/>
          <w:lang w:val="es-ES_tradnl"/>
        </w:rPr>
        <w:t>e</w:t>
      </w:r>
      <w:r w:rsidRPr="008804C6">
        <w:rPr>
          <w:rFonts w:ascii="Century Gothic" w:hAnsi="Century Gothic" w:eastAsia="Calibri" w:cs="Arial"/>
          <w:bCs/>
          <w:color w:val="000000" w:themeColor="text1"/>
          <w:lang w:val="es-ES_tradnl"/>
        </w:rPr>
        <w:t xml:space="preserve">n </w:t>
      </w:r>
      <w:r>
        <w:rPr>
          <w:rFonts w:ascii="Century Gothic" w:hAnsi="Century Gothic" w:eastAsia="Calibri" w:cs="Arial"/>
          <w:bCs/>
          <w:color w:val="000000" w:themeColor="text1"/>
          <w:lang w:val="es-ES_tradnl"/>
        </w:rPr>
        <w:t>a</w:t>
      </w:r>
      <w:r w:rsidRPr="008804C6">
        <w:rPr>
          <w:rFonts w:ascii="Century Gothic" w:hAnsi="Century Gothic" w:eastAsia="Calibri" w:cs="Arial"/>
          <w:bCs/>
          <w:color w:val="000000" w:themeColor="text1"/>
          <w:lang w:val="es-ES_tradnl"/>
        </w:rPr>
        <w:t>l cumplimiento de obligaciones como mano de obra</w:t>
      </w:r>
      <w:r>
        <w:rPr>
          <w:rFonts w:ascii="Century Gothic" w:hAnsi="Century Gothic" w:eastAsia="Calibri" w:cs="Arial"/>
          <w:bCs/>
          <w:color w:val="000000" w:themeColor="text1"/>
          <w:lang w:val="es-ES_tradnl"/>
        </w:rPr>
        <w:t xml:space="preserve">. </w:t>
      </w:r>
    </w:p>
    <w:p w:rsidR="002917FA" w:rsidP="002917FA" w:rsidRDefault="002917FA" w14:paraId="4F3BC7F5" w14:textId="695BC2FD">
      <w:pPr>
        <w:pBdr>
          <w:top w:val="nil"/>
          <w:left w:val="nil"/>
          <w:bottom w:val="nil"/>
          <w:right w:val="nil"/>
          <w:between w:val="nil"/>
        </w:pBdr>
        <w:spacing w:after="120" w:line="276" w:lineRule="auto"/>
        <w:ind w:firstLine="703"/>
        <w:jc w:val="both"/>
        <w:rPr>
          <w:rFonts w:ascii="Century Gothic" w:hAnsi="Century Gothic" w:eastAsia="Calibri" w:cs="Arial"/>
          <w:bCs/>
          <w:color w:val="000000" w:themeColor="text1"/>
          <w:lang w:val="es-ES_tradnl"/>
        </w:rPr>
      </w:pPr>
      <w:r w:rsidRPr="00993759">
        <w:rPr>
          <w:rFonts w:ascii="Century Gothic" w:hAnsi="Century Gothic" w:eastAsia="Calibri" w:cs="Arial"/>
          <w:bCs/>
          <w:color w:val="000000" w:themeColor="text1"/>
          <w:lang w:val="es-ES_tradnl"/>
        </w:rPr>
        <w:t xml:space="preserve">De acuerdo con esto, las obligaciones </w:t>
      </w:r>
      <w:r>
        <w:rPr>
          <w:rFonts w:ascii="Century Gothic" w:hAnsi="Century Gothic" w:eastAsia="Calibri" w:cs="Arial"/>
          <w:bCs/>
          <w:color w:val="000000" w:themeColor="text1"/>
          <w:lang w:val="es-ES_tradnl"/>
        </w:rPr>
        <w:t xml:space="preserve">que asuman los </w:t>
      </w:r>
      <w:r w:rsidRPr="00943080">
        <w:rPr>
          <w:rFonts w:ascii="Century Gothic" w:hAnsi="Century Gothic" w:eastAsia="Calibri" w:cs="Arial"/>
          <w:lang w:val="es-MX"/>
        </w:rPr>
        <w:t>Cabildos Indígenas, las asociaciones de Cabildos Indígenas y/o Autoridades Tradicionales Indígenas, Consejos Indígenas y Organizaciones Indígenas</w:t>
      </w:r>
      <w:r w:rsidRPr="00993759">
        <w:rPr>
          <w:rFonts w:ascii="Century Gothic" w:hAnsi="Century Gothic" w:eastAsia="Calibri" w:cs="Arial"/>
          <w:bCs/>
          <w:color w:val="000000" w:themeColor="text1"/>
          <w:lang w:val="es-ES_tradnl"/>
        </w:rPr>
        <w:t xml:space="preserve"> en el marco de </w:t>
      </w:r>
      <w:r>
        <w:rPr>
          <w:rFonts w:ascii="Century Gothic" w:hAnsi="Century Gothic" w:eastAsia="Calibri" w:cs="Arial"/>
          <w:bCs/>
          <w:color w:val="000000" w:themeColor="text1"/>
          <w:lang w:val="es-ES_tradnl"/>
        </w:rPr>
        <w:t xml:space="preserve">la causal de contratación directa </w:t>
      </w:r>
      <w:r>
        <w:rPr>
          <w:rFonts w:ascii="Century Gothic" w:hAnsi="Century Gothic" w:eastAsia="Calibri" w:cs="Arial"/>
          <w:lang w:val="es-MX"/>
        </w:rPr>
        <w:t>de</w:t>
      </w:r>
      <w:r>
        <w:rPr>
          <w:rFonts w:ascii="Century Gothic" w:hAnsi="Century Gothic" w:eastAsia="Calibri" w:cs="Arial"/>
          <w:bCs/>
          <w:color w:val="000000" w:themeColor="text1"/>
          <w:lang w:val="es-ES_tradnl"/>
        </w:rPr>
        <w:t xml:space="preserve">l literal </w:t>
      </w:r>
      <w:r w:rsidRPr="006B6B6C">
        <w:rPr>
          <w:rFonts w:ascii="Century Gothic" w:hAnsi="Century Gothic" w:eastAsia="Calibri" w:cs="Arial"/>
          <w:bCs/>
          <w:color w:val="000000" w:themeColor="text1"/>
          <w:lang w:val="es-ES_tradnl"/>
        </w:rPr>
        <w:t xml:space="preserve">l) del artículo </w:t>
      </w:r>
      <w:r w:rsidR="00803B87">
        <w:rPr>
          <w:rFonts w:ascii="Century Gothic" w:hAnsi="Century Gothic" w:eastAsia="Calibri" w:cs="Arial"/>
          <w:bCs/>
          <w:color w:val="000000" w:themeColor="text1"/>
          <w:lang w:val="es-ES_tradnl"/>
        </w:rPr>
        <w:t>2, numeral 4</w:t>
      </w:r>
      <w:r w:rsidRPr="006B6B6C">
        <w:rPr>
          <w:rFonts w:ascii="Century Gothic" w:hAnsi="Century Gothic" w:eastAsia="Calibri" w:cs="Arial"/>
          <w:bCs/>
          <w:color w:val="000000" w:themeColor="text1"/>
          <w:lang w:val="es-ES_tradnl"/>
        </w:rPr>
        <w:t xml:space="preserve"> de la Ley 1150 de 2007</w:t>
      </w:r>
      <w:r w:rsidRPr="00993759">
        <w:rPr>
          <w:rFonts w:ascii="Century Gothic" w:hAnsi="Century Gothic" w:eastAsia="Calibri" w:cs="Arial"/>
          <w:bCs/>
          <w:color w:val="000000" w:themeColor="text1"/>
          <w:lang w:val="es-ES_tradnl"/>
        </w:rPr>
        <w:t xml:space="preserve"> deben ir en sintonía con la idoneidad que puedan demostrar para asumir las mismas</w:t>
      </w:r>
      <w:r>
        <w:rPr>
          <w:rFonts w:ascii="Century Gothic" w:hAnsi="Century Gothic" w:eastAsia="Calibri" w:cs="Arial"/>
          <w:bCs/>
          <w:color w:val="000000" w:themeColor="text1"/>
          <w:lang w:val="es-ES_tradnl"/>
        </w:rPr>
        <w:t>. En otros términos, se trata de aprovechar la capacidad de estas organizaciones para</w:t>
      </w:r>
      <w:r w:rsidRPr="00472D02">
        <w:rPr>
          <w:rFonts w:ascii="Century Gothic" w:hAnsi="Century Gothic" w:eastAsia="Calibri" w:cs="Arial"/>
          <w:bCs/>
          <w:color w:val="000000" w:themeColor="text1"/>
          <w:lang w:val="es-ES_tradnl"/>
        </w:rPr>
        <w:t xml:space="preserve"> ejecu</w:t>
      </w:r>
      <w:r>
        <w:rPr>
          <w:rFonts w:ascii="Century Gothic" w:hAnsi="Century Gothic" w:eastAsia="Calibri" w:cs="Arial"/>
          <w:bCs/>
          <w:color w:val="000000" w:themeColor="text1"/>
          <w:lang w:val="es-ES_tradnl"/>
        </w:rPr>
        <w:t>tar</w:t>
      </w:r>
      <w:r w:rsidRPr="00472D02">
        <w:rPr>
          <w:rFonts w:ascii="Century Gothic" w:hAnsi="Century Gothic" w:eastAsia="Calibri" w:cs="Arial"/>
          <w:bCs/>
          <w:color w:val="000000" w:themeColor="text1"/>
          <w:lang w:val="es-ES_tradnl"/>
        </w:rPr>
        <w:t xml:space="preserve"> obras de mantenimiento y/o mejoramiento de infraestructura social y de transporte, suministrar bienes o </w:t>
      </w:r>
      <w:r>
        <w:rPr>
          <w:rFonts w:ascii="Century Gothic" w:hAnsi="Century Gothic" w:eastAsia="Calibri" w:cs="Arial"/>
          <w:bCs/>
          <w:color w:val="000000" w:themeColor="text1"/>
          <w:lang w:val="es-ES_tradnl"/>
        </w:rPr>
        <w:t xml:space="preserve">prestar </w:t>
      </w:r>
      <w:r w:rsidRPr="00472D02">
        <w:rPr>
          <w:rFonts w:ascii="Century Gothic" w:hAnsi="Century Gothic" w:eastAsia="Calibri" w:cs="Arial"/>
          <w:bCs/>
          <w:color w:val="000000" w:themeColor="text1"/>
          <w:lang w:val="es-ES_tradnl"/>
        </w:rPr>
        <w:t>servicios</w:t>
      </w:r>
      <w:r>
        <w:rPr>
          <w:rFonts w:ascii="Century Gothic" w:hAnsi="Century Gothic" w:eastAsia="Calibri" w:cs="Arial"/>
          <w:bCs/>
          <w:color w:val="000000" w:themeColor="text1"/>
          <w:lang w:val="es-ES_tradnl"/>
        </w:rPr>
        <w:t xml:space="preserve"> en beneficio de sus pueblos y comunidades.</w:t>
      </w:r>
    </w:p>
    <w:p w:rsidR="002917FA" w:rsidP="002917FA" w:rsidRDefault="002917FA" w14:paraId="4372F445" w14:textId="77777777">
      <w:pPr>
        <w:pBdr>
          <w:top w:val="nil"/>
          <w:left w:val="nil"/>
          <w:bottom w:val="nil"/>
          <w:right w:val="nil"/>
          <w:between w:val="nil"/>
        </w:pBdr>
        <w:spacing w:after="0" w:line="276" w:lineRule="auto"/>
        <w:ind w:firstLine="703"/>
        <w:jc w:val="both"/>
        <w:rPr>
          <w:rFonts w:ascii="Century Gothic" w:hAnsi="Century Gothic" w:eastAsia="Calibri" w:cs="Arial"/>
          <w:bCs/>
          <w:color w:val="000000" w:themeColor="text1"/>
          <w:lang w:val="es-ES_tradnl"/>
        </w:rPr>
      </w:pPr>
      <w:r w:rsidRPr="00F22FD1">
        <w:rPr>
          <w:rFonts w:ascii="Century Gothic" w:hAnsi="Century Gothic" w:eastAsia="Calibri" w:cs="Arial"/>
          <w:bCs/>
          <w:color w:val="000000" w:themeColor="text1"/>
          <w:lang w:val="es-ES_tradnl"/>
        </w:rPr>
        <w:t xml:space="preserve">Dado que la Agencia carece de atribuciones para hacer un juicio de </w:t>
      </w:r>
      <w:r>
        <w:rPr>
          <w:rFonts w:ascii="Century Gothic" w:hAnsi="Century Gothic" w:eastAsia="Calibri" w:cs="Arial"/>
          <w:bCs/>
          <w:color w:val="000000" w:themeColor="text1"/>
          <w:lang w:val="es-ES_tradnl"/>
        </w:rPr>
        <w:t>validez</w:t>
      </w:r>
      <w:r w:rsidRPr="00F22FD1">
        <w:rPr>
          <w:rFonts w:ascii="Century Gothic" w:hAnsi="Century Gothic" w:eastAsia="Calibri" w:cs="Arial"/>
          <w:bCs/>
          <w:color w:val="000000" w:themeColor="text1"/>
          <w:lang w:val="es-ES_tradnl"/>
        </w:rPr>
        <w:t xml:space="preserve"> sobre de los requisitos </w:t>
      </w:r>
      <w:r>
        <w:rPr>
          <w:rFonts w:ascii="Century Gothic" w:hAnsi="Century Gothic" w:eastAsia="Calibri" w:cs="Arial"/>
          <w:bCs/>
          <w:color w:val="000000" w:themeColor="text1"/>
          <w:lang w:val="es-ES_tradnl"/>
        </w:rPr>
        <w:t>de idoneidad</w:t>
      </w:r>
      <w:r w:rsidRPr="00F22FD1">
        <w:rPr>
          <w:rFonts w:ascii="Century Gothic" w:hAnsi="Century Gothic" w:eastAsia="Calibri" w:cs="Arial"/>
          <w:bCs/>
          <w:color w:val="000000" w:themeColor="text1"/>
          <w:lang w:val="es-ES_tradnl"/>
        </w:rPr>
        <w:t xml:space="preserve">, la entidad no puede definir un criterio universal y absoluto por vía consultiva sobre el objeto de la petición,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estos temas corresponde a la entidad de adoptar la decisión correspondiente y, en caso de conflicto, a las autoridades judiciales, </w:t>
      </w:r>
      <w:r w:rsidRPr="00F22FD1">
        <w:rPr>
          <w:rFonts w:ascii="Century Gothic" w:hAnsi="Century Gothic" w:eastAsia="Calibri" w:cs="Arial"/>
          <w:bCs/>
          <w:color w:val="000000" w:themeColor="text1"/>
          <w:lang w:val="es-ES_tradnl"/>
        </w:rPr>
        <w:t>fiscales y disciplinarias. De esta manera, corresponderá a cada contratante definir la viabilidad técnica, jurídica y financiera de alguna gestión contractual en específico, sin que sea atribución de la Agencia Nacional de Contratación Pública – Colombia Compra Eficiente validar las actuaciones adelantadas.</w:t>
      </w:r>
    </w:p>
    <w:p w:rsidRPr="004C64AD" w:rsidR="002917FA" w:rsidP="002917FA" w:rsidRDefault="002917FA" w14:paraId="2C11D4FB" w14:textId="77777777">
      <w:pPr>
        <w:spacing w:after="0" w:line="276" w:lineRule="auto"/>
        <w:jc w:val="both"/>
        <w:rPr>
          <w:rFonts w:ascii="Century Gothic" w:hAnsi="Century Gothic" w:cs="Arial"/>
          <w:color w:val="000000" w:themeColor="text1"/>
        </w:rPr>
      </w:pPr>
    </w:p>
    <w:p w:rsidRPr="00BF1D9A" w:rsidR="002917FA" w:rsidP="002917FA" w:rsidRDefault="002917FA" w14:paraId="432479D3" w14:textId="77777777">
      <w:pPr>
        <w:spacing w:after="0" w:line="240" w:lineRule="auto"/>
        <w:ind w:left="709" w:right="709"/>
        <w:jc w:val="both"/>
        <w:rPr>
          <w:rFonts w:ascii="Century Gothic" w:hAnsi="Century Gothic" w:cs="Arial"/>
          <w:color w:val="000000" w:themeColor="text1"/>
          <w:sz w:val="20"/>
          <w:szCs w:val="20"/>
        </w:rPr>
      </w:pPr>
      <w:proofErr w:type="spellStart"/>
      <w:r w:rsidRPr="00BF1D9A">
        <w:rPr>
          <w:rFonts w:ascii="Century Gothic" w:hAnsi="Century Gothic" w:cs="Arial"/>
          <w:color w:val="000000" w:themeColor="text1"/>
          <w:sz w:val="20"/>
          <w:szCs w:val="20"/>
          <w:lang w:val="es-ES_tradnl"/>
        </w:rPr>
        <w:t>iv</w:t>
      </w:r>
      <w:proofErr w:type="spellEnd"/>
      <w:r w:rsidRPr="00BF1D9A">
        <w:rPr>
          <w:rFonts w:ascii="Century Gothic" w:hAnsi="Century Gothic" w:cs="Arial"/>
          <w:color w:val="000000" w:themeColor="text1"/>
          <w:sz w:val="20"/>
          <w:szCs w:val="20"/>
          <w:lang w:val="es-ES_tradnl"/>
        </w:rPr>
        <w:t>) “¿Qué normativa le otorga capacidad para contratar a los Cabildos Indígenas, las asociaciones de Cabildos Indígenas y/o Autoridades Tradicionales Indígenas, Consejos Indígenas y Organizaciones Indígenas, ¿según lo dispuesto en el artículo 353 de la Ley 2294 de 2023?”.</w:t>
      </w:r>
    </w:p>
    <w:p w:rsidRPr="004C64AD" w:rsidR="002917FA" w:rsidP="002917FA" w:rsidRDefault="002917FA" w14:paraId="696268EB" w14:textId="77777777">
      <w:pPr>
        <w:spacing w:after="0" w:line="276" w:lineRule="auto"/>
        <w:ind w:left="709" w:right="709"/>
        <w:jc w:val="both"/>
        <w:rPr>
          <w:rFonts w:ascii="Century Gothic" w:hAnsi="Century Gothic" w:cs="Arial"/>
          <w:color w:val="000000" w:themeColor="text1"/>
        </w:rPr>
      </w:pPr>
      <w:r w:rsidRPr="004C64AD">
        <w:rPr>
          <w:rFonts w:ascii="Century Gothic" w:hAnsi="Century Gothic" w:cs="Arial"/>
          <w:color w:val="000000" w:themeColor="text1"/>
          <w:sz w:val="21"/>
          <w:szCs w:val="21"/>
        </w:rPr>
        <w:t xml:space="preserve"> </w:t>
      </w:r>
    </w:p>
    <w:p w:rsidR="002917FA" w:rsidP="002917FA" w:rsidRDefault="002917FA" w14:paraId="7F5FF455" w14:textId="77777777">
      <w:pPr>
        <w:spacing w:after="0" w:line="276" w:lineRule="auto"/>
        <w:jc w:val="both"/>
        <w:rPr>
          <w:rFonts w:ascii="Century Gothic" w:hAnsi="Century Gothic" w:eastAsia="Calibri" w:cs="Arial"/>
          <w:lang w:val="es-MX"/>
        </w:rPr>
      </w:pPr>
      <w:r w:rsidRPr="003B488F">
        <w:rPr>
          <w:rStyle w:val="Textoennegrita"/>
          <w:rFonts w:ascii="Century Gothic" w:hAnsi="Century Gothic" w:cs="Arial"/>
          <w:b w:val="0"/>
          <w:bCs w:val="0"/>
          <w:shd w:val="clear" w:color="auto" w:fill="FFFFFF"/>
        </w:rPr>
        <w:t>De acuerdo con el marco normativo analizado en la primera parte del presente oficio</w:t>
      </w:r>
      <w:r>
        <w:rPr>
          <w:rStyle w:val="Textoennegrita"/>
          <w:rFonts w:ascii="Century Gothic" w:hAnsi="Century Gothic" w:cs="Arial"/>
          <w:shd w:val="clear" w:color="auto" w:fill="FFFFFF"/>
        </w:rPr>
        <w:t xml:space="preserve">, </w:t>
      </w:r>
      <w:r w:rsidRPr="00FA6559">
        <w:rPr>
          <w:rFonts w:ascii="Century Gothic" w:hAnsi="Century Gothic" w:eastAsia="Arial" w:cs="Arial"/>
          <w:lang w:val="es-ES"/>
        </w:rPr>
        <w:t>puede concluirse</w:t>
      </w:r>
      <w:r>
        <w:rPr>
          <w:rFonts w:ascii="Century Gothic" w:hAnsi="Century Gothic" w:eastAsia="Arial" w:cs="Arial"/>
          <w:lang w:val="es-ES"/>
        </w:rPr>
        <w:t xml:space="preserve"> </w:t>
      </w:r>
      <w:r w:rsidRPr="00FA6559">
        <w:rPr>
          <w:rFonts w:ascii="Century Gothic" w:hAnsi="Century Gothic" w:eastAsia="Arial" w:cs="Arial"/>
          <w:lang w:val="es-ES"/>
        </w:rPr>
        <w:t xml:space="preserve">que: i) los cabildos indígenas en virtud de lo consagrado en el Decreto 2164 de 1995 y en la Ley 2160 de 2021 que modificó el artículo 7 de la Ley 80 de 1993, deben entenderse como entidades públicas especiales; </w:t>
      </w:r>
      <w:proofErr w:type="spellStart"/>
      <w:r w:rsidRPr="00FA6559">
        <w:rPr>
          <w:rFonts w:ascii="Century Gothic" w:hAnsi="Century Gothic" w:eastAsia="Arial" w:cs="Arial"/>
          <w:lang w:val="es-ES"/>
        </w:rPr>
        <w:t>ii</w:t>
      </w:r>
      <w:proofErr w:type="spellEnd"/>
      <w:r w:rsidRPr="00FA6559">
        <w:rPr>
          <w:rFonts w:ascii="Century Gothic" w:hAnsi="Century Gothic" w:eastAsia="Arial" w:cs="Arial"/>
          <w:lang w:val="es-ES"/>
        </w:rPr>
        <w:t xml:space="preserve">) las autoridades tradicionales indígenas son consideradas entidades de derecho público de conformidad con lo dispuesto en el Decreto 1088 de 1993 y la Ley 2294 de 2023; </w:t>
      </w:r>
      <w:proofErr w:type="spellStart"/>
      <w:r w:rsidRPr="00FA6559">
        <w:rPr>
          <w:rFonts w:ascii="Century Gothic" w:hAnsi="Century Gothic" w:eastAsia="Arial" w:cs="Arial"/>
          <w:lang w:val="es-ES"/>
        </w:rPr>
        <w:t>iii</w:t>
      </w:r>
      <w:proofErr w:type="spellEnd"/>
      <w:r w:rsidRPr="00FA6559">
        <w:rPr>
          <w:rFonts w:ascii="Century Gothic" w:hAnsi="Century Gothic" w:eastAsia="Arial" w:cs="Arial"/>
          <w:lang w:val="es-ES"/>
        </w:rPr>
        <w:t xml:space="preserve">) las asociaciones de cabildos indígenas y/o autoridades tradicionales indígenas son consideradas entidades de derecho público de conformidad a lo expuesto en los Decretos 1088 de 1993 y 252 de 2020 y en la Ley 2294 de 2023; </w:t>
      </w:r>
      <w:proofErr w:type="spellStart"/>
      <w:r w:rsidRPr="00FA6559">
        <w:rPr>
          <w:rFonts w:ascii="Century Gothic" w:hAnsi="Century Gothic" w:eastAsia="Arial" w:cs="Arial"/>
          <w:lang w:val="es-ES"/>
        </w:rPr>
        <w:t>iv</w:t>
      </w:r>
      <w:proofErr w:type="spellEnd"/>
      <w:r w:rsidRPr="00FA6559">
        <w:rPr>
          <w:rFonts w:ascii="Century Gothic" w:hAnsi="Century Gothic" w:eastAsia="Arial" w:cs="Arial"/>
          <w:lang w:val="es-ES"/>
        </w:rPr>
        <w:t xml:space="preserve">) los consejos Indígenas, de conformidad con lo dispuesto en el artículo 330 constitucional, disponen que a través de estos se representarán ante el Gobierno Nacional y demás entidades a los territorios indígenas, entre otras funciones cuya naturaleza se le puede catalogar de derecho público, no obstante, lo anterior no fue definido expresamente por la Ley 2294 de 2023; v) las organizaciones indígenas, en estricto sentido, no fueron definidas como entidades de derecho público, por el contrario, la Ley 1551 de 2012 permite observar que frente a aquellas se aplicaría derecho privado, sin embargo, hay que tener en cuenta por quiénes estarán constituidas dichas organizaciones, pues en virtud del Decreto 252 de 2020 se les permitió a las organizaciones indígenas celebrar contratos o convenios de manera directa con las entidades estatales, siempre y cuando estén conformadas exclusivamente por cabildos indígenas, resguardos indígenas, asociaciones de cabildos, asociación de autoridades u otra forma de autoridad indígena propia; y vi) se considerarán entidades estatales aquellos </w:t>
      </w:r>
      <w:r w:rsidRPr="00FA6559">
        <w:rPr>
          <w:rFonts w:ascii="Century Gothic" w:hAnsi="Century Gothic" w:eastAsia="Calibri" w:cs="Arial"/>
          <w:lang w:val="es-MX"/>
        </w:rPr>
        <w:t>resguardos que se asocien para administrar y ejecutar los recursos del SGP, en virtud de lo contemplado en el Decreto 1953 de 2014.</w:t>
      </w:r>
      <w:r>
        <w:rPr>
          <w:rFonts w:ascii="Century Gothic" w:hAnsi="Century Gothic" w:eastAsia="Calibri" w:cs="Arial"/>
          <w:lang w:val="es-MX"/>
        </w:rPr>
        <w:t xml:space="preserve"> Estas normas delimitan la naturaleza jurídica y/o la capacidad para la suscripción de contratos.</w:t>
      </w:r>
    </w:p>
    <w:p w:rsidRPr="004C64AD" w:rsidR="002917FA" w:rsidP="002917FA" w:rsidRDefault="002917FA" w14:paraId="1F2D4F7A" w14:textId="77777777">
      <w:pPr>
        <w:spacing w:after="120" w:line="276" w:lineRule="auto"/>
        <w:jc w:val="both"/>
        <w:rPr>
          <w:rFonts w:ascii="Century Gothic" w:hAnsi="Century Gothic" w:eastAsia="Arial" w:cs="Arial"/>
          <w:lang w:val="es-ES" w:eastAsia="es-ES" w:bidi="es-ES"/>
        </w:rPr>
      </w:pPr>
    </w:p>
    <w:p w:rsidRPr="004C64AD" w:rsidR="002917FA" w:rsidP="002917FA" w:rsidRDefault="002917FA" w14:paraId="284EB2B2" w14:textId="77777777">
      <w:pPr>
        <w:widowControl w:val="0"/>
        <w:autoSpaceDE w:val="0"/>
        <w:autoSpaceDN w:val="0"/>
        <w:spacing w:after="0" w:line="276" w:lineRule="auto"/>
        <w:jc w:val="both"/>
        <w:rPr>
          <w:rFonts w:ascii="Century Gothic" w:hAnsi="Century Gothic" w:cs="Arial"/>
          <w:color w:val="000000" w:themeColor="text1"/>
          <w:lang w:val="es-ES_tradnl" w:bidi="es-ES"/>
        </w:rPr>
      </w:pPr>
      <w:r w:rsidRPr="004C64AD">
        <w:rPr>
          <w:rFonts w:ascii="Century Gothic" w:hAnsi="Century Gothic" w:cs="Arial"/>
          <w:color w:val="000000" w:themeColor="text1"/>
          <w:lang w:val="es-ES_tradnl"/>
        </w:rPr>
        <w:t xml:space="preserve">Este concepto tiene el alcance previsto en el artículo 28 del Código de </w:t>
      </w:r>
      <w:r w:rsidRPr="004C64AD">
        <w:rPr>
          <w:rFonts w:ascii="Century Gothic" w:hAnsi="Century Gothic" w:cs="Arial"/>
          <w:color w:val="000000" w:themeColor="text1"/>
          <w:lang w:val="es-ES_tradnl"/>
        </w:rPr>
        <w:t>Procedimiento Administrativo y de lo Contencioso Administrativo.</w:t>
      </w:r>
    </w:p>
    <w:p w:rsidRPr="004C64AD" w:rsidR="002917FA" w:rsidP="002917FA" w:rsidRDefault="002917FA" w14:paraId="6E2A130E" w14:textId="77777777">
      <w:pPr>
        <w:widowControl w:val="0"/>
        <w:autoSpaceDE w:val="0"/>
        <w:autoSpaceDN w:val="0"/>
        <w:spacing w:after="0" w:line="276" w:lineRule="auto"/>
        <w:jc w:val="both"/>
        <w:rPr>
          <w:rFonts w:ascii="Century Gothic" w:hAnsi="Century Gothic" w:cs="Arial"/>
          <w:color w:val="000000" w:themeColor="text1"/>
          <w:lang w:val="es-ES_tradnl" w:bidi="es-ES"/>
        </w:rPr>
      </w:pPr>
    </w:p>
    <w:p w:rsidRPr="004C64AD" w:rsidR="002917FA" w:rsidP="002917FA" w:rsidRDefault="002917FA" w14:paraId="5F29E95C" w14:textId="77777777">
      <w:pPr>
        <w:tabs>
          <w:tab w:val="left" w:pos="426"/>
        </w:tabs>
        <w:spacing w:after="0" w:line="276" w:lineRule="auto"/>
        <w:jc w:val="both"/>
        <w:rPr>
          <w:rFonts w:ascii="Century Gothic" w:hAnsi="Century Gothic" w:eastAsia="Times New Roman" w:cs="Arial"/>
          <w:color w:val="000000" w:themeColor="text1"/>
        </w:rPr>
      </w:pPr>
      <w:r w:rsidRPr="004C64AD">
        <w:rPr>
          <w:rFonts w:ascii="Century Gothic" w:hAnsi="Century Gothic" w:eastAsia="Times New Roman" w:cs="Arial"/>
          <w:color w:val="000000" w:themeColor="text1"/>
        </w:rPr>
        <w:t>Atentamente,</w:t>
      </w:r>
    </w:p>
    <w:p w:rsidRPr="004C64AD" w:rsidR="002917FA" w:rsidP="002917FA" w:rsidRDefault="00B51382" w14:paraId="65EA5034" w14:textId="5039B224">
      <w:pPr>
        <w:spacing w:after="0"/>
        <w:jc w:val="center"/>
        <w:rPr>
          <w:rFonts w:ascii="Century Gothic" w:hAnsi="Century Gothic" w:eastAsia="Times New Roman" w:cs="Arial"/>
          <w:lang w:eastAsia="es-CO"/>
        </w:rPr>
      </w:pPr>
      <w:r>
        <w:rPr>
          <w:noProof/>
        </w:rPr>
        <w:drawing>
          <wp:inline distT="0" distB="0" distL="0" distR="0" wp14:anchorId="5073E7CB" wp14:editId="099032FD">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4C64AD" w:rsidR="002917FA" w:rsidTr="00B665E3" w14:paraId="48256F83" w14:textId="77777777">
        <w:trPr>
          <w:trHeight w:val="409"/>
        </w:trPr>
        <w:tc>
          <w:tcPr>
            <w:tcW w:w="817" w:type="dxa"/>
            <w:tcBorders>
              <w:top w:val="nil"/>
              <w:left w:val="nil"/>
              <w:bottom w:val="nil"/>
              <w:right w:val="nil"/>
            </w:tcBorders>
            <w:vAlign w:val="center"/>
            <w:hideMark/>
          </w:tcPr>
          <w:p w:rsidRPr="004C64AD" w:rsidR="002917FA" w:rsidP="00B665E3" w:rsidRDefault="002917FA" w14:paraId="6913B64D" w14:textId="77777777">
            <w:pPr>
              <w:spacing w:after="0" w:line="240" w:lineRule="auto"/>
              <w:jc w:val="both"/>
              <w:rPr>
                <w:rFonts w:ascii="Century Gothic" w:hAnsi="Century Gothic" w:cs="Arial"/>
                <w:sz w:val="16"/>
                <w:szCs w:val="16"/>
              </w:rPr>
            </w:pPr>
            <w:r w:rsidRPr="004C64AD">
              <w:rPr>
                <w:rFonts w:ascii="Century Gothic" w:hAnsi="Century Gothic"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4C64AD" w:rsidR="002917FA" w:rsidP="00B665E3" w:rsidRDefault="002917FA" w14:paraId="344598E4" w14:textId="77777777">
            <w:pPr>
              <w:spacing w:after="0" w:line="240" w:lineRule="auto"/>
              <w:jc w:val="both"/>
              <w:rPr>
                <w:rFonts w:ascii="Century Gothic" w:hAnsi="Century Gothic" w:cs="Arial"/>
                <w:sz w:val="16"/>
                <w:szCs w:val="16"/>
              </w:rPr>
            </w:pPr>
            <w:r w:rsidRPr="004C64AD">
              <w:rPr>
                <w:rFonts w:ascii="Century Gothic" w:hAnsi="Century Gothic" w:cs="Arial"/>
                <w:sz w:val="16"/>
                <w:szCs w:val="16"/>
              </w:rPr>
              <w:t>Juan David Montoya Penagos</w:t>
            </w:r>
          </w:p>
          <w:p w:rsidRPr="004C64AD" w:rsidR="002917FA" w:rsidP="00B665E3" w:rsidRDefault="002917FA" w14:paraId="6D073266" w14:textId="77777777">
            <w:pPr>
              <w:spacing w:after="0" w:line="240" w:lineRule="auto"/>
              <w:jc w:val="both"/>
              <w:rPr>
                <w:rFonts w:ascii="Century Gothic" w:hAnsi="Century Gothic" w:cs="Arial"/>
                <w:sz w:val="16"/>
                <w:szCs w:val="16"/>
              </w:rPr>
            </w:pPr>
            <w:r w:rsidRPr="004C64AD">
              <w:rPr>
                <w:rFonts w:ascii="Century Gothic" w:hAnsi="Century Gothic" w:cs="Arial"/>
                <w:sz w:val="16"/>
                <w:szCs w:val="16"/>
              </w:rPr>
              <w:t>Contratista de la Subdirección de Gestión Contractual</w:t>
            </w:r>
          </w:p>
        </w:tc>
      </w:tr>
      <w:tr w:rsidRPr="004C64AD" w:rsidR="002917FA" w:rsidTr="00B665E3" w14:paraId="09693556" w14:textId="77777777">
        <w:trPr>
          <w:trHeight w:val="409"/>
        </w:trPr>
        <w:tc>
          <w:tcPr>
            <w:tcW w:w="817" w:type="dxa"/>
            <w:tcBorders>
              <w:top w:val="nil"/>
              <w:left w:val="nil"/>
              <w:right w:val="nil"/>
            </w:tcBorders>
            <w:vAlign w:val="center"/>
          </w:tcPr>
          <w:p w:rsidRPr="004C64AD" w:rsidR="002917FA" w:rsidP="00B665E3" w:rsidRDefault="002917FA" w14:paraId="5F33C330" w14:textId="77777777">
            <w:pPr>
              <w:spacing w:after="0"/>
              <w:jc w:val="both"/>
              <w:rPr>
                <w:rFonts w:ascii="Century Gothic" w:hAnsi="Century Gothic" w:cs="Arial"/>
                <w:sz w:val="16"/>
                <w:szCs w:val="16"/>
              </w:rPr>
            </w:pPr>
            <w:r w:rsidRPr="004C64AD">
              <w:rPr>
                <w:rFonts w:ascii="Century Gothic" w:hAnsi="Century Gothic"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123DED" w:rsidR="002917FA" w:rsidP="00B665E3" w:rsidRDefault="002917FA" w14:paraId="5FD3F708" w14:textId="77777777">
            <w:pPr>
              <w:spacing w:after="0" w:line="240" w:lineRule="auto"/>
              <w:jc w:val="both"/>
              <w:rPr>
                <w:rFonts w:ascii="Century Gothic" w:hAnsi="Century Gothic" w:cs="Arial"/>
                <w:sz w:val="16"/>
                <w:szCs w:val="16"/>
              </w:rPr>
            </w:pPr>
            <w:r w:rsidRPr="00123DED">
              <w:rPr>
                <w:rFonts w:ascii="Century Gothic" w:hAnsi="Century Gothic" w:cs="Arial"/>
                <w:sz w:val="16"/>
                <w:szCs w:val="16"/>
              </w:rPr>
              <w:t>Alejandro Sarmiento Cantillo</w:t>
            </w:r>
          </w:p>
          <w:p w:rsidRPr="004C64AD" w:rsidR="002917FA" w:rsidP="00B665E3" w:rsidRDefault="002917FA" w14:paraId="61B8CBA4" w14:textId="77777777">
            <w:pPr>
              <w:spacing w:after="0" w:line="240" w:lineRule="auto"/>
              <w:jc w:val="both"/>
              <w:rPr>
                <w:rFonts w:ascii="Century Gothic" w:hAnsi="Century Gothic" w:cs="Arial"/>
                <w:sz w:val="16"/>
                <w:szCs w:val="16"/>
              </w:rPr>
            </w:pPr>
            <w:r w:rsidRPr="00123DED">
              <w:rPr>
                <w:rFonts w:ascii="Century Gothic" w:hAnsi="Century Gothic" w:cs="Arial"/>
                <w:sz w:val="16"/>
                <w:szCs w:val="16"/>
              </w:rPr>
              <w:t>Gestor T1-15 de la Subdirección de Gestión Contractual</w:t>
            </w:r>
          </w:p>
        </w:tc>
      </w:tr>
      <w:tr w:rsidRPr="004C64AD" w:rsidR="002917FA" w:rsidTr="00B665E3" w14:paraId="7FB4BBF6" w14:textId="77777777">
        <w:trPr>
          <w:trHeight w:val="389"/>
        </w:trPr>
        <w:tc>
          <w:tcPr>
            <w:tcW w:w="817" w:type="dxa"/>
            <w:tcBorders>
              <w:top w:val="nil"/>
              <w:left w:val="nil"/>
              <w:bottom w:val="nil"/>
              <w:right w:val="nil"/>
            </w:tcBorders>
            <w:vAlign w:val="center"/>
            <w:hideMark/>
          </w:tcPr>
          <w:p w:rsidRPr="004C64AD" w:rsidR="002917FA" w:rsidP="00B665E3" w:rsidRDefault="002917FA" w14:paraId="242FE728" w14:textId="77777777">
            <w:pPr>
              <w:spacing w:after="0" w:line="240" w:lineRule="auto"/>
              <w:jc w:val="both"/>
              <w:rPr>
                <w:rFonts w:ascii="Century Gothic" w:hAnsi="Century Gothic" w:cs="Arial"/>
                <w:sz w:val="16"/>
                <w:szCs w:val="16"/>
              </w:rPr>
            </w:pPr>
            <w:r w:rsidRPr="004C64AD">
              <w:rPr>
                <w:rFonts w:ascii="Century Gothic" w:hAnsi="Century Gothic"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4C64AD" w:rsidR="002917FA" w:rsidP="00B665E3" w:rsidRDefault="002917FA" w14:paraId="5CC3A4DF" w14:textId="77777777">
            <w:pPr>
              <w:spacing w:after="0" w:line="240" w:lineRule="auto"/>
              <w:jc w:val="both"/>
              <w:rPr>
                <w:rFonts w:ascii="Century Gothic" w:hAnsi="Century Gothic" w:cs="Arial"/>
                <w:sz w:val="16"/>
                <w:szCs w:val="16"/>
              </w:rPr>
            </w:pPr>
            <w:r w:rsidRPr="004C64AD">
              <w:rPr>
                <w:rFonts w:ascii="Century Gothic" w:hAnsi="Century Gothic" w:cs="Arial"/>
                <w:sz w:val="16"/>
                <w:szCs w:val="16"/>
              </w:rPr>
              <w:t xml:space="preserve">Nohelia del Carmen </w:t>
            </w:r>
            <w:proofErr w:type="spellStart"/>
            <w:r w:rsidRPr="004C64AD">
              <w:rPr>
                <w:rFonts w:ascii="Century Gothic" w:hAnsi="Century Gothic" w:cs="Arial"/>
                <w:sz w:val="16"/>
                <w:szCs w:val="16"/>
              </w:rPr>
              <w:t>Zawady</w:t>
            </w:r>
            <w:proofErr w:type="spellEnd"/>
            <w:r w:rsidRPr="004C64AD">
              <w:rPr>
                <w:rFonts w:ascii="Century Gothic" w:hAnsi="Century Gothic" w:cs="Arial"/>
                <w:sz w:val="16"/>
                <w:szCs w:val="16"/>
              </w:rPr>
              <w:t xml:space="preserve"> Palacio</w:t>
            </w:r>
          </w:p>
          <w:p w:rsidRPr="004C64AD" w:rsidR="002917FA" w:rsidP="00B665E3" w:rsidRDefault="002917FA" w14:paraId="5898F9D1" w14:textId="77777777">
            <w:pPr>
              <w:spacing w:after="0" w:line="240" w:lineRule="auto"/>
              <w:jc w:val="both"/>
              <w:rPr>
                <w:rFonts w:ascii="Century Gothic" w:hAnsi="Century Gothic" w:cs="Arial"/>
                <w:sz w:val="16"/>
                <w:szCs w:val="16"/>
              </w:rPr>
            </w:pPr>
            <w:r w:rsidRPr="004C64AD">
              <w:rPr>
                <w:rFonts w:ascii="Century Gothic" w:hAnsi="Century Gothic" w:cs="Arial"/>
                <w:sz w:val="16"/>
                <w:szCs w:val="16"/>
              </w:rPr>
              <w:t xml:space="preserve">Subdirectora de Gestión Contractual ANCP </w:t>
            </w:r>
            <w:r>
              <w:rPr>
                <w:rFonts w:ascii="Century Gothic" w:hAnsi="Century Gothic" w:cs="Arial"/>
                <w:sz w:val="16"/>
                <w:szCs w:val="16"/>
              </w:rPr>
              <w:t>–</w:t>
            </w:r>
            <w:r w:rsidRPr="004C64AD">
              <w:rPr>
                <w:rFonts w:ascii="Century Gothic" w:hAnsi="Century Gothic" w:cs="Arial"/>
                <w:sz w:val="16"/>
                <w:szCs w:val="16"/>
              </w:rPr>
              <w:t xml:space="preserve"> CCE</w:t>
            </w:r>
          </w:p>
        </w:tc>
      </w:tr>
      <w:bookmarkEnd w:id="2"/>
    </w:tbl>
    <w:p w:rsidRPr="004C64AD" w:rsidR="002917FA" w:rsidP="002917FA" w:rsidRDefault="002917FA" w14:paraId="539BC1EE" w14:textId="77777777">
      <w:pPr>
        <w:tabs>
          <w:tab w:val="left" w:pos="0"/>
        </w:tabs>
        <w:spacing w:after="0" w:line="276" w:lineRule="auto"/>
        <w:contextualSpacing/>
        <w:jc w:val="both"/>
        <w:rPr>
          <w:rFonts w:ascii="Century Gothic" w:hAnsi="Century Gothic"/>
          <w:lang w:val="es-MX"/>
        </w:rPr>
      </w:pPr>
    </w:p>
    <w:p w:rsidRPr="004C64AD" w:rsidR="002917FA" w:rsidP="002917FA" w:rsidRDefault="002917FA" w14:paraId="196BA127" w14:textId="77777777">
      <w:pPr>
        <w:spacing w:after="0"/>
        <w:rPr>
          <w:rFonts w:ascii="Century Gothic" w:hAnsi="Century Gothic"/>
        </w:rPr>
      </w:pPr>
    </w:p>
    <w:p w:rsidRPr="005D6192" w:rsidR="00127233" w:rsidP="005D6192" w:rsidRDefault="00E245AB" w14:paraId="0F293BF4" w14:textId="4E630EB9">
      <w:r w:rsidRPr="005D6192">
        <w:t xml:space="preserve"> </w:t>
      </w:r>
    </w:p>
    <w:sectPr w:rsidRPr="005D6192" w:rsidR="00127233" w:rsidSect="00782A56">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2A56" w:rsidP="004A1847" w:rsidRDefault="00782A56" w14:paraId="08573FB3" w14:textId="77777777">
      <w:pPr>
        <w:spacing w:after="0" w:line="240" w:lineRule="auto"/>
      </w:pPr>
      <w:r>
        <w:separator/>
      </w:r>
    </w:p>
  </w:endnote>
  <w:endnote w:type="continuationSeparator" w:id="0">
    <w:p w:rsidR="00782A56" w:rsidP="004A1847" w:rsidRDefault="00782A56" w14:paraId="4FDE8EF4" w14:textId="77777777">
      <w:pPr>
        <w:spacing w:after="0" w:line="240" w:lineRule="auto"/>
      </w:pPr>
      <w:r>
        <w:continuationSeparator/>
      </w:r>
    </w:p>
  </w:endnote>
  <w:endnote w:type="continuationNotice" w:id="1">
    <w:p w:rsidR="00782A56" w:rsidRDefault="00782A56" w14:paraId="49CF4F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2A56" w:rsidP="004A1847" w:rsidRDefault="00782A56" w14:paraId="5248F2DA" w14:textId="77777777">
      <w:pPr>
        <w:spacing w:after="0" w:line="240" w:lineRule="auto"/>
      </w:pPr>
      <w:r>
        <w:separator/>
      </w:r>
    </w:p>
  </w:footnote>
  <w:footnote w:type="continuationSeparator" w:id="0">
    <w:p w:rsidR="00782A56" w:rsidP="004A1847" w:rsidRDefault="00782A56" w14:paraId="3EAD504E" w14:textId="77777777">
      <w:pPr>
        <w:spacing w:after="0" w:line="240" w:lineRule="auto"/>
      </w:pPr>
      <w:r>
        <w:continuationSeparator/>
      </w:r>
    </w:p>
  </w:footnote>
  <w:footnote w:type="continuationNotice" w:id="1">
    <w:p w:rsidR="00782A56" w:rsidRDefault="00782A56" w14:paraId="7301F1FB" w14:textId="77777777">
      <w:pPr>
        <w:spacing w:after="0" w:line="240" w:lineRule="auto"/>
      </w:pPr>
    </w:p>
  </w:footnote>
  <w:footnote w:id="2">
    <w:p w:rsidRPr="007126E1" w:rsidR="002917FA" w:rsidP="002917FA" w:rsidRDefault="002917FA" w14:paraId="7329E9B2" w14:textId="77777777">
      <w:pPr>
        <w:pStyle w:val="Textonotapie"/>
        <w:ind w:firstLine="708"/>
        <w:jc w:val="both"/>
        <w:rPr>
          <w:rFonts w:ascii="Century Gothic" w:hAnsi="Century Gothic" w:cs="Arial"/>
          <w:sz w:val="16"/>
          <w:szCs w:val="16"/>
          <w:lang w:val="es-ES"/>
        </w:rPr>
      </w:pPr>
      <w:r w:rsidRPr="007126E1">
        <w:rPr>
          <w:rStyle w:val="Refdenotaalpie"/>
          <w:rFonts w:ascii="Century Gothic" w:hAnsi="Century Gothic" w:cs="Arial"/>
          <w:sz w:val="16"/>
          <w:szCs w:val="16"/>
        </w:rPr>
        <w:footnoteRef/>
      </w:r>
      <w:r w:rsidRPr="007126E1">
        <w:rPr>
          <w:rFonts w:ascii="Century Gothic" w:hAnsi="Century Gothic" w:cs="Arial"/>
          <w:sz w:val="16"/>
          <w:szCs w:val="16"/>
        </w:rPr>
        <w:t xml:space="preserve"> La Agencia Nacional de Contratación Pública </w:t>
      </w:r>
      <w:r w:rsidRPr="007126E1">
        <w:rPr>
          <w:rFonts w:ascii="Arial" w:hAnsi="Arial" w:cs="Arial"/>
          <w:sz w:val="16"/>
          <w:szCs w:val="16"/>
        </w:rPr>
        <w:t>‒</w:t>
      </w:r>
      <w:r w:rsidRPr="007126E1">
        <w:rPr>
          <w:rFonts w:ascii="Century Gothic" w:hAnsi="Century Gothic" w:cs="Arial"/>
          <w:sz w:val="16"/>
          <w:szCs w:val="16"/>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126E1">
        <w:rPr>
          <w:rFonts w:ascii="Century Gothic" w:hAnsi="Century Gothic" w:cs="Arial"/>
          <w:i/>
          <w:iCs/>
          <w:sz w:val="16"/>
          <w:szCs w:val="16"/>
        </w:rPr>
        <w:t xml:space="preserve">ibidem </w:t>
      </w:r>
      <w:r w:rsidRPr="007126E1">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rsidRPr="007126E1" w:rsidR="002917FA" w:rsidP="002917FA" w:rsidRDefault="002917FA" w14:paraId="29F74AD3" w14:textId="77777777">
      <w:pPr>
        <w:pStyle w:val="Textonotapie"/>
        <w:ind w:firstLine="708"/>
        <w:jc w:val="both"/>
        <w:rPr>
          <w:rFonts w:ascii="Century Gothic" w:hAnsi="Century Gothic" w:cs="Arial"/>
          <w:sz w:val="16"/>
          <w:szCs w:val="16"/>
        </w:rPr>
      </w:pPr>
      <w:r w:rsidRPr="007126E1">
        <w:rPr>
          <w:rStyle w:val="Refdenotaalpie"/>
          <w:rFonts w:ascii="Century Gothic" w:hAnsi="Century Gothic" w:cs="Arial"/>
          <w:sz w:val="16"/>
          <w:szCs w:val="16"/>
        </w:rPr>
        <w:footnoteRef/>
      </w:r>
      <w:r w:rsidRPr="007126E1">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7126E1">
          <w:rPr>
            <w:rStyle w:val="Hipervnculo"/>
            <w:rFonts w:ascii="Century Gothic" w:hAnsi="Century Gothic" w:cs="Arial"/>
            <w:sz w:val="16"/>
            <w:szCs w:val="16"/>
          </w:rPr>
          <w:t>https://relatoria.colombiacompra.gov.co/busqueda/conceptos</w:t>
        </w:r>
      </w:hyperlink>
      <w:r w:rsidRPr="007126E1">
        <w:rPr>
          <w:rStyle w:val="Hipervnculo"/>
          <w:rFonts w:ascii="Century Gothic" w:hAnsi="Century Gothic" w:cs="Arial"/>
          <w:sz w:val="16"/>
          <w:szCs w:val="16"/>
        </w:rPr>
        <w:t xml:space="preserve">. </w:t>
      </w:r>
      <w:r w:rsidRPr="007126E1">
        <w:rPr>
          <w:rFonts w:ascii="Century Gothic" w:hAnsi="Century Gothic" w:cs="Arial"/>
          <w:sz w:val="16"/>
          <w:szCs w:val="16"/>
          <w:shd w:val="clear" w:color="auto" w:fill="E6E6E6"/>
        </w:rPr>
        <w:t xml:space="preserve"> </w:t>
      </w:r>
    </w:p>
  </w:footnote>
  <w:footnote w:id="4">
    <w:p w:rsidRPr="007126E1" w:rsidR="002917FA" w:rsidP="002917FA" w:rsidRDefault="002917FA" w14:paraId="0EFE4F8E" w14:textId="77777777">
      <w:pPr>
        <w:pStyle w:val="Textonotapie"/>
        <w:ind w:firstLine="708"/>
        <w:jc w:val="both"/>
        <w:rPr>
          <w:rFonts w:ascii="Century Gothic" w:hAnsi="Century Gothic" w:eastAsia="Calibri" w:cs="Arial"/>
          <w:sz w:val="16"/>
          <w:szCs w:val="16"/>
        </w:rPr>
      </w:pPr>
      <w:r w:rsidRPr="007126E1">
        <w:rPr>
          <w:rStyle w:val="Refdenotaalpie"/>
          <w:rFonts w:ascii="Century Gothic" w:hAnsi="Century Gothic" w:cs="Arial"/>
          <w:sz w:val="16"/>
          <w:szCs w:val="16"/>
        </w:rPr>
        <w:footnoteRef/>
      </w:r>
      <w:r w:rsidRPr="007126E1">
        <w:rPr>
          <w:rFonts w:ascii="Century Gothic" w:hAnsi="Century Gothic" w:cs="Arial"/>
          <w:sz w:val="16"/>
          <w:szCs w:val="16"/>
        </w:rPr>
        <w:t xml:space="preserve"> </w:t>
      </w:r>
      <w:r w:rsidRPr="007126E1">
        <w:rPr>
          <w:rFonts w:ascii="Century Gothic" w:hAnsi="Century Gothic" w:eastAsia="Calibri" w:cs="Arial"/>
          <w:sz w:val="16"/>
          <w:szCs w:val="16"/>
        </w:rPr>
        <w:t>Constitución Política: “Artículo 93. Los tratados y convenios internacionales ratificados por el Congreso, que reconocen los derechos humanos y que prohíben su limitación en los estados de excepción, prevalecen en el orden interno.</w:t>
      </w:r>
    </w:p>
    <w:p w:rsidRPr="007126E1" w:rsidR="002917FA" w:rsidP="002917FA" w:rsidRDefault="002917FA" w14:paraId="4D3EB854" w14:textId="77777777">
      <w:pPr>
        <w:spacing w:after="0" w:line="240" w:lineRule="auto"/>
        <w:ind w:firstLine="708"/>
        <w:jc w:val="both"/>
        <w:rPr>
          <w:rFonts w:ascii="Century Gothic" w:hAnsi="Century Gothic" w:cs="Arial"/>
          <w:sz w:val="16"/>
          <w:szCs w:val="16"/>
        </w:rPr>
      </w:pPr>
      <w:r w:rsidRPr="007126E1">
        <w:rPr>
          <w:rFonts w:ascii="Century Gothic" w:hAnsi="Century Gothic" w:eastAsia="Calibri" w:cs="Arial"/>
          <w:sz w:val="16"/>
          <w:szCs w:val="16"/>
        </w:rPr>
        <w:t>Los derechos y deberes consagrados en esta Carta, se interpretarán de conformidad con los tratados internacionales sobre derechos humanos ratificados por Colombia [...]”.</w:t>
      </w:r>
    </w:p>
  </w:footnote>
  <w:footnote w:id="5">
    <w:p w:rsidRPr="007126E1" w:rsidR="002917FA" w:rsidP="002917FA" w:rsidRDefault="002917FA" w14:paraId="7A323BC3" w14:textId="77777777">
      <w:pPr>
        <w:pStyle w:val="Textonotapie"/>
        <w:ind w:firstLine="708"/>
        <w:jc w:val="both"/>
        <w:rPr>
          <w:rFonts w:ascii="Century Gothic" w:hAnsi="Century Gothic" w:cs="Arial"/>
          <w:sz w:val="16"/>
          <w:szCs w:val="16"/>
          <w:lang w:val="es-CO"/>
        </w:rPr>
      </w:pPr>
      <w:r w:rsidRPr="007126E1">
        <w:rPr>
          <w:rStyle w:val="Refdenotaalpie"/>
          <w:rFonts w:ascii="Century Gothic" w:hAnsi="Century Gothic" w:cs="Arial"/>
          <w:sz w:val="16"/>
          <w:szCs w:val="16"/>
        </w:rPr>
        <w:footnoteRef/>
      </w:r>
      <w:r w:rsidRPr="007126E1">
        <w:rPr>
          <w:rFonts w:ascii="Century Gothic" w:hAnsi="Century Gothic" w:cs="Arial"/>
          <w:sz w:val="16"/>
          <w:szCs w:val="16"/>
        </w:rPr>
        <w:t xml:space="preserve"> </w:t>
      </w:r>
      <w:r w:rsidRPr="007126E1">
        <w:rPr>
          <w:rFonts w:ascii="Century Gothic" w:hAnsi="Century Gothic" w:eastAsia="Calibri" w:cs="Arial"/>
          <w:sz w:val="16"/>
          <w:szCs w:val="16"/>
        </w:rPr>
        <w:t>Corte Constitucional. Sentencia C-489 de 2012. M.P. Adriana María Guillén Arango.</w:t>
      </w:r>
    </w:p>
  </w:footnote>
  <w:footnote w:id="6">
    <w:p w:rsidRPr="007126E1" w:rsidR="002917FA" w:rsidP="002917FA" w:rsidRDefault="002917FA" w14:paraId="742BB274" w14:textId="77777777">
      <w:pPr>
        <w:spacing w:after="0" w:line="240" w:lineRule="auto"/>
        <w:ind w:firstLine="708"/>
        <w:jc w:val="both"/>
        <w:rPr>
          <w:rFonts w:ascii="Century Gothic" w:hAnsi="Century Gothic" w:eastAsia="Calibri" w:cs="Arial"/>
          <w:sz w:val="16"/>
          <w:szCs w:val="16"/>
          <w:lang w:val="es-ES"/>
        </w:rPr>
      </w:pPr>
      <w:r w:rsidRPr="007126E1">
        <w:rPr>
          <w:rStyle w:val="Refdenotaalpie"/>
          <w:rFonts w:ascii="Century Gothic" w:hAnsi="Century Gothic" w:cs="Arial"/>
          <w:sz w:val="16"/>
          <w:szCs w:val="16"/>
        </w:rPr>
        <w:footnoteRef/>
      </w:r>
      <w:r w:rsidRPr="007126E1">
        <w:rPr>
          <w:rFonts w:ascii="Century Gothic" w:hAnsi="Century Gothic" w:cs="Arial"/>
          <w:sz w:val="16"/>
          <w:szCs w:val="16"/>
        </w:rPr>
        <w:t xml:space="preserve"> </w:t>
      </w:r>
      <w:r w:rsidRPr="007126E1">
        <w:rPr>
          <w:rFonts w:ascii="Century Gothic" w:hAnsi="Century Gothic" w:eastAsia="Calibri" w:cs="Arial"/>
          <w:sz w:val="16"/>
          <w:szCs w:val="16"/>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rsidRPr="007126E1" w:rsidR="002917FA" w:rsidP="002917FA" w:rsidRDefault="002917FA" w14:paraId="4B6A0DD7" w14:textId="77777777">
      <w:pPr>
        <w:spacing w:after="0" w:line="240" w:lineRule="auto"/>
        <w:ind w:firstLine="708"/>
        <w:jc w:val="both"/>
        <w:rPr>
          <w:rFonts w:ascii="Century Gothic" w:hAnsi="Century Gothic" w:eastAsia="Calibri" w:cs="Arial"/>
          <w:sz w:val="16"/>
          <w:szCs w:val="16"/>
          <w:lang w:val="es-ES"/>
        </w:rPr>
      </w:pPr>
      <w:r w:rsidRPr="007126E1">
        <w:rPr>
          <w:rFonts w:ascii="Century Gothic" w:hAnsi="Century Gothic" w:eastAsia="Calibri" w:cs="Arial"/>
          <w:sz w:val="16"/>
          <w:szCs w:val="16"/>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footnote>
  <w:footnote w:id="7">
    <w:p w:rsidRPr="007126E1" w:rsidR="002917FA" w:rsidP="002917FA" w:rsidRDefault="002917FA" w14:paraId="3EA1DB21" w14:textId="77777777">
      <w:pPr>
        <w:pStyle w:val="Textonotapie"/>
        <w:ind w:firstLine="708"/>
        <w:jc w:val="both"/>
        <w:rPr>
          <w:rFonts w:ascii="Century Gothic" w:hAnsi="Century Gothic" w:cs="Arial"/>
          <w:sz w:val="16"/>
          <w:szCs w:val="16"/>
        </w:rPr>
      </w:pPr>
      <w:r w:rsidRPr="007126E1">
        <w:rPr>
          <w:rStyle w:val="Refdenotaalpie"/>
          <w:rFonts w:ascii="Century Gothic" w:hAnsi="Century Gothic" w:cs="Arial"/>
          <w:sz w:val="16"/>
          <w:szCs w:val="16"/>
        </w:rPr>
        <w:footnoteRef/>
      </w:r>
      <w:r w:rsidRPr="007126E1">
        <w:rPr>
          <w:rFonts w:ascii="Century Gothic" w:hAnsi="Century Gothic" w:cs="Arial"/>
          <w:sz w:val="16"/>
          <w:szCs w:val="16"/>
        </w:rPr>
        <w:t xml:space="preserve"> Decreto 252 de 2020: “Articulo 1. Adiciónese al artículo 10 del Decreto 1088 de 1993, el siguiente parágrafo:</w:t>
      </w:r>
    </w:p>
    <w:p w:rsidRPr="007126E1" w:rsidR="002917FA" w:rsidP="002917FA" w:rsidRDefault="002917FA" w14:paraId="62605BA6" w14:textId="77777777">
      <w:pPr>
        <w:pStyle w:val="Textonotapie"/>
        <w:ind w:firstLine="708"/>
        <w:jc w:val="both"/>
        <w:rPr>
          <w:rFonts w:ascii="Century Gothic" w:hAnsi="Century Gothic" w:cs="Arial"/>
          <w:sz w:val="16"/>
          <w:szCs w:val="16"/>
        </w:rPr>
      </w:pPr>
      <w:r w:rsidRPr="007126E1">
        <w:rPr>
          <w:rFonts w:ascii="Century Gothic" w:hAnsi="Century Gothic" w:cs="Arial"/>
          <w:sz w:val="16"/>
          <w:szCs w:val="16"/>
        </w:rPr>
        <w:t>Artículo 10. Naturaleza de los actos y contratos.</w:t>
      </w:r>
    </w:p>
    <w:p w:rsidRPr="007126E1" w:rsidR="002917FA" w:rsidP="002917FA" w:rsidRDefault="002917FA" w14:paraId="25A8E744" w14:textId="77777777">
      <w:pPr>
        <w:pStyle w:val="Textonotapie"/>
        <w:ind w:firstLine="708"/>
        <w:jc w:val="both"/>
        <w:rPr>
          <w:rFonts w:ascii="Century Gothic" w:hAnsi="Century Gothic" w:cs="Arial"/>
          <w:sz w:val="16"/>
          <w:szCs w:val="16"/>
        </w:rPr>
      </w:pPr>
      <w:r w:rsidRPr="007126E1">
        <w:rPr>
          <w:rFonts w:ascii="Century Gothic" w:hAnsi="Century Gothic" w:cs="Arial"/>
          <w:sz w:val="16"/>
          <w:szCs w:val="16"/>
        </w:rPr>
        <w:t>[...]</w:t>
      </w:r>
    </w:p>
    <w:p w:rsidRPr="007126E1" w:rsidR="002917FA" w:rsidP="002917FA" w:rsidRDefault="002917FA" w14:paraId="5BBCEE1F" w14:textId="77777777">
      <w:pPr>
        <w:pStyle w:val="Textonotapie"/>
        <w:ind w:firstLine="708"/>
        <w:jc w:val="both"/>
        <w:rPr>
          <w:rFonts w:ascii="Century Gothic" w:hAnsi="Century Gothic" w:cs="Arial"/>
          <w:sz w:val="16"/>
          <w:szCs w:val="16"/>
        </w:rPr>
      </w:pPr>
      <w:r w:rsidRPr="007126E1">
        <w:rPr>
          <w:rFonts w:ascii="Century Gothic" w:hAnsi="Century Gothic" w:cs="Arial"/>
          <w:sz w:val="16"/>
          <w:szCs w:val="16"/>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rsidRPr="007126E1" w:rsidR="002917FA" w:rsidP="002917FA" w:rsidRDefault="002917FA" w14:paraId="7A0813F8" w14:textId="77777777">
      <w:pPr>
        <w:pStyle w:val="Textonotapie"/>
        <w:ind w:firstLine="708"/>
        <w:jc w:val="both"/>
        <w:rPr>
          <w:rFonts w:ascii="Century Gothic" w:hAnsi="Century Gothic" w:cs="Arial"/>
          <w:sz w:val="16"/>
          <w:szCs w:val="16"/>
        </w:rPr>
      </w:pPr>
      <w:r w:rsidRPr="007126E1">
        <w:rPr>
          <w:rFonts w:ascii="Century Gothic" w:hAnsi="Century Gothic" w:cs="Arial"/>
          <w:sz w:val="16"/>
          <w:szCs w:val="16"/>
        </w:rPr>
        <w:t xml:space="preserve">Para la ejecución contractual, la entidad estatal deberá exigir la constitución de una garantía única que consistirá en una póliza de seguros que cubrirá suficientemente los riesgos del contrato o convenio. </w:t>
      </w:r>
    </w:p>
    <w:p w:rsidRPr="007126E1" w:rsidR="002917FA" w:rsidP="002917FA" w:rsidRDefault="002917FA" w14:paraId="22F302D6" w14:textId="77777777">
      <w:pPr>
        <w:pStyle w:val="Textonotapie"/>
        <w:ind w:firstLine="708"/>
        <w:jc w:val="both"/>
        <w:rPr>
          <w:rFonts w:ascii="Century Gothic" w:hAnsi="Century Gothic" w:cs="Arial"/>
          <w:sz w:val="16"/>
          <w:szCs w:val="16"/>
        </w:rPr>
      </w:pPr>
      <w:r w:rsidRPr="007126E1">
        <w:rPr>
          <w:rFonts w:ascii="Century Gothic" w:hAnsi="Century Gothic" w:cs="Arial"/>
          <w:sz w:val="16"/>
          <w:szCs w:val="16"/>
        </w:rPr>
        <w:t>La entidad estatal podrá terminar unilateralmente el contrato o convenio en caso de incumplimiento de las obligaciones a cargo de la organización indígena.</w:t>
      </w:r>
    </w:p>
    <w:p w:rsidRPr="007126E1" w:rsidR="002917FA" w:rsidP="002917FA" w:rsidRDefault="002917FA" w14:paraId="5FC09B64" w14:textId="77777777">
      <w:pPr>
        <w:pStyle w:val="Textonotapie"/>
        <w:ind w:firstLine="708"/>
        <w:jc w:val="both"/>
        <w:rPr>
          <w:rFonts w:ascii="Century Gothic" w:hAnsi="Century Gothic" w:cs="Arial"/>
          <w:sz w:val="16"/>
          <w:szCs w:val="16"/>
          <w:lang w:val="es-ES"/>
        </w:rPr>
      </w:pPr>
      <w:r w:rsidRPr="007126E1">
        <w:rPr>
          <w:rFonts w:ascii="Century Gothic" w:hAnsi="Century Gothic" w:cs="Arial"/>
          <w:sz w:val="16"/>
          <w:szCs w:val="16"/>
        </w:rPr>
        <w:t>En estos convenios se tendrá como aporte de las organizaciones indígenas el conocimiento ancestral”.</w:t>
      </w:r>
    </w:p>
  </w:footnote>
  <w:footnote w:id="8">
    <w:p w:rsidRPr="007126E1" w:rsidR="002917FA" w:rsidP="002917FA" w:rsidRDefault="002917FA" w14:paraId="7B162863" w14:textId="77777777">
      <w:pPr>
        <w:pStyle w:val="Textonotapie"/>
        <w:ind w:firstLine="708"/>
        <w:jc w:val="both"/>
        <w:rPr>
          <w:rFonts w:ascii="Century Gothic" w:hAnsi="Century Gothic" w:cs="Arial"/>
          <w:sz w:val="16"/>
          <w:szCs w:val="16"/>
          <w:lang w:val="es-ES"/>
        </w:rPr>
      </w:pPr>
      <w:r w:rsidRPr="007126E1">
        <w:rPr>
          <w:rStyle w:val="Refdenotaalpie"/>
          <w:rFonts w:ascii="Century Gothic" w:hAnsi="Century Gothic" w:cs="Arial"/>
          <w:sz w:val="16"/>
          <w:szCs w:val="16"/>
        </w:rPr>
        <w:footnoteRef/>
      </w:r>
      <w:r w:rsidRPr="007126E1">
        <w:rPr>
          <w:rFonts w:ascii="Century Gothic" w:hAnsi="Century Gothic" w:cs="Arial"/>
          <w:sz w:val="16"/>
          <w:szCs w:val="16"/>
        </w:rPr>
        <w:t xml:space="preserve"> </w:t>
      </w:r>
      <w:r w:rsidRPr="007126E1">
        <w:rPr>
          <w:rFonts w:ascii="Century Gothic" w:hAnsi="Century Gothic" w:cs="Arial"/>
          <w:sz w:val="16"/>
          <w:szCs w:val="16"/>
          <w:lang w:val="es-ES"/>
        </w:rPr>
        <w:t>Al respecto, la exposición de motivos expresó que: “</w:t>
      </w:r>
      <w:r w:rsidRPr="007126E1">
        <w:rPr>
          <w:rFonts w:ascii="Century Gothic" w:hAnsi="Century Gothic" w:cs="Arial"/>
          <w:sz w:val="16"/>
          <w:szCs w:val="16"/>
          <w:lang w:val="es-CO"/>
        </w:rPr>
        <w:t>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como tampoco se evidencian causales de contratación directa que permita celebrar directamente negocios jurídicos con los cabildos.</w:t>
      </w:r>
    </w:p>
    <w:p w:rsidRPr="007126E1" w:rsidR="002917FA" w:rsidP="002917FA" w:rsidRDefault="002917FA" w14:paraId="1C184EBC" w14:textId="77777777">
      <w:pPr>
        <w:pStyle w:val="Textonotapie"/>
        <w:ind w:firstLine="708"/>
        <w:jc w:val="both"/>
        <w:rPr>
          <w:rFonts w:ascii="Century Gothic" w:hAnsi="Century Gothic" w:cs="Arial"/>
          <w:bCs/>
          <w:sz w:val="16"/>
          <w:szCs w:val="16"/>
          <w:lang w:val="es-ES"/>
        </w:rPr>
      </w:pPr>
      <w:r w:rsidRPr="007126E1">
        <w:rPr>
          <w:rFonts w:ascii="Century Gothic" w:hAnsi="Century Gothic" w:cs="Arial"/>
          <w:bCs/>
          <w:sz w:val="16"/>
          <w:szCs w:val="16"/>
          <w:lang w:val="es-ES"/>
        </w:rPr>
        <w:t>[…]</w:t>
      </w:r>
    </w:p>
    <w:p w:rsidRPr="007126E1" w:rsidR="002917FA" w:rsidP="002917FA" w:rsidRDefault="002917FA" w14:paraId="6B914402" w14:textId="77777777">
      <w:pPr>
        <w:pStyle w:val="Textonotapie"/>
        <w:ind w:firstLine="708"/>
        <w:jc w:val="both"/>
        <w:rPr>
          <w:rFonts w:ascii="Century Gothic" w:hAnsi="Century Gothic" w:cs="Arial"/>
          <w:sz w:val="16"/>
          <w:szCs w:val="16"/>
        </w:rPr>
      </w:pPr>
      <w:r w:rsidRPr="007126E1">
        <w:rPr>
          <w:rFonts w:ascii="Century Gothic" w:hAnsi="Century Gothic" w:cs="Arial"/>
          <w:sz w:val="16"/>
          <w:szCs w:val="16"/>
          <w:lang w:val="es-CO"/>
        </w:rPr>
        <w:t xml:space="preserve">“Bajo este panorama, las comunidades indígenas se han visto gravemente afectadas pues las entidades del Estado han expresado que no existen alternativas jurídicas que permitan la celebración de contratos o convenios con cabildos, ni una causal de contratación directa que habilite eficazmente el desarrollo de programas o inversión de recurso en beneficio de las comunidades indígenas como sujetos de especial protección. Lo anterior, ha ocasionado que las comunidades indígenas en múltiples ocasiones hayan recurrido a las vías de hecho para promover la garantía y materialización de sus derechos. En virtud de lo anterior, es necesario crear una disposición que otorgue plena capacidad Jurídica a los cabildos indígenas y autorice a las entidades del Estado la suscripción de Negocios jurídicos directamente con esta forma de gobierno indígena”. </w:t>
      </w:r>
      <w:r w:rsidRPr="007126E1">
        <w:rPr>
          <w:rFonts w:ascii="Century Gothic" w:hAnsi="Century Gothic" w:cs="Arial"/>
          <w:sz w:val="16"/>
          <w:szCs w:val="16"/>
        </w:rPr>
        <w:t xml:space="preserve">CONGRESO DE LA REPÚBLICA. Informe de ponencia para primer debate en comisiones primeras conjuntas de Senado y Cámara. Proyecto de ley número 418 de 2021 del Senado, 485 de 2020 cámara, por medio del cual se modifica la Ley 80 de 1993 y la Ley 1150 de 2007. </w:t>
      </w:r>
    </w:p>
  </w:footnote>
  <w:footnote w:id="9">
    <w:p w:rsidRPr="007126E1" w:rsidR="002917FA" w:rsidP="002917FA" w:rsidRDefault="002917FA" w14:paraId="3EEAE608"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GARCÍA DE ENTERRÍA, Eduardo y FERNÁNDEZ, Tomás-Ramón. Curso de derecho administrativo (16ª Ed.). Tomo I. España. 2013, p. 501 y 502.</w:t>
      </w:r>
    </w:p>
  </w:footnote>
  <w:footnote w:id="10">
    <w:p w:rsidRPr="002F58F5" w:rsidR="002917FA" w:rsidP="002917FA" w:rsidRDefault="002917FA" w14:paraId="54878A8F"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w:t>
      </w:r>
      <w:r w:rsidRPr="007126E1">
        <w:rPr>
          <w:rFonts w:ascii="Century Gothic" w:hAnsi="Century Gothic" w:eastAsia="Arial" w:cs="Arial"/>
          <w:i/>
          <w:iCs/>
          <w:color w:val="000000"/>
          <w:sz w:val="16"/>
          <w:szCs w:val="16"/>
        </w:rPr>
        <w:t>Ibidem</w:t>
      </w:r>
      <w:r w:rsidRPr="002F58F5">
        <w:rPr>
          <w:rFonts w:ascii="Century Gothic" w:hAnsi="Century Gothic" w:eastAsia="Arial" w:cs="Arial"/>
          <w:color w:val="000000"/>
          <w:sz w:val="16"/>
          <w:szCs w:val="16"/>
        </w:rPr>
        <w:t>.</w:t>
      </w:r>
    </w:p>
  </w:footnote>
  <w:footnote w:id="11">
    <w:p w:rsidRPr="007126E1" w:rsidR="002917FA" w:rsidP="002917FA" w:rsidRDefault="002917FA" w14:paraId="6EDB7EFE"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2F58F5">
        <w:rPr>
          <w:rFonts w:ascii="Century Gothic" w:hAnsi="Century Gothic" w:eastAsia="Arial" w:cs="Arial"/>
          <w:color w:val="000000"/>
          <w:sz w:val="16"/>
          <w:szCs w:val="16"/>
        </w:rPr>
        <w:t xml:space="preserve"> Cfr. HECK, Philipp. </w:t>
      </w:r>
      <w:r w:rsidRPr="002F58F5">
        <w:rPr>
          <w:rFonts w:ascii="Century Gothic" w:hAnsi="Century Gothic" w:eastAsia="Arial" w:cs="Arial"/>
          <w:i/>
          <w:color w:val="000000"/>
          <w:sz w:val="16"/>
          <w:szCs w:val="16"/>
        </w:rPr>
        <w:t>Gesetzauslegung und Interessenjurisprudenz</w:t>
      </w:r>
      <w:r w:rsidRPr="002F58F5">
        <w:rPr>
          <w:rFonts w:ascii="Century Gothic" w:hAnsi="Century Gothic" w:eastAsia="Arial" w:cs="Arial"/>
          <w:color w:val="000000"/>
          <w:sz w:val="16"/>
          <w:szCs w:val="16"/>
        </w:rPr>
        <w:t xml:space="preserve">. </w:t>
      </w:r>
      <w:r w:rsidRPr="007126E1">
        <w:rPr>
          <w:rFonts w:ascii="Century Gothic" w:hAnsi="Century Gothic" w:eastAsia="Arial" w:cs="Arial"/>
          <w:color w:val="000000"/>
          <w:sz w:val="16"/>
          <w:szCs w:val="16"/>
        </w:rPr>
        <w:t xml:space="preserve">Tubinga, Alemania. 1914. p. 46; y RÖTHEL, Anne. </w:t>
      </w:r>
      <w:r w:rsidRPr="007126E1">
        <w:rPr>
          <w:rFonts w:ascii="Century Gothic" w:hAnsi="Century Gothic" w:eastAsia="Arial" w:cs="Arial"/>
          <w:i/>
          <w:color w:val="000000"/>
          <w:sz w:val="16"/>
          <w:szCs w:val="16"/>
        </w:rPr>
        <w:t xml:space="preserve">Normkonkretisierung um Privatrecht. </w:t>
      </w:r>
      <w:r w:rsidRPr="007126E1">
        <w:rPr>
          <w:rFonts w:ascii="Century Gothic" w:hAnsi="Century Gothic" w:eastAsia="Arial" w:cs="Arial"/>
          <w:color w:val="000000"/>
          <w:sz w:val="16"/>
          <w:szCs w:val="16"/>
        </w:rPr>
        <w:t>Tubinga, Alemania. 2004. pp. 26-28. Citados por: AMBOS, Kai Et. al. Justicia de transición y constitución [en línea]. Editorial Temis. Colombia. 2013. p. 42. [fecha de Consulta 1 de julio de 2020]. ISSN: 978-958-35-1007-6</w:t>
      </w:r>
    </w:p>
  </w:footnote>
  <w:footnote w:id="12">
    <w:p w:rsidRPr="007126E1" w:rsidR="002917FA" w:rsidP="002917FA" w:rsidRDefault="002917FA" w14:paraId="75A3B774"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Cfr.</w:t>
      </w:r>
      <w:r w:rsidRPr="007126E1">
        <w:rPr>
          <w:rFonts w:ascii="Century Gothic" w:hAnsi="Century Gothic"/>
          <w:sz w:val="16"/>
          <w:szCs w:val="16"/>
        </w:rPr>
        <w:t xml:space="preserve"> </w:t>
      </w:r>
      <w:r w:rsidRPr="007126E1">
        <w:rPr>
          <w:rFonts w:ascii="Century Gothic" w:hAnsi="Century Gothic" w:eastAsia="Arial" w:cs="Arial"/>
          <w:color w:val="000000"/>
          <w:sz w:val="16"/>
          <w:szCs w:val="16"/>
        </w:rPr>
        <w:t>En esta perspectiva, “[…] el proceso de constatación de si un concepto jurídico indeterminado se cumple o no se cumple, no puede ser nunca un proceso volitivo de discrecionalidad o de libertad, sino un proceso de juicio o de estimación, que ha atenerse, necesariamente, por una parte a la circunstancias reales que ha calificarse, por otra, al sentido jurídico preciso que la Ley ha asignado, con la intención de que la solución posible sea sólo una, al concepto indeterminado que su precepto emplea. Justamente por eso, el proceso de aplicación de conceptos jurídicamente indeterminados es un proceso reglado […], porque no admite más que una solución justa […]” (GARCÍA DE ENTERRÍA, Eduardo. La lucha contra las inmunidades del poder en el derecho administrativo. Madrid: Civitas. 1989. pp. 36-38).</w:t>
      </w:r>
    </w:p>
  </w:footnote>
  <w:footnote w:id="13">
    <w:p w:rsidRPr="007126E1" w:rsidR="002917FA" w:rsidP="002917FA" w:rsidRDefault="002917FA" w14:paraId="24C1CD9C" w14:textId="77777777">
      <w:pPr>
        <w:pBdr>
          <w:top w:val="nil"/>
          <w:left w:val="nil"/>
          <w:bottom w:val="nil"/>
          <w:right w:val="nil"/>
          <w:between w:val="nil"/>
        </w:pBdr>
        <w:spacing w:after="0"/>
        <w:ind w:firstLine="708"/>
        <w:jc w:val="both"/>
        <w:rPr>
          <w:rFonts w:ascii="Century Gothic" w:hAnsi="Century Gothic" w:eastAsia="Arial" w:cs="Arial"/>
          <w:iCs/>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Cfr. JIMÉNEZ LECHUGA, Francisco Javier La función pública española con especial referencia a los funcionarios de Administración local con habilitación de carácter nacional. Revista de Estudios de la Administración Local y Autonómica [en línea]. 2005, (296-297), 281-310 [fecha de Consulta 1 de julio de 2020]. En la página 301 del texto, el autor señala: </w:t>
      </w:r>
      <w:r w:rsidRPr="007126E1">
        <w:rPr>
          <w:rFonts w:ascii="Century Gothic" w:hAnsi="Century Gothic" w:eastAsia="Arial" w:cs="Arial"/>
          <w:iCs/>
          <w:color w:val="000000"/>
          <w:sz w:val="16"/>
          <w:szCs w:val="16"/>
        </w:rPr>
        <w:t>“Es un proceso reglado que se agota en el proceso intelectivo de comprensión de una realidad en el sentido de que el concepto jurídico indeterminado ha pretendido, proceso en el que no intervine ninguna voluntad de aplicación del aplicador”.</w:t>
      </w:r>
    </w:p>
  </w:footnote>
  <w:footnote w:id="14">
    <w:p w:rsidRPr="007126E1" w:rsidR="002917FA" w:rsidP="002917FA" w:rsidRDefault="002917FA" w14:paraId="39F9A5E0"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GARCÍA DE ENTERRÍA, Eduardo y FERNÁNDEZ, Tomás-Ramón. Curso de derecho administrativo (16ª Ed.). Tomo I. España. 2013, p. 502.</w:t>
      </w:r>
    </w:p>
  </w:footnote>
  <w:footnote w:id="15">
    <w:p w:rsidRPr="007126E1" w:rsidR="002917FA" w:rsidP="002917FA" w:rsidRDefault="002917FA" w14:paraId="395D51CD"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DORANTES DÍAZ, Francisco Javier. El Derecho a la Ciudad. Sus posibilidades jurídicas de aplicación. Revista Buen Gobierno [en línea]. 2018, (25), 1-14 [fecha de Consulta 1 de Julio de 2020]. ISSN: 1874-4271.</w:t>
      </w:r>
    </w:p>
  </w:footnote>
  <w:footnote w:id="16">
    <w:p w:rsidRPr="007126E1" w:rsidR="002917FA" w:rsidP="002917FA" w:rsidRDefault="002917FA" w14:paraId="4C17EDA1"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Consejo de Estado. Sección Tercera. Subsección C. Expedientes 11001-03-26-000-2012-00010-00(43089), 11001-03-26-000-2013-00111-00(48117) y 11001-03-26-000-2013-00048-00(46779). Providencias del 8 de agosto de 2012 y del 12 de febrero de 2014 (2). M.P. Enrique Gil Botero.</w:t>
      </w:r>
    </w:p>
  </w:footnote>
  <w:footnote w:id="17">
    <w:p w:rsidRPr="007126E1" w:rsidR="002917FA" w:rsidP="002917FA" w:rsidRDefault="002917FA" w14:paraId="4D041041"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Consejo de Estado. Sección Tercera. Subsección A. Expediente 44001-23-31-000-1999-00827-01(24059). Providencia del 14 de marzo de 2013. M.P. Mauricio Fajardo Gómez.</w:t>
      </w:r>
    </w:p>
  </w:footnote>
  <w:footnote w:id="18">
    <w:p w:rsidRPr="007126E1" w:rsidR="002917FA" w:rsidP="002917FA" w:rsidRDefault="002917FA" w14:paraId="2FF0747E"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Consejo de Estado. Sección Tercera. Subsecciones A, B y C. Expedientes 20001-23-31-000-2001-01588-01(AP), 88001-23-31-000-2004-00009-01(AP), 25000-23-24-000-2010-00757-01(AP), 66001-23-31-000-2012-10100 01(AP) y 25000-23-24-000-2004-00894-01(AP). Providencias del 5 de octubre de 2005, 30 de agosto de 2007, 25 de abril de 2012, 1 de agosto de 2016 y del 17 de marzo de 2017. MM.PP. Ramiro Saavedra Becerra, Enrique Gil Botero (2), Ramiro Pazos Guerrero y Hernán Andrade Rincón.</w:t>
      </w:r>
    </w:p>
  </w:footnote>
  <w:footnote w:id="19">
    <w:p w:rsidRPr="007126E1" w:rsidR="002917FA" w:rsidP="002917FA" w:rsidRDefault="002917FA" w14:paraId="36B1C850" w14:textId="77777777">
      <w:pPr>
        <w:spacing w:after="0"/>
        <w:ind w:firstLine="708"/>
        <w:jc w:val="both"/>
        <w:rPr>
          <w:rFonts w:ascii="Century Gothic" w:hAnsi="Century Gothic" w:eastAsia="Arial" w:cs="Arial"/>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sz w:val="16"/>
          <w:szCs w:val="16"/>
        </w:rPr>
        <w:t xml:space="preserve"> Consejo de Estado. Sección Tercera. Subsecciones A y C. Expedientes 25000-23-26-000-1996-12809-01(27986) y </w:t>
      </w:r>
      <w:r w:rsidRPr="007126E1">
        <w:rPr>
          <w:rFonts w:ascii="Century Gothic" w:hAnsi="Century Gothic" w:eastAsia="Arial" w:cs="Arial"/>
          <w:color w:val="000000"/>
          <w:sz w:val="16"/>
          <w:szCs w:val="16"/>
          <w:highlight w:val="white"/>
        </w:rPr>
        <w:t>05001-23-31-000-2006-00111-01(48809)</w:t>
      </w:r>
      <w:r w:rsidRPr="007126E1">
        <w:rPr>
          <w:rFonts w:ascii="Century Gothic" w:hAnsi="Century Gothic" w:eastAsia="Arial" w:cs="Arial"/>
          <w:sz w:val="16"/>
          <w:szCs w:val="16"/>
        </w:rPr>
        <w:t>. Providencia del 12 de noviembre de 2014 y del 13 de junio de 2016. MM.PP. Enrique Gil Botero y Martha Nubia Velásquez Rico.</w:t>
      </w:r>
    </w:p>
  </w:footnote>
  <w:footnote w:id="20">
    <w:p w:rsidRPr="007126E1" w:rsidR="002917FA" w:rsidP="002917FA" w:rsidRDefault="002917FA" w14:paraId="5D5E63ED" w14:textId="77777777">
      <w:pPr>
        <w:spacing w:after="0"/>
        <w:ind w:firstLine="708"/>
        <w:jc w:val="both"/>
        <w:rPr>
          <w:rFonts w:ascii="Century Gothic" w:hAnsi="Century Gothic" w:eastAsia="Arial" w:cs="Arial"/>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sz w:val="16"/>
          <w:szCs w:val="16"/>
        </w:rPr>
        <w:t xml:space="preserve"> Consejo de Estado. Sección Tercera. Subsección C. Expediente </w:t>
      </w:r>
      <w:r w:rsidRPr="007126E1">
        <w:rPr>
          <w:rFonts w:ascii="Century Gothic" w:hAnsi="Century Gothic" w:eastAsia="Arial" w:cs="Arial"/>
          <w:color w:val="000000"/>
          <w:sz w:val="16"/>
          <w:szCs w:val="16"/>
          <w:highlight w:val="white"/>
        </w:rPr>
        <w:t>11001-03-26-000-2008-00101-00(36054)B. P</w:t>
      </w:r>
      <w:r w:rsidRPr="007126E1">
        <w:rPr>
          <w:rFonts w:ascii="Century Gothic" w:hAnsi="Century Gothic" w:eastAsia="Arial" w:cs="Arial"/>
          <w:sz w:val="16"/>
          <w:szCs w:val="16"/>
        </w:rPr>
        <w:t>rovidencia del 14 de abril de 2010. M.P. Enrique Gil Botero.</w:t>
      </w:r>
    </w:p>
  </w:footnote>
  <w:footnote w:id="21">
    <w:p w:rsidRPr="007126E1" w:rsidR="002917FA" w:rsidP="002917FA" w:rsidRDefault="002917FA" w14:paraId="092C6427" w14:textId="77777777">
      <w:pPr>
        <w:spacing w:after="0"/>
        <w:ind w:firstLine="708"/>
        <w:jc w:val="both"/>
        <w:rPr>
          <w:rFonts w:ascii="Century Gothic" w:hAnsi="Century Gothic" w:eastAsia="Arial" w:cs="Arial"/>
          <w:color w:val="000000"/>
          <w:sz w:val="16"/>
          <w:szCs w:val="16"/>
          <w:highlight w:val="white"/>
        </w:rPr>
      </w:pPr>
      <w:r w:rsidRPr="007126E1">
        <w:rPr>
          <w:rFonts w:ascii="Century Gothic" w:hAnsi="Century Gothic" w:cs="Arial"/>
          <w:sz w:val="16"/>
          <w:szCs w:val="16"/>
          <w:vertAlign w:val="superscript"/>
        </w:rPr>
        <w:footnoteRef/>
      </w:r>
      <w:r w:rsidRPr="007126E1">
        <w:rPr>
          <w:rFonts w:ascii="Century Gothic" w:hAnsi="Century Gothic" w:eastAsia="Arial" w:cs="Arial"/>
          <w:sz w:val="16"/>
          <w:szCs w:val="16"/>
        </w:rPr>
        <w:t xml:space="preserve"> Consejo de Estado. Sección Tercera. Subsección C. Expediente </w:t>
      </w:r>
      <w:r w:rsidRPr="007126E1">
        <w:rPr>
          <w:rFonts w:ascii="Century Gothic" w:hAnsi="Century Gothic" w:eastAsia="Arial" w:cs="Arial"/>
          <w:color w:val="000000"/>
          <w:sz w:val="16"/>
          <w:szCs w:val="16"/>
          <w:highlight w:val="white"/>
        </w:rPr>
        <w:t>11001-03-26-000-2008-00101-00(36054)B. Providencia del 14 de abril de 2010. M.P. Enrique Gil Botero.</w:t>
      </w:r>
    </w:p>
  </w:footnote>
  <w:footnote w:id="22">
    <w:p w:rsidRPr="007126E1" w:rsidR="002917FA" w:rsidP="002917FA" w:rsidRDefault="002917FA" w14:paraId="070AD29C" w14:textId="77777777">
      <w:pPr>
        <w:spacing w:after="0"/>
        <w:ind w:firstLine="708"/>
        <w:jc w:val="both"/>
        <w:rPr>
          <w:rFonts w:ascii="Century Gothic" w:hAnsi="Century Gothic" w:eastAsia="Arial" w:cs="Arial"/>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sz w:val="16"/>
          <w:szCs w:val="16"/>
        </w:rPr>
        <w:t xml:space="preserve"> Consejo de Estado. Sección Tercera. Expediente </w:t>
      </w:r>
      <w:r w:rsidRPr="007126E1">
        <w:rPr>
          <w:rFonts w:ascii="Century Gothic" w:hAnsi="Century Gothic" w:eastAsia="Arial" w:cs="Arial"/>
          <w:color w:val="000000"/>
          <w:sz w:val="16"/>
          <w:szCs w:val="16"/>
          <w:highlight w:val="white"/>
        </w:rPr>
        <w:t>11001-03-26-000-1995-01575-01(11575). P</w:t>
      </w:r>
      <w:r w:rsidRPr="007126E1">
        <w:rPr>
          <w:rFonts w:ascii="Century Gothic" w:hAnsi="Century Gothic" w:eastAsia="Arial" w:cs="Arial"/>
          <w:sz w:val="16"/>
          <w:szCs w:val="16"/>
        </w:rPr>
        <w:t>rovidencia del 6 de julio de 2005. M.P. Alier Eduardo Hernández Enríquez.</w:t>
      </w:r>
    </w:p>
  </w:footnote>
  <w:footnote w:id="23">
    <w:p w:rsidRPr="007126E1" w:rsidR="002917FA" w:rsidP="002917FA" w:rsidRDefault="002917FA" w14:paraId="453E651E"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Consejo de Estado, Sección Tercera. Expediente </w:t>
      </w:r>
      <w:r w:rsidRPr="007126E1">
        <w:rPr>
          <w:rFonts w:ascii="Century Gothic" w:hAnsi="Century Gothic" w:eastAsia="Arial" w:cs="Arial"/>
          <w:color w:val="000000"/>
          <w:sz w:val="16"/>
          <w:szCs w:val="16"/>
          <w:highlight w:val="white"/>
        </w:rPr>
        <w:t>25000-23-26-000-1994-0042-01(15235)DM. P</w:t>
      </w:r>
      <w:r w:rsidRPr="007126E1">
        <w:rPr>
          <w:rFonts w:ascii="Century Gothic" w:hAnsi="Century Gothic" w:eastAsia="Arial" w:cs="Arial"/>
          <w:color w:val="000000"/>
          <w:sz w:val="16"/>
          <w:szCs w:val="16"/>
        </w:rPr>
        <w:t>rovidencia del 24 de junio de 2004. M.P. Ricardo Hoyos Duque.</w:t>
      </w:r>
    </w:p>
  </w:footnote>
  <w:footnote w:id="24">
    <w:p w:rsidRPr="007126E1" w:rsidR="002917FA" w:rsidP="002917FA" w:rsidRDefault="002917FA" w14:paraId="05B9FD74"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Consejo de Estado. Sección Tercera. Radicaciones 12038 y 14092</w:t>
      </w:r>
      <w:r w:rsidRPr="007126E1">
        <w:rPr>
          <w:rFonts w:ascii="Century Gothic" w:hAnsi="Century Gothic" w:eastAsia="Arial" w:cs="Arial"/>
          <w:color w:val="000000"/>
          <w:sz w:val="16"/>
          <w:szCs w:val="16"/>
          <w:highlight w:val="white"/>
        </w:rPr>
        <w:t>. Providencia del 1 de junio de 2000. M.P. María Elena Giraldo Gómez.</w:t>
      </w:r>
    </w:p>
  </w:footnote>
  <w:footnote w:id="25">
    <w:p w:rsidRPr="007126E1" w:rsidR="002917FA" w:rsidP="002917FA" w:rsidRDefault="002917FA" w14:paraId="4B3CFE8B" w14:textId="77777777">
      <w:pPr>
        <w:spacing w:after="0"/>
        <w:ind w:firstLine="708"/>
        <w:jc w:val="both"/>
        <w:rPr>
          <w:rFonts w:ascii="Century Gothic" w:hAnsi="Century Gothic" w:eastAsia="Arial" w:cs="Arial"/>
          <w:color w:val="000000"/>
          <w:sz w:val="16"/>
          <w:szCs w:val="16"/>
          <w:highlight w:val="white"/>
        </w:rPr>
      </w:pPr>
      <w:r w:rsidRPr="007126E1">
        <w:rPr>
          <w:rFonts w:ascii="Century Gothic" w:hAnsi="Century Gothic" w:cs="Arial"/>
          <w:sz w:val="16"/>
          <w:szCs w:val="16"/>
          <w:vertAlign w:val="superscript"/>
        </w:rPr>
        <w:footnoteRef/>
      </w:r>
      <w:r w:rsidRPr="007126E1">
        <w:rPr>
          <w:rFonts w:ascii="Century Gothic" w:hAnsi="Century Gothic" w:eastAsia="Arial" w:cs="Arial"/>
          <w:sz w:val="16"/>
          <w:szCs w:val="16"/>
        </w:rPr>
        <w:t xml:space="preserve"> Consejo de Estado. Sección Tercera. Subsección C. Expediente </w:t>
      </w:r>
      <w:r w:rsidRPr="007126E1">
        <w:rPr>
          <w:rFonts w:ascii="Century Gothic" w:hAnsi="Century Gothic" w:eastAsia="Arial" w:cs="Arial"/>
          <w:color w:val="000000"/>
          <w:sz w:val="16"/>
          <w:szCs w:val="16"/>
          <w:highlight w:val="white"/>
        </w:rPr>
        <w:t>25000-23-26-000-1997-03809-01(17661). Providencia del 26 de julio de 2011. M.P. Enrique Gil Botero.</w:t>
      </w:r>
    </w:p>
  </w:footnote>
  <w:footnote w:id="26">
    <w:p w:rsidRPr="007126E1" w:rsidR="002917FA" w:rsidP="002917FA" w:rsidRDefault="002917FA" w14:paraId="7DFDE532" w14:textId="77777777">
      <w:pPr>
        <w:spacing w:after="0"/>
        <w:ind w:firstLine="708"/>
        <w:jc w:val="both"/>
        <w:rPr>
          <w:rFonts w:ascii="Century Gothic" w:hAnsi="Century Gothic" w:eastAsia="Arial" w:cs="Arial"/>
          <w:color w:val="000000"/>
          <w:sz w:val="16"/>
          <w:szCs w:val="16"/>
          <w:highlight w:val="white"/>
        </w:rPr>
      </w:pPr>
      <w:r w:rsidRPr="007126E1">
        <w:rPr>
          <w:rFonts w:ascii="Century Gothic" w:hAnsi="Century Gothic" w:cs="Arial"/>
          <w:sz w:val="16"/>
          <w:szCs w:val="16"/>
          <w:vertAlign w:val="superscript"/>
        </w:rPr>
        <w:footnoteRef/>
      </w:r>
      <w:r w:rsidRPr="007126E1">
        <w:rPr>
          <w:rFonts w:ascii="Century Gothic" w:hAnsi="Century Gothic" w:eastAsia="Arial" w:cs="Arial"/>
          <w:sz w:val="16"/>
          <w:szCs w:val="16"/>
        </w:rPr>
        <w:t xml:space="preserve"> Consejo de Estado, Sección Tercera. Expediente </w:t>
      </w:r>
      <w:r w:rsidRPr="007126E1">
        <w:rPr>
          <w:rFonts w:ascii="Century Gothic" w:hAnsi="Century Gothic" w:eastAsia="Arial" w:cs="Arial"/>
          <w:color w:val="000000"/>
          <w:sz w:val="16"/>
          <w:szCs w:val="16"/>
          <w:highlight w:val="white"/>
        </w:rPr>
        <w:t>25000-23-26-000-2002-01216-01(27921)A. Providencia del 16 de marzo de 2005. M.P. Ruth Stella Correa Palacio.</w:t>
      </w:r>
    </w:p>
  </w:footnote>
  <w:footnote w:id="27">
    <w:p w:rsidRPr="007126E1" w:rsidR="002917FA" w:rsidP="002917FA" w:rsidRDefault="002917FA" w14:paraId="104EB30B" w14:textId="77777777">
      <w:pPr>
        <w:pStyle w:val="Textonotapie"/>
        <w:ind w:firstLine="708"/>
        <w:jc w:val="both"/>
        <w:rPr>
          <w:rFonts w:ascii="Century Gothic" w:hAnsi="Century Gothic" w:cs="Arial"/>
          <w:sz w:val="16"/>
          <w:szCs w:val="16"/>
        </w:rPr>
      </w:pPr>
      <w:r w:rsidRPr="007126E1">
        <w:rPr>
          <w:rStyle w:val="Refdenotaalpie"/>
          <w:rFonts w:ascii="Century Gothic" w:hAnsi="Century Gothic" w:cs="Arial"/>
          <w:sz w:val="16"/>
          <w:szCs w:val="16"/>
        </w:rPr>
        <w:footnoteRef/>
      </w:r>
      <w:r w:rsidRPr="007126E1">
        <w:rPr>
          <w:rFonts w:ascii="Century Gothic" w:hAnsi="Century Gothic" w:cs="Arial"/>
          <w:sz w:val="16"/>
          <w:szCs w:val="16"/>
        </w:rPr>
        <w:t xml:space="preserve"> </w:t>
      </w:r>
      <w:r w:rsidRPr="007126E1">
        <w:rPr>
          <w:rFonts w:ascii="Century Gothic" w:hAnsi="Century Gothic" w:cs="Arial"/>
          <w:i/>
          <w:iCs/>
          <w:sz w:val="16"/>
          <w:szCs w:val="16"/>
        </w:rPr>
        <w:t>Ibidem</w:t>
      </w:r>
    </w:p>
  </w:footnote>
  <w:footnote w:id="28">
    <w:p w:rsidRPr="007126E1" w:rsidR="002917FA" w:rsidP="002917FA" w:rsidRDefault="002917FA" w14:paraId="3637547C"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GARCÍA DE ENTERRÍA, Eduardo y FERNÁNDEZ, Tomás-Ramón. Curso de derecho administrativo (16ª Ed.). Tomo I. España. 2013, p. 503-504.</w:t>
      </w:r>
    </w:p>
  </w:footnote>
  <w:footnote w:id="29">
    <w:p w:rsidRPr="007126E1" w:rsidR="002917FA" w:rsidP="002917FA" w:rsidRDefault="002917FA" w14:paraId="03B0E853" w14:textId="77777777">
      <w:pPr>
        <w:pBdr>
          <w:top w:val="nil"/>
          <w:left w:val="nil"/>
          <w:bottom w:val="nil"/>
          <w:right w:val="nil"/>
          <w:between w:val="nil"/>
        </w:pBdr>
        <w:spacing w:after="0"/>
        <w:ind w:firstLine="708"/>
        <w:jc w:val="both"/>
        <w:rPr>
          <w:rFonts w:ascii="Century Gothic" w:hAnsi="Century Gothic" w:eastAsia="Arial" w:cs="Arial"/>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w:t>
      </w:r>
      <w:r w:rsidRPr="007126E1">
        <w:rPr>
          <w:rFonts w:ascii="Century Gothic" w:hAnsi="Century Gothic" w:eastAsia="Arial" w:cs="Arial"/>
          <w:sz w:val="16"/>
          <w:szCs w:val="16"/>
        </w:rPr>
        <w:t xml:space="preserve">Consejo de Estado. Sección Tercera. Expediente 25000-23-26-000-1994-09730-01 (14462). </w:t>
      </w:r>
      <w:r w:rsidRPr="007126E1">
        <w:rPr>
          <w:rFonts w:ascii="Century Gothic" w:hAnsi="Century Gothic" w:eastAsia="Arial" w:cs="Arial"/>
          <w:color w:val="000000"/>
          <w:sz w:val="16"/>
          <w:szCs w:val="16"/>
          <w:highlight w:val="white"/>
        </w:rPr>
        <w:t>Providencia del 29 de mayo de 2003. M.P. Ricardo Hoyos Duque.</w:t>
      </w:r>
    </w:p>
  </w:footnote>
  <w:footnote w:id="30">
    <w:p w:rsidRPr="007126E1" w:rsidR="002917FA" w:rsidP="002917FA" w:rsidRDefault="002917FA" w14:paraId="34CD725F"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Corte Constitucional. Sentencia C-538 de 2016. Idea reiterada en también las </w:t>
      </w:r>
      <w:r w:rsidRPr="007126E1">
        <w:rPr>
          <w:rFonts w:ascii="Century Gothic" w:hAnsi="Century Gothic" w:eastAsia="Arial" w:cs="Arial"/>
          <w:sz w:val="16"/>
          <w:szCs w:val="16"/>
        </w:rPr>
        <w:t>Sentencias C-860 de 2006, C-052 de 2012, C-258 de 2015 y C-382 de 2019.</w:t>
      </w:r>
    </w:p>
  </w:footnote>
  <w:footnote w:id="31">
    <w:p w:rsidRPr="007126E1" w:rsidR="002917FA" w:rsidP="002917FA" w:rsidRDefault="002917FA" w14:paraId="48A98585" w14:textId="77777777">
      <w:pPr>
        <w:pBdr>
          <w:top w:val="nil"/>
          <w:left w:val="nil"/>
          <w:bottom w:val="nil"/>
          <w:right w:val="nil"/>
          <w:between w:val="nil"/>
        </w:pBdr>
        <w:spacing w:after="0"/>
        <w:ind w:firstLine="708"/>
        <w:jc w:val="both"/>
        <w:rPr>
          <w:rFonts w:ascii="Century Gothic" w:hAnsi="Century Gothic" w:eastAsia="Arial" w:cs="Arial"/>
          <w:color w:val="000000"/>
          <w:sz w:val="16"/>
          <w:szCs w:val="16"/>
        </w:rPr>
      </w:pPr>
      <w:r w:rsidRPr="007126E1">
        <w:rPr>
          <w:rFonts w:ascii="Century Gothic" w:hAnsi="Century Gothic" w:cs="Arial"/>
          <w:sz w:val="16"/>
          <w:szCs w:val="16"/>
          <w:vertAlign w:val="superscript"/>
        </w:rPr>
        <w:footnoteRef/>
      </w:r>
      <w:r w:rsidRPr="007126E1">
        <w:rPr>
          <w:rFonts w:ascii="Century Gothic" w:hAnsi="Century Gothic" w:eastAsia="Arial" w:cs="Arial"/>
          <w:color w:val="000000"/>
          <w:sz w:val="16"/>
          <w:szCs w:val="16"/>
        </w:rPr>
        <w:t xml:space="preserve"> Cfr. Corte Constitucional. Sentencia C-371 de 2002.</w:t>
      </w:r>
    </w:p>
  </w:footnote>
  <w:footnote w:id="32">
    <w:p w:rsidRPr="007126E1" w:rsidR="002917FA" w:rsidP="002917FA" w:rsidRDefault="002917FA" w14:paraId="2A742572" w14:textId="77777777">
      <w:pPr>
        <w:pStyle w:val="Textonotapie"/>
        <w:ind w:firstLine="708"/>
        <w:jc w:val="both"/>
        <w:rPr>
          <w:rFonts w:ascii="Century Gothic" w:hAnsi="Century Gothic"/>
          <w:sz w:val="16"/>
          <w:szCs w:val="16"/>
        </w:rPr>
      </w:pPr>
      <w:r w:rsidRPr="007126E1">
        <w:rPr>
          <w:rStyle w:val="Refdenotaalpie"/>
          <w:rFonts w:ascii="Century Gothic" w:hAnsi="Century Gothic"/>
          <w:sz w:val="16"/>
          <w:szCs w:val="16"/>
        </w:rPr>
        <w:footnoteRef/>
      </w:r>
      <w:r w:rsidRPr="007126E1">
        <w:rPr>
          <w:rFonts w:ascii="Century Gothic" w:hAnsi="Century Gothic"/>
          <w:sz w:val="16"/>
          <w:szCs w:val="16"/>
        </w:rPr>
        <w:t xml:space="preserve"> 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 En este tipo de situaciones, “[…] las autoridades no tienen -ni tuvieron- la posibilidad de escoger entre expedir el acto o dejar de hacerlo. Es decir, se trata de una potestad reglada, desde el punto de vista de la necesidad de la actuación” (MARÍN CORTÉS, Fabián Gonzalo. El reglamento, como fuente del derecho administrativo. En: las fuentes del derecho administrativo. Texto inédito. p. 203). Por lo demás, la doctrina también considera que “[…] el ejercicio de la potestad reglamentaria para la ejecución de las leyes […] puede ser necesario y debido siempre que la actividad y aplicabilidad de la ley dependan del complemento reglamentario y cuando, con mayor razón, es la propia ley quien expresamente encarga dicho desarrollo normativo” (GÓMEZ PUENTE, Marcos. El silencio y la inactividad administrativa. En: Silencio administrativo: estudio general y procedimiento sectoriales. Valencia: Tirant lo Blanch, 2012. p. 52).</w:t>
      </w:r>
    </w:p>
  </w:footnote>
  <w:footnote w:id="33">
    <w:p w:rsidRPr="007126E1" w:rsidR="002917FA" w:rsidP="002917FA" w:rsidRDefault="002917FA" w14:paraId="44CD4FFE" w14:textId="77777777">
      <w:pPr>
        <w:pStyle w:val="Textonotapie"/>
        <w:ind w:firstLine="708"/>
        <w:jc w:val="both"/>
        <w:rPr>
          <w:rFonts w:ascii="Century Gothic" w:hAnsi="Century Gothic" w:cs="Arial"/>
          <w:sz w:val="16"/>
          <w:szCs w:val="16"/>
        </w:rPr>
      </w:pPr>
      <w:r w:rsidRPr="007126E1">
        <w:rPr>
          <w:rStyle w:val="Refdenotaalpie"/>
          <w:rFonts w:ascii="Century Gothic" w:hAnsi="Century Gothic" w:cs="Arial"/>
          <w:sz w:val="16"/>
          <w:szCs w:val="16"/>
        </w:rPr>
        <w:footnoteRef/>
      </w:r>
      <w:r w:rsidRPr="007126E1">
        <w:rPr>
          <w:rFonts w:ascii="Century Gothic" w:hAnsi="Century Gothic" w:cs="Arial"/>
          <w:sz w:val="16"/>
          <w:szCs w:val="16"/>
        </w:rPr>
        <w:t xml:space="preserve"> CORTE CONSTITUCIONAL. Sentencia C-075 de 1997. MP. Hernando Herrera Vergara.</w:t>
      </w:r>
    </w:p>
  </w:footnote>
  <w:footnote w:id="34">
    <w:p w:rsidRPr="007126E1" w:rsidR="002917FA" w:rsidP="002917FA" w:rsidRDefault="002917FA" w14:paraId="1382AB5A" w14:textId="77777777">
      <w:pPr>
        <w:pStyle w:val="Textonotapie"/>
        <w:ind w:firstLine="708"/>
        <w:jc w:val="both"/>
        <w:rPr>
          <w:rFonts w:ascii="Century Gothic" w:hAnsi="Century Gothic"/>
          <w:sz w:val="16"/>
          <w:szCs w:val="16"/>
        </w:rPr>
      </w:pPr>
      <w:r w:rsidRPr="007126E1">
        <w:rPr>
          <w:rStyle w:val="Refdenotaalpie"/>
          <w:rFonts w:ascii="Century Gothic" w:hAnsi="Century Gothic"/>
          <w:sz w:val="16"/>
          <w:szCs w:val="16"/>
        </w:rPr>
        <w:footnoteRef/>
      </w:r>
      <w:r w:rsidRPr="007126E1">
        <w:rPr>
          <w:rFonts w:ascii="Century Gothic" w:hAnsi="Century Gothic"/>
          <w:sz w:val="16"/>
          <w:szCs w:val="16"/>
        </w:rPr>
        <w:t xml:space="preserve"> Para la doctrina, “El fomento es la actividad que consiste en estimular o ayudar una actividad privada de interés público. A través de la actividad de fomento se trata de garantizar que una serie de actividades, que se consideran relevantes para el interés público, puedan desarrollarse por la iniciativa privada sin necesidad de convertirlas en servicios públicos, o de que se amplíe su esfera de acceso a un mayor número de particulares, que no lo tendrían si se dejara simplemente actuar a las leyes del mercado […]” (COSCULLUELA MONTANER, Luis. Manual de derecho administrativo. Trigésima tercera edición. Madrid: Civitas, 2022. Libro en versión EPUB). Sin embargo, “[…] no pueden calificarse de medidas de fomento ciertas ayudas o subsidios, que tienen por finalidad la mera protección de personas en situación de dificultad o dependencia. Más bien dichas ayudas son prestaciones propias de un servicio público asistencial, pues éste consiste muchas veces en gestionar una aportación dineraria de subsistencia o de integración social, más o menos general o específica […]” (SÁNCHEZ MORÓN, Miguel. Derecho administrativo: parte general. Décima novena edición. Madrid: Tecnos, 2023. Libro en formato EPUB).</w:t>
      </w:r>
    </w:p>
  </w:footnote>
  <w:footnote w:id="35">
    <w:p w:rsidRPr="007126E1" w:rsidR="002917FA" w:rsidP="002917FA" w:rsidRDefault="002917FA" w14:paraId="16F45AA3" w14:textId="77777777">
      <w:pPr>
        <w:pStyle w:val="Textonotapie"/>
        <w:ind w:firstLine="708"/>
        <w:jc w:val="both"/>
        <w:rPr>
          <w:rFonts w:ascii="Century Gothic" w:hAnsi="Century Gothic"/>
          <w:sz w:val="16"/>
          <w:szCs w:val="16"/>
        </w:rPr>
      </w:pPr>
      <w:r w:rsidRPr="007126E1">
        <w:rPr>
          <w:rStyle w:val="Refdenotaalpie"/>
          <w:rFonts w:ascii="Century Gothic" w:hAnsi="Century Gothic"/>
          <w:sz w:val="16"/>
          <w:szCs w:val="16"/>
        </w:rPr>
        <w:footnoteRef/>
      </w:r>
      <w:r w:rsidRPr="007126E1">
        <w:rPr>
          <w:rFonts w:ascii="Century Gothic" w:hAnsi="Century Gothic"/>
          <w:sz w:val="16"/>
          <w:szCs w:val="16"/>
        </w:rPr>
        <w:t xml:space="preserve"> DEPARTAMENTO NACIONAL DE PLANEACIÓN</w:t>
      </w:r>
      <w:r>
        <w:rPr>
          <w:rFonts w:ascii="Century Gothic" w:hAnsi="Century Gothic"/>
          <w:sz w:val="16"/>
          <w:szCs w:val="16"/>
        </w:rPr>
        <w:t xml:space="preserve">. </w:t>
      </w:r>
      <w:r w:rsidRPr="007126E1">
        <w:rPr>
          <w:rFonts w:ascii="Century Gothic" w:hAnsi="Century Gothic"/>
          <w:sz w:val="16"/>
          <w:szCs w:val="16"/>
        </w:rPr>
        <w:t>lineamientos para la implementación del enfoque de derechos y la atención diferencial a grupos étnicos en la gestión de las entidades territoriales</w:t>
      </w:r>
      <w:r>
        <w:rPr>
          <w:rFonts w:ascii="Century Gothic" w:hAnsi="Century Gothic"/>
          <w:sz w:val="16"/>
          <w:szCs w:val="16"/>
        </w:rPr>
        <w:t xml:space="preserve">. Consultado el 6 de marzo de 2024 en la página </w:t>
      </w:r>
      <w:hyperlink w:history="1" r:id="rId2">
        <w:r w:rsidRPr="00C2260D">
          <w:rPr>
            <w:rStyle w:val="Hipervnculo"/>
            <w:rFonts w:ascii="Century Gothic" w:hAnsi="Century Gothic"/>
            <w:sz w:val="16"/>
            <w:szCs w:val="16"/>
          </w:rPr>
          <w:t>https://colaboracion.dnp.gov.co/CDT/Desarrollo%20Territorial/Lineamientos%20Enfoque%20Diferencial%20%C3%89TNICO%20VPublicable%20FINAL%20260216.pdf</w:t>
        </w:r>
      </w:hyperlink>
      <w:r>
        <w:rPr>
          <w:rFonts w:ascii="Century Gothic" w:hAnsi="Century Gothic"/>
          <w:sz w:val="16"/>
          <w:szCs w:val="16"/>
        </w:rPr>
        <w:t xml:space="preserve">. </w:t>
      </w:r>
    </w:p>
  </w:footnote>
  <w:footnote w:id="36">
    <w:p w:rsidRPr="007126E1" w:rsidR="002917FA" w:rsidP="002917FA" w:rsidRDefault="002917FA" w14:paraId="3745E8DF" w14:textId="77777777">
      <w:pPr>
        <w:pStyle w:val="Textonotapie"/>
        <w:ind w:firstLine="708"/>
        <w:jc w:val="both"/>
        <w:rPr>
          <w:rFonts w:ascii="Century Gothic" w:hAnsi="Century Gothic" w:cs="Arial"/>
          <w:sz w:val="16"/>
          <w:szCs w:val="16"/>
        </w:rPr>
      </w:pPr>
      <w:r w:rsidRPr="007126E1">
        <w:rPr>
          <w:rStyle w:val="Refdenotaalpie"/>
          <w:rFonts w:ascii="Century Gothic" w:hAnsi="Century Gothic" w:cs="Arial"/>
          <w:sz w:val="16"/>
          <w:szCs w:val="16"/>
        </w:rPr>
        <w:footnoteRef/>
      </w:r>
      <w:r w:rsidRPr="007126E1">
        <w:rPr>
          <w:rFonts w:ascii="Century Gothic" w:hAnsi="Century Gothic" w:cs="Arial"/>
          <w:sz w:val="16"/>
          <w:szCs w:val="16"/>
        </w:rPr>
        <w:t xml:space="preserve"> CORTE CONSTITUCIONAL. Sentencia C-075 de 1997. MP. Hernando Herrera Vergara.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BD15D4" w14:paraId="6ED12154" w14:textId="5D0C20C7">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Pr="002917FA" w:rsidR="005B5D8B" w:rsidP="002917FA" w:rsidRDefault="004A305D" w14:paraId="3DBCDD3E" w14:textId="4237F750">
    <w:pPr>
      <w:spacing w:after="12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1036453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E4714"/>
    <w:rsid w:val="000F6486"/>
    <w:rsid w:val="00125105"/>
    <w:rsid w:val="00127233"/>
    <w:rsid w:val="001E4177"/>
    <w:rsid w:val="00277B55"/>
    <w:rsid w:val="002917FA"/>
    <w:rsid w:val="002927E7"/>
    <w:rsid w:val="002951A0"/>
    <w:rsid w:val="002962BC"/>
    <w:rsid w:val="002A093D"/>
    <w:rsid w:val="002A49AC"/>
    <w:rsid w:val="002A64FD"/>
    <w:rsid w:val="002C7A84"/>
    <w:rsid w:val="002E6D6B"/>
    <w:rsid w:val="002F58F5"/>
    <w:rsid w:val="00301D8A"/>
    <w:rsid w:val="00334573"/>
    <w:rsid w:val="003448F4"/>
    <w:rsid w:val="003A779E"/>
    <w:rsid w:val="003B488F"/>
    <w:rsid w:val="003D0F4D"/>
    <w:rsid w:val="003E0499"/>
    <w:rsid w:val="003F0DFB"/>
    <w:rsid w:val="003F3941"/>
    <w:rsid w:val="00400548"/>
    <w:rsid w:val="00424AE1"/>
    <w:rsid w:val="004368BC"/>
    <w:rsid w:val="0047768D"/>
    <w:rsid w:val="004A1847"/>
    <w:rsid w:val="004A305D"/>
    <w:rsid w:val="004D49F3"/>
    <w:rsid w:val="004E46CF"/>
    <w:rsid w:val="004F21C4"/>
    <w:rsid w:val="004F685F"/>
    <w:rsid w:val="00533E8F"/>
    <w:rsid w:val="005566E8"/>
    <w:rsid w:val="00574867"/>
    <w:rsid w:val="005A6AA1"/>
    <w:rsid w:val="005B5D8B"/>
    <w:rsid w:val="005C5CDC"/>
    <w:rsid w:val="005D476C"/>
    <w:rsid w:val="005D6192"/>
    <w:rsid w:val="006219F8"/>
    <w:rsid w:val="00654DA2"/>
    <w:rsid w:val="00665D70"/>
    <w:rsid w:val="00706C16"/>
    <w:rsid w:val="007202B8"/>
    <w:rsid w:val="00727370"/>
    <w:rsid w:val="007304BD"/>
    <w:rsid w:val="00756841"/>
    <w:rsid w:val="00763C80"/>
    <w:rsid w:val="007649AB"/>
    <w:rsid w:val="00782A56"/>
    <w:rsid w:val="007833AC"/>
    <w:rsid w:val="007B7171"/>
    <w:rsid w:val="007C3DC2"/>
    <w:rsid w:val="007E5497"/>
    <w:rsid w:val="007F77D8"/>
    <w:rsid w:val="00803B87"/>
    <w:rsid w:val="00806F5F"/>
    <w:rsid w:val="00820278"/>
    <w:rsid w:val="008843B6"/>
    <w:rsid w:val="00891928"/>
    <w:rsid w:val="008A446D"/>
    <w:rsid w:val="008F0EA7"/>
    <w:rsid w:val="008F1001"/>
    <w:rsid w:val="00923ED6"/>
    <w:rsid w:val="00923EEF"/>
    <w:rsid w:val="009419F9"/>
    <w:rsid w:val="00961B09"/>
    <w:rsid w:val="00965334"/>
    <w:rsid w:val="0097093E"/>
    <w:rsid w:val="00996FB9"/>
    <w:rsid w:val="009C71FA"/>
    <w:rsid w:val="009C72E7"/>
    <w:rsid w:val="00A17F13"/>
    <w:rsid w:val="00A20739"/>
    <w:rsid w:val="00A33C78"/>
    <w:rsid w:val="00A91B4B"/>
    <w:rsid w:val="00AB0ADB"/>
    <w:rsid w:val="00AB1EF2"/>
    <w:rsid w:val="00AD5E99"/>
    <w:rsid w:val="00B23A8E"/>
    <w:rsid w:val="00B51382"/>
    <w:rsid w:val="00B60188"/>
    <w:rsid w:val="00B72CD3"/>
    <w:rsid w:val="00B72FFF"/>
    <w:rsid w:val="00B96F21"/>
    <w:rsid w:val="00BA541F"/>
    <w:rsid w:val="00BD15D4"/>
    <w:rsid w:val="00BD2E7A"/>
    <w:rsid w:val="00BD7F72"/>
    <w:rsid w:val="00BF1D9A"/>
    <w:rsid w:val="00C04FB3"/>
    <w:rsid w:val="00C13D11"/>
    <w:rsid w:val="00C330EB"/>
    <w:rsid w:val="00C754BE"/>
    <w:rsid w:val="00CB6357"/>
    <w:rsid w:val="00CC1B26"/>
    <w:rsid w:val="00CF1014"/>
    <w:rsid w:val="00D14BAD"/>
    <w:rsid w:val="00D423A2"/>
    <w:rsid w:val="00D63AC2"/>
    <w:rsid w:val="00D7383B"/>
    <w:rsid w:val="00DA231B"/>
    <w:rsid w:val="00E16408"/>
    <w:rsid w:val="00E20894"/>
    <w:rsid w:val="00E245AB"/>
    <w:rsid w:val="00E50AFE"/>
    <w:rsid w:val="00E674E1"/>
    <w:rsid w:val="00E771DC"/>
    <w:rsid w:val="00E8772A"/>
    <w:rsid w:val="00E90F6B"/>
    <w:rsid w:val="00E92C27"/>
    <w:rsid w:val="00EA0E3D"/>
    <w:rsid w:val="00EE16CB"/>
    <w:rsid w:val="00EE1AA8"/>
    <w:rsid w:val="00F17039"/>
    <w:rsid w:val="00F204AB"/>
    <w:rsid w:val="00F31EDC"/>
    <w:rsid w:val="00F5664F"/>
    <w:rsid w:val="00F613A2"/>
    <w:rsid w:val="00F76AFC"/>
    <w:rsid w:val="00FB5DD1"/>
    <w:rsid w:val="00FC2B5D"/>
    <w:rsid w:val="00FF1449"/>
    <w:rsid w:val="6522FE63"/>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Appelnotedebasde" w:customStyle="1">
    <w:name w:val="Appel note de bas de..."/>
    <w:basedOn w:val="Normal"/>
    <w:link w:val="Refdenotaalpie"/>
    <w:uiPriority w:val="99"/>
    <w:rsid w:val="002917FA"/>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917FA"/>
    <w:rPr>
      <w:rFonts w:ascii="Geomanist Light" w:hAnsi="Geomanist Light"/>
      <w:lang w:val="es-ES"/>
    </w:rPr>
  </w:style>
  <w:style w:type="character" w:styleId="Textoennegrita">
    <w:name w:val="Strong"/>
    <w:basedOn w:val="Fuentedeprrafopredeter"/>
    <w:uiPriority w:val="22"/>
    <w:qFormat/>
    <w:rsid w:val="002917FA"/>
    <w:rPr>
      <w:b/>
      <w:bCs/>
    </w:rPr>
  </w:style>
  <w:style w:type="paragraph" w:styleId="Revisin">
    <w:name w:val="Revision"/>
    <w:hidden/>
    <w:uiPriority w:val="99"/>
    <w:semiHidden/>
    <w:rsid w:val="00292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Desarrollo%20Territorial/Lineamientos%20Enfoque%20Diferencial%20%C3%89TNICO%20VPublicable%20FINAL%20260216.pdf"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Alejandro Sarmiento</DisplayName>
        <AccountId>119</AccountId>
        <AccountType/>
      </UserInfo>
      <UserInfo>
        <DisplayName>Nohelia Del Carmen Zawady Palacio</DisplayName>
        <AccountId>289</AccountId>
        <AccountType/>
      </UserInfo>
    </SharedWithUsers>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51ffb7fd-4899-4472-8c42-8dade94ea362"/>
  </ds:schemaRefs>
</ds:datastoreItem>
</file>

<file path=customXml/itemProps3.xml><?xml version="1.0" encoding="utf-8"?>
<ds:datastoreItem xmlns:ds="http://schemas.openxmlformats.org/officeDocument/2006/customXml" ds:itemID="{99126B58-5E26-41DC-90B1-F47909E170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Paula Andrea Manrique Sarmiento</lastModifiedBy>
  <revision>6</revision>
  <lastPrinted>2023-01-10T21:18:00.0000000Z</lastPrinted>
  <dcterms:created xsi:type="dcterms:W3CDTF">2024-03-21T15:49:00.0000000Z</dcterms:created>
  <dcterms:modified xsi:type="dcterms:W3CDTF">2024-04-05T13:55:09.0301815Z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