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0AE5E" w14:textId="77777777" w:rsidR="00464416" w:rsidRPr="00FC368C" w:rsidRDefault="00464416" w:rsidP="00464416">
      <w:pPr>
        <w:spacing w:after="0"/>
        <w:jc w:val="center"/>
        <w:rPr>
          <w:rFonts w:ascii="Century Gothic" w:eastAsia="Times New Roman" w:hAnsi="Century Gothic" w:cs="Arial"/>
          <w:bCs/>
          <w:lang w:val="es-MX" w:eastAsia="es-ES"/>
        </w:rPr>
      </w:pPr>
      <w:bookmarkStart w:id="0" w:name="_Hlk94281581"/>
      <w:bookmarkStart w:id="1" w:name="_Hlk102489058"/>
      <w:bookmarkStart w:id="2" w:name="_Hlk34951122"/>
    </w:p>
    <w:p w14:paraId="170E0E76" w14:textId="77777777" w:rsidR="00464416" w:rsidRPr="00FC368C" w:rsidRDefault="00464416" w:rsidP="00464416">
      <w:pPr>
        <w:spacing w:after="0" w:line="240" w:lineRule="auto"/>
        <w:jc w:val="both"/>
        <w:rPr>
          <w:rFonts w:ascii="Century Gothic" w:eastAsia="Calibri" w:hAnsi="Century Gothic" w:cs="Arial"/>
          <w:b/>
          <w:sz w:val="16"/>
          <w:szCs w:val="16"/>
          <w:lang w:val="es-ES_tradnl" w:eastAsia="es-ES"/>
        </w:rPr>
      </w:pPr>
      <w:r w:rsidRPr="00FC368C">
        <w:rPr>
          <w:rFonts w:ascii="Century Gothic" w:eastAsia="Calibri" w:hAnsi="Century Gothic" w:cs="Arial"/>
          <w:b/>
          <w:bCs/>
          <w:lang w:val="es-MX"/>
        </w:rPr>
        <w:t>EMPRESAS DE SERIVICIOS PÚBLICOS DOMICILIARIOS – Naturaleza jurídica – Régimen contractual</w:t>
      </w:r>
      <w:r w:rsidRPr="00FC368C">
        <w:rPr>
          <w:rFonts w:ascii="Century Gothic" w:eastAsia="Calibri" w:hAnsi="Century Gothic" w:cs="Arial"/>
          <w:b/>
          <w:sz w:val="16"/>
          <w:szCs w:val="16"/>
          <w:lang w:val="es-ES_tradnl" w:eastAsia="es-ES"/>
        </w:rPr>
        <w:tab/>
      </w:r>
    </w:p>
    <w:p w14:paraId="114D9532" w14:textId="77777777" w:rsidR="00464416" w:rsidRPr="00FC368C" w:rsidRDefault="00464416" w:rsidP="00464416">
      <w:pPr>
        <w:spacing w:after="0" w:line="240" w:lineRule="auto"/>
        <w:rPr>
          <w:rFonts w:ascii="Century Gothic" w:eastAsia="Calibri" w:hAnsi="Century Gothic" w:cs="Arial"/>
          <w:b/>
          <w:sz w:val="16"/>
          <w:szCs w:val="16"/>
          <w:lang w:val="es-ES_tradnl" w:eastAsia="es-ES"/>
        </w:rPr>
      </w:pPr>
    </w:p>
    <w:p w14:paraId="686147D9" w14:textId="77777777" w:rsidR="00464416" w:rsidRPr="00FC368C" w:rsidRDefault="00464416" w:rsidP="00464416">
      <w:pPr>
        <w:spacing w:after="0" w:line="240" w:lineRule="auto"/>
        <w:jc w:val="both"/>
        <w:rPr>
          <w:rFonts w:ascii="Century Gothic" w:eastAsia="Calibri" w:hAnsi="Century Gothic" w:cs="Arial"/>
          <w:sz w:val="20"/>
          <w:szCs w:val="20"/>
          <w:lang w:val="es-MX"/>
        </w:rPr>
      </w:pPr>
      <w:r w:rsidRPr="00FC368C">
        <w:rPr>
          <w:rFonts w:ascii="Century Gothic" w:eastAsia="Calibri" w:hAnsi="Century Gothic" w:cs="Arial"/>
          <w:sz w:val="20"/>
          <w:szCs w:val="20"/>
          <w:lang w:val="es-MX"/>
        </w:rPr>
        <w:t>Las empresas de servicios públicos tienen una naturaleza jurídica especial que viene dada directamente por el artículo 356 de la Constitución Política. El hecho de que su composición accionaria esté compartida por recursos públicos tiene su clasificación propia dependiendo de la composición de su capital accionario: empresas de servicios públicos oficiales, mixtas y privadas. Ahora, sin importar su clasificación, todas hacen parte de la Rama ejecutiva, del sector descentralizado por servicios.</w:t>
      </w:r>
    </w:p>
    <w:p w14:paraId="770E41DF" w14:textId="77777777" w:rsidR="00464416" w:rsidRPr="00FC368C" w:rsidRDefault="00464416" w:rsidP="00464416">
      <w:pPr>
        <w:spacing w:after="0" w:line="240" w:lineRule="auto"/>
        <w:jc w:val="both"/>
        <w:rPr>
          <w:rFonts w:ascii="Century Gothic" w:eastAsia="Calibri" w:hAnsi="Century Gothic" w:cs="Arial"/>
          <w:sz w:val="20"/>
          <w:szCs w:val="20"/>
          <w:lang w:val="es-MX"/>
        </w:rPr>
      </w:pPr>
    </w:p>
    <w:p w14:paraId="7901F361" w14:textId="77777777" w:rsidR="00464416" w:rsidRPr="00FC368C" w:rsidRDefault="00464416" w:rsidP="00464416">
      <w:pPr>
        <w:spacing w:after="0" w:line="240" w:lineRule="auto"/>
        <w:jc w:val="both"/>
        <w:rPr>
          <w:rFonts w:ascii="Century Gothic" w:eastAsia="Calibri" w:hAnsi="Century Gothic" w:cs="Arial"/>
          <w:sz w:val="20"/>
          <w:szCs w:val="20"/>
          <w:lang w:val="es-MX"/>
        </w:rPr>
      </w:pPr>
      <w:r w:rsidRPr="00FC368C">
        <w:rPr>
          <w:rFonts w:ascii="Century Gothic" w:eastAsia="Calibri" w:hAnsi="Century Gothic" w:cs="Arial"/>
          <w:sz w:val="20"/>
          <w:szCs w:val="20"/>
          <w:lang w:val="es-MX"/>
        </w:rPr>
        <w:t>El artículo 31 de la le Ley 142 de 1994, modificado por el artículo 3 de la Ley 689 de 2001, dispone que los contratos que celebren las entidades estatales que prestan los servicios públicos domiciliarios “no estarán sujetos a las disposiciones del Estatuto General de Contratación de la Administración Pública, salvo en lo que la presente ley disponga otra cosa”. Por su parte, el artículo 32 de la Ley 142 de 1994, consagra el régimen de derecho privado para las empresas de servicios públicos domiciliarios, indicando que sus actos se rigen por los principios y reglas aplicables a los particulares.</w:t>
      </w:r>
    </w:p>
    <w:p w14:paraId="5AE2DBAE" w14:textId="77777777" w:rsidR="00464416" w:rsidRPr="00FC368C" w:rsidRDefault="00464416" w:rsidP="00464416">
      <w:pPr>
        <w:spacing w:after="0" w:line="240" w:lineRule="auto"/>
        <w:jc w:val="both"/>
        <w:rPr>
          <w:rFonts w:ascii="Century Gothic" w:eastAsia="Calibri" w:hAnsi="Century Gothic" w:cs="Arial"/>
          <w:sz w:val="20"/>
          <w:szCs w:val="20"/>
          <w:lang w:val="es-MX"/>
        </w:rPr>
      </w:pPr>
    </w:p>
    <w:p w14:paraId="4C127D66" w14:textId="77777777" w:rsidR="00464416" w:rsidRDefault="00464416" w:rsidP="00464416">
      <w:pPr>
        <w:spacing w:after="0" w:line="240" w:lineRule="auto"/>
        <w:jc w:val="both"/>
        <w:rPr>
          <w:rFonts w:ascii="Century Gothic" w:eastAsia="Calibri" w:hAnsi="Century Gothic" w:cs="Arial"/>
          <w:sz w:val="20"/>
          <w:szCs w:val="20"/>
          <w:lang w:val="es-MX"/>
        </w:rPr>
      </w:pPr>
      <w:r w:rsidRPr="00FC368C">
        <w:rPr>
          <w:rFonts w:ascii="Century Gothic" w:eastAsia="Calibri" w:hAnsi="Century Gothic" w:cs="Arial"/>
          <w:sz w:val="20"/>
          <w:szCs w:val="20"/>
          <w:lang w:val="es-MX"/>
        </w:rPr>
        <w:t>El régimen jurídico que, por regla general, debe aplicarse a la contratación que efectúan las empresas prestadoras de servicios públicos domiciliarios es el derecho privado y solo, excepcionalmente, el contenido en el Estatuto General de Contratación de la Administración Pública –Ley 80 de 1993–. En otras palabras, dichas empresas se sujetan, en su actividad contractual, a las disposiciones del derecho privado, salvo en aquellos casos en los que la Constitución, la Ley 142 de 1994 u otras leyes especiales, sometan tal conducta al Estatuto General de Contratación de la Administración Pública, es decir, a la Ley 80 de 1993, Ley 1150 de 2007 y demás normas complementarias.</w:t>
      </w:r>
    </w:p>
    <w:p w14:paraId="7C618E10" w14:textId="77777777" w:rsidR="00464416" w:rsidRDefault="00464416" w:rsidP="00464416">
      <w:pPr>
        <w:spacing w:after="0" w:line="240" w:lineRule="auto"/>
        <w:jc w:val="both"/>
        <w:rPr>
          <w:rFonts w:ascii="Century Gothic" w:eastAsia="Calibri" w:hAnsi="Century Gothic" w:cs="Arial"/>
          <w:sz w:val="20"/>
          <w:szCs w:val="20"/>
          <w:lang w:val="es-MX"/>
        </w:rPr>
      </w:pPr>
    </w:p>
    <w:p w14:paraId="4593FE1D" w14:textId="77777777" w:rsidR="00464416" w:rsidRPr="00396321" w:rsidRDefault="00464416" w:rsidP="00464416">
      <w:pPr>
        <w:spacing w:after="0" w:line="240" w:lineRule="auto"/>
        <w:jc w:val="both"/>
        <w:rPr>
          <w:rFonts w:ascii="Century Gothic" w:eastAsia="Calibri" w:hAnsi="Century Gothic" w:cs="Arial"/>
          <w:b/>
          <w:bCs/>
          <w:lang w:val="es-MX"/>
        </w:rPr>
      </w:pPr>
      <w:r>
        <w:rPr>
          <w:rFonts w:ascii="Century Gothic" w:eastAsia="Calibri" w:hAnsi="Century Gothic" w:cs="Arial"/>
          <w:b/>
          <w:bCs/>
          <w:lang w:val="es-MX"/>
        </w:rPr>
        <w:t>DOCUMENTOS TIPO – Circunstancias de aplicabilidad – Entidades con régimen especial – Empresas de servicios públicos</w:t>
      </w:r>
    </w:p>
    <w:p w14:paraId="59887394" w14:textId="77777777" w:rsidR="00464416" w:rsidRDefault="00464416" w:rsidP="00464416">
      <w:pPr>
        <w:spacing w:after="0"/>
        <w:jc w:val="both"/>
        <w:rPr>
          <w:rFonts w:ascii="Century Gothic" w:eastAsia="Arial" w:hAnsi="Century Gothic" w:cs="Arial"/>
          <w:color w:val="000000"/>
        </w:rPr>
      </w:pPr>
    </w:p>
    <w:p w14:paraId="62C6D4D2" w14:textId="77777777" w:rsidR="00464416" w:rsidRPr="00795ECA" w:rsidRDefault="00464416" w:rsidP="00464416">
      <w:pPr>
        <w:spacing w:after="0" w:line="240" w:lineRule="auto"/>
        <w:jc w:val="both"/>
        <w:rPr>
          <w:rFonts w:ascii="Century Gothic" w:eastAsia="Arial" w:hAnsi="Century Gothic" w:cs="Arial"/>
          <w:color w:val="000000"/>
          <w:sz w:val="20"/>
          <w:szCs w:val="20"/>
        </w:rPr>
      </w:pPr>
      <w:r w:rsidRPr="00795ECA">
        <w:rPr>
          <w:rFonts w:ascii="Century Gothic" w:eastAsia="Arial" w:hAnsi="Century Gothic" w:cs="Arial"/>
          <w:color w:val="000000"/>
          <w:sz w:val="20"/>
          <w:szCs w:val="20"/>
        </w:rPr>
        <w:t xml:space="preserve">[…] las empresas prestadoras de servicios públicos domiciliarios, al contar con un régimen contractual distinto al establecido en el EGCAP, esto es, al regirse por el derecho privado –conforme se expuso en el numeral 2.2–, serán destinatarias de los Documentos Tipo, con fundamento en el artículo 56 de la Ley 2195 de 2022, siempre que se cumplan con los presupuestos para su aplicación. De esta manera, la obligación de aplicar los Documentos Tipo, </w:t>
      </w:r>
      <w:proofErr w:type="gramStart"/>
      <w:r w:rsidRPr="00795ECA">
        <w:rPr>
          <w:rFonts w:ascii="Century Gothic" w:eastAsia="Arial" w:hAnsi="Century Gothic" w:cs="Arial"/>
          <w:color w:val="000000"/>
          <w:sz w:val="20"/>
          <w:szCs w:val="20"/>
        </w:rPr>
        <w:t>y</w:t>
      </w:r>
      <w:proofErr w:type="gramEnd"/>
      <w:r w:rsidRPr="00795ECA">
        <w:rPr>
          <w:rFonts w:ascii="Century Gothic" w:eastAsia="Arial" w:hAnsi="Century Gothic" w:cs="Arial"/>
          <w:color w:val="000000"/>
          <w:sz w:val="20"/>
          <w:szCs w:val="20"/>
        </w:rPr>
        <w:t xml:space="preserve"> además, las disposiciones del EGCAP, se extiende no solamente a la celebración del contrato o convenio propiamente dicho, sino también a los compromisos contractuales derivados, según lo expresamente consagrado en el segundo inciso del artículo 56 de la ley citada. Esto implica que, si una empresa prestadora de servicios públicos domiciliarios, en cumplimiento de un compromiso asumido en el contrato celebrado con una entidad sometida al EGCAP, debe contratar una obra o servicio cobijado por algún Documento Tipo, estará obligada a hacerlo aplicando los mencionados Documentos Tipo, además de adelantar el proceso de contratación y celebrar el contrato conforme al EGCAP.</w:t>
      </w:r>
    </w:p>
    <w:p w14:paraId="00DF7740" w14:textId="77777777" w:rsidR="00464416" w:rsidRPr="00795ECA" w:rsidRDefault="00464416" w:rsidP="00464416">
      <w:pPr>
        <w:spacing w:after="0" w:line="240" w:lineRule="auto"/>
        <w:jc w:val="both"/>
        <w:rPr>
          <w:rFonts w:ascii="Century Gothic" w:eastAsia="Arial" w:hAnsi="Century Gothic" w:cs="Arial"/>
          <w:color w:val="000000"/>
          <w:sz w:val="20"/>
          <w:szCs w:val="20"/>
        </w:rPr>
      </w:pPr>
    </w:p>
    <w:p w14:paraId="17EE8880" w14:textId="77777777" w:rsidR="00464416" w:rsidRPr="00795ECA" w:rsidRDefault="00464416" w:rsidP="00464416">
      <w:pPr>
        <w:spacing w:after="0" w:line="240" w:lineRule="auto"/>
        <w:jc w:val="both"/>
        <w:rPr>
          <w:rFonts w:ascii="Century Gothic" w:eastAsia="Arial" w:hAnsi="Century Gothic" w:cs="Arial"/>
          <w:color w:val="000000"/>
          <w:sz w:val="20"/>
          <w:szCs w:val="20"/>
        </w:rPr>
      </w:pPr>
      <w:r w:rsidRPr="00795ECA">
        <w:rPr>
          <w:rFonts w:ascii="Century Gothic" w:eastAsia="Arial" w:hAnsi="Century Gothic" w:cs="Arial"/>
          <w:color w:val="000000"/>
          <w:sz w:val="20"/>
          <w:szCs w:val="20"/>
        </w:rPr>
        <w:lastRenderedPageBreak/>
        <w:t>Así, para determinar si se encuentran o no obligados a aplicar los Documentos Tipo, deberán verificar si el objeto contractual a contratar se encuentra cobijado por algún Documento Tipo existente. De no ser así, no solo no resultaría obligatoria la aplicación de los documentos tipo, sino que tampoco habría lugar a la aplicación del EGCAP, en la medida en que tal medida contemplada en el inciso segundo de la norma en comento está condicionada a la aplicación de documentos tipo.</w:t>
      </w:r>
    </w:p>
    <w:p w14:paraId="34F75D76" w14:textId="77777777" w:rsidR="00464416" w:rsidRPr="00FC368C" w:rsidRDefault="00464416" w:rsidP="00464416">
      <w:pPr>
        <w:spacing w:after="0" w:line="240" w:lineRule="auto"/>
        <w:jc w:val="both"/>
        <w:rPr>
          <w:rFonts w:ascii="Century Gothic" w:eastAsia="Calibri" w:hAnsi="Century Gothic" w:cs="Arial"/>
          <w:sz w:val="20"/>
          <w:szCs w:val="20"/>
          <w:lang w:val="es-MX"/>
        </w:rPr>
      </w:pPr>
    </w:p>
    <w:p w14:paraId="10C9375F" w14:textId="77777777" w:rsidR="00464416" w:rsidRPr="00FC368C" w:rsidRDefault="00464416" w:rsidP="00464416">
      <w:pPr>
        <w:spacing w:after="0" w:line="240" w:lineRule="auto"/>
        <w:jc w:val="both"/>
        <w:rPr>
          <w:rFonts w:ascii="Century Gothic" w:eastAsia="Calibri" w:hAnsi="Century Gothic" w:cs="Arial"/>
          <w:b/>
          <w:bCs/>
          <w:lang w:val="es-MX"/>
        </w:rPr>
      </w:pPr>
      <w:r w:rsidRPr="00FC368C">
        <w:rPr>
          <w:rFonts w:ascii="Century Gothic" w:eastAsia="Calibri" w:hAnsi="Century Gothic" w:cs="Arial"/>
          <w:b/>
          <w:bCs/>
          <w:lang w:val="es-MX"/>
        </w:rPr>
        <w:t>PUBLICIDAD SECOP – Entidades exceptuadas – Estatuto general de contratación – Modificación del artículo 53 – Ley 2195 de 2022</w:t>
      </w:r>
    </w:p>
    <w:p w14:paraId="125DFBE3" w14:textId="77777777" w:rsidR="00464416" w:rsidRPr="00FC368C" w:rsidRDefault="00464416" w:rsidP="00464416">
      <w:pPr>
        <w:spacing w:after="0" w:line="240" w:lineRule="auto"/>
        <w:jc w:val="both"/>
        <w:rPr>
          <w:rFonts w:ascii="Century Gothic" w:eastAsia="Calibri" w:hAnsi="Century Gothic" w:cs="Arial"/>
          <w:b/>
          <w:bCs/>
          <w:sz w:val="20"/>
          <w:szCs w:val="20"/>
          <w:lang w:val="es-MX"/>
        </w:rPr>
      </w:pPr>
    </w:p>
    <w:p w14:paraId="3A94F06B" w14:textId="77777777" w:rsidR="00464416" w:rsidRPr="00FC368C" w:rsidRDefault="00464416" w:rsidP="00464416">
      <w:pPr>
        <w:spacing w:after="0" w:line="240" w:lineRule="auto"/>
        <w:jc w:val="both"/>
        <w:rPr>
          <w:rFonts w:ascii="Century Gothic" w:eastAsia="Calibri" w:hAnsi="Century Gothic" w:cs="Arial"/>
          <w:sz w:val="20"/>
          <w:szCs w:val="20"/>
          <w:lang w:val="es-MX"/>
        </w:rPr>
      </w:pPr>
      <w:r w:rsidRPr="00FC368C">
        <w:rPr>
          <w:rFonts w:ascii="Century Gothic" w:eastAsia="Calibri" w:hAnsi="Century Gothic" w:cs="Arial"/>
          <w:sz w:val="20"/>
          <w:szCs w:val="20"/>
          <w:lang w:val="es-MX"/>
        </w:rPr>
        <w:t xml:space="preserve">El principio de publicidad impone a las autoridades el deber de dar a conocer sus actos, contratos y decisiones, para que se divulguen y eventualmente se controlen dichas actuaciones. Es por eso </w:t>
      </w:r>
      <w:proofErr w:type="gramStart"/>
      <w:r w:rsidRPr="00FC368C">
        <w:rPr>
          <w:rFonts w:ascii="Century Gothic" w:eastAsia="Calibri" w:hAnsi="Century Gothic" w:cs="Arial"/>
          <w:sz w:val="20"/>
          <w:szCs w:val="20"/>
          <w:lang w:val="es-MX"/>
        </w:rPr>
        <w:t>que</w:t>
      </w:r>
      <w:proofErr w:type="gramEnd"/>
      <w:r w:rsidRPr="00FC368C">
        <w:rPr>
          <w:rFonts w:ascii="Century Gothic" w:eastAsia="Calibri" w:hAnsi="Century Gothic" w:cs="Arial"/>
          <w:sz w:val="20"/>
          <w:szCs w:val="20"/>
          <w:lang w:val="es-MX"/>
        </w:rPr>
        <w:t>, en materia de la contratación estatal, el literal c) del artículo 3 de la Ley 1150 de 2007 establece el Sistema Electrónico para la Contratación Pública –SECOP– como un mecanismo que “contará con la información oficial de la contratación realizada con dineros públicos, para lo cual establecerá los patrones a que haya lugar y se encargará de su difusión a través de canales electrónicos”.</w:t>
      </w:r>
    </w:p>
    <w:p w14:paraId="7ED81CDC" w14:textId="77777777" w:rsidR="00464416" w:rsidRPr="00FC368C" w:rsidRDefault="00464416" w:rsidP="00464416">
      <w:pPr>
        <w:spacing w:after="0" w:line="240" w:lineRule="auto"/>
        <w:jc w:val="both"/>
        <w:rPr>
          <w:rFonts w:ascii="Century Gothic" w:eastAsia="Calibri" w:hAnsi="Century Gothic" w:cs="Arial"/>
          <w:sz w:val="20"/>
          <w:szCs w:val="20"/>
          <w:lang w:val="es-MX"/>
        </w:rPr>
      </w:pPr>
    </w:p>
    <w:p w14:paraId="43D8204E" w14:textId="77777777" w:rsidR="00464416" w:rsidRPr="00FC368C" w:rsidRDefault="00464416" w:rsidP="00464416">
      <w:pPr>
        <w:spacing w:after="0" w:line="240" w:lineRule="auto"/>
        <w:jc w:val="both"/>
        <w:rPr>
          <w:rFonts w:ascii="Century Gothic" w:eastAsia="Calibri" w:hAnsi="Century Gothic" w:cs="Arial"/>
          <w:sz w:val="20"/>
          <w:szCs w:val="20"/>
          <w:lang w:val="es-MX"/>
        </w:rPr>
      </w:pPr>
      <w:r w:rsidRPr="00FC368C">
        <w:rPr>
          <w:rFonts w:ascii="Century Gothic" w:eastAsia="Calibri" w:hAnsi="Century Gothic" w:cs="Arial"/>
          <w:sz w:val="20"/>
          <w:szCs w:val="20"/>
          <w:lang w:val="es-MX"/>
        </w:rPr>
        <w:t>La Ley 2195 de 2022, por medio de la cual se adoptan medidas en materia de transparencia, prevención y lucha contra la corrupción. Según lo dispone su artículo 1, esta Ley “[…] 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esta Ley, que lleva por título “Disposiciones en materia contractual para la moralización y la transparencia”, se ubica el artículo 53, mediante el cual se adiciona el artículo 13 de la Ley 1150 de 2007. La referida disposición les asigna la obligación a las entidades estatales que por disposición legal cuenten con un régimen contractual excepcional al del Estatuto General de Contratación de la Administración Pública de publicar los documentos relacionados con su actividad contractual en el Sistema Electrónico para la Contratación Pública –SECOP II- o la plataforma transaccional que haga sus veces.</w:t>
      </w:r>
    </w:p>
    <w:p w14:paraId="555C17E4" w14:textId="77777777" w:rsidR="00464416" w:rsidRPr="00FC368C" w:rsidRDefault="00464416" w:rsidP="00464416">
      <w:pPr>
        <w:spacing w:after="0" w:line="240" w:lineRule="auto"/>
        <w:jc w:val="both"/>
        <w:rPr>
          <w:rFonts w:ascii="Century Gothic" w:eastAsia="Calibri" w:hAnsi="Century Gothic" w:cs="Arial"/>
          <w:sz w:val="20"/>
          <w:szCs w:val="20"/>
          <w:lang w:val="es-MX"/>
        </w:rPr>
      </w:pPr>
    </w:p>
    <w:p w14:paraId="490D7193" w14:textId="77777777" w:rsidR="00464416" w:rsidRPr="00FC368C" w:rsidRDefault="00464416" w:rsidP="00464416">
      <w:pPr>
        <w:spacing w:after="0" w:line="240" w:lineRule="auto"/>
        <w:jc w:val="both"/>
        <w:rPr>
          <w:rFonts w:ascii="Century Gothic" w:eastAsia="Calibri" w:hAnsi="Century Gothic" w:cs="Arial"/>
          <w:b/>
          <w:bCs/>
          <w:lang w:val="es-MX"/>
        </w:rPr>
      </w:pPr>
      <w:r w:rsidRPr="00FC368C">
        <w:rPr>
          <w:rFonts w:ascii="Century Gothic" w:eastAsia="Calibri" w:hAnsi="Century Gothic" w:cs="Arial"/>
          <w:b/>
          <w:bCs/>
          <w:lang w:val="es-MX"/>
        </w:rPr>
        <w:t>SECOP II – Deber de publicidad – Entidades exceptuadas – Documentos relacionados con la actividad contractual</w:t>
      </w:r>
    </w:p>
    <w:p w14:paraId="23CAF5E3" w14:textId="77777777" w:rsidR="00464416" w:rsidRPr="00FC368C" w:rsidRDefault="00464416" w:rsidP="00464416">
      <w:pPr>
        <w:spacing w:after="0" w:line="240" w:lineRule="auto"/>
        <w:jc w:val="both"/>
        <w:rPr>
          <w:rFonts w:ascii="Century Gothic" w:eastAsia="Calibri" w:hAnsi="Century Gothic" w:cs="Arial"/>
          <w:b/>
          <w:bCs/>
          <w:sz w:val="20"/>
          <w:szCs w:val="20"/>
          <w:lang w:val="es-MX"/>
        </w:rPr>
      </w:pPr>
    </w:p>
    <w:p w14:paraId="3C47C501" w14:textId="77777777" w:rsidR="00464416" w:rsidRPr="00FC368C" w:rsidRDefault="00464416" w:rsidP="00464416">
      <w:pPr>
        <w:spacing w:after="0" w:line="240" w:lineRule="auto"/>
        <w:jc w:val="both"/>
        <w:rPr>
          <w:rFonts w:ascii="Century Gothic" w:eastAsia="Calibri" w:hAnsi="Century Gothic" w:cs="Arial"/>
          <w:sz w:val="20"/>
          <w:szCs w:val="20"/>
          <w:lang w:val="es-MX"/>
        </w:rPr>
      </w:pPr>
      <w:r w:rsidRPr="00FC368C">
        <w:rPr>
          <w:rFonts w:ascii="Century Gothic" w:eastAsia="Calibri" w:hAnsi="Century Gothic" w:cs="Arial"/>
          <w:sz w:val="20"/>
          <w:szCs w:val="20"/>
          <w:lang w:val="es-MX"/>
        </w:rPr>
        <w:t xml:space="preserve">El mencionado deber de publicidad debe cumplirse en el SECOP II o “la plataforma transaccional que haga sus veces”, esta expresión debe interpretarse bajo el entendido de que si bien el SECOP II es la plataforma oficial que actualmente se utiliza como mecanismo transaccional, en caso de que dicha plataforma sea remplazada por otra que tenga una denominación distinta, las entidades que tienen un régimen exceptuado deben continuar publicando la documentación de su actividad contractual en la nueva plataforma. En ese sentido, la locución “la plataforma que haga sus veces” no puede interpretarse como una autorización para que las entidades obligadas en virtud del artículo 53 de la Ley 2195 de 2022 pueden emplear sus páginas web o sus propios portales electrónicos para cumplir con el deber de publicidad que les asiste. Con esto se logra que la ciudadanía pueda encontrar </w:t>
      </w:r>
      <w:r w:rsidRPr="00FC368C">
        <w:rPr>
          <w:rFonts w:ascii="Century Gothic" w:eastAsia="Calibri" w:hAnsi="Century Gothic" w:cs="Arial"/>
          <w:sz w:val="20"/>
          <w:szCs w:val="20"/>
          <w:lang w:val="es-MX"/>
        </w:rPr>
        <w:lastRenderedPageBreak/>
        <w:t>en un mismo sistema la gestión de la actividad contractual del Estado, garantizándose en mayor grado la transparencia y el acceso a la documentación pública.</w:t>
      </w:r>
    </w:p>
    <w:p w14:paraId="285D9267" w14:textId="77777777" w:rsidR="00464416" w:rsidRPr="00FC368C" w:rsidRDefault="00464416" w:rsidP="00464416">
      <w:pPr>
        <w:spacing w:after="0" w:line="240" w:lineRule="auto"/>
        <w:jc w:val="both"/>
        <w:rPr>
          <w:rFonts w:ascii="Century Gothic" w:eastAsia="Calibri" w:hAnsi="Century Gothic" w:cs="Arial"/>
          <w:sz w:val="20"/>
          <w:szCs w:val="20"/>
          <w:lang w:val="es-MX"/>
        </w:rPr>
      </w:pPr>
    </w:p>
    <w:p w14:paraId="28C6477F" w14:textId="77777777" w:rsidR="00464416" w:rsidRPr="00FC368C" w:rsidRDefault="00464416" w:rsidP="00464416">
      <w:pPr>
        <w:spacing w:after="0" w:line="240" w:lineRule="auto"/>
        <w:jc w:val="both"/>
        <w:rPr>
          <w:rFonts w:ascii="Century Gothic" w:eastAsia="Calibri" w:hAnsi="Century Gothic" w:cs="Arial"/>
          <w:sz w:val="20"/>
          <w:szCs w:val="20"/>
          <w:lang w:val="es-MX"/>
        </w:rPr>
      </w:pPr>
      <w:r w:rsidRPr="00FC368C">
        <w:rPr>
          <w:rFonts w:ascii="Century Gothic" w:eastAsia="Calibri" w:hAnsi="Century Gothic" w:cs="Arial"/>
          <w:sz w:val="20"/>
          <w:szCs w:val="20"/>
          <w:lang w:val="es-MX"/>
        </w:rPr>
        <w:t xml:space="preserve">En cuanto a los documentos que deben ser publicados en el SECOP II a efectos de dar cumplimiento al mandato consagrado en el artículo 53 de la Ley 2195 de 2022, es preciso advertir que la disposición hace referencia a los documentos relacionados con su actividad contractual, la cual define como “[…] los documentos, contratos, actos e información generada por oferentes, contratista, contratante, supervisor o interventor, tanto en la etapa precontractual, como en la contractual y la </w:t>
      </w:r>
      <w:proofErr w:type="spellStart"/>
      <w:r w:rsidRPr="00FC368C">
        <w:rPr>
          <w:rFonts w:ascii="Century Gothic" w:eastAsia="Calibri" w:hAnsi="Century Gothic" w:cs="Arial"/>
          <w:sz w:val="20"/>
          <w:szCs w:val="20"/>
          <w:lang w:val="es-MX"/>
        </w:rPr>
        <w:t>postcontractual</w:t>
      </w:r>
      <w:proofErr w:type="spellEnd"/>
      <w:r w:rsidRPr="00FC368C">
        <w:rPr>
          <w:rFonts w:ascii="Century Gothic" w:eastAsia="Calibri" w:hAnsi="Century Gothic" w:cs="Arial"/>
          <w:sz w:val="20"/>
          <w:szCs w:val="20"/>
          <w:lang w:val="es-MX"/>
        </w:rPr>
        <w:t>”. En ese sentido, el artículo 53 de la Ley 2195 de 2022 establece el deber de publicar toda aquella información relacionada con el respectivo contrato, sin incluir ninguna excepción relacionada con la naturaleza u objeto contractual, por lo que no puede colegirse que los procesos de contratación relacionados con asuntos “no misionales” estén per se excluidos del deber de publicidad.</w:t>
      </w:r>
    </w:p>
    <w:p w14:paraId="59B190F4" w14:textId="77777777" w:rsidR="00464416" w:rsidRPr="00FC368C" w:rsidRDefault="00464416" w:rsidP="00464416">
      <w:pPr>
        <w:spacing w:after="0"/>
        <w:rPr>
          <w:rFonts w:ascii="Century Gothic" w:eastAsia="Geomanist Light" w:hAnsi="Century Gothic" w:cs="Arial"/>
          <w:lang w:val="es-MX"/>
        </w:rPr>
      </w:pPr>
    </w:p>
    <w:p w14:paraId="0C12B4DD" w14:textId="77777777" w:rsidR="00464416" w:rsidRPr="00FC368C" w:rsidRDefault="00464416" w:rsidP="00464416">
      <w:pPr>
        <w:spacing w:after="0"/>
        <w:rPr>
          <w:rFonts w:ascii="Century Gothic" w:eastAsia="Geomanist Light" w:hAnsi="Century Gothic" w:cs="Arial"/>
          <w:lang w:val="es-MX"/>
        </w:rPr>
      </w:pPr>
    </w:p>
    <w:p w14:paraId="44B13C0E" w14:textId="77777777" w:rsidR="00464416" w:rsidRPr="00FC368C" w:rsidRDefault="00464416" w:rsidP="00464416">
      <w:pPr>
        <w:spacing w:after="0"/>
        <w:rPr>
          <w:rFonts w:ascii="Century Gothic" w:eastAsia="Geomanist Light" w:hAnsi="Century Gothic" w:cs="Arial"/>
          <w:lang w:val="es-MX"/>
        </w:rPr>
      </w:pPr>
    </w:p>
    <w:p w14:paraId="5E59C0A6" w14:textId="77777777" w:rsidR="00464416" w:rsidRPr="00FC368C" w:rsidRDefault="00464416" w:rsidP="00464416">
      <w:pPr>
        <w:spacing w:after="0"/>
        <w:rPr>
          <w:rFonts w:ascii="Century Gothic" w:eastAsia="Geomanist Light" w:hAnsi="Century Gothic" w:cs="Arial"/>
          <w:lang w:val="es-MX"/>
        </w:rPr>
      </w:pPr>
    </w:p>
    <w:p w14:paraId="344078CC" w14:textId="77777777" w:rsidR="00464416" w:rsidRPr="00FC368C" w:rsidRDefault="00464416" w:rsidP="00464416">
      <w:pPr>
        <w:spacing w:after="0"/>
        <w:rPr>
          <w:rFonts w:ascii="Century Gothic" w:eastAsia="Geomanist Light" w:hAnsi="Century Gothic" w:cs="Arial"/>
          <w:lang w:val="es-MX"/>
        </w:rPr>
      </w:pPr>
    </w:p>
    <w:p w14:paraId="2866F171" w14:textId="77777777" w:rsidR="00464416" w:rsidRPr="00FC368C" w:rsidRDefault="00464416" w:rsidP="00464416">
      <w:pPr>
        <w:spacing w:after="0"/>
        <w:rPr>
          <w:rFonts w:ascii="Century Gothic" w:eastAsia="Geomanist Light" w:hAnsi="Century Gothic" w:cs="Arial"/>
          <w:lang w:val="es-MX"/>
        </w:rPr>
      </w:pPr>
    </w:p>
    <w:p w14:paraId="104952E5" w14:textId="77777777" w:rsidR="00464416" w:rsidRPr="00FC368C" w:rsidRDefault="00464416" w:rsidP="00464416">
      <w:pPr>
        <w:spacing w:after="0"/>
        <w:rPr>
          <w:rFonts w:ascii="Century Gothic" w:eastAsia="Geomanist Light" w:hAnsi="Century Gothic" w:cs="Arial"/>
          <w:lang w:val="es-MX"/>
        </w:rPr>
      </w:pPr>
    </w:p>
    <w:p w14:paraId="67FDE2AC" w14:textId="77777777" w:rsidR="00464416" w:rsidRPr="00FC368C" w:rsidRDefault="00464416" w:rsidP="00464416">
      <w:pPr>
        <w:spacing w:after="0"/>
        <w:rPr>
          <w:rFonts w:ascii="Century Gothic" w:eastAsia="Geomanist Light" w:hAnsi="Century Gothic" w:cs="Arial"/>
          <w:lang w:val="es-MX"/>
        </w:rPr>
      </w:pPr>
    </w:p>
    <w:p w14:paraId="11EDC544" w14:textId="77777777" w:rsidR="00464416" w:rsidRPr="00FC368C" w:rsidRDefault="00464416" w:rsidP="00464416">
      <w:pPr>
        <w:spacing w:after="0"/>
        <w:rPr>
          <w:rFonts w:ascii="Century Gothic" w:eastAsia="Geomanist Light" w:hAnsi="Century Gothic" w:cs="Arial"/>
          <w:lang w:val="es-MX"/>
        </w:rPr>
      </w:pPr>
    </w:p>
    <w:p w14:paraId="69B580F1" w14:textId="77777777" w:rsidR="00464416" w:rsidRPr="00FC368C" w:rsidRDefault="00464416" w:rsidP="00464416">
      <w:pPr>
        <w:spacing w:after="0"/>
        <w:rPr>
          <w:rFonts w:ascii="Century Gothic" w:eastAsia="Geomanist Light" w:hAnsi="Century Gothic" w:cs="Arial"/>
          <w:lang w:val="es-MX"/>
        </w:rPr>
      </w:pPr>
    </w:p>
    <w:p w14:paraId="73208313" w14:textId="77777777" w:rsidR="00464416" w:rsidRPr="00FC368C" w:rsidRDefault="00464416" w:rsidP="00464416">
      <w:pPr>
        <w:spacing w:after="0"/>
        <w:rPr>
          <w:rFonts w:ascii="Century Gothic" w:eastAsia="Geomanist Light" w:hAnsi="Century Gothic" w:cs="Arial"/>
          <w:lang w:val="es-MX"/>
        </w:rPr>
      </w:pPr>
    </w:p>
    <w:p w14:paraId="415174D3" w14:textId="77777777" w:rsidR="00464416" w:rsidRPr="00FC368C" w:rsidRDefault="00464416" w:rsidP="00464416">
      <w:pPr>
        <w:spacing w:after="0"/>
        <w:rPr>
          <w:rFonts w:ascii="Century Gothic" w:eastAsia="Geomanist Light" w:hAnsi="Century Gothic" w:cs="Arial"/>
          <w:lang w:val="es-MX"/>
        </w:rPr>
      </w:pPr>
    </w:p>
    <w:p w14:paraId="6CFBA57B" w14:textId="77777777" w:rsidR="00464416" w:rsidRPr="00FC368C" w:rsidRDefault="00464416" w:rsidP="00464416">
      <w:pPr>
        <w:spacing w:after="0"/>
        <w:rPr>
          <w:rFonts w:ascii="Century Gothic" w:eastAsia="Geomanist Light" w:hAnsi="Century Gothic" w:cs="Arial"/>
          <w:lang w:val="es-MX"/>
        </w:rPr>
      </w:pPr>
    </w:p>
    <w:p w14:paraId="0D084FEE" w14:textId="77777777" w:rsidR="00464416" w:rsidRPr="00FC368C" w:rsidRDefault="00464416" w:rsidP="00464416">
      <w:pPr>
        <w:spacing w:after="0"/>
        <w:rPr>
          <w:rFonts w:ascii="Century Gothic" w:eastAsia="Geomanist Light" w:hAnsi="Century Gothic" w:cs="Arial"/>
          <w:lang w:val="es-MX"/>
        </w:rPr>
      </w:pPr>
    </w:p>
    <w:p w14:paraId="12EF14D6" w14:textId="77777777" w:rsidR="00464416" w:rsidRPr="00FC368C" w:rsidRDefault="00464416" w:rsidP="00464416">
      <w:pPr>
        <w:spacing w:after="0"/>
        <w:rPr>
          <w:rFonts w:ascii="Century Gothic" w:eastAsia="Geomanist Light" w:hAnsi="Century Gothic" w:cs="Arial"/>
          <w:lang w:val="es-MX"/>
        </w:rPr>
      </w:pPr>
    </w:p>
    <w:p w14:paraId="78FF1222" w14:textId="77777777" w:rsidR="00464416" w:rsidRPr="00FC368C" w:rsidRDefault="00464416" w:rsidP="00464416">
      <w:pPr>
        <w:spacing w:after="0"/>
        <w:rPr>
          <w:rFonts w:ascii="Century Gothic" w:eastAsia="Geomanist Light" w:hAnsi="Century Gothic" w:cs="Arial"/>
          <w:lang w:val="es-MX"/>
        </w:rPr>
      </w:pPr>
    </w:p>
    <w:p w14:paraId="6C678BA0" w14:textId="77777777" w:rsidR="00464416" w:rsidRPr="00FC368C" w:rsidRDefault="00464416" w:rsidP="00464416">
      <w:pPr>
        <w:spacing w:after="0"/>
        <w:rPr>
          <w:rFonts w:ascii="Century Gothic" w:eastAsia="Geomanist Light" w:hAnsi="Century Gothic" w:cs="Arial"/>
          <w:lang w:val="es-MX"/>
        </w:rPr>
      </w:pPr>
    </w:p>
    <w:p w14:paraId="5B645AE8" w14:textId="77777777" w:rsidR="00464416" w:rsidRPr="00FC368C" w:rsidRDefault="00464416" w:rsidP="00464416">
      <w:pPr>
        <w:spacing w:after="0"/>
        <w:rPr>
          <w:rFonts w:ascii="Century Gothic" w:eastAsia="Geomanist Light" w:hAnsi="Century Gothic" w:cs="Arial"/>
          <w:lang w:val="es-MX"/>
        </w:rPr>
      </w:pPr>
    </w:p>
    <w:p w14:paraId="340051C5" w14:textId="77777777" w:rsidR="00464416" w:rsidRPr="00FC368C" w:rsidRDefault="00464416" w:rsidP="00464416">
      <w:pPr>
        <w:spacing w:after="0"/>
        <w:rPr>
          <w:rFonts w:ascii="Century Gothic" w:eastAsia="Geomanist Light" w:hAnsi="Century Gothic" w:cs="Arial"/>
          <w:lang w:val="es-MX"/>
        </w:rPr>
      </w:pPr>
    </w:p>
    <w:p w14:paraId="0B4DC418" w14:textId="77777777" w:rsidR="00464416" w:rsidRPr="00FC368C" w:rsidRDefault="00464416" w:rsidP="00464416">
      <w:pPr>
        <w:spacing w:after="0"/>
        <w:rPr>
          <w:rFonts w:ascii="Century Gothic" w:eastAsia="Geomanist Light" w:hAnsi="Century Gothic" w:cs="Arial"/>
          <w:lang w:val="es-MX"/>
        </w:rPr>
      </w:pPr>
    </w:p>
    <w:p w14:paraId="416871CF" w14:textId="77777777" w:rsidR="00464416" w:rsidRPr="00FC368C" w:rsidRDefault="00464416" w:rsidP="00464416">
      <w:pPr>
        <w:spacing w:after="0"/>
        <w:rPr>
          <w:rFonts w:ascii="Century Gothic" w:eastAsia="Geomanist Light" w:hAnsi="Century Gothic" w:cs="Arial"/>
          <w:lang w:val="es-MX"/>
        </w:rPr>
      </w:pPr>
    </w:p>
    <w:p w14:paraId="5EE2E8AA" w14:textId="77777777" w:rsidR="00464416" w:rsidRPr="00FC368C" w:rsidRDefault="00464416" w:rsidP="00464416">
      <w:pPr>
        <w:spacing w:after="0"/>
        <w:rPr>
          <w:rFonts w:ascii="Century Gothic" w:eastAsia="Geomanist Light" w:hAnsi="Century Gothic" w:cs="Arial"/>
          <w:lang w:val="es-MX"/>
        </w:rPr>
      </w:pPr>
    </w:p>
    <w:p w14:paraId="4204B320" w14:textId="77777777" w:rsidR="00464416" w:rsidRPr="00FC368C" w:rsidRDefault="00464416" w:rsidP="00464416">
      <w:pPr>
        <w:spacing w:after="0"/>
        <w:rPr>
          <w:rFonts w:ascii="Century Gothic" w:eastAsia="Geomanist Light" w:hAnsi="Century Gothic" w:cs="Arial"/>
          <w:lang w:val="es-MX"/>
        </w:rPr>
      </w:pPr>
    </w:p>
    <w:p w14:paraId="4958A5A5" w14:textId="77777777" w:rsidR="00464416" w:rsidRPr="00FC368C" w:rsidRDefault="00464416" w:rsidP="00464416">
      <w:pPr>
        <w:spacing w:after="0"/>
        <w:rPr>
          <w:rFonts w:ascii="Century Gothic" w:eastAsia="Geomanist Light" w:hAnsi="Century Gothic" w:cs="Arial"/>
          <w:lang w:val="es-MX"/>
        </w:rPr>
      </w:pPr>
    </w:p>
    <w:p w14:paraId="68D78EAB" w14:textId="77777777" w:rsidR="00464416" w:rsidRPr="00FC368C" w:rsidRDefault="00464416" w:rsidP="00464416">
      <w:pPr>
        <w:spacing w:after="0"/>
        <w:rPr>
          <w:rFonts w:ascii="Century Gothic" w:eastAsia="Geomanist Light" w:hAnsi="Century Gothic" w:cs="Arial"/>
          <w:lang w:val="es-MX"/>
        </w:rPr>
      </w:pPr>
    </w:p>
    <w:p w14:paraId="30892D42" w14:textId="77777777" w:rsidR="00464416" w:rsidRPr="00FC368C" w:rsidRDefault="00464416" w:rsidP="00464416">
      <w:pPr>
        <w:spacing w:after="0"/>
        <w:rPr>
          <w:rFonts w:ascii="Century Gothic" w:eastAsia="Geomanist Light" w:hAnsi="Century Gothic" w:cs="Arial"/>
          <w:lang w:val="es-MX"/>
        </w:rPr>
      </w:pPr>
    </w:p>
    <w:p w14:paraId="199A0F7A" w14:textId="77777777" w:rsidR="00464416" w:rsidRPr="00FC368C" w:rsidRDefault="00464416" w:rsidP="00464416">
      <w:pPr>
        <w:spacing w:after="0"/>
        <w:rPr>
          <w:rFonts w:ascii="Century Gothic" w:eastAsia="Geomanist Light" w:hAnsi="Century Gothic" w:cs="Arial"/>
          <w:lang w:val="es-MX"/>
        </w:rPr>
      </w:pPr>
    </w:p>
    <w:p w14:paraId="46506E46" w14:textId="77777777" w:rsidR="00464416" w:rsidRPr="00FC368C" w:rsidRDefault="00464416" w:rsidP="00464416">
      <w:pPr>
        <w:spacing w:after="0"/>
        <w:rPr>
          <w:rFonts w:ascii="Century Gothic" w:eastAsia="Geomanist Light" w:hAnsi="Century Gothic" w:cs="Arial"/>
          <w:lang w:val="es-MX"/>
        </w:rPr>
      </w:pPr>
    </w:p>
    <w:p w14:paraId="261E5917" w14:textId="77777777" w:rsidR="00464416" w:rsidRDefault="00464416" w:rsidP="00464416">
      <w:pPr>
        <w:contextualSpacing/>
        <w:jc w:val="both"/>
        <w:rPr>
          <w:rStyle w:val="normaltextrun"/>
          <w:rFonts w:ascii="Arial" w:hAnsi="Arial" w:cs="Arial"/>
          <w:shd w:val="clear" w:color="auto" w:fill="FFFFFF"/>
        </w:rPr>
      </w:pPr>
      <w:r w:rsidRPr="00FC368C">
        <w:rPr>
          <w:rStyle w:val="normaltextrun"/>
          <w:rFonts w:ascii="Century Gothic" w:hAnsi="Century Gothic"/>
          <w:shd w:val="clear" w:color="auto" w:fill="FFFFFF"/>
        </w:rPr>
        <w:lastRenderedPageBreak/>
        <w:t>Bogotá D.C., [Día] de [</w:t>
      </w:r>
      <w:proofErr w:type="spellStart"/>
      <w:r w:rsidRPr="00FC368C">
        <w:rPr>
          <w:rStyle w:val="normaltextrun"/>
          <w:rFonts w:ascii="Century Gothic" w:hAnsi="Century Gothic"/>
          <w:shd w:val="clear" w:color="auto" w:fill="FFFFFF"/>
        </w:rPr>
        <w:t>Mes.NombreCapitalizado</w:t>
      </w:r>
      <w:proofErr w:type="spellEnd"/>
      <w:r w:rsidRPr="00FC368C">
        <w:rPr>
          <w:rStyle w:val="normaltextrun"/>
          <w:rFonts w:ascii="Century Gothic" w:hAnsi="Century Gothic"/>
          <w:shd w:val="clear" w:color="auto" w:fill="FFFFFF"/>
        </w:rPr>
        <w:t>] de [Año]</w:t>
      </w:r>
      <w:r w:rsidRPr="00FC368C">
        <w:rPr>
          <w:rStyle w:val="tabchar"/>
          <w:rFonts w:ascii="Calibri" w:hAnsi="Calibri" w:cs="Calibri"/>
          <w:shd w:val="clear" w:color="auto" w:fill="FFFFFF"/>
        </w:rPr>
        <w:tab/>
      </w:r>
      <w:r w:rsidRPr="00FC368C">
        <w:rPr>
          <w:rStyle w:val="normaltextrun"/>
          <w:rFonts w:ascii="Arial" w:hAnsi="Arial" w:cs="Arial"/>
          <w:shd w:val="clear" w:color="auto" w:fill="FFFFFF"/>
        </w:rPr>
        <w:t>   </w:t>
      </w:r>
    </w:p>
    <w:p w14:paraId="0D5BC766" w14:textId="77777777" w:rsidR="00F90DD7" w:rsidRPr="00FC368C" w:rsidRDefault="00F90DD7" w:rsidP="00464416">
      <w:pPr>
        <w:contextualSpacing/>
        <w:jc w:val="both"/>
        <w:rPr>
          <w:rFonts w:ascii="Century Gothic" w:eastAsia="Calibri" w:hAnsi="Century Gothic" w:cs="Arial"/>
          <w:lang w:eastAsia="es-ES_tradnl"/>
        </w:rPr>
      </w:pPr>
    </w:p>
    <w:p w14:paraId="754C7DAD" w14:textId="7AD6086F" w:rsidR="00464416" w:rsidRPr="00FC368C" w:rsidRDefault="00F90DD7" w:rsidP="00F90DD7">
      <w:pPr>
        <w:contextualSpacing/>
        <w:jc w:val="right"/>
        <w:rPr>
          <w:rFonts w:ascii="Century Gothic" w:eastAsia="Calibri" w:hAnsi="Century Gothic" w:cs="Arial"/>
          <w:lang w:eastAsia="es-ES_tradnl"/>
        </w:rPr>
      </w:pPr>
      <w:r w:rsidRPr="00F90DD7">
        <w:rPr>
          <w:rFonts w:ascii="Century Gothic" w:eastAsia="Calibri" w:hAnsi="Century Gothic" w:cs="Arial"/>
          <w:lang w:eastAsia="es-ES_tradnl"/>
        </w:rPr>
        <w:drawing>
          <wp:inline distT="0" distB="0" distL="0" distR="0" wp14:anchorId="000E75B3" wp14:editId="45C612BE">
            <wp:extent cx="3296110" cy="990738"/>
            <wp:effectExtent l="0" t="0" r="0" b="0"/>
            <wp:docPr id="1590257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25738" name=""/>
                    <pic:cNvPicPr/>
                  </pic:nvPicPr>
                  <pic:blipFill>
                    <a:blip r:embed="rId10"/>
                    <a:stretch>
                      <a:fillRect/>
                    </a:stretch>
                  </pic:blipFill>
                  <pic:spPr>
                    <a:xfrm>
                      <a:off x="0" y="0"/>
                      <a:ext cx="3296110" cy="990738"/>
                    </a:xfrm>
                    <a:prstGeom prst="rect">
                      <a:avLst/>
                    </a:prstGeom>
                  </pic:spPr>
                </pic:pic>
              </a:graphicData>
            </a:graphic>
          </wp:inline>
        </w:drawing>
      </w:r>
    </w:p>
    <w:p w14:paraId="127E4A24" w14:textId="77777777" w:rsidR="00464416" w:rsidRPr="00FC368C" w:rsidRDefault="00464416" w:rsidP="00464416">
      <w:pPr>
        <w:contextualSpacing/>
        <w:jc w:val="both"/>
        <w:rPr>
          <w:rFonts w:ascii="Century Gothic" w:eastAsia="Calibri" w:hAnsi="Century Gothic" w:cs="Arial"/>
          <w:lang w:eastAsia="es-ES_tradnl"/>
        </w:rPr>
      </w:pPr>
    </w:p>
    <w:p w14:paraId="11EEF6F6" w14:textId="77777777" w:rsidR="00464416" w:rsidRPr="00FC368C" w:rsidRDefault="00464416" w:rsidP="00464416">
      <w:pPr>
        <w:contextualSpacing/>
        <w:jc w:val="both"/>
        <w:rPr>
          <w:rFonts w:ascii="Century Gothic" w:eastAsia="Calibri" w:hAnsi="Century Gothic" w:cs="Arial"/>
          <w:lang w:eastAsia="es-ES_tradnl"/>
        </w:rPr>
      </w:pPr>
      <w:r w:rsidRPr="00FC368C">
        <w:rPr>
          <w:rFonts w:ascii="Century Gothic" w:eastAsia="Calibri" w:hAnsi="Century Gothic" w:cs="Arial"/>
          <w:lang w:eastAsia="es-ES_tradnl"/>
        </w:rPr>
        <w:t>Señor</w:t>
      </w:r>
    </w:p>
    <w:p w14:paraId="1784F178" w14:textId="77777777" w:rsidR="00464416" w:rsidRPr="00FC368C" w:rsidRDefault="00464416" w:rsidP="00464416">
      <w:pPr>
        <w:contextualSpacing/>
        <w:jc w:val="both"/>
        <w:rPr>
          <w:rFonts w:ascii="Century Gothic" w:eastAsia="Calibri" w:hAnsi="Century Gothic" w:cs="Arial"/>
          <w:b/>
          <w:lang w:eastAsia="es-ES_tradnl"/>
        </w:rPr>
      </w:pPr>
      <w:proofErr w:type="spellStart"/>
      <w:r w:rsidRPr="00FC368C">
        <w:rPr>
          <w:rFonts w:ascii="Century Gothic" w:eastAsia="Calibri" w:hAnsi="Century Gothic" w:cs="Arial"/>
          <w:b/>
          <w:lang w:eastAsia="es-ES_tradnl"/>
        </w:rPr>
        <w:t>Josue</w:t>
      </w:r>
      <w:proofErr w:type="spellEnd"/>
      <w:r w:rsidRPr="00FC368C">
        <w:rPr>
          <w:rFonts w:ascii="Century Gothic" w:eastAsia="Calibri" w:hAnsi="Century Gothic" w:cs="Arial"/>
          <w:b/>
          <w:lang w:eastAsia="es-ES_tradnl"/>
        </w:rPr>
        <w:t xml:space="preserve"> Cala Calvete</w:t>
      </w:r>
    </w:p>
    <w:p w14:paraId="6230419D" w14:textId="77777777" w:rsidR="00464416" w:rsidRPr="00FC368C" w:rsidRDefault="00464416" w:rsidP="00464416">
      <w:pPr>
        <w:contextualSpacing/>
        <w:jc w:val="both"/>
        <w:rPr>
          <w:rFonts w:ascii="Century Gothic" w:eastAsia="Calibri" w:hAnsi="Century Gothic" w:cs="Arial"/>
          <w:bCs/>
          <w:lang w:eastAsia="es-ES_tradnl"/>
        </w:rPr>
      </w:pPr>
      <w:r w:rsidRPr="00FC368C">
        <w:rPr>
          <w:rFonts w:ascii="Century Gothic" w:eastAsia="Geomanist Light" w:hAnsi="Century Gothic" w:cs="Arial"/>
          <w:lang w:val="es-MX"/>
        </w:rPr>
        <w:t>Ciudad</w:t>
      </w:r>
    </w:p>
    <w:p w14:paraId="705206A3" w14:textId="77777777" w:rsidR="00464416" w:rsidRPr="00FC368C" w:rsidRDefault="00464416" w:rsidP="00464416">
      <w:pPr>
        <w:contextualSpacing/>
        <w:jc w:val="both"/>
        <w:rPr>
          <w:rFonts w:ascii="Century Gothic" w:eastAsia="Calibri" w:hAnsi="Century Gothic" w:cs="Arial"/>
          <w:lang w:val="es-ES_tradnl" w:eastAsia="es-ES_tradnl"/>
        </w:rPr>
      </w:pPr>
    </w:p>
    <w:p w14:paraId="15D59CEB" w14:textId="77777777" w:rsidR="00464416" w:rsidRPr="00FC368C" w:rsidRDefault="00464416" w:rsidP="00464416">
      <w:pPr>
        <w:contextualSpacing/>
        <w:jc w:val="right"/>
        <w:rPr>
          <w:rFonts w:ascii="Century Gothic" w:eastAsia="Calibri" w:hAnsi="Century Gothic" w:cs="Arial"/>
          <w:b/>
          <w:bCs/>
          <w:lang w:val="es-ES_tradnl" w:eastAsia="es-ES_tradnl"/>
        </w:rPr>
      </w:pPr>
    </w:p>
    <w:p w14:paraId="3EF1A708" w14:textId="77777777" w:rsidR="00464416" w:rsidRPr="00FC368C" w:rsidRDefault="00464416" w:rsidP="00464416">
      <w:pPr>
        <w:contextualSpacing/>
        <w:rPr>
          <w:rFonts w:ascii="Century Gothic" w:eastAsia="Calibri" w:hAnsi="Century Gothic" w:cs="Arial"/>
          <w:b/>
          <w:bCs/>
          <w:lang w:val="es-ES_tradnl" w:eastAsia="es-ES_tradnl"/>
        </w:rPr>
      </w:pPr>
    </w:p>
    <w:p w14:paraId="57A1B892" w14:textId="77777777" w:rsidR="00464416" w:rsidRPr="00FC368C" w:rsidRDefault="00464416" w:rsidP="00464416">
      <w:pPr>
        <w:contextualSpacing/>
        <w:rPr>
          <w:rFonts w:ascii="Century Gothic" w:eastAsia="Calibri" w:hAnsi="Century Gothic" w:cs="Arial"/>
          <w:b/>
          <w:bCs/>
          <w:lang w:val="es-ES_tradnl" w:eastAsia="es-ES_tradnl"/>
        </w:rPr>
      </w:pPr>
    </w:p>
    <w:p w14:paraId="72328AA2" w14:textId="77777777" w:rsidR="00464416" w:rsidRPr="00FC368C" w:rsidRDefault="00464416" w:rsidP="00464416">
      <w:pPr>
        <w:ind w:left="2124" w:firstLine="570"/>
        <w:contextualSpacing/>
        <w:rPr>
          <w:rFonts w:ascii="Century Gothic" w:eastAsia="Calibri" w:hAnsi="Century Gothic" w:cs="Arial"/>
          <w:b/>
          <w:bCs/>
          <w:lang w:val="es-ES_tradnl" w:eastAsia="es-ES_tradnl"/>
        </w:rPr>
      </w:pPr>
      <w:r w:rsidRPr="00FC368C">
        <w:rPr>
          <w:rFonts w:ascii="Century Gothic" w:eastAsia="Calibri" w:hAnsi="Century Gothic" w:cs="Arial"/>
          <w:b/>
          <w:bCs/>
          <w:lang w:val="es-ES_tradnl" w:eastAsia="es-ES_tradnl"/>
        </w:rPr>
        <w:t>Concepto C – 044 de 2024</w:t>
      </w:r>
    </w:p>
    <w:p w14:paraId="17FD61A4" w14:textId="77777777" w:rsidR="00464416" w:rsidRPr="00FC368C" w:rsidRDefault="00464416" w:rsidP="00464416">
      <w:pPr>
        <w:contextualSpacing/>
        <w:jc w:val="both"/>
        <w:rPr>
          <w:rFonts w:ascii="Century Gothic" w:eastAsia="Calibri" w:hAnsi="Century Gothic"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64416" w:rsidRPr="00FC368C" w14:paraId="7EA17301" w14:textId="77777777" w:rsidTr="006736D4">
        <w:tc>
          <w:tcPr>
            <w:tcW w:w="2689" w:type="dxa"/>
          </w:tcPr>
          <w:p w14:paraId="6E977C8F" w14:textId="77777777" w:rsidR="00464416" w:rsidRPr="00FC368C" w:rsidRDefault="00464416" w:rsidP="006736D4">
            <w:pPr>
              <w:contextualSpacing/>
              <w:jc w:val="both"/>
              <w:rPr>
                <w:rFonts w:ascii="Century Gothic" w:eastAsia="Calibri" w:hAnsi="Century Gothic" w:cs="Arial"/>
                <w:lang w:val="es-ES_tradnl" w:eastAsia="es-ES_tradnl"/>
              </w:rPr>
            </w:pPr>
            <w:r w:rsidRPr="00FC368C">
              <w:rPr>
                <w:rFonts w:ascii="Century Gothic" w:eastAsia="Calibri" w:hAnsi="Century Gothic" w:cs="Arial"/>
                <w:b/>
                <w:lang w:val="es-ES_tradnl" w:eastAsia="es-ES_tradnl"/>
              </w:rPr>
              <w:t>Temas:</w:t>
            </w:r>
            <w:r w:rsidRPr="00FC368C">
              <w:rPr>
                <w:rFonts w:ascii="Century Gothic" w:eastAsia="Calibri" w:hAnsi="Century Gothic" w:cs="Arial"/>
                <w:lang w:val="es-ES_tradnl" w:eastAsia="es-ES_tradnl"/>
              </w:rPr>
              <w:t xml:space="preserve">                                      </w:t>
            </w:r>
          </w:p>
        </w:tc>
        <w:tc>
          <w:tcPr>
            <w:tcW w:w="6237" w:type="dxa"/>
          </w:tcPr>
          <w:p w14:paraId="44926BB1" w14:textId="77777777" w:rsidR="00464416" w:rsidRPr="00FC368C" w:rsidRDefault="00464416" w:rsidP="006736D4">
            <w:pPr>
              <w:spacing w:after="120"/>
              <w:contextualSpacing/>
              <w:jc w:val="both"/>
              <w:rPr>
                <w:rFonts w:ascii="Century Gothic" w:eastAsia="Calibri" w:hAnsi="Century Gothic" w:cs="Arial"/>
                <w:bCs/>
                <w:lang w:val="es-ES_tradnl" w:eastAsia="es-ES_tradnl"/>
              </w:rPr>
            </w:pPr>
            <w:r w:rsidRPr="00FC368C">
              <w:rPr>
                <w:rFonts w:ascii="Century Gothic" w:eastAsia="Calibri" w:hAnsi="Century Gothic" w:cs="Arial"/>
                <w:bCs/>
                <w:lang w:val="es-ES_tradnl" w:eastAsia="es-ES_tradnl"/>
              </w:rPr>
              <w:t>EMPRESAS DE SERVICIOS PÚBLICOS DOMICILIARIOS – Naturaleza jurídica – Régimen contractual</w:t>
            </w:r>
            <w:r>
              <w:rPr>
                <w:rFonts w:ascii="Century Gothic" w:eastAsia="Calibri" w:hAnsi="Century Gothic" w:cs="Arial"/>
                <w:bCs/>
                <w:lang w:val="es-ES_tradnl" w:eastAsia="es-ES_tradnl"/>
              </w:rPr>
              <w:t xml:space="preserve"> / DOCUMENTOS TIPO – Circunstancias de aplicabilidad – Entidades con régimen especial – Empresas de servicios públicos</w:t>
            </w:r>
            <w:r w:rsidRPr="00FC368C">
              <w:rPr>
                <w:rFonts w:ascii="Century Gothic" w:eastAsia="Calibri" w:hAnsi="Century Gothic" w:cs="Arial"/>
                <w:bCs/>
                <w:lang w:val="es-ES_tradnl" w:eastAsia="es-ES_tradnl"/>
              </w:rPr>
              <w:t xml:space="preserve"> / PUBLICIDAD SECOP – Entidades con régimen especial – Modificación artículo 53 de la ley 2195 de 2022 / SECOP II – Deber de publicidad – Entidades exceptuadas – Documentos relacionados con la actividad contractual</w:t>
            </w:r>
          </w:p>
          <w:p w14:paraId="403A34F3" w14:textId="77777777" w:rsidR="00464416" w:rsidRPr="00FC368C" w:rsidRDefault="00464416" w:rsidP="006736D4">
            <w:pPr>
              <w:spacing w:after="120"/>
              <w:contextualSpacing/>
              <w:jc w:val="both"/>
              <w:rPr>
                <w:rFonts w:ascii="Century Gothic" w:eastAsia="Calibri" w:hAnsi="Century Gothic" w:cs="Arial"/>
                <w:bCs/>
                <w:sz w:val="12"/>
                <w:szCs w:val="12"/>
                <w:lang w:val="es-ES_tradnl" w:eastAsia="es-ES_tradnl"/>
              </w:rPr>
            </w:pPr>
          </w:p>
          <w:p w14:paraId="140E2B57" w14:textId="77777777" w:rsidR="00464416" w:rsidRPr="00FC368C" w:rsidRDefault="00464416" w:rsidP="006736D4">
            <w:pPr>
              <w:spacing w:after="120"/>
              <w:contextualSpacing/>
              <w:jc w:val="both"/>
              <w:rPr>
                <w:rFonts w:ascii="Century Gothic" w:eastAsia="Calibri" w:hAnsi="Century Gothic" w:cs="Arial"/>
                <w:bCs/>
                <w:sz w:val="12"/>
                <w:szCs w:val="12"/>
                <w:lang w:val="es-ES_tradnl" w:eastAsia="es-ES_tradnl"/>
              </w:rPr>
            </w:pPr>
          </w:p>
        </w:tc>
      </w:tr>
      <w:tr w:rsidR="00464416" w:rsidRPr="00FC368C" w14:paraId="31CB4E0F" w14:textId="77777777" w:rsidTr="006736D4">
        <w:trPr>
          <w:trHeight w:val="227"/>
        </w:trPr>
        <w:tc>
          <w:tcPr>
            <w:tcW w:w="2689" w:type="dxa"/>
          </w:tcPr>
          <w:p w14:paraId="12C5FBBB" w14:textId="77777777" w:rsidR="00464416" w:rsidRPr="00FC368C" w:rsidRDefault="00464416" w:rsidP="006736D4">
            <w:pPr>
              <w:contextualSpacing/>
              <w:jc w:val="both"/>
              <w:rPr>
                <w:rFonts w:ascii="Century Gothic" w:eastAsia="Calibri" w:hAnsi="Century Gothic" w:cs="Arial"/>
                <w:b/>
                <w:lang w:val="es-ES_tradnl" w:eastAsia="es-ES_tradnl"/>
              </w:rPr>
            </w:pPr>
            <w:r w:rsidRPr="00FC368C">
              <w:rPr>
                <w:rFonts w:ascii="Century Gothic" w:eastAsia="Calibri" w:hAnsi="Century Gothic" w:cs="Arial"/>
                <w:b/>
                <w:lang w:val="es-ES_tradnl" w:eastAsia="es-ES_tradnl"/>
              </w:rPr>
              <w:t>Radicación:</w:t>
            </w:r>
            <w:r w:rsidRPr="00FC368C">
              <w:rPr>
                <w:rFonts w:ascii="Century Gothic" w:eastAsia="Calibri" w:hAnsi="Century Gothic" w:cs="Arial"/>
                <w:lang w:val="es-ES_tradnl" w:eastAsia="es-ES_tradnl"/>
              </w:rPr>
              <w:t xml:space="preserve">                             </w:t>
            </w:r>
          </w:p>
        </w:tc>
        <w:tc>
          <w:tcPr>
            <w:tcW w:w="6237" w:type="dxa"/>
          </w:tcPr>
          <w:p w14:paraId="5056ECE8" w14:textId="77777777" w:rsidR="00464416" w:rsidRPr="00FC368C" w:rsidRDefault="00464416" w:rsidP="006736D4">
            <w:pPr>
              <w:contextualSpacing/>
              <w:jc w:val="both"/>
              <w:rPr>
                <w:rFonts w:ascii="Century Gothic" w:eastAsia="Calibri" w:hAnsi="Century Gothic" w:cs="Arial"/>
                <w:lang w:val="es-ES_tradnl" w:eastAsia="es-ES_tradnl"/>
              </w:rPr>
            </w:pPr>
            <w:r w:rsidRPr="00FC368C">
              <w:rPr>
                <w:rFonts w:ascii="Century Gothic" w:eastAsia="Calibri" w:hAnsi="Century Gothic" w:cs="Arial"/>
                <w:lang w:val="es-ES_tradnl" w:eastAsia="es-ES_tradnl"/>
              </w:rPr>
              <w:t>Respuesta a consulta P20240311002683</w:t>
            </w:r>
          </w:p>
        </w:tc>
      </w:tr>
    </w:tbl>
    <w:p w14:paraId="5F7E5DC1" w14:textId="77777777" w:rsidR="00464416" w:rsidRPr="00FC368C" w:rsidRDefault="00464416" w:rsidP="00464416">
      <w:pPr>
        <w:contextualSpacing/>
        <w:jc w:val="both"/>
        <w:rPr>
          <w:rFonts w:ascii="Century Gothic" w:eastAsia="Calibri" w:hAnsi="Century Gothic" w:cs="Arial"/>
          <w:lang w:val="es-ES_tradnl" w:eastAsia="es-ES_tradnl"/>
        </w:rPr>
      </w:pPr>
    </w:p>
    <w:p w14:paraId="0DDF99D2" w14:textId="77777777" w:rsidR="00464416" w:rsidRPr="00FC368C" w:rsidRDefault="00464416" w:rsidP="00464416">
      <w:pPr>
        <w:contextualSpacing/>
        <w:jc w:val="both"/>
        <w:rPr>
          <w:rFonts w:ascii="Century Gothic" w:eastAsia="Calibri" w:hAnsi="Century Gothic" w:cs="Arial"/>
          <w:lang w:val="es-ES_tradnl" w:eastAsia="es-ES_tradnl"/>
        </w:rPr>
      </w:pPr>
    </w:p>
    <w:p w14:paraId="561CC58F" w14:textId="77777777" w:rsidR="00464416" w:rsidRPr="00FC368C" w:rsidRDefault="00464416" w:rsidP="00464416">
      <w:pPr>
        <w:contextualSpacing/>
        <w:jc w:val="both"/>
        <w:rPr>
          <w:rFonts w:ascii="Century Gothic" w:eastAsia="Calibri" w:hAnsi="Century Gothic" w:cs="Arial"/>
          <w:lang w:val="es-ES" w:eastAsia="es-ES"/>
        </w:rPr>
      </w:pPr>
      <w:r w:rsidRPr="00FC368C">
        <w:rPr>
          <w:rFonts w:ascii="Century Gothic" w:eastAsia="Calibri" w:hAnsi="Century Gothic" w:cs="Arial"/>
          <w:lang w:val="es-ES" w:eastAsia="es-ES"/>
        </w:rPr>
        <w:t>Estimado Señor Cala:</w:t>
      </w:r>
    </w:p>
    <w:p w14:paraId="28D3E89A" w14:textId="77777777" w:rsidR="00464416" w:rsidRPr="00FC368C" w:rsidRDefault="00464416" w:rsidP="00464416">
      <w:pPr>
        <w:spacing w:line="276" w:lineRule="auto"/>
        <w:contextualSpacing/>
        <w:jc w:val="both"/>
        <w:rPr>
          <w:rFonts w:ascii="Century Gothic" w:eastAsia="Calibri" w:hAnsi="Century Gothic" w:cs="Arial"/>
          <w:szCs w:val="24"/>
          <w:lang w:val="es-ES_tradnl" w:eastAsia="es-ES_tradnl"/>
        </w:rPr>
      </w:pPr>
    </w:p>
    <w:bookmarkEnd w:id="0"/>
    <w:bookmarkEnd w:id="1"/>
    <w:p w14:paraId="648F13C4" w14:textId="77777777" w:rsidR="00464416" w:rsidRPr="00FC368C" w:rsidRDefault="00464416" w:rsidP="00464416">
      <w:pPr>
        <w:spacing w:after="0" w:line="276" w:lineRule="auto"/>
        <w:jc w:val="both"/>
        <w:rPr>
          <w:rFonts w:ascii="Century Gothic" w:eastAsia="Calibri" w:hAnsi="Century Gothic" w:cs="Arial"/>
          <w:lang w:val="es-ES_tradnl"/>
        </w:rPr>
      </w:pPr>
      <w:r w:rsidRPr="00FC368C">
        <w:rPr>
          <w:rFonts w:ascii="Century Gothic" w:eastAsia="Calibri" w:hAnsi="Century Gothic" w:cs="Arial"/>
          <w:lang w:val="es-ES_tradnl"/>
        </w:rPr>
        <w:t>En ejercicio de la competencia otorgada por el numeral 8 del artículo 11 y el numeral 5 del artículo 3 del Decreto Ley 4170 de 2011</w:t>
      </w:r>
      <w:bookmarkStart w:id="3" w:name="_Hlk99120496"/>
      <w:r w:rsidRPr="00FC368C">
        <w:rPr>
          <w:rFonts w:ascii="Century Gothic" w:eastAsia="Arial MT" w:hAnsi="Century Gothic" w:cs="Arial MT"/>
          <w:lang w:val="es-ES"/>
        </w:rPr>
        <w:t xml:space="preserve">, </w:t>
      </w:r>
      <w:bookmarkEnd w:id="3"/>
      <w:r w:rsidRPr="00FC368C">
        <w:rPr>
          <w:rFonts w:ascii="Century Gothic" w:eastAsia="Calibri" w:hAnsi="Century Gothic" w:cs="Arial"/>
          <w:lang w:val="es-ES_tradnl"/>
        </w:rPr>
        <w:t>la Agencia Nacional de Contratación Pública – Colombia Compra Eficiente responde la consulta recibida el 11 de marzo de 2024.</w:t>
      </w:r>
    </w:p>
    <w:p w14:paraId="5FF62C67" w14:textId="77777777" w:rsidR="00464416" w:rsidRPr="00FC368C" w:rsidRDefault="00464416" w:rsidP="00464416">
      <w:pPr>
        <w:spacing w:after="0" w:line="276" w:lineRule="auto"/>
        <w:jc w:val="both"/>
        <w:rPr>
          <w:rFonts w:ascii="Century Gothic" w:eastAsia="Calibri" w:hAnsi="Century Gothic" w:cs="Arial"/>
          <w:b/>
          <w:lang w:val="es-ES_tradnl"/>
        </w:rPr>
      </w:pPr>
    </w:p>
    <w:p w14:paraId="02126255" w14:textId="77777777" w:rsidR="00464416" w:rsidRPr="00FC368C" w:rsidRDefault="00464416" w:rsidP="00464416">
      <w:pPr>
        <w:numPr>
          <w:ilvl w:val="0"/>
          <w:numId w:val="1"/>
        </w:numPr>
        <w:tabs>
          <w:tab w:val="left" w:pos="0"/>
          <w:tab w:val="left" w:pos="142"/>
          <w:tab w:val="left" w:pos="284"/>
        </w:tabs>
        <w:spacing w:after="0" w:line="276" w:lineRule="auto"/>
        <w:ind w:left="0" w:firstLine="0"/>
        <w:contextualSpacing/>
        <w:jc w:val="both"/>
        <w:rPr>
          <w:rFonts w:ascii="Century Gothic" w:eastAsia="Calibri" w:hAnsi="Century Gothic" w:cs="Arial"/>
          <w:b/>
          <w:lang w:val="es-ES_tradnl"/>
        </w:rPr>
      </w:pPr>
      <w:r w:rsidRPr="00FC368C">
        <w:rPr>
          <w:rFonts w:ascii="Century Gothic" w:eastAsia="Calibri" w:hAnsi="Century Gothic" w:cs="Arial"/>
          <w:b/>
          <w:lang w:val="es-ES_tradnl"/>
        </w:rPr>
        <w:t xml:space="preserve">Problemas planteados </w:t>
      </w:r>
    </w:p>
    <w:p w14:paraId="16531479" w14:textId="77777777" w:rsidR="00464416" w:rsidRPr="00FC368C" w:rsidRDefault="00464416" w:rsidP="00464416">
      <w:pPr>
        <w:tabs>
          <w:tab w:val="left" w:pos="426"/>
        </w:tabs>
        <w:spacing w:after="0" w:line="276" w:lineRule="auto"/>
        <w:jc w:val="both"/>
        <w:rPr>
          <w:rFonts w:ascii="Century Gothic" w:eastAsia="Calibri" w:hAnsi="Century Gothic" w:cs="Arial"/>
          <w:b/>
          <w:lang w:val="es-ES_tradnl"/>
        </w:rPr>
      </w:pPr>
    </w:p>
    <w:p w14:paraId="0C452547" w14:textId="77777777" w:rsidR="00464416" w:rsidRPr="00FC368C" w:rsidRDefault="00464416" w:rsidP="00464416">
      <w:pPr>
        <w:spacing w:after="0" w:line="276" w:lineRule="auto"/>
        <w:jc w:val="both"/>
        <w:rPr>
          <w:rFonts w:ascii="Century Gothic" w:hAnsi="Century Gothic" w:cs="Arial"/>
          <w:lang w:val="es-ES_tradnl"/>
        </w:rPr>
      </w:pPr>
      <w:r w:rsidRPr="00FC368C">
        <w:rPr>
          <w:rFonts w:ascii="Century Gothic" w:hAnsi="Century Gothic" w:cs="Arial"/>
          <w:lang w:val="es-ES_tradnl"/>
        </w:rPr>
        <w:lastRenderedPageBreak/>
        <w:t xml:space="preserve">De conformidad con el régimen de contratación especial de una empresa de servicios públicos, usted realiza la siguiente consulta: </w:t>
      </w:r>
    </w:p>
    <w:p w14:paraId="53B3CB91" w14:textId="77777777" w:rsidR="00464416" w:rsidRPr="00FC368C" w:rsidRDefault="00464416" w:rsidP="00464416">
      <w:pPr>
        <w:spacing w:after="0" w:line="276" w:lineRule="auto"/>
        <w:jc w:val="both"/>
        <w:rPr>
          <w:rFonts w:ascii="Century Gothic" w:hAnsi="Century Gothic" w:cs="Arial"/>
          <w:lang w:val="es-ES_tradnl"/>
        </w:rPr>
      </w:pPr>
    </w:p>
    <w:p w14:paraId="33954B0D" w14:textId="77777777" w:rsidR="00464416" w:rsidRPr="00FC368C" w:rsidRDefault="00464416" w:rsidP="00464416">
      <w:pPr>
        <w:spacing w:after="0" w:line="240" w:lineRule="auto"/>
        <w:ind w:left="709" w:right="709"/>
        <w:jc w:val="both"/>
        <w:rPr>
          <w:rFonts w:ascii="Century Gothic" w:hAnsi="Century Gothic" w:cs="Arial"/>
          <w:sz w:val="21"/>
          <w:szCs w:val="21"/>
          <w:lang w:val="es-ES_tradnl"/>
        </w:rPr>
      </w:pPr>
      <w:r w:rsidRPr="00FC368C">
        <w:rPr>
          <w:rFonts w:ascii="Century Gothic" w:hAnsi="Century Gothic" w:cs="Arial"/>
          <w:sz w:val="21"/>
          <w:szCs w:val="21"/>
          <w:lang w:val="es-ES_tradnl"/>
        </w:rPr>
        <w:t>“[…] 3. Teniendo en cuenta lo anterior la consulta va relacionada si la empresa debe realizar procesos de contratación con los parámetros establecidos para entidades públicas como pliegos tipo, convocatorias mediante SECOP, procesos transicionales, y las diferentes modalidades de contratación.</w:t>
      </w:r>
    </w:p>
    <w:p w14:paraId="016CEF3E" w14:textId="77777777" w:rsidR="00464416" w:rsidRPr="00FC368C" w:rsidRDefault="00464416" w:rsidP="00464416">
      <w:pPr>
        <w:spacing w:before="120" w:after="0" w:line="240" w:lineRule="auto"/>
        <w:ind w:left="709" w:right="709"/>
        <w:jc w:val="both"/>
        <w:rPr>
          <w:rFonts w:ascii="Century Gothic" w:hAnsi="Century Gothic" w:cs="Arial"/>
          <w:sz w:val="21"/>
          <w:szCs w:val="21"/>
          <w:lang w:val="es-ES"/>
        </w:rPr>
      </w:pPr>
      <w:r w:rsidRPr="0E8BE1E3">
        <w:rPr>
          <w:rFonts w:ascii="Century Gothic" w:hAnsi="Century Gothic" w:cs="Arial"/>
          <w:sz w:val="21"/>
          <w:szCs w:val="21"/>
          <w:lang w:val="es-ES"/>
        </w:rPr>
        <w:t xml:space="preserve">4. </w:t>
      </w:r>
      <w:proofErr w:type="gramStart"/>
      <w:r w:rsidRPr="0E8BE1E3">
        <w:rPr>
          <w:rFonts w:ascii="Century Gothic" w:hAnsi="Century Gothic" w:cs="Arial"/>
          <w:sz w:val="21"/>
          <w:szCs w:val="21"/>
          <w:lang w:val="es-ES"/>
        </w:rPr>
        <w:t>De acuerdo a</w:t>
      </w:r>
      <w:proofErr w:type="gramEnd"/>
      <w:r w:rsidRPr="0E8BE1E3">
        <w:rPr>
          <w:rFonts w:ascii="Century Gothic" w:hAnsi="Century Gothic" w:cs="Arial"/>
          <w:sz w:val="21"/>
          <w:szCs w:val="21"/>
          <w:lang w:val="es-ES"/>
        </w:rPr>
        <w:t xml:space="preserve"> las fuentes de financiación de las obras a ejecutar (municipales, departamentales, nacionales, regalías) en qué casos se podría usar el manual de contratación con que cuenta la empresa que reglamenta las modalidades y define el cumplimiento de publicidad, transparencia y acceso a la información y en cuales casos será obligatorio el cumplimiento normativo de las leyes 80 de 1993 y 1150 de 2007, y el decreto 1510 de 2013.” [sic]</w:t>
      </w:r>
    </w:p>
    <w:p w14:paraId="4B22D5DF" w14:textId="77777777" w:rsidR="00464416" w:rsidRPr="00FC368C" w:rsidRDefault="00464416" w:rsidP="00464416">
      <w:pPr>
        <w:spacing w:after="0" w:line="276" w:lineRule="auto"/>
        <w:ind w:right="709"/>
        <w:jc w:val="both"/>
        <w:rPr>
          <w:rFonts w:ascii="Century Gothic" w:hAnsi="Century Gothic" w:cs="Arial"/>
        </w:rPr>
      </w:pPr>
      <w:r w:rsidRPr="00FC368C">
        <w:rPr>
          <w:rFonts w:ascii="Century Gothic" w:hAnsi="Century Gothic" w:cs="Arial"/>
        </w:rPr>
        <w:t xml:space="preserve"> </w:t>
      </w:r>
    </w:p>
    <w:p w14:paraId="12739645" w14:textId="77777777" w:rsidR="00464416" w:rsidRPr="00FC368C" w:rsidRDefault="00464416" w:rsidP="00464416">
      <w:pPr>
        <w:numPr>
          <w:ilvl w:val="0"/>
          <w:numId w:val="1"/>
        </w:numPr>
        <w:tabs>
          <w:tab w:val="left" w:pos="0"/>
          <w:tab w:val="left" w:pos="284"/>
        </w:tabs>
        <w:spacing w:after="0" w:line="240" w:lineRule="auto"/>
        <w:ind w:left="0" w:firstLine="0"/>
        <w:contextualSpacing/>
        <w:jc w:val="both"/>
        <w:rPr>
          <w:rFonts w:ascii="Century Gothic" w:eastAsia="Calibri" w:hAnsi="Century Gothic" w:cs="Arial"/>
          <w:b/>
          <w:lang w:val="es-ES_tradnl"/>
        </w:rPr>
      </w:pPr>
      <w:r w:rsidRPr="00FC368C">
        <w:rPr>
          <w:rFonts w:ascii="Century Gothic" w:eastAsia="Calibri" w:hAnsi="Century Gothic" w:cs="Arial"/>
          <w:b/>
          <w:lang w:val="es-ES_tradnl"/>
        </w:rPr>
        <w:t>Consideraciones</w:t>
      </w:r>
    </w:p>
    <w:p w14:paraId="7758943A" w14:textId="77777777" w:rsidR="00464416" w:rsidRPr="00FC368C" w:rsidRDefault="00464416" w:rsidP="00464416">
      <w:pPr>
        <w:spacing w:after="0" w:line="276" w:lineRule="auto"/>
        <w:jc w:val="both"/>
        <w:rPr>
          <w:rFonts w:ascii="Century Gothic" w:eastAsia="Calibri" w:hAnsi="Century Gothic" w:cs="Arial"/>
          <w:lang w:val="es-ES"/>
        </w:rPr>
      </w:pPr>
    </w:p>
    <w:p w14:paraId="1C3B79FF" w14:textId="77777777" w:rsidR="00464416" w:rsidRPr="00FC368C" w:rsidRDefault="00464416" w:rsidP="00464416">
      <w:pPr>
        <w:spacing w:after="120" w:line="276" w:lineRule="auto"/>
        <w:jc w:val="both"/>
        <w:rPr>
          <w:rFonts w:ascii="Century Gothic" w:hAnsi="Century Gothic" w:cs="Arial"/>
          <w:lang w:val="es-ES"/>
        </w:rPr>
      </w:pPr>
      <w:r w:rsidRPr="00FC368C">
        <w:rPr>
          <w:rFonts w:ascii="Century Gothic" w:hAnsi="Century Gothic" w:cs="Arial"/>
          <w:bCs/>
        </w:rPr>
        <w:t xml:space="preserve">En ejercicio de las competencias establecidas en los artículos 3.5 y 11.8 del Decreto 4170 de 2011, la Agencia Nacional de Contratación Pública – Colombia Compra Eficiente resuelve consultas sobre </w:t>
      </w:r>
      <w:r w:rsidRPr="00FC368C">
        <w:rPr>
          <w:rFonts w:ascii="Century Gothic" w:hAnsi="Century Gothic" w:cs="Arial"/>
          <w:lang w:val="es-ES"/>
        </w:rPr>
        <w:t>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w:t>
      </w:r>
      <w:r w:rsidRPr="00FC368C">
        <w:rPr>
          <w:rFonts w:ascii="Century Gothic" w:hAnsi="Century Gothic" w:cs="Arial"/>
          <w:bCs/>
        </w:rPr>
        <w:t xml:space="preserve"> de todos los partícipes de la contratación estatal.</w:t>
      </w:r>
    </w:p>
    <w:p w14:paraId="30C3E81B" w14:textId="77777777" w:rsidR="00464416" w:rsidRPr="00FC368C" w:rsidRDefault="00464416" w:rsidP="00464416">
      <w:pPr>
        <w:spacing w:after="120" w:line="276" w:lineRule="auto"/>
        <w:ind w:firstLine="708"/>
        <w:jc w:val="both"/>
        <w:rPr>
          <w:rFonts w:ascii="Century Gothic" w:hAnsi="Century Gothic" w:cs="Arial"/>
          <w:lang w:val="es-ES"/>
        </w:rPr>
      </w:pPr>
      <w:r w:rsidRPr="00FC368C">
        <w:rPr>
          <w:rFonts w:ascii="Century Gothic" w:hAnsi="Century Gothic"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FC368C">
        <w:rPr>
          <w:rFonts w:ascii="Century Gothic" w:hAnsi="Century Gothic" w:cs="Arial"/>
          <w:vertAlign w:val="superscript"/>
          <w:lang w:val="es-ES"/>
        </w:rPr>
        <w:footnoteReference w:id="1"/>
      </w:r>
      <w:r w:rsidRPr="00FC368C">
        <w:rPr>
          <w:rFonts w:ascii="Century Gothic" w:hAnsi="Century Gothic" w:cs="Arial"/>
          <w:lang w:val="es-ES"/>
        </w:rPr>
        <w:t>. Esta competencia de interpretación de normas generales, por definición, no puede extenderse a la resolución de controversias ni brindar asesorías sobre casos puntuales.</w:t>
      </w:r>
      <w:r w:rsidRPr="00FC368C">
        <w:rPr>
          <w:rFonts w:ascii="Century Gothic" w:eastAsia="Calibri" w:hAnsi="Century Gothic" w:cs="Arial"/>
          <w:lang w:val="es-MX"/>
        </w:rPr>
        <w:t xml:space="preserve"> </w:t>
      </w:r>
    </w:p>
    <w:p w14:paraId="66AC1DB0" w14:textId="77777777" w:rsidR="00464416" w:rsidRPr="00FC368C" w:rsidRDefault="00464416" w:rsidP="00464416">
      <w:pPr>
        <w:spacing w:after="120" w:line="276" w:lineRule="auto"/>
        <w:ind w:firstLine="708"/>
        <w:jc w:val="both"/>
        <w:rPr>
          <w:rFonts w:ascii="Century Gothic" w:eastAsia="Calibri" w:hAnsi="Century Gothic" w:cs="Arial"/>
          <w:lang w:val="es-ES"/>
        </w:rPr>
      </w:pPr>
      <w:r w:rsidRPr="00FC368C">
        <w:rPr>
          <w:rFonts w:ascii="Century Gothic" w:eastAsia="Calibri" w:hAnsi="Century Gothic" w:cs="Arial"/>
          <w:lang w:val="es-MX"/>
        </w:rPr>
        <w:t xml:space="preserve">Sin perjuicio de lo anterior, </w:t>
      </w:r>
      <w:r w:rsidRPr="00FC368C">
        <w:rPr>
          <w:rFonts w:ascii="Century Gothic" w:eastAsia="Calibri" w:hAnsi="Century Gothic" w:cs="Arial"/>
          <w:lang w:val="es-ES"/>
        </w:rPr>
        <w:t xml:space="preserve">la Subdirección de Gestión Contractual de esta Agencia dentro de los límites de sus atribuciones –esto es, haciendo abstracción del caso particular expuesto por peticionario–, resolverá la consulta conforme a las </w:t>
      </w:r>
      <w:r w:rsidRPr="00FC368C">
        <w:rPr>
          <w:rFonts w:ascii="Century Gothic" w:eastAsia="Calibri" w:hAnsi="Century Gothic" w:cs="Arial"/>
          <w:lang w:val="es-ES"/>
        </w:rPr>
        <w:lastRenderedPageBreak/>
        <w:t>normas generales en materia de contratación estatal</w:t>
      </w:r>
      <w:r w:rsidRPr="00FC368C">
        <w:rPr>
          <w:rFonts w:ascii="Century Gothic" w:eastAsia="Calibri" w:hAnsi="Century Gothic" w:cs="Arial"/>
          <w:lang w:val="es-ES_tradnl" w:eastAsia="es-MX"/>
        </w:rPr>
        <w:t xml:space="preserve">. Con este objetivo se analizarán los siguientes temas: i) naturaleza jurídica de las empresas prestadoras de servicios públicos domiciliarios, </w:t>
      </w:r>
      <w:proofErr w:type="spellStart"/>
      <w:r w:rsidRPr="00FC368C">
        <w:rPr>
          <w:rFonts w:ascii="Century Gothic" w:eastAsia="Calibri" w:hAnsi="Century Gothic" w:cs="Arial"/>
          <w:lang w:val="es-ES_tradnl" w:eastAsia="es-MX"/>
        </w:rPr>
        <w:t>ii</w:t>
      </w:r>
      <w:proofErr w:type="spellEnd"/>
      <w:r w:rsidRPr="00FC368C">
        <w:rPr>
          <w:rFonts w:ascii="Century Gothic" w:eastAsia="Calibri" w:hAnsi="Century Gothic" w:cs="Arial"/>
          <w:lang w:val="es-ES_tradnl" w:eastAsia="es-MX"/>
        </w:rPr>
        <w:t xml:space="preserve">) régimen contractual de las empresas prestadoras de servicios públicos domiciliarios. Situaciones de aplicabilidad de la Ley 80 de 1993; </w:t>
      </w:r>
      <w:proofErr w:type="spellStart"/>
      <w:r w:rsidRPr="00FC368C">
        <w:rPr>
          <w:rFonts w:ascii="Century Gothic" w:eastAsia="Calibri" w:hAnsi="Century Gothic" w:cs="Arial"/>
          <w:lang w:val="es-ES_tradnl" w:eastAsia="es-MX"/>
        </w:rPr>
        <w:t>iii</w:t>
      </w:r>
      <w:proofErr w:type="spellEnd"/>
      <w:r w:rsidRPr="00FC368C">
        <w:rPr>
          <w:rFonts w:ascii="Century Gothic" w:eastAsia="Calibri" w:hAnsi="Century Gothic" w:cs="Arial"/>
          <w:lang w:val="es-ES_tradnl" w:eastAsia="es-MX"/>
        </w:rPr>
        <w:t xml:space="preserve">) circunstancias de aplicabilidad de los Documentos Tipo para las Entidades Estatales con régimen de contratación diferente, </w:t>
      </w:r>
      <w:proofErr w:type="spellStart"/>
      <w:r w:rsidRPr="00FC368C">
        <w:rPr>
          <w:rFonts w:ascii="Century Gothic" w:eastAsia="Calibri" w:hAnsi="Century Gothic" w:cs="Arial"/>
          <w:lang w:val="es-ES_tradnl" w:eastAsia="es-MX"/>
        </w:rPr>
        <w:t>iv</w:t>
      </w:r>
      <w:proofErr w:type="spellEnd"/>
      <w:r w:rsidRPr="00FC368C">
        <w:rPr>
          <w:rFonts w:ascii="Century Gothic" w:eastAsia="Calibri" w:hAnsi="Century Gothic" w:cs="Arial"/>
          <w:lang w:val="es-ES_tradnl" w:eastAsia="es-MX"/>
        </w:rPr>
        <w:t>) deber de las entidades exceptuadas del Estatuto General de Contratación de la Administración Pública de publicar los documentos relacionados con su actividad contractual en el SECOP II.</w:t>
      </w:r>
    </w:p>
    <w:p w14:paraId="73FBC685" w14:textId="77777777" w:rsidR="00464416" w:rsidRPr="00FC368C" w:rsidRDefault="00464416" w:rsidP="00464416">
      <w:pPr>
        <w:spacing w:after="120" w:line="276" w:lineRule="auto"/>
        <w:ind w:firstLine="709"/>
        <w:jc w:val="both"/>
        <w:rPr>
          <w:rFonts w:ascii="Century Gothic" w:eastAsia="Calibri" w:hAnsi="Century Gothic" w:cs="Arial"/>
          <w:bCs/>
          <w:lang w:val="es-MX"/>
        </w:rPr>
      </w:pPr>
      <w:r w:rsidRPr="00FC368C">
        <w:rPr>
          <w:rFonts w:ascii="Century Gothic" w:eastAsia="Calibri" w:hAnsi="Century Gothic" w:cs="Arial"/>
          <w:bCs/>
          <w:lang w:val="es-MX"/>
        </w:rPr>
        <w:t>La Agencia Nacional de Contratación Pública – Colombia Compra Eficiente se pronunció sobre las definiciones para la correcta aplicación e interpretación del régimen de servicios públicos domiciliarios en los conceptos C-053 del 9 de marzo de 2021, C-072 del 16 de marzo de 2021, C-077 del 16 de marzo de 2021, C-218 del 14 de mayo de 2021, C-290 del 15 de junio de 2021, C-163 del 29 de marzo de 2022, C-651 del 07 de octubre de 2022, C-071 del 28 de marzo de 2023, C-259 del 04 de julio de 2023, C-433 del 23 de octubre de 2023, C-434 del 23 de octubre de 2023 y C-460 del 30 de noviembre de 2023.</w:t>
      </w:r>
    </w:p>
    <w:p w14:paraId="1CFBD780" w14:textId="77777777" w:rsidR="00464416" w:rsidRPr="00FC368C" w:rsidRDefault="00464416" w:rsidP="00464416">
      <w:pPr>
        <w:spacing w:after="0" w:line="276" w:lineRule="auto"/>
        <w:ind w:firstLine="709"/>
        <w:jc w:val="both"/>
        <w:rPr>
          <w:rFonts w:ascii="Century Gothic" w:eastAsia="Calibri" w:hAnsi="Century Gothic" w:cs="Arial"/>
          <w:bCs/>
          <w:lang w:val="es-MX"/>
        </w:rPr>
      </w:pPr>
      <w:r w:rsidRPr="00FC368C">
        <w:rPr>
          <w:rFonts w:ascii="Century Gothic" w:eastAsia="Calibri" w:hAnsi="Century Gothic" w:cs="Arial"/>
          <w:bCs/>
          <w:lang w:val="es-MX"/>
        </w:rPr>
        <w:t>Por otro lado, esta entidad se ha pronunciado en diferentes oportunidades respecto a la aplicación los principios de publicidad y de acceso a la información pública en la contratación estatal sus fundamentos normativos y el deber de publicar la documentación contractual en el SECOP, en conceptos como el CU-367 del 23 de julio de 2020, reiterado en los conceptos: C−433 de 24 de julio de 2020, C−468 del 24 de julio de 2020, C−474 de 24 de julio de 2020, C−488 del 28 de julio de 2020, C−544 del 21 de agosto de 2020, C−575 del 27 de agosto de 2020, C−643 del 26 de octubre de 2020, C−661 del 17 de noviembre de 2020, C-094 del 13 de abril de 2021, C−068 del 22 de abril de 2021, C-185 del 29 de abril de 2021 y C-472 del 6 de septiembre de 2021. De igual manera, recientemente, se pronunció sobre la interpretación del artículo 53 de la Ley 2195 de 2022, en los conceptos C-049 del 7 de marzo de 2022, C-120 del 22 de marzo de 2022, C-124 del 22 de marzo de 2022, C-132 del 28 de marzo de 2022, C-337 del 25 de mayo de 2022, C-348 del 13 de junio de 2022, C-480 del 18 de julio de 2022, C- 544 del 29 de agosto de 2022, C-555 del 6 de septiembre de 2022, C- 821 de 29 de noviembre de 2022 y C-071 del 28 de marzo de 2023</w:t>
      </w:r>
      <w:r w:rsidRPr="00FC368C">
        <w:rPr>
          <w:rFonts w:ascii="Century Gothic" w:eastAsia="Calibri" w:hAnsi="Century Gothic" w:cs="Arial"/>
          <w:vertAlign w:val="superscript"/>
        </w:rPr>
        <w:footnoteReference w:id="2"/>
      </w:r>
      <w:r w:rsidRPr="00FC368C">
        <w:rPr>
          <w:rFonts w:ascii="Century Gothic" w:eastAsia="Calibri" w:hAnsi="Century Gothic" w:cs="Arial"/>
          <w:bCs/>
          <w:lang w:val="es-MX"/>
        </w:rPr>
        <w:t xml:space="preserve">. Las tesis expuestas en los anteriores conceptos se reiteran a continuación y se complementan en lo pertinente: </w:t>
      </w:r>
    </w:p>
    <w:p w14:paraId="048714A8" w14:textId="77777777" w:rsidR="00464416" w:rsidRPr="00FC368C" w:rsidRDefault="00464416" w:rsidP="00464416">
      <w:pPr>
        <w:widowControl w:val="0"/>
        <w:autoSpaceDE w:val="0"/>
        <w:autoSpaceDN w:val="0"/>
        <w:spacing w:after="0" w:line="276" w:lineRule="auto"/>
        <w:jc w:val="both"/>
        <w:rPr>
          <w:rFonts w:ascii="Century Gothic" w:hAnsi="Century Gothic" w:cs="Arial"/>
          <w:b/>
          <w:lang w:val="es-MX"/>
        </w:rPr>
      </w:pPr>
    </w:p>
    <w:p w14:paraId="4D302BA0" w14:textId="77777777" w:rsidR="00464416" w:rsidRPr="00FC368C" w:rsidRDefault="00464416" w:rsidP="00464416">
      <w:pPr>
        <w:spacing w:after="0" w:line="276" w:lineRule="auto"/>
        <w:contextualSpacing/>
        <w:jc w:val="both"/>
        <w:rPr>
          <w:rFonts w:ascii="Century Gothic" w:eastAsia="Arial" w:hAnsi="Century Gothic" w:cs="Arial"/>
          <w:b/>
          <w:bCs/>
          <w:lang w:val="es-ES_tradnl" w:eastAsia="es-ES_tradnl"/>
        </w:rPr>
      </w:pPr>
      <w:bookmarkStart w:id="4" w:name="_Hlk73970609"/>
      <w:r w:rsidRPr="00FC368C">
        <w:rPr>
          <w:rFonts w:ascii="Century Gothic" w:eastAsia="Arial" w:hAnsi="Century Gothic" w:cs="Arial"/>
          <w:b/>
          <w:bCs/>
          <w:lang w:val="es-ES_tradnl" w:eastAsia="es-ES_tradnl"/>
        </w:rPr>
        <w:t>2.1. Naturaleza jurídica de las empresas prestadoras de servicios públicos domiciliarios. Reiteración de línea</w:t>
      </w:r>
    </w:p>
    <w:p w14:paraId="4C06749D" w14:textId="77777777" w:rsidR="00464416" w:rsidRPr="00FC368C" w:rsidRDefault="00464416" w:rsidP="00464416">
      <w:pPr>
        <w:spacing w:after="0" w:line="276" w:lineRule="auto"/>
        <w:contextualSpacing/>
        <w:jc w:val="both"/>
        <w:rPr>
          <w:rFonts w:ascii="Century Gothic" w:eastAsia="Arial" w:hAnsi="Century Gothic" w:cs="Arial"/>
          <w:b/>
          <w:bCs/>
          <w:lang w:val="es-ES_tradnl" w:eastAsia="es-ES_tradnl"/>
        </w:rPr>
      </w:pPr>
    </w:p>
    <w:p w14:paraId="2EB47C8F" w14:textId="77777777" w:rsidR="00464416" w:rsidRPr="00FC368C" w:rsidRDefault="00464416" w:rsidP="00464416">
      <w:pPr>
        <w:spacing w:after="0" w:line="276" w:lineRule="auto"/>
        <w:jc w:val="both"/>
        <w:rPr>
          <w:rFonts w:ascii="Century Gothic" w:eastAsia="Arial" w:hAnsi="Century Gothic" w:cs="Arial"/>
        </w:rPr>
      </w:pPr>
      <w:r w:rsidRPr="00FC368C">
        <w:rPr>
          <w:rFonts w:ascii="Century Gothic" w:eastAsia="Arial" w:hAnsi="Century Gothic" w:cs="Arial"/>
        </w:rPr>
        <w:t xml:space="preserve">El artículo 14 de la Ley 142 de 1994 contiene definiciones para la correcta aplicación e interpretación del régimen de servicios públicos domiciliarios. Esta norma define las empresas prestadoras de servicios públicos oficial, mixta y privada en los siguientes términos: </w:t>
      </w:r>
    </w:p>
    <w:p w14:paraId="5D1B4567" w14:textId="77777777" w:rsidR="00464416" w:rsidRPr="00FC368C" w:rsidRDefault="00464416" w:rsidP="00464416">
      <w:pPr>
        <w:spacing w:after="0" w:line="276" w:lineRule="auto"/>
        <w:jc w:val="both"/>
        <w:rPr>
          <w:rFonts w:ascii="Century Gothic" w:eastAsia="Arial" w:hAnsi="Century Gothic" w:cs="Arial"/>
        </w:rPr>
      </w:pPr>
    </w:p>
    <w:p w14:paraId="7A4256E2" w14:textId="77777777" w:rsidR="00464416" w:rsidRPr="00FC368C" w:rsidRDefault="00464416" w:rsidP="00464416">
      <w:pPr>
        <w:spacing w:after="0" w:line="240" w:lineRule="auto"/>
        <w:ind w:left="709" w:right="709"/>
        <w:contextualSpacing/>
        <w:jc w:val="both"/>
        <w:rPr>
          <w:rFonts w:ascii="Century Gothic" w:eastAsia="Calibri" w:hAnsi="Century Gothic" w:cs="Arial"/>
          <w:bCs/>
          <w:sz w:val="21"/>
          <w:szCs w:val="21"/>
          <w:lang w:val="es-MX"/>
        </w:rPr>
      </w:pPr>
      <w:r w:rsidRPr="00FC368C">
        <w:rPr>
          <w:rFonts w:ascii="Century Gothic" w:eastAsia="Calibri" w:hAnsi="Century Gothic" w:cs="Arial"/>
          <w:bCs/>
          <w:sz w:val="21"/>
          <w:szCs w:val="21"/>
          <w:lang w:val="es-MX"/>
        </w:rPr>
        <w:t>“14.5. Empresa de servicios públicos oficial. Es aquella en cuyo capital la Nación, las entidades territoriales, o las entidades descentralizadas de aquella o estas tienen el 100% de los aportes.</w:t>
      </w:r>
    </w:p>
    <w:p w14:paraId="5E0C0D77" w14:textId="77777777" w:rsidR="00464416" w:rsidRPr="00FC368C" w:rsidRDefault="00464416" w:rsidP="00464416">
      <w:pPr>
        <w:spacing w:after="0" w:line="240" w:lineRule="auto"/>
        <w:ind w:left="709" w:right="709"/>
        <w:contextualSpacing/>
        <w:jc w:val="both"/>
        <w:rPr>
          <w:rFonts w:ascii="Century Gothic" w:eastAsia="Calibri" w:hAnsi="Century Gothic" w:cs="Arial"/>
          <w:bCs/>
          <w:sz w:val="21"/>
          <w:szCs w:val="21"/>
          <w:lang w:val="es-MX"/>
        </w:rPr>
      </w:pPr>
    </w:p>
    <w:p w14:paraId="0F6D87B1" w14:textId="77777777" w:rsidR="00464416" w:rsidRPr="00FC368C" w:rsidRDefault="00464416" w:rsidP="00464416">
      <w:pPr>
        <w:spacing w:after="0" w:line="240" w:lineRule="auto"/>
        <w:ind w:left="709" w:right="709"/>
        <w:contextualSpacing/>
        <w:jc w:val="both"/>
        <w:rPr>
          <w:rFonts w:ascii="Century Gothic" w:eastAsia="Calibri" w:hAnsi="Century Gothic" w:cs="Arial"/>
          <w:bCs/>
          <w:sz w:val="21"/>
          <w:szCs w:val="21"/>
          <w:lang w:val="es-MX"/>
        </w:rPr>
      </w:pPr>
      <w:r w:rsidRPr="00FC368C">
        <w:rPr>
          <w:rFonts w:ascii="Century Gothic" w:eastAsia="Calibri" w:hAnsi="Century Gothic" w:cs="Arial"/>
          <w:bCs/>
          <w:sz w:val="21"/>
          <w:szCs w:val="21"/>
          <w:lang w:val="es-MX"/>
        </w:rPr>
        <w:t>14.6. Empresa de servicios públicos mixta. Es aquella en cuyo capital la Nación, las entidades territoriales, o las entidades descentralizadas de aquella o éstas tienen aportes iguales o superiores al 50%. </w:t>
      </w:r>
    </w:p>
    <w:p w14:paraId="77FB55A2" w14:textId="77777777" w:rsidR="00464416" w:rsidRPr="00FC368C" w:rsidRDefault="00464416" w:rsidP="00464416">
      <w:pPr>
        <w:spacing w:after="0" w:line="240" w:lineRule="auto"/>
        <w:ind w:left="709" w:right="709"/>
        <w:contextualSpacing/>
        <w:jc w:val="both"/>
        <w:rPr>
          <w:rFonts w:ascii="Century Gothic" w:eastAsia="Calibri" w:hAnsi="Century Gothic" w:cs="Arial"/>
          <w:bCs/>
          <w:sz w:val="21"/>
          <w:szCs w:val="21"/>
          <w:lang w:val="es-MX"/>
        </w:rPr>
      </w:pPr>
    </w:p>
    <w:p w14:paraId="00111ADF" w14:textId="77777777" w:rsidR="00464416" w:rsidRPr="00FC368C" w:rsidRDefault="00464416" w:rsidP="00464416">
      <w:pPr>
        <w:spacing w:after="0" w:line="240" w:lineRule="auto"/>
        <w:ind w:left="709" w:right="709"/>
        <w:contextualSpacing/>
        <w:jc w:val="both"/>
        <w:rPr>
          <w:rFonts w:ascii="Century Gothic" w:eastAsia="Calibri" w:hAnsi="Century Gothic" w:cs="Arial"/>
          <w:bCs/>
          <w:sz w:val="21"/>
          <w:szCs w:val="21"/>
          <w:lang w:val="es-MX"/>
        </w:rPr>
      </w:pPr>
      <w:r w:rsidRPr="00FC368C">
        <w:rPr>
          <w:rFonts w:ascii="Century Gothic" w:eastAsia="Calibri" w:hAnsi="Century Gothic" w:cs="Arial"/>
          <w:bCs/>
          <w:sz w:val="21"/>
          <w:szCs w:val="21"/>
          <w:lang w:val="es-MX"/>
        </w:rPr>
        <w:t>14.7. Empresa de servicios públicos privada. Es aquella cuyo capital pertenece mayoritariamente a particulares, o a entidades surgidas de convenios internacionales que deseen someterse íntegramente para estos efectos a las reglas a las que se someten los particulares”. </w:t>
      </w:r>
    </w:p>
    <w:p w14:paraId="2B408998" w14:textId="77777777" w:rsidR="00464416" w:rsidRPr="00FC368C" w:rsidRDefault="00464416" w:rsidP="00464416">
      <w:pPr>
        <w:spacing w:after="0" w:line="276" w:lineRule="auto"/>
        <w:jc w:val="both"/>
        <w:rPr>
          <w:rFonts w:ascii="Century Gothic" w:eastAsia="Arial" w:hAnsi="Century Gothic" w:cs="Arial"/>
        </w:rPr>
      </w:pPr>
    </w:p>
    <w:p w14:paraId="65EB68FB" w14:textId="77777777" w:rsidR="00464416" w:rsidRPr="00FC368C" w:rsidRDefault="00464416" w:rsidP="00464416">
      <w:pPr>
        <w:tabs>
          <w:tab w:val="left" w:pos="0"/>
        </w:tabs>
        <w:spacing w:after="120" w:line="276" w:lineRule="auto"/>
        <w:jc w:val="both"/>
        <w:rPr>
          <w:rFonts w:ascii="Century Gothic" w:eastAsia="Arial" w:hAnsi="Century Gothic" w:cs="Arial"/>
        </w:rPr>
      </w:pPr>
      <w:r w:rsidRPr="00FC368C">
        <w:rPr>
          <w:rFonts w:ascii="Century Gothic" w:eastAsia="Arial" w:hAnsi="Century Gothic" w:cs="Arial"/>
        </w:rPr>
        <w:tab/>
        <w:t xml:space="preserve">A su vez, el artículo 17 de la citada ley señala que “las empresas de servicios públicos son sociedades por acciones cuyo objeto es la prestación de los servicios públicos de que trata esta ley”. De otro lado, la Ley 489 de 1998 determina la integración de la Rama Ejecutiva del Poder Público en el orden nacional, y en el artículo 38, numeral 2, literal d) señala que las empresas sociales del Estado y las empresas oficiales de servicios públicos domiciliarios pertenecen a las entidades de la Rama Ejecutiva del sector descentralizado por servicios. El artículo 68 </w:t>
      </w:r>
      <w:proofErr w:type="spellStart"/>
      <w:r w:rsidRPr="00FC368C">
        <w:rPr>
          <w:rFonts w:ascii="Century Gothic" w:eastAsia="Arial" w:hAnsi="Century Gothic" w:cs="Arial"/>
          <w:i/>
          <w:iCs/>
        </w:rPr>
        <w:t>ibídem</w:t>
      </w:r>
      <w:proofErr w:type="spellEnd"/>
      <w:r w:rsidRPr="00FC368C">
        <w:rPr>
          <w:rFonts w:ascii="Century Gothic" w:eastAsia="Arial" w:hAnsi="Century Gothic" w:cs="Arial"/>
          <w:i/>
          <w:iCs/>
        </w:rPr>
        <w:t xml:space="preserve">, </w:t>
      </w:r>
      <w:r w:rsidRPr="00FC368C">
        <w:rPr>
          <w:rFonts w:ascii="Century Gothic" w:eastAsia="Arial" w:hAnsi="Century Gothic" w:cs="Arial"/>
        </w:rPr>
        <w:t>al enlistar las entidades descentralizadas del orden nacional, se refirió únicamente a las empresas oficiales de servicios públicos, esto es, aquellas en las que la participación del Estado es del 100%</w:t>
      </w:r>
      <w:r w:rsidRPr="00FC368C">
        <w:rPr>
          <w:rFonts w:ascii="Century Gothic" w:eastAsia="Calibri" w:hAnsi="Century Gothic" w:cs="Arial"/>
          <w:bCs/>
          <w:vertAlign w:val="superscript"/>
          <w:lang w:val="es-MX"/>
        </w:rPr>
        <w:footnoteReference w:id="3"/>
      </w:r>
      <w:r w:rsidRPr="00FC368C">
        <w:rPr>
          <w:rFonts w:ascii="Century Gothic" w:eastAsia="Arial" w:hAnsi="Century Gothic" w:cs="Arial"/>
        </w:rPr>
        <w:t>.</w:t>
      </w:r>
    </w:p>
    <w:p w14:paraId="132747B8" w14:textId="77777777" w:rsidR="00464416" w:rsidRPr="00FC368C" w:rsidRDefault="00464416" w:rsidP="00464416">
      <w:pPr>
        <w:tabs>
          <w:tab w:val="left" w:pos="0"/>
        </w:tabs>
        <w:spacing w:after="0" w:line="276" w:lineRule="auto"/>
        <w:jc w:val="both"/>
        <w:rPr>
          <w:rFonts w:ascii="Century Gothic" w:hAnsi="Century Gothic" w:cs="Arial"/>
          <w:noProof/>
          <w:lang w:val="es-ES_tradnl"/>
        </w:rPr>
      </w:pPr>
      <w:r w:rsidRPr="00FC368C">
        <w:rPr>
          <w:rFonts w:ascii="Century Gothic" w:hAnsi="Century Gothic" w:cs="Arial"/>
          <w:noProof/>
          <w:lang w:val="es-ES_tradnl"/>
        </w:rPr>
        <w:tab/>
        <w:t xml:space="preserve">Lo anterior llevó a pensar que las entidades partícipes del sistema de compras públicas que el legislador había excluido de la Rama Ejecutiva a las empresas de servicios públicos mixta –capital público superior al 50%– y las prviadas </w:t>
      </w:r>
      <w:r w:rsidRPr="00FC368C">
        <w:rPr>
          <w:rFonts w:ascii="Century Gothic" w:hAnsi="Century Gothic" w:cs="Arial"/>
          <w:noProof/>
          <w:lang w:val="es-ES_tradnl"/>
        </w:rPr>
        <w:lastRenderedPageBreak/>
        <w:t>–capital público inferior al 50%–. Sin embargo, la Corte Constitucional determinó que tanto las empresas de servicios públicos mixta como las privadas hacían parte de la Rama Ejecutiva, toda vez que el literal g) del artículo 38, numeral 2 de la Ley 489 de 1998 dice en su literal g) “Las demás entidades administrativas nacionales con personería jurídica que cree, organice o autorice la ley para que formen parte de la Rama Ejecutiva del Poder Público”.</w:t>
      </w:r>
    </w:p>
    <w:p w14:paraId="64F70BD9" w14:textId="77777777" w:rsidR="00464416" w:rsidRPr="00FC368C" w:rsidRDefault="00464416" w:rsidP="00464416">
      <w:pPr>
        <w:tabs>
          <w:tab w:val="left" w:pos="0"/>
        </w:tabs>
        <w:spacing w:before="120" w:after="0" w:line="276" w:lineRule="auto"/>
        <w:jc w:val="both"/>
        <w:rPr>
          <w:rFonts w:ascii="Century Gothic" w:hAnsi="Century Gothic" w:cs="Arial"/>
          <w:noProof/>
          <w:lang w:val="es-ES_tradnl"/>
        </w:rPr>
      </w:pPr>
      <w:r w:rsidRPr="00FC368C">
        <w:rPr>
          <w:rFonts w:ascii="Century Gothic" w:hAnsi="Century Gothic" w:cs="Arial"/>
          <w:noProof/>
          <w:lang w:val="es-ES_tradnl"/>
        </w:rPr>
        <w:tab/>
        <w:t xml:space="preserve">La Corte Constitucional, además de señalar la pertenencia a la Rama Ejecutiva de las empresas de servicios públicos mixtas y privadas, sostuvo que se trataba de entidades descentralizadas por servicios, en los términos del artículo 68 de la Ley 489 de 1998: </w:t>
      </w:r>
    </w:p>
    <w:p w14:paraId="748E71E6" w14:textId="77777777" w:rsidR="00464416" w:rsidRPr="00FC368C" w:rsidRDefault="00464416" w:rsidP="00464416">
      <w:pPr>
        <w:spacing w:after="0" w:line="240" w:lineRule="auto"/>
        <w:ind w:left="709" w:right="709"/>
        <w:contextualSpacing/>
        <w:jc w:val="both"/>
        <w:rPr>
          <w:rFonts w:ascii="Arial" w:eastAsia="Calibri" w:hAnsi="Arial" w:cs="Arial"/>
          <w:bCs/>
          <w:sz w:val="21"/>
          <w:szCs w:val="21"/>
          <w:lang w:val="es-MX"/>
        </w:rPr>
      </w:pPr>
    </w:p>
    <w:p w14:paraId="17B47E3E" w14:textId="77777777" w:rsidR="00464416" w:rsidRPr="00FC368C" w:rsidRDefault="00464416" w:rsidP="00464416">
      <w:pPr>
        <w:spacing w:before="120" w:after="0" w:line="240" w:lineRule="auto"/>
        <w:ind w:left="709" w:right="709"/>
        <w:contextualSpacing/>
        <w:jc w:val="both"/>
        <w:rPr>
          <w:rFonts w:ascii="Century Gothic" w:eastAsia="Calibri" w:hAnsi="Century Gothic" w:cs="Arial"/>
          <w:bCs/>
          <w:sz w:val="21"/>
          <w:szCs w:val="21"/>
          <w:lang w:val="es-MX"/>
        </w:rPr>
      </w:pPr>
      <w:r w:rsidRPr="00FC368C">
        <w:rPr>
          <w:rFonts w:ascii="Century Gothic" w:eastAsia="Calibri" w:hAnsi="Century Gothic" w:cs="Arial"/>
          <w:bCs/>
          <w:sz w:val="21"/>
          <w:szCs w:val="21"/>
          <w:lang w:val="es-MX"/>
        </w:rPr>
        <w:t>“Nótese cómo una empresa de servicios públicos privada es aquella que mayoritariamente pertenece a particulares, lo cual a contrario sensu, significa que minoritariamente pertenece al Estado o a sus entidades. Y que una empresa de servicios públicos mixta es aquella en la cual el capital público es igual o superior al cincuenta por ciento (50%), lo cual significa que minoritariamente pertenece a particulares. Así las cosas, una y otra se conforman con aporte de capital público, por lo cual su exclusión de la estructura de la Rama Ejecutiva y de categoría jurídica denominada “entidades descentralizadas” resulta constitucionalmente cuestionable, toda vez que implica, a su vez, la exclusión de las consecuencias jurídicas derivadas de tal naturaleza jurídica, dispuestas expresamente por la Constitución.</w:t>
      </w:r>
    </w:p>
    <w:p w14:paraId="025BC367" w14:textId="77777777" w:rsidR="00464416" w:rsidRPr="00FC368C" w:rsidRDefault="00464416" w:rsidP="00464416">
      <w:pPr>
        <w:spacing w:before="120" w:after="0" w:line="240" w:lineRule="auto"/>
        <w:ind w:right="709"/>
        <w:contextualSpacing/>
        <w:jc w:val="both"/>
        <w:rPr>
          <w:rFonts w:ascii="Century Gothic" w:eastAsia="Calibri" w:hAnsi="Century Gothic" w:cs="Arial"/>
          <w:bCs/>
          <w:sz w:val="21"/>
          <w:szCs w:val="21"/>
          <w:lang w:val="es-MX"/>
        </w:rPr>
      </w:pPr>
    </w:p>
    <w:p w14:paraId="156406B6" w14:textId="77777777" w:rsidR="00464416" w:rsidRPr="00FC368C" w:rsidRDefault="00464416" w:rsidP="00464416">
      <w:pPr>
        <w:spacing w:before="120" w:after="0" w:line="240" w:lineRule="auto"/>
        <w:ind w:left="709" w:right="709"/>
        <w:contextualSpacing/>
        <w:jc w:val="both"/>
        <w:rPr>
          <w:rFonts w:ascii="Century Gothic" w:eastAsia="Calibri" w:hAnsi="Century Gothic" w:cs="Arial"/>
          <w:bCs/>
          <w:sz w:val="21"/>
          <w:szCs w:val="21"/>
          <w:lang w:val="es-MX"/>
        </w:rPr>
      </w:pPr>
      <w:r w:rsidRPr="00FC368C">
        <w:rPr>
          <w:rFonts w:ascii="Century Gothic" w:eastAsia="Calibri" w:hAnsi="Century Gothic" w:cs="Arial"/>
          <w:bCs/>
          <w:sz w:val="21"/>
          <w:szCs w:val="21"/>
          <w:lang w:val="es-MX"/>
        </w:rPr>
        <w:t>No obstante, la Corte observa que una interpretación armónica del literal d) del artículo 38 de la Ley 489 de 1998, junto con el literal g) de la misma norma, permiten entender que la voluntad legislativa no fue excluir a las empresas de servicios públicos mixtas o privadas de la pertenencia a la Rama Ejecutiva del poder público. […]</w:t>
      </w:r>
    </w:p>
    <w:p w14:paraId="396221C0" w14:textId="77777777" w:rsidR="00464416" w:rsidRPr="00FC368C" w:rsidRDefault="00464416" w:rsidP="00464416">
      <w:pPr>
        <w:spacing w:before="120" w:after="0" w:line="240" w:lineRule="auto"/>
        <w:ind w:left="709" w:right="709"/>
        <w:contextualSpacing/>
        <w:jc w:val="both"/>
        <w:rPr>
          <w:rFonts w:ascii="Century Gothic" w:eastAsia="Calibri" w:hAnsi="Century Gothic" w:cs="Arial"/>
          <w:bCs/>
          <w:sz w:val="21"/>
          <w:szCs w:val="21"/>
          <w:lang w:val="es-MX"/>
        </w:rPr>
      </w:pPr>
    </w:p>
    <w:p w14:paraId="04B5A4FC" w14:textId="77777777" w:rsidR="00464416" w:rsidRPr="00FC368C" w:rsidRDefault="00464416" w:rsidP="00464416">
      <w:pPr>
        <w:spacing w:before="120" w:after="0" w:line="240" w:lineRule="auto"/>
        <w:ind w:left="709" w:right="709"/>
        <w:contextualSpacing/>
        <w:jc w:val="both"/>
        <w:rPr>
          <w:rFonts w:ascii="Century Gothic" w:eastAsia="Calibri" w:hAnsi="Century Gothic" w:cs="Arial"/>
          <w:bCs/>
          <w:sz w:val="21"/>
          <w:szCs w:val="21"/>
          <w:lang w:val="es-MX"/>
        </w:rPr>
      </w:pPr>
      <w:r w:rsidRPr="00FC368C">
        <w:rPr>
          <w:rFonts w:ascii="Century Gothic" w:eastAsia="Calibri" w:hAnsi="Century Gothic" w:cs="Arial"/>
          <w:bCs/>
          <w:sz w:val="21"/>
          <w:szCs w:val="21"/>
          <w:lang w:val="es-MX"/>
        </w:rPr>
        <w:t>Nótese como en el literal d) el legislador incluye a las “demás entidades nacionales con personería jurídica que creen organice o autorice la ley para que formen parte de la Rama Ejecutiva del Poder Público”, categoría dentro de la cual deben entenderse incluidas las empresas de servicios públicos mixtas o privadas, que, de esta manera, se entienden como parte de la Rama Ejecutiva en su sector descentralizado nacional.</w:t>
      </w:r>
    </w:p>
    <w:p w14:paraId="4787100B" w14:textId="77777777" w:rsidR="00464416" w:rsidRPr="00FC368C" w:rsidRDefault="00464416" w:rsidP="00464416">
      <w:pPr>
        <w:spacing w:before="120" w:after="0" w:line="240" w:lineRule="auto"/>
        <w:ind w:left="709" w:right="709"/>
        <w:contextualSpacing/>
        <w:jc w:val="both"/>
        <w:rPr>
          <w:rFonts w:ascii="Century Gothic" w:eastAsia="Calibri" w:hAnsi="Century Gothic" w:cs="Arial"/>
          <w:bCs/>
          <w:sz w:val="21"/>
          <w:szCs w:val="21"/>
          <w:lang w:val="es-MX"/>
        </w:rPr>
      </w:pPr>
    </w:p>
    <w:p w14:paraId="237F4E30" w14:textId="77777777" w:rsidR="00464416" w:rsidRPr="00FC368C" w:rsidRDefault="00464416" w:rsidP="00464416">
      <w:pPr>
        <w:spacing w:before="120" w:after="0" w:line="240" w:lineRule="auto"/>
        <w:ind w:left="709" w:right="709"/>
        <w:contextualSpacing/>
        <w:jc w:val="both"/>
        <w:rPr>
          <w:rFonts w:ascii="Century Gothic" w:eastAsia="Calibri" w:hAnsi="Century Gothic" w:cs="Arial"/>
          <w:bCs/>
          <w:sz w:val="21"/>
          <w:szCs w:val="21"/>
          <w:lang w:val="es-MX"/>
        </w:rPr>
      </w:pPr>
      <w:r w:rsidRPr="00FC368C">
        <w:rPr>
          <w:rFonts w:ascii="Century Gothic" w:eastAsia="Calibri" w:hAnsi="Century Gothic" w:cs="Arial"/>
          <w:bCs/>
          <w:sz w:val="21"/>
          <w:szCs w:val="21"/>
          <w:lang w:val="es-MX"/>
        </w:rPr>
        <w:t xml:space="preserve">Así las cosas, de cara a la constitucionalidad del artículo 38 de la Ley 489 de 1998, y concretamente de la expresión “las empresas oficiales de servicios públicos domiciliarios” contenida en su literal d), la Corte declarará su </w:t>
      </w:r>
      <w:proofErr w:type="spellStart"/>
      <w:r w:rsidRPr="00FC368C">
        <w:rPr>
          <w:rFonts w:ascii="Century Gothic" w:eastAsia="Calibri" w:hAnsi="Century Gothic" w:cs="Arial"/>
          <w:bCs/>
          <w:sz w:val="21"/>
          <w:szCs w:val="21"/>
          <w:lang w:val="es-MX"/>
        </w:rPr>
        <w:t>exequibiliad</w:t>
      </w:r>
      <w:proofErr w:type="spellEnd"/>
      <w:r w:rsidRPr="00FC368C">
        <w:rPr>
          <w:rFonts w:ascii="Century Gothic" w:eastAsia="Calibri" w:hAnsi="Century Gothic" w:cs="Arial"/>
          <w:bCs/>
          <w:sz w:val="21"/>
          <w:szCs w:val="21"/>
          <w:lang w:val="es-MX"/>
        </w:rPr>
        <w:t xml:space="preserve">, por considerar que dentro del supuesto normativo del literal g) se comprenden las empresas mixtas o privadas de </w:t>
      </w:r>
      <w:r w:rsidRPr="00FC368C">
        <w:rPr>
          <w:rFonts w:ascii="Century Gothic" w:eastAsia="Calibri" w:hAnsi="Century Gothic" w:cs="Arial"/>
          <w:bCs/>
          <w:sz w:val="21"/>
          <w:szCs w:val="21"/>
          <w:lang w:val="es-MX"/>
        </w:rPr>
        <w:lastRenderedPageBreak/>
        <w:t>servicios públicos, que de esta manera viene a conformar también la Rama Ejecutiva del poder público.</w:t>
      </w:r>
    </w:p>
    <w:p w14:paraId="65E75942" w14:textId="77777777" w:rsidR="00464416" w:rsidRPr="00FC368C" w:rsidRDefault="00464416" w:rsidP="00464416">
      <w:pPr>
        <w:spacing w:before="120" w:after="0" w:line="240" w:lineRule="auto"/>
        <w:ind w:left="709" w:right="709"/>
        <w:contextualSpacing/>
        <w:jc w:val="both"/>
        <w:rPr>
          <w:rFonts w:ascii="Century Gothic" w:eastAsia="Calibri" w:hAnsi="Century Gothic" w:cs="Arial"/>
          <w:bCs/>
          <w:sz w:val="21"/>
          <w:szCs w:val="21"/>
          <w:lang w:val="es-MX"/>
        </w:rPr>
      </w:pPr>
      <w:r w:rsidRPr="00FC368C">
        <w:rPr>
          <w:rFonts w:ascii="Century Gothic" w:eastAsia="Calibri" w:hAnsi="Century Gothic" w:cs="Arial"/>
          <w:bCs/>
          <w:sz w:val="21"/>
          <w:szCs w:val="21"/>
          <w:lang w:val="es-MX"/>
        </w:rPr>
        <w:t>[…]</w:t>
      </w:r>
    </w:p>
    <w:p w14:paraId="7758204D" w14:textId="77777777" w:rsidR="00464416" w:rsidRPr="00FC368C" w:rsidRDefault="00464416" w:rsidP="00464416">
      <w:pPr>
        <w:spacing w:before="120" w:after="0" w:line="240" w:lineRule="auto"/>
        <w:ind w:left="709" w:right="709"/>
        <w:contextualSpacing/>
        <w:jc w:val="both"/>
        <w:rPr>
          <w:rFonts w:ascii="Century Gothic" w:eastAsia="Calibri" w:hAnsi="Century Gothic" w:cs="Arial"/>
          <w:bCs/>
          <w:sz w:val="21"/>
          <w:szCs w:val="21"/>
          <w:lang w:val="es-MX"/>
        </w:rPr>
      </w:pPr>
      <w:r w:rsidRPr="00FC368C">
        <w:rPr>
          <w:rFonts w:ascii="Century Gothic" w:eastAsia="Calibri" w:hAnsi="Century Gothic" w:cs="Arial"/>
          <w:bCs/>
          <w:sz w:val="21"/>
          <w:szCs w:val="21"/>
          <w:lang w:val="es-MX"/>
        </w:rPr>
        <w:t>Obsérvese que si bien sólo considera explícitamente como entidades descentralizadas a las empresas oficiales de servicios públicos, es decir a aquellas con un capital cien por ciento (100%) estatal, lo cual haría pensar que las mixtas y las privadas no ostentarían esta naturaleza jurídica, a continuación indica que también son entidades descentralizadas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(Subraya la Corte). Así las cosas, de manera implícita incluye a las empresas de servicios públicos mixtas o privadas como entidades descentralizadas, por lo cual la Corte no encuentra obstáculo para declarar su constitucionalidad”</w:t>
      </w:r>
      <w:r w:rsidRPr="00FC368C">
        <w:rPr>
          <w:rFonts w:ascii="Century Gothic" w:eastAsia="Calibri" w:hAnsi="Century Gothic" w:cs="Arial"/>
          <w:bCs/>
          <w:sz w:val="21"/>
          <w:szCs w:val="21"/>
          <w:vertAlign w:val="superscript"/>
          <w:lang w:val="es-MX"/>
        </w:rPr>
        <w:footnoteReference w:id="4"/>
      </w:r>
    </w:p>
    <w:p w14:paraId="0ADC1653" w14:textId="77777777" w:rsidR="00464416" w:rsidRPr="00FC368C" w:rsidRDefault="00464416" w:rsidP="00464416">
      <w:pPr>
        <w:spacing w:before="120" w:after="0" w:line="240" w:lineRule="auto"/>
        <w:ind w:left="709" w:right="709"/>
        <w:contextualSpacing/>
        <w:jc w:val="both"/>
        <w:rPr>
          <w:rFonts w:ascii="Century Gothic" w:eastAsia="Calibri" w:hAnsi="Century Gothic" w:cs="Arial"/>
          <w:bCs/>
          <w:sz w:val="21"/>
          <w:szCs w:val="21"/>
          <w:lang w:val="es-MX"/>
        </w:rPr>
      </w:pPr>
    </w:p>
    <w:p w14:paraId="38511471" w14:textId="77777777" w:rsidR="00464416" w:rsidRPr="00FC368C" w:rsidRDefault="00464416" w:rsidP="00464416">
      <w:pPr>
        <w:spacing w:after="0"/>
        <w:jc w:val="both"/>
        <w:rPr>
          <w:rFonts w:ascii="Century Gothic" w:hAnsi="Century Gothic" w:cs="Arial"/>
          <w:noProof/>
          <w:lang w:val="es-ES_tradnl"/>
        </w:rPr>
      </w:pPr>
      <w:r w:rsidRPr="00FC368C">
        <w:rPr>
          <w:rFonts w:ascii="Century Gothic" w:hAnsi="Century Gothic" w:cs="Arial"/>
          <w:noProof/>
          <w:lang w:val="es-ES_tradnl"/>
        </w:rPr>
        <w:tab/>
        <w:t>En esta providencia también se hace una aclaración que resulta importante: “las empresas prestadoras de servicios públicos, de carácter mixto, no deben ser consideradas como sociedades de economía mixta”. La anterior conclusión fue fundamentada sobre la idea del carácter o naturaleza especial que la Constitución les dio a las empresas de servicios públicos:</w:t>
      </w:r>
    </w:p>
    <w:p w14:paraId="198A05ED" w14:textId="77777777" w:rsidR="00464416" w:rsidRPr="00FC368C" w:rsidRDefault="00464416" w:rsidP="00464416">
      <w:pPr>
        <w:spacing w:after="0" w:line="240" w:lineRule="auto"/>
        <w:ind w:left="709" w:right="709"/>
        <w:contextualSpacing/>
        <w:jc w:val="both"/>
        <w:rPr>
          <w:rFonts w:ascii="Century Gothic" w:eastAsia="Calibri" w:hAnsi="Century Gothic" w:cs="Arial"/>
          <w:bCs/>
          <w:sz w:val="21"/>
          <w:szCs w:val="21"/>
          <w:lang w:val="es-MX"/>
        </w:rPr>
      </w:pPr>
    </w:p>
    <w:p w14:paraId="5F120487" w14:textId="77777777" w:rsidR="00464416" w:rsidRPr="00FC368C" w:rsidRDefault="00464416" w:rsidP="00464416">
      <w:pPr>
        <w:spacing w:after="0" w:line="240" w:lineRule="auto"/>
        <w:ind w:left="709" w:right="709"/>
        <w:contextualSpacing/>
        <w:jc w:val="both"/>
        <w:rPr>
          <w:rFonts w:ascii="Century Gothic" w:eastAsia="Calibri" w:hAnsi="Century Gothic" w:cs="Arial"/>
          <w:bCs/>
          <w:sz w:val="21"/>
          <w:szCs w:val="21"/>
          <w:lang w:val="es-MX"/>
        </w:rPr>
      </w:pPr>
      <w:r w:rsidRPr="00FC368C">
        <w:rPr>
          <w:rFonts w:ascii="Century Gothic" w:eastAsia="Calibri" w:hAnsi="Century Gothic" w:cs="Arial"/>
          <w:bCs/>
          <w:sz w:val="21"/>
          <w:szCs w:val="21"/>
          <w:lang w:val="es-MX"/>
        </w:rPr>
        <w:t>“No obstante, después de haber estudiado los conceptos de sociedad de economía mixta y de empresa de servicios públicos, la Corte estima que la naturaleza y el régimen jurídico especial de la prestación de los servicios públicos dispuesto por el constituyente de la Carta impiden considerar que las empresas de servicios públicos constituidas bajo la forma de sociedades por acciones, en las cuales concurran en cualquier proporción el capital público y el privado, sean “sociedades de economía mixta”, A juicio de la Corporación, y por lo dicho anteriormente, se trata de entidades de tipología especial expresamente definida por el legislador en desarrollo de las normas superiores antes mencionadas, que señalan las particularidades de esta actividad.</w:t>
      </w:r>
    </w:p>
    <w:p w14:paraId="5144880F" w14:textId="77777777" w:rsidR="00464416" w:rsidRPr="00FC368C" w:rsidRDefault="00464416" w:rsidP="00464416">
      <w:pPr>
        <w:spacing w:after="0" w:line="240" w:lineRule="auto"/>
        <w:ind w:left="709" w:right="709"/>
        <w:contextualSpacing/>
        <w:jc w:val="both"/>
        <w:rPr>
          <w:rFonts w:ascii="Century Gothic" w:eastAsia="Calibri" w:hAnsi="Century Gothic" w:cs="Arial"/>
          <w:bCs/>
          <w:sz w:val="21"/>
          <w:szCs w:val="21"/>
          <w:lang w:val="es-MX"/>
        </w:rPr>
      </w:pPr>
      <w:r w:rsidRPr="00FC368C">
        <w:rPr>
          <w:rFonts w:ascii="Century Gothic" w:eastAsia="Calibri" w:hAnsi="Century Gothic" w:cs="Arial"/>
          <w:bCs/>
          <w:sz w:val="21"/>
          <w:szCs w:val="21"/>
          <w:lang w:val="es-MX"/>
        </w:rPr>
        <w:t>[…]</w:t>
      </w:r>
    </w:p>
    <w:p w14:paraId="4D247932" w14:textId="77777777" w:rsidR="00464416" w:rsidRPr="00FC368C" w:rsidRDefault="00464416" w:rsidP="00464416">
      <w:pPr>
        <w:spacing w:after="0" w:line="240" w:lineRule="auto"/>
        <w:ind w:left="709" w:right="709"/>
        <w:contextualSpacing/>
        <w:jc w:val="both"/>
        <w:rPr>
          <w:rFonts w:ascii="Century Gothic" w:eastAsia="Calibri" w:hAnsi="Century Gothic" w:cs="Arial"/>
          <w:bCs/>
          <w:sz w:val="21"/>
          <w:szCs w:val="21"/>
          <w:lang w:val="es-MX"/>
        </w:rPr>
      </w:pPr>
      <w:r w:rsidRPr="00FC368C">
        <w:rPr>
          <w:rFonts w:ascii="Century Gothic" w:eastAsia="Calibri" w:hAnsi="Century Gothic" w:cs="Arial"/>
          <w:bCs/>
          <w:sz w:val="21"/>
          <w:szCs w:val="21"/>
          <w:lang w:val="es-MX"/>
        </w:rPr>
        <w:t xml:space="preserve">Al parecer la Corte, la interpretación según la cual las empresas de servicios públicos son sociedades de economía mixta resulta contraria a la Constitución. Ciertamente, según se dijo arriba, del artículo 365 superior se desprende que régimen y la naturaleza jurídica de los prestadores de servicios públicos es especial; además, del numeral 7° del artículo 150 de la Carta, se extrae que el legislador está constitucionalmente autorizado para crear o autorizar la creación de” otras entidades del orden nacional </w:t>
      </w:r>
      <w:r w:rsidRPr="00FC368C">
        <w:rPr>
          <w:rFonts w:ascii="Century Gothic" w:eastAsia="Calibri" w:hAnsi="Century Gothic" w:cs="Arial"/>
          <w:bCs/>
          <w:sz w:val="21"/>
          <w:szCs w:val="21"/>
          <w:lang w:val="es-MX"/>
        </w:rPr>
        <w:lastRenderedPageBreak/>
        <w:t>“, distintas de los establecimientos públicos, las empresas comerciales e industriales del Estado y las Sociedades de economía mixta”</w:t>
      </w:r>
      <w:r w:rsidRPr="00FC368C">
        <w:rPr>
          <w:rFonts w:ascii="Century Gothic" w:eastAsia="Calibri" w:hAnsi="Century Gothic" w:cs="Arial"/>
          <w:bCs/>
          <w:sz w:val="21"/>
          <w:szCs w:val="21"/>
          <w:vertAlign w:val="superscript"/>
          <w:lang w:val="es-MX"/>
        </w:rPr>
        <w:footnoteReference w:id="5"/>
      </w:r>
      <w:r w:rsidRPr="00FC368C">
        <w:rPr>
          <w:rFonts w:ascii="Century Gothic" w:eastAsia="Calibri" w:hAnsi="Century Gothic" w:cs="Arial"/>
          <w:bCs/>
          <w:sz w:val="21"/>
          <w:szCs w:val="21"/>
          <w:lang w:val="es-MX"/>
        </w:rPr>
        <w:t>.</w:t>
      </w:r>
    </w:p>
    <w:p w14:paraId="0B4A5386" w14:textId="77777777" w:rsidR="00464416" w:rsidRPr="00FC368C" w:rsidRDefault="00464416" w:rsidP="00464416">
      <w:pPr>
        <w:spacing w:after="0" w:line="276" w:lineRule="auto"/>
        <w:ind w:firstLine="709"/>
        <w:contextualSpacing/>
        <w:jc w:val="both"/>
        <w:rPr>
          <w:rFonts w:ascii="Arial" w:eastAsia="Calibri" w:hAnsi="Arial" w:cs="Arial"/>
          <w:bCs/>
          <w:lang w:val="es-MX"/>
        </w:rPr>
      </w:pPr>
    </w:p>
    <w:p w14:paraId="3D7305C9" w14:textId="77777777" w:rsidR="00464416" w:rsidRPr="00FC368C" w:rsidRDefault="00464416" w:rsidP="00464416">
      <w:pPr>
        <w:spacing w:before="120" w:after="0" w:line="276" w:lineRule="auto"/>
        <w:ind w:firstLine="709"/>
        <w:contextualSpacing/>
        <w:jc w:val="both"/>
        <w:rPr>
          <w:rFonts w:ascii="Century Gothic" w:eastAsia="Calibri" w:hAnsi="Century Gothic" w:cs="Arial"/>
          <w:bCs/>
          <w:lang w:val="es-MX"/>
        </w:rPr>
      </w:pPr>
      <w:r w:rsidRPr="00FC368C">
        <w:rPr>
          <w:rFonts w:ascii="Century Gothic" w:eastAsia="Calibri" w:hAnsi="Century Gothic" w:cs="Arial"/>
          <w:bCs/>
          <w:lang w:val="es-MX"/>
        </w:rPr>
        <w:t xml:space="preserve">Así las cosas, es preciso afirmar que las empresas de servicios públicos tienen una naturaleza jurídica especial que viene dada directamente por el artículo 356 de la Constitución Política. El hecho de que su composición accionaria esté compartida por recursos públicos tiene su clasificación propia dependiendo de la composición de su capital accionario: empresas de servicios públicos oficiales, mixtas y privadas. Ahora, sin importar su clasificación, todas hacen parte de la Rama ejecutiva, del sector descentralizado por servicios. </w:t>
      </w:r>
    </w:p>
    <w:p w14:paraId="00B1BC27" w14:textId="77777777" w:rsidR="00464416" w:rsidRPr="00FC368C" w:rsidRDefault="00464416" w:rsidP="00464416">
      <w:pPr>
        <w:tabs>
          <w:tab w:val="left" w:pos="0"/>
        </w:tabs>
        <w:spacing w:before="120" w:after="0" w:line="276" w:lineRule="auto"/>
        <w:jc w:val="both"/>
        <w:rPr>
          <w:rFonts w:ascii="Century Gothic" w:eastAsia="Calibri" w:hAnsi="Century Gothic" w:cs="Arial"/>
          <w:bCs/>
          <w:lang w:val="es-MX"/>
        </w:rPr>
      </w:pPr>
      <w:r w:rsidRPr="00FC368C">
        <w:rPr>
          <w:rFonts w:ascii="Century Gothic" w:eastAsia="Calibri" w:hAnsi="Century Gothic" w:cs="Arial"/>
          <w:bCs/>
          <w:lang w:val="es-MX"/>
        </w:rPr>
        <w:tab/>
        <w:t xml:space="preserve">Una vez expuesta la naturaleza jurídica de las empresas prestadoras de servicios públicos domiciliarios, teniendo en cuenta el objeto de la consulta, a continuación, se procede a explicar el régimen contractual que les aplica. </w:t>
      </w:r>
    </w:p>
    <w:p w14:paraId="3D8BC643" w14:textId="77777777" w:rsidR="00464416" w:rsidRPr="00FC368C" w:rsidRDefault="00464416" w:rsidP="00464416">
      <w:pPr>
        <w:spacing w:after="0"/>
        <w:jc w:val="both"/>
        <w:rPr>
          <w:rFonts w:ascii="Century Gothic" w:hAnsi="Century Gothic" w:cs="Arial"/>
          <w:noProof/>
          <w:lang w:val="es-ES_tradnl"/>
        </w:rPr>
      </w:pPr>
    </w:p>
    <w:p w14:paraId="3641C49E" w14:textId="77777777" w:rsidR="00464416" w:rsidRPr="00FC368C" w:rsidRDefault="00464416" w:rsidP="00464416">
      <w:pPr>
        <w:spacing w:after="0"/>
        <w:jc w:val="both"/>
        <w:rPr>
          <w:rFonts w:ascii="Century Gothic" w:hAnsi="Century Gothic" w:cs="Arial"/>
          <w:b/>
          <w:bCs/>
          <w:noProof/>
          <w:lang w:val="es-ES_tradnl"/>
        </w:rPr>
      </w:pPr>
      <w:r w:rsidRPr="00FC368C">
        <w:rPr>
          <w:rFonts w:ascii="Century Gothic" w:hAnsi="Century Gothic" w:cs="Arial"/>
          <w:b/>
          <w:bCs/>
          <w:noProof/>
          <w:lang w:val="es-ES_tradnl"/>
        </w:rPr>
        <w:t>2.2. Régimen contractual de las empresas prestadoras de servicios públicos domiciliarios. Situaciones de aplicabilidad de la Ley 80 de 1993. Reiteración de línea</w:t>
      </w:r>
    </w:p>
    <w:p w14:paraId="1420C342" w14:textId="77777777" w:rsidR="00464416" w:rsidRPr="00FC368C" w:rsidRDefault="00464416" w:rsidP="00464416">
      <w:pPr>
        <w:spacing w:after="0"/>
        <w:jc w:val="both"/>
        <w:rPr>
          <w:rFonts w:ascii="Century Gothic" w:hAnsi="Century Gothic" w:cs="Arial"/>
          <w:b/>
          <w:bCs/>
          <w:noProof/>
          <w:lang w:val="es-ES_tradnl"/>
        </w:rPr>
      </w:pPr>
    </w:p>
    <w:p w14:paraId="47EF76FE" w14:textId="77777777" w:rsidR="00464416" w:rsidRPr="00FC368C" w:rsidRDefault="00464416" w:rsidP="00464416">
      <w:pPr>
        <w:spacing w:after="0"/>
        <w:jc w:val="both"/>
        <w:rPr>
          <w:rFonts w:ascii="Century Gothic" w:hAnsi="Century Gothic" w:cs="Arial"/>
          <w:noProof/>
          <w:lang w:val="es-ES_tradnl"/>
        </w:rPr>
      </w:pPr>
      <w:r w:rsidRPr="00FC368C">
        <w:rPr>
          <w:rFonts w:ascii="Century Gothic" w:hAnsi="Century Gothic" w:cs="Arial"/>
          <w:noProof/>
          <w:lang w:val="es-ES_tradnl"/>
        </w:rPr>
        <w:t>La constitución Política de 1991 incorporó un modelo de liberación para prestar servicios públicos domiciliarios, con arreglo al cual estos pueden ofrecerse en el mercado, en un esquema de libre competencia, directamente por el Estado, por particulares o por comunidades organizadas</w:t>
      </w:r>
      <w:r w:rsidRPr="00FC368C">
        <w:rPr>
          <w:rFonts w:ascii="Arial" w:eastAsia="Calibri" w:hAnsi="Arial" w:cs="Arial"/>
          <w:bCs/>
          <w:vertAlign w:val="superscript"/>
          <w:lang w:val="es-MX"/>
        </w:rPr>
        <w:footnoteReference w:id="6"/>
      </w:r>
      <w:r w:rsidRPr="00FC368C">
        <w:rPr>
          <w:rFonts w:ascii="Century Gothic" w:hAnsi="Century Gothic" w:cs="Arial"/>
          <w:noProof/>
          <w:lang w:val="es-ES_tradnl"/>
        </w:rPr>
        <w:t>. En tal sentido, el artículo 365 de la Constitución dispone lo siguiente:</w:t>
      </w:r>
    </w:p>
    <w:p w14:paraId="48B4DB12" w14:textId="77777777" w:rsidR="00464416" w:rsidRPr="00FC368C" w:rsidRDefault="00464416" w:rsidP="00464416">
      <w:pPr>
        <w:spacing w:after="0" w:line="240" w:lineRule="auto"/>
        <w:ind w:left="709" w:right="709"/>
        <w:contextualSpacing/>
        <w:jc w:val="both"/>
        <w:rPr>
          <w:rFonts w:ascii="Arial" w:eastAsia="Calibri" w:hAnsi="Arial" w:cs="Arial"/>
          <w:bCs/>
          <w:sz w:val="21"/>
          <w:szCs w:val="21"/>
          <w:lang w:val="es-MX"/>
        </w:rPr>
      </w:pPr>
    </w:p>
    <w:p w14:paraId="5D45117C" w14:textId="77777777" w:rsidR="00464416" w:rsidRPr="00FC368C" w:rsidRDefault="00464416" w:rsidP="00464416">
      <w:pPr>
        <w:spacing w:after="0" w:line="240" w:lineRule="auto"/>
        <w:ind w:left="709" w:right="709"/>
        <w:contextualSpacing/>
        <w:jc w:val="both"/>
        <w:rPr>
          <w:rFonts w:ascii="Century Gothic" w:eastAsia="Calibri" w:hAnsi="Century Gothic" w:cs="Arial"/>
          <w:bCs/>
          <w:sz w:val="21"/>
          <w:szCs w:val="21"/>
          <w:lang w:val="es-MX"/>
        </w:rPr>
      </w:pPr>
      <w:r w:rsidRPr="00FC368C">
        <w:rPr>
          <w:rFonts w:ascii="Century Gothic" w:eastAsia="Calibri" w:hAnsi="Century Gothic" w:cs="Arial"/>
          <w:bCs/>
          <w:sz w:val="21"/>
          <w:szCs w:val="21"/>
          <w:lang w:val="es-MX"/>
        </w:rPr>
        <w:t>“Los servicios públicos son inherentes a la finalidad social del Estado. Es deber del Estado asegurar su prestación eficiente a todos los habitantes del territorio nacional.</w:t>
      </w:r>
    </w:p>
    <w:p w14:paraId="3DBCBAFB" w14:textId="77777777" w:rsidR="00464416" w:rsidRPr="00FC368C" w:rsidRDefault="00464416" w:rsidP="00464416">
      <w:pPr>
        <w:spacing w:after="0" w:line="240" w:lineRule="auto"/>
        <w:ind w:left="709" w:right="709"/>
        <w:contextualSpacing/>
        <w:jc w:val="both"/>
        <w:rPr>
          <w:rFonts w:ascii="Century Gothic" w:eastAsia="Calibri" w:hAnsi="Century Gothic" w:cs="Arial"/>
          <w:bCs/>
          <w:sz w:val="21"/>
          <w:szCs w:val="21"/>
          <w:lang w:val="es-MX"/>
        </w:rPr>
      </w:pPr>
    </w:p>
    <w:p w14:paraId="0C5E0F78" w14:textId="77777777" w:rsidR="00464416" w:rsidRPr="00FC368C" w:rsidRDefault="00464416" w:rsidP="00464416">
      <w:pPr>
        <w:spacing w:after="0" w:line="240" w:lineRule="auto"/>
        <w:ind w:left="709" w:right="709"/>
        <w:contextualSpacing/>
        <w:jc w:val="both"/>
        <w:rPr>
          <w:rFonts w:ascii="Century Gothic" w:eastAsia="Calibri" w:hAnsi="Century Gothic" w:cs="Arial"/>
          <w:bCs/>
          <w:lang w:val="es-MX"/>
        </w:rPr>
      </w:pPr>
      <w:r w:rsidRPr="00FC368C">
        <w:rPr>
          <w:rFonts w:ascii="Century Gothic" w:eastAsia="Calibri" w:hAnsi="Century Gothic" w:cs="Arial"/>
          <w:bCs/>
          <w:sz w:val="21"/>
          <w:szCs w:val="21"/>
          <w:lang w:val="es-MX"/>
        </w:rPr>
        <w:t xml:space="preserve">Los servicios públicos estarán sometidos al régimen jurídico que fije la ley, podrán ser prestados por el Estado, directa o indirectamente, por </w:t>
      </w:r>
      <w:r w:rsidRPr="00FC368C">
        <w:rPr>
          <w:rFonts w:ascii="Century Gothic" w:eastAsia="Calibri" w:hAnsi="Century Gothic" w:cs="Arial"/>
          <w:bCs/>
          <w:sz w:val="21"/>
          <w:szCs w:val="21"/>
          <w:lang w:val="es-MX"/>
        </w:rPr>
        <w:lastRenderedPageBreak/>
        <w:t xml:space="preserve">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w:t>
      </w:r>
      <w:proofErr w:type="gramStart"/>
      <w:r w:rsidRPr="00FC368C">
        <w:rPr>
          <w:rFonts w:ascii="Century Gothic" w:eastAsia="Calibri" w:hAnsi="Century Gothic" w:cs="Arial"/>
          <w:bCs/>
          <w:sz w:val="21"/>
          <w:szCs w:val="21"/>
          <w:lang w:val="es-MX"/>
        </w:rPr>
        <w:t>que</w:t>
      </w:r>
      <w:proofErr w:type="gramEnd"/>
      <w:r w:rsidRPr="00FC368C">
        <w:rPr>
          <w:rFonts w:ascii="Century Gothic" w:eastAsia="Calibri" w:hAnsi="Century Gothic" w:cs="Arial"/>
          <w:bCs/>
          <w:sz w:val="21"/>
          <w:szCs w:val="21"/>
          <w:lang w:val="es-MX"/>
        </w:rPr>
        <w:t xml:space="preserve"> en virtud de dicha ley, queden privadas del ejercicio de una actividad lícita”.</w:t>
      </w:r>
    </w:p>
    <w:p w14:paraId="0F8431BC" w14:textId="77777777" w:rsidR="00464416" w:rsidRPr="00FC368C" w:rsidRDefault="00464416" w:rsidP="00464416">
      <w:pPr>
        <w:tabs>
          <w:tab w:val="left" w:pos="0"/>
        </w:tabs>
        <w:spacing w:after="0" w:line="276" w:lineRule="auto"/>
        <w:jc w:val="both"/>
        <w:rPr>
          <w:rFonts w:ascii="Century Gothic" w:hAnsi="Century Gothic" w:cs="Arial"/>
          <w:noProof/>
          <w:lang w:val="es-ES_tradnl"/>
        </w:rPr>
      </w:pPr>
    </w:p>
    <w:p w14:paraId="5D74A32E" w14:textId="77777777" w:rsidR="00464416" w:rsidRPr="00FC368C" w:rsidRDefault="00464416" w:rsidP="00464416">
      <w:pPr>
        <w:tabs>
          <w:tab w:val="left" w:pos="0"/>
        </w:tabs>
        <w:spacing w:after="0" w:line="276" w:lineRule="auto"/>
        <w:jc w:val="both"/>
        <w:rPr>
          <w:rFonts w:ascii="Century Gothic" w:hAnsi="Century Gothic" w:cs="Arial"/>
          <w:noProof/>
          <w:lang w:val="es-ES_tradnl"/>
        </w:rPr>
      </w:pPr>
      <w:r w:rsidRPr="00FC368C">
        <w:rPr>
          <w:rFonts w:ascii="Century Gothic" w:hAnsi="Century Gothic" w:cs="Arial"/>
          <w:noProof/>
          <w:lang w:val="es-ES_tradnl"/>
        </w:rPr>
        <w:tab/>
        <w:t>Con base en este presupuesto constitucional de liberación de los servicios públicos domiciliarios, el legislador expidió l</w:t>
      </w:r>
      <w:r w:rsidRPr="00FC368C">
        <w:rPr>
          <w:rFonts w:ascii="Century Gothic" w:eastAsia="Calibri" w:hAnsi="Century Gothic" w:cs="Arial"/>
          <w:bCs/>
          <w:lang w:val="es-MX"/>
        </w:rPr>
        <w:t xml:space="preserve">a Ley 142 de 1994, mediante la cual se establece el régimen de los servicios públicos domiciliarios. El artículo 15 </w:t>
      </w:r>
      <w:r w:rsidRPr="00FC368C">
        <w:rPr>
          <w:rFonts w:ascii="Century Gothic" w:eastAsia="Calibri" w:hAnsi="Century Gothic" w:cs="Arial"/>
          <w:bCs/>
          <w:i/>
          <w:iCs/>
          <w:lang w:val="es-MX"/>
        </w:rPr>
        <w:t>Ibidem</w:t>
      </w:r>
      <w:r w:rsidRPr="00FC368C">
        <w:rPr>
          <w:rFonts w:ascii="Century Gothic" w:eastAsia="Calibri" w:hAnsi="Century Gothic" w:cs="Arial"/>
          <w:bCs/>
          <w:lang w:val="es-MX"/>
        </w:rPr>
        <w:t xml:space="preserve"> enuncia las personas autorizadas para prestar los servicios públicos domiciliarios: i) las empresas de servicios públicos, </w:t>
      </w:r>
      <w:proofErr w:type="spellStart"/>
      <w:r w:rsidRPr="00FC368C">
        <w:rPr>
          <w:rFonts w:ascii="Century Gothic" w:eastAsia="Calibri" w:hAnsi="Century Gothic" w:cs="Arial"/>
          <w:bCs/>
          <w:lang w:val="es-MX"/>
        </w:rPr>
        <w:t>ii</w:t>
      </w:r>
      <w:proofErr w:type="spellEnd"/>
      <w:r w:rsidRPr="00FC368C">
        <w:rPr>
          <w:rFonts w:ascii="Century Gothic" w:eastAsia="Calibri" w:hAnsi="Century Gothic" w:cs="Arial"/>
          <w:bCs/>
          <w:lang w:val="es-MX"/>
        </w:rPr>
        <w:t xml:space="preserve">) los productores marginales, </w:t>
      </w:r>
      <w:proofErr w:type="spellStart"/>
      <w:r w:rsidRPr="00FC368C">
        <w:rPr>
          <w:rFonts w:ascii="Century Gothic" w:eastAsia="Calibri" w:hAnsi="Century Gothic" w:cs="Arial"/>
          <w:bCs/>
          <w:lang w:val="es-MX"/>
        </w:rPr>
        <w:t>iii</w:t>
      </w:r>
      <w:proofErr w:type="spellEnd"/>
      <w:r w:rsidRPr="00FC368C">
        <w:rPr>
          <w:rFonts w:ascii="Century Gothic" w:eastAsia="Calibri" w:hAnsi="Century Gothic" w:cs="Arial"/>
          <w:bCs/>
          <w:lang w:val="es-MX"/>
        </w:rPr>
        <w:t xml:space="preserve">) los municipios, en ciertos casos, </w:t>
      </w:r>
      <w:proofErr w:type="spellStart"/>
      <w:r w:rsidRPr="00FC368C">
        <w:rPr>
          <w:rFonts w:ascii="Century Gothic" w:eastAsia="Calibri" w:hAnsi="Century Gothic" w:cs="Arial"/>
          <w:bCs/>
          <w:lang w:val="es-MX"/>
        </w:rPr>
        <w:t>iv</w:t>
      </w:r>
      <w:proofErr w:type="spellEnd"/>
      <w:r w:rsidRPr="00FC368C">
        <w:rPr>
          <w:rFonts w:ascii="Century Gothic" w:eastAsia="Calibri" w:hAnsi="Century Gothic" w:cs="Arial"/>
          <w:bCs/>
          <w:lang w:val="es-MX"/>
        </w:rPr>
        <w:t>) las organizaciones autorizadas y v) las entidades descentralizadas que se encontraran prestándolos y cumplan los requisitos establecidos en la ley</w:t>
      </w:r>
      <w:r w:rsidRPr="00FC368C">
        <w:rPr>
          <w:rFonts w:ascii="Century Gothic" w:eastAsia="Calibri" w:hAnsi="Century Gothic" w:cs="Arial"/>
          <w:bCs/>
          <w:vertAlign w:val="superscript"/>
          <w:lang w:val="es-MX"/>
        </w:rPr>
        <w:footnoteReference w:id="7"/>
      </w:r>
      <w:r w:rsidRPr="00FC368C">
        <w:rPr>
          <w:rFonts w:ascii="Century Gothic" w:eastAsia="Calibri" w:hAnsi="Century Gothic" w:cs="Arial"/>
          <w:bCs/>
          <w:lang w:val="es-MX"/>
        </w:rPr>
        <w:t>.</w:t>
      </w:r>
    </w:p>
    <w:p w14:paraId="5EA50A27" w14:textId="77777777" w:rsidR="00464416" w:rsidRPr="00FC368C" w:rsidRDefault="00464416" w:rsidP="00464416">
      <w:pPr>
        <w:spacing w:before="120" w:after="120" w:line="276" w:lineRule="auto"/>
        <w:ind w:firstLine="709"/>
        <w:jc w:val="both"/>
        <w:rPr>
          <w:rFonts w:ascii="Century Gothic" w:eastAsia="Calibri" w:hAnsi="Century Gothic" w:cs="Arial"/>
          <w:bCs/>
          <w:lang w:val="es-MX"/>
        </w:rPr>
      </w:pPr>
      <w:r w:rsidRPr="00FC368C">
        <w:rPr>
          <w:rFonts w:ascii="Century Gothic" w:eastAsia="Calibri" w:hAnsi="Century Gothic" w:cs="Arial"/>
          <w:bCs/>
          <w:lang w:val="es-MX"/>
        </w:rPr>
        <w:t xml:space="preserve">Ahora bien, </w:t>
      </w:r>
      <w:bookmarkStart w:id="5" w:name="_Hlk120622020"/>
      <w:r w:rsidRPr="00FC368C">
        <w:rPr>
          <w:rFonts w:ascii="Century Gothic" w:eastAsia="Calibri" w:hAnsi="Century Gothic" w:cs="Arial"/>
          <w:bCs/>
          <w:lang w:val="es-MX"/>
        </w:rPr>
        <w:t>en lo que atañe específicamente al régimen de contratación, el artículo 31 de la le Ley 142 de 1994, modificado por el artículo 3 de la Ley 689 de 2001, dispone que los contratos que celebren las entidades estatales que prestan los servicios públicos domiciliarios “no estarán sujetos a las disposiciones del Estatuto General de Contratación de la Administración Pública, salvo en lo que la presente ley disponga otra cosa”. Por su parte, el artículo 32 de la Ley 142 de 1994, consagra el régimen de derecho privado para las empresas de servicios públicos domiciliarios, indicando que sus actos se rigen por los principios y reglas aplicables a los particulares</w:t>
      </w:r>
      <w:r w:rsidRPr="00FC368C">
        <w:rPr>
          <w:rFonts w:ascii="Century Gothic" w:eastAsia="Calibri" w:hAnsi="Century Gothic" w:cs="Arial"/>
          <w:bCs/>
          <w:vertAlign w:val="superscript"/>
          <w:lang w:val="es-MX"/>
        </w:rPr>
        <w:footnoteReference w:id="8"/>
      </w:r>
      <w:r w:rsidRPr="00FC368C">
        <w:rPr>
          <w:rFonts w:ascii="Century Gothic" w:eastAsia="Calibri" w:hAnsi="Century Gothic" w:cs="Arial"/>
          <w:bCs/>
          <w:lang w:val="es-MX"/>
        </w:rPr>
        <w:t>.</w:t>
      </w:r>
      <w:bookmarkEnd w:id="5"/>
    </w:p>
    <w:p w14:paraId="7C837054" w14:textId="77777777" w:rsidR="00464416" w:rsidRPr="00FC368C" w:rsidRDefault="00464416" w:rsidP="00464416">
      <w:pPr>
        <w:spacing w:after="120" w:line="276" w:lineRule="auto"/>
        <w:ind w:firstLine="709"/>
        <w:jc w:val="both"/>
        <w:rPr>
          <w:rFonts w:ascii="Century Gothic" w:eastAsia="Calibri" w:hAnsi="Century Gothic" w:cs="Arial"/>
          <w:bCs/>
          <w:lang w:val="es-MX"/>
        </w:rPr>
      </w:pPr>
      <w:r w:rsidRPr="00FC368C">
        <w:rPr>
          <w:rFonts w:ascii="Century Gothic" w:eastAsia="Calibri" w:hAnsi="Century Gothic" w:cs="Arial"/>
          <w:bCs/>
          <w:lang w:val="es-MX"/>
        </w:rPr>
        <w:lastRenderedPageBreak/>
        <w:t xml:space="preserve">En consecuencia, </w:t>
      </w:r>
      <w:bookmarkStart w:id="6" w:name="_Hlk120622006"/>
      <w:r w:rsidRPr="00FC368C">
        <w:rPr>
          <w:rFonts w:ascii="Century Gothic" w:eastAsia="Calibri" w:hAnsi="Century Gothic" w:cs="Arial"/>
          <w:bCs/>
          <w:lang w:val="es-MX"/>
        </w:rPr>
        <w:t>de la lectura sistemática de las normas referidas puede concluirse que el régimen jurídico que, por regla general, debe aplicarse a la contratación que efectúan las empresas prestadoras de servicios públicos domiciliarios es el derecho privado y sólo, excepcionalmente, el contenido en el Estatuto General de Contratación de la Administración Pública –en adelante EGCAP–</w:t>
      </w:r>
      <w:r w:rsidRPr="00FC368C">
        <w:rPr>
          <w:rFonts w:ascii="Century Gothic" w:eastAsia="Calibri" w:hAnsi="Century Gothic" w:cs="Arial"/>
          <w:bCs/>
          <w:vertAlign w:val="superscript"/>
          <w:lang w:val="es-MX"/>
        </w:rPr>
        <w:footnoteReference w:id="9"/>
      </w:r>
      <w:r w:rsidRPr="00FC368C">
        <w:rPr>
          <w:rFonts w:ascii="Century Gothic" w:eastAsia="Calibri" w:hAnsi="Century Gothic" w:cs="Arial"/>
          <w:bCs/>
          <w:lang w:val="es-MX"/>
        </w:rPr>
        <w:t>. En otras palabras, dichas empresas se sujetan, en su actividad contractual, a las disposiciones del derecho privado, salvo en aquellos casos en los que la Constitución, la Ley 142 de 1994 u otras leyes especiales, sometan tal conducta al EGCAP, es decir, a la Ley 80 de 1993, Ley 1150 de 2007 y demás normas complementarias.</w:t>
      </w:r>
    </w:p>
    <w:bookmarkEnd w:id="6"/>
    <w:p w14:paraId="59793183" w14:textId="77777777" w:rsidR="00464416" w:rsidRPr="00FC368C" w:rsidRDefault="00464416" w:rsidP="00464416">
      <w:pPr>
        <w:tabs>
          <w:tab w:val="left" w:pos="0"/>
        </w:tabs>
        <w:spacing w:before="120" w:after="0" w:line="276" w:lineRule="auto"/>
        <w:jc w:val="both"/>
        <w:rPr>
          <w:rFonts w:ascii="Century Gothic" w:hAnsi="Century Gothic" w:cs="Arial"/>
          <w:noProof/>
          <w:lang w:val="es-ES_tradnl"/>
        </w:rPr>
      </w:pPr>
      <w:r w:rsidRPr="00FC368C">
        <w:rPr>
          <w:rFonts w:ascii="Century Gothic" w:hAnsi="Century Gothic" w:cs="Arial"/>
          <w:noProof/>
          <w:lang w:val="es-ES_tradnl"/>
        </w:rPr>
        <w:tab/>
        <w:t>Lo anterior no significa que la actividad contractual de las empresas prestadoras de servicios públicos domiciliarios se rija por un “derecho privado puro”, pues este se encuentra irrigado, entre otras coas, por los principios de la función administrativa y de la gestión fiscal previstos en los artículos 209 y 267 de la Constitución, toda vez que así lo dispone el artículo 13 de la Ley 1150 de 2007</w:t>
      </w:r>
      <w:r w:rsidRPr="00FC368C">
        <w:rPr>
          <w:rFonts w:ascii="Arial" w:eastAsia="Calibri" w:hAnsi="Arial" w:cs="Arial"/>
          <w:bCs/>
          <w:vertAlign w:val="superscript"/>
          <w:lang w:val="es-MX"/>
        </w:rPr>
        <w:footnoteReference w:id="10"/>
      </w:r>
      <w:r w:rsidRPr="00FC368C">
        <w:rPr>
          <w:rFonts w:ascii="Arial" w:eastAsia="Calibri" w:hAnsi="Arial" w:cs="Arial"/>
          <w:bCs/>
          <w:lang w:val="es-MX"/>
        </w:rPr>
        <w:t>.</w:t>
      </w:r>
    </w:p>
    <w:p w14:paraId="196D571E" w14:textId="77777777" w:rsidR="00464416" w:rsidRPr="00FC368C" w:rsidRDefault="00464416" w:rsidP="00464416">
      <w:pPr>
        <w:tabs>
          <w:tab w:val="left" w:pos="0"/>
        </w:tabs>
        <w:spacing w:before="120" w:after="0" w:line="276" w:lineRule="auto"/>
        <w:jc w:val="both"/>
        <w:rPr>
          <w:rFonts w:ascii="Century Gothic" w:hAnsi="Century Gothic" w:cs="Arial"/>
          <w:noProof/>
          <w:lang w:val="es-ES_tradnl"/>
        </w:rPr>
      </w:pPr>
      <w:r w:rsidRPr="00FC368C">
        <w:rPr>
          <w:rFonts w:ascii="Century Gothic" w:hAnsi="Century Gothic" w:cs="Arial"/>
          <w:noProof/>
          <w:lang w:val="es-ES_tradnl"/>
        </w:rPr>
        <w:tab/>
        <w:t>Ahora bien, pese a que el artículo 31 de la Ley 142 de 1994, modificado por el artículo 3 de la Ley 689 de 2001, dispuso que los contratos celebrados por las entidades prestadoras de servicios públicos no se regirían por las disposiciones contenidas en el EGCAP, dicha norma estableció como excepción a esta regla general, las situaciones en las que estas entidades deberán aplicarlo, así:</w:t>
      </w:r>
    </w:p>
    <w:p w14:paraId="12B3DC4A" w14:textId="77777777" w:rsidR="00464416" w:rsidRPr="00FC368C" w:rsidRDefault="00464416" w:rsidP="00464416">
      <w:pPr>
        <w:spacing w:after="0" w:line="240" w:lineRule="auto"/>
        <w:ind w:left="709" w:right="709"/>
        <w:contextualSpacing/>
        <w:jc w:val="both"/>
        <w:rPr>
          <w:rFonts w:ascii="Arial" w:eastAsia="Calibri" w:hAnsi="Arial" w:cs="Arial"/>
          <w:bCs/>
          <w:sz w:val="21"/>
          <w:szCs w:val="21"/>
          <w:lang w:val="es-MX"/>
        </w:rPr>
      </w:pPr>
    </w:p>
    <w:p w14:paraId="1916B3D0" w14:textId="77777777" w:rsidR="00464416" w:rsidRPr="00FC368C" w:rsidRDefault="00464416" w:rsidP="00464416">
      <w:pPr>
        <w:spacing w:after="0" w:line="240" w:lineRule="auto"/>
        <w:ind w:left="709" w:right="709"/>
        <w:contextualSpacing/>
        <w:jc w:val="both"/>
        <w:rPr>
          <w:rFonts w:ascii="Century Gothic" w:eastAsia="Calibri" w:hAnsi="Century Gothic" w:cs="Arial"/>
          <w:bCs/>
          <w:sz w:val="21"/>
          <w:szCs w:val="21"/>
          <w:lang w:val="es-MX"/>
        </w:rPr>
      </w:pPr>
      <w:r w:rsidRPr="00FC368C">
        <w:rPr>
          <w:rFonts w:ascii="Century Gothic" w:eastAsia="Calibri" w:hAnsi="Century Gothic" w:cs="Arial"/>
          <w:bCs/>
          <w:sz w:val="21"/>
          <w:szCs w:val="21"/>
          <w:lang w:val="es-MX"/>
        </w:rPr>
        <w:t xml:space="preserve">“Artículo 31. Régimen de la Contratación. </w:t>
      </w:r>
    </w:p>
    <w:p w14:paraId="16FCFD7E" w14:textId="77777777" w:rsidR="00464416" w:rsidRPr="00FC368C" w:rsidRDefault="00464416" w:rsidP="00464416">
      <w:pPr>
        <w:spacing w:after="0" w:line="240" w:lineRule="auto"/>
        <w:ind w:left="709" w:right="709"/>
        <w:contextualSpacing/>
        <w:jc w:val="both"/>
        <w:rPr>
          <w:rFonts w:ascii="Century Gothic" w:eastAsia="Calibri" w:hAnsi="Century Gothic" w:cs="Arial"/>
          <w:bCs/>
          <w:sz w:val="21"/>
          <w:szCs w:val="21"/>
          <w:lang w:val="es-MX"/>
        </w:rPr>
      </w:pPr>
      <w:r w:rsidRPr="00FC368C">
        <w:rPr>
          <w:rFonts w:ascii="Century Gothic" w:eastAsia="Calibri" w:hAnsi="Century Gothic" w:cs="Arial"/>
          <w:bCs/>
          <w:sz w:val="21"/>
          <w:szCs w:val="21"/>
          <w:lang w:val="es-MX"/>
        </w:rPr>
        <w:t>[…]</w:t>
      </w:r>
    </w:p>
    <w:p w14:paraId="029596D4" w14:textId="77777777" w:rsidR="00464416" w:rsidRPr="00FC368C" w:rsidRDefault="00464416" w:rsidP="00464416">
      <w:pPr>
        <w:spacing w:after="0" w:line="240" w:lineRule="auto"/>
        <w:ind w:left="709" w:right="709"/>
        <w:contextualSpacing/>
        <w:jc w:val="both"/>
        <w:rPr>
          <w:rFonts w:ascii="Century Gothic" w:eastAsia="Calibri" w:hAnsi="Century Gothic" w:cs="Arial"/>
          <w:bCs/>
          <w:sz w:val="21"/>
          <w:szCs w:val="21"/>
          <w:lang w:val="es-MX"/>
        </w:rPr>
      </w:pPr>
      <w:r w:rsidRPr="00FC368C">
        <w:rPr>
          <w:rFonts w:ascii="Century Gothic" w:eastAsia="Calibri" w:hAnsi="Century Gothic" w:cs="Arial"/>
          <w:bCs/>
          <w:sz w:val="21"/>
          <w:szCs w:val="21"/>
          <w:lang w:val="es-MX"/>
        </w:rPr>
        <w:t xml:space="preserve">Las Comisiones de Regulación podrán hacer obligatoria la inclusión, en ciertos tipos de contratos de cualquier empresa de servicios públicos, de cláusulas exorbitantes y podrán facultar, previa consulta expresa por parte de las empresas de servicios públicos domiciliarios, que se incluyan en los demás. </w:t>
      </w:r>
      <w:r w:rsidRPr="00FC368C">
        <w:rPr>
          <w:rFonts w:ascii="Century Gothic" w:eastAsia="Calibri" w:hAnsi="Century Gothic" w:cs="Arial"/>
          <w:b/>
          <w:i/>
          <w:iCs/>
          <w:sz w:val="21"/>
          <w:szCs w:val="21"/>
          <w:lang w:val="es-MX"/>
        </w:rPr>
        <w:t>Cuando la inclusión sea forzosa, todo lo relativo a tales cláusulas se regirá, en cuanto sea pertinente, por lo dispuesto en la Ley 80 de 1993,</w:t>
      </w:r>
      <w:r w:rsidRPr="00FC368C">
        <w:rPr>
          <w:rFonts w:ascii="Century Gothic" w:eastAsia="Calibri" w:hAnsi="Century Gothic" w:cs="Arial"/>
          <w:bCs/>
          <w:sz w:val="21"/>
          <w:szCs w:val="21"/>
          <w:lang w:val="es-MX"/>
        </w:rPr>
        <w:t xml:space="preserve"> y los actos y contratos en los que se utilicen esas cláusulas y/o se ejerciten esas facultades estarán sujetos al control de la jurisdicción </w:t>
      </w:r>
      <w:proofErr w:type="gramStart"/>
      <w:r w:rsidRPr="00FC368C">
        <w:rPr>
          <w:rFonts w:ascii="Century Gothic" w:eastAsia="Calibri" w:hAnsi="Century Gothic" w:cs="Arial"/>
          <w:bCs/>
          <w:sz w:val="21"/>
          <w:szCs w:val="21"/>
          <w:lang w:val="es-MX"/>
        </w:rPr>
        <w:t>contencioso administrativa</w:t>
      </w:r>
      <w:proofErr w:type="gramEnd"/>
      <w:r w:rsidRPr="00FC368C">
        <w:rPr>
          <w:rFonts w:ascii="Century Gothic" w:eastAsia="Calibri" w:hAnsi="Century Gothic" w:cs="Arial"/>
          <w:bCs/>
          <w:sz w:val="21"/>
          <w:szCs w:val="21"/>
          <w:lang w:val="es-MX"/>
        </w:rPr>
        <w:t xml:space="preserve">. Las Comisiones de Regulación contarán con quince (15) días para responder las solicitudes elevadas por las empresas </w:t>
      </w:r>
      <w:r w:rsidRPr="00FC368C">
        <w:rPr>
          <w:rFonts w:ascii="Century Gothic" w:eastAsia="Calibri" w:hAnsi="Century Gothic" w:cs="Arial"/>
          <w:bCs/>
          <w:sz w:val="21"/>
          <w:szCs w:val="21"/>
          <w:lang w:val="es-MX"/>
        </w:rPr>
        <w:lastRenderedPageBreak/>
        <w:t>de servicios públicos domiciliarios sobre la inclusión de las cláusulas excepcionales en los respectivos contratos, transcurrido este término operará el silencio administrativo positivo.</w:t>
      </w:r>
    </w:p>
    <w:p w14:paraId="3FC80481" w14:textId="77777777" w:rsidR="00464416" w:rsidRPr="00FC368C" w:rsidRDefault="00464416" w:rsidP="00464416">
      <w:pPr>
        <w:spacing w:after="0" w:line="240" w:lineRule="auto"/>
        <w:ind w:left="709" w:right="709"/>
        <w:contextualSpacing/>
        <w:jc w:val="both"/>
        <w:rPr>
          <w:rFonts w:ascii="Century Gothic" w:eastAsia="Calibri" w:hAnsi="Century Gothic" w:cs="Arial"/>
          <w:bCs/>
          <w:sz w:val="21"/>
          <w:szCs w:val="21"/>
          <w:lang w:val="es-MX"/>
        </w:rPr>
      </w:pPr>
      <w:r w:rsidRPr="00FC368C">
        <w:rPr>
          <w:rFonts w:ascii="Century Gothic" w:eastAsia="Calibri" w:hAnsi="Century Gothic" w:cs="Arial"/>
          <w:bCs/>
          <w:sz w:val="21"/>
          <w:szCs w:val="21"/>
          <w:lang w:val="es-MX"/>
        </w:rPr>
        <w:t>[…]”. [Énfasis fuera de texto]</w:t>
      </w:r>
    </w:p>
    <w:p w14:paraId="77619943" w14:textId="77777777" w:rsidR="00464416" w:rsidRPr="00FC368C" w:rsidRDefault="00464416" w:rsidP="00464416">
      <w:pPr>
        <w:tabs>
          <w:tab w:val="left" w:pos="0"/>
        </w:tabs>
        <w:spacing w:after="0" w:line="240" w:lineRule="auto"/>
        <w:ind w:firstLine="709"/>
        <w:jc w:val="both"/>
        <w:rPr>
          <w:rFonts w:ascii="Century Gothic" w:hAnsi="Century Gothic" w:cs="Arial"/>
          <w:noProof/>
          <w:lang w:val="es-ES_tradnl"/>
        </w:rPr>
      </w:pPr>
    </w:p>
    <w:p w14:paraId="76418C5C" w14:textId="77777777" w:rsidR="00464416" w:rsidRPr="00FC368C" w:rsidRDefault="00464416" w:rsidP="00464416">
      <w:pPr>
        <w:tabs>
          <w:tab w:val="left" w:pos="0"/>
        </w:tabs>
        <w:spacing w:after="0" w:line="276" w:lineRule="auto"/>
        <w:ind w:firstLine="709"/>
        <w:jc w:val="both"/>
        <w:rPr>
          <w:rFonts w:ascii="Century Gothic" w:hAnsi="Century Gothic" w:cs="Arial"/>
          <w:noProof/>
          <w:lang w:val="es-ES_tradnl"/>
        </w:rPr>
      </w:pPr>
      <w:r w:rsidRPr="00FC368C">
        <w:rPr>
          <w:rFonts w:ascii="Century Gothic" w:hAnsi="Century Gothic" w:cs="Arial"/>
          <w:noProof/>
          <w:lang w:val="es-ES_tradnl"/>
        </w:rPr>
        <w:t>De lo anterior, puede colegirse que a pesar de que las empresas prestadoras de servicios públicos domiciliarios en lo concerniente a sus actividades contractuales, por regla general, se rigen por lo dispuesto en las normas de derecho privado, en casos en los que se establezcan cláusulas excepcionales en sus contratos, bien sea por mandato de las Comisiones de Regulación o por solicitud de dichas empresas, deberán someterse a lo dispuesto en el EGCAP –Ley 80 de 1993– la ley 1150 de 2007 y demás normas complementarias, así como en las situaciones en las que la Ley 142 de 1992 u otras leyes especiales lo dispongan.</w:t>
      </w:r>
    </w:p>
    <w:p w14:paraId="4BB28A5A" w14:textId="77777777" w:rsidR="00464416" w:rsidRPr="00FC368C" w:rsidRDefault="00464416" w:rsidP="00464416">
      <w:pPr>
        <w:tabs>
          <w:tab w:val="left" w:pos="0"/>
        </w:tabs>
        <w:spacing w:before="120" w:after="0" w:line="276" w:lineRule="auto"/>
        <w:ind w:firstLine="709"/>
        <w:jc w:val="both"/>
        <w:rPr>
          <w:rFonts w:ascii="Century Gothic" w:hAnsi="Century Gothic" w:cs="Arial"/>
          <w:noProof/>
          <w:lang w:val="es-ES_tradnl"/>
        </w:rPr>
      </w:pPr>
      <w:r w:rsidRPr="00FC368C">
        <w:rPr>
          <w:rFonts w:ascii="Century Gothic" w:hAnsi="Century Gothic" w:cs="Arial"/>
          <w:noProof/>
          <w:lang w:val="es-ES_tradnl"/>
        </w:rPr>
        <w:t>De conformidad con lo antes expuesto, se procede a analizar el alcance del artículo 56 de la Ley 2195 de 2022, frente a la implementación del EGCAP y los Documentos Tipo expedidos por esta Agencia.</w:t>
      </w:r>
    </w:p>
    <w:p w14:paraId="1B726BF3" w14:textId="77777777" w:rsidR="00464416" w:rsidRPr="00FC368C" w:rsidRDefault="00464416" w:rsidP="00464416">
      <w:pPr>
        <w:tabs>
          <w:tab w:val="left" w:pos="0"/>
        </w:tabs>
        <w:spacing w:after="0" w:line="240" w:lineRule="auto"/>
        <w:jc w:val="both"/>
        <w:rPr>
          <w:rFonts w:ascii="Century Gothic" w:hAnsi="Century Gothic" w:cs="Arial"/>
          <w:noProof/>
          <w:lang w:val="es-ES_tradnl"/>
        </w:rPr>
      </w:pPr>
    </w:p>
    <w:p w14:paraId="0FA4072C" w14:textId="77777777" w:rsidR="00464416" w:rsidRPr="00FC368C" w:rsidRDefault="00464416" w:rsidP="00464416">
      <w:pPr>
        <w:tabs>
          <w:tab w:val="left" w:pos="0"/>
        </w:tabs>
        <w:spacing w:after="0" w:line="276" w:lineRule="auto"/>
        <w:jc w:val="both"/>
        <w:rPr>
          <w:rFonts w:ascii="Century Gothic" w:hAnsi="Century Gothic" w:cs="Arial"/>
          <w:b/>
          <w:bCs/>
          <w:noProof/>
          <w:lang w:val="es-ES_tradnl"/>
        </w:rPr>
      </w:pPr>
      <w:r w:rsidRPr="00FC368C">
        <w:rPr>
          <w:rFonts w:ascii="Century Gothic" w:hAnsi="Century Gothic" w:cs="Arial"/>
          <w:b/>
          <w:bCs/>
          <w:noProof/>
          <w:lang w:val="es-ES_tradnl"/>
        </w:rPr>
        <w:t>2.3. Circunstancias de aplicabilidad de los Documentos Tipo a las entidades estatales exceptuadas del Estatuto General de Contratación de la Administración Pública y particulares. Reiteración</w:t>
      </w:r>
    </w:p>
    <w:p w14:paraId="22B3D7D0" w14:textId="77777777" w:rsidR="00464416" w:rsidRPr="00FC368C" w:rsidRDefault="00464416" w:rsidP="00464416">
      <w:pPr>
        <w:tabs>
          <w:tab w:val="left" w:pos="0"/>
        </w:tabs>
        <w:spacing w:after="0" w:line="276" w:lineRule="auto"/>
        <w:jc w:val="both"/>
        <w:rPr>
          <w:rFonts w:ascii="Century Gothic" w:hAnsi="Century Gothic" w:cs="Arial"/>
          <w:b/>
          <w:bCs/>
          <w:noProof/>
          <w:lang w:val="es-ES_tradnl"/>
        </w:rPr>
      </w:pPr>
    </w:p>
    <w:p w14:paraId="686AFC36" w14:textId="77777777" w:rsidR="00464416" w:rsidRPr="00FC368C" w:rsidRDefault="00464416" w:rsidP="00464416">
      <w:pPr>
        <w:tabs>
          <w:tab w:val="left" w:pos="0"/>
        </w:tabs>
        <w:spacing w:after="0" w:line="276" w:lineRule="auto"/>
        <w:jc w:val="both"/>
        <w:rPr>
          <w:rFonts w:ascii="Century Gothic" w:hAnsi="Century Gothic" w:cs="Arial"/>
          <w:noProof/>
          <w:lang w:val="es-ES_tradnl"/>
        </w:rPr>
      </w:pPr>
      <w:r w:rsidRPr="00FC368C">
        <w:rPr>
          <w:rFonts w:ascii="Century Gothic" w:hAnsi="Century Gothic" w:cs="Arial"/>
          <w:noProof/>
          <w:lang w:val="es-ES_tradnl"/>
        </w:rPr>
        <w:t>En virtud de la Ley 2022 de 2020, la Agencia Nacional de Contratación Pública – Colombia Compra Eficiente expide los Documentos Tipo que serán de obligatoria aplicación para las Entidades Estatales sometidas al EGCAP. En ese sentodp, el contenido normativo de la Ley 2022 de 2020, y, en su momento, tambiém el de la Ley 1882 de 2018, excluían del ámbito de aplciación de los Documentos Tipo la contratación de las Entidades Estatales de régimen exceptuado, por lo general, sujetas al derecho privado.</w:t>
      </w:r>
    </w:p>
    <w:p w14:paraId="6B5A7F8D" w14:textId="77777777" w:rsidR="00464416" w:rsidRPr="00FC368C" w:rsidRDefault="00464416" w:rsidP="00464416">
      <w:pPr>
        <w:tabs>
          <w:tab w:val="left" w:pos="0"/>
        </w:tabs>
        <w:spacing w:before="120" w:after="0" w:line="276" w:lineRule="auto"/>
        <w:jc w:val="both"/>
        <w:rPr>
          <w:rFonts w:ascii="Century Gothic" w:hAnsi="Century Gothic" w:cs="Arial"/>
          <w:noProof/>
          <w:lang w:val="es-ES_tradnl"/>
        </w:rPr>
      </w:pPr>
      <w:r w:rsidRPr="00FC368C">
        <w:rPr>
          <w:rFonts w:ascii="Century Gothic" w:hAnsi="Century Gothic" w:cs="Arial"/>
          <w:noProof/>
          <w:lang w:val="es-ES_tradnl"/>
        </w:rPr>
        <w:tab/>
        <w:t>No obstante, este panorama cambió con la expedición de la Ley 2195 de 2022 “Poe medio de la cual se adoptan medidas en materia de transparencia, prevención y lucha contra la corrupción y se dictan otras disposiciones”. De conformidad con su artículo 1, esta norma tiene por objeto la adopción de diferentes medidas tendientes a prevenir los actos de corrupción, reforzar la articulación de diferentes medidas tendientes a prevenir los actos de corrupción, reforzar la articulación de las entidades del Estado y a recuperar los daños ocasionados por la corrupción, promoviendo la cultura de la legalidad e integridad.</w:t>
      </w:r>
    </w:p>
    <w:p w14:paraId="09DC3F8F" w14:textId="77777777" w:rsidR="00464416" w:rsidRPr="00FC368C" w:rsidRDefault="00464416" w:rsidP="00464416">
      <w:pPr>
        <w:tabs>
          <w:tab w:val="left" w:pos="0"/>
        </w:tabs>
        <w:spacing w:before="120" w:after="0" w:line="276" w:lineRule="auto"/>
        <w:jc w:val="both"/>
        <w:rPr>
          <w:rFonts w:ascii="Century Gothic" w:hAnsi="Century Gothic" w:cs="Arial"/>
          <w:noProof/>
          <w:lang w:val="es-ES_tradnl"/>
        </w:rPr>
      </w:pPr>
      <w:r w:rsidRPr="00FC368C">
        <w:rPr>
          <w:rFonts w:ascii="Century Gothic" w:hAnsi="Century Gothic" w:cs="Arial"/>
          <w:noProof/>
          <w:lang w:val="es-ES_tradnl"/>
        </w:rPr>
        <w:lastRenderedPageBreak/>
        <w:tab/>
        <w:t xml:space="preserve">Entre las medidas adoptads por la norma mecionada se destaca el artículo 56, norma sobre la que versa la presente consulta. Esta disposición se refiere de manera expresa a los Documentos Tipo y a su aplicabilidad a sujetos diferentes de las Entidades Estatales sometidas al EGCAP. El tenor literal de este precepto prescribe lo siguiente: </w:t>
      </w:r>
    </w:p>
    <w:p w14:paraId="617F03D3" w14:textId="77777777" w:rsidR="00464416" w:rsidRPr="00FC368C" w:rsidRDefault="00464416" w:rsidP="00464416">
      <w:pPr>
        <w:tabs>
          <w:tab w:val="left" w:pos="0"/>
        </w:tabs>
        <w:spacing w:after="0" w:line="276" w:lineRule="auto"/>
        <w:jc w:val="both"/>
        <w:rPr>
          <w:rFonts w:ascii="Century Gothic" w:hAnsi="Century Gothic" w:cs="Arial"/>
          <w:noProof/>
          <w:lang w:val="es-ES_tradnl"/>
        </w:rPr>
      </w:pPr>
    </w:p>
    <w:p w14:paraId="60C29C4D" w14:textId="77777777" w:rsidR="00464416" w:rsidRPr="00FC368C" w:rsidRDefault="00464416" w:rsidP="00464416">
      <w:pPr>
        <w:tabs>
          <w:tab w:val="left" w:pos="0"/>
        </w:tabs>
        <w:spacing w:after="0" w:line="276" w:lineRule="auto"/>
        <w:ind w:left="709" w:right="709"/>
        <w:jc w:val="both"/>
        <w:rPr>
          <w:rFonts w:ascii="Century Gothic" w:hAnsi="Century Gothic" w:cs="Arial"/>
          <w:noProof/>
          <w:sz w:val="21"/>
          <w:szCs w:val="21"/>
          <w:lang w:val="es-ES_tradnl"/>
        </w:rPr>
      </w:pPr>
      <w:r w:rsidRPr="00FC368C">
        <w:rPr>
          <w:rFonts w:ascii="Century Gothic" w:hAnsi="Century Gothic" w:cs="Arial"/>
          <w:noProof/>
          <w:sz w:val="21"/>
          <w:szCs w:val="21"/>
          <w:lang w:val="es-ES_tradnl"/>
        </w:rPr>
        <w:t xml:space="preserve">“Artículo 56. Aplicación de los documentos tipo a entidades de régimen especial. Para la adquisición de bienes, obras o servicios, </w:t>
      </w:r>
      <w:r w:rsidRPr="00FC368C">
        <w:rPr>
          <w:rFonts w:ascii="Century Gothic" w:hAnsi="Century Gothic" w:cs="Arial"/>
          <w:i/>
          <w:iCs/>
          <w:noProof/>
          <w:sz w:val="21"/>
          <w:szCs w:val="21"/>
          <w:u w:val="single"/>
          <w:lang w:val="es-ES_tradnl"/>
        </w:rPr>
        <w:t>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w:t>
      </w:r>
      <w:r w:rsidRPr="00FC368C">
        <w:rPr>
          <w:rFonts w:ascii="Century Gothic" w:hAnsi="Century Gothic" w:cs="Arial"/>
          <w:noProof/>
          <w:sz w:val="21"/>
          <w:szCs w:val="21"/>
          <w:lang w:val="es-ES_tradnl"/>
        </w:rPr>
        <w:t xml:space="preserve">, deberán aplicar los documentos tipo adoptados por la Agencia Nacional de Contratación Pública - Colombia Compra Eficiente o quien haga sus veces, conforme al parágrafo 7 del artículo 2 de la Ley 1150 de 2007 o las normas que lo modifiquen o sustituyan. </w:t>
      </w:r>
    </w:p>
    <w:p w14:paraId="24F33055" w14:textId="77777777" w:rsidR="00464416" w:rsidRPr="00FC368C" w:rsidRDefault="00464416" w:rsidP="00464416">
      <w:pPr>
        <w:tabs>
          <w:tab w:val="left" w:pos="0"/>
        </w:tabs>
        <w:spacing w:before="120" w:after="0" w:line="276" w:lineRule="auto"/>
        <w:ind w:left="709" w:right="709"/>
        <w:jc w:val="both"/>
        <w:rPr>
          <w:rFonts w:ascii="Century Gothic" w:hAnsi="Century Gothic" w:cs="Arial"/>
          <w:noProof/>
          <w:sz w:val="21"/>
          <w:szCs w:val="21"/>
          <w:lang w:val="es-ES_tradnl"/>
        </w:rPr>
      </w:pPr>
      <w:r w:rsidRPr="00FC368C">
        <w:rPr>
          <w:rFonts w:ascii="Century Gothic" w:hAnsi="Century Gothic" w:cs="Arial"/>
          <w:noProof/>
          <w:sz w:val="21"/>
          <w:szCs w:val="21"/>
          <w:lang w:val="es-ES_tradnl"/>
        </w:rPr>
        <w:t xml:space="preserve">Los procedimientos de selección y los contratos que realicen en desarrollo de los anteriores negocios jurídicos, donde apliquen los documentos tipo se regirán por el Estatuto General de Contratación de la Administración Pública. </w:t>
      </w:r>
    </w:p>
    <w:p w14:paraId="2091F81C" w14:textId="77777777" w:rsidR="00464416" w:rsidRPr="00FC368C" w:rsidRDefault="00464416" w:rsidP="00464416">
      <w:pPr>
        <w:tabs>
          <w:tab w:val="left" w:pos="0"/>
        </w:tabs>
        <w:spacing w:before="120" w:after="0" w:line="276" w:lineRule="auto"/>
        <w:ind w:left="709" w:right="709"/>
        <w:jc w:val="both"/>
        <w:rPr>
          <w:rFonts w:ascii="Century Gothic" w:hAnsi="Century Gothic" w:cs="Arial"/>
          <w:noProof/>
          <w:sz w:val="21"/>
          <w:szCs w:val="21"/>
          <w:lang w:val="es-ES_tradnl"/>
        </w:rPr>
      </w:pPr>
      <w:r w:rsidRPr="00FC368C">
        <w:rPr>
          <w:rFonts w:ascii="Century Gothic" w:hAnsi="Century Gothic" w:cs="Arial"/>
          <w:noProof/>
          <w:sz w:val="21"/>
          <w:szCs w:val="21"/>
          <w:lang w:val="es-ES_tradnl"/>
        </w:rPr>
        <w:t>Parágrafo. Se exceptúan del presente artículo las Instituciones de Educación Superior públicas, las empresas sociales del Estado, las sociedades de economía mixta y las empresas industriales y comerciales del Estado, únicamente en cuanto a la contratación de su giro ordinario. En estos casos, en los manuales de contratación de estas entidades, se fomentará como buena práctica la aplicación de los pliegos tipo”. [Énfasis fuera de texto]</w:t>
      </w:r>
    </w:p>
    <w:p w14:paraId="1AE80BBD" w14:textId="77777777" w:rsidR="00464416" w:rsidRPr="00FC368C" w:rsidRDefault="00464416" w:rsidP="00464416">
      <w:pPr>
        <w:tabs>
          <w:tab w:val="left" w:pos="0"/>
        </w:tabs>
        <w:spacing w:after="0" w:line="276" w:lineRule="auto"/>
        <w:jc w:val="both"/>
        <w:rPr>
          <w:rFonts w:ascii="Century Gothic" w:hAnsi="Century Gothic" w:cs="Arial"/>
          <w:noProof/>
          <w:lang w:val="es-ES_tradnl"/>
        </w:rPr>
      </w:pPr>
    </w:p>
    <w:p w14:paraId="531702AA" w14:textId="77777777" w:rsidR="00464416" w:rsidRPr="00FC368C" w:rsidRDefault="00464416" w:rsidP="00464416">
      <w:pPr>
        <w:tabs>
          <w:tab w:val="left" w:pos="0"/>
        </w:tabs>
        <w:spacing w:after="0" w:line="276" w:lineRule="auto"/>
        <w:jc w:val="both"/>
        <w:rPr>
          <w:rFonts w:ascii="Century Gothic" w:hAnsi="Century Gothic" w:cs="Arial"/>
          <w:noProof/>
          <w:lang w:val="es-ES_tradnl"/>
        </w:rPr>
      </w:pPr>
      <w:r w:rsidRPr="00FC368C">
        <w:rPr>
          <w:rFonts w:ascii="Century Gothic" w:hAnsi="Century Gothic" w:cs="Arial"/>
          <w:noProof/>
          <w:lang w:val="es-ES_tradnl"/>
        </w:rPr>
        <w:tab/>
        <w:t xml:space="preserve">Como se desprende de la parte inicial de la norma citada, esta se refiere a la adquisición de bienes, obras o servicios por parte de entidades estatales sometidas al EGCAP, que celebren contratos, convenios interadministrativos o de cualquier otra índole con Entidades Estatales exceptuadas, patrimonios autónomos, personas naturales o jurídicas de derecho privado. En ese sentido, este primer inciso formula un mandato dirigido a las entidades sometidas al EGCAP, para que, en la adquisición de bienes, obras o servicios, apliquen los Documentos Tipo expedidos por esta Agencia, cuando celebren contratos o convenios </w:t>
      </w:r>
      <w:r w:rsidRPr="00FC368C">
        <w:rPr>
          <w:rFonts w:ascii="Century Gothic" w:hAnsi="Century Gothic" w:cs="Arial"/>
          <w:noProof/>
          <w:lang w:val="es-ES_tradnl"/>
        </w:rPr>
        <w:lastRenderedPageBreak/>
        <w:t xml:space="preserve">interadministrativos o de cualquier otra índole, con otra Entidad Estatal, o con patrimonios autónomos o con personas naturales o jurídicas, cuyo régimen de contratación sea especial o de derecho privado.  </w:t>
      </w:r>
    </w:p>
    <w:p w14:paraId="34CE05A8" w14:textId="77777777" w:rsidR="00464416" w:rsidRPr="00FC368C" w:rsidRDefault="00464416" w:rsidP="00464416">
      <w:pPr>
        <w:tabs>
          <w:tab w:val="left" w:pos="0"/>
        </w:tabs>
        <w:spacing w:before="120" w:after="0" w:line="276" w:lineRule="auto"/>
        <w:jc w:val="both"/>
        <w:rPr>
          <w:rFonts w:ascii="Century Gothic" w:hAnsi="Century Gothic" w:cs="Arial"/>
          <w:noProof/>
          <w:lang w:val="es-ES_tradnl"/>
        </w:rPr>
      </w:pPr>
      <w:r w:rsidRPr="00FC368C">
        <w:rPr>
          <w:rFonts w:ascii="Century Gothic" w:hAnsi="Century Gothic" w:cs="Arial"/>
          <w:noProof/>
          <w:lang w:val="es-ES_tradnl"/>
        </w:rPr>
        <w:tab/>
        <w:t xml:space="preserve">De acuerdo con esto, el artículo 56 de la Ley 2195 de 2022 es una norma que complementa al parágrafo 7 del artículo 2 de la Ley 1150 de 2007, modificado por la Ley 2022 de 2020, que establece el mandato de aplicación obligatoria de los Documentos Tipo para las entidades sometidas al EGCAP. Si bien el texto de la Ley 2022 de 2020 establece con claridad la regla de aplicación obligatoria de los documentos tipo en los Procesos de Contratación adelantados por las Entidades Estatales regidas por el EGCAP, lo cierto es que sus efectos no eran los mismos en los procesos de selección adelantados por entidades exceptuadas o con regímenes especiales.  </w:t>
      </w:r>
    </w:p>
    <w:p w14:paraId="5EBBC5F6" w14:textId="77777777" w:rsidR="00464416" w:rsidRPr="00FC368C" w:rsidRDefault="00464416" w:rsidP="00464416">
      <w:pPr>
        <w:tabs>
          <w:tab w:val="left" w:pos="0"/>
        </w:tabs>
        <w:spacing w:before="120" w:after="0" w:line="276" w:lineRule="auto"/>
        <w:jc w:val="both"/>
        <w:rPr>
          <w:rFonts w:ascii="Century Gothic" w:hAnsi="Century Gothic" w:cs="Arial"/>
          <w:noProof/>
          <w:lang w:val="es-ES_tradnl"/>
        </w:rPr>
      </w:pPr>
      <w:r w:rsidRPr="00FC368C">
        <w:rPr>
          <w:rFonts w:ascii="Century Gothic" w:hAnsi="Century Gothic" w:cs="Arial"/>
          <w:noProof/>
          <w:lang w:val="es-ES_tradnl"/>
        </w:rPr>
        <w:tab/>
        <w:t xml:space="preserve">Antes de la expedición del artículo 56 ibídem, la Ley 2022 de 2020 ya había establecido el mandato de aplicación obligatoria de los Documentos Tipo, atribuyendo a esta a Agencia la competencia para expedirlos. Dicha ley restringe su aplicación en los procesos de contratación a través de los que una Entidad Estatal regida por el EGCAP debe adquirir una obra o servicio, por supuesto, siempre que el objeto a contratar, al igual que la modalidad que se requiere emplear, estén cobijados por algún Documento Tipo vigente. Por el contrario, la aplicación de Documentos Tipo por parte de entidades con regímenes especiales o de derecho privado era un asunto que escapaba del ámbito de aplicación de lo establecido por la Ley 2022 de 2020, incluso tratándose de obras o servicios para cuya contratación hubieren documentos tipo vigentes, comoquiera que la aplicación de estos solo era procedente cuando el régimen de la entidad contratante fuera el EGCAP, toda vez que el parágrafo 7 del artículo 2 de la Ley 1150 de 2007 solo se refiere a la obligación de aplicar los Documentos Tipo en los procesos de contratación que adelanten las entidades sometidas al EGCAP. </w:t>
      </w:r>
    </w:p>
    <w:p w14:paraId="64A65697" w14:textId="77777777" w:rsidR="00464416" w:rsidRPr="00FC368C" w:rsidRDefault="00464416" w:rsidP="00464416">
      <w:pPr>
        <w:tabs>
          <w:tab w:val="left" w:pos="0"/>
        </w:tabs>
        <w:spacing w:before="120" w:after="0" w:line="276" w:lineRule="auto"/>
        <w:jc w:val="both"/>
        <w:rPr>
          <w:rFonts w:ascii="Century Gothic" w:hAnsi="Century Gothic" w:cs="Arial"/>
          <w:noProof/>
          <w:lang w:val="es-ES_tradnl"/>
        </w:rPr>
      </w:pPr>
      <w:r w:rsidRPr="00FC368C">
        <w:rPr>
          <w:rFonts w:ascii="Century Gothic" w:hAnsi="Century Gothic" w:cs="Arial"/>
          <w:noProof/>
          <w:lang w:val="es-ES_tradnl"/>
        </w:rPr>
        <w:tab/>
        <w:t>Por tanto, la norma, por el hecho de estar dirigida únicamente a las entidades sometidas a la Ley 80 de 1993 y la Ley 1150 de 2007, solo permitía que los Documentos Tipo tuvieran que aplicarse de manera obligatoria cuando este era el régimen general de la contratación de la entidad que adelantaba el proceso de contratación. En estos términos, si bien la Ley 2022 de 2020 no limitó la aplicabilidad de los Documentos Tipo expedidos por esta Agencia a una modalidad en específico, sí estableció que su implementación debía hacerse en el marco del EGCAP.</w:t>
      </w:r>
    </w:p>
    <w:p w14:paraId="5C54D218" w14:textId="77777777" w:rsidR="00464416" w:rsidRPr="00FC368C" w:rsidRDefault="00464416" w:rsidP="00464416">
      <w:pPr>
        <w:tabs>
          <w:tab w:val="left" w:pos="0"/>
        </w:tabs>
        <w:spacing w:before="120" w:after="0" w:line="276" w:lineRule="auto"/>
        <w:jc w:val="both"/>
        <w:rPr>
          <w:rFonts w:ascii="Century Gothic" w:hAnsi="Century Gothic" w:cs="Arial"/>
          <w:noProof/>
          <w:lang w:val="es-ES_tradnl"/>
        </w:rPr>
      </w:pPr>
      <w:r w:rsidRPr="00FC368C">
        <w:rPr>
          <w:rFonts w:ascii="Century Gothic" w:hAnsi="Century Gothic" w:cs="Arial"/>
          <w:noProof/>
          <w:lang w:val="es-ES_tradnl"/>
        </w:rPr>
        <w:lastRenderedPageBreak/>
        <w:tab/>
        <w:t xml:space="preserve">En este escenario, el primer inciso del artículo 56 de la Ley 2195 de 2022 surge como una disposición complementaria de la Ley 2022 de 2020, en la medida en que, según se desprende de su texto, de una parte, la norma busca extender la aplicación obligatoria de los Documentos Tipo a la celebración de contratos o convenios interadministrativos entre entidades regidas por EGCAP y otros sujetos cuyo régimen de contratación prevalente es el derecho privado. Esto de tal forma que cuando una entidad Estatal regida por el EGCAP celebre contratos o convenios con otra i) Entidad Estatal de régimen especial o con ii) patrimonios autónomos o iii) con personas naturales o jurídicas de derecho privado, tenga que hacerlo aplicando Documentos Tipo. Los efectos del primer inciso del artículo 56 se proyectarían entonces a los contratos o convenios que se deban celebrar con estos sujetos, cuyos objetos comprendan la adquisición de bienes, obras o servicios, que, al tenor de lo dispuesto en el apartado normativo bajo examen, deberán celebrarse mediante Documentos Tipo.      </w:t>
      </w:r>
    </w:p>
    <w:p w14:paraId="3D0CCA7F" w14:textId="77777777" w:rsidR="00464416" w:rsidRPr="00FC368C" w:rsidRDefault="00464416" w:rsidP="00464416">
      <w:pPr>
        <w:tabs>
          <w:tab w:val="left" w:pos="0"/>
        </w:tabs>
        <w:spacing w:before="120" w:after="0" w:line="276" w:lineRule="auto"/>
        <w:jc w:val="both"/>
        <w:rPr>
          <w:rFonts w:ascii="Century Gothic" w:hAnsi="Century Gothic" w:cs="Arial"/>
          <w:noProof/>
          <w:lang w:val="es-ES_tradnl"/>
        </w:rPr>
      </w:pPr>
      <w:r w:rsidRPr="00FC368C">
        <w:rPr>
          <w:rFonts w:ascii="Century Gothic" w:hAnsi="Century Gothic" w:cs="Arial"/>
          <w:noProof/>
          <w:lang w:val="es-ES_tradnl"/>
        </w:rPr>
        <w:tab/>
        <w:t xml:space="preserve">En tales términos, es posible concluir, que un efecto importante de la norma bajo estudio es la ampliación del ámbito de aplicación de los Documentos Tipo, al hacerlos obligatorios para unos sujetos que, en principio, de acuerdo con la ley 2022 de 2020, no estarían sometidos a esos documentos. Para complementar esta medida, la disposición además hace extensiva la aplicación del EGCAP a esto sujetos que, en virtud de su naturaleza jurídica, tienen, como regla general, un régimen de contratación diferente, tales como las entidades exceptuadas, los patrimonios autónomos y las personas naturales y jurídicas de derecho privado, a los que expresamente hace alusión el artículo 56.  De esta forma, independientemente de que el inciso tercero del literal c) del artículo 2, numeral 4, de la Ley 1150 de 2007 parezca indicar que se debe aplicar el derecho privado, por ser este el régimen que por regla general aplica la entidad ejecutora, tratándose de objetos cobijados por documentos tipo, los mismos deberán ser contratados aplicando tales pliegos tipo y las disposiciones del EGCAP.  </w:t>
      </w:r>
    </w:p>
    <w:p w14:paraId="2EC13391" w14:textId="77777777" w:rsidR="00464416" w:rsidRPr="00FC368C" w:rsidRDefault="00464416" w:rsidP="00464416">
      <w:pPr>
        <w:tabs>
          <w:tab w:val="left" w:pos="0"/>
        </w:tabs>
        <w:spacing w:before="120" w:after="0" w:line="276" w:lineRule="auto"/>
        <w:jc w:val="both"/>
        <w:rPr>
          <w:rFonts w:ascii="Century Gothic" w:hAnsi="Century Gothic" w:cs="Arial"/>
          <w:noProof/>
          <w:lang w:val="es-ES_tradnl"/>
        </w:rPr>
      </w:pPr>
      <w:r w:rsidRPr="00FC368C">
        <w:rPr>
          <w:rFonts w:ascii="Century Gothic" w:hAnsi="Century Gothic" w:cs="Arial"/>
          <w:noProof/>
          <w:lang w:val="es-ES_tradnl"/>
        </w:rPr>
        <w:tab/>
        <w:t xml:space="preserve">En este punto conviene precisar que, de conformidad con el artículo 56, el hecho de que una entidad exceptuada, un patrimonio autónomo, una persona natural o una persona jurídica, tenga suscrito un contrato o convenio con una entidad sometida al EGCAP, no significa que mute su régimen jurídico de manera permanente. Al respecto, de una lectura conjunta de los incisos primero y segundo se desprende que estos introducen el mandato de aplicación obligatoria del EGCAP por parte de los mencionados sujetos de régimen de derecho privado solo en lo referido a la subcontratación de bienes, obras y servicios relacionados con un </w:t>
      </w:r>
      <w:r w:rsidRPr="00FC368C">
        <w:rPr>
          <w:rFonts w:ascii="Century Gothic" w:hAnsi="Century Gothic" w:cs="Arial"/>
          <w:noProof/>
          <w:lang w:val="es-ES_tradnl"/>
        </w:rPr>
        <w:lastRenderedPageBreak/>
        <w:t xml:space="preserve">contrato o convenio suscrito con una entidad sometida al EGCAP, siempre que exista documento tipo aplicable al objeto contractual que se planea contratar. Esto significa que los contratos no relacionados con los compromisos adquiridos con la entidad sometida al EGCAP no tendrían que aplicar el régimen contractual público ni los documentos tipo, salvo que quieran hacerlo como una buena práctica de contratación. </w:t>
      </w:r>
    </w:p>
    <w:p w14:paraId="44E41BD1" w14:textId="77777777" w:rsidR="00464416" w:rsidRPr="00FC368C" w:rsidRDefault="00464416" w:rsidP="00464416">
      <w:pPr>
        <w:tabs>
          <w:tab w:val="left" w:pos="0"/>
        </w:tabs>
        <w:spacing w:before="120" w:after="0" w:line="276" w:lineRule="auto"/>
        <w:jc w:val="both"/>
        <w:rPr>
          <w:rFonts w:ascii="Century Gothic" w:hAnsi="Century Gothic" w:cs="Arial"/>
          <w:noProof/>
          <w:lang w:val="es-ES_tradnl"/>
        </w:rPr>
      </w:pPr>
      <w:r w:rsidRPr="00FC368C">
        <w:rPr>
          <w:rFonts w:ascii="Century Gothic" w:hAnsi="Century Gothic" w:cs="Arial"/>
          <w:noProof/>
          <w:lang w:val="es-ES_tradnl"/>
        </w:rPr>
        <w:tab/>
        <w:t xml:space="preserve">De acuerdo con esto, respecto de la aplicación del EGCAP por parte de entidades exceptuadas y particulares, es necesario recalcar que, conforme se interpreta de la redacción de la norma, esta solo es obligatoria en los casos en los que el objeto contractual derivado que se pretende contratar esté cobijado y sometido a algún documento tipo. Esto significa que la aplicación del EGCAP solo será forzosa cuando existe un Documento Tipo que contempla bienes, obras y servicios dentro de los que se subsume la actividad a contratar por parte de la entidad de régimen especial, patrimonio autónomo o particular. Por ejemplo, si en cumplimiento de un convenio con una entidad sometida al EGCAP, una entidad exceptuada debe contratar el desarrollo de un software o la compra de unos buses, no estará obligado a seguirse por el EGCAP, al no ser estos objetos cobijados por los Documentos Tipo vigentes, mientras que si lo que requiere es el mantenimiento o la rehabilitación de una vía secundaría, por el contrario sí estará sometido al EGCAP, al estar tales actividades incluidas dentro de los documentos tipo de infraestructura de transporte. Esto por supuesto puede cambiar si la Agencia, en el futuro, adopta más documentos tipo que incluyan los objetos mencionados. </w:t>
      </w:r>
    </w:p>
    <w:p w14:paraId="7E0BE81B" w14:textId="77777777" w:rsidR="00464416" w:rsidRPr="00FC368C" w:rsidRDefault="00464416" w:rsidP="00464416">
      <w:pPr>
        <w:tabs>
          <w:tab w:val="left" w:pos="0"/>
        </w:tabs>
        <w:spacing w:before="120" w:after="0" w:line="276" w:lineRule="auto"/>
        <w:jc w:val="both"/>
        <w:rPr>
          <w:rFonts w:ascii="Century Gothic" w:hAnsi="Century Gothic" w:cs="Arial"/>
          <w:noProof/>
          <w:lang w:val="es-ES_tradnl"/>
        </w:rPr>
      </w:pPr>
      <w:r w:rsidRPr="00FC368C">
        <w:rPr>
          <w:rFonts w:ascii="Century Gothic" w:hAnsi="Century Gothic" w:cs="Arial"/>
          <w:noProof/>
          <w:lang w:val="es-ES_tradnl"/>
        </w:rPr>
        <w:tab/>
        <w:t xml:space="preserve">Bajo estas consideraciones, para efectos de la consulta es preciso señalar que las empresas prestadoras de servicios públicos domiciliarios, al contar con un régimen contractual distinto al establecido en el EGCAP, esto es, al regirse por el derecho privado –conforme se expuso en el numeral 2.2–, serán destinatarias de los Documentos Tipo, con fundamento en el artículo 56 de la Ley 2195 de 2022, siempre que se cumplan con los presupuestos para su aplicación. De esta manera, la obligación de aplicar los Documentos Tipo, y además, las disposiciones del EGCAP, se extiende no solamente a la celebración del contrato o convenio propiamente dicho, sino también a los compromisos contractuales derivados, según lo expresamente consagrado en el segundo inciso del artículo 56 de la ley citada. Esto implica que, si una empresa prestadora de servicios públicos domiciliarios, en cumplimiento de un compromiso asumido en el contrato celebrado con una entidad sometida al EGCAP, debe contratar una obra o servicio cobijado por algún </w:t>
      </w:r>
      <w:r w:rsidRPr="00FC368C">
        <w:rPr>
          <w:rFonts w:ascii="Century Gothic" w:hAnsi="Century Gothic" w:cs="Arial"/>
          <w:noProof/>
          <w:lang w:val="es-ES_tradnl"/>
        </w:rPr>
        <w:lastRenderedPageBreak/>
        <w:t>Documento Tipo, estará obligada a hacerlo aplicando los mencionados Documentos Tipo, además de adelantar el proceso de contratación y celebrar el contrato conforme al EGCAP.</w:t>
      </w:r>
    </w:p>
    <w:p w14:paraId="29D44314" w14:textId="77777777" w:rsidR="00464416" w:rsidRPr="00FC368C" w:rsidRDefault="00464416" w:rsidP="00464416">
      <w:pPr>
        <w:tabs>
          <w:tab w:val="left" w:pos="0"/>
        </w:tabs>
        <w:spacing w:before="120" w:after="0" w:line="276" w:lineRule="auto"/>
        <w:jc w:val="both"/>
        <w:rPr>
          <w:rFonts w:ascii="Century Gothic" w:hAnsi="Century Gothic" w:cs="Arial"/>
          <w:noProof/>
          <w:lang w:val="es-ES_tradnl"/>
        </w:rPr>
      </w:pPr>
      <w:r w:rsidRPr="00FC368C">
        <w:rPr>
          <w:rFonts w:ascii="Century Gothic" w:hAnsi="Century Gothic" w:cs="Arial"/>
          <w:noProof/>
          <w:lang w:val="es-ES_tradnl"/>
        </w:rPr>
        <w:tab/>
        <w:t>Así, para determinar si se encuentran o no obligados a aplicar los Documentos Tipo, deberán verificar si el objeto contractual a contratar se encuentra cobijado por algún Documento Tipo existente. De no ser así, no solo no resultaría obligatoria la aplicación de los documentos tipo, sino que tampoco habría lugar a la aplicación del EGCAP, en la medida en que tal medida contemplada en el inciso segundo de la norma en comento está condicionada a la aplicación de documentos tipo.</w:t>
      </w:r>
    </w:p>
    <w:p w14:paraId="4F1E2610" w14:textId="77777777" w:rsidR="00464416" w:rsidRPr="00FC368C" w:rsidRDefault="00464416" w:rsidP="00464416">
      <w:pPr>
        <w:tabs>
          <w:tab w:val="left" w:pos="0"/>
        </w:tabs>
        <w:spacing w:before="120" w:after="0" w:line="276" w:lineRule="auto"/>
        <w:jc w:val="both"/>
        <w:rPr>
          <w:rFonts w:ascii="Century Gothic" w:hAnsi="Century Gothic" w:cs="Arial"/>
          <w:noProof/>
          <w:lang w:val="es-ES_tradnl"/>
        </w:rPr>
      </w:pPr>
      <w:r w:rsidRPr="00FC368C">
        <w:rPr>
          <w:rFonts w:ascii="Century Gothic" w:hAnsi="Century Gothic" w:cs="Arial"/>
          <w:noProof/>
          <w:lang w:val="es-ES_tradnl"/>
        </w:rPr>
        <w:tab/>
        <w:t>De esta manera, el deber de aplicar Documentos Tipo por parte de Entidades Estatales con régimen de contratación especial, así como de los patrimonios autónomos, y personas naturales o jurídicas de derecho privado, solo se extiende a los procedimientos contractuales cuyos objetos y modalidades en las que deberían ser adelantados, se encuentren dentro del ámbito de aplicación de los Documentos Tipo que se encuentren vigentes. En ese sentido, si el objeto a contratar no se subsume dentro de ningún Documento Tipo, la respectiva persona natural o jurídica, entidad exceptuada o patrimonio autónomo podrá contratar con sujeción a las normas y procedimientos que normalmente lo rigen, sin que con ello se vulnere lo dispuesto en el artículo 56 ibídem. Esto sin perjuicio de que, en el marco de la autonomía que les corresponde, los referidos sujetos puedan incorporar o retomar componentes de los Documentos Tipo en sus procesos contractuales a modo de buena práctica contractual, siempre que así lo consideren pertinente.</w:t>
      </w:r>
    </w:p>
    <w:p w14:paraId="52A71ECF" w14:textId="77777777" w:rsidR="00464416" w:rsidRPr="00FC368C" w:rsidRDefault="00464416" w:rsidP="00464416">
      <w:pPr>
        <w:tabs>
          <w:tab w:val="left" w:pos="0"/>
        </w:tabs>
        <w:spacing w:after="0" w:line="276" w:lineRule="auto"/>
        <w:jc w:val="both"/>
        <w:rPr>
          <w:rFonts w:ascii="Century Gothic" w:hAnsi="Century Gothic" w:cs="Arial"/>
          <w:noProof/>
          <w:lang w:val="es-ES_tradnl"/>
        </w:rPr>
      </w:pPr>
    </w:p>
    <w:p w14:paraId="7055D3B9" w14:textId="77777777" w:rsidR="00464416" w:rsidRPr="00FC368C" w:rsidRDefault="00464416" w:rsidP="00464416">
      <w:pPr>
        <w:tabs>
          <w:tab w:val="left" w:pos="0"/>
        </w:tabs>
        <w:spacing w:after="0" w:line="240" w:lineRule="auto"/>
        <w:jc w:val="both"/>
        <w:rPr>
          <w:rFonts w:ascii="Century Gothic" w:hAnsi="Century Gothic" w:cs="Arial"/>
          <w:b/>
          <w:bCs/>
          <w:noProof/>
          <w:lang w:val="es-ES_tradnl"/>
        </w:rPr>
      </w:pPr>
      <w:r w:rsidRPr="00FC368C">
        <w:rPr>
          <w:rFonts w:ascii="Century Gothic" w:hAnsi="Century Gothic" w:cs="Arial"/>
          <w:b/>
          <w:bCs/>
          <w:noProof/>
          <w:lang w:val="es-ES_tradnl"/>
        </w:rPr>
        <w:t xml:space="preserve">2.4. </w:t>
      </w:r>
      <w:r w:rsidRPr="00FC368C">
        <w:rPr>
          <w:rFonts w:ascii="Century Gothic" w:eastAsia="Calibri" w:hAnsi="Century Gothic" w:cs="Arial"/>
          <w:b/>
          <w:bCs/>
          <w:lang w:val="es-ES_tradnl" w:eastAsia="es-ES_tradnl"/>
        </w:rPr>
        <w:t>Alcance del deber de las entidades con regímenes especiales de publicar en el SECOP II la información concerniente a su actividad contractual. Reiteración</w:t>
      </w:r>
    </w:p>
    <w:p w14:paraId="27A848F5" w14:textId="77777777" w:rsidR="00464416" w:rsidRPr="00FC368C" w:rsidRDefault="00464416" w:rsidP="00464416">
      <w:pPr>
        <w:spacing w:after="0" w:line="276" w:lineRule="auto"/>
        <w:contextualSpacing/>
        <w:jc w:val="both"/>
        <w:rPr>
          <w:rFonts w:ascii="Century Gothic" w:eastAsia="Calibri" w:hAnsi="Century Gothic" w:cstheme="majorHAnsi"/>
          <w:bCs/>
          <w:lang w:val="es-MX"/>
        </w:rPr>
      </w:pPr>
    </w:p>
    <w:p w14:paraId="7E03B671" w14:textId="77777777" w:rsidR="00464416" w:rsidRPr="00FC368C" w:rsidRDefault="00464416" w:rsidP="00464416">
      <w:pPr>
        <w:spacing w:after="0" w:line="276" w:lineRule="auto"/>
        <w:contextualSpacing/>
        <w:jc w:val="both"/>
        <w:rPr>
          <w:rFonts w:ascii="Century Gothic" w:eastAsia="Calibri" w:hAnsi="Century Gothic" w:cstheme="majorHAnsi"/>
          <w:bCs/>
          <w:lang w:val="es-MX"/>
        </w:rPr>
      </w:pPr>
      <w:r w:rsidRPr="00FC368C">
        <w:rPr>
          <w:rFonts w:ascii="Century Gothic" w:eastAsia="Calibri" w:hAnsi="Century Gothic" w:cstheme="majorHAnsi"/>
          <w:bCs/>
          <w:lang w:val="es-MX"/>
        </w:rPr>
        <w:t xml:space="preserve">Uno de los postulados más importantes de un Estado Social y Democrático de Derecho es el </w:t>
      </w:r>
      <w:r w:rsidRPr="00FC368C">
        <w:rPr>
          <w:rFonts w:ascii="Century Gothic" w:eastAsia="Calibri" w:hAnsi="Century Gothic" w:cstheme="majorHAnsi"/>
          <w:bCs/>
          <w:i/>
          <w:iCs/>
          <w:lang w:val="es-MX"/>
        </w:rPr>
        <w:t>principio de publicidad</w:t>
      </w:r>
      <w:r w:rsidRPr="00FC368C">
        <w:rPr>
          <w:rFonts w:ascii="Century Gothic" w:eastAsia="Calibri" w:hAnsi="Century Gothic" w:cstheme="majorHAnsi"/>
          <w:bCs/>
          <w:lang w:val="es-MX"/>
        </w:rPr>
        <w:t xml:space="preserve">, pues este permite que las actuaciones de las autoridades gocen de visibilidad.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artículo 74, que consagra la garantía de acceso a los documentos públicos que no gocen de reserva –y esta, además, es excepcional, pues solo procede si existe causal constitucional o legal expresa–. En tal perspectiva, la Corte Constitucional </w:t>
      </w:r>
      <w:r w:rsidRPr="00FC368C">
        <w:rPr>
          <w:rFonts w:ascii="Century Gothic" w:eastAsia="Calibri" w:hAnsi="Century Gothic" w:cstheme="majorHAnsi"/>
          <w:bCs/>
          <w:lang w:val="es-MX"/>
        </w:rPr>
        <w:lastRenderedPageBreak/>
        <w:t>ha señalado que el principio de publicidad es la garantía que tienen las personas de conocer las actuaciones judiciales y administrativas. De este modo, explica:</w:t>
      </w:r>
    </w:p>
    <w:p w14:paraId="6F7B0C47" w14:textId="77777777" w:rsidR="00464416" w:rsidRPr="00FC368C" w:rsidRDefault="00464416" w:rsidP="00464416">
      <w:pPr>
        <w:spacing w:after="0" w:line="276" w:lineRule="auto"/>
        <w:ind w:firstLine="709"/>
        <w:contextualSpacing/>
        <w:jc w:val="both"/>
        <w:rPr>
          <w:rFonts w:ascii="Century Gothic" w:eastAsia="Calibri" w:hAnsi="Century Gothic" w:cstheme="majorHAnsi"/>
          <w:bCs/>
          <w:lang w:val="es-MX"/>
        </w:rPr>
      </w:pPr>
    </w:p>
    <w:p w14:paraId="5E92EA1D" w14:textId="77777777" w:rsidR="00464416" w:rsidRPr="00FC368C" w:rsidRDefault="00464416" w:rsidP="00464416">
      <w:pPr>
        <w:tabs>
          <w:tab w:val="left" w:pos="3885"/>
        </w:tabs>
        <w:spacing w:after="0" w:line="240" w:lineRule="auto"/>
        <w:ind w:left="709" w:right="709"/>
        <w:contextualSpacing/>
        <w:jc w:val="both"/>
        <w:rPr>
          <w:rFonts w:ascii="Century Gothic" w:eastAsia="Calibri" w:hAnsi="Century Gothic" w:cstheme="majorHAnsi"/>
          <w:bCs/>
          <w:sz w:val="21"/>
          <w:szCs w:val="21"/>
          <w:lang w:val="es-MX"/>
        </w:rPr>
      </w:pPr>
      <m:oMath>
        <m:r>
          <m:rPr>
            <m:sty m:val="p"/>
          </m:rPr>
          <w:rPr>
            <w:rFonts w:ascii="Cambria Math" w:eastAsia="Calibri" w:hAnsi="Cambria Math" w:cstheme="majorHAnsi"/>
            <w:sz w:val="21"/>
            <w:szCs w:val="21"/>
            <w:lang w:val="es-MX"/>
          </w:rPr>
          <m:t>“</m:t>
        </m:r>
      </m:oMath>
      <w:r w:rsidRPr="00FC368C">
        <w:rPr>
          <w:rFonts w:ascii="Century Gothic" w:eastAsia="Calibri" w:hAnsi="Century Gothic" w:cstheme="majorHAnsi"/>
          <w:bCs/>
          <w:sz w:val="21"/>
          <w:szCs w:val="21"/>
          <w:lang w:val="es-MX"/>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452C5126" w14:textId="77777777" w:rsidR="00464416" w:rsidRPr="00FC368C" w:rsidRDefault="00464416" w:rsidP="00464416">
      <w:pPr>
        <w:tabs>
          <w:tab w:val="left" w:pos="3885"/>
        </w:tabs>
        <w:spacing w:after="0" w:line="240" w:lineRule="auto"/>
        <w:ind w:left="709" w:right="709"/>
        <w:contextualSpacing/>
        <w:jc w:val="both"/>
        <w:rPr>
          <w:rFonts w:ascii="Century Gothic" w:eastAsia="Calibri" w:hAnsi="Century Gothic" w:cstheme="majorHAnsi"/>
          <w:bCs/>
          <w:sz w:val="21"/>
          <w:szCs w:val="21"/>
          <w:lang w:val="es-MX"/>
        </w:rPr>
      </w:pPr>
    </w:p>
    <w:p w14:paraId="5031E6E3" w14:textId="77777777" w:rsidR="00464416" w:rsidRPr="00FC368C" w:rsidRDefault="00464416" w:rsidP="00464416">
      <w:pPr>
        <w:tabs>
          <w:tab w:val="left" w:pos="3885"/>
          <w:tab w:val="left" w:pos="8222"/>
        </w:tabs>
        <w:spacing w:after="0" w:line="240" w:lineRule="auto"/>
        <w:ind w:left="709" w:right="709"/>
        <w:contextualSpacing/>
        <w:jc w:val="both"/>
        <w:rPr>
          <w:rFonts w:ascii="Century Gothic" w:eastAsia="Calibri" w:hAnsi="Century Gothic" w:cstheme="majorHAnsi"/>
          <w:bCs/>
          <w:sz w:val="21"/>
          <w:szCs w:val="21"/>
          <w:lang w:val="es-MX"/>
        </w:rPr>
      </w:pPr>
      <w:r w:rsidRPr="00FC368C">
        <w:rPr>
          <w:rFonts w:ascii="Century Gothic" w:eastAsia="Calibri" w:hAnsi="Century Gothic" w:cstheme="majorHAnsi"/>
          <w:bCs/>
          <w:sz w:val="21"/>
          <w:szCs w:val="21"/>
          <w:lang w:val="es-MX"/>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FC368C">
        <w:rPr>
          <w:rFonts w:ascii="Century Gothic" w:eastAsia="Calibri" w:hAnsi="Century Gothic" w:cstheme="majorHAnsi"/>
          <w:bCs/>
          <w:sz w:val="21"/>
          <w:szCs w:val="21"/>
          <w:lang w:val="es-MX"/>
        </w:rPr>
        <w:t>autoridades públicas</w:t>
      </w:r>
      <w:proofErr w:type="gramEnd"/>
      <w:r w:rsidRPr="00FC368C">
        <w:rPr>
          <w:rFonts w:ascii="Century Gothic" w:eastAsia="Calibri" w:hAnsi="Century Gothic" w:cstheme="majorHAnsi"/>
          <w:bCs/>
          <w:sz w:val="21"/>
          <w:szCs w:val="21"/>
          <w:lang w:val="es-MX"/>
        </w:rPr>
        <w:t xml:space="preserve"> y, a través de ese conocimiento, a exigir que ellas se surtan conforme a la ley”.</w:t>
      </w:r>
      <w:r w:rsidRPr="00FC368C">
        <w:rPr>
          <w:rFonts w:ascii="Century Gothic" w:eastAsia="Calibri" w:hAnsi="Century Gothic" w:cstheme="majorHAnsi"/>
          <w:bCs/>
          <w:sz w:val="21"/>
          <w:szCs w:val="21"/>
          <w:vertAlign w:val="superscript"/>
          <w:lang w:val="es-MX"/>
        </w:rPr>
        <w:footnoteReference w:id="11"/>
      </w:r>
    </w:p>
    <w:p w14:paraId="25736244" w14:textId="77777777" w:rsidR="00464416" w:rsidRPr="00FC368C" w:rsidRDefault="00464416" w:rsidP="00464416">
      <w:pPr>
        <w:spacing w:after="0" w:line="276" w:lineRule="auto"/>
        <w:ind w:firstLine="709"/>
        <w:contextualSpacing/>
        <w:jc w:val="both"/>
        <w:rPr>
          <w:rFonts w:ascii="Century Gothic" w:eastAsia="Calibri" w:hAnsi="Century Gothic" w:cstheme="majorHAnsi"/>
          <w:bCs/>
          <w:lang w:val="es-MX"/>
        </w:rPr>
      </w:pPr>
    </w:p>
    <w:p w14:paraId="568D8F56" w14:textId="77777777" w:rsidR="00464416" w:rsidRPr="00FC368C" w:rsidRDefault="00464416" w:rsidP="00464416">
      <w:pPr>
        <w:spacing w:after="120" w:line="276" w:lineRule="auto"/>
        <w:ind w:firstLine="709"/>
        <w:jc w:val="both"/>
        <w:rPr>
          <w:rFonts w:ascii="Century Gothic" w:eastAsia="Calibri" w:hAnsi="Century Gothic" w:cstheme="majorHAnsi"/>
          <w:bCs/>
          <w:lang w:val="es-MX"/>
        </w:rPr>
      </w:pPr>
      <w:r w:rsidRPr="00FC368C">
        <w:rPr>
          <w:rFonts w:ascii="Century Gothic" w:eastAsia="Calibri" w:hAnsi="Century Gothic" w:cstheme="majorHAnsi"/>
          <w:bCs/>
          <w:lang w:val="es-MX"/>
        </w:rPr>
        <w:t xml:space="preserve">El principio de publicidad impone a las autoridades el deber de dar a conocer sus actos, contratos y decisiones, para que se divulguen y, eventualmente, se controlen dichas actuaciones. Es por eso </w:t>
      </w:r>
      <w:proofErr w:type="gramStart"/>
      <w:r w:rsidRPr="00FC368C">
        <w:rPr>
          <w:rFonts w:ascii="Century Gothic" w:eastAsia="Calibri" w:hAnsi="Century Gothic" w:cstheme="majorHAnsi"/>
          <w:bCs/>
          <w:lang w:val="es-MX"/>
        </w:rPr>
        <w:t>que</w:t>
      </w:r>
      <w:proofErr w:type="gramEnd"/>
      <w:r w:rsidRPr="00FC368C">
        <w:rPr>
          <w:rFonts w:ascii="Century Gothic" w:eastAsia="Calibri" w:hAnsi="Century Gothic" w:cstheme="majorHAnsi"/>
          <w:bCs/>
          <w:lang w:val="es-MX"/>
        </w:rPr>
        <w:t>, en materia de la contratación estatal, el literal c) del artículo 3 de la Ley 1150 de 2007 establece el Sistema Electrónico para la Contratación Pública –SECOP– como un mecanismo que “contará con la información oficial de la contratación realizada con dineros públicos, para lo cual establecerá los patrones a que haya lugar y se encargará de su difusión a través de canales electrónicos”</w:t>
      </w:r>
      <w:r w:rsidRPr="00FC368C">
        <w:rPr>
          <w:rFonts w:ascii="Century Gothic" w:eastAsia="Calibri" w:hAnsi="Century Gothic" w:cstheme="majorHAnsi"/>
          <w:bCs/>
          <w:vertAlign w:val="superscript"/>
          <w:lang w:val="es-MX"/>
        </w:rPr>
        <w:footnoteReference w:id="12"/>
      </w:r>
      <w:r w:rsidRPr="00FC368C">
        <w:rPr>
          <w:rFonts w:ascii="Century Gothic" w:eastAsia="Calibri" w:hAnsi="Century Gothic" w:cstheme="majorHAnsi"/>
          <w:bCs/>
          <w:lang w:val="es-MX"/>
        </w:rPr>
        <w:t xml:space="preserve">. </w:t>
      </w:r>
    </w:p>
    <w:p w14:paraId="0FC0BEC5" w14:textId="77777777" w:rsidR="00464416" w:rsidRPr="00FC368C" w:rsidRDefault="00464416" w:rsidP="00464416">
      <w:pPr>
        <w:spacing w:after="120" w:line="276" w:lineRule="auto"/>
        <w:ind w:firstLine="708"/>
        <w:jc w:val="both"/>
        <w:rPr>
          <w:rFonts w:ascii="Century Gothic" w:eastAsia="Calibri" w:hAnsi="Century Gothic" w:cstheme="majorHAnsi"/>
          <w:bCs/>
          <w:lang w:val="es-MX"/>
        </w:rPr>
      </w:pPr>
      <w:r w:rsidRPr="00FC368C">
        <w:rPr>
          <w:rFonts w:ascii="Century Gothic" w:eastAsia="Calibri" w:hAnsi="Century Gothic" w:cstheme="majorHAnsi"/>
          <w:bCs/>
          <w:lang w:val="es-MX"/>
        </w:rPr>
        <w:t>De otra parte, la Ley 1712 de 2014, “</w:t>
      </w:r>
      <w:r w:rsidRPr="00FC368C">
        <w:rPr>
          <w:rFonts w:ascii="Century Gothic" w:eastAsia="Calibri" w:hAnsi="Century Gothic" w:cstheme="majorHAnsi"/>
        </w:rPr>
        <w:t>P</w:t>
      </w:r>
      <w:r w:rsidRPr="00FC368C">
        <w:rPr>
          <w:rFonts w:ascii="Century Gothic" w:eastAsia="Times New Roman" w:hAnsi="Century Gothic" w:cstheme="majorHAnsi"/>
          <w:lang w:eastAsia="es-CO"/>
        </w:rPr>
        <w:t>or medio de la cual se crea la Ley de Transparencia y del Derecho de Acceso a la Información Pública Nacional y se dictan otras disposiciones</w:t>
      </w:r>
      <w:r w:rsidRPr="00FC368C">
        <w:rPr>
          <w:rFonts w:ascii="Century Gothic" w:eastAsia="Calibri" w:hAnsi="Century Gothic" w:cstheme="majorHAnsi"/>
          <w:bCs/>
          <w:lang w:val="es-MX"/>
        </w:rPr>
        <w:t xml:space="preserve">”, identifica como principios que orientan el derecho de acceso a la información pública, el principio de máxima publicidad, el principio de transparencia en la información y el principio de buena fe. El principio de </w:t>
      </w:r>
      <w:r w:rsidRPr="00FC368C">
        <w:rPr>
          <w:rFonts w:ascii="Century Gothic" w:eastAsia="Calibri" w:hAnsi="Century Gothic" w:cstheme="majorHAnsi"/>
          <w:bCs/>
          <w:i/>
          <w:iCs/>
          <w:lang w:val="es-MX"/>
        </w:rPr>
        <w:t xml:space="preserve">máxima </w:t>
      </w:r>
      <w:r w:rsidRPr="00FC368C">
        <w:rPr>
          <w:rFonts w:ascii="Century Gothic" w:eastAsia="Calibri" w:hAnsi="Century Gothic" w:cstheme="majorHAnsi"/>
          <w:bCs/>
          <w:i/>
          <w:iCs/>
          <w:lang w:val="es-MX"/>
        </w:rPr>
        <w:lastRenderedPageBreak/>
        <w:t>publicidad</w:t>
      </w:r>
      <w:r w:rsidRPr="00FC368C">
        <w:rPr>
          <w:rFonts w:ascii="Century Gothic" w:eastAsia="Calibri" w:hAnsi="Century Gothic" w:cstheme="majorHAnsi"/>
          <w:bCs/>
          <w:lang w:val="es-MX"/>
        </w:rPr>
        <w:t xml:space="preserve"> establece que “toda información en posesión, bajo control o custodia de un sujeto obligado es pública y no podrá ser reservada o limitada sino por disposición constitucional o legal”</w:t>
      </w:r>
      <w:r w:rsidRPr="00FC368C">
        <w:rPr>
          <w:rFonts w:ascii="Century Gothic" w:eastAsia="Calibri" w:hAnsi="Century Gothic" w:cstheme="majorHAnsi"/>
          <w:bCs/>
          <w:vertAlign w:val="superscript"/>
          <w:lang w:val="es-MX"/>
        </w:rPr>
        <w:footnoteReference w:id="13"/>
      </w:r>
      <w:r w:rsidRPr="00FC368C">
        <w:rPr>
          <w:rFonts w:ascii="Century Gothic" w:eastAsia="Calibri" w:hAnsi="Century Gothic" w:cstheme="majorHAnsi"/>
          <w:bCs/>
          <w:lang w:val="es-MX"/>
        </w:rPr>
        <w:t xml:space="preserve">. El </w:t>
      </w:r>
      <w:r w:rsidRPr="00FC368C">
        <w:rPr>
          <w:rFonts w:ascii="Century Gothic" w:eastAsia="Calibri" w:hAnsi="Century Gothic" w:cstheme="majorHAnsi"/>
          <w:bCs/>
          <w:i/>
          <w:iCs/>
          <w:lang w:val="es-MX"/>
        </w:rPr>
        <w:t>principio de transparencia</w:t>
      </w:r>
      <w:r w:rsidRPr="00FC368C">
        <w:rPr>
          <w:rFonts w:ascii="Century Gothic" w:eastAsia="Calibri" w:hAnsi="Century Gothic" w:cstheme="majorHAnsi"/>
          <w:bCs/>
          <w:lang w:val="es-MX"/>
        </w:rPr>
        <w:t xml:space="preserve"> en la información alude al deber de los sujetos de proporcionar y facilitar el acceso a la misma en los términos más amplios posibles, a través de los medios y procedimientos legales</w:t>
      </w:r>
      <w:r w:rsidRPr="00FC368C">
        <w:rPr>
          <w:rFonts w:ascii="Century Gothic" w:eastAsia="Times New Roman" w:hAnsi="Century Gothic" w:cstheme="majorHAnsi"/>
          <w:vertAlign w:val="superscript"/>
          <w:lang w:eastAsia="es-CO"/>
        </w:rPr>
        <w:footnoteReference w:id="14"/>
      </w:r>
      <w:r w:rsidRPr="00FC368C">
        <w:rPr>
          <w:rFonts w:ascii="Century Gothic" w:eastAsia="Calibri" w:hAnsi="Century Gothic" w:cstheme="majorHAnsi"/>
          <w:bCs/>
          <w:lang w:val="es-MX"/>
        </w:rPr>
        <w:t xml:space="preserve">. Y el </w:t>
      </w:r>
      <w:r w:rsidRPr="00FC368C">
        <w:rPr>
          <w:rFonts w:ascii="Century Gothic" w:eastAsia="Calibri" w:hAnsi="Century Gothic" w:cstheme="majorHAnsi"/>
          <w:bCs/>
          <w:i/>
          <w:iCs/>
          <w:lang w:val="es-MX"/>
        </w:rPr>
        <w:t>principio de buena fe</w:t>
      </w:r>
      <w:r w:rsidRPr="00FC368C">
        <w:rPr>
          <w:rFonts w:ascii="Century Gothic" w:eastAsia="Calibri" w:hAnsi="Century Gothic" w:cstheme="majorHAnsi"/>
          <w:bCs/>
          <w:lang w:val="es-MX"/>
        </w:rPr>
        <w:t xml:space="preserve"> hace referencia al deber de todo sujeto obligado de cumplir con las obligaciones derivadas del derecho de acceso a la información pública con motivación honesta, leal y desprovista de cualquier intención dolosa o culposa</w:t>
      </w:r>
      <w:r w:rsidRPr="00FC368C">
        <w:rPr>
          <w:rFonts w:ascii="Century Gothic" w:eastAsia="Calibri" w:hAnsi="Century Gothic" w:cstheme="majorHAnsi"/>
          <w:bCs/>
          <w:vertAlign w:val="superscript"/>
          <w:lang w:val="es-MX"/>
        </w:rPr>
        <w:footnoteReference w:id="15"/>
      </w:r>
      <w:r w:rsidRPr="00FC368C">
        <w:rPr>
          <w:rFonts w:ascii="Century Gothic" w:eastAsia="Calibri" w:hAnsi="Century Gothic" w:cstheme="majorHAnsi"/>
          <w:bCs/>
          <w:lang w:val="es-MX"/>
        </w:rPr>
        <w:t xml:space="preserve">. </w:t>
      </w:r>
    </w:p>
    <w:p w14:paraId="70634DF3" w14:textId="77777777" w:rsidR="00464416" w:rsidRPr="00FC368C" w:rsidRDefault="00464416" w:rsidP="00464416">
      <w:pPr>
        <w:spacing w:after="120" w:line="276" w:lineRule="auto"/>
        <w:ind w:firstLine="709"/>
        <w:jc w:val="both"/>
        <w:rPr>
          <w:rFonts w:ascii="Century Gothic" w:eastAsia="Times New Roman" w:hAnsi="Century Gothic" w:cstheme="majorHAnsi"/>
          <w:lang w:eastAsia="es-CO"/>
        </w:rPr>
      </w:pPr>
      <w:r w:rsidRPr="00FC368C">
        <w:rPr>
          <w:rFonts w:ascii="Century Gothic" w:eastAsia="Calibri" w:hAnsi="Century Gothic" w:cstheme="majorHAnsi"/>
          <w:bCs/>
          <w:lang w:val="es-MX"/>
        </w:rPr>
        <w:t xml:space="preserve">La citada Ley establece, </w:t>
      </w:r>
      <w:bookmarkStart w:id="8" w:name="_Hlk112225357"/>
      <w:r w:rsidRPr="00FC368C">
        <w:rPr>
          <w:rFonts w:ascii="Century Gothic" w:eastAsia="Calibri" w:hAnsi="Century Gothic" w:cstheme="majorHAnsi"/>
          <w:bCs/>
          <w:lang w:val="es-MX"/>
        </w:rPr>
        <w:t xml:space="preserve">en el literal e) del artículo 9, que los </w:t>
      </w:r>
      <w:r w:rsidRPr="00FC368C">
        <w:rPr>
          <w:rFonts w:ascii="Century Gothic" w:eastAsia="Calibri" w:hAnsi="Century Gothic" w:cstheme="majorHAnsi"/>
          <w:bCs/>
          <w:i/>
          <w:iCs/>
          <w:lang w:val="es-MX"/>
        </w:rPr>
        <w:t>sujetos obligados</w:t>
      </w:r>
      <w:r w:rsidRPr="00FC368C">
        <w:rPr>
          <w:rFonts w:ascii="Century Gothic" w:eastAsia="Calibri" w:hAnsi="Century Gothic" w:cstheme="majorHAnsi"/>
          <w:bCs/>
          <w:lang w:val="es-MX"/>
        </w:rPr>
        <w:t xml:space="preserve"> deben publicar la información relativa a su contratación</w:t>
      </w:r>
      <w:r w:rsidRPr="00FC368C">
        <w:rPr>
          <w:rFonts w:ascii="Century Gothic" w:eastAsia="Times New Roman" w:hAnsi="Century Gothic" w:cstheme="majorHAnsi"/>
          <w:vertAlign w:val="superscript"/>
          <w:lang w:eastAsia="es-CO"/>
        </w:rPr>
        <w:footnoteReference w:id="16"/>
      </w:r>
      <w:r w:rsidRPr="00FC368C">
        <w:rPr>
          <w:rFonts w:ascii="Century Gothic" w:eastAsia="Calibri" w:hAnsi="Century Gothic" w:cstheme="majorHAnsi"/>
          <w:bCs/>
          <w:lang w:val="es-MX"/>
        </w:rPr>
        <w:t xml:space="preserve">. El artículo 5 ibidem, al describir qué se entiende por sujetos obligados, consagra una lista cuyo propósito es incluir a cualquier entidad, órgano, organismo, o persona natural que desempeñe funciones públicas o administre recursos públicos. </w:t>
      </w:r>
      <w:r w:rsidRPr="00FC368C">
        <w:rPr>
          <w:rFonts w:ascii="Century Gothic" w:eastAsia="Arial MT" w:hAnsi="Century Gothic" w:cstheme="majorHAnsi"/>
          <w:lang w:val="es-ES"/>
        </w:rPr>
        <w:t>Igualmente, establece que son sujetos obligados las empresas públicas, las empresas del Estado y las sociedades en las que el Estado tenga participación, sin que importe su monto</w:t>
      </w:r>
      <w:r w:rsidRPr="00FC368C">
        <w:rPr>
          <w:rFonts w:ascii="Century Gothic" w:eastAsia="Times New Roman" w:hAnsi="Century Gothic" w:cstheme="majorHAnsi"/>
          <w:vertAlign w:val="superscript"/>
          <w:lang w:eastAsia="es-CO"/>
        </w:rPr>
        <w:footnoteReference w:id="17"/>
      </w:r>
      <w:r w:rsidRPr="00FC368C">
        <w:rPr>
          <w:rFonts w:ascii="Century Gothic" w:eastAsia="Arial MT" w:hAnsi="Century Gothic" w:cstheme="majorHAnsi"/>
          <w:lang w:val="es-ES"/>
        </w:rPr>
        <w:t>.</w:t>
      </w:r>
      <w:r w:rsidRPr="00FC368C">
        <w:rPr>
          <w:rFonts w:ascii="Century Gothic" w:eastAsia="Times New Roman" w:hAnsi="Century Gothic" w:cstheme="majorHAnsi"/>
          <w:lang w:eastAsia="es-CO"/>
        </w:rPr>
        <w:t xml:space="preserve"> 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w:t>
      </w:r>
      <w:r w:rsidRPr="00FC368C">
        <w:rPr>
          <w:rFonts w:ascii="Century Gothic" w:eastAsia="Times New Roman" w:hAnsi="Century Gothic" w:cstheme="majorHAnsi"/>
          <w:lang w:eastAsia="es-CO"/>
        </w:rPr>
        <w:lastRenderedPageBreak/>
        <w:t xml:space="preserve">incluidos concursos y licitaciones”, y esta información también debe estar en el SECOP. </w:t>
      </w:r>
    </w:p>
    <w:bookmarkEnd w:id="8"/>
    <w:p w14:paraId="2CB260EF" w14:textId="77777777" w:rsidR="00464416" w:rsidRPr="00FC368C" w:rsidRDefault="00464416" w:rsidP="00464416">
      <w:pPr>
        <w:spacing w:after="120" w:line="276" w:lineRule="auto"/>
        <w:ind w:firstLine="708"/>
        <w:jc w:val="both"/>
        <w:rPr>
          <w:rFonts w:ascii="Century Gothic" w:eastAsia="Calibri" w:hAnsi="Century Gothic" w:cstheme="majorHAnsi"/>
          <w:bCs/>
          <w:lang w:val="es-MX"/>
        </w:rPr>
      </w:pPr>
      <w:r w:rsidRPr="00FC368C">
        <w:rPr>
          <w:rFonts w:ascii="Century Gothic" w:eastAsia="Calibri" w:hAnsi="Century Gothic" w:cstheme="majorHAnsi"/>
          <w:bCs/>
          <w:lang w:val="es-MX"/>
        </w:rPr>
        <w:t>Esta obligación fue desarrollada por el artículo 2.1.1.2.1.7. del Decreto Único Reglamentario 1081 de 2015</w:t>
      </w:r>
      <w:r w:rsidRPr="00FC368C">
        <w:rPr>
          <w:rFonts w:ascii="Century Gothic" w:eastAsia="Calibri" w:hAnsi="Century Gothic" w:cstheme="majorHAnsi"/>
          <w:bCs/>
          <w:vertAlign w:val="superscript"/>
          <w:lang w:val="es-MX"/>
        </w:rPr>
        <w:footnoteReference w:id="18"/>
      </w:r>
      <w:r w:rsidRPr="00FC368C">
        <w:rPr>
          <w:rFonts w:ascii="Century Gothic" w:eastAsia="Calibri" w:hAnsi="Century Gothic" w:cstheme="majorHAnsi"/>
          <w:bCs/>
          <w:lang w:val="es-MX"/>
        </w:rPr>
        <w:t>, el cual dispuso que la publicación de la información contractual de los sujetos obligados, que contratan con cargo a recursos públicos, debe hacerse en el Sistema Electrónico para la Contratación Pública ─</w:t>
      </w:r>
      <w:r w:rsidRPr="00FC368C">
        <w:rPr>
          <w:rFonts w:ascii="Century Gothic" w:eastAsia="Calibri" w:hAnsi="Century Gothic" w:cstheme="majorHAnsi"/>
          <w:bCs/>
          <w:lang w:val="es-MX"/>
        </w:rPr>
        <w:softHyphen/>
        <w:t xml:space="preserve"> </w:t>
      </w:r>
      <w:r w:rsidRPr="00FC368C">
        <w:rPr>
          <w:rFonts w:ascii="Century Gothic" w:eastAsia="Calibri" w:hAnsi="Century Gothic" w:cstheme="majorHAnsi"/>
          <w:bCs/>
          <w:lang w:val="es-MX"/>
        </w:rPr>
        <w:softHyphen/>
        <w:t>SECOP–.</w:t>
      </w:r>
    </w:p>
    <w:p w14:paraId="523D7BD4" w14:textId="77777777" w:rsidR="00464416" w:rsidRPr="00FC368C" w:rsidRDefault="00464416" w:rsidP="00464416">
      <w:pPr>
        <w:spacing w:after="0" w:line="276" w:lineRule="auto"/>
        <w:ind w:firstLine="709"/>
        <w:contextualSpacing/>
        <w:jc w:val="both"/>
        <w:rPr>
          <w:rFonts w:ascii="Century Gothic" w:eastAsia="Calibri" w:hAnsi="Century Gothic" w:cstheme="majorHAnsi"/>
          <w:bCs/>
          <w:lang w:val="es-MX"/>
        </w:rPr>
      </w:pPr>
      <w:r w:rsidRPr="00FC368C">
        <w:rPr>
          <w:rFonts w:ascii="Century Gothic" w:eastAsia="Calibri" w:hAnsi="Century Gothic" w:cstheme="majorHAnsi"/>
          <w:bCs/>
          <w:lang w:val="es-MX"/>
        </w:rPr>
        <w:t xml:space="preserve">Las anteriores disposiciones normativas fueron complementadas con la expedición de la </w:t>
      </w:r>
      <w:bookmarkStart w:id="9" w:name="_Hlk109111930"/>
      <w:r w:rsidRPr="00FC368C">
        <w:rPr>
          <w:rFonts w:ascii="Century Gothic" w:eastAsia="Calibri" w:hAnsi="Century Gothic" w:cstheme="majorHAnsi"/>
          <w:bCs/>
          <w:lang w:val="es-MX"/>
        </w:rPr>
        <w:t xml:space="preserve">Ley 2195 de 2022, “Por medio de la cual se adoptan medidas en materia de transparencia, prevención y lucha contra la corrupción”. Según lo dispone su artículo 1, esta Ley “[…] 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esta Ley, que lleva por título “Disposiciones en materia contractual para la moralización y la transparencia”, se ubica el artículo 53, mediante el cual se adiciona el artículo 13 de la Ley 1150 de 2007. La referida disposición les asigna la obligación a las entidades estatales que por disposición legal cuenten con un régimen contractual excepcional al del EGCAP de publicar los documentos relacionados con su actividad contractual en el Sistema Electrónico para la Contratación Pública –SECOP II- o la plataforma transaccional que haga sus veces. </w:t>
      </w:r>
      <w:bookmarkEnd w:id="9"/>
      <w:r w:rsidRPr="00FC368C">
        <w:rPr>
          <w:rFonts w:ascii="Century Gothic" w:eastAsia="Calibri" w:hAnsi="Century Gothic" w:cstheme="majorHAnsi"/>
          <w:bCs/>
          <w:lang w:val="es-MX"/>
        </w:rPr>
        <w:t>Al respecto, la norma citada, de manera expresa, señala:</w:t>
      </w:r>
    </w:p>
    <w:p w14:paraId="1BC4470A" w14:textId="77777777" w:rsidR="00464416" w:rsidRPr="00FC368C" w:rsidRDefault="00464416" w:rsidP="00464416">
      <w:pPr>
        <w:spacing w:after="0" w:line="276" w:lineRule="auto"/>
        <w:ind w:firstLine="301"/>
        <w:contextualSpacing/>
        <w:rPr>
          <w:rFonts w:ascii="Century Gothic" w:eastAsia="Calibri" w:hAnsi="Century Gothic" w:cstheme="majorHAnsi"/>
          <w:bCs/>
          <w:lang w:val="es-MX"/>
        </w:rPr>
      </w:pPr>
    </w:p>
    <w:p w14:paraId="53E60800" w14:textId="77777777" w:rsidR="00464416" w:rsidRPr="00FC368C" w:rsidRDefault="00464416" w:rsidP="00464416">
      <w:pPr>
        <w:spacing w:after="0" w:line="240" w:lineRule="auto"/>
        <w:ind w:left="709" w:right="709"/>
        <w:contextualSpacing/>
        <w:jc w:val="both"/>
        <w:rPr>
          <w:rFonts w:ascii="Century Gothic" w:eastAsia="Calibri" w:hAnsi="Century Gothic" w:cstheme="majorHAnsi"/>
          <w:bCs/>
          <w:sz w:val="21"/>
          <w:szCs w:val="21"/>
          <w:lang w:val="es-MX"/>
        </w:rPr>
      </w:pPr>
      <w:r w:rsidRPr="00FC368C">
        <w:rPr>
          <w:rFonts w:ascii="Century Gothic" w:eastAsia="Calibri" w:hAnsi="Century Gothic" w:cstheme="majorHAnsi"/>
          <w:bCs/>
          <w:sz w:val="21"/>
          <w:szCs w:val="21"/>
          <w:lang w:val="es-MX"/>
        </w:rPr>
        <w:t>“Adiciónese los siguientes incisos al artículo 13 de la Ley 1150 de 2007, el cual quedará así:</w:t>
      </w:r>
    </w:p>
    <w:p w14:paraId="3ACDB8C6" w14:textId="77777777" w:rsidR="00464416" w:rsidRPr="00FC368C" w:rsidRDefault="00464416" w:rsidP="00464416">
      <w:pPr>
        <w:spacing w:after="0" w:line="240" w:lineRule="auto"/>
        <w:ind w:left="709" w:right="709"/>
        <w:contextualSpacing/>
        <w:jc w:val="both"/>
        <w:rPr>
          <w:rFonts w:ascii="Century Gothic" w:eastAsia="Calibri" w:hAnsi="Century Gothic" w:cstheme="majorHAnsi"/>
          <w:bCs/>
          <w:sz w:val="21"/>
          <w:szCs w:val="21"/>
          <w:lang w:val="es-MX"/>
        </w:rPr>
      </w:pPr>
    </w:p>
    <w:p w14:paraId="0136566E" w14:textId="77777777" w:rsidR="00464416" w:rsidRPr="00FC368C" w:rsidRDefault="00464416" w:rsidP="00464416">
      <w:pPr>
        <w:spacing w:after="0" w:line="240" w:lineRule="auto"/>
        <w:ind w:left="709" w:right="709"/>
        <w:contextualSpacing/>
        <w:jc w:val="both"/>
        <w:rPr>
          <w:rFonts w:ascii="Century Gothic" w:eastAsia="Calibri" w:hAnsi="Century Gothic" w:cstheme="majorHAnsi"/>
          <w:bCs/>
          <w:sz w:val="21"/>
          <w:szCs w:val="21"/>
          <w:lang w:val="es-MX"/>
        </w:rPr>
      </w:pPr>
      <w:r w:rsidRPr="00FC368C">
        <w:rPr>
          <w:rFonts w:ascii="Century Gothic" w:eastAsia="Calibri" w:hAnsi="Century Gothic" w:cstheme="majorHAnsi"/>
          <w:bCs/>
          <w:sz w:val="21"/>
          <w:szCs w:val="21"/>
          <w:lang w:val="es-MX"/>
        </w:rPr>
        <w:t xml:space="preserve">Artículo 13. PRINCIPIOS GENERALES DE LA ACTIVIDAD CONTRACTUAL PARA ENTIDADES NO SOMETIDAS AL ESTATUTO GENERAL DE CONTRATACIÓN DE LA ADMINISTRACIÓN PÚBLICA.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w:t>
      </w:r>
      <w:r w:rsidRPr="00FC368C">
        <w:rPr>
          <w:rFonts w:ascii="Century Gothic" w:eastAsia="Calibri" w:hAnsi="Century Gothic" w:cstheme="majorHAnsi"/>
          <w:bCs/>
          <w:sz w:val="21"/>
          <w:szCs w:val="21"/>
          <w:lang w:val="es-MX"/>
        </w:rPr>
        <w:lastRenderedPageBreak/>
        <w:t>y 267 de la Constitución Política, respectivamente según sea el caso y estarán sometidas al régimen de inhabilidades e incompatibilidades previsto legalmente para la contratación estatal.</w:t>
      </w:r>
    </w:p>
    <w:p w14:paraId="1C9E6CEA" w14:textId="77777777" w:rsidR="00464416" w:rsidRPr="00FC368C" w:rsidRDefault="00464416" w:rsidP="00464416">
      <w:pPr>
        <w:spacing w:after="0" w:line="240" w:lineRule="auto"/>
        <w:ind w:left="709" w:right="709"/>
        <w:contextualSpacing/>
        <w:jc w:val="both"/>
        <w:rPr>
          <w:rFonts w:ascii="Century Gothic" w:eastAsia="Calibri" w:hAnsi="Century Gothic" w:cstheme="majorHAnsi"/>
          <w:bCs/>
          <w:sz w:val="21"/>
          <w:szCs w:val="21"/>
          <w:lang w:val="es-MX"/>
        </w:rPr>
      </w:pPr>
    </w:p>
    <w:p w14:paraId="04C51445" w14:textId="77777777" w:rsidR="00464416" w:rsidRPr="00FC368C" w:rsidRDefault="00464416" w:rsidP="00464416">
      <w:pPr>
        <w:spacing w:after="0" w:line="240" w:lineRule="auto"/>
        <w:ind w:left="709" w:right="709"/>
        <w:contextualSpacing/>
        <w:jc w:val="both"/>
        <w:rPr>
          <w:rFonts w:ascii="Century Gothic" w:eastAsia="Calibri" w:hAnsi="Century Gothic" w:cstheme="majorHAnsi"/>
          <w:bCs/>
          <w:i/>
          <w:iCs/>
          <w:sz w:val="21"/>
          <w:szCs w:val="21"/>
          <w:lang w:val="es-MX"/>
        </w:rPr>
      </w:pPr>
      <w:r w:rsidRPr="00FC368C">
        <w:rPr>
          <w:rFonts w:ascii="Century Gothic" w:eastAsia="Calibri" w:hAnsi="Century Gothic" w:cstheme="majorHAnsi"/>
          <w:bCs/>
          <w:i/>
          <w:iCs/>
          <w:sz w:val="21"/>
          <w:szCs w:val="21"/>
          <w:lang w:val="es-MX"/>
        </w:rPr>
        <w:t xml:space="preserve">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w:t>
      </w:r>
      <w:proofErr w:type="spellStart"/>
      <w:r w:rsidRPr="00FC368C">
        <w:rPr>
          <w:rFonts w:ascii="Century Gothic" w:eastAsia="Calibri" w:hAnsi="Century Gothic" w:cstheme="majorHAnsi"/>
          <w:bCs/>
          <w:i/>
          <w:iCs/>
          <w:sz w:val="21"/>
          <w:szCs w:val="21"/>
          <w:lang w:val="es-MX"/>
        </w:rPr>
        <w:t>postcontractual</w:t>
      </w:r>
      <w:proofErr w:type="spellEnd"/>
      <w:r w:rsidRPr="00FC368C">
        <w:rPr>
          <w:rFonts w:ascii="Century Gothic" w:eastAsia="Calibri" w:hAnsi="Century Gothic" w:cstheme="majorHAnsi"/>
          <w:bCs/>
          <w:i/>
          <w:iCs/>
          <w:sz w:val="21"/>
          <w:szCs w:val="21"/>
          <w:lang w:val="es-MX"/>
        </w:rPr>
        <w:t>.</w:t>
      </w:r>
    </w:p>
    <w:p w14:paraId="17A75015" w14:textId="77777777" w:rsidR="00464416" w:rsidRPr="00FC368C" w:rsidRDefault="00464416" w:rsidP="00464416">
      <w:pPr>
        <w:spacing w:after="0" w:line="240" w:lineRule="auto"/>
        <w:ind w:left="709" w:right="709"/>
        <w:contextualSpacing/>
        <w:jc w:val="both"/>
        <w:rPr>
          <w:rFonts w:ascii="Century Gothic" w:eastAsia="Calibri" w:hAnsi="Century Gothic" w:cstheme="majorHAnsi"/>
          <w:bCs/>
          <w:sz w:val="21"/>
          <w:szCs w:val="21"/>
          <w:lang w:val="es-MX"/>
        </w:rPr>
      </w:pPr>
    </w:p>
    <w:p w14:paraId="08B7E985" w14:textId="77777777" w:rsidR="00464416" w:rsidRPr="00FC368C" w:rsidRDefault="00464416" w:rsidP="00464416">
      <w:pPr>
        <w:spacing w:after="0" w:line="240" w:lineRule="auto"/>
        <w:ind w:left="709" w:right="709"/>
        <w:contextualSpacing/>
        <w:jc w:val="both"/>
        <w:rPr>
          <w:rFonts w:ascii="Century Gothic" w:eastAsia="Calibri" w:hAnsi="Century Gothic" w:cstheme="majorHAnsi"/>
          <w:bCs/>
          <w:sz w:val="21"/>
          <w:szCs w:val="21"/>
          <w:lang w:val="es-MX"/>
        </w:rPr>
      </w:pPr>
      <w:r w:rsidRPr="00FC368C">
        <w:rPr>
          <w:rFonts w:ascii="Century Gothic" w:eastAsia="Calibri" w:hAnsi="Century Gothic" w:cstheme="majorHAnsi"/>
          <w:bCs/>
          <w:sz w:val="21"/>
          <w:szCs w:val="21"/>
          <w:lang w:val="es-MX"/>
        </w:rPr>
        <w:t xml:space="preserve">A partir de la </w:t>
      </w:r>
      <w:proofErr w:type="gramStart"/>
      <w:r w:rsidRPr="00FC368C">
        <w:rPr>
          <w:rFonts w:ascii="Century Gothic" w:eastAsia="Calibri" w:hAnsi="Century Gothic" w:cstheme="majorHAnsi"/>
          <w:bCs/>
          <w:sz w:val="21"/>
          <w:szCs w:val="21"/>
          <w:lang w:val="es-MX"/>
        </w:rPr>
        <w:t>entrada en vigencia</w:t>
      </w:r>
      <w:proofErr w:type="gramEnd"/>
      <w:r w:rsidRPr="00FC368C">
        <w:rPr>
          <w:rFonts w:ascii="Century Gothic" w:eastAsia="Calibri" w:hAnsi="Century Gothic" w:cstheme="majorHAnsi"/>
          <w:bCs/>
          <w:sz w:val="21"/>
          <w:szCs w:val="21"/>
          <w:lang w:val="es-MX"/>
        </w:rPr>
        <w:t xml:space="preserve"> de la presente Ley, se establecerá un periodo de transición de seis (6) meses, para que las entidades den cumplimiento efectivo a lo aquí establecido”. [Énfasis fuera de texto]</w:t>
      </w:r>
    </w:p>
    <w:p w14:paraId="128651C6" w14:textId="77777777" w:rsidR="00464416" w:rsidRPr="00FC368C" w:rsidRDefault="00464416" w:rsidP="00464416">
      <w:pPr>
        <w:spacing w:after="0" w:line="240" w:lineRule="auto"/>
        <w:ind w:left="709" w:right="709"/>
        <w:contextualSpacing/>
        <w:jc w:val="both"/>
        <w:rPr>
          <w:rFonts w:ascii="Century Gothic" w:eastAsia="Calibri" w:hAnsi="Century Gothic" w:cstheme="majorHAnsi"/>
          <w:bCs/>
          <w:lang w:val="es-MX"/>
        </w:rPr>
      </w:pPr>
    </w:p>
    <w:p w14:paraId="45FBC879" w14:textId="77777777" w:rsidR="00464416" w:rsidRPr="00FC368C" w:rsidRDefault="00464416" w:rsidP="00464416">
      <w:pPr>
        <w:spacing w:after="120" w:line="276" w:lineRule="auto"/>
        <w:ind w:firstLine="709"/>
        <w:jc w:val="both"/>
        <w:rPr>
          <w:rFonts w:ascii="Century Gothic" w:eastAsia="Calibri" w:hAnsi="Century Gothic" w:cstheme="majorBidi"/>
          <w:lang w:val="es-ES"/>
        </w:rPr>
      </w:pPr>
      <w:r w:rsidRPr="0E8BE1E3">
        <w:rPr>
          <w:rFonts w:ascii="Century Gothic" w:eastAsia="Calibri" w:hAnsi="Century Gothic" w:cstheme="majorBidi"/>
          <w:lang w:val="es-ES"/>
        </w:rPr>
        <w:t xml:space="preserve">Como puede observarse, aunque la publicación en el SECOP de los documentos relacionados con la actividad contractual ya era obligatoria para las entidades que cuentan con un régimen especial, el artículo 53 de la Ley 2195 de 2022 –que modifica el artículo 13 de la Ley 1150 de 2007– establece con mayor precisión esta obligación y la complementa con la exigencia de emplear el SECOP II. En otras palabras, a través del artículo 53 de la Ley 2195 de 2022, el Congreso de la República dispone que las entidades estatales exceptuadas del EGCAP deben publicar en el SECOP II –es decir en la plataforma transaccional vigente– su actividad contractual. </w:t>
      </w:r>
    </w:p>
    <w:p w14:paraId="67469A3E" w14:textId="77777777" w:rsidR="00464416" w:rsidRPr="00FC368C" w:rsidRDefault="00464416" w:rsidP="00464416">
      <w:pPr>
        <w:spacing w:after="120" w:line="276" w:lineRule="auto"/>
        <w:ind w:firstLine="709"/>
        <w:jc w:val="both"/>
        <w:rPr>
          <w:rFonts w:ascii="Century Gothic" w:eastAsia="Calibri" w:hAnsi="Century Gothic" w:cstheme="majorHAnsi"/>
          <w:bCs/>
          <w:lang w:val="es-MX"/>
        </w:rPr>
      </w:pPr>
      <w:r w:rsidRPr="00FC368C">
        <w:rPr>
          <w:rFonts w:ascii="Century Gothic" w:eastAsia="Calibri" w:hAnsi="Century Gothic" w:cstheme="majorHAnsi"/>
          <w:bCs/>
          <w:lang w:val="es-MX"/>
        </w:rPr>
        <w:t xml:space="preserve">Ahora bien, cabe destacar que cuando la norma trascrita hace referencia a que el mencionado deber de publicidad debe cumplirse en el SECOP II o “la plataforma transaccional que haga sus veces”, esta expresión debe interpretarse bajo el entendido de que si bien el SECOP II es la plataforma oficial que actualmente se utiliza como mecanismo transaccional, en caso de que en el futuro dicha plataforma sea remplazada por otra que tenga una denominación distinta, las entidades que tienen un régimen exceptuado deben continuar publicando la documentación de su actividad contractual en la nueva plataforma transaccional que para el efecto se cree. En ese sentido, la locución “la plataforma que haga sus veces” no puede interpretarse como una autorización para que las entidades obligadas en virtud del artículo 53 de la Ley 2195 de 2022 empleen sus páginas web o sus propios portales electrónicos para cumplir con el deber de publicidad que les asiste. Con esto se logra que la ciudadanía pueda encontrar en un mismo sistema </w:t>
      </w:r>
      <w:r w:rsidRPr="00FC368C">
        <w:rPr>
          <w:rFonts w:ascii="Century Gothic" w:eastAsia="Calibri" w:hAnsi="Century Gothic" w:cstheme="majorHAnsi"/>
          <w:bCs/>
          <w:lang w:val="es-MX"/>
        </w:rPr>
        <w:lastRenderedPageBreak/>
        <w:t>la gestión de la actividad contractual del Estado, garantizándose en mayor grado la transparencia y el acceso a la documentación pública.</w:t>
      </w:r>
    </w:p>
    <w:p w14:paraId="1A981B3C" w14:textId="77777777" w:rsidR="00464416" w:rsidRPr="00FC368C" w:rsidRDefault="00464416" w:rsidP="00464416">
      <w:pPr>
        <w:spacing w:after="120" w:line="276" w:lineRule="auto"/>
        <w:ind w:firstLine="709"/>
        <w:jc w:val="both"/>
        <w:rPr>
          <w:rFonts w:ascii="Century Gothic" w:eastAsia="Calibri" w:hAnsi="Century Gothic" w:cstheme="majorHAnsi"/>
          <w:bCs/>
          <w:lang w:val="es-MX"/>
        </w:rPr>
      </w:pPr>
      <w:bookmarkStart w:id="10" w:name="_Hlk109111956"/>
      <w:r w:rsidRPr="00FC368C">
        <w:rPr>
          <w:rFonts w:ascii="Century Gothic" w:eastAsia="Calibri" w:hAnsi="Century Gothic" w:cstheme="majorHAnsi"/>
          <w:bCs/>
          <w:lang w:val="es-MX"/>
        </w:rPr>
        <w:t xml:space="preserve">En cuanto a los documentos que deben ser publicados en el SECOP II a efectos de dar cumplimiento al mandato consagrado en el artículo 53 de la Ley 2195 de 2022, es preciso advertir que la disposición hace referencia a los documentos relacionados con su </w:t>
      </w:r>
      <w:r w:rsidRPr="00FC368C">
        <w:rPr>
          <w:rFonts w:ascii="Century Gothic" w:eastAsia="Calibri" w:hAnsi="Century Gothic" w:cstheme="majorHAnsi"/>
          <w:bCs/>
          <w:i/>
          <w:iCs/>
          <w:lang w:val="es-MX"/>
        </w:rPr>
        <w:t>actividad contractual</w:t>
      </w:r>
      <w:r w:rsidRPr="00FC368C">
        <w:rPr>
          <w:rFonts w:ascii="Century Gothic" w:eastAsia="Calibri" w:hAnsi="Century Gothic" w:cstheme="majorHAnsi"/>
          <w:bCs/>
          <w:lang w:val="es-MX"/>
        </w:rPr>
        <w:t xml:space="preserve">, la cual define como “[…] los documentos, contratos, actos e información generada por oferentes, contratista, contratante, supervisor o interventor, tanto en la etapa precontractual, como en la contractual y la </w:t>
      </w:r>
      <w:proofErr w:type="spellStart"/>
      <w:r w:rsidRPr="00FC368C">
        <w:rPr>
          <w:rFonts w:ascii="Century Gothic" w:eastAsia="Calibri" w:hAnsi="Century Gothic" w:cstheme="majorHAnsi"/>
          <w:bCs/>
          <w:lang w:val="es-MX"/>
        </w:rPr>
        <w:t>postcontractual</w:t>
      </w:r>
      <w:proofErr w:type="spellEnd"/>
      <w:r w:rsidRPr="00FC368C">
        <w:rPr>
          <w:rFonts w:ascii="Century Gothic" w:eastAsia="Calibri" w:hAnsi="Century Gothic" w:cstheme="majorHAnsi"/>
          <w:bCs/>
          <w:lang w:val="es-MX"/>
        </w:rPr>
        <w:t xml:space="preserve">”. En ese sentido, el artículo 53 de la Ley 2195 de 2022 establece el deber de publicar toda aquella información relacionada con el respectivo contrato, sin incluir ninguna excepción relacionada con la naturaleza u objeto contractual. Por lo tanto, </w:t>
      </w:r>
      <w:bookmarkEnd w:id="10"/>
      <w:r w:rsidRPr="00FC368C">
        <w:rPr>
          <w:rFonts w:ascii="Century Gothic" w:eastAsia="Calibri" w:hAnsi="Century Gothic" w:cstheme="majorHAnsi"/>
          <w:bCs/>
          <w:lang w:val="es-MX"/>
        </w:rPr>
        <w:t xml:space="preserve">para que las entidades exceptuadas cumplan con el deber de publicidad consagrado en el artículo 53 de la Ley 2195 de 2022, se requiere que publiquen en el SECOP II todo documento expedido durante las diferentes etapas del proceso contractual, abarcando desde la fase previa a su celebración, pasando por la ejecución y hasta la fase posterior a su ejecución. </w:t>
      </w:r>
    </w:p>
    <w:p w14:paraId="5859970D" w14:textId="77777777" w:rsidR="00464416" w:rsidRPr="00FC368C" w:rsidRDefault="00464416" w:rsidP="00464416">
      <w:pPr>
        <w:spacing w:after="120" w:line="276" w:lineRule="auto"/>
        <w:ind w:firstLine="709"/>
        <w:jc w:val="both"/>
        <w:rPr>
          <w:rFonts w:ascii="Century Gothic" w:eastAsia="Calibri" w:hAnsi="Century Gothic" w:cstheme="majorHAnsi"/>
          <w:bCs/>
          <w:lang w:val="es-MX"/>
        </w:rPr>
      </w:pPr>
      <w:r w:rsidRPr="00FC368C">
        <w:rPr>
          <w:rFonts w:ascii="Century Gothic" w:eastAsia="Calibri" w:hAnsi="Century Gothic" w:cstheme="majorHAnsi"/>
          <w:bCs/>
          <w:lang w:val="es-MX"/>
        </w:rPr>
        <w:t>Sin perjuicio de lo anterior, vale la pena aclarar que el cumplimiento del deber de publicación de la documentación contractual debe armonizarse con las normas aplicables al tipo de información que estas contienen</w:t>
      </w:r>
      <w:r w:rsidRPr="00FC368C">
        <w:rPr>
          <w:rFonts w:ascii="Century Gothic" w:eastAsia="Calibri" w:hAnsi="Century Gothic" w:cstheme="majorHAnsi"/>
          <w:bCs/>
          <w:vertAlign w:val="superscript"/>
          <w:lang w:val="es-MX"/>
        </w:rPr>
        <w:footnoteReference w:id="19"/>
      </w:r>
      <w:r w:rsidRPr="00FC368C">
        <w:rPr>
          <w:rFonts w:ascii="Century Gothic" w:eastAsia="Calibri" w:hAnsi="Century Gothic" w:cstheme="majorHAnsi"/>
          <w:bCs/>
          <w:lang w:val="es-MX"/>
        </w:rPr>
        <w:t xml:space="preserve">. Lo anterior significa que, respecto de datos sensibles, información sometida a reserva o de la cual proceda un tratamiento especial que impida su publicidad, las entidades deberán proceder de conformidad con el tratamiento que impongan tales normas. </w:t>
      </w:r>
    </w:p>
    <w:p w14:paraId="0004A7CA" w14:textId="77777777" w:rsidR="00464416" w:rsidRPr="00FC368C" w:rsidRDefault="00464416" w:rsidP="00464416">
      <w:pPr>
        <w:spacing w:after="120" w:line="276" w:lineRule="auto"/>
        <w:ind w:firstLine="709"/>
        <w:jc w:val="both"/>
        <w:rPr>
          <w:rFonts w:ascii="Century Gothic" w:eastAsia="Calibri" w:hAnsi="Century Gothic" w:cstheme="majorHAnsi"/>
          <w:bCs/>
          <w:lang w:val="es-MX"/>
        </w:rPr>
      </w:pPr>
      <w:bookmarkStart w:id="11" w:name="_Hlk109111976"/>
      <w:r w:rsidRPr="00FC368C">
        <w:rPr>
          <w:rFonts w:ascii="Century Gothic" w:eastAsia="Calibri" w:hAnsi="Century Gothic" w:cstheme="majorHAnsi"/>
          <w:bCs/>
          <w:lang w:val="es-MX"/>
        </w:rPr>
        <w:t xml:space="preserve">Por otro lado, el inciso final del artículo 53 dispone que “A partir de la </w:t>
      </w:r>
      <w:proofErr w:type="gramStart"/>
      <w:r w:rsidRPr="00FC368C">
        <w:rPr>
          <w:rFonts w:ascii="Century Gothic" w:eastAsia="Calibri" w:hAnsi="Century Gothic" w:cstheme="majorHAnsi"/>
          <w:bCs/>
          <w:lang w:val="es-MX"/>
        </w:rPr>
        <w:t>entrada en vigencia</w:t>
      </w:r>
      <w:proofErr w:type="gramEnd"/>
      <w:r w:rsidRPr="00FC368C">
        <w:rPr>
          <w:rFonts w:ascii="Century Gothic" w:eastAsia="Calibri" w:hAnsi="Century Gothic" w:cstheme="majorHAnsi"/>
          <w:bCs/>
          <w:lang w:val="es-MX"/>
        </w:rPr>
        <w:t xml:space="preserve"> de la presente Ley, se establecerá un periodo de transición de seis (6) meses, para que las entidades den cumplimiento efectivo a lo aquí establecido”. Es decir, que se trataba un período concedido por el Legislador a las entidades con régimen especial de contratación para adelantar las gestiones administrativas, </w:t>
      </w:r>
      <w:r w:rsidRPr="00FC368C">
        <w:rPr>
          <w:rFonts w:ascii="Century Gothic" w:eastAsia="Calibri" w:hAnsi="Century Gothic" w:cstheme="majorHAnsi"/>
          <w:bCs/>
          <w:lang w:val="es-MX"/>
        </w:rPr>
        <w:lastRenderedPageBreak/>
        <w:t>técnicas y jurídicas pertinentes, a fin de cumplir lo establecido en el artículo citado. Este período de transición estaba comprendido entre el 18 de enero y el 18 de julio de 2022.</w:t>
      </w:r>
      <w:bookmarkEnd w:id="11"/>
      <w:r w:rsidRPr="00FC368C">
        <w:rPr>
          <w:rFonts w:ascii="Century Gothic" w:eastAsia="Calibri" w:hAnsi="Century Gothic" w:cstheme="majorHAnsi"/>
          <w:bCs/>
          <w:lang w:val="es-MX"/>
        </w:rPr>
        <w:t xml:space="preserve"> Si bien la norma materia de estudio no hace referencia a los contratos suscritos con anterioridad a su entrada en vigencia, de acuerdo con el artículo 38 de la Ley 153 de 1887, el cual dispone que en todo contrato se entenderán incorporadas las leyes vigentes al tiempo de su celebración, la obligación para las entidades estatales exceptuadas de publicar los documentos relacionados con su actividad contractual en el SECOP II aplica para los contratos suscritos con posterioridad al término dispuesto en el artículo 53 de la Ley 2195 de 2022, esto es, el 18 de julio de 2022</w:t>
      </w:r>
      <w:r w:rsidRPr="00FC368C">
        <w:rPr>
          <w:rFonts w:ascii="Century Gothic" w:eastAsia="Calibri" w:hAnsi="Century Gothic" w:cstheme="majorHAnsi"/>
          <w:bCs/>
          <w:vertAlign w:val="superscript"/>
          <w:lang w:val="es-MX"/>
        </w:rPr>
        <w:footnoteReference w:id="20"/>
      </w:r>
      <w:r w:rsidRPr="00FC368C">
        <w:rPr>
          <w:rFonts w:ascii="Century Gothic" w:eastAsia="Calibri" w:hAnsi="Century Gothic" w:cstheme="majorHAnsi"/>
          <w:bCs/>
          <w:lang w:val="es-MX"/>
        </w:rPr>
        <w:t xml:space="preserve">. </w:t>
      </w:r>
    </w:p>
    <w:p w14:paraId="4DA5B099" w14:textId="77777777" w:rsidR="00464416" w:rsidRPr="00FC368C" w:rsidRDefault="00464416" w:rsidP="00464416">
      <w:pPr>
        <w:spacing w:after="120" w:line="276" w:lineRule="auto"/>
        <w:ind w:firstLine="709"/>
        <w:jc w:val="both"/>
        <w:rPr>
          <w:rFonts w:ascii="Century Gothic" w:eastAsia="Calibri" w:hAnsi="Century Gothic" w:cstheme="majorHAnsi"/>
          <w:bCs/>
          <w:lang w:val="es-MX"/>
        </w:rPr>
      </w:pPr>
      <w:r w:rsidRPr="00FC368C">
        <w:rPr>
          <w:rFonts w:ascii="Century Gothic" w:eastAsia="Calibri" w:hAnsi="Century Gothic" w:cstheme="majorHAnsi"/>
          <w:bCs/>
          <w:lang w:val="es-MX"/>
        </w:rPr>
        <w:t>Teniendo en cuenta el marco normativo antes reseñado, la Circular Externa Única expedida por la Agencia Nacional de Contratación Pública - Colombia Compra Eficiente estableció que todas las entidades del Estado tienen el deber de publicar oportunamente la información oficial de la contratación en el SECOP, sin distinción de su régimen jurídico, naturaleza jurídica o la pertenencia a una u otra rama del poder público</w:t>
      </w:r>
      <w:r w:rsidRPr="00FC368C">
        <w:rPr>
          <w:rFonts w:ascii="Century Gothic" w:eastAsia="Calibri" w:hAnsi="Century Gothic" w:cstheme="majorHAnsi"/>
          <w:bCs/>
          <w:vertAlign w:val="superscript"/>
          <w:lang w:val="es-MX"/>
        </w:rPr>
        <w:footnoteReference w:id="21"/>
      </w:r>
      <w:r w:rsidRPr="00FC368C">
        <w:rPr>
          <w:rFonts w:ascii="Century Gothic" w:eastAsia="Calibri" w:hAnsi="Century Gothic" w:cstheme="majorHAnsi"/>
          <w:bCs/>
          <w:lang w:val="es-MX"/>
        </w:rPr>
        <w:t xml:space="preserve">. </w:t>
      </w:r>
    </w:p>
    <w:p w14:paraId="6874AA9C" w14:textId="77777777" w:rsidR="00464416" w:rsidRPr="00FC368C" w:rsidRDefault="00464416" w:rsidP="00464416">
      <w:pPr>
        <w:tabs>
          <w:tab w:val="left" w:pos="0"/>
        </w:tabs>
        <w:spacing w:after="0" w:line="276" w:lineRule="auto"/>
        <w:jc w:val="both"/>
        <w:rPr>
          <w:rFonts w:ascii="Century Gothic" w:hAnsi="Century Gothic" w:cs="Arial"/>
          <w:noProof/>
          <w:lang w:val="es-ES_tradnl"/>
        </w:rPr>
      </w:pPr>
      <w:r w:rsidRPr="00FC368C">
        <w:rPr>
          <w:rFonts w:ascii="Century Gothic" w:hAnsi="Century Gothic" w:cs="Arial"/>
          <w:noProof/>
          <w:lang w:val="es-ES_tradnl"/>
        </w:rPr>
        <w:tab/>
        <w:t>De lo expuesto en los considerandos de este concepto, se concluye que las empresas de servicios públicos domiciliarios, independientemente de que el régimen contractual que por regla general les aplica sea el derecho privado, deben publicar su actividad contractual en el SECOP II o la plataforma transaccional que haga sus veces, de acuerod con lo establecido en el artículo 53 de la Ley 2195 de 2022. La disposición citada no consagra ninguna excepción respecto a su aplicación, por lo cual todas las entidades que no se encuentren sometidas al EGCAP deberán cumplor con el deber de publicación analizado en el presente concepto, sin que sea posible modular sus efectos.</w:t>
      </w:r>
    </w:p>
    <w:p w14:paraId="5EC1FFE2" w14:textId="77777777" w:rsidR="00464416" w:rsidRPr="00FC368C" w:rsidRDefault="00464416" w:rsidP="00464416">
      <w:pPr>
        <w:spacing w:before="120" w:after="0" w:line="276" w:lineRule="auto"/>
        <w:ind w:firstLine="709"/>
        <w:jc w:val="both"/>
        <w:rPr>
          <w:rFonts w:ascii="Century Gothic" w:eastAsia="Calibri" w:hAnsi="Century Gothic" w:cs="Arial"/>
          <w:bCs/>
          <w:lang w:val="es-MX"/>
        </w:rPr>
      </w:pPr>
      <w:r w:rsidRPr="00FC368C">
        <w:rPr>
          <w:rFonts w:ascii="Century Gothic" w:eastAsia="Calibri" w:hAnsi="Century Gothic" w:cs="Arial"/>
          <w:bCs/>
          <w:lang w:val="es-MX"/>
        </w:rPr>
        <w:t xml:space="preserve">La anterior conclusión se refuerza si se tiene en cuenta que, de conformidad con el literal e) del artículo 9 y el literal g) del artículo 11 de la Ley 1712 de 2014, desarrollados en el artículo 7 del Decreto 103 de 2015 –compilado en el artículo 2.1.1.2.1.7. del Decreto 1081 de 2015–a los cuales se ha hecho mención en el presente concepto, las entidades estatales –incluidas las que se rigen </w:t>
      </w:r>
      <w:r w:rsidRPr="00FC368C">
        <w:rPr>
          <w:rFonts w:ascii="Century Gothic" w:eastAsia="Calibri" w:hAnsi="Century Gothic" w:cs="Arial"/>
          <w:bCs/>
          <w:lang w:val="es-MX"/>
        </w:rPr>
        <w:lastRenderedPageBreak/>
        <w:t xml:space="preserve">generalmente por el derecho privado en materia contractual–, al ser </w:t>
      </w:r>
      <w:r w:rsidRPr="00FC368C">
        <w:rPr>
          <w:rFonts w:ascii="Century Gothic" w:eastAsia="Calibri" w:hAnsi="Century Gothic" w:cs="Arial"/>
          <w:bCs/>
          <w:i/>
          <w:iCs/>
          <w:lang w:val="es-MX"/>
        </w:rPr>
        <w:t>sujetos obligados</w:t>
      </w:r>
      <w:r w:rsidRPr="00FC368C">
        <w:rPr>
          <w:rFonts w:ascii="Century Gothic" w:eastAsia="Calibri" w:hAnsi="Century Gothic" w:cs="Arial"/>
          <w:bCs/>
          <w:lang w:val="es-MX"/>
        </w:rPr>
        <w:t xml:space="preserve"> a garantizar el derecho de acceso a la información y a los documentos públicos, deben publicar en el SECOP los documentos relacionados con su gestión contractual.</w:t>
      </w:r>
    </w:p>
    <w:p w14:paraId="53825971" w14:textId="77777777" w:rsidR="00464416" w:rsidRPr="00FC368C" w:rsidRDefault="00464416" w:rsidP="00464416">
      <w:pPr>
        <w:spacing w:after="0" w:line="276" w:lineRule="auto"/>
        <w:jc w:val="both"/>
        <w:rPr>
          <w:rFonts w:ascii="Century Gothic" w:eastAsia="Calibri" w:hAnsi="Century Gothic" w:cs="Arial"/>
          <w:bCs/>
          <w:lang w:val="es-MX"/>
        </w:rPr>
      </w:pPr>
    </w:p>
    <w:p w14:paraId="4AAE23CF" w14:textId="77777777" w:rsidR="00464416" w:rsidRPr="00FC368C" w:rsidRDefault="00464416" w:rsidP="00464416">
      <w:pPr>
        <w:spacing w:after="0" w:line="276" w:lineRule="auto"/>
        <w:jc w:val="both"/>
        <w:rPr>
          <w:rFonts w:ascii="Century Gothic" w:eastAsia="Calibri" w:hAnsi="Century Gothic" w:cs="Arial"/>
          <w:b/>
          <w:lang w:val="es-MX"/>
        </w:rPr>
      </w:pPr>
      <w:r w:rsidRPr="00FC368C">
        <w:rPr>
          <w:rFonts w:ascii="Century Gothic" w:eastAsia="Calibri" w:hAnsi="Century Gothic" w:cs="Arial"/>
          <w:b/>
          <w:lang w:val="es-MX"/>
        </w:rPr>
        <w:t>2.4.1. Alcance del deber de las entidades con regímenes especiales de publicar en el SECOP II la información concerniente a su actividad contractual</w:t>
      </w:r>
    </w:p>
    <w:p w14:paraId="15A09B49" w14:textId="77777777" w:rsidR="00464416" w:rsidRPr="00FC368C" w:rsidRDefault="00464416" w:rsidP="00464416">
      <w:pPr>
        <w:spacing w:after="0" w:line="276" w:lineRule="auto"/>
        <w:jc w:val="both"/>
        <w:rPr>
          <w:rFonts w:ascii="Century Gothic" w:eastAsia="Calibri" w:hAnsi="Century Gothic" w:cs="Arial"/>
          <w:b/>
          <w:lang w:val="es-MX"/>
        </w:rPr>
      </w:pPr>
    </w:p>
    <w:p w14:paraId="4D720640" w14:textId="77777777" w:rsidR="00464416" w:rsidRPr="00FC368C" w:rsidRDefault="00464416" w:rsidP="00464416">
      <w:pPr>
        <w:spacing w:after="0" w:line="276" w:lineRule="auto"/>
        <w:jc w:val="both"/>
        <w:rPr>
          <w:rFonts w:ascii="Century Gothic" w:eastAsia="Calibri" w:hAnsi="Century Gothic" w:cs="Arial"/>
          <w:bCs/>
          <w:lang w:val="es-MX"/>
        </w:rPr>
      </w:pPr>
      <w:r w:rsidRPr="00FC368C">
        <w:rPr>
          <w:rFonts w:ascii="Century Gothic" w:eastAsia="Calibri" w:hAnsi="Century Gothic" w:cs="Arial"/>
          <w:bCs/>
          <w:lang w:val="es-MX"/>
        </w:rPr>
        <w:t>Una vez explicada la obligación que les asiste a las entidades con regímenes exceptuados del EGCAP de publicar su actividad contractual en el SECOP II, y teniendo en cuenta la consulta planteada, debe analizarse el alcance de esta obligación para determinar si esta aplica a toda la actividad contractual de este tipo de entidades.</w:t>
      </w:r>
    </w:p>
    <w:p w14:paraId="2A66B113" w14:textId="77777777" w:rsidR="00464416" w:rsidRPr="00FC368C" w:rsidRDefault="00464416" w:rsidP="00464416">
      <w:pPr>
        <w:spacing w:before="120" w:after="0" w:line="276" w:lineRule="auto"/>
        <w:jc w:val="both"/>
        <w:rPr>
          <w:rFonts w:ascii="Century Gothic" w:eastAsia="Calibri" w:hAnsi="Century Gothic" w:cs="Arial"/>
          <w:i/>
          <w:iCs/>
          <w:lang w:val="es-ES" w:eastAsia="es-ES"/>
        </w:rPr>
      </w:pPr>
      <w:r w:rsidRPr="00FC368C">
        <w:rPr>
          <w:rFonts w:ascii="Century Gothic" w:eastAsia="Calibri" w:hAnsi="Century Gothic" w:cs="Arial"/>
          <w:lang w:val="es-ES_tradnl" w:eastAsia="es-ES_tradnl"/>
        </w:rPr>
        <w:tab/>
      </w:r>
      <w:r w:rsidRPr="0E8BE1E3">
        <w:rPr>
          <w:rFonts w:ascii="Century Gothic" w:eastAsia="Calibri" w:hAnsi="Century Gothic" w:cs="Arial"/>
          <w:lang w:val="es-ES" w:eastAsia="es-ES"/>
        </w:rPr>
        <w:t xml:space="preserve">El artículo 53 de la Ley 2195 de 2022 dispone que las entidades con regímenes especiales “deberán publicar los documentos relacionados con su actividad contractual en el Sistema Electrónico para la Contratación Pública –SECOP II– o la plataforma transaccional que haga sus veces”. Como puede observarse, la disposición objeto de estudio no señala de forma expresa si el deber de las entidades exceptuadas de publicar todos los documentos relacionados con su actividad contractual aplica para todos los contratos que se celebren o si, por el contrario, esta obligación sólo se impone respecto de aquellos contratos cuya fuente de financiación proviene de </w:t>
      </w:r>
      <w:r w:rsidRPr="0E8BE1E3">
        <w:rPr>
          <w:rFonts w:ascii="Century Gothic" w:eastAsia="Calibri" w:hAnsi="Century Gothic" w:cs="Arial"/>
          <w:i/>
          <w:iCs/>
          <w:lang w:val="es-ES" w:eastAsia="es-ES"/>
        </w:rPr>
        <w:t>recursos públicos.</w:t>
      </w:r>
    </w:p>
    <w:p w14:paraId="40A3E7FD" w14:textId="77777777" w:rsidR="00464416" w:rsidRPr="00FC368C" w:rsidRDefault="00464416" w:rsidP="00464416">
      <w:pPr>
        <w:tabs>
          <w:tab w:val="left" w:pos="0"/>
        </w:tabs>
        <w:spacing w:before="120" w:after="0" w:line="276" w:lineRule="auto"/>
        <w:jc w:val="both"/>
        <w:rPr>
          <w:rFonts w:ascii="Century Gothic" w:eastAsia="Calibri" w:hAnsi="Century Gothic" w:cs="Arial"/>
          <w:lang w:val="es-ES_tradnl" w:eastAsia="es-ES_tradnl"/>
        </w:rPr>
      </w:pPr>
      <w:r w:rsidRPr="00FC368C">
        <w:rPr>
          <w:rFonts w:ascii="Century Gothic" w:eastAsia="Calibri" w:hAnsi="Century Gothic" w:cs="Arial"/>
          <w:lang w:val="es-ES_tradnl" w:eastAsia="es-ES_tradnl"/>
        </w:rPr>
        <w:tab/>
        <w:t xml:space="preserve">De la lectura del artículo antes citado se pueden extraes al menos dos (2) posturas contrapuestas relacionadas con la interpretación que se realice de la norma. En primer lugar, una interpretación </w:t>
      </w:r>
      <w:r w:rsidRPr="00FC368C">
        <w:rPr>
          <w:rFonts w:ascii="Century Gothic" w:eastAsia="Calibri" w:hAnsi="Century Gothic" w:cs="Arial"/>
          <w:i/>
          <w:iCs/>
          <w:lang w:val="es-ES_tradnl" w:eastAsia="es-ES_tradnl"/>
        </w:rPr>
        <w:t xml:space="preserve">exegética </w:t>
      </w:r>
      <w:r w:rsidRPr="00FC368C">
        <w:rPr>
          <w:rFonts w:ascii="Century Gothic" w:eastAsia="Calibri" w:hAnsi="Century Gothic" w:cs="Arial"/>
          <w:lang w:val="es-ES_tradnl" w:eastAsia="es-ES_tradnl"/>
        </w:rPr>
        <w:t xml:space="preserve">de la disposición plantearía que, dado que el artículo 53 no señala que la obligación de publicar en el SECOP II recae solamente sobre la contratación que se realice con dineros públicos, por tanto, esta aplica para toda la actividad contractual que ejecute la entidad, indistintamente del origen de los recursos. En segundo lugar, una interpretación </w:t>
      </w:r>
      <w:r w:rsidRPr="00FC368C">
        <w:rPr>
          <w:rFonts w:ascii="Century Gothic" w:eastAsia="Calibri" w:hAnsi="Century Gothic" w:cs="Arial"/>
          <w:i/>
          <w:iCs/>
          <w:lang w:val="es-ES_tradnl" w:eastAsia="es-ES_tradnl"/>
        </w:rPr>
        <w:t xml:space="preserve">sistemática </w:t>
      </w:r>
      <w:r w:rsidRPr="00FC368C">
        <w:rPr>
          <w:rFonts w:ascii="Century Gothic" w:eastAsia="Calibri" w:hAnsi="Century Gothic" w:cs="Arial"/>
          <w:lang w:val="es-ES_tradnl" w:eastAsia="es-ES_tradnl"/>
        </w:rPr>
        <w:t xml:space="preserve">de la norma concluiría que el artículo 53, al modificar una disposición de la Ley 1150 de 2007, debe armonizarse con todo el cuerpo normativo consagrado en dicha ley y, dado que este se refiere a la contratación que se realiza con </w:t>
      </w:r>
      <w:r w:rsidRPr="00FC368C">
        <w:rPr>
          <w:rFonts w:ascii="Century Gothic" w:eastAsia="Calibri" w:hAnsi="Century Gothic" w:cs="Arial"/>
          <w:i/>
          <w:iCs/>
          <w:lang w:val="es-ES_tradnl" w:eastAsia="es-ES_tradnl"/>
        </w:rPr>
        <w:t xml:space="preserve">dineros públicos, </w:t>
      </w:r>
      <w:r w:rsidRPr="00FC368C">
        <w:rPr>
          <w:rFonts w:ascii="Century Gothic" w:eastAsia="Calibri" w:hAnsi="Century Gothic" w:cs="Arial"/>
          <w:lang w:val="es-ES_tradnl" w:eastAsia="es-ES_tradnl"/>
        </w:rPr>
        <w:t xml:space="preserve">esto también debe extenderse a la obligación de publicar los documentos en el SECOP II en cabeza de las entidades con regímenes exceptuados. En otras palabras, el deber consagrado en el artículo 53 de la Ley 2195 de 2022 debe armonizarse con el conjunto de normas que delimitan el deber </w:t>
      </w:r>
      <w:r w:rsidRPr="00FC368C">
        <w:rPr>
          <w:rFonts w:ascii="Century Gothic" w:eastAsia="Calibri" w:hAnsi="Century Gothic" w:cs="Arial"/>
          <w:lang w:val="es-ES_tradnl" w:eastAsia="es-ES_tradnl"/>
        </w:rPr>
        <w:lastRenderedPageBreak/>
        <w:t>de publicar en el SECOP sólo la información relacionada con al activad contractual efectuada con recursos públicos.</w:t>
      </w:r>
    </w:p>
    <w:p w14:paraId="6B07B6B0" w14:textId="77777777" w:rsidR="00464416" w:rsidRPr="00FC368C" w:rsidRDefault="00464416" w:rsidP="00464416">
      <w:pPr>
        <w:spacing w:before="120" w:after="0" w:line="276" w:lineRule="auto"/>
        <w:jc w:val="both"/>
        <w:rPr>
          <w:rFonts w:ascii="Century Gothic" w:eastAsia="Calibri" w:hAnsi="Century Gothic" w:cs="Arial"/>
          <w:lang w:val="es-ES" w:eastAsia="es-ES"/>
        </w:rPr>
      </w:pPr>
      <w:r w:rsidRPr="00FC368C">
        <w:rPr>
          <w:rFonts w:ascii="Century Gothic" w:eastAsia="Calibri" w:hAnsi="Century Gothic" w:cs="Arial"/>
          <w:lang w:val="es-ES_tradnl" w:eastAsia="es-ES_tradnl"/>
        </w:rPr>
        <w:tab/>
      </w:r>
      <w:r w:rsidRPr="0E8BE1E3">
        <w:rPr>
          <w:rFonts w:ascii="Century Gothic" w:eastAsia="Calibri" w:hAnsi="Century Gothic" w:cs="Arial"/>
          <w:lang w:val="es-ES" w:eastAsia="es-ES"/>
        </w:rPr>
        <w:t xml:space="preserve">Esta Agencia considera que, la obligación de publicar en el SECOP II todos los documentos relacionados con la actividad contractual de las entidades con regímenes especiales contenida en el artículo 53 de la Ley 2195 de 2022 debe interpretarse de forma sistemática con los preceptos que existen sobre la materia, como, entre otros, los siguientes enunciados normativos: i) los artículos 74 y 209 de la Constitución, </w:t>
      </w:r>
      <w:proofErr w:type="spellStart"/>
      <w:r w:rsidRPr="0E8BE1E3">
        <w:rPr>
          <w:rFonts w:ascii="Century Gothic" w:eastAsia="Calibri" w:hAnsi="Century Gothic" w:cs="Arial"/>
          <w:lang w:val="es-ES" w:eastAsia="es-ES"/>
        </w:rPr>
        <w:t>ii</w:t>
      </w:r>
      <w:proofErr w:type="spellEnd"/>
      <w:r w:rsidRPr="0E8BE1E3">
        <w:rPr>
          <w:rFonts w:ascii="Century Gothic" w:eastAsia="Calibri" w:hAnsi="Century Gothic" w:cs="Arial"/>
          <w:lang w:val="es-ES" w:eastAsia="es-ES"/>
        </w:rPr>
        <w:t xml:space="preserve">) el artículo 3, literal c) de la Ley 1150 de 2007, </w:t>
      </w:r>
      <w:proofErr w:type="spellStart"/>
      <w:r w:rsidRPr="0E8BE1E3">
        <w:rPr>
          <w:rFonts w:ascii="Century Gothic" w:eastAsia="Calibri" w:hAnsi="Century Gothic" w:cs="Arial"/>
          <w:lang w:val="es-ES" w:eastAsia="es-ES"/>
        </w:rPr>
        <w:t>iii</w:t>
      </w:r>
      <w:proofErr w:type="spellEnd"/>
      <w:r w:rsidRPr="0E8BE1E3">
        <w:rPr>
          <w:rFonts w:ascii="Century Gothic" w:eastAsia="Calibri" w:hAnsi="Century Gothic" w:cs="Arial"/>
          <w:lang w:val="es-ES" w:eastAsia="es-ES"/>
        </w:rPr>
        <w:t xml:space="preserve">) los artículos 3, 9, literal e) y 11, literal g), de la Ley 1712 de 2014, y </w:t>
      </w:r>
      <w:proofErr w:type="spellStart"/>
      <w:r w:rsidRPr="0E8BE1E3">
        <w:rPr>
          <w:rFonts w:ascii="Century Gothic" w:eastAsia="Calibri" w:hAnsi="Century Gothic" w:cs="Arial"/>
          <w:lang w:val="es-ES" w:eastAsia="es-ES"/>
        </w:rPr>
        <w:t>iv</w:t>
      </w:r>
      <w:proofErr w:type="spellEnd"/>
      <w:r w:rsidRPr="0E8BE1E3">
        <w:rPr>
          <w:rFonts w:ascii="Century Gothic" w:eastAsia="Calibri" w:hAnsi="Century Gothic" w:cs="Arial"/>
          <w:lang w:val="es-ES" w:eastAsia="es-ES"/>
        </w:rPr>
        <w:t>) los artículos 7 al 10 del Decreto 103 de 2015 –compilado en los artículos 2.1.1.1.1. al 2.1.1.6.1. del Decreto 1081 de 2015–.</w:t>
      </w:r>
    </w:p>
    <w:p w14:paraId="21F87FB7" w14:textId="77777777" w:rsidR="00464416" w:rsidRPr="00FC368C" w:rsidRDefault="00464416" w:rsidP="00464416">
      <w:pPr>
        <w:spacing w:before="120" w:after="120" w:line="276" w:lineRule="auto"/>
        <w:ind w:firstLine="709"/>
        <w:jc w:val="both"/>
        <w:rPr>
          <w:rFonts w:ascii="Century Gothic" w:hAnsi="Century Gothic" w:cs="Arial"/>
          <w:shd w:val="clear" w:color="auto" w:fill="FFFFFF"/>
          <w:lang w:val="es-ES"/>
        </w:rPr>
      </w:pPr>
      <w:r w:rsidRPr="00FC368C">
        <w:rPr>
          <w:rFonts w:ascii="Century Gothic" w:hAnsi="Century Gothic" w:cs="Arial"/>
          <w:noProof/>
          <w:lang w:val="es-ES_tradnl"/>
        </w:rPr>
        <w:t xml:space="preserve">Así las cosas, dado que el artículo 53 de la Ley 2195 de 2022 complementó las disposiciones ya establecidas en la Ley 1150 de 2007, la lectura que se haga de dicho artículo debe efectuarse de forma </w:t>
      </w:r>
      <w:r w:rsidRPr="00FC368C">
        <w:rPr>
          <w:rFonts w:ascii="Century Gothic" w:hAnsi="Century Gothic" w:cs="Arial"/>
          <w:i/>
          <w:iCs/>
          <w:noProof/>
          <w:lang w:val="es-ES_tradnl"/>
        </w:rPr>
        <w:t xml:space="preserve">sistemática. </w:t>
      </w:r>
      <w:r w:rsidRPr="00FC368C">
        <w:rPr>
          <w:rFonts w:ascii="Century Gothic" w:hAnsi="Century Gothic" w:cs="Arial"/>
          <w:noProof/>
          <w:lang w:val="es-ES_tradnl"/>
        </w:rPr>
        <w:t xml:space="preserve">En ese sentido, debe señalarse que </w:t>
      </w:r>
      <w:r w:rsidRPr="00FC368C">
        <w:rPr>
          <w:rFonts w:ascii="Century Gothic" w:hAnsi="Century Gothic" w:cs="Arial"/>
          <w:i/>
          <w:iCs/>
          <w:lang w:val="es-ES_tradnl" w:eastAsia="es-CO"/>
        </w:rPr>
        <w:t>contratación con cargo a recursos públicos</w:t>
      </w:r>
      <w:r w:rsidRPr="00FC368C">
        <w:rPr>
          <w:rFonts w:ascii="Century Gothic" w:hAnsi="Century Gothic" w:cs="Arial"/>
          <w:lang w:val="es-ES_tradnl" w:eastAsia="es-CO"/>
        </w:rPr>
        <w:t xml:space="preserve"> es un concepto al que alude expresamente la Ley 1150 de 2007, incluso desde el mismo título, pues este indica que dicha Ley es </w:t>
      </w:r>
      <w:r w:rsidRPr="00FC368C">
        <w:rPr>
          <w:rFonts w:ascii="Century Gothic" w:eastAsia="Calibri" w:hAnsi="Century Gothic" w:cs="Arial"/>
          <w:lang w:val="es-ES_tradnl"/>
        </w:rPr>
        <w:t>“</w:t>
      </w:r>
      <w:r w:rsidRPr="00FC368C">
        <w:rPr>
          <w:rFonts w:ascii="Century Gothic" w:hAnsi="Century Gothic" w:cs="Arial"/>
        </w:rPr>
        <w:t>Por medio de la cual se introducen medidas para la eficiencia y la transparencia en la Ley </w:t>
      </w:r>
      <w:hyperlink r:id="rId11" w:anchor="1" w:history="1">
        <w:r w:rsidRPr="00FC368C">
          <w:rPr>
            <w:rFonts w:ascii="Century Gothic" w:hAnsi="Century Gothic" w:cs="Arial"/>
          </w:rPr>
          <w:t>80</w:t>
        </w:r>
      </w:hyperlink>
      <w:r w:rsidRPr="00FC368C">
        <w:rPr>
          <w:rFonts w:ascii="Century Gothic" w:hAnsi="Century Gothic" w:cs="Arial"/>
        </w:rPr>
        <w:t xml:space="preserve"> de 1993 y se dictan otras disposiciones generales sobre la contratación con </w:t>
      </w:r>
      <w:r w:rsidRPr="00FC368C">
        <w:rPr>
          <w:rFonts w:ascii="Century Gothic" w:hAnsi="Century Gothic" w:cs="Arial"/>
          <w:i/>
          <w:iCs/>
        </w:rPr>
        <w:t>Recursos Públicos</w:t>
      </w:r>
      <w:r w:rsidRPr="00FC368C">
        <w:rPr>
          <w:rFonts w:ascii="Century Gothic" w:eastAsia="Calibri" w:hAnsi="Century Gothic" w:cs="Arial"/>
          <w:lang w:val="es-ES_tradnl"/>
        </w:rPr>
        <w:t>”</w:t>
      </w:r>
      <w:r w:rsidRPr="00FC368C">
        <w:rPr>
          <w:rFonts w:ascii="Century Gothic" w:hAnsi="Century Gothic" w:cs="Arial"/>
        </w:rPr>
        <w:t>.</w:t>
      </w:r>
      <w:r w:rsidRPr="00FC368C">
        <w:rPr>
          <w:rFonts w:ascii="Century Gothic" w:hAnsi="Century Gothic" w:cs="Arial"/>
          <w:lang w:val="es-ES_tradnl" w:eastAsia="es-CO"/>
        </w:rPr>
        <w:t xml:space="preserve"> Asimismo, la terminología </w:t>
      </w:r>
      <w:r w:rsidRPr="00FC368C">
        <w:rPr>
          <w:rFonts w:ascii="Century Gothic" w:hAnsi="Century Gothic" w:cs="Arial"/>
          <w:i/>
          <w:iCs/>
          <w:lang w:val="es-ES_tradnl" w:eastAsia="es-CO"/>
        </w:rPr>
        <w:t xml:space="preserve">contratación con cargo recursos públicos </w:t>
      </w:r>
      <w:r w:rsidRPr="00FC368C">
        <w:rPr>
          <w:rFonts w:ascii="Century Gothic" w:hAnsi="Century Gothic" w:cs="Arial"/>
          <w:lang w:val="es-ES_tradnl" w:eastAsia="es-CO"/>
        </w:rPr>
        <w:t>se encuentra en el artículo primero, al definir el ámbito de aplicación de sus disposiciones</w:t>
      </w:r>
      <w:r w:rsidRPr="00FC368C">
        <w:rPr>
          <w:rFonts w:ascii="Century Gothic" w:hAnsi="Century Gothic" w:cs="Arial"/>
          <w:vertAlign w:val="superscript"/>
          <w:lang w:val="es-ES_tradnl" w:eastAsia="es-CO"/>
        </w:rPr>
        <w:footnoteReference w:id="22"/>
      </w:r>
      <w:r w:rsidRPr="00FC368C">
        <w:rPr>
          <w:rFonts w:ascii="Century Gothic" w:hAnsi="Century Gothic" w:cs="Arial"/>
          <w:lang w:val="es-ES_tradnl" w:eastAsia="es-CO"/>
        </w:rPr>
        <w:t xml:space="preserve"> y en el literal c) del artículo 3 –del que surge el deber de publicar en el SECOP–, que expresamente </w:t>
      </w:r>
      <w:r w:rsidRPr="00FC368C">
        <w:rPr>
          <w:rFonts w:ascii="Century Gothic" w:hAnsi="Century Gothic" w:cs="Arial"/>
          <w:shd w:val="clear" w:color="auto" w:fill="FFFFFF"/>
          <w:lang w:val="es-ES"/>
        </w:rPr>
        <w:t xml:space="preserve">establece que ese aparte del artículo se aplica a la </w:t>
      </w:r>
      <w:r w:rsidRPr="00FC368C">
        <w:rPr>
          <w:rFonts w:ascii="Century Gothic" w:hAnsi="Century Gothic" w:cs="Arial"/>
          <w:i/>
          <w:iCs/>
          <w:shd w:val="clear" w:color="auto" w:fill="FFFFFF"/>
          <w:lang w:val="es-ES"/>
        </w:rPr>
        <w:t>“contratación realizada con dineros públicos”</w:t>
      </w:r>
      <w:r w:rsidRPr="00FC368C">
        <w:rPr>
          <w:rFonts w:ascii="Century Gothic" w:hAnsi="Century Gothic" w:cs="Arial"/>
          <w:shd w:val="clear" w:color="auto" w:fill="FFFFFF"/>
          <w:lang w:val="es-ES"/>
        </w:rPr>
        <w:t xml:space="preserve">. </w:t>
      </w:r>
      <w:r w:rsidRPr="00FC368C">
        <w:rPr>
          <w:rFonts w:ascii="Century Gothic" w:hAnsi="Century Gothic" w:cs="Arial"/>
          <w:shd w:val="clear" w:color="auto" w:fill="FFFFFF"/>
        </w:rPr>
        <w:t>Esta interpretación concuerda con el ámbito al que se encuentran destinadas las disposiciones del Título II de dicha norma, titulado “DISPOSICIONES GENERALES PARA LA CONTRATACION CON RECURSOS PUBLICOS”, en el cual se ubica el artículo 13 que fue modificado por el artículo 53 de la Ley 2195 de 2022.</w:t>
      </w:r>
    </w:p>
    <w:p w14:paraId="55485A08" w14:textId="77777777" w:rsidR="00464416" w:rsidRPr="00FC368C" w:rsidRDefault="00464416" w:rsidP="00464416">
      <w:pPr>
        <w:spacing w:after="0" w:line="276" w:lineRule="auto"/>
        <w:ind w:firstLine="709"/>
        <w:jc w:val="both"/>
        <w:rPr>
          <w:rFonts w:ascii="Century Gothic" w:hAnsi="Century Gothic" w:cs="Arial"/>
        </w:rPr>
      </w:pPr>
      <w:r w:rsidRPr="00FC368C">
        <w:rPr>
          <w:rFonts w:ascii="Century Gothic" w:hAnsi="Century Gothic" w:cs="Arial"/>
          <w:lang w:val="es-ES_tradnl" w:eastAsia="es-CO"/>
        </w:rPr>
        <w:t xml:space="preserve">Por otro lado, </w:t>
      </w:r>
      <w:r w:rsidRPr="00FC368C">
        <w:rPr>
          <w:rFonts w:ascii="Century Gothic" w:hAnsi="Century Gothic" w:cs="Arial"/>
        </w:rPr>
        <w:t xml:space="preserve">el Decreto 103 de 2015, mediante el cual se reglamentó la Ley 1712 de 2014, y que fue compilado </w:t>
      </w:r>
      <w:r w:rsidRPr="00FC368C">
        <w:rPr>
          <w:rFonts w:ascii="Century Gothic" w:hAnsi="Century Gothic" w:cs="Arial"/>
          <w:shd w:val="clear" w:color="auto" w:fill="FFFFFF"/>
        </w:rPr>
        <w:t xml:space="preserve">en los artículos 2.1.1.1.1. al 2.1.1.6.1. del Decreto 1081 de 2015–.  </w:t>
      </w:r>
      <w:r w:rsidRPr="00FC368C">
        <w:rPr>
          <w:rFonts w:ascii="Century Gothic" w:hAnsi="Century Gothic" w:cs="Arial"/>
        </w:rPr>
        <w:t>señala:</w:t>
      </w:r>
    </w:p>
    <w:p w14:paraId="53B2DAD8" w14:textId="77777777" w:rsidR="00464416" w:rsidRPr="00FC368C" w:rsidRDefault="00464416" w:rsidP="00464416">
      <w:pPr>
        <w:spacing w:after="0" w:line="276" w:lineRule="auto"/>
        <w:ind w:firstLine="709"/>
        <w:contextualSpacing/>
        <w:jc w:val="both"/>
        <w:rPr>
          <w:rFonts w:ascii="Century Gothic" w:hAnsi="Century Gothic" w:cs="Arial"/>
        </w:rPr>
      </w:pPr>
      <w:r w:rsidRPr="00FC368C">
        <w:rPr>
          <w:rFonts w:ascii="Century Gothic" w:hAnsi="Century Gothic" w:cs="Arial"/>
        </w:rPr>
        <w:t xml:space="preserve"> </w:t>
      </w:r>
    </w:p>
    <w:p w14:paraId="0F826691" w14:textId="77777777" w:rsidR="00464416" w:rsidRPr="00FC368C" w:rsidRDefault="00464416" w:rsidP="00464416">
      <w:pPr>
        <w:spacing w:after="0" w:line="240" w:lineRule="auto"/>
        <w:ind w:left="709" w:right="709"/>
        <w:contextualSpacing/>
        <w:jc w:val="both"/>
        <w:rPr>
          <w:rFonts w:ascii="Century Gothic" w:eastAsia="Times New Roman" w:hAnsi="Century Gothic" w:cs="Arial"/>
          <w:sz w:val="21"/>
          <w:szCs w:val="21"/>
          <w:lang w:eastAsia="es-CO"/>
        </w:rPr>
      </w:pPr>
      <w:r w:rsidRPr="00FC368C">
        <w:rPr>
          <w:rFonts w:ascii="Century Gothic" w:eastAsia="Times New Roman" w:hAnsi="Century Gothic" w:cs="Arial"/>
          <w:sz w:val="21"/>
          <w:szCs w:val="21"/>
          <w:lang w:eastAsia="es-CO"/>
        </w:rPr>
        <w:t>“Artículo 7°.</w:t>
      </w:r>
      <w:r w:rsidRPr="00FC368C">
        <w:rPr>
          <w:rFonts w:ascii="Century Gothic" w:eastAsia="Times New Roman" w:hAnsi="Century Gothic" w:cs="Arial"/>
          <w:i/>
          <w:iCs/>
          <w:sz w:val="21"/>
          <w:szCs w:val="21"/>
          <w:lang w:eastAsia="es-CO"/>
        </w:rPr>
        <w:t xml:space="preserve"> Publicación de la información contractual. </w:t>
      </w:r>
      <w:r w:rsidRPr="00FC368C">
        <w:rPr>
          <w:rFonts w:ascii="Century Gothic" w:eastAsia="Times New Roman" w:hAnsi="Century Gothic" w:cs="Arial"/>
          <w:sz w:val="21"/>
          <w:szCs w:val="21"/>
          <w:lang w:eastAsia="es-CO"/>
        </w:rPr>
        <w:t xml:space="preserve">De conformidad con el literal (c) del artículo 3° de la Ley 1150 de 2007, el sistema de información del Estado en el cual los sujetos obligados que contratan </w:t>
      </w:r>
      <w:r w:rsidRPr="00FC368C">
        <w:rPr>
          <w:rFonts w:ascii="Century Gothic" w:eastAsia="Times New Roman" w:hAnsi="Century Gothic" w:cs="Arial"/>
          <w:i/>
          <w:iCs/>
          <w:sz w:val="21"/>
          <w:szCs w:val="21"/>
          <w:lang w:eastAsia="es-CO"/>
        </w:rPr>
        <w:t xml:space="preserve">con </w:t>
      </w:r>
      <w:r w:rsidRPr="00FC368C">
        <w:rPr>
          <w:rFonts w:ascii="Century Gothic" w:eastAsia="Times New Roman" w:hAnsi="Century Gothic" w:cs="Arial"/>
          <w:i/>
          <w:iCs/>
          <w:sz w:val="21"/>
          <w:szCs w:val="21"/>
          <w:lang w:eastAsia="es-CO"/>
        </w:rPr>
        <w:lastRenderedPageBreak/>
        <w:t>cargo a recursos públicos</w:t>
      </w:r>
      <w:r w:rsidRPr="00FC368C">
        <w:rPr>
          <w:rFonts w:ascii="Century Gothic" w:eastAsia="Times New Roman" w:hAnsi="Century Gothic" w:cs="Arial"/>
          <w:sz w:val="21"/>
          <w:szCs w:val="21"/>
          <w:lang w:eastAsia="es-CO"/>
        </w:rPr>
        <w:t xml:space="preserve"> deben cumplir la obligación de publicar la información de su gestión contractual es el Sistema Electrónico para la Contratación Pública (</w:t>
      </w:r>
      <w:proofErr w:type="spellStart"/>
      <w:r w:rsidRPr="00FC368C">
        <w:rPr>
          <w:rFonts w:ascii="Century Gothic" w:eastAsia="Times New Roman" w:hAnsi="Century Gothic" w:cs="Arial"/>
          <w:sz w:val="21"/>
          <w:szCs w:val="21"/>
          <w:lang w:eastAsia="es-CO"/>
        </w:rPr>
        <w:t>Secop</w:t>
      </w:r>
      <w:proofErr w:type="spellEnd"/>
      <w:r w:rsidRPr="00FC368C">
        <w:rPr>
          <w:rFonts w:ascii="Century Gothic" w:eastAsia="Times New Roman" w:hAnsi="Century Gothic" w:cs="Arial"/>
          <w:sz w:val="21"/>
          <w:szCs w:val="21"/>
          <w:lang w:eastAsia="es-CO"/>
        </w:rPr>
        <w:t>). </w:t>
      </w:r>
    </w:p>
    <w:p w14:paraId="18A570D7" w14:textId="77777777" w:rsidR="00464416" w:rsidRPr="00FC368C" w:rsidRDefault="00464416" w:rsidP="00464416">
      <w:pPr>
        <w:spacing w:after="0" w:line="240" w:lineRule="auto"/>
        <w:ind w:left="709" w:right="709"/>
        <w:contextualSpacing/>
        <w:jc w:val="both"/>
        <w:rPr>
          <w:rFonts w:ascii="Century Gothic" w:eastAsia="Times New Roman" w:hAnsi="Century Gothic" w:cs="Arial"/>
          <w:sz w:val="21"/>
          <w:szCs w:val="21"/>
          <w:lang w:eastAsia="es-CO"/>
        </w:rPr>
      </w:pPr>
      <w:r w:rsidRPr="00FC368C">
        <w:rPr>
          <w:rFonts w:ascii="Century Gothic" w:eastAsia="Times New Roman" w:hAnsi="Century Gothic" w:cs="Arial"/>
          <w:sz w:val="21"/>
          <w:szCs w:val="21"/>
          <w:lang w:eastAsia="es-CO"/>
        </w:rPr>
        <w:t>  </w:t>
      </w:r>
    </w:p>
    <w:p w14:paraId="1DE6A95F" w14:textId="77777777" w:rsidR="00464416" w:rsidRPr="00FC368C" w:rsidRDefault="00464416" w:rsidP="00464416">
      <w:pPr>
        <w:spacing w:after="0" w:line="240" w:lineRule="auto"/>
        <w:ind w:left="709" w:right="709"/>
        <w:contextualSpacing/>
        <w:jc w:val="both"/>
        <w:rPr>
          <w:rFonts w:ascii="Century Gothic" w:eastAsia="Times New Roman" w:hAnsi="Century Gothic" w:cs="Arial"/>
          <w:sz w:val="21"/>
          <w:szCs w:val="21"/>
          <w:lang w:eastAsia="es-CO"/>
        </w:rPr>
      </w:pPr>
      <w:r w:rsidRPr="00FC368C">
        <w:rPr>
          <w:rFonts w:ascii="Century Gothic" w:eastAsia="Times New Roman" w:hAnsi="Century Gothic" w:cs="Arial"/>
          <w:sz w:val="21"/>
          <w:szCs w:val="21"/>
          <w:lang w:eastAsia="es-CO"/>
        </w:rPr>
        <w:t xml:space="preserve">Los sujetos obligados que contratan </w:t>
      </w:r>
      <w:r w:rsidRPr="00FC368C">
        <w:rPr>
          <w:rFonts w:ascii="Century Gothic" w:eastAsia="Times New Roman" w:hAnsi="Century Gothic" w:cs="Arial"/>
          <w:i/>
          <w:iCs/>
          <w:sz w:val="21"/>
          <w:szCs w:val="21"/>
          <w:lang w:eastAsia="es-CO"/>
        </w:rPr>
        <w:t>con cargo a recursos públicos</w:t>
      </w:r>
      <w:r w:rsidRPr="00FC368C">
        <w:rPr>
          <w:rFonts w:ascii="Century Gothic" w:eastAsia="Times New Roman" w:hAnsi="Century Gothic" w:cs="Arial"/>
          <w:sz w:val="21"/>
          <w:szCs w:val="21"/>
          <w:lang w:eastAsia="es-CO"/>
        </w:rPr>
        <w:t xml:space="preserve"> deben publicar la información de su gestión contractual en el plazo previsto en el artículo 19 del Decreto 1510 de 2013, o el que lo modifique, sustituya o adicione. </w:t>
      </w:r>
    </w:p>
    <w:p w14:paraId="34FC5D01" w14:textId="77777777" w:rsidR="00464416" w:rsidRPr="00FC368C" w:rsidRDefault="00464416" w:rsidP="00464416">
      <w:pPr>
        <w:spacing w:after="0" w:line="240" w:lineRule="auto"/>
        <w:ind w:left="709" w:right="709"/>
        <w:contextualSpacing/>
        <w:jc w:val="both"/>
        <w:rPr>
          <w:rFonts w:ascii="Century Gothic" w:eastAsia="Times New Roman" w:hAnsi="Century Gothic" w:cs="Arial"/>
          <w:sz w:val="21"/>
          <w:szCs w:val="21"/>
          <w:lang w:eastAsia="es-CO"/>
        </w:rPr>
      </w:pPr>
      <w:r w:rsidRPr="00FC368C">
        <w:rPr>
          <w:rFonts w:ascii="Century Gothic" w:eastAsia="Times New Roman" w:hAnsi="Century Gothic" w:cs="Arial"/>
          <w:sz w:val="21"/>
          <w:szCs w:val="21"/>
          <w:lang w:eastAsia="es-CO"/>
        </w:rPr>
        <w:t>  </w:t>
      </w:r>
    </w:p>
    <w:p w14:paraId="5088D1BE" w14:textId="77777777" w:rsidR="00464416" w:rsidRPr="00FC368C" w:rsidRDefault="00464416" w:rsidP="00464416">
      <w:pPr>
        <w:spacing w:after="0" w:line="240" w:lineRule="auto"/>
        <w:ind w:left="709" w:right="709"/>
        <w:contextualSpacing/>
        <w:jc w:val="both"/>
        <w:rPr>
          <w:rFonts w:ascii="Century Gothic" w:eastAsia="Times New Roman" w:hAnsi="Century Gothic" w:cs="Arial"/>
          <w:sz w:val="21"/>
          <w:szCs w:val="21"/>
          <w:lang w:eastAsia="es-CO"/>
        </w:rPr>
      </w:pPr>
      <w:r w:rsidRPr="00FC368C">
        <w:rPr>
          <w:rFonts w:ascii="Century Gothic" w:eastAsia="Times New Roman" w:hAnsi="Century Gothic" w:cs="Arial"/>
          <w:sz w:val="21"/>
          <w:szCs w:val="21"/>
          <w:lang w:eastAsia="es-CO"/>
        </w:rPr>
        <w:t>Los sujetos obligados que contratan con recursos públicos y recursos privados, deben publicar la información de su gestión contractual con cargo a recursos públicos en el Sistema Electrónico para la Contratación Pública (</w:t>
      </w:r>
      <w:proofErr w:type="spellStart"/>
      <w:r w:rsidRPr="00FC368C">
        <w:rPr>
          <w:rFonts w:ascii="Century Gothic" w:eastAsia="Times New Roman" w:hAnsi="Century Gothic" w:cs="Arial"/>
          <w:sz w:val="21"/>
          <w:szCs w:val="21"/>
          <w:lang w:eastAsia="es-CO"/>
        </w:rPr>
        <w:t>Secop</w:t>
      </w:r>
      <w:proofErr w:type="spellEnd"/>
      <w:r w:rsidRPr="00FC368C">
        <w:rPr>
          <w:rFonts w:ascii="Century Gothic" w:eastAsia="Times New Roman" w:hAnsi="Century Gothic" w:cs="Arial"/>
          <w:sz w:val="21"/>
          <w:szCs w:val="21"/>
          <w:lang w:eastAsia="es-CO"/>
        </w:rPr>
        <w:t xml:space="preserve">)”. (Énfasis fuera del texto original). </w:t>
      </w:r>
    </w:p>
    <w:p w14:paraId="2BE352D2" w14:textId="77777777" w:rsidR="00464416" w:rsidRPr="00FC368C" w:rsidRDefault="00464416" w:rsidP="00464416">
      <w:pPr>
        <w:spacing w:after="0" w:line="276" w:lineRule="auto"/>
        <w:ind w:left="709" w:right="709"/>
        <w:contextualSpacing/>
        <w:jc w:val="both"/>
        <w:rPr>
          <w:rFonts w:ascii="Century Gothic" w:eastAsia="Times New Roman" w:hAnsi="Century Gothic" w:cs="Arial"/>
          <w:lang w:eastAsia="es-CO"/>
        </w:rPr>
      </w:pPr>
      <w:r w:rsidRPr="00FC368C">
        <w:rPr>
          <w:rFonts w:ascii="Century Gothic" w:eastAsia="Times New Roman" w:hAnsi="Century Gothic" w:cs="Arial"/>
          <w:lang w:eastAsia="es-CO"/>
        </w:rPr>
        <w:t>  </w:t>
      </w:r>
    </w:p>
    <w:p w14:paraId="4AED123D" w14:textId="77777777" w:rsidR="00464416" w:rsidRPr="00FC368C" w:rsidRDefault="00464416" w:rsidP="00464416">
      <w:pPr>
        <w:spacing w:after="120" w:line="276" w:lineRule="auto"/>
        <w:ind w:firstLine="709"/>
        <w:jc w:val="both"/>
        <w:rPr>
          <w:rFonts w:ascii="Century Gothic" w:eastAsia="Calibri" w:hAnsi="Century Gothic" w:cs="Arial"/>
          <w:lang w:val="es-ES_tradnl" w:eastAsia="es-ES_tradnl"/>
        </w:rPr>
      </w:pPr>
      <w:bookmarkStart w:id="12" w:name="_Hlk110869205"/>
      <w:r w:rsidRPr="00FC368C">
        <w:rPr>
          <w:rFonts w:ascii="Century Gothic" w:eastAsia="Calibri" w:hAnsi="Century Gothic" w:cs="Arial"/>
          <w:lang w:val="es-ES_tradnl" w:eastAsia="es-ES_tradnl"/>
        </w:rPr>
        <w:t xml:space="preserve">De las normas antes citadas es posible establecer que la obligación de publicar la actividad contractual siempre ha estado encaminada a que se publique aquella información relacionada con la ejecución de dineros públicos. Por tal razón, puede concluirse, a la luz de las disposiciones que regulan la materia, que el artículo 53 –al ampliar la obligación de las entidades con regímenes especiales de publicar su actividad contractual en el SECOP II– se refiere a aquella actividad contractual cuya fuente de financiación provenga de recursos públicos. </w:t>
      </w:r>
    </w:p>
    <w:bookmarkEnd w:id="12"/>
    <w:p w14:paraId="03E180BC" w14:textId="77777777" w:rsidR="00464416" w:rsidRPr="00FC368C" w:rsidRDefault="00464416" w:rsidP="00464416">
      <w:pPr>
        <w:spacing w:after="0" w:line="276" w:lineRule="auto"/>
        <w:ind w:firstLine="709"/>
        <w:jc w:val="both"/>
        <w:rPr>
          <w:rFonts w:ascii="Century Gothic" w:hAnsi="Century Gothic" w:cs="Arial"/>
          <w:lang w:val="es-ES"/>
        </w:rPr>
      </w:pPr>
      <w:r w:rsidRPr="00FC368C">
        <w:rPr>
          <w:rFonts w:ascii="Century Gothic" w:hAnsi="Century Gothic" w:cs="Arial"/>
          <w:shd w:val="clear" w:color="auto" w:fill="FFFFFF"/>
          <w:lang w:val="es-ES"/>
        </w:rPr>
        <w:t xml:space="preserve">En consonancia con la interpretación antes expuesta, </w:t>
      </w:r>
      <w:r w:rsidRPr="00FC368C">
        <w:rPr>
          <w:rFonts w:ascii="Century Gothic" w:hAnsi="Century Gothic" w:cs="Arial"/>
          <w:lang w:val="es-ES"/>
        </w:rPr>
        <w:t xml:space="preserve">la </w:t>
      </w:r>
      <w:r w:rsidRPr="00FC368C">
        <w:rPr>
          <w:rFonts w:ascii="Century Gothic" w:eastAsia="Calibri" w:hAnsi="Century Gothic" w:cs="Arial"/>
          <w:lang w:val="es-ES"/>
        </w:rPr>
        <w:t>Circular 002 del 1 de junio de 2022</w:t>
      </w:r>
      <w:r w:rsidRPr="00FC368C">
        <w:rPr>
          <w:rFonts w:ascii="Century Gothic" w:eastAsia="Calibri" w:hAnsi="Century Gothic" w:cs="Arial"/>
          <w:vertAlign w:val="superscript"/>
          <w:lang w:val="es-ES"/>
        </w:rPr>
        <w:footnoteReference w:id="23"/>
      </w:r>
      <w:r w:rsidRPr="00FC368C">
        <w:rPr>
          <w:rFonts w:ascii="Century Gothic" w:eastAsia="Calibri" w:hAnsi="Century Gothic" w:cs="Arial"/>
          <w:lang w:val="es-ES"/>
        </w:rPr>
        <w:t>, dictada por el Departamento Administrativo de la Presidencia de la República</w:t>
      </w:r>
      <w:r w:rsidRPr="00FC368C">
        <w:rPr>
          <w:rFonts w:ascii="Century Gothic" w:hAnsi="Century Gothic" w:cs="Arial"/>
          <w:lang w:val="es-ES"/>
        </w:rPr>
        <w:t xml:space="preserve">, a través de la cual fueron impartidas instrucciones relacionadas con la aplicación del artículo 53 de la Ley 2195 de 2022, en el numeral I –denominado “Publicación de los documentos contractuales en el SECOP II”–, señala: </w:t>
      </w:r>
    </w:p>
    <w:p w14:paraId="7D146637" w14:textId="77777777" w:rsidR="00464416" w:rsidRPr="00FC368C" w:rsidRDefault="00464416" w:rsidP="00464416">
      <w:pPr>
        <w:spacing w:after="0" w:line="276" w:lineRule="auto"/>
        <w:ind w:left="709" w:right="709"/>
        <w:contextualSpacing/>
        <w:jc w:val="both"/>
        <w:rPr>
          <w:rFonts w:ascii="Century Gothic" w:eastAsia="Calibri" w:hAnsi="Century Gothic" w:cs="Arial"/>
          <w:lang w:val="es-ES_tradnl" w:eastAsia="es-ES_tradnl"/>
        </w:rPr>
      </w:pPr>
    </w:p>
    <w:p w14:paraId="12A2357C" w14:textId="77777777" w:rsidR="00464416" w:rsidRPr="00FC368C" w:rsidRDefault="00464416" w:rsidP="00464416">
      <w:pPr>
        <w:spacing w:after="0" w:line="240" w:lineRule="auto"/>
        <w:ind w:left="709" w:right="709"/>
        <w:contextualSpacing/>
        <w:jc w:val="both"/>
        <w:rPr>
          <w:rFonts w:ascii="Century Gothic" w:eastAsia="Calibri" w:hAnsi="Century Gothic" w:cs="Arial"/>
          <w:sz w:val="21"/>
          <w:szCs w:val="21"/>
          <w:lang w:val="es-ES" w:eastAsia="es-ES"/>
        </w:rPr>
      </w:pPr>
      <w:r w:rsidRPr="0E8BE1E3">
        <w:rPr>
          <w:rFonts w:ascii="Century Gothic" w:eastAsia="Calibri" w:hAnsi="Century Gothic" w:cs="Arial"/>
          <w:sz w:val="21"/>
          <w:szCs w:val="21"/>
          <w:lang w:val="es-ES" w:eastAsia="es-ES"/>
        </w:rPr>
        <w:t xml:space="preserve">“El Sistema Electrónico de Contratación Pública – SECOP – es una herramienta tecnológica de apoyo a la contratación pública, en la cual se encuentra la información oficial de la contratación realizada </w:t>
      </w:r>
      <w:r w:rsidRPr="0E8BE1E3">
        <w:rPr>
          <w:rFonts w:ascii="Century Gothic" w:eastAsia="Calibri" w:hAnsi="Century Gothic" w:cs="Arial"/>
          <w:i/>
          <w:iCs/>
          <w:sz w:val="21"/>
          <w:szCs w:val="21"/>
          <w:lang w:val="es-ES" w:eastAsia="es-ES"/>
        </w:rPr>
        <w:t>con dineros públicos</w:t>
      </w:r>
      <w:r w:rsidRPr="0E8BE1E3">
        <w:rPr>
          <w:rFonts w:ascii="Century Gothic" w:eastAsia="Calibri" w:hAnsi="Century Gothic" w:cs="Arial"/>
          <w:sz w:val="21"/>
          <w:szCs w:val="21"/>
          <w:lang w:val="es-ES" w:eastAsia="es-ES"/>
        </w:rPr>
        <w:t xml:space="preserve">. Lo anterior, de conformidad con lo establecido en el literal c) del artículo 3 de la Ley 1150 de 2007. </w:t>
      </w:r>
    </w:p>
    <w:p w14:paraId="73EA7FEE" w14:textId="77777777" w:rsidR="00464416" w:rsidRPr="00FC368C" w:rsidRDefault="00464416" w:rsidP="00464416">
      <w:pPr>
        <w:spacing w:after="0" w:line="240" w:lineRule="auto"/>
        <w:ind w:left="709" w:right="709"/>
        <w:contextualSpacing/>
        <w:jc w:val="both"/>
        <w:rPr>
          <w:rFonts w:ascii="Century Gothic" w:eastAsia="Calibri" w:hAnsi="Century Gothic" w:cs="Arial"/>
          <w:sz w:val="21"/>
          <w:szCs w:val="21"/>
          <w:lang w:val="es-ES_tradnl" w:eastAsia="es-ES_tradnl"/>
        </w:rPr>
      </w:pPr>
    </w:p>
    <w:p w14:paraId="063ABBE9" w14:textId="77777777" w:rsidR="00464416" w:rsidRPr="00FC368C" w:rsidRDefault="00464416" w:rsidP="00464416">
      <w:pPr>
        <w:spacing w:after="0" w:line="240" w:lineRule="auto"/>
        <w:ind w:left="709" w:right="709"/>
        <w:contextualSpacing/>
        <w:jc w:val="both"/>
        <w:rPr>
          <w:rFonts w:ascii="Century Gothic" w:eastAsia="Calibri" w:hAnsi="Century Gothic" w:cs="Arial"/>
          <w:sz w:val="21"/>
          <w:szCs w:val="21"/>
          <w:lang w:val="es-ES_tradnl" w:eastAsia="es-ES_tradnl"/>
        </w:rPr>
      </w:pPr>
      <w:r w:rsidRPr="00FC368C">
        <w:rPr>
          <w:rFonts w:ascii="Century Gothic" w:eastAsia="Calibri" w:hAnsi="Century Gothic" w:cs="Arial"/>
          <w:sz w:val="21"/>
          <w:szCs w:val="21"/>
          <w:lang w:val="es-ES_tradnl" w:eastAsia="es-ES_tradnl"/>
        </w:rPr>
        <w:t xml:space="preserve">En ese sentido, las entidades obligadas en virtud del artículo 53 de la Ley 2195 de 2022, deberán realizar la publicación en el SECOP II </w:t>
      </w:r>
      <w:r w:rsidRPr="00FC368C">
        <w:rPr>
          <w:rFonts w:ascii="Century Gothic" w:eastAsia="Calibri" w:hAnsi="Century Gothic" w:cs="Arial"/>
          <w:i/>
          <w:iCs/>
          <w:sz w:val="21"/>
          <w:szCs w:val="21"/>
          <w:lang w:val="es-ES_tradnl" w:eastAsia="es-ES_tradnl"/>
        </w:rPr>
        <w:t xml:space="preserve">de aquellos </w:t>
      </w:r>
      <w:r w:rsidRPr="00FC368C">
        <w:rPr>
          <w:rFonts w:ascii="Century Gothic" w:eastAsia="Calibri" w:hAnsi="Century Gothic" w:cs="Arial"/>
          <w:i/>
          <w:iCs/>
          <w:sz w:val="21"/>
          <w:szCs w:val="21"/>
          <w:lang w:val="es-ES_tradnl" w:eastAsia="es-ES_tradnl"/>
        </w:rPr>
        <w:lastRenderedPageBreak/>
        <w:t>documentos relacionados con la actividad contractual que se realice con dineros públicos”</w:t>
      </w:r>
      <w:r w:rsidRPr="00FC368C">
        <w:rPr>
          <w:rFonts w:ascii="Century Gothic" w:eastAsia="Calibri" w:hAnsi="Century Gothic" w:cs="Arial"/>
          <w:sz w:val="21"/>
          <w:szCs w:val="21"/>
          <w:lang w:val="es-ES_tradnl" w:eastAsia="es-ES_tradnl"/>
        </w:rPr>
        <w:t xml:space="preserve"> […] </w:t>
      </w:r>
      <w:r w:rsidRPr="00FC368C">
        <w:rPr>
          <w:rFonts w:ascii="Century Gothic" w:hAnsi="Century Gothic" w:cs="Arial"/>
          <w:sz w:val="21"/>
          <w:szCs w:val="21"/>
          <w:lang w:val="es-ES"/>
        </w:rPr>
        <w:t>(Énfasis fuera del texto original).</w:t>
      </w:r>
    </w:p>
    <w:p w14:paraId="1647833C" w14:textId="77777777" w:rsidR="00464416" w:rsidRPr="00FC368C" w:rsidRDefault="00464416" w:rsidP="00464416">
      <w:pPr>
        <w:spacing w:after="0" w:line="276" w:lineRule="auto"/>
        <w:ind w:firstLine="709"/>
        <w:contextualSpacing/>
        <w:jc w:val="both"/>
        <w:rPr>
          <w:rFonts w:ascii="Century Gothic" w:eastAsia="Calibri" w:hAnsi="Century Gothic" w:cs="Arial"/>
          <w:lang w:val="es-ES_tradnl" w:eastAsia="es-ES_tradnl"/>
        </w:rPr>
      </w:pPr>
    </w:p>
    <w:p w14:paraId="50824101" w14:textId="77777777" w:rsidR="00464416" w:rsidRPr="00FC368C" w:rsidRDefault="00464416" w:rsidP="00464416">
      <w:pPr>
        <w:spacing w:after="0" w:line="276" w:lineRule="auto"/>
        <w:ind w:firstLine="709"/>
        <w:jc w:val="both"/>
        <w:rPr>
          <w:rFonts w:ascii="Century Gothic" w:hAnsi="Century Gothic" w:cs="Arial"/>
          <w:shd w:val="clear" w:color="auto" w:fill="FFFFFF"/>
        </w:rPr>
      </w:pPr>
      <w:r w:rsidRPr="00FC368C">
        <w:rPr>
          <w:rFonts w:ascii="Century Gothic" w:hAnsi="Century Gothic" w:cs="Arial"/>
          <w:lang w:val="es-ES"/>
        </w:rPr>
        <w:t xml:space="preserve">De conformidad con lo expuesto, teniendo en cuenta que el artículo 53 complementa la disposición contenida en el artículo 3 de la Ley 1150 de 2007, debe entenderse que la contratación a la que se refiere es aquella realizada con recursos públicos, cuya información es la que debe publicarse en el SECOP II, acorde con la interpretación sistemática que permite armonizar el referido artículo 53 de la Ley 2195 de 2022 con todo el contexto normativo que establece que en dicha plataforma se debe publicar sólo la información relativa a la actividad contractual con dineros públicos. </w:t>
      </w:r>
      <w:r w:rsidRPr="00FC368C">
        <w:rPr>
          <w:rFonts w:ascii="Century Gothic" w:hAnsi="Century Gothic" w:cs="Arial"/>
          <w:shd w:val="clear" w:color="auto" w:fill="FFFFFF"/>
        </w:rPr>
        <w:t xml:space="preserve">Así las cosas, la Agencia Nacional de Contratación Pública – Colombia Compra Eficiente considera que la modificación introducida por el artículo 53 de la Ley 2195 de 2022 no afecta la interpretación adoptada hasta el momento, en el sentido de que la </w:t>
      </w:r>
      <w:r w:rsidRPr="00FC368C">
        <w:rPr>
          <w:rFonts w:ascii="Century Gothic" w:hAnsi="Century Gothic" w:cs="Arial"/>
          <w:shd w:val="clear" w:color="auto" w:fill="FFFFFF"/>
          <w:lang w:val="es-ES"/>
        </w:rPr>
        <w:t xml:space="preserve">publicación de la información oficial de la contratación en el SECOP debe realizarse si los negocios jurídicos adelantados fueron financiados con recursos públicos. </w:t>
      </w:r>
    </w:p>
    <w:bookmarkEnd w:id="4"/>
    <w:p w14:paraId="3004A3A6" w14:textId="77777777" w:rsidR="00464416" w:rsidRPr="00FC368C" w:rsidRDefault="00464416" w:rsidP="00464416">
      <w:pPr>
        <w:tabs>
          <w:tab w:val="left" w:pos="709"/>
        </w:tabs>
        <w:spacing w:after="0" w:line="276" w:lineRule="auto"/>
        <w:jc w:val="both"/>
        <w:rPr>
          <w:rFonts w:ascii="Century Gothic" w:eastAsia="Calibri" w:hAnsi="Century Gothic" w:cs="Arial"/>
          <w:bCs/>
        </w:rPr>
      </w:pPr>
    </w:p>
    <w:p w14:paraId="3D06DA71" w14:textId="77777777" w:rsidR="00464416" w:rsidRPr="00FC368C" w:rsidRDefault="00464416" w:rsidP="00464416">
      <w:pPr>
        <w:tabs>
          <w:tab w:val="left" w:pos="0"/>
        </w:tabs>
        <w:spacing w:after="0"/>
        <w:jc w:val="both"/>
        <w:rPr>
          <w:rFonts w:ascii="Century Gothic" w:eastAsia="Calibri" w:hAnsi="Century Gothic" w:cs="Arial"/>
          <w:b/>
          <w:lang w:val="es-ES_tradnl"/>
        </w:rPr>
      </w:pPr>
      <w:r w:rsidRPr="00FC368C">
        <w:rPr>
          <w:rFonts w:ascii="Century Gothic" w:eastAsia="Calibri" w:hAnsi="Century Gothic" w:cs="Arial"/>
          <w:b/>
          <w:lang w:val="es-ES_tradnl"/>
        </w:rPr>
        <w:t>3. Respuestas</w:t>
      </w:r>
    </w:p>
    <w:p w14:paraId="4AF6F14C" w14:textId="77777777" w:rsidR="00464416" w:rsidRPr="00FC368C" w:rsidRDefault="00464416" w:rsidP="00464416">
      <w:pPr>
        <w:spacing w:after="0" w:line="276" w:lineRule="auto"/>
        <w:jc w:val="both"/>
        <w:rPr>
          <w:rFonts w:ascii="Century Gothic" w:hAnsi="Century Gothic" w:cs="Arial"/>
          <w:lang w:val="es-ES_tradnl"/>
        </w:rPr>
      </w:pPr>
    </w:p>
    <w:p w14:paraId="7E93DF0D" w14:textId="77777777" w:rsidR="00464416" w:rsidRPr="00FC368C" w:rsidRDefault="00464416" w:rsidP="00464416">
      <w:pPr>
        <w:spacing w:after="0" w:line="240" w:lineRule="auto"/>
        <w:ind w:left="709" w:right="709"/>
        <w:jc w:val="both"/>
        <w:rPr>
          <w:rFonts w:ascii="Century Gothic" w:hAnsi="Century Gothic" w:cs="Arial"/>
          <w:sz w:val="21"/>
          <w:szCs w:val="21"/>
          <w:lang w:val="es-ES_tradnl"/>
        </w:rPr>
      </w:pPr>
      <w:r w:rsidRPr="00FC368C">
        <w:rPr>
          <w:rFonts w:ascii="Century Gothic" w:hAnsi="Century Gothic" w:cs="Arial"/>
          <w:sz w:val="21"/>
          <w:szCs w:val="21"/>
          <w:lang w:val="es-ES_tradnl"/>
        </w:rPr>
        <w:t xml:space="preserve">“[…] </w:t>
      </w:r>
    </w:p>
    <w:p w14:paraId="09E0EBE3" w14:textId="77777777" w:rsidR="00464416" w:rsidRPr="00FC368C" w:rsidRDefault="00464416" w:rsidP="00464416">
      <w:pPr>
        <w:spacing w:after="0" w:line="240" w:lineRule="auto"/>
        <w:ind w:left="709" w:right="709"/>
        <w:jc w:val="both"/>
        <w:rPr>
          <w:rFonts w:ascii="Century Gothic" w:hAnsi="Century Gothic" w:cs="Arial"/>
          <w:sz w:val="21"/>
          <w:szCs w:val="21"/>
          <w:lang w:val="es-ES_tradnl"/>
        </w:rPr>
      </w:pPr>
      <w:r w:rsidRPr="00FC368C">
        <w:rPr>
          <w:rFonts w:ascii="Century Gothic" w:hAnsi="Century Gothic" w:cs="Arial"/>
          <w:sz w:val="21"/>
          <w:szCs w:val="21"/>
          <w:lang w:val="es-ES_tradnl"/>
        </w:rPr>
        <w:t>3. […] consulta va relacionada si la empresa debe realizar procesos de contratación con los parámetros establecidos para entidades públicas como pliegos tipo, convocatorias mediante SECOP, procesos transicionales, y las diferentes modalidades de contratación.</w:t>
      </w:r>
    </w:p>
    <w:p w14:paraId="14C6282D" w14:textId="77777777" w:rsidR="00464416" w:rsidRPr="00FC368C" w:rsidRDefault="00464416" w:rsidP="00464416">
      <w:pPr>
        <w:spacing w:before="120" w:after="0" w:line="240" w:lineRule="auto"/>
        <w:ind w:left="709" w:right="709"/>
        <w:jc w:val="both"/>
        <w:rPr>
          <w:rFonts w:ascii="Century Gothic" w:hAnsi="Century Gothic" w:cs="Arial"/>
          <w:sz w:val="21"/>
          <w:szCs w:val="21"/>
          <w:lang w:val="es-ES"/>
        </w:rPr>
      </w:pPr>
      <w:r w:rsidRPr="0E8BE1E3">
        <w:rPr>
          <w:rFonts w:ascii="Century Gothic" w:hAnsi="Century Gothic" w:cs="Arial"/>
          <w:sz w:val="21"/>
          <w:szCs w:val="21"/>
          <w:lang w:val="es-ES"/>
        </w:rPr>
        <w:t xml:space="preserve">4. </w:t>
      </w:r>
      <w:proofErr w:type="gramStart"/>
      <w:r w:rsidRPr="0E8BE1E3">
        <w:rPr>
          <w:rFonts w:ascii="Century Gothic" w:hAnsi="Century Gothic" w:cs="Arial"/>
          <w:sz w:val="21"/>
          <w:szCs w:val="21"/>
          <w:lang w:val="es-ES"/>
        </w:rPr>
        <w:t>De acuerdo a</w:t>
      </w:r>
      <w:proofErr w:type="gramEnd"/>
      <w:r w:rsidRPr="0E8BE1E3">
        <w:rPr>
          <w:rFonts w:ascii="Century Gothic" w:hAnsi="Century Gothic" w:cs="Arial"/>
          <w:sz w:val="21"/>
          <w:szCs w:val="21"/>
          <w:lang w:val="es-ES"/>
        </w:rPr>
        <w:t xml:space="preserve"> las fuentes de financiación de las obras a ejecutar (municipales, departamentales, nacionales, regalías) en qué casos se podría usar el manual de contratación con que cuenta la empresa que reglamenta las modalidades y define el cumplimiento de publicidad, transparencia y acceso a la información y en cuales casos será obligatorio el cumplimiento normativo de las leyes 80 de 1993 y 1150 de 2007, y el decreto 1510 de 2013.” [sic]</w:t>
      </w:r>
    </w:p>
    <w:p w14:paraId="11000F7B" w14:textId="77777777" w:rsidR="00464416" w:rsidRPr="00FC368C" w:rsidRDefault="00464416" w:rsidP="00464416">
      <w:pPr>
        <w:spacing w:after="0" w:line="240" w:lineRule="auto"/>
        <w:ind w:right="709"/>
        <w:jc w:val="both"/>
        <w:rPr>
          <w:rFonts w:ascii="Century Gothic" w:hAnsi="Century Gothic" w:cs="Arial"/>
          <w:sz w:val="21"/>
          <w:szCs w:val="21"/>
          <w:lang w:val="es-ES_tradnl"/>
        </w:rPr>
      </w:pPr>
    </w:p>
    <w:p w14:paraId="4A5E9FF3" w14:textId="77777777" w:rsidR="00464416" w:rsidRPr="00FC368C" w:rsidRDefault="00464416" w:rsidP="00464416">
      <w:pPr>
        <w:spacing w:after="0" w:line="276" w:lineRule="auto"/>
        <w:jc w:val="both"/>
        <w:rPr>
          <w:rFonts w:ascii="Century Gothic" w:hAnsi="Century Gothic" w:cs="Arial"/>
          <w:lang w:val="es-ES"/>
        </w:rPr>
      </w:pPr>
      <w:r>
        <w:rPr>
          <w:rFonts w:ascii="Century Gothic" w:hAnsi="Century Gothic" w:cs="Arial"/>
          <w:lang w:val="es-ES"/>
        </w:rPr>
        <w:t>L</w:t>
      </w:r>
      <w:r w:rsidRPr="00FC368C">
        <w:rPr>
          <w:rFonts w:ascii="Century Gothic" w:hAnsi="Century Gothic" w:cs="Arial"/>
          <w:lang w:val="es-ES"/>
        </w:rPr>
        <w:t xml:space="preserve">a Agencia Nacional de Contratación Pública – Colombia Compra Eficiente, solo tiene competencia para responder solicitudes sobre la aplicación de normas de carácter general en materia de compras y contratación pública. Por ello, debe abstenerse de emitir pronunciamientos, cuyo propósito sea el resolver situaciones que no se refieran al alcance interpretativo de las disposiciones que rigen la contratación estatal. En ese contexto, es pertinente indicar que Colombia Compra Eficiente, por vía consultiva, no puede definir un criterio universal y absoluto, sino </w:t>
      </w:r>
      <w:r w:rsidRPr="00FC368C">
        <w:rPr>
          <w:rFonts w:ascii="Century Gothic" w:hAnsi="Century Gothic" w:cs="Arial"/>
          <w:lang w:val="es-ES"/>
        </w:rPr>
        <w:lastRenderedPageBreak/>
        <w:t>que brinda elementos hermenéuticos de carácter general para que los partícipes del sistema de compras y contratación pública adopten la decisión que corresponda, lo cual es acorde con el principio de juridicidad.</w:t>
      </w:r>
    </w:p>
    <w:p w14:paraId="2B2B04F2" w14:textId="77777777" w:rsidR="00464416" w:rsidRPr="00FC368C" w:rsidRDefault="00464416" w:rsidP="00464416">
      <w:pPr>
        <w:spacing w:before="120" w:after="0" w:line="276" w:lineRule="auto"/>
        <w:jc w:val="both"/>
        <w:rPr>
          <w:rFonts w:ascii="Century Gothic" w:hAnsi="Century Gothic" w:cs="Arial"/>
          <w:lang w:val="es-ES"/>
        </w:rPr>
      </w:pPr>
      <w:r w:rsidRPr="00FC368C">
        <w:rPr>
          <w:rFonts w:ascii="Century Gothic" w:hAnsi="Century Gothic" w:cs="Arial"/>
          <w:lang w:val="es-ES"/>
        </w:rPr>
        <w:tab/>
        <w:t>Por ende, serán las entidades públicas con régimen especial de contratación, de conformidad con disposiciones jurídicas que les sean aplicables, las competentes para determinar en cada caso particular y concreto, las circunstancias en las que deberán aplicar sus manuales de contratación.</w:t>
      </w:r>
    </w:p>
    <w:p w14:paraId="2C697F52" w14:textId="77777777" w:rsidR="00464416" w:rsidRPr="00FC368C" w:rsidRDefault="00464416" w:rsidP="00464416">
      <w:pPr>
        <w:spacing w:before="120" w:after="120"/>
        <w:ind w:firstLine="709"/>
        <w:jc w:val="both"/>
        <w:rPr>
          <w:rFonts w:ascii="Century Gothic" w:eastAsia="Arial" w:hAnsi="Century Gothic" w:cs="Arial"/>
        </w:rPr>
      </w:pPr>
      <w:r w:rsidRPr="00FC368C">
        <w:rPr>
          <w:rFonts w:ascii="Century Gothic" w:eastAsia="Arial" w:hAnsi="Century Gothic" w:cs="Arial"/>
        </w:rPr>
        <w:t xml:space="preserve">Bajo este entendimiento y, teniendo en cuenta lo indicado en este concepto, debe precisarse que las empresas prestadoras de servicios públicos domiciliarios, deben por regla general, sujetarse a las reglas del derecho privado y, sólo en los casos excepcionales, se ceñirán por el régimen contenido en el EGCAP. Es decir, dichas empresas se sujetan, en su actividad contractual a las disposiciones del derecho privado, salvo en aquellos casos en los que la Constitución, la Ley 142 de 1994 u otras leyes especiales, sometan tal conducta al EGCAP, esto es, la Ley 80 de 1993, la Ley 1150 de 2007 y demás normas complementarias. Como ejemplo de esas circunstancias excepcionales se destacan: </w:t>
      </w:r>
      <w:r w:rsidRPr="00FC368C">
        <w:rPr>
          <w:rFonts w:ascii="Century Gothic" w:eastAsia="Arial" w:hAnsi="Century Gothic" w:cs="Arial"/>
          <w:i/>
          <w:iCs/>
        </w:rPr>
        <w:t xml:space="preserve">i) </w:t>
      </w:r>
      <w:r w:rsidRPr="00FC368C">
        <w:rPr>
          <w:rFonts w:ascii="Century Gothic" w:eastAsia="Arial" w:hAnsi="Century Gothic" w:cs="Arial"/>
        </w:rPr>
        <w:t>la regla señalada en artículo 31 de la Ley 142 de 1994,</w:t>
      </w:r>
      <w:r w:rsidRPr="00FC368C">
        <w:rPr>
          <w:rFonts w:ascii="Century Gothic" w:eastAsia="Arial" w:hAnsi="Century Gothic" w:cs="Arial"/>
          <w:i/>
          <w:iCs/>
        </w:rPr>
        <w:t xml:space="preserve"> </w:t>
      </w:r>
      <w:proofErr w:type="spellStart"/>
      <w:r w:rsidRPr="00FC368C">
        <w:rPr>
          <w:rFonts w:ascii="Century Gothic" w:eastAsia="Arial" w:hAnsi="Century Gothic" w:cs="Arial"/>
          <w:i/>
          <w:iCs/>
        </w:rPr>
        <w:t>ii</w:t>
      </w:r>
      <w:proofErr w:type="spellEnd"/>
      <w:r w:rsidRPr="00FC368C">
        <w:rPr>
          <w:rFonts w:ascii="Century Gothic" w:eastAsia="Arial" w:hAnsi="Century Gothic" w:cs="Arial"/>
          <w:i/>
          <w:iCs/>
        </w:rPr>
        <w:t xml:space="preserve">) </w:t>
      </w:r>
      <w:r w:rsidRPr="00FC368C">
        <w:rPr>
          <w:rFonts w:ascii="Century Gothic" w:eastAsia="Arial" w:hAnsi="Century Gothic" w:cs="Arial"/>
        </w:rPr>
        <w:t>las circunstancias de aplicabilidad de los Documentos Tipo expedidos por esta Agencia y,</w:t>
      </w:r>
      <w:r w:rsidRPr="00FC368C">
        <w:rPr>
          <w:rFonts w:ascii="Century Gothic" w:eastAsia="Arial" w:hAnsi="Century Gothic" w:cs="Arial"/>
          <w:i/>
          <w:iCs/>
        </w:rPr>
        <w:t xml:space="preserve"> </w:t>
      </w:r>
      <w:proofErr w:type="spellStart"/>
      <w:r w:rsidRPr="00FC368C">
        <w:rPr>
          <w:rFonts w:ascii="Century Gothic" w:eastAsia="Arial" w:hAnsi="Century Gothic" w:cs="Arial"/>
          <w:i/>
          <w:iCs/>
        </w:rPr>
        <w:t>iii</w:t>
      </w:r>
      <w:proofErr w:type="spellEnd"/>
      <w:r w:rsidRPr="00FC368C">
        <w:rPr>
          <w:rFonts w:ascii="Century Gothic" w:eastAsia="Arial" w:hAnsi="Century Gothic" w:cs="Arial"/>
          <w:i/>
          <w:iCs/>
        </w:rPr>
        <w:t xml:space="preserve">) </w:t>
      </w:r>
      <w:r w:rsidRPr="00FC368C">
        <w:rPr>
          <w:rFonts w:ascii="Century Gothic" w:eastAsia="Arial" w:hAnsi="Century Gothic" w:cs="Arial"/>
        </w:rPr>
        <w:t>el deber publicación de la actividad contractual en SECOP II.</w:t>
      </w:r>
    </w:p>
    <w:p w14:paraId="66464A99" w14:textId="77777777" w:rsidR="00464416" w:rsidRPr="00FC368C" w:rsidRDefault="00464416" w:rsidP="00464416">
      <w:pPr>
        <w:jc w:val="both"/>
        <w:rPr>
          <w:rFonts w:ascii="Century Gothic" w:eastAsia="Arial" w:hAnsi="Century Gothic" w:cs="Arial"/>
        </w:rPr>
      </w:pPr>
      <w:r w:rsidRPr="00FC368C">
        <w:rPr>
          <w:rFonts w:ascii="Century Gothic" w:eastAsia="Arial" w:hAnsi="Century Gothic" w:cs="Arial"/>
        </w:rPr>
        <w:tab/>
        <w:t xml:space="preserve">En lo referente al artículo 31 de la Ley 142 de 1994, se precisa que este indica que, en los casos en los que las empresas prestadoras de servicios públicos establezcan cláusulas excepcionales, por mandato de las Comisiones de Regulación o por solicitud propia, deberán sujetarse a las reglas establecidas en el EGCAP, es decir, a la Ley 80 de 1993, Ley 1150 de 2007 y demás normas que la complementen. </w:t>
      </w:r>
    </w:p>
    <w:p w14:paraId="31A8B94F" w14:textId="77777777" w:rsidR="00464416" w:rsidRPr="00FC368C" w:rsidRDefault="00464416" w:rsidP="00464416">
      <w:pPr>
        <w:ind w:firstLine="708"/>
        <w:jc w:val="both"/>
        <w:rPr>
          <w:rFonts w:ascii="Century Gothic" w:eastAsia="Arial" w:hAnsi="Century Gothic" w:cs="Arial"/>
          <w:i/>
          <w:iCs/>
        </w:rPr>
      </w:pPr>
      <w:r w:rsidRPr="00FC368C">
        <w:rPr>
          <w:rFonts w:ascii="Century Gothic" w:eastAsia="Arial" w:hAnsi="Century Gothic" w:cs="Arial"/>
        </w:rPr>
        <w:t xml:space="preserve">Ahora bien, respecto de a las circunstancias de aplicabilidad de los Documentos Tipo expedidos por esta Agencia, debe aclararse que, al contar las empresas prestadoras de servicios públicos domiciliaros con un régimen contractual distinto al establecido en el EGCAP, serán destinatarias de tales documentos, de acuerdo con lo señalado en el artículo 56 de la Ley 2195 de 2022, siempre que se cumplan con los presupuestos para su aplicación. De esta forma, la obligación de aplicar los Documentos Tipo y, además, las disposiciones del EGCAP, se extiende no solamente a la celebración de convenios y/o contratos interadministrativos con entidades ceñidas al Estatuto General, sino también a los compromisos contractuales derivados, esto, según lo señalado en el inciso segundo del artículo 56 </w:t>
      </w:r>
      <w:r w:rsidRPr="00FC368C">
        <w:rPr>
          <w:rFonts w:ascii="Century Gothic" w:eastAsia="Arial" w:hAnsi="Century Gothic" w:cs="Arial"/>
          <w:i/>
          <w:iCs/>
        </w:rPr>
        <w:t>ibidem.</w:t>
      </w:r>
    </w:p>
    <w:p w14:paraId="30D9CA7E" w14:textId="77777777" w:rsidR="00464416" w:rsidRPr="00FC368C" w:rsidRDefault="00464416" w:rsidP="00464416">
      <w:pPr>
        <w:ind w:firstLine="708"/>
        <w:jc w:val="both"/>
        <w:rPr>
          <w:rFonts w:ascii="Century Gothic" w:eastAsia="Arial" w:hAnsi="Century Gothic" w:cs="Arial"/>
        </w:rPr>
      </w:pPr>
      <w:r w:rsidRPr="00FC368C">
        <w:rPr>
          <w:rFonts w:ascii="Century Gothic" w:eastAsia="Arial" w:hAnsi="Century Gothic" w:cs="Arial"/>
        </w:rPr>
        <w:lastRenderedPageBreak/>
        <w:t>Lo anterior implica que, si una empresa prestadora de servicios públicos domiciliarios, en cumplimiento de un compromiso asumido en el contrato celebrado con una entidad sometida al EGCAP, debe contratar una obra o servicio cobijado por algún Documento Tipo, estará obligada a hacerlo aplicando los mencionados Documentos Tipo, así como adelantar el proceso de contratación y celebrar el contrato conforme al EGCAP.</w:t>
      </w:r>
    </w:p>
    <w:p w14:paraId="2E39FF7E" w14:textId="77777777" w:rsidR="00464416" w:rsidRPr="00FC368C" w:rsidRDefault="00464416" w:rsidP="00464416">
      <w:pPr>
        <w:ind w:firstLine="708"/>
        <w:jc w:val="both"/>
        <w:rPr>
          <w:rFonts w:ascii="Century Gothic" w:eastAsia="Arial" w:hAnsi="Century Gothic" w:cs="Arial"/>
        </w:rPr>
      </w:pPr>
      <w:r w:rsidRPr="00FC368C">
        <w:rPr>
          <w:rFonts w:ascii="Century Gothic" w:eastAsia="Arial" w:hAnsi="Century Gothic" w:cs="Arial"/>
        </w:rPr>
        <w:t>Finalmente, sobre el deber de publicación de la actividad contractual en SECOP II por dichas empresas, es importante señalar que el artículo 53 de la Ley 2195 de 2022 dispone que las entidades con regímenes especiales “deberán publicar los documentos relacionados con su actividad contractual en el Sistema Electrónico para la Contratación Pública –SECOP II– o la plataforma transaccional que haga sus veces”. De esta forma y, teniendo en cuenta que la norma precitada complementa lo señalado en el artículo 3 de la Ley 1150 de 2007, debe aclararse que la contratación a la que se refiere es a aquella realizada con recursos públicos, cuya información es la que debe publicarse en el SECOP II. Esto, de acuerdo con la interpretación sistemática que permite armonizar el referido artículo 53 de la Ley 2195 de 2022 con todo el contexto normativo que establece que en dicha plataforma se debe publicar sólo la información relativa a la actividad contractual con dineros públicos.</w:t>
      </w:r>
    </w:p>
    <w:p w14:paraId="020B55B3" w14:textId="77777777" w:rsidR="00464416" w:rsidRPr="00FC368C" w:rsidRDefault="00464416" w:rsidP="00464416">
      <w:pPr>
        <w:spacing w:after="0" w:line="276" w:lineRule="auto"/>
        <w:jc w:val="both"/>
        <w:rPr>
          <w:rFonts w:ascii="Century Gothic" w:hAnsi="Century Gothic" w:cs="Arial"/>
          <w:lang w:val="es-ES"/>
        </w:rPr>
      </w:pPr>
    </w:p>
    <w:p w14:paraId="07E36E1A" w14:textId="77777777" w:rsidR="00464416" w:rsidRPr="00FC368C" w:rsidRDefault="00464416" w:rsidP="00464416">
      <w:pPr>
        <w:widowControl w:val="0"/>
        <w:autoSpaceDE w:val="0"/>
        <w:autoSpaceDN w:val="0"/>
        <w:spacing w:after="0" w:line="276" w:lineRule="auto"/>
        <w:jc w:val="both"/>
        <w:rPr>
          <w:rFonts w:ascii="Century Gothic" w:hAnsi="Century Gothic" w:cs="Arial"/>
          <w:lang w:val="es-ES_tradnl" w:bidi="es-ES"/>
        </w:rPr>
      </w:pPr>
      <w:r w:rsidRPr="00FC368C">
        <w:rPr>
          <w:rFonts w:ascii="Century Gothic" w:hAnsi="Century Gothic" w:cs="Arial"/>
          <w:lang w:val="es-ES_tradnl"/>
        </w:rPr>
        <w:t>Este concepto tiene el alcance previsto en el artículo 28 del Código de Procedimiento Administrativo y de lo Contencioso Administrativo.</w:t>
      </w:r>
    </w:p>
    <w:p w14:paraId="3B038628" w14:textId="77777777" w:rsidR="00464416" w:rsidRPr="00FC368C" w:rsidRDefault="00464416" w:rsidP="00464416">
      <w:pPr>
        <w:widowControl w:val="0"/>
        <w:autoSpaceDE w:val="0"/>
        <w:autoSpaceDN w:val="0"/>
        <w:spacing w:after="0" w:line="276" w:lineRule="auto"/>
        <w:jc w:val="both"/>
        <w:rPr>
          <w:rFonts w:ascii="Century Gothic" w:hAnsi="Century Gothic" w:cs="Arial"/>
          <w:lang w:val="es-ES_tradnl" w:bidi="es-ES"/>
        </w:rPr>
      </w:pPr>
    </w:p>
    <w:p w14:paraId="113E8B89" w14:textId="77777777" w:rsidR="00464416" w:rsidRPr="00FC368C" w:rsidRDefault="00464416" w:rsidP="00464416">
      <w:pPr>
        <w:tabs>
          <w:tab w:val="left" w:pos="426"/>
        </w:tabs>
        <w:spacing w:line="276" w:lineRule="auto"/>
        <w:jc w:val="both"/>
        <w:rPr>
          <w:rFonts w:ascii="Century Gothic" w:eastAsia="Times New Roman" w:hAnsi="Century Gothic" w:cs="Arial"/>
        </w:rPr>
      </w:pPr>
      <w:r w:rsidRPr="00FC368C">
        <w:rPr>
          <w:rFonts w:ascii="Century Gothic" w:eastAsia="Times New Roman" w:hAnsi="Century Gothic" w:cs="Arial"/>
        </w:rPr>
        <w:t>Atentamente,</w:t>
      </w:r>
    </w:p>
    <w:p w14:paraId="277BB740" w14:textId="0DB43301" w:rsidR="00464416" w:rsidRPr="0009043F" w:rsidRDefault="00F90DD7" w:rsidP="00464416">
      <w:pPr>
        <w:jc w:val="center"/>
        <w:rPr>
          <w:rFonts w:ascii="Calibri" w:hAnsi="Calibri" w:cs="Calibri"/>
          <w:shd w:val="clear" w:color="auto" w:fill="FFFFFF"/>
        </w:rPr>
      </w:pPr>
      <w:r>
        <w:rPr>
          <w:rStyle w:val="wacimagecontainer"/>
          <w:rFonts w:ascii="Segoe UI" w:hAnsi="Segoe UI" w:cs="Segoe UI"/>
          <w:noProof/>
          <w:color w:val="000000"/>
          <w:sz w:val="18"/>
          <w:szCs w:val="18"/>
          <w:shd w:val="clear" w:color="auto" w:fill="FFFFFF"/>
        </w:rPr>
        <w:drawing>
          <wp:inline distT="0" distB="0" distL="0" distR="0" wp14:anchorId="617D1E5C" wp14:editId="48081049">
            <wp:extent cx="3152775" cy="1207770"/>
            <wp:effectExtent l="0" t="0" r="9525" b="0"/>
            <wp:docPr id="113749680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2775" cy="1207770"/>
                    </a:xfrm>
                    <a:prstGeom prst="rect">
                      <a:avLst/>
                    </a:prstGeom>
                    <a:noFill/>
                    <a:ln>
                      <a:noFill/>
                    </a:ln>
                  </pic:spPr>
                </pic:pic>
              </a:graphicData>
            </a:graphic>
          </wp:inline>
        </w:drawing>
      </w:r>
      <w:r>
        <w:rPr>
          <w:rFonts w:ascii="Aptos" w:hAnsi="Aptos"/>
          <w:color w:val="000000"/>
          <w:shd w:val="clear" w:color="auto" w:fill="FFFFFF"/>
        </w:rPr>
        <w:br/>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4410"/>
      </w:tblGrid>
      <w:tr w:rsidR="00464416" w:rsidRPr="00FC368C" w14:paraId="6A850E5F" w14:textId="77777777" w:rsidTr="006736D4">
        <w:trPr>
          <w:trHeight w:val="315"/>
        </w:trPr>
        <w:tc>
          <w:tcPr>
            <w:tcW w:w="810" w:type="dxa"/>
            <w:tcBorders>
              <w:top w:val="nil"/>
              <w:left w:val="nil"/>
              <w:bottom w:val="nil"/>
              <w:right w:val="nil"/>
            </w:tcBorders>
            <w:shd w:val="clear" w:color="auto" w:fill="auto"/>
            <w:vAlign w:val="center"/>
            <w:hideMark/>
          </w:tcPr>
          <w:bookmarkEnd w:id="2"/>
          <w:p w14:paraId="5031D9BB" w14:textId="77777777" w:rsidR="00464416" w:rsidRPr="00B15E6D" w:rsidRDefault="00464416" w:rsidP="006736D4">
            <w:pPr>
              <w:spacing w:after="0" w:line="240" w:lineRule="auto"/>
              <w:textAlignment w:val="baseline"/>
              <w:rPr>
                <w:rFonts w:ascii="Segoe UI" w:eastAsia="Times New Roman" w:hAnsi="Segoe UI" w:cs="Segoe UI"/>
                <w:sz w:val="18"/>
                <w:szCs w:val="18"/>
                <w:lang w:eastAsia="es-CO"/>
              </w:rPr>
            </w:pPr>
            <w:r w:rsidRPr="00B15E6D">
              <w:rPr>
                <w:rFonts w:ascii="Century Gothic" w:eastAsia="Times New Roman" w:hAnsi="Century Gothic" w:cs="Segoe UI"/>
                <w:sz w:val="12"/>
                <w:szCs w:val="12"/>
                <w:lang w:val="es-ES" w:eastAsia="es-CO"/>
              </w:rPr>
              <w:t>Elaboró:</w:t>
            </w:r>
            <w:r w:rsidRPr="00B15E6D">
              <w:rPr>
                <w:rFonts w:ascii="Arial" w:eastAsia="Times New Roman" w:hAnsi="Arial" w:cs="Arial"/>
                <w:sz w:val="12"/>
                <w:szCs w:val="12"/>
                <w:lang w:val="es-ES" w:eastAsia="es-CO"/>
              </w:rPr>
              <w:t> </w:t>
            </w:r>
            <w:r w:rsidRPr="00B15E6D">
              <w:rPr>
                <w:rFonts w:ascii="Arial" w:eastAsia="Times New Roman" w:hAnsi="Arial" w:cs="Arial"/>
                <w:sz w:val="12"/>
                <w:szCs w:val="12"/>
                <w:lang w:eastAsia="es-CO"/>
              </w:rPr>
              <w:t>  </w:t>
            </w:r>
            <w:r w:rsidRPr="00B15E6D">
              <w:rPr>
                <w:rFonts w:ascii="Century Gothic" w:eastAsia="Times New Roman" w:hAnsi="Century Gothic" w:cs="Segoe UI"/>
                <w:sz w:val="12"/>
                <w:szCs w:val="12"/>
                <w:lang w:eastAsia="es-CO"/>
              </w:rPr>
              <w:t> </w:t>
            </w:r>
          </w:p>
        </w:tc>
        <w:tc>
          <w:tcPr>
            <w:tcW w:w="4410" w:type="dxa"/>
            <w:tcBorders>
              <w:top w:val="nil"/>
              <w:left w:val="nil"/>
              <w:bottom w:val="dotted" w:sz="6" w:space="0" w:color="7F7F7F"/>
              <w:right w:val="nil"/>
            </w:tcBorders>
            <w:shd w:val="clear" w:color="auto" w:fill="auto"/>
            <w:vAlign w:val="center"/>
            <w:hideMark/>
          </w:tcPr>
          <w:p w14:paraId="237ABFB7" w14:textId="77777777" w:rsidR="00464416" w:rsidRPr="00B15E6D" w:rsidRDefault="00464416" w:rsidP="006736D4">
            <w:pPr>
              <w:spacing w:after="0" w:line="240" w:lineRule="auto"/>
              <w:textAlignment w:val="baseline"/>
              <w:rPr>
                <w:rFonts w:ascii="Segoe UI" w:eastAsia="Times New Roman" w:hAnsi="Segoe UI" w:cs="Segoe UI"/>
                <w:sz w:val="18"/>
                <w:szCs w:val="18"/>
                <w:lang w:eastAsia="es-CO"/>
              </w:rPr>
            </w:pPr>
            <w:r w:rsidRPr="00B15E6D">
              <w:rPr>
                <w:rFonts w:ascii="Century Gothic" w:eastAsia="Times New Roman" w:hAnsi="Century Gothic" w:cs="Segoe UI"/>
                <w:sz w:val="12"/>
                <w:szCs w:val="12"/>
                <w:lang w:val="es-ES" w:eastAsia="es-CO"/>
              </w:rPr>
              <w:t>Nasly Yeana Mosquera Rivas</w:t>
            </w:r>
            <w:r w:rsidRPr="00B15E6D">
              <w:rPr>
                <w:rFonts w:ascii="Arial" w:eastAsia="Times New Roman" w:hAnsi="Arial" w:cs="Arial"/>
                <w:sz w:val="12"/>
                <w:szCs w:val="12"/>
                <w:lang w:eastAsia="es-CO"/>
              </w:rPr>
              <w:t>  </w:t>
            </w:r>
            <w:r w:rsidRPr="00B15E6D">
              <w:rPr>
                <w:rFonts w:ascii="Century Gothic" w:eastAsia="Times New Roman" w:hAnsi="Century Gothic" w:cs="Segoe UI"/>
                <w:sz w:val="12"/>
                <w:szCs w:val="12"/>
                <w:lang w:eastAsia="es-CO"/>
              </w:rPr>
              <w:t> </w:t>
            </w:r>
          </w:p>
          <w:p w14:paraId="37198EB9" w14:textId="77777777" w:rsidR="00464416" w:rsidRPr="00B15E6D" w:rsidRDefault="00464416" w:rsidP="006736D4">
            <w:pPr>
              <w:spacing w:after="0" w:line="240" w:lineRule="auto"/>
              <w:textAlignment w:val="baseline"/>
              <w:rPr>
                <w:rFonts w:ascii="Segoe UI" w:eastAsia="Times New Roman" w:hAnsi="Segoe UI" w:cs="Segoe UI"/>
                <w:sz w:val="18"/>
                <w:szCs w:val="18"/>
                <w:lang w:eastAsia="es-CO"/>
              </w:rPr>
            </w:pPr>
            <w:r w:rsidRPr="00B15E6D">
              <w:rPr>
                <w:rFonts w:ascii="Century Gothic" w:eastAsia="Times New Roman" w:hAnsi="Century Gothic" w:cs="Segoe UI"/>
                <w:sz w:val="12"/>
                <w:szCs w:val="12"/>
                <w:lang w:val="es-ES" w:eastAsia="es-CO"/>
              </w:rPr>
              <w:t>Analista T2 – 06 de la Subdirección de Gestión Contractual</w:t>
            </w:r>
            <w:r w:rsidRPr="00B15E6D">
              <w:rPr>
                <w:rFonts w:ascii="Arial" w:eastAsia="Times New Roman" w:hAnsi="Arial" w:cs="Arial"/>
                <w:sz w:val="12"/>
                <w:szCs w:val="12"/>
                <w:lang w:eastAsia="es-CO"/>
              </w:rPr>
              <w:t>  </w:t>
            </w:r>
            <w:r w:rsidRPr="00B15E6D">
              <w:rPr>
                <w:rFonts w:ascii="Century Gothic" w:eastAsia="Times New Roman" w:hAnsi="Century Gothic" w:cs="Segoe UI"/>
                <w:sz w:val="12"/>
                <w:szCs w:val="12"/>
                <w:lang w:eastAsia="es-CO"/>
              </w:rPr>
              <w:t> </w:t>
            </w:r>
          </w:p>
        </w:tc>
      </w:tr>
      <w:tr w:rsidR="00464416" w:rsidRPr="00FC368C" w14:paraId="3A632622" w14:textId="77777777" w:rsidTr="006736D4">
        <w:trPr>
          <w:trHeight w:val="315"/>
        </w:trPr>
        <w:tc>
          <w:tcPr>
            <w:tcW w:w="810" w:type="dxa"/>
            <w:tcBorders>
              <w:top w:val="nil"/>
              <w:left w:val="nil"/>
              <w:bottom w:val="nil"/>
              <w:right w:val="nil"/>
            </w:tcBorders>
            <w:shd w:val="clear" w:color="auto" w:fill="auto"/>
            <w:vAlign w:val="center"/>
            <w:hideMark/>
          </w:tcPr>
          <w:p w14:paraId="0D853113" w14:textId="77777777" w:rsidR="00464416" w:rsidRPr="00B15E6D" w:rsidRDefault="00464416" w:rsidP="006736D4">
            <w:pPr>
              <w:spacing w:after="0" w:line="240" w:lineRule="auto"/>
              <w:textAlignment w:val="baseline"/>
              <w:rPr>
                <w:rFonts w:ascii="Segoe UI" w:eastAsia="Times New Roman" w:hAnsi="Segoe UI" w:cs="Segoe UI"/>
                <w:sz w:val="18"/>
                <w:szCs w:val="18"/>
                <w:lang w:eastAsia="es-CO"/>
              </w:rPr>
            </w:pPr>
            <w:r w:rsidRPr="00B15E6D">
              <w:rPr>
                <w:rFonts w:ascii="Century Gothic" w:eastAsia="Times New Roman" w:hAnsi="Century Gothic" w:cs="Segoe UI"/>
                <w:sz w:val="12"/>
                <w:szCs w:val="12"/>
                <w:lang w:val="es-ES" w:eastAsia="es-CO"/>
              </w:rPr>
              <w:t>Revisó:</w:t>
            </w:r>
            <w:r w:rsidRPr="00B15E6D">
              <w:rPr>
                <w:rFonts w:ascii="Arial" w:eastAsia="Times New Roman" w:hAnsi="Arial" w:cs="Arial"/>
                <w:sz w:val="12"/>
                <w:szCs w:val="12"/>
                <w:lang w:val="es-ES" w:eastAsia="es-CO"/>
              </w:rPr>
              <w:t> </w:t>
            </w:r>
            <w:r w:rsidRPr="00B15E6D">
              <w:rPr>
                <w:rFonts w:ascii="Arial" w:eastAsia="Times New Roman" w:hAnsi="Arial" w:cs="Arial"/>
                <w:sz w:val="12"/>
                <w:szCs w:val="12"/>
                <w:lang w:eastAsia="es-CO"/>
              </w:rPr>
              <w:t>  </w:t>
            </w:r>
            <w:r w:rsidRPr="00B15E6D">
              <w:rPr>
                <w:rFonts w:ascii="Century Gothic" w:eastAsia="Times New Roman" w:hAnsi="Century Gothic" w:cs="Segoe UI"/>
                <w:sz w:val="12"/>
                <w:szCs w:val="12"/>
                <w:lang w:eastAsia="es-CO"/>
              </w:rPr>
              <w:t> </w:t>
            </w:r>
          </w:p>
        </w:tc>
        <w:tc>
          <w:tcPr>
            <w:tcW w:w="4410" w:type="dxa"/>
            <w:tcBorders>
              <w:top w:val="dotted" w:sz="6" w:space="0" w:color="7F7F7F"/>
              <w:left w:val="nil"/>
              <w:bottom w:val="dotted" w:sz="6" w:space="0" w:color="7F7F7F"/>
              <w:right w:val="nil"/>
            </w:tcBorders>
            <w:shd w:val="clear" w:color="auto" w:fill="auto"/>
            <w:vAlign w:val="center"/>
            <w:hideMark/>
          </w:tcPr>
          <w:p w14:paraId="49B86238" w14:textId="77777777" w:rsidR="00464416" w:rsidRPr="00B15E6D" w:rsidRDefault="00464416" w:rsidP="006736D4">
            <w:pPr>
              <w:spacing w:after="0" w:line="240" w:lineRule="auto"/>
              <w:textAlignment w:val="baseline"/>
              <w:rPr>
                <w:rFonts w:ascii="Segoe UI" w:eastAsia="Times New Roman" w:hAnsi="Segoe UI" w:cs="Segoe UI"/>
                <w:sz w:val="18"/>
                <w:szCs w:val="18"/>
                <w:lang w:eastAsia="es-CO"/>
              </w:rPr>
            </w:pPr>
            <w:r w:rsidRPr="00B15E6D">
              <w:rPr>
                <w:rFonts w:ascii="Century Gothic" w:eastAsia="Times New Roman" w:hAnsi="Century Gothic" w:cs="Segoe UI"/>
                <w:sz w:val="12"/>
                <w:szCs w:val="12"/>
                <w:lang w:val="es-ES" w:eastAsia="es-CO"/>
              </w:rPr>
              <w:t xml:space="preserve">Adriana </w:t>
            </w:r>
            <w:proofErr w:type="spellStart"/>
            <w:r w:rsidRPr="00B15E6D">
              <w:rPr>
                <w:rFonts w:ascii="Century Gothic" w:eastAsia="Times New Roman" w:hAnsi="Century Gothic" w:cs="Segoe UI"/>
                <w:sz w:val="12"/>
                <w:szCs w:val="12"/>
                <w:lang w:val="es-ES" w:eastAsia="es-CO"/>
              </w:rPr>
              <w:t>katerine</w:t>
            </w:r>
            <w:proofErr w:type="spellEnd"/>
            <w:r w:rsidRPr="00B15E6D">
              <w:rPr>
                <w:rFonts w:ascii="Century Gothic" w:eastAsia="Times New Roman" w:hAnsi="Century Gothic" w:cs="Segoe UI"/>
                <w:sz w:val="12"/>
                <w:szCs w:val="12"/>
                <w:lang w:val="es-ES" w:eastAsia="es-CO"/>
              </w:rPr>
              <w:t xml:space="preserve"> López Rodríguez</w:t>
            </w:r>
            <w:r w:rsidRPr="00B15E6D">
              <w:rPr>
                <w:rFonts w:ascii="Arial" w:eastAsia="Times New Roman" w:hAnsi="Arial" w:cs="Arial"/>
                <w:sz w:val="12"/>
                <w:szCs w:val="12"/>
                <w:lang w:eastAsia="es-CO"/>
              </w:rPr>
              <w:t> </w:t>
            </w:r>
            <w:r w:rsidRPr="00B15E6D">
              <w:rPr>
                <w:rFonts w:ascii="Century Gothic" w:eastAsia="Times New Roman" w:hAnsi="Century Gothic" w:cs="Segoe UI"/>
                <w:sz w:val="12"/>
                <w:szCs w:val="12"/>
                <w:lang w:eastAsia="es-CO"/>
              </w:rPr>
              <w:t> </w:t>
            </w:r>
          </w:p>
          <w:p w14:paraId="419CE0A6" w14:textId="77777777" w:rsidR="00464416" w:rsidRPr="00B15E6D" w:rsidRDefault="00464416" w:rsidP="006736D4">
            <w:pPr>
              <w:spacing w:after="0" w:line="240" w:lineRule="auto"/>
              <w:textAlignment w:val="baseline"/>
              <w:rPr>
                <w:rFonts w:ascii="Segoe UI" w:eastAsia="Times New Roman" w:hAnsi="Segoe UI" w:cs="Segoe UI"/>
                <w:sz w:val="18"/>
                <w:szCs w:val="18"/>
                <w:lang w:eastAsia="es-CO"/>
              </w:rPr>
            </w:pPr>
            <w:r w:rsidRPr="00B15E6D">
              <w:rPr>
                <w:rFonts w:ascii="Century Gothic" w:eastAsia="Times New Roman" w:hAnsi="Century Gothic" w:cs="Segoe UI"/>
                <w:sz w:val="12"/>
                <w:szCs w:val="12"/>
                <w:lang w:val="es-ES" w:eastAsia="es-CO"/>
              </w:rPr>
              <w:t>Contratista de la Subdirección de Gestión Contractual</w:t>
            </w:r>
            <w:r w:rsidRPr="00B15E6D">
              <w:rPr>
                <w:rFonts w:ascii="Arial" w:eastAsia="Times New Roman" w:hAnsi="Arial" w:cs="Arial"/>
                <w:sz w:val="12"/>
                <w:szCs w:val="12"/>
                <w:lang w:eastAsia="es-CO"/>
              </w:rPr>
              <w:t>  </w:t>
            </w:r>
            <w:r w:rsidRPr="00B15E6D">
              <w:rPr>
                <w:rFonts w:ascii="Century Gothic" w:eastAsia="Times New Roman" w:hAnsi="Century Gothic" w:cs="Segoe UI"/>
                <w:sz w:val="12"/>
                <w:szCs w:val="12"/>
                <w:lang w:eastAsia="es-CO"/>
              </w:rPr>
              <w:t> </w:t>
            </w:r>
          </w:p>
        </w:tc>
      </w:tr>
      <w:tr w:rsidR="00464416" w:rsidRPr="00B15E6D" w14:paraId="1E6824F2" w14:textId="77777777" w:rsidTr="006736D4">
        <w:trPr>
          <w:trHeight w:val="300"/>
        </w:trPr>
        <w:tc>
          <w:tcPr>
            <w:tcW w:w="810" w:type="dxa"/>
            <w:tcBorders>
              <w:top w:val="nil"/>
              <w:left w:val="nil"/>
              <w:bottom w:val="nil"/>
              <w:right w:val="nil"/>
            </w:tcBorders>
            <w:shd w:val="clear" w:color="auto" w:fill="auto"/>
            <w:vAlign w:val="center"/>
            <w:hideMark/>
          </w:tcPr>
          <w:p w14:paraId="08BABA6D" w14:textId="77777777" w:rsidR="00464416" w:rsidRPr="00B15E6D" w:rsidRDefault="00464416" w:rsidP="006736D4">
            <w:pPr>
              <w:spacing w:after="0" w:line="240" w:lineRule="auto"/>
              <w:textAlignment w:val="baseline"/>
              <w:rPr>
                <w:rFonts w:ascii="Segoe UI" w:eastAsia="Times New Roman" w:hAnsi="Segoe UI" w:cs="Segoe UI"/>
                <w:sz w:val="18"/>
                <w:szCs w:val="18"/>
                <w:lang w:eastAsia="es-CO"/>
              </w:rPr>
            </w:pPr>
            <w:r w:rsidRPr="00B15E6D">
              <w:rPr>
                <w:rFonts w:ascii="Century Gothic" w:eastAsia="Times New Roman" w:hAnsi="Century Gothic" w:cs="Segoe UI"/>
                <w:sz w:val="12"/>
                <w:szCs w:val="12"/>
                <w:lang w:val="es-ES" w:eastAsia="es-CO"/>
              </w:rPr>
              <w:t>Aprobó:</w:t>
            </w:r>
            <w:r w:rsidRPr="00B15E6D">
              <w:rPr>
                <w:rFonts w:ascii="Arial" w:eastAsia="Times New Roman" w:hAnsi="Arial" w:cs="Arial"/>
                <w:sz w:val="12"/>
                <w:szCs w:val="12"/>
                <w:lang w:val="es-ES" w:eastAsia="es-CO"/>
              </w:rPr>
              <w:t> </w:t>
            </w:r>
            <w:r w:rsidRPr="00B15E6D">
              <w:rPr>
                <w:rFonts w:ascii="Arial" w:eastAsia="Times New Roman" w:hAnsi="Arial" w:cs="Arial"/>
                <w:sz w:val="12"/>
                <w:szCs w:val="12"/>
                <w:lang w:eastAsia="es-CO"/>
              </w:rPr>
              <w:t>  </w:t>
            </w:r>
            <w:r w:rsidRPr="00B15E6D">
              <w:rPr>
                <w:rFonts w:ascii="Century Gothic" w:eastAsia="Times New Roman" w:hAnsi="Century Gothic" w:cs="Segoe UI"/>
                <w:sz w:val="12"/>
                <w:szCs w:val="12"/>
                <w:lang w:eastAsia="es-CO"/>
              </w:rPr>
              <w:t> </w:t>
            </w:r>
          </w:p>
        </w:tc>
        <w:tc>
          <w:tcPr>
            <w:tcW w:w="4410" w:type="dxa"/>
            <w:tcBorders>
              <w:top w:val="dotted" w:sz="6" w:space="0" w:color="7F7F7F"/>
              <w:left w:val="nil"/>
              <w:bottom w:val="dotted" w:sz="6" w:space="0" w:color="7F7F7F"/>
              <w:right w:val="nil"/>
            </w:tcBorders>
            <w:shd w:val="clear" w:color="auto" w:fill="auto"/>
            <w:vAlign w:val="center"/>
            <w:hideMark/>
          </w:tcPr>
          <w:p w14:paraId="7E8E936D" w14:textId="77777777" w:rsidR="00464416" w:rsidRPr="00B15E6D" w:rsidRDefault="00464416" w:rsidP="006736D4">
            <w:pPr>
              <w:spacing w:after="0" w:line="240" w:lineRule="auto"/>
              <w:textAlignment w:val="baseline"/>
              <w:rPr>
                <w:rFonts w:ascii="Segoe UI" w:eastAsia="Times New Roman" w:hAnsi="Segoe UI" w:cs="Segoe UI"/>
                <w:sz w:val="18"/>
                <w:szCs w:val="18"/>
                <w:lang w:eastAsia="es-CO"/>
              </w:rPr>
            </w:pPr>
            <w:r w:rsidRPr="00B15E6D">
              <w:rPr>
                <w:rFonts w:ascii="Century Gothic" w:eastAsia="Times New Roman" w:hAnsi="Century Gothic" w:cs="Segoe UI"/>
                <w:sz w:val="12"/>
                <w:szCs w:val="12"/>
                <w:lang w:val="es-ES" w:eastAsia="es-CO"/>
              </w:rPr>
              <w:t xml:space="preserve">Nohelia del Carmen </w:t>
            </w:r>
            <w:proofErr w:type="spellStart"/>
            <w:r w:rsidRPr="00B15E6D">
              <w:rPr>
                <w:rFonts w:ascii="Century Gothic" w:eastAsia="Times New Roman" w:hAnsi="Century Gothic" w:cs="Segoe UI"/>
                <w:sz w:val="12"/>
                <w:szCs w:val="12"/>
                <w:lang w:val="es-ES" w:eastAsia="es-CO"/>
              </w:rPr>
              <w:t>Zawady</w:t>
            </w:r>
            <w:proofErr w:type="spellEnd"/>
            <w:r w:rsidRPr="00B15E6D">
              <w:rPr>
                <w:rFonts w:ascii="Century Gothic" w:eastAsia="Times New Roman" w:hAnsi="Century Gothic" w:cs="Segoe UI"/>
                <w:sz w:val="12"/>
                <w:szCs w:val="12"/>
                <w:lang w:val="es-ES" w:eastAsia="es-CO"/>
              </w:rPr>
              <w:t xml:space="preserve"> Palacio</w:t>
            </w:r>
            <w:r w:rsidRPr="00B15E6D">
              <w:rPr>
                <w:rFonts w:ascii="Arial" w:eastAsia="Times New Roman" w:hAnsi="Arial" w:cs="Arial"/>
                <w:sz w:val="12"/>
                <w:szCs w:val="12"/>
                <w:lang w:eastAsia="es-CO"/>
              </w:rPr>
              <w:t>  </w:t>
            </w:r>
            <w:r w:rsidRPr="00B15E6D">
              <w:rPr>
                <w:rFonts w:ascii="Century Gothic" w:eastAsia="Times New Roman" w:hAnsi="Century Gothic" w:cs="Segoe UI"/>
                <w:sz w:val="12"/>
                <w:szCs w:val="12"/>
                <w:lang w:eastAsia="es-CO"/>
              </w:rPr>
              <w:t> </w:t>
            </w:r>
          </w:p>
          <w:p w14:paraId="3EBAC6C4" w14:textId="77777777" w:rsidR="00464416" w:rsidRPr="00B15E6D" w:rsidRDefault="00464416" w:rsidP="006736D4">
            <w:pPr>
              <w:spacing w:after="0" w:line="240" w:lineRule="auto"/>
              <w:textAlignment w:val="baseline"/>
              <w:rPr>
                <w:rFonts w:ascii="Segoe UI" w:eastAsia="Times New Roman" w:hAnsi="Segoe UI" w:cs="Segoe UI"/>
                <w:sz w:val="18"/>
                <w:szCs w:val="18"/>
                <w:lang w:eastAsia="es-CO"/>
              </w:rPr>
            </w:pPr>
            <w:r w:rsidRPr="00B15E6D">
              <w:rPr>
                <w:rFonts w:ascii="Century Gothic" w:eastAsia="Times New Roman" w:hAnsi="Century Gothic" w:cs="Segoe UI"/>
                <w:sz w:val="12"/>
                <w:szCs w:val="12"/>
                <w:lang w:val="es-ES" w:eastAsia="es-CO"/>
              </w:rPr>
              <w:t>Subdirectora de Gestión Contractual</w:t>
            </w:r>
            <w:r w:rsidRPr="00B15E6D">
              <w:rPr>
                <w:rFonts w:ascii="Arial" w:eastAsia="Times New Roman" w:hAnsi="Arial" w:cs="Arial"/>
                <w:sz w:val="12"/>
                <w:szCs w:val="12"/>
                <w:lang w:eastAsia="es-CO"/>
              </w:rPr>
              <w:t> </w:t>
            </w:r>
            <w:r w:rsidRPr="00B15E6D">
              <w:rPr>
                <w:rFonts w:ascii="Century Gothic" w:eastAsia="Times New Roman" w:hAnsi="Century Gothic" w:cs="Segoe UI"/>
                <w:sz w:val="12"/>
                <w:szCs w:val="12"/>
                <w:lang w:eastAsia="es-CO"/>
              </w:rPr>
              <w:t>ANCP–CCE–</w:t>
            </w:r>
            <w:r w:rsidRPr="00B15E6D">
              <w:rPr>
                <w:rFonts w:ascii="Arial" w:eastAsia="Times New Roman" w:hAnsi="Arial" w:cs="Arial"/>
                <w:sz w:val="12"/>
                <w:szCs w:val="12"/>
                <w:lang w:eastAsia="es-CO"/>
              </w:rPr>
              <w:t> </w:t>
            </w:r>
            <w:r w:rsidRPr="00B15E6D">
              <w:rPr>
                <w:rFonts w:ascii="Century Gothic" w:eastAsia="Times New Roman" w:hAnsi="Century Gothic" w:cs="Segoe UI"/>
                <w:sz w:val="12"/>
                <w:szCs w:val="12"/>
                <w:lang w:eastAsia="es-CO"/>
              </w:rPr>
              <w:t> </w:t>
            </w:r>
          </w:p>
        </w:tc>
      </w:tr>
    </w:tbl>
    <w:p w14:paraId="1C5E264B" w14:textId="77777777" w:rsidR="00464416" w:rsidRPr="002D4FFA" w:rsidRDefault="00464416" w:rsidP="00464416"/>
    <w:p w14:paraId="33927EFF" w14:textId="77777777" w:rsidR="008E5C2E" w:rsidRDefault="008E5C2E"/>
    <w:sectPr w:rsidR="008E5C2E" w:rsidSect="00464416">
      <w:headerReference w:type="default" r:id="rId13"/>
      <w:footerReference w:type="default" r:id="rId14"/>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DD4C9" w14:textId="77777777" w:rsidR="00464416" w:rsidRDefault="00464416" w:rsidP="00464416">
      <w:pPr>
        <w:spacing w:after="0" w:line="240" w:lineRule="auto"/>
      </w:pPr>
      <w:r>
        <w:separator/>
      </w:r>
    </w:p>
  </w:endnote>
  <w:endnote w:type="continuationSeparator" w:id="0">
    <w:p w14:paraId="3113201F" w14:textId="77777777" w:rsidR="00464416" w:rsidRDefault="00464416" w:rsidP="00464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29CE5" w14:textId="77777777" w:rsidR="00FF51A0" w:rsidRDefault="00FF51A0">
    <w:pPr>
      <w:pStyle w:val="Piedepgina"/>
    </w:pPr>
    <w:r>
      <w:rPr>
        <w:noProof/>
        <w:lang w:eastAsia="es-CO"/>
      </w:rPr>
      <w:drawing>
        <wp:inline distT="0" distB="0" distL="0" distR="0" wp14:anchorId="440E8EA7" wp14:editId="7D8367E4">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62336" behindDoc="0" locked="0" layoutInCell="1" allowOverlap="1" wp14:anchorId="3535A41E" wp14:editId="65E5EA56">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50AB7B1E"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7749EB55" w14:textId="77777777" w:rsidR="00FF51A0" w:rsidRPr="003F3941" w:rsidRDefault="00FF51A0" w:rsidP="006219F8">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69D61C87" w14:textId="77777777" w:rsidR="00FF51A0" w:rsidRPr="003F3941" w:rsidRDefault="00FF51A0"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w:t>
          </w:r>
          <w:r>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6116299" w14:textId="77777777" w:rsidR="00FF51A0" w:rsidRPr="003F3941" w:rsidRDefault="00FF51A0" w:rsidP="00FC2B5D">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22</w:t>
          </w:r>
          <w:r w:rsidRPr="003F3941">
            <w:rPr>
              <w:rFonts w:ascii="Century Gothic" w:hAnsi="Century Gothic"/>
              <w:sz w:val="16"/>
              <w:szCs w:val="16"/>
            </w:rPr>
            <w:t xml:space="preserve"> DE </w:t>
          </w:r>
          <w:r>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4007593" w14:textId="77777777" w:rsidR="00FF51A0" w:rsidRPr="003F3941" w:rsidRDefault="00FF51A0"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Pr>
              <w:rFonts w:ascii="Century Gothic" w:hAnsi="Century Gothic"/>
              <w:b/>
              <w:bCs/>
              <w:noProof/>
              <w:sz w:val="16"/>
              <w:szCs w:val="16"/>
            </w:rPr>
            <w:t>2</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Pr>
              <w:rFonts w:ascii="Century Gothic" w:hAnsi="Century Gothic"/>
              <w:b/>
              <w:bCs/>
              <w:noProof/>
              <w:sz w:val="16"/>
              <w:szCs w:val="16"/>
            </w:rPr>
            <w:t>2</w:t>
          </w:r>
          <w:r w:rsidRPr="003F3941">
            <w:rPr>
              <w:rFonts w:ascii="Century Gothic" w:hAnsi="Century Gothic"/>
              <w:b/>
              <w:bCs/>
              <w:sz w:val="16"/>
              <w:szCs w:val="16"/>
            </w:rPr>
            <w:fldChar w:fldCharType="end"/>
          </w:r>
        </w:p>
      </w:tc>
    </w:tr>
  </w:tbl>
  <w:p w14:paraId="5D9F0B55" w14:textId="77777777" w:rsidR="00FF51A0" w:rsidRDefault="00FF51A0"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DFB4F" w14:textId="77777777" w:rsidR="00464416" w:rsidRDefault="00464416" w:rsidP="00464416">
      <w:pPr>
        <w:spacing w:after="0" w:line="240" w:lineRule="auto"/>
      </w:pPr>
      <w:r>
        <w:separator/>
      </w:r>
    </w:p>
  </w:footnote>
  <w:footnote w:type="continuationSeparator" w:id="0">
    <w:p w14:paraId="07D9EFD3" w14:textId="77777777" w:rsidR="00464416" w:rsidRDefault="00464416" w:rsidP="00464416">
      <w:pPr>
        <w:spacing w:after="0" w:line="240" w:lineRule="auto"/>
      </w:pPr>
      <w:r>
        <w:continuationSeparator/>
      </w:r>
    </w:p>
  </w:footnote>
  <w:footnote w:id="1">
    <w:p w14:paraId="105A0D5A" w14:textId="77777777" w:rsidR="00464416" w:rsidRPr="004C6711" w:rsidRDefault="00464416" w:rsidP="00464416">
      <w:pPr>
        <w:pStyle w:val="Textonotapie"/>
        <w:ind w:firstLine="708"/>
        <w:jc w:val="both"/>
        <w:rPr>
          <w:rFonts w:ascii="Century Gothic" w:hAnsi="Century Gothic" w:cs="Arial"/>
          <w:sz w:val="12"/>
          <w:szCs w:val="12"/>
          <w:lang w:val="es-ES"/>
        </w:rPr>
      </w:pPr>
      <w:r w:rsidRPr="004C6711">
        <w:rPr>
          <w:rStyle w:val="Refdenotaalpie"/>
          <w:rFonts w:ascii="Century Gothic" w:hAnsi="Century Gothic" w:cs="Arial"/>
          <w:sz w:val="12"/>
          <w:szCs w:val="12"/>
        </w:rPr>
        <w:footnoteRef/>
      </w:r>
      <w:r w:rsidRPr="004C6711">
        <w:rPr>
          <w:rFonts w:ascii="Century Gothic" w:hAnsi="Century Gothic" w:cs="Arial"/>
          <w:sz w:val="12"/>
          <w:szCs w:val="12"/>
        </w:rPr>
        <w:t xml:space="preserve"> La Agencia Nacional de Contratación Pública </w:t>
      </w:r>
      <w:r w:rsidRPr="004C6711">
        <w:rPr>
          <w:rFonts w:ascii="Arial" w:hAnsi="Arial" w:cs="Arial"/>
          <w:sz w:val="12"/>
          <w:szCs w:val="12"/>
        </w:rPr>
        <w:t>‒</w:t>
      </w:r>
      <w:r w:rsidRPr="004C6711">
        <w:rPr>
          <w:rFonts w:ascii="Century Gothic" w:hAnsi="Century Gothic" w:cs="Arial"/>
          <w:sz w:val="12"/>
          <w:szCs w:val="12"/>
        </w:rPr>
        <w:t xml:space="preserve"> Colombia Compra Eficiente fue creada por el Decreto Ley 4170 de 2011. Su objetivo es servir como ente rector de la pol</w:t>
      </w:r>
      <w:r w:rsidRPr="004C6711">
        <w:rPr>
          <w:rFonts w:ascii="Century Gothic" w:hAnsi="Century Gothic" w:cs="Century Gothic"/>
          <w:sz w:val="12"/>
          <w:szCs w:val="12"/>
        </w:rPr>
        <w:t>í</w:t>
      </w:r>
      <w:r w:rsidRPr="004C6711">
        <w:rPr>
          <w:rFonts w:ascii="Century Gothic" w:hAnsi="Century Gothic" w:cs="Arial"/>
          <w:sz w:val="12"/>
          <w:szCs w:val="12"/>
        </w:rPr>
        <w:t>tica de compras y contrataci</w:t>
      </w:r>
      <w:r w:rsidRPr="004C6711">
        <w:rPr>
          <w:rFonts w:ascii="Century Gothic" w:hAnsi="Century Gothic" w:cs="Century Gothic"/>
          <w:sz w:val="12"/>
          <w:szCs w:val="12"/>
        </w:rPr>
        <w:t>ó</w:t>
      </w:r>
      <w:r w:rsidRPr="004C6711">
        <w:rPr>
          <w:rFonts w:ascii="Century Gothic" w:hAnsi="Century Gothic" w:cs="Arial"/>
          <w:sz w:val="12"/>
          <w:szCs w:val="12"/>
        </w:rPr>
        <w:t xml:space="preserve">n del Estado. Para tales fines, como </w:t>
      </w:r>
      <w:r w:rsidRPr="004C6711">
        <w:rPr>
          <w:rFonts w:ascii="Century Gothic" w:hAnsi="Century Gothic" w:cs="Century Gothic"/>
          <w:sz w:val="12"/>
          <w:szCs w:val="12"/>
        </w:rPr>
        <w:t>ó</w:t>
      </w:r>
      <w:r w:rsidRPr="004C6711">
        <w:rPr>
          <w:rFonts w:ascii="Century Gothic" w:hAnsi="Century Gothic" w:cs="Arial"/>
          <w:sz w:val="12"/>
          <w:szCs w:val="12"/>
        </w:rPr>
        <w:t>rgano t</w:t>
      </w:r>
      <w:r w:rsidRPr="004C6711">
        <w:rPr>
          <w:rFonts w:ascii="Century Gothic" w:hAnsi="Century Gothic" w:cs="Century Gothic"/>
          <w:sz w:val="12"/>
          <w:szCs w:val="12"/>
        </w:rPr>
        <w:t>é</w:t>
      </w:r>
      <w:r w:rsidRPr="004C6711">
        <w:rPr>
          <w:rFonts w:ascii="Century Gothic" w:hAnsi="Century Gothic" w:cs="Arial"/>
          <w:sz w:val="12"/>
          <w:szCs w:val="12"/>
        </w:rPr>
        <w:t xml:space="preserve">cnico especializado, le corresponde formular políticas públicas y normas y unificar los procesos de contratación estatal, con el fin de lograr una mayor eficiencia, transparencia y optimización de los recursos del Estado. El artículo 3 </w:t>
      </w:r>
      <w:r w:rsidRPr="004C6711">
        <w:rPr>
          <w:rFonts w:ascii="Century Gothic" w:hAnsi="Century Gothic" w:cs="Arial"/>
          <w:i/>
          <w:iCs/>
          <w:sz w:val="12"/>
          <w:szCs w:val="12"/>
        </w:rPr>
        <w:t xml:space="preserve">ibidem </w:t>
      </w:r>
      <w:r w:rsidRPr="004C6711">
        <w:rPr>
          <w:rFonts w:ascii="Century Gothic" w:hAnsi="Century Gothic" w:cs="Arial"/>
          <w:sz w:val="12"/>
          <w:szCs w:val="12"/>
        </w:rPr>
        <w:t>señala, de manera precisa, las funciones de Colombia Compra Eficiente. Concretamente, el numeral 5º de este artículo establece que le corresponde a esta entidad: “[a]</w:t>
      </w:r>
      <w:proofErr w:type="spellStart"/>
      <w:r w:rsidRPr="004C6711">
        <w:rPr>
          <w:rFonts w:ascii="Century Gothic" w:hAnsi="Century Gothic" w:cs="Arial"/>
          <w:sz w:val="12"/>
          <w:szCs w:val="12"/>
        </w:rPr>
        <w:t>bsolver</w:t>
      </w:r>
      <w:proofErr w:type="spellEnd"/>
      <w:r w:rsidRPr="004C6711">
        <w:rPr>
          <w:rFonts w:ascii="Century Gothic" w:hAnsi="Century Gothic" w:cs="Arial"/>
          <w:sz w:val="12"/>
          <w:szCs w:val="12"/>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4C6711">
        <w:rPr>
          <w:rFonts w:ascii="Century Gothic" w:hAnsi="Century Gothic" w:cs="Arial"/>
          <w:sz w:val="12"/>
          <w:szCs w:val="12"/>
        </w:rPr>
        <w:t>bsolver</w:t>
      </w:r>
      <w:proofErr w:type="spellEnd"/>
      <w:r w:rsidRPr="004C6711">
        <w:rPr>
          <w:rFonts w:ascii="Century Gothic" w:hAnsi="Century Gothic" w:cs="Arial"/>
          <w:sz w:val="12"/>
          <w:szCs w:val="12"/>
        </w:rPr>
        <w:t xml:space="preserve"> consultas sobre la aplicación de normas de carácter general”. </w:t>
      </w:r>
    </w:p>
  </w:footnote>
  <w:footnote w:id="2">
    <w:p w14:paraId="69BEDCCE" w14:textId="77777777" w:rsidR="00464416" w:rsidRPr="004C6711" w:rsidRDefault="00464416" w:rsidP="00464416">
      <w:pPr>
        <w:pStyle w:val="Textonotapie"/>
        <w:ind w:firstLine="708"/>
        <w:contextualSpacing/>
        <w:jc w:val="both"/>
        <w:rPr>
          <w:rFonts w:ascii="Century Gothic" w:hAnsi="Century Gothic" w:cs="Arial"/>
          <w:sz w:val="12"/>
          <w:szCs w:val="12"/>
          <w:shd w:val="clear" w:color="auto" w:fill="E6E6E6"/>
        </w:rPr>
      </w:pPr>
      <w:r w:rsidRPr="004C6711">
        <w:rPr>
          <w:rStyle w:val="Refdenotaalpie"/>
          <w:rFonts w:ascii="Century Gothic" w:hAnsi="Century Gothic" w:cs="Arial"/>
          <w:sz w:val="12"/>
          <w:szCs w:val="12"/>
        </w:rPr>
        <w:footnoteRef/>
      </w:r>
      <w:r w:rsidRPr="004C6711">
        <w:rPr>
          <w:rFonts w:ascii="Century Gothic" w:hAnsi="Century Gothic" w:cs="Arial"/>
          <w:sz w:val="12"/>
          <w:szCs w:val="12"/>
          <w:shd w:val="clear" w:color="auto" w:fill="E6E6E6"/>
        </w:rPr>
        <w:t xml:space="preserve"> </w:t>
      </w:r>
      <w:r w:rsidRPr="004C6711">
        <w:rPr>
          <w:rFonts w:ascii="Century Gothic" w:hAnsi="Century Gothic" w:cs="Arial"/>
          <w:sz w:val="12"/>
          <w:szCs w:val="12"/>
        </w:rPr>
        <w:t>Los conceptos referenciados, así como otros expedidos por la Subdirección se encuentran disponibles para consulta pública en el portal de relatoría de la Agencia, al cual se puede acceder a través del siguiente enlace:</w:t>
      </w:r>
      <w:r w:rsidRPr="004C6711">
        <w:rPr>
          <w:rFonts w:ascii="Century Gothic" w:hAnsi="Century Gothic" w:cs="Arial"/>
          <w:sz w:val="12"/>
          <w:szCs w:val="12"/>
          <w:shd w:val="clear" w:color="auto" w:fill="E6E6E6"/>
        </w:rPr>
        <w:t xml:space="preserve"> </w:t>
      </w:r>
      <w:hyperlink r:id="rId1" w:history="1">
        <w:r w:rsidRPr="004C6711">
          <w:rPr>
            <w:rStyle w:val="Hipervnculo"/>
            <w:rFonts w:ascii="Century Gothic" w:hAnsi="Century Gothic" w:cs="Arial"/>
            <w:sz w:val="12"/>
            <w:szCs w:val="12"/>
          </w:rPr>
          <w:t>https://relatoria.colombiacompra.gov.co/busqueda/conceptos</w:t>
        </w:r>
      </w:hyperlink>
      <w:r w:rsidRPr="004C6711">
        <w:rPr>
          <w:rFonts w:ascii="Century Gothic" w:hAnsi="Century Gothic" w:cs="Arial"/>
          <w:sz w:val="12"/>
          <w:szCs w:val="12"/>
          <w:shd w:val="clear" w:color="auto" w:fill="E6E6E6"/>
        </w:rPr>
        <w:t xml:space="preserve"> </w:t>
      </w:r>
    </w:p>
    <w:p w14:paraId="5A29C3FE" w14:textId="77777777" w:rsidR="00464416" w:rsidRPr="004C6711" w:rsidRDefault="00464416" w:rsidP="00464416">
      <w:pPr>
        <w:pStyle w:val="Textonotapie"/>
        <w:ind w:firstLine="708"/>
        <w:contextualSpacing/>
        <w:jc w:val="both"/>
        <w:rPr>
          <w:rFonts w:ascii="Century Gothic" w:hAnsi="Century Gothic" w:cs="Arial"/>
          <w:sz w:val="12"/>
          <w:szCs w:val="12"/>
        </w:rPr>
      </w:pPr>
    </w:p>
  </w:footnote>
  <w:footnote w:id="3">
    <w:p w14:paraId="0F50DC77" w14:textId="77777777" w:rsidR="00464416" w:rsidRPr="004C6711" w:rsidRDefault="00464416" w:rsidP="00464416">
      <w:pPr>
        <w:pStyle w:val="Textonotapie"/>
        <w:ind w:firstLine="708"/>
        <w:contextualSpacing/>
        <w:jc w:val="both"/>
        <w:rPr>
          <w:rFonts w:ascii="Century Gothic" w:hAnsi="Century Gothic" w:cs="Arial"/>
          <w:color w:val="000000"/>
          <w:sz w:val="12"/>
          <w:szCs w:val="12"/>
        </w:rPr>
      </w:pPr>
      <w:r w:rsidRPr="004C6711">
        <w:rPr>
          <w:rStyle w:val="Refdenotaalpie"/>
          <w:rFonts w:ascii="Century Gothic" w:hAnsi="Century Gothic" w:cs="Arial"/>
          <w:sz w:val="12"/>
          <w:szCs w:val="12"/>
        </w:rPr>
        <w:footnoteRef/>
      </w:r>
      <w:r w:rsidRPr="004C6711">
        <w:rPr>
          <w:rFonts w:ascii="Century Gothic" w:hAnsi="Century Gothic" w:cs="Arial"/>
          <w:sz w:val="12"/>
          <w:szCs w:val="12"/>
        </w:rPr>
        <w:t xml:space="preserve"> </w:t>
      </w:r>
      <w:r w:rsidRPr="004C6711">
        <w:rPr>
          <w:rFonts w:ascii="Century Gothic" w:hAnsi="Century Gothic" w:cs="Arial"/>
          <w:color w:val="000000"/>
          <w:sz w:val="12"/>
          <w:szCs w:val="12"/>
        </w:rPr>
        <w:t>Ley 489 de 1998: “Artículo 68: Entidades descentralizadas.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w:t>
      </w:r>
      <w:r w:rsidRPr="004C6711">
        <w:rPr>
          <w:rFonts w:ascii="Century Gothic" w:hAnsi="Century Gothic" w:cs="Arial"/>
          <w:bCs/>
          <w:i/>
          <w:iCs/>
          <w:color w:val="000000"/>
          <w:sz w:val="12"/>
          <w:szCs w:val="12"/>
        </w:rPr>
        <w:t>las empresas oficiales de servicios públicos</w:t>
      </w:r>
      <w:r w:rsidRPr="004C6711">
        <w:rPr>
          <w:rFonts w:ascii="Century Gothic" w:hAnsi="Century Gothic" w:cs="Arial"/>
          <w:color w:val="000000"/>
          <w:sz w:val="12"/>
          <w:szCs w:val="12"/>
        </w:rPr>
        <w:t> y las demás entidades creadas por la ley o con su autorización, cuyo objeto principal sea el ejercicio de funciones administrativas, la prestación de servicios públicos o la realización de actividades.</w:t>
      </w:r>
    </w:p>
    <w:p w14:paraId="2C267801" w14:textId="77777777" w:rsidR="00464416" w:rsidRPr="004C6711" w:rsidRDefault="00464416" w:rsidP="00464416">
      <w:pPr>
        <w:pStyle w:val="Textonotapie"/>
        <w:ind w:firstLine="708"/>
        <w:contextualSpacing/>
        <w:jc w:val="both"/>
        <w:rPr>
          <w:rFonts w:ascii="Century Gothic" w:hAnsi="Century Gothic" w:cs="Arial"/>
          <w:sz w:val="12"/>
          <w:szCs w:val="12"/>
        </w:rPr>
      </w:pPr>
    </w:p>
  </w:footnote>
  <w:footnote w:id="4">
    <w:p w14:paraId="5AD68FBC" w14:textId="77777777" w:rsidR="00464416" w:rsidRPr="004C6711" w:rsidRDefault="00464416" w:rsidP="00464416">
      <w:pPr>
        <w:pStyle w:val="Textonotapie"/>
        <w:ind w:firstLine="708"/>
        <w:contextualSpacing/>
        <w:jc w:val="both"/>
        <w:rPr>
          <w:rFonts w:ascii="Century Gothic" w:hAnsi="Century Gothic" w:cs="Arial"/>
          <w:sz w:val="12"/>
          <w:szCs w:val="12"/>
        </w:rPr>
      </w:pPr>
      <w:r w:rsidRPr="004C6711">
        <w:rPr>
          <w:rStyle w:val="Refdenotaalpie"/>
          <w:rFonts w:ascii="Century Gothic" w:hAnsi="Century Gothic" w:cs="Arial"/>
          <w:sz w:val="12"/>
          <w:szCs w:val="12"/>
        </w:rPr>
        <w:footnoteRef/>
      </w:r>
      <w:r w:rsidRPr="004C6711">
        <w:rPr>
          <w:rFonts w:ascii="Century Gothic" w:hAnsi="Century Gothic" w:cs="Arial"/>
          <w:sz w:val="12"/>
          <w:szCs w:val="12"/>
          <w:lang w:val="pt-PT"/>
        </w:rPr>
        <w:t xml:space="preserve"> </w:t>
      </w:r>
      <w:r w:rsidRPr="004C6711">
        <w:rPr>
          <w:rFonts w:ascii="Century Gothic" w:hAnsi="Century Gothic" w:cs="Arial"/>
          <w:sz w:val="12"/>
          <w:szCs w:val="12"/>
          <w:lang w:val="pt-PT"/>
        </w:rPr>
        <w:t xml:space="preserve">Corte Constitucional. Sentencia C-736 de 2007. </w:t>
      </w:r>
      <w:r w:rsidRPr="004C6711">
        <w:rPr>
          <w:rFonts w:ascii="Century Gothic" w:hAnsi="Century Gothic" w:cs="Arial"/>
          <w:sz w:val="12"/>
          <w:szCs w:val="12"/>
        </w:rPr>
        <w:t>M.P. Marco Gerardo Monroy Cabra.</w:t>
      </w:r>
    </w:p>
    <w:p w14:paraId="7455032C" w14:textId="77777777" w:rsidR="00464416" w:rsidRPr="004C6711" w:rsidRDefault="00464416" w:rsidP="00464416">
      <w:pPr>
        <w:pStyle w:val="Textonotapie"/>
        <w:ind w:firstLine="708"/>
        <w:contextualSpacing/>
        <w:jc w:val="both"/>
        <w:rPr>
          <w:rFonts w:ascii="Century Gothic" w:hAnsi="Century Gothic" w:cs="Arial"/>
          <w:sz w:val="12"/>
          <w:szCs w:val="12"/>
        </w:rPr>
      </w:pPr>
    </w:p>
  </w:footnote>
  <w:footnote w:id="5">
    <w:p w14:paraId="7C67B40E" w14:textId="77777777" w:rsidR="00464416" w:rsidRPr="004C6711" w:rsidRDefault="00464416" w:rsidP="00464416">
      <w:pPr>
        <w:pStyle w:val="Textonotapie"/>
        <w:ind w:firstLine="708"/>
        <w:contextualSpacing/>
        <w:jc w:val="both"/>
        <w:rPr>
          <w:rFonts w:ascii="Century Gothic" w:hAnsi="Century Gothic" w:cs="Arial"/>
          <w:sz w:val="12"/>
          <w:szCs w:val="12"/>
        </w:rPr>
      </w:pPr>
      <w:r w:rsidRPr="004C6711">
        <w:rPr>
          <w:rStyle w:val="Refdenotaalpie"/>
          <w:rFonts w:ascii="Century Gothic" w:hAnsi="Century Gothic" w:cs="Arial"/>
          <w:sz w:val="12"/>
          <w:szCs w:val="12"/>
        </w:rPr>
        <w:footnoteRef/>
      </w:r>
      <w:r w:rsidRPr="004C6711">
        <w:rPr>
          <w:rFonts w:ascii="Century Gothic" w:hAnsi="Century Gothic" w:cs="Arial"/>
          <w:sz w:val="12"/>
          <w:szCs w:val="12"/>
        </w:rPr>
        <w:t xml:space="preserve"> Ibid.</w:t>
      </w:r>
    </w:p>
    <w:p w14:paraId="31736DB4" w14:textId="77777777" w:rsidR="00464416" w:rsidRPr="004C6711" w:rsidRDefault="00464416" w:rsidP="00464416">
      <w:pPr>
        <w:pStyle w:val="Textonotapie"/>
        <w:ind w:firstLine="708"/>
        <w:contextualSpacing/>
        <w:jc w:val="both"/>
        <w:rPr>
          <w:rFonts w:ascii="Century Gothic" w:hAnsi="Century Gothic" w:cs="Arial"/>
          <w:sz w:val="12"/>
          <w:szCs w:val="12"/>
        </w:rPr>
      </w:pPr>
    </w:p>
  </w:footnote>
  <w:footnote w:id="6">
    <w:p w14:paraId="34446C88" w14:textId="77777777" w:rsidR="00464416" w:rsidRPr="004C6711" w:rsidRDefault="00464416" w:rsidP="00464416">
      <w:pPr>
        <w:pStyle w:val="Textonotapie"/>
        <w:ind w:firstLine="708"/>
        <w:contextualSpacing/>
        <w:jc w:val="both"/>
        <w:rPr>
          <w:rFonts w:ascii="Century Gothic" w:hAnsi="Century Gothic" w:cs="Arial"/>
          <w:sz w:val="12"/>
          <w:szCs w:val="12"/>
        </w:rPr>
      </w:pPr>
      <w:r w:rsidRPr="004C6711">
        <w:rPr>
          <w:rStyle w:val="Refdenotaalpie"/>
          <w:rFonts w:ascii="Century Gothic" w:hAnsi="Century Gothic" w:cs="Arial"/>
          <w:sz w:val="12"/>
          <w:szCs w:val="12"/>
        </w:rPr>
        <w:footnoteRef/>
      </w:r>
      <w:r w:rsidRPr="004C6711">
        <w:rPr>
          <w:rFonts w:ascii="Century Gothic" w:hAnsi="Century Gothic" w:cs="Arial"/>
          <w:sz w:val="12"/>
          <w:szCs w:val="12"/>
        </w:rPr>
        <w:t xml:space="preserve">  Así lo ha reconocido la doctrina en la materia, al afirmar: “El modelo que se adoptó en la Constitución de 1991 para los servicios públicos se caracteriza por la liberalización de su prestación, por un fuerte poder del Estado para intervenir en ellos y por la adopción de instituciones para lidiar con los principales problemas que respecto de las tarifas enfrentaron históricamente estos servicios: la interferencia política en su fijación y el abuso por parte de los prestadores de su posición cuando no tienen suficiente competencia en sus mercados.</w:t>
      </w:r>
    </w:p>
    <w:p w14:paraId="40046497" w14:textId="77777777" w:rsidR="00464416" w:rsidRPr="004C6711" w:rsidRDefault="00464416" w:rsidP="00464416">
      <w:pPr>
        <w:pStyle w:val="Textonotapie"/>
        <w:ind w:firstLine="708"/>
        <w:contextualSpacing/>
        <w:jc w:val="both"/>
        <w:rPr>
          <w:rFonts w:ascii="Century Gothic" w:hAnsi="Century Gothic" w:cs="Arial"/>
          <w:sz w:val="12"/>
          <w:szCs w:val="12"/>
        </w:rPr>
      </w:pPr>
      <w:r w:rsidRPr="004C6711">
        <w:rPr>
          <w:rFonts w:ascii="Century Gothic" w:hAnsi="Century Gothic" w:cs="Arial"/>
          <w:sz w:val="12"/>
          <w:szCs w:val="12"/>
        </w:rPr>
        <w:t>Como base del modelo de liberalización, la Constitución removió las barreras jurídicas de entrada a la prestación de los servicios públicos y estableció como regla general que ellos “podrán ser prestados por el Estado, directa o indirectamente, por comunidades organizadas o por particulares” […].</w:t>
      </w:r>
    </w:p>
    <w:p w14:paraId="0393BDC4" w14:textId="77777777" w:rsidR="00464416" w:rsidRPr="004C6711" w:rsidRDefault="00464416" w:rsidP="00464416">
      <w:pPr>
        <w:pStyle w:val="Textonotapie"/>
        <w:ind w:firstLine="708"/>
        <w:contextualSpacing/>
        <w:jc w:val="both"/>
        <w:rPr>
          <w:rFonts w:ascii="Century Gothic" w:hAnsi="Century Gothic" w:cs="Arial"/>
          <w:sz w:val="12"/>
          <w:szCs w:val="12"/>
        </w:rPr>
      </w:pPr>
      <w:r w:rsidRPr="004C6711">
        <w:rPr>
          <w:rFonts w:ascii="Century Gothic" w:hAnsi="Century Gothic" w:cs="Arial"/>
          <w:sz w:val="12"/>
          <w:szCs w:val="12"/>
        </w:rPr>
        <w:t>Al establecer esta libertad de entrada, la Constitución abrió la puerta para romper con el modelo de prestación basado exclusivamente en los monopolios estatales que estuvo vigente por más de medio siglo. Y aunque bajo la Constitución de 1991 es posible aún la creación de monopolios de derecho para los servicios públicos, para ello deben cumplirse procedimientos muy exigentes desde el punto de vista político y jurídico: debe hacerse mediante una ley de iniciativa gubernamental aprobada por ambas cámaras del Congreso y, en todo caso, puede ocurrir solo mediando indemnización previa y plena” (NÚÑEZ FORERO, Felipe. Servicios públicos domiciliarios, telecomunicaciones e infraestructura (instituciones, regulación y competencia). Bogotá: Universidad Externado de Colombia, 2017. p. 43).</w:t>
      </w:r>
    </w:p>
    <w:p w14:paraId="55E3B190" w14:textId="77777777" w:rsidR="00464416" w:rsidRPr="004C6711" w:rsidRDefault="00464416" w:rsidP="00464416">
      <w:pPr>
        <w:pStyle w:val="Textonotapie"/>
        <w:ind w:firstLine="708"/>
        <w:contextualSpacing/>
        <w:jc w:val="both"/>
        <w:rPr>
          <w:rFonts w:ascii="Century Gothic" w:hAnsi="Century Gothic" w:cs="Arial"/>
          <w:sz w:val="12"/>
          <w:szCs w:val="12"/>
        </w:rPr>
      </w:pPr>
    </w:p>
  </w:footnote>
  <w:footnote w:id="7">
    <w:p w14:paraId="1B1FC558" w14:textId="77777777" w:rsidR="00464416" w:rsidRPr="004C6711" w:rsidRDefault="00464416" w:rsidP="00464416">
      <w:pPr>
        <w:pStyle w:val="Textonotapie"/>
        <w:ind w:firstLine="708"/>
        <w:contextualSpacing/>
        <w:jc w:val="both"/>
        <w:rPr>
          <w:rFonts w:ascii="Century Gothic" w:hAnsi="Century Gothic" w:cs="Arial"/>
          <w:sz w:val="12"/>
          <w:szCs w:val="12"/>
        </w:rPr>
      </w:pPr>
      <w:r w:rsidRPr="004C6711">
        <w:rPr>
          <w:rStyle w:val="Refdenotaalpie"/>
          <w:rFonts w:ascii="Century Gothic" w:hAnsi="Century Gothic" w:cs="Arial"/>
          <w:sz w:val="12"/>
          <w:szCs w:val="12"/>
        </w:rPr>
        <w:footnoteRef/>
      </w:r>
      <w:r w:rsidRPr="004C6711">
        <w:rPr>
          <w:rFonts w:ascii="Century Gothic" w:hAnsi="Century Gothic" w:cs="Arial"/>
          <w:sz w:val="12"/>
          <w:szCs w:val="12"/>
        </w:rPr>
        <w:t xml:space="preserve"> En efecto, dicho artículo establece: “Pueden prestar los servicios públicos:</w:t>
      </w:r>
    </w:p>
    <w:p w14:paraId="2CE28741" w14:textId="77777777" w:rsidR="00464416" w:rsidRPr="004C6711" w:rsidRDefault="00464416" w:rsidP="00464416">
      <w:pPr>
        <w:pStyle w:val="Textonotapie"/>
        <w:ind w:firstLine="708"/>
        <w:contextualSpacing/>
        <w:jc w:val="both"/>
        <w:rPr>
          <w:rFonts w:ascii="Century Gothic" w:hAnsi="Century Gothic" w:cs="Arial"/>
          <w:sz w:val="12"/>
          <w:szCs w:val="12"/>
        </w:rPr>
      </w:pPr>
      <w:r w:rsidRPr="004C6711">
        <w:rPr>
          <w:rFonts w:ascii="Century Gothic" w:hAnsi="Century Gothic" w:cs="Arial"/>
          <w:sz w:val="12"/>
          <w:szCs w:val="12"/>
        </w:rPr>
        <w:t>15.1. Las empresas de servicios públicos.</w:t>
      </w:r>
    </w:p>
    <w:p w14:paraId="096B8AA1" w14:textId="77777777" w:rsidR="00464416" w:rsidRPr="004C6711" w:rsidRDefault="00464416" w:rsidP="00464416">
      <w:pPr>
        <w:pStyle w:val="Textonotapie"/>
        <w:ind w:firstLine="708"/>
        <w:contextualSpacing/>
        <w:jc w:val="both"/>
        <w:rPr>
          <w:rFonts w:ascii="Century Gothic" w:hAnsi="Century Gothic" w:cs="Arial"/>
          <w:sz w:val="12"/>
          <w:szCs w:val="12"/>
        </w:rPr>
      </w:pPr>
      <w:r w:rsidRPr="004C6711">
        <w:rPr>
          <w:rFonts w:ascii="Century Gothic" w:hAnsi="Century Gothic" w:cs="Arial"/>
          <w:sz w:val="12"/>
          <w:szCs w:val="12"/>
        </w:rPr>
        <w:t>15.2. Las personas naturales o jurídicas que produzcan para ellas mismas, o como consecuencia o complemento de su actividad principal, los bienes y servicios propios del objeto de las empresas de servicios públicos.</w:t>
      </w:r>
    </w:p>
    <w:p w14:paraId="7DB1F6EF" w14:textId="77777777" w:rsidR="00464416" w:rsidRPr="004C6711" w:rsidRDefault="00464416" w:rsidP="00464416">
      <w:pPr>
        <w:pStyle w:val="Textonotapie"/>
        <w:ind w:firstLine="708"/>
        <w:contextualSpacing/>
        <w:jc w:val="both"/>
        <w:rPr>
          <w:rFonts w:ascii="Century Gothic" w:hAnsi="Century Gothic" w:cs="Arial"/>
          <w:sz w:val="12"/>
          <w:szCs w:val="12"/>
        </w:rPr>
      </w:pPr>
      <w:r w:rsidRPr="004C6711">
        <w:rPr>
          <w:rFonts w:ascii="Century Gothic" w:hAnsi="Century Gothic" w:cs="Arial"/>
          <w:sz w:val="12"/>
          <w:szCs w:val="12"/>
        </w:rPr>
        <w:t>15.3. Los municipios cuando asuman en forma directa, a través de su administración central, la prestación de los servicios públicos, conforme a lo dispuesto en esta Ley.</w:t>
      </w:r>
    </w:p>
    <w:p w14:paraId="2F5B34B9" w14:textId="77777777" w:rsidR="00464416" w:rsidRPr="004C6711" w:rsidRDefault="00464416" w:rsidP="00464416">
      <w:pPr>
        <w:pStyle w:val="Textonotapie"/>
        <w:ind w:firstLine="708"/>
        <w:contextualSpacing/>
        <w:jc w:val="both"/>
        <w:rPr>
          <w:rFonts w:ascii="Century Gothic" w:hAnsi="Century Gothic" w:cs="Arial"/>
          <w:sz w:val="12"/>
          <w:szCs w:val="12"/>
        </w:rPr>
      </w:pPr>
      <w:r w:rsidRPr="004C6711">
        <w:rPr>
          <w:rFonts w:ascii="Century Gothic" w:hAnsi="Century Gothic" w:cs="Arial"/>
          <w:sz w:val="12"/>
          <w:szCs w:val="12"/>
        </w:rPr>
        <w:t>15.4. Las organizaciones autorizadas conforme a esta Ley para prestar servicios públicos en municipios menores en zonas rurales y en áreas o zonas urbanas específicas.</w:t>
      </w:r>
    </w:p>
    <w:p w14:paraId="59026776" w14:textId="77777777" w:rsidR="00464416" w:rsidRPr="004C6711" w:rsidRDefault="00464416" w:rsidP="00464416">
      <w:pPr>
        <w:pStyle w:val="Textonotapie"/>
        <w:ind w:firstLine="708"/>
        <w:contextualSpacing/>
        <w:jc w:val="both"/>
        <w:rPr>
          <w:rFonts w:ascii="Century Gothic" w:hAnsi="Century Gothic" w:cs="Arial"/>
          <w:sz w:val="12"/>
          <w:szCs w:val="12"/>
        </w:rPr>
      </w:pPr>
      <w:r w:rsidRPr="004C6711">
        <w:rPr>
          <w:rFonts w:ascii="Century Gothic" w:hAnsi="Century Gothic" w:cs="Arial"/>
          <w:sz w:val="12"/>
          <w:szCs w:val="12"/>
        </w:rPr>
        <w:t>15.5. Las entidades autorizadas para prestar servicios públicos durante los períodos de transición previstos en esta Ley.</w:t>
      </w:r>
    </w:p>
    <w:p w14:paraId="4C47F3EE" w14:textId="77777777" w:rsidR="00464416" w:rsidRPr="004C6711" w:rsidRDefault="00464416" w:rsidP="00464416">
      <w:pPr>
        <w:pStyle w:val="Textonotapie"/>
        <w:ind w:firstLine="708"/>
        <w:contextualSpacing/>
        <w:jc w:val="both"/>
        <w:rPr>
          <w:rFonts w:ascii="Century Gothic" w:hAnsi="Century Gothic" w:cs="Arial"/>
          <w:sz w:val="12"/>
          <w:szCs w:val="12"/>
        </w:rPr>
      </w:pPr>
      <w:r w:rsidRPr="004C6711">
        <w:rPr>
          <w:rFonts w:ascii="Century Gothic" w:hAnsi="Century Gothic" w:cs="Arial"/>
          <w:sz w:val="12"/>
          <w:szCs w:val="12"/>
        </w:rPr>
        <w:t>15.6. Las entidades descentralizadas de cualquier orden territorial o nacional que al momento de expedirse esta Ley estén prestando cualquiera de los servicios públicos y se ajusten a lo establecido</w:t>
      </w:r>
    </w:p>
    <w:p w14:paraId="7F65D809" w14:textId="77777777" w:rsidR="00464416" w:rsidRPr="004C6711" w:rsidRDefault="00464416" w:rsidP="00464416">
      <w:pPr>
        <w:pStyle w:val="Textonotapie"/>
        <w:ind w:firstLine="708"/>
        <w:contextualSpacing/>
        <w:jc w:val="both"/>
        <w:rPr>
          <w:rFonts w:ascii="Century Gothic" w:hAnsi="Century Gothic" w:cs="Arial"/>
          <w:sz w:val="12"/>
          <w:szCs w:val="12"/>
        </w:rPr>
      </w:pPr>
      <w:r w:rsidRPr="004C6711">
        <w:rPr>
          <w:rFonts w:ascii="Century Gothic" w:hAnsi="Century Gothic" w:cs="Arial"/>
          <w:sz w:val="12"/>
          <w:szCs w:val="12"/>
        </w:rPr>
        <w:t>en el parágrafo del artículo 17”</w:t>
      </w:r>
    </w:p>
    <w:p w14:paraId="011DC4AA" w14:textId="77777777" w:rsidR="00464416" w:rsidRPr="004C6711" w:rsidRDefault="00464416" w:rsidP="00464416">
      <w:pPr>
        <w:pStyle w:val="Textonotapie"/>
        <w:ind w:firstLine="708"/>
        <w:contextualSpacing/>
        <w:jc w:val="both"/>
        <w:rPr>
          <w:rFonts w:ascii="Century Gothic" w:hAnsi="Century Gothic" w:cs="Arial"/>
          <w:sz w:val="12"/>
          <w:szCs w:val="12"/>
        </w:rPr>
      </w:pPr>
    </w:p>
  </w:footnote>
  <w:footnote w:id="8">
    <w:p w14:paraId="6E0E56BE" w14:textId="77777777" w:rsidR="00464416" w:rsidRPr="004C6711" w:rsidRDefault="00464416" w:rsidP="00464416">
      <w:pPr>
        <w:pStyle w:val="Textonotapie"/>
        <w:ind w:firstLine="708"/>
        <w:contextualSpacing/>
        <w:jc w:val="both"/>
        <w:rPr>
          <w:rFonts w:ascii="Century Gothic" w:hAnsi="Century Gothic" w:cs="Arial"/>
          <w:sz w:val="12"/>
          <w:szCs w:val="12"/>
        </w:rPr>
      </w:pPr>
      <w:r w:rsidRPr="004C6711">
        <w:rPr>
          <w:rStyle w:val="Refdenotaalpie"/>
          <w:rFonts w:ascii="Century Gothic" w:hAnsi="Century Gothic" w:cs="Arial"/>
          <w:sz w:val="12"/>
          <w:szCs w:val="12"/>
        </w:rPr>
        <w:footnoteRef/>
      </w:r>
      <w:r w:rsidRPr="004C6711">
        <w:rPr>
          <w:rFonts w:ascii="Century Gothic" w:hAnsi="Century Gothic" w:cs="Arial"/>
          <w:sz w:val="12"/>
          <w:szCs w:val="12"/>
        </w:rPr>
        <w:t xml:space="preserve"> Así lo establece la norma: “Salvo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se regirán exclusivamente por las reglas del derecho privado.</w:t>
      </w:r>
    </w:p>
    <w:p w14:paraId="37229E94" w14:textId="77777777" w:rsidR="00464416" w:rsidRPr="004C6711" w:rsidRDefault="00464416" w:rsidP="00464416">
      <w:pPr>
        <w:pStyle w:val="Textonotapie"/>
        <w:ind w:firstLine="708"/>
        <w:contextualSpacing/>
        <w:jc w:val="both"/>
        <w:rPr>
          <w:rFonts w:ascii="Century Gothic" w:hAnsi="Century Gothic" w:cs="Arial"/>
          <w:sz w:val="12"/>
          <w:szCs w:val="12"/>
        </w:rPr>
      </w:pPr>
      <w:r w:rsidRPr="004C6711">
        <w:rPr>
          <w:rFonts w:ascii="Century Gothic" w:hAnsi="Century Gothic" w:cs="Arial"/>
          <w:sz w:val="12"/>
          <w:szCs w:val="12"/>
        </w:rPr>
        <w:t>La regla precedente se aplicará, inclusive, a las sociedades en las que las entidades públicas sean parte, sin atender al porcentaje que sus aportes representen dentro del capital social, ni a la naturaleza del acto o del derecho que se ejerce.</w:t>
      </w:r>
    </w:p>
    <w:p w14:paraId="462A53D4" w14:textId="77777777" w:rsidR="00464416" w:rsidRPr="004C6711" w:rsidRDefault="00464416" w:rsidP="00464416">
      <w:pPr>
        <w:pStyle w:val="Textonotapie"/>
        <w:ind w:firstLine="708"/>
        <w:contextualSpacing/>
        <w:jc w:val="both"/>
        <w:rPr>
          <w:rFonts w:ascii="Century Gothic" w:hAnsi="Century Gothic" w:cs="Arial"/>
          <w:sz w:val="12"/>
          <w:szCs w:val="12"/>
        </w:rPr>
      </w:pPr>
      <w:r w:rsidRPr="004C6711">
        <w:rPr>
          <w:rFonts w:ascii="Century Gothic" w:hAnsi="Century Gothic" w:cs="Arial"/>
          <w:sz w:val="12"/>
          <w:szCs w:val="12"/>
        </w:rPr>
        <w:t>Se entiende que la autorización para que una entidad pública haga parte de una empresa de servicios públicos organizada como sociedad por acciones, faculta a su representante legal, de acuerdo con los estatutos de la entidad, para realizar respecto de la sociedad, las acciones y los derechos inherentes a ellas [y] todos los actos que la ley y los estatutos permiten a los socios particulares”</w:t>
      </w:r>
    </w:p>
    <w:p w14:paraId="60DED178" w14:textId="77777777" w:rsidR="00464416" w:rsidRPr="004C6711" w:rsidRDefault="00464416" w:rsidP="00464416">
      <w:pPr>
        <w:pStyle w:val="Textonotapie"/>
        <w:ind w:firstLine="708"/>
        <w:contextualSpacing/>
        <w:jc w:val="both"/>
        <w:rPr>
          <w:rFonts w:ascii="Century Gothic" w:hAnsi="Century Gothic" w:cs="Arial"/>
          <w:sz w:val="12"/>
          <w:szCs w:val="12"/>
        </w:rPr>
      </w:pPr>
    </w:p>
  </w:footnote>
  <w:footnote w:id="9">
    <w:p w14:paraId="5F16C02F" w14:textId="77777777" w:rsidR="00464416" w:rsidRPr="004C6711" w:rsidRDefault="00464416" w:rsidP="00464416">
      <w:pPr>
        <w:pStyle w:val="Textonotapie"/>
        <w:ind w:firstLine="708"/>
        <w:contextualSpacing/>
        <w:jc w:val="both"/>
        <w:rPr>
          <w:rFonts w:ascii="Century Gothic" w:hAnsi="Century Gothic" w:cs="Arial"/>
          <w:sz w:val="12"/>
          <w:szCs w:val="12"/>
        </w:rPr>
      </w:pPr>
      <w:r w:rsidRPr="004C6711">
        <w:rPr>
          <w:rStyle w:val="Refdenotaalpie"/>
          <w:rFonts w:ascii="Century Gothic" w:hAnsi="Century Gothic" w:cs="Arial"/>
          <w:sz w:val="12"/>
          <w:szCs w:val="12"/>
        </w:rPr>
        <w:footnoteRef/>
      </w:r>
      <w:r w:rsidRPr="004C6711">
        <w:rPr>
          <w:rFonts w:ascii="Century Gothic" w:hAnsi="Century Gothic" w:cs="Arial"/>
          <w:sz w:val="12"/>
          <w:szCs w:val="12"/>
        </w:rPr>
        <w:t xml:space="preserve"> Consejo de Estado. Sección Tercera, Subsección C. Sentencia del 13 de abril de 2011. </w:t>
      </w:r>
      <w:proofErr w:type="spellStart"/>
      <w:r w:rsidRPr="004C6711">
        <w:rPr>
          <w:rFonts w:ascii="Century Gothic" w:hAnsi="Century Gothic" w:cs="Arial"/>
          <w:sz w:val="12"/>
          <w:szCs w:val="12"/>
        </w:rPr>
        <w:t>Exp</w:t>
      </w:r>
      <w:proofErr w:type="spellEnd"/>
      <w:r w:rsidRPr="004C6711">
        <w:rPr>
          <w:rFonts w:ascii="Century Gothic" w:hAnsi="Century Gothic" w:cs="Arial"/>
          <w:sz w:val="12"/>
          <w:szCs w:val="12"/>
        </w:rPr>
        <w:t xml:space="preserve">. 37423. Consejero Ponente: Jaime Orlando Santofimio Gamboa. En similar sentido, puede verse la Sentencia del Consejo de Estado. Sección Tercera. Subsección B, del 15 de noviembre de 2011. </w:t>
      </w:r>
      <w:proofErr w:type="spellStart"/>
      <w:r w:rsidRPr="004C6711">
        <w:rPr>
          <w:rFonts w:ascii="Century Gothic" w:hAnsi="Century Gothic" w:cs="Arial"/>
          <w:sz w:val="12"/>
          <w:szCs w:val="12"/>
        </w:rPr>
        <w:t>Exp</w:t>
      </w:r>
      <w:proofErr w:type="spellEnd"/>
      <w:r w:rsidRPr="004C6711">
        <w:rPr>
          <w:rFonts w:ascii="Century Gothic" w:hAnsi="Century Gothic" w:cs="Arial"/>
          <w:sz w:val="12"/>
          <w:szCs w:val="12"/>
        </w:rPr>
        <w:t>. 21178. Consejera ponente: Ruth Stella Correa Palacio.</w:t>
      </w:r>
    </w:p>
    <w:p w14:paraId="06D7B1E1" w14:textId="77777777" w:rsidR="00464416" w:rsidRPr="004C6711" w:rsidRDefault="00464416" w:rsidP="00464416">
      <w:pPr>
        <w:pStyle w:val="Textonotapie"/>
        <w:ind w:firstLine="708"/>
        <w:contextualSpacing/>
        <w:jc w:val="both"/>
        <w:rPr>
          <w:rFonts w:ascii="Century Gothic" w:hAnsi="Century Gothic" w:cs="Arial"/>
          <w:sz w:val="12"/>
          <w:szCs w:val="12"/>
        </w:rPr>
      </w:pPr>
    </w:p>
  </w:footnote>
  <w:footnote w:id="10">
    <w:p w14:paraId="1BCFC04F" w14:textId="77777777" w:rsidR="00464416" w:rsidRPr="004C6711" w:rsidRDefault="00464416" w:rsidP="00464416">
      <w:pPr>
        <w:pStyle w:val="Textonotapie"/>
        <w:ind w:firstLine="708"/>
        <w:contextualSpacing/>
        <w:jc w:val="both"/>
        <w:rPr>
          <w:rFonts w:ascii="Century Gothic" w:hAnsi="Century Gothic" w:cs="Arial"/>
          <w:sz w:val="12"/>
          <w:szCs w:val="12"/>
        </w:rPr>
      </w:pPr>
      <w:r w:rsidRPr="004C6711">
        <w:rPr>
          <w:rStyle w:val="Refdenotaalpie"/>
          <w:rFonts w:ascii="Century Gothic" w:hAnsi="Century Gothic" w:cs="Arial"/>
          <w:sz w:val="12"/>
          <w:szCs w:val="12"/>
        </w:rPr>
        <w:footnoteRef/>
      </w:r>
      <w:r w:rsidRPr="004C6711">
        <w:rPr>
          <w:rFonts w:ascii="Century Gothic" w:hAnsi="Century Gothic" w:cs="Arial"/>
          <w:sz w:val="12"/>
          <w:szCs w:val="12"/>
        </w:rPr>
        <w:t xml:space="preserve"> 8 Esta norma dispone: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 </w:t>
      </w:r>
    </w:p>
    <w:p w14:paraId="0C1159B0" w14:textId="77777777" w:rsidR="00464416" w:rsidRPr="004C6711" w:rsidRDefault="00464416" w:rsidP="00464416">
      <w:pPr>
        <w:pStyle w:val="Textonotapie"/>
        <w:ind w:firstLine="708"/>
        <w:contextualSpacing/>
        <w:jc w:val="both"/>
        <w:rPr>
          <w:rFonts w:ascii="Century Gothic" w:hAnsi="Century Gothic" w:cs="Arial"/>
          <w:sz w:val="12"/>
          <w:szCs w:val="12"/>
        </w:rPr>
      </w:pPr>
    </w:p>
  </w:footnote>
  <w:footnote w:id="11">
    <w:p w14:paraId="10AA7741" w14:textId="77777777" w:rsidR="00464416" w:rsidRPr="004C6711" w:rsidRDefault="00464416" w:rsidP="00464416">
      <w:pPr>
        <w:pStyle w:val="Textonotapie"/>
        <w:ind w:firstLine="709"/>
        <w:contextualSpacing/>
        <w:jc w:val="both"/>
        <w:rPr>
          <w:rFonts w:ascii="Century Gothic" w:hAnsi="Century Gothic" w:cs="Arial"/>
          <w:color w:val="000000"/>
          <w:sz w:val="12"/>
          <w:szCs w:val="12"/>
        </w:rPr>
      </w:pPr>
    </w:p>
    <w:p w14:paraId="76ADA292" w14:textId="77777777" w:rsidR="00464416" w:rsidRPr="004C6711" w:rsidRDefault="00464416" w:rsidP="00464416">
      <w:pPr>
        <w:pStyle w:val="Textonotapie"/>
        <w:ind w:firstLine="709"/>
        <w:contextualSpacing/>
        <w:jc w:val="both"/>
        <w:rPr>
          <w:rFonts w:ascii="Century Gothic" w:hAnsi="Century Gothic" w:cs="Arial"/>
          <w:color w:val="000000"/>
          <w:sz w:val="12"/>
          <w:szCs w:val="12"/>
        </w:rPr>
      </w:pPr>
      <w:r w:rsidRPr="004C6711">
        <w:rPr>
          <w:rStyle w:val="Refdenotaalpie"/>
          <w:rFonts w:ascii="Century Gothic" w:hAnsi="Century Gothic" w:cs="Arial"/>
          <w:color w:val="000000"/>
          <w:sz w:val="12"/>
          <w:szCs w:val="12"/>
        </w:rPr>
        <w:footnoteRef/>
      </w:r>
      <w:r w:rsidRPr="004C6711">
        <w:rPr>
          <w:rFonts w:ascii="Century Gothic" w:hAnsi="Century Gothic" w:cs="Arial"/>
          <w:color w:val="000000"/>
          <w:sz w:val="12"/>
          <w:szCs w:val="12"/>
        </w:rPr>
        <w:t xml:space="preserve"> Corte Constitucional. Sentencia C- 341 del 4 de junio de 2014. M. P. Mauricio González Cuervo.</w:t>
      </w:r>
    </w:p>
    <w:p w14:paraId="7E42B073" w14:textId="77777777" w:rsidR="00464416" w:rsidRPr="004C6711" w:rsidRDefault="00464416" w:rsidP="00464416">
      <w:pPr>
        <w:pStyle w:val="Textonotapie"/>
        <w:ind w:firstLine="709"/>
        <w:contextualSpacing/>
        <w:jc w:val="both"/>
        <w:rPr>
          <w:rFonts w:ascii="Century Gothic" w:hAnsi="Century Gothic" w:cs="Arial"/>
          <w:color w:val="000000"/>
          <w:sz w:val="12"/>
          <w:szCs w:val="12"/>
        </w:rPr>
      </w:pPr>
    </w:p>
  </w:footnote>
  <w:footnote w:id="12">
    <w:p w14:paraId="5F781DE4" w14:textId="77777777" w:rsidR="00464416" w:rsidRPr="004C6711" w:rsidRDefault="00464416" w:rsidP="00464416">
      <w:pPr>
        <w:pStyle w:val="Textonotapie"/>
        <w:ind w:firstLine="709"/>
        <w:contextualSpacing/>
        <w:jc w:val="both"/>
        <w:rPr>
          <w:rFonts w:ascii="Century Gothic" w:hAnsi="Century Gothic" w:cs="Arial"/>
          <w:color w:val="000000"/>
          <w:sz w:val="12"/>
          <w:szCs w:val="12"/>
        </w:rPr>
      </w:pPr>
      <w:r w:rsidRPr="004C6711">
        <w:rPr>
          <w:rStyle w:val="Refdenotaalpie"/>
          <w:rFonts w:ascii="Century Gothic" w:hAnsi="Century Gothic" w:cs="Arial"/>
          <w:color w:val="000000"/>
          <w:sz w:val="12"/>
          <w:szCs w:val="12"/>
        </w:rPr>
        <w:footnoteRef/>
      </w:r>
      <w:r w:rsidRPr="004C6711">
        <w:rPr>
          <w:rFonts w:ascii="Century Gothic" w:hAnsi="Century Gothic" w:cs="Arial"/>
          <w:color w:val="000000"/>
          <w:sz w:val="12"/>
          <w:szCs w:val="12"/>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1E1FA63F" w14:textId="77777777" w:rsidR="00464416" w:rsidRPr="004C6711" w:rsidRDefault="00464416" w:rsidP="00464416">
      <w:pPr>
        <w:pStyle w:val="Textonotapie"/>
        <w:ind w:firstLine="709"/>
        <w:contextualSpacing/>
        <w:jc w:val="both"/>
        <w:rPr>
          <w:rFonts w:ascii="Century Gothic" w:hAnsi="Century Gothic" w:cs="Arial"/>
          <w:color w:val="000000"/>
          <w:sz w:val="12"/>
          <w:szCs w:val="12"/>
        </w:rPr>
      </w:pPr>
    </w:p>
    <w:p w14:paraId="3F398060" w14:textId="77777777" w:rsidR="00464416" w:rsidRPr="004C6711" w:rsidRDefault="00464416" w:rsidP="00464416">
      <w:pPr>
        <w:pStyle w:val="Textonotapie"/>
        <w:ind w:firstLine="709"/>
        <w:contextualSpacing/>
        <w:jc w:val="both"/>
        <w:rPr>
          <w:rFonts w:ascii="Century Gothic" w:hAnsi="Century Gothic" w:cs="Arial"/>
          <w:color w:val="000000"/>
          <w:sz w:val="12"/>
          <w:szCs w:val="12"/>
        </w:rPr>
      </w:pPr>
      <w:r w:rsidRPr="004C6711">
        <w:rPr>
          <w:rFonts w:ascii="Century Gothic" w:hAnsi="Century Gothic" w:cs="Arial"/>
          <w:color w:val="000000"/>
          <w:sz w:val="12"/>
          <w:szCs w:val="12"/>
        </w:rPr>
        <w:t>Lo anterior, sin perjuicio de las publicaciones previstas en el numeral 3 del artículo 30 de la Ley 80 de 1993.</w:t>
      </w:r>
    </w:p>
    <w:p w14:paraId="1BFEB347" w14:textId="77777777" w:rsidR="00464416" w:rsidRPr="004C6711" w:rsidRDefault="00464416" w:rsidP="00464416">
      <w:pPr>
        <w:pStyle w:val="Textonotapie"/>
        <w:ind w:firstLine="709"/>
        <w:contextualSpacing/>
        <w:jc w:val="both"/>
        <w:rPr>
          <w:rFonts w:ascii="Century Gothic" w:hAnsi="Century Gothic" w:cs="Arial"/>
          <w:color w:val="000000"/>
          <w:sz w:val="12"/>
          <w:szCs w:val="12"/>
        </w:rPr>
      </w:pPr>
      <w:r w:rsidRPr="004C6711">
        <w:rPr>
          <w:rFonts w:ascii="Century Gothic" w:hAnsi="Century Gothic" w:cs="Arial"/>
          <w:color w:val="000000"/>
          <w:sz w:val="12"/>
          <w:szCs w:val="12"/>
        </w:rPr>
        <w:t xml:space="preserve">Con el fin de materializar los objetivos a que se refiere el inciso anterior, el Gobierno Nacional desarrollará el Sistema Electrónico para la Contratación Pública, </w:t>
      </w:r>
      <w:proofErr w:type="spellStart"/>
      <w:r w:rsidRPr="004C6711">
        <w:rPr>
          <w:rFonts w:ascii="Century Gothic" w:hAnsi="Century Gothic" w:cs="Arial"/>
          <w:color w:val="000000"/>
          <w:sz w:val="12"/>
          <w:szCs w:val="12"/>
        </w:rPr>
        <w:t>Secop</w:t>
      </w:r>
      <w:proofErr w:type="spellEnd"/>
      <w:r w:rsidRPr="004C6711">
        <w:rPr>
          <w:rFonts w:ascii="Century Gothic" w:hAnsi="Century Gothic" w:cs="Arial"/>
          <w:color w:val="000000"/>
          <w:sz w:val="12"/>
          <w:szCs w:val="12"/>
        </w:rPr>
        <w:t xml:space="preserve">, el cual: </w:t>
      </w:r>
    </w:p>
    <w:p w14:paraId="15305A73" w14:textId="77777777" w:rsidR="00464416" w:rsidRPr="004C6711" w:rsidRDefault="00464416" w:rsidP="00464416">
      <w:pPr>
        <w:pStyle w:val="Textonotapie"/>
        <w:ind w:firstLine="709"/>
        <w:contextualSpacing/>
        <w:jc w:val="both"/>
        <w:rPr>
          <w:rFonts w:ascii="Century Gothic" w:hAnsi="Century Gothic" w:cs="Arial"/>
          <w:color w:val="000000"/>
          <w:sz w:val="12"/>
          <w:szCs w:val="12"/>
        </w:rPr>
      </w:pPr>
      <w:r w:rsidRPr="004C6711">
        <w:rPr>
          <w:rFonts w:ascii="Century Gothic" w:hAnsi="Century Gothic" w:cs="Arial"/>
          <w:color w:val="000000"/>
          <w:sz w:val="12"/>
          <w:szCs w:val="12"/>
        </w:rPr>
        <w:t>[…]</w:t>
      </w:r>
    </w:p>
    <w:p w14:paraId="7B0AB555" w14:textId="77777777" w:rsidR="00464416" w:rsidRPr="004C6711" w:rsidRDefault="00464416" w:rsidP="00464416">
      <w:pPr>
        <w:pStyle w:val="Textonotapie"/>
        <w:ind w:firstLine="709"/>
        <w:contextualSpacing/>
        <w:jc w:val="both"/>
        <w:rPr>
          <w:rFonts w:ascii="Century Gothic" w:hAnsi="Century Gothic" w:cs="Arial"/>
          <w:color w:val="000000"/>
          <w:sz w:val="12"/>
          <w:szCs w:val="12"/>
        </w:rPr>
      </w:pPr>
      <w:r w:rsidRPr="004C6711">
        <w:rPr>
          <w:rFonts w:ascii="Century Gothic" w:hAnsi="Century Gothic" w:cs="Arial"/>
          <w:color w:val="000000"/>
          <w:sz w:val="12"/>
          <w:szCs w:val="12"/>
        </w:rPr>
        <w:t xml:space="preserve">c) Contará con la información oficial de la contratación realizada con dineros públicos, para lo cual establecerá los patrones a que haya lugar y se encargará de su difusión a través de canales electrónico”. </w:t>
      </w:r>
    </w:p>
    <w:p w14:paraId="64DB69A0" w14:textId="77777777" w:rsidR="00464416" w:rsidRPr="004C6711" w:rsidRDefault="00464416" w:rsidP="00464416">
      <w:pPr>
        <w:pStyle w:val="Textonotapie"/>
        <w:ind w:firstLine="709"/>
        <w:contextualSpacing/>
        <w:jc w:val="both"/>
        <w:rPr>
          <w:rFonts w:ascii="Century Gothic" w:hAnsi="Century Gothic" w:cs="Arial"/>
          <w:color w:val="000000"/>
          <w:sz w:val="12"/>
          <w:szCs w:val="12"/>
        </w:rPr>
      </w:pPr>
    </w:p>
  </w:footnote>
  <w:footnote w:id="13">
    <w:p w14:paraId="507000C2" w14:textId="77777777" w:rsidR="00464416" w:rsidRPr="004C6711" w:rsidRDefault="00464416" w:rsidP="00464416">
      <w:pPr>
        <w:pStyle w:val="Textonotapie"/>
        <w:ind w:firstLine="709"/>
        <w:contextualSpacing/>
        <w:jc w:val="both"/>
        <w:rPr>
          <w:rFonts w:ascii="Century Gothic" w:hAnsi="Century Gothic" w:cs="Arial"/>
          <w:color w:val="000000"/>
          <w:sz w:val="12"/>
          <w:szCs w:val="12"/>
        </w:rPr>
      </w:pPr>
      <w:r w:rsidRPr="004C6711">
        <w:rPr>
          <w:rStyle w:val="Refdenotaalpie"/>
          <w:rFonts w:ascii="Century Gothic" w:hAnsi="Century Gothic" w:cs="Arial"/>
          <w:color w:val="000000"/>
          <w:sz w:val="12"/>
          <w:szCs w:val="12"/>
        </w:rPr>
        <w:footnoteRef/>
      </w:r>
      <w:r w:rsidRPr="004C6711">
        <w:rPr>
          <w:rFonts w:ascii="Century Gothic" w:hAnsi="Century Gothic" w:cs="Arial"/>
          <w:color w:val="000000"/>
          <w:sz w:val="12"/>
          <w:szCs w:val="12"/>
        </w:rPr>
        <w:t xml:space="preserve"> Ley 1712 de 2014: “Artículo 2. Toda información en posesión, bajo control o custodia de un sujeto obligado es pública y no podrá ser reservada o limitada sino por disposición constitucional o legal, de conformidad con la presente ley”.</w:t>
      </w:r>
    </w:p>
  </w:footnote>
  <w:footnote w:id="14">
    <w:p w14:paraId="73D9DFF3" w14:textId="77777777" w:rsidR="00464416" w:rsidRPr="004C6711" w:rsidRDefault="00464416" w:rsidP="00464416">
      <w:pPr>
        <w:pStyle w:val="Textonotapie"/>
        <w:contextualSpacing/>
        <w:jc w:val="both"/>
        <w:rPr>
          <w:rFonts w:ascii="Century Gothic" w:hAnsi="Century Gothic" w:cs="Arial"/>
          <w:sz w:val="12"/>
          <w:szCs w:val="12"/>
        </w:rPr>
      </w:pPr>
    </w:p>
    <w:p w14:paraId="08716671" w14:textId="77777777" w:rsidR="00464416" w:rsidRPr="004C6711" w:rsidRDefault="00464416" w:rsidP="00464416">
      <w:pPr>
        <w:pStyle w:val="Textonotapie"/>
        <w:ind w:firstLine="707"/>
        <w:contextualSpacing/>
        <w:jc w:val="both"/>
        <w:rPr>
          <w:rFonts w:ascii="Century Gothic" w:hAnsi="Century Gothic" w:cs="Arial"/>
          <w:sz w:val="12"/>
          <w:szCs w:val="12"/>
          <w:lang w:val="es-CO"/>
        </w:rPr>
      </w:pPr>
      <w:r w:rsidRPr="004C6711">
        <w:rPr>
          <w:rStyle w:val="Refdenotaalpie"/>
          <w:rFonts w:ascii="Century Gothic" w:hAnsi="Century Gothic" w:cs="Arial"/>
          <w:sz w:val="12"/>
          <w:szCs w:val="12"/>
        </w:rPr>
        <w:footnoteRef/>
      </w:r>
      <w:r w:rsidRPr="004C6711">
        <w:rPr>
          <w:rFonts w:ascii="Century Gothic" w:hAnsi="Century Gothic" w:cs="Arial"/>
          <w:sz w:val="12"/>
          <w:szCs w:val="12"/>
          <w:vertAlign w:val="superscript"/>
        </w:rPr>
        <w:t xml:space="preserve"> </w:t>
      </w:r>
      <w:r w:rsidRPr="004C6711">
        <w:rPr>
          <w:rFonts w:ascii="Century Gothic" w:hAnsi="Century Gothic" w:cs="Arial"/>
          <w:sz w:val="12"/>
          <w:szCs w:val="12"/>
        </w:rPr>
        <w:t xml:space="preserve">Ley 1712 de 2014: “Artículo 3. </w:t>
      </w:r>
      <w:bookmarkStart w:id="7" w:name="3"/>
      <w:r w:rsidRPr="004C6711">
        <w:rPr>
          <w:rFonts w:ascii="Century Gothic" w:hAnsi="Century Gothic" w:cs="Arial"/>
          <w:sz w:val="12"/>
          <w:szCs w:val="12"/>
          <w:lang w:val="es-CO"/>
        </w:rPr>
        <w:t>Otros principios de la transparencia y acceso a la información pública.</w:t>
      </w:r>
      <w:bookmarkEnd w:id="7"/>
      <w:r w:rsidRPr="004C6711">
        <w:rPr>
          <w:rFonts w:ascii="Century Gothic" w:hAnsi="Century Gothic" w:cs="Arial"/>
          <w:sz w:val="12"/>
          <w:szCs w:val="12"/>
          <w:lang w:val="es-CO"/>
        </w:rPr>
        <w:t> </w:t>
      </w:r>
    </w:p>
    <w:p w14:paraId="0173A597" w14:textId="77777777" w:rsidR="00464416" w:rsidRPr="004C6711" w:rsidRDefault="00464416" w:rsidP="00464416">
      <w:pPr>
        <w:pStyle w:val="Textonotapie"/>
        <w:ind w:firstLine="707"/>
        <w:contextualSpacing/>
        <w:jc w:val="both"/>
        <w:rPr>
          <w:rFonts w:ascii="Century Gothic" w:hAnsi="Century Gothic" w:cs="Arial"/>
          <w:sz w:val="12"/>
          <w:szCs w:val="12"/>
          <w:lang w:val="es-CO"/>
        </w:rPr>
      </w:pPr>
      <w:r w:rsidRPr="004C6711">
        <w:rPr>
          <w:rFonts w:ascii="Century Gothic" w:hAnsi="Century Gothic" w:cs="Arial"/>
          <w:sz w:val="12"/>
          <w:szCs w:val="12"/>
          <w:lang w:val="es-CO"/>
        </w:rPr>
        <w:t>[…]</w:t>
      </w:r>
    </w:p>
    <w:p w14:paraId="4CA44F99" w14:textId="77777777" w:rsidR="00464416" w:rsidRPr="004C6711" w:rsidRDefault="00464416" w:rsidP="00464416">
      <w:pPr>
        <w:pStyle w:val="Textonotapie"/>
        <w:ind w:firstLine="707"/>
        <w:contextualSpacing/>
        <w:jc w:val="both"/>
        <w:rPr>
          <w:rFonts w:ascii="Century Gothic" w:hAnsi="Century Gothic" w:cs="Arial"/>
          <w:sz w:val="12"/>
          <w:szCs w:val="12"/>
        </w:rPr>
      </w:pPr>
      <w:r w:rsidRPr="004C6711">
        <w:rPr>
          <w:rStyle w:val="baj"/>
          <w:rFonts w:ascii="Century Gothic" w:hAnsi="Century Gothic" w:cs="Arial"/>
          <w:sz w:val="12"/>
          <w:szCs w:val="12"/>
        </w:rPr>
        <w:t>Principio de transparencia</w:t>
      </w:r>
      <w:r w:rsidRPr="004C6711">
        <w:rPr>
          <w:rFonts w:ascii="Century Gothic" w:hAnsi="Century Gothic" w:cs="Arial"/>
          <w:sz w:val="12"/>
          <w:szCs w:val="12"/>
        </w:rPr>
        <w:t xml:space="preserve">. Principio conforme al cual toda la información en poder de los sujetos obligados definidos en esta ley se presume pública, en </w:t>
      </w:r>
      <w:proofErr w:type="gramStart"/>
      <w:r w:rsidRPr="004C6711">
        <w:rPr>
          <w:rFonts w:ascii="Century Gothic" w:hAnsi="Century Gothic" w:cs="Arial"/>
          <w:sz w:val="12"/>
          <w:szCs w:val="12"/>
        </w:rPr>
        <w:t>consecuencia</w:t>
      </w:r>
      <w:proofErr w:type="gramEnd"/>
      <w:r w:rsidRPr="004C6711">
        <w:rPr>
          <w:rFonts w:ascii="Century Gothic" w:hAnsi="Century Gothic" w:cs="Arial"/>
          <w:sz w:val="12"/>
          <w:szCs w:val="12"/>
        </w:rPr>
        <w:t xml:space="preserve">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w:t>
      </w:r>
    </w:p>
    <w:p w14:paraId="568E6DD5" w14:textId="77777777" w:rsidR="00464416" w:rsidRPr="004C6711" w:rsidRDefault="00464416" w:rsidP="00464416">
      <w:pPr>
        <w:pStyle w:val="Textonotapie"/>
        <w:contextualSpacing/>
        <w:jc w:val="both"/>
        <w:rPr>
          <w:rFonts w:ascii="Century Gothic" w:hAnsi="Century Gothic" w:cs="Arial"/>
          <w:sz w:val="12"/>
          <w:szCs w:val="12"/>
          <w:lang w:val="es-CO"/>
        </w:rPr>
      </w:pPr>
    </w:p>
  </w:footnote>
  <w:footnote w:id="15">
    <w:p w14:paraId="31187419" w14:textId="77777777" w:rsidR="00464416" w:rsidRPr="004C6711" w:rsidRDefault="00464416" w:rsidP="00464416">
      <w:pPr>
        <w:pStyle w:val="Textonotapie"/>
        <w:ind w:firstLine="707"/>
        <w:contextualSpacing/>
        <w:jc w:val="both"/>
        <w:rPr>
          <w:rFonts w:ascii="Century Gothic" w:hAnsi="Century Gothic" w:cs="Arial"/>
          <w:sz w:val="12"/>
          <w:szCs w:val="12"/>
          <w:lang w:val="es-CO"/>
        </w:rPr>
      </w:pPr>
      <w:r w:rsidRPr="004C6711">
        <w:rPr>
          <w:rStyle w:val="Refdenotaalpie"/>
          <w:rFonts w:ascii="Century Gothic" w:hAnsi="Century Gothic" w:cs="Arial"/>
          <w:sz w:val="12"/>
          <w:szCs w:val="12"/>
        </w:rPr>
        <w:footnoteRef/>
      </w:r>
      <w:r w:rsidRPr="004C6711">
        <w:rPr>
          <w:rFonts w:ascii="Century Gothic" w:hAnsi="Century Gothic" w:cs="Arial"/>
          <w:sz w:val="12"/>
          <w:szCs w:val="12"/>
          <w:vertAlign w:val="superscript"/>
        </w:rPr>
        <w:t xml:space="preserve"> </w:t>
      </w:r>
      <w:r w:rsidRPr="004C6711">
        <w:rPr>
          <w:rFonts w:ascii="Century Gothic" w:hAnsi="Century Gothic" w:cs="Arial"/>
          <w:sz w:val="12"/>
          <w:szCs w:val="12"/>
        </w:rPr>
        <w:t xml:space="preserve">Ley 1712 de 2014: “Artículo 3. </w:t>
      </w:r>
      <w:r w:rsidRPr="004C6711">
        <w:rPr>
          <w:rFonts w:ascii="Century Gothic" w:hAnsi="Century Gothic" w:cs="Arial"/>
          <w:sz w:val="12"/>
          <w:szCs w:val="12"/>
          <w:lang w:val="es-CO"/>
        </w:rPr>
        <w:t>Otros principios de la transparencia y acceso a la información pública. </w:t>
      </w:r>
    </w:p>
    <w:p w14:paraId="122AB641" w14:textId="77777777" w:rsidR="00464416" w:rsidRPr="004C6711" w:rsidRDefault="00464416" w:rsidP="00464416">
      <w:pPr>
        <w:pStyle w:val="Textonotapie"/>
        <w:ind w:firstLine="707"/>
        <w:contextualSpacing/>
        <w:jc w:val="both"/>
        <w:rPr>
          <w:rFonts w:ascii="Century Gothic" w:hAnsi="Century Gothic" w:cs="Arial"/>
          <w:sz w:val="12"/>
          <w:szCs w:val="12"/>
          <w:lang w:val="es-ES"/>
        </w:rPr>
      </w:pPr>
      <w:r w:rsidRPr="004C6711">
        <w:rPr>
          <w:rFonts w:ascii="Century Gothic" w:hAnsi="Century Gothic" w:cs="Arial"/>
          <w:sz w:val="12"/>
          <w:szCs w:val="12"/>
          <w:lang w:val="es-ES"/>
        </w:rPr>
        <w:t>[…]</w:t>
      </w:r>
    </w:p>
    <w:p w14:paraId="0B9EA6EB" w14:textId="77777777" w:rsidR="00464416" w:rsidRPr="004C6711" w:rsidRDefault="00464416" w:rsidP="00464416">
      <w:pPr>
        <w:pStyle w:val="Textonotapie"/>
        <w:ind w:firstLine="707"/>
        <w:contextualSpacing/>
        <w:jc w:val="both"/>
        <w:rPr>
          <w:rFonts w:ascii="Century Gothic" w:hAnsi="Century Gothic" w:cs="Arial"/>
          <w:sz w:val="12"/>
          <w:szCs w:val="12"/>
          <w:lang w:val="es-ES"/>
        </w:rPr>
      </w:pPr>
      <w:r w:rsidRPr="004C6711">
        <w:rPr>
          <w:rStyle w:val="baj"/>
          <w:rFonts w:ascii="Century Gothic" w:hAnsi="Century Gothic" w:cs="Arial"/>
          <w:b/>
          <w:bCs/>
          <w:sz w:val="12"/>
          <w:szCs w:val="12"/>
        </w:rPr>
        <w:t>Principio de buena fe</w:t>
      </w:r>
      <w:r w:rsidRPr="004C6711">
        <w:rPr>
          <w:rFonts w:ascii="Century Gothic" w:hAnsi="Century Gothic" w:cs="Arial"/>
          <w:sz w:val="12"/>
          <w:szCs w:val="12"/>
        </w:rPr>
        <w:t>. En virtud del cual todo sujeto obligado, al cumplir con las obligaciones derivadas del derecho de acceso a la información pública, lo hará con motivación honesta, leal y desprovista de cualquier intención dolosa o culposa.</w:t>
      </w:r>
    </w:p>
  </w:footnote>
  <w:footnote w:id="16">
    <w:p w14:paraId="60764DE6" w14:textId="77777777" w:rsidR="00464416" w:rsidRPr="004C6711" w:rsidRDefault="00464416" w:rsidP="00464416">
      <w:pPr>
        <w:pStyle w:val="Textonotapie"/>
        <w:ind w:firstLine="707"/>
        <w:contextualSpacing/>
        <w:jc w:val="both"/>
        <w:rPr>
          <w:rFonts w:ascii="Century Gothic" w:hAnsi="Century Gothic" w:cs="Arial"/>
          <w:sz w:val="12"/>
          <w:szCs w:val="12"/>
        </w:rPr>
      </w:pPr>
    </w:p>
    <w:p w14:paraId="35976A2A" w14:textId="77777777" w:rsidR="00464416" w:rsidRPr="004C6711" w:rsidRDefault="00464416" w:rsidP="00464416">
      <w:pPr>
        <w:pStyle w:val="Textonotapie"/>
        <w:ind w:firstLine="707"/>
        <w:contextualSpacing/>
        <w:jc w:val="both"/>
        <w:rPr>
          <w:rFonts w:ascii="Century Gothic" w:hAnsi="Century Gothic" w:cs="Arial"/>
          <w:sz w:val="12"/>
          <w:szCs w:val="12"/>
          <w:shd w:val="clear" w:color="auto" w:fill="FFFFFF"/>
        </w:rPr>
      </w:pPr>
      <w:r w:rsidRPr="004C6711">
        <w:rPr>
          <w:rStyle w:val="Refdenotaalpie"/>
          <w:rFonts w:ascii="Century Gothic" w:hAnsi="Century Gothic" w:cs="Arial"/>
          <w:sz w:val="12"/>
          <w:szCs w:val="12"/>
        </w:rPr>
        <w:footnoteRef/>
      </w:r>
      <w:r w:rsidRPr="004C6711">
        <w:rPr>
          <w:rFonts w:ascii="Century Gothic" w:hAnsi="Century Gothic" w:cs="Arial"/>
          <w:sz w:val="12"/>
          <w:szCs w:val="12"/>
        </w:rPr>
        <w:t xml:space="preserve"> Ley 1712 de 2014: “Artículo 9. </w:t>
      </w:r>
      <w:r w:rsidRPr="004C6711">
        <w:rPr>
          <w:rFonts w:ascii="Century Gothic" w:hAnsi="Century Gothic" w:cs="Arial"/>
          <w:sz w:val="12"/>
          <w:szCs w:val="12"/>
          <w:shd w:val="clear" w:color="auto" w:fill="FFFFFF"/>
        </w:rPr>
        <w:t> </w:t>
      </w:r>
      <w:r w:rsidRPr="004C6711">
        <w:rPr>
          <w:rStyle w:val="nfasis"/>
          <w:rFonts w:ascii="Century Gothic" w:hAnsi="Century Gothic" w:cs="Arial"/>
          <w:sz w:val="12"/>
          <w:szCs w:val="12"/>
          <w:shd w:val="clear" w:color="auto" w:fill="FFFFFF"/>
        </w:rPr>
        <w:t>Información mínima obligatoria respecto a la estructura del sujeto obligado. </w:t>
      </w:r>
      <w:r w:rsidRPr="004C6711">
        <w:rPr>
          <w:rFonts w:ascii="Century Gothic" w:hAnsi="Century Gothic" w:cs="Arial"/>
          <w:sz w:val="12"/>
          <w:szCs w:val="12"/>
          <w:shd w:val="clear" w:color="auto" w:fill="FFFFFF"/>
        </w:rPr>
        <w:t>Todo sujeto obligado deberá publicar la siguiente información mínima obligatoria de manera proactiva en los sistemas de información del Estado o herramientas que lo sustituyan:</w:t>
      </w:r>
    </w:p>
    <w:p w14:paraId="0CD09F88" w14:textId="77777777" w:rsidR="00464416" w:rsidRPr="004C6711" w:rsidRDefault="00464416" w:rsidP="00464416">
      <w:pPr>
        <w:pStyle w:val="Textonotapie"/>
        <w:ind w:firstLine="707"/>
        <w:contextualSpacing/>
        <w:jc w:val="both"/>
        <w:rPr>
          <w:rFonts w:ascii="Century Gothic" w:hAnsi="Century Gothic" w:cs="Arial"/>
          <w:sz w:val="12"/>
          <w:szCs w:val="12"/>
          <w:shd w:val="clear" w:color="auto" w:fill="FFFFFF"/>
        </w:rPr>
      </w:pPr>
      <w:r w:rsidRPr="004C6711">
        <w:rPr>
          <w:rFonts w:ascii="Century Gothic" w:hAnsi="Century Gothic" w:cs="Arial"/>
          <w:sz w:val="12"/>
          <w:szCs w:val="12"/>
          <w:shd w:val="clear" w:color="auto" w:fill="FFFFFF"/>
        </w:rPr>
        <w:t>[…]</w:t>
      </w:r>
    </w:p>
    <w:p w14:paraId="3A84E8D1" w14:textId="77777777" w:rsidR="00464416" w:rsidRPr="004C6711" w:rsidRDefault="00464416" w:rsidP="00464416">
      <w:pPr>
        <w:pStyle w:val="Textonotapie"/>
        <w:ind w:firstLine="707"/>
        <w:contextualSpacing/>
        <w:jc w:val="both"/>
        <w:rPr>
          <w:rFonts w:ascii="Century Gothic" w:hAnsi="Century Gothic" w:cs="Arial"/>
          <w:sz w:val="12"/>
          <w:szCs w:val="12"/>
          <w:lang w:val="es-ES"/>
        </w:rPr>
      </w:pPr>
      <w:r w:rsidRPr="004C6711">
        <w:rPr>
          <w:rFonts w:ascii="Century Gothic" w:hAnsi="Century Gothic" w:cs="Arial"/>
          <w:sz w:val="12"/>
          <w:szCs w:val="12"/>
          <w:shd w:val="clear" w:color="auto" w:fill="FFFFFF"/>
        </w:rPr>
        <w:t>e) Su respectivo plan de compras anual, así como las contrataciones adjudicadas para la correspondiente vigencia en lo relacionado con funcionamiento e inversión, las obras públicas, los bienes adquiridos, arrendados y en caso de los servicios de estudios o investigaciones deberá señalarse el tema específico, de conformidad con el artículo 74</w:t>
      </w:r>
      <w:r w:rsidRPr="004C6711">
        <w:rPr>
          <w:rFonts w:ascii="Century Gothic" w:hAnsi="Century Gothic" w:cs="Arial"/>
          <w:sz w:val="12"/>
          <w:szCs w:val="12"/>
        </w:rPr>
        <w:t xml:space="preserve"> </w:t>
      </w:r>
      <w:r w:rsidRPr="004C6711">
        <w:rPr>
          <w:rFonts w:ascii="Century Gothic" w:hAnsi="Century Gothic" w:cs="Arial"/>
          <w:sz w:val="12"/>
          <w:szCs w:val="12"/>
          <w:shd w:val="clear" w:color="auto" w:fill="FFFFFF"/>
        </w:rPr>
        <w:t>de la Ley 1474 de 2011. En el caso de las personas naturales con contratos de prestación de servicios, deberá publicarse el objeto del contrato, monto de los honorarios y direcciones de correo electrónico, de conformidad con el formato de información de servidores públicos y contratistas;</w:t>
      </w:r>
      <w:r w:rsidRPr="004C6711">
        <w:rPr>
          <w:rFonts w:ascii="Century Gothic" w:hAnsi="Century Gothic" w:cs="Arial"/>
          <w:sz w:val="12"/>
          <w:szCs w:val="12"/>
        </w:rPr>
        <w:t>”.</w:t>
      </w:r>
    </w:p>
  </w:footnote>
  <w:footnote w:id="17">
    <w:p w14:paraId="17E46D8C" w14:textId="77777777" w:rsidR="00464416" w:rsidRPr="004C6711" w:rsidRDefault="00464416" w:rsidP="00464416">
      <w:pPr>
        <w:spacing w:after="0" w:line="240" w:lineRule="auto"/>
        <w:ind w:firstLine="707"/>
        <w:contextualSpacing/>
        <w:jc w:val="both"/>
        <w:rPr>
          <w:rFonts w:ascii="Century Gothic" w:hAnsi="Century Gothic" w:cs="Arial"/>
          <w:sz w:val="12"/>
          <w:szCs w:val="12"/>
        </w:rPr>
      </w:pPr>
    </w:p>
    <w:p w14:paraId="314B629C" w14:textId="77777777" w:rsidR="00464416" w:rsidRPr="004C6711" w:rsidRDefault="00464416" w:rsidP="00464416">
      <w:pPr>
        <w:spacing w:after="0" w:line="240" w:lineRule="auto"/>
        <w:ind w:firstLine="707"/>
        <w:contextualSpacing/>
        <w:jc w:val="both"/>
        <w:rPr>
          <w:rFonts w:ascii="Century Gothic" w:hAnsi="Century Gothic" w:cs="Arial"/>
          <w:sz w:val="12"/>
          <w:szCs w:val="12"/>
        </w:rPr>
      </w:pPr>
      <w:r w:rsidRPr="004C6711">
        <w:rPr>
          <w:rStyle w:val="Refdenotaalpie"/>
          <w:rFonts w:ascii="Century Gothic" w:hAnsi="Century Gothic" w:cs="Arial"/>
          <w:sz w:val="12"/>
          <w:szCs w:val="12"/>
        </w:rPr>
        <w:footnoteRef/>
      </w:r>
      <w:r w:rsidRPr="004C6711">
        <w:rPr>
          <w:rFonts w:ascii="Century Gothic" w:hAnsi="Century Gothic" w:cs="Arial"/>
          <w:sz w:val="12"/>
          <w:szCs w:val="12"/>
        </w:rPr>
        <w:t xml:space="preserve"> Ley 1712 de 2014: “Artículo 5. Ámbito de aplicación. Las disposiciones de esta ley serán aplicables a las siguientes personas en calidad de sujetos obligados:</w:t>
      </w:r>
    </w:p>
    <w:p w14:paraId="3412D0D7" w14:textId="77777777" w:rsidR="00464416" w:rsidRPr="004C6711" w:rsidRDefault="00464416" w:rsidP="00464416">
      <w:pPr>
        <w:spacing w:after="0" w:line="240" w:lineRule="auto"/>
        <w:ind w:firstLine="707"/>
        <w:contextualSpacing/>
        <w:jc w:val="both"/>
        <w:rPr>
          <w:rFonts w:ascii="Century Gothic" w:hAnsi="Century Gothic" w:cs="Arial"/>
          <w:sz w:val="12"/>
          <w:szCs w:val="12"/>
        </w:rPr>
      </w:pPr>
      <w:r w:rsidRPr="004C6711">
        <w:rPr>
          <w:rFonts w:ascii="Century Gothic" w:hAnsi="Century Gothic" w:cs="Arial"/>
          <w:sz w:val="12"/>
          <w:szCs w:val="12"/>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50E29D99" w14:textId="77777777" w:rsidR="00464416" w:rsidRPr="004C6711" w:rsidRDefault="00464416" w:rsidP="00464416">
      <w:pPr>
        <w:pStyle w:val="Textonotapie"/>
        <w:contextualSpacing/>
        <w:jc w:val="both"/>
        <w:rPr>
          <w:rFonts w:ascii="Century Gothic" w:hAnsi="Century Gothic" w:cs="Arial"/>
          <w:sz w:val="12"/>
          <w:szCs w:val="12"/>
        </w:rPr>
      </w:pPr>
    </w:p>
  </w:footnote>
  <w:footnote w:id="18">
    <w:p w14:paraId="20C4DA17" w14:textId="77777777" w:rsidR="00464416" w:rsidRPr="004C6711" w:rsidRDefault="00464416" w:rsidP="00464416">
      <w:pPr>
        <w:pStyle w:val="Textonotapie"/>
        <w:ind w:firstLine="709"/>
        <w:contextualSpacing/>
        <w:jc w:val="both"/>
        <w:rPr>
          <w:rFonts w:ascii="Century Gothic" w:hAnsi="Century Gothic" w:cs="Arial"/>
          <w:color w:val="000000"/>
          <w:sz w:val="12"/>
          <w:szCs w:val="12"/>
        </w:rPr>
      </w:pPr>
      <w:r w:rsidRPr="004C6711">
        <w:rPr>
          <w:rFonts w:ascii="Century Gothic" w:eastAsia="Times New Roman" w:hAnsi="Century Gothic" w:cs="Arial"/>
          <w:color w:val="000000"/>
          <w:sz w:val="12"/>
          <w:szCs w:val="12"/>
          <w:vertAlign w:val="superscript"/>
          <w:lang w:val="es-ES" w:eastAsia="es-ES"/>
        </w:rPr>
        <w:footnoteRef/>
      </w:r>
      <w:r w:rsidRPr="004C6711">
        <w:rPr>
          <w:rFonts w:ascii="Century Gothic" w:eastAsia="Times New Roman" w:hAnsi="Century Gothic" w:cs="Arial"/>
          <w:color w:val="000000"/>
          <w:sz w:val="12"/>
          <w:szCs w:val="12"/>
          <w:vertAlign w:val="superscript"/>
          <w:lang w:val="es-ES" w:eastAsia="es-ES"/>
        </w:rPr>
        <w:t xml:space="preserve"> </w:t>
      </w:r>
      <w:r w:rsidRPr="004C6711">
        <w:rPr>
          <w:rFonts w:ascii="Century Gothic" w:eastAsia="Times New Roman" w:hAnsi="Century Gothic" w:cs="Arial"/>
          <w:color w:val="000000"/>
          <w:sz w:val="12"/>
          <w:szCs w:val="12"/>
          <w:lang w:val="es-ES" w:eastAsia="es-ES"/>
        </w:rPr>
        <w:t>“</w:t>
      </w:r>
      <w:r w:rsidRPr="004C6711">
        <w:rPr>
          <w:rFonts w:ascii="Century Gothic" w:hAnsi="Century Gothic" w:cs="Arial"/>
          <w:color w:val="000000"/>
          <w:sz w:val="12"/>
          <w:szCs w:val="12"/>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3AEF6039" w14:textId="77777777" w:rsidR="00464416" w:rsidRPr="004C6711" w:rsidRDefault="00464416" w:rsidP="00464416">
      <w:pPr>
        <w:pStyle w:val="Textonotapie"/>
        <w:ind w:firstLine="709"/>
        <w:contextualSpacing/>
        <w:jc w:val="both"/>
        <w:rPr>
          <w:rFonts w:ascii="Century Gothic" w:eastAsia="Times New Roman" w:hAnsi="Century Gothic" w:cs="Arial"/>
          <w:color w:val="000000"/>
          <w:sz w:val="12"/>
          <w:szCs w:val="12"/>
          <w:lang w:val="es-ES" w:eastAsia="es-ES"/>
        </w:rPr>
      </w:pPr>
      <w:r w:rsidRPr="004C6711">
        <w:rPr>
          <w:rFonts w:ascii="Century Gothic" w:hAnsi="Century Gothic" w:cs="Arial"/>
          <w:color w:val="000000"/>
          <w:sz w:val="12"/>
          <w:szCs w:val="12"/>
        </w:rPr>
        <w:t>[…].</w:t>
      </w:r>
    </w:p>
    <w:p w14:paraId="0C4B4992" w14:textId="77777777" w:rsidR="00464416" w:rsidRPr="004C6711" w:rsidRDefault="00464416" w:rsidP="00464416">
      <w:pPr>
        <w:pStyle w:val="Textonotapie"/>
        <w:ind w:firstLine="709"/>
        <w:contextualSpacing/>
        <w:jc w:val="both"/>
        <w:rPr>
          <w:rFonts w:ascii="Century Gothic" w:eastAsia="Times New Roman" w:hAnsi="Century Gothic" w:cs="Arial"/>
          <w:color w:val="000000"/>
          <w:sz w:val="12"/>
          <w:szCs w:val="12"/>
          <w:lang w:val="es-ES" w:eastAsia="es-ES"/>
        </w:rPr>
      </w:pPr>
      <w:r w:rsidRPr="004C6711">
        <w:rPr>
          <w:rFonts w:ascii="Century Gothic" w:eastAsia="Times New Roman" w:hAnsi="Century Gothic" w:cs="Arial"/>
          <w:color w:val="000000"/>
          <w:sz w:val="12"/>
          <w:szCs w:val="12"/>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3F5217DE" w14:textId="77777777" w:rsidR="00464416" w:rsidRPr="004C6711" w:rsidRDefault="00464416" w:rsidP="00464416">
      <w:pPr>
        <w:pStyle w:val="Textonotapie"/>
        <w:ind w:firstLine="709"/>
        <w:contextualSpacing/>
        <w:jc w:val="both"/>
        <w:rPr>
          <w:rFonts w:ascii="Century Gothic" w:eastAsia="Times New Roman" w:hAnsi="Century Gothic" w:cs="Arial"/>
          <w:color w:val="000000"/>
          <w:sz w:val="12"/>
          <w:szCs w:val="12"/>
          <w:lang w:val="es-ES" w:eastAsia="es-ES"/>
        </w:rPr>
      </w:pPr>
    </w:p>
  </w:footnote>
  <w:footnote w:id="19">
    <w:p w14:paraId="4B6A7178" w14:textId="77777777" w:rsidR="00464416" w:rsidRPr="004C6711" w:rsidRDefault="00464416" w:rsidP="00464416">
      <w:pPr>
        <w:pStyle w:val="Textonotapie"/>
        <w:ind w:firstLine="709"/>
        <w:contextualSpacing/>
        <w:jc w:val="both"/>
        <w:rPr>
          <w:rFonts w:ascii="Century Gothic" w:hAnsi="Century Gothic" w:cs="Arial"/>
          <w:sz w:val="12"/>
          <w:szCs w:val="12"/>
        </w:rPr>
      </w:pPr>
      <w:r w:rsidRPr="004C6711">
        <w:rPr>
          <w:rStyle w:val="Refdenotaalpie"/>
          <w:rFonts w:ascii="Century Gothic" w:hAnsi="Century Gothic" w:cs="Arial"/>
          <w:sz w:val="12"/>
          <w:szCs w:val="12"/>
        </w:rPr>
        <w:footnoteRef/>
      </w:r>
      <w:r w:rsidRPr="004C6711">
        <w:rPr>
          <w:rFonts w:ascii="Century Gothic" w:hAnsi="Century Gothic" w:cs="Arial"/>
          <w:sz w:val="12"/>
          <w:szCs w:val="12"/>
        </w:rPr>
        <w:t xml:space="preserve"> Ley 1437 de 2011: “Artículo 24. Informaciones y documentos reservados. Solo tendrán carácter reservado las informaciones y documentos expresamente sometidos a reserva por la Constitución Política o la ley, y en especial:  </w:t>
      </w:r>
    </w:p>
    <w:p w14:paraId="4D8FEFEB" w14:textId="77777777" w:rsidR="00464416" w:rsidRPr="004C6711" w:rsidRDefault="00464416" w:rsidP="00464416">
      <w:pPr>
        <w:pStyle w:val="Textonotapie"/>
        <w:ind w:firstLine="709"/>
        <w:contextualSpacing/>
        <w:jc w:val="both"/>
        <w:rPr>
          <w:rFonts w:ascii="Century Gothic" w:hAnsi="Century Gothic" w:cs="Arial"/>
          <w:sz w:val="12"/>
          <w:szCs w:val="12"/>
        </w:rPr>
      </w:pPr>
      <w:r w:rsidRPr="004C6711">
        <w:rPr>
          <w:rFonts w:ascii="Century Gothic" w:hAnsi="Century Gothic" w:cs="Arial"/>
          <w:sz w:val="12"/>
          <w:szCs w:val="12"/>
        </w:rPr>
        <w:t xml:space="preserve">1. Los relacionados con la defensa o seguridad nacionales.  </w:t>
      </w:r>
    </w:p>
    <w:p w14:paraId="25F3F6B8" w14:textId="77777777" w:rsidR="00464416" w:rsidRPr="004C6711" w:rsidRDefault="00464416" w:rsidP="00464416">
      <w:pPr>
        <w:pStyle w:val="Textonotapie"/>
        <w:ind w:firstLine="709"/>
        <w:contextualSpacing/>
        <w:jc w:val="both"/>
        <w:rPr>
          <w:rFonts w:ascii="Century Gothic" w:hAnsi="Century Gothic" w:cs="Arial"/>
          <w:sz w:val="12"/>
          <w:szCs w:val="12"/>
        </w:rPr>
      </w:pPr>
      <w:r w:rsidRPr="004C6711">
        <w:rPr>
          <w:rFonts w:ascii="Century Gothic" w:hAnsi="Century Gothic" w:cs="Arial"/>
          <w:sz w:val="12"/>
          <w:szCs w:val="12"/>
        </w:rPr>
        <w:t xml:space="preserve">2. Las instrucciones en materia diplomática o sobre negociaciones reservadas.  </w:t>
      </w:r>
    </w:p>
    <w:p w14:paraId="1B4CBD59" w14:textId="77777777" w:rsidR="00464416" w:rsidRPr="004C6711" w:rsidRDefault="00464416" w:rsidP="00464416">
      <w:pPr>
        <w:pStyle w:val="Textonotapie"/>
        <w:ind w:firstLine="709"/>
        <w:contextualSpacing/>
        <w:jc w:val="both"/>
        <w:rPr>
          <w:rFonts w:ascii="Century Gothic" w:hAnsi="Century Gothic" w:cs="Arial"/>
          <w:sz w:val="12"/>
          <w:szCs w:val="12"/>
        </w:rPr>
      </w:pPr>
      <w:r w:rsidRPr="004C6711">
        <w:rPr>
          <w:rFonts w:ascii="Century Gothic" w:hAnsi="Century Gothic" w:cs="Arial"/>
          <w:sz w:val="12"/>
          <w:szCs w:val="12"/>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6A08C444" w14:textId="77777777" w:rsidR="00464416" w:rsidRPr="004C6711" w:rsidRDefault="00464416" w:rsidP="00464416">
      <w:pPr>
        <w:pStyle w:val="Textonotapie"/>
        <w:ind w:firstLine="709"/>
        <w:contextualSpacing/>
        <w:jc w:val="both"/>
        <w:rPr>
          <w:rFonts w:ascii="Century Gothic" w:hAnsi="Century Gothic" w:cs="Arial"/>
          <w:sz w:val="12"/>
          <w:szCs w:val="12"/>
        </w:rPr>
      </w:pPr>
      <w:r w:rsidRPr="004C6711">
        <w:rPr>
          <w:rFonts w:ascii="Century Gothic" w:hAnsi="Century Gothic" w:cs="Arial"/>
          <w:sz w:val="12"/>
          <w:szCs w:val="12"/>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6D5E42BC" w14:textId="77777777" w:rsidR="00464416" w:rsidRPr="004C6711" w:rsidRDefault="00464416" w:rsidP="00464416">
      <w:pPr>
        <w:pStyle w:val="Textonotapie"/>
        <w:ind w:firstLine="709"/>
        <w:contextualSpacing/>
        <w:jc w:val="both"/>
        <w:rPr>
          <w:rFonts w:ascii="Century Gothic" w:hAnsi="Century Gothic" w:cs="Arial"/>
          <w:sz w:val="12"/>
          <w:szCs w:val="12"/>
        </w:rPr>
      </w:pPr>
      <w:r w:rsidRPr="004C6711">
        <w:rPr>
          <w:rFonts w:ascii="Century Gothic" w:hAnsi="Century Gothic" w:cs="Arial"/>
          <w:sz w:val="12"/>
          <w:szCs w:val="12"/>
        </w:rPr>
        <w:t xml:space="preserve">5. Los datos referentes a la información financiera y comercial, en los términos de la Ley Estatutaria 1266 de 2008.  </w:t>
      </w:r>
    </w:p>
    <w:p w14:paraId="543324ED" w14:textId="77777777" w:rsidR="00464416" w:rsidRPr="004C6711" w:rsidRDefault="00464416" w:rsidP="00464416">
      <w:pPr>
        <w:pStyle w:val="Textonotapie"/>
        <w:ind w:firstLine="709"/>
        <w:contextualSpacing/>
        <w:jc w:val="both"/>
        <w:rPr>
          <w:rFonts w:ascii="Century Gothic" w:hAnsi="Century Gothic" w:cs="Arial"/>
          <w:sz w:val="12"/>
          <w:szCs w:val="12"/>
        </w:rPr>
      </w:pPr>
      <w:r w:rsidRPr="004C6711">
        <w:rPr>
          <w:rFonts w:ascii="Century Gothic" w:hAnsi="Century Gothic" w:cs="Arial"/>
          <w:sz w:val="12"/>
          <w:szCs w:val="12"/>
        </w:rPr>
        <w:t xml:space="preserve">6. Los protegidos por el secreto comercial o industrial, así como los planes estratégicos de las empresas públicas de servicios públicos.  </w:t>
      </w:r>
    </w:p>
    <w:p w14:paraId="491C710A" w14:textId="77777777" w:rsidR="00464416" w:rsidRPr="004C6711" w:rsidRDefault="00464416" w:rsidP="00464416">
      <w:pPr>
        <w:pStyle w:val="Textonotapie"/>
        <w:ind w:firstLine="709"/>
        <w:contextualSpacing/>
        <w:jc w:val="both"/>
        <w:rPr>
          <w:rFonts w:ascii="Century Gothic" w:hAnsi="Century Gothic" w:cs="Arial"/>
          <w:sz w:val="12"/>
          <w:szCs w:val="12"/>
        </w:rPr>
      </w:pPr>
      <w:r w:rsidRPr="004C6711">
        <w:rPr>
          <w:rFonts w:ascii="Century Gothic" w:hAnsi="Century Gothic" w:cs="Arial"/>
          <w:sz w:val="12"/>
          <w:szCs w:val="12"/>
        </w:rPr>
        <w:t xml:space="preserve">7. Los amparados por el secreto profesional.  </w:t>
      </w:r>
    </w:p>
    <w:p w14:paraId="63295769" w14:textId="77777777" w:rsidR="00464416" w:rsidRPr="004C6711" w:rsidRDefault="00464416" w:rsidP="00464416">
      <w:pPr>
        <w:pStyle w:val="Textonotapie"/>
        <w:ind w:firstLine="709"/>
        <w:contextualSpacing/>
        <w:jc w:val="both"/>
        <w:rPr>
          <w:rFonts w:ascii="Century Gothic" w:hAnsi="Century Gothic" w:cs="Arial"/>
          <w:sz w:val="12"/>
          <w:szCs w:val="12"/>
        </w:rPr>
      </w:pPr>
      <w:r w:rsidRPr="004C6711">
        <w:rPr>
          <w:rFonts w:ascii="Century Gothic" w:hAnsi="Century Gothic" w:cs="Arial"/>
          <w:sz w:val="12"/>
          <w:szCs w:val="12"/>
        </w:rPr>
        <w:t xml:space="preserve">8. Los datos genéticos humanos.  </w:t>
      </w:r>
    </w:p>
    <w:p w14:paraId="440B3BA0" w14:textId="77777777" w:rsidR="00464416" w:rsidRPr="004C6711" w:rsidRDefault="00464416" w:rsidP="00464416">
      <w:pPr>
        <w:pStyle w:val="Textonotapie"/>
        <w:ind w:firstLine="709"/>
        <w:contextualSpacing/>
        <w:jc w:val="both"/>
        <w:rPr>
          <w:rFonts w:ascii="Century Gothic" w:hAnsi="Century Gothic" w:cs="Arial"/>
          <w:sz w:val="12"/>
          <w:szCs w:val="12"/>
        </w:rPr>
      </w:pPr>
      <w:r w:rsidRPr="004C6711">
        <w:rPr>
          <w:rFonts w:ascii="Century Gothic" w:hAnsi="Century Gothic" w:cs="Arial"/>
          <w:sz w:val="12"/>
          <w:szCs w:val="12"/>
        </w:rPr>
        <w:t xml:space="preserve">Parágrafo. Para efecto de la solicitud de información de carácter reservado, enunciada en los numerales 3, 5, 6 y 7 solo podrá ser solicitada por el titular de la información, por sus apoderados o por personas autorizadas con facultad expresa para acceder a esa información”.  </w:t>
      </w:r>
    </w:p>
  </w:footnote>
  <w:footnote w:id="20">
    <w:p w14:paraId="7DFB32DA" w14:textId="77777777" w:rsidR="00464416" w:rsidRPr="004C6711" w:rsidRDefault="00464416" w:rsidP="00464416">
      <w:pPr>
        <w:pStyle w:val="Textonotapie"/>
        <w:contextualSpacing/>
        <w:jc w:val="both"/>
        <w:rPr>
          <w:rFonts w:ascii="Century Gothic" w:hAnsi="Century Gothic" w:cs="Arial"/>
          <w:sz w:val="12"/>
          <w:szCs w:val="12"/>
        </w:rPr>
      </w:pPr>
    </w:p>
    <w:p w14:paraId="28DACB36" w14:textId="77777777" w:rsidR="00464416" w:rsidRPr="004C6711" w:rsidRDefault="00464416" w:rsidP="00464416">
      <w:pPr>
        <w:pStyle w:val="Textonotapie"/>
        <w:ind w:firstLine="708"/>
        <w:contextualSpacing/>
        <w:jc w:val="both"/>
        <w:rPr>
          <w:rFonts w:ascii="Century Gothic" w:hAnsi="Century Gothic" w:cs="Arial"/>
          <w:sz w:val="12"/>
          <w:szCs w:val="12"/>
        </w:rPr>
      </w:pPr>
      <w:r w:rsidRPr="004C6711">
        <w:rPr>
          <w:rStyle w:val="Refdenotaalpie"/>
          <w:rFonts w:ascii="Century Gothic" w:hAnsi="Century Gothic" w:cs="Arial"/>
          <w:sz w:val="12"/>
          <w:szCs w:val="12"/>
        </w:rPr>
        <w:footnoteRef/>
      </w:r>
      <w:r w:rsidRPr="004C6711">
        <w:rPr>
          <w:rFonts w:ascii="Century Gothic" w:hAnsi="Century Gothic" w:cs="Arial"/>
          <w:sz w:val="12"/>
          <w:szCs w:val="12"/>
        </w:rPr>
        <w:t xml:space="preserve"> </w:t>
      </w:r>
      <w:r w:rsidRPr="004C6711">
        <w:rPr>
          <w:rFonts w:ascii="Century Gothic" w:eastAsia="Calibri" w:hAnsi="Century Gothic" w:cs="Arial"/>
          <w:sz w:val="12"/>
          <w:szCs w:val="12"/>
          <w:lang w:val="es-ES_tradnl"/>
        </w:rPr>
        <w:t>En armonía con lo anterior, en la Circular Externa 002 de esta Agencia se establece, que: “Todos los procesos de contratación creados en el SECOP I antes del 18 de julio de 2022, 23:59 horas, por parte de estas entidades estatales, podrán continuar siendo gestionados en esta plataforma”.</w:t>
      </w:r>
    </w:p>
  </w:footnote>
  <w:footnote w:id="21">
    <w:p w14:paraId="6CB28D63" w14:textId="77777777" w:rsidR="00464416" w:rsidRPr="004C6711" w:rsidRDefault="00464416" w:rsidP="00464416">
      <w:pPr>
        <w:pStyle w:val="Textonotapie"/>
        <w:ind w:firstLine="709"/>
        <w:contextualSpacing/>
        <w:jc w:val="both"/>
        <w:rPr>
          <w:rFonts w:ascii="Century Gothic" w:hAnsi="Century Gothic" w:cs="Arial"/>
          <w:color w:val="000000"/>
          <w:sz w:val="12"/>
          <w:szCs w:val="12"/>
        </w:rPr>
      </w:pPr>
    </w:p>
    <w:p w14:paraId="18E706B4" w14:textId="77777777" w:rsidR="00464416" w:rsidRPr="004C6711" w:rsidRDefault="00464416" w:rsidP="00464416">
      <w:pPr>
        <w:pStyle w:val="Textonotapie"/>
        <w:ind w:firstLine="709"/>
        <w:contextualSpacing/>
        <w:jc w:val="both"/>
        <w:rPr>
          <w:rFonts w:ascii="Century Gothic" w:hAnsi="Century Gothic" w:cs="Arial"/>
          <w:color w:val="000000"/>
          <w:sz w:val="12"/>
          <w:szCs w:val="12"/>
        </w:rPr>
      </w:pPr>
      <w:r w:rsidRPr="004C6711">
        <w:rPr>
          <w:rStyle w:val="Refdenotaalpie"/>
          <w:rFonts w:ascii="Century Gothic" w:hAnsi="Century Gothic" w:cs="Arial"/>
          <w:color w:val="000000"/>
          <w:sz w:val="12"/>
          <w:szCs w:val="12"/>
        </w:rPr>
        <w:footnoteRef/>
      </w:r>
      <w:r w:rsidRPr="004C6711">
        <w:rPr>
          <w:rFonts w:ascii="Century Gothic" w:hAnsi="Century Gothic" w:cs="Arial"/>
          <w:color w:val="000000"/>
          <w:sz w:val="12"/>
          <w:szCs w:val="12"/>
        </w:rPr>
        <w:t xml:space="preserve"> “Numeral 1.1 Las Entidades Estatales de acuerdo con la definición del Decreto Reglamentario 1082 de 2015. A partir del 18 de julio de 2022, las Entidades Estatales que por disposición legal cuenten con un régimen contractual excepcional al del Estatuto General de Contratación de la Administración Pública, deberán publicar en el SECOP II, todos los documentos relacionados con su actividad contractual, de conformidad con lo señalado en el artículo 53 de la Ley 2195 de 2022. Los particulares deberán publicar la información oficial de la contratación realizada con cargo a recursos públicos. Estos deberán realizar la publicación a través del módulo “Régimen Especial”.”</w:t>
      </w:r>
    </w:p>
    <w:p w14:paraId="71F8E50E" w14:textId="77777777" w:rsidR="00464416" w:rsidRPr="004C6711" w:rsidRDefault="00464416" w:rsidP="00464416">
      <w:pPr>
        <w:pStyle w:val="Textonotapie"/>
        <w:ind w:firstLine="709"/>
        <w:contextualSpacing/>
        <w:jc w:val="both"/>
        <w:rPr>
          <w:rFonts w:ascii="Century Gothic" w:hAnsi="Century Gothic" w:cs="Arial"/>
          <w:color w:val="000000"/>
          <w:sz w:val="12"/>
          <w:szCs w:val="12"/>
        </w:rPr>
      </w:pPr>
    </w:p>
  </w:footnote>
  <w:footnote w:id="22">
    <w:p w14:paraId="747836BB" w14:textId="77777777" w:rsidR="00464416" w:rsidRPr="004C6711" w:rsidRDefault="00464416" w:rsidP="00464416">
      <w:pPr>
        <w:pStyle w:val="Textonotapie"/>
        <w:ind w:firstLine="708"/>
        <w:contextualSpacing/>
        <w:jc w:val="both"/>
        <w:rPr>
          <w:rFonts w:ascii="Century Gothic" w:hAnsi="Century Gothic" w:cs="Arial"/>
          <w:sz w:val="12"/>
          <w:szCs w:val="12"/>
        </w:rPr>
      </w:pPr>
    </w:p>
    <w:p w14:paraId="42D88C75" w14:textId="77777777" w:rsidR="00464416" w:rsidRPr="004C6711" w:rsidRDefault="00464416" w:rsidP="00464416">
      <w:pPr>
        <w:pStyle w:val="Textonotapie"/>
        <w:ind w:firstLine="708"/>
        <w:contextualSpacing/>
        <w:jc w:val="both"/>
        <w:rPr>
          <w:rFonts w:ascii="Century Gothic" w:hAnsi="Century Gothic" w:cs="Arial"/>
          <w:sz w:val="12"/>
          <w:szCs w:val="12"/>
          <w:lang w:val="es-CO"/>
        </w:rPr>
      </w:pPr>
      <w:r w:rsidRPr="004C6711">
        <w:rPr>
          <w:rStyle w:val="Refdenotaalpie"/>
          <w:rFonts w:ascii="Century Gothic" w:hAnsi="Century Gothic" w:cs="Arial"/>
          <w:sz w:val="12"/>
          <w:szCs w:val="12"/>
        </w:rPr>
        <w:footnoteRef/>
      </w:r>
      <w:r w:rsidRPr="004C6711">
        <w:rPr>
          <w:rFonts w:ascii="Century Gothic" w:hAnsi="Century Gothic" w:cs="Arial"/>
          <w:sz w:val="12"/>
          <w:szCs w:val="12"/>
        </w:rPr>
        <w:t xml:space="preserve"> Ley 1150 de 2007. “Artículo 1. Objeto. La presente ley tiene por objeto introducir modificaciones en la Ley 80 de 1993, así como dictar otras disposiciones generales aplicables a toda contratación con recursos públicos”.</w:t>
      </w:r>
    </w:p>
  </w:footnote>
  <w:footnote w:id="23">
    <w:p w14:paraId="08914D55" w14:textId="77777777" w:rsidR="00464416" w:rsidRPr="004C6711" w:rsidRDefault="00464416" w:rsidP="00464416">
      <w:pPr>
        <w:autoSpaceDE w:val="0"/>
        <w:autoSpaceDN w:val="0"/>
        <w:adjustRightInd w:val="0"/>
        <w:spacing w:after="0" w:line="240" w:lineRule="auto"/>
        <w:ind w:firstLine="708"/>
        <w:contextualSpacing/>
        <w:jc w:val="both"/>
        <w:rPr>
          <w:rFonts w:ascii="Century Gothic" w:eastAsia="Calibri" w:hAnsi="Century Gothic" w:cs="Arial"/>
          <w:sz w:val="12"/>
          <w:szCs w:val="12"/>
          <w:lang w:val="es-ES" w:eastAsia="es-ES_tradnl"/>
        </w:rPr>
      </w:pPr>
      <w:r w:rsidRPr="004C6711">
        <w:rPr>
          <w:rStyle w:val="Refdenotaalpie"/>
          <w:rFonts w:ascii="Century Gothic" w:hAnsi="Century Gothic" w:cs="Arial"/>
          <w:sz w:val="12"/>
          <w:szCs w:val="12"/>
        </w:rPr>
        <w:footnoteRef/>
      </w:r>
      <w:r w:rsidRPr="004C6711">
        <w:rPr>
          <w:rFonts w:ascii="Century Gothic" w:hAnsi="Century Gothic" w:cs="Arial"/>
          <w:sz w:val="12"/>
          <w:szCs w:val="12"/>
        </w:rPr>
        <w:t xml:space="preserve"> E</w:t>
      </w:r>
      <w:r w:rsidRPr="004C6711">
        <w:rPr>
          <w:rFonts w:ascii="Century Gothic" w:eastAsia="Calibri" w:hAnsi="Century Gothic" w:cs="Arial"/>
          <w:sz w:val="12"/>
          <w:szCs w:val="12"/>
          <w:lang w:val="es-ES_tradnl" w:eastAsia="es-ES_tradnl"/>
        </w:rPr>
        <w:t xml:space="preserve">l pasado </w:t>
      </w:r>
      <w:r w:rsidRPr="004C6711">
        <w:rPr>
          <w:rFonts w:ascii="Century Gothic" w:eastAsia="Calibri" w:hAnsi="Century Gothic" w:cs="Arial"/>
          <w:sz w:val="12"/>
          <w:szCs w:val="12"/>
          <w:lang w:val="es-ES" w:eastAsia="es-ES_tradnl"/>
        </w:rPr>
        <w:t xml:space="preserve">1 de junio, el Departamento Administrativo de la Presidencia de la Republica profirió la Circular 02 del 2022, mediante la cual se imparten instrucciones sobre la aplicación del artículo 53 de la Ley 2195 de 2022, en los siguientes aspectos: i) publicación de los documentos contractuales en el SECOP II; </w:t>
      </w:r>
      <w:proofErr w:type="spellStart"/>
      <w:r w:rsidRPr="004C6711">
        <w:rPr>
          <w:rFonts w:ascii="Century Gothic" w:eastAsia="Calibri" w:hAnsi="Century Gothic" w:cs="Arial"/>
          <w:sz w:val="12"/>
          <w:szCs w:val="12"/>
          <w:lang w:val="es-ES" w:eastAsia="es-ES_tradnl"/>
        </w:rPr>
        <w:t>ii</w:t>
      </w:r>
      <w:proofErr w:type="spellEnd"/>
      <w:r w:rsidRPr="004C6711">
        <w:rPr>
          <w:rFonts w:ascii="Century Gothic" w:eastAsia="Calibri" w:hAnsi="Century Gothic" w:cs="Arial"/>
          <w:sz w:val="12"/>
          <w:szCs w:val="12"/>
          <w:lang w:val="es-ES" w:eastAsia="es-ES_tradnl"/>
        </w:rPr>
        <w:t xml:space="preserve">) reserva de los documentos relacionados con la actividad contractual y; </w:t>
      </w:r>
      <w:proofErr w:type="spellStart"/>
      <w:r w:rsidRPr="004C6711">
        <w:rPr>
          <w:rFonts w:ascii="Century Gothic" w:eastAsia="Calibri" w:hAnsi="Century Gothic" w:cs="Arial"/>
          <w:sz w:val="12"/>
          <w:szCs w:val="12"/>
          <w:lang w:val="es-ES" w:eastAsia="es-ES_tradnl"/>
        </w:rPr>
        <w:t>iii</w:t>
      </w:r>
      <w:proofErr w:type="spellEnd"/>
      <w:r w:rsidRPr="004C6711">
        <w:rPr>
          <w:rFonts w:ascii="Century Gothic" w:eastAsia="Calibri" w:hAnsi="Century Gothic" w:cs="Arial"/>
          <w:sz w:val="12"/>
          <w:szCs w:val="12"/>
          <w:lang w:val="es-ES" w:eastAsia="es-ES_tradnl"/>
        </w:rPr>
        <w:t xml:space="preserve">) régimen de transición de los contratos celebrados con anterioridad a la entrada en vigencia de la obligación consagrada en el artículo 53 de la Ley 2195 de 2022. La mencionada Circular contiene una serie de instrucciones con miras a garantizar el cumplimiento del deber legal por parte de las entidades estatales exceptuadas del Estatuto General de Contratación Pública. </w:t>
      </w:r>
    </w:p>
    <w:p w14:paraId="49506DC6" w14:textId="77777777" w:rsidR="00464416" w:rsidRPr="004C6711" w:rsidRDefault="00464416" w:rsidP="00464416">
      <w:pPr>
        <w:autoSpaceDE w:val="0"/>
        <w:autoSpaceDN w:val="0"/>
        <w:adjustRightInd w:val="0"/>
        <w:spacing w:after="0" w:line="240" w:lineRule="auto"/>
        <w:ind w:firstLine="708"/>
        <w:contextualSpacing/>
        <w:jc w:val="both"/>
        <w:rPr>
          <w:rFonts w:ascii="Century Gothic" w:eastAsia="Times New Roman" w:hAnsi="Century Gothic" w:cs="Arial"/>
          <w:sz w:val="12"/>
          <w:szCs w:val="12"/>
          <w:lang w:eastAsia="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0321A" w14:textId="77777777" w:rsidR="00FF51A0" w:rsidRDefault="00FF51A0">
    <w:pPr>
      <w:pStyle w:val="Encabezado"/>
    </w:pPr>
    <w:r>
      <w:rPr>
        <w:noProof/>
        <w:lang w:eastAsia="es-CO"/>
      </w:rPr>
      <w:drawing>
        <wp:anchor distT="0" distB="0" distL="114300" distR="114300" simplePos="0" relativeHeight="251659264" behindDoc="1" locked="0" layoutInCell="1" allowOverlap="1" wp14:anchorId="649F0405" wp14:editId="436A1406">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 w:val="24"/>
        <w:szCs w:val="24"/>
        <w:lang w:eastAsia="es-CO"/>
      </w:rPr>
      <w:drawing>
        <wp:anchor distT="0" distB="0" distL="114300" distR="114300" simplePos="0" relativeHeight="251663360" behindDoc="0" locked="0" layoutInCell="1" allowOverlap="1" wp14:anchorId="578F0CB6" wp14:editId="25E7767D">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lang w:eastAsia="es-CO"/>
      </w:rPr>
      <w:drawing>
        <wp:anchor distT="0" distB="0" distL="114300" distR="114300" simplePos="0" relativeHeight="251661312" behindDoc="0" locked="0" layoutInCell="1" allowOverlap="1" wp14:anchorId="3BB9611E" wp14:editId="51CF8F38">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60288" behindDoc="0" locked="0" layoutInCell="1" allowOverlap="1" wp14:anchorId="22B63096" wp14:editId="4272AAC8">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0FDEDBE0" w14:textId="77777777" w:rsidR="00FF51A0" w:rsidRDefault="00FF51A0">
    <w:pPr>
      <w:pStyle w:val="Encabezado"/>
    </w:pPr>
  </w:p>
  <w:p w14:paraId="73A5DE56" w14:textId="77777777" w:rsidR="00FF51A0" w:rsidRDefault="00FF51A0">
    <w:pPr>
      <w:pStyle w:val="Encabezado"/>
    </w:pPr>
  </w:p>
  <w:p w14:paraId="3D4F91C3" w14:textId="77777777" w:rsidR="00FF51A0" w:rsidRPr="004A305D" w:rsidRDefault="00FF51A0"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3097BDE2" w14:textId="77777777" w:rsidR="00FF51A0" w:rsidRPr="004A305D" w:rsidRDefault="00FF51A0"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1</w:t>
    </w:r>
    <w:r>
      <w:rPr>
        <w:rFonts w:ascii="Century Gothic" w:eastAsia="Geo" w:hAnsi="Century Gothic" w:cs="Geo"/>
        <w:bCs/>
        <w:color w:val="000000"/>
        <w:sz w:val="16"/>
        <w:szCs w:val="16"/>
        <w:lang w:eastAsia="es-CO"/>
      </w:rPr>
      <w:t>7</w:t>
    </w:r>
  </w:p>
  <w:p w14:paraId="485C4AFD" w14:textId="77777777" w:rsidR="00FF51A0" w:rsidRDefault="00FF51A0" w:rsidP="005B5D8B">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Pr>
        <w:rFonts w:ascii="Century Gothic" w:eastAsia="Geo" w:hAnsi="Century Gothic" w:cs="Geo"/>
        <w:sz w:val="16"/>
        <w:szCs w:val="16"/>
        <w:lang w:eastAsia="es-CO"/>
      </w:rPr>
      <w:t xml:space="preserve">22 </w:t>
    </w:r>
    <w:r w:rsidRPr="004A305D">
      <w:rPr>
        <w:rFonts w:ascii="Century Gothic" w:eastAsia="Geo" w:hAnsi="Century Gothic" w:cs="Geo"/>
        <w:sz w:val="16"/>
        <w:szCs w:val="16"/>
        <w:lang w:eastAsia="es-CO"/>
      </w:rPr>
      <w:t xml:space="preserve">DE </w:t>
    </w:r>
    <w:r>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Pr>
        <w:rFonts w:ascii="Century Gothic" w:eastAsia="Geo" w:hAnsi="Century Gothic" w:cs="Geo"/>
        <w:sz w:val="16"/>
        <w:szCs w:val="16"/>
        <w:lang w:eastAsia="es-CO"/>
      </w:rPr>
      <w:t>3</w:t>
    </w:r>
  </w:p>
  <w:p w14:paraId="17B5951E" w14:textId="77777777" w:rsidR="00FF51A0" w:rsidRPr="005B5D8B" w:rsidRDefault="00FF51A0" w:rsidP="005B5D8B">
    <w:pPr>
      <w:spacing w:after="0"/>
      <w:rPr>
        <w:rFonts w:ascii="Century Gothic" w:eastAsia="Geo" w:hAnsi="Century Gothic" w:cs="Geo"/>
        <w:sz w:val="16"/>
        <w:szCs w:val="16"/>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1609265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416"/>
    <w:rsid w:val="00464416"/>
    <w:rsid w:val="005727E1"/>
    <w:rsid w:val="005818E2"/>
    <w:rsid w:val="008E5C2E"/>
    <w:rsid w:val="00F90DD7"/>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999A8"/>
  <w15:chartTrackingRefBased/>
  <w15:docId w15:val="{32ABD1FA-9ED9-4D73-8E9E-E80D5AAA5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416"/>
    <w:rPr>
      <w:kern w:val="0"/>
      <w14:ligatures w14:val="none"/>
    </w:rPr>
  </w:style>
  <w:style w:type="paragraph" w:styleId="Ttulo1">
    <w:name w:val="heading 1"/>
    <w:basedOn w:val="Normal"/>
    <w:next w:val="Normal"/>
    <w:link w:val="Ttulo1Car"/>
    <w:uiPriority w:val="9"/>
    <w:qFormat/>
    <w:rsid w:val="004644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644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6441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441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441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441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441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441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441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441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6441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6441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441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441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441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441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441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4416"/>
    <w:rPr>
      <w:rFonts w:eastAsiaTheme="majorEastAsia" w:cstheme="majorBidi"/>
      <w:color w:val="272727" w:themeColor="text1" w:themeTint="D8"/>
    </w:rPr>
  </w:style>
  <w:style w:type="paragraph" w:styleId="Ttulo">
    <w:name w:val="Title"/>
    <w:basedOn w:val="Normal"/>
    <w:next w:val="Normal"/>
    <w:link w:val="TtuloCar"/>
    <w:uiPriority w:val="10"/>
    <w:qFormat/>
    <w:rsid w:val="004644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441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441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441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4416"/>
    <w:pPr>
      <w:spacing w:before="160"/>
      <w:jc w:val="center"/>
    </w:pPr>
    <w:rPr>
      <w:i/>
      <w:iCs/>
      <w:color w:val="404040" w:themeColor="text1" w:themeTint="BF"/>
    </w:rPr>
  </w:style>
  <w:style w:type="character" w:customStyle="1" w:styleId="CitaCar">
    <w:name w:val="Cita Car"/>
    <w:basedOn w:val="Fuentedeprrafopredeter"/>
    <w:link w:val="Cita"/>
    <w:uiPriority w:val="29"/>
    <w:rsid w:val="00464416"/>
    <w:rPr>
      <w:i/>
      <w:iCs/>
      <w:color w:val="404040" w:themeColor="text1" w:themeTint="BF"/>
    </w:rPr>
  </w:style>
  <w:style w:type="paragraph" w:styleId="Prrafodelista">
    <w:name w:val="List Paragraph"/>
    <w:basedOn w:val="Normal"/>
    <w:uiPriority w:val="34"/>
    <w:qFormat/>
    <w:rsid w:val="00464416"/>
    <w:pPr>
      <w:ind w:left="720"/>
      <w:contextualSpacing/>
    </w:pPr>
  </w:style>
  <w:style w:type="character" w:styleId="nfasisintenso">
    <w:name w:val="Intense Emphasis"/>
    <w:basedOn w:val="Fuentedeprrafopredeter"/>
    <w:uiPriority w:val="21"/>
    <w:qFormat/>
    <w:rsid w:val="00464416"/>
    <w:rPr>
      <w:i/>
      <w:iCs/>
      <w:color w:val="0F4761" w:themeColor="accent1" w:themeShade="BF"/>
    </w:rPr>
  </w:style>
  <w:style w:type="paragraph" w:styleId="Citadestacada">
    <w:name w:val="Intense Quote"/>
    <w:basedOn w:val="Normal"/>
    <w:next w:val="Normal"/>
    <w:link w:val="CitadestacadaCar"/>
    <w:uiPriority w:val="30"/>
    <w:qFormat/>
    <w:rsid w:val="004644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4416"/>
    <w:rPr>
      <w:i/>
      <w:iCs/>
      <w:color w:val="0F4761" w:themeColor="accent1" w:themeShade="BF"/>
    </w:rPr>
  </w:style>
  <w:style w:type="character" w:styleId="Referenciaintensa">
    <w:name w:val="Intense Reference"/>
    <w:basedOn w:val="Fuentedeprrafopredeter"/>
    <w:uiPriority w:val="32"/>
    <w:qFormat/>
    <w:rsid w:val="00464416"/>
    <w:rPr>
      <w:b/>
      <w:bCs/>
      <w:smallCaps/>
      <w:color w:val="0F4761" w:themeColor="accent1" w:themeShade="BF"/>
      <w:spacing w:val="5"/>
    </w:rPr>
  </w:style>
  <w:style w:type="paragraph" w:styleId="Encabezado">
    <w:name w:val="header"/>
    <w:basedOn w:val="Normal"/>
    <w:link w:val="EncabezadoCar"/>
    <w:uiPriority w:val="99"/>
    <w:unhideWhenUsed/>
    <w:rsid w:val="004644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4416"/>
    <w:rPr>
      <w:kern w:val="0"/>
      <w14:ligatures w14:val="none"/>
    </w:rPr>
  </w:style>
  <w:style w:type="paragraph" w:styleId="Piedepgina">
    <w:name w:val="footer"/>
    <w:basedOn w:val="Normal"/>
    <w:link w:val="PiedepginaCar"/>
    <w:uiPriority w:val="99"/>
    <w:unhideWhenUsed/>
    <w:rsid w:val="004644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4416"/>
    <w:rPr>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6441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464416"/>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464416"/>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464416"/>
    <w:rPr>
      <w:vertAlign w:val="superscript"/>
    </w:rPr>
  </w:style>
  <w:style w:type="character" w:customStyle="1" w:styleId="normaltextrun">
    <w:name w:val="normaltextrun"/>
    <w:basedOn w:val="Fuentedeprrafopredeter"/>
    <w:rsid w:val="00464416"/>
  </w:style>
  <w:style w:type="table" w:styleId="Tablaconcuadrcula">
    <w:name w:val="Table Grid"/>
    <w:basedOn w:val="Tablanormal"/>
    <w:uiPriority w:val="39"/>
    <w:rsid w:val="004644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64416"/>
    <w:rPr>
      <w:color w:val="0000FF"/>
      <w:u w:val="single"/>
    </w:rPr>
  </w:style>
  <w:style w:type="character" w:customStyle="1" w:styleId="tabchar">
    <w:name w:val="tabchar"/>
    <w:basedOn w:val="Fuentedeprrafopredeter"/>
    <w:rsid w:val="00464416"/>
  </w:style>
  <w:style w:type="paragraph" w:customStyle="1" w:styleId="Appelnotedebasde">
    <w:name w:val="Appel note de bas de..."/>
    <w:basedOn w:val="Normal"/>
    <w:link w:val="Refdenotaalpie"/>
    <w:uiPriority w:val="99"/>
    <w:rsid w:val="00464416"/>
    <w:pPr>
      <w:spacing w:line="240" w:lineRule="exact"/>
    </w:pPr>
    <w:rPr>
      <w:kern w:val="2"/>
      <w:vertAlign w:val="superscript"/>
      <w14:ligatures w14:val="standardContextual"/>
    </w:rPr>
  </w:style>
  <w:style w:type="character" w:customStyle="1" w:styleId="wacimagecontainer">
    <w:name w:val="wacimagecontainer"/>
    <w:basedOn w:val="Fuentedeprrafopredeter"/>
    <w:rsid w:val="00464416"/>
  </w:style>
  <w:style w:type="character" w:customStyle="1" w:styleId="baj">
    <w:name w:val="b_aj"/>
    <w:basedOn w:val="Fuentedeprrafopredeter"/>
    <w:rsid w:val="00464416"/>
  </w:style>
  <w:style w:type="character" w:styleId="nfasis">
    <w:name w:val="Emphasis"/>
    <w:basedOn w:val="Fuentedeprrafopredeter"/>
    <w:uiPriority w:val="20"/>
    <w:qFormat/>
    <w:rsid w:val="004644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cretariasenado.gov.co/senado/basedoc/ley_0080_1993.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1A5D75-637A-4667-A4EC-8455E5FF91FE}"/>
</file>

<file path=customXml/itemProps2.xml><?xml version="1.0" encoding="utf-8"?>
<ds:datastoreItem xmlns:ds="http://schemas.openxmlformats.org/officeDocument/2006/customXml" ds:itemID="{B97283C1-94AF-4518-895A-7FB301134D70}">
  <ds:schemaRefs>
    <ds:schemaRef ds:uri="http://schemas.microsoft.com/sharepoint/v3/contenttype/forms"/>
  </ds:schemaRefs>
</ds:datastoreItem>
</file>

<file path=customXml/itemProps3.xml><?xml version="1.0" encoding="utf-8"?>
<ds:datastoreItem xmlns:ds="http://schemas.openxmlformats.org/officeDocument/2006/customXml" ds:itemID="{F3930D29-0A33-4D77-B6D8-E4F02ECEC3C1}">
  <ds:schemaRefs>
    <ds:schemaRef ds:uri="ba381f48-515a-4490-81c9-88db732c087d"/>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53ac67a5-92a3-4296-a7d6-6eec8633cc35"/>
    <ds:schemaRef ds:uri="http://schemas.microsoft.com/office/2006/metadata/properties"/>
    <ds:schemaRef ds:uri="http://purl.org/dc/dcmityp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10544</Words>
  <Characters>57994</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Nasly Yeana Mosquera Rivas</cp:lastModifiedBy>
  <cp:revision>2</cp:revision>
  <dcterms:created xsi:type="dcterms:W3CDTF">2024-04-03T18:53:00Z</dcterms:created>
  <dcterms:modified xsi:type="dcterms:W3CDTF">2024-04-03T18:53:00Z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