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CBAAD" w14:textId="77777777" w:rsidR="00611FA2" w:rsidRPr="00013123" w:rsidRDefault="00611FA2" w:rsidP="00611FA2">
      <w:pPr>
        <w:spacing w:after="0" w:line="240" w:lineRule="auto"/>
        <w:textAlignment w:val="baseline"/>
        <w:rPr>
          <w:rFonts w:ascii="Century Gothic" w:eastAsia="Times New Roman" w:hAnsi="Century Gothic" w:cs="Arial"/>
          <w:sz w:val="20"/>
          <w:szCs w:val="20"/>
          <w:lang w:eastAsia="es-CO"/>
        </w:rPr>
      </w:pPr>
      <w:bookmarkStart w:id="0" w:name="_Hlk94281581"/>
      <w:bookmarkStart w:id="1" w:name="_Hlk102489058"/>
      <w:bookmarkStart w:id="2" w:name="_Hlk34951122"/>
    </w:p>
    <w:p w14:paraId="4E422D87" w14:textId="77777777" w:rsidR="00611FA2" w:rsidRPr="00426E78" w:rsidRDefault="00611FA2" w:rsidP="00611FA2">
      <w:pPr>
        <w:widowControl w:val="0"/>
        <w:autoSpaceDE w:val="0"/>
        <w:autoSpaceDN w:val="0"/>
        <w:spacing w:after="0" w:line="240" w:lineRule="auto"/>
        <w:jc w:val="both"/>
        <w:outlineLvl w:val="0"/>
        <w:rPr>
          <w:rFonts w:ascii="Century Gothic" w:eastAsia="Arial" w:hAnsi="Century Gothic" w:cs="Arial"/>
          <w:b/>
          <w:bCs/>
          <w:lang w:val="es-ES"/>
        </w:rPr>
      </w:pPr>
      <w:r w:rsidRPr="00426E78">
        <w:rPr>
          <w:rFonts w:ascii="Century Gothic" w:eastAsia="Arial" w:hAnsi="Century Gothic" w:cs="Arial"/>
          <w:b/>
          <w:bCs/>
          <w:lang w:val="es-ES"/>
        </w:rPr>
        <w:t>LEY</w:t>
      </w:r>
      <w:r w:rsidRPr="00426E78">
        <w:rPr>
          <w:rFonts w:ascii="Century Gothic" w:eastAsia="Arial" w:hAnsi="Century Gothic" w:cs="Arial"/>
          <w:b/>
          <w:bCs/>
          <w:spacing w:val="-5"/>
          <w:lang w:val="es-ES"/>
        </w:rPr>
        <w:t xml:space="preserve"> </w:t>
      </w:r>
      <w:r w:rsidRPr="00426E78">
        <w:rPr>
          <w:rFonts w:ascii="Century Gothic" w:eastAsia="Arial" w:hAnsi="Century Gothic" w:cs="Arial"/>
          <w:b/>
          <w:bCs/>
          <w:lang w:val="es-ES"/>
        </w:rPr>
        <w:t>DE</w:t>
      </w:r>
      <w:r w:rsidRPr="00426E78">
        <w:rPr>
          <w:rFonts w:ascii="Century Gothic" w:eastAsia="Arial" w:hAnsi="Century Gothic" w:cs="Arial"/>
          <w:b/>
          <w:bCs/>
          <w:spacing w:val="-4"/>
          <w:lang w:val="es-ES"/>
        </w:rPr>
        <w:t xml:space="preserve"> </w:t>
      </w:r>
      <w:r w:rsidRPr="00426E78">
        <w:rPr>
          <w:rFonts w:ascii="Century Gothic" w:eastAsia="Arial" w:hAnsi="Century Gothic" w:cs="Arial"/>
          <w:b/>
          <w:bCs/>
          <w:lang w:val="es-ES"/>
        </w:rPr>
        <w:t>EMPRENDIMIENTO</w:t>
      </w:r>
      <w:r w:rsidRPr="00426E78">
        <w:rPr>
          <w:rFonts w:ascii="Century Gothic" w:eastAsia="Arial" w:hAnsi="Century Gothic" w:cs="Arial"/>
          <w:b/>
          <w:bCs/>
          <w:spacing w:val="3"/>
          <w:lang w:val="es-ES"/>
        </w:rPr>
        <w:t xml:space="preserve"> </w:t>
      </w:r>
      <w:r w:rsidRPr="00426E78">
        <w:rPr>
          <w:rFonts w:ascii="Century Gothic" w:eastAsia="Arial" w:hAnsi="Century Gothic" w:cs="Arial"/>
          <w:b/>
          <w:bCs/>
          <w:lang w:val="es-ES"/>
        </w:rPr>
        <w:t>–</w:t>
      </w:r>
      <w:r w:rsidRPr="00426E78">
        <w:rPr>
          <w:rFonts w:ascii="Century Gothic" w:eastAsia="Arial" w:hAnsi="Century Gothic" w:cs="Arial"/>
          <w:b/>
          <w:bCs/>
          <w:spacing w:val="-4"/>
          <w:lang w:val="es-ES"/>
        </w:rPr>
        <w:t xml:space="preserve"> </w:t>
      </w:r>
      <w:r w:rsidRPr="00426E78">
        <w:rPr>
          <w:rFonts w:ascii="Century Gothic" w:eastAsia="Arial" w:hAnsi="Century Gothic" w:cs="Arial"/>
          <w:b/>
          <w:bCs/>
          <w:lang w:val="es-ES"/>
        </w:rPr>
        <w:t>Ley</w:t>
      </w:r>
      <w:r w:rsidRPr="00426E78">
        <w:rPr>
          <w:rFonts w:ascii="Century Gothic" w:eastAsia="Arial" w:hAnsi="Century Gothic" w:cs="Arial"/>
          <w:b/>
          <w:bCs/>
          <w:spacing w:val="-4"/>
          <w:lang w:val="es-ES"/>
        </w:rPr>
        <w:t xml:space="preserve"> </w:t>
      </w:r>
      <w:r w:rsidRPr="00426E78">
        <w:rPr>
          <w:rFonts w:ascii="Century Gothic" w:eastAsia="Arial" w:hAnsi="Century Gothic" w:cs="Arial"/>
          <w:b/>
          <w:bCs/>
          <w:lang w:val="es-ES"/>
        </w:rPr>
        <w:t>2069</w:t>
      </w:r>
      <w:r w:rsidRPr="00426E78">
        <w:rPr>
          <w:rFonts w:ascii="Century Gothic" w:eastAsia="Arial" w:hAnsi="Century Gothic" w:cs="Arial"/>
          <w:b/>
          <w:bCs/>
          <w:spacing w:val="-5"/>
          <w:lang w:val="es-ES"/>
        </w:rPr>
        <w:t xml:space="preserve"> </w:t>
      </w:r>
      <w:r w:rsidRPr="00426E78">
        <w:rPr>
          <w:rFonts w:ascii="Century Gothic" w:eastAsia="Arial" w:hAnsi="Century Gothic" w:cs="Arial"/>
          <w:b/>
          <w:bCs/>
          <w:lang w:val="es-ES"/>
        </w:rPr>
        <w:t>de</w:t>
      </w:r>
      <w:r w:rsidRPr="00426E78">
        <w:rPr>
          <w:rFonts w:ascii="Century Gothic" w:eastAsia="Arial" w:hAnsi="Century Gothic" w:cs="Arial"/>
          <w:b/>
          <w:bCs/>
          <w:spacing w:val="-4"/>
          <w:lang w:val="es-ES"/>
        </w:rPr>
        <w:t xml:space="preserve"> </w:t>
      </w:r>
      <w:r w:rsidRPr="00426E78">
        <w:rPr>
          <w:rFonts w:ascii="Century Gothic" w:eastAsia="Arial" w:hAnsi="Century Gothic" w:cs="Arial"/>
          <w:b/>
          <w:bCs/>
          <w:lang w:val="es-ES"/>
        </w:rPr>
        <w:t>2020 –</w:t>
      </w:r>
      <w:r w:rsidRPr="00426E78">
        <w:rPr>
          <w:rFonts w:ascii="Century Gothic" w:eastAsia="Arial" w:hAnsi="Century Gothic" w:cs="Arial"/>
          <w:b/>
          <w:bCs/>
          <w:spacing w:val="-5"/>
          <w:lang w:val="es-ES"/>
        </w:rPr>
        <w:t xml:space="preserve"> </w:t>
      </w:r>
      <w:r w:rsidRPr="00426E78">
        <w:rPr>
          <w:rFonts w:ascii="Century Gothic" w:eastAsia="Arial" w:hAnsi="Century Gothic" w:cs="Arial"/>
          <w:b/>
          <w:bCs/>
          <w:lang w:val="es-ES"/>
        </w:rPr>
        <w:t>Finalidad</w:t>
      </w:r>
    </w:p>
    <w:p w14:paraId="5BD9741A" w14:textId="77777777" w:rsidR="00611FA2" w:rsidRPr="00013123" w:rsidRDefault="00611FA2" w:rsidP="00611FA2">
      <w:pPr>
        <w:widowControl w:val="0"/>
        <w:autoSpaceDE w:val="0"/>
        <w:autoSpaceDN w:val="0"/>
        <w:spacing w:after="0" w:line="240" w:lineRule="auto"/>
        <w:jc w:val="both"/>
        <w:rPr>
          <w:rFonts w:ascii="Century Gothic" w:eastAsia="Arial MT" w:hAnsi="Century Gothic" w:cs="Arial"/>
          <w:b/>
          <w:sz w:val="20"/>
          <w:szCs w:val="20"/>
          <w:lang w:val="es-ES"/>
        </w:rPr>
      </w:pPr>
    </w:p>
    <w:p w14:paraId="4047DE0A" w14:textId="77777777" w:rsidR="00611FA2" w:rsidRPr="00013123" w:rsidRDefault="00611FA2" w:rsidP="00611FA2">
      <w:pPr>
        <w:widowControl w:val="0"/>
        <w:autoSpaceDE w:val="0"/>
        <w:autoSpaceDN w:val="0"/>
        <w:spacing w:after="0" w:line="240" w:lineRule="auto"/>
        <w:jc w:val="both"/>
        <w:rPr>
          <w:rFonts w:ascii="Century Gothic" w:eastAsia="Arial MT" w:hAnsi="Century Gothic" w:cs="Arial"/>
          <w:spacing w:val="-5"/>
          <w:sz w:val="20"/>
          <w:szCs w:val="20"/>
          <w:lang w:val="es-ES"/>
        </w:rPr>
      </w:pPr>
      <w:r w:rsidRPr="00013123">
        <w:rPr>
          <w:rFonts w:ascii="Century Gothic" w:eastAsia="Arial MT" w:hAnsi="Century Gothic" w:cs="Arial"/>
          <w:spacing w:val="-5"/>
          <w:sz w:val="20"/>
          <w:szCs w:val="20"/>
          <w:lang w:val="es-ES"/>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los decretos correspondientes que permitan la cumplida ejecución de esta Ley, potestad que fue ejercida mediante la expedición del Decreto 1860 de 2021, al cual se hará referencia más adelante.</w:t>
      </w:r>
    </w:p>
    <w:p w14:paraId="201E023F" w14:textId="77777777" w:rsidR="00611FA2" w:rsidRPr="00013123" w:rsidRDefault="00611FA2" w:rsidP="00611FA2">
      <w:pPr>
        <w:widowControl w:val="0"/>
        <w:autoSpaceDE w:val="0"/>
        <w:autoSpaceDN w:val="0"/>
        <w:spacing w:after="0" w:line="240" w:lineRule="auto"/>
        <w:jc w:val="both"/>
        <w:rPr>
          <w:rFonts w:ascii="Century Gothic" w:eastAsia="Arial MT" w:hAnsi="Century Gothic" w:cs="Arial"/>
          <w:spacing w:val="-5"/>
          <w:sz w:val="20"/>
          <w:szCs w:val="20"/>
          <w:lang w:val="es-ES"/>
        </w:rPr>
      </w:pPr>
    </w:p>
    <w:p w14:paraId="3A48F1D8" w14:textId="77777777" w:rsidR="00611FA2" w:rsidRPr="00013123" w:rsidRDefault="00611FA2" w:rsidP="00611FA2">
      <w:pPr>
        <w:widowControl w:val="0"/>
        <w:autoSpaceDE w:val="0"/>
        <w:autoSpaceDN w:val="0"/>
        <w:spacing w:after="0" w:line="240" w:lineRule="auto"/>
        <w:jc w:val="both"/>
        <w:rPr>
          <w:rFonts w:ascii="Century Gothic" w:eastAsia="Arial MT" w:hAnsi="Century Gothic" w:cs="Arial"/>
          <w:sz w:val="20"/>
          <w:szCs w:val="20"/>
          <w:lang w:val="es-ES_tradnl"/>
        </w:rPr>
      </w:pPr>
      <w:r w:rsidRPr="00013123">
        <w:rPr>
          <w:rFonts w:ascii="Century Gothic" w:eastAsia="Arial MT" w:hAnsi="Century Gothic" w:cs="Arial"/>
          <w:spacing w:val="-5"/>
          <w:sz w:val="20"/>
          <w:szCs w:val="20"/>
          <w:lang w:val="es-ES"/>
        </w:rPr>
        <w:t>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–Mipymes–,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1B72C5D6" w14:textId="77777777" w:rsidR="00611FA2" w:rsidRPr="00013123" w:rsidRDefault="00611FA2" w:rsidP="00611FA2">
      <w:pPr>
        <w:widowControl w:val="0"/>
        <w:autoSpaceDE w:val="0"/>
        <w:autoSpaceDN w:val="0"/>
        <w:spacing w:after="0" w:line="240" w:lineRule="auto"/>
        <w:jc w:val="both"/>
        <w:rPr>
          <w:rFonts w:ascii="Century Gothic" w:eastAsia="Arial MT" w:hAnsi="Century Gothic" w:cs="Arial"/>
          <w:sz w:val="20"/>
          <w:szCs w:val="20"/>
          <w:lang w:val="es-ES"/>
        </w:rPr>
      </w:pPr>
    </w:p>
    <w:p w14:paraId="1D1C5878" w14:textId="77777777" w:rsidR="00611FA2" w:rsidRPr="00426E78" w:rsidRDefault="00611FA2" w:rsidP="00611FA2">
      <w:pPr>
        <w:widowControl w:val="0"/>
        <w:autoSpaceDE w:val="0"/>
        <w:autoSpaceDN w:val="0"/>
        <w:spacing w:after="0" w:line="240" w:lineRule="auto"/>
        <w:jc w:val="both"/>
        <w:outlineLvl w:val="0"/>
        <w:rPr>
          <w:rFonts w:ascii="Century Gothic" w:eastAsia="Arial MT" w:hAnsi="Century Gothic" w:cs="Arial"/>
          <w:b/>
          <w:lang w:val="es-ES"/>
        </w:rPr>
      </w:pPr>
      <w:r w:rsidRPr="00426E78">
        <w:rPr>
          <w:rFonts w:ascii="Century Gothic" w:eastAsia="Arial" w:hAnsi="Century Gothic" w:cs="Arial"/>
          <w:b/>
          <w:bCs/>
          <w:lang w:val="es-ES"/>
        </w:rPr>
        <w:t>LEY</w:t>
      </w:r>
      <w:r w:rsidRPr="00426E78">
        <w:rPr>
          <w:rFonts w:ascii="Century Gothic" w:eastAsia="Arial" w:hAnsi="Century Gothic" w:cs="Arial"/>
          <w:b/>
          <w:bCs/>
          <w:spacing w:val="22"/>
          <w:lang w:val="es-ES"/>
        </w:rPr>
        <w:t xml:space="preserve"> </w:t>
      </w:r>
      <w:r w:rsidRPr="00426E78">
        <w:rPr>
          <w:rFonts w:ascii="Century Gothic" w:eastAsia="Arial" w:hAnsi="Century Gothic" w:cs="Arial"/>
          <w:b/>
          <w:bCs/>
          <w:lang w:val="es-ES"/>
        </w:rPr>
        <w:t>DE</w:t>
      </w:r>
      <w:r w:rsidRPr="00426E78">
        <w:rPr>
          <w:rFonts w:ascii="Century Gothic" w:eastAsia="Arial" w:hAnsi="Century Gothic" w:cs="Arial"/>
          <w:b/>
          <w:bCs/>
          <w:spacing w:val="22"/>
          <w:lang w:val="es-ES"/>
        </w:rPr>
        <w:t xml:space="preserve"> </w:t>
      </w:r>
      <w:r w:rsidRPr="00426E78">
        <w:rPr>
          <w:rFonts w:ascii="Century Gothic" w:eastAsia="Arial" w:hAnsi="Century Gothic" w:cs="Arial"/>
          <w:b/>
          <w:bCs/>
          <w:lang w:val="es-ES"/>
        </w:rPr>
        <w:t>EMPRENDIMIENTO</w:t>
      </w:r>
      <w:r w:rsidRPr="00426E78">
        <w:rPr>
          <w:rFonts w:ascii="Century Gothic" w:eastAsia="Arial" w:hAnsi="Century Gothic" w:cs="Arial"/>
          <w:b/>
          <w:bCs/>
          <w:spacing w:val="26"/>
          <w:lang w:val="es-ES"/>
        </w:rPr>
        <w:t xml:space="preserve"> </w:t>
      </w:r>
      <w:r w:rsidRPr="00426E78">
        <w:rPr>
          <w:rFonts w:ascii="Century Gothic" w:eastAsia="Arial" w:hAnsi="Century Gothic" w:cs="Arial"/>
          <w:b/>
          <w:bCs/>
          <w:lang w:val="es-ES"/>
        </w:rPr>
        <w:t>–</w:t>
      </w:r>
      <w:r w:rsidRPr="00426E78">
        <w:rPr>
          <w:rFonts w:ascii="Century Gothic" w:eastAsia="Arial" w:hAnsi="Century Gothic" w:cs="Arial"/>
          <w:b/>
          <w:bCs/>
          <w:spacing w:val="22"/>
          <w:lang w:val="es-ES"/>
        </w:rPr>
        <w:t xml:space="preserve"> </w:t>
      </w:r>
      <w:r w:rsidRPr="00426E78">
        <w:rPr>
          <w:rFonts w:ascii="Century Gothic" w:eastAsia="Arial" w:hAnsi="Century Gothic" w:cs="Arial"/>
          <w:b/>
          <w:bCs/>
          <w:lang w:val="es-ES"/>
        </w:rPr>
        <w:t>Ley</w:t>
      </w:r>
      <w:r w:rsidRPr="00426E78">
        <w:rPr>
          <w:rFonts w:ascii="Century Gothic" w:eastAsia="Arial" w:hAnsi="Century Gothic" w:cs="Arial"/>
          <w:b/>
          <w:bCs/>
          <w:spacing w:val="22"/>
          <w:lang w:val="es-ES"/>
        </w:rPr>
        <w:t xml:space="preserve"> </w:t>
      </w:r>
      <w:r w:rsidRPr="00426E78">
        <w:rPr>
          <w:rFonts w:ascii="Century Gothic" w:eastAsia="Arial" w:hAnsi="Century Gothic" w:cs="Arial"/>
          <w:b/>
          <w:bCs/>
          <w:lang w:val="es-ES"/>
        </w:rPr>
        <w:t>2069</w:t>
      </w:r>
      <w:r w:rsidRPr="00426E78">
        <w:rPr>
          <w:rFonts w:ascii="Century Gothic" w:eastAsia="Arial" w:hAnsi="Century Gothic" w:cs="Arial"/>
          <w:b/>
          <w:bCs/>
          <w:spacing w:val="23"/>
          <w:lang w:val="es-ES"/>
        </w:rPr>
        <w:t xml:space="preserve"> </w:t>
      </w:r>
      <w:r w:rsidRPr="00426E78">
        <w:rPr>
          <w:rFonts w:ascii="Century Gothic" w:eastAsia="Arial" w:hAnsi="Century Gothic" w:cs="Arial"/>
          <w:b/>
          <w:bCs/>
          <w:lang w:val="es-ES"/>
        </w:rPr>
        <w:t>de</w:t>
      </w:r>
      <w:r w:rsidRPr="00426E78">
        <w:rPr>
          <w:rFonts w:ascii="Century Gothic" w:eastAsia="Arial" w:hAnsi="Century Gothic" w:cs="Arial"/>
          <w:b/>
          <w:bCs/>
          <w:spacing w:val="22"/>
          <w:lang w:val="es-ES"/>
        </w:rPr>
        <w:t xml:space="preserve"> </w:t>
      </w:r>
      <w:r w:rsidRPr="00426E78">
        <w:rPr>
          <w:rFonts w:ascii="Century Gothic" w:eastAsia="Arial" w:hAnsi="Century Gothic" w:cs="Arial"/>
          <w:b/>
          <w:bCs/>
          <w:lang w:val="es-ES"/>
        </w:rPr>
        <w:t>2020</w:t>
      </w:r>
      <w:r w:rsidRPr="00426E78">
        <w:rPr>
          <w:rFonts w:ascii="Century Gothic" w:eastAsia="Arial" w:hAnsi="Century Gothic" w:cs="Arial"/>
          <w:b/>
          <w:bCs/>
          <w:spacing w:val="23"/>
          <w:lang w:val="es-ES"/>
        </w:rPr>
        <w:t xml:space="preserve"> </w:t>
      </w:r>
      <w:r w:rsidRPr="00426E78">
        <w:rPr>
          <w:rFonts w:ascii="Century Gothic" w:eastAsia="Arial" w:hAnsi="Century Gothic" w:cs="Arial"/>
          <w:b/>
          <w:bCs/>
          <w:lang w:val="es-ES"/>
        </w:rPr>
        <w:t>–</w:t>
      </w:r>
      <w:r w:rsidRPr="00426E78">
        <w:rPr>
          <w:rFonts w:ascii="Century Gothic" w:eastAsia="Arial" w:hAnsi="Century Gothic" w:cs="Arial"/>
          <w:b/>
          <w:bCs/>
          <w:spacing w:val="22"/>
          <w:lang w:val="es-ES"/>
        </w:rPr>
        <w:t xml:space="preserve"> </w:t>
      </w:r>
      <w:r w:rsidRPr="00426E78">
        <w:rPr>
          <w:rFonts w:ascii="Century Gothic" w:eastAsia="Arial" w:hAnsi="Century Gothic" w:cs="Arial"/>
          <w:b/>
          <w:bCs/>
          <w:lang w:val="es-ES"/>
        </w:rPr>
        <w:t>Artículo</w:t>
      </w:r>
      <w:r w:rsidRPr="00426E78">
        <w:rPr>
          <w:rFonts w:ascii="Century Gothic" w:eastAsia="Arial" w:hAnsi="Century Gothic" w:cs="Arial"/>
          <w:b/>
          <w:bCs/>
          <w:spacing w:val="22"/>
          <w:lang w:val="es-ES"/>
        </w:rPr>
        <w:t xml:space="preserve"> </w:t>
      </w:r>
      <w:r w:rsidRPr="00426E78">
        <w:rPr>
          <w:rFonts w:ascii="Century Gothic" w:eastAsia="Arial" w:hAnsi="Century Gothic" w:cs="Arial"/>
          <w:b/>
          <w:bCs/>
          <w:lang w:val="es-ES"/>
        </w:rPr>
        <w:t>32</w:t>
      </w:r>
      <w:r w:rsidRPr="00426E78">
        <w:rPr>
          <w:rFonts w:ascii="Century Gothic" w:eastAsia="Arial" w:hAnsi="Century Gothic" w:cs="Arial"/>
          <w:b/>
          <w:bCs/>
          <w:spacing w:val="23"/>
          <w:lang w:val="es-ES"/>
        </w:rPr>
        <w:t xml:space="preserve"> </w:t>
      </w:r>
      <w:r w:rsidRPr="00426E78">
        <w:rPr>
          <w:rFonts w:ascii="Century Gothic" w:eastAsia="Arial" w:hAnsi="Century Gothic" w:cs="Arial"/>
          <w:b/>
          <w:bCs/>
          <w:lang w:val="es-ES"/>
        </w:rPr>
        <w:t>–</w:t>
      </w:r>
      <w:r w:rsidRPr="00426E78">
        <w:rPr>
          <w:rFonts w:ascii="Century Gothic" w:eastAsia="Arial" w:hAnsi="Century Gothic" w:cs="Arial"/>
          <w:b/>
          <w:bCs/>
          <w:spacing w:val="22"/>
          <w:lang w:val="es-ES"/>
        </w:rPr>
        <w:t xml:space="preserve"> </w:t>
      </w:r>
      <w:r w:rsidRPr="00426E78">
        <w:rPr>
          <w:rFonts w:ascii="Century Gothic" w:eastAsia="Arial" w:hAnsi="Century Gothic" w:cs="Arial"/>
          <w:b/>
          <w:bCs/>
          <w:lang w:val="es-ES"/>
        </w:rPr>
        <w:t>Criterios</w:t>
      </w:r>
      <w:r w:rsidRPr="00426E78">
        <w:rPr>
          <w:rFonts w:ascii="Century Gothic" w:eastAsia="Arial" w:hAnsi="Century Gothic" w:cs="Arial"/>
          <w:b/>
          <w:bCs/>
          <w:spacing w:val="22"/>
          <w:lang w:val="es-ES"/>
        </w:rPr>
        <w:t xml:space="preserve"> </w:t>
      </w:r>
      <w:r w:rsidRPr="00426E78">
        <w:rPr>
          <w:rFonts w:ascii="Century Gothic" w:eastAsia="Arial" w:hAnsi="Century Gothic" w:cs="Arial"/>
          <w:b/>
          <w:bCs/>
          <w:lang w:val="es-ES"/>
        </w:rPr>
        <w:t>diferenciales</w:t>
      </w:r>
      <w:r w:rsidRPr="00426E78">
        <w:rPr>
          <w:rFonts w:ascii="Century Gothic" w:eastAsia="Arial" w:hAnsi="Century Gothic" w:cs="Arial"/>
          <w:b/>
          <w:bCs/>
          <w:spacing w:val="25"/>
          <w:lang w:val="es-ES"/>
        </w:rPr>
        <w:t xml:space="preserve"> </w:t>
      </w:r>
      <w:r w:rsidRPr="00426E78">
        <w:rPr>
          <w:rFonts w:ascii="Century Gothic" w:eastAsia="Arial" w:hAnsi="Century Gothic" w:cs="Arial"/>
          <w:b/>
          <w:bCs/>
          <w:lang w:val="es-ES"/>
        </w:rPr>
        <w:t>–</w:t>
      </w:r>
      <w:r w:rsidRPr="00426E78">
        <w:rPr>
          <w:rFonts w:ascii="Century Gothic" w:eastAsia="Arial" w:hAnsi="Century Gothic" w:cs="Arial"/>
          <w:b/>
          <w:bCs/>
          <w:spacing w:val="-58"/>
          <w:lang w:val="es-ES"/>
        </w:rPr>
        <w:t xml:space="preserve"> </w:t>
      </w:r>
      <w:r w:rsidRPr="00426E78">
        <w:rPr>
          <w:rFonts w:ascii="Century Gothic" w:eastAsia="Arial" w:hAnsi="Century Gothic" w:cs="Arial"/>
          <w:b/>
          <w:bCs/>
          <w:lang w:val="es-ES"/>
        </w:rPr>
        <w:t>Emprendimientos</w:t>
      </w:r>
      <w:r w:rsidRPr="00426E78">
        <w:rPr>
          <w:rFonts w:ascii="Century Gothic" w:eastAsia="Arial" w:hAnsi="Century Gothic" w:cs="Arial"/>
          <w:b/>
          <w:bCs/>
          <w:spacing w:val="21"/>
          <w:lang w:val="es-ES"/>
        </w:rPr>
        <w:t xml:space="preserve"> </w:t>
      </w:r>
      <w:r w:rsidRPr="00426E78">
        <w:rPr>
          <w:rFonts w:ascii="Century Gothic" w:eastAsia="Arial" w:hAnsi="Century Gothic" w:cs="Arial"/>
          <w:b/>
          <w:bCs/>
          <w:lang w:val="es-ES"/>
        </w:rPr>
        <w:t>de</w:t>
      </w:r>
      <w:r w:rsidRPr="00426E78">
        <w:rPr>
          <w:rFonts w:ascii="Century Gothic" w:eastAsia="Arial" w:hAnsi="Century Gothic" w:cs="Arial"/>
          <w:b/>
          <w:bCs/>
          <w:spacing w:val="20"/>
          <w:lang w:val="es-ES"/>
        </w:rPr>
        <w:t xml:space="preserve"> </w:t>
      </w:r>
      <w:r w:rsidRPr="00426E78">
        <w:rPr>
          <w:rFonts w:ascii="Century Gothic" w:eastAsia="Arial" w:hAnsi="Century Gothic" w:cs="Arial"/>
          <w:b/>
          <w:bCs/>
          <w:lang w:val="es-ES"/>
        </w:rPr>
        <w:t>mujeres</w:t>
      </w:r>
      <w:r w:rsidRPr="00426E78">
        <w:rPr>
          <w:rFonts w:ascii="Century Gothic" w:eastAsia="Arial" w:hAnsi="Century Gothic" w:cs="Arial"/>
          <w:b/>
          <w:bCs/>
          <w:spacing w:val="19"/>
          <w:lang w:val="es-ES"/>
        </w:rPr>
        <w:t xml:space="preserve"> </w:t>
      </w:r>
      <w:r w:rsidRPr="00426E78">
        <w:rPr>
          <w:rFonts w:ascii="Century Gothic" w:eastAsia="Arial" w:hAnsi="Century Gothic" w:cs="Arial"/>
          <w:b/>
          <w:bCs/>
          <w:lang w:val="es-ES"/>
        </w:rPr>
        <w:t>–</w:t>
      </w:r>
      <w:r w:rsidRPr="00426E78">
        <w:rPr>
          <w:rFonts w:ascii="Century Gothic" w:eastAsia="Arial" w:hAnsi="Century Gothic" w:cs="Arial"/>
          <w:b/>
          <w:bCs/>
          <w:spacing w:val="19"/>
          <w:lang w:val="es-ES"/>
        </w:rPr>
        <w:t xml:space="preserve"> </w:t>
      </w:r>
      <w:r w:rsidRPr="00426E78">
        <w:rPr>
          <w:rFonts w:ascii="Century Gothic" w:eastAsia="Arial" w:hAnsi="Century Gothic" w:cs="Arial"/>
          <w:b/>
          <w:bCs/>
          <w:lang w:val="es-ES"/>
        </w:rPr>
        <w:t>Empresas</w:t>
      </w:r>
      <w:r w:rsidRPr="00426E78">
        <w:rPr>
          <w:rFonts w:ascii="Century Gothic" w:eastAsia="Arial" w:hAnsi="Century Gothic" w:cs="Arial"/>
          <w:b/>
          <w:bCs/>
          <w:spacing w:val="21"/>
          <w:lang w:val="es-ES"/>
        </w:rPr>
        <w:t xml:space="preserve"> </w:t>
      </w:r>
      <w:r w:rsidRPr="00426E78">
        <w:rPr>
          <w:rFonts w:ascii="Century Gothic" w:eastAsia="Arial" w:hAnsi="Century Gothic" w:cs="Arial"/>
          <w:b/>
          <w:bCs/>
          <w:lang w:val="es-ES"/>
        </w:rPr>
        <w:t>de</w:t>
      </w:r>
      <w:r w:rsidRPr="00426E78">
        <w:rPr>
          <w:rFonts w:ascii="Century Gothic" w:eastAsia="Arial" w:hAnsi="Century Gothic" w:cs="Arial"/>
          <w:b/>
          <w:bCs/>
          <w:spacing w:val="19"/>
          <w:lang w:val="es-ES"/>
        </w:rPr>
        <w:t xml:space="preserve"> </w:t>
      </w:r>
      <w:r w:rsidRPr="00426E78">
        <w:rPr>
          <w:rFonts w:ascii="Century Gothic" w:eastAsia="Arial" w:hAnsi="Century Gothic" w:cs="Arial"/>
          <w:b/>
          <w:bCs/>
          <w:lang w:val="es-ES"/>
        </w:rPr>
        <w:t>mujeres</w:t>
      </w:r>
      <w:r w:rsidRPr="00426E78">
        <w:rPr>
          <w:rFonts w:ascii="Century Gothic" w:eastAsia="Arial" w:hAnsi="Century Gothic" w:cs="Arial"/>
          <w:b/>
          <w:bCs/>
          <w:spacing w:val="19"/>
          <w:lang w:val="es-ES"/>
        </w:rPr>
        <w:t xml:space="preserve"> </w:t>
      </w:r>
      <w:r w:rsidRPr="00426E78">
        <w:rPr>
          <w:rFonts w:ascii="Century Gothic" w:eastAsia="Arial" w:hAnsi="Century Gothic" w:cs="Arial"/>
          <w:b/>
          <w:bCs/>
          <w:lang w:val="es-ES"/>
        </w:rPr>
        <w:t>–</w:t>
      </w:r>
      <w:r w:rsidRPr="00426E78">
        <w:rPr>
          <w:rFonts w:ascii="Century Gothic" w:eastAsia="Arial" w:hAnsi="Century Gothic" w:cs="Arial"/>
          <w:b/>
          <w:bCs/>
          <w:spacing w:val="19"/>
          <w:lang w:val="es-ES"/>
        </w:rPr>
        <w:t xml:space="preserve"> </w:t>
      </w:r>
      <w:r w:rsidRPr="00426E78">
        <w:rPr>
          <w:rFonts w:ascii="Century Gothic" w:eastAsia="Arial" w:hAnsi="Century Gothic" w:cs="Arial"/>
          <w:b/>
          <w:bCs/>
          <w:lang w:val="es-ES"/>
        </w:rPr>
        <w:t>Necesidad</w:t>
      </w:r>
      <w:r w:rsidRPr="00426E78">
        <w:rPr>
          <w:rFonts w:ascii="Century Gothic" w:eastAsia="Arial" w:hAnsi="Century Gothic" w:cs="Arial"/>
          <w:b/>
          <w:bCs/>
          <w:spacing w:val="20"/>
          <w:lang w:val="es-ES"/>
        </w:rPr>
        <w:t xml:space="preserve"> </w:t>
      </w:r>
      <w:r w:rsidRPr="00426E78">
        <w:rPr>
          <w:rFonts w:ascii="Century Gothic" w:eastAsia="Arial" w:hAnsi="Century Gothic" w:cs="Arial"/>
          <w:b/>
          <w:bCs/>
          <w:lang w:val="es-ES"/>
        </w:rPr>
        <w:t>de</w:t>
      </w:r>
      <w:r w:rsidRPr="00426E78">
        <w:rPr>
          <w:rFonts w:ascii="Century Gothic" w:eastAsia="Arial" w:hAnsi="Century Gothic" w:cs="Arial"/>
          <w:b/>
          <w:bCs/>
          <w:spacing w:val="19"/>
          <w:lang w:val="es-ES"/>
        </w:rPr>
        <w:t xml:space="preserve"> </w:t>
      </w:r>
      <w:r w:rsidRPr="00426E78">
        <w:rPr>
          <w:rFonts w:ascii="Century Gothic" w:eastAsia="Arial" w:hAnsi="Century Gothic" w:cs="Arial"/>
          <w:b/>
          <w:bCs/>
          <w:lang w:val="es-ES"/>
        </w:rPr>
        <w:t>reglamentación</w:t>
      </w:r>
      <w:r w:rsidRPr="00426E78">
        <w:rPr>
          <w:rFonts w:ascii="Century Gothic" w:eastAsia="Arial" w:hAnsi="Century Gothic" w:cs="Arial"/>
          <w:b/>
          <w:bCs/>
          <w:spacing w:val="20"/>
          <w:lang w:val="es-ES"/>
        </w:rPr>
        <w:t xml:space="preserve"> </w:t>
      </w:r>
      <w:r w:rsidRPr="00426E78">
        <w:rPr>
          <w:rFonts w:ascii="Century Gothic" w:eastAsia="Arial" w:hAnsi="Century Gothic" w:cs="Arial"/>
          <w:b/>
          <w:bCs/>
          <w:lang w:val="es-ES"/>
        </w:rPr>
        <w:t xml:space="preserve">– </w:t>
      </w:r>
      <w:r w:rsidRPr="00426E78">
        <w:rPr>
          <w:rFonts w:ascii="Century Gothic" w:eastAsia="Arial MT" w:hAnsi="Century Gothic" w:cs="Arial"/>
          <w:b/>
          <w:lang w:val="es-ES"/>
        </w:rPr>
        <w:t>Decreto</w:t>
      </w:r>
      <w:r w:rsidRPr="00426E78">
        <w:rPr>
          <w:rFonts w:ascii="Century Gothic" w:eastAsia="Arial MT" w:hAnsi="Century Gothic" w:cs="Arial"/>
          <w:b/>
          <w:spacing w:val="-5"/>
          <w:lang w:val="es-ES"/>
        </w:rPr>
        <w:t xml:space="preserve"> </w:t>
      </w:r>
      <w:r w:rsidRPr="00426E78">
        <w:rPr>
          <w:rFonts w:ascii="Century Gothic" w:eastAsia="Arial MT" w:hAnsi="Century Gothic" w:cs="Arial"/>
          <w:b/>
          <w:lang w:val="es-ES"/>
        </w:rPr>
        <w:t>1860</w:t>
      </w:r>
      <w:r w:rsidRPr="00426E78">
        <w:rPr>
          <w:rFonts w:ascii="Century Gothic" w:eastAsia="Arial MT" w:hAnsi="Century Gothic" w:cs="Arial"/>
          <w:b/>
          <w:spacing w:val="-4"/>
          <w:lang w:val="es-ES"/>
        </w:rPr>
        <w:t xml:space="preserve"> </w:t>
      </w:r>
      <w:r w:rsidRPr="00426E78">
        <w:rPr>
          <w:rFonts w:ascii="Century Gothic" w:eastAsia="Arial MT" w:hAnsi="Century Gothic" w:cs="Arial"/>
          <w:b/>
          <w:lang w:val="es-ES"/>
        </w:rPr>
        <w:t>de</w:t>
      </w:r>
      <w:r w:rsidRPr="00426E78">
        <w:rPr>
          <w:rFonts w:ascii="Century Gothic" w:eastAsia="Arial MT" w:hAnsi="Century Gothic" w:cs="Arial"/>
          <w:b/>
          <w:spacing w:val="-4"/>
          <w:lang w:val="es-ES"/>
        </w:rPr>
        <w:t xml:space="preserve"> </w:t>
      </w:r>
      <w:r w:rsidRPr="00426E78">
        <w:rPr>
          <w:rFonts w:ascii="Century Gothic" w:eastAsia="Arial MT" w:hAnsi="Century Gothic" w:cs="Arial"/>
          <w:b/>
          <w:lang w:val="es-ES"/>
        </w:rPr>
        <w:t>2021</w:t>
      </w:r>
    </w:p>
    <w:p w14:paraId="637AB022" w14:textId="77777777" w:rsidR="00611FA2" w:rsidRPr="00013123" w:rsidRDefault="00611FA2" w:rsidP="00611FA2">
      <w:pPr>
        <w:widowControl w:val="0"/>
        <w:autoSpaceDE w:val="0"/>
        <w:autoSpaceDN w:val="0"/>
        <w:spacing w:after="0" w:line="240" w:lineRule="auto"/>
        <w:outlineLvl w:val="0"/>
        <w:rPr>
          <w:rFonts w:ascii="Century Gothic" w:eastAsia="Arial" w:hAnsi="Century Gothic" w:cs="Arial"/>
          <w:b/>
          <w:bCs/>
          <w:sz w:val="20"/>
          <w:szCs w:val="20"/>
          <w:lang w:val="es-ES"/>
        </w:rPr>
      </w:pPr>
    </w:p>
    <w:p w14:paraId="74C3FF8F" w14:textId="77777777" w:rsidR="00611FA2" w:rsidRPr="00013123" w:rsidRDefault="00611FA2" w:rsidP="00611FA2">
      <w:pPr>
        <w:widowControl w:val="0"/>
        <w:autoSpaceDE w:val="0"/>
        <w:autoSpaceDN w:val="0"/>
        <w:spacing w:after="0" w:line="240" w:lineRule="auto"/>
        <w:jc w:val="both"/>
        <w:rPr>
          <w:rFonts w:ascii="Century Gothic" w:eastAsia="Arial MT" w:hAnsi="Century Gothic" w:cs="Arial"/>
          <w:sz w:val="20"/>
          <w:szCs w:val="20"/>
          <w:lang w:val="es-ES"/>
        </w:rPr>
      </w:pPr>
      <w:r w:rsidRPr="00013123">
        <w:rPr>
          <w:rFonts w:ascii="Century Gothic" w:eastAsia="Arial MT" w:hAnsi="Century Gothic" w:cs="Arial"/>
          <w:sz w:val="20"/>
          <w:szCs w:val="20"/>
          <w:lang w:val="es-ES"/>
        </w:rPr>
        <w:t xml:space="preserve">[…] el artículo 32 de la Ley 2069 de 2020 –al igual que el artículo 31– también alude a la necesidad del desarrollo normativo posterior. Al respecto, el parágrafo dispone que “La definición de emprendimientos y empresas de mujeres se reglamentará por el gobierno nacional”. En ese sentido, la aplicación de criterios diferenciales en favor de mujeres y emprendimientos de mujeres está condicionada por el ejercicio de potestad reglamentaria, en orden de establecer la regulación en marco de la cual las Entidades Estatales deben aplicar los criterios diferenciales del artículo 32 de la Ley 2069 de 2020. </w:t>
      </w:r>
    </w:p>
    <w:p w14:paraId="1E3010C7" w14:textId="77777777" w:rsidR="00611FA2" w:rsidRPr="00013123" w:rsidRDefault="00611FA2" w:rsidP="00611FA2">
      <w:pPr>
        <w:widowControl w:val="0"/>
        <w:autoSpaceDE w:val="0"/>
        <w:autoSpaceDN w:val="0"/>
        <w:spacing w:after="0" w:line="240" w:lineRule="auto"/>
        <w:jc w:val="both"/>
        <w:rPr>
          <w:rFonts w:ascii="Century Gothic" w:eastAsia="Arial MT" w:hAnsi="Century Gothic" w:cs="Arial"/>
          <w:sz w:val="20"/>
          <w:szCs w:val="20"/>
          <w:lang w:val="es-ES"/>
        </w:rPr>
      </w:pPr>
    </w:p>
    <w:p w14:paraId="350077A3" w14:textId="77777777" w:rsidR="00611FA2" w:rsidRPr="00013123" w:rsidRDefault="00611FA2" w:rsidP="00611FA2">
      <w:pPr>
        <w:widowControl w:val="0"/>
        <w:autoSpaceDE w:val="0"/>
        <w:autoSpaceDN w:val="0"/>
        <w:spacing w:after="0" w:line="240" w:lineRule="auto"/>
        <w:jc w:val="both"/>
        <w:rPr>
          <w:rFonts w:ascii="Century Gothic" w:eastAsia="Arial MT" w:hAnsi="Century Gothic" w:cs="Arial"/>
          <w:sz w:val="20"/>
          <w:szCs w:val="20"/>
          <w:lang w:val="es-ES"/>
        </w:rPr>
      </w:pPr>
      <w:r w:rsidRPr="00013123">
        <w:rPr>
          <w:rFonts w:ascii="Century Gothic" w:eastAsia="Arial MT" w:hAnsi="Century Gothic" w:cs="Arial"/>
          <w:sz w:val="20"/>
          <w:szCs w:val="20"/>
          <w:lang w:val="es-ES"/>
        </w:rPr>
        <w:t xml:space="preserve">En este contexto, el Gobierno Nacional expidió el Decreto 1860 de 2021,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  </w:t>
      </w:r>
    </w:p>
    <w:p w14:paraId="6DFA7DC8" w14:textId="77777777" w:rsidR="00611FA2" w:rsidRPr="00013123" w:rsidRDefault="00611FA2" w:rsidP="00611FA2">
      <w:pPr>
        <w:widowControl w:val="0"/>
        <w:autoSpaceDE w:val="0"/>
        <w:autoSpaceDN w:val="0"/>
        <w:spacing w:after="0" w:line="240" w:lineRule="auto"/>
        <w:jc w:val="both"/>
        <w:rPr>
          <w:rFonts w:ascii="Century Gothic" w:eastAsia="Arial MT" w:hAnsi="Century Gothic" w:cs="Arial"/>
          <w:sz w:val="20"/>
          <w:szCs w:val="20"/>
          <w:lang w:val="es-ES"/>
        </w:rPr>
      </w:pPr>
    </w:p>
    <w:p w14:paraId="3DB84C21" w14:textId="77777777" w:rsidR="00611FA2" w:rsidRPr="00013123" w:rsidRDefault="00611FA2" w:rsidP="00611FA2">
      <w:pPr>
        <w:widowControl w:val="0"/>
        <w:autoSpaceDE w:val="0"/>
        <w:autoSpaceDN w:val="0"/>
        <w:spacing w:after="0" w:line="240" w:lineRule="auto"/>
        <w:jc w:val="both"/>
        <w:rPr>
          <w:rFonts w:ascii="Century Gothic" w:eastAsia="Arial MT" w:hAnsi="Century Gothic" w:cs="Arial"/>
          <w:sz w:val="20"/>
          <w:szCs w:val="20"/>
          <w:lang w:val="es-ES"/>
        </w:rPr>
      </w:pPr>
      <w:r w:rsidRPr="00013123">
        <w:rPr>
          <w:rFonts w:ascii="Century Gothic" w:eastAsia="Arial MT" w:hAnsi="Century Gothic" w:cs="Arial"/>
          <w:sz w:val="20"/>
          <w:szCs w:val="20"/>
          <w:lang w:val="es-ES"/>
        </w:rPr>
        <w:t xml:space="preserve">En lo relativo al artículo 32 de la Ley 2069 de 2020, el artículo 3 del Decreto 1860 de 2021 </w:t>
      </w:r>
      <w:r w:rsidRPr="00013123">
        <w:rPr>
          <w:rFonts w:ascii="Century Gothic" w:eastAsia="Arial MT" w:hAnsi="Century Gothic" w:cs="Arial"/>
          <w:sz w:val="20"/>
          <w:szCs w:val="20"/>
          <w:lang w:val="es-ES"/>
        </w:rPr>
        <w:lastRenderedPageBreak/>
        <w:t>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w:t>
      </w:r>
    </w:p>
    <w:p w14:paraId="624D6C2C" w14:textId="77777777" w:rsidR="00611FA2" w:rsidRPr="00013123" w:rsidRDefault="00611FA2" w:rsidP="00611FA2">
      <w:pPr>
        <w:widowControl w:val="0"/>
        <w:autoSpaceDE w:val="0"/>
        <w:autoSpaceDN w:val="0"/>
        <w:spacing w:after="0" w:line="240" w:lineRule="auto"/>
        <w:rPr>
          <w:rFonts w:ascii="Century Gothic" w:eastAsia="Arial MT" w:hAnsi="Century Gothic" w:cs="Arial"/>
          <w:sz w:val="20"/>
          <w:szCs w:val="20"/>
          <w:lang w:val="es-ES"/>
        </w:rPr>
      </w:pPr>
    </w:p>
    <w:p w14:paraId="4F3BBA30" w14:textId="77777777" w:rsidR="00611FA2" w:rsidRPr="00426E78" w:rsidRDefault="00611FA2" w:rsidP="00611FA2">
      <w:pPr>
        <w:widowControl w:val="0"/>
        <w:autoSpaceDE w:val="0"/>
        <w:autoSpaceDN w:val="0"/>
        <w:spacing w:after="0" w:line="240" w:lineRule="auto"/>
        <w:jc w:val="both"/>
        <w:outlineLvl w:val="0"/>
        <w:rPr>
          <w:rFonts w:ascii="Century Gothic" w:eastAsia="Arial" w:hAnsi="Century Gothic" w:cs="Arial"/>
          <w:b/>
          <w:bCs/>
          <w:lang w:val="es-ES"/>
        </w:rPr>
      </w:pPr>
      <w:r w:rsidRPr="00426E78">
        <w:rPr>
          <w:rFonts w:ascii="Century Gothic" w:eastAsia="Arial" w:hAnsi="Century Gothic" w:cs="Arial"/>
          <w:b/>
          <w:bCs/>
          <w:lang w:val="es-ES"/>
        </w:rPr>
        <w:t>DECRETO</w:t>
      </w:r>
      <w:r w:rsidRPr="00426E78">
        <w:rPr>
          <w:rFonts w:ascii="Century Gothic" w:eastAsia="Arial" w:hAnsi="Century Gothic" w:cs="Arial"/>
          <w:b/>
          <w:bCs/>
          <w:spacing w:val="-15"/>
          <w:lang w:val="es-ES"/>
        </w:rPr>
        <w:t xml:space="preserve"> </w:t>
      </w:r>
      <w:r w:rsidRPr="00426E78">
        <w:rPr>
          <w:rFonts w:ascii="Century Gothic" w:eastAsia="Arial" w:hAnsi="Century Gothic" w:cs="Arial"/>
          <w:b/>
          <w:bCs/>
          <w:lang w:val="es-ES"/>
        </w:rPr>
        <w:t>1860</w:t>
      </w:r>
      <w:r w:rsidRPr="00426E78">
        <w:rPr>
          <w:rFonts w:ascii="Century Gothic" w:eastAsia="Arial" w:hAnsi="Century Gothic" w:cs="Arial"/>
          <w:b/>
          <w:bCs/>
          <w:spacing w:val="-14"/>
          <w:lang w:val="es-ES"/>
        </w:rPr>
        <w:t xml:space="preserve"> </w:t>
      </w:r>
      <w:r w:rsidRPr="00426E78">
        <w:rPr>
          <w:rFonts w:ascii="Century Gothic" w:eastAsia="Arial" w:hAnsi="Century Gothic" w:cs="Arial"/>
          <w:b/>
          <w:bCs/>
          <w:lang w:val="es-ES"/>
        </w:rPr>
        <w:t>DE</w:t>
      </w:r>
      <w:r w:rsidRPr="00426E78">
        <w:rPr>
          <w:rFonts w:ascii="Century Gothic" w:eastAsia="Arial" w:hAnsi="Century Gothic" w:cs="Arial"/>
          <w:b/>
          <w:bCs/>
          <w:spacing w:val="-14"/>
          <w:lang w:val="es-ES"/>
        </w:rPr>
        <w:t xml:space="preserve"> </w:t>
      </w:r>
      <w:r w:rsidRPr="00426E78">
        <w:rPr>
          <w:rFonts w:ascii="Century Gothic" w:eastAsia="Arial" w:hAnsi="Century Gothic" w:cs="Arial"/>
          <w:b/>
          <w:bCs/>
          <w:lang w:val="es-ES"/>
        </w:rPr>
        <w:t>2021</w:t>
      </w:r>
      <w:r w:rsidRPr="00426E78">
        <w:rPr>
          <w:rFonts w:ascii="Century Gothic" w:eastAsia="Arial" w:hAnsi="Century Gothic" w:cs="Arial"/>
          <w:b/>
          <w:bCs/>
          <w:spacing w:val="-14"/>
          <w:lang w:val="es-ES"/>
        </w:rPr>
        <w:t xml:space="preserve"> </w:t>
      </w:r>
      <w:r w:rsidRPr="00426E78">
        <w:rPr>
          <w:rFonts w:ascii="Century Gothic" w:eastAsia="Arial" w:hAnsi="Century Gothic" w:cs="Arial"/>
          <w:b/>
          <w:bCs/>
          <w:lang w:val="es-ES"/>
        </w:rPr>
        <w:t>–</w:t>
      </w:r>
      <w:r w:rsidRPr="00426E78">
        <w:rPr>
          <w:rFonts w:ascii="Century Gothic" w:eastAsia="Arial" w:hAnsi="Century Gothic" w:cs="Arial"/>
          <w:b/>
          <w:bCs/>
          <w:spacing w:val="-14"/>
          <w:lang w:val="es-ES"/>
        </w:rPr>
        <w:t xml:space="preserve"> </w:t>
      </w:r>
      <w:r w:rsidRPr="00426E78">
        <w:rPr>
          <w:rFonts w:ascii="Century Gothic" w:eastAsia="Arial" w:hAnsi="Century Gothic" w:cs="Arial"/>
          <w:b/>
          <w:bCs/>
          <w:lang w:val="es-ES"/>
        </w:rPr>
        <w:t>Emprendimientos</w:t>
      </w:r>
      <w:r w:rsidRPr="00426E78">
        <w:rPr>
          <w:rFonts w:ascii="Century Gothic" w:eastAsia="Arial" w:hAnsi="Century Gothic" w:cs="Arial"/>
          <w:b/>
          <w:bCs/>
          <w:spacing w:val="-11"/>
          <w:lang w:val="es-ES"/>
        </w:rPr>
        <w:t xml:space="preserve"> </w:t>
      </w:r>
      <w:r w:rsidRPr="00426E78">
        <w:rPr>
          <w:rFonts w:ascii="Century Gothic" w:eastAsia="Arial" w:hAnsi="Century Gothic" w:cs="Arial"/>
          <w:b/>
          <w:bCs/>
          <w:lang w:val="es-ES"/>
        </w:rPr>
        <w:t>y</w:t>
      </w:r>
      <w:r w:rsidRPr="00426E78">
        <w:rPr>
          <w:rFonts w:ascii="Century Gothic" w:eastAsia="Arial" w:hAnsi="Century Gothic" w:cs="Arial"/>
          <w:b/>
          <w:bCs/>
          <w:spacing w:val="-14"/>
          <w:lang w:val="es-ES"/>
        </w:rPr>
        <w:t xml:space="preserve"> </w:t>
      </w:r>
      <w:r w:rsidRPr="00426E78">
        <w:rPr>
          <w:rFonts w:ascii="Century Gothic" w:eastAsia="Arial" w:hAnsi="Century Gothic" w:cs="Arial"/>
          <w:b/>
          <w:bCs/>
          <w:lang w:val="es-ES"/>
        </w:rPr>
        <w:t>empresas</w:t>
      </w:r>
      <w:r w:rsidRPr="00426E78">
        <w:rPr>
          <w:rFonts w:ascii="Century Gothic" w:eastAsia="Arial" w:hAnsi="Century Gothic" w:cs="Arial"/>
          <w:b/>
          <w:bCs/>
          <w:spacing w:val="-14"/>
          <w:lang w:val="es-ES"/>
        </w:rPr>
        <w:t xml:space="preserve"> </w:t>
      </w:r>
      <w:r w:rsidRPr="00426E78">
        <w:rPr>
          <w:rFonts w:ascii="Century Gothic" w:eastAsia="Arial" w:hAnsi="Century Gothic" w:cs="Arial"/>
          <w:b/>
          <w:bCs/>
          <w:lang w:val="es-ES"/>
        </w:rPr>
        <w:t>de</w:t>
      </w:r>
      <w:r w:rsidRPr="00426E78">
        <w:rPr>
          <w:rFonts w:ascii="Century Gothic" w:eastAsia="Arial" w:hAnsi="Century Gothic" w:cs="Arial"/>
          <w:b/>
          <w:bCs/>
          <w:spacing w:val="-14"/>
          <w:lang w:val="es-ES"/>
        </w:rPr>
        <w:t xml:space="preserve"> </w:t>
      </w:r>
      <w:r w:rsidRPr="00426E78">
        <w:rPr>
          <w:rFonts w:ascii="Century Gothic" w:eastAsia="Arial" w:hAnsi="Century Gothic" w:cs="Arial"/>
          <w:b/>
          <w:bCs/>
          <w:lang w:val="es-ES"/>
        </w:rPr>
        <w:t>mujeres</w:t>
      </w:r>
      <w:r w:rsidRPr="00426E78">
        <w:rPr>
          <w:rFonts w:ascii="Century Gothic" w:eastAsia="Arial" w:hAnsi="Century Gothic" w:cs="Arial"/>
          <w:b/>
          <w:bCs/>
          <w:spacing w:val="-14"/>
          <w:lang w:val="es-ES"/>
        </w:rPr>
        <w:t xml:space="preserve"> </w:t>
      </w:r>
      <w:r w:rsidRPr="00426E78">
        <w:rPr>
          <w:rFonts w:ascii="Century Gothic" w:eastAsia="Arial" w:hAnsi="Century Gothic" w:cs="Arial"/>
          <w:b/>
          <w:bCs/>
          <w:lang w:val="es-ES"/>
        </w:rPr>
        <w:t>–</w:t>
      </w:r>
      <w:r w:rsidRPr="00426E78">
        <w:rPr>
          <w:rFonts w:ascii="Century Gothic" w:eastAsia="Arial" w:hAnsi="Century Gothic" w:cs="Arial"/>
          <w:b/>
          <w:bCs/>
          <w:spacing w:val="-14"/>
          <w:lang w:val="es-ES"/>
        </w:rPr>
        <w:t xml:space="preserve"> </w:t>
      </w:r>
      <w:r w:rsidRPr="00426E78">
        <w:rPr>
          <w:rFonts w:ascii="Century Gothic" w:eastAsia="Arial" w:hAnsi="Century Gothic" w:cs="Arial"/>
          <w:b/>
          <w:bCs/>
          <w:lang w:val="es-ES"/>
        </w:rPr>
        <w:t>Definición</w:t>
      </w:r>
      <w:r w:rsidRPr="00426E78">
        <w:rPr>
          <w:rFonts w:ascii="Century Gothic" w:eastAsia="Arial" w:hAnsi="Century Gothic" w:cs="Arial"/>
          <w:b/>
          <w:bCs/>
          <w:spacing w:val="-13"/>
          <w:lang w:val="es-ES"/>
        </w:rPr>
        <w:t xml:space="preserve"> </w:t>
      </w:r>
      <w:r w:rsidRPr="00426E78">
        <w:rPr>
          <w:rFonts w:ascii="Century Gothic" w:eastAsia="Arial" w:hAnsi="Century Gothic" w:cs="Arial"/>
          <w:b/>
          <w:bCs/>
          <w:lang w:val="es-ES"/>
        </w:rPr>
        <w:t>–</w:t>
      </w:r>
      <w:r w:rsidRPr="00426E78">
        <w:rPr>
          <w:rFonts w:ascii="Century Gothic" w:eastAsia="Arial" w:hAnsi="Century Gothic" w:cs="Arial"/>
          <w:b/>
          <w:bCs/>
          <w:spacing w:val="-14"/>
          <w:lang w:val="es-ES"/>
        </w:rPr>
        <w:t xml:space="preserve"> </w:t>
      </w:r>
      <w:r w:rsidRPr="00426E78">
        <w:rPr>
          <w:rFonts w:ascii="Century Gothic" w:eastAsia="Arial" w:hAnsi="Century Gothic" w:cs="Arial"/>
          <w:b/>
          <w:bCs/>
          <w:lang w:val="es-ES"/>
        </w:rPr>
        <w:t>Artículo 2.2.1.2.4.2.14</w:t>
      </w:r>
      <w:r w:rsidRPr="00426E78">
        <w:rPr>
          <w:rFonts w:ascii="Century Gothic" w:eastAsia="Arial" w:hAnsi="Century Gothic" w:cs="Arial"/>
          <w:b/>
          <w:bCs/>
          <w:spacing w:val="-2"/>
          <w:lang w:val="es-ES"/>
        </w:rPr>
        <w:t xml:space="preserve"> </w:t>
      </w:r>
      <w:r w:rsidRPr="00426E78">
        <w:rPr>
          <w:rFonts w:ascii="Century Gothic" w:eastAsia="Arial" w:hAnsi="Century Gothic" w:cs="Arial"/>
          <w:b/>
          <w:bCs/>
          <w:lang w:val="es-ES"/>
        </w:rPr>
        <w:t>–</w:t>
      </w:r>
      <w:r w:rsidRPr="00426E78">
        <w:rPr>
          <w:rFonts w:ascii="Century Gothic" w:eastAsia="Arial" w:hAnsi="Century Gothic" w:cs="Arial"/>
          <w:b/>
          <w:bCs/>
          <w:spacing w:val="-2"/>
          <w:lang w:val="es-ES"/>
        </w:rPr>
        <w:t xml:space="preserve"> </w:t>
      </w:r>
      <w:r w:rsidRPr="00426E78">
        <w:rPr>
          <w:rFonts w:ascii="Century Gothic" w:eastAsia="Arial" w:hAnsi="Century Gothic" w:cs="Arial"/>
          <w:b/>
          <w:bCs/>
          <w:lang w:val="es-ES"/>
        </w:rPr>
        <w:t>Acreditación – Condición – Mujer – Regla general</w:t>
      </w:r>
    </w:p>
    <w:p w14:paraId="416293FC" w14:textId="77777777" w:rsidR="00611FA2" w:rsidRPr="00013123" w:rsidRDefault="00611FA2" w:rsidP="00611FA2">
      <w:pPr>
        <w:widowControl w:val="0"/>
        <w:autoSpaceDE w:val="0"/>
        <w:autoSpaceDN w:val="0"/>
        <w:spacing w:after="0" w:line="240" w:lineRule="auto"/>
        <w:rPr>
          <w:rFonts w:ascii="Century Gothic" w:eastAsia="Arial MT" w:hAnsi="Century Gothic" w:cs="Arial"/>
          <w:b/>
          <w:sz w:val="20"/>
          <w:szCs w:val="20"/>
          <w:lang w:val="es-ES"/>
        </w:rPr>
      </w:pPr>
    </w:p>
    <w:p w14:paraId="7DD40E7F" w14:textId="77777777" w:rsidR="00611FA2" w:rsidRDefault="00611FA2" w:rsidP="00611FA2">
      <w:pPr>
        <w:widowControl w:val="0"/>
        <w:autoSpaceDE w:val="0"/>
        <w:autoSpaceDN w:val="0"/>
        <w:spacing w:after="0" w:line="240" w:lineRule="auto"/>
        <w:jc w:val="both"/>
        <w:rPr>
          <w:rFonts w:ascii="Century Gothic" w:eastAsia="Arial MT" w:hAnsi="Century Gothic" w:cs="Arial"/>
          <w:sz w:val="20"/>
          <w:szCs w:val="20"/>
          <w:lang w:val="es-ES"/>
        </w:rPr>
      </w:pPr>
      <w:r w:rsidRPr="00013123">
        <w:rPr>
          <w:rFonts w:ascii="Century Gothic" w:eastAsia="Arial MT" w:hAnsi="Century Gothic" w:cs="Arial"/>
          <w:sz w:val="20"/>
          <w:szCs w:val="20"/>
          <w:lang w:val="es-ES"/>
        </w:rPr>
        <w:t>En desarrollo de lo dispuesto en el parágrafo del artículo 32 de la Ley 2069 de 2020, el Decreto 1860 de 2021 adicionó el artículo 2.2.1.2.4.2.14 al Decreto 1082 de 2015. Esta norma establece las condiciones y requisitos en atención a los cuales se definen los emprendimientos y empresas de mujeres, a las que les aplican los criterios diferenciales. Para estos efectos, cada uno de los cuatro (4) numerales de la norma establecen unas condiciones alternativas que definen los emprendimientos y empresas de mujeres […]</w:t>
      </w:r>
      <w:r>
        <w:rPr>
          <w:rFonts w:ascii="Century Gothic" w:eastAsia="Arial MT" w:hAnsi="Century Gothic" w:cs="Arial"/>
          <w:sz w:val="20"/>
          <w:szCs w:val="20"/>
          <w:lang w:val="es-ES"/>
        </w:rPr>
        <w:t>.</w:t>
      </w:r>
    </w:p>
    <w:p w14:paraId="4B3D2A2D" w14:textId="77777777" w:rsidR="00611FA2" w:rsidRPr="00013123" w:rsidRDefault="00611FA2" w:rsidP="00611FA2">
      <w:pPr>
        <w:widowControl w:val="0"/>
        <w:autoSpaceDE w:val="0"/>
        <w:autoSpaceDN w:val="0"/>
        <w:spacing w:after="0" w:line="240" w:lineRule="auto"/>
        <w:jc w:val="both"/>
        <w:rPr>
          <w:rFonts w:ascii="Century Gothic" w:eastAsia="Arial MT" w:hAnsi="Century Gothic" w:cs="Arial"/>
          <w:sz w:val="20"/>
          <w:szCs w:val="20"/>
          <w:lang w:val="es-ES"/>
        </w:rPr>
      </w:pPr>
    </w:p>
    <w:p w14:paraId="0487ECEC" w14:textId="77777777" w:rsidR="00611FA2" w:rsidRDefault="00611FA2" w:rsidP="00611FA2">
      <w:pPr>
        <w:widowControl w:val="0"/>
        <w:autoSpaceDE w:val="0"/>
        <w:autoSpaceDN w:val="0"/>
        <w:spacing w:after="0" w:line="240" w:lineRule="auto"/>
        <w:jc w:val="both"/>
        <w:rPr>
          <w:rFonts w:ascii="Century Gothic" w:eastAsia="Arial MT" w:hAnsi="Century Gothic" w:cs="Arial"/>
          <w:sz w:val="20"/>
          <w:szCs w:val="20"/>
          <w:lang w:val="es-ES"/>
        </w:rPr>
      </w:pPr>
      <w:r w:rsidRPr="00013123">
        <w:rPr>
          <w:rFonts w:ascii="Century Gothic" w:eastAsia="Arial MT" w:hAnsi="Century Gothic" w:cs="Arial"/>
          <w:sz w:val="20"/>
          <w:szCs w:val="20"/>
          <w:lang w:val="es-ES"/>
        </w:rPr>
        <w:t>[…]</w:t>
      </w:r>
    </w:p>
    <w:p w14:paraId="6D98D4C7" w14:textId="77777777" w:rsidR="00611FA2" w:rsidRPr="00013123" w:rsidRDefault="00611FA2" w:rsidP="00611FA2">
      <w:pPr>
        <w:widowControl w:val="0"/>
        <w:autoSpaceDE w:val="0"/>
        <w:autoSpaceDN w:val="0"/>
        <w:spacing w:after="0" w:line="240" w:lineRule="auto"/>
        <w:jc w:val="both"/>
        <w:rPr>
          <w:rFonts w:ascii="Century Gothic" w:eastAsia="Arial MT" w:hAnsi="Century Gothic" w:cs="Arial"/>
          <w:sz w:val="20"/>
          <w:szCs w:val="20"/>
          <w:lang w:val="es-ES"/>
        </w:rPr>
      </w:pPr>
    </w:p>
    <w:p w14:paraId="1B27B53B" w14:textId="77777777" w:rsidR="00611FA2" w:rsidRPr="00013123" w:rsidRDefault="00611FA2" w:rsidP="00611FA2">
      <w:pPr>
        <w:widowControl w:val="0"/>
        <w:autoSpaceDE w:val="0"/>
        <w:autoSpaceDN w:val="0"/>
        <w:spacing w:after="0" w:line="240" w:lineRule="auto"/>
        <w:jc w:val="both"/>
        <w:rPr>
          <w:rFonts w:ascii="Century Gothic" w:eastAsia="Arial MT" w:hAnsi="Century Gothic" w:cs="Arial"/>
          <w:sz w:val="20"/>
          <w:szCs w:val="20"/>
          <w:lang w:val="es-ES"/>
        </w:rPr>
      </w:pPr>
      <w:r w:rsidRPr="00013123">
        <w:rPr>
          <w:rFonts w:ascii="Century Gothic" w:eastAsia="Arial MT" w:hAnsi="Century Gothic" w:cs="Arial"/>
          <w:sz w:val="20"/>
          <w:szCs w:val="20"/>
          <w:lang w:val="es-ES"/>
        </w:rPr>
        <w:t>Los documentos a los que se refieren los distintos numerales del artículo 2.2.1.2.4.2.14 constituyen una tarifa legal probatoria para demostrar que los proponentes son emprendimientos o empresas de mujeres, y que, por lo tanto, tienen derecho a la aplicación de los criterios diferenciales reglamentados por el artículo 2.2.1.2.4.2.15 del Decreto 1082 de 2015, en desarrollo del artículo 32 de la Ley 2069 de 2020. Esto significa que a quienes pretendan acceder a tales beneficios en consideración a la definición establecida en el numeral 2 del artículo 2.2.1.2.4.2.14, les corresponde presentar la mencionada certificación con sus respectivos soportes.</w:t>
      </w:r>
    </w:p>
    <w:p w14:paraId="5D60514D" w14:textId="77777777" w:rsidR="00611FA2" w:rsidRPr="00013123" w:rsidRDefault="00611FA2" w:rsidP="00611FA2">
      <w:pPr>
        <w:widowControl w:val="0"/>
        <w:autoSpaceDE w:val="0"/>
        <w:autoSpaceDN w:val="0"/>
        <w:spacing w:after="0" w:line="240" w:lineRule="auto"/>
        <w:jc w:val="both"/>
        <w:rPr>
          <w:rFonts w:ascii="Century Gothic" w:eastAsia="Arial MT" w:hAnsi="Century Gothic" w:cs="Arial"/>
          <w:sz w:val="20"/>
          <w:szCs w:val="20"/>
          <w:lang w:val="es-ES"/>
        </w:rPr>
      </w:pPr>
    </w:p>
    <w:p w14:paraId="531BF201" w14:textId="77777777" w:rsidR="00611FA2" w:rsidRPr="00426E78" w:rsidRDefault="00611FA2" w:rsidP="00611FA2">
      <w:pPr>
        <w:widowControl w:val="0"/>
        <w:autoSpaceDE w:val="0"/>
        <w:autoSpaceDN w:val="0"/>
        <w:spacing w:after="0" w:line="240" w:lineRule="auto"/>
        <w:jc w:val="both"/>
        <w:rPr>
          <w:rFonts w:ascii="Century Gothic" w:eastAsia="Arial MT" w:hAnsi="Century Gothic" w:cs="Arial"/>
          <w:b/>
          <w:bCs/>
          <w:lang w:val="es-ES"/>
        </w:rPr>
      </w:pPr>
      <w:r w:rsidRPr="00426E78">
        <w:rPr>
          <w:rFonts w:ascii="Century Gothic" w:eastAsia="Arial MT" w:hAnsi="Century Gothic" w:cs="Arial"/>
          <w:b/>
          <w:bCs/>
          <w:lang w:val="es-ES"/>
        </w:rPr>
        <w:t>IDENTIDAD DE GÉNERO – Concepto – Alcance – Importancia – Sexo</w:t>
      </w:r>
    </w:p>
    <w:p w14:paraId="721FF3F1" w14:textId="77777777" w:rsidR="00611FA2" w:rsidRPr="00013123" w:rsidRDefault="00611FA2" w:rsidP="00611FA2">
      <w:pPr>
        <w:widowControl w:val="0"/>
        <w:autoSpaceDE w:val="0"/>
        <w:autoSpaceDN w:val="0"/>
        <w:spacing w:after="0" w:line="240" w:lineRule="auto"/>
        <w:jc w:val="both"/>
        <w:rPr>
          <w:rFonts w:ascii="Century Gothic" w:eastAsia="Arial MT" w:hAnsi="Century Gothic" w:cs="Arial"/>
          <w:sz w:val="20"/>
          <w:szCs w:val="20"/>
          <w:lang w:val="es-ES"/>
        </w:rPr>
      </w:pPr>
    </w:p>
    <w:p w14:paraId="4EDE4DC0" w14:textId="77777777" w:rsidR="00611FA2" w:rsidRDefault="00611FA2" w:rsidP="00611FA2">
      <w:pPr>
        <w:widowControl w:val="0"/>
        <w:autoSpaceDE w:val="0"/>
        <w:autoSpaceDN w:val="0"/>
        <w:spacing w:after="0" w:line="240" w:lineRule="auto"/>
        <w:jc w:val="both"/>
        <w:rPr>
          <w:rFonts w:ascii="Century Gothic" w:eastAsia="Arial MT" w:hAnsi="Century Gothic" w:cs="Arial"/>
          <w:sz w:val="20"/>
          <w:szCs w:val="20"/>
          <w:lang w:val="es-ES"/>
        </w:rPr>
      </w:pPr>
      <w:r w:rsidRPr="00013123">
        <w:rPr>
          <w:rFonts w:ascii="Century Gothic" w:eastAsia="Arial MT" w:hAnsi="Century Gothic" w:cs="Arial"/>
          <w:sz w:val="20"/>
          <w:szCs w:val="20"/>
          <w:lang w:val="es-ES"/>
        </w:rPr>
        <w:t>[…] la jurisprudencia constitucional, en congruencia con los lineamientos internacionales sobre la materia, desarrolló la tesis en la que se sitúa la identidad de género como un derecho fundamental, que comporta la facultad del individuo de definirse a sí mismo. En esta determinación autónoma resulta indispensable tener como referente que es el resultado de la voluntad humana y no de su naturaleza. En otras palabras, esta postura comprende el desarraigo de la concepción tradicional en la que el género estaba intrínsicamente asociado al sexo biológico de las personas, es decir, en la actualidad el género no se asigna, sino que se construye […]</w:t>
      </w:r>
      <w:r>
        <w:rPr>
          <w:rFonts w:ascii="Century Gothic" w:eastAsia="Arial MT" w:hAnsi="Century Gothic" w:cs="Arial"/>
          <w:sz w:val="20"/>
          <w:szCs w:val="20"/>
          <w:lang w:val="es-ES"/>
        </w:rPr>
        <w:t>.</w:t>
      </w:r>
    </w:p>
    <w:p w14:paraId="4159997D" w14:textId="77777777" w:rsidR="00611FA2" w:rsidRPr="00013123" w:rsidRDefault="00611FA2" w:rsidP="00611FA2">
      <w:pPr>
        <w:widowControl w:val="0"/>
        <w:autoSpaceDE w:val="0"/>
        <w:autoSpaceDN w:val="0"/>
        <w:spacing w:after="0" w:line="240" w:lineRule="auto"/>
        <w:jc w:val="both"/>
        <w:rPr>
          <w:rFonts w:ascii="Century Gothic" w:eastAsia="Arial MT" w:hAnsi="Century Gothic" w:cs="Arial"/>
          <w:sz w:val="20"/>
          <w:szCs w:val="20"/>
          <w:lang w:val="es-ES"/>
        </w:rPr>
      </w:pPr>
    </w:p>
    <w:p w14:paraId="256228FA" w14:textId="77777777" w:rsidR="00611FA2" w:rsidRDefault="00611FA2" w:rsidP="00611FA2">
      <w:pPr>
        <w:widowControl w:val="0"/>
        <w:autoSpaceDE w:val="0"/>
        <w:autoSpaceDN w:val="0"/>
        <w:spacing w:after="0" w:line="240" w:lineRule="auto"/>
        <w:jc w:val="both"/>
        <w:rPr>
          <w:rFonts w:ascii="Century Gothic" w:eastAsia="Arial MT" w:hAnsi="Century Gothic" w:cs="Arial"/>
          <w:sz w:val="20"/>
          <w:szCs w:val="20"/>
          <w:lang w:val="es-ES"/>
        </w:rPr>
      </w:pPr>
      <w:r w:rsidRPr="00013123">
        <w:rPr>
          <w:rFonts w:ascii="Century Gothic" w:eastAsia="Arial MT" w:hAnsi="Century Gothic" w:cs="Arial"/>
          <w:sz w:val="20"/>
          <w:szCs w:val="20"/>
          <w:lang w:val="es-ES"/>
        </w:rPr>
        <w:t>[…]</w:t>
      </w:r>
    </w:p>
    <w:p w14:paraId="41CACD1F" w14:textId="77777777" w:rsidR="00611FA2" w:rsidRPr="00013123" w:rsidRDefault="00611FA2" w:rsidP="00611FA2">
      <w:pPr>
        <w:widowControl w:val="0"/>
        <w:autoSpaceDE w:val="0"/>
        <w:autoSpaceDN w:val="0"/>
        <w:spacing w:after="0" w:line="240" w:lineRule="auto"/>
        <w:jc w:val="both"/>
        <w:rPr>
          <w:rFonts w:ascii="Century Gothic" w:eastAsia="Arial MT" w:hAnsi="Century Gothic" w:cs="Arial"/>
          <w:sz w:val="20"/>
          <w:szCs w:val="20"/>
          <w:lang w:val="es-ES"/>
        </w:rPr>
      </w:pPr>
    </w:p>
    <w:p w14:paraId="1C2BF0FC" w14:textId="77777777" w:rsidR="00611FA2" w:rsidRDefault="00611FA2" w:rsidP="00611FA2">
      <w:pPr>
        <w:widowControl w:val="0"/>
        <w:autoSpaceDE w:val="0"/>
        <w:autoSpaceDN w:val="0"/>
        <w:spacing w:after="0" w:line="240" w:lineRule="auto"/>
        <w:jc w:val="both"/>
        <w:rPr>
          <w:rFonts w:ascii="Century Gothic" w:eastAsia="Arial MT" w:hAnsi="Century Gothic" w:cs="Arial"/>
          <w:sz w:val="20"/>
          <w:szCs w:val="20"/>
          <w:lang w:val="es-ES"/>
        </w:rPr>
      </w:pPr>
      <w:r w:rsidRPr="00013123">
        <w:rPr>
          <w:rFonts w:ascii="Century Gothic" w:eastAsia="Arial MT" w:hAnsi="Century Gothic" w:cs="Arial"/>
          <w:sz w:val="20"/>
          <w:szCs w:val="20"/>
          <w:lang w:val="es-ES"/>
        </w:rPr>
        <w:t xml:space="preserve">En virtud En virtud de lo anterior, esto es, partiendo de la concepción de la identidad de género como una construcción individual, se precisa entonces que el componente “sexo” que registra en la identificación de las personas, evolucionó en tal medida que la información consignada en este campo o ítem, por decirlo de alguna manera, debe entenderse como una decisión personal y no como una asignación ligada al sexo con el que se nace. Es por ello por lo que las personas tienen la potestad de modificar su marcador de “sexo” para que coincida con su identidad, en caso de que requiera hacer el tránsito </w:t>
      </w:r>
      <w:r w:rsidRPr="00013123">
        <w:rPr>
          <w:rFonts w:ascii="Century Gothic" w:eastAsia="Arial MT" w:hAnsi="Century Gothic" w:cs="Arial"/>
          <w:sz w:val="20"/>
          <w:szCs w:val="20"/>
          <w:lang w:val="es-ES"/>
        </w:rPr>
        <w:lastRenderedPageBreak/>
        <w:t>formal hacia otro género. Sobre el particular se ha indicado de manera reiterada que las personas con orientaciones de género diversas tienen derecho a adecuar sus documentos de identificación para que reflejen la identidad que les singulariza, de modo que sean tratadas socialmente en la forma en que se auto reconocen.</w:t>
      </w:r>
    </w:p>
    <w:p w14:paraId="5CC8BB67" w14:textId="77777777" w:rsidR="00611FA2" w:rsidRDefault="00611FA2" w:rsidP="00611FA2">
      <w:pPr>
        <w:widowControl w:val="0"/>
        <w:autoSpaceDE w:val="0"/>
        <w:autoSpaceDN w:val="0"/>
        <w:spacing w:after="0" w:line="240" w:lineRule="auto"/>
        <w:jc w:val="both"/>
        <w:rPr>
          <w:rFonts w:ascii="Century Gothic" w:eastAsia="Arial MT" w:hAnsi="Century Gothic" w:cs="Arial"/>
          <w:sz w:val="20"/>
          <w:szCs w:val="20"/>
          <w:lang w:val="es-ES"/>
        </w:rPr>
      </w:pPr>
    </w:p>
    <w:p w14:paraId="1BCA3FAD" w14:textId="77777777" w:rsidR="00611FA2" w:rsidRPr="00426E78" w:rsidRDefault="00611FA2" w:rsidP="00611FA2">
      <w:pPr>
        <w:widowControl w:val="0"/>
        <w:autoSpaceDE w:val="0"/>
        <w:autoSpaceDN w:val="0"/>
        <w:spacing w:after="0" w:line="240" w:lineRule="auto"/>
        <w:jc w:val="both"/>
        <w:rPr>
          <w:rFonts w:ascii="Century Gothic" w:eastAsia="Arial MT" w:hAnsi="Century Gothic" w:cs="Arial"/>
          <w:b/>
          <w:bCs/>
          <w:lang w:val="es-ES"/>
        </w:rPr>
      </w:pPr>
      <w:r w:rsidRPr="00426E78">
        <w:rPr>
          <w:rFonts w:ascii="Century Gothic" w:eastAsia="Arial MT" w:hAnsi="Century Gothic" w:cs="Arial"/>
          <w:b/>
          <w:bCs/>
          <w:lang w:val="es-ES"/>
        </w:rPr>
        <w:t xml:space="preserve">NO BINARIO – Definición / CRITERIOS DIFERENCIALES Y FACTORES DE DESEMPATE – Inaplicación </w:t>
      </w:r>
    </w:p>
    <w:p w14:paraId="38F9A0D9" w14:textId="77777777" w:rsidR="00611FA2" w:rsidRDefault="00611FA2" w:rsidP="00611FA2">
      <w:pPr>
        <w:spacing w:after="0" w:line="240" w:lineRule="auto"/>
        <w:contextualSpacing/>
        <w:jc w:val="both"/>
        <w:rPr>
          <w:rFonts w:ascii="Century Gothic" w:hAnsi="Century Gothic" w:cs="Arial"/>
          <w:bCs/>
          <w:color w:val="000000"/>
          <w:sz w:val="20"/>
          <w:szCs w:val="20"/>
          <w:lang w:val="es-ES_tradnl"/>
        </w:rPr>
      </w:pPr>
    </w:p>
    <w:p w14:paraId="5B9C65DE" w14:textId="77777777" w:rsidR="00611FA2" w:rsidRPr="00324221" w:rsidRDefault="00611FA2" w:rsidP="00611FA2">
      <w:pPr>
        <w:spacing w:after="0" w:line="240" w:lineRule="auto"/>
        <w:contextualSpacing/>
        <w:jc w:val="both"/>
        <w:rPr>
          <w:rFonts w:ascii="Century Gothic" w:hAnsi="Century Gothic" w:cs="Arial"/>
          <w:bCs/>
          <w:color w:val="000000"/>
          <w:sz w:val="20"/>
          <w:szCs w:val="20"/>
          <w:lang w:val="es-ES_tradnl"/>
        </w:rPr>
      </w:pPr>
      <w:r w:rsidRPr="00426E78">
        <w:rPr>
          <w:rFonts w:ascii="Century Gothic" w:hAnsi="Century Gothic" w:cs="Arial"/>
          <w:bCs/>
          <w:color w:val="000000"/>
          <w:sz w:val="20"/>
          <w:szCs w:val="20"/>
          <w:lang w:val="es-ES_tradnl"/>
        </w:rPr>
        <w:t>De acuerdo con la Sentencia T-033 de 2022, con ponencia de la Magistrada Gloria Stella Ortiz Delgado, la Corte Constitucional explica que “La identidad de género no binaria es comprendida como aquella que, al no concebirse en el marco de las categorías dicotómicas, masculino o femenino, se aleja del sistema mayoritario de sexo-género, binario por tradición cultural. Las personas no binarias no se encuentran representadas, en sus vivencias, por ninguna de las categorías de género existentes en ese sistema”. Dado que las personas no binarias no se identifican como hombres ni, mucho menos, como mujeres, quienes posean documentos de identidad con la categoría NB no son destinatarios de los incentivos previstos en el 2.2.1.2.4.2.15 del Decreto 1082 de 2015 para emprendimientos y empresas de mujeres. Por la misma razón, en teniendo en cuenta el género consignado en los documentos de identidad, tampoco son mujeres para los factores de desempate de los numerales 2 y 7 del artículo 2.2.1.2.4.2.17 del Decreto 1082 de 2015, por lo que también son inaplicables a las personas no binarias. Lo anterior al margen de que el procedimiento se rija o no por documentos tipo, dado que la regulación de los incentivos de la Ley de Emprendimiento es transversal al sistema de compras públicas.</w:t>
      </w:r>
    </w:p>
    <w:p w14:paraId="6DD18750" w14:textId="77777777" w:rsidR="00611FA2" w:rsidRDefault="00611FA2" w:rsidP="00275C28">
      <w:pPr>
        <w:spacing w:after="0"/>
        <w:rPr>
          <w:rFonts w:ascii="Century Gothic" w:eastAsia="Geomanist Light" w:hAnsi="Century Gothic" w:cs="Arial"/>
          <w:color w:val="000000" w:themeColor="text1"/>
          <w:lang w:val="es-MX"/>
        </w:rPr>
      </w:pPr>
    </w:p>
    <w:p w14:paraId="3D50FCA7" w14:textId="77777777" w:rsidR="00611FA2" w:rsidRDefault="00611FA2" w:rsidP="00275C28">
      <w:pPr>
        <w:spacing w:after="0"/>
        <w:rPr>
          <w:rFonts w:ascii="Century Gothic" w:eastAsia="Geomanist Light" w:hAnsi="Century Gothic" w:cs="Arial"/>
          <w:color w:val="000000" w:themeColor="text1"/>
          <w:lang w:val="es-MX"/>
        </w:rPr>
      </w:pPr>
    </w:p>
    <w:p w14:paraId="07D33F47" w14:textId="77777777" w:rsidR="00611FA2" w:rsidRDefault="00611FA2" w:rsidP="00275C28">
      <w:pPr>
        <w:spacing w:after="0"/>
        <w:rPr>
          <w:rFonts w:ascii="Century Gothic" w:eastAsia="Geomanist Light" w:hAnsi="Century Gothic" w:cs="Arial"/>
          <w:color w:val="000000" w:themeColor="text1"/>
          <w:lang w:val="es-MX"/>
        </w:rPr>
      </w:pPr>
    </w:p>
    <w:p w14:paraId="0265B711" w14:textId="77777777" w:rsidR="00611FA2" w:rsidRDefault="00611FA2" w:rsidP="00275C28">
      <w:pPr>
        <w:spacing w:after="0"/>
        <w:rPr>
          <w:rFonts w:ascii="Century Gothic" w:eastAsia="Geomanist Light" w:hAnsi="Century Gothic" w:cs="Arial"/>
          <w:color w:val="000000" w:themeColor="text1"/>
          <w:lang w:val="es-MX"/>
        </w:rPr>
      </w:pPr>
    </w:p>
    <w:p w14:paraId="3335AA8C" w14:textId="77777777" w:rsidR="00611FA2" w:rsidRDefault="00611FA2" w:rsidP="00275C28">
      <w:pPr>
        <w:spacing w:after="0"/>
        <w:rPr>
          <w:rFonts w:ascii="Century Gothic" w:eastAsia="Geomanist Light" w:hAnsi="Century Gothic" w:cs="Arial"/>
          <w:color w:val="000000" w:themeColor="text1"/>
          <w:lang w:val="es-MX"/>
        </w:rPr>
      </w:pPr>
    </w:p>
    <w:p w14:paraId="21BCCEAC" w14:textId="77777777" w:rsidR="00611FA2" w:rsidRDefault="00611FA2" w:rsidP="00275C28">
      <w:pPr>
        <w:spacing w:after="0"/>
        <w:rPr>
          <w:rFonts w:ascii="Century Gothic" w:eastAsia="Geomanist Light" w:hAnsi="Century Gothic" w:cs="Arial"/>
          <w:color w:val="000000" w:themeColor="text1"/>
          <w:lang w:val="es-MX"/>
        </w:rPr>
      </w:pPr>
    </w:p>
    <w:p w14:paraId="44668028" w14:textId="77777777" w:rsidR="00611FA2" w:rsidRDefault="00611FA2" w:rsidP="00275C28">
      <w:pPr>
        <w:spacing w:after="0"/>
        <w:rPr>
          <w:rFonts w:ascii="Century Gothic" w:eastAsia="Geomanist Light" w:hAnsi="Century Gothic" w:cs="Arial"/>
          <w:color w:val="000000" w:themeColor="text1"/>
          <w:lang w:val="es-MX"/>
        </w:rPr>
      </w:pPr>
    </w:p>
    <w:p w14:paraId="1D181088" w14:textId="77777777" w:rsidR="00611FA2" w:rsidRDefault="00611FA2" w:rsidP="00275C28">
      <w:pPr>
        <w:spacing w:after="0"/>
        <w:rPr>
          <w:rFonts w:ascii="Century Gothic" w:eastAsia="Geomanist Light" w:hAnsi="Century Gothic" w:cs="Arial"/>
          <w:color w:val="000000" w:themeColor="text1"/>
          <w:lang w:val="es-MX"/>
        </w:rPr>
      </w:pPr>
    </w:p>
    <w:p w14:paraId="6E381D3B" w14:textId="77777777" w:rsidR="00611FA2" w:rsidRDefault="00611FA2" w:rsidP="00275C28">
      <w:pPr>
        <w:spacing w:after="0"/>
        <w:rPr>
          <w:rFonts w:ascii="Century Gothic" w:eastAsia="Geomanist Light" w:hAnsi="Century Gothic" w:cs="Arial"/>
          <w:color w:val="000000" w:themeColor="text1"/>
          <w:lang w:val="es-MX"/>
        </w:rPr>
      </w:pPr>
    </w:p>
    <w:p w14:paraId="4A53A083" w14:textId="77777777" w:rsidR="00611FA2" w:rsidRDefault="00611FA2" w:rsidP="00275C28">
      <w:pPr>
        <w:spacing w:after="0"/>
        <w:rPr>
          <w:rFonts w:ascii="Century Gothic" w:eastAsia="Geomanist Light" w:hAnsi="Century Gothic" w:cs="Arial"/>
          <w:color w:val="000000" w:themeColor="text1"/>
          <w:lang w:val="es-MX"/>
        </w:rPr>
      </w:pPr>
    </w:p>
    <w:p w14:paraId="439AFE1D" w14:textId="77777777" w:rsidR="00611FA2" w:rsidRDefault="00611FA2" w:rsidP="00275C28">
      <w:pPr>
        <w:spacing w:after="0"/>
        <w:rPr>
          <w:rFonts w:ascii="Century Gothic" w:eastAsia="Geomanist Light" w:hAnsi="Century Gothic" w:cs="Arial"/>
          <w:color w:val="000000" w:themeColor="text1"/>
          <w:lang w:val="es-MX"/>
        </w:rPr>
      </w:pPr>
    </w:p>
    <w:p w14:paraId="7FE72499" w14:textId="77777777" w:rsidR="00611FA2" w:rsidRDefault="00611FA2" w:rsidP="00275C28">
      <w:pPr>
        <w:spacing w:after="0"/>
        <w:rPr>
          <w:rFonts w:ascii="Century Gothic" w:eastAsia="Geomanist Light" w:hAnsi="Century Gothic" w:cs="Arial"/>
          <w:color w:val="000000" w:themeColor="text1"/>
          <w:lang w:val="es-MX"/>
        </w:rPr>
      </w:pPr>
    </w:p>
    <w:p w14:paraId="3A474FD6" w14:textId="77777777" w:rsidR="00611FA2" w:rsidRDefault="00611FA2" w:rsidP="00275C28">
      <w:pPr>
        <w:spacing w:after="0"/>
        <w:rPr>
          <w:rFonts w:ascii="Century Gothic" w:eastAsia="Geomanist Light" w:hAnsi="Century Gothic" w:cs="Arial"/>
          <w:color w:val="000000" w:themeColor="text1"/>
          <w:lang w:val="es-MX"/>
        </w:rPr>
      </w:pPr>
    </w:p>
    <w:p w14:paraId="7D02B32B" w14:textId="77777777" w:rsidR="00611FA2" w:rsidRDefault="00611FA2" w:rsidP="00275C28">
      <w:pPr>
        <w:spacing w:after="0"/>
        <w:rPr>
          <w:rFonts w:ascii="Century Gothic" w:eastAsia="Geomanist Light" w:hAnsi="Century Gothic" w:cs="Arial"/>
          <w:color w:val="000000" w:themeColor="text1"/>
          <w:lang w:val="es-MX"/>
        </w:rPr>
      </w:pPr>
    </w:p>
    <w:p w14:paraId="06EBE0F5" w14:textId="77777777" w:rsidR="00611FA2" w:rsidRDefault="00611FA2" w:rsidP="00275C28">
      <w:pPr>
        <w:spacing w:after="0"/>
        <w:rPr>
          <w:rFonts w:ascii="Century Gothic" w:eastAsia="Geomanist Light" w:hAnsi="Century Gothic" w:cs="Arial"/>
          <w:color w:val="000000" w:themeColor="text1"/>
          <w:lang w:val="es-MX"/>
        </w:rPr>
      </w:pPr>
    </w:p>
    <w:p w14:paraId="049E2B27" w14:textId="77777777" w:rsidR="00611FA2" w:rsidRDefault="00611FA2" w:rsidP="00275C28">
      <w:pPr>
        <w:spacing w:after="0"/>
        <w:rPr>
          <w:rFonts w:ascii="Century Gothic" w:eastAsia="Geomanist Light" w:hAnsi="Century Gothic" w:cs="Arial"/>
          <w:color w:val="000000" w:themeColor="text1"/>
          <w:lang w:val="es-MX"/>
        </w:rPr>
      </w:pPr>
    </w:p>
    <w:p w14:paraId="2E21FA37" w14:textId="77777777" w:rsidR="00611FA2" w:rsidRDefault="00611FA2" w:rsidP="00275C28">
      <w:pPr>
        <w:spacing w:after="0"/>
        <w:rPr>
          <w:rFonts w:ascii="Century Gothic" w:eastAsia="Geomanist Light" w:hAnsi="Century Gothic" w:cs="Arial"/>
          <w:color w:val="000000" w:themeColor="text1"/>
          <w:lang w:val="es-MX"/>
        </w:rPr>
      </w:pPr>
    </w:p>
    <w:p w14:paraId="66C6F73C" w14:textId="77777777" w:rsidR="00611FA2" w:rsidRDefault="00611FA2" w:rsidP="00275C28">
      <w:pPr>
        <w:spacing w:after="0"/>
        <w:rPr>
          <w:rFonts w:ascii="Century Gothic" w:eastAsia="Geomanist Light" w:hAnsi="Century Gothic" w:cs="Arial"/>
          <w:color w:val="000000" w:themeColor="text1"/>
          <w:lang w:val="es-MX"/>
        </w:rPr>
      </w:pPr>
    </w:p>
    <w:p w14:paraId="1487CFBA" w14:textId="77777777" w:rsidR="00611FA2" w:rsidRDefault="00611FA2" w:rsidP="00275C28">
      <w:pPr>
        <w:spacing w:after="0"/>
        <w:rPr>
          <w:rFonts w:ascii="Century Gothic" w:eastAsia="Geomanist Light" w:hAnsi="Century Gothic" w:cs="Arial"/>
          <w:color w:val="000000" w:themeColor="text1"/>
          <w:lang w:val="es-MX"/>
        </w:rPr>
      </w:pPr>
    </w:p>
    <w:p w14:paraId="54FDEA68" w14:textId="77777777" w:rsidR="00611FA2" w:rsidRDefault="00611FA2" w:rsidP="00275C28">
      <w:pPr>
        <w:spacing w:after="0"/>
        <w:rPr>
          <w:rFonts w:ascii="Century Gothic" w:eastAsia="Geomanist Light" w:hAnsi="Century Gothic" w:cs="Arial"/>
          <w:color w:val="000000" w:themeColor="text1"/>
          <w:lang w:val="es-MX"/>
        </w:rPr>
      </w:pPr>
    </w:p>
    <w:p w14:paraId="30DA1B4A" w14:textId="492EE58E" w:rsidR="00275C28" w:rsidRPr="004C64AD" w:rsidRDefault="00275C28" w:rsidP="00275C28">
      <w:pPr>
        <w:spacing w:after="0"/>
        <w:rPr>
          <w:rFonts w:ascii="Century Gothic" w:eastAsia="Geomanist Light" w:hAnsi="Century Gothic" w:cs="Arial"/>
          <w:color w:val="201F1E"/>
          <w:lang w:val="es-MX"/>
        </w:rPr>
      </w:pPr>
      <w:r w:rsidRPr="004C64AD">
        <w:rPr>
          <w:rFonts w:ascii="Century Gothic" w:eastAsia="Geomanist Light" w:hAnsi="Century Gothic" w:cs="Arial"/>
          <w:color w:val="000000" w:themeColor="text1"/>
          <w:lang w:val="es-MX"/>
        </w:rPr>
        <w:lastRenderedPageBreak/>
        <w:t>Bogotá D.C., </w:t>
      </w:r>
      <w:r w:rsidR="00B67F65" w:rsidRPr="00B67F65">
        <w:rPr>
          <w:rFonts w:ascii="Century Gothic" w:eastAsia="Geomanist Light" w:hAnsi="Century Gothic" w:cs="Arial"/>
          <w:color w:val="201F1E"/>
          <w:lang w:val="es-MX"/>
        </w:rPr>
        <w:t>26 de Marzo de 2024</w:t>
      </w:r>
    </w:p>
    <w:p w14:paraId="3A55C066" w14:textId="77777777" w:rsidR="00275C28" w:rsidRDefault="00275C28" w:rsidP="00275C28">
      <w:pPr>
        <w:spacing w:after="0"/>
        <w:rPr>
          <w:rFonts w:ascii="Century Gothic" w:eastAsia="Geomanist Light" w:hAnsi="Century Gothic" w:cs="Arial"/>
          <w:color w:val="201F1E"/>
          <w:lang w:val="es-MX"/>
        </w:rPr>
      </w:pPr>
    </w:p>
    <w:p w14:paraId="0A2C2351" w14:textId="2406040D" w:rsidR="003C330B" w:rsidRPr="004C64AD" w:rsidRDefault="003C330B" w:rsidP="003C330B">
      <w:pPr>
        <w:spacing w:after="0"/>
        <w:jc w:val="right"/>
        <w:rPr>
          <w:rFonts w:ascii="Century Gothic" w:eastAsia="Geomanist Light" w:hAnsi="Century Gothic" w:cs="Arial"/>
          <w:color w:val="201F1E"/>
          <w:lang w:val="es-MX"/>
        </w:rPr>
      </w:pPr>
      <w:r>
        <w:rPr>
          <w:noProof/>
        </w:rPr>
        <w:drawing>
          <wp:inline distT="0" distB="0" distL="0" distR="0" wp14:anchorId="15D63434" wp14:editId="559D5B52">
            <wp:extent cx="3253476" cy="904813"/>
            <wp:effectExtent l="0" t="0" r="4445" b="0"/>
            <wp:docPr id="6497893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789365" name=""/>
                    <pic:cNvPicPr/>
                  </pic:nvPicPr>
                  <pic:blipFill>
                    <a:blip r:embed="rId10"/>
                    <a:stretch>
                      <a:fillRect/>
                    </a:stretch>
                  </pic:blipFill>
                  <pic:spPr>
                    <a:xfrm>
                      <a:off x="0" y="0"/>
                      <a:ext cx="3253476" cy="904813"/>
                    </a:xfrm>
                    <a:prstGeom prst="rect">
                      <a:avLst/>
                    </a:prstGeom>
                  </pic:spPr>
                </pic:pic>
              </a:graphicData>
            </a:graphic>
          </wp:inline>
        </w:drawing>
      </w:r>
    </w:p>
    <w:p w14:paraId="06C2CCB8" w14:textId="77777777" w:rsidR="00275C28" w:rsidRPr="004C64AD" w:rsidRDefault="00275C28" w:rsidP="00275C28">
      <w:pPr>
        <w:spacing w:after="0"/>
        <w:contextualSpacing/>
        <w:jc w:val="both"/>
        <w:rPr>
          <w:rFonts w:ascii="Century Gothic" w:eastAsia="Calibri" w:hAnsi="Century Gothic" w:cs="Arial"/>
          <w:lang w:val="es-ES_tradnl" w:eastAsia="es-ES_tradnl"/>
        </w:rPr>
      </w:pPr>
    </w:p>
    <w:p w14:paraId="7A346324" w14:textId="77777777" w:rsidR="00275C28" w:rsidRPr="004C64AD" w:rsidRDefault="00275C28" w:rsidP="00275C28">
      <w:pPr>
        <w:spacing w:after="0"/>
        <w:contextualSpacing/>
        <w:jc w:val="both"/>
        <w:rPr>
          <w:rFonts w:ascii="Century Gothic" w:eastAsia="Calibri" w:hAnsi="Century Gothic" w:cs="Arial"/>
          <w:lang w:eastAsia="es-ES_tradnl"/>
        </w:rPr>
      </w:pPr>
      <w:r>
        <w:rPr>
          <w:rFonts w:ascii="Century Gothic" w:eastAsia="Calibri" w:hAnsi="Century Gothic" w:cs="Arial"/>
          <w:lang w:eastAsia="es-ES_tradnl"/>
        </w:rPr>
        <w:t>Señor</w:t>
      </w:r>
    </w:p>
    <w:p w14:paraId="46CC540A" w14:textId="77777777" w:rsidR="00275C28" w:rsidRDefault="00275C28" w:rsidP="00275C28">
      <w:pPr>
        <w:spacing w:after="0"/>
        <w:contextualSpacing/>
        <w:jc w:val="both"/>
        <w:rPr>
          <w:rFonts w:ascii="Century Gothic" w:eastAsia="Calibri" w:hAnsi="Century Gothic" w:cs="Arial"/>
          <w:b/>
          <w:lang w:eastAsia="es-ES_tradnl"/>
        </w:rPr>
      </w:pPr>
      <w:r w:rsidRPr="00FD0CBE">
        <w:rPr>
          <w:rFonts w:ascii="Century Gothic" w:eastAsia="Calibri" w:hAnsi="Century Gothic" w:cs="Arial"/>
          <w:b/>
          <w:lang w:eastAsia="es-ES_tradnl"/>
        </w:rPr>
        <w:t>José Alejandro Martínez Novoa</w:t>
      </w:r>
    </w:p>
    <w:p w14:paraId="27C0D621" w14:textId="77777777" w:rsidR="00275C28" w:rsidRDefault="00275C28" w:rsidP="00275C28">
      <w:pPr>
        <w:spacing w:after="0"/>
        <w:contextualSpacing/>
        <w:jc w:val="both"/>
        <w:rPr>
          <w:rFonts w:ascii="Century Gothic" w:eastAsia="Geomanist Light" w:hAnsi="Century Gothic" w:cs="Arial"/>
          <w:color w:val="000000" w:themeColor="text1"/>
          <w:lang w:val="es-MX"/>
        </w:rPr>
      </w:pPr>
      <w:r w:rsidRPr="004C64AD">
        <w:rPr>
          <w:rFonts w:ascii="Century Gothic" w:eastAsia="Geomanist Light" w:hAnsi="Century Gothic" w:cs="Arial"/>
          <w:color w:val="000000" w:themeColor="text1"/>
          <w:lang w:val="es-MX"/>
        </w:rPr>
        <w:t>Bogotá D.C.</w:t>
      </w:r>
    </w:p>
    <w:p w14:paraId="2BE3894E" w14:textId="77777777" w:rsidR="00275C28" w:rsidRPr="004C64AD" w:rsidRDefault="00275C28" w:rsidP="00275C28">
      <w:pPr>
        <w:spacing w:after="0"/>
        <w:contextualSpacing/>
        <w:jc w:val="both"/>
        <w:rPr>
          <w:rFonts w:ascii="Century Gothic" w:eastAsia="Calibri" w:hAnsi="Century Gothic" w:cs="Arial"/>
          <w:lang w:val="es-ES_tradnl" w:eastAsia="es-ES_tradnl"/>
        </w:rPr>
      </w:pPr>
    </w:p>
    <w:p w14:paraId="53173C98" w14:textId="77777777" w:rsidR="00275C28" w:rsidRPr="004C64AD" w:rsidRDefault="00275C28" w:rsidP="00275C28">
      <w:pPr>
        <w:spacing w:after="0"/>
        <w:contextualSpacing/>
        <w:rPr>
          <w:rFonts w:ascii="Century Gothic" w:eastAsia="Calibri" w:hAnsi="Century Gothic" w:cs="Arial"/>
          <w:b/>
          <w:bCs/>
          <w:lang w:val="es-ES_tradnl" w:eastAsia="es-ES_tradnl"/>
        </w:rPr>
      </w:pPr>
    </w:p>
    <w:p w14:paraId="3D7C6318" w14:textId="77777777" w:rsidR="00275C28" w:rsidRPr="004C64AD" w:rsidRDefault="00275C28" w:rsidP="00275C28">
      <w:pPr>
        <w:spacing w:after="0"/>
        <w:ind w:left="2124" w:firstLine="570"/>
        <w:contextualSpacing/>
        <w:rPr>
          <w:rFonts w:ascii="Century Gothic" w:eastAsia="Calibri" w:hAnsi="Century Gothic" w:cs="Arial"/>
          <w:b/>
          <w:bCs/>
          <w:lang w:val="es-ES_tradnl" w:eastAsia="es-ES_tradnl"/>
        </w:rPr>
      </w:pPr>
      <w:r w:rsidRPr="004C64AD">
        <w:rPr>
          <w:rFonts w:ascii="Century Gothic" w:eastAsia="Calibri" w:hAnsi="Century Gothic" w:cs="Arial"/>
          <w:b/>
          <w:bCs/>
          <w:lang w:val="es-ES_tradnl" w:eastAsia="es-ES_tradnl"/>
        </w:rPr>
        <w:t xml:space="preserve">Concepto C – </w:t>
      </w:r>
      <w:r>
        <w:rPr>
          <w:rFonts w:ascii="Century Gothic" w:eastAsia="Calibri" w:hAnsi="Century Gothic" w:cs="Arial"/>
          <w:b/>
          <w:bCs/>
          <w:lang w:val="es-ES_tradnl" w:eastAsia="es-ES_tradnl"/>
        </w:rPr>
        <w:t>031</w:t>
      </w:r>
      <w:r w:rsidRPr="004C64AD">
        <w:rPr>
          <w:rFonts w:ascii="Century Gothic" w:eastAsia="Calibri" w:hAnsi="Century Gothic" w:cs="Arial"/>
          <w:b/>
          <w:bCs/>
          <w:lang w:val="es-ES_tradnl" w:eastAsia="es-ES_tradnl"/>
        </w:rPr>
        <w:t xml:space="preserve"> de 202</w:t>
      </w:r>
      <w:r>
        <w:rPr>
          <w:rFonts w:ascii="Century Gothic" w:eastAsia="Calibri" w:hAnsi="Century Gothic" w:cs="Arial"/>
          <w:b/>
          <w:bCs/>
          <w:lang w:val="es-ES_tradnl" w:eastAsia="es-ES_tradnl"/>
        </w:rPr>
        <w:t>4</w:t>
      </w:r>
    </w:p>
    <w:p w14:paraId="67F25B52" w14:textId="77777777" w:rsidR="00275C28" w:rsidRPr="004C64AD" w:rsidRDefault="00275C28" w:rsidP="00275C28">
      <w:pPr>
        <w:spacing w:after="0"/>
        <w:contextualSpacing/>
        <w:jc w:val="both"/>
        <w:rPr>
          <w:rFonts w:ascii="Century Gothic" w:eastAsia="Calibri" w:hAnsi="Century Gothic"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75C28" w:rsidRPr="004C64AD" w14:paraId="7BB52D55" w14:textId="77777777" w:rsidTr="00DF0798">
        <w:tc>
          <w:tcPr>
            <w:tcW w:w="2689" w:type="dxa"/>
          </w:tcPr>
          <w:p w14:paraId="57A63D31" w14:textId="77777777" w:rsidR="00275C28" w:rsidRPr="004C64AD" w:rsidRDefault="00275C28" w:rsidP="00DF0798">
            <w:pPr>
              <w:contextualSpacing/>
              <w:jc w:val="both"/>
              <w:rPr>
                <w:rFonts w:ascii="Century Gothic" w:eastAsia="Calibri" w:hAnsi="Century Gothic" w:cs="Arial"/>
                <w:lang w:val="es-ES_tradnl" w:eastAsia="es-ES_tradnl"/>
              </w:rPr>
            </w:pPr>
            <w:r w:rsidRPr="004C64AD">
              <w:rPr>
                <w:rFonts w:ascii="Century Gothic" w:eastAsia="Calibri" w:hAnsi="Century Gothic" w:cs="Arial"/>
                <w:b/>
                <w:lang w:val="es-ES_tradnl" w:eastAsia="es-ES_tradnl"/>
              </w:rPr>
              <w:t>Temas:</w:t>
            </w:r>
            <w:r w:rsidRPr="004C64AD">
              <w:rPr>
                <w:rFonts w:ascii="Century Gothic" w:eastAsia="Calibri" w:hAnsi="Century Gothic" w:cs="Arial"/>
                <w:lang w:val="es-ES_tradnl" w:eastAsia="es-ES_tradnl"/>
              </w:rPr>
              <w:t xml:space="preserve">                                      </w:t>
            </w:r>
          </w:p>
        </w:tc>
        <w:tc>
          <w:tcPr>
            <w:tcW w:w="6237" w:type="dxa"/>
          </w:tcPr>
          <w:p w14:paraId="1F8669ED" w14:textId="77777777" w:rsidR="00275C28" w:rsidRPr="004C64AD" w:rsidRDefault="00275C28" w:rsidP="00DF0798">
            <w:pPr>
              <w:contextualSpacing/>
              <w:jc w:val="both"/>
              <w:rPr>
                <w:rFonts w:ascii="Century Gothic" w:eastAsia="Calibri" w:hAnsi="Century Gothic" w:cs="Arial"/>
                <w:bCs/>
                <w:lang w:val="es-MX" w:eastAsia="es-ES_tradnl"/>
              </w:rPr>
            </w:pPr>
            <w:r w:rsidRPr="00426E78">
              <w:rPr>
                <w:rFonts w:ascii="Century Gothic" w:eastAsia="Calibri" w:hAnsi="Century Gothic" w:cs="Arial"/>
                <w:bCs/>
                <w:lang w:val="es-MX" w:eastAsia="es-ES_tradnl"/>
              </w:rPr>
              <w:t>LEY DE EMPRENDIMIENTO – Ley 2069 de 2020 – Finalidad / LEY DE EMPRENDIMIENTO – Ley 2069 de 2020 – Artículo 32 – Criterios diferenciales – Emprendimientos de mujeres – Empresas de mujeres – Necesidad de reglamentación – Decreto 1860 de 2021 / DECRETO 1860 DE 2021 – Emprendimientos y empresas de mujeres – Definición – Artículo 2.2.1.2.4.2.14 – Acreditación – Condición – Mujer – Regla general / IDENTIDAD DE GÉNERO – Concepto – Alcance – Sexo</w:t>
            </w:r>
            <w:r>
              <w:rPr>
                <w:rFonts w:ascii="Century Gothic" w:eastAsia="Calibri" w:hAnsi="Century Gothic" w:cs="Arial"/>
                <w:bCs/>
                <w:lang w:val="es-MX" w:eastAsia="es-ES_tradnl"/>
              </w:rPr>
              <w:t xml:space="preserve"> / </w:t>
            </w:r>
            <w:r w:rsidRPr="00426E78">
              <w:rPr>
                <w:rFonts w:ascii="Century Gothic" w:eastAsia="Calibri" w:hAnsi="Century Gothic" w:cs="Arial"/>
                <w:bCs/>
                <w:lang w:val="es-MX" w:eastAsia="es-ES_tradnl"/>
              </w:rPr>
              <w:t>NO BINARIO – Definición / CRITERIOS DIFERENCIALES Y FACTORES DE DESEMPATE – Inaplicación</w:t>
            </w:r>
          </w:p>
          <w:p w14:paraId="029A7CDF" w14:textId="77777777" w:rsidR="00275C28" w:rsidRPr="004C64AD" w:rsidRDefault="00275C28" w:rsidP="00DF0798">
            <w:pPr>
              <w:contextualSpacing/>
              <w:jc w:val="both"/>
              <w:rPr>
                <w:rFonts w:ascii="Century Gothic" w:eastAsia="Calibri" w:hAnsi="Century Gothic" w:cs="Arial"/>
                <w:bCs/>
                <w:sz w:val="12"/>
                <w:szCs w:val="12"/>
                <w:lang w:val="es-ES_tradnl" w:eastAsia="es-ES_tradnl"/>
              </w:rPr>
            </w:pPr>
          </w:p>
        </w:tc>
      </w:tr>
      <w:tr w:rsidR="00275C28" w:rsidRPr="004C64AD" w14:paraId="2BB8F7FE" w14:textId="77777777" w:rsidTr="00DF0798">
        <w:trPr>
          <w:trHeight w:val="227"/>
        </w:trPr>
        <w:tc>
          <w:tcPr>
            <w:tcW w:w="2689" w:type="dxa"/>
          </w:tcPr>
          <w:p w14:paraId="70990A2B" w14:textId="77777777" w:rsidR="00275C28" w:rsidRPr="004C64AD" w:rsidRDefault="00275C28" w:rsidP="00DF0798">
            <w:pPr>
              <w:contextualSpacing/>
              <w:jc w:val="both"/>
              <w:rPr>
                <w:rFonts w:ascii="Century Gothic" w:eastAsia="Calibri" w:hAnsi="Century Gothic" w:cs="Arial"/>
                <w:b/>
                <w:lang w:val="es-ES_tradnl" w:eastAsia="es-ES_tradnl"/>
              </w:rPr>
            </w:pPr>
            <w:r w:rsidRPr="004C64AD">
              <w:rPr>
                <w:rFonts w:ascii="Century Gothic" w:eastAsia="Calibri" w:hAnsi="Century Gothic" w:cs="Arial"/>
                <w:b/>
                <w:lang w:val="es-ES_tradnl" w:eastAsia="es-ES_tradnl"/>
              </w:rPr>
              <w:t>Radicación:</w:t>
            </w:r>
            <w:r w:rsidRPr="004C64AD">
              <w:rPr>
                <w:rFonts w:ascii="Century Gothic" w:eastAsia="Calibri" w:hAnsi="Century Gothic" w:cs="Arial"/>
                <w:lang w:val="es-ES_tradnl" w:eastAsia="es-ES_tradnl"/>
              </w:rPr>
              <w:t xml:space="preserve">                             </w:t>
            </w:r>
          </w:p>
        </w:tc>
        <w:tc>
          <w:tcPr>
            <w:tcW w:w="6237" w:type="dxa"/>
          </w:tcPr>
          <w:p w14:paraId="3A2800F1" w14:textId="77777777" w:rsidR="00275C28" w:rsidRPr="004C64AD" w:rsidRDefault="00275C28" w:rsidP="00DF0798">
            <w:pPr>
              <w:contextualSpacing/>
              <w:jc w:val="both"/>
              <w:rPr>
                <w:rFonts w:ascii="Century Gothic" w:eastAsia="Calibri" w:hAnsi="Century Gothic" w:cs="Arial"/>
                <w:lang w:val="es-ES_tradnl" w:eastAsia="es-ES_tradnl"/>
              </w:rPr>
            </w:pPr>
            <w:r w:rsidRPr="004C64AD">
              <w:rPr>
                <w:rFonts w:ascii="Century Gothic" w:eastAsia="Calibri" w:hAnsi="Century Gothic" w:cs="Arial"/>
                <w:lang w:val="es-ES_tradnl" w:eastAsia="es-ES_tradnl"/>
              </w:rPr>
              <w:t xml:space="preserve">Respuesta a la consulta </w:t>
            </w:r>
            <w:r w:rsidRPr="00FD0CBE">
              <w:rPr>
                <w:rFonts w:ascii="Century Gothic" w:hAnsi="Century Gothic"/>
              </w:rPr>
              <w:t>P20240226002027</w:t>
            </w:r>
          </w:p>
        </w:tc>
      </w:tr>
    </w:tbl>
    <w:p w14:paraId="720E87F6" w14:textId="77777777" w:rsidR="00275C28" w:rsidRPr="004C64AD" w:rsidRDefault="00275C28" w:rsidP="00275C28">
      <w:pPr>
        <w:spacing w:after="0"/>
        <w:contextualSpacing/>
        <w:jc w:val="both"/>
        <w:rPr>
          <w:rFonts w:ascii="Century Gothic" w:eastAsia="Calibri" w:hAnsi="Century Gothic" w:cs="Arial"/>
          <w:lang w:val="es-ES_tradnl" w:eastAsia="es-ES_tradnl"/>
        </w:rPr>
      </w:pPr>
    </w:p>
    <w:p w14:paraId="3282ED84" w14:textId="77777777" w:rsidR="00275C28" w:rsidRPr="004C64AD" w:rsidRDefault="00275C28" w:rsidP="00275C28">
      <w:pPr>
        <w:spacing w:after="0"/>
        <w:contextualSpacing/>
        <w:jc w:val="both"/>
        <w:rPr>
          <w:rFonts w:ascii="Century Gothic" w:eastAsia="Calibri" w:hAnsi="Century Gothic" w:cs="Arial"/>
          <w:lang w:val="es-ES_tradnl" w:eastAsia="es-ES_tradnl"/>
        </w:rPr>
      </w:pPr>
    </w:p>
    <w:p w14:paraId="63DEB240" w14:textId="77777777" w:rsidR="00275C28" w:rsidRPr="004C64AD" w:rsidRDefault="00275C28" w:rsidP="00275C28">
      <w:pPr>
        <w:spacing w:after="0"/>
        <w:contextualSpacing/>
        <w:jc w:val="both"/>
        <w:rPr>
          <w:rFonts w:ascii="Century Gothic" w:eastAsia="Calibri" w:hAnsi="Century Gothic" w:cs="Arial"/>
          <w:lang w:val="es-ES" w:eastAsia="es-ES"/>
        </w:rPr>
      </w:pPr>
      <w:r w:rsidRPr="004C64AD">
        <w:rPr>
          <w:rFonts w:ascii="Century Gothic" w:eastAsia="Calibri" w:hAnsi="Century Gothic" w:cs="Arial"/>
          <w:lang w:val="es-ES" w:eastAsia="es-ES"/>
        </w:rPr>
        <w:t>Respetad</w:t>
      </w:r>
      <w:r>
        <w:rPr>
          <w:rFonts w:ascii="Century Gothic" w:eastAsia="Calibri" w:hAnsi="Century Gothic" w:cs="Arial"/>
          <w:lang w:val="es-ES" w:eastAsia="es-ES"/>
        </w:rPr>
        <w:t>o</w:t>
      </w:r>
      <w:r w:rsidRPr="004C64AD">
        <w:rPr>
          <w:rFonts w:ascii="Century Gothic" w:eastAsia="Calibri" w:hAnsi="Century Gothic" w:cs="Arial"/>
          <w:lang w:val="es-ES" w:eastAsia="es-ES"/>
        </w:rPr>
        <w:t xml:space="preserve"> </w:t>
      </w:r>
      <w:r>
        <w:rPr>
          <w:rFonts w:ascii="Century Gothic" w:eastAsia="Calibri" w:hAnsi="Century Gothic" w:cs="Arial"/>
          <w:lang w:val="es-ES" w:eastAsia="es-ES"/>
        </w:rPr>
        <w:t>señor</w:t>
      </w:r>
      <w:r w:rsidRPr="004C64AD">
        <w:rPr>
          <w:rFonts w:ascii="Century Gothic" w:eastAsia="Calibri" w:hAnsi="Century Gothic" w:cs="Arial"/>
          <w:lang w:val="es-ES" w:eastAsia="es-ES"/>
        </w:rPr>
        <w:t xml:space="preserve"> </w:t>
      </w:r>
      <w:r w:rsidRPr="00FD0CBE">
        <w:rPr>
          <w:rFonts w:ascii="Century Gothic" w:eastAsia="Calibri" w:hAnsi="Century Gothic" w:cs="Arial"/>
          <w:lang w:val="es-ES" w:eastAsia="es-ES"/>
        </w:rPr>
        <w:t>Martínez Novoa</w:t>
      </w:r>
      <w:r w:rsidRPr="004C64AD">
        <w:rPr>
          <w:rFonts w:ascii="Century Gothic" w:eastAsia="Calibri" w:hAnsi="Century Gothic" w:cs="Arial"/>
          <w:lang w:val="es-ES" w:eastAsia="es-ES"/>
        </w:rPr>
        <w:t xml:space="preserve">: </w:t>
      </w:r>
    </w:p>
    <w:p w14:paraId="71691E29" w14:textId="77777777" w:rsidR="00275C28" w:rsidRPr="004C64AD" w:rsidRDefault="00275C28" w:rsidP="00275C28">
      <w:pPr>
        <w:spacing w:after="0" w:line="276" w:lineRule="auto"/>
        <w:contextualSpacing/>
        <w:jc w:val="both"/>
        <w:rPr>
          <w:rFonts w:ascii="Century Gothic" w:eastAsia="Calibri" w:hAnsi="Century Gothic" w:cs="Arial"/>
          <w:szCs w:val="24"/>
          <w:lang w:val="es-ES_tradnl" w:eastAsia="es-ES_tradnl"/>
        </w:rPr>
      </w:pPr>
    </w:p>
    <w:bookmarkEnd w:id="0"/>
    <w:bookmarkEnd w:id="1"/>
    <w:p w14:paraId="68B6EDB9" w14:textId="77777777" w:rsidR="00275C28" w:rsidRPr="004C64AD" w:rsidRDefault="00275C28" w:rsidP="00275C28">
      <w:pPr>
        <w:spacing w:after="0" w:line="276" w:lineRule="auto"/>
        <w:jc w:val="both"/>
        <w:rPr>
          <w:rFonts w:ascii="Century Gothic" w:eastAsia="Calibri" w:hAnsi="Century Gothic" w:cs="Arial"/>
          <w:color w:val="000000" w:themeColor="text1"/>
          <w:lang w:val="es-ES_tradnl"/>
        </w:rPr>
      </w:pPr>
      <w:r w:rsidRPr="004C64AD">
        <w:rPr>
          <w:rFonts w:ascii="Century Gothic" w:eastAsia="Calibri" w:hAnsi="Century Gothic" w:cs="Arial"/>
          <w:color w:val="000000" w:themeColor="text1"/>
          <w:lang w:val="es-ES_tradnl"/>
        </w:rPr>
        <w:t>En ejercicio de la competencia otorgada por el numeral 8 del artículo 11 y el numeral 5 del artículo 3 del Decreto Ley 4170 de 2011</w:t>
      </w:r>
      <w:bookmarkStart w:id="3" w:name="_Hlk99120496"/>
      <w:r w:rsidRPr="004C64AD">
        <w:rPr>
          <w:rFonts w:ascii="Century Gothic" w:eastAsia="Arial MT" w:hAnsi="Century Gothic" w:cs="Arial MT"/>
          <w:lang w:val="es-ES"/>
        </w:rPr>
        <w:t xml:space="preserve">, </w:t>
      </w:r>
      <w:bookmarkEnd w:id="3"/>
      <w:r w:rsidRPr="004C64AD">
        <w:rPr>
          <w:rFonts w:ascii="Century Gothic" w:eastAsia="Calibri" w:hAnsi="Century Gothic" w:cs="Arial"/>
          <w:color w:val="000000" w:themeColor="text1"/>
          <w:lang w:val="es-ES_tradnl"/>
        </w:rPr>
        <w:t xml:space="preserve">la Agencia Nacional de Contratación Pública – Colombia Compra Eficiente responde la consulta radicada el </w:t>
      </w:r>
      <w:r>
        <w:rPr>
          <w:rFonts w:ascii="Century Gothic" w:eastAsia="Calibri" w:hAnsi="Century Gothic" w:cs="Arial"/>
          <w:color w:val="000000" w:themeColor="text1"/>
          <w:lang w:val="es-ES_tradnl"/>
        </w:rPr>
        <w:t>26 de febrero de 2024</w:t>
      </w:r>
      <w:r w:rsidRPr="004C64AD">
        <w:rPr>
          <w:rFonts w:ascii="Century Gothic" w:eastAsia="Calibri" w:hAnsi="Century Gothic" w:cs="Arial"/>
          <w:color w:val="000000" w:themeColor="text1"/>
          <w:lang w:val="es-ES_tradnl"/>
        </w:rPr>
        <w:t>.</w:t>
      </w:r>
    </w:p>
    <w:p w14:paraId="4CCAC286" w14:textId="77777777" w:rsidR="00275C28" w:rsidRPr="004C64AD" w:rsidRDefault="00275C28" w:rsidP="00275C28">
      <w:pPr>
        <w:spacing w:after="0" w:line="276" w:lineRule="auto"/>
        <w:jc w:val="both"/>
        <w:rPr>
          <w:rFonts w:ascii="Century Gothic" w:eastAsia="Calibri" w:hAnsi="Century Gothic" w:cs="Arial"/>
          <w:b/>
          <w:color w:val="000000" w:themeColor="text1"/>
          <w:lang w:val="es-ES_tradnl"/>
        </w:rPr>
      </w:pPr>
    </w:p>
    <w:p w14:paraId="1995733C" w14:textId="77777777" w:rsidR="00275C28" w:rsidRPr="004C64AD" w:rsidRDefault="00275C28" w:rsidP="00275C28">
      <w:pPr>
        <w:pStyle w:val="Prrafodelista"/>
        <w:numPr>
          <w:ilvl w:val="0"/>
          <w:numId w:val="6"/>
        </w:numPr>
        <w:tabs>
          <w:tab w:val="left" w:pos="0"/>
          <w:tab w:val="left" w:pos="142"/>
          <w:tab w:val="left" w:pos="284"/>
        </w:tabs>
        <w:spacing w:after="0" w:line="276" w:lineRule="auto"/>
        <w:ind w:left="0" w:firstLine="0"/>
        <w:jc w:val="both"/>
        <w:rPr>
          <w:rFonts w:ascii="Century Gothic" w:eastAsia="Calibri" w:hAnsi="Century Gothic" w:cs="Arial"/>
          <w:b/>
          <w:color w:val="000000" w:themeColor="text1"/>
          <w:lang w:val="es-ES_tradnl"/>
        </w:rPr>
      </w:pPr>
      <w:r w:rsidRPr="004C64AD">
        <w:rPr>
          <w:rFonts w:ascii="Century Gothic" w:eastAsia="Calibri" w:hAnsi="Century Gothic" w:cs="Arial"/>
          <w:b/>
          <w:color w:val="000000" w:themeColor="text1"/>
          <w:lang w:val="es-ES_tradnl"/>
        </w:rPr>
        <w:t xml:space="preserve">Problema planteado </w:t>
      </w:r>
    </w:p>
    <w:p w14:paraId="1572957F" w14:textId="77777777" w:rsidR="00275C28" w:rsidRPr="004C64AD" w:rsidRDefault="00275C28" w:rsidP="00275C28">
      <w:pPr>
        <w:tabs>
          <w:tab w:val="left" w:pos="426"/>
        </w:tabs>
        <w:spacing w:after="0" w:line="276" w:lineRule="auto"/>
        <w:jc w:val="both"/>
        <w:rPr>
          <w:rFonts w:ascii="Century Gothic" w:eastAsia="Calibri" w:hAnsi="Century Gothic" w:cs="Arial"/>
          <w:b/>
          <w:color w:val="000000" w:themeColor="text1"/>
          <w:lang w:val="es-ES_tradnl"/>
        </w:rPr>
      </w:pPr>
    </w:p>
    <w:p w14:paraId="67DDF4AA" w14:textId="77777777" w:rsidR="00275C28" w:rsidRPr="001265C4" w:rsidRDefault="00275C28" w:rsidP="00275C28">
      <w:pPr>
        <w:spacing w:after="0" w:line="276" w:lineRule="auto"/>
        <w:jc w:val="both"/>
        <w:rPr>
          <w:rFonts w:ascii="Century Gothic" w:hAnsi="Century Gothic" w:cs="Arial"/>
          <w:color w:val="000000" w:themeColor="text1"/>
          <w:lang w:val="es-ES_tradnl"/>
        </w:rPr>
      </w:pPr>
      <w:bookmarkStart w:id="4" w:name="_Hlk159847336"/>
      <w:bookmarkStart w:id="5" w:name="_Hlk148967884"/>
      <w:r>
        <w:rPr>
          <w:rFonts w:ascii="Century Gothic" w:hAnsi="Century Gothic" w:cs="Arial"/>
          <w:color w:val="000000" w:themeColor="text1"/>
          <w:lang w:val="es-ES_tradnl"/>
        </w:rPr>
        <w:t xml:space="preserve">Para efectos de </w:t>
      </w:r>
      <w:r w:rsidRPr="009449F8">
        <w:rPr>
          <w:rFonts w:ascii="Century Gothic" w:hAnsi="Century Gothic" w:cs="Arial"/>
          <w:color w:val="000000" w:themeColor="text1"/>
          <w:lang w:val="es-ES_tradnl"/>
        </w:rPr>
        <w:t xml:space="preserve">los </w:t>
      </w:r>
      <w:r>
        <w:rPr>
          <w:rFonts w:ascii="Century Gothic" w:hAnsi="Century Gothic" w:cs="Arial"/>
          <w:color w:val="000000" w:themeColor="text1"/>
          <w:lang w:val="es-ES_tradnl"/>
        </w:rPr>
        <w:t>documentos tipo, u</w:t>
      </w:r>
      <w:r w:rsidRPr="00BF3AF4">
        <w:rPr>
          <w:rFonts w:ascii="Century Gothic" w:hAnsi="Century Gothic" w:cs="Arial"/>
          <w:color w:val="000000" w:themeColor="text1"/>
          <w:lang w:val="es-ES_tradnl"/>
        </w:rPr>
        <w:t>sted realiza la siguiente pregunta:</w:t>
      </w:r>
      <w:bookmarkEnd w:id="4"/>
      <w:r>
        <w:rPr>
          <w:rFonts w:ascii="Century Gothic" w:hAnsi="Century Gothic" w:cs="Arial"/>
          <w:color w:val="000000" w:themeColor="text1"/>
          <w:lang w:val="es-ES_tradnl"/>
        </w:rPr>
        <w:t xml:space="preserve"> “</w:t>
      </w:r>
      <w:r w:rsidRPr="00FD0CBE">
        <w:rPr>
          <w:rFonts w:ascii="Century Gothic" w:hAnsi="Century Gothic" w:cs="Arial"/>
          <w:color w:val="000000" w:themeColor="text1"/>
          <w:lang w:val="es-ES_tradnl"/>
        </w:rPr>
        <w:t>¿Las personas que poseen documentos de identidad con la categoría de</w:t>
      </w:r>
      <w:r>
        <w:rPr>
          <w:rFonts w:ascii="Century Gothic" w:hAnsi="Century Gothic" w:cs="Arial"/>
          <w:color w:val="000000" w:themeColor="text1"/>
          <w:lang w:val="es-ES_tradnl"/>
        </w:rPr>
        <w:t xml:space="preserve"> </w:t>
      </w:r>
      <w:r w:rsidRPr="00FD0CBE">
        <w:rPr>
          <w:rFonts w:ascii="Century Gothic" w:hAnsi="Century Gothic" w:cs="Arial"/>
          <w:color w:val="000000" w:themeColor="text1"/>
          <w:lang w:val="es-ES_tradnl"/>
        </w:rPr>
        <w:t xml:space="preserve">sexo no </w:t>
      </w:r>
      <w:r w:rsidRPr="00FD0CBE">
        <w:rPr>
          <w:rFonts w:ascii="Century Gothic" w:hAnsi="Century Gothic" w:cs="Arial"/>
          <w:color w:val="000000" w:themeColor="text1"/>
          <w:lang w:val="es-ES_tradnl"/>
        </w:rPr>
        <w:lastRenderedPageBreak/>
        <w:t>binario, son elegibles para la aplicación de criterios y/o factores de</w:t>
      </w:r>
      <w:r>
        <w:rPr>
          <w:rFonts w:ascii="Century Gothic" w:hAnsi="Century Gothic" w:cs="Arial"/>
          <w:color w:val="000000" w:themeColor="text1"/>
          <w:lang w:val="es-ES_tradnl"/>
        </w:rPr>
        <w:t xml:space="preserve"> </w:t>
      </w:r>
      <w:r w:rsidRPr="00FD0CBE">
        <w:rPr>
          <w:rFonts w:ascii="Century Gothic" w:hAnsi="Century Gothic" w:cs="Arial"/>
          <w:color w:val="000000" w:themeColor="text1"/>
          <w:lang w:val="es-ES_tradnl"/>
        </w:rPr>
        <w:t>desempate, como los destinados a emprendimientos y empresas de mujeres?</w:t>
      </w:r>
      <w:r>
        <w:rPr>
          <w:rFonts w:ascii="Century Gothic" w:hAnsi="Century Gothic" w:cs="Arial"/>
          <w:color w:val="000000" w:themeColor="text1"/>
          <w:lang w:val="es-ES_tradnl"/>
        </w:rPr>
        <w:t>”.</w:t>
      </w:r>
      <w:r w:rsidRPr="001265C4">
        <w:rPr>
          <w:rFonts w:ascii="Century Gothic" w:hAnsi="Century Gothic" w:cs="Arial"/>
          <w:color w:val="000000" w:themeColor="text1"/>
          <w:lang w:val="es-ES_tradnl"/>
        </w:rPr>
        <w:t xml:space="preserve">   </w:t>
      </w:r>
      <w:r>
        <w:rPr>
          <w:rFonts w:ascii="Century Gothic" w:hAnsi="Century Gothic" w:cs="Arial"/>
          <w:color w:val="000000" w:themeColor="text1"/>
          <w:lang w:val="es-ES_tradnl"/>
        </w:rPr>
        <w:t xml:space="preserve"> </w:t>
      </w:r>
    </w:p>
    <w:bookmarkEnd w:id="5"/>
    <w:p w14:paraId="48FFFB31" w14:textId="77777777" w:rsidR="00275C28" w:rsidRPr="004C64AD" w:rsidRDefault="00275C28" w:rsidP="00275C28">
      <w:pPr>
        <w:spacing w:after="0" w:line="276" w:lineRule="auto"/>
        <w:ind w:right="709"/>
        <w:jc w:val="both"/>
        <w:rPr>
          <w:rFonts w:ascii="Century Gothic" w:hAnsi="Century Gothic" w:cs="Arial"/>
          <w:color w:val="000000" w:themeColor="text1"/>
        </w:rPr>
      </w:pPr>
    </w:p>
    <w:p w14:paraId="1F54740C" w14:textId="77777777" w:rsidR="00275C28" w:rsidRPr="004C64AD" w:rsidRDefault="00275C28" w:rsidP="00275C28">
      <w:pPr>
        <w:pStyle w:val="Prrafodelista"/>
        <w:numPr>
          <w:ilvl w:val="0"/>
          <w:numId w:val="6"/>
        </w:numPr>
        <w:tabs>
          <w:tab w:val="left" w:pos="0"/>
          <w:tab w:val="left" w:pos="284"/>
        </w:tabs>
        <w:spacing w:after="0" w:line="240" w:lineRule="auto"/>
        <w:ind w:left="0" w:firstLine="0"/>
        <w:jc w:val="both"/>
        <w:rPr>
          <w:rFonts w:ascii="Century Gothic" w:eastAsia="Calibri" w:hAnsi="Century Gothic" w:cs="Arial"/>
          <w:b/>
          <w:color w:val="000000" w:themeColor="text1"/>
          <w:lang w:val="es-ES_tradnl"/>
        </w:rPr>
      </w:pPr>
      <w:r w:rsidRPr="004C64AD">
        <w:rPr>
          <w:rFonts w:ascii="Century Gothic" w:eastAsia="Calibri" w:hAnsi="Century Gothic" w:cs="Arial"/>
          <w:b/>
          <w:color w:val="000000" w:themeColor="text1"/>
          <w:lang w:val="es-ES_tradnl"/>
        </w:rPr>
        <w:t>Consideraciones</w:t>
      </w:r>
    </w:p>
    <w:p w14:paraId="05F4C3C2" w14:textId="77777777" w:rsidR="00275C28" w:rsidRPr="004C64AD" w:rsidRDefault="00275C28" w:rsidP="00275C28">
      <w:pPr>
        <w:spacing w:after="0" w:line="276" w:lineRule="auto"/>
        <w:jc w:val="both"/>
        <w:rPr>
          <w:rFonts w:ascii="Century Gothic" w:eastAsia="Calibri" w:hAnsi="Century Gothic" w:cs="Arial"/>
          <w:color w:val="000000" w:themeColor="text1"/>
          <w:lang w:val="es-ES"/>
        </w:rPr>
      </w:pPr>
    </w:p>
    <w:p w14:paraId="1A06A353" w14:textId="77777777" w:rsidR="00275C28" w:rsidRPr="00FC072E" w:rsidRDefault="00275C28" w:rsidP="00275C28">
      <w:pPr>
        <w:spacing w:after="0" w:line="276" w:lineRule="auto"/>
        <w:jc w:val="both"/>
        <w:rPr>
          <w:rFonts w:ascii="Century Gothic" w:hAnsi="Century Gothic" w:cs="Arial"/>
          <w:color w:val="000000" w:themeColor="text1"/>
          <w:lang w:val="es-ES"/>
        </w:rPr>
      </w:pPr>
      <w:r>
        <w:rPr>
          <w:rFonts w:ascii="Century Gothic" w:hAnsi="Century Gothic" w:cs="Arial"/>
        </w:rPr>
        <w:t>Para resolver la inquietud planteada</w:t>
      </w:r>
      <w:r w:rsidRPr="004C64AD">
        <w:rPr>
          <w:rFonts w:ascii="Century Gothic" w:eastAsia="Calibri" w:hAnsi="Century Gothic" w:cs="Arial"/>
          <w:bCs/>
        </w:rPr>
        <w:t xml:space="preserve"> se abordarán </w:t>
      </w:r>
      <w:r w:rsidRPr="004C64AD">
        <w:rPr>
          <w:rFonts w:ascii="Century Gothic" w:eastAsia="Calibri" w:hAnsi="Century Gothic" w:cs="Arial"/>
          <w:bCs/>
          <w:lang w:val="es-ES"/>
        </w:rPr>
        <w:t>los siguientes temas:</w:t>
      </w:r>
      <w:r w:rsidRPr="004C64AD">
        <w:rPr>
          <w:rFonts w:ascii="Century Gothic" w:hAnsi="Century Gothic" w:cs="Arial"/>
          <w:color w:val="000000" w:themeColor="text1"/>
          <w:lang w:val="es-ES"/>
        </w:rPr>
        <w:t xml:space="preserve"> </w:t>
      </w:r>
      <w:r w:rsidRPr="00FD0CBE">
        <w:rPr>
          <w:rFonts w:ascii="Century Gothic" w:hAnsi="Century Gothic" w:cs="Arial"/>
          <w:color w:val="000000" w:themeColor="text1"/>
          <w:lang w:val="es-ES"/>
        </w:rPr>
        <w:t>i) vigencia y reglamentación de los criterios diferenciales de la Ley 2069 de 2020; ii) definición de emprendimientos y empresas de mujeres en el Decreto 1860 de 2021, y iii) la identidad de género como derecho fundamental y su relación con las definiciones de emprendimientos y empresas de mujeres establecidas por el Decreto 1860 de 2021</w:t>
      </w:r>
      <w:r>
        <w:rPr>
          <w:rFonts w:ascii="Century Gothic" w:hAnsi="Century Gothic" w:cs="Arial"/>
          <w:color w:val="000000" w:themeColor="text1"/>
          <w:lang w:val="es-ES"/>
        </w:rPr>
        <w:t>.</w:t>
      </w:r>
      <w:r w:rsidRPr="00835BF6">
        <w:rPr>
          <w:rFonts w:ascii="Century Gothic" w:hAnsi="Century Gothic" w:cs="Arial"/>
          <w:color w:val="000000" w:themeColor="text1"/>
          <w:lang w:val="es-ES"/>
        </w:rPr>
        <w:t xml:space="preserve">   </w:t>
      </w:r>
    </w:p>
    <w:p w14:paraId="0BB46353" w14:textId="77777777" w:rsidR="00275C28" w:rsidRPr="00FC072E" w:rsidRDefault="00275C28" w:rsidP="00275C28">
      <w:pPr>
        <w:spacing w:after="0" w:line="276" w:lineRule="auto"/>
        <w:ind w:firstLine="709"/>
        <w:jc w:val="both"/>
        <w:rPr>
          <w:rFonts w:ascii="Century Gothic" w:eastAsia="Calibri" w:hAnsi="Century Gothic" w:cs="Arial"/>
          <w:color w:val="000000" w:themeColor="text1"/>
          <w:lang w:val="es-ES_tradnl"/>
        </w:rPr>
      </w:pPr>
      <w:r w:rsidRPr="00FD0CBE">
        <w:rPr>
          <w:rFonts w:ascii="Century Gothic" w:eastAsia="Calibri" w:hAnsi="Century Gothic" w:cs="Arial"/>
          <w:color w:val="000000" w:themeColor="text1"/>
          <w:lang w:val="es-ES"/>
        </w:rPr>
        <w:t>La Agencia Nacional de Contratación Pública – Colombia Compra Eficiente se ha pronunciado, en términos generales, sobre el contenido de la Ley de Emprendimiento en diferentes conceptos , refiriéndose, especialmente, a lo dispuesto en el artículo 32 de dicha ley, alusivo a los criterios diferenciales para emprendimientos y empresas de mujeres, en los conceptos C-029 de 21 de febrero de 2021, C-037 del 26 de febrero de 2021, C-141 del 8 de abril de 2021, C-114 del 13 de abril de 2015, C-031 del 1 de marzo de 2022, C-476 del 21 de junio de 2022, C-429 del 18 de julio de 2022, C-438 del 11 de julio de 2022, C-454 del 13 de julio de 2022, C-476 del 21 de junio de 2022, C-479 del 26 de julio de 2022, C-504 del 8 de agosto de 2022, C-522 del 16 de agosto de 2022, C-533 de 25 de agosto de 2022, C-587 del 21 de septiembre de 2022, C-715 del 4 de noviembre de 2022</w:t>
      </w:r>
      <w:r>
        <w:rPr>
          <w:rFonts w:ascii="Century Gothic" w:eastAsia="Calibri" w:hAnsi="Century Gothic" w:cs="Arial"/>
          <w:color w:val="000000" w:themeColor="text1"/>
          <w:lang w:val="es-ES"/>
        </w:rPr>
        <w:t>, C-048 del 12 de abril de 2023</w:t>
      </w:r>
      <w:r w:rsidRPr="00FD0CBE">
        <w:rPr>
          <w:rFonts w:ascii="Century Gothic" w:eastAsia="Calibri" w:hAnsi="Century Gothic" w:cs="Arial"/>
          <w:color w:val="000000" w:themeColor="text1"/>
          <w:lang w:val="es-ES"/>
        </w:rPr>
        <w:t>, entre ot</w:t>
      </w:r>
      <w:r>
        <w:rPr>
          <w:rFonts w:ascii="Century Gothic" w:eastAsia="Calibri" w:hAnsi="Century Gothic" w:cs="Arial"/>
          <w:color w:val="000000" w:themeColor="text1"/>
          <w:lang w:val="es-ES"/>
        </w:rPr>
        <w:t>ros</w:t>
      </w:r>
      <w:r w:rsidRPr="004C64AD">
        <w:rPr>
          <w:rStyle w:val="Refdenotaalpie"/>
          <w:rFonts w:ascii="Century Gothic" w:eastAsia="Calibri" w:hAnsi="Century Gothic" w:cs="Arial"/>
        </w:rPr>
        <w:footnoteReference w:id="2"/>
      </w:r>
      <w:r w:rsidRPr="004C64AD">
        <w:rPr>
          <w:rStyle w:val="normaltextrun"/>
          <w:rFonts w:ascii="Century Gothic" w:hAnsi="Century Gothic" w:cs="Arial"/>
          <w:color w:val="000000"/>
          <w:shd w:val="clear" w:color="auto" w:fill="FFFFFF"/>
        </w:rPr>
        <w:t xml:space="preserve">. </w:t>
      </w:r>
      <w:r w:rsidRPr="004C64AD">
        <w:rPr>
          <w:rFonts w:ascii="Century Gothic" w:eastAsia="Calibri" w:hAnsi="Century Gothic" w:cs="Arial"/>
          <w:color w:val="000000" w:themeColor="text1"/>
          <w:lang w:val="es-ES_tradnl"/>
        </w:rPr>
        <w:t>La tesis propuesta en estos conceptos se reitera a continuación y se complementa en lo pertinente.</w:t>
      </w:r>
    </w:p>
    <w:p w14:paraId="22531529" w14:textId="77777777" w:rsidR="00275C28" w:rsidRPr="00A113FC" w:rsidRDefault="00275C28" w:rsidP="00275C28">
      <w:pPr>
        <w:spacing w:after="0" w:line="276" w:lineRule="auto"/>
        <w:contextualSpacing/>
        <w:jc w:val="both"/>
        <w:rPr>
          <w:rFonts w:ascii="Century Gothic" w:eastAsia="Times New Roman" w:hAnsi="Century Gothic" w:cs="Arial"/>
          <w:b/>
          <w:bCs/>
          <w:szCs w:val="24"/>
          <w:lang w:eastAsia="es-ES_tradnl"/>
        </w:rPr>
      </w:pPr>
    </w:p>
    <w:p w14:paraId="685F8D99" w14:textId="77777777" w:rsidR="00275C28" w:rsidRPr="00A113FC" w:rsidRDefault="00275C28" w:rsidP="00275C28">
      <w:pPr>
        <w:spacing w:after="0" w:line="276" w:lineRule="auto"/>
        <w:contextualSpacing/>
        <w:jc w:val="both"/>
        <w:rPr>
          <w:rFonts w:ascii="Century Gothic" w:eastAsia="Calibri" w:hAnsi="Century Gothic" w:cs="Arial"/>
          <w:b/>
          <w:bCs/>
          <w:lang w:val="es-ES_tradnl" w:eastAsia="es-ES_tradnl"/>
        </w:rPr>
      </w:pPr>
      <w:r w:rsidRPr="00A113FC">
        <w:rPr>
          <w:rFonts w:ascii="Century Gothic" w:eastAsia="Calibri" w:hAnsi="Century Gothic" w:cs="Arial"/>
          <w:b/>
          <w:bCs/>
          <w:lang w:val="es-ES_tradnl" w:eastAsia="es-ES_tradnl"/>
        </w:rPr>
        <w:t xml:space="preserve">2.1. </w:t>
      </w:r>
      <w:bookmarkStart w:id="6" w:name="_Hlk94018153"/>
      <w:r w:rsidRPr="00A113FC">
        <w:rPr>
          <w:rFonts w:ascii="Century Gothic" w:eastAsia="Calibri" w:hAnsi="Century Gothic" w:cs="Arial"/>
          <w:b/>
          <w:bCs/>
          <w:lang w:val="es-ES_tradnl" w:eastAsia="es-ES_tradnl"/>
        </w:rPr>
        <w:t xml:space="preserve">Vigencia y reglamentación de los criterios diferenciales de la Ley 2069 de 2020 </w:t>
      </w:r>
      <w:bookmarkEnd w:id="6"/>
    </w:p>
    <w:p w14:paraId="34C82044" w14:textId="77777777" w:rsidR="00275C28" w:rsidRPr="00A113FC" w:rsidRDefault="00275C28" w:rsidP="00275C28">
      <w:pPr>
        <w:spacing w:after="0" w:line="276" w:lineRule="auto"/>
        <w:contextualSpacing/>
        <w:jc w:val="both"/>
        <w:rPr>
          <w:rFonts w:ascii="Century Gothic" w:eastAsia="Calibri" w:hAnsi="Century Gothic" w:cs="Arial"/>
          <w:lang w:val="es-ES_tradnl" w:eastAsia="es-ES_tradnl"/>
        </w:rPr>
      </w:pPr>
    </w:p>
    <w:p w14:paraId="7C8AA9F0" w14:textId="77777777" w:rsidR="00275C28" w:rsidRPr="00A113FC" w:rsidRDefault="00275C28" w:rsidP="00275C28">
      <w:pPr>
        <w:spacing w:after="120" w:line="276" w:lineRule="auto"/>
        <w:jc w:val="both"/>
        <w:rPr>
          <w:rFonts w:ascii="Century Gothic" w:eastAsia="Calibri" w:hAnsi="Century Gothic" w:cs="Arial"/>
          <w:lang w:val="es-ES_tradnl" w:eastAsia="es-ES_tradnl"/>
        </w:rPr>
      </w:pPr>
      <w:r w:rsidRPr="00A113FC">
        <w:rPr>
          <w:rFonts w:ascii="Century Gothic" w:eastAsia="Calibri" w:hAnsi="Century Gothic" w:cs="Arial"/>
          <w:lang w:val="es-ES_tradnl" w:eastAsia="es-ES_tradnl"/>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los decretos correspondientes que permitan la cumplida ejecución de esta </w:t>
      </w:r>
      <w:r w:rsidRPr="00A113FC">
        <w:rPr>
          <w:rFonts w:ascii="Century Gothic" w:eastAsia="Calibri" w:hAnsi="Century Gothic" w:cs="Arial"/>
          <w:lang w:val="es-ES_tradnl" w:eastAsia="es-ES_tradnl"/>
        </w:rPr>
        <w:lastRenderedPageBreak/>
        <w:t>Ley</w:t>
      </w:r>
      <w:r w:rsidRPr="00A113FC">
        <w:rPr>
          <w:rFonts w:ascii="Century Gothic" w:eastAsia="Calibri" w:hAnsi="Century Gothic" w:cs="Arial"/>
          <w:color w:val="000000" w:themeColor="text1"/>
          <w:lang w:val="es-ES_tradnl"/>
        </w:rPr>
        <w:t>, potestad que fue ejercida mediante la expedición del Decreto 1860 de 2021, al cual se hará referencia más adelante</w:t>
      </w:r>
      <w:r w:rsidRPr="00A113FC">
        <w:rPr>
          <w:rFonts w:ascii="Century Gothic" w:eastAsia="Calibri" w:hAnsi="Century Gothic" w:cs="Arial"/>
          <w:lang w:val="es-ES_tradnl" w:eastAsia="es-ES_tradnl"/>
        </w:rPr>
        <w:t>.</w:t>
      </w:r>
    </w:p>
    <w:p w14:paraId="6EA66933" w14:textId="77777777" w:rsidR="00275C28" w:rsidRPr="00A113FC" w:rsidRDefault="00275C28" w:rsidP="77D36B6A">
      <w:pPr>
        <w:spacing w:after="120" w:line="276" w:lineRule="auto"/>
        <w:ind w:firstLine="709"/>
        <w:jc w:val="both"/>
        <w:rPr>
          <w:rFonts w:ascii="Century Gothic" w:eastAsia="Calibri" w:hAnsi="Century Gothic" w:cs="Arial"/>
          <w:lang w:val="es-ES" w:eastAsia="es-ES"/>
        </w:rPr>
      </w:pPr>
      <w:r w:rsidRPr="77D36B6A">
        <w:rPr>
          <w:rFonts w:ascii="Century Gothic" w:eastAsia="Calibri" w:hAnsi="Century Gothic" w:cs="Arial"/>
          <w:lang w:val="es-ES" w:eastAsia="es-ES"/>
        </w:rPr>
        <w:t>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w:t>
      </w:r>
      <w:r w:rsidRPr="77D36B6A">
        <w:rPr>
          <w:rFonts w:ascii="Century Gothic" w:eastAsia="Calibri" w:hAnsi="Century Gothic" w:cs="Arial"/>
          <w:sz w:val="24"/>
          <w:szCs w:val="24"/>
          <w:vertAlign w:val="superscript"/>
          <w:lang w:val="es-ES" w:eastAsia="es-ES"/>
        </w:rPr>
        <w:footnoteReference w:id="3"/>
      </w:r>
      <w:r w:rsidRPr="77D36B6A">
        <w:rPr>
          <w:rFonts w:ascii="Century Gothic" w:eastAsia="Calibri" w:hAnsi="Century Gothic" w:cs="Arial"/>
          <w:lang w:val="es-ES" w:eastAsia="es-ES"/>
        </w:rPr>
        <w:t>. Esto, a partir de “[…] un enfoque regionalizado de acuerdo a las realidades socioeconómicas de cada región”. En desarrollo de esta finalidad, se establecen medidas de apoyo para las micro, pequeñas y medianas empresas –Mipymes–, mediante la racionalización y simplificación de los trámites y tarifas</w:t>
      </w:r>
      <w:r w:rsidRPr="77D36B6A">
        <w:rPr>
          <w:rFonts w:ascii="Century Gothic" w:eastAsia="Calibri" w:hAnsi="Century Gothic" w:cs="Arial"/>
          <w:vertAlign w:val="superscript"/>
          <w:lang w:val="es-ES" w:eastAsia="es-ES"/>
        </w:rPr>
        <w:footnoteReference w:id="4"/>
      </w:r>
      <w:r w:rsidRPr="77D36B6A">
        <w:rPr>
          <w:rFonts w:ascii="Century Gothic" w:eastAsia="Calibri" w:hAnsi="Century Gothic" w:cs="Arial"/>
          <w:lang w:val="es-ES" w:eastAsia="es-ES"/>
        </w:rPr>
        <w:t>, así como incentivos a favor de aquellas dentro del sistema de compras y contratación pública</w:t>
      </w:r>
      <w:r w:rsidRPr="77D36B6A">
        <w:rPr>
          <w:rFonts w:ascii="Century Gothic" w:eastAsia="Calibri" w:hAnsi="Century Gothic" w:cs="Arial"/>
          <w:vertAlign w:val="superscript"/>
          <w:lang w:val="es-ES" w:eastAsia="es-ES"/>
        </w:rPr>
        <w:footnoteReference w:id="5"/>
      </w:r>
      <w:r w:rsidRPr="77D36B6A">
        <w:rPr>
          <w:rFonts w:ascii="Century Gothic" w:eastAsia="Calibri" w:hAnsi="Century Gothic" w:cs="Arial"/>
          <w:lang w:val="es-ES" w:eastAsia="es-ES"/>
        </w:rPr>
        <w:t>. También se consagran mecanismos de acceso al financiamiento</w:t>
      </w:r>
      <w:r w:rsidRPr="77D36B6A">
        <w:rPr>
          <w:rFonts w:ascii="Century Gothic" w:eastAsia="Calibri" w:hAnsi="Century Gothic" w:cs="Arial"/>
          <w:vertAlign w:val="superscript"/>
          <w:lang w:val="es-ES" w:eastAsia="es-ES"/>
        </w:rPr>
        <w:footnoteReference w:id="6"/>
      </w:r>
      <w:r w:rsidRPr="77D36B6A">
        <w:rPr>
          <w:rFonts w:ascii="Century Gothic" w:eastAsia="Calibri" w:hAnsi="Century Gothic" w:cs="Arial"/>
          <w:lang w:val="es-ES" w:eastAsia="es-ES"/>
        </w:rPr>
        <w:t>, se unifican las fuentes de emprendimiento y de desarrollo empresarial, para fortalecer y promover los distintos sectores de la economía</w:t>
      </w:r>
      <w:r w:rsidRPr="77D36B6A">
        <w:rPr>
          <w:rFonts w:ascii="Century Gothic" w:eastAsia="Calibri" w:hAnsi="Century Gothic" w:cs="Arial"/>
          <w:vertAlign w:val="superscript"/>
          <w:lang w:val="es-ES" w:eastAsia="es-ES"/>
        </w:rPr>
        <w:footnoteReference w:id="7"/>
      </w:r>
      <w:r w:rsidRPr="77D36B6A">
        <w:rPr>
          <w:rFonts w:ascii="Century Gothic" w:eastAsia="Calibri" w:hAnsi="Century Gothic" w:cs="Arial"/>
          <w:lang w:val="es-ES" w:eastAsia="es-ES"/>
        </w:rPr>
        <w:t xml:space="preserve"> y se prevén medidas de educación para el emprendimiento y la innovación</w:t>
      </w:r>
      <w:r w:rsidRPr="77D36B6A">
        <w:rPr>
          <w:rFonts w:ascii="Century Gothic" w:eastAsia="Calibri" w:hAnsi="Century Gothic" w:cs="Arial"/>
          <w:vertAlign w:val="superscript"/>
          <w:lang w:val="es-ES" w:eastAsia="es-ES"/>
        </w:rPr>
        <w:footnoteReference w:id="8"/>
      </w:r>
      <w:r w:rsidRPr="77D36B6A">
        <w:rPr>
          <w:rFonts w:ascii="Century Gothic" w:eastAsia="Calibri" w:hAnsi="Century Gothic" w:cs="Arial"/>
          <w:lang w:val="es-ES" w:eastAsia="es-ES"/>
        </w:rPr>
        <w:t>.</w:t>
      </w:r>
    </w:p>
    <w:p w14:paraId="011EC40A" w14:textId="77777777" w:rsidR="00275C28" w:rsidRPr="00A113FC" w:rsidRDefault="00275C28" w:rsidP="00275C28">
      <w:pPr>
        <w:spacing w:after="120" w:line="276" w:lineRule="auto"/>
        <w:ind w:firstLine="709"/>
        <w:jc w:val="both"/>
        <w:rPr>
          <w:rFonts w:ascii="Century Gothic" w:eastAsia="Calibri" w:hAnsi="Century Gothic" w:cs="Arial"/>
          <w:lang w:val="es-ES_tradnl" w:eastAsia="es-ES_tradnl"/>
        </w:rPr>
      </w:pPr>
      <w:r w:rsidRPr="00A113FC">
        <w:rPr>
          <w:rFonts w:ascii="Century Gothic" w:eastAsia="Calibri" w:hAnsi="Century Gothic" w:cs="Arial"/>
          <w:lang w:val="es-ES_tradnl" w:eastAsia="es-ES_tradnl"/>
        </w:rPr>
        <w:t>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Mipyme en el procedimiento de mínima cuantía, ii) criterios diferenciales para Mipyme en el sistema de compras públicas, iii) criterios diferenciales para emprendimientos y empresas de mujeres en el sistema de compras públicas, iv) promoción del acceso de las Mipyme al mercado de compras públicas, v) promoción del desarrollo en la contratación pública, vi) un nuevo régimen de factores de desempate y vi) un llamado a las entidades estatales para que promuevan compras públicas en el marco de la tecnología y la innovación.</w:t>
      </w:r>
      <w:r w:rsidRPr="00A113FC">
        <w:rPr>
          <w:rFonts w:ascii="Century Gothic" w:eastAsia="Calibri" w:hAnsi="Century Gothic" w:cs="Arial"/>
          <w:bCs/>
          <w:sz w:val="24"/>
          <w:szCs w:val="24"/>
          <w:vertAlign w:val="superscript"/>
          <w:lang w:val="es-MX" w:eastAsia="es-ES_tradnl"/>
        </w:rPr>
        <w:footnoteReference w:id="9"/>
      </w:r>
    </w:p>
    <w:p w14:paraId="14536683" w14:textId="77777777" w:rsidR="00275C28" w:rsidRPr="00A113FC" w:rsidRDefault="00275C28" w:rsidP="00275C28">
      <w:pPr>
        <w:tabs>
          <w:tab w:val="left" w:pos="709"/>
        </w:tabs>
        <w:spacing w:after="120" w:line="276" w:lineRule="auto"/>
        <w:jc w:val="both"/>
        <w:rPr>
          <w:rFonts w:ascii="Century Gothic" w:eastAsia="Calibri" w:hAnsi="Century Gothic" w:cs="Arial"/>
          <w:bCs/>
          <w:szCs w:val="24"/>
          <w:lang w:eastAsia="es-ES_tradnl"/>
        </w:rPr>
      </w:pPr>
      <w:r w:rsidRPr="00A113FC">
        <w:rPr>
          <w:rFonts w:ascii="Century Gothic" w:eastAsia="Calibri" w:hAnsi="Century Gothic" w:cs="Arial"/>
          <w:bCs/>
          <w:szCs w:val="24"/>
          <w:lang w:eastAsia="es-ES_tradnl"/>
        </w:rPr>
        <w:tab/>
        <w:t xml:space="preserve">Dentro del referido capítulo se encuentran </w:t>
      </w:r>
      <w:bookmarkStart w:id="8" w:name="_Hlk63848566"/>
      <w:r w:rsidRPr="00A113FC">
        <w:rPr>
          <w:rFonts w:ascii="Century Gothic" w:eastAsia="Calibri" w:hAnsi="Century Gothic" w:cs="Arial"/>
          <w:bCs/>
          <w:szCs w:val="24"/>
          <w:lang w:eastAsia="es-ES_tradnl"/>
        </w:rPr>
        <w:t>los artículos 31 y 32 de la Ley 2069 de 2020</w:t>
      </w:r>
      <w:bookmarkEnd w:id="8"/>
      <w:r w:rsidRPr="00A113FC">
        <w:rPr>
          <w:rFonts w:ascii="Century Gothic" w:eastAsia="Calibri" w:hAnsi="Century Gothic" w:cs="Arial"/>
          <w:bCs/>
          <w:szCs w:val="24"/>
          <w:lang w:eastAsia="es-ES_tradnl"/>
        </w:rPr>
        <w:t xml:space="preserve">, a través de los cuales se crean una serie de incentivos para las personas </w:t>
      </w:r>
      <w:r w:rsidRPr="00A113FC">
        <w:rPr>
          <w:rFonts w:ascii="Century Gothic" w:eastAsia="Calibri" w:hAnsi="Century Gothic" w:cs="Arial"/>
          <w:bCs/>
          <w:szCs w:val="24"/>
          <w:lang w:eastAsia="es-ES_tradnl"/>
        </w:rPr>
        <w:lastRenderedPageBreak/>
        <w:t xml:space="preserve">interesadas en celebrar contratos con el Estado. </w:t>
      </w:r>
      <w:r w:rsidRPr="00A113FC">
        <w:rPr>
          <w:rFonts w:ascii="Century Gothic" w:eastAsia="Calibri" w:hAnsi="Century Gothic" w:cs="Arial"/>
          <w:bCs/>
          <w:szCs w:val="24"/>
          <w:lang w:val="es-ES_tradnl" w:eastAsia="es-ES_tradnl"/>
        </w:rPr>
        <w:t xml:space="preserve">Por un lado, el artículo 31 </w:t>
      </w:r>
      <w:r w:rsidRPr="00A113FC">
        <w:rPr>
          <w:rFonts w:ascii="Century Gothic" w:eastAsia="Calibri" w:hAnsi="Century Gothic" w:cs="Arial"/>
          <w:bCs/>
          <w:szCs w:val="24"/>
          <w:lang w:eastAsia="es-ES_tradnl"/>
        </w:rPr>
        <w:t xml:space="preserve">introduce criterios diferenciales para el acceso de las Mipyme al sistema de compras y contratación pública, estableciendo que </w:t>
      </w:r>
      <w:r w:rsidRPr="00A113FC">
        <w:rPr>
          <w:rFonts w:ascii="Century Gothic" w:eastAsia="Calibri" w:hAnsi="Century Gothic" w:cs="Arial"/>
          <w:lang w:val="es-ES_tradnl" w:eastAsia="es-ES_tradnl"/>
        </w:rPr>
        <w:t>“</w:t>
      </w:r>
      <w:r w:rsidRPr="00A113FC">
        <w:rPr>
          <w:rFonts w:ascii="Century Gothic" w:eastAsia="Calibri" w:hAnsi="Century Gothic" w:cs="Arial"/>
          <w:bCs/>
          <w:szCs w:val="24"/>
          <w:lang w:eastAsia="es-ES_tradnl"/>
        </w:rPr>
        <w:t xml:space="preserve">Las Entidades Estatales de acuerdo con el análisis de Sector </w:t>
      </w:r>
      <w:bookmarkStart w:id="9" w:name="_Hlk63767562"/>
      <w:r w:rsidRPr="00A113FC">
        <w:rPr>
          <w:rFonts w:ascii="Century Gothic" w:eastAsia="Calibri" w:hAnsi="Century Gothic" w:cs="Arial"/>
          <w:bCs/>
          <w:szCs w:val="24"/>
          <w:lang w:eastAsia="es-ES_tradnl"/>
        </w:rPr>
        <w:t>podrán incluir, en los Documentos del Proceso, requisitos diferenciales y puntajes adicionales</w:t>
      </w:r>
      <w:bookmarkEnd w:id="9"/>
      <w:r w:rsidRPr="00A113FC">
        <w:rPr>
          <w:rFonts w:ascii="Century Gothic" w:eastAsia="Calibri" w:hAnsi="Century Gothic" w:cs="Arial"/>
          <w:bCs/>
          <w:szCs w:val="24"/>
          <w:lang w:eastAsia="es-ES_tradnl"/>
        </w:rPr>
        <w:t xml:space="preserve">, en función del tamaño empresarial para la promoción del acceso de las MIPYMES al mercado de Compras Públicas”.  </w:t>
      </w:r>
    </w:p>
    <w:p w14:paraId="5E906FE1" w14:textId="77777777" w:rsidR="00275C28" w:rsidRPr="00A113FC" w:rsidRDefault="00275C28" w:rsidP="00275C28">
      <w:pPr>
        <w:tabs>
          <w:tab w:val="left" w:pos="709"/>
        </w:tabs>
        <w:spacing w:after="120" w:line="276" w:lineRule="auto"/>
        <w:jc w:val="both"/>
        <w:rPr>
          <w:rFonts w:ascii="Century Gothic" w:eastAsia="Calibri" w:hAnsi="Century Gothic" w:cs="Arial"/>
          <w:bCs/>
          <w:szCs w:val="24"/>
          <w:lang w:eastAsia="es-ES_tradnl"/>
        </w:rPr>
      </w:pPr>
      <w:r w:rsidRPr="00A113FC">
        <w:rPr>
          <w:rFonts w:ascii="Century Gothic" w:eastAsia="Calibri" w:hAnsi="Century Gothic" w:cs="Arial"/>
          <w:bCs/>
          <w:szCs w:val="24"/>
          <w:lang w:eastAsia="es-ES_tradnl"/>
        </w:rPr>
        <w:tab/>
        <w:t xml:space="preserve">Además, el inciso segundo y el parágrafo del </w:t>
      </w:r>
      <w:r w:rsidRPr="00A113FC">
        <w:rPr>
          <w:rFonts w:ascii="Century Gothic" w:eastAsia="Calibri" w:hAnsi="Century Gothic" w:cs="Arial"/>
          <w:bCs/>
          <w:szCs w:val="24"/>
          <w:lang w:val="es-ES_tradnl" w:eastAsia="es-ES_tradnl"/>
        </w:rPr>
        <w:t xml:space="preserve">artículo 31 </w:t>
      </w:r>
      <w:r w:rsidRPr="00A113FC">
        <w:rPr>
          <w:rFonts w:ascii="Century Gothic" w:eastAsia="Calibri" w:hAnsi="Century Gothic" w:cs="Arial"/>
          <w:bCs/>
          <w:szCs w:val="24"/>
          <w:lang w:eastAsia="es-ES_tradnl"/>
        </w:rPr>
        <w:t>de la Ley 2069 de 2020 disponen, respectivamente,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 norma requiere el desarrollo reglamentario como una condición previa para su aplicación.</w:t>
      </w:r>
    </w:p>
    <w:p w14:paraId="6620EA3B" w14:textId="77777777" w:rsidR="00275C28" w:rsidRPr="00A113FC" w:rsidRDefault="00275C28" w:rsidP="00275C28">
      <w:pPr>
        <w:tabs>
          <w:tab w:val="left" w:pos="709"/>
        </w:tabs>
        <w:spacing w:after="0" w:line="276" w:lineRule="auto"/>
        <w:jc w:val="both"/>
        <w:rPr>
          <w:rFonts w:ascii="Century Gothic" w:eastAsia="Calibri" w:hAnsi="Century Gothic" w:cs="Arial"/>
          <w:bCs/>
          <w:szCs w:val="24"/>
          <w:lang w:eastAsia="es-ES_tradnl"/>
        </w:rPr>
      </w:pPr>
      <w:r w:rsidRPr="00A113FC">
        <w:rPr>
          <w:rFonts w:ascii="Century Gothic" w:eastAsia="Calibri" w:hAnsi="Century Gothic" w:cs="Arial"/>
          <w:bCs/>
          <w:szCs w:val="24"/>
          <w:lang w:eastAsia="es-ES_tradnl"/>
        </w:rPr>
        <w:tab/>
        <w:t xml:space="preserve">Por otra parte, el artículo 32 de la Ley 2069 de 2020 regula criterios diferenciales para los “emprendimientos y empresas de mujeres” en el sistema de compras y contratación pública. En relación con este aspecto, el inciso primero de la norma citada prescribe lo siguiente: </w:t>
      </w:r>
    </w:p>
    <w:p w14:paraId="17C6D9B7" w14:textId="77777777" w:rsidR="00275C28" w:rsidRPr="00A113FC" w:rsidRDefault="00275C28" w:rsidP="00275C28">
      <w:pPr>
        <w:tabs>
          <w:tab w:val="left" w:pos="709"/>
        </w:tabs>
        <w:spacing w:after="0" w:line="276" w:lineRule="auto"/>
        <w:contextualSpacing/>
        <w:jc w:val="both"/>
        <w:rPr>
          <w:rFonts w:ascii="Century Gothic" w:eastAsia="Calibri" w:hAnsi="Century Gothic" w:cs="Arial"/>
          <w:bCs/>
          <w:szCs w:val="24"/>
          <w:lang w:eastAsia="es-ES_tradnl"/>
        </w:rPr>
      </w:pPr>
    </w:p>
    <w:p w14:paraId="429AF3C2" w14:textId="77777777" w:rsidR="00275C28" w:rsidRPr="00A113FC" w:rsidRDefault="00275C28" w:rsidP="00275C28">
      <w:pPr>
        <w:tabs>
          <w:tab w:val="left" w:pos="709"/>
        </w:tabs>
        <w:spacing w:after="0" w:line="240" w:lineRule="auto"/>
        <w:ind w:left="709" w:right="709"/>
        <w:contextualSpacing/>
        <w:jc w:val="both"/>
        <w:rPr>
          <w:rFonts w:ascii="Century Gothic" w:eastAsia="Calibri" w:hAnsi="Century Gothic" w:cs="Arial"/>
          <w:bCs/>
          <w:sz w:val="21"/>
          <w:szCs w:val="21"/>
          <w:lang w:eastAsia="es-ES_tradnl"/>
        </w:rPr>
      </w:pPr>
      <w:r w:rsidRPr="00A113FC">
        <w:rPr>
          <w:rFonts w:ascii="Century Gothic" w:hAnsi="Century Gothic" w:cs="Arial"/>
          <w:sz w:val="21"/>
          <w:szCs w:val="21"/>
        </w:rPr>
        <w:t>“</w:t>
      </w:r>
      <w:r w:rsidRPr="00A113FC">
        <w:rPr>
          <w:rFonts w:ascii="Century Gothic" w:eastAsia="Calibri" w:hAnsi="Century Gothic" w:cs="Arial"/>
          <w:bCs/>
          <w:sz w:val="21"/>
          <w:szCs w:val="21"/>
          <w:lang w:eastAsia="es-ES_tradnl"/>
        </w:rPr>
        <w:t xml:space="preserve">De acuerdo con el resultado del análisis del sector, las entidades estatales incluirán requisitos diferenciales y puntajes adicionales en los procesos de </w:t>
      </w:r>
      <w:bookmarkStart w:id="10" w:name="_Hlk63770487"/>
      <w:r w:rsidRPr="00A113FC">
        <w:rPr>
          <w:rFonts w:ascii="Century Gothic" w:eastAsia="Calibri" w:hAnsi="Century Gothic" w:cs="Arial"/>
          <w:bCs/>
          <w:sz w:val="21"/>
          <w:szCs w:val="21"/>
          <w:lang w:eastAsia="es-ES_tradnl"/>
        </w:rPr>
        <w:t>licitación pública, selección abreviada de menor cuantía y concurso de méritos</w:t>
      </w:r>
      <w:bookmarkEnd w:id="10"/>
      <w:r w:rsidRPr="00A113FC">
        <w:rPr>
          <w:rFonts w:ascii="Century Gothic" w:eastAsia="Calibri" w:hAnsi="Century Gothic" w:cs="Arial"/>
          <w:bCs/>
          <w:sz w:val="21"/>
          <w:szCs w:val="21"/>
          <w:lang w:eastAsia="es-ES_tradnl"/>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r w:rsidRPr="00A113FC">
        <w:rPr>
          <w:rFonts w:ascii="Century Gothic" w:hAnsi="Century Gothic" w:cs="Arial"/>
          <w:sz w:val="21"/>
          <w:szCs w:val="21"/>
        </w:rPr>
        <w:t>”</w:t>
      </w:r>
      <w:r w:rsidRPr="00A113FC">
        <w:rPr>
          <w:rFonts w:ascii="Century Gothic" w:eastAsia="Calibri" w:hAnsi="Century Gothic" w:cs="Arial"/>
          <w:bCs/>
          <w:sz w:val="21"/>
          <w:szCs w:val="21"/>
          <w:lang w:eastAsia="es-ES_tradnl"/>
        </w:rPr>
        <w:t>.</w:t>
      </w:r>
    </w:p>
    <w:p w14:paraId="4D862EBF" w14:textId="77777777" w:rsidR="00275C28" w:rsidRPr="00A113FC" w:rsidRDefault="00275C28" w:rsidP="00275C28">
      <w:pPr>
        <w:tabs>
          <w:tab w:val="left" w:pos="709"/>
        </w:tabs>
        <w:spacing w:after="0" w:line="276" w:lineRule="auto"/>
        <w:ind w:left="709" w:right="709"/>
        <w:contextualSpacing/>
        <w:jc w:val="both"/>
        <w:rPr>
          <w:rFonts w:ascii="Century Gothic" w:eastAsia="Calibri" w:hAnsi="Century Gothic" w:cs="Arial"/>
          <w:bCs/>
          <w:szCs w:val="24"/>
          <w:lang w:eastAsia="es-ES_tradnl"/>
        </w:rPr>
      </w:pPr>
    </w:p>
    <w:p w14:paraId="2FBC23FD" w14:textId="77777777" w:rsidR="00275C28" w:rsidRPr="00A113FC" w:rsidRDefault="00275C28" w:rsidP="00275C28">
      <w:pPr>
        <w:tabs>
          <w:tab w:val="left" w:pos="709"/>
        </w:tabs>
        <w:spacing w:after="120" w:line="276" w:lineRule="auto"/>
        <w:jc w:val="both"/>
        <w:rPr>
          <w:rFonts w:ascii="Century Gothic" w:eastAsia="Calibri" w:hAnsi="Century Gothic" w:cs="Arial"/>
          <w:bCs/>
          <w:szCs w:val="24"/>
          <w:lang w:eastAsia="es-ES_tradnl"/>
        </w:rPr>
      </w:pPr>
      <w:r w:rsidRPr="00A113FC">
        <w:rPr>
          <w:rFonts w:ascii="Century Gothic" w:eastAsia="Calibri" w:hAnsi="Century Gothic" w:cs="Arial"/>
          <w:bCs/>
          <w:szCs w:val="24"/>
          <w:lang w:eastAsia="es-ES_tradnl"/>
        </w:rPr>
        <w:tab/>
        <w:t xml:space="preserve">De esta manera, los “criterios diferenciales” del artículo 32 </w:t>
      </w:r>
      <w:r w:rsidRPr="00A113FC">
        <w:rPr>
          <w:rFonts w:ascii="Century Gothic" w:eastAsia="Calibri" w:hAnsi="Century Gothic" w:cs="Arial"/>
          <w:bCs/>
          <w:i/>
          <w:iCs/>
          <w:szCs w:val="24"/>
          <w:lang w:eastAsia="es-ES_tradnl"/>
        </w:rPr>
        <w:t>ibidem</w:t>
      </w:r>
      <w:r w:rsidRPr="00A113FC">
        <w:rPr>
          <w:rFonts w:ascii="Century Gothic" w:eastAsia="Calibri" w:hAnsi="Century Gothic" w:cs="Arial"/>
          <w:bCs/>
          <w:szCs w:val="24"/>
          <w:lang w:eastAsia="es-ES_tradnl"/>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Asimismo, sin distinciones ulteriores, la norma en comento también se extiende a todos los procedimientos que realicen las entidades estatales excluidas de la Ley 80 de 1993.     </w:t>
      </w:r>
    </w:p>
    <w:p w14:paraId="5FBD6924" w14:textId="77777777" w:rsidR="00275C28" w:rsidRPr="00A113FC" w:rsidRDefault="00275C28" w:rsidP="00275C28">
      <w:pPr>
        <w:spacing w:after="120" w:line="276" w:lineRule="auto"/>
        <w:ind w:firstLine="709"/>
        <w:jc w:val="both"/>
        <w:rPr>
          <w:rFonts w:ascii="Century Gothic" w:eastAsia="Calibri" w:hAnsi="Century Gothic" w:cs="Arial"/>
          <w:lang w:val="es-ES_tradnl" w:eastAsia="es-ES_tradnl"/>
        </w:rPr>
      </w:pPr>
      <w:r w:rsidRPr="00A113FC">
        <w:rPr>
          <w:rFonts w:ascii="Century Gothic" w:eastAsia="Calibri" w:hAnsi="Century Gothic" w:cs="Arial"/>
          <w:bCs/>
          <w:szCs w:val="24"/>
          <w:lang w:eastAsia="es-ES_tradnl"/>
        </w:rPr>
        <w:lastRenderedPageBreak/>
        <w:t xml:space="preserve">No obstante, el artículo 32 de la Ley 2069 de 2020 –al igual que el artículo 31– también alude a la necesidad del desarrollo normativo posterior. Al respecto, el parágrafo dispone que “La definición de emprendimientos y empresas de mujeres se reglamentará por el gobierno nacional”. En ese sentido, la aplicación de criterios diferenciales en favor de mujeres y emprendimientos de mujeres está condicionada por el ejercicio de potestad reglamentaria, en orden de establecer la regulación en marco de la cual las Entidades Estatales deben aplicar los criterios diferenciales del artículo 32 de la Ley 2069 de 2020. </w:t>
      </w:r>
    </w:p>
    <w:p w14:paraId="007767D1" w14:textId="77777777" w:rsidR="00275C28" w:rsidRPr="00A113FC" w:rsidRDefault="00275C28" w:rsidP="00275C28">
      <w:pPr>
        <w:spacing w:after="120" w:line="276" w:lineRule="auto"/>
        <w:jc w:val="both"/>
        <w:rPr>
          <w:rFonts w:ascii="Century Gothic" w:eastAsia="Calibri" w:hAnsi="Century Gothic" w:cs="Arial"/>
          <w:lang w:val="es-ES_tradnl" w:eastAsia="es-ES_tradnl"/>
        </w:rPr>
      </w:pPr>
      <w:r w:rsidRPr="00A113FC">
        <w:rPr>
          <w:rFonts w:ascii="Century Gothic" w:eastAsia="Calibri" w:hAnsi="Century Gothic" w:cs="Arial"/>
          <w:b/>
          <w:bCs/>
          <w:lang w:val="es-ES_tradnl" w:eastAsia="es-ES_tradnl"/>
        </w:rPr>
        <w:tab/>
      </w:r>
      <w:r w:rsidRPr="00A113FC">
        <w:rPr>
          <w:rFonts w:ascii="Century Gothic" w:eastAsia="Calibri" w:hAnsi="Century Gothic" w:cs="Arial"/>
          <w:lang w:val="es-ES_tradnl" w:eastAsia="es-ES_tradnl"/>
        </w:rPr>
        <w:t>En este contexto, el Gobierno Nacional expidió el Decreto 1860 de 2021,</w:t>
      </w:r>
      <w:r w:rsidRPr="00A113FC">
        <w:rPr>
          <w:rFonts w:ascii="Century Gothic" w:eastAsia="Times New Roman" w:hAnsi="Century Gothic" w:cs="Times New Roman"/>
          <w:sz w:val="24"/>
          <w:szCs w:val="24"/>
          <w:lang w:eastAsia="es-ES_tradnl"/>
        </w:rPr>
        <w:t xml:space="preserve"> </w:t>
      </w:r>
      <w:r w:rsidRPr="00A113FC">
        <w:rPr>
          <w:rFonts w:ascii="Century Gothic" w:eastAsia="Calibri" w:hAnsi="Century Gothic" w:cs="Arial"/>
          <w:lang w:val="es-ES_tradnl" w:eastAsia="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r w:rsidRPr="00A113FC">
        <w:rPr>
          <w:rFonts w:ascii="Century Gothic" w:eastAsia="Calibri" w:hAnsi="Century Gothic" w:cs="Arial"/>
          <w:vertAlign w:val="superscript"/>
          <w:lang w:val="es-ES_tradnl" w:eastAsia="es-ES_tradnl"/>
        </w:rPr>
        <w:footnoteReference w:id="10"/>
      </w:r>
      <w:r w:rsidRPr="00A113FC">
        <w:rPr>
          <w:rFonts w:ascii="Century Gothic" w:eastAsia="Calibri" w:hAnsi="Century Gothic" w:cs="Arial"/>
          <w:lang w:val="es-ES_tradnl" w:eastAsia="es-ES_tradnl"/>
        </w:rPr>
        <w:t xml:space="preserve">.  </w:t>
      </w:r>
    </w:p>
    <w:p w14:paraId="7FD67950" w14:textId="77777777" w:rsidR="00275C28" w:rsidRPr="00A113FC" w:rsidRDefault="00275C28" w:rsidP="00275C28">
      <w:pPr>
        <w:spacing w:after="120" w:line="276" w:lineRule="auto"/>
        <w:jc w:val="both"/>
        <w:rPr>
          <w:rFonts w:ascii="Century Gothic" w:eastAsia="Times New Roman" w:hAnsi="Century Gothic" w:cs="Arial"/>
          <w:lang w:eastAsia="es-CO"/>
        </w:rPr>
      </w:pPr>
      <w:r w:rsidRPr="00A113FC">
        <w:rPr>
          <w:rFonts w:ascii="Century Gothic" w:eastAsia="Calibri" w:hAnsi="Century Gothic" w:cs="Arial"/>
          <w:lang w:val="es-ES_tradnl" w:eastAsia="es-ES_tradnl"/>
        </w:rPr>
        <w:tab/>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p w14:paraId="61F901B3" w14:textId="77777777" w:rsidR="00275C28" w:rsidRPr="00A113FC" w:rsidRDefault="00275C28" w:rsidP="00275C28">
      <w:pPr>
        <w:widowControl w:val="0"/>
        <w:autoSpaceDE w:val="0"/>
        <w:autoSpaceDN w:val="0"/>
        <w:spacing w:after="0" w:line="276" w:lineRule="auto"/>
        <w:ind w:firstLine="709"/>
        <w:jc w:val="both"/>
        <w:rPr>
          <w:rFonts w:ascii="Century Gothic" w:eastAsia="Arial MT" w:hAnsi="Century Gothic" w:cs="Arial"/>
          <w:lang w:val="es-ES"/>
        </w:rPr>
      </w:pPr>
      <w:r w:rsidRPr="00A113FC">
        <w:rPr>
          <w:rFonts w:ascii="Century Gothic" w:eastAsia="Times New Roman" w:hAnsi="Century Gothic" w:cs="Arial"/>
          <w:lang w:eastAsia="es-CO"/>
        </w:rPr>
        <w:t xml:space="preserve">Debe precisarse que la vigencia del Decreto 1860 de 2021 está regida por lo establecido en su artículo 8, el cual señala que “Las disposiciones contenidas en el presente Decreto se aplicarán a los procedimientos de selección cuya invitación, aviso de convocatoria o documento equivalente se publique a los tres (3) meses contados a partir de su expedición”, </w:t>
      </w:r>
      <w:r w:rsidRPr="00A113FC">
        <w:rPr>
          <w:rFonts w:ascii="Century Gothic" w:eastAsia="Arial MT" w:hAnsi="Century Gothic" w:cs="Arial"/>
          <w:lang w:val="es-ES"/>
        </w:rPr>
        <w:t>es decir, a</w:t>
      </w:r>
      <w:r w:rsidRPr="00A113FC">
        <w:rPr>
          <w:rFonts w:ascii="Century Gothic" w:eastAsia="Arial MT" w:hAnsi="Century Gothic" w:cs="Arial"/>
          <w:spacing w:val="1"/>
          <w:lang w:val="es-ES"/>
        </w:rPr>
        <w:t xml:space="preserve"> </w:t>
      </w:r>
      <w:r w:rsidRPr="00A113FC">
        <w:rPr>
          <w:rFonts w:ascii="Century Gothic" w:eastAsia="Arial MT" w:hAnsi="Century Gothic" w:cs="Arial"/>
          <w:spacing w:val="-1"/>
          <w:lang w:val="es-ES"/>
        </w:rPr>
        <w:t>partir</w:t>
      </w:r>
      <w:r w:rsidRPr="00A113FC">
        <w:rPr>
          <w:rFonts w:ascii="Century Gothic" w:eastAsia="Arial MT" w:hAnsi="Century Gothic" w:cs="Arial"/>
          <w:spacing w:val="-15"/>
          <w:lang w:val="es-ES"/>
        </w:rPr>
        <w:t xml:space="preserve"> </w:t>
      </w:r>
      <w:r w:rsidRPr="00A113FC">
        <w:rPr>
          <w:rFonts w:ascii="Century Gothic" w:eastAsia="Arial MT" w:hAnsi="Century Gothic" w:cs="Arial"/>
          <w:spacing w:val="-1"/>
          <w:lang w:val="es-ES"/>
        </w:rPr>
        <w:t>del</w:t>
      </w:r>
      <w:r w:rsidRPr="00A113FC">
        <w:rPr>
          <w:rFonts w:ascii="Century Gothic" w:eastAsia="Arial MT" w:hAnsi="Century Gothic" w:cs="Arial"/>
          <w:spacing w:val="-14"/>
          <w:lang w:val="es-ES"/>
        </w:rPr>
        <w:t xml:space="preserve"> </w:t>
      </w:r>
      <w:r w:rsidRPr="00A113FC">
        <w:rPr>
          <w:rFonts w:ascii="Century Gothic" w:eastAsia="Arial MT" w:hAnsi="Century Gothic" w:cs="Arial"/>
          <w:spacing w:val="-1"/>
          <w:lang w:val="es-ES"/>
        </w:rPr>
        <w:t>24</w:t>
      </w:r>
      <w:r w:rsidRPr="00A113FC">
        <w:rPr>
          <w:rFonts w:ascii="Century Gothic" w:eastAsia="Arial MT" w:hAnsi="Century Gothic" w:cs="Arial"/>
          <w:spacing w:val="-14"/>
          <w:lang w:val="es-ES"/>
        </w:rPr>
        <w:t xml:space="preserve"> </w:t>
      </w:r>
      <w:r w:rsidRPr="00A113FC">
        <w:rPr>
          <w:rFonts w:ascii="Century Gothic" w:eastAsia="Arial MT" w:hAnsi="Century Gothic" w:cs="Arial"/>
          <w:spacing w:val="-1"/>
          <w:lang w:val="es-ES"/>
        </w:rPr>
        <w:t>de</w:t>
      </w:r>
      <w:r w:rsidRPr="00A113FC">
        <w:rPr>
          <w:rFonts w:ascii="Century Gothic" w:eastAsia="Arial MT" w:hAnsi="Century Gothic" w:cs="Arial"/>
          <w:spacing w:val="-14"/>
          <w:lang w:val="es-ES"/>
        </w:rPr>
        <w:t xml:space="preserve"> </w:t>
      </w:r>
      <w:r w:rsidRPr="00A113FC">
        <w:rPr>
          <w:rFonts w:ascii="Century Gothic" w:eastAsia="Arial MT" w:hAnsi="Century Gothic" w:cs="Arial"/>
          <w:spacing w:val="-1"/>
          <w:lang w:val="es-ES"/>
        </w:rPr>
        <w:t>marzo</w:t>
      </w:r>
      <w:r w:rsidRPr="00A113FC">
        <w:rPr>
          <w:rFonts w:ascii="Century Gothic" w:eastAsia="Arial MT" w:hAnsi="Century Gothic" w:cs="Arial"/>
          <w:spacing w:val="-14"/>
          <w:lang w:val="es-ES"/>
        </w:rPr>
        <w:t xml:space="preserve"> </w:t>
      </w:r>
      <w:r w:rsidRPr="00A113FC">
        <w:rPr>
          <w:rFonts w:ascii="Century Gothic" w:eastAsia="Arial MT" w:hAnsi="Century Gothic" w:cs="Arial"/>
          <w:spacing w:val="-1"/>
          <w:lang w:val="es-ES"/>
        </w:rPr>
        <w:t>de</w:t>
      </w:r>
      <w:r w:rsidRPr="00A113FC">
        <w:rPr>
          <w:rFonts w:ascii="Century Gothic" w:eastAsia="Arial MT" w:hAnsi="Century Gothic" w:cs="Arial"/>
          <w:spacing w:val="-14"/>
          <w:lang w:val="es-ES"/>
        </w:rPr>
        <w:t xml:space="preserve"> </w:t>
      </w:r>
      <w:r w:rsidRPr="00A113FC">
        <w:rPr>
          <w:rFonts w:ascii="Century Gothic" w:eastAsia="Arial MT" w:hAnsi="Century Gothic" w:cs="Arial"/>
          <w:spacing w:val="-1"/>
          <w:lang w:val="es-ES"/>
        </w:rPr>
        <w:t xml:space="preserve">2022, </w:t>
      </w:r>
      <w:r w:rsidRPr="00A113FC">
        <w:rPr>
          <w:rFonts w:ascii="Century Gothic" w:eastAsia="Arial MT" w:hAnsi="Century Gothic" w:cs="Arial MT"/>
          <w:lang w:val="es-ES"/>
        </w:rPr>
        <w:t xml:space="preserve">por </w:t>
      </w:r>
      <w:r w:rsidRPr="00A113FC">
        <w:rPr>
          <w:rFonts w:ascii="Century Gothic" w:eastAsia="Arial MT" w:hAnsi="Century Gothic" w:cs="Arial MT"/>
          <w:lang w:val="es-ES"/>
        </w:rPr>
        <w:lastRenderedPageBreak/>
        <w:t>lo que actualmente esta es la regulación vigente</w:t>
      </w:r>
      <w:r w:rsidRPr="00A113FC">
        <w:rPr>
          <w:rFonts w:ascii="Century Gothic" w:eastAsia="Times New Roman" w:hAnsi="Century Gothic" w:cs="Arial"/>
          <w:vertAlign w:val="superscript"/>
          <w:lang w:eastAsia="es-CO"/>
        </w:rPr>
        <w:footnoteReference w:id="11"/>
      </w:r>
      <w:r w:rsidRPr="00A113FC">
        <w:rPr>
          <w:rFonts w:ascii="Century Gothic" w:eastAsia="Times New Roman" w:hAnsi="Century Gothic" w:cs="Arial"/>
          <w:lang w:eastAsia="es-CO"/>
        </w:rPr>
        <w:t xml:space="preserve">. </w:t>
      </w:r>
    </w:p>
    <w:p w14:paraId="28C31D59" w14:textId="77777777" w:rsidR="00275C28" w:rsidRPr="00A113FC" w:rsidRDefault="00275C28" w:rsidP="00275C28">
      <w:pPr>
        <w:spacing w:after="0" w:line="276" w:lineRule="auto"/>
        <w:jc w:val="both"/>
        <w:rPr>
          <w:rFonts w:ascii="Century Gothic" w:eastAsia="Times New Roman" w:hAnsi="Century Gothic" w:cs="Arial"/>
          <w:lang w:eastAsia="es-CO"/>
        </w:rPr>
      </w:pPr>
    </w:p>
    <w:p w14:paraId="6049B9B2" w14:textId="77777777" w:rsidR="00275C28" w:rsidRPr="00A113FC" w:rsidRDefault="00275C28" w:rsidP="00275C28">
      <w:pPr>
        <w:spacing w:after="0" w:line="276" w:lineRule="auto"/>
        <w:jc w:val="both"/>
        <w:rPr>
          <w:rFonts w:ascii="Century Gothic" w:eastAsia="Calibri" w:hAnsi="Century Gothic" w:cs="Arial"/>
          <w:b/>
          <w:bCs/>
          <w:lang w:val="es-ES_tradnl" w:eastAsia="es-ES_tradnl"/>
        </w:rPr>
      </w:pPr>
      <w:r w:rsidRPr="00A113FC">
        <w:rPr>
          <w:rFonts w:ascii="Century Gothic" w:eastAsia="Calibri" w:hAnsi="Century Gothic" w:cs="Arial"/>
          <w:b/>
          <w:bCs/>
          <w:lang w:val="es-ES_tradnl" w:eastAsia="es-ES_tradnl"/>
        </w:rPr>
        <w:t xml:space="preserve">2.2. Definición de emprendimientos y empresas de mujeres en el Decreto 1860 de 2021 </w:t>
      </w:r>
    </w:p>
    <w:p w14:paraId="0765BDC1" w14:textId="77777777" w:rsidR="00275C28" w:rsidRPr="00A113FC" w:rsidRDefault="00275C28" w:rsidP="00275C28">
      <w:pPr>
        <w:spacing w:after="0" w:line="276" w:lineRule="auto"/>
        <w:jc w:val="both"/>
        <w:rPr>
          <w:rFonts w:ascii="Century Gothic" w:eastAsia="Calibri" w:hAnsi="Century Gothic" w:cs="Arial"/>
          <w:b/>
          <w:bCs/>
          <w:lang w:val="es-ES_tradnl" w:eastAsia="es-ES_tradnl"/>
        </w:rPr>
      </w:pPr>
    </w:p>
    <w:p w14:paraId="652D51A7" w14:textId="77777777" w:rsidR="00275C28" w:rsidRPr="00A113FC" w:rsidRDefault="00275C28" w:rsidP="00275C28">
      <w:pPr>
        <w:spacing w:after="120" w:line="276" w:lineRule="auto"/>
        <w:jc w:val="both"/>
        <w:rPr>
          <w:rFonts w:ascii="Century Gothic" w:eastAsia="Calibri" w:hAnsi="Century Gothic" w:cs="Arial"/>
          <w:lang w:val="es-ES_tradnl" w:eastAsia="es-ES_tradnl"/>
        </w:rPr>
      </w:pPr>
      <w:r>
        <w:rPr>
          <w:rFonts w:ascii="Century Gothic" w:eastAsia="Calibri" w:hAnsi="Century Gothic" w:cs="Arial"/>
          <w:lang w:val="es-ES_tradnl" w:eastAsia="es-ES_tradnl"/>
        </w:rPr>
        <w:t>E</w:t>
      </w:r>
      <w:r w:rsidRPr="00A113FC">
        <w:rPr>
          <w:rFonts w:ascii="Century Gothic" w:eastAsia="Calibri" w:hAnsi="Century Gothic" w:cs="Arial"/>
          <w:lang w:val="es-ES_tradnl" w:eastAsia="es-ES_tradnl"/>
        </w:rPr>
        <w:t xml:space="preserve">l artículo 32 de la Ley 2069 de 2021 introduce el deber de las Entidades Estatales de incluir </w:t>
      </w:r>
      <w:r w:rsidRPr="00A113FC">
        <w:rPr>
          <w:rFonts w:ascii="Century Gothic" w:eastAsia="Times New Roman" w:hAnsi="Century Gothic" w:cs="Arial"/>
          <w:shd w:val="clear" w:color="auto" w:fill="FFFFFF"/>
          <w:lang w:val="es-ES" w:eastAsia="es-ES_tradnl"/>
        </w:rPr>
        <w:t>en los procesos de licitación pública, selección abreviada de menor cuantía y concurso de méritos, así como en los procesos competitivos que adelanten las entidades estatales exceptuadas de aplicar el Estatuto General de Contratación de la Administración Pública –en adelante EGCAP–, requisitos diferenciales y puntajes adicionales para emprendimientos y empresas de mujeres. Esto, a título de medidas de acción afirmativa para incentivar la participación de emprendimientos y empresas de mujeres en el sistema de compras públicas, sin perjuicio de los compromisos adquiridos por Colombia en los acuerdos comerciales en vigor.</w:t>
      </w:r>
      <w:r w:rsidRPr="00A113FC">
        <w:rPr>
          <w:rFonts w:ascii="Century Gothic" w:eastAsia="Times New Roman" w:hAnsi="Century Gothic" w:cs="Arial"/>
          <w:shd w:val="clear" w:color="auto" w:fill="FFFFFF"/>
          <w:lang w:eastAsia="es-ES_tradnl"/>
        </w:rPr>
        <w:t> </w:t>
      </w:r>
    </w:p>
    <w:p w14:paraId="16A26AE2" w14:textId="77777777" w:rsidR="00275C28" w:rsidRPr="00A113FC" w:rsidRDefault="00275C28" w:rsidP="00275C28">
      <w:pPr>
        <w:spacing w:after="0" w:line="276" w:lineRule="auto"/>
        <w:jc w:val="both"/>
        <w:rPr>
          <w:rFonts w:ascii="Century Gothic" w:eastAsia="Calibri" w:hAnsi="Century Gothic" w:cs="Arial"/>
          <w:lang w:val="es-ES_tradnl" w:eastAsia="es-ES_tradnl"/>
        </w:rPr>
      </w:pPr>
      <w:r w:rsidRPr="00A113FC">
        <w:rPr>
          <w:rFonts w:ascii="Century Gothic" w:eastAsia="Calibri" w:hAnsi="Century Gothic" w:cs="Arial"/>
          <w:lang w:val="es-ES_tradnl" w:eastAsia="es-ES_tradnl"/>
        </w:rPr>
        <w:tab/>
        <w:t xml:space="preserve">En desarrollo de lo dispuesto en el parágrafo del artículo 32 de la Ley 2069 de 2020, el Decreto 1860 de 2021 adicionó el artículo 2.2.1.2.4.2.14 al Decreto 1082 de 2015. Esta norma establece las condiciones y requisitos en atención a los cuales se definen los emprendimientos y empresas de mujeres, a las que les aplican los criterios diferenciales. Para estos efectos, cada uno de los cuatro (4) numerales de la norma establecen unas condiciones alternativas que definen los emprendimientos y empresas de mujeres, a efectos de aplicar los criterios diferenciales, siendo relevante para la consulta el tercero de dichos numerales, cuyo tenor literal indica:   </w:t>
      </w:r>
    </w:p>
    <w:p w14:paraId="6FEB1333" w14:textId="77777777" w:rsidR="00275C28" w:rsidRPr="00A113FC" w:rsidRDefault="00275C28" w:rsidP="00275C28">
      <w:pPr>
        <w:spacing w:after="0" w:line="276" w:lineRule="auto"/>
        <w:jc w:val="both"/>
        <w:rPr>
          <w:rFonts w:ascii="Century Gothic" w:eastAsia="Calibri" w:hAnsi="Century Gothic" w:cs="Arial"/>
          <w:lang w:val="es-ES_tradnl" w:eastAsia="es-ES_tradnl"/>
        </w:rPr>
      </w:pPr>
    </w:p>
    <w:p w14:paraId="284C8716" w14:textId="77777777" w:rsidR="00275C28" w:rsidRPr="003A6397" w:rsidRDefault="00275C28" w:rsidP="00275C28">
      <w:pPr>
        <w:shd w:val="clear" w:color="auto" w:fill="FFFFFF"/>
        <w:spacing w:after="0" w:line="240" w:lineRule="auto"/>
        <w:ind w:left="709" w:right="709"/>
        <w:jc w:val="both"/>
        <w:textAlignment w:val="baseline"/>
        <w:rPr>
          <w:rFonts w:ascii="Century Gothic" w:eastAsia="Times New Roman" w:hAnsi="Century Gothic" w:cs="Arial"/>
          <w:sz w:val="21"/>
          <w:szCs w:val="21"/>
          <w:lang w:eastAsia="es-CO"/>
        </w:rPr>
      </w:pPr>
      <w:r w:rsidRPr="003A6397">
        <w:rPr>
          <w:rFonts w:ascii="Century Gothic" w:eastAsia="Times New Roman" w:hAnsi="Century Gothic" w:cs="Arial"/>
          <w:sz w:val="21"/>
          <w:szCs w:val="21"/>
          <w:lang w:eastAsia="es-CO"/>
        </w:rPr>
        <w:lastRenderedPageBreak/>
        <w:t>“Artículo 2.2.1.2.4.2.14. Definición de emprendimientos y empresas de mujeres.</w:t>
      </w:r>
      <w:r w:rsidRPr="003A6397">
        <w:rPr>
          <w:rFonts w:ascii="Arial" w:eastAsia="Times New Roman" w:hAnsi="Arial" w:cs="Arial"/>
          <w:sz w:val="21"/>
          <w:szCs w:val="21"/>
          <w:lang w:eastAsia="es-CO"/>
        </w:rPr>
        <w:t> </w:t>
      </w:r>
      <w:r w:rsidRPr="003A6397">
        <w:rPr>
          <w:rFonts w:ascii="Century Gothic" w:eastAsia="Times New Roman" w:hAnsi="Century Gothic" w:cs="Arial"/>
          <w:sz w:val="21"/>
          <w:szCs w:val="21"/>
          <w:lang w:eastAsia="es-CO"/>
        </w:rPr>
        <w:t>Con el prop</w:t>
      </w:r>
      <w:r w:rsidRPr="003A6397">
        <w:rPr>
          <w:rFonts w:ascii="Century Gothic" w:eastAsia="Times New Roman" w:hAnsi="Century Gothic" w:cs="Century Gothic"/>
          <w:sz w:val="21"/>
          <w:szCs w:val="21"/>
          <w:lang w:eastAsia="es-CO"/>
        </w:rPr>
        <w:t>ó</w:t>
      </w:r>
      <w:r w:rsidRPr="003A6397">
        <w:rPr>
          <w:rFonts w:ascii="Century Gothic" w:eastAsia="Times New Roman" w:hAnsi="Century Gothic" w:cs="Arial"/>
          <w:sz w:val="21"/>
          <w:szCs w:val="21"/>
          <w:lang w:eastAsia="es-CO"/>
        </w:rPr>
        <w:t>sito de adoptar medidas afirmativas que incentiven la participaci</w:t>
      </w:r>
      <w:r w:rsidRPr="003A6397">
        <w:rPr>
          <w:rFonts w:ascii="Century Gothic" w:eastAsia="Times New Roman" w:hAnsi="Century Gothic" w:cs="Century Gothic"/>
          <w:sz w:val="21"/>
          <w:szCs w:val="21"/>
          <w:lang w:eastAsia="es-CO"/>
        </w:rPr>
        <w:t>ó</w:t>
      </w:r>
      <w:r w:rsidRPr="003A6397">
        <w:rPr>
          <w:rFonts w:ascii="Century Gothic" w:eastAsia="Times New Roman" w:hAnsi="Century Gothic" w:cs="Arial"/>
          <w:sz w:val="21"/>
          <w:szCs w:val="21"/>
          <w:lang w:eastAsia="es-CO"/>
        </w:rPr>
        <w:t>n de las mujeres en el sistema de compras p</w:t>
      </w:r>
      <w:r w:rsidRPr="003A6397">
        <w:rPr>
          <w:rFonts w:ascii="Century Gothic" w:eastAsia="Times New Roman" w:hAnsi="Century Gothic" w:cs="Century Gothic"/>
          <w:sz w:val="21"/>
          <w:szCs w:val="21"/>
          <w:lang w:eastAsia="es-CO"/>
        </w:rPr>
        <w:t>ú</w:t>
      </w:r>
      <w:r w:rsidRPr="003A6397">
        <w:rPr>
          <w:rFonts w:ascii="Century Gothic" w:eastAsia="Times New Roman" w:hAnsi="Century Gothic" w:cs="Arial"/>
          <w:sz w:val="21"/>
          <w:szCs w:val="21"/>
          <w:lang w:eastAsia="es-CO"/>
        </w:rPr>
        <w:t>blicas, se entender</w:t>
      </w:r>
      <w:r w:rsidRPr="003A6397">
        <w:rPr>
          <w:rFonts w:ascii="Century Gothic" w:eastAsia="Times New Roman" w:hAnsi="Century Gothic" w:cs="Century Gothic"/>
          <w:sz w:val="21"/>
          <w:szCs w:val="21"/>
          <w:lang w:eastAsia="es-CO"/>
        </w:rPr>
        <w:t>á</w:t>
      </w:r>
      <w:r w:rsidRPr="003A6397">
        <w:rPr>
          <w:rFonts w:ascii="Century Gothic" w:eastAsia="Times New Roman" w:hAnsi="Century Gothic" w:cs="Arial"/>
          <w:sz w:val="21"/>
          <w:szCs w:val="21"/>
          <w:lang w:eastAsia="es-CO"/>
        </w:rPr>
        <w:t>n como emprendimientos y empresas de mujeres aquellas que cumplan con alguna de las siguientes condiciones:</w:t>
      </w:r>
      <w:r w:rsidRPr="003A6397">
        <w:rPr>
          <w:rFonts w:ascii="Century Gothic" w:eastAsia="Times New Roman" w:hAnsi="Century Gothic" w:cs="Century Gothic"/>
          <w:sz w:val="21"/>
          <w:szCs w:val="21"/>
          <w:lang w:eastAsia="es-CO"/>
        </w:rPr>
        <w:t> </w:t>
      </w:r>
    </w:p>
    <w:p w14:paraId="1AE71EB3" w14:textId="77777777" w:rsidR="00275C28" w:rsidRPr="003A6397" w:rsidRDefault="00275C28" w:rsidP="00275C28">
      <w:pPr>
        <w:shd w:val="clear" w:color="auto" w:fill="FFFFFF"/>
        <w:spacing w:after="0" w:line="240" w:lineRule="auto"/>
        <w:ind w:left="709" w:right="709"/>
        <w:jc w:val="both"/>
        <w:textAlignment w:val="baseline"/>
        <w:rPr>
          <w:rFonts w:ascii="Century Gothic" w:eastAsia="Times New Roman" w:hAnsi="Century Gothic" w:cs="Arial"/>
          <w:sz w:val="21"/>
          <w:szCs w:val="21"/>
          <w:lang w:eastAsia="es-CO"/>
        </w:rPr>
      </w:pPr>
      <w:r w:rsidRPr="003A6397">
        <w:rPr>
          <w:rFonts w:ascii="Century Gothic" w:eastAsia="Times New Roman" w:hAnsi="Century Gothic" w:cs="Arial"/>
          <w:sz w:val="21"/>
          <w:szCs w:val="21"/>
          <w:lang w:eastAsia="es-CO"/>
        </w:rPr>
        <w:t>[…]</w:t>
      </w:r>
    </w:p>
    <w:p w14:paraId="2F918C59" w14:textId="77777777" w:rsidR="00275C28" w:rsidRPr="003A6397" w:rsidRDefault="00275C28" w:rsidP="00275C28">
      <w:pPr>
        <w:shd w:val="clear" w:color="auto" w:fill="FFFFFF" w:themeFill="background1"/>
        <w:spacing w:after="0" w:line="240" w:lineRule="auto"/>
        <w:ind w:left="709" w:right="709"/>
        <w:jc w:val="both"/>
        <w:textAlignment w:val="baseline"/>
        <w:rPr>
          <w:rFonts w:ascii="Century Gothic" w:eastAsia="Times New Roman" w:hAnsi="Century Gothic" w:cs="Arial"/>
          <w:sz w:val="21"/>
          <w:szCs w:val="21"/>
          <w:lang w:eastAsia="es-CO"/>
        </w:rPr>
      </w:pPr>
      <w:r w:rsidRPr="003A6397">
        <w:rPr>
          <w:rFonts w:ascii="Century Gothic" w:eastAsia="Times New Roman" w:hAnsi="Century Gothic" w:cs="Arial"/>
          <w:sz w:val="21"/>
          <w:szCs w:val="21"/>
          <w:lang w:eastAsia="es-CO"/>
        </w:rPr>
        <w:t>3. 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p>
    <w:p w14:paraId="7DC20B91" w14:textId="77777777" w:rsidR="00275C28" w:rsidRPr="00A113FC" w:rsidRDefault="00275C28" w:rsidP="00275C28">
      <w:pPr>
        <w:shd w:val="clear" w:color="auto" w:fill="FFFFFF" w:themeFill="background1"/>
        <w:spacing w:after="0" w:line="240" w:lineRule="auto"/>
        <w:ind w:left="709" w:right="709"/>
        <w:jc w:val="both"/>
        <w:textAlignment w:val="baseline"/>
        <w:rPr>
          <w:rFonts w:ascii="Century Gothic" w:eastAsia="Times New Roman" w:hAnsi="Century Gothic" w:cs="Arial"/>
          <w:sz w:val="21"/>
          <w:szCs w:val="21"/>
          <w:lang w:eastAsia="es-CO"/>
        </w:rPr>
      </w:pPr>
      <w:r w:rsidRPr="003A6397">
        <w:rPr>
          <w:rFonts w:ascii="Century Gothic" w:eastAsia="Times New Roman" w:hAnsi="Century Gothic" w:cs="Arial"/>
          <w:sz w:val="21"/>
          <w:szCs w:val="21"/>
          <w:lang w:eastAsia="es-CO"/>
        </w:rPr>
        <w:t>[…]”.</w:t>
      </w:r>
    </w:p>
    <w:p w14:paraId="1842C6B2" w14:textId="77777777" w:rsidR="00275C28" w:rsidRPr="00A113FC" w:rsidRDefault="00275C28" w:rsidP="00275C28">
      <w:pPr>
        <w:spacing w:after="0" w:line="276" w:lineRule="auto"/>
        <w:jc w:val="both"/>
        <w:rPr>
          <w:rFonts w:ascii="Century Gothic" w:eastAsia="Calibri" w:hAnsi="Century Gothic" w:cs="Arial"/>
          <w:lang w:val="es-ES_tradnl" w:eastAsia="es-ES_tradnl"/>
        </w:rPr>
      </w:pPr>
    </w:p>
    <w:p w14:paraId="54CD4872" w14:textId="77777777" w:rsidR="00275C28" w:rsidRPr="00A113FC" w:rsidRDefault="00275C28" w:rsidP="77D36B6A">
      <w:pPr>
        <w:spacing w:after="120" w:line="276" w:lineRule="auto"/>
        <w:ind w:firstLine="708"/>
        <w:jc w:val="both"/>
        <w:rPr>
          <w:rFonts w:ascii="Century Gothic" w:eastAsia="Calibri" w:hAnsi="Century Gothic" w:cs="Arial"/>
          <w:lang w:val="es-ES"/>
        </w:rPr>
      </w:pPr>
      <w:bookmarkStart w:id="11" w:name="_Hlk160013305"/>
      <w:r w:rsidRPr="77D36B6A">
        <w:rPr>
          <w:rFonts w:ascii="Century Gothic" w:eastAsia="Calibri" w:hAnsi="Century Gothic" w:cs="Arial"/>
          <w:lang w:val="es-ES"/>
        </w:rPr>
        <w:t>Sin perjuicio de los factores de desempate previstos en los numerales 2 y 7 del artículo 2.2.1.2.4.2.17 del Decreto 1082 de 2015 para mujeres cabeza de familia y/o víctimas de violencia intrafamiliar</w:t>
      </w:r>
      <w:bookmarkEnd w:id="11"/>
      <w:r w:rsidRPr="77D36B6A">
        <w:rPr>
          <w:rFonts w:ascii="Century Gothic" w:eastAsia="Calibri" w:hAnsi="Century Gothic" w:cs="Arial"/>
          <w:lang w:val="es-ES"/>
        </w:rPr>
        <w:t xml:space="preserve">, debe cumplirse con las siguientes condiciones para ser consideradas emprendimientos y empresas de mujeres y, en consecuencia, ser destinatarias de los criterios diferenciales de que trata el artículo 32 de la Ley de Emprendimiento: i) que la persona natural sea una mujer; ii) que haya ejercido actividades comerciales a través de un establecimiento de comercio, iii) que haya ejercido esas actividades durante al menos el último año anterior a la fecha del cierre del proceso de selección. Adicionalmente, la misma disposición señala que la acreditación de dichas circunstancias deberá realizarse mediante la copia de la cédula de ciudadanía, la cédula de extranjería o el pasaporte, así como la copia del registro mercantil. </w:t>
      </w:r>
    </w:p>
    <w:p w14:paraId="62611694" w14:textId="77777777" w:rsidR="00275C28" w:rsidRPr="00A113FC" w:rsidRDefault="00275C28" w:rsidP="00275C28">
      <w:pPr>
        <w:spacing w:after="120" w:line="276" w:lineRule="auto"/>
        <w:jc w:val="both"/>
        <w:rPr>
          <w:rFonts w:ascii="Century Gothic" w:eastAsia="Calibri" w:hAnsi="Century Gothic" w:cs="Arial"/>
          <w:lang w:val="es-ES_tradnl"/>
        </w:rPr>
      </w:pPr>
      <w:r w:rsidRPr="00A113FC">
        <w:rPr>
          <w:rFonts w:ascii="Century Gothic" w:eastAsia="Calibri" w:hAnsi="Century Gothic" w:cs="Arial"/>
          <w:lang w:val="es-ES_tradnl"/>
        </w:rPr>
        <w:tab/>
        <w:t>Lo anterior quiere decir que, no basta con que la persona natural sea mujer para ser considerada como un emprendimiento o empresa de mujeres, sino que además es necesario que haya ejercido actividades comerciales a través de un establecimiento de comercio y que esa circunstancia se haya mantenido como mínimo durante un periodo de un año contado a partir de la fecha del cierre del proceso de selección. De esta manera, el criterio definido en el numeral tercero del artículo 3 del Decreto 1860 de 2021 –artículo</w:t>
      </w:r>
      <w:r w:rsidRPr="00A113FC">
        <w:rPr>
          <w:rFonts w:ascii="Century Gothic" w:eastAsia="Calibri" w:hAnsi="Century Gothic" w:cs="Arial"/>
          <w:b/>
          <w:bCs/>
          <w:lang w:val="es-ES_tradnl"/>
        </w:rPr>
        <w:t xml:space="preserve"> </w:t>
      </w:r>
      <w:r w:rsidRPr="00A113FC">
        <w:rPr>
          <w:rFonts w:ascii="Century Gothic" w:hAnsi="Century Gothic" w:cs="Arial"/>
          <w:shd w:val="clear" w:color="auto" w:fill="FFFFFF"/>
        </w:rPr>
        <w:t>2.2.1.2.4.2.14</w:t>
      </w:r>
      <w:r>
        <w:rPr>
          <w:rFonts w:ascii="Century Gothic" w:hAnsi="Century Gothic" w:cs="Arial"/>
          <w:shd w:val="clear" w:color="auto" w:fill="FFFFFF"/>
        </w:rPr>
        <w:t xml:space="preserve"> </w:t>
      </w:r>
      <w:r w:rsidRPr="00A113FC">
        <w:rPr>
          <w:rFonts w:ascii="Century Gothic" w:hAnsi="Century Gothic" w:cs="Arial"/>
          <w:shd w:val="clear" w:color="auto" w:fill="FFFFFF"/>
        </w:rPr>
        <w:t xml:space="preserve">del Decreto 1082 de 2015 </w:t>
      </w:r>
      <w:r w:rsidRPr="00A113FC">
        <w:rPr>
          <w:rFonts w:ascii="Century Gothic" w:eastAsia="Calibri" w:hAnsi="Century Gothic" w:cs="Arial"/>
          <w:lang w:val="es-ES_tradnl"/>
        </w:rPr>
        <w:t xml:space="preserve">– deja por fuera a aquellas mujeres que no hayan ejercido actividades comerciales a través de un establecimiento de comercio y/o que no cumplan con el requerimiento del tiempo mínimo de un año de ejercicio de las actividades.  </w:t>
      </w:r>
    </w:p>
    <w:p w14:paraId="41AC0B73" w14:textId="77777777" w:rsidR="00275C28" w:rsidRPr="00A113FC" w:rsidRDefault="00275C28" w:rsidP="77D36B6A">
      <w:pPr>
        <w:spacing w:after="120" w:line="276" w:lineRule="auto"/>
        <w:jc w:val="both"/>
        <w:rPr>
          <w:rFonts w:ascii="Century Gothic" w:eastAsia="Calibri" w:hAnsi="Century Gothic" w:cs="Arial"/>
          <w:lang w:val="es-ES"/>
        </w:rPr>
      </w:pPr>
      <w:r w:rsidRPr="00A113FC">
        <w:rPr>
          <w:rFonts w:ascii="Century Gothic" w:eastAsia="Calibri" w:hAnsi="Century Gothic" w:cs="Arial"/>
          <w:bCs/>
          <w:lang w:val="es-ES_tradnl"/>
        </w:rPr>
        <w:tab/>
      </w:r>
      <w:r w:rsidRPr="77D36B6A">
        <w:rPr>
          <w:rFonts w:ascii="Century Gothic" w:eastAsia="Calibri" w:hAnsi="Century Gothic" w:cs="Arial"/>
          <w:lang w:val="es-ES"/>
        </w:rPr>
        <w:t xml:space="preserve">Dado que una de las condiciones para ser considerada emprendimiento y empresa de mujeres está relacionada con que la persona natural haya ejercido </w:t>
      </w:r>
      <w:r w:rsidRPr="77D36B6A">
        <w:rPr>
          <w:rFonts w:ascii="Century Gothic" w:eastAsia="Calibri" w:hAnsi="Century Gothic" w:cs="Arial"/>
          <w:lang w:val="es-ES"/>
        </w:rPr>
        <w:lastRenderedPageBreak/>
        <w:t xml:space="preserve">actividades comerciales a través de establecimiento de comercio, es indispensable referirse a qué se entiende por actividad comercial y el desarrollo de la misma a través de un establecimiento de comercio. </w:t>
      </w:r>
    </w:p>
    <w:p w14:paraId="004012E6" w14:textId="77777777" w:rsidR="00275C28" w:rsidRPr="00A113FC" w:rsidRDefault="00275C28" w:rsidP="00275C28">
      <w:pPr>
        <w:spacing w:after="120" w:line="276" w:lineRule="auto"/>
        <w:ind w:firstLine="708"/>
        <w:jc w:val="both"/>
        <w:rPr>
          <w:rFonts w:ascii="Century Gothic" w:eastAsia="Calibri" w:hAnsi="Century Gothic" w:cs="Arial"/>
          <w:bCs/>
          <w:lang w:val="es-ES_tradnl"/>
        </w:rPr>
      </w:pPr>
      <w:r w:rsidRPr="00A113FC">
        <w:rPr>
          <w:rFonts w:ascii="Century Gothic" w:eastAsia="Calibri" w:hAnsi="Century Gothic" w:cs="Arial"/>
          <w:bCs/>
          <w:lang w:val="es-ES_tradnl"/>
        </w:rPr>
        <w:t xml:space="preserve">Sobre el particular, es necesario tener en cuenta que la ley colombiana no consagra una definición de actos de comercio, sino que incorpora un listado de actos y actividades considerados como mercantiles, que incluye una gama muy variada de operaciones usuales en la vida de los negocios. En ese sentido, el artículo 20 del Código de Comercio agrupa una gran variedad de actividades bajo la categoría de “acto de comercio”, sin que dicha enumeración sea taxativa en </w:t>
      </w:r>
      <w:r w:rsidRPr="00A113FC">
        <w:rPr>
          <w:rFonts w:ascii="Century Gothic" w:hAnsi="Century Gothic" w:cs="Arial"/>
        </w:rPr>
        <w:t>nuestro sistema jurídico. Así las cosas, no se define estáticamente el acto de comercio, permitiendo mediante la analogía realizar la ampliación dinámica del derecho mercantil facilitando su adaptación a un cambiante mundo de negocios</w:t>
      </w:r>
      <w:r w:rsidRPr="00A113FC">
        <w:rPr>
          <w:rFonts w:ascii="Century Gothic" w:hAnsi="Century Gothic" w:cs="Arial"/>
          <w:vertAlign w:val="superscript"/>
        </w:rPr>
        <w:footnoteReference w:id="12"/>
      </w:r>
      <w:r w:rsidRPr="00A113FC">
        <w:rPr>
          <w:rFonts w:ascii="Century Gothic" w:hAnsi="Century Gothic" w:cs="Arial"/>
        </w:rPr>
        <w:t>. Adicionalmente, la ley provee un criterio auxiliar que permite ampliar la cobertura del derecho comercial con la calificación de mercantiles de actos que en principio no lo son, pero que guardan relación estrecha con actividades de esta naturaleza. En el artículo 21 del Código de Comercio se incluyen actos no previstos en el artículo 20 que realiza el comerciante o empresario mercantil en desarrollo de su actividad mercantil y que facilitan su ejercicio y que en razón a ello adquieren comercialidad</w:t>
      </w:r>
      <w:r w:rsidRPr="00A113FC">
        <w:rPr>
          <w:rFonts w:ascii="Century Gothic" w:hAnsi="Century Gothic" w:cs="Arial"/>
          <w:vertAlign w:val="superscript"/>
        </w:rPr>
        <w:footnoteReference w:id="13"/>
      </w:r>
      <w:r w:rsidRPr="00A113FC">
        <w:rPr>
          <w:rFonts w:ascii="Century Gothic" w:hAnsi="Century Gothic" w:cs="Arial"/>
        </w:rPr>
        <w:t xml:space="preserve">. </w:t>
      </w:r>
    </w:p>
    <w:p w14:paraId="3521A60C" w14:textId="77777777" w:rsidR="00275C28" w:rsidRPr="00A113FC" w:rsidRDefault="00275C28" w:rsidP="00275C28">
      <w:pPr>
        <w:spacing w:after="120" w:line="276" w:lineRule="auto"/>
        <w:ind w:firstLine="708"/>
        <w:jc w:val="both"/>
        <w:rPr>
          <w:rFonts w:ascii="Century Gothic" w:eastAsia="Calibri" w:hAnsi="Century Gothic" w:cs="Arial"/>
          <w:bCs/>
          <w:lang w:val="es-ES_tradnl"/>
        </w:rPr>
      </w:pPr>
      <w:r w:rsidRPr="00A113FC">
        <w:rPr>
          <w:rFonts w:ascii="Century Gothic" w:eastAsia="Calibri" w:hAnsi="Century Gothic" w:cs="Arial"/>
          <w:bCs/>
          <w:lang w:val="es-ES_tradnl"/>
        </w:rPr>
        <w:t xml:space="preserve">Respecto del requisito del establecimiento de comercio, debe señalarse que la actividad comercial se realiza a través de establecimientos de comercio sujetos al registro mercantil. En efecto, de conformidad con el artículo 25 del Código de Comercio, “Se entenderá por empresa toda actividad económica organizada para la producción, transformación, circulación, administración o custodia de bienes, o para la prestación de servicios. </w:t>
      </w:r>
      <w:r w:rsidRPr="00A113FC">
        <w:rPr>
          <w:rFonts w:ascii="Century Gothic" w:eastAsia="Calibri" w:hAnsi="Century Gothic" w:cs="Arial"/>
          <w:bCs/>
          <w:i/>
          <w:iCs/>
          <w:lang w:val="es-ES_tradnl"/>
        </w:rPr>
        <w:t>Dicha actividad se realizará a través de uno o más establecimientos de comercio</w:t>
      </w:r>
      <w:r w:rsidRPr="00A113FC">
        <w:rPr>
          <w:rFonts w:ascii="Century Gothic" w:eastAsia="Calibri" w:hAnsi="Century Gothic" w:cs="Arial"/>
          <w:bCs/>
          <w:lang w:val="es-ES_tradnl"/>
        </w:rPr>
        <w:t xml:space="preserve">” </w:t>
      </w:r>
      <w:r w:rsidRPr="00A113FC">
        <w:rPr>
          <w:rFonts w:ascii="Century Gothic" w:hAnsi="Century Gothic" w:cs="Arial"/>
          <w:lang w:eastAsia="es-CO"/>
        </w:rPr>
        <w:t>(Énfasis fuera de texto)</w:t>
      </w:r>
      <w:r w:rsidRPr="00A113FC">
        <w:rPr>
          <w:rFonts w:ascii="Century Gothic" w:eastAsia="Calibri" w:hAnsi="Century Gothic" w:cs="Arial"/>
          <w:bCs/>
          <w:lang w:val="es-ES_tradnl"/>
        </w:rPr>
        <w:t xml:space="preserve">. </w:t>
      </w:r>
      <w:r w:rsidRPr="00A113FC">
        <w:rPr>
          <w:rFonts w:ascii="Century Gothic" w:hAnsi="Century Gothic" w:cs="Arial"/>
        </w:rPr>
        <w:t xml:space="preserve">El establecimiento de comercio es el instrumento del que se vale el empresario para cumplir los fines de su empresa y por medio del cual se realiza la actividad organizada. La doctrina lo define como el conjunto de bienes materiales e inmateriales organizados para una finalidad económica en el que la organización adquiere un significado fundamental como factor aglutinante de los elementos que integran la hacienda, teniendo en cuenta la función económica a la que </w:t>
      </w:r>
      <w:r w:rsidRPr="00A113FC">
        <w:rPr>
          <w:rFonts w:ascii="Century Gothic" w:hAnsi="Century Gothic" w:cs="Arial"/>
        </w:rPr>
        <w:lastRenderedPageBreak/>
        <w:t>están destinados todos: la producción o distribución de bienes y servicios en el mercado</w:t>
      </w:r>
      <w:r w:rsidRPr="00A113FC">
        <w:rPr>
          <w:rFonts w:ascii="Century Gothic" w:eastAsia="Calibri" w:hAnsi="Century Gothic" w:cs="Arial"/>
          <w:bCs/>
          <w:vertAlign w:val="superscript"/>
          <w:lang w:val="es-ES_tradnl"/>
        </w:rPr>
        <w:footnoteReference w:id="14"/>
      </w:r>
      <w:r w:rsidRPr="00A113FC">
        <w:rPr>
          <w:rFonts w:ascii="Century Gothic" w:eastAsia="Calibri" w:hAnsi="Century Gothic" w:cs="Arial"/>
          <w:bCs/>
          <w:lang w:val="es-ES_tradnl"/>
        </w:rPr>
        <w:t xml:space="preserve">. </w:t>
      </w:r>
    </w:p>
    <w:p w14:paraId="66EBDF71" w14:textId="77777777" w:rsidR="00275C28" w:rsidRPr="00A113FC" w:rsidRDefault="00275C28" w:rsidP="00275C28">
      <w:pPr>
        <w:spacing w:after="120" w:line="276" w:lineRule="auto"/>
        <w:ind w:firstLine="708"/>
        <w:jc w:val="both"/>
        <w:rPr>
          <w:rFonts w:ascii="Century Gothic" w:eastAsia="Calibri" w:hAnsi="Century Gothic" w:cs="Arial"/>
          <w:bCs/>
          <w:lang w:val="es-ES_tradnl"/>
        </w:rPr>
      </w:pPr>
      <w:r w:rsidRPr="00A113FC">
        <w:rPr>
          <w:rFonts w:ascii="Century Gothic" w:eastAsia="Calibri" w:hAnsi="Century Gothic" w:cs="Arial"/>
          <w:bCs/>
          <w:lang w:val="es-ES_tradnl"/>
        </w:rPr>
        <w:t xml:space="preserve">Ahora bien, frente al requisito del registro mercantil, el artículo del Código de Comercio dispone que “el registro mercantil tendrá por objeto llevar la matrícula de los comerciantes y de los establecimientos de comercio, así como la inscripción de todos los actos, libros y documentos respecto de los cuales la ley exigiere esa formalidad”. Asimismo, los numerales 6 y 33 del artículo 28 </w:t>
      </w:r>
      <w:r w:rsidRPr="00A113FC">
        <w:rPr>
          <w:rFonts w:ascii="Century Gothic" w:eastAsia="Calibri" w:hAnsi="Century Gothic" w:cs="Arial"/>
          <w:bCs/>
          <w:i/>
          <w:iCs/>
          <w:lang w:val="es-ES_tradnl"/>
        </w:rPr>
        <w:t>ibidem</w:t>
      </w:r>
      <w:r w:rsidRPr="00A113FC">
        <w:rPr>
          <w:rFonts w:ascii="Century Gothic" w:eastAsia="Calibri" w:hAnsi="Century Gothic" w:cs="Arial"/>
          <w:bCs/>
          <w:lang w:val="es-ES_tradnl"/>
        </w:rPr>
        <w:t xml:space="preserve"> señalan que cuando </w:t>
      </w:r>
      <w:r w:rsidRPr="00A113FC">
        <w:rPr>
          <w:rFonts w:ascii="Century Gothic" w:hAnsi="Century Gothic" w:cs="Arial"/>
        </w:rPr>
        <w:t xml:space="preserve">un empresario abre su establecimiento de comercio debe cumplir con el deber profesional de matricularlo en el registro mercantil dentro del mes siguiente a su apertura y la información de dicha matricula debe actualizarse periódicamente mediante la renovación anual dentro de los tres (3) primeros meses de cada año. </w:t>
      </w:r>
    </w:p>
    <w:p w14:paraId="01E7EC6A" w14:textId="77777777" w:rsidR="00275C28" w:rsidRPr="00A113FC" w:rsidRDefault="00275C28" w:rsidP="00275C28">
      <w:pPr>
        <w:spacing w:after="120" w:line="276" w:lineRule="auto"/>
        <w:ind w:firstLine="709"/>
        <w:jc w:val="both"/>
        <w:rPr>
          <w:rFonts w:ascii="Century Gothic" w:hAnsi="Century Gothic" w:cs="Arial"/>
        </w:rPr>
      </w:pPr>
      <w:bookmarkStart w:id="12" w:name="_Hlk112034643"/>
      <w:bookmarkStart w:id="13" w:name="_Hlk112310294"/>
      <w:r w:rsidRPr="00A113FC">
        <w:rPr>
          <w:rFonts w:ascii="Century Gothic" w:hAnsi="Century Gothic" w:cs="Arial"/>
        </w:rPr>
        <w:t xml:space="preserve">De esta manera, se concluye que el numeral tercero del </w:t>
      </w:r>
      <w:r w:rsidRPr="00A113FC">
        <w:rPr>
          <w:rFonts w:ascii="Century Gothic" w:eastAsia="Calibri" w:hAnsi="Century Gothic" w:cs="Arial"/>
          <w:lang w:val="es-ES_tradnl"/>
        </w:rPr>
        <w:t>artículo</w:t>
      </w:r>
      <w:r w:rsidRPr="00A113FC">
        <w:rPr>
          <w:rFonts w:ascii="Century Gothic" w:eastAsia="Calibri" w:hAnsi="Century Gothic" w:cs="Arial"/>
          <w:b/>
          <w:bCs/>
          <w:lang w:val="es-ES_tradnl"/>
        </w:rPr>
        <w:t xml:space="preserve"> </w:t>
      </w:r>
      <w:r w:rsidRPr="00A113FC">
        <w:rPr>
          <w:rFonts w:ascii="Century Gothic" w:hAnsi="Century Gothic" w:cs="Arial"/>
          <w:shd w:val="clear" w:color="auto" w:fill="FFFFFF"/>
        </w:rPr>
        <w:t>2.2.1.2.4.2.14</w:t>
      </w:r>
      <w:r w:rsidRPr="00A113FC">
        <w:rPr>
          <w:rFonts w:ascii="Century Gothic" w:hAnsi="Century Gothic" w:cs="Arial"/>
          <w:b/>
          <w:bCs/>
          <w:shd w:val="clear" w:color="auto" w:fill="FFFFFF"/>
        </w:rPr>
        <w:t xml:space="preserve"> </w:t>
      </w:r>
      <w:r w:rsidRPr="00A113FC">
        <w:rPr>
          <w:rFonts w:ascii="Century Gothic" w:hAnsi="Century Gothic" w:cs="Arial"/>
          <w:shd w:val="clear" w:color="auto" w:fill="FFFFFF"/>
        </w:rPr>
        <w:t xml:space="preserve">del Decreto 1082 de 2015 </w:t>
      </w:r>
      <w:r w:rsidRPr="00A113FC">
        <w:rPr>
          <w:rFonts w:ascii="Century Gothic" w:eastAsia="Calibri" w:hAnsi="Century Gothic" w:cs="Arial"/>
          <w:lang w:val="es-ES_tradnl"/>
        </w:rPr>
        <w:t xml:space="preserve">–adicionado por el artículo 3 del Decreto del Decreto 1860 de 2022– para definir los emprendimientos y empresas de mujeres, en el caso de las personas naturales, parte del ejercicio de una actividad comercial y, de acuerdo con el análisis normativo realizado, esta se desarrolla a través de un establecimiento de comercio, el cual debe estar matriculado en el registro mercantil.  </w:t>
      </w:r>
      <w:r w:rsidRPr="00A113FC">
        <w:rPr>
          <w:rFonts w:ascii="Century Gothic" w:hAnsi="Century Gothic" w:cs="Arial"/>
        </w:rPr>
        <w:t xml:space="preserve">Así las cosas, </w:t>
      </w:r>
      <w:r w:rsidRPr="00A113FC">
        <w:rPr>
          <w:rFonts w:ascii="Century Gothic" w:eastAsia="Calibri" w:hAnsi="Century Gothic" w:cs="Arial"/>
          <w:bCs/>
          <w:lang w:val="es-ES_tradnl"/>
        </w:rPr>
        <w:t>es necesario que la persona natural que realiza actividades de comercio a través de un establecimiento acredite dicho registro de acuerdo con lo dispuesto por la ley comercial.</w:t>
      </w:r>
    </w:p>
    <w:p w14:paraId="39654360" w14:textId="77777777" w:rsidR="00275C28" w:rsidRPr="00A113FC" w:rsidRDefault="00275C28" w:rsidP="00275C28">
      <w:pPr>
        <w:spacing w:after="120" w:line="276" w:lineRule="auto"/>
        <w:ind w:firstLine="709"/>
        <w:jc w:val="both"/>
        <w:rPr>
          <w:rFonts w:ascii="Century Gothic" w:eastAsia="Calibri" w:hAnsi="Century Gothic" w:cs="Arial"/>
          <w:bCs/>
        </w:rPr>
      </w:pPr>
      <w:bookmarkStart w:id="14" w:name="_Hlk106013026"/>
      <w:bookmarkEnd w:id="12"/>
      <w:r w:rsidRPr="00A113FC">
        <w:rPr>
          <w:rFonts w:ascii="Century Gothic" w:eastAsia="Calibri" w:hAnsi="Century Gothic" w:cs="Arial"/>
          <w:bCs/>
        </w:rPr>
        <w:t xml:space="preserve">En este punto, es pertinente aclarar que el registro mercantil solicitado únicamente es requerido para ser acreedor de los criterios diferenciales consagrados a favor de los emprendimientos y empresas de mujeres en el artículo 32 de la Ley 2069 de 2020 y el Decreto 1860 de 2021, como acciones afirmativas para promover la participación de este segmento empresarial en el sistema de compras públicas y contratación estatal. Por tanto, deberá presentar dicho documento en caso de pretender beneficiarse de los requisitos habilitantes diferenciales u obtener el puntaje adicional. En este sentido, para efectos del </w:t>
      </w:r>
      <w:r w:rsidRPr="00A113FC">
        <w:rPr>
          <w:rFonts w:ascii="Century Gothic" w:eastAsia="Calibri" w:hAnsi="Century Gothic" w:cs="Arial"/>
          <w:bCs/>
          <w:lang w:val="es-ES_tradnl"/>
        </w:rPr>
        <w:t xml:space="preserve">artículo </w:t>
      </w:r>
      <w:r w:rsidRPr="00A113FC">
        <w:rPr>
          <w:rFonts w:ascii="Century Gothic" w:hAnsi="Century Gothic" w:cs="Arial"/>
          <w:lang w:val="es-ES" w:eastAsia="es-CO"/>
        </w:rPr>
        <w:t xml:space="preserve">2.2.1.2.4.2.14 </w:t>
      </w:r>
      <w:r w:rsidRPr="00A113FC">
        <w:rPr>
          <w:rFonts w:ascii="Century Gothic" w:eastAsia="Calibri" w:hAnsi="Century Gothic" w:cs="Arial"/>
          <w:bCs/>
        </w:rPr>
        <w:t xml:space="preserve">del Decreto 1082 de 2015, la acreditación de la condición de </w:t>
      </w:r>
      <w:r w:rsidRPr="00A113FC">
        <w:rPr>
          <w:rFonts w:ascii="Century Gothic" w:eastAsia="Calibri" w:hAnsi="Century Gothic" w:cs="Arial"/>
          <w:bCs/>
        </w:rPr>
        <w:lastRenderedPageBreak/>
        <w:t xml:space="preserve">mujer y del ejercicio de actividades comerciales a través de establecimiento de comercio de la persona natural, solo será válida mediante la presentación de los documentos establecidos en el numeral 3 de la norma señalada, esto es, </w:t>
      </w:r>
      <w:r w:rsidRPr="00A113FC">
        <w:rPr>
          <w:rFonts w:ascii="Century Gothic" w:eastAsia="Calibri" w:hAnsi="Century Gothic" w:cs="Arial"/>
          <w:lang w:val="es-ES_tradnl"/>
        </w:rPr>
        <w:t>adjuntando copia de la cédula de ciudadanía, cédula de extranjería o pasaporte y copia del registro mercantil</w:t>
      </w:r>
      <w:r w:rsidRPr="00A113FC">
        <w:rPr>
          <w:rFonts w:ascii="Century Gothic" w:hAnsi="Century Gothic" w:cs="Arial"/>
        </w:rPr>
        <w:t xml:space="preserve">. </w:t>
      </w:r>
      <w:bookmarkStart w:id="15" w:name="_Hlk108537388"/>
      <w:bookmarkEnd w:id="13"/>
      <w:bookmarkEnd w:id="14"/>
    </w:p>
    <w:p w14:paraId="7CD67B70" w14:textId="77777777" w:rsidR="00275C28" w:rsidRPr="00A113FC" w:rsidRDefault="00275C28" w:rsidP="00275C28">
      <w:pPr>
        <w:spacing w:after="120" w:line="276" w:lineRule="auto"/>
        <w:ind w:firstLine="709"/>
        <w:jc w:val="both"/>
        <w:rPr>
          <w:rFonts w:ascii="Century Gothic" w:eastAsia="Calibri" w:hAnsi="Century Gothic" w:cs="Arial"/>
          <w:bCs/>
          <w:color w:val="000000"/>
          <w:lang w:val="es-ES_tradnl"/>
        </w:rPr>
      </w:pPr>
      <w:r w:rsidRPr="00A113FC">
        <w:rPr>
          <w:rFonts w:ascii="Century Gothic" w:eastAsia="Calibri" w:hAnsi="Century Gothic" w:cs="Arial"/>
          <w:bCs/>
          <w:color w:val="000000"/>
          <w:lang w:val="es-ES_tradnl"/>
        </w:rPr>
        <w:t xml:space="preserve">Debe agregarse a las consideraciones sobre la regulación de los criterios diferenciales a favor de las empresas y los emprendimientos de mujeres que el cuarto inciso del artículo 2.2.1.2.4.2.15 del Decreto 1082 de 2015, adicionado por el artículo 3 del Decreto 1860 de 2021, establece que “Las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Por tanto, es recomendable considerar las distintas variables en los estudios del sector, para poder determinar los requisitos diferenciales y los puntajes adicionales, sin desconocer que la realización del análisis de oportunidad y conveniencia es una actividad a cargo de las entidades estatales y que la Agencia Nacional de Contratación Pública, como órgano rector del Sistema de Compras y Contratación Pública, solo brinda algunas pautas al respecto. </w:t>
      </w:r>
    </w:p>
    <w:bookmarkEnd w:id="15"/>
    <w:p w14:paraId="4B4A660E" w14:textId="77777777" w:rsidR="00275C28" w:rsidRPr="00A113FC" w:rsidRDefault="00275C28" w:rsidP="00275C28">
      <w:pPr>
        <w:spacing w:after="120" w:line="276" w:lineRule="auto"/>
        <w:ind w:firstLine="708"/>
        <w:jc w:val="both"/>
        <w:rPr>
          <w:rFonts w:ascii="Century Gothic" w:eastAsia="Times New Roman" w:hAnsi="Century Gothic" w:cs="Arial"/>
          <w:lang w:eastAsia="es-CO"/>
        </w:rPr>
      </w:pPr>
      <w:r w:rsidRPr="00A113FC">
        <w:rPr>
          <w:rFonts w:ascii="Century Gothic" w:eastAsia="Times New Roman" w:hAnsi="Century Gothic" w:cs="Arial"/>
          <w:lang w:eastAsia="es-CO"/>
        </w:rPr>
        <w:t>Finalmente, debe agregarse que el artículo 2.2.1.2.4.2.15 del Decreto 1082 de 2015, adicionado por el Decreto 1860 de 2021, complementa la regulación de criterios diferenciales estableciendo unos requisitos habilitantes diferenciales para incentivar emprendimientos y empresas de mujeres, que deben ser menos rigurosos respecto a los contemplados para los proponentes que no cumplan con alguno de los criterios del artículo 2.2.1.2.4.2.14</w:t>
      </w:r>
      <w:r w:rsidRPr="00A113FC">
        <w:rPr>
          <w:rFonts w:ascii="Century Gothic" w:eastAsia="Times New Roman" w:hAnsi="Century Gothic" w:cs="Arial"/>
          <w:vertAlign w:val="superscript"/>
          <w:lang w:eastAsia="es-CO"/>
        </w:rPr>
        <w:footnoteReference w:id="15"/>
      </w:r>
      <w:r w:rsidRPr="00A113FC">
        <w:rPr>
          <w:rFonts w:ascii="Century Gothic" w:eastAsia="Times New Roman" w:hAnsi="Century Gothic" w:cs="Arial"/>
          <w:lang w:eastAsia="es-CO"/>
        </w:rPr>
        <w:t xml:space="preserve">. Del mismo modo, el artículo 2.2.1.2.4.2.15 </w:t>
      </w:r>
      <w:r w:rsidRPr="00A113FC">
        <w:rPr>
          <w:rFonts w:ascii="Century Gothic" w:eastAsia="Times New Roman" w:hAnsi="Century Gothic" w:cs="Arial"/>
          <w:lang w:eastAsia="es-CO"/>
        </w:rPr>
        <w:lastRenderedPageBreak/>
        <w:t>también regula un puntaje adicional</w:t>
      </w:r>
      <w:r w:rsidRPr="00A113FC">
        <w:rPr>
          <w:rFonts w:ascii="Century Gothic" w:eastAsia="Times New Roman" w:hAnsi="Century Gothic" w:cs="Times New Roman"/>
          <w:lang w:eastAsia="es-ES_tradnl"/>
        </w:rPr>
        <w:t xml:space="preserve"> </w:t>
      </w:r>
      <w:r w:rsidRPr="00A113FC">
        <w:rPr>
          <w:rFonts w:ascii="Century Gothic" w:eastAsia="Times New Roman" w:hAnsi="Century Gothic" w:cs="Arial"/>
          <w:lang w:eastAsia="es-CO"/>
        </w:rPr>
        <w:t>de hasta el 0,25% del valor total de los puntos establecidos en los pliegos de condiciones o documentos equivalentes, para los proponentes que acrediten alguno de los supuestos del artículo 2.2.1.2.4.2.14. En ultimas, frente a las personas naturales es claro que la norma dispuso, en el numeral 3 del artículo 2.2.1.2.4.2.14, las condiciones para que esta sea catalogada como acreedora de un emprendimiento o empresa de mujeres, bajo el entendido en que “sea una mujer y haya ejercido actividades comerciales a través de un establecimiento de comercio durante al menos el último año anterior a la fecha de cierre del proceso de selección</w:t>
      </w:r>
      <w:r w:rsidRPr="00A113FC">
        <w:rPr>
          <w:rFonts w:ascii="Century Gothic" w:eastAsia="Calibri" w:hAnsi="Century Gothic" w:cs="Arial"/>
        </w:rPr>
        <w:t xml:space="preserve">” y acreditando esta circunstancia </w:t>
      </w:r>
      <w:r w:rsidRPr="00A113FC">
        <w:rPr>
          <w:rFonts w:ascii="Century Gothic" w:eastAsia="Times New Roman" w:hAnsi="Century Gothic" w:cs="Arial"/>
          <w:lang w:eastAsia="es-CO"/>
        </w:rPr>
        <w:t xml:space="preserve">“mediante la copia de cédula de ciudadanía, la cédula de extranjería o el pasaporte, así como la copia del registro mercantil”. Los demás numerales del mencionado artículo corresponden a la acreditación de circunstancias que, por sus particularidades jurídicas, deben acreditar exclusivamente las personas jurídicas, sociedades o asociaciones y cooperativas. </w:t>
      </w:r>
    </w:p>
    <w:p w14:paraId="003A165C" w14:textId="77777777" w:rsidR="00275C28" w:rsidRDefault="00275C28" w:rsidP="00275C28">
      <w:pPr>
        <w:spacing w:after="0" w:line="276" w:lineRule="auto"/>
        <w:ind w:firstLine="709"/>
        <w:jc w:val="both"/>
        <w:rPr>
          <w:rFonts w:ascii="Century Gothic" w:eastAsia="Times New Roman" w:hAnsi="Century Gothic" w:cs="Arial"/>
          <w:lang w:eastAsia="es-CO"/>
        </w:rPr>
      </w:pPr>
      <w:r w:rsidRPr="00A113FC">
        <w:rPr>
          <w:rFonts w:ascii="Century Gothic" w:eastAsia="Times New Roman" w:hAnsi="Century Gothic" w:cs="Arial"/>
          <w:lang w:eastAsia="es-CO"/>
        </w:rPr>
        <w:t>Conforme lo expuesto, el artículo citado</w:t>
      </w:r>
      <w:r w:rsidRPr="00A113FC">
        <w:rPr>
          <w:rFonts w:ascii="Century Gothic" w:eastAsia="Calibri" w:hAnsi="Century Gothic" w:cs="Arial"/>
          <w:lang w:val="es-ES_tradnl"/>
        </w:rPr>
        <w:t xml:space="preserve">, para efectos de la aplicación de los criterios diferenciales en el sistema de compras públicas en los términos del artículo 32 de la Ley 2069 de 2020, se considerarán emprendimientos o empresas de mujeres las personas jurídicas o naturales que cumplan alguno de los cuatro supuestos de hecho previstos en la norma citada y acrediten estos supuestos de hecho con los documentos previstos para ello en la misma. Nótese que la disposición estudiada señala de forma taxativa los requisitos que se exigen cuando se trata de persona natural y cuando se trata de persona jurídica, pero no se dice que uno de los numerales sea extensivo frente a otros supuestos. </w:t>
      </w:r>
      <w:r w:rsidRPr="00A113FC">
        <w:rPr>
          <w:rFonts w:ascii="Century Gothic" w:eastAsia="Times New Roman" w:hAnsi="Century Gothic" w:cs="Arial"/>
          <w:lang w:eastAsia="es-CO"/>
        </w:rPr>
        <w:t xml:space="preserve">Por lo tanto, la presente interpretación además se impone en virtud de aquella regla según la cual </w:t>
      </w:r>
      <w:r w:rsidRPr="00A113FC">
        <w:rPr>
          <w:rFonts w:ascii="Century Gothic" w:eastAsia="Times New Roman" w:hAnsi="Century Gothic" w:cs="Arial"/>
          <w:i/>
          <w:iCs/>
          <w:lang w:eastAsia="es-CO"/>
        </w:rPr>
        <w:lastRenderedPageBreak/>
        <w:t>“</w:t>
      </w:r>
      <w:r w:rsidRPr="003A6397">
        <w:rPr>
          <w:rFonts w:ascii="Century Gothic" w:eastAsia="Times New Roman" w:hAnsi="Century Gothic" w:cs="Arial"/>
          <w:iCs/>
          <w:lang w:eastAsia="es-CO"/>
        </w:rPr>
        <w:t>cuando el sentido de la ley sea claro, no se desatenderá su tenor literal a pretexto de consultar su espíritu</w:t>
      </w:r>
      <w:r w:rsidRPr="00A113FC">
        <w:rPr>
          <w:rFonts w:ascii="Century Gothic" w:eastAsia="Times New Roman" w:hAnsi="Century Gothic" w:cs="Arial"/>
          <w:i/>
          <w:iCs/>
          <w:lang w:eastAsia="es-CO"/>
        </w:rPr>
        <w:t>”</w:t>
      </w:r>
      <w:r w:rsidRPr="00A113FC">
        <w:rPr>
          <w:rFonts w:ascii="Century Gothic" w:eastAsia="Times New Roman" w:hAnsi="Century Gothic" w:cs="Arial"/>
          <w:vertAlign w:val="superscript"/>
          <w:lang w:eastAsia="es-CO"/>
        </w:rPr>
        <w:footnoteReference w:id="16"/>
      </w:r>
      <w:r w:rsidRPr="00A113FC">
        <w:rPr>
          <w:rFonts w:ascii="Century Gothic" w:eastAsia="Times New Roman" w:hAnsi="Century Gothic" w:cs="Arial"/>
          <w:lang w:eastAsia="es-CO"/>
        </w:rPr>
        <w:t xml:space="preserve">. </w:t>
      </w:r>
    </w:p>
    <w:p w14:paraId="4F7870C8" w14:textId="77777777" w:rsidR="00275C28" w:rsidRPr="00D7715D" w:rsidRDefault="00275C28" w:rsidP="00275C28">
      <w:pPr>
        <w:spacing w:after="0" w:line="276" w:lineRule="auto"/>
        <w:jc w:val="both"/>
        <w:rPr>
          <w:rFonts w:ascii="Century Gothic" w:eastAsia="Times New Roman" w:hAnsi="Century Gothic" w:cs="Arial"/>
          <w:lang w:eastAsia="es-CO"/>
        </w:rPr>
      </w:pPr>
    </w:p>
    <w:p w14:paraId="5A8B8CB0" w14:textId="77777777" w:rsidR="00275C28" w:rsidRPr="00D7715D" w:rsidRDefault="00275C28" w:rsidP="00275C28">
      <w:pPr>
        <w:spacing w:after="0" w:line="276" w:lineRule="auto"/>
        <w:jc w:val="both"/>
        <w:rPr>
          <w:rFonts w:ascii="Century Gothic" w:eastAsia="Times New Roman" w:hAnsi="Century Gothic" w:cs="Arial"/>
          <w:b/>
          <w:bCs/>
          <w:lang w:eastAsia="es-CO"/>
        </w:rPr>
      </w:pPr>
      <w:r w:rsidRPr="00D7715D">
        <w:rPr>
          <w:rFonts w:ascii="Century Gothic" w:eastAsia="Times New Roman" w:hAnsi="Century Gothic" w:cs="Arial"/>
          <w:b/>
          <w:bCs/>
          <w:lang w:eastAsia="es-CO"/>
        </w:rPr>
        <w:t xml:space="preserve">2.3. La identidad de género como derecho fundamental y su relación con las definiciones de emprendimientos y empresas de mujeres establecidas por el Decreto 1860 de 2021 </w:t>
      </w:r>
    </w:p>
    <w:p w14:paraId="36A1109B" w14:textId="77777777" w:rsidR="00275C28" w:rsidRPr="00D7715D" w:rsidRDefault="00275C28" w:rsidP="00275C28">
      <w:pPr>
        <w:spacing w:after="0" w:line="276" w:lineRule="auto"/>
        <w:jc w:val="both"/>
        <w:rPr>
          <w:rFonts w:ascii="Century Gothic" w:eastAsia="Times New Roman" w:hAnsi="Century Gothic" w:cs="Arial"/>
          <w:b/>
          <w:bCs/>
          <w:lang w:eastAsia="es-CO"/>
        </w:rPr>
      </w:pPr>
    </w:p>
    <w:p w14:paraId="5C06EDE3" w14:textId="77777777" w:rsidR="00275C28" w:rsidRPr="00D7715D" w:rsidRDefault="00275C28" w:rsidP="00275C28">
      <w:pPr>
        <w:spacing w:after="120" w:line="276" w:lineRule="auto"/>
        <w:jc w:val="both"/>
        <w:rPr>
          <w:rFonts w:ascii="Century Gothic" w:hAnsi="Century Gothic" w:cs="Arial"/>
          <w:lang w:val="es-ES"/>
        </w:rPr>
      </w:pPr>
      <w:r w:rsidRPr="00D7715D">
        <w:rPr>
          <w:rFonts w:ascii="Century Gothic" w:hAnsi="Century Gothic" w:cs="Arial"/>
          <w:lang w:val="es-ES"/>
        </w:rPr>
        <w:t xml:space="preserve">La </w:t>
      </w:r>
      <w:r w:rsidRPr="00D7715D">
        <w:rPr>
          <w:rFonts w:ascii="Century Gothic" w:hAnsi="Century Gothic" w:cs="Arial"/>
          <w:i/>
          <w:lang w:val="es-ES"/>
        </w:rPr>
        <w:t>identidad de género</w:t>
      </w:r>
      <w:r>
        <w:rPr>
          <w:rFonts w:ascii="Century Gothic" w:hAnsi="Century Gothic" w:cs="Arial"/>
          <w:lang w:val="es-ES"/>
        </w:rPr>
        <w:t>,</w:t>
      </w:r>
      <w:r w:rsidRPr="00D7715D">
        <w:rPr>
          <w:rFonts w:ascii="Century Gothic" w:hAnsi="Century Gothic" w:cs="Arial"/>
          <w:lang w:val="es-ES"/>
        </w:rPr>
        <w:t xml:space="preserve"> si bien no cuenta con </w:t>
      </w:r>
      <w:r>
        <w:rPr>
          <w:rFonts w:ascii="Century Gothic" w:hAnsi="Century Gothic" w:cs="Arial"/>
          <w:lang w:val="es-ES"/>
        </w:rPr>
        <w:t>regulación</w:t>
      </w:r>
      <w:r w:rsidRPr="00D7715D">
        <w:rPr>
          <w:rFonts w:ascii="Century Gothic" w:hAnsi="Century Gothic" w:cs="Arial"/>
          <w:lang w:val="es-ES"/>
        </w:rPr>
        <w:t xml:space="preserve"> expresa dentro de la Constitución Política de 1991, ha si</w:t>
      </w:r>
      <w:r>
        <w:rPr>
          <w:rFonts w:ascii="Century Gothic" w:hAnsi="Century Gothic" w:cs="Arial"/>
          <w:lang w:val="es-ES"/>
        </w:rPr>
        <w:t>do</w:t>
      </w:r>
      <w:r w:rsidRPr="00D7715D">
        <w:rPr>
          <w:rFonts w:ascii="Century Gothic" w:hAnsi="Century Gothic" w:cs="Arial"/>
          <w:lang w:val="es-ES"/>
        </w:rPr>
        <w:t xml:space="preserve"> objeto de un desarrollo jurisprudencial</w:t>
      </w:r>
      <w:r>
        <w:rPr>
          <w:rFonts w:ascii="Century Gothic" w:hAnsi="Century Gothic" w:cs="Arial"/>
          <w:lang w:val="es-ES"/>
        </w:rPr>
        <w:t xml:space="preserve"> </w:t>
      </w:r>
      <w:r w:rsidRPr="00D7715D">
        <w:rPr>
          <w:rFonts w:ascii="Century Gothic" w:hAnsi="Century Gothic" w:cs="Arial"/>
          <w:lang w:val="es-ES"/>
        </w:rPr>
        <w:t>significativo</w:t>
      </w:r>
      <w:r>
        <w:rPr>
          <w:rFonts w:ascii="Century Gothic" w:hAnsi="Century Gothic" w:cs="Arial"/>
          <w:lang w:val="es-ES"/>
        </w:rPr>
        <w:t>, por lo que</w:t>
      </w:r>
      <w:r w:rsidRPr="00D7715D">
        <w:rPr>
          <w:rFonts w:ascii="Century Gothic" w:hAnsi="Century Gothic" w:cs="Arial"/>
          <w:lang w:val="es-ES"/>
        </w:rPr>
        <w:t xml:space="preserve"> hoy es considerada como un derecho fundamental. La evolución de este derecho innominado se aprecia en múltiples pronunciamientos de la Corte Constitucional</w:t>
      </w:r>
      <w:r w:rsidRPr="00D7715D">
        <w:rPr>
          <w:rFonts w:ascii="Century Gothic" w:hAnsi="Century Gothic" w:cs="Arial"/>
          <w:vertAlign w:val="superscript"/>
          <w:lang w:val="es-ES"/>
        </w:rPr>
        <w:footnoteReference w:id="17"/>
      </w:r>
      <w:r w:rsidRPr="00D7715D">
        <w:rPr>
          <w:rFonts w:ascii="Century Gothic" w:hAnsi="Century Gothic" w:cs="Arial"/>
          <w:lang w:val="es-ES"/>
        </w:rPr>
        <w:t>, que no sólo han permitido concretar su marco de protección, sino también conceptualizar su relación con otros derechos y pilares fundantes del Estado, como lo es el de la dignidad humana, cuyo núcleo esencial exige que cada individuo sea tratado acorde a su condición</w:t>
      </w:r>
      <w:r w:rsidRPr="00D7715D">
        <w:rPr>
          <w:rFonts w:ascii="Century Gothic" w:hAnsi="Century Gothic" w:cs="Arial"/>
          <w:vertAlign w:val="superscript"/>
          <w:lang w:val="es-ES"/>
        </w:rPr>
        <w:footnoteReference w:id="18"/>
      </w:r>
      <w:r w:rsidRPr="00D7715D">
        <w:rPr>
          <w:rFonts w:ascii="Century Gothic" w:hAnsi="Century Gothic" w:cs="Arial"/>
          <w:lang w:val="es-ES"/>
        </w:rPr>
        <w:t>. En ese orden de ideas, debe entenderse que la dignidad humana se concibe como la autonomía propia de las personas para diseñar un plan de vida y determinarse según sus características, postulado que guarda una fuerte conexión con el libre desarrollo de la personalidad y la identidad personal, los cuales transcienden del plano individual y cuya manifestación a nivel público son objeto de amparo</w:t>
      </w:r>
      <w:r w:rsidRPr="00D7715D">
        <w:rPr>
          <w:rFonts w:ascii="Century Gothic" w:hAnsi="Century Gothic" w:cs="Arial"/>
          <w:vertAlign w:val="superscript"/>
          <w:lang w:val="es-ES"/>
        </w:rPr>
        <w:footnoteReference w:id="19"/>
      </w:r>
      <w:r w:rsidRPr="00D7715D">
        <w:rPr>
          <w:rFonts w:ascii="Century Gothic" w:hAnsi="Century Gothic" w:cs="Arial"/>
          <w:lang w:val="es-ES"/>
        </w:rPr>
        <w:t xml:space="preserve">. </w:t>
      </w:r>
    </w:p>
    <w:p w14:paraId="10E106AB" w14:textId="77777777" w:rsidR="00275C28" w:rsidRPr="00D7715D" w:rsidRDefault="00275C28" w:rsidP="00275C28">
      <w:pPr>
        <w:spacing w:after="0" w:line="276" w:lineRule="auto"/>
        <w:ind w:firstLine="708"/>
        <w:jc w:val="both"/>
        <w:rPr>
          <w:rFonts w:ascii="Century Gothic" w:hAnsi="Century Gothic" w:cs="Arial"/>
        </w:rPr>
      </w:pPr>
      <w:r w:rsidRPr="00D7715D">
        <w:rPr>
          <w:rFonts w:ascii="Century Gothic" w:hAnsi="Century Gothic" w:cs="Arial"/>
        </w:rPr>
        <w:t xml:space="preserve">En relación con lo expuesto en precedencia, la Corte Constitucional ha sido clara en señalar que la noción de identidad es trascendental en tanto sitúa al sujeto en la sociedad, y la ausencia de este elemento supone la reducción de las posibilidades de la participación en la dinámica social; y es en este sentido en el que el </w:t>
      </w:r>
      <w:r w:rsidRPr="00D7715D">
        <w:rPr>
          <w:rFonts w:ascii="Century Gothic" w:hAnsi="Century Gothic" w:cs="Arial"/>
          <w:i/>
        </w:rPr>
        <w:t>género</w:t>
      </w:r>
      <w:r w:rsidRPr="00D7715D">
        <w:rPr>
          <w:rFonts w:ascii="Century Gothic" w:hAnsi="Century Gothic" w:cs="Arial"/>
        </w:rPr>
        <w:t xml:space="preserve"> se configura como un instrumento de autodeterminación en el que el ser humano se posesiona e interactúa. Esta</w:t>
      </w:r>
      <w:r w:rsidRPr="00D7715D">
        <w:rPr>
          <w:rFonts w:ascii="Century Gothic" w:hAnsi="Century Gothic" w:cs="Arial"/>
          <w:lang w:val="es-ES"/>
        </w:rPr>
        <w:t xml:space="preserve"> línea argumentativa, junto con varios progresos </w:t>
      </w:r>
      <w:r w:rsidRPr="00D7715D">
        <w:rPr>
          <w:rFonts w:ascii="Century Gothic" w:eastAsia="Geomanist Light" w:hAnsi="Century Gothic" w:cs="Arial"/>
          <w:lang w:val="es-ES"/>
        </w:rPr>
        <w:t xml:space="preserve">del </w:t>
      </w:r>
      <w:r w:rsidRPr="00D7715D">
        <w:rPr>
          <w:rFonts w:ascii="Century Gothic" w:eastAsia="Geomanist Light" w:hAnsi="Century Gothic" w:cs="Arial"/>
          <w:i/>
          <w:iCs/>
          <w:lang w:val="es-ES"/>
        </w:rPr>
        <w:t>corpus iuris</w:t>
      </w:r>
      <w:r w:rsidRPr="00D7715D">
        <w:rPr>
          <w:rFonts w:ascii="Century Gothic" w:eastAsia="Geomanist Light" w:hAnsi="Century Gothic" w:cs="Arial"/>
          <w:lang w:val="es-ES"/>
        </w:rPr>
        <w:t xml:space="preserve"> del derecho internacional de los derechos humanos, </w:t>
      </w:r>
      <w:r w:rsidRPr="00D7715D">
        <w:rPr>
          <w:rFonts w:ascii="Century Gothic" w:hAnsi="Century Gothic" w:cs="Arial"/>
          <w:lang w:val="es-ES"/>
        </w:rPr>
        <w:t xml:space="preserve">estructuraron las bases para el reconocimiento de la </w:t>
      </w:r>
      <w:r w:rsidRPr="00D7715D">
        <w:rPr>
          <w:rFonts w:ascii="Century Gothic" w:hAnsi="Century Gothic" w:cs="Arial"/>
          <w:i/>
          <w:lang w:val="es-ES"/>
        </w:rPr>
        <w:t>identidad de género</w:t>
      </w:r>
      <w:r w:rsidRPr="00D7715D">
        <w:rPr>
          <w:rFonts w:ascii="Century Gothic" w:hAnsi="Century Gothic" w:cs="Arial"/>
          <w:lang w:val="es-ES"/>
        </w:rPr>
        <w:t xml:space="preserve"> como </w:t>
      </w:r>
      <w:r w:rsidRPr="00D7715D">
        <w:rPr>
          <w:rFonts w:ascii="Century Gothic" w:hAnsi="Century Gothic" w:cs="Arial"/>
          <w:lang w:val="es-ES"/>
        </w:rPr>
        <w:lastRenderedPageBreak/>
        <w:t xml:space="preserve">un derecho que busca erradicar </w:t>
      </w:r>
      <w:r w:rsidRPr="00D7715D">
        <w:rPr>
          <w:rFonts w:ascii="Century Gothic" w:hAnsi="Century Gothic" w:cs="Arial"/>
          <w:i/>
          <w:lang w:val="es-ES"/>
        </w:rPr>
        <w:t>“nociones de determinismo biológico”</w:t>
      </w:r>
      <w:r w:rsidRPr="00D7715D">
        <w:rPr>
          <w:rFonts w:ascii="Century Gothic" w:hAnsi="Century Gothic" w:cs="Arial"/>
          <w:vertAlign w:val="superscript"/>
          <w:lang w:val="es-ES"/>
        </w:rPr>
        <w:footnoteReference w:id="20"/>
      </w:r>
      <w:r w:rsidRPr="00D7715D">
        <w:rPr>
          <w:rFonts w:ascii="Century Gothic" w:hAnsi="Century Gothic" w:cs="Arial"/>
          <w:lang w:val="es-ES"/>
        </w:rPr>
        <w:t>. Sobre el asunto es procedente hacer alusión a los “</w:t>
      </w:r>
      <w:r w:rsidRPr="00D7715D">
        <w:rPr>
          <w:rFonts w:ascii="Century Gothic" w:hAnsi="Century Gothic" w:cs="Arial"/>
          <w:color w:val="202124"/>
          <w:shd w:val="clear" w:color="auto" w:fill="FFFFFF"/>
        </w:rPr>
        <w:t>Principios de Yogyakarta”, puesto que este documento proporcionó una definición sobre lo que se debe entender por identidad de género:</w:t>
      </w:r>
    </w:p>
    <w:p w14:paraId="23C9827F" w14:textId="77777777" w:rsidR="00275C28" w:rsidRPr="00D7715D" w:rsidRDefault="00275C28" w:rsidP="00275C28">
      <w:pPr>
        <w:spacing w:after="0" w:line="240" w:lineRule="auto"/>
        <w:jc w:val="both"/>
        <w:rPr>
          <w:rFonts w:ascii="Century Gothic" w:hAnsi="Century Gothic" w:cs="Arial"/>
          <w:color w:val="202124"/>
          <w:shd w:val="clear" w:color="auto" w:fill="FFFFFF"/>
        </w:rPr>
      </w:pPr>
    </w:p>
    <w:p w14:paraId="04A01AB5" w14:textId="77777777" w:rsidR="00275C28" w:rsidRPr="00D7715D" w:rsidRDefault="00275C28" w:rsidP="00275C28">
      <w:pPr>
        <w:spacing w:after="0" w:line="240" w:lineRule="auto"/>
        <w:ind w:left="708" w:right="709"/>
        <w:jc w:val="both"/>
        <w:rPr>
          <w:rFonts w:ascii="Century Gothic" w:hAnsi="Century Gothic" w:cs="Arial"/>
          <w:color w:val="202124"/>
          <w:sz w:val="21"/>
          <w:szCs w:val="21"/>
          <w:shd w:val="clear" w:color="auto" w:fill="FFFFFF"/>
        </w:rPr>
      </w:pPr>
      <w:r w:rsidRPr="00D7715D">
        <w:rPr>
          <w:rFonts w:ascii="Century Gothic" w:hAnsi="Century Gothic" w:cs="Arial"/>
          <w:color w:val="202124"/>
          <w:sz w:val="21"/>
          <w:szCs w:val="21"/>
          <w:shd w:val="clear" w:color="auto" w:fill="FFFFFF"/>
        </w:rPr>
        <w:t>“La identidad de género se refiere a la vivencia interna e individual del género tal como cada persona la siente profundamente, la cual podría corresponder o no con el sexto asignado al momento del nacimiento, incluyendo la vivencia personal del cuerpo (que podría involucrar la modificación de la apariencia o la función corporal a través de medios médicos, quirúrgicos o de otra índole, siempre que la misma sea libremente escogida) y otras expresiones de género, incluyendo la vestimenta, el modo de hablar y los modales”</w:t>
      </w:r>
      <w:r w:rsidRPr="00D7715D">
        <w:rPr>
          <w:rFonts w:ascii="Century Gothic" w:hAnsi="Century Gothic" w:cs="Arial"/>
          <w:color w:val="202124"/>
          <w:sz w:val="21"/>
          <w:szCs w:val="21"/>
          <w:shd w:val="clear" w:color="auto" w:fill="FFFFFF"/>
          <w:vertAlign w:val="superscript"/>
        </w:rPr>
        <w:footnoteReference w:id="21"/>
      </w:r>
      <w:r>
        <w:rPr>
          <w:rFonts w:ascii="Century Gothic" w:hAnsi="Century Gothic" w:cs="Arial"/>
          <w:color w:val="202124"/>
          <w:sz w:val="21"/>
          <w:szCs w:val="21"/>
          <w:shd w:val="clear" w:color="auto" w:fill="FFFFFF"/>
        </w:rPr>
        <w:t>.</w:t>
      </w:r>
    </w:p>
    <w:p w14:paraId="0D2D39B2" w14:textId="77777777" w:rsidR="00275C28" w:rsidRPr="00D7715D" w:rsidRDefault="00275C28" w:rsidP="00275C28">
      <w:pPr>
        <w:spacing w:after="0" w:line="240" w:lineRule="auto"/>
        <w:jc w:val="both"/>
        <w:rPr>
          <w:rFonts w:ascii="Century Gothic" w:hAnsi="Century Gothic" w:cs="Arial"/>
        </w:rPr>
      </w:pPr>
    </w:p>
    <w:p w14:paraId="1B0B0E06" w14:textId="77777777" w:rsidR="00275C28" w:rsidRPr="00D7715D" w:rsidRDefault="00275C28" w:rsidP="00275C28">
      <w:pPr>
        <w:spacing w:after="0" w:line="276" w:lineRule="auto"/>
        <w:ind w:firstLine="708"/>
        <w:jc w:val="both"/>
        <w:rPr>
          <w:rFonts w:ascii="Century Gothic" w:hAnsi="Century Gothic" w:cs="Arial"/>
        </w:rPr>
      </w:pPr>
      <w:r w:rsidRPr="00D7715D">
        <w:rPr>
          <w:rFonts w:ascii="Century Gothic" w:hAnsi="Century Gothic" w:cs="Arial"/>
        </w:rPr>
        <w:t xml:space="preserve">Por su parte la jurisprudencia constitucional, en congruencia con los lineamientos internacionales sobre la materia, desarrolló la tesis en la que se sitúa la </w:t>
      </w:r>
      <w:r w:rsidRPr="00D7715D">
        <w:rPr>
          <w:rFonts w:ascii="Century Gothic" w:hAnsi="Century Gothic" w:cs="Arial"/>
          <w:i/>
        </w:rPr>
        <w:t>identidad de género</w:t>
      </w:r>
      <w:r w:rsidRPr="00D7715D">
        <w:rPr>
          <w:rFonts w:ascii="Century Gothic" w:hAnsi="Century Gothic" w:cs="Arial"/>
        </w:rPr>
        <w:t xml:space="preserve"> como un derecho fundamental, que comporta la facultad del individuo de definirse a sí mismo. En esta determinación autónoma resulta indispensable tener como referente que es el resultado de la voluntad humana y no de su naturaleza. En otras palabras, esta postura comprende el desarraigo de la concepción tradicional en la que el género estaba intrínsicamente asociado al sexo biológico de las personas, es decir, en la actualidad el género no se asigna, sino que se construye</w:t>
      </w:r>
      <w:r w:rsidRPr="00D7715D">
        <w:rPr>
          <w:rFonts w:ascii="Century Gothic" w:hAnsi="Century Gothic" w:cs="Arial"/>
          <w:vertAlign w:val="superscript"/>
        </w:rPr>
        <w:footnoteReference w:id="22"/>
      </w:r>
      <w:r w:rsidRPr="00D7715D">
        <w:rPr>
          <w:rFonts w:ascii="Century Gothic" w:hAnsi="Century Gothic" w:cs="Arial"/>
        </w:rPr>
        <w:t>. Sobre el particular se observa que la Corte concretó la discusión del género sobre los siguientes ejes:</w:t>
      </w:r>
    </w:p>
    <w:p w14:paraId="1225C40A" w14:textId="77777777" w:rsidR="00275C28" w:rsidRPr="00D7715D" w:rsidRDefault="00275C28" w:rsidP="00275C28">
      <w:pPr>
        <w:spacing w:after="0" w:line="240" w:lineRule="auto"/>
        <w:jc w:val="both"/>
        <w:rPr>
          <w:rFonts w:ascii="Century Gothic" w:hAnsi="Century Gothic" w:cs="Arial"/>
        </w:rPr>
      </w:pPr>
    </w:p>
    <w:p w14:paraId="4DDE6E87" w14:textId="77777777" w:rsidR="00275C28" w:rsidRPr="00D7715D" w:rsidRDefault="00275C28" w:rsidP="00275C28">
      <w:pPr>
        <w:spacing w:after="0" w:line="240" w:lineRule="auto"/>
        <w:ind w:left="708" w:right="709"/>
        <w:jc w:val="both"/>
        <w:rPr>
          <w:rFonts w:ascii="Century Gothic" w:hAnsi="Century Gothic" w:cs="Arial"/>
          <w:sz w:val="21"/>
          <w:szCs w:val="21"/>
        </w:rPr>
      </w:pPr>
      <w:r w:rsidRPr="00D7715D">
        <w:rPr>
          <w:rFonts w:ascii="Century Gothic" w:hAnsi="Century Gothic" w:cs="Arial"/>
          <w:sz w:val="21"/>
          <w:szCs w:val="21"/>
        </w:rPr>
        <w:t xml:space="preserve">“De ahí que la discusión del género no termina con el sexo asignado, sino que es una compleja interrelación entre tres ejes: i) el </w:t>
      </w:r>
      <w:r w:rsidRPr="00D7715D">
        <w:rPr>
          <w:rFonts w:ascii="Century Gothic" w:hAnsi="Century Gothic" w:cs="Arial"/>
          <w:b/>
          <w:bCs/>
          <w:sz w:val="21"/>
          <w:szCs w:val="21"/>
          <w:u w:val="single"/>
        </w:rPr>
        <w:t>cuerpo</w:t>
      </w:r>
      <w:r w:rsidRPr="00D7715D">
        <w:rPr>
          <w:rFonts w:ascii="Century Gothic" w:hAnsi="Century Gothic" w:cs="Arial"/>
          <w:sz w:val="21"/>
          <w:szCs w:val="21"/>
        </w:rPr>
        <w:t xml:space="preserve"> de cada persona, su experiencia con este, cómo la sociedad le asigna géneros a los cuerpos con base en los órganos reproductivos y cómo esta interactúa entre sí con base en los cuerpos; ii)</w:t>
      </w:r>
      <w:r>
        <w:rPr>
          <w:rFonts w:ascii="Century Gothic" w:hAnsi="Century Gothic" w:cs="Arial"/>
          <w:sz w:val="21"/>
          <w:szCs w:val="21"/>
        </w:rPr>
        <w:t xml:space="preserve"> </w:t>
      </w:r>
      <w:r w:rsidRPr="00D7715D">
        <w:rPr>
          <w:rFonts w:ascii="Century Gothic" w:hAnsi="Century Gothic" w:cs="Arial"/>
          <w:b/>
          <w:bCs/>
          <w:sz w:val="21"/>
          <w:szCs w:val="21"/>
          <w:u w:val="single"/>
        </w:rPr>
        <w:t>[la] identidad</w:t>
      </w:r>
      <w:r w:rsidRPr="00D7715D">
        <w:rPr>
          <w:rFonts w:ascii="Century Gothic" w:hAnsi="Century Gothic" w:cs="Arial"/>
          <w:sz w:val="21"/>
          <w:szCs w:val="21"/>
        </w:rPr>
        <w:t xml:space="preserve">, que comprende la concepción interna y el sentimiento de cada individuo de sentirse como hombre o mujer, en el sentido de una armonía interior entre quienes internamente sienten y saben que es cada uno; y iii) Finalmente, </w:t>
      </w:r>
      <w:r w:rsidRPr="00D7715D">
        <w:rPr>
          <w:rFonts w:ascii="Century Gothic" w:hAnsi="Century Gothic" w:cs="Arial"/>
          <w:b/>
          <w:sz w:val="21"/>
          <w:szCs w:val="21"/>
        </w:rPr>
        <w:t>la manifestación o expresión</w:t>
      </w:r>
      <w:r w:rsidRPr="00D7715D">
        <w:rPr>
          <w:rFonts w:ascii="Century Gothic" w:hAnsi="Century Gothic" w:cs="Arial"/>
          <w:sz w:val="21"/>
          <w:szCs w:val="21"/>
        </w:rPr>
        <w:t xml:space="preserve">, que consiste en la forma en que cada individuo presenta su género al mundo, a la sociedad, culturalmente, en </w:t>
      </w:r>
      <w:r w:rsidRPr="00D7715D">
        <w:rPr>
          <w:rFonts w:ascii="Century Gothic" w:hAnsi="Century Gothic" w:cs="Arial"/>
          <w:sz w:val="21"/>
          <w:szCs w:val="21"/>
        </w:rPr>
        <w:lastRenderedPageBreak/>
        <w:t>su comunidad o en su familia, así como la manera que interactúa con su propio género y lo va moldeando con el paso de los años, en un proceso de constante desarrollo”</w:t>
      </w:r>
      <w:r w:rsidRPr="00D7715D">
        <w:rPr>
          <w:rFonts w:ascii="Century Gothic" w:hAnsi="Century Gothic" w:cs="Arial"/>
          <w:sz w:val="21"/>
          <w:szCs w:val="21"/>
          <w:vertAlign w:val="superscript"/>
        </w:rPr>
        <w:footnoteReference w:id="23"/>
      </w:r>
      <w:r>
        <w:rPr>
          <w:rFonts w:ascii="Century Gothic" w:hAnsi="Century Gothic" w:cs="Arial"/>
          <w:sz w:val="21"/>
          <w:szCs w:val="21"/>
        </w:rPr>
        <w:t>.</w:t>
      </w:r>
    </w:p>
    <w:p w14:paraId="6943020A" w14:textId="77777777" w:rsidR="00275C28" w:rsidRPr="00D7715D" w:rsidRDefault="00275C28" w:rsidP="00275C28">
      <w:pPr>
        <w:spacing w:after="0" w:line="240" w:lineRule="auto"/>
        <w:ind w:right="709"/>
        <w:jc w:val="both"/>
        <w:rPr>
          <w:rFonts w:ascii="Century Gothic" w:hAnsi="Century Gothic" w:cs="Arial"/>
          <w:sz w:val="21"/>
          <w:szCs w:val="21"/>
        </w:rPr>
      </w:pPr>
    </w:p>
    <w:p w14:paraId="4AB22109" w14:textId="77777777" w:rsidR="00275C28" w:rsidRPr="00D7715D" w:rsidRDefault="00275C28" w:rsidP="00275C28">
      <w:pPr>
        <w:spacing w:after="120" w:line="276" w:lineRule="auto"/>
        <w:ind w:firstLine="709"/>
        <w:jc w:val="both"/>
        <w:rPr>
          <w:rFonts w:ascii="Century Gothic" w:hAnsi="Century Gothic" w:cs="Arial"/>
        </w:rPr>
      </w:pPr>
      <w:r w:rsidRPr="00D7715D">
        <w:rPr>
          <w:rFonts w:ascii="Century Gothic" w:hAnsi="Century Gothic" w:cs="Arial"/>
        </w:rPr>
        <w:t>En virtud de lo anterior, esto es, partiendo de la concepción de la identidad de género como una construcción individual, se precisa entonces que el componente “</w:t>
      </w:r>
      <w:r w:rsidRPr="00D7715D">
        <w:rPr>
          <w:rFonts w:ascii="Century Gothic" w:hAnsi="Century Gothic" w:cs="Arial"/>
          <w:i/>
        </w:rPr>
        <w:t>sexo”</w:t>
      </w:r>
      <w:r w:rsidRPr="00D7715D">
        <w:rPr>
          <w:rFonts w:ascii="Century Gothic" w:hAnsi="Century Gothic" w:cs="Arial"/>
        </w:rPr>
        <w:t xml:space="preserve"> que registra en la identificación de las personas, evolucionó en tal medida que la información consignada en este campo o ítem, por decirlo de alguna manera, debe entenderse como una decisión personal y no como una asignación ligada al sexo con el que se nace. Es por ello por lo que las personas tienen la potestad de modificar su marcador de “sexo” para que coincida con su identidad, en caso de que requiera hacer el tránsito formal hacia otro género. Sobre el particular se ha indicado de manera reiterada que las personas con orientaciones de género diversas tienen derecho a adecuar sus documentos de identificación para que reflejen la identidad que les singulariza, de modo que sean tratadas socialmente en la forma en que se auto reconocen</w:t>
      </w:r>
      <w:r w:rsidRPr="00D7715D">
        <w:rPr>
          <w:rFonts w:ascii="Century Gothic" w:hAnsi="Century Gothic" w:cs="Arial"/>
          <w:vertAlign w:val="superscript"/>
        </w:rPr>
        <w:footnoteReference w:id="24"/>
      </w:r>
      <w:r w:rsidRPr="00D7715D">
        <w:rPr>
          <w:rFonts w:ascii="Century Gothic" w:hAnsi="Century Gothic" w:cs="Arial"/>
        </w:rPr>
        <w:t xml:space="preserve">. </w:t>
      </w:r>
    </w:p>
    <w:p w14:paraId="2EAA2339" w14:textId="77777777" w:rsidR="00275C28" w:rsidRPr="00D7715D" w:rsidRDefault="00275C28" w:rsidP="00275C28">
      <w:pPr>
        <w:spacing w:after="120" w:line="276" w:lineRule="auto"/>
        <w:ind w:firstLine="709"/>
        <w:jc w:val="both"/>
        <w:rPr>
          <w:rFonts w:ascii="Century Gothic" w:hAnsi="Century Gothic" w:cs="Arial"/>
        </w:rPr>
      </w:pPr>
      <w:r w:rsidRPr="00D7715D">
        <w:rPr>
          <w:rFonts w:ascii="Century Gothic" w:hAnsi="Century Gothic" w:cs="Arial"/>
        </w:rPr>
        <w:t xml:space="preserve">Este último aspecto en particular se torna relevante para resolver el tema objeto de consulta en la medida en que, conforme a lo explicado en el numeral 2.2 del presente concepto, el documento de identidad –ya sea cédula de ciudadanía, cédula de extranjería o pasaporte– es uno de los medios requeridos para que un proponente acredite en un Proceso de Contratación que reúne las condiciones para ser considerado emprendimiento o empresa de mujeres, de acuerdo con lo establecido en el artículo 2.2.1.2.4.2.14 del Decreto 1082 de 2015, adicionado por el Decreto 1860 de 2021. Esto obedece a que, en cada uno de estos supuestos, la presentación de los documentos de identidad sirve para que la entidad estatal contratante verifique que las personas que se tienen en cuenta para aplicar alguna de las definiciones establecidas en el artículo 2.2.1.2.4.2.14 del Decreto 1082 de 2015, efectivamente pertenecen al grupo poblacional destinatario de los criterios diferenciales introducidos por el artículo 32 de la Ley 2069 de 2020, es decir, que son mujeres. </w:t>
      </w:r>
    </w:p>
    <w:p w14:paraId="50160A16" w14:textId="77777777" w:rsidR="00275C28" w:rsidRPr="00D7715D" w:rsidRDefault="00275C28" w:rsidP="00275C28">
      <w:pPr>
        <w:spacing w:after="120" w:line="276" w:lineRule="auto"/>
        <w:ind w:firstLine="709"/>
        <w:jc w:val="both"/>
        <w:rPr>
          <w:rFonts w:ascii="Century Gothic" w:hAnsi="Century Gothic" w:cs="Arial"/>
        </w:rPr>
      </w:pPr>
      <w:r w:rsidRPr="00D7715D">
        <w:rPr>
          <w:rFonts w:ascii="Century Gothic" w:hAnsi="Century Gothic" w:cs="Arial"/>
        </w:rPr>
        <w:t xml:space="preserve"> En ese sentido, la norma reglamentaria establece una suerte de tarifa legal constituida por el documento de identidad, el cual debe servir para constatar que las personas naturales tengan la condición de mujeres, lo que se debe establecer que verificando dicho documento en el marcador </w:t>
      </w:r>
      <w:r w:rsidRPr="00D7715D">
        <w:rPr>
          <w:rFonts w:ascii="Century Gothic" w:hAnsi="Century Gothic" w:cs="Arial"/>
          <w:i/>
          <w:iCs/>
        </w:rPr>
        <w:t>“sexo”</w:t>
      </w:r>
      <w:r w:rsidRPr="00D7715D">
        <w:rPr>
          <w:rFonts w:ascii="Century Gothic" w:hAnsi="Century Gothic" w:cs="Arial"/>
        </w:rPr>
        <w:t xml:space="preserve"> haga alusión al género </w:t>
      </w:r>
      <w:r w:rsidRPr="00D7715D">
        <w:rPr>
          <w:rFonts w:ascii="Century Gothic" w:hAnsi="Century Gothic" w:cs="Arial"/>
        </w:rPr>
        <w:lastRenderedPageBreak/>
        <w:t xml:space="preserve">femenino. En ese sentido, la </w:t>
      </w:r>
      <w:r w:rsidRPr="00D7715D">
        <w:rPr>
          <w:rFonts w:ascii="Century Gothic" w:hAnsi="Century Gothic" w:cs="Arial"/>
          <w:i/>
          <w:iCs/>
        </w:rPr>
        <w:t>identidad de género</w:t>
      </w:r>
      <w:r w:rsidRPr="00D7715D">
        <w:rPr>
          <w:rFonts w:ascii="Century Gothic" w:hAnsi="Century Gothic" w:cs="Arial"/>
        </w:rPr>
        <w:t xml:space="preserve"> es un aspecto de importancia de cara a la aplicación de los referidos criterios diferenciales en comento, comoquiera que estos se dirigen a personas que se identifique con el género femenino, lo que necesariamente debe ser acreditado con el documento de identidad el cual debe coincidir en el marcador </w:t>
      </w:r>
      <w:r w:rsidRPr="00D7715D">
        <w:rPr>
          <w:rFonts w:ascii="Century Gothic" w:hAnsi="Century Gothic" w:cs="Arial"/>
          <w:i/>
          <w:iCs/>
        </w:rPr>
        <w:t>“sexo”</w:t>
      </w:r>
      <w:r w:rsidRPr="00D7715D">
        <w:rPr>
          <w:rFonts w:ascii="Century Gothic" w:hAnsi="Century Gothic" w:cs="Arial"/>
        </w:rPr>
        <w:t xml:space="preserve"> con la aludida identidad de género.  </w:t>
      </w:r>
    </w:p>
    <w:p w14:paraId="788DD9A9" w14:textId="77777777" w:rsidR="00275C28" w:rsidRPr="00D7715D" w:rsidRDefault="00275C28" w:rsidP="00275C28">
      <w:pPr>
        <w:spacing w:after="120" w:line="276" w:lineRule="auto"/>
        <w:ind w:firstLine="709"/>
        <w:jc w:val="both"/>
        <w:rPr>
          <w:rFonts w:ascii="Century Gothic" w:hAnsi="Century Gothic" w:cs="Arial"/>
        </w:rPr>
      </w:pPr>
      <w:r w:rsidRPr="00D7715D">
        <w:rPr>
          <w:rFonts w:ascii="Century Gothic" w:hAnsi="Century Gothic" w:cs="Arial"/>
        </w:rPr>
        <w:t xml:space="preserve">Conforme a lo anterior, independientemente de la libertad y autonomía que asiste a las personas para ejercer su derecho a la </w:t>
      </w:r>
      <w:r w:rsidRPr="00D7715D">
        <w:rPr>
          <w:rFonts w:ascii="Century Gothic" w:hAnsi="Century Gothic" w:cs="Arial"/>
          <w:i/>
          <w:iCs/>
        </w:rPr>
        <w:t>identidad de género,</w:t>
      </w:r>
      <w:r w:rsidRPr="00D7715D">
        <w:rPr>
          <w:rFonts w:ascii="Century Gothic" w:hAnsi="Century Gothic" w:cs="Arial"/>
        </w:rPr>
        <w:t xml:space="preserve"> la acreditación de la condición de mujer en el marco de los Procesos de Contratación, para efectos de la aplicación de los mencionados criterios diferenciales, se encuentra asociada a la categoría “femenino” indicado en el marcado</w:t>
      </w:r>
      <w:r>
        <w:rPr>
          <w:rFonts w:ascii="Century Gothic" w:hAnsi="Century Gothic" w:cs="Arial"/>
        </w:rPr>
        <w:t>r</w:t>
      </w:r>
      <w:r w:rsidRPr="00D7715D">
        <w:rPr>
          <w:rFonts w:ascii="Century Gothic" w:hAnsi="Century Gothic" w:cs="Arial"/>
        </w:rPr>
        <w:t xml:space="preserve"> “sexo”,  por lo que necesariamente se exige la presentación de documentos de identidad en los que se indique la identidad de género de esta manera, como presupuesto para acceder al incentivo, lo cual resulta apenas razonable ante la necesidad de que estos incentivos se apliquen a sus reales destinatarios. En ese sentido, sin la presentación de un documento de identidad en estas condiciones, difícilmente podría una entidad dar por acreditada alguna de las definiciones de emprendimientos y empresas de mujeres establecidas en el artículo 2.2.1.2.4.2.14 del Decreto 1082 de 2015. </w:t>
      </w:r>
    </w:p>
    <w:p w14:paraId="74E42945" w14:textId="77777777" w:rsidR="00275C28" w:rsidRDefault="00275C28" w:rsidP="00275C28">
      <w:pPr>
        <w:spacing w:after="120" w:line="276" w:lineRule="auto"/>
        <w:ind w:firstLine="709"/>
        <w:jc w:val="both"/>
        <w:rPr>
          <w:rFonts w:ascii="Century Gothic" w:hAnsi="Century Gothic" w:cs="Arial"/>
        </w:rPr>
      </w:pPr>
      <w:r>
        <w:rPr>
          <w:rFonts w:ascii="Century Gothic" w:hAnsi="Century Gothic" w:cs="Arial"/>
        </w:rPr>
        <w:t>Asi</w:t>
      </w:r>
      <w:r w:rsidRPr="00D7715D">
        <w:rPr>
          <w:rFonts w:ascii="Century Gothic" w:hAnsi="Century Gothic" w:cs="Arial"/>
        </w:rPr>
        <w:t xml:space="preserve">mismo, un documento en el que se declare determinada persona se identifica con el género femenino o como mujer no podría remplazar o sustituir el documento de identidad, conforme se colige de la referida tarifa legal. Es precisamente por esto por lo que, en los procesos adelantados con los documentos tipo expedidos por esta Agencia, se exige que la condición de emprendimiento y empresa de mujeres se acredite presentando el </w:t>
      </w:r>
      <w:r w:rsidRPr="00D7715D">
        <w:rPr>
          <w:rFonts w:ascii="Century Gothic" w:hAnsi="Century Gothic"/>
          <w:i/>
          <w:iCs/>
        </w:rPr>
        <w:t>“</w:t>
      </w:r>
      <w:r w:rsidRPr="00D7715D">
        <w:rPr>
          <w:rFonts w:ascii="Century Gothic" w:hAnsi="Century Gothic" w:cs="Arial"/>
          <w:i/>
          <w:iCs/>
        </w:rPr>
        <w:t>Formato 12 – ACREDITACIÓN DE EMPRENDIMIENTOS Y EMPRESAS DE MUJERES”</w:t>
      </w:r>
      <w:r w:rsidRPr="00D7715D">
        <w:rPr>
          <w:rFonts w:ascii="Century Gothic" w:hAnsi="Century Gothic" w:cs="Arial"/>
        </w:rPr>
        <w:t>, el cual debe ser acompañado del respectivo documento de identidad, conforme se indica de manera expresa en las variantes a, b y c de dicho documento.</w:t>
      </w:r>
    </w:p>
    <w:p w14:paraId="70102616" w14:textId="77777777" w:rsidR="00275C28" w:rsidRDefault="00275C28" w:rsidP="00275C28">
      <w:pPr>
        <w:spacing w:after="0" w:line="276" w:lineRule="auto"/>
        <w:ind w:firstLine="709"/>
        <w:jc w:val="both"/>
        <w:rPr>
          <w:rFonts w:ascii="Century Gothic" w:hAnsi="Century Gothic" w:cs="Arial"/>
        </w:rPr>
      </w:pPr>
      <w:r>
        <w:rPr>
          <w:rFonts w:ascii="Century Gothic" w:hAnsi="Century Gothic" w:cs="Arial"/>
        </w:rPr>
        <w:t xml:space="preserve">De acuerdo con la Sentencia T-033 de 2022, con ponencia de la Magistrada </w:t>
      </w:r>
      <w:r w:rsidRPr="00867654">
        <w:rPr>
          <w:rFonts w:ascii="Century Gothic" w:hAnsi="Century Gothic" w:cs="Arial"/>
        </w:rPr>
        <w:t>Gloria Stella Ortiz Delgado</w:t>
      </w:r>
      <w:r>
        <w:rPr>
          <w:rFonts w:ascii="Century Gothic" w:hAnsi="Century Gothic" w:cs="Arial"/>
        </w:rPr>
        <w:t>, la Corte Constitucional explica que “</w:t>
      </w:r>
      <w:r w:rsidRPr="00867654">
        <w:rPr>
          <w:rFonts w:ascii="Century Gothic" w:hAnsi="Century Gothic" w:cs="Arial"/>
        </w:rPr>
        <w:t>La identidad de género no binaria es comprendida como aquella que, al no concebirse en el marco de las categorías dicotómicas, masculino o femenino, se aleja del sistema mayoritario de sexo-género, binario por tradición cultural. Las personas no binarias no se encuentran representadas, en sus vivencias, por ninguna de las categorías de género existentes en ese sistema</w:t>
      </w:r>
      <w:r>
        <w:rPr>
          <w:rFonts w:ascii="Century Gothic" w:hAnsi="Century Gothic" w:cs="Arial"/>
        </w:rPr>
        <w:t>”. Dado que las personas no binarias no se identifican como hombres ni, mucho menos, como mujeres, quienes posean</w:t>
      </w:r>
      <w:r w:rsidRPr="00867654">
        <w:rPr>
          <w:rFonts w:ascii="Century Gothic" w:hAnsi="Century Gothic" w:cs="Arial"/>
        </w:rPr>
        <w:t xml:space="preserve"> documentos de identidad con la categ</w:t>
      </w:r>
      <w:r>
        <w:rPr>
          <w:rFonts w:ascii="Century Gothic" w:hAnsi="Century Gothic" w:cs="Arial"/>
        </w:rPr>
        <w:t xml:space="preserve">oría NB no son destinatarios de los incentivos </w:t>
      </w:r>
      <w:r>
        <w:rPr>
          <w:rFonts w:ascii="Century Gothic" w:hAnsi="Century Gothic" w:cs="Arial"/>
        </w:rPr>
        <w:lastRenderedPageBreak/>
        <w:t xml:space="preserve">previstos en el </w:t>
      </w:r>
      <w:r w:rsidRPr="00867654">
        <w:rPr>
          <w:rFonts w:ascii="Century Gothic" w:hAnsi="Century Gothic" w:cs="Arial"/>
        </w:rPr>
        <w:t>2.2.1.2.4.2.15</w:t>
      </w:r>
      <w:r>
        <w:rPr>
          <w:rFonts w:ascii="Century Gothic" w:hAnsi="Century Gothic" w:cs="Arial"/>
        </w:rPr>
        <w:t xml:space="preserve"> del Decreto 1082 de 2015 para emprendimientos y empresas de mujeres. Por la misma razón, en teniendo en cuenta el género consignado en los documentos de identidad, tampoco son mujeres para </w:t>
      </w:r>
      <w:r w:rsidRPr="000E61DC">
        <w:rPr>
          <w:rFonts w:ascii="Century Gothic" w:eastAsia="Calibri" w:hAnsi="Century Gothic" w:cs="Arial"/>
          <w:lang w:val="es-ES_tradnl"/>
        </w:rPr>
        <w:t xml:space="preserve">los factores de desempate </w:t>
      </w:r>
      <w:r>
        <w:rPr>
          <w:rFonts w:ascii="Century Gothic" w:eastAsia="Calibri" w:hAnsi="Century Gothic" w:cs="Arial"/>
          <w:lang w:val="es-ES_tradnl"/>
        </w:rPr>
        <w:t>de</w:t>
      </w:r>
      <w:r w:rsidRPr="000E61DC">
        <w:rPr>
          <w:rFonts w:ascii="Century Gothic" w:eastAsia="Calibri" w:hAnsi="Century Gothic" w:cs="Arial"/>
          <w:lang w:val="es-ES_tradnl"/>
        </w:rPr>
        <w:t xml:space="preserve"> los numerales 2 y 7 del artículo 2.2.1.2.4.2.17 del Decreto 1082 de 2015</w:t>
      </w:r>
      <w:r>
        <w:rPr>
          <w:rFonts w:ascii="Century Gothic" w:eastAsia="Calibri" w:hAnsi="Century Gothic" w:cs="Arial"/>
          <w:lang w:val="es-ES_tradnl"/>
        </w:rPr>
        <w:t xml:space="preserve">, por lo que también son inaplicables a las personas no binarias. Lo anterior al margen de que el procedimiento se rija o no por documentos tipo, dado que la regulación de los incentivos de la Ley de Emprendimiento es transversal al sistema de compras públicas. </w:t>
      </w:r>
      <w:r>
        <w:rPr>
          <w:rFonts w:ascii="Century Gothic" w:hAnsi="Century Gothic" w:cs="Arial"/>
        </w:rPr>
        <w:t xml:space="preserve">  </w:t>
      </w:r>
    </w:p>
    <w:p w14:paraId="36921B18" w14:textId="77777777" w:rsidR="00275C28" w:rsidRPr="00047DC8" w:rsidRDefault="00275C28" w:rsidP="00275C28">
      <w:pPr>
        <w:spacing w:after="0" w:line="276" w:lineRule="auto"/>
        <w:jc w:val="both"/>
        <w:rPr>
          <w:rFonts w:ascii="Century Gothic" w:eastAsia="Calibri" w:hAnsi="Century Gothic" w:cs="Arial"/>
          <w:color w:val="000000"/>
          <w:lang w:val="es-ES_tradnl" w:eastAsia="es-ES_tradnl"/>
        </w:rPr>
      </w:pPr>
    </w:p>
    <w:p w14:paraId="1E26405C" w14:textId="77777777" w:rsidR="00275C28" w:rsidRPr="004C64AD" w:rsidRDefault="00275C28" w:rsidP="00275C28">
      <w:pPr>
        <w:tabs>
          <w:tab w:val="left" w:pos="0"/>
        </w:tabs>
        <w:spacing w:after="0"/>
        <w:jc w:val="both"/>
        <w:rPr>
          <w:rFonts w:ascii="Century Gothic" w:eastAsia="Calibri" w:hAnsi="Century Gothic" w:cs="Arial"/>
          <w:b/>
          <w:color w:val="000000" w:themeColor="text1"/>
          <w:lang w:val="es-ES_tradnl"/>
        </w:rPr>
      </w:pPr>
      <w:r w:rsidRPr="004C64AD">
        <w:rPr>
          <w:rFonts w:ascii="Century Gothic" w:eastAsia="Calibri" w:hAnsi="Century Gothic" w:cs="Arial"/>
          <w:b/>
          <w:color w:val="000000" w:themeColor="text1"/>
          <w:lang w:val="es-ES_tradnl"/>
        </w:rPr>
        <w:t>3. Respuesta</w:t>
      </w:r>
    </w:p>
    <w:p w14:paraId="3C7FDEB1" w14:textId="77777777" w:rsidR="00275C28" w:rsidRPr="004C64AD" w:rsidRDefault="00275C28" w:rsidP="00275C28">
      <w:pPr>
        <w:spacing w:after="0" w:line="276" w:lineRule="auto"/>
        <w:jc w:val="both"/>
        <w:rPr>
          <w:rFonts w:ascii="Century Gothic" w:hAnsi="Century Gothic" w:cs="Arial"/>
          <w:color w:val="000000" w:themeColor="text1"/>
        </w:rPr>
      </w:pPr>
    </w:p>
    <w:p w14:paraId="108EFAE7" w14:textId="77777777" w:rsidR="00275C28" w:rsidRPr="004C64AD" w:rsidRDefault="00275C28" w:rsidP="00275C28">
      <w:pPr>
        <w:spacing w:after="0" w:line="240" w:lineRule="auto"/>
        <w:ind w:left="709" w:right="709"/>
        <w:jc w:val="both"/>
        <w:rPr>
          <w:rFonts w:ascii="Century Gothic" w:hAnsi="Century Gothic" w:cs="Arial"/>
          <w:color w:val="000000" w:themeColor="text1"/>
          <w:sz w:val="21"/>
          <w:szCs w:val="21"/>
        </w:rPr>
      </w:pPr>
      <w:r w:rsidRPr="00AB3076">
        <w:rPr>
          <w:rFonts w:ascii="Century Gothic" w:hAnsi="Century Gothic" w:cs="Arial"/>
          <w:color w:val="000000" w:themeColor="text1"/>
          <w:sz w:val="21"/>
          <w:szCs w:val="21"/>
          <w:lang w:val="es-ES_tradnl"/>
        </w:rPr>
        <w:t>Para efectos de los documentos tipo,</w:t>
      </w:r>
      <w:r>
        <w:rPr>
          <w:rFonts w:ascii="Century Gothic" w:hAnsi="Century Gothic" w:cs="Arial"/>
          <w:color w:val="000000" w:themeColor="text1"/>
          <w:sz w:val="21"/>
          <w:szCs w:val="21"/>
          <w:lang w:val="es-ES_tradnl"/>
        </w:rPr>
        <w:t xml:space="preserve"> </w:t>
      </w:r>
      <w:r w:rsidRPr="00AB3076">
        <w:rPr>
          <w:rFonts w:ascii="Century Gothic" w:hAnsi="Century Gothic" w:cs="Arial"/>
          <w:color w:val="000000" w:themeColor="text1"/>
          <w:sz w:val="21"/>
          <w:szCs w:val="21"/>
          <w:lang w:val="es-ES_tradnl"/>
        </w:rPr>
        <w:t>“¿Las personas que poseen documentos de identidad con la categoría de sexo no binario, son elegibles para la aplicación de criterios y/o factores de desempate, como los destinados a emprendimientos y empresas de mujeres?”</w:t>
      </w:r>
      <w:r w:rsidRPr="004C64AD">
        <w:rPr>
          <w:rFonts w:ascii="Century Gothic" w:hAnsi="Century Gothic" w:cs="Arial"/>
          <w:color w:val="000000" w:themeColor="text1"/>
          <w:sz w:val="21"/>
          <w:szCs w:val="21"/>
          <w:lang w:val="es-ES_tradnl"/>
        </w:rPr>
        <w:t>.</w:t>
      </w:r>
    </w:p>
    <w:p w14:paraId="583C3826" w14:textId="77777777" w:rsidR="00275C28" w:rsidRPr="004C64AD" w:rsidRDefault="00275C28" w:rsidP="00275C28">
      <w:pPr>
        <w:spacing w:after="0" w:line="276" w:lineRule="auto"/>
        <w:ind w:left="709" w:right="709"/>
        <w:jc w:val="both"/>
        <w:rPr>
          <w:rFonts w:ascii="Century Gothic" w:hAnsi="Century Gothic" w:cs="Arial"/>
          <w:color w:val="000000" w:themeColor="text1"/>
        </w:rPr>
      </w:pPr>
      <w:r w:rsidRPr="004C64AD">
        <w:rPr>
          <w:rFonts w:ascii="Century Gothic" w:hAnsi="Century Gothic" w:cs="Arial"/>
          <w:color w:val="000000" w:themeColor="text1"/>
          <w:sz w:val="21"/>
          <w:szCs w:val="21"/>
        </w:rPr>
        <w:t xml:space="preserve"> </w:t>
      </w:r>
    </w:p>
    <w:p w14:paraId="1942E78B" w14:textId="77777777" w:rsidR="00275C28" w:rsidRPr="00447431" w:rsidRDefault="00275C28" w:rsidP="00275C28">
      <w:pPr>
        <w:spacing w:after="120" w:line="276" w:lineRule="auto"/>
        <w:jc w:val="both"/>
        <w:rPr>
          <w:rFonts w:ascii="Century Gothic" w:hAnsi="Century Gothic" w:cs="Arial"/>
        </w:rPr>
      </w:pPr>
      <w:r>
        <w:rPr>
          <w:rStyle w:val="Textoennegrita"/>
          <w:rFonts w:ascii="Century Gothic" w:hAnsi="Century Gothic" w:cs="Arial"/>
          <w:b w:val="0"/>
          <w:bCs w:val="0"/>
          <w:shd w:val="clear" w:color="auto" w:fill="FFFFFF"/>
        </w:rPr>
        <w:t>E</w:t>
      </w:r>
      <w:r w:rsidRPr="00447431">
        <w:rPr>
          <w:rFonts w:ascii="Century Gothic" w:hAnsi="Century Gothic" w:cs="Arial"/>
        </w:rPr>
        <w:t xml:space="preserve">l artículo </w:t>
      </w:r>
      <w:bookmarkStart w:id="17" w:name="_Hlk111037928"/>
      <w:r w:rsidRPr="00447431">
        <w:rPr>
          <w:rFonts w:ascii="Century Gothic" w:hAnsi="Century Gothic" w:cs="Arial"/>
        </w:rPr>
        <w:t>2.2.1.2.4.2.14</w:t>
      </w:r>
      <w:bookmarkEnd w:id="17"/>
      <w:r w:rsidRPr="00447431">
        <w:rPr>
          <w:rFonts w:ascii="Century Gothic" w:hAnsi="Century Gothic" w:cs="Arial"/>
        </w:rPr>
        <w:t xml:space="preserve"> del Decreto 1082 de 2015, adicionado por el Decreto 1860 de 2021, establece diferentes definiciones de emprendimientos y empresas de mujeres, a efectos de la aplicación de los criterios diferenciales a los que se refiere el artículo 32 de la Ley 2069 de 2020. De igual forma, establece los documentos que acreditan cada una de las circunstancias por las cuales se puede demostrar que alguien tiene la calidad de emprendimiento y empresa de mujeres. Los documentos a los que se refiere la norma son, por regla general, certificaciones emitidas bajo la gravedad del juramento, acompañadas de los respectivos documentos de identidad.</w:t>
      </w:r>
    </w:p>
    <w:p w14:paraId="36B97BE4" w14:textId="77777777" w:rsidR="00275C28" w:rsidRDefault="00275C28" w:rsidP="00275C28">
      <w:pPr>
        <w:spacing w:after="120" w:line="276" w:lineRule="auto"/>
        <w:ind w:firstLine="709"/>
        <w:jc w:val="both"/>
        <w:rPr>
          <w:rFonts w:ascii="Century Gothic" w:eastAsia="Calibri" w:hAnsi="Century Gothic" w:cs="Arial"/>
          <w:bCs/>
          <w:color w:val="000000"/>
          <w:lang w:val="es-ES_tradnl"/>
        </w:rPr>
      </w:pPr>
      <w:r w:rsidRPr="00447431">
        <w:rPr>
          <w:rFonts w:ascii="Century Gothic" w:eastAsia="Calibri" w:hAnsi="Century Gothic" w:cs="Arial"/>
          <w:bCs/>
          <w:color w:val="000000"/>
          <w:lang w:val="es-ES_tradnl"/>
        </w:rPr>
        <w:t>Frente a las personas naturales</w:t>
      </w:r>
      <w:r>
        <w:rPr>
          <w:rFonts w:ascii="Century Gothic" w:eastAsia="Calibri" w:hAnsi="Century Gothic" w:cs="Arial"/>
          <w:bCs/>
          <w:color w:val="000000"/>
          <w:lang w:val="es-ES_tradnl"/>
        </w:rPr>
        <w:t>, s</w:t>
      </w:r>
      <w:r w:rsidRPr="00EE1935">
        <w:rPr>
          <w:rFonts w:ascii="Century Gothic" w:eastAsia="Calibri" w:hAnsi="Century Gothic" w:cs="Arial"/>
          <w:bCs/>
          <w:color w:val="000000"/>
          <w:lang w:val="es-ES_tradnl"/>
        </w:rPr>
        <w:t xml:space="preserve">in perjuicio de los factores de desempate </w:t>
      </w:r>
      <w:r>
        <w:rPr>
          <w:rFonts w:ascii="Century Gothic" w:eastAsia="Calibri" w:hAnsi="Century Gothic" w:cs="Arial"/>
          <w:bCs/>
          <w:color w:val="000000"/>
          <w:lang w:val="es-ES_tradnl"/>
        </w:rPr>
        <w:t>de</w:t>
      </w:r>
      <w:r w:rsidRPr="00EE1935">
        <w:rPr>
          <w:rFonts w:ascii="Century Gothic" w:eastAsia="Calibri" w:hAnsi="Century Gothic" w:cs="Arial"/>
          <w:bCs/>
          <w:color w:val="000000"/>
          <w:lang w:val="es-ES_tradnl"/>
        </w:rPr>
        <w:t xml:space="preserve"> los numerales 2 y 7 del artículo 2.2.1.2.4.2.17 del Decreto 1082 de 2015 para mujeres cabeza de familia y/o víctimas de violencia intrafamiliar</w:t>
      </w:r>
      <w:r>
        <w:rPr>
          <w:rFonts w:ascii="Century Gothic" w:eastAsia="Calibri" w:hAnsi="Century Gothic" w:cs="Arial"/>
          <w:bCs/>
          <w:color w:val="000000"/>
          <w:lang w:val="es-ES_tradnl"/>
        </w:rPr>
        <w:t xml:space="preserve">, </w:t>
      </w:r>
      <w:r w:rsidRPr="00447431">
        <w:rPr>
          <w:rFonts w:ascii="Century Gothic" w:eastAsia="Calibri" w:hAnsi="Century Gothic" w:cs="Arial"/>
          <w:bCs/>
          <w:color w:val="000000"/>
          <w:lang w:val="es-ES_tradnl"/>
        </w:rPr>
        <w:t>el numeral 3 del artículo 2.2.1.2.4.2.14</w:t>
      </w:r>
      <w:r>
        <w:rPr>
          <w:rFonts w:ascii="Century Gothic" w:eastAsia="Calibri" w:hAnsi="Century Gothic" w:cs="Arial"/>
          <w:bCs/>
          <w:color w:val="000000"/>
          <w:lang w:val="es-ES_tradnl"/>
        </w:rPr>
        <w:t xml:space="preserve"> </w:t>
      </w:r>
      <w:r w:rsidRPr="00EE1935">
        <w:rPr>
          <w:rFonts w:ascii="Century Gothic" w:eastAsia="Calibri" w:hAnsi="Century Gothic" w:cs="Arial"/>
          <w:bCs/>
          <w:i/>
          <w:iCs/>
          <w:color w:val="000000"/>
          <w:lang w:val="es-ES_tradnl"/>
        </w:rPr>
        <w:t>ibidem</w:t>
      </w:r>
      <w:r>
        <w:rPr>
          <w:rFonts w:ascii="Century Gothic" w:eastAsia="Calibri" w:hAnsi="Century Gothic" w:cs="Arial"/>
          <w:bCs/>
          <w:color w:val="000000"/>
          <w:lang w:val="es-ES_tradnl"/>
        </w:rPr>
        <w:t xml:space="preserve"> dispuso</w:t>
      </w:r>
      <w:r w:rsidRPr="00447431">
        <w:rPr>
          <w:rFonts w:ascii="Century Gothic" w:eastAsia="Calibri" w:hAnsi="Century Gothic" w:cs="Arial"/>
          <w:bCs/>
          <w:color w:val="000000"/>
          <w:lang w:val="es-ES_tradnl"/>
        </w:rPr>
        <w:t xml:space="preserve"> las condiciones para que esta sea catalogada como acreedora de un emprendimiento o empresa de mujeres, bajo el entendido en que “sea una mujer y haya ejercido actividades comerciales a través de un establecimiento de comercio durante al menos el último año anterior a la fecha de cierre del proceso de selección” y acreditando esta circunstancia “mediante la copia de cédula de ciudadanía, la cédula de extranjería o el pasaporte, así como la copia del registro mercantil”. </w:t>
      </w:r>
    </w:p>
    <w:p w14:paraId="04D29CBE" w14:textId="77777777" w:rsidR="00275C28" w:rsidRPr="00D7715D" w:rsidRDefault="00275C28" w:rsidP="00275C28">
      <w:pPr>
        <w:spacing w:after="120" w:line="276" w:lineRule="auto"/>
        <w:ind w:firstLine="709"/>
        <w:jc w:val="both"/>
        <w:rPr>
          <w:rFonts w:ascii="Century Gothic" w:hAnsi="Century Gothic" w:cs="Arial"/>
        </w:rPr>
      </w:pPr>
      <w:r>
        <w:rPr>
          <w:rFonts w:ascii="Century Gothic" w:eastAsia="Calibri" w:hAnsi="Century Gothic" w:cs="Arial"/>
          <w:bCs/>
          <w:color w:val="000000"/>
          <w:lang w:val="es-ES_tradnl"/>
        </w:rPr>
        <w:t xml:space="preserve">Ahora bien, </w:t>
      </w:r>
      <w:r w:rsidRPr="00D7715D">
        <w:rPr>
          <w:rFonts w:ascii="Century Gothic" w:hAnsi="Century Gothic" w:cs="Arial"/>
        </w:rPr>
        <w:t>partiendo de la concepción de la identidad de género como una construcción individual, se precisa entonces que el componente “</w:t>
      </w:r>
      <w:r w:rsidRPr="00D7715D">
        <w:rPr>
          <w:rFonts w:ascii="Century Gothic" w:hAnsi="Century Gothic" w:cs="Arial"/>
          <w:i/>
        </w:rPr>
        <w:t>sexo”</w:t>
      </w:r>
      <w:r w:rsidRPr="00D7715D">
        <w:rPr>
          <w:rFonts w:ascii="Century Gothic" w:hAnsi="Century Gothic" w:cs="Arial"/>
        </w:rPr>
        <w:t xml:space="preserve"> que </w:t>
      </w:r>
      <w:r w:rsidRPr="00D7715D">
        <w:rPr>
          <w:rFonts w:ascii="Century Gothic" w:hAnsi="Century Gothic" w:cs="Arial"/>
        </w:rPr>
        <w:lastRenderedPageBreak/>
        <w:t>registra en la identificación de las personas, evolucionó en tal medida que la información consignada en este campo o ítem, por decirlo de alguna manera, debe entenderse como una decisión personal y no como una asignación ligada al sexo con el que se nace. Es por ello por lo que las personas tienen la potestad de modificar su marcador de “sexo” para que coincida con su identidad, en caso de que requiera hacer el tránsito formal hacia otro género. Sobre el particular se ha indicado de manera reiterada que las personas con orientaciones de género diversas tienen derecho a adecuar sus documentos de identificación para que reflejen la identidad que les singulariza, de modo que sean tratadas socialmente en la forma en que se auto reconocen</w:t>
      </w:r>
      <w:r w:rsidRPr="00D7715D">
        <w:rPr>
          <w:rFonts w:ascii="Century Gothic" w:hAnsi="Century Gothic" w:cs="Arial"/>
          <w:vertAlign w:val="superscript"/>
        </w:rPr>
        <w:footnoteReference w:id="25"/>
      </w:r>
      <w:r w:rsidRPr="00D7715D">
        <w:rPr>
          <w:rFonts w:ascii="Century Gothic" w:hAnsi="Century Gothic" w:cs="Arial"/>
        </w:rPr>
        <w:t xml:space="preserve">. </w:t>
      </w:r>
    </w:p>
    <w:p w14:paraId="1ED3E05E" w14:textId="77777777" w:rsidR="00275C28" w:rsidRDefault="00275C28" w:rsidP="00275C28">
      <w:pPr>
        <w:spacing w:after="120" w:line="276" w:lineRule="auto"/>
        <w:ind w:firstLine="709"/>
        <w:jc w:val="both"/>
        <w:rPr>
          <w:rFonts w:ascii="Century Gothic" w:hAnsi="Century Gothic" w:cs="Arial"/>
        </w:rPr>
      </w:pPr>
      <w:r w:rsidRPr="00D7715D">
        <w:rPr>
          <w:rFonts w:ascii="Century Gothic" w:hAnsi="Century Gothic" w:cs="Arial"/>
        </w:rPr>
        <w:t xml:space="preserve">Conforme a lo anterior, independientemente de la libertad y autonomía que asiste a las personas para ejercer su derecho a la </w:t>
      </w:r>
      <w:r w:rsidRPr="00D7715D">
        <w:rPr>
          <w:rFonts w:ascii="Century Gothic" w:hAnsi="Century Gothic" w:cs="Arial"/>
          <w:i/>
          <w:iCs/>
        </w:rPr>
        <w:t>identidad de género,</w:t>
      </w:r>
      <w:r w:rsidRPr="00D7715D">
        <w:rPr>
          <w:rFonts w:ascii="Century Gothic" w:hAnsi="Century Gothic" w:cs="Arial"/>
        </w:rPr>
        <w:t xml:space="preserve"> la acreditación de la condición de mujer en el marco de los Procesos de Contratación, para efectos de la aplicación de los mencionados criterios diferenciales, se encuentra asociada a la categoría “femenino” indicado en el marcado</w:t>
      </w:r>
      <w:r>
        <w:rPr>
          <w:rFonts w:ascii="Century Gothic" w:hAnsi="Century Gothic" w:cs="Arial"/>
        </w:rPr>
        <w:t>r</w:t>
      </w:r>
      <w:r w:rsidRPr="00D7715D">
        <w:rPr>
          <w:rFonts w:ascii="Century Gothic" w:hAnsi="Century Gothic" w:cs="Arial"/>
        </w:rPr>
        <w:t xml:space="preserve"> “sexo”,</w:t>
      </w:r>
      <w:r>
        <w:rPr>
          <w:rFonts w:ascii="Century Gothic" w:hAnsi="Century Gothic" w:cs="Arial"/>
        </w:rPr>
        <w:t xml:space="preserve"> </w:t>
      </w:r>
      <w:r w:rsidRPr="00D7715D">
        <w:rPr>
          <w:rFonts w:ascii="Century Gothic" w:hAnsi="Century Gothic" w:cs="Arial"/>
        </w:rPr>
        <w:t xml:space="preserve">por lo que necesariamente se exige la presentación de documentos de identidad en los que se indique la identidad de género de esta manera, como presupuesto para acceder al incentivo, lo cual resulta apenas razonable ante la necesidad de que estos incentivos se apliquen a sus reales destinatarios. </w:t>
      </w:r>
    </w:p>
    <w:p w14:paraId="41534A98" w14:textId="77777777" w:rsidR="00275C28" w:rsidRDefault="00275C28" w:rsidP="00275C28">
      <w:pPr>
        <w:spacing w:after="120" w:line="276" w:lineRule="auto"/>
        <w:ind w:firstLine="709"/>
        <w:jc w:val="both"/>
        <w:rPr>
          <w:rFonts w:ascii="Century Gothic" w:hAnsi="Century Gothic" w:cs="Arial"/>
        </w:rPr>
      </w:pPr>
      <w:r w:rsidRPr="00D7715D">
        <w:rPr>
          <w:rFonts w:ascii="Century Gothic" w:hAnsi="Century Gothic" w:cs="Arial"/>
        </w:rPr>
        <w:t xml:space="preserve">En ese sentido, sin la presentación de un documento de identidad en estas condiciones, difícilmente podría una entidad dar por acreditada alguna de las definiciones de emprendimientos y empresas de mujeres establecidas en el artículo 2.2.1.2.4.2.14 del Decreto 1082 de 2015. </w:t>
      </w:r>
      <w:r>
        <w:rPr>
          <w:rFonts w:ascii="Century Gothic" w:hAnsi="Century Gothic" w:cs="Arial"/>
        </w:rPr>
        <w:t>Asi</w:t>
      </w:r>
      <w:r w:rsidRPr="00D7715D">
        <w:rPr>
          <w:rFonts w:ascii="Century Gothic" w:hAnsi="Century Gothic" w:cs="Arial"/>
        </w:rPr>
        <w:t xml:space="preserve">mismo, un documento en el que se declare determinada persona se identifica con el género femenino o como mujer no podría remplazar o sustituir el documento de identidad, conforme se colige de la referida tarifa legal. </w:t>
      </w:r>
    </w:p>
    <w:p w14:paraId="336177E5" w14:textId="4A59B20E" w:rsidR="00275C28" w:rsidRPr="00447431" w:rsidRDefault="00275C28" w:rsidP="00275C28">
      <w:pPr>
        <w:spacing w:after="0" w:line="276" w:lineRule="auto"/>
        <w:ind w:firstLine="709"/>
        <w:jc w:val="both"/>
        <w:rPr>
          <w:rFonts w:ascii="Century Gothic" w:eastAsia="Calibri" w:hAnsi="Century Gothic" w:cs="Arial"/>
          <w:bCs/>
          <w:color w:val="000000"/>
          <w:lang w:val="es-ES_tradnl"/>
        </w:rPr>
      </w:pPr>
      <w:r>
        <w:rPr>
          <w:rFonts w:ascii="Century Gothic" w:hAnsi="Century Gothic" w:cs="Arial"/>
        </w:rPr>
        <w:t xml:space="preserve">De acuerdo con la Sentencia T-033 de 2022, con ponencia de la Magistrada </w:t>
      </w:r>
      <w:r w:rsidRPr="00867654">
        <w:rPr>
          <w:rFonts w:ascii="Century Gothic" w:hAnsi="Century Gothic" w:cs="Arial"/>
        </w:rPr>
        <w:t>Gloria Stella Ortiz Delgado</w:t>
      </w:r>
      <w:r>
        <w:rPr>
          <w:rFonts w:ascii="Century Gothic" w:hAnsi="Century Gothic" w:cs="Arial"/>
        </w:rPr>
        <w:t>, la Corte Constitucional explica que “</w:t>
      </w:r>
      <w:r w:rsidRPr="00867654">
        <w:rPr>
          <w:rFonts w:ascii="Century Gothic" w:hAnsi="Century Gothic" w:cs="Arial"/>
        </w:rPr>
        <w:t>La identidad de género no binaria es comprendida como aquella que, al no concebirse en el marco de las categorías dicotómicas, masculino o femenino, se aleja del sistema mayoritario de sexo-género, binario por tradición cultural. Las personas no binarias no se encuentran representadas, en sus vivencias, por ninguna de las categorías de género existentes en ese sistema</w:t>
      </w:r>
      <w:r>
        <w:rPr>
          <w:rFonts w:ascii="Century Gothic" w:hAnsi="Century Gothic" w:cs="Arial"/>
        </w:rPr>
        <w:t xml:space="preserve">”. Dado que las personas no binarias no se </w:t>
      </w:r>
      <w:r>
        <w:rPr>
          <w:rFonts w:ascii="Century Gothic" w:hAnsi="Century Gothic" w:cs="Arial"/>
        </w:rPr>
        <w:lastRenderedPageBreak/>
        <w:t>identifican como hombres ni, mucho menos, como mujeres, quienes posean</w:t>
      </w:r>
      <w:r w:rsidRPr="00867654">
        <w:rPr>
          <w:rFonts w:ascii="Century Gothic" w:hAnsi="Century Gothic" w:cs="Arial"/>
        </w:rPr>
        <w:t xml:space="preserve"> documentos de identidad con la categ</w:t>
      </w:r>
      <w:r>
        <w:rPr>
          <w:rFonts w:ascii="Century Gothic" w:hAnsi="Century Gothic" w:cs="Arial"/>
        </w:rPr>
        <w:t xml:space="preserve">oría NB no son destinatarios de los incentivos previstos en el </w:t>
      </w:r>
      <w:r w:rsidRPr="00867654">
        <w:rPr>
          <w:rFonts w:ascii="Century Gothic" w:hAnsi="Century Gothic" w:cs="Arial"/>
        </w:rPr>
        <w:t>2.2.1.2.4.2.15</w:t>
      </w:r>
      <w:r>
        <w:rPr>
          <w:rFonts w:ascii="Century Gothic" w:hAnsi="Century Gothic" w:cs="Arial"/>
        </w:rPr>
        <w:t xml:space="preserve"> del Decreto 1082 de 2015 para emprendimientos y empresas de mujeres. Por la misma razón, teniendo en cuenta el género consignado en los documentos de identidad, tampoco son mujeres para </w:t>
      </w:r>
      <w:r w:rsidRPr="000E61DC">
        <w:rPr>
          <w:rFonts w:ascii="Century Gothic" w:eastAsia="Calibri" w:hAnsi="Century Gothic" w:cs="Arial"/>
          <w:lang w:val="es-ES_tradnl"/>
        </w:rPr>
        <w:t xml:space="preserve">los factores de desempate </w:t>
      </w:r>
      <w:r>
        <w:rPr>
          <w:rFonts w:ascii="Century Gothic" w:eastAsia="Calibri" w:hAnsi="Century Gothic" w:cs="Arial"/>
          <w:lang w:val="es-ES_tradnl"/>
        </w:rPr>
        <w:t>de</w:t>
      </w:r>
      <w:r w:rsidRPr="000E61DC">
        <w:rPr>
          <w:rFonts w:ascii="Century Gothic" w:eastAsia="Calibri" w:hAnsi="Century Gothic" w:cs="Arial"/>
          <w:lang w:val="es-ES_tradnl"/>
        </w:rPr>
        <w:t xml:space="preserve"> los numerales 2 y 7 del artículo 2.2.1.2.4.2.17 del Decreto 1082 de 2015</w:t>
      </w:r>
      <w:r>
        <w:rPr>
          <w:rFonts w:ascii="Century Gothic" w:eastAsia="Calibri" w:hAnsi="Century Gothic" w:cs="Arial"/>
          <w:lang w:val="es-ES_tradnl"/>
        </w:rPr>
        <w:t>, por lo que también son inaplicables a las personas no binarias. Lo anterior al margen de que el procedimiento se rija o no por documentos tipo, dado que la regulación de los incentivos de la Ley de Emprendimiento es transversal al sistema de compras públicas.</w:t>
      </w:r>
    </w:p>
    <w:p w14:paraId="3D415B64" w14:textId="77777777" w:rsidR="00275C28" w:rsidRPr="004C64AD" w:rsidRDefault="00275C28" w:rsidP="00275C28">
      <w:pPr>
        <w:spacing w:after="120" w:line="276" w:lineRule="auto"/>
        <w:jc w:val="both"/>
        <w:rPr>
          <w:rFonts w:ascii="Century Gothic" w:eastAsia="Arial" w:hAnsi="Century Gothic" w:cs="Arial"/>
          <w:lang w:val="es-ES" w:eastAsia="es-ES" w:bidi="es-ES"/>
        </w:rPr>
      </w:pPr>
    </w:p>
    <w:p w14:paraId="0F5BE4F2" w14:textId="77777777" w:rsidR="00275C28" w:rsidRPr="004C64AD" w:rsidRDefault="00275C28" w:rsidP="00275C28">
      <w:pPr>
        <w:widowControl w:val="0"/>
        <w:autoSpaceDE w:val="0"/>
        <w:autoSpaceDN w:val="0"/>
        <w:spacing w:after="0" w:line="276" w:lineRule="auto"/>
        <w:jc w:val="both"/>
        <w:rPr>
          <w:rFonts w:ascii="Century Gothic" w:hAnsi="Century Gothic" w:cs="Arial"/>
          <w:color w:val="000000" w:themeColor="text1"/>
          <w:lang w:val="es-ES_tradnl" w:bidi="es-ES"/>
        </w:rPr>
      </w:pPr>
      <w:r w:rsidRPr="004C64AD">
        <w:rPr>
          <w:rFonts w:ascii="Century Gothic" w:hAnsi="Century Gothic" w:cs="Arial"/>
          <w:color w:val="000000" w:themeColor="text1"/>
          <w:lang w:val="es-ES_tradnl"/>
        </w:rPr>
        <w:t>Este concepto tiene el alcance previsto en el artículo 28 del Código de Procedimiento Administrativo y de lo Contencioso Administrativo.</w:t>
      </w:r>
    </w:p>
    <w:p w14:paraId="536AD4AE" w14:textId="77777777" w:rsidR="00275C28" w:rsidRPr="004C64AD" w:rsidRDefault="00275C28" w:rsidP="00275C28">
      <w:pPr>
        <w:widowControl w:val="0"/>
        <w:autoSpaceDE w:val="0"/>
        <w:autoSpaceDN w:val="0"/>
        <w:spacing w:after="0" w:line="276" w:lineRule="auto"/>
        <w:jc w:val="both"/>
        <w:rPr>
          <w:rFonts w:ascii="Century Gothic" w:hAnsi="Century Gothic" w:cs="Arial"/>
          <w:color w:val="000000" w:themeColor="text1"/>
          <w:lang w:val="es-ES_tradnl" w:bidi="es-ES"/>
        </w:rPr>
      </w:pPr>
    </w:p>
    <w:p w14:paraId="446DFCF7" w14:textId="77777777" w:rsidR="00275C28" w:rsidRPr="004C64AD" w:rsidRDefault="00275C28" w:rsidP="00275C28">
      <w:pPr>
        <w:tabs>
          <w:tab w:val="left" w:pos="426"/>
        </w:tabs>
        <w:spacing w:after="0" w:line="276" w:lineRule="auto"/>
        <w:jc w:val="both"/>
        <w:rPr>
          <w:rFonts w:ascii="Century Gothic" w:eastAsia="Times New Roman" w:hAnsi="Century Gothic" w:cs="Arial"/>
          <w:color w:val="000000" w:themeColor="text1"/>
        </w:rPr>
      </w:pPr>
      <w:r w:rsidRPr="004C64AD">
        <w:rPr>
          <w:rFonts w:ascii="Century Gothic" w:eastAsia="Times New Roman" w:hAnsi="Century Gothic" w:cs="Arial"/>
          <w:color w:val="000000" w:themeColor="text1"/>
        </w:rPr>
        <w:t>Atentamente,</w:t>
      </w:r>
    </w:p>
    <w:p w14:paraId="4A8E5CD5" w14:textId="4A771FDB" w:rsidR="00275C28" w:rsidRPr="004C64AD" w:rsidRDefault="00CC266A" w:rsidP="00275C28">
      <w:pPr>
        <w:spacing w:after="0"/>
        <w:jc w:val="center"/>
        <w:rPr>
          <w:rFonts w:ascii="Century Gothic" w:eastAsia="Times New Roman" w:hAnsi="Century Gothic" w:cs="Arial"/>
          <w:lang w:eastAsia="es-CO"/>
        </w:rPr>
      </w:pPr>
      <w:r>
        <w:rPr>
          <w:noProof/>
        </w:rPr>
        <w:drawing>
          <wp:inline distT="0" distB="0" distL="0" distR="0" wp14:anchorId="570DF2AB" wp14:editId="4D23695B">
            <wp:extent cx="3152775" cy="1209675"/>
            <wp:effectExtent l="0" t="0" r="9525" b="9525"/>
            <wp:docPr id="136766671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66717" name="Imagen 1" descr="Texto&#10;&#10;Descripción generada automáticament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275C28" w:rsidRPr="004C64AD" w14:paraId="0F83382B" w14:textId="77777777" w:rsidTr="00DF0798">
        <w:trPr>
          <w:trHeight w:val="409"/>
        </w:trPr>
        <w:tc>
          <w:tcPr>
            <w:tcW w:w="817" w:type="dxa"/>
            <w:tcBorders>
              <w:top w:val="nil"/>
              <w:left w:val="nil"/>
              <w:bottom w:val="nil"/>
              <w:right w:val="nil"/>
            </w:tcBorders>
            <w:vAlign w:val="center"/>
            <w:hideMark/>
          </w:tcPr>
          <w:p w14:paraId="528C2DB2" w14:textId="77777777" w:rsidR="00275C28" w:rsidRPr="004C64AD" w:rsidRDefault="00275C28" w:rsidP="00DF0798">
            <w:pPr>
              <w:spacing w:after="0" w:line="240" w:lineRule="auto"/>
              <w:jc w:val="both"/>
              <w:rPr>
                <w:rFonts w:ascii="Century Gothic" w:hAnsi="Century Gothic" w:cs="Arial"/>
                <w:sz w:val="16"/>
                <w:szCs w:val="16"/>
              </w:rPr>
            </w:pPr>
            <w:r w:rsidRPr="004C64AD">
              <w:rPr>
                <w:rFonts w:ascii="Century Gothic" w:hAnsi="Century Gothic"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66C1E918" w14:textId="77777777" w:rsidR="00275C28" w:rsidRPr="004C64AD" w:rsidRDefault="00275C28" w:rsidP="00DF0798">
            <w:pPr>
              <w:spacing w:after="0" w:line="240" w:lineRule="auto"/>
              <w:jc w:val="both"/>
              <w:rPr>
                <w:rFonts w:ascii="Century Gothic" w:hAnsi="Century Gothic" w:cs="Arial"/>
                <w:sz w:val="16"/>
                <w:szCs w:val="16"/>
              </w:rPr>
            </w:pPr>
            <w:r w:rsidRPr="004C64AD">
              <w:rPr>
                <w:rFonts w:ascii="Century Gothic" w:hAnsi="Century Gothic" w:cs="Arial"/>
                <w:sz w:val="16"/>
                <w:szCs w:val="16"/>
              </w:rPr>
              <w:t>Juan David Montoya Penagos</w:t>
            </w:r>
          </w:p>
          <w:p w14:paraId="381818FB" w14:textId="77777777" w:rsidR="00275C28" w:rsidRPr="004C64AD" w:rsidRDefault="00275C28" w:rsidP="00DF0798">
            <w:pPr>
              <w:spacing w:after="0" w:line="240" w:lineRule="auto"/>
              <w:jc w:val="both"/>
              <w:rPr>
                <w:rFonts w:ascii="Century Gothic" w:hAnsi="Century Gothic" w:cs="Arial"/>
                <w:sz w:val="16"/>
                <w:szCs w:val="16"/>
              </w:rPr>
            </w:pPr>
            <w:r w:rsidRPr="004C64AD">
              <w:rPr>
                <w:rFonts w:ascii="Century Gothic" w:hAnsi="Century Gothic" w:cs="Arial"/>
                <w:sz w:val="16"/>
                <w:szCs w:val="16"/>
              </w:rPr>
              <w:t>Contratista de la Subdirección de Gestión Contractual</w:t>
            </w:r>
          </w:p>
        </w:tc>
      </w:tr>
      <w:tr w:rsidR="00275C28" w:rsidRPr="004C64AD" w14:paraId="2EBFBF9D" w14:textId="77777777" w:rsidTr="00DF0798">
        <w:trPr>
          <w:trHeight w:val="409"/>
        </w:trPr>
        <w:tc>
          <w:tcPr>
            <w:tcW w:w="817" w:type="dxa"/>
            <w:tcBorders>
              <w:top w:val="nil"/>
              <w:left w:val="nil"/>
              <w:right w:val="nil"/>
            </w:tcBorders>
            <w:vAlign w:val="center"/>
          </w:tcPr>
          <w:p w14:paraId="380E7B13" w14:textId="77777777" w:rsidR="00275C28" w:rsidRPr="004C64AD" w:rsidRDefault="00275C28" w:rsidP="00DF0798">
            <w:pPr>
              <w:spacing w:after="0"/>
              <w:jc w:val="both"/>
              <w:rPr>
                <w:rFonts w:ascii="Century Gothic" w:hAnsi="Century Gothic" w:cs="Arial"/>
                <w:sz w:val="16"/>
                <w:szCs w:val="16"/>
              </w:rPr>
            </w:pPr>
            <w:r w:rsidRPr="004C64AD">
              <w:rPr>
                <w:rFonts w:ascii="Century Gothic" w:hAnsi="Century Gothic"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1E945D3F" w14:textId="77777777" w:rsidR="00275C28" w:rsidRPr="00EA4564" w:rsidRDefault="00275C28" w:rsidP="00DF0798">
            <w:pPr>
              <w:spacing w:after="0" w:line="240" w:lineRule="auto"/>
              <w:jc w:val="both"/>
              <w:rPr>
                <w:rFonts w:ascii="Century Gothic" w:hAnsi="Century Gothic" w:cs="Arial"/>
                <w:sz w:val="16"/>
                <w:szCs w:val="16"/>
              </w:rPr>
            </w:pPr>
            <w:r w:rsidRPr="00EA4564">
              <w:rPr>
                <w:rFonts w:ascii="Century Gothic" w:hAnsi="Century Gothic" w:cs="Arial"/>
                <w:sz w:val="16"/>
                <w:szCs w:val="16"/>
              </w:rPr>
              <w:t xml:space="preserve">Juan David Cárdenas Cabeza </w:t>
            </w:r>
          </w:p>
          <w:p w14:paraId="3CCA0F75" w14:textId="77777777" w:rsidR="00275C28" w:rsidRPr="004C64AD" w:rsidRDefault="00275C28" w:rsidP="00DF0798">
            <w:pPr>
              <w:spacing w:after="0" w:line="240" w:lineRule="auto"/>
              <w:jc w:val="both"/>
              <w:rPr>
                <w:rFonts w:ascii="Century Gothic" w:hAnsi="Century Gothic" w:cs="Arial"/>
                <w:sz w:val="16"/>
                <w:szCs w:val="16"/>
              </w:rPr>
            </w:pPr>
            <w:r w:rsidRPr="00EA4564">
              <w:rPr>
                <w:rFonts w:ascii="Century Gothic" w:hAnsi="Century Gothic" w:cs="Arial"/>
                <w:sz w:val="16"/>
                <w:szCs w:val="16"/>
              </w:rPr>
              <w:t>Contratista de la Subdirección de Gestión Contractual</w:t>
            </w:r>
          </w:p>
        </w:tc>
      </w:tr>
      <w:tr w:rsidR="00275C28" w:rsidRPr="004C64AD" w14:paraId="0E93EA89" w14:textId="77777777" w:rsidTr="00DF0798">
        <w:trPr>
          <w:trHeight w:val="389"/>
        </w:trPr>
        <w:tc>
          <w:tcPr>
            <w:tcW w:w="817" w:type="dxa"/>
            <w:tcBorders>
              <w:top w:val="nil"/>
              <w:left w:val="nil"/>
              <w:bottom w:val="nil"/>
              <w:right w:val="nil"/>
            </w:tcBorders>
            <w:vAlign w:val="center"/>
            <w:hideMark/>
          </w:tcPr>
          <w:p w14:paraId="0D26C826" w14:textId="77777777" w:rsidR="00275C28" w:rsidRPr="004C64AD" w:rsidRDefault="00275C28" w:rsidP="00DF0798">
            <w:pPr>
              <w:spacing w:after="0" w:line="240" w:lineRule="auto"/>
              <w:jc w:val="both"/>
              <w:rPr>
                <w:rFonts w:ascii="Century Gothic" w:hAnsi="Century Gothic" w:cs="Arial"/>
                <w:sz w:val="16"/>
                <w:szCs w:val="16"/>
              </w:rPr>
            </w:pPr>
            <w:r w:rsidRPr="004C64AD">
              <w:rPr>
                <w:rFonts w:ascii="Century Gothic" w:hAnsi="Century Gothic"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23D912AD" w14:textId="77777777" w:rsidR="00275C28" w:rsidRPr="004C64AD" w:rsidRDefault="00275C28" w:rsidP="00DF0798">
            <w:pPr>
              <w:spacing w:after="0" w:line="240" w:lineRule="auto"/>
              <w:jc w:val="both"/>
              <w:rPr>
                <w:rFonts w:ascii="Century Gothic" w:hAnsi="Century Gothic" w:cs="Arial"/>
                <w:sz w:val="16"/>
                <w:szCs w:val="16"/>
              </w:rPr>
            </w:pPr>
            <w:r w:rsidRPr="004C64AD">
              <w:rPr>
                <w:rFonts w:ascii="Century Gothic" w:hAnsi="Century Gothic" w:cs="Arial"/>
                <w:sz w:val="16"/>
                <w:szCs w:val="16"/>
              </w:rPr>
              <w:t>Nohelia del Carmen Zawady Palacio</w:t>
            </w:r>
          </w:p>
          <w:p w14:paraId="59AE4B84" w14:textId="77777777" w:rsidR="00275C28" w:rsidRPr="004C64AD" w:rsidRDefault="00275C28" w:rsidP="00DF0798">
            <w:pPr>
              <w:spacing w:after="0" w:line="240" w:lineRule="auto"/>
              <w:jc w:val="both"/>
              <w:rPr>
                <w:rFonts w:ascii="Century Gothic" w:hAnsi="Century Gothic" w:cs="Arial"/>
                <w:sz w:val="16"/>
                <w:szCs w:val="16"/>
              </w:rPr>
            </w:pPr>
            <w:r w:rsidRPr="004C64AD">
              <w:rPr>
                <w:rFonts w:ascii="Century Gothic" w:hAnsi="Century Gothic" w:cs="Arial"/>
                <w:sz w:val="16"/>
                <w:szCs w:val="16"/>
              </w:rPr>
              <w:t xml:space="preserve">Subdirectora de Gestión Contractual ANCP </w:t>
            </w:r>
            <w:r>
              <w:rPr>
                <w:rFonts w:ascii="Century Gothic" w:hAnsi="Century Gothic" w:cs="Arial"/>
                <w:sz w:val="16"/>
                <w:szCs w:val="16"/>
              </w:rPr>
              <w:t>–</w:t>
            </w:r>
            <w:r w:rsidRPr="004C64AD">
              <w:rPr>
                <w:rFonts w:ascii="Century Gothic" w:hAnsi="Century Gothic" w:cs="Arial"/>
                <w:sz w:val="16"/>
                <w:szCs w:val="16"/>
              </w:rPr>
              <w:t xml:space="preserve"> CCE</w:t>
            </w:r>
          </w:p>
        </w:tc>
      </w:tr>
      <w:bookmarkEnd w:id="2"/>
    </w:tbl>
    <w:p w14:paraId="5B994C9B" w14:textId="77777777" w:rsidR="00275C28" w:rsidRPr="004C64AD" w:rsidRDefault="00275C28" w:rsidP="00275C28">
      <w:pPr>
        <w:tabs>
          <w:tab w:val="left" w:pos="0"/>
        </w:tabs>
        <w:spacing w:after="0" w:line="276" w:lineRule="auto"/>
        <w:contextualSpacing/>
        <w:jc w:val="both"/>
        <w:rPr>
          <w:rFonts w:ascii="Century Gothic" w:hAnsi="Century Gothic"/>
          <w:lang w:val="es-MX"/>
        </w:rPr>
      </w:pPr>
    </w:p>
    <w:p w14:paraId="231CB10D" w14:textId="77777777" w:rsidR="00275C28" w:rsidRPr="004C64AD" w:rsidRDefault="00275C28" w:rsidP="00275C28">
      <w:pPr>
        <w:spacing w:after="0"/>
        <w:rPr>
          <w:rFonts w:ascii="Century Gothic" w:hAnsi="Century Gothic"/>
        </w:rPr>
      </w:pPr>
    </w:p>
    <w:p w14:paraId="0F293BF4" w14:textId="4E630EB9" w:rsidR="00127233" w:rsidRPr="00275C28" w:rsidRDefault="00E245AB" w:rsidP="00275C28">
      <w:r w:rsidRPr="00275C28">
        <w:t xml:space="preserve"> </w:t>
      </w:r>
    </w:p>
    <w:sectPr w:rsidR="00127233" w:rsidRPr="00275C28" w:rsidSect="008B716F">
      <w:headerReference w:type="default" r:id="rId12"/>
      <w:footerReference w:type="default" r:id="rId13"/>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E205D" w14:textId="77777777" w:rsidR="008B716F" w:rsidRDefault="008B716F" w:rsidP="004A1847">
      <w:pPr>
        <w:spacing w:after="0" w:line="240" w:lineRule="auto"/>
      </w:pPr>
      <w:r>
        <w:separator/>
      </w:r>
    </w:p>
  </w:endnote>
  <w:endnote w:type="continuationSeparator" w:id="0">
    <w:p w14:paraId="273E8B5E" w14:textId="77777777" w:rsidR="008B716F" w:rsidRDefault="008B716F" w:rsidP="004A1847">
      <w:pPr>
        <w:spacing w:after="0" w:line="240" w:lineRule="auto"/>
      </w:pPr>
      <w:r>
        <w:continuationSeparator/>
      </w:r>
    </w:p>
  </w:endnote>
  <w:endnote w:type="continuationNotice" w:id="1">
    <w:p w14:paraId="2549906C" w14:textId="77777777" w:rsidR="008B716F" w:rsidRDefault="008B71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2A942425"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2F9643A"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F613A2">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3EF9ACCC"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27B7F278"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790F4" w14:textId="77777777" w:rsidR="008B716F" w:rsidRDefault="008B716F" w:rsidP="004A1847">
      <w:pPr>
        <w:spacing w:after="0" w:line="240" w:lineRule="auto"/>
      </w:pPr>
      <w:r>
        <w:separator/>
      </w:r>
    </w:p>
  </w:footnote>
  <w:footnote w:type="continuationSeparator" w:id="0">
    <w:p w14:paraId="4B667F5D" w14:textId="77777777" w:rsidR="008B716F" w:rsidRDefault="008B716F" w:rsidP="004A1847">
      <w:pPr>
        <w:spacing w:after="0" w:line="240" w:lineRule="auto"/>
      </w:pPr>
      <w:r>
        <w:continuationSeparator/>
      </w:r>
    </w:p>
  </w:footnote>
  <w:footnote w:type="continuationNotice" w:id="1">
    <w:p w14:paraId="0C7CD89D" w14:textId="77777777" w:rsidR="008B716F" w:rsidRDefault="008B716F">
      <w:pPr>
        <w:spacing w:after="0" w:line="240" w:lineRule="auto"/>
      </w:pPr>
    </w:p>
  </w:footnote>
  <w:footnote w:id="2">
    <w:p w14:paraId="0E401EC7" w14:textId="77777777" w:rsidR="00275C28" w:rsidRPr="00D7715D" w:rsidRDefault="00275C28" w:rsidP="00275C28">
      <w:pPr>
        <w:pStyle w:val="Textonotapie"/>
        <w:ind w:firstLine="708"/>
        <w:jc w:val="both"/>
        <w:rPr>
          <w:rFonts w:ascii="Century Gothic" w:hAnsi="Century Gothic" w:cs="Arial"/>
          <w:sz w:val="16"/>
          <w:szCs w:val="16"/>
        </w:rPr>
      </w:pPr>
      <w:r w:rsidRPr="00D7715D">
        <w:rPr>
          <w:rStyle w:val="Refdenotaalpie"/>
          <w:rFonts w:ascii="Century Gothic" w:hAnsi="Century Gothic" w:cs="Arial"/>
          <w:sz w:val="16"/>
          <w:szCs w:val="16"/>
        </w:rPr>
        <w:footnoteRef/>
      </w:r>
      <w:r w:rsidRPr="00D7715D">
        <w:rPr>
          <w:rFonts w:ascii="Century Gothic" w:hAnsi="Century Gothic"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D7715D">
          <w:rPr>
            <w:rStyle w:val="Hipervnculo"/>
            <w:rFonts w:ascii="Century Gothic" w:hAnsi="Century Gothic" w:cs="Arial"/>
            <w:sz w:val="16"/>
            <w:szCs w:val="16"/>
          </w:rPr>
          <w:t>https://relatoria.colombiacompra.gov.co/busqueda/conceptos</w:t>
        </w:r>
      </w:hyperlink>
      <w:r w:rsidRPr="00D7715D">
        <w:rPr>
          <w:rStyle w:val="Hipervnculo"/>
          <w:rFonts w:ascii="Century Gothic" w:hAnsi="Century Gothic" w:cs="Arial"/>
          <w:sz w:val="16"/>
          <w:szCs w:val="16"/>
        </w:rPr>
        <w:t xml:space="preserve">. </w:t>
      </w:r>
      <w:r w:rsidRPr="00D7715D">
        <w:rPr>
          <w:rFonts w:ascii="Century Gothic" w:hAnsi="Century Gothic" w:cs="Arial"/>
          <w:sz w:val="16"/>
          <w:szCs w:val="16"/>
          <w:shd w:val="clear" w:color="auto" w:fill="E6E6E6"/>
        </w:rPr>
        <w:t xml:space="preserve"> </w:t>
      </w:r>
    </w:p>
  </w:footnote>
  <w:footnote w:id="3">
    <w:p w14:paraId="4CE98026" w14:textId="77777777" w:rsidR="00275C28" w:rsidRPr="00D7715D" w:rsidRDefault="00275C28" w:rsidP="00275C28">
      <w:pPr>
        <w:pStyle w:val="Textonotapie"/>
        <w:ind w:firstLine="708"/>
        <w:jc w:val="both"/>
        <w:rPr>
          <w:rFonts w:ascii="Century Gothic" w:hAnsi="Century Gothic" w:cs="Arial"/>
          <w:color w:val="F2F2F2"/>
          <w:sz w:val="16"/>
          <w:szCs w:val="16"/>
          <w:u w:val="single"/>
        </w:rPr>
      </w:pPr>
      <w:r w:rsidRPr="00D7715D">
        <w:rPr>
          <w:rStyle w:val="Refdenotaalpie"/>
          <w:rFonts w:ascii="Century Gothic" w:hAnsi="Century Gothic" w:cs="Arial"/>
          <w:sz w:val="16"/>
          <w:szCs w:val="16"/>
        </w:rPr>
        <w:footnoteRef/>
      </w:r>
      <w:r w:rsidRPr="00D7715D">
        <w:rPr>
          <w:rFonts w:ascii="Century Gothic" w:hAnsi="Century Gothic" w:cs="Arial"/>
          <w:sz w:val="16"/>
          <w:szCs w:val="16"/>
        </w:rPr>
        <w:t xml:space="preserve"> Texto del Proyecto de Ley 122 de 2020 Cámara. Exposición de motivos. Consultado el 29 de diciembre de 2021 en la página web: </w:t>
      </w:r>
      <w:hyperlink r:id="rId2" w:history="1">
        <w:r w:rsidRPr="00D7715D">
          <w:rPr>
            <w:rStyle w:val="Hipervnculo1"/>
            <w:rFonts w:ascii="Century Gothic" w:hAnsi="Century Gothic" w:cs="Arial"/>
            <w:color w:val="4472C4" w:themeColor="accent1"/>
            <w:sz w:val="16"/>
            <w:szCs w:val="16"/>
          </w:rPr>
          <w:t>http://leyes.senado.gov.co/proyectos/index.php/textos-radicados-senado/p-ley-2020-2021/1957-proyecto-de-ley-161-de-2020</w:t>
        </w:r>
      </w:hyperlink>
      <w:r w:rsidRPr="00D7715D">
        <w:rPr>
          <w:rStyle w:val="Hipervnculo1"/>
          <w:rFonts w:ascii="Century Gothic" w:hAnsi="Century Gothic" w:cs="Arial"/>
          <w:sz w:val="16"/>
          <w:szCs w:val="16"/>
        </w:rPr>
        <w:t xml:space="preserve">. </w:t>
      </w:r>
      <w:r w:rsidRPr="00D7715D">
        <w:rPr>
          <w:rStyle w:val="Hipervnculo1"/>
          <w:rFonts w:ascii="Century Gothic" w:hAnsi="Century Gothic" w:cs="Arial"/>
          <w:color w:val="auto"/>
          <w:sz w:val="16"/>
          <w:szCs w:val="16"/>
        </w:rPr>
        <w:t xml:space="preserve"> </w:t>
      </w:r>
    </w:p>
  </w:footnote>
  <w:footnote w:id="4">
    <w:p w14:paraId="34E61310" w14:textId="77777777" w:rsidR="00275C28" w:rsidRPr="00D7715D" w:rsidRDefault="00275C28" w:rsidP="00275C28">
      <w:pPr>
        <w:pStyle w:val="Textonotapie"/>
        <w:ind w:firstLine="709"/>
        <w:jc w:val="both"/>
        <w:rPr>
          <w:rFonts w:ascii="Century Gothic" w:hAnsi="Century Gothic" w:cs="Arial"/>
          <w:sz w:val="16"/>
          <w:szCs w:val="16"/>
          <w:lang w:val="es-ES"/>
        </w:rPr>
      </w:pPr>
      <w:r w:rsidRPr="00D7715D">
        <w:rPr>
          <w:rStyle w:val="Refdenotaalpie"/>
          <w:rFonts w:ascii="Century Gothic" w:hAnsi="Century Gothic" w:cs="Arial"/>
          <w:sz w:val="16"/>
          <w:szCs w:val="16"/>
        </w:rPr>
        <w:footnoteRef/>
      </w:r>
      <w:r w:rsidRPr="00D7715D">
        <w:rPr>
          <w:rFonts w:ascii="Century Gothic" w:hAnsi="Century Gothic" w:cs="Arial"/>
          <w:sz w:val="16"/>
          <w:szCs w:val="16"/>
        </w:rPr>
        <w:t xml:space="preserve"> </w:t>
      </w:r>
      <w:r w:rsidRPr="00D7715D">
        <w:rPr>
          <w:rFonts w:ascii="Century Gothic" w:hAnsi="Century Gothic" w:cs="Arial"/>
          <w:sz w:val="16"/>
          <w:szCs w:val="16"/>
          <w:lang w:val="es-ES"/>
        </w:rPr>
        <w:t>Artículos 2 al 29.</w:t>
      </w:r>
    </w:p>
  </w:footnote>
  <w:footnote w:id="5">
    <w:p w14:paraId="79761DCF" w14:textId="77777777" w:rsidR="00275C28" w:rsidRPr="00D7715D" w:rsidRDefault="00275C28" w:rsidP="00275C28">
      <w:pPr>
        <w:pStyle w:val="Textonotapie"/>
        <w:ind w:firstLine="709"/>
        <w:jc w:val="both"/>
        <w:rPr>
          <w:rFonts w:ascii="Century Gothic" w:hAnsi="Century Gothic" w:cs="Arial"/>
          <w:sz w:val="16"/>
          <w:szCs w:val="16"/>
          <w:lang w:val="es-ES"/>
        </w:rPr>
      </w:pPr>
      <w:r w:rsidRPr="00D7715D">
        <w:rPr>
          <w:rStyle w:val="Refdenotaalpie"/>
          <w:rFonts w:ascii="Century Gothic" w:hAnsi="Century Gothic" w:cs="Arial"/>
          <w:sz w:val="16"/>
          <w:szCs w:val="16"/>
        </w:rPr>
        <w:footnoteRef/>
      </w:r>
      <w:r w:rsidRPr="00D7715D">
        <w:rPr>
          <w:rFonts w:ascii="Century Gothic" w:hAnsi="Century Gothic" w:cs="Arial"/>
          <w:sz w:val="16"/>
          <w:szCs w:val="16"/>
        </w:rPr>
        <w:t xml:space="preserve"> </w:t>
      </w:r>
      <w:r w:rsidRPr="00D7715D">
        <w:rPr>
          <w:rFonts w:ascii="Century Gothic" w:hAnsi="Century Gothic" w:cs="Arial"/>
          <w:sz w:val="16"/>
          <w:szCs w:val="16"/>
          <w:lang w:val="es-ES"/>
        </w:rPr>
        <w:t>Artículos 30 al 36.</w:t>
      </w:r>
    </w:p>
  </w:footnote>
  <w:footnote w:id="6">
    <w:p w14:paraId="4362759A" w14:textId="77777777" w:rsidR="00275C28" w:rsidRPr="00D7715D" w:rsidRDefault="00275C28" w:rsidP="00275C28">
      <w:pPr>
        <w:pStyle w:val="Textonotapie"/>
        <w:ind w:firstLine="709"/>
        <w:jc w:val="both"/>
        <w:rPr>
          <w:rFonts w:ascii="Century Gothic" w:hAnsi="Century Gothic" w:cs="Arial"/>
          <w:sz w:val="16"/>
          <w:szCs w:val="16"/>
          <w:lang w:val="es-ES"/>
        </w:rPr>
      </w:pPr>
      <w:r w:rsidRPr="00D7715D">
        <w:rPr>
          <w:rStyle w:val="Refdenotaalpie"/>
          <w:rFonts w:ascii="Century Gothic" w:hAnsi="Century Gothic" w:cs="Arial"/>
          <w:sz w:val="16"/>
          <w:szCs w:val="16"/>
        </w:rPr>
        <w:footnoteRef/>
      </w:r>
      <w:r w:rsidRPr="00D7715D">
        <w:rPr>
          <w:rFonts w:ascii="Century Gothic" w:hAnsi="Century Gothic" w:cs="Arial"/>
          <w:sz w:val="16"/>
          <w:szCs w:val="16"/>
        </w:rPr>
        <w:t xml:space="preserve"> </w:t>
      </w:r>
      <w:r w:rsidRPr="00D7715D">
        <w:rPr>
          <w:rFonts w:ascii="Century Gothic" w:hAnsi="Century Gothic" w:cs="Arial"/>
          <w:sz w:val="16"/>
          <w:szCs w:val="16"/>
          <w:lang w:val="es-ES"/>
        </w:rPr>
        <w:t>Artículos 37 al 45.</w:t>
      </w:r>
    </w:p>
  </w:footnote>
  <w:footnote w:id="7">
    <w:p w14:paraId="334661E6" w14:textId="77777777" w:rsidR="00275C28" w:rsidRPr="00D7715D" w:rsidRDefault="00275C28" w:rsidP="00275C28">
      <w:pPr>
        <w:pStyle w:val="Textonotapie"/>
        <w:ind w:firstLine="709"/>
        <w:jc w:val="both"/>
        <w:rPr>
          <w:rFonts w:ascii="Century Gothic" w:hAnsi="Century Gothic" w:cs="Arial"/>
          <w:sz w:val="16"/>
          <w:szCs w:val="16"/>
          <w:lang w:val="es-ES"/>
        </w:rPr>
      </w:pPr>
      <w:r w:rsidRPr="00D7715D">
        <w:rPr>
          <w:rStyle w:val="Refdenotaalpie"/>
          <w:rFonts w:ascii="Century Gothic" w:hAnsi="Century Gothic" w:cs="Arial"/>
          <w:sz w:val="16"/>
          <w:szCs w:val="16"/>
        </w:rPr>
        <w:footnoteRef/>
      </w:r>
      <w:r w:rsidRPr="00D7715D">
        <w:rPr>
          <w:rFonts w:ascii="Century Gothic" w:hAnsi="Century Gothic" w:cs="Arial"/>
          <w:sz w:val="16"/>
          <w:szCs w:val="16"/>
        </w:rPr>
        <w:t xml:space="preserve"> </w:t>
      </w:r>
      <w:r w:rsidRPr="00D7715D">
        <w:rPr>
          <w:rFonts w:ascii="Century Gothic" w:hAnsi="Century Gothic" w:cs="Arial"/>
          <w:sz w:val="16"/>
          <w:szCs w:val="16"/>
          <w:lang w:val="es-ES"/>
        </w:rPr>
        <w:t>Artículos 46 al 73.</w:t>
      </w:r>
    </w:p>
  </w:footnote>
  <w:footnote w:id="8">
    <w:p w14:paraId="2E267CF0" w14:textId="77777777" w:rsidR="00275C28" w:rsidRPr="00D7715D" w:rsidRDefault="00275C28" w:rsidP="00275C28">
      <w:pPr>
        <w:pStyle w:val="Textonotapie"/>
        <w:ind w:firstLine="709"/>
        <w:jc w:val="both"/>
        <w:rPr>
          <w:rFonts w:ascii="Century Gothic" w:hAnsi="Century Gothic" w:cs="Arial"/>
          <w:sz w:val="16"/>
          <w:szCs w:val="16"/>
          <w:lang w:val="es-ES"/>
        </w:rPr>
      </w:pPr>
      <w:r w:rsidRPr="00D7715D">
        <w:rPr>
          <w:rStyle w:val="Refdenotaalpie"/>
          <w:rFonts w:ascii="Century Gothic" w:hAnsi="Century Gothic" w:cs="Arial"/>
          <w:sz w:val="16"/>
          <w:szCs w:val="16"/>
        </w:rPr>
        <w:footnoteRef/>
      </w:r>
      <w:r w:rsidRPr="00D7715D">
        <w:rPr>
          <w:rFonts w:ascii="Century Gothic" w:hAnsi="Century Gothic" w:cs="Arial"/>
          <w:sz w:val="16"/>
          <w:szCs w:val="16"/>
        </w:rPr>
        <w:t xml:space="preserve"> </w:t>
      </w:r>
      <w:r w:rsidRPr="00D7715D">
        <w:rPr>
          <w:rFonts w:ascii="Century Gothic" w:hAnsi="Century Gothic" w:cs="Arial"/>
          <w:sz w:val="16"/>
          <w:szCs w:val="16"/>
          <w:lang w:val="es-ES"/>
        </w:rPr>
        <w:t>Artículos 74 al 83.</w:t>
      </w:r>
    </w:p>
  </w:footnote>
  <w:footnote w:id="9">
    <w:p w14:paraId="1593C880" w14:textId="77777777" w:rsidR="00275C28" w:rsidRPr="00D7715D" w:rsidRDefault="00275C28" w:rsidP="00275C28">
      <w:pPr>
        <w:pStyle w:val="Textonotapie"/>
        <w:ind w:firstLine="708"/>
        <w:jc w:val="both"/>
        <w:rPr>
          <w:rFonts w:ascii="Century Gothic" w:hAnsi="Century Gothic" w:cs="Arial"/>
          <w:sz w:val="16"/>
          <w:szCs w:val="16"/>
          <w:lang w:val="es-ES"/>
        </w:rPr>
      </w:pPr>
      <w:r w:rsidRPr="00D7715D">
        <w:rPr>
          <w:rStyle w:val="Refdenotaalpie"/>
          <w:rFonts w:ascii="Century Gothic" w:hAnsi="Century Gothic" w:cs="Arial"/>
          <w:sz w:val="16"/>
          <w:szCs w:val="16"/>
        </w:rPr>
        <w:footnoteRef/>
      </w:r>
      <w:r w:rsidRPr="00D7715D">
        <w:rPr>
          <w:rFonts w:ascii="Century Gothic" w:hAnsi="Century Gothic" w:cs="Arial"/>
          <w:sz w:val="16"/>
          <w:szCs w:val="16"/>
        </w:rPr>
        <w:t xml:space="preserve"> </w:t>
      </w:r>
      <w:bookmarkStart w:id="7" w:name="_Hlk63862868"/>
      <w:r w:rsidRPr="00D7715D">
        <w:rPr>
          <w:rFonts w:ascii="Century Gothic" w:hAnsi="Century Gothic" w:cs="Arial"/>
          <w:sz w:val="16"/>
          <w:szCs w:val="16"/>
        </w:rPr>
        <w:t xml:space="preserve">CONGRESO DE LA REPÚBLICA. Gaceta No. 670 del 11 de agosto de 2020. Exposición de motivos del Proyecto de Ley No. 122 de 2020 Cámara. p. 13. </w:t>
      </w:r>
      <w:bookmarkEnd w:id="7"/>
    </w:p>
  </w:footnote>
  <w:footnote w:id="10">
    <w:p w14:paraId="617F8AA6" w14:textId="77777777" w:rsidR="00275C28" w:rsidRPr="00D7715D" w:rsidRDefault="00275C28" w:rsidP="00275C28">
      <w:pPr>
        <w:pStyle w:val="Textonotapie"/>
        <w:ind w:firstLine="709"/>
        <w:jc w:val="both"/>
        <w:rPr>
          <w:rFonts w:ascii="Century Gothic" w:hAnsi="Century Gothic" w:cs="Arial"/>
          <w:sz w:val="16"/>
          <w:szCs w:val="16"/>
        </w:rPr>
      </w:pPr>
      <w:r w:rsidRPr="00D7715D">
        <w:rPr>
          <w:rStyle w:val="Refdenotaalpie"/>
          <w:rFonts w:ascii="Century Gothic" w:hAnsi="Century Gothic" w:cs="Arial"/>
          <w:sz w:val="16"/>
          <w:szCs w:val="16"/>
        </w:rPr>
        <w:footnoteRef/>
      </w:r>
      <w:r w:rsidRPr="00D7715D">
        <w:rPr>
          <w:rFonts w:ascii="Century Gothic" w:hAnsi="Century Gothic" w:cs="Arial"/>
          <w:sz w:val="16"/>
          <w:szCs w:val="16"/>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footnote>
  <w:footnote w:id="11">
    <w:p w14:paraId="74F6EC53" w14:textId="77777777" w:rsidR="00275C28" w:rsidRPr="00D7715D" w:rsidRDefault="00275C28" w:rsidP="00275C28">
      <w:pPr>
        <w:pStyle w:val="NormalWeb"/>
        <w:shd w:val="clear" w:color="auto" w:fill="FFFFFF"/>
        <w:spacing w:before="0" w:beforeAutospacing="0" w:after="0" w:afterAutospacing="0"/>
        <w:ind w:firstLine="709"/>
        <w:jc w:val="both"/>
        <w:rPr>
          <w:rFonts w:ascii="Century Gothic" w:hAnsi="Century Gothic" w:cs="Arial"/>
          <w:sz w:val="16"/>
          <w:szCs w:val="16"/>
        </w:rPr>
      </w:pPr>
      <w:r w:rsidRPr="00D7715D">
        <w:rPr>
          <w:rStyle w:val="Refdenotaalpie"/>
          <w:rFonts w:ascii="Century Gothic" w:hAnsi="Century Gothic" w:cs="Arial"/>
          <w:sz w:val="16"/>
          <w:szCs w:val="16"/>
        </w:rPr>
        <w:footnoteRef/>
      </w:r>
      <w:r w:rsidRPr="00D7715D">
        <w:rPr>
          <w:rFonts w:ascii="Century Gothic" w:hAnsi="Century Gothic" w:cs="Arial"/>
          <w:sz w:val="16"/>
          <w:szCs w:val="16"/>
        </w:rPr>
        <w:t xml:space="preserve"> Decreto 1860 de 2021.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w:t>
      </w:r>
      <w:r w:rsidRPr="00D7715D">
        <w:rPr>
          <w:rStyle w:val="Hipervnculo1"/>
          <w:rFonts w:ascii="Century Gothic" w:hAnsi="Century Gothic" w:cs="Arial"/>
          <w:color w:val="auto"/>
          <w:sz w:val="16"/>
          <w:szCs w:val="16"/>
          <w:u w:val="none"/>
        </w:rPr>
        <w:t>5</w:t>
      </w:r>
      <w:r w:rsidRPr="00D7715D">
        <w:rPr>
          <w:rStyle w:val="Hipervnculo1"/>
          <w:rFonts w:ascii="Century Gothic" w:hAnsi="Century Gothic" w:cs="Arial"/>
          <w:color w:val="auto"/>
          <w:sz w:val="16"/>
          <w:szCs w:val="16"/>
        </w:rPr>
        <w:t> </w:t>
      </w:r>
      <w:r w:rsidRPr="00D7715D">
        <w:rPr>
          <w:rFonts w:ascii="Century Gothic" w:hAnsi="Century Gothic" w:cs="Arial"/>
          <w:sz w:val="16"/>
          <w:szCs w:val="16"/>
        </w:rPr>
        <w:t>de la Sección 1 del Capítulo 2 del Título 1 de la Parte 2 del Libro 2, así como los artículos </w:t>
      </w:r>
      <w:r w:rsidRPr="00D7715D">
        <w:rPr>
          <w:rStyle w:val="Hipervnculo1"/>
          <w:rFonts w:ascii="Century Gothic" w:hAnsi="Century Gothic" w:cs="Arial"/>
          <w:color w:val="auto"/>
          <w:sz w:val="16"/>
          <w:szCs w:val="16"/>
          <w:u w:val="none"/>
        </w:rPr>
        <w:t>2.2.1.2.4.2.2</w:t>
      </w:r>
      <w:r w:rsidRPr="00D7715D">
        <w:rPr>
          <w:rFonts w:ascii="Century Gothic" w:hAnsi="Century Gothic" w:cs="Arial"/>
          <w:sz w:val="16"/>
          <w:szCs w:val="16"/>
        </w:rPr>
        <w:t>., </w:t>
      </w:r>
      <w:r w:rsidRPr="00D7715D">
        <w:rPr>
          <w:rStyle w:val="Hipervnculo1"/>
          <w:rFonts w:ascii="Century Gothic" w:hAnsi="Century Gothic" w:cs="Arial"/>
          <w:color w:val="auto"/>
          <w:sz w:val="16"/>
          <w:szCs w:val="16"/>
          <w:u w:val="none"/>
        </w:rPr>
        <w:t>2.2.1.2.4.2.3</w:t>
      </w:r>
      <w:r w:rsidRPr="00D7715D">
        <w:rPr>
          <w:rFonts w:ascii="Century Gothic" w:hAnsi="Century Gothic" w:cs="Arial"/>
          <w:sz w:val="16"/>
          <w:szCs w:val="16"/>
        </w:rPr>
        <w:t>., </w:t>
      </w:r>
      <w:r w:rsidRPr="00D7715D">
        <w:rPr>
          <w:rStyle w:val="Hipervnculo1"/>
          <w:rFonts w:ascii="Century Gothic" w:hAnsi="Century Gothic" w:cs="Arial"/>
          <w:color w:val="auto"/>
          <w:sz w:val="16"/>
          <w:szCs w:val="16"/>
          <w:u w:val="none"/>
        </w:rPr>
        <w:t>2.2.1.2.4.2.4</w:t>
      </w:r>
      <w:r w:rsidRPr="00D7715D">
        <w:rPr>
          <w:rFonts w:ascii="Century Gothic" w:hAnsi="Century Gothic" w:cs="Arial"/>
          <w:sz w:val="16"/>
          <w:szCs w:val="16"/>
        </w:rPr>
        <w:t>., </w:t>
      </w:r>
      <w:r w:rsidRPr="00D7715D">
        <w:rPr>
          <w:rStyle w:val="Hipervnculo1"/>
          <w:rFonts w:ascii="Century Gothic" w:hAnsi="Century Gothic" w:cs="Arial"/>
          <w:color w:val="auto"/>
          <w:sz w:val="16"/>
          <w:szCs w:val="16"/>
          <w:u w:val="none"/>
        </w:rPr>
        <w:t>2.2.1.2.1.2.2</w:t>
      </w:r>
      <w:r w:rsidRPr="00D7715D">
        <w:rPr>
          <w:rFonts w:ascii="Century Gothic" w:hAnsi="Century Gothic" w:cs="Arial"/>
          <w:sz w:val="16"/>
          <w:szCs w:val="16"/>
        </w:rPr>
        <w:t xml:space="preserve"> y </w:t>
      </w:r>
      <w:r w:rsidRPr="00D7715D">
        <w:rPr>
          <w:rStyle w:val="Hipervnculo1"/>
          <w:rFonts w:ascii="Century Gothic" w:hAnsi="Century Gothic" w:cs="Arial"/>
          <w:color w:val="auto"/>
          <w:sz w:val="16"/>
          <w:szCs w:val="16"/>
          <w:u w:val="none"/>
        </w:rPr>
        <w:t>2.2.1.2.4.2.8</w:t>
      </w:r>
      <w:r w:rsidRPr="00D7715D">
        <w:rPr>
          <w:rFonts w:ascii="Century Gothic" w:hAnsi="Century Gothic" w:cs="Arial"/>
          <w:sz w:val="16"/>
          <w:szCs w:val="16"/>
        </w:rPr>
        <w:t>.; adiciona los artículos </w:t>
      </w:r>
      <w:r w:rsidRPr="00D7715D">
        <w:rPr>
          <w:rStyle w:val="Hipervnculo1"/>
          <w:rFonts w:ascii="Century Gothic" w:hAnsi="Century Gothic" w:cs="Arial"/>
          <w:color w:val="auto"/>
          <w:sz w:val="16"/>
          <w:szCs w:val="16"/>
          <w:u w:val="none"/>
        </w:rPr>
        <w:t>2.2.1.2.4.2.14</w:t>
      </w:r>
      <w:r w:rsidRPr="00D7715D">
        <w:rPr>
          <w:rFonts w:ascii="Century Gothic" w:hAnsi="Century Gothic" w:cs="Arial"/>
          <w:sz w:val="16"/>
          <w:szCs w:val="16"/>
        </w:rPr>
        <w:t>., </w:t>
      </w:r>
      <w:r w:rsidRPr="00D7715D">
        <w:rPr>
          <w:rStyle w:val="Hipervnculo1"/>
          <w:rFonts w:ascii="Century Gothic" w:hAnsi="Century Gothic" w:cs="Arial"/>
          <w:color w:val="auto"/>
          <w:sz w:val="16"/>
          <w:szCs w:val="16"/>
          <w:u w:val="none"/>
        </w:rPr>
        <w:t>2.2.1.2.4.2.15</w:t>
      </w:r>
      <w:r w:rsidRPr="00D7715D">
        <w:rPr>
          <w:rFonts w:ascii="Century Gothic" w:hAnsi="Century Gothic" w:cs="Arial"/>
          <w:sz w:val="16"/>
          <w:szCs w:val="16"/>
        </w:rPr>
        <w:t>., </w:t>
      </w:r>
      <w:r w:rsidRPr="00D7715D">
        <w:rPr>
          <w:rStyle w:val="Hipervnculo1"/>
          <w:rFonts w:ascii="Century Gothic" w:hAnsi="Century Gothic" w:cs="Arial"/>
          <w:color w:val="auto"/>
          <w:sz w:val="16"/>
          <w:szCs w:val="16"/>
          <w:u w:val="none"/>
        </w:rPr>
        <w:t>2.2.1.2.4.2.16</w:t>
      </w:r>
      <w:r w:rsidRPr="00D7715D">
        <w:rPr>
          <w:rFonts w:ascii="Century Gothic" w:hAnsi="Century Gothic" w:cs="Arial"/>
          <w:sz w:val="16"/>
          <w:szCs w:val="16"/>
        </w:rPr>
        <w:t>., </w:t>
      </w:r>
      <w:r w:rsidRPr="00D7715D">
        <w:rPr>
          <w:rStyle w:val="Hipervnculo1"/>
          <w:rFonts w:ascii="Century Gothic" w:hAnsi="Century Gothic" w:cs="Arial"/>
          <w:color w:val="auto"/>
          <w:sz w:val="16"/>
          <w:szCs w:val="16"/>
          <w:u w:val="none"/>
        </w:rPr>
        <w:t>2.2.1.2.4.2.17</w:t>
      </w:r>
      <w:r w:rsidRPr="00D7715D">
        <w:rPr>
          <w:rFonts w:ascii="Century Gothic" w:hAnsi="Century Gothic" w:cs="Arial"/>
          <w:sz w:val="16"/>
          <w:szCs w:val="16"/>
        </w:rPr>
        <w:t>. y </w:t>
      </w:r>
      <w:r w:rsidRPr="00D7715D">
        <w:rPr>
          <w:rStyle w:val="Hipervnculo1"/>
          <w:rFonts w:ascii="Century Gothic" w:hAnsi="Century Gothic" w:cs="Arial"/>
          <w:color w:val="auto"/>
          <w:sz w:val="16"/>
          <w:szCs w:val="16"/>
          <w:u w:val="none"/>
        </w:rPr>
        <w:t>2.2.1.2.4.2.18</w:t>
      </w:r>
      <w:r w:rsidRPr="00D7715D">
        <w:rPr>
          <w:rFonts w:ascii="Century Gothic" w:hAnsi="Century Gothic" w:cs="Arial"/>
          <w:sz w:val="16"/>
          <w:szCs w:val="16"/>
        </w:rPr>
        <w:t>.; adiciona un </w:t>
      </w:r>
      <w:r w:rsidRPr="00D7715D">
        <w:rPr>
          <w:rStyle w:val="Hipervnculo1"/>
          <w:rFonts w:ascii="Century Gothic" w:hAnsi="Century Gothic" w:cs="Arial"/>
          <w:color w:val="auto"/>
          <w:sz w:val="16"/>
          <w:szCs w:val="16"/>
          <w:u w:val="none"/>
        </w:rPr>
        <w:t>parágrafo </w:t>
      </w:r>
      <w:r w:rsidRPr="00D7715D">
        <w:rPr>
          <w:rFonts w:ascii="Century Gothic" w:hAnsi="Century Gothic" w:cs="Arial"/>
          <w:sz w:val="16"/>
          <w:szCs w:val="16"/>
        </w:rPr>
        <w:t>al artículo </w:t>
      </w:r>
      <w:r w:rsidRPr="00D7715D">
        <w:rPr>
          <w:rStyle w:val="Hipervnculo1"/>
          <w:rFonts w:ascii="Century Gothic" w:hAnsi="Century Gothic" w:cs="Arial"/>
          <w:color w:val="auto"/>
          <w:sz w:val="16"/>
          <w:szCs w:val="16"/>
          <w:u w:val="none"/>
        </w:rPr>
        <w:t>2.2.1.2.3.1.9</w:t>
      </w:r>
      <w:r w:rsidRPr="00D7715D">
        <w:rPr>
          <w:rFonts w:ascii="Century Gothic" w:hAnsi="Century Gothic" w:cs="Arial"/>
          <w:sz w:val="16"/>
          <w:szCs w:val="16"/>
        </w:rPr>
        <w:t>; y deroga el artículo </w:t>
      </w:r>
      <w:r w:rsidRPr="00D7715D">
        <w:rPr>
          <w:rStyle w:val="Hipervnculo1"/>
          <w:rFonts w:ascii="Century Gothic" w:hAnsi="Century Gothic" w:cs="Arial"/>
          <w:color w:val="auto"/>
          <w:sz w:val="16"/>
          <w:szCs w:val="16"/>
          <w:u w:val="none"/>
        </w:rPr>
        <w:t>2.2.1.1.2.2.9</w:t>
      </w:r>
      <w:r w:rsidRPr="00D7715D">
        <w:rPr>
          <w:rFonts w:ascii="Century Gothic" w:hAnsi="Century Gothic" w:cs="Arial"/>
          <w:sz w:val="16"/>
          <w:szCs w:val="16"/>
        </w:rPr>
        <w:t>. del Decreto 1082 de 2015, Único Reglamentario del Sector Administrativo de Planeación Nacional.</w:t>
      </w:r>
    </w:p>
    <w:p w14:paraId="3FD52D2E" w14:textId="77777777" w:rsidR="00275C28" w:rsidRPr="00D7715D" w:rsidRDefault="00275C28" w:rsidP="00275C28">
      <w:pPr>
        <w:pStyle w:val="NormalWeb"/>
        <w:shd w:val="clear" w:color="auto" w:fill="FFFFFF"/>
        <w:spacing w:before="0" w:beforeAutospacing="0" w:after="0" w:afterAutospacing="0"/>
        <w:jc w:val="both"/>
        <w:rPr>
          <w:rFonts w:ascii="Century Gothic" w:hAnsi="Century Gothic" w:cs="Arial"/>
          <w:sz w:val="16"/>
          <w:szCs w:val="16"/>
        </w:rPr>
      </w:pPr>
      <w:r w:rsidRPr="00D7715D">
        <w:rPr>
          <w:rFonts w:ascii="Century Gothic" w:hAnsi="Century Gothic" w:cs="Arial"/>
          <w:b/>
          <w:sz w:val="16"/>
          <w:szCs w:val="16"/>
        </w:rPr>
        <w:t> </w:t>
      </w:r>
      <w:r w:rsidRPr="00D7715D">
        <w:rPr>
          <w:rFonts w:ascii="Century Gothic" w:hAnsi="Century Gothic" w:cs="Arial"/>
          <w:b/>
          <w:sz w:val="16"/>
          <w:szCs w:val="16"/>
        </w:rPr>
        <w:tab/>
      </w:r>
      <w:r w:rsidRPr="00D7715D">
        <w:rPr>
          <w:rFonts w:ascii="Century Gothic" w:hAnsi="Century Gothic" w:cs="Arial"/>
          <w:sz w:val="16"/>
          <w:szCs w:val="16"/>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70330F75" w14:textId="77777777" w:rsidR="00275C28" w:rsidRPr="00D7715D" w:rsidRDefault="00275C28" w:rsidP="00275C28">
      <w:pPr>
        <w:pStyle w:val="NormalWeb"/>
        <w:shd w:val="clear" w:color="auto" w:fill="FFFFFF"/>
        <w:spacing w:before="0" w:beforeAutospacing="0" w:after="0" w:afterAutospacing="0"/>
        <w:jc w:val="both"/>
        <w:rPr>
          <w:rFonts w:ascii="Century Gothic" w:hAnsi="Century Gothic" w:cs="Arial"/>
          <w:sz w:val="16"/>
          <w:szCs w:val="16"/>
        </w:rPr>
      </w:pPr>
      <w:r w:rsidRPr="00D7715D">
        <w:rPr>
          <w:rFonts w:ascii="Century Gothic" w:hAnsi="Century Gothic" w:cs="Arial"/>
          <w:sz w:val="16"/>
          <w:szCs w:val="16"/>
        </w:rPr>
        <w:t> </w:t>
      </w:r>
      <w:r w:rsidRPr="00D7715D">
        <w:rPr>
          <w:rFonts w:ascii="Century Gothic" w:hAnsi="Century Gothic" w:cs="Arial"/>
          <w:sz w:val="16"/>
          <w:szCs w:val="16"/>
        </w:rPr>
        <w:tab/>
        <w:t>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footnote>
  <w:footnote w:id="12">
    <w:p w14:paraId="71E4DBDC" w14:textId="77777777" w:rsidR="00275C28" w:rsidRPr="00D7715D" w:rsidRDefault="00275C28" w:rsidP="00275C28">
      <w:pPr>
        <w:pStyle w:val="Textonotapie"/>
        <w:ind w:firstLine="708"/>
        <w:contextualSpacing/>
        <w:jc w:val="both"/>
        <w:rPr>
          <w:rFonts w:ascii="Century Gothic" w:hAnsi="Century Gothic" w:cs="Arial"/>
          <w:sz w:val="16"/>
          <w:szCs w:val="16"/>
          <w:lang w:val="es-ES"/>
        </w:rPr>
      </w:pPr>
      <w:r w:rsidRPr="00D7715D">
        <w:rPr>
          <w:rStyle w:val="Refdenotaalpie"/>
          <w:rFonts w:ascii="Century Gothic" w:eastAsiaTheme="majorEastAsia" w:hAnsi="Century Gothic" w:cs="Arial"/>
          <w:sz w:val="16"/>
          <w:szCs w:val="16"/>
        </w:rPr>
        <w:footnoteRef/>
      </w:r>
      <w:r w:rsidRPr="00D7715D">
        <w:rPr>
          <w:rFonts w:ascii="Century Gothic" w:hAnsi="Century Gothic" w:cs="Arial"/>
          <w:sz w:val="16"/>
          <w:szCs w:val="16"/>
        </w:rPr>
        <w:t xml:space="preserve"> </w:t>
      </w:r>
      <w:r w:rsidRPr="00D7715D">
        <w:rPr>
          <w:rFonts w:ascii="Century Gothic" w:hAnsi="Century Gothic" w:cs="Arial"/>
          <w:sz w:val="16"/>
          <w:szCs w:val="16"/>
          <w:lang w:val="es-ES_tradnl"/>
        </w:rPr>
        <w:t xml:space="preserve">CASTRO DE CIFUENTES, Marcela. Derecho Comercial. Actos de comercio, empresas comerciantes y empresarios. Universidad de los Andes. 2016. </w:t>
      </w:r>
      <w:r w:rsidRPr="00D7715D">
        <w:rPr>
          <w:rFonts w:ascii="Century Gothic" w:hAnsi="Century Gothic" w:cs="Arial"/>
          <w:sz w:val="16"/>
          <w:szCs w:val="16"/>
          <w:lang w:val="es-ES"/>
        </w:rPr>
        <w:t>Página 18.</w:t>
      </w:r>
    </w:p>
  </w:footnote>
  <w:footnote w:id="13">
    <w:p w14:paraId="73D37789" w14:textId="77777777" w:rsidR="00275C28" w:rsidRPr="00D7715D" w:rsidRDefault="00275C28" w:rsidP="00275C28">
      <w:pPr>
        <w:pStyle w:val="Textonotapie"/>
        <w:ind w:firstLine="708"/>
        <w:contextualSpacing/>
        <w:jc w:val="both"/>
        <w:rPr>
          <w:rFonts w:ascii="Century Gothic" w:hAnsi="Century Gothic" w:cs="Arial"/>
          <w:sz w:val="16"/>
          <w:szCs w:val="16"/>
        </w:rPr>
      </w:pPr>
      <w:r w:rsidRPr="00D7715D">
        <w:rPr>
          <w:rStyle w:val="Refdenotaalpie"/>
          <w:rFonts w:ascii="Century Gothic" w:eastAsiaTheme="majorEastAsia" w:hAnsi="Century Gothic" w:cs="Arial"/>
          <w:sz w:val="16"/>
          <w:szCs w:val="16"/>
        </w:rPr>
        <w:footnoteRef/>
      </w:r>
      <w:r w:rsidRPr="00D7715D">
        <w:rPr>
          <w:rFonts w:ascii="Century Gothic" w:hAnsi="Century Gothic" w:cs="Arial"/>
          <w:sz w:val="16"/>
          <w:szCs w:val="16"/>
        </w:rPr>
        <w:t xml:space="preserve"> Ibidem. Página 45.</w:t>
      </w:r>
    </w:p>
  </w:footnote>
  <w:footnote w:id="14">
    <w:p w14:paraId="129DC346" w14:textId="77777777" w:rsidR="00275C28" w:rsidRPr="00D7715D" w:rsidRDefault="00275C28" w:rsidP="00275C28">
      <w:pPr>
        <w:pStyle w:val="Car1"/>
        <w:ind w:firstLine="709"/>
        <w:contextualSpacing/>
        <w:jc w:val="both"/>
        <w:rPr>
          <w:rFonts w:ascii="Century Gothic" w:hAnsi="Century Gothic" w:cs="Arial"/>
          <w:sz w:val="16"/>
          <w:szCs w:val="16"/>
          <w:lang w:val="es-ES_tradnl"/>
        </w:rPr>
      </w:pPr>
      <w:r w:rsidRPr="00D7715D">
        <w:rPr>
          <w:rStyle w:val="Refdenotaalpie"/>
          <w:rFonts w:ascii="Century Gothic" w:hAnsi="Century Gothic" w:cs="Arial"/>
          <w:sz w:val="16"/>
          <w:szCs w:val="16"/>
        </w:rPr>
        <w:footnoteRef/>
      </w:r>
      <w:r w:rsidRPr="00D7715D">
        <w:rPr>
          <w:rFonts w:ascii="Century Gothic" w:hAnsi="Century Gothic" w:cs="Arial"/>
          <w:sz w:val="16"/>
          <w:szCs w:val="16"/>
        </w:rPr>
        <w:t xml:space="preserve"> </w:t>
      </w:r>
      <w:r w:rsidRPr="00D7715D">
        <w:rPr>
          <w:rFonts w:ascii="Century Gothic" w:hAnsi="Century Gothic" w:cs="Arial"/>
          <w:sz w:val="16"/>
          <w:szCs w:val="16"/>
          <w:lang w:val="es-CO"/>
        </w:rPr>
        <w:t xml:space="preserve">Al respecto, la doctrina ha señalado que </w:t>
      </w:r>
      <w:r w:rsidRPr="00D7715D">
        <w:rPr>
          <w:rFonts w:ascii="Century Gothic" w:eastAsia="Calibri" w:hAnsi="Century Gothic" w:cs="Arial"/>
          <w:sz w:val="16"/>
          <w:szCs w:val="16"/>
          <w:lang w:val="es-ES_tradnl"/>
        </w:rPr>
        <w:t xml:space="preserve">“inseparable del elemento objetivo – actividad económica organizada- y del subjetivo – empresario mercantil - </w:t>
      </w:r>
      <w:r w:rsidRPr="00D7715D">
        <w:rPr>
          <w:rFonts w:ascii="Century Gothic" w:hAnsi="Century Gothic" w:cs="Arial"/>
          <w:sz w:val="16"/>
          <w:szCs w:val="16"/>
          <w:lang w:val="es-CO"/>
        </w:rPr>
        <w:t xml:space="preserve">la empresa comercial requiere un elemento funcional llamado establecimiento de comercio, que es un conjunto heterogéneo de bienes destinados específicamente por el empresario a desarrollar la actividad organizada. Así lo establece la definición prevista en el artículo 25 del Código de Comercio: “[…] Dicha </w:t>
      </w:r>
      <w:r w:rsidRPr="00D7715D">
        <w:rPr>
          <w:rFonts w:ascii="Century Gothic" w:hAnsi="Century Gothic" w:cs="Arial"/>
          <w:sz w:val="16"/>
          <w:szCs w:val="16"/>
          <w:lang w:val="es-ES_tradnl"/>
        </w:rPr>
        <w:t>actividad se realizará a través de uno o más establecimientos de comercio”. (CASTRO DE CIFUENTES, Marcela. Derecho Comercial. Actos de comercio, empresas comerciantes y empresarios. Universidad de los Andes. 2016. Pág. 109).</w:t>
      </w:r>
    </w:p>
    <w:p w14:paraId="49591BB0" w14:textId="77777777" w:rsidR="00275C28" w:rsidRPr="00D7715D" w:rsidRDefault="00275C28" w:rsidP="00275C28">
      <w:pPr>
        <w:pStyle w:val="Textonotapie"/>
        <w:contextualSpacing/>
        <w:jc w:val="both"/>
        <w:rPr>
          <w:rFonts w:ascii="Century Gothic" w:hAnsi="Century Gothic" w:cs="Arial"/>
          <w:sz w:val="16"/>
          <w:szCs w:val="16"/>
          <w:lang w:val="es-ES_tradnl"/>
        </w:rPr>
      </w:pPr>
    </w:p>
  </w:footnote>
  <w:footnote w:id="15">
    <w:p w14:paraId="7A87FECF" w14:textId="77777777" w:rsidR="00275C28" w:rsidRPr="00D7715D" w:rsidRDefault="00275C28" w:rsidP="00275C28">
      <w:pPr>
        <w:pStyle w:val="Textonotapie"/>
        <w:ind w:firstLine="709"/>
        <w:jc w:val="both"/>
        <w:rPr>
          <w:rFonts w:ascii="Century Gothic" w:hAnsi="Century Gothic" w:cs="Arial"/>
          <w:sz w:val="16"/>
          <w:szCs w:val="16"/>
        </w:rPr>
      </w:pPr>
      <w:r w:rsidRPr="00D7715D">
        <w:rPr>
          <w:rStyle w:val="Refdenotaalpie"/>
          <w:rFonts w:ascii="Century Gothic" w:hAnsi="Century Gothic" w:cs="Arial"/>
          <w:sz w:val="16"/>
          <w:szCs w:val="16"/>
        </w:rPr>
        <w:footnoteRef/>
      </w:r>
      <w:r w:rsidRPr="00D7715D">
        <w:rPr>
          <w:rFonts w:ascii="Century Gothic" w:hAnsi="Century Gothic" w:cs="Arial"/>
          <w:sz w:val="16"/>
          <w:szCs w:val="16"/>
        </w:rPr>
        <w:t xml:space="preserve"> Decreto 1082 de 2015, adicionado por el Decreto 1860 de 2021: “Artículo </w:t>
      </w:r>
      <w:bookmarkStart w:id="16" w:name="_Hlk160011935"/>
      <w:r w:rsidRPr="00D7715D">
        <w:rPr>
          <w:rFonts w:ascii="Century Gothic" w:hAnsi="Century Gothic" w:cs="Arial"/>
          <w:sz w:val="16"/>
          <w:szCs w:val="16"/>
        </w:rPr>
        <w:t>2.2.1.2.4.2.15</w:t>
      </w:r>
      <w:bookmarkEnd w:id="16"/>
      <w:r w:rsidRPr="00D7715D">
        <w:rPr>
          <w:rFonts w:ascii="Century Gothic" w:hAnsi="Century Gothic" w:cs="Arial"/>
          <w:sz w:val="16"/>
          <w:szCs w:val="16"/>
        </w:rPr>
        <w:t>. Criterios diferenciales para emprendimientos y empresas de mujeres en el sistema de compras públicas.</w:t>
      </w:r>
      <w:r w:rsidRPr="00D7715D">
        <w:rPr>
          <w:rFonts w:ascii="Arial" w:hAnsi="Arial" w:cs="Arial"/>
          <w:sz w:val="16"/>
          <w:szCs w:val="16"/>
        </w:rPr>
        <w:t> </w:t>
      </w:r>
      <w:r w:rsidRPr="00D7715D">
        <w:rPr>
          <w:rFonts w:ascii="Century Gothic" w:hAnsi="Century Gothic" w:cs="Arial"/>
          <w:sz w:val="16"/>
          <w:szCs w:val="16"/>
        </w:rPr>
        <w:t>En los procesos de licitaci</w:t>
      </w:r>
      <w:r w:rsidRPr="00D7715D">
        <w:rPr>
          <w:rFonts w:ascii="Century Gothic" w:hAnsi="Century Gothic" w:cs="Century Gothic"/>
          <w:sz w:val="16"/>
          <w:szCs w:val="16"/>
        </w:rPr>
        <w:t>ó</w:t>
      </w:r>
      <w:r w:rsidRPr="00D7715D">
        <w:rPr>
          <w:rFonts w:ascii="Century Gothic" w:hAnsi="Century Gothic" w:cs="Arial"/>
          <w:sz w:val="16"/>
          <w:szCs w:val="16"/>
        </w:rPr>
        <w:t>n p</w:t>
      </w:r>
      <w:r w:rsidRPr="00D7715D">
        <w:rPr>
          <w:rFonts w:ascii="Century Gothic" w:hAnsi="Century Gothic" w:cs="Century Gothic"/>
          <w:sz w:val="16"/>
          <w:szCs w:val="16"/>
        </w:rPr>
        <w:t>ú</w:t>
      </w:r>
      <w:r w:rsidRPr="00D7715D">
        <w:rPr>
          <w:rFonts w:ascii="Century Gothic" w:hAnsi="Century Gothic" w:cs="Arial"/>
          <w:sz w:val="16"/>
          <w:szCs w:val="16"/>
        </w:rPr>
        <w:t>blica, selecci</w:t>
      </w:r>
      <w:r w:rsidRPr="00D7715D">
        <w:rPr>
          <w:rFonts w:ascii="Century Gothic" w:hAnsi="Century Gothic" w:cs="Century Gothic"/>
          <w:sz w:val="16"/>
          <w:szCs w:val="16"/>
        </w:rPr>
        <w:t>ó</w:t>
      </w:r>
      <w:r w:rsidRPr="00D7715D">
        <w:rPr>
          <w:rFonts w:ascii="Century Gothic" w:hAnsi="Century Gothic" w:cs="Arial"/>
          <w:sz w:val="16"/>
          <w:szCs w:val="16"/>
        </w:rPr>
        <w:t>n abreviada de menor cuant</w:t>
      </w:r>
      <w:r w:rsidRPr="00D7715D">
        <w:rPr>
          <w:rFonts w:ascii="Century Gothic" w:hAnsi="Century Gothic" w:cs="Century Gothic"/>
          <w:sz w:val="16"/>
          <w:szCs w:val="16"/>
        </w:rPr>
        <w:t>í</w:t>
      </w:r>
      <w:r w:rsidRPr="00D7715D">
        <w:rPr>
          <w:rFonts w:ascii="Century Gothic" w:hAnsi="Century Gothic" w:cs="Arial"/>
          <w:sz w:val="16"/>
          <w:szCs w:val="16"/>
        </w:rPr>
        <w:t>a y concurso de m</w:t>
      </w:r>
      <w:r w:rsidRPr="00D7715D">
        <w:rPr>
          <w:rFonts w:ascii="Century Gothic" w:hAnsi="Century Gothic" w:cs="Century Gothic"/>
          <w:sz w:val="16"/>
          <w:szCs w:val="16"/>
        </w:rPr>
        <w:t>é</w:t>
      </w:r>
      <w:r w:rsidRPr="00D7715D">
        <w:rPr>
          <w:rFonts w:ascii="Century Gothic" w:hAnsi="Century Gothic" w:cs="Arial"/>
          <w:sz w:val="16"/>
          <w:szCs w:val="16"/>
        </w:rPr>
        <w:t>ritos, as</w:t>
      </w:r>
      <w:r w:rsidRPr="00D7715D">
        <w:rPr>
          <w:rFonts w:ascii="Century Gothic" w:hAnsi="Century Gothic" w:cs="Century Gothic"/>
          <w:sz w:val="16"/>
          <w:szCs w:val="16"/>
        </w:rPr>
        <w:t>í</w:t>
      </w:r>
      <w:r w:rsidRPr="00D7715D">
        <w:rPr>
          <w:rFonts w:ascii="Century Gothic" w:hAnsi="Century Gothic" w:cs="Arial"/>
          <w:sz w:val="16"/>
          <w:szCs w:val="16"/>
        </w:rPr>
        <w:t xml:space="preserve"> como en los procesos competitivos que adelanten las Entidades Estatales no sometidas al Estatuto General de Contrataci</w:t>
      </w:r>
      <w:r w:rsidRPr="00D7715D">
        <w:rPr>
          <w:rFonts w:ascii="Century Gothic" w:hAnsi="Century Gothic" w:cs="Century Gothic"/>
          <w:sz w:val="16"/>
          <w:szCs w:val="16"/>
        </w:rPr>
        <w:t>ó</w:t>
      </w:r>
      <w:r w:rsidRPr="00D7715D">
        <w:rPr>
          <w:rFonts w:ascii="Century Gothic" w:hAnsi="Century Gothic" w:cs="Arial"/>
          <w:sz w:val="16"/>
          <w:szCs w:val="16"/>
        </w:rPr>
        <w:t>n de la Administraci</w:t>
      </w:r>
      <w:r w:rsidRPr="00D7715D">
        <w:rPr>
          <w:rFonts w:ascii="Century Gothic" w:hAnsi="Century Gothic" w:cs="Century Gothic"/>
          <w:sz w:val="16"/>
          <w:szCs w:val="16"/>
        </w:rPr>
        <w:t>ó</w:t>
      </w:r>
      <w:r w:rsidRPr="00D7715D">
        <w:rPr>
          <w:rFonts w:ascii="Century Gothic" w:hAnsi="Century Gothic" w:cs="Arial"/>
          <w:sz w:val="16"/>
          <w:szCs w:val="16"/>
        </w:rPr>
        <w:t>n P</w:t>
      </w:r>
      <w:r w:rsidRPr="00D7715D">
        <w:rPr>
          <w:rFonts w:ascii="Century Gothic" w:hAnsi="Century Gothic" w:cs="Century Gothic"/>
          <w:sz w:val="16"/>
          <w:szCs w:val="16"/>
        </w:rPr>
        <w:t>ú</w:t>
      </w:r>
      <w:r w:rsidRPr="00D7715D">
        <w:rPr>
          <w:rFonts w:ascii="Century Gothic" w:hAnsi="Century Gothic" w:cs="Arial"/>
          <w:sz w:val="16"/>
          <w:szCs w:val="16"/>
        </w:rPr>
        <w:t>blica, las Entidades incluir</w:t>
      </w:r>
      <w:r w:rsidRPr="00D7715D">
        <w:rPr>
          <w:rFonts w:ascii="Century Gothic" w:hAnsi="Century Gothic" w:cs="Century Gothic"/>
          <w:sz w:val="16"/>
          <w:szCs w:val="16"/>
        </w:rPr>
        <w:t>á</w:t>
      </w:r>
      <w:r w:rsidRPr="00D7715D">
        <w:rPr>
          <w:rFonts w:ascii="Century Gothic" w:hAnsi="Century Gothic" w:cs="Arial"/>
          <w:sz w:val="16"/>
          <w:szCs w:val="16"/>
        </w:rPr>
        <w:t xml:space="preserve">n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 </w:t>
      </w:r>
    </w:p>
    <w:p w14:paraId="4E473D2A" w14:textId="77777777" w:rsidR="00275C28" w:rsidRPr="00D7715D" w:rsidRDefault="00275C28" w:rsidP="00275C28">
      <w:pPr>
        <w:pStyle w:val="Textonotapie"/>
        <w:ind w:firstLine="709"/>
        <w:jc w:val="both"/>
        <w:rPr>
          <w:rFonts w:ascii="Century Gothic" w:hAnsi="Century Gothic" w:cs="Arial"/>
          <w:sz w:val="16"/>
          <w:szCs w:val="16"/>
        </w:rPr>
      </w:pPr>
      <w:r w:rsidRPr="00D7715D">
        <w:rPr>
          <w:rFonts w:ascii="Century Gothic" w:hAnsi="Century Gothic" w:cs="Arial"/>
          <w:sz w:val="16"/>
          <w:szCs w:val="16"/>
        </w:rPr>
        <w:t xml:space="preserve">1. Tiempo de experiencia. </w:t>
      </w:r>
    </w:p>
    <w:p w14:paraId="1E0258BD" w14:textId="77777777" w:rsidR="00275C28" w:rsidRPr="00D7715D" w:rsidRDefault="00275C28" w:rsidP="00275C28">
      <w:pPr>
        <w:pStyle w:val="Textonotapie"/>
        <w:ind w:firstLine="709"/>
        <w:jc w:val="both"/>
        <w:rPr>
          <w:rFonts w:ascii="Century Gothic" w:hAnsi="Century Gothic" w:cs="Arial"/>
          <w:sz w:val="16"/>
          <w:szCs w:val="16"/>
        </w:rPr>
      </w:pPr>
      <w:r w:rsidRPr="00D7715D">
        <w:rPr>
          <w:rFonts w:ascii="Century Gothic" w:hAnsi="Century Gothic" w:cs="Arial"/>
          <w:sz w:val="16"/>
          <w:szCs w:val="16"/>
        </w:rPr>
        <w:t xml:space="preserve">2. Número de contratos para la acreditación de la experiencia. </w:t>
      </w:r>
    </w:p>
    <w:p w14:paraId="5B131463" w14:textId="77777777" w:rsidR="00275C28" w:rsidRPr="00D7715D" w:rsidRDefault="00275C28" w:rsidP="00275C28">
      <w:pPr>
        <w:pStyle w:val="Textonotapie"/>
        <w:ind w:firstLine="709"/>
        <w:jc w:val="both"/>
        <w:rPr>
          <w:rFonts w:ascii="Century Gothic" w:hAnsi="Century Gothic" w:cs="Arial"/>
          <w:sz w:val="16"/>
          <w:szCs w:val="16"/>
        </w:rPr>
      </w:pPr>
      <w:r w:rsidRPr="00D7715D">
        <w:rPr>
          <w:rFonts w:ascii="Century Gothic" w:hAnsi="Century Gothic" w:cs="Arial"/>
          <w:sz w:val="16"/>
          <w:szCs w:val="16"/>
        </w:rPr>
        <w:t xml:space="preserve">3. Índices de capacidad financiera. </w:t>
      </w:r>
    </w:p>
    <w:p w14:paraId="06020FFB" w14:textId="77777777" w:rsidR="00275C28" w:rsidRPr="00D7715D" w:rsidRDefault="00275C28" w:rsidP="00275C28">
      <w:pPr>
        <w:pStyle w:val="Textonotapie"/>
        <w:ind w:firstLine="709"/>
        <w:jc w:val="both"/>
        <w:rPr>
          <w:rFonts w:ascii="Century Gothic" w:hAnsi="Century Gothic" w:cs="Arial"/>
          <w:sz w:val="16"/>
          <w:szCs w:val="16"/>
        </w:rPr>
      </w:pPr>
      <w:r w:rsidRPr="00D7715D">
        <w:rPr>
          <w:rFonts w:ascii="Century Gothic" w:hAnsi="Century Gothic" w:cs="Arial"/>
          <w:sz w:val="16"/>
          <w:szCs w:val="16"/>
        </w:rPr>
        <w:t xml:space="preserve">4. Índices de capacidad organizacional. </w:t>
      </w:r>
    </w:p>
    <w:p w14:paraId="182BC6E2" w14:textId="77777777" w:rsidR="00275C28" w:rsidRPr="00D7715D" w:rsidRDefault="00275C28" w:rsidP="00275C28">
      <w:pPr>
        <w:pStyle w:val="Textonotapie"/>
        <w:ind w:firstLine="709"/>
        <w:jc w:val="both"/>
        <w:rPr>
          <w:rFonts w:ascii="Century Gothic" w:hAnsi="Century Gothic" w:cs="Arial"/>
          <w:sz w:val="16"/>
          <w:szCs w:val="16"/>
        </w:rPr>
      </w:pPr>
      <w:r w:rsidRPr="00D7715D">
        <w:rPr>
          <w:rFonts w:ascii="Century Gothic" w:hAnsi="Century Gothic" w:cs="Arial"/>
          <w:sz w:val="16"/>
          <w:szCs w:val="16"/>
        </w:rPr>
        <w:t xml:space="preserve">5. Valor de la garantía de seriedad de la oferta. </w:t>
      </w:r>
    </w:p>
    <w:p w14:paraId="62799681" w14:textId="77777777" w:rsidR="00275C28" w:rsidRPr="00D7715D" w:rsidRDefault="00275C28" w:rsidP="00275C28">
      <w:pPr>
        <w:pStyle w:val="Textonotapie"/>
        <w:ind w:firstLine="709"/>
        <w:jc w:val="both"/>
        <w:rPr>
          <w:rFonts w:ascii="Century Gothic" w:hAnsi="Century Gothic" w:cs="Arial"/>
          <w:sz w:val="16"/>
          <w:szCs w:val="16"/>
        </w:rPr>
      </w:pPr>
      <w:r w:rsidRPr="00D7715D">
        <w:rPr>
          <w:rFonts w:ascii="Century Gothic" w:hAnsi="Century Gothic" w:cs="Arial"/>
          <w:sz w:val="16"/>
          <w:szCs w:val="16"/>
        </w:rPr>
        <w:t xml:space="preserve"> Los requisitos mencionados deberán fijarse respetando las condiciones habilitantes requeridas para el cumplimiento adecuado del contrato, teniendo en cuenta el alcance de las obligaciones. En desarrollo de lo anterior, con la finalidad de beneficiar a las empresas y emprendimientos de mujeres, se establecerán condiciones más exigentes respecto a alguno o algunos de los criterios de participación antes enunciados frente a los demás proponentes que concurran al procedimiento de selección que no sean empresas o emprendimientos de mujeres. </w:t>
      </w:r>
    </w:p>
    <w:p w14:paraId="6D8FBADC" w14:textId="77777777" w:rsidR="00275C28" w:rsidRPr="00D7715D" w:rsidRDefault="00275C28" w:rsidP="00275C28">
      <w:pPr>
        <w:pStyle w:val="Textonotapie"/>
        <w:ind w:firstLine="709"/>
        <w:jc w:val="both"/>
        <w:rPr>
          <w:rFonts w:ascii="Century Gothic" w:hAnsi="Century Gothic" w:cs="Arial"/>
          <w:sz w:val="16"/>
          <w:szCs w:val="16"/>
        </w:rPr>
      </w:pPr>
      <w:r w:rsidRPr="00D7715D">
        <w:rPr>
          <w:rFonts w:ascii="Century Gothic" w:hAnsi="Century Gothic" w:cs="Arial"/>
          <w:sz w:val="16"/>
          <w:szCs w:val="16"/>
        </w:rPr>
        <w:t xml:space="preserve">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 </w:t>
      </w:r>
    </w:p>
    <w:p w14:paraId="3E008E9F" w14:textId="77777777" w:rsidR="00275C28" w:rsidRPr="00D7715D" w:rsidRDefault="00275C28" w:rsidP="00275C28">
      <w:pPr>
        <w:pStyle w:val="Textonotapie"/>
        <w:ind w:firstLine="709"/>
        <w:jc w:val="both"/>
        <w:rPr>
          <w:rFonts w:ascii="Century Gothic" w:hAnsi="Century Gothic" w:cs="Arial"/>
          <w:sz w:val="16"/>
          <w:szCs w:val="16"/>
        </w:rPr>
      </w:pPr>
      <w:r w:rsidRPr="00D7715D">
        <w:rPr>
          <w:rFonts w:ascii="Century Gothic" w:hAnsi="Century Gothic" w:cs="Arial"/>
          <w:sz w:val="16"/>
          <w:szCs w:val="16"/>
        </w:rPr>
        <w:t xml:space="preserve">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w:t>
      </w:r>
    </w:p>
    <w:p w14:paraId="366C379D" w14:textId="77777777" w:rsidR="00275C28" w:rsidRPr="00D7715D" w:rsidRDefault="00275C28" w:rsidP="00275C28">
      <w:pPr>
        <w:pStyle w:val="Textonotapie"/>
        <w:ind w:firstLine="709"/>
        <w:jc w:val="both"/>
        <w:rPr>
          <w:rFonts w:ascii="Century Gothic" w:hAnsi="Century Gothic" w:cs="Arial"/>
          <w:sz w:val="16"/>
          <w:szCs w:val="16"/>
        </w:rPr>
      </w:pPr>
      <w:r w:rsidRPr="00D7715D">
        <w:rPr>
          <w:rFonts w:ascii="Century Gothic" w:hAnsi="Century Gothic" w:cs="Arial"/>
          <w:sz w:val="16"/>
          <w:szCs w:val="16"/>
        </w:rPr>
        <w:t>Parágrafo 1.</w:t>
      </w:r>
      <w:r w:rsidRPr="00D7715D">
        <w:rPr>
          <w:rFonts w:ascii="Arial" w:hAnsi="Arial" w:cs="Arial"/>
          <w:sz w:val="16"/>
          <w:szCs w:val="16"/>
        </w:rPr>
        <w:t> </w:t>
      </w:r>
      <w:r w:rsidRPr="00D7715D">
        <w:rPr>
          <w:rFonts w:ascii="Century Gothic" w:hAnsi="Century Gothic" w:cs="Arial"/>
          <w:sz w:val="16"/>
          <w:szCs w:val="16"/>
        </w:rPr>
        <w:t>Trat</w:t>
      </w:r>
      <w:r w:rsidRPr="00D7715D">
        <w:rPr>
          <w:rFonts w:ascii="Century Gothic" w:hAnsi="Century Gothic" w:cs="Century Gothic"/>
          <w:sz w:val="16"/>
          <w:szCs w:val="16"/>
        </w:rPr>
        <w:t>á</w:t>
      </w:r>
      <w:r w:rsidRPr="00D7715D">
        <w:rPr>
          <w:rFonts w:ascii="Century Gothic" w:hAnsi="Century Gothic" w:cs="Arial"/>
          <w:sz w:val="16"/>
          <w:szCs w:val="16"/>
        </w:rPr>
        <w:t>ndose de proponentes plurales, los criterios diferenciales y los puntajes adicionales solo se aplicar</w:t>
      </w:r>
      <w:r w:rsidRPr="00D7715D">
        <w:rPr>
          <w:rFonts w:ascii="Century Gothic" w:hAnsi="Century Gothic" w:cs="Century Gothic"/>
          <w:sz w:val="16"/>
          <w:szCs w:val="16"/>
        </w:rPr>
        <w:t>á</w:t>
      </w:r>
      <w:r w:rsidRPr="00D7715D">
        <w:rPr>
          <w:rFonts w:ascii="Century Gothic" w:hAnsi="Century Gothic" w:cs="Arial"/>
          <w:sz w:val="16"/>
          <w:szCs w:val="16"/>
        </w:rPr>
        <w:t>n si por lo menos uno de los integrantes acredita que es emprendimiento y empresa de mujeres bajo los criterios dispuestos en el art</w:t>
      </w:r>
      <w:r w:rsidRPr="00D7715D">
        <w:rPr>
          <w:rFonts w:ascii="Century Gothic" w:hAnsi="Century Gothic" w:cs="Century Gothic"/>
          <w:sz w:val="16"/>
          <w:szCs w:val="16"/>
        </w:rPr>
        <w:t>í</w:t>
      </w:r>
      <w:r w:rsidRPr="00D7715D">
        <w:rPr>
          <w:rFonts w:ascii="Century Gothic" w:hAnsi="Century Gothic" w:cs="Arial"/>
          <w:sz w:val="16"/>
          <w:szCs w:val="16"/>
        </w:rPr>
        <w:t>culo precedente y que tiene una participaci</w:t>
      </w:r>
      <w:r w:rsidRPr="00D7715D">
        <w:rPr>
          <w:rFonts w:ascii="Century Gothic" w:hAnsi="Century Gothic" w:cs="Century Gothic"/>
          <w:sz w:val="16"/>
          <w:szCs w:val="16"/>
        </w:rPr>
        <w:t>ó</w:t>
      </w:r>
      <w:r w:rsidRPr="00D7715D">
        <w:rPr>
          <w:rFonts w:ascii="Century Gothic" w:hAnsi="Century Gothic" w:cs="Arial"/>
          <w:sz w:val="16"/>
          <w:szCs w:val="16"/>
        </w:rPr>
        <w:t>n igual o superior al diez por ciento (10%) en el consorcio o la uni</w:t>
      </w:r>
      <w:r w:rsidRPr="00D7715D">
        <w:rPr>
          <w:rFonts w:ascii="Century Gothic" w:hAnsi="Century Gothic" w:cs="Century Gothic"/>
          <w:sz w:val="16"/>
          <w:szCs w:val="16"/>
        </w:rPr>
        <w:t>ó</w:t>
      </w:r>
      <w:r w:rsidRPr="00D7715D">
        <w:rPr>
          <w:rFonts w:ascii="Century Gothic" w:hAnsi="Century Gothic" w:cs="Arial"/>
          <w:sz w:val="16"/>
          <w:szCs w:val="16"/>
        </w:rPr>
        <w:t xml:space="preserve">n temporal. </w:t>
      </w:r>
    </w:p>
    <w:p w14:paraId="709E514F" w14:textId="77777777" w:rsidR="00275C28" w:rsidRPr="00D7715D" w:rsidRDefault="00275C28" w:rsidP="00275C28">
      <w:pPr>
        <w:pStyle w:val="Textonotapie"/>
        <w:ind w:firstLine="709"/>
        <w:jc w:val="both"/>
        <w:rPr>
          <w:rFonts w:ascii="Century Gothic" w:hAnsi="Century Gothic" w:cs="Arial"/>
          <w:sz w:val="16"/>
          <w:szCs w:val="16"/>
        </w:rPr>
      </w:pPr>
      <w:r w:rsidRPr="00D7715D">
        <w:rPr>
          <w:rFonts w:ascii="Century Gothic" w:hAnsi="Century Gothic" w:cs="Arial"/>
          <w:sz w:val="16"/>
          <w:szCs w:val="16"/>
        </w:rPr>
        <w:t>Parágrafo 2.</w:t>
      </w:r>
      <w:r w:rsidRPr="00D7715D">
        <w:rPr>
          <w:rFonts w:ascii="Arial" w:hAnsi="Arial" w:cs="Arial"/>
          <w:sz w:val="16"/>
          <w:szCs w:val="16"/>
        </w:rPr>
        <w:t> </w:t>
      </w:r>
      <w:r w:rsidRPr="00D7715D">
        <w:rPr>
          <w:rFonts w:ascii="Century Gothic" w:hAnsi="Century Gothic" w:cs="Arial"/>
          <w:sz w:val="16"/>
          <w:szCs w:val="16"/>
        </w:rPr>
        <w:t>Los incentivos contractuales para las empresas y emprendimientos de mujeres no excluyen la aplicaci</w:t>
      </w:r>
      <w:r w:rsidRPr="00D7715D">
        <w:rPr>
          <w:rFonts w:ascii="Century Gothic" w:hAnsi="Century Gothic" w:cs="Century Gothic"/>
          <w:sz w:val="16"/>
          <w:szCs w:val="16"/>
        </w:rPr>
        <w:t>ó</w:t>
      </w:r>
      <w:r w:rsidRPr="00D7715D">
        <w:rPr>
          <w:rFonts w:ascii="Century Gothic" w:hAnsi="Century Gothic" w:cs="Arial"/>
          <w:sz w:val="16"/>
          <w:szCs w:val="16"/>
        </w:rPr>
        <w:t>n de los criterios diferenciales para Mipyme en el sistema de compras p</w:t>
      </w:r>
      <w:r w:rsidRPr="00D7715D">
        <w:rPr>
          <w:rFonts w:ascii="Century Gothic" w:hAnsi="Century Gothic" w:cs="Century Gothic"/>
          <w:sz w:val="16"/>
          <w:szCs w:val="16"/>
        </w:rPr>
        <w:t>ú</w:t>
      </w:r>
      <w:r w:rsidRPr="00D7715D">
        <w:rPr>
          <w:rFonts w:ascii="Century Gothic" w:hAnsi="Century Gothic" w:cs="Arial"/>
          <w:sz w:val="16"/>
          <w:szCs w:val="16"/>
        </w:rPr>
        <w:t xml:space="preserve">blicas”.  </w:t>
      </w:r>
    </w:p>
  </w:footnote>
  <w:footnote w:id="16">
    <w:p w14:paraId="04A22449" w14:textId="77777777" w:rsidR="00275C28" w:rsidRPr="00D7715D" w:rsidRDefault="00275C28" w:rsidP="00275C28">
      <w:pPr>
        <w:pStyle w:val="NormalWeb"/>
        <w:spacing w:before="0" w:beforeAutospacing="0" w:after="0" w:afterAutospacing="0"/>
        <w:ind w:firstLine="709"/>
        <w:jc w:val="both"/>
        <w:rPr>
          <w:rFonts w:ascii="Century Gothic" w:hAnsi="Century Gothic" w:cs="Arial"/>
          <w:sz w:val="16"/>
          <w:szCs w:val="16"/>
        </w:rPr>
      </w:pPr>
      <w:r w:rsidRPr="00D7715D">
        <w:rPr>
          <w:rStyle w:val="Refdenotaalpie"/>
          <w:rFonts w:ascii="Century Gothic" w:hAnsi="Century Gothic" w:cs="Arial"/>
          <w:sz w:val="16"/>
          <w:szCs w:val="16"/>
        </w:rPr>
        <w:footnoteRef/>
      </w:r>
      <w:r w:rsidRPr="00D7715D">
        <w:rPr>
          <w:rFonts w:ascii="Century Gothic" w:hAnsi="Century Gothic" w:cs="Arial"/>
          <w:sz w:val="16"/>
          <w:szCs w:val="16"/>
        </w:rPr>
        <w:t xml:space="preserve"> CÓDIGO CIVIL: “Artículo 27. Cuando el sentido de la ley sea claro, no se desatenderá su tenor literal a pretexto de consultar su espíritu. </w:t>
      </w:r>
    </w:p>
    <w:p w14:paraId="5B56BD3D" w14:textId="77777777" w:rsidR="00275C28" w:rsidRPr="00D7715D" w:rsidRDefault="00275C28" w:rsidP="00275C28">
      <w:pPr>
        <w:spacing w:after="0"/>
        <w:jc w:val="both"/>
        <w:rPr>
          <w:rFonts w:ascii="Century Gothic" w:hAnsi="Century Gothic" w:cs="Arial"/>
          <w:sz w:val="16"/>
          <w:szCs w:val="16"/>
          <w:lang w:eastAsia="es-CO"/>
        </w:rPr>
      </w:pPr>
      <w:r w:rsidRPr="00D7715D">
        <w:rPr>
          <w:rFonts w:ascii="Century Gothic" w:hAnsi="Century Gothic" w:cs="Arial"/>
          <w:sz w:val="16"/>
          <w:szCs w:val="16"/>
          <w:lang w:eastAsia="es-CO"/>
        </w:rPr>
        <w:t>  </w:t>
      </w:r>
      <w:r w:rsidRPr="00D7715D">
        <w:rPr>
          <w:rFonts w:ascii="Century Gothic" w:hAnsi="Century Gothic" w:cs="Arial"/>
          <w:sz w:val="16"/>
          <w:szCs w:val="16"/>
          <w:lang w:eastAsia="es-CO"/>
        </w:rPr>
        <w:tab/>
        <w:t>Pero bien se puede, para interpretar una expresión </w:t>
      </w:r>
      <w:r w:rsidRPr="00D7715D">
        <w:rPr>
          <w:rFonts w:ascii="Century Gothic" w:hAnsi="Century Gothic" w:cs="Arial"/>
          <w:i/>
          <w:sz w:val="16"/>
          <w:szCs w:val="16"/>
          <w:lang w:eastAsia="es-CO"/>
        </w:rPr>
        <w:t>oscura</w:t>
      </w:r>
      <w:r w:rsidRPr="00D7715D">
        <w:rPr>
          <w:rFonts w:ascii="Century Gothic" w:hAnsi="Century Gothic" w:cs="Arial"/>
          <w:sz w:val="16"/>
          <w:szCs w:val="16"/>
          <w:lang w:eastAsia="es-CO"/>
        </w:rPr>
        <w:t> de la ley, recurrir a su intención o espíritu, claramente manifestados en ella misma o en la historia fidedigna de su establecimiento”. </w:t>
      </w:r>
    </w:p>
  </w:footnote>
  <w:footnote w:id="17">
    <w:p w14:paraId="29A6BA42" w14:textId="77777777" w:rsidR="00275C28" w:rsidRPr="00D7715D" w:rsidRDefault="00275C28" w:rsidP="00275C28">
      <w:pPr>
        <w:spacing w:after="0" w:line="240" w:lineRule="auto"/>
        <w:ind w:firstLine="708"/>
        <w:jc w:val="both"/>
        <w:rPr>
          <w:rFonts w:ascii="Century Gothic" w:hAnsi="Century Gothic" w:cs="Arial"/>
          <w:sz w:val="16"/>
          <w:szCs w:val="16"/>
        </w:rPr>
      </w:pPr>
      <w:r w:rsidRPr="00D7715D">
        <w:rPr>
          <w:rStyle w:val="Refdenotaalpie"/>
          <w:rFonts w:ascii="Century Gothic" w:hAnsi="Century Gothic" w:cs="Arial"/>
          <w:sz w:val="16"/>
          <w:szCs w:val="16"/>
        </w:rPr>
        <w:footnoteRef/>
      </w:r>
      <w:r w:rsidRPr="00D7715D">
        <w:rPr>
          <w:rFonts w:ascii="Century Gothic" w:hAnsi="Century Gothic" w:cs="Arial"/>
          <w:sz w:val="16"/>
          <w:szCs w:val="16"/>
        </w:rPr>
        <w:t xml:space="preserve"> CORTE CONSTITUCIONAL. Sentencia SU-440 del 19 de diciembre del 2021. M.P. Paola Andrea Meneses Mosquera.</w:t>
      </w:r>
    </w:p>
  </w:footnote>
  <w:footnote w:id="18">
    <w:p w14:paraId="7C443B6F" w14:textId="77777777" w:rsidR="00275C28" w:rsidRPr="00D7715D" w:rsidRDefault="00275C28" w:rsidP="00275C28">
      <w:pPr>
        <w:pStyle w:val="Textonotapie"/>
        <w:ind w:firstLine="708"/>
        <w:jc w:val="both"/>
        <w:rPr>
          <w:rFonts w:ascii="Century Gothic" w:hAnsi="Century Gothic" w:cs="Arial"/>
          <w:sz w:val="16"/>
          <w:szCs w:val="16"/>
          <w:shd w:val="clear" w:color="auto" w:fill="FFFFFF"/>
        </w:rPr>
      </w:pPr>
      <w:r w:rsidRPr="00D7715D">
        <w:rPr>
          <w:rStyle w:val="Refdenotaalpie"/>
          <w:rFonts w:ascii="Century Gothic" w:hAnsi="Century Gothic" w:cs="Arial"/>
          <w:sz w:val="16"/>
          <w:szCs w:val="16"/>
        </w:rPr>
        <w:footnoteRef/>
      </w:r>
      <w:r w:rsidRPr="00D7715D">
        <w:rPr>
          <w:rFonts w:ascii="Century Gothic" w:hAnsi="Century Gothic" w:cs="Arial"/>
          <w:sz w:val="16"/>
          <w:szCs w:val="16"/>
        </w:rPr>
        <w:t xml:space="preserve"> </w:t>
      </w:r>
      <w:r w:rsidRPr="00D7715D">
        <w:rPr>
          <w:rFonts w:ascii="Century Gothic" w:hAnsi="Century Gothic" w:cs="Arial"/>
          <w:sz w:val="16"/>
          <w:szCs w:val="16"/>
          <w:shd w:val="clear" w:color="auto" w:fill="FFFFFF"/>
        </w:rPr>
        <w:t xml:space="preserve">CORTE CONSTITUCIONAL. Sentencia T-443 del 14 de octubre del 2020. </w:t>
      </w:r>
      <w:r w:rsidRPr="00D7715D">
        <w:rPr>
          <w:rFonts w:ascii="Century Gothic" w:hAnsi="Century Gothic" w:cs="Arial"/>
          <w:sz w:val="16"/>
          <w:szCs w:val="16"/>
        </w:rPr>
        <w:t xml:space="preserve">M.P. </w:t>
      </w:r>
      <w:r w:rsidRPr="00D7715D">
        <w:rPr>
          <w:rFonts w:ascii="Century Gothic" w:hAnsi="Century Gothic" w:cs="Arial"/>
          <w:sz w:val="16"/>
          <w:szCs w:val="16"/>
          <w:shd w:val="clear" w:color="auto" w:fill="FFFFFF"/>
        </w:rPr>
        <w:t>José Fernando Reyes Cuartas.</w:t>
      </w:r>
    </w:p>
  </w:footnote>
  <w:footnote w:id="19">
    <w:p w14:paraId="60A8F9C6" w14:textId="77777777" w:rsidR="00275C28" w:rsidRPr="00D7715D" w:rsidRDefault="00275C28" w:rsidP="00275C28">
      <w:pPr>
        <w:pStyle w:val="Textonotapie"/>
        <w:ind w:firstLine="708"/>
        <w:jc w:val="both"/>
        <w:rPr>
          <w:rFonts w:ascii="Century Gothic" w:hAnsi="Century Gothic" w:cs="Arial"/>
          <w:sz w:val="16"/>
          <w:szCs w:val="16"/>
        </w:rPr>
      </w:pPr>
      <w:r w:rsidRPr="00D7715D">
        <w:rPr>
          <w:rStyle w:val="Refdenotaalpie"/>
          <w:rFonts w:ascii="Century Gothic" w:hAnsi="Century Gothic" w:cs="Arial"/>
          <w:sz w:val="16"/>
          <w:szCs w:val="16"/>
        </w:rPr>
        <w:footnoteRef/>
      </w:r>
      <w:r w:rsidRPr="00D7715D">
        <w:rPr>
          <w:rFonts w:ascii="Century Gothic" w:hAnsi="Century Gothic" w:cs="Arial"/>
          <w:sz w:val="16"/>
          <w:szCs w:val="16"/>
        </w:rPr>
        <w:t xml:space="preserve"> CORTE CONSTITUCIONAL. Sentencia T-099/2015 del 10 de marzo del 2015. M.P. Gloria Stella Ortiz Delgado.</w:t>
      </w:r>
    </w:p>
  </w:footnote>
  <w:footnote w:id="20">
    <w:p w14:paraId="4D8302DC" w14:textId="77777777" w:rsidR="00275C28" w:rsidRPr="00D7715D" w:rsidRDefault="00275C28" w:rsidP="00275C28">
      <w:pPr>
        <w:pStyle w:val="Textonotapie"/>
        <w:ind w:firstLine="708"/>
        <w:jc w:val="both"/>
        <w:rPr>
          <w:rFonts w:ascii="Century Gothic" w:hAnsi="Century Gothic" w:cs="Arial"/>
          <w:sz w:val="16"/>
          <w:szCs w:val="16"/>
        </w:rPr>
      </w:pPr>
      <w:r w:rsidRPr="00D7715D">
        <w:rPr>
          <w:rStyle w:val="Refdenotaalpie"/>
          <w:rFonts w:ascii="Century Gothic" w:hAnsi="Century Gothic" w:cs="Arial"/>
          <w:sz w:val="16"/>
          <w:szCs w:val="16"/>
        </w:rPr>
        <w:footnoteRef/>
      </w:r>
      <w:r w:rsidRPr="00D7715D">
        <w:rPr>
          <w:rFonts w:ascii="Century Gothic" w:hAnsi="Century Gothic" w:cs="Arial"/>
          <w:sz w:val="16"/>
          <w:szCs w:val="16"/>
        </w:rPr>
        <w:t xml:space="preserve"> CASTELLANOS, Lorena. </w:t>
      </w:r>
      <w:r w:rsidRPr="00D7715D">
        <w:rPr>
          <w:rFonts w:ascii="Century Gothic" w:hAnsi="Century Gothic" w:cs="Arial"/>
          <w:i/>
          <w:iCs/>
          <w:sz w:val="16"/>
          <w:szCs w:val="16"/>
        </w:rPr>
        <w:t>Desmontando el determinismo biológico mediante el género</w:t>
      </w:r>
      <w:r w:rsidRPr="00D7715D">
        <w:rPr>
          <w:rFonts w:ascii="Century Gothic" w:hAnsi="Century Gothic" w:cs="Arial"/>
          <w:sz w:val="16"/>
          <w:szCs w:val="16"/>
        </w:rPr>
        <w:t xml:space="preserve"> en Musas: revista de investigación en mujer, salud y sociedad, Vol. 6, num. 1, 2021, pp. 4-19. Consultado a las 19: 30 del 29 de marzo del 2023 en:  </w:t>
      </w:r>
      <w:hyperlink r:id="rId3" w:history="1">
        <w:r w:rsidRPr="00D7715D">
          <w:rPr>
            <w:rStyle w:val="Hipervnculo"/>
            <w:rFonts w:ascii="Century Gothic" w:hAnsi="Century Gothic" w:cs="Arial"/>
            <w:sz w:val="16"/>
            <w:szCs w:val="16"/>
          </w:rPr>
          <w:t>https://revistes.ub.edu/index.php/MUSAS/article/view/vol6.num1.1/33136</w:t>
        </w:r>
      </w:hyperlink>
      <w:r w:rsidRPr="00D7715D">
        <w:rPr>
          <w:rFonts w:ascii="Century Gothic" w:hAnsi="Century Gothic" w:cs="Arial"/>
          <w:sz w:val="16"/>
          <w:szCs w:val="16"/>
        </w:rPr>
        <w:t xml:space="preserve">. </w:t>
      </w:r>
    </w:p>
  </w:footnote>
  <w:footnote w:id="21">
    <w:p w14:paraId="36119B46" w14:textId="77777777" w:rsidR="00275C28" w:rsidRPr="00D7715D" w:rsidRDefault="00275C28" w:rsidP="00275C28">
      <w:pPr>
        <w:spacing w:after="0" w:line="240" w:lineRule="auto"/>
        <w:ind w:firstLine="708"/>
        <w:jc w:val="both"/>
        <w:rPr>
          <w:rFonts w:ascii="Century Gothic" w:hAnsi="Century Gothic" w:cs="Arial"/>
          <w:sz w:val="16"/>
          <w:szCs w:val="16"/>
        </w:rPr>
      </w:pPr>
      <w:r w:rsidRPr="00D7715D">
        <w:rPr>
          <w:rStyle w:val="Refdenotaalpie"/>
          <w:rFonts w:ascii="Century Gothic" w:hAnsi="Century Gothic" w:cs="Arial"/>
          <w:sz w:val="16"/>
          <w:szCs w:val="16"/>
        </w:rPr>
        <w:footnoteRef/>
      </w:r>
      <w:r w:rsidRPr="00D7715D">
        <w:rPr>
          <w:rFonts w:ascii="Century Gothic" w:hAnsi="Century Gothic" w:cs="Arial"/>
          <w:sz w:val="16"/>
          <w:szCs w:val="16"/>
        </w:rPr>
        <w:t xml:space="preserve"> Principios sobre la aplicación de la legislación internacional de derechos humanos en relación con la orientación sexual y la identidad de género. Consultado a las 20:30 del 29 de marzo del 2023 en: </w:t>
      </w:r>
      <w:hyperlink r:id="rId4" w:history="1">
        <w:r w:rsidRPr="00D7715D">
          <w:rPr>
            <w:rStyle w:val="Hipervnculo"/>
            <w:rFonts w:ascii="Century Gothic" w:hAnsi="Century Gothic" w:cs="Arial"/>
            <w:sz w:val="16"/>
            <w:szCs w:val="16"/>
          </w:rPr>
          <w:t>http://yogyakartaprinciples.org/wp-content/uploads/2016/08/principles_sp.pdf</w:t>
        </w:r>
      </w:hyperlink>
      <w:r w:rsidRPr="00D7715D">
        <w:rPr>
          <w:rStyle w:val="Hipervnculo"/>
          <w:rFonts w:ascii="Century Gothic" w:hAnsi="Century Gothic" w:cs="Arial"/>
          <w:sz w:val="16"/>
          <w:szCs w:val="16"/>
        </w:rPr>
        <w:t xml:space="preserve">. </w:t>
      </w:r>
    </w:p>
  </w:footnote>
  <w:footnote w:id="22">
    <w:p w14:paraId="5C7E8EBD" w14:textId="77777777" w:rsidR="00275C28" w:rsidRPr="00D7715D" w:rsidRDefault="00275C28" w:rsidP="00275C28">
      <w:pPr>
        <w:pStyle w:val="Textonotapie"/>
        <w:ind w:firstLine="708"/>
        <w:jc w:val="both"/>
        <w:rPr>
          <w:rFonts w:ascii="Century Gothic" w:hAnsi="Century Gothic" w:cs="Arial"/>
          <w:sz w:val="16"/>
          <w:szCs w:val="16"/>
          <w:lang w:val="es-ES"/>
        </w:rPr>
      </w:pPr>
      <w:r w:rsidRPr="00D7715D">
        <w:rPr>
          <w:rStyle w:val="Refdenotaalpie"/>
          <w:rFonts w:ascii="Century Gothic" w:hAnsi="Century Gothic" w:cs="Arial"/>
          <w:sz w:val="16"/>
          <w:szCs w:val="16"/>
        </w:rPr>
        <w:footnoteRef/>
      </w:r>
      <w:r w:rsidRPr="00D7715D">
        <w:rPr>
          <w:rFonts w:ascii="Century Gothic" w:hAnsi="Century Gothic" w:cs="Arial"/>
          <w:sz w:val="16"/>
          <w:szCs w:val="16"/>
        </w:rPr>
        <w:t xml:space="preserve"> </w:t>
      </w:r>
      <w:r w:rsidRPr="00D7715D">
        <w:rPr>
          <w:rFonts w:ascii="Century Gothic" w:hAnsi="Century Gothic" w:cs="Arial"/>
          <w:sz w:val="16"/>
          <w:szCs w:val="16"/>
          <w:lang w:val="es-ES"/>
        </w:rPr>
        <w:t>CORTE CONSTITUCIONAL.</w:t>
      </w:r>
      <w:r w:rsidRPr="00D7715D">
        <w:rPr>
          <w:rFonts w:ascii="Century Gothic" w:hAnsi="Century Gothic" w:cs="Arial"/>
          <w:sz w:val="16"/>
          <w:szCs w:val="16"/>
        </w:rPr>
        <w:t xml:space="preserve"> Sentencia </w:t>
      </w:r>
      <w:r w:rsidRPr="00D7715D">
        <w:rPr>
          <w:rFonts w:ascii="Century Gothic" w:hAnsi="Century Gothic" w:cs="Arial"/>
          <w:sz w:val="16"/>
          <w:szCs w:val="16"/>
          <w:lang w:val="es-ES"/>
        </w:rPr>
        <w:t>T-033 del 04 de febrero del 2022. M.P. Gloria Stella Ortiz Delgado.</w:t>
      </w:r>
    </w:p>
  </w:footnote>
  <w:footnote w:id="23">
    <w:p w14:paraId="7E36DF58" w14:textId="77777777" w:rsidR="00275C28" w:rsidRPr="00D7715D" w:rsidRDefault="00275C28" w:rsidP="00275C28">
      <w:pPr>
        <w:pStyle w:val="Textonotapie"/>
        <w:ind w:firstLine="708"/>
        <w:jc w:val="both"/>
        <w:rPr>
          <w:rFonts w:ascii="Century Gothic" w:hAnsi="Century Gothic" w:cs="Arial"/>
          <w:sz w:val="16"/>
          <w:szCs w:val="16"/>
          <w:lang w:val="es-ES"/>
        </w:rPr>
      </w:pPr>
      <w:r w:rsidRPr="00D7715D">
        <w:rPr>
          <w:rStyle w:val="Refdenotaalpie"/>
          <w:rFonts w:ascii="Century Gothic" w:hAnsi="Century Gothic" w:cs="Arial"/>
          <w:sz w:val="16"/>
          <w:szCs w:val="16"/>
        </w:rPr>
        <w:footnoteRef/>
      </w:r>
      <w:r w:rsidRPr="00D7715D">
        <w:rPr>
          <w:rFonts w:ascii="Century Gothic" w:hAnsi="Century Gothic" w:cs="Arial"/>
          <w:sz w:val="16"/>
          <w:szCs w:val="16"/>
          <w:lang w:val="es-ES"/>
        </w:rPr>
        <w:t xml:space="preserve"> CORTE CONSTITUCIONAL.</w:t>
      </w:r>
      <w:r w:rsidRPr="00D7715D">
        <w:rPr>
          <w:rFonts w:ascii="Century Gothic" w:hAnsi="Century Gothic" w:cs="Arial"/>
          <w:sz w:val="16"/>
          <w:szCs w:val="16"/>
        </w:rPr>
        <w:t xml:space="preserve"> </w:t>
      </w:r>
      <w:r w:rsidRPr="00D7715D">
        <w:rPr>
          <w:rFonts w:ascii="Century Gothic" w:hAnsi="Century Gothic" w:cs="Arial"/>
          <w:sz w:val="16"/>
          <w:szCs w:val="16"/>
          <w:shd w:val="clear" w:color="auto" w:fill="FFFFFF"/>
        </w:rPr>
        <w:t xml:space="preserve">Sentencia T-443 del 14 de octubre del 2020. Corte Constitucional.  </w:t>
      </w:r>
      <w:r w:rsidRPr="00D7715D">
        <w:rPr>
          <w:rFonts w:ascii="Century Gothic" w:hAnsi="Century Gothic" w:cs="Arial"/>
          <w:sz w:val="16"/>
          <w:szCs w:val="16"/>
        </w:rPr>
        <w:t xml:space="preserve">M.P. </w:t>
      </w:r>
      <w:r w:rsidRPr="00D7715D">
        <w:rPr>
          <w:rFonts w:ascii="Century Gothic" w:hAnsi="Century Gothic" w:cs="Arial"/>
          <w:sz w:val="16"/>
          <w:szCs w:val="16"/>
          <w:shd w:val="clear" w:color="auto" w:fill="FFFFFF"/>
        </w:rPr>
        <w:t>José Fernando Reyes Cuartas.</w:t>
      </w:r>
    </w:p>
  </w:footnote>
  <w:footnote w:id="24">
    <w:p w14:paraId="1A232862" w14:textId="77777777" w:rsidR="00275C28" w:rsidRPr="00D7715D" w:rsidRDefault="00275C28" w:rsidP="00275C28">
      <w:pPr>
        <w:pStyle w:val="Textonotapie"/>
        <w:ind w:firstLine="708"/>
        <w:jc w:val="both"/>
        <w:rPr>
          <w:rFonts w:ascii="Century Gothic" w:hAnsi="Century Gothic" w:cs="Arial"/>
          <w:sz w:val="16"/>
          <w:szCs w:val="16"/>
          <w:lang w:val="es-ES"/>
        </w:rPr>
      </w:pPr>
      <w:r w:rsidRPr="00D7715D">
        <w:rPr>
          <w:rStyle w:val="Refdenotaalpie"/>
          <w:rFonts w:ascii="Century Gothic" w:hAnsi="Century Gothic" w:cs="Arial"/>
          <w:sz w:val="16"/>
          <w:szCs w:val="16"/>
        </w:rPr>
        <w:footnoteRef/>
      </w:r>
      <w:r w:rsidRPr="00D7715D">
        <w:rPr>
          <w:rFonts w:ascii="Century Gothic" w:hAnsi="Century Gothic" w:cs="Arial"/>
          <w:sz w:val="16"/>
          <w:szCs w:val="16"/>
        </w:rPr>
        <w:t xml:space="preserve"> </w:t>
      </w:r>
      <w:r w:rsidRPr="00D7715D">
        <w:rPr>
          <w:rFonts w:ascii="Century Gothic" w:hAnsi="Century Gothic" w:cs="Arial"/>
          <w:sz w:val="16"/>
          <w:szCs w:val="16"/>
          <w:lang w:val="es-ES"/>
        </w:rPr>
        <w:t>CORTE CONSTITUCIONAL.</w:t>
      </w:r>
      <w:r w:rsidRPr="00D7715D">
        <w:rPr>
          <w:rFonts w:ascii="Century Gothic" w:hAnsi="Century Gothic" w:cs="Arial"/>
          <w:sz w:val="16"/>
          <w:szCs w:val="16"/>
        </w:rPr>
        <w:t xml:space="preserve"> Sentencia </w:t>
      </w:r>
      <w:r w:rsidRPr="00D7715D">
        <w:rPr>
          <w:rFonts w:ascii="Century Gothic" w:hAnsi="Century Gothic" w:cs="Arial"/>
          <w:sz w:val="16"/>
          <w:szCs w:val="16"/>
          <w:lang w:val="es-ES"/>
        </w:rPr>
        <w:t>T-033 del 04 de febrero del 2022.</w:t>
      </w:r>
      <w:r>
        <w:rPr>
          <w:rFonts w:ascii="Century Gothic" w:hAnsi="Century Gothic" w:cs="Arial"/>
          <w:sz w:val="16"/>
          <w:szCs w:val="16"/>
          <w:lang w:val="es-ES"/>
        </w:rPr>
        <w:t xml:space="preserve"> </w:t>
      </w:r>
      <w:r w:rsidRPr="00D7715D">
        <w:rPr>
          <w:rFonts w:ascii="Century Gothic" w:hAnsi="Century Gothic" w:cs="Arial"/>
          <w:sz w:val="16"/>
          <w:szCs w:val="16"/>
          <w:lang w:val="es-ES"/>
        </w:rPr>
        <w:t>M.P. Gloria Stella Ortiz Delgado.</w:t>
      </w:r>
    </w:p>
  </w:footnote>
  <w:footnote w:id="25">
    <w:p w14:paraId="51D1035A" w14:textId="77777777" w:rsidR="00275C28" w:rsidRPr="00D7715D" w:rsidRDefault="00275C28" w:rsidP="00275C28">
      <w:pPr>
        <w:pStyle w:val="Textonotapie"/>
        <w:ind w:firstLine="708"/>
        <w:jc w:val="both"/>
        <w:rPr>
          <w:rFonts w:ascii="Century Gothic" w:hAnsi="Century Gothic" w:cs="Arial"/>
          <w:sz w:val="16"/>
          <w:szCs w:val="16"/>
          <w:lang w:val="es-ES"/>
        </w:rPr>
      </w:pPr>
      <w:r w:rsidRPr="00D7715D">
        <w:rPr>
          <w:rStyle w:val="Refdenotaalpie"/>
          <w:rFonts w:ascii="Century Gothic" w:hAnsi="Century Gothic" w:cs="Arial"/>
          <w:sz w:val="16"/>
          <w:szCs w:val="16"/>
        </w:rPr>
        <w:footnoteRef/>
      </w:r>
      <w:r w:rsidRPr="00D7715D">
        <w:rPr>
          <w:rFonts w:ascii="Century Gothic" w:hAnsi="Century Gothic" w:cs="Arial"/>
          <w:sz w:val="16"/>
          <w:szCs w:val="16"/>
        </w:rPr>
        <w:t xml:space="preserve"> </w:t>
      </w:r>
      <w:r w:rsidRPr="00D7715D">
        <w:rPr>
          <w:rFonts w:ascii="Century Gothic" w:hAnsi="Century Gothic" w:cs="Arial"/>
          <w:sz w:val="16"/>
          <w:szCs w:val="16"/>
          <w:lang w:val="es-ES"/>
        </w:rPr>
        <w:t>CORTE CONSTITUCIONAL.</w:t>
      </w:r>
      <w:r w:rsidRPr="00D7715D">
        <w:rPr>
          <w:rFonts w:ascii="Century Gothic" w:hAnsi="Century Gothic" w:cs="Arial"/>
          <w:sz w:val="16"/>
          <w:szCs w:val="16"/>
        </w:rPr>
        <w:t xml:space="preserve"> Sentencia </w:t>
      </w:r>
      <w:r w:rsidRPr="00D7715D">
        <w:rPr>
          <w:rFonts w:ascii="Century Gothic" w:hAnsi="Century Gothic" w:cs="Arial"/>
          <w:sz w:val="16"/>
          <w:szCs w:val="16"/>
          <w:lang w:val="es-ES"/>
        </w:rPr>
        <w:t>T-033 del 04 de febrero del 2022.</w:t>
      </w:r>
      <w:r>
        <w:rPr>
          <w:rFonts w:ascii="Century Gothic" w:hAnsi="Century Gothic" w:cs="Arial"/>
          <w:sz w:val="16"/>
          <w:szCs w:val="16"/>
          <w:lang w:val="es-ES"/>
        </w:rPr>
        <w:t xml:space="preserve"> </w:t>
      </w:r>
      <w:r w:rsidRPr="00D7715D">
        <w:rPr>
          <w:rFonts w:ascii="Century Gothic" w:hAnsi="Century Gothic" w:cs="Arial"/>
          <w:sz w:val="16"/>
          <w:szCs w:val="16"/>
          <w:lang w:val="es-ES"/>
        </w:rPr>
        <w:t>M.P. Gloria Stella Ortiz Delgado.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5D0C20C7" w:rsidR="00756841" w:rsidRDefault="00BD15D4">
    <w:pPr>
      <w:pStyle w:val="Encabezado"/>
    </w:pPr>
    <w:r>
      <w:rPr>
        <w:noProof/>
        <w:lang w:eastAsia="es-CO"/>
      </w:rPr>
      <w:drawing>
        <wp:anchor distT="0" distB="0" distL="114300" distR="114300" simplePos="0" relativeHeight="251658240" behindDoc="1" locked="0" layoutInCell="1" allowOverlap="1" wp14:anchorId="748FC4A6" wp14:editId="19FCB529">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lang w:eastAsia="es-CO"/>
      </w:rPr>
      <w:drawing>
        <wp:anchor distT="0" distB="0" distL="114300" distR="114300" simplePos="0" relativeHeight="251658244"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56BAF314"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B0E5F1B" w:rsidR="004A305D" w:rsidRPr="004A305D" w:rsidRDefault="004A305D"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5B5D8B">
      <w:rPr>
        <w:rFonts w:ascii="Century Gothic" w:eastAsia="Geo" w:hAnsi="Century Gothic" w:cs="Geo"/>
        <w:bCs/>
        <w:color w:val="000000"/>
        <w:sz w:val="16"/>
        <w:szCs w:val="16"/>
        <w:lang w:eastAsia="es-CO"/>
      </w:rPr>
      <w:t>7</w:t>
    </w:r>
  </w:p>
  <w:p w14:paraId="1FD1C243" w14:textId="4F629FA9" w:rsidR="008A446D" w:rsidRDefault="004A305D" w:rsidP="005B5D8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005B5D8B" w:rsidRPr="004A305D">
      <w:rPr>
        <w:rFonts w:ascii="Century Gothic" w:eastAsia="Geo" w:hAnsi="Century Gothic" w:cs="Geo"/>
        <w:sz w:val="16"/>
        <w:szCs w:val="16"/>
        <w:lang w:eastAsia="es-CO"/>
      </w:rPr>
      <w:t>0</w:t>
    </w:r>
    <w:r w:rsidR="005B5D8B">
      <w:rPr>
        <w:rFonts w:ascii="Century Gothic" w:eastAsia="Geo" w:hAnsi="Century Gothic" w:cs="Geo"/>
        <w:sz w:val="16"/>
        <w:szCs w:val="16"/>
        <w:lang w:eastAsia="es-CO"/>
      </w:rPr>
      <w:t>2</w:t>
    </w:r>
    <w:r w:rsidR="005B5D8B" w:rsidRPr="004A305D">
      <w:rPr>
        <w:rFonts w:ascii="Century Gothic" w:eastAsia="Geo" w:hAnsi="Century Gothic" w:cs="Geo"/>
        <w:sz w:val="16"/>
        <w:szCs w:val="16"/>
        <w:lang w:eastAsia="es-CO"/>
      </w:rPr>
      <w:t xml:space="preserve"> DEL </w:t>
    </w:r>
    <w:r w:rsidR="005B5D8B">
      <w:rPr>
        <w:rFonts w:ascii="Century Gothic" w:eastAsia="Geo" w:hAnsi="Century Gothic" w:cs="Geo"/>
        <w:sz w:val="16"/>
        <w:szCs w:val="16"/>
        <w:lang w:eastAsia="es-CO"/>
      </w:rPr>
      <w:t xml:space="preserve">22 </w:t>
    </w:r>
    <w:r w:rsidR="005B5D8B" w:rsidRPr="004A305D">
      <w:rPr>
        <w:rFonts w:ascii="Century Gothic" w:eastAsia="Geo" w:hAnsi="Century Gothic" w:cs="Geo"/>
        <w:sz w:val="16"/>
        <w:szCs w:val="16"/>
        <w:lang w:eastAsia="es-CO"/>
      </w:rPr>
      <w:t xml:space="preserve">DE </w:t>
    </w:r>
    <w:r w:rsidR="005B5D8B">
      <w:rPr>
        <w:rFonts w:ascii="Century Gothic" w:eastAsia="Geo" w:hAnsi="Century Gothic" w:cs="Geo"/>
        <w:sz w:val="16"/>
        <w:szCs w:val="16"/>
        <w:lang w:eastAsia="es-CO"/>
      </w:rPr>
      <w:t>AGOSTO</w:t>
    </w:r>
    <w:r w:rsidR="005B5D8B" w:rsidRPr="004A305D">
      <w:rPr>
        <w:rFonts w:ascii="Century Gothic" w:eastAsia="Geo" w:hAnsi="Century Gothic" w:cs="Geo"/>
        <w:sz w:val="16"/>
        <w:szCs w:val="16"/>
        <w:lang w:eastAsia="es-CO"/>
      </w:rPr>
      <w:t xml:space="preserve"> DE 202</w:t>
    </w:r>
    <w:r w:rsidR="005B5D8B">
      <w:rPr>
        <w:rFonts w:ascii="Century Gothic" w:eastAsia="Geo" w:hAnsi="Century Gothic" w:cs="Geo"/>
        <w:sz w:val="16"/>
        <w:szCs w:val="16"/>
        <w:lang w:eastAsia="es-CO"/>
      </w:rPr>
      <w:t>3</w:t>
    </w:r>
  </w:p>
  <w:p w14:paraId="3DBCDD3E" w14:textId="77777777" w:rsidR="005B5D8B" w:rsidRPr="005B5D8B" w:rsidRDefault="005B5D8B" w:rsidP="005B5D8B">
    <w:pPr>
      <w:spacing w:after="0"/>
      <w:rPr>
        <w:rFonts w:ascii="Century Gothic" w:eastAsia="Geo" w:hAnsi="Century Gothic" w:cs="Geo"/>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981954">
    <w:abstractNumId w:val="3"/>
  </w:num>
  <w:num w:numId="2" w16cid:durableId="486676265">
    <w:abstractNumId w:val="1"/>
  </w:num>
  <w:num w:numId="3" w16cid:durableId="608313202">
    <w:abstractNumId w:val="2"/>
  </w:num>
  <w:num w:numId="4" w16cid:durableId="266743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877461">
    <w:abstractNumId w:val="1"/>
  </w:num>
  <w:num w:numId="6" w16cid:durableId="1103645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34C06"/>
    <w:rsid w:val="00082CC4"/>
    <w:rsid w:val="000A683E"/>
    <w:rsid w:val="000B19B9"/>
    <w:rsid w:val="000D0334"/>
    <w:rsid w:val="000E4714"/>
    <w:rsid w:val="000F6486"/>
    <w:rsid w:val="00125105"/>
    <w:rsid w:val="00127233"/>
    <w:rsid w:val="001E4177"/>
    <w:rsid w:val="00275C28"/>
    <w:rsid w:val="002951A0"/>
    <w:rsid w:val="002962BC"/>
    <w:rsid w:val="002A093D"/>
    <w:rsid w:val="002A49AC"/>
    <w:rsid w:val="002A64FD"/>
    <w:rsid w:val="002C7A84"/>
    <w:rsid w:val="00303F3A"/>
    <w:rsid w:val="003448F4"/>
    <w:rsid w:val="00375BFA"/>
    <w:rsid w:val="003A779E"/>
    <w:rsid w:val="003C330B"/>
    <w:rsid w:val="003D0F4D"/>
    <w:rsid w:val="003E0499"/>
    <w:rsid w:val="003F3941"/>
    <w:rsid w:val="00400548"/>
    <w:rsid w:val="004368BC"/>
    <w:rsid w:val="004A1847"/>
    <w:rsid w:val="004A305D"/>
    <w:rsid w:val="004F21C4"/>
    <w:rsid w:val="004F685F"/>
    <w:rsid w:val="00533E8F"/>
    <w:rsid w:val="00547201"/>
    <w:rsid w:val="005566E8"/>
    <w:rsid w:val="00574867"/>
    <w:rsid w:val="005B5D8B"/>
    <w:rsid w:val="005C5CDC"/>
    <w:rsid w:val="005D476C"/>
    <w:rsid w:val="00611FA2"/>
    <w:rsid w:val="006219F8"/>
    <w:rsid w:val="00665D70"/>
    <w:rsid w:val="00703ECF"/>
    <w:rsid w:val="00706C16"/>
    <w:rsid w:val="00727370"/>
    <w:rsid w:val="00756841"/>
    <w:rsid w:val="00763C80"/>
    <w:rsid w:val="007649AB"/>
    <w:rsid w:val="007833AC"/>
    <w:rsid w:val="007B7171"/>
    <w:rsid w:val="007C10EE"/>
    <w:rsid w:val="007C3DC2"/>
    <w:rsid w:val="007D2B84"/>
    <w:rsid w:val="007E5497"/>
    <w:rsid w:val="00806F5F"/>
    <w:rsid w:val="00820278"/>
    <w:rsid w:val="008843B6"/>
    <w:rsid w:val="00891928"/>
    <w:rsid w:val="008A446D"/>
    <w:rsid w:val="008B716F"/>
    <w:rsid w:val="008F0EA7"/>
    <w:rsid w:val="00923EEF"/>
    <w:rsid w:val="009419F9"/>
    <w:rsid w:val="00961B09"/>
    <w:rsid w:val="00965334"/>
    <w:rsid w:val="0097093E"/>
    <w:rsid w:val="009C71FA"/>
    <w:rsid w:val="009C72E7"/>
    <w:rsid w:val="00A17F13"/>
    <w:rsid w:val="00A20739"/>
    <w:rsid w:val="00A241DD"/>
    <w:rsid w:val="00A33C78"/>
    <w:rsid w:val="00AB0ADB"/>
    <w:rsid w:val="00AD5E99"/>
    <w:rsid w:val="00B67F65"/>
    <w:rsid w:val="00B72CD3"/>
    <w:rsid w:val="00B72FFF"/>
    <w:rsid w:val="00BA530D"/>
    <w:rsid w:val="00BD15D4"/>
    <w:rsid w:val="00BD2E7A"/>
    <w:rsid w:val="00BD7F72"/>
    <w:rsid w:val="00C04FB3"/>
    <w:rsid w:val="00C330EB"/>
    <w:rsid w:val="00C754BE"/>
    <w:rsid w:val="00CB6357"/>
    <w:rsid w:val="00CC1B26"/>
    <w:rsid w:val="00CC266A"/>
    <w:rsid w:val="00CD6716"/>
    <w:rsid w:val="00D423A2"/>
    <w:rsid w:val="00D63AC2"/>
    <w:rsid w:val="00D7383B"/>
    <w:rsid w:val="00D80CB6"/>
    <w:rsid w:val="00DA231B"/>
    <w:rsid w:val="00E16408"/>
    <w:rsid w:val="00E20894"/>
    <w:rsid w:val="00E245AB"/>
    <w:rsid w:val="00E50AFE"/>
    <w:rsid w:val="00E771DC"/>
    <w:rsid w:val="00E8772A"/>
    <w:rsid w:val="00E90F6B"/>
    <w:rsid w:val="00E92C27"/>
    <w:rsid w:val="00EA0E3D"/>
    <w:rsid w:val="00EC7F5D"/>
    <w:rsid w:val="00EE1AA8"/>
    <w:rsid w:val="00F17039"/>
    <w:rsid w:val="00F204AB"/>
    <w:rsid w:val="00F31EDC"/>
    <w:rsid w:val="00F5664F"/>
    <w:rsid w:val="00F613A2"/>
    <w:rsid w:val="00F76AFC"/>
    <w:rsid w:val="00FB5DD1"/>
    <w:rsid w:val="00FC2B5D"/>
    <w:rsid w:val="00FF1449"/>
    <w:rsid w:val="687B05C8"/>
    <w:rsid w:val="77D36B6A"/>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semiHidden/>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Appelnotedebasde">
    <w:name w:val="Appel note de bas de..."/>
    <w:basedOn w:val="Normal"/>
    <w:link w:val="Refdenotaalpie"/>
    <w:uiPriority w:val="99"/>
    <w:rsid w:val="00375BFA"/>
    <w:pPr>
      <w:spacing w:line="240" w:lineRule="exact"/>
    </w:pPr>
    <w:rPr>
      <w:vertAlign w:val="superscript"/>
    </w:rPr>
  </w:style>
  <w:style w:type="paragraph" w:styleId="NormalWeb">
    <w:name w:val="Normal (Web)"/>
    <w:basedOn w:val="Normal"/>
    <w:link w:val="NormalWebCar"/>
    <w:uiPriority w:val="99"/>
    <w:unhideWhenUsed/>
    <w:rsid w:val="00375BF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375BFA"/>
    <w:rPr>
      <w:rFonts w:ascii="Times New Roman" w:eastAsia="Times New Roman" w:hAnsi="Times New Roman" w:cs="Times New Roman"/>
      <w:sz w:val="24"/>
      <w:szCs w:val="24"/>
      <w:lang w:eastAsia="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75BFA"/>
    <w:rPr>
      <w:rFonts w:ascii="Geomanist Light" w:hAnsi="Geomanist Light"/>
      <w:lang w:val="es-ES"/>
    </w:rPr>
  </w:style>
  <w:style w:type="character" w:styleId="Textoennegrita">
    <w:name w:val="Strong"/>
    <w:basedOn w:val="Fuentedeprrafopredeter"/>
    <w:uiPriority w:val="22"/>
    <w:qFormat/>
    <w:rsid w:val="00375BFA"/>
    <w:rPr>
      <w:b/>
      <w:bCs/>
    </w:rPr>
  </w:style>
  <w:style w:type="character" w:customStyle="1" w:styleId="Hipervnculo1">
    <w:name w:val="Hipervínculo1"/>
    <w:basedOn w:val="Fuentedeprrafopredeter"/>
    <w:uiPriority w:val="99"/>
    <w:unhideWhenUsed/>
    <w:rsid w:val="00375BFA"/>
    <w:rPr>
      <w:color w:val="F2F2F2"/>
      <w:u w:val="single"/>
    </w:rPr>
  </w:style>
  <w:style w:type="paragraph" w:customStyle="1" w:styleId="Car1">
    <w:name w:val="Car1"/>
    <w:basedOn w:val="Normal"/>
    <w:next w:val="Textonotapie"/>
    <w:uiPriority w:val="99"/>
    <w:unhideWhenUsed/>
    <w:qFormat/>
    <w:rsid w:val="00375BFA"/>
    <w:pPr>
      <w:spacing w:after="0" w:line="240" w:lineRule="auto"/>
    </w:pPr>
    <w:rPr>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revistes.ub.edu/index.php/MUSAS/article/view/vol6.num1.1/33136" TargetMode="External"/><Relationship Id="rId2" Type="http://schemas.openxmlformats.org/officeDocument/2006/relationships/hyperlink" Target="http://leyes.senado.gov.co/proyectos/index.php/textos-radicados-senado/p-ley-2020-2021/1957-proyecto-de-ley-161-de-2020" TargetMode="External"/><Relationship Id="rId1" Type="http://schemas.openxmlformats.org/officeDocument/2006/relationships/hyperlink" Target="https://relatoria.colombiacompra.gov.co/busqueda/conceptos%20" TargetMode="External"/><Relationship Id="rId4" Type="http://schemas.openxmlformats.org/officeDocument/2006/relationships/hyperlink" Target="http://yogyakartaprinciples.org/wp-content/uploads/2016/08/principles_sp.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Juan David Montoya Penagos</DisplayName>
        <AccountId>697</AccountId>
        <AccountType/>
      </UserInfo>
      <UserInfo>
        <DisplayName>Juan David Cárdenas Cabeza</DisplayName>
        <AccountId>659</AccountId>
        <AccountType/>
      </UserInfo>
      <UserInfo>
        <DisplayName>Nohelia Del Carmen Zawady Palacio</DisplayName>
        <AccountId>289</AccountId>
        <AccountType/>
      </UserInfo>
    </SharedWithUsers>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51ffb7fd-4899-4472-8c42-8dade94ea362"/>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0A534377-EA61-40D9-8645-ABD8D8D9D29B}"/>
</file>

<file path=docProps/app.xml><?xml version="1.0" encoding="utf-8"?>
<Properties xmlns="http://schemas.openxmlformats.org/officeDocument/2006/extended-properties" xmlns:vt="http://schemas.openxmlformats.org/officeDocument/2006/docPropsVTypes">
  <Template>Normal</Template>
  <TotalTime>6</TotalTime>
  <Pages>21</Pages>
  <Words>7130</Words>
  <Characters>39220</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ANCP - CCE</cp:lastModifiedBy>
  <cp:revision>6</cp:revision>
  <cp:lastPrinted>2023-01-10T21:18:00Z</cp:lastPrinted>
  <dcterms:created xsi:type="dcterms:W3CDTF">2024-03-26T01:25:00Z</dcterms:created>
  <dcterms:modified xsi:type="dcterms:W3CDTF">2024-04-09T17:00:00Z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