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223B2" w14:textId="77777777" w:rsidR="003B5604" w:rsidRPr="00035110" w:rsidRDefault="003B5604" w:rsidP="003B5604">
      <w:pPr>
        <w:spacing w:after="0"/>
        <w:jc w:val="both"/>
        <w:rPr>
          <w:rFonts w:ascii="Century Gothic" w:eastAsia="Calibri" w:hAnsi="Century Gothic" w:cs="Arial"/>
          <w:b/>
          <w:color w:val="000000" w:themeColor="text1"/>
          <w:sz w:val="20"/>
          <w:szCs w:val="20"/>
        </w:rPr>
      </w:pPr>
      <w:bookmarkStart w:id="0" w:name="_Hlk94281581"/>
      <w:bookmarkStart w:id="1" w:name="_Hlk102489058"/>
      <w:bookmarkStart w:id="2" w:name="_Hlk34951122"/>
    </w:p>
    <w:p w14:paraId="4D102719" w14:textId="77777777" w:rsidR="003B5604" w:rsidRPr="00035110" w:rsidRDefault="003B5604" w:rsidP="003B5604">
      <w:pPr>
        <w:spacing w:after="0"/>
        <w:jc w:val="both"/>
        <w:rPr>
          <w:rFonts w:ascii="Century Gothic" w:eastAsia="Calibri" w:hAnsi="Century Gothic" w:cs="Arial"/>
          <w:b/>
          <w:color w:val="000000" w:themeColor="text1"/>
        </w:rPr>
      </w:pPr>
      <w:r w:rsidRPr="009B51DF">
        <w:rPr>
          <w:rFonts w:ascii="Century Gothic" w:eastAsia="Calibri" w:hAnsi="Century Gothic" w:cs="Arial"/>
          <w:b/>
          <w:color w:val="000000" w:themeColor="text1"/>
        </w:rPr>
        <w:t xml:space="preserve">PROPONENTE PLURAL </w:t>
      </w:r>
      <w:r w:rsidRPr="009B51DF">
        <w:rPr>
          <w:rFonts w:ascii="Arial" w:eastAsia="Calibri" w:hAnsi="Arial" w:cs="Arial"/>
          <w:b/>
          <w:color w:val="000000" w:themeColor="text1"/>
        </w:rPr>
        <w:t>‒</w:t>
      </w:r>
      <w:r w:rsidRPr="009B51DF">
        <w:rPr>
          <w:rFonts w:ascii="Century Gothic" w:eastAsia="Calibri" w:hAnsi="Century Gothic" w:cs="Arial"/>
          <w:b/>
          <w:color w:val="000000" w:themeColor="text1"/>
        </w:rPr>
        <w:t xml:space="preserve"> Consorcio </w:t>
      </w:r>
      <w:r w:rsidRPr="009B51DF">
        <w:rPr>
          <w:rFonts w:ascii="Arial" w:eastAsia="Calibri" w:hAnsi="Arial" w:cs="Arial"/>
          <w:b/>
          <w:color w:val="000000" w:themeColor="text1"/>
        </w:rPr>
        <w:t>‒</w:t>
      </w:r>
      <w:r w:rsidRPr="009B51DF">
        <w:rPr>
          <w:rFonts w:ascii="Century Gothic" w:eastAsia="Calibri" w:hAnsi="Century Gothic" w:cs="Arial"/>
          <w:b/>
          <w:color w:val="000000" w:themeColor="text1"/>
        </w:rPr>
        <w:t xml:space="preserve"> Uni</w:t>
      </w:r>
      <w:r w:rsidRPr="009B51DF">
        <w:rPr>
          <w:rFonts w:ascii="Century Gothic" w:eastAsia="Calibri" w:hAnsi="Century Gothic" w:cs="Century Gothic"/>
          <w:b/>
          <w:color w:val="000000" w:themeColor="text1"/>
        </w:rPr>
        <w:t>ó</w:t>
      </w:r>
      <w:r w:rsidRPr="009B51DF">
        <w:rPr>
          <w:rFonts w:ascii="Century Gothic" w:eastAsia="Calibri" w:hAnsi="Century Gothic" w:cs="Arial"/>
          <w:b/>
          <w:color w:val="000000" w:themeColor="text1"/>
        </w:rPr>
        <w:t xml:space="preserve">n temporal </w:t>
      </w:r>
      <w:r w:rsidRPr="009B51DF">
        <w:rPr>
          <w:rFonts w:ascii="Arial" w:eastAsia="Calibri" w:hAnsi="Arial" w:cs="Arial"/>
          <w:b/>
          <w:color w:val="000000" w:themeColor="text1"/>
        </w:rPr>
        <w:t>‒</w:t>
      </w:r>
      <w:r w:rsidRPr="009B51DF">
        <w:rPr>
          <w:rFonts w:ascii="Century Gothic" w:eastAsia="Calibri" w:hAnsi="Century Gothic" w:cs="Arial"/>
          <w:b/>
          <w:color w:val="000000" w:themeColor="text1"/>
        </w:rPr>
        <w:t xml:space="preserve"> Concepto </w:t>
      </w:r>
      <w:r w:rsidRPr="009B51DF">
        <w:rPr>
          <w:rFonts w:ascii="Century Gothic" w:eastAsia="Calibri" w:hAnsi="Century Gothic" w:cs="Century Gothic"/>
          <w:b/>
          <w:color w:val="000000" w:themeColor="text1"/>
        </w:rPr>
        <w:t>–</w:t>
      </w:r>
      <w:r w:rsidRPr="009B51DF">
        <w:rPr>
          <w:rFonts w:ascii="Century Gothic" w:eastAsia="Calibri" w:hAnsi="Century Gothic" w:cs="Arial"/>
          <w:b/>
          <w:color w:val="000000" w:themeColor="text1"/>
        </w:rPr>
        <w:t xml:space="preserve"> Diferencias</w:t>
      </w:r>
      <w:r w:rsidRPr="00035110">
        <w:rPr>
          <w:rFonts w:ascii="Century Gothic" w:eastAsia="Calibri" w:hAnsi="Century Gothic" w:cs="Arial"/>
          <w:b/>
          <w:color w:val="000000" w:themeColor="text1"/>
        </w:rPr>
        <w:t xml:space="preserve">  </w:t>
      </w:r>
    </w:p>
    <w:p w14:paraId="7FB8D633" w14:textId="77777777" w:rsidR="003B5604" w:rsidRPr="00035110" w:rsidRDefault="003B5604" w:rsidP="003B5604">
      <w:pPr>
        <w:spacing w:after="0"/>
        <w:jc w:val="both"/>
        <w:rPr>
          <w:rFonts w:ascii="Century Gothic" w:eastAsia="Calibri" w:hAnsi="Century Gothic" w:cs="Arial"/>
          <w:color w:val="000000" w:themeColor="text1"/>
          <w:sz w:val="20"/>
          <w:szCs w:val="20"/>
        </w:rPr>
      </w:pPr>
    </w:p>
    <w:p w14:paraId="70FE7250" w14:textId="77777777" w:rsidR="003B5604" w:rsidRPr="00035110" w:rsidRDefault="003B5604" w:rsidP="003B5604">
      <w:pPr>
        <w:spacing w:after="0"/>
        <w:jc w:val="both"/>
        <w:rPr>
          <w:rFonts w:ascii="Century Gothic" w:eastAsia="Calibri" w:hAnsi="Century Gothic" w:cs="Arial"/>
          <w:bCs/>
          <w:color w:val="000000" w:themeColor="text1"/>
          <w:sz w:val="20"/>
          <w:szCs w:val="20"/>
        </w:rPr>
      </w:pPr>
      <w:r w:rsidRPr="009B51DF">
        <w:rPr>
          <w:rFonts w:ascii="Century Gothic" w:eastAsia="Calibri" w:hAnsi="Century Gothic" w:cs="Arial"/>
          <w:bCs/>
          <w:color w:val="000000" w:themeColor="text1"/>
          <w:sz w:val="20"/>
          <w:szCs w:val="20"/>
        </w:rPr>
        <w:t xml:space="preserve">Los consorcios o uniones temporales son convenios de asociación provenientes de la colaboración empresarial, mediante los cuales sus integrantes se unen y se organizan mancomunadamente para lograr con mayor eficacia un fin común de contenido patrimonial y lucrativo, como lo es la obtención del derecho a ser adjudicatarios de un contrato estatal, compartiendo recursos, de toda índole, para su ejecución, así como las utilidades y los riesgos. La diferencia radica en la responsabilidad frente a las eventuales sanciones por el incumplimiento de las obligaciones, toda vez que tratándose de una unión temporal, estas se individualizan según la participación de sus miembros, mientras que en el consorcio los miembros responden solidariamente, con independencia de este aspecto.  </w:t>
      </w:r>
      <w:r w:rsidRPr="00035110">
        <w:rPr>
          <w:rFonts w:ascii="Century Gothic" w:eastAsia="Calibri" w:hAnsi="Century Gothic" w:cs="Arial"/>
          <w:bCs/>
          <w:color w:val="000000" w:themeColor="text1"/>
          <w:sz w:val="20"/>
          <w:szCs w:val="20"/>
        </w:rPr>
        <w:t xml:space="preserve"> </w:t>
      </w:r>
    </w:p>
    <w:p w14:paraId="6C7456C7" w14:textId="77777777" w:rsidR="003B5604" w:rsidRPr="00035110" w:rsidRDefault="003B5604" w:rsidP="003B5604">
      <w:pPr>
        <w:tabs>
          <w:tab w:val="left" w:pos="6551"/>
        </w:tabs>
        <w:spacing w:after="0" w:line="240" w:lineRule="auto"/>
        <w:jc w:val="both"/>
        <w:rPr>
          <w:rFonts w:ascii="Century Gothic" w:eastAsia="Calibri" w:hAnsi="Century Gothic" w:cs="Arial"/>
          <w:b/>
          <w:color w:val="000000" w:themeColor="text1"/>
          <w:lang w:val="es-ES_tradnl"/>
        </w:rPr>
      </w:pPr>
    </w:p>
    <w:p w14:paraId="463209E7" w14:textId="77777777" w:rsidR="003B5604" w:rsidRPr="00035110" w:rsidRDefault="003B5604" w:rsidP="003B5604">
      <w:pPr>
        <w:tabs>
          <w:tab w:val="left" w:pos="6551"/>
        </w:tabs>
        <w:spacing w:after="0" w:line="240" w:lineRule="auto"/>
        <w:jc w:val="both"/>
        <w:rPr>
          <w:rFonts w:ascii="Century Gothic" w:eastAsia="Calibri" w:hAnsi="Century Gothic" w:cs="Arial"/>
          <w:b/>
          <w:color w:val="000000" w:themeColor="text1"/>
          <w:lang w:val="es-ES_tradnl"/>
        </w:rPr>
      </w:pPr>
      <w:r w:rsidRPr="00035110">
        <w:rPr>
          <w:rFonts w:ascii="Century Gothic" w:eastAsia="Calibri" w:hAnsi="Century Gothic" w:cs="Arial"/>
          <w:b/>
          <w:color w:val="000000" w:themeColor="text1"/>
          <w:lang w:val="es-ES_tradnl"/>
        </w:rPr>
        <w:t xml:space="preserve">PROCEDIMIENTOS CONTRACTUALES – </w:t>
      </w:r>
      <w:bookmarkStart w:id="3" w:name="_Hlk143674453"/>
      <w:r w:rsidRPr="00035110">
        <w:rPr>
          <w:rFonts w:ascii="Century Gothic" w:eastAsia="Calibri" w:hAnsi="Century Gothic" w:cs="Arial"/>
          <w:b/>
          <w:color w:val="000000" w:themeColor="text1"/>
          <w:lang w:val="es-ES_tradnl"/>
        </w:rPr>
        <w:t xml:space="preserve">Principios de igualdad y libre concurrencia </w:t>
      </w:r>
      <w:bookmarkEnd w:id="3"/>
      <w:r w:rsidRPr="00035110">
        <w:rPr>
          <w:rFonts w:ascii="Century Gothic" w:eastAsia="Calibri" w:hAnsi="Century Gothic" w:cs="Arial"/>
          <w:b/>
          <w:color w:val="000000" w:themeColor="text1"/>
          <w:lang w:val="es-ES_tradnl"/>
        </w:rPr>
        <w:t xml:space="preserve">– Entidades sometidas – Alcance  </w:t>
      </w:r>
    </w:p>
    <w:p w14:paraId="08B2B545" w14:textId="77777777" w:rsidR="003B5604" w:rsidRPr="00035110" w:rsidRDefault="003B5604" w:rsidP="003B5604">
      <w:pPr>
        <w:tabs>
          <w:tab w:val="left" w:pos="6551"/>
        </w:tabs>
        <w:spacing w:after="0" w:line="240" w:lineRule="auto"/>
        <w:jc w:val="both"/>
        <w:rPr>
          <w:rFonts w:ascii="Century Gothic" w:eastAsia="Calibri" w:hAnsi="Century Gothic" w:cs="Arial"/>
          <w:b/>
          <w:color w:val="000000" w:themeColor="text1"/>
          <w:lang w:val="es-ES_tradnl"/>
        </w:rPr>
      </w:pPr>
    </w:p>
    <w:p w14:paraId="4AE0BD15" w14:textId="77777777" w:rsidR="003B5604" w:rsidRPr="00035110" w:rsidRDefault="003B5604" w:rsidP="003B5604">
      <w:pPr>
        <w:widowControl w:val="0"/>
        <w:autoSpaceDE w:val="0"/>
        <w:autoSpaceDN w:val="0"/>
        <w:spacing w:line="240" w:lineRule="auto"/>
        <w:contextualSpacing/>
        <w:jc w:val="both"/>
        <w:rPr>
          <w:rFonts w:ascii="Century Gothic" w:eastAsia="Calibri" w:hAnsi="Century Gothic" w:cs="Arial"/>
          <w:bCs/>
          <w:sz w:val="20"/>
          <w:szCs w:val="20"/>
        </w:rPr>
      </w:pPr>
      <w:r w:rsidRPr="00035110">
        <w:rPr>
          <w:rFonts w:ascii="Century Gothic" w:eastAsia="Calibri" w:hAnsi="Century Gothic" w:cs="Arial"/>
          <w:bCs/>
          <w:sz w:val="20"/>
          <w:szCs w:val="20"/>
        </w:rPr>
        <w:t xml:space="preserve">Salvo las </w:t>
      </w:r>
      <w:bookmarkStart w:id="4" w:name="_Hlk143674710"/>
      <w:r w:rsidRPr="00035110">
        <w:rPr>
          <w:rFonts w:ascii="Century Gothic" w:eastAsia="Calibri" w:hAnsi="Century Gothic" w:cs="Arial"/>
          <w:bCs/>
          <w:sz w:val="20"/>
          <w:szCs w:val="20"/>
        </w:rPr>
        <w:t xml:space="preserve">convocatorias limitadas a </w:t>
      </w:r>
      <w:proofErr w:type="spellStart"/>
      <w:r w:rsidRPr="00035110">
        <w:rPr>
          <w:rFonts w:ascii="Century Gothic" w:eastAsia="Calibri" w:hAnsi="Century Gothic" w:cs="Arial"/>
          <w:bCs/>
          <w:sz w:val="20"/>
          <w:szCs w:val="20"/>
        </w:rPr>
        <w:t>Mipymes</w:t>
      </w:r>
      <w:bookmarkEnd w:id="4"/>
      <w:proofErr w:type="spellEnd"/>
      <w:r w:rsidRPr="00035110">
        <w:rPr>
          <w:rFonts w:ascii="Century Gothic" w:eastAsia="Calibri" w:hAnsi="Century Gothic" w:cs="Arial"/>
          <w:bCs/>
          <w:sz w:val="20"/>
          <w:szCs w:val="20"/>
        </w:rPr>
        <w:t xml:space="preserve"> nacionales o territoriales, en los procedimientos de selección competitivos del artículo 2 de la Ley 1150 de 2007 rige el principio de igualdad y concurrencia. Esto significa que debe garantizarse la pluralidad de oferentes como condición necesaria para escoger la oferta más favorable a los intereses de la entidad. Esta prohibición de trato discriminatorio respecto a la posibilidad que tienen los proponentes de presentarse a las licitaciones o concursos es acorde al principio de selección objetiva, el cual define el artículo 5 de la Ley 1150 de 2007 como la escogencia realizada sin tener en consideración factores de afecto o de interés y, en general, cualquier clase de motivación subjetiva.</w:t>
      </w:r>
    </w:p>
    <w:p w14:paraId="2AC29E21" w14:textId="77777777" w:rsidR="003B5604" w:rsidRPr="00035110" w:rsidRDefault="003B5604" w:rsidP="003B5604">
      <w:pPr>
        <w:widowControl w:val="0"/>
        <w:autoSpaceDE w:val="0"/>
        <w:autoSpaceDN w:val="0"/>
        <w:spacing w:line="240" w:lineRule="auto"/>
        <w:contextualSpacing/>
        <w:jc w:val="both"/>
        <w:rPr>
          <w:rFonts w:ascii="Century Gothic" w:eastAsia="Calibri" w:hAnsi="Century Gothic" w:cs="Arial"/>
          <w:bCs/>
          <w:sz w:val="20"/>
          <w:szCs w:val="20"/>
        </w:rPr>
      </w:pPr>
    </w:p>
    <w:p w14:paraId="0739271E" w14:textId="77777777" w:rsidR="003B5604" w:rsidRPr="00035110" w:rsidRDefault="003B5604" w:rsidP="003B5604">
      <w:pPr>
        <w:widowControl w:val="0"/>
        <w:autoSpaceDE w:val="0"/>
        <w:autoSpaceDN w:val="0"/>
        <w:spacing w:line="240" w:lineRule="auto"/>
        <w:contextualSpacing/>
        <w:jc w:val="both"/>
        <w:rPr>
          <w:rFonts w:ascii="Century Gothic" w:eastAsia="Calibri" w:hAnsi="Century Gothic" w:cs="Arial"/>
          <w:bCs/>
          <w:sz w:val="20"/>
          <w:szCs w:val="20"/>
        </w:rPr>
      </w:pPr>
      <w:r w:rsidRPr="00035110">
        <w:rPr>
          <w:rFonts w:ascii="Century Gothic" w:eastAsia="Calibri" w:hAnsi="Century Gothic" w:cs="Arial"/>
          <w:bCs/>
          <w:sz w:val="20"/>
          <w:szCs w:val="20"/>
        </w:rPr>
        <w:t xml:space="preserve">El principio jurídico de la libre concurrencia garantiza la oposición entre los oferentes, y –como contrapartida– establece una prohibición para el Estado de restringir su participación. En esta perspectiva, es una derivación del principio de igualdad, pues supone la intervención del mayor número de candidatos en un régimen de libre competencia. Ambos se concretan en la prohibición de limitar la presentación de ofertas, pues son importantes para evitar discriminaciones por razón de la nacionalidad pretendiendo favorecer a los nacionales frente a extranjeros, y también se oponen a la exigencia de criterios de territorialidad que vulneren la libertad de empresa en una economía de mercado. Por ello, en el Concepto 2201913000006511 del 3 de septiembre de 2019, la Agencia sostuvo que, por regla general, las entidades no pueden exigir como requisito habilitante que el proponente tenga residencia en el lugar donde se ejecutará el contrato, pues afecta la libre competencia de los procesos de contratación y es una cláusula discriminatoria, sin dejar de lado que no garantiza la aptitud del proponente para ejecutar el objeto del contrato.    </w:t>
      </w:r>
    </w:p>
    <w:p w14:paraId="369E562F" w14:textId="77777777" w:rsidR="003B5604" w:rsidRDefault="003B5604" w:rsidP="003B5604">
      <w:pPr>
        <w:widowControl w:val="0"/>
        <w:autoSpaceDE w:val="0"/>
        <w:autoSpaceDN w:val="0"/>
        <w:spacing w:line="240" w:lineRule="auto"/>
        <w:contextualSpacing/>
        <w:jc w:val="both"/>
        <w:rPr>
          <w:rFonts w:ascii="Century Gothic" w:eastAsia="Calibri" w:hAnsi="Century Gothic" w:cs="Arial"/>
          <w:b/>
          <w:color w:val="000000" w:themeColor="text1"/>
          <w:lang w:val="es-ES_tradnl"/>
        </w:rPr>
      </w:pPr>
    </w:p>
    <w:p w14:paraId="735D09F6" w14:textId="77777777" w:rsidR="003B5604" w:rsidRPr="00035110" w:rsidRDefault="003B5604" w:rsidP="003B5604">
      <w:pPr>
        <w:tabs>
          <w:tab w:val="left" w:pos="6551"/>
        </w:tabs>
        <w:spacing w:after="0" w:line="240" w:lineRule="auto"/>
        <w:jc w:val="both"/>
        <w:rPr>
          <w:rFonts w:ascii="Century Gothic" w:eastAsia="Calibri" w:hAnsi="Century Gothic" w:cs="Arial"/>
          <w:b/>
          <w:color w:val="000000" w:themeColor="text1"/>
          <w:lang w:val="es-ES_tradnl"/>
        </w:rPr>
      </w:pPr>
      <w:r w:rsidRPr="006634C4">
        <w:rPr>
          <w:rFonts w:ascii="Century Gothic" w:eastAsia="Calibri" w:hAnsi="Century Gothic" w:cs="Arial"/>
          <w:b/>
          <w:color w:val="000000" w:themeColor="text1"/>
          <w:lang w:val="es-ES_tradnl"/>
        </w:rPr>
        <w:t>SOCIEDADES EXTRANJERAS CON NEGOCIO PERMANENTE EN EL PAÍS –</w:t>
      </w:r>
      <w:r>
        <w:rPr>
          <w:rFonts w:ascii="Century Gothic" w:eastAsia="Calibri" w:hAnsi="Century Gothic" w:cs="Arial"/>
          <w:b/>
          <w:color w:val="000000" w:themeColor="text1"/>
          <w:lang w:val="es-ES_tradnl"/>
        </w:rPr>
        <w:t xml:space="preserve"> Integrantes de proponente plural –</w:t>
      </w:r>
      <w:r w:rsidRPr="006634C4">
        <w:rPr>
          <w:rFonts w:ascii="Century Gothic" w:eastAsia="Calibri" w:hAnsi="Century Gothic" w:cs="Arial"/>
          <w:b/>
          <w:color w:val="000000" w:themeColor="text1"/>
          <w:lang w:val="es-ES_tradnl"/>
        </w:rPr>
        <w:t xml:space="preserve"> Obligación de constituir sucursal </w:t>
      </w:r>
      <w:r w:rsidRPr="00035110">
        <w:rPr>
          <w:rFonts w:ascii="Century Gothic" w:eastAsia="Calibri" w:hAnsi="Century Gothic" w:cs="Arial"/>
          <w:b/>
          <w:color w:val="000000" w:themeColor="text1"/>
          <w:lang w:val="es-ES_tradnl"/>
        </w:rPr>
        <w:t xml:space="preserve">  </w:t>
      </w:r>
    </w:p>
    <w:p w14:paraId="535407BF" w14:textId="77777777" w:rsidR="003B5604" w:rsidRPr="00035110" w:rsidRDefault="003B5604" w:rsidP="003B5604">
      <w:pPr>
        <w:tabs>
          <w:tab w:val="left" w:pos="6551"/>
        </w:tabs>
        <w:spacing w:after="0" w:line="240" w:lineRule="auto"/>
        <w:jc w:val="both"/>
        <w:rPr>
          <w:rFonts w:ascii="Century Gothic" w:eastAsia="Calibri" w:hAnsi="Century Gothic" w:cs="Arial"/>
          <w:b/>
          <w:color w:val="000000" w:themeColor="text1"/>
          <w:lang w:val="es-ES_tradnl"/>
        </w:rPr>
      </w:pPr>
    </w:p>
    <w:p w14:paraId="59B9FB15" w14:textId="77777777" w:rsidR="003B5604" w:rsidRDefault="003B5604" w:rsidP="003B5604">
      <w:pPr>
        <w:widowControl w:val="0"/>
        <w:autoSpaceDE w:val="0"/>
        <w:autoSpaceDN w:val="0"/>
        <w:spacing w:line="240" w:lineRule="auto"/>
        <w:contextualSpacing/>
        <w:jc w:val="both"/>
        <w:rPr>
          <w:rFonts w:ascii="Century Gothic" w:eastAsia="Calibri" w:hAnsi="Century Gothic" w:cs="Arial"/>
          <w:bCs/>
          <w:sz w:val="20"/>
          <w:szCs w:val="20"/>
        </w:rPr>
      </w:pPr>
      <w:r>
        <w:rPr>
          <w:rFonts w:ascii="Century Gothic" w:eastAsia="Calibri" w:hAnsi="Century Gothic" w:cs="Arial"/>
          <w:bCs/>
          <w:sz w:val="20"/>
          <w:szCs w:val="20"/>
        </w:rPr>
        <w:t xml:space="preserve">[…] </w:t>
      </w:r>
      <w:r w:rsidRPr="006634C4">
        <w:rPr>
          <w:rFonts w:ascii="Century Gothic" w:eastAsia="Calibri" w:hAnsi="Century Gothic" w:cs="Arial"/>
          <w:bCs/>
          <w:sz w:val="20"/>
          <w:szCs w:val="20"/>
        </w:rPr>
        <w:t xml:space="preserve">si los proponentes extranjeros pueden presentarse al proceso de selección de forma </w:t>
      </w:r>
      <w:r w:rsidRPr="006634C4">
        <w:rPr>
          <w:rFonts w:ascii="Century Gothic" w:eastAsia="Calibri" w:hAnsi="Century Gothic" w:cs="Arial"/>
          <w:bCs/>
          <w:sz w:val="20"/>
          <w:szCs w:val="20"/>
        </w:rPr>
        <w:lastRenderedPageBreak/>
        <w:t xml:space="preserve">individual, con mayor razón por hacerlo a través de un consorcio o una unión temporal. Al respecto, es necesario tener en cuenta que –en armonía con las normas del Código de Comercio– el acápite IV de la “Guía de Asuntos Corporativos en los Procesos de </w:t>
      </w:r>
      <w:proofErr w:type="spellStart"/>
      <w:r w:rsidRPr="006634C4">
        <w:rPr>
          <w:rFonts w:ascii="Century Gothic" w:eastAsia="Calibri" w:hAnsi="Century Gothic" w:cs="Arial"/>
          <w:bCs/>
          <w:sz w:val="20"/>
          <w:szCs w:val="20"/>
        </w:rPr>
        <w:t>Contratación</w:t>
      </w:r>
      <w:proofErr w:type="spellEnd"/>
      <w:r w:rsidRPr="006634C4">
        <w:rPr>
          <w:rFonts w:ascii="Century Gothic" w:eastAsia="Calibri" w:hAnsi="Century Gothic" w:cs="Arial"/>
          <w:bCs/>
          <w:sz w:val="20"/>
          <w:szCs w:val="20"/>
        </w:rPr>
        <w:t>”, expedida por la Agencia Nacional de Contratación Pública – Colombia Compra Eficiente, precisa que “Para la presentación de la oferta no será necesario que se constituya una sucursal en Colombia pues esto solo es obligatorio si se resulta adjudicatario en Procesos de Contratación que tengan por objeto la construcción de obras o la prestación de servicios, pues en estos dos casos, se entiende que la persona jurídica extranjera está ejerciendo negocios permanentes en Colombia”.</w:t>
      </w:r>
    </w:p>
    <w:p w14:paraId="4EE24685" w14:textId="77777777" w:rsidR="003B5604" w:rsidRDefault="003B5604" w:rsidP="003B5604">
      <w:pPr>
        <w:widowControl w:val="0"/>
        <w:autoSpaceDE w:val="0"/>
        <w:autoSpaceDN w:val="0"/>
        <w:spacing w:line="240" w:lineRule="auto"/>
        <w:contextualSpacing/>
        <w:jc w:val="both"/>
        <w:rPr>
          <w:rFonts w:ascii="Century Gothic" w:eastAsia="Calibri" w:hAnsi="Century Gothic" w:cs="Arial"/>
          <w:bCs/>
          <w:sz w:val="20"/>
          <w:szCs w:val="20"/>
        </w:rPr>
      </w:pPr>
    </w:p>
    <w:p w14:paraId="59B839C0" w14:textId="77777777" w:rsidR="003B5604" w:rsidRPr="00035110" w:rsidRDefault="003B5604" w:rsidP="003B5604">
      <w:pPr>
        <w:widowControl w:val="0"/>
        <w:autoSpaceDE w:val="0"/>
        <w:autoSpaceDN w:val="0"/>
        <w:spacing w:line="240" w:lineRule="auto"/>
        <w:contextualSpacing/>
        <w:jc w:val="both"/>
        <w:rPr>
          <w:rFonts w:ascii="Century Gothic" w:eastAsia="Calibri" w:hAnsi="Century Gothic" w:cs="Arial"/>
          <w:bCs/>
          <w:sz w:val="20"/>
          <w:szCs w:val="20"/>
        </w:rPr>
      </w:pPr>
      <w:r w:rsidRPr="006634C4">
        <w:rPr>
          <w:rFonts w:ascii="Century Gothic" w:eastAsia="Calibri" w:hAnsi="Century Gothic" w:cs="Arial"/>
          <w:bCs/>
          <w:sz w:val="20"/>
          <w:szCs w:val="20"/>
        </w:rPr>
        <w:t xml:space="preserve">Por lo tanto, para que una sociedad extrajera pueda desarrollar una actividad comercial considerada permanente según el artículo 474 del Código de Comercio deberá establecer una sucursal con domicilio en el territorio nacional –art. 471 </w:t>
      </w:r>
      <w:r w:rsidRPr="006634C4">
        <w:rPr>
          <w:rFonts w:ascii="Century Gothic" w:eastAsia="Calibri" w:hAnsi="Century Gothic" w:cs="Arial"/>
          <w:bCs/>
          <w:i/>
          <w:iCs/>
          <w:sz w:val="20"/>
          <w:szCs w:val="20"/>
        </w:rPr>
        <w:t>ibidem</w:t>
      </w:r>
      <w:r w:rsidRPr="006634C4">
        <w:rPr>
          <w:rFonts w:ascii="Century Gothic" w:eastAsia="Calibri" w:hAnsi="Century Gothic" w:cs="Arial"/>
          <w:bCs/>
          <w:sz w:val="20"/>
          <w:szCs w:val="20"/>
        </w:rPr>
        <w:t>–, y la presencia de la sucursal en el territorio colombiano supone el cumplimiento de las obligaciones previstas en el ordenamiento jurídico, ya que “Es deber de los nacionales y de los extranjeros en Colombia acatar la Constitución y las leyes, y respetar y obedecer a las autoridades” –art. 3, inc. 2, de la Constitución Política–, por lo que “La ley es obligatoria tanto a los nacionales como a los extranjeros residentes en Colombia” –art. 18 del Código Civil–.</w:t>
      </w:r>
    </w:p>
    <w:p w14:paraId="0B8C6800" w14:textId="77777777" w:rsidR="003B5604" w:rsidRPr="00035110" w:rsidRDefault="003B5604" w:rsidP="003B5604">
      <w:pPr>
        <w:widowControl w:val="0"/>
        <w:autoSpaceDE w:val="0"/>
        <w:autoSpaceDN w:val="0"/>
        <w:spacing w:line="240" w:lineRule="auto"/>
        <w:contextualSpacing/>
        <w:jc w:val="both"/>
        <w:rPr>
          <w:rFonts w:ascii="Century Gothic" w:eastAsia="Calibri" w:hAnsi="Century Gothic" w:cs="Arial"/>
          <w:b/>
          <w:color w:val="000000" w:themeColor="text1"/>
          <w:lang w:val="es-ES_tradnl"/>
        </w:rPr>
      </w:pPr>
    </w:p>
    <w:p w14:paraId="247E7509" w14:textId="77777777" w:rsidR="003B5604" w:rsidRPr="00035110" w:rsidRDefault="003B5604" w:rsidP="003B5604">
      <w:pPr>
        <w:tabs>
          <w:tab w:val="left" w:pos="6551"/>
        </w:tabs>
        <w:spacing w:after="0" w:line="240" w:lineRule="auto"/>
        <w:jc w:val="both"/>
        <w:rPr>
          <w:rFonts w:ascii="Century Gothic" w:eastAsia="Calibri" w:hAnsi="Century Gothic" w:cs="Arial"/>
          <w:b/>
          <w:color w:val="000000" w:themeColor="text1"/>
          <w:lang w:val="es-ES_tradnl"/>
        </w:rPr>
      </w:pPr>
      <w:r w:rsidRPr="00035110">
        <w:rPr>
          <w:rFonts w:ascii="Century Gothic" w:eastAsia="Calibri" w:hAnsi="Century Gothic" w:cs="Arial"/>
          <w:b/>
          <w:color w:val="000000" w:themeColor="text1"/>
          <w:lang w:val="es-ES_tradnl"/>
        </w:rPr>
        <w:t xml:space="preserve">CONVOCATORIAS LIMITADAS A MIPYMES – Limitación nacional y territorial – Trato preferencial  </w:t>
      </w:r>
    </w:p>
    <w:p w14:paraId="225C941E" w14:textId="77777777" w:rsidR="003B5604" w:rsidRPr="00035110" w:rsidRDefault="003B5604" w:rsidP="003B5604">
      <w:pPr>
        <w:tabs>
          <w:tab w:val="left" w:pos="6551"/>
        </w:tabs>
        <w:spacing w:after="0" w:line="240" w:lineRule="auto"/>
        <w:jc w:val="both"/>
        <w:rPr>
          <w:rFonts w:ascii="Century Gothic" w:eastAsia="Calibri" w:hAnsi="Century Gothic" w:cs="Arial"/>
          <w:b/>
          <w:color w:val="000000" w:themeColor="text1"/>
          <w:lang w:val="es-ES_tradnl"/>
        </w:rPr>
      </w:pPr>
    </w:p>
    <w:p w14:paraId="54AAFF11" w14:textId="77777777" w:rsidR="003B5604" w:rsidRPr="00035110" w:rsidRDefault="003B5604" w:rsidP="003B5604">
      <w:pPr>
        <w:widowControl w:val="0"/>
        <w:autoSpaceDE w:val="0"/>
        <w:autoSpaceDN w:val="0"/>
        <w:spacing w:line="240" w:lineRule="auto"/>
        <w:contextualSpacing/>
        <w:jc w:val="both"/>
        <w:rPr>
          <w:rFonts w:ascii="Century Gothic" w:eastAsia="Calibri" w:hAnsi="Century Gothic" w:cs="Arial"/>
          <w:bCs/>
          <w:sz w:val="20"/>
          <w:szCs w:val="20"/>
        </w:rPr>
      </w:pPr>
      <w:r w:rsidRPr="00035110">
        <w:rPr>
          <w:rFonts w:ascii="Century Gothic" w:eastAsia="Calibri" w:hAnsi="Century Gothic" w:cs="Arial"/>
          <w:bCs/>
          <w:sz w:val="20"/>
          <w:szCs w:val="20"/>
        </w:rPr>
        <w:t xml:space="preserve">Si la convocatoria de se limita a </w:t>
      </w:r>
      <w:proofErr w:type="spellStart"/>
      <w:r w:rsidRPr="00035110">
        <w:rPr>
          <w:rFonts w:ascii="Century Gothic" w:eastAsia="Calibri" w:hAnsi="Century Gothic" w:cs="Arial"/>
          <w:bCs/>
          <w:sz w:val="20"/>
          <w:szCs w:val="20"/>
        </w:rPr>
        <w:t>Mipymes</w:t>
      </w:r>
      <w:proofErr w:type="spellEnd"/>
      <w:r w:rsidRPr="00035110">
        <w:rPr>
          <w:rFonts w:ascii="Century Gothic" w:eastAsia="Calibri" w:hAnsi="Century Gothic" w:cs="Arial"/>
          <w:bCs/>
          <w:sz w:val="20"/>
          <w:szCs w:val="20"/>
        </w:rPr>
        <w:t xml:space="preserve"> nacionales, quedan excluidos no solo las grandes empresas ubicadas en el territorio colombiano sino también los proponentes extranjeros. En otras palabras, el inciso primero del artículo 12 de la Ley 1150 de 2007 y el artículo 2.2.1.2.4.2.2 del Decreto 1082 de 2015 establece un trato preferencial </w:t>
      </w:r>
      <w:proofErr w:type="gramStart"/>
      <w:r w:rsidRPr="00035110">
        <w:rPr>
          <w:rFonts w:ascii="Century Gothic" w:eastAsia="Calibri" w:hAnsi="Century Gothic" w:cs="Arial"/>
          <w:bCs/>
          <w:sz w:val="20"/>
          <w:szCs w:val="20"/>
        </w:rPr>
        <w:t>en razón de</w:t>
      </w:r>
      <w:proofErr w:type="gramEnd"/>
      <w:r w:rsidRPr="00035110">
        <w:rPr>
          <w:rFonts w:ascii="Century Gothic" w:eastAsia="Calibri" w:hAnsi="Century Gothic" w:cs="Arial"/>
          <w:bCs/>
          <w:sz w:val="20"/>
          <w:szCs w:val="20"/>
        </w:rPr>
        <w:t xml:space="preserve"> la nacionalidad. En contraste, si la convocatoria limitada beneficia a las </w:t>
      </w:r>
      <w:proofErr w:type="spellStart"/>
      <w:r w:rsidRPr="00035110">
        <w:rPr>
          <w:rFonts w:ascii="Century Gothic" w:eastAsia="Calibri" w:hAnsi="Century Gothic" w:cs="Arial"/>
          <w:bCs/>
          <w:sz w:val="20"/>
          <w:szCs w:val="20"/>
        </w:rPr>
        <w:t>Mipymes</w:t>
      </w:r>
      <w:proofErr w:type="spellEnd"/>
      <w:r w:rsidRPr="00035110">
        <w:rPr>
          <w:rFonts w:ascii="Century Gothic" w:eastAsia="Calibri" w:hAnsi="Century Gothic" w:cs="Arial"/>
          <w:bCs/>
          <w:sz w:val="20"/>
          <w:szCs w:val="20"/>
        </w:rPr>
        <w:t xml:space="preserve"> del municipio o departamento correspondiente al de la ejecución del contrato, también quedan excluidas –además de los anteriores– las </w:t>
      </w:r>
      <w:proofErr w:type="spellStart"/>
      <w:r w:rsidRPr="00035110">
        <w:rPr>
          <w:rFonts w:ascii="Century Gothic" w:eastAsia="Calibri" w:hAnsi="Century Gothic" w:cs="Arial"/>
          <w:bCs/>
          <w:sz w:val="20"/>
          <w:szCs w:val="20"/>
        </w:rPr>
        <w:t>Mipymes</w:t>
      </w:r>
      <w:proofErr w:type="spellEnd"/>
      <w:r w:rsidRPr="00035110">
        <w:rPr>
          <w:rFonts w:ascii="Century Gothic" w:eastAsia="Calibri" w:hAnsi="Century Gothic" w:cs="Arial"/>
          <w:bCs/>
          <w:sz w:val="20"/>
          <w:szCs w:val="20"/>
        </w:rPr>
        <w:t xml:space="preserve"> de otros lugares de Colombia. Es decir, el parágrafo 1 del artículo 12 de la Ley 1150 de 2007 y el artículo 2.2.1.2.4.2.3 del Decreto 1082 de 2015 establece un trato privilegiado que se fundamenta en el territorio.</w:t>
      </w:r>
    </w:p>
    <w:p w14:paraId="02955444" w14:textId="77777777" w:rsidR="003B5604" w:rsidRDefault="003B5604" w:rsidP="008A30D4">
      <w:pPr>
        <w:spacing w:after="0"/>
        <w:rPr>
          <w:rFonts w:ascii="Century Gothic" w:eastAsia="Geomanist Light" w:hAnsi="Century Gothic" w:cs="Arial"/>
          <w:color w:val="201F1E"/>
          <w:lang w:val="es-MX"/>
        </w:rPr>
      </w:pPr>
    </w:p>
    <w:p w14:paraId="494BEC39" w14:textId="77777777" w:rsidR="003B5604" w:rsidRDefault="003B5604" w:rsidP="008A30D4">
      <w:pPr>
        <w:spacing w:after="0"/>
        <w:rPr>
          <w:rFonts w:ascii="Century Gothic" w:eastAsia="Geomanist Light" w:hAnsi="Century Gothic" w:cs="Arial"/>
          <w:color w:val="201F1E"/>
          <w:lang w:val="es-MX"/>
        </w:rPr>
      </w:pPr>
    </w:p>
    <w:p w14:paraId="0EA16B61" w14:textId="77777777" w:rsidR="003B5604" w:rsidRDefault="003B5604" w:rsidP="008A30D4">
      <w:pPr>
        <w:spacing w:after="0"/>
        <w:rPr>
          <w:rFonts w:ascii="Century Gothic" w:eastAsia="Geomanist Light" w:hAnsi="Century Gothic" w:cs="Arial"/>
          <w:color w:val="201F1E"/>
          <w:lang w:val="es-MX"/>
        </w:rPr>
      </w:pPr>
    </w:p>
    <w:p w14:paraId="7E9C9709" w14:textId="77777777" w:rsidR="003B5604" w:rsidRDefault="003B5604" w:rsidP="008A30D4">
      <w:pPr>
        <w:spacing w:after="0"/>
        <w:rPr>
          <w:rFonts w:ascii="Century Gothic" w:eastAsia="Geomanist Light" w:hAnsi="Century Gothic" w:cs="Arial"/>
          <w:color w:val="201F1E"/>
          <w:lang w:val="es-MX"/>
        </w:rPr>
      </w:pPr>
    </w:p>
    <w:p w14:paraId="3BC850D9" w14:textId="77777777" w:rsidR="003B5604" w:rsidRDefault="003B5604" w:rsidP="008A30D4">
      <w:pPr>
        <w:spacing w:after="0"/>
        <w:rPr>
          <w:rFonts w:ascii="Century Gothic" w:eastAsia="Geomanist Light" w:hAnsi="Century Gothic" w:cs="Arial"/>
          <w:color w:val="201F1E"/>
          <w:lang w:val="es-MX"/>
        </w:rPr>
      </w:pPr>
    </w:p>
    <w:p w14:paraId="398DB26D" w14:textId="77777777" w:rsidR="003B5604" w:rsidRDefault="003B5604" w:rsidP="008A30D4">
      <w:pPr>
        <w:spacing w:after="0"/>
        <w:rPr>
          <w:rFonts w:ascii="Century Gothic" w:eastAsia="Geomanist Light" w:hAnsi="Century Gothic" w:cs="Arial"/>
          <w:color w:val="201F1E"/>
          <w:lang w:val="es-MX"/>
        </w:rPr>
      </w:pPr>
    </w:p>
    <w:p w14:paraId="61AD6E44" w14:textId="77777777" w:rsidR="003B5604" w:rsidRDefault="003B5604" w:rsidP="008A30D4">
      <w:pPr>
        <w:spacing w:after="0"/>
        <w:rPr>
          <w:rFonts w:ascii="Century Gothic" w:eastAsia="Geomanist Light" w:hAnsi="Century Gothic" w:cs="Arial"/>
          <w:color w:val="201F1E"/>
          <w:lang w:val="es-MX"/>
        </w:rPr>
      </w:pPr>
    </w:p>
    <w:p w14:paraId="2F2C1A54" w14:textId="77777777" w:rsidR="003B5604" w:rsidRDefault="003B5604" w:rsidP="008A30D4">
      <w:pPr>
        <w:spacing w:after="0"/>
        <w:rPr>
          <w:rFonts w:ascii="Century Gothic" w:eastAsia="Geomanist Light" w:hAnsi="Century Gothic" w:cs="Arial"/>
          <w:color w:val="201F1E"/>
          <w:lang w:val="es-MX"/>
        </w:rPr>
      </w:pPr>
    </w:p>
    <w:p w14:paraId="36550B0E" w14:textId="77777777" w:rsidR="003B5604" w:rsidRDefault="003B5604" w:rsidP="008A30D4">
      <w:pPr>
        <w:spacing w:after="0"/>
        <w:rPr>
          <w:rFonts w:ascii="Century Gothic" w:eastAsia="Geomanist Light" w:hAnsi="Century Gothic" w:cs="Arial"/>
          <w:color w:val="201F1E"/>
          <w:lang w:val="es-MX"/>
        </w:rPr>
      </w:pPr>
    </w:p>
    <w:p w14:paraId="4BA322F9" w14:textId="77777777" w:rsidR="003B5604" w:rsidRDefault="003B5604" w:rsidP="008A30D4">
      <w:pPr>
        <w:spacing w:after="0"/>
        <w:rPr>
          <w:rFonts w:ascii="Century Gothic" w:eastAsia="Geomanist Light" w:hAnsi="Century Gothic" w:cs="Arial"/>
          <w:color w:val="201F1E"/>
          <w:lang w:val="es-MX"/>
        </w:rPr>
      </w:pPr>
    </w:p>
    <w:p w14:paraId="1E3BFA9D" w14:textId="77777777" w:rsidR="003B5604" w:rsidRDefault="003B5604" w:rsidP="008A30D4">
      <w:pPr>
        <w:spacing w:after="0"/>
        <w:rPr>
          <w:rFonts w:ascii="Century Gothic" w:eastAsia="Geomanist Light" w:hAnsi="Century Gothic" w:cs="Arial"/>
          <w:color w:val="201F1E"/>
          <w:lang w:val="es-MX"/>
        </w:rPr>
      </w:pPr>
    </w:p>
    <w:p w14:paraId="64C235E9" w14:textId="77777777" w:rsidR="003B5604" w:rsidRDefault="003B5604" w:rsidP="008A30D4">
      <w:pPr>
        <w:spacing w:after="0"/>
        <w:rPr>
          <w:rFonts w:ascii="Century Gothic" w:eastAsia="Geomanist Light" w:hAnsi="Century Gothic" w:cs="Arial"/>
          <w:color w:val="201F1E"/>
          <w:lang w:val="es-MX"/>
        </w:rPr>
      </w:pPr>
    </w:p>
    <w:p w14:paraId="2091F9A5" w14:textId="77777777" w:rsidR="003B5604" w:rsidRDefault="003B5604" w:rsidP="008A30D4">
      <w:pPr>
        <w:spacing w:after="0"/>
        <w:rPr>
          <w:rFonts w:ascii="Century Gothic" w:eastAsia="Geomanist Light" w:hAnsi="Century Gothic" w:cs="Arial"/>
          <w:color w:val="201F1E"/>
          <w:lang w:val="es-MX"/>
        </w:rPr>
      </w:pPr>
    </w:p>
    <w:p w14:paraId="18784E08" w14:textId="099B2974" w:rsidR="008A30D4" w:rsidRPr="00035110" w:rsidRDefault="008A30D4" w:rsidP="008A30D4">
      <w:pPr>
        <w:spacing w:after="0"/>
        <w:rPr>
          <w:rFonts w:ascii="Century Gothic" w:eastAsia="Geomanist Light" w:hAnsi="Century Gothic" w:cs="Arial"/>
          <w:color w:val="201F1E"/>
          <w:lang w:val="es-MX"/>
        </w:rPr>
      </w:pPr>
      <w:r w:rsidRPr="00035110">
        <w:rPr>
          <w:rFonts w:ascii="Century Gothic" w:eastAsia="Geomanist Light" w:hAnsi="Century Gothic" w:cs="Arial"/>
          <w:color w:val="201F1E"/>
          <w:lang w:val="es-MX"/>
        </w:rPr>
        <w:lastRenderedPageBreak/>
        <w:t xml:space="preserve">Bogotá D.C., </w:t>
      </w:r>
      <w:r w:rsidR="00DA79F7" w:rsidRPr="00DA79F7">
        <w:rPr>
          <w:rFonts w:ascii="Century Gothic" w:eastAsia="Geomanist Light" w:hAnsi="Century Gothic" w:cs="Arial"/>
          <w:color w:val="201F1E"/>
          <w:lang w:val="es-MX"/>
        </w:rPr>
        <w:t xml:space="preserve">16 de </w:t>
      </w:r>
      <w:proofErr w:type="gramStart"/>
      <w:r w:rsidR="00DA79F7" w:rsidRPr="00DA79F7">
        <w:rPr>
          <w:rFonts w:ascii="Century Gothic" w:eastAsia="Geomanist Light" w:hAnsi="Century Gothic" w:cs="Arial"/>
          <w:color w:val="201F1E"/>
          <w:lang w:val="es-MX"/>
        </w:rPr>
        <w:t>Abril</w:t>
      </w:r>
      <w:proofErr w:type="gramEnd"/>
      <w:r w:rsidR="00DA79F7" w:rsidRPr="00DA79F7">
        <w:rPr>
          <w:rFonts w:ascii="Century Gothic" w:eastAsia="Geomanist Light" w:hAnsi="Century Gothic" w:cs="Arial"/>
          <w:color w:val="201F1E"/>
          <w:lang w:val="es-MX"/>
        </w:rPr>
        <w:t xml:space="preserve"> de 2024</w:t>
      </w:r>
    </w:p>
    <w:p w14:paraId="5A563543" w14:textId="77777777" w:rsidR="008A30D4" w:rsidRDefault="008A30D4" w:rsidP="008A30D4">
      <w:pPr>
        <w:spacing w:after="0"/>
        <w:rPr>
          <w:rFonts w:ascii="Century Gothic" w:eastAsia="Times New Roman" w:hAnsi="Century Gothic" w:cs="Arial"/>
          <w:lang w:val="es-MX" w:eastAsia="es-ES"/>
        </w:rPr>
      </w:pPr>
    </w:p>
    <w:p w14:paraId="2F13F027" w14:textId="31EB4AD9" w:rsidR="00DA79F7" w:rsidRPr="00035110" w:rsidRDefault="00DA79F7" w:rsidP="00DA79F7">
      <w:pPr>
        <w:spacing w:after="0"/>
        <w:jc w:val="right"/>
        <w:rPr>
          <w:rFonts w:ascii="Century Gothic" w:eastAsia="Times New Roman" w:hAnsi="Century Gothic" w:cs="Arial"/>
          <w:lang w:val="es-MX" w:eastAsia="es-ES"/>
        </w:rPr>
      </w:pPr>
      <w:r>
        <w:rPr>
          <w:noProof/>
        </w:rPr>
        <w:drawing>
          <wp:inline distT="0" distB="0" distL="0" distR="0" wp14:anchorId="2AA3318A" wp14:editId="51B03247">
            <wp:extent cx="3253476" cy="904813"/>
            <wp:effectExtent l="0" t="0" r="4445" b="0"/>
            <wp:docPr id="105038321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383211" name="Imagen 1" descr="Texto&#10;&#10;Descripción generada automáticamente"/>
                    <pic:cNvPicPr/>
                  </pic:nvPicPr>
                  <pic:blipFill>
                    <a:blip r:embed="rId10"/>
                    <a:stretch>
                      <a:fillRect/>
                    </a:stretch>
                  </pic:blipFill>
                  <pic:spPr>
                    <a:xfrm>
                      <a:off x="0" y="0"/>
                      <a:ext cx="3253476" cy="904813"/>
                    </a:xfrm>
                    <a:prstGeom prst="rect">
                      <a:avLst/>
                    </a:prstGeom>
                  </pic:spPr>
                </pic:pic>
              </a:graphicData>
            </a:graphic>
          </wp:inline>
        </w:drawing>
      </w:r>
    </w:p>
    <w:p w14:paraId="3846398F" w14:textId="77777777" w:rsidR="008A30D4" w:rsidRPr="00035110" w:rsidRDefault="008A30D4" w:rsidP="008A30D4">
      <w:pPr>
        <w:spacing w:after="0"/>
        <w:contextualSpacing/>
        <w:jc w:val="both"/>
        <w:rPr>
          <w:rFonts w:ascii="Century Gothic" w:eastAsia="Calibri" w:hAnsi="Century Gothic" w:cs="Arial"/>
          <w:lang w:val="es-ES_tradnl" w:eastAsia="es-ES_tradnl"/>
        </w:rPr>
      </w:pPr>
    </w:p>
    <w:p w14:paraId="791B0434" w14:textId="77777777" w:rsidR="008A30D4" w:rsidRPr="00035110" w:rsidRDefault="008A30D4" w:rsidP="008A30D4">
      <w:pPr>
        <w:contextualSpacing/>
        <w:jc w:val="both"/>
        <w:rPr>
          <w:rFonts w:ascii="Century Gothic" w:eastAsia="Calibri" w:hAnsi="Century Gothic" w:cs="Arial"/>
          <w:lang w:eastAsia="es-ES_tradnl"/>
        </w:rPr>
      </w:pPr>
      <w:r w:rsidRPr="00035110">
        <w:rPr>
          <w:rFonts w:ascii="Century Gothic" w:eastAsia="Calibri" w:hAnsi="Century Gothic" w:cs="Arial"/>
          <w:lang w:eastAsia="es-ES_tradnl"/>
        </w:rPr>
        <w:t>Señor</w:t>
      </w:r>
    </w:p>
    <w:p w14:paraId="1C7D3641" w14:textId="77777777" w:rsidR="008A30D4" w:rsidRPr="00035110" w:rsidRDefault="008A30D4" w:rsidP="008A30D4">
      <w:pPr>
        <w:contextualSpacing/>
        <w:jc w:val="both"/>
        <w:rPr>
          <w:rFonts w:ascii="Century Gothic" w:eastAsia="Calibri" w:hAnsi="Century Gothic" w:cs="Arial"/>
          <w:b/>
          <w:lang w:eastAsia="es-ES_tradnl"/>
        </w:rPr>
      </w:pPr>
      <w:r w:rsidRPr="00035110">
        <w:rPr>
          <w:rFonts w:ascii="Century Gothic" w:eastAsia="Calibri" w:hAnsi="Century Gothic" w:cs="Arial"/>
          <w:b/>
          <w:lang w:eastAsia="es-ES_tradnl"/>
        </w:rPr>
        <w:t xml:space="preserve">Marino </w:t>
      </w:r>
      <w:bookmarkStart w:id="5" w:name="_Hlk161318042"/>
      <w:r w:rsidRPr="00035110">
        <w:rPr>
          <w:rFonts w:ascii="Century Gothic" w:eastAsia="Calibri" w:hAnsi="Century Gothic" w:cs="Arial"/>
          <w:b/>
          <w:lang w:eastAsia="es-ES_tradnl"/>
        </w:rPr>
        <w:t>Fernández Anta</w:t>
      </w:r>
      <w:bookmarkEnd w:id="5"/>
      <w:r w:rsidRPr="00035110">
        <w:rPr>
          <w:rFonts w:ascii="Century Gothic" w:eastAsia="Calibri" w:hAnsi="Century Gothic" w:cs="Arial"/>
          <w:b/>
          <w:lang w:eastAsia="es-ES_tradnl"/>
        </w:rPr>
        <w:t xml:space="preserve"> </w:t>
      </w:r>
    </w:p>
    <w:p w14:paraId="0A971CBB" w14:textId="3C830828" w:rsidR="008A30D4" w:rsidRPr="00035110" w:rsidRDefault="008A30D4" w:rsidP="008A30D4">
      <w:pPr>
        <w:contextualSpacing/>
        <w:jc w:val="both"/>
        <w:rPr>
          <w:rFonts w:ascii="Century Gothic" w:eastAsia="Calibri" w:hAnsi="Century Gothic" w:cs="Arial"/>
          <w:lang w:eastAsia="es-ES_tradnl"/>
        </w:rPr>
      </w:pPr>
      <w:r w:rsidRPr="00035110">
        <w:rPr>
          <w:rFonts w:ascii="Century Gothic" w:eastAsia="Geomanist Light" w:hAnsi="Century Gothic" w:cs="Arial"/>
          <w:color w:val="000000" w:themeColor="text1"/>
          <w:lang w:val="es-MX"/>
        </w:rPr>
        <w:t>Madrid, España</w:t>
      </w:r>
      <w:r w:rsidRPr="00035110">
        <w:rPr>
          <w:rFonts w:ascii="Century Gothic" w:eastAsia="Calibri" w:hAnsi="Century Gothic" w:cs="Arial"/>
          <w:lang w:eastAsia="es-ES_tradnl"/>
        </w:rPr>
        <w:t xml:space="preserve">  </w:t>
      </w:r>
    </w:p>
    <w:p w14:paraId="6235DF7D" w14:textId="77777777" w:rsidR="008A30D4" w:rsidRPr="00035110" w:rsidRDefault="008A30D4" w:rsidP="008A30D4">
      <w:pPr>
        <w:contextualSpacing/>
        <w:jc w:val="both"/>
        <w:rPr>
          <w:rFonts w:ascii="Century Gothic" w:eastAsia="Calibri" w:hAnsi="Century Gothic" w:cs="Arial"/>
          <w:lang w:val="es-ES_tradnl" w:eastAsia="es-ES_tradnl"/>
        </w:rPr>
      </w:pPr>
    </w:p>
    <w:p w14:paraId="47CBA908" w14:textId="77777777" w:rsidR="008A30D4" w:rsidRPr="00035110" w:rsidRDefault="008A30D4" w:rsidP="008A30D4">
      <w:pPr>
        <w:contextualSpacing/>
        <w:rPr>
          <w:rFonts w:ascii="Century Gothic" w:eastAsia="Calibri" w:hAnsi="Century Gothic" w:cs="Arial"/>
          <w:b/>
          <w:lang w:val="es-ES_tradnl" w:eastAsia="es-ES_tradnl"/>
        </w:rPr>
      </w:pPr>
    </w:p>
    <w:p w14:paraId="6B2083F3" w14:textId="6CFA7409" w:rsidR="008A30D4" w:rsidRPr="00035110" w:rsidRDefault="008A30D4" w:rsidP="008A30D4">
      <w:pPr>
        <w:ind w:left="2124" w:firstLine="570"/>
        <w:contextualSpacing/>
        <w:rPr>
          <w:rFonts w:ascii="Century Gothic" w:eastAsia="Calibri" w:hAnsi="Century Gothic" w:cs="Arial"/>
          <w:b/>
          <w:lang w:val="es-ES_tradnl" w:eastAsia="es-ES_tradnl"/>
        </w:rPr>
      </w:pPr>
      <w:r w:rsidRPr="00035110">
        <w:rPr>
          <w:rFonts w:ascii="Century Gothic" w:eastAsia="Calibri" w:hAnsi="Century Gothic" w:cs="Arial"/>
          <w:b/>
          <w:lang w:val="es-ES_tradnl" w:eastAsia="es-ES_tradnl"/>
        </w:rPr>
        <w:t xml:space="preserve">Concepto C – </w:t>
      </w:r>
      <w:r w:rsidR="00E7105D">
        <w:rPr>
          <w:rFonts w:ascii="Century Gothic" w:eastAsia="Calibri" w:hAnsi="Century Gothic" w:cs="Arial"/>
          <w:b/>
          <w:lang w:val="es-ES_tradnl" w:eastAsia="es-ES_tradnl"/>
        </w:rPr>
        <w:t xml:space="preserve">032 </w:t>
      </w:r>
      <w:r w:rsidRPr="00035110">
        <w:rPr>
          <w:rFonts w:ascii="Century Gothic" w:eastAsia="Calibri" w:hAnsi="Century Gothic" w:cs="Arial"/>
          <w:b/>
          <w:lang w:val="es-ES_tradnl" w:eastAsia="es-ES_tradnl"/>
        </w:rPr>
        <w:t>de 2024</w:t>
      </w:r>
    </w:p>
    <w:p w14:paraId="5972FEA2" w14:textId="77777777" w:rsidR="008A30D4" w:rsidRPr="00035110" w:rsidRDefault="008A30D4" w:rsidP="008A30D4">
      <w:pPr>
        <w:contextualSpacing/>
        <w:jc w:val="both"/>
        <w:rPr>
          <w:rFonts w:ascii="Century Gothic" w:eastAsia="Calibri" w:hAnsi="Century Gothic"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A30D4" w:rsidRPr="00035110" w14:paraId="691D594B" w14:textId="77777777" w:rsidTr="00E7105D">
        <w:tc>
          <w:tcPr>
            <w:tcW w:w="2689" w:type="dxa"/>
          </w:tcPr>
          <w:p w14:paraId="2B9F6259" w14:textId="77777777" w:rsidR="008A30D4" w:rsidRPr="00035110" w:rsidRDefault="008A30D4" w:rsidP="00E7105D">
            <w:pPr>
              <w:contextualSpacing/>
              <w:jc w:val="both"/>
              <w:rPr>
                <w:rFonts w:ascii="Century Gothic" w:eastAsia="Calibri" w:hAnsi="Century Gothic" w:cs="Arial"/>
                <w:lang w:val="es-ES_tradnl" w:eastAsia="es-ES_tradnl"/>
              </w:rPr>
            </w:pPr>
            <w:r w:rsidRPr="00035110">
              <w:rPr>
                <w:rFonts w:ascii="Century Gothic" w:eastAsia="Calibri" w:hAnsi="Century Gothic" w:cs="Arial"/>
                <w:b/>
                <w:lang w:val="es-ES_tradnl" w:eastAsia="es-ES_tradnl"/>
              </w:rPr>
              <w:t>Temas:</w:t>
            </w:r>
            <w:r w:rsidRPr="00035110">
              <w:rPr>
                <w:rFonts w:ascii="Century Gothic" w:eastAsia="Calibri" w:hAnsi="Century Gothic" w:cs="Arial"/>
                <w:lang w:val="es-ES_tradnl" w:eastAsia="es-ES_tradnl"/>
              </w:rPr>
              <w:t xml:space="preserve">                                      </w:t>
            </w:r>
          </w:p>
        </w:tc>
        <w:tc>
          <w:tcPr>
            <w:tcW w:w="6237" w:type="dxa"/>
          </w:tcPr>
          <w:p w14:paraId="1C8CAD7A" w14:textId="77777777" w:rsidR="008A30D4" w:rsidRPr="00035110" w:rsidRDefault="008A30D4" w:rsidP="00E7105D">
            <w:pPr>
              <w:spacing w:after="120"/>
              <w:contextualSpacing/>
              <w:jc w:val="both"/>
              <w:rPr>
                <w:rFonts w:ascii="Century Gothic" w:eastAsia="Calibri" w:hAnsi="Century Gothic" w:cs="Arial"/>
                <w:lang w:val="es-MX" w:eastAsia="es-ES_tradnl"/>
              </w:rPr>
            </w:pPr>
            <w:r w:rsidRPr="006634C4">
              <w:rPr>
                <w:rFonts w:ascii="Century Gothic" w:eastAsia="Calibri" w:hAnsi="Century Gothic" w:cs="Arial"/>
                <w:lang w:val="es-MX" w:eastAsia="es-ES_tradnl"/>
              </w:rPr>
              <w:t xml:space="preserve">PROPONENTE PLURAL </w:t>
            </w:r>
            <w:r w:rsidRPr="006634C4">
              <w:rPr>
                <w:rFonts w:ascii="Arial" w:eastAsia="Calibri" w:hAnsi="Arial" w:cs="Arial"/>
                <w:lang w:val="es-MX" w:eastAsia="es-ES_tradnl"/>
              </w:rPr>
              <w:t>‒</w:t>
            </w:r>
            <w:r w:rsidRPr="006634C4">
              <w:rPr>
                <w:rFonts w:ascii="Century Gothic" w:eastAsia="Calibri" w:hAnsi="Century Gothic" w:cs="Arial"/>
                <w:lang w:val="es-MX" w:eastAsia="es-ES_tradnl"/>
              </w:rPr>
              <w:t xml:space="preserve"> Consorcio </w:t>
            </w:r>
            <w:r w:rsidRPr="006634C4">
              <w:rPr>
                <w:rFonts w:ascii="Arial" w:eastAsia="Calibri" w:hAnsi="Arial" w:cs="Arial"/>
                <w:lang w:val="es-MX" w:eastAsia="es-ES_tradnl"/>
              </w:rPr>
              <w:t>‒</w:t>
            </w:r>
            <w:r w:rsidRPr="006634C4">
              <w:rPr>
                <w:rFonts w:ascii="Century Gothic" w:eastAsia="Calibri" w:hAnsi="Century Gothic" w:cs="Arial"/>
                <w:lang w:val="es-MX" w:eastAsia="es-ES_tradnl"/>
              </w:rPr>
              <w:t xml:space="preserve"> Uni</w:t>
            </w:r>
            <w:r w:rsidRPr="006634C4">
              <w:rPr>
                <w:rFonts w:ascii="Century Gothic" w:eastAsia="Calibri" w:hAnsi="Century Gothic" w:cs="Century Gothic"/>
                <w:lang w:val="es-MX" w:eastAsia="es-ES_tradnl"/>
              </w:rPr>
              <w:t>ó</w:t>
            </w:r>
            <w:r w:rsidRPr="006634C4">
              <w:rPr>
                <w:rFonts w:ascii="Century Gothic" w:eastAsia="Calibri" w:hAnsi="Century Gothic" w:cs="Arial"/>
                <w:lang w:val="es-MX" w:eastAsia="es-ES_tradnl"/>
              </w:rPr>
              <w:t xml:space="preserve">n temporal </w:t>
            </w:r>
            <w:r w:rsidRPr="006634C4">
              <w:rPr>
                <w:rFonts w:ascii="Arial" w:eastAsia="Calibri" w:hAnsi="Arial" w:cs="Arial"/>
                <w:lang w:val="es-MX" w:eastAsia="es-ES_tradnl"/>
              </w:rPr>
              <w:t>‒</w:t>
            </w:r>
            <w:r w:rsidRPr="006634C4">
              <w:rPr>
                <w:rFonts w:ascii="Century Gothic" w:eastAsia="Calibri" w:hAnsi="Century Gothic" w:cs="Arial"/>
                <w:lang w:val="es-MX" w:eastAsia="es-ES_tradnl"/>
              </w:rPr>
              <w:t xml:space="preserve"> Concepto </w:t>
            </w:r>
            <w:r w:rsidRPr="006634C4">
              <w:rPr>
                <w:rFonts w:ascii="Century Gothic" w:eastAsia="Calibri" w:hAnsi="Century Gothic" w:cs="Century Gothic"/>
                <w:lang w:val="es-MX" w:eastAsia="es-ES_tradnl"/>
              </w:rPr>
              <w:t>–</w:t>
            </w:r>
            <w:r w:rsidRPr="006634C4">
              <w:rPr>
                <w:rFonts w:ascii="Century Gothic" w:eastAsia="Calibri" w:hAnsi="Century Gothic" w:cs="Arial"/>
                <w:lang w:val="es-MX" w:eastAsia="es-ES_tradnl"/>
              </w:rPr>
              <w:t xml:space="preserve"> Diferencias</w:t>
            </w:r>
            <w:r>
              <w:rPr>
                <w:rFonts w:ascii="Century Gothic" w:eastAsia="Calibri" w:hAnsi="Century Gothic" w:cs="Arial"/>
                <w:lang w:val="es-MX" w:eastAsia="es-ES_tradnl"/>
              </w:rPr>
              <w:t xml:space="preserve"> </w:t>
            </w:r>
            <w:r w:rsidRPr="00035110">
              <w:rPr>
                <w:rFonts w:ascii="Century Gothic" w:eastAsia="Calibri" w:hAnsi="Century Gothic" w:cs="Arial"/>
                <w:lang w:val="es-MX" w:eastAsia="es-ES_tradnl"/>
              </w:rPr>
              <w:t>/ PROCEDIMIENTOS CONTRACTUALES – Principios de igualdad y libre concurrencia – Entidades sometidas – Alcance /</w:t>
            </w:r>
            <w:r w:rsidRPr="00035110">
              <w:rPr>
                <w:rFonts w:ascii="Century Gothic" w:hAnsi="Century Gothic"/>
              </w:rPr>
              <w:t xml:space="preserve"> </w:t>
            </w:r>
            <w:r w:rsidRPr="006634C4">
              <w:rPr>
                <w:rFonts w:ascii="Century Gothic" w:eastAsia="Calibri" w:hAnsi="Century Gothic" w:cs="Arial"/>
                <w:lang w:val="es-MX" w:eastAsia="es-ES_tradnl"/>
              </w:rPr>
              <w:t>SOCIEDADES EXTRANJERAS CON NEGOCIO PERMANENTE EN EL PAÍS – Integrantes de proponente plural – Obligación de constituir sucursal</w:t>
            </w:r>
            <w:r w:rsidRPr="00035110">
              <w:rPr>
                <w:rFonts w:ascii="Century Gothic" w:eastAsia="Calibri" w:hAnsi="Century Gothic" w:cs="Arial"/>
                <w:lang w:val="es-MX" w:eastAsia="es-ES_tradnl"/>
              </w:rPr>
              <w:t xml:space="preserve"> / CONVOCATORIAS LIMITADAS A MIPYMES – Limitación nacional y territorial – Trato preferencial    </w:t>
            </w:r>
          </w:p>
          <w:p w14:paraId="5BE7DD30" w14:textId="77777777" w:rsidR="008A30D4" w:rsidRPr="00035110" w:rsidRDefault="008A30D4" w:rsidP="00E7105D">
            <w:pPr>
              <w:spacing w:after="120"/>
              <w:contextualSpacing/>
              <w:jc w:val="both"/>
              <w:rPr>
                <w:rFonts w:ascii="Century Gothic" w:eastAsia="Calibri" w:hAnsi="Century Gothic" w:cs="Arial"/>
                <w:sz w:val="12"/>
                <w:szCs w:val="12"/>
                <w:lang w:val="es-ES_tradnl" w:eastAsia="es-ES_tradnl"/>
              </w:rPr>
            </w:pPr>
          </w:p>
        </w:tc>
      </w:tr>
      <w:tr w:rsidR="008A30D4" w:rsidRPr="00035110" w14:paraId="75155692" w14:textId="77777777" w:rsidTr="00E7105D">
        <w:trPr>
          <w:trHeight w:val="227"/>
        </w:trPr>
        <w:tc>
          <w:tcPr>
            <w:tcW w:w="2689" w:type="dxa"/>
          </w:tcPr>
          <w:p w14:paraId="25F790CD" w14:textId="77777777" w:rsidR="008A30D4" w:rsidRPr="00035110" w:rsidRDefault="008A30D4" w:rsidP="00E7105D">
            <w:pPr>
              <w:contextualSpacing/>
              <w:jc w:val="both"/>
              <w:rPr>
                <w:rFonts w:ascii="Century Gothic" w:eastAsia="Calibri" w:hAnsi="Century Gothic" w:cs="Arial"/>
                <w:b/>
                <w:lang w:val="es-ES_tradnl" w:eastAsia="es-ES_tradnl"/>
              </w:rPr>
            </w:pPr>
            <w:r w:rsidRPr="00035110">
              <w:rPr>
                <w:rFonts w:ascii="Century Gothic" w:eastAsia="Calibri" w:hAnsi="Century Gothic" w:cs="Arial"/>
                <w:b/>
                <w:lang w:val="es-ES_tradnl" w:eastAsia="es-ES_tradnl"/>
              </w:rPr>
              <w:t>Radicación:</w:t>
            </w:r>
            <w:r w:rsidRPr="00035110">
              <w:rPr>
                <w:rFonts w:ascii="Century Gothic" w:eastAsia="Calibri" w:hAnsi="Century Gothic" w:cs="Arial"/>
                <w:lang w:val="es-ES_tradnl" w:eastAsia="es-ES_tradnl"/>
              </w:rPr>
              <w:t xml:space="preserve">                             </w:t>
            </w:r>
          </w:p>
        </w:tc>
        <w:tc>
          <w:tcPr>
            <w:tcW w:w="6237" w:type="dxa"/>
          </w:tcPr>
          <w:p w14:paraId="257ADA4C" w14:textId="77777777" w:rsidR="008A30D4" w:rsidRPr="00035110" w:rsidRDefault="008A30D4" w:rsidP="00E7105D">
            <w:pPr>
              <w:contextualSpacing/>
              <w:jc w:val="both"/>
              <w:rPr>
                <w:rFonts w:ascii="Century Gothic" w:eastAsia="Calibri" w:hAnsi="Century Gothic" w:cs="Arial"/>
                <w:lang w:val="es-ES_tradnl" w:eastAsia="es-ES_tradnl"/>
              </w:rPr>
            </w:pPr>
            <w:r w:rsidRPr="00035110">
              <w:rPr>
                <w:rFonts w:ascii="Century Gothic" w:eastAsia="Calibri" w:hAnsi="Century Gothic" w:cs="Arial"/>
                <w:lang w:val="es-ES_tradnl" w:eastAsia="es-ES_tradnl"/>
              </w:rPr>
              <w:t>Respuesta a la consulta P20240307002597</w:t>
            </w:r>
          </w:p>
        </w:tc>
      </w:tr>
    </w:tbl>
    <w:p w14:paraId="4EA70B63" w14:textId="77777777" w:rsidR="008A30D4" w:rsidRPr="00035110" w:rsidRDefault="008A30D4" w:rsidP="008A30D4">
      <w:pPr>
        <w:contextualSpacing/>
        <w:jc w:val="both"/>
        <w:rPr>
          <w:rFonts w:ascii="Century Gothic" w:eastAsia="Calibri" w:hAnsi="Century Gothic" w:cs="Arial"/>
          <w:lang w:val="es-ES_tradnl" w:eastAsia="es-ES_tradnl"/>
        </w:rPr>
      </w:pPr>
    </w:p>
    <w:p w14:paraId="796CA19D" w14:textId="77777777" w:rsidR="008A30D4" w:rsidRPr="00035110" w:rsidRDefault="008A30D4" w:rsidP="008A30D4">
      <w:pPr>
        <w:contextualSpacing/>
        <w:jc w:val="both"/>
        <w:rPr>
          <w:rFonts w:ascii="Century Gothic" w:eastAsia="Calibri" w:hAnsi="Century Gothic" w:cs="Arial"/>
          <w:lang w:val="es-ES_tradnl" w:eastAsia="es-ES_tradnl"/>
        </w:rPr>
      </w:pPr>
    </w:p>
    <w:p w14:paraId="5780FD45" w14:textId="77777777" w:rsidR="008A30D4" w:rsidRPr="00035110" w:rsidRDefault="008A30D4" w:rsidP="008A30D4">
      <w:pPr>
        <w:contextualSpacing/>
        <w:jc w:val="both"/>
        <w:rPr>
          <w:rFonts w:ascii="Century Gothic" w:eastAsia="Calibri" w:hAnsi="Century Gothic" w:cs="Arial"/>
          <w:lang w:val="es-ES" w:eastAsia="es-ES"/>
        </w:rPr>
      </w:pPr>
      <w:r w:rsidRPr="00035110">
        <w:rPr>
          <w:rFonts w:ascii="Century Gothic" w:eastAsia="Calibri" w:hAnsi="Century Gothic" w:cs="Arial"/>
          <w:lang w:val="es-ES" w:eastAsia="es-ES"/>
        </w:rPr>
        <w:t xml:space="preserve">Respetado señor </w:t>
      </w:r>
      <w:r w:rsidRPr="00035110">
        <w:rPr>
          <w:rFonts w:ascii="Century Gothic" w:eastAsia="Times New Roman" w:hAnsi="Century Gothic" w:cs="Arial"/>
          <w:lang w:eastAsia="es-ES"/>
        </w:rPr>
        <w:t>Fernández Anta</w:t>
      </w:r>
      <w:r w:rsidRPr="00035110">
        <w:rPr>
          <w:rFonts w:ascii="Century Gothic" w:eastAsia="Calibri" w:hAnsi="Century Gothic" w:cs="Arial"/>
          <w:lang w:val="es-ES" w:eastAsia="es-ES"/>
        </w:rPr>
        <w:t xml:space="preserve">: </w:t>
      </w:r>
    </w:p>
    <w:p w14:paraId="0A811603" w14:textId="77777777" w:rsidR="008A30D4" w:rsidRPr="00035110" w:rsidRDefault="008A30D4" w:rsidP="008A30D4">
      <w:pPr>
        <w:spacing w:line="276" w:lineRule="auto"/>
        <w:contextualSpacing/>
        <w:jc w:val="both"/>
        <w:rPr>
          <w:rFonts w:ascii="Century Gothic" w:eastAsia="Calibri" w:hAnsi="Century Gothic" w:cs="Arial"/>
          <w:szCs w:val="24"/>
          <w:lang w:val="es-ES_tradnl" w:eastAsia="es-ES_tradnl"/>
        </w:rPr>
      </w:pPr>
    </w:p>
    <w:bookmarkEnd w:id="0"/>
    <w:bookmarkEnd w:id="1"/>
    <w:p w14:paraId="153631AE" w14:textId="77777777" w:rsidR="008A30D4" w:rsidRPr="00035110" w:rsidRDefault="008A30D4" w:rsidP="008A30D4">
      <w:pPr>
        <w:spacing w:after="0" w:line="276" w:lineRule="auto"/>
        <w:jc w:val="both"/>
        <w:rPr>
          <w:rFonts w:ascii="Century Gothic" w:eastAsia="Calibri" w:hAnsi="Century Gothic" w:cs="Arial"/>
          <w:color w:val="000000" w:themeColor="text1"/>
          <w:lang w:val="es-ES_tradnl"/>
        </w:rPr>
      </w:pPr>
      <w:r w:rsidRPr="00035110">
        <w:rPr>
          <w:rFonts w:ascii="Century Gothic" w:eastAsia="Calibri" w:hAnsi="Century Gothic" w:cs="Arial"/>
          <w:color w:val="000000" w:themeColor="text1"/>
          <w:lang w:val="es-ES_tradnl"/>
        </w:rPr>
        <w:t>En ejercicio de la competencia otorgada por el numeral 8 del artículo 11 y el numeral 5 del artículo 3 del Decreto Ley 4170 de 2011</w:t>
      </w:r>
      <w:bookmarkStart w:id="6" w:name="_Hlk99120496"/>
      <w:r w:rsidRPr="00035110">
        <w:rPr>
          <w:rFonts w:ascii="Century Gothic" w:eastAsia="Arial MT" w:hAnsi="Century Gothic" w:cs="Arial"/>
          <w:lang w:val="es-ES"/>
        </w:rPr>
        <w:t xml:space="preserve">, </w:t>
      </w:r>
      <w:bookmarkEnd w:id="6"/>
      <w:r w:rsidRPr="00035110">
        <w:rPr>
          <w:rFonts w:ascii="Century Gothic" w:eastAsia="Calibri" w:hAnsi="Century Gothic" w:cs="Arial"/>
          <w:color w:val="000000" w:themeColor="text1"/>
          <w:lang w:val="es-ES_tradnl"/>
        </w:rPr>
        <w:t>la Agencia Nacional de Contratación Pública – Colombia Compra Eficiente responde la petición radicada el 5 de marzo de 2024, remitida por el Consulado de Colombia en Madrid –de acuerdo con el artículo 21 de la Ley 1437 de 2011– mediante correo electrónico del 7 de marzo de 2024.</w:t>
      </w:r>
    </w:p>
    <w:p w14:paraId="5B1CA9B7" w14:textId="77777777" w:rsidR="008A30D4" w:rsidRPr="00035110" w:rsidRDefault="008A30D4" w:rsidP="008A30D4">
      <w:pPr>
        <w:spacing w:after="0" w:line="276" w:lineRule="auto"/>
        <w:jc w:val="both"/>
        <w:rPr>
          <w:rFonts w:ascii="Century Gothic" w:eastAsia="Calibri" w:hAnsi="Century Gothic" w:cs="Arial"/>
          <w:b/>
          <w:color w:val="000000" w:themeColor="text1"/>
          <w:lang w:val="es-ES_tradnl"/>
        </w:rPr>
      </w:pPr>
    </w:p>
    <w:p w14:paraId="75A7B296" w14:textId="77777777" w:rsidR="008A30D4" w:rsidRPr="00035110" w:rsidRDefault="008A30D4" w:rsidP="008A30D4">
      <w:pPr>
        <w:pStyle w:val="Prrafodelista"/>
        <w:numPr>
          <w:ilvl w:val="0"/>
          <w:numId w:val="6"/>
        </w:numPr>
        <w:tabs>
          <w:tab w:val="left" w:pos="0"/>
          <w:tab w:val="left" w:pos="142"/>
          <w:tab w:val="left" w:pos="284"/>
        </w:tabs>
        <w:spacing w:after="0" w:line="276" w:lineRule="auto"/>
        <w:ind w:left="0" w:firstLine="0"/>
        <w:jc w:val="both"/>
        <w:rPr>
          <w:rFonts w:ascii="Century Gothic" w:eastAsia="Calibri" w:hAnsi="Century Gothic" w:cs="Arial"/>
          <w:b/>
          <w:color w:val="000000" w:themeColor="text1"/>
          <w:lang w:val="es-ES_tradnl"/>
        </w:rPr>
      </w:pPr>
      <w:r w:rsidRPr="00035110">
        <w:rPr>
          <w:rFonts w:ascii="Century Gothic" w:eastAsia="Calibri" w:hAnsi="Century Gothic" w:cs="Arial"/>
          <w:b/>
          <w:color w:val="000000" w:themeColor="text1"/>
          <w:lang w:val="es-ES_tradnl"/>
        </w:rPr>
        <w:t xml:space="preserve">Problema planteado </w:t>
      </w:r>
    </w:p>
    <w:p w14:paraId="3D7B0DEB" w14:textId="77777777" w:rsidR="008A30D4" w:rsidRPr="00035110" w:rsidRDefault="008A30D4" w:rsidP="008A30D4">
      <w:pPr>
        <w:tabs>
          <w:tab w:val="left" w:pos="426"/>
        </w:tabs>
        <w:spacing w:after="0" w:line="276" w:lineRule="auto"/>
        <w:jc w:val="both"/>
        <w:rPr>
          <w:rFonts w:ascii="Century Gothic" w:eastAsia="Calibri" w:hAnsi="Century Gothic" w:cs="Arial"/>
          <w:b/>
          <w:color w:val="000000" w:themeColor="text1"/>
          <w:lang w:val="es-ES_tradnl"/>
        </w:rPr>
      </w:pPr>
    </w:p>
    <w:p w14:paraId="34D1B9BA" w14:textId="77777777" w:rsidR="008A30D4" w:rsidRPr="00035110" w:rsidRDefault="008A30D4" w:rsidP="740D53F7">
      <w:pPr>
        <w:spacing w:after="0" w:line="276" w:lineRule="auto"/>
        <w:jc w:val="both"/>
        <w:rPr>
          <w:rFonts w:ascii="Century Gothic" w:hAnsi="Century Gothic" w:cs="Arial"/>
          <w:color w:val="000000" w:themeColor="text1"/>
          <w:lang w:val="es-ES"/>
        </w:rPr>
      </w:pPr>
      <w:bookmarkStart w:id="7" w:name="_Hlk132728388"/>
      <w:bookmarkStart w:id="8" w:name="_Hlk142917142"/>
      <w:r w:rsidRPr="740D53F7">
        <w:rPr>
          <w:rFonts w:ascii="Century Gothic" w:hAnsi="Century Gothic" w:cs="Arial"/>
          <w:color w:val="000000" w:themeColor="text1"/>
          <w:lang w:val="es-ES"/>
        </w:rPr>
        <w:lastRenderedPageBreak/>
        <w:t xml:space="preserve">Usted realiza la siguiente pregunta: “Desde SIA, empresa española perteneciente al grupo Indra, necesitamos aclarar los requisitos existentes en su país para la constitución de una UTE (Unión temporal de empresas) con la intención de licitar a un concurso público del Gobierno Colombiano. En concreto la duda es si es necesario que todos los miembros de la </w:t>
      </w:r>
      <w:proofErr w:type="gramStart"/>
      <w:r w:rsidRPr="740D53F7">
        <w:rPr>
          <w:rFonts w:ascii="Century Gothic" w:hAnsi="Century Gothic" w:cs="Arial"/>
          <w:color w:val="000000" w:themeColor="text1"/>
          <w:lang w:val="es-ES"/>
        </w:rPr>
        <w:t>UTE,</w:t>
      </w:r>
      <w:proofErr w:type="gramEnd"/>
      <w:r w:rsidRPr="740D53F7">
        <w:rPr>
          <w:rFonts w:ascii="Century Gothic" w:hAnsi="Century Gothic" w:cs="Arial"/>
          <w:color w:val="000000" w:themeColor="text1"/>
          <w:lang w:val="es-ES"/>
        </w:rPr>
        <w:t xml:space="preserve"> tengan oficina declarada en Colombia para poder licitar y contratar. Necesitamos saber si existe algún requerimiento en este sentido y si en caso afirmativo este requisito es solo para empresas privadas o también para empresas públicas españolas”.</w:t>
      </w:r>
    </w:p>
    <w:p w14:paraId="6CCEE7BD" w14:textId="77777777" w:rsidR="008A30D4" w:rsidRPr="00035110" w:rsidRDefault="008A30D4" w:rsidP="008A30D4">
      <w:pPr>
        <w:spacing w:after="0" w:line="276" w:lineRule="auto"/>
        <w:jc w:val="both"/>
        <w:rPr>
          <w:rFonts w:ascii="Century Gothic" w:hAnsi="Century Gothic" w:cs="Arial"/>
          <w:color w:val="000000" w:themeColor="text1"/>
          <w:lang w:val="es-ES_tradnl"/>
        </w:rPr>
      </w:pPr>
    </w:p>
    <w:bookmarkEnd w:id="7"/>
    <w:bookmarkEnd w:id="8"/>
    <w:p w14:paraId="589D2F53" w14:textId="77777777" w:rsidR="008A30D4" w:rsidRPr="00035110" w:rsidRDefault="008A30D4" w:rsidP="008A30D4">
      <w:pPr>
        <w:pStyle w:val="Prrafodelista"/>
        <w:numPr>
          <w:ilvl w:val="0"/>
          <w:numId w:val="6"/>
        </w:numPr>
        <w:tabs>
          <w:tab w:val="left" w:pos="0"/>
          <w:tab w:val="left" w:pos="284"/>
        </w:tabs>
        <w:spacing w:after="0" w:line="240" w:lineRule="auto"/>
        <w:ind w:left="0" w:firstLine="0"/>
        <w:jc w:val="both"/>
        <w:rPr>
          <w:rFonts w:ascii="Century Gothic" w:eastAsia="Calibri" w:hAnsi="Century Gothic" w:cs="Arial"/>
          <w:b/>
          <w:color w:val="000000" w:themeColor="text1"/>
          <w:lang w:val="es-ES_tradnl"/>
        </w:rPr>
      </w:pPr>
      <w:r w:rsidRPr="00035110">
        <w:rPr>
          <w:rFonts w:ascii="Century Gothic" w:eastAsia="Calibri" w:hAnsi="Century Gothic" w:cs="Arial"/>
          <w:b/>
          <w:color w:val="000000" w:themeColor="text1"/>
          <w:lang w:val="es-ES_tradnl"/>
        </w:rPr>
        <w:t>Consideraciones</w:t>
      </w:r>
    </w:p>
    <w:p w14:paraId="212D7220" w14:textId="77777777" w:rsidR="008A30D4" w:rsidRPr="00035110" w:rsidRDefault="008A30D4" w:rsidP="008A30D4">
      <w:pPr>
        <w:spacing w:after="0" w:line="276" w:lineRule="auto"/>
        <w:jc w:val="both"/>
        <w:rPr>
          <w:rFonts w:ascii="Century Gothic" w:eastAsia="Calibri" w:hAnsi="Century Gothic" w:cs="Arial"/>
          <w:color w:val="000000" w:themeColor="text1"/>
          <w:lang w:val="es-ES"/>
        </w:rPr>
      </w:pPr>
    </w:p>
    <w:p w14:paraId="677FE979" w14:textId="77777777" w:rsidR="008A30D4" w:rsidRDefault="008A30D4" w:rsidP="008A30D4">
      <w:pPr>
        <w:spacing w:after="120" w:line="276" w:lineRule="auto"/>
        <w:jc w:val="both"/>
        <w:rPr>
          <w:rFonts w:ascii="Century Gothic" w:hAnsi="Century Gothic" w:cs="Arial"/>
          <w:lang w:val="es-ES"/>
        </w:rPr>
      </w:pPr>
      <w:r>
        <w:rPr>
          <w:rFonts w:ascii="Century Gothic" w:hAnsi="Century Gothic" w:cs="Arial"/>
        </w:rPr>
        <w:t>Conforme a los</w:t>
      </w:r>
      <w:r w:rsidRPr="000B379D">
        <w:rPr>
          <w:rFonts w:ascii="Century Gothic" w:hAnsi="Century Gothic" w:cs="Arial"/>
        </w:rPr>
        <w:t xml:space="preserve"> artículos 3, numeral 5 y 1, numeral 8 del Decreto Ley 4170 de 2011, la Agencia Nacional de Contratación Pública resuelve las consultas sobre temáticas de la contratación estatal y compras públicas relacionadas en los artículos </w:t>
      </w:r>
      <w:r w:rsidRPr="000B379D">
        <w:rPr>
          <w:rFonts w:ascii="Century Gothic" w:hAnsi="Century Gothic" w:cs="Arial"/>
          <w:lang w:val="es-ES"/>
        </w:rPr>
        <w:t>citados</w:t>
      </w:r>
      <w:r w:rsidRPr="000B379D">
        <w:rPr>
          <w:rFonts w:ascii="Century Gothic" w:hAnsi="Century Gothic" w:cs="Arial"/>
          <w:vertAlign w:val="superscript"/>
          <w:lang w:val="es-ES"/>
        </w:rPr>
        <w:footnoteReference w:id="2"/>
      </w:r>
      <w:r w:rsidRPr="000B379D">
        <w:rPr>
          <w:rFonts w:ascii="Century Gothic" w:hAnsi="Century Gothic" w:cs="Arial"/>
          <w:lang w:val="es-ES"/>
        </w:rPr>
        <w:t xml:space="preserve">. </w:t>
      </w:r>
      <w:r>
        <w:rPr>
          <w:rFonts w:ascii="Century Gothic" w:hAnsi="Century Gothic" w:cs="Arial"/>
          <w:lang w:val="es-ES"/>
        </w:rPr>
        <w:t>E</w:t>
      </w:r>
      <w:r w:rsidRPr="000B379D">
        <w:rPr>
          <w:rFonts w:ascii="Century Gothic" w:hAnsi="Century Gothic" w:cs="Arial"/>
          <w:lang w:val="es-ES"/>
        </w:rPr>
        <w:t>sta entidad solo tiene competencia para responder solicitudes sobre la interpretación de normas de carácter general en materia de compras y contratación pública</w:t>
      </w:r>
      <w:r>
        <w:rPr>
          <w:rFonts w:ascii="Century Gothic" w:hAnsi="Century Gothic" w:cs="Arial"/>
          <w:lang w:val="es-ES"/>
        </w:rPr>
        <w:t>, esto</w:t>
      </w:r>
      <w:r w:rsidRPr="000B379D">
        <w:rPr>
          <w:rFonts w:ascii="Century Gothic" w:hAnsi="Century Gothic" w:cs="Arial"/>
          <w:lang w:val="es-ES"/>
        </w:rPr>
        <w:t xml:space="preserve"> con el objeto de evitar que la Agencia actúe como una instancia de validación de las actuaciones de las entidades </w:t>
      </w:r>
      <w:r>
        <w:rPr>
          <w:rFonts w:ascii="Century Gothic" w:hAnsi="Century Gothic" w:cs="Arial"/>
          <w:lang w:val="es-ES"/>
        </w:rPr>
        <w:t>estatales. De esta manera</w:t>
      </w:r>
      <w:r w:rsidRPr="000B379D">
        <w:rPr>
          <w:rFonts w:ascii="Century Gothic" w:hAnsi="Century Gothic" w:cs="Arial"/>
          <w:lang w:val="es-ES"/>
        </w:rPr>
        <w:t xml:space="preserve">, </w:t>
      </w:r>
      <w:r>
        <w:rPr>
          <w:rFonts w:ascii="Century Gothic" w:hAnsi="Century Gothic" w:cs="Arial"/>
          <w:lang w:val="es-ES"/>
        </w:rPr>
        <w:t xml:space="preserve">la función consultiva </w:t>
      </w:r>
      <w:r w:rsidRPr="000B379D">
        <w:rPr>
          <w:rFonts w:ascii="Century Gothic" w:hAnsi="Century Gothic" w:cs="Arial"/>
          <w:lang w:val="es-ES"/>
        </w:rPr>
        <w:t>no pu</w:t>
      </w:r>
      <w:r>
        <w:rPr>
          <w:rFonts w:ascii="Century Gothic" w:hAnsi="Century Gothic" w:cs="Arial"/>
          <w:lang w:val="es-ES"/>
        </w:rPr>
        <w:t>ede</w:t>
      </w:r>
      <w:r w:rsidRPr="000B379D">
        <w:rPr>
          <w:rFonts w:ascii="Century Gothic" w:hAnsi="Century Gothic" w:cs="Arial"/>
          <w:lang w:val="es-ES"/>
        </w:rPr>
        <w:t xml:space="preserve"> extenderse a la resolución de controversias</w:t>
      </w:r>
      <w:r>
        <w:rPr>
          <w:rFonts w:ascii="Century Gothic" w:hAnsi="Century Gothic" w:cs="Arial"/>
          <w:lang w:val="es-ES"/>
        </w:rPr>
        <w:t xml:space="preserve"> ni </w:t>
      </w:r>
      <w:r w:rsidRPr="000B379D">
        <w:rPr>
          <w:rFonts w:ascii="Century Gothic" w:hAnsi="Century Gothic" w:cs="Arial"/>
          <w:lang w:val="es-ES"/>
        </w:rPr>
        <w:t>brindar asesorías sobre casos puntuales</w:t>
      </w:r>
      <w:r>
        <w:rPr>
          <w:rFonts w:ascii="Century Gothic" w:hAnsi="Century Gothic" w:cs="Arial"/>
          <w:lang w:val="es-ES"/>
        </w:rPr>
        <w:t xml:space="preserve">. </w:t>
      </w:r>
    </w:p>
    <w:p w14:paraId="312CBB79" w14:textId="77777777" w:rsidR="008A30D4" w:rsidRPr="009E212A" w:rsidRDefault="008A30D4" w:rsidP="008A30D4">
      <w:pPr>
        <w:spacing w:after="120" w:line="276" w:lineRule="auto"/>
        <w:ind w:firstLine="708"/>
        <w:jc w:val="both"/>
        <w:rPr>
          <w:rFonts w:ascii="Century Gothic" w:hAnsi="Century Gothic" w:cs="Arial"/>
          <w:lang w:val="es-ES"/>
        </w:rPr>
      </w:pPr>
      <w:r>
        <w:rPr>
          <w:rFonts w:ascii="Century Gothic" w:hAnsi="Century Gothic" w:cs="Arial"/>
          <w:lang w:val="es-ES"/>
        </w:rPr>
        <w:t xml:space="preserve">Por ello, </w:t>
      </w:r>
      <w:r w:rsidRPr="000B379D">
        <w:rPr>
          <w:rFonts w:ascii="Century Gothic" w:hAnsi="Century Gothic" w:cs="Arial"/>
        </w:rPr>
        <w:t>Colombia Compra Eficiente</w:t>
      </w:r>
      <w:r w:rsidRPr="00FA6BF6">
        <w:rPr>
          <w:rFonts w:ascii="Century Gothic" w:hAnsi="Century Gothic" w:cs="Arial"/>
          <w:lang w:val="es-ES"/>
        </w:rPr>
        <w:t xml:space="preserve"> –dentro de los límites de sus atribuciones, esto es, haciendo abstracción </w:t>
      </w:r>
      <w:r>
        <w:rPr>
          <w:rFonts w:ascii="Century Gothic" w:hAnsi="Century Gothic" w:cs="Arial"/>
          <w:lang w:val="es-ES"/>
        </w:rPr>
        <w:t>de cualquier situación concreta que afronten las entidades públicas en sus procesos</w:t>
      </w:r>
      <w:r w:rsidRPr="00FA6BF6">
        <w:rPr>
          <w:rFonts w:ascii="Century Gothic" w:hAnsi="Century Gothic" w:cs="Arial"/>
          <w:lang w:val="es-ES"/>
        </w:rPr>
        <w:t>– resolverá la consulta conforme a las normas generales en materia de contratación estatal</w:t>
      </w:r>
      <w:r>
        <w:rPr>
          <w:rFonts w:ascii="Century Gothic" w:hAnsi="Century Gothic" w:cs="Arial"/>
          <w:lang w:val="es-ES"/>
        </w:rPr>
        <w:t xml:space="preserve">. </w:t>
      </w:r>
      <w:r w:rsidRPr="00035110">
        <w:rPr>
          <w:rFonts w:ascii="Century Gothic" w:eastAsia="Calibri" w:hAnsi="Century Gothic" w:cs="Arial"/>
        </w:rPr>
        <w:t xml:space="preserve">Con este objetivo se abordarán </w:t>
      </w:r>
      <w:r w:rsidRPr="00035110">
        <w:rPr>
          <w:rFonts w:ascii="Century Gothic" w:eastAsia="Calibri" w:hAnsi="Century Gothic" w:cs="Arial"/>
          <w:lang w:val="es-ES"/>
        </w:rPr>
        <w:t>los siguientes temas:</w:t>
      </w:r>
      <w:r w:rsidRPr="00035110">
        <w:rPr>
          <w:rFonts w:ascii="Century Gothic" w:hAnsi="Century Gothic" w:cs="Arial"/>
          <w:color w:val="000000" w:themeColor="text1"/>
          <w:lang w:val="es-ES"/>
        </w:rPr>
        <w:t xml:space="preserve"> </w:t>
      </w:r>
      <w:r w:rsidRPr="00035110">
        <w:rPr>
          <w:rFonts w:ascii="Century Gothic" w:hAnsi="Century Gothic" w:cs="Arial"/>
          <w:color w:val="000000" w:themeColor="text1"/>
          <w:lang w:val="es-ES_tradnl"/>
        </w:rPr>
        <w:t xml:space="preserve">i) naturaleza jurídica de los consorcios y las uniones temporales, </w:t>
      </w:r>
      <w:proofErr w:type="spellStart"/>
      <w:r w:rsidRPr="00035110">
        <w:rPr>
          <w:rFonts w:ascii="Century Gothic" w:hAnsi="Century Gothic" w:cs="Arial"/>
          <w:color w:val="000000" w:themeColor="text1"/>
          <w:lang w:val="es-ES_tradnl"/>
        </w:rPr>
        <w:t>ii</w:t>
      </w:r>
      <w:proofErr w:type="spellEnd"/>
      <w:r w:rsidRPr="00035110">
        <w:rPr>
          <w:rFonts w:ascii="Century Gothic" w:hAnsi="Century Gothic" w:cs="Arial"/>
          <w:color w:val="000000" w:themeColor="text1"/>
          <w:lang w:val="es-ES_tradnl"/>
        </w:rPr>
        <w:t xml:space="preserve">) </w:t>
      </w:r>
      <w:bookmarkStart w:id="9" w:name="_Hlk143598738"/>
      <w:r w:rsidRPr="00035110">
        <w:rPr>
          <w:rFonts w:ascii="Century Gothic" w:hAnsi="Century Gothic" w:cs="Arial"/>
          <w:color w:val="000000" w:themeColor="text1"/>
          <w:lang w:val="es-ES_tradnl"/>
        </w:rPr>
        <w:t>principio de igualdad y concurrencia como regla general en los procesos de selección</w:t>
      </w:r>
      <w:bookmarkEnd w:id="9"/>
      <w:r w:rsidRPr="00035110">
        <w:rPr>
          <w:rFonts w:ascii="Century Gothic" w:hAnsi="Century Gothic" w:cs="Arial"/>
          <w:color w:val="000000" w:themeColor="text1"/>
          <w:lang w:val="es-ES_tradnl"/>
        </w:rPr>
        <w:t xml:space="preserve"> y </w:t>
      </w:r>
      <w:proofErr w:type="spellStart"/>
      <w:r w:rsidRPr="00035110">
        <w:rPr>
          <w:rFonts w:ascii="Century Gothic" w:hAnsi="Century Gothic" w:cs="Arial"/>
          <w:color w:val="000000" w:themeColor="text1"/>
          <w:lang w:val="es-ES_tradnl"/>
        </w:rPr>
        <w:t>iii</w:t>
      </w:r>
      <w:proofErr w:type="spellEnd"/>
      <w:r w:rsidRPr="00035110">
        <w:rPr>
          <w:rFonts w:ascii="Century Gothic" w:hAnsi="Century Gothic" w:cs="Arial"/>
          <w:color w:val="000000" w:themeColor="text1"/>
          <w:lang w:val="es-ES_tradnl"/>
        </w:rPr>
        <w:t xml:space="preserve">) convocatorias limitadas a </w:t>
      </w:r>
      <w:proofErr w:type="spellStart"/>
      <w:r w:rsidRPr="00035110">
        <w:rPr>
          <w:rFonts w:ascii="Century Gothic" w:hAnsi="Century Gothic" w:cs="Arial"/>
          <w:color w:val="000000" w:themeColor="text1"/>
          <w:lang w:val="es-ES_tradnl"/>
        </w:rPr>
        <w:t>Mipymes</w:t>
      </w:r>
      <w:proofErr w:type="spellEnd"/>
      <w:r w:rsidRPr="00035110">
        <w:rPr>
          <w:rFonts w:ascii="Century Gothic" w:hAnsi="Century Gothic" w:cs="Arial"/>
          <w:color w:val="000000" w:themeColor="text1"/>
          <w:lang w:val="es-ES_tradnl"/>
        </w:rPr>
        <w:t xml:space="preserve"> como excepción al principio de libre participación.</w:t>
      </w:r>
    </w:p>
    <w:p w14:paraId="1C20D5BE" w14:textId="77777777" w:rsidR="008A30D4" w:rsidRDefault="008A30D4" w:rsidP="008A30D4">
      <w:pPr>
        <w:spacing w:after="120" w:line="276" w:lineRule="auto"/>
        <w:ind w:firstLine="709"/>
        <w:jc w:val="both"/>
        <w:rPr>
          <w:rFonts w:ascii="Century Gothic" w:eastAsia="Calibri" w:hAnsi="Century Gothic" w:cs="Arial"/>
          <w:color w:val="000000" w:themeColor="text1"/>
          <w:lang w:val="es-ES"/>
        </w:rPr>
      </w:pPr>
      <w:r w:rsidRPr="00035110">
        <w:rPr>
          <w:rFonts w:ascii="Century Gothic" w:eastAsia="Calibri" w:hAnsi="Century Gothic" w:cs="Arial"/>
          <w:color w:val="000000" w:themeColor="text1"/>
          <w:lang w:val="es-ES"/>
        </w:rPr>
        <w:t>La Agencia Nacional de Contratación Pública – Colombia Compra Eficiente</w:t>
      </w:r>
      <w:r>
        <w:rPr>
          <w:rFonts w:ascii="Century Gothic" w:eastAsia="Calibri" w:hAnsi="Century Gothic" w:cs="Arial"/>
          <w:color w:val="000000" w:themeColor="text1"/>
          <w:lang w:val="es-ES"/>
        </w:rPr>
        <w:t xml:space="preserve"> </w:t>
      </w:r>
      <w:r w:rsidRPr="00035110">
        <w:rPr>
          <w:rFonts w:ascii="Century Gothic" w:eastAsia="Calibri" w:hAnsi="Century Gothic" w:cs="Arial"/>
          <w:color w:val="000000" w:themeColor="text1"/>
          <w:lang w:val="es-ES"/>
        </w:rPr>
        <w:t>explicó la naturaleza jurídica de los consorcios y las uniones temporales</w:t>
      </w:r>
      <w:r>
        <w:rPr>
          <w:rFonts w:ascii="Century Gothic" w:eastAsia="Calibri" w:hAnsi="Century Gothic" w:cs="Arial"/>
          <w:color w:val="000000" w:themeColor="text1"/>
          <w:lang w:val="es-ES"/>
        </w:rPr>
        <w:t xml:space="preserve"> en los </w:t>
      </w:r>
      <w:r>
        <w:rPr>
          <w:rFonts w:ascii="Century Gothic" w:eastAsia="Calibri" w:hAnsi="Century Gothic" w:cs="Arial"/>
          <w:color w:val="000000" w:themeColor="text1"/>
          <w:lang w:val="es-ES"/>
        </w:rPr>
        <w:lastRenderedPageBreak/>
        <w:t xml:space="preserve">Conceptos </w:t>
      </w:r>
      <w:r w:rsidRPr="00035110">
        <w:rPr>
          <w:rFonts w:ascii="Century Gothic" w:eastAsia="Calibri" w:hAnsi="Century Gothic" w:cs="Arial"/>
          <w:color w:val="000000" w:themeColor="text1"/>
          <w:lang w:val="es-ES"/>
        </w:rPr>
        <w:t>4201913000007643 del 26 de diciembre de 2019,</w:t>
      </w:r>
      <w:r>
        <w:rPr>
          <w:rFonts w:ascii="Century Gothic" w:eastAsia="Calibri" w:hAnsi="Century Gothic" w:cs="Arial"/>
          <w:color w:val="000000" w:themeColor="text1"/>
          <w:lang w:val="es-ES"/>
        </w:rPr>
        <w:t xml:space="preserve"> </w:t>
      </w:r>
      <w:r w:rsidRPr="00035110">
        <w:rPr>
          <w:rFonts w:ascii="Century Gothic" w:eastAsia="Calibri" w:hAnsi="Century Gothic" w:cs="Arial"/>
          <w:color w:val="000000" w:themeColor="text1"/>
          <w:lang w:val="es-ES"/>
        </w:rPr>
        <w:t>C-343 del 17 de junio de 2020</w:t>
      </w:r>
      <w:r>
        <w:rPr>
          <w:rFonts w:ascii="Century Gothic" w:eastAsia="Calibri" w:hAnsi="Century Gothic" w:cs="Arial"/>
          <w:color w:val="000000" w:themeColor="text1"/>
          <w:lang w:val="es-ES"/>
        </w:rPr>
        <w:t xml:space="preserve">, C-518 del 9 de septiembre de 2020, C-614 del 5 de octubre de 2022, C-882 del 21 de diciembre de 2022 y C-172 del 6 de junio de 2023. </w:t>
      </w:r>
      <w:r w:rsidRPr="00035110">
        <w:rPr>
          <w:rFonts w:ascii="Century Gothic" w:eastAsia="Calibri" w:hAnsi="Century Gothic" w:cs="Arial"/>
          <w:color w:val="000000" w:themeColor="text1"/>
          <w:lang w:val="es-ES"/>
        </w:rPr>
        <w:t xml:space="preserve">También se ha referido a la prohibición de trato discriminatorio en </w:t>
      </w:r>
      <w:r>
        <w:rPr>
          <w:rFonts w:ascii="Century Gothic" w:eastAsia="Calibri" w:hAnsi="Century Gothic" w:cs="Arial"/>
          <w:color w:val="000000" w:themeColor="text1"/>
          <w:lang w:val="es-ES"/>
        </w:rPr>
        <w:t xml:space="preserve">los </w:t>
      </w:r>
      <w:r w:rsidRPr="00035110">
        <w:rPr>
          <w:rFonts w:ascii="Century Gothic" w:eastAsia="Calibri" w:hAnsi="Century Gothic" w:cs="Arial"/>
          <w:color w:val="000000" w:themeColor="text1"/>
          <w:lang w:val="es-ES"/>
        </w:rPr>
        <w:t>Concepto</w:t>
      </w:r>
      <w:r>
        <w:rPr>
          <w:rFonts w:ascii="Century Gothic" w:eastAsia="Calibri" w:hAnsi="Century Gothic" w:cs="Arial"/>
          <w:color w:val="000000" w:themeColor="text1"/>
          <w:lang w:val="es-ES"/>
        </w:rPr>
        <w:t>s</w:t>
      </w:r>
      <w:r w:rsidRPr="00035110">
        <w:rPr>
          <w:rFonts w:ascii="Century Gothic" w:eastAsia="Calibri" w:hAnsi="Century Gothic" w:cs="Arial"/>
          <w:color w:val="000000" w:themeColor="text1"/>
          <w:lang w:val="es-ES"/>
        </w:rPr>
        <w:t xml:space="preserve"> 2201913000006511 del 3 de septiembre de 2019</w:t>
      </w:r>
      <w:r>
        <w:rPr>
          <w:rFonts w:ascii="Century Gothic" w:eastAsia="Calibri" w:hAnsi="Century Gothic" w:cs="Arial"/>
          <w:color w:val="000000" w:themeColor="text1"/>
          <w:lang w:val="es-ES"/>
        </w:rPr>
        <w:t xml:space="preserve"> y C-335 del 26 de septiembre de 2023, además de analizar especialmente </w:t>
      </w:r>
      <w:r w:rsidRPr="005E62FA">
        <w:rPr>
          <w:rFonts w:ascii="Century Gothic" w:eastAsia="Calibri" w:hAnsi="Century Gothic" w:cs="Arial"/>
          <w:color w:val="000000" w:themeColor="text1"/>
          <w:lang w:val="es-ES"/>
        </w:rPr>
        <w:t>la actividad de las sociedades extranjeras en Colombia</w:t>
      </w:r>
      <w:r>
        <w:rPr>
          <w:rFonts w:ascii="Century Gothic" w:eastAsia="Calibri" w:hAnsi="Century Gothic" w:cs="Arial"/>
          <w:color w:val="000000" w:themeColor="text1"/>
          <w:lang w:val="es-ES"/>
        </w:rPr>
        <w:t xml:space="preserve"> en el Concepto </w:t>
      </w:r>
      <w:r w:rsidRPr="005E62FA">
        <w:rPr>
          <w:rFonts w:ascii="Century Gothic" w:eastAsia="Calibri" w:hAnsi="Century Gothic" w:cs="Arial"/>
          <w:color w:val="000000" w:themeColor="text1"/>
          <w:lang w:val="es-ES"/>
        </w:rPr>
        <w:t>C-685 del 19 de octubre de 2022</w:t>
      </w:r>
      <w:r w:rsidRPr="00035110">
        <w:rPr>
          <w:rFonts w:ascii="Century Gothic" w:eastAsia="Calibri" w:hAnsi="Century Gothic" w:cs="Arial"/>
          <w:color w:val="000000" w:themeColor="text1"/>
          <w:lang w:val="es-ES"/>
        </w:rPr>
        <w:t xml:space="preserve">. </w:t>
      </w:r>
    </w:p>
    <w:p w14:paraId="32B4AA1F" w14:textId="77777777" w:rsidR="008A30D4" w:rsidRPr="00035110" w:rsidRDefault="008A30D4" w:rsidP="008A30D4">
      <w:pPr>
        <w:spacing w:after="0" w:line="276" w:lineRule="auto"/>
        <w:ind w:firstLine="709"/>
        <w:jc w:val="both"/>
        <w:rPr>
          <w:rFonts w:ascii="Century Gothic" w:eastAsia="Calibri" w:hAnsi="Century Gothic" w:cs="Arial"/>
          <w:color w:val="000000" w:themeColor="text1"/>
          <w:lang w:val="es-ES"/>
        </w:rPr>
      </w:pPr>
      <w:r>
        <w:rPr>
          <w:rFonts w:ascii="Century Gothic" w:eastAsia="Calibri" w:hAnsi="Century Gothic" w:cs="Arial"/>
          <w:color w:val="000000" w:themeColor="text1"/>
          <w:lang w:val="es-ES"/>
        </w:rPr>
        <w:t>Por lo demás</w:t>
      </w:r>
      <w:r w:rsidRPr="00035110">
        <w:rPr>
          <w:rFonts w:ascii="Century Gothic" w:eastAsia="Calibri" w:hAnsi="Century Gothic" w:cs="Arial"/>
          <w:color w:val="000000" w:themeColor="text1"/>
          <w:lang w:val="es-ES"/>
        </w:rPr>
        <w:t xml:space="preserve">, </w:t>
      </w:r>
      <w:r w:rsidRPr="00035110">
        <w:rPr>
          <w:rFonts w:ascii="Century Gothic" w:eastAsia="Calibri" w:hAnsi="Century Gothic" w:cs="Arial"/>
          <w:lang w:val="es-ES_tradnl" w:eastAsia="es-ES_tradnl"/>
        </w:rPr>
        <w:t xml:space="preserve">en los Conceptos </w:t>
      </w:r>
      <w:r w:rsidRPr="00035110">
        <w:rPr>
          <w:rFonts w:ascii="Century Gothic" w:eastAsia="Calibri" w:hAnsi="Century Gothic" w:cs="Arial"/>
          <w:color w:val="000000" w:themeColor="text1"/>
        </w:rPr>
        <w:t xml:space="preserve">216130003241 el 30 de junio de 2016, </w:t>
      </w:r>
      <w:r w:rsidRPr="00035110">
        <w:rPr>
          <w:rFonts w:ascii="Century Gothic" w:hAnsi="Century Gothic" w:cs="Arial"/>
          <w:lang w:val="es-ES_tradnl"/>
        </w:rPr>
        <w:t xml:space="preserve">4201714000006924 del 29 de enero de 2018, </w:t>
      </w:r>
      <w:r w:rsidRPr="00035110">
        <w:rPr>
          <w:rFonts w:ascii="Century Gothic" w:eastAsia="Calibri" w:hAnsi="Century Gothic" w:cs="Arial"/>
          <w:color w:val="000000" w:themeColor="text1"/>
        </w:rPr>
        <w:t>2201813000008184 del 7 de septiembre de 2019,</w:t>
      </w:r>
      <w:r w:rsidRPr="00035110">
        <w:rPr>
          <w:rFonts w:ascii="Century Gothic" w:eastAsia="Calibri" w:hAnsi="Century Gothic" w:cs="Arial"/>
          <w:lang w:val="es-ES_tradnl" w:eastAsia="es-ES_tradnl"/>
        </w:rPr>
        <w:t xml:space="preserve"> </w:t>
      </w:r>
      <w:r w:rsidRPr="00035110">
        <w:rPr>
          <w:rFonts w:ascii="Century Gothic" w:eastAsia="Calibri" w:hAnsi="Century Gothic" w:cs="Arial"/>
          <w:lang w:val="es-ES_tradnl"/>
        </w:rPr>
        <w:t>C-045 del 17 de marzo de 2020, C-162 del 16 de abril de 2020, C-214 del 21 de abril de 2020, C-258 del 17 de abril de 2020, C-364 del 4 de junio de 2020, C-413 del 30 de junio de 2020</w:t>
      </w:r>
      <w:r w:rsidRPr="00035110">
        <w:rPr>
          <w:rFonts w:ascii="Century Gothic" w:hAnsi="Century Gothic" w:cs="Arial"/>
          <w:lang w:val="es-ES_tradnl"/>
        </w:rPr>
        <w:t xml:space="preserve">, </w:t>
      </w:r>
      <w:r w:rsidRPr="00035110">
        <w:rPr>
          <w:rFonts w:ascii="Century Gothic" w:eastAsia="Calibri" w:hAnsi="Century Gothic" w:cs="Arial"/>
          <w:lang w:val="es-ES_tradnl"/>
        </w:rPr>
        <w:t xml:space="preserve">C-492 del 24 de julio de 2020, C-523 del 11 de agosto de 2020, C-610 del 14 de septiembre de 2020, C-700 de 1 de diciembre de 2020, C-705 del 7 de diciembre de 2020, </w:t>
      </w:r>
      <w:r w:rsidRPr="00035110">
        <w:rPr>
          <w:rFonts w:ascii="Century Gothic" w:eastAsia="Calibri" w:hAnsi="Century Gothic" w:cs="Arial"/>
          <w:lang w:val="es-ES_tradnl" w:eastAsia="es-ES_tradnl"/>
        </w:rPr>
        <w:t>C-005 del 16 de febrero de 2021, C-037 del 26 de febrero de 2021, C-035 del 02 de marzo de 2021, C-126 del 06 de abril de 2021, C-127 del 06 de abril de 2021, C-144 del 07 de abril de 2021, C-141 del 08 de abril de 2021, C-163 y C-164 del 19 de abril de 2021, C-242 del 25 de mayo de 2021, C-438 del 27 de septiembre de 2021, C-496 del 14 de septiembre de 2021, C-573 de 13 de octubre de 2021, C-001 del 17 de febrero de 2022, C-041 del 2 de marzo de 2022, C-293 del 12 de mayo de 2022, C-340 del 26 de mayo de 2022, C-395 del 17 de junio de 2022, C-539 del 29 de agosto de 2022, C-089 del 28 de abril de 2023, C-159 del 22 de junio de 2023, C-206 del 20 de junio de 2023 y C-207 del 20 de junio de 2023, se pronunció sobre las convocatorias limitadas</w:t>
      </w:r>
      <w:r w:rsidRPr="00035110">
        <w:rPr>
          <w:rStyle w:val="Refdenotaalpie"/>
          <w:rFonts w:ascii="Century Gothic" w:eastAsia="Calibri" w:hAnsi="Century Gothic" w:cs="Arial"/>
        </w:rPr>
        <w:footnoteReference w:id="3"/>
      </w:r>
      <w:r w:rsidRPr="00035110">
        <w:rPr>
          <w:rStyle w:val="normaltextrun"/>
          <w:rFonts w:ascii="Century Gothic" w:hAnsi="Century Gothic" w:cs="Arial"/>
          <w:color w:val="000000"/>
          <w:shd w:val="clear" w:color="auto" w:fill="FFFFFF"/>
        </w:rPr>
        <w:t xml:space="preserve">. </w:t>
      </w:r>
      <w:r w:rsidRPr="00035110">
        <w:rPr>
          <w:rFonts w:ascii="Century Gothic" w:eastAsia="Calibri" w:hAnsi="Century Gothic" w:cs="Arial"/>
          <w:color w:val="000000" w:themeColor="text1"/>
          <w:lang w:val="es-ES_tradnl"/>
        </w:rPr>
        <w:t xml:space="preserve">La tesis propuesta en estos conceptos se reitera a continuación y se complementa en lo pertinente. </w:t>
      </w:r>
    </w:p>
    <w:p w14:paraId="57EF47C5" w14:textId="77777777" w:rsidR="008A30D4" w:rsidRPr="00035110" w:rsidRDefault="008A30D4" w:rsidP="008A30D4">
      <w:pPr>
        <w:spacing w:after="0" w:line="276" w:lineRule="auto"/>
        <w:contextualSpacing/>
        <w:jc w:val="both"/>
        <w:rPr>
          <w:rFonts w:ascii="Century Gothic" w:eastAsia="Times New Roman" w:hAnsi="Century Gothic" w:cs="Arial"/>
          <w:b/>
          <w:szCs w:val="24"/>
          <w:lang w:eastAsia="es-ES_tradnl"/>
        </w:rPr>
      </w:pPr>
    </w:p>
    <w:p w14:paraId="11A1289C" w14:textId="77777777" w:rsidR="008A30D4" w:rsidRPr="00035110" w:rsidRDefault="008A30D4" w:rsidP="008A30D4">
      <w:pPr>
        <w:spacing w:after="0" w:line="276" w:lineRule="auto"/>
        <w:jc w:val="both"/>
        <w:rPr>
          <w:rFonts w:ascii="Century Gothic" w:eastAsia="Calibri" w:hAnsi="Century Gothic" w:cs="Arial"/>
          <w:b/>
          <w:bCs/>
          <w:color w:val="000000" w:themeColor="text1"/>
        </w:rPr>
      </w:pPr>
      <w:bookmarkStart w:id="10" w:name="_Hlk75784645"/>
      <w:r w:rsidRPr="00035110">
        <w:rPr>
          <w:rFonts w:ascii="Century Gothic" w:eastAsia="Calibri" w:hAnsi="Century Gothic" w:cs="Arial"/>
          <w:b/>
          <w:bCs/>
          <w:lang w:val="es-ES_tradnl"/>
        </w:rPr>
        <w:t xml:space="preserve">2.1. </w:t>
      </w:r>
      <w:r w:rsidRPr="002E71C7">
        <w:rPr>
          <w:rFonts w:ascii="Century Gothic" w:eastAsia="Calibri" w:hAnsi="Century Gothic" w:cs="Arial"/>
          <w:b/>
          <w:bCs/>
          <w:color w:val="000000" w:themeColor="text1"/>
        </w:rPr>
        <w:t>Naturaleza de los consorcios y uniones temporales</w:t>
      </w:r>
    </w:p>
    <w:p w14:paraId="6E9FAC8E" w14:textId="77777777" w:rsidR="008A30D4" w:rsidRPr="00035110" w:rsidRDefault="008A30D4" w:rsidP="008A30D4">
      <w:pPr>
        <w:spacing w:after="0" w:line="276" w:lineRule="auto"/>
        <w:jc w:val="both"/>
        <w:rPr>
          <w:rFonts w:ascii="Century Gothic" w:eastAsia="Calibri" w:hAnsi="Century Gothic" w:cs="Arial"/>
          <w:b/>
          <w:bCs/>
          <w:color w:val="000000" w:themeColor="text1"/>
        </w:rPr>
      </w:pPr>
    </w:p>
    <w:p w14:paraId="7EABB327" w14:textId="77777777" w:rsidR="008A30D4" w:rsidRPr="00F44270" w:rsidRDefault="008A30D4" w:rsidP="008A30D4">
      <w:pPr>
        <w:spacing w:after="120" w:line="276" w:lineRule="auto"/>
        <w:jc w:val="both"/>
        <w:rPr>
          <w:rFonts w:ascii="Century Gothic" w:eastAsia="Calibri" w:hAnsi="Century Gothic" w:cs="Arial"/>
        </w:rPr>
      </w:pPr>
      <w:bookmarkStart w:id="11" w:name="_Hlk41238857"/>
      <w:r w:rsidRPr="00F44270">
        <w:rPr>
          <w:rFonts w:ascii="Century Gothic" w:hAnsi="Century Gothic" w:cs="Arial"/>
        </w:rPr>
        <w:t xml:space="preserve">La capacidad jurídica es uno de los presupuestos del contrato estatal, pues se entiende como la aptitud de un sujeto para ser titular de derechos y obligaciones, de ejercer o exigir los primeros y contraer las segundas en forma personal, sumada la posibilidad de comparecer en juicio. La capacidad jurídica permite crear, modificar o extinguir relaciones jurídicas de forma voluntaria </w:t>
      </w:r>
      <w:r w:rsidRPr="00F44270">
        <w:rPr>
          <w:rFonts w:ascii="Century Gothic" w:eastAsia="Calibri" w:hAnsi="Century Gothic" w:cs="Arial"/>
        </w:rPr>
        <w:t>y autónoma.</w:t>
      </w:r>
    </w:p>
    <w:p w14:paraId="1C04CAD8" w14:textId="77777777" w:rsidR="008A30D4" w:rsidRPr="00F44270" w:rsidRDefault="008A30D4" w:rsidP="008A30D4">
      <w:pPr>
        <w:spacing w:after="120" w:line="276" w:lineRule="auto"/>
        <w:ind w:firstLine="709"/>
        <w:jc w:val="both"/>
        <w:rPr>
          <w:rFonts w:ascii="Century Gothic" w:hAnsi="Century Gothic"/>
        </w:rPr>
      </w:pPr>
      <w:r w:rsidRPr="00F44270">
        <w:rPr>
          <w:rFonts w:ascii="Century Gothic" w:eastAsia="Calibri" w:hAnsi="Century Gothic" w:cs="Arial"/>
        </w:rPr>
        <w:lastRenderedPageBreak/>
        <w:t>D</w:t>
      </w:r>
      <w:r w:rsidRPr="00F44270">
        <w:rPr>
          <w:rFonts w:ascii="Century Gothic" w:hAnsi="Century Gothic" w:cs="Arial"/>
        </w:rPr>
        <w:t xml:space="preserve">e acuerdo con el Código Civil, la capacidad se refiere a la facultad que la ley le confiere a la persona para ejercer derechos y contraer obligaciones, partiendo del supuesto de que todas las personas naturales mayores de edad son capaces, con excepción de aquellas que la ley expresamente excluye de esta presunción –artículos 1502, 1503 y 1504 </w:t>
      </w:r>
      <w:r w:rsidRPr="00F44270">
        <w:rPr>
          <w:rFonts w:ascii="Century Gothic" w:hAnsi="Century Gothic" w:cs="Arial"/>
          <w:i/>
          <w:iCs/>
        </w:rPr>
        <w:t>ibidem</w:t>
      </w:r>
      <w:r w:rsidRPr="00F44270">
        <w:rPr>
          <w:rFonts w:ascii="Century Gothic" w:hAnsi="Century Gothic" w:cs="Arial"/>
        </w:rPr>
        <w:t>–, y de que la capacidad de las personas jurídicas se circunscribe a su objeto social –artículo 99 del Código de Comercio–.</w:t>
      </w:r>
      <w:r w:rsidRPr="00F44270">
        <w:rPr>
          <w:rFonts w:ascii="Century Gothic" w:hAnsi="Century Gothic"/>
        </w:rPr>
        <w:t xml:space="preserve"> </w:t>
      </w:r>
      <w:r w:rsidRPr="00F44270">
        <w:rPr>
          <w:rFonts w:ascii="Century Gothic" w:hAnsi="Century Gothic" w:cs="Arial"/>
        </w:rPr>
        <w:t>Al respecto, el artículo 6 de la Ley 80 de 1993 –modificado por</w:t>
      </w:r>
      <w:r w:rsidRPr="00F44270">
        <w:rPr>
          <w:rFonts w:ascii="Century Gothic" w:hAnsi="Century Gothic"/>
        </w:rPr>
        <w:t xml:space="preserve"> </w:t>
      </w:r>
      <w:r w:rsidRPr="00F44270">
        <w:rPr>
          <w:rFonts w:ascii="Century Gothic" w:hAnsi="Century Gothic" w:cs="Arial"/>
        </w:rPr>
        <w:t>el art. 1 de la Ley 2160 de 2021– dispone que: “Pueden celebrar contratos con las entidades estatales las personas consideradas legalmente capaces en las disposiciones vigentes. También podrán celebrar contratos con las entidades estatales […] los consorcios y uniones temporales”.</w:t>
      </w:r>
    </w:p>
    <w:p w14:paraId="7EE674B1" w14:textId="77777777" w:rsidR="008A30D4" w:rsidRPr="00F44270" w:rsidRDefault="008A30D4" w:rsidP="008A30D4">
      <w:pPr>
        <w:spacing w:after="0" w:line="276" w:lineRule="auto"/>
        <w:ind w:firstLine="709"/>
        <w:jc w:val="both"/>
        <w:rPr>
          <w:rFonts w:ascii="Century Gothic" w:hAnsi="Century Gothic" w:cs="Arial"/>
        </w:rPr>
      </w:pPr>
      <w:r w:rsidRPr="00F44270">
        <w:rPr>
          <w:rFonts w:ascii="Century Gothic" w:hAnsi="Century Gothic" w:cs="Arial"/>
        </w:rPr>
        <w:t>En consecuencia, pueden celebrar contratos estatales las personas naturales mayores de edad, las personas jurídicas que tengan dentro de su objeto</w:t>
      </w:r>
      <w:r w:rsidRPr="00F44270">
        <w:rPr>
          <w:rFonts w:ascii="Century Gothic" w:hAnsi="Century Gothic" w:cs="Arial"/>
          <w:spacing w:val="43"/>
        </w:rPr>
        <w:t xml:space="preserve"> </w:t>
      </w:r>
      <w:r w:rsidRPr="00F44270">
        <w:rPr>
          <w:rFonts w:ascii="Century Gothic" w:hAnsi="Century Gothic" w:cs="Arial"/>
        </w:rPr>
        <w:t>social</w:t>
      </w:r>
      <w:r w:rsidRPr="00F44270">
        <w:rPr>
          <w:rFonts w:ascii="Century Gothic" w:hAnsi="Century Gothic" w:cs="Arial"/>
          <w:spacing w:val="44"/>
        </w:rPr>
        <w:t xml:space="preserve"> </w:t>
      </w:r>
      <w:r w:rsidRPr="00F44270">
        <w:rPr>
          <w:rFonts w:ascii="Century Gothic" w:hAnsi="Century Gothic" w:cs="Arial"/>
        </w:rPr>
        <w:t>actividades</w:t>
      </w:r>
      <w:r w:rsidRPr="00F44270">
        <w:rPr>
          <w:rFonts w:ascii="Century Gothic" w:hAnsi="Century Gothic" w:cs="Arial"/>
          <w:spacing w:val="44"/>
        </w:rPr>
        <w:t xml:space="preserve"> </w:t>
      </w:r>
      <w:r w:rsidRPr="00F44270">
        <w:rPr>
          <w:rFonts w:ascii="Century Gothic" w:hAnsi="Century Gothic" w:cs="Arial"/>
        </w:rPr>
        <w:t>relacionadas</w:t>
      </w:r>
      <w:r w:rsidRPr="00F44270">
        <w:rPr>
          <w:rFonts w:ascii="Century Gothic" w:hAnsi="Century Gothic" w:cs="Arial"/>
          <w:spacing w:val="44"/>
        </w:rPr>
        <w:t xml:space="preserve"> </w:t>
      </w:r>
      <w:r w:rsidRPr="00F44270">
        <w:rPr>
          <w:rFonts w:ascii="Century Gothic" w:hAnsi="Century Gothic" w:cs="Arial"/>
        </w:rPr>
        <w:t>con</w:t>
      </w:r>
      <w:r w:rsidRPr="00F44270">
        <w:rPr>
          <w:rFonts w:ascii="Century Gothic" w:hAnsi="Century Gothic" w:cs="Arial"/>
          <w:spacing w:val="43"/>
        </w:rPr>
        <w:t xml:space="preserve"> </w:t>
      </w:r>
      <w:r w:rsidRPr="00F44270">
        <w:rPr>
          <w:rFonts w:ascii="Century Gothic" w:hAnsi="Century Gothic" w:cs="Arial"/>
        </w:rPr>
        <w:t>el</w:t>
      </w:r>
      <w:r w:rsidRPr="00F44270">
        <w:rPr>
          <w:rFonts w:ascii="Century Gothic" w:hAnsi="Century Gothic" w:cs="Arial"/>
          <w:spacing w:val="45"/>
        </w:rPr>
        <w:t xml:space="preserve"> </w:t>
      </w:r>
      <w:r w:rsidRPr="00F44270">
        <w:rPr>
          <w:rFonts w:ascii="Century Gothic" w:hAnsi="Century Gothic" w:cs="Arial"/>
        </w:rPr>
        <w:t>objeto</w:t>
      </w:r>
      <w:r w:rsidRPr="00F44270">
        <w:rPr>
          <w:rFonts w:ascii="Century Gothic" w:hAnsi="Century Gothic" w:cs="Arial"/>
          <w:spacing w:val="43"/>
        </w:rPr>
        <w:t xml:space="preserve"> </w:t>
      </w:r>
      <w:r w:rsidRPr="00F44270">
        <w:rPr>
          <w:rFonts w:ascii="Century Gothic" w:hAnsi="Century Gothic" w:cs="Arial"/>
        </w:rPr>
        <w:t>a</w:t>
      </w:r>
      <w:r w:rsidRPr="00F44270">
        <w:rPr>
          <w:rFonts w:ascii="Century Gothic" w:hAnsi="Century Gothic" w:cs="Arial"/>
          <w:spacing w:val="44"/>
        </w:rPr>
        <w:t xml:space="preserve"> </w:t>
      </w:r>
      <w:r w:rsidRPr="00F44270">
        <w:rPr>
          <w:rFonts w:ascii="Century Gothic" w:hAnsi="Century Gothic" w:cs="Arial"/>
        </w:rPr>
        <w:t>contratar</w:t>
      </w:r>
      <w:r w:rsidRPr="00F44270">
        <w:rPr>
          <w:rFonts w:ascii="Century Gothic" w:hAnsi="Century Gothic" w:cs="Arial"/>
          <w:spacing w:val="47"/>
        </w:rPr>
        <w:t xml:space="preserve"> </w:t>
      </w:r>
      <w:r w:rsidRPr="00F44270">
        <w:rPr>
          <w:rFonts w:ascii="Century Gothic" w:hAnsi="Century Gothic" w:cs="Arial"/>
        </w:rPr>
        <w:t>y,</w:t>
      </w:r>
      <w:r w:rsidRPr="00F44270">
        <w:rPr>
          <w:rFonts w:ascii="Century Gothic" w:hAnsi="Century Gothic" w:cs="Arial"/>
          <w:spacing w:val="44"/>
        </w:rPr>
        <w:t xml:space="preserve"> </w:t>
      </w:r>
      <w:r w:rsidRPr="00F44270">
        <w:rPr>
          <w:rFonts w:ascii="Century Gothic" w:hAnsi="Century Gothic" w:cs="Arial"/>
        </w:rPr>
        <w:t>en</w:t>
      </w:r>
      <w:r w:rsidRPr="00F44270">
        <w:rPr>
          <w:rFonts w:ascii="Century Gothic" w:hAnsi="Century Gothic" w:cs="Arial"/>
          <w:spacing w:val="46"/>
        </w:rPr>
        <w:t xml:space="preserve"> </w:t>
      </w:r>
      <w:r w:rsidRPr="00F44270">
        <w:rPr>
          <w:rFonts w:ascii="Century Gothic" w:hAnsi="Century Gothic" w:cs="Arial"/>
        </w:rPr>
        <w:t>virtud</w:t>
      </w:r>
      <w:r w:rsidRPr="00F44270">
        <w:rPr>
          <w:rFonts w:ascii="Century Gothic" w:hAnsi="Century Gothic" w:cs="Arial"/>
          <w:spacing w:val="43"/>
        </w:rPr>
        <w:t xml:space="preserve"> </w:t>
      </w:r>
      <w:r w:rsidRPr="00F44270">
        <w:rPr>
          <w:rFonts w:ascii="Century Gothic" w:hAnsi="Century Gothic" w:cs="Arial"/>
        </w:rPr>
        <w:t>de</w:t>
      </w:r>
      <w:r w:rsidRPr="00F44270">
        <w:rPr>
          <w:rFonts w:ascii="Century Gothic" w:hAnsi="Century Gothic" w:cs="Arial"/>
          <w:spacing w:val="44"/>
        </w:rPr>
        <w:t xml:space="preserve"> </w:t>
      </w:r>
      <w:r w:rsidRPr="00F44270">
        <w:rPr>
          <w:rFonts w:ascii="Century Gothic" w:hAnsi="Century Gothic" w:cs="Arial"/>
        </w:rPr>
        <w:t>la</w:t>
      </w:r>
      <w:r w:rsidRPr="00F44270">
        <w:rPr>
          <w:rFonts w:ascii="Century Gothic" w:hAnsi="Century Gothic" w:cs="Arial"/>
          <w:spacing w:val="43"/>
        </w:rPr>
        <w:t xml:space="preserve"> </w:t>
      </w:r>
      <w:r w:rsidRPr="00F44270">
        <w:rPr>
          <w:rFonts w:ascii="Century Gothic" w:hAnsi="Century Gothic" w:cs="Arial"/>
        </w:rPr>
        <w:t>ley, también pueden hacerlo los consorcios y las uniones temporales. Si bien no son personas jurídicas, el artículo 7 de la Ley 80 de 1993 define estos sujetos para la presentación de ofertas por un número plural de interesados. En lo pertinente, con las modificaciones del art. 3 de la Ley 2160 de 2021, la norma dispone lo siguiente:</w:t>
      </w:r>
    </w:p>
    <w:p w14:paraId="6A179B4A" w14:textId="77777777" w:rsidR="008A30D4" w:rsidRPr="00F44270" w:rsidRDefault="008A30D4" w:rsidP="008A30D4">
      <w:pPr>
        <w:pStyle w:val="Textoindependiente"/>
        <w:rPr>
          <w:rFonts w:ascii="Century Gothic" w:hAnsi="Century Gothic"/>
          <w:lang w:val="es-CO"/>
        </w:rPr>
      </w:pPr>
    </w:p>
    <w:p w14:paraId="26AD62CA" w14:textId="77777777" w:rsidR="008A30D4" w:rsidRPr="00F44270" w:rsidRDefault="008A30D4" w:rsidP="008A30D4">
      <w:pPr>
        <w:pStyle w:val="Textoindependiente"/>
        <w:ind w:left="709" w:right="709"/>
        <w:jc w:val="both"/>
        <w:rPr>
          <w:rFonts w:ascii="Century Gothic" w:hAnsi="Century Gothic"/>
          <w:sz w:val="21"/>
          <w:szCs w:val="21"/>
          <w:lang w:val="es-CO"/>
        </w:rPr>
      </w:pPr>
      <w:r w:rsidRPr="00F44270">
        <w:rPr>
          <w:rFonts w:ascii="Century Gothic" w:hAnsi="Century Gothic"/>
          <w:sz w:val="21"/>
          <w:szCs w:val="21"/>
          <w:lang w:val="es-CO"/>
        </w:rPr>
        <w:t>“Para los efectos de esta ley se entiende por:</w:t>
      </w:r>
    </w:p>
    <w:p w14:paraId="64B3B15A" w14:textId="77777777" w:rsidR="008A30D4" w:rsidRPr="00F44270" w:rsidRDefault="008A30D4" w:rsidP="008A30D4">
      <w:pPr>
        <w:pStyle w:val="Textoindependiente"/>
        <w:spacing w:after="120"/>
        <w:ind w:left="709" w:right="709"/>
        <w:jc w:val="both"/>
        <w:rPr>
          <w:rFonts w:ascii="Century Gothic" w:hAnsi="Century Gothic"/>
          <w:sz w:val="21"/>
          <w:szCs w:val="21"/>
          <w:lang w:val="es-CO"/>
        </w:rPr>
      </w:pPr>
      <w:r w:rsidRPr="00F44270">
        <w:rPr>
          <w:rFonts w:ascii="Century Gothic" w:hAnsi="Century Gothic"/>
          <w:sz w:val="21"/>
          <w:szCs w:val="21"/>
          <w:lang w:val="es-CO"/>
        </w:rPr>
        <w:t>[…]</w:t>
      </w:r>
    </w:p>
    <w:p w14:paraId="5CA7BEF5" w14:textId="77777777" w:rsidR="008A30D4" w:rsidRPr="00F44270" w:rsidRDefault="008A30D4" w:rsidP="008A30D4">
      <w:pPr>
        <w:pStyle w:val="Textoindependiente"/>
        <w:spacing w:after="120"/>
        <w:ind w:left="709" w:right="709"/>
        <w:jc w:val="both"/>
        <w:rPr>
          <w:rFonts w:ascii="Century Gothic" w:hAnsi="Century Gothic"/>
          <w:sz w:val="21"/>
          <w:szCs w:val="21"/>
          <w:lang w:val="es-CO"/>
        </w:rPr>
      </w:pPr>
      <w:r w:rsidRPr="00F44270">
        <w:rPr>
          <w:rFonts w:ascii="Century Gothic" w:hAnsi="Century Gothic"/>
          <w:sz w:val="21"/>
          <w:szCs w:val="21"/>
          <w:lang w:val="es-CO"/>
        </w:rPr>
        <w:t>6. Consorcio: Cuando dos o más personas en forma conjunta presentan una misma propuesta para la adjudicación, celebración y ejecución de un contrato, respondiendo solidariamente de todas y cada una de las obligaciones derivadas de la propuesta y del contrato. En consecuencia, las actuaciones, hechos y omisiones que se presenten en desarrollo de la propuesta y del contrato, afectarán a todos los miembros que lo conforman.</w:t>
      </w:r>
    </w:p>
    <w:p w14:paraId="2A55A11C" w14:textId="77777777" w:rsidR="008A30D4" w:rsidRPr="00F44270" w:rsidRDefault="008A30D4" w:rsidP="008A30D4">
      <w:pPr>
        <w:pStyle w:val="Textoindependiente"/>
        <w:spacing w:after="120"/>
        <w:ind w:left="709" w:right="709"/>
        <w:jc w:val="both"/>
        <w:rPr>
          <w:rFonts w:ascii="Century Gothic" w:hAnsi="Century Gothic"/>
          <w:sz w:val="21"/>
          <w:szCs w:val="21"/>
          <w:lang w:val="es-CO"/>
        </w:rPr>
      </w:pPr>
      <w:r w:rsidRPr="00F44270">
        <w:rPr>
          <w:rFonts w:ascii="Century Gothic" w:hAnsi="Century Gothic"/>
          <w:sz w:val="21"/>
          <w:szCs w:val="21"/>
          <w:lang w:val="es-CO"/>
        </w:rPr>
        <w:t>7. Unión Temporal: Cuando dos o más personas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w:t>
      </w:r>
    </w:p>
    <w:p w14:paraId="32127C6D" w14:textId="77777777" w:rsidR="008A30D4" w:rsidRPr="00F44270" w:rsidRDefault="008A30D4" w:rsidP="008A30D4">
      <w:pPr>
        <w:pStyle w:val="Textoindependiente"/>
        <w:ind w:left="709" w:right="709"/>
        <w:jc w:val="both"/>
        <w:rPr>
          <w:rFonts w:ascii="Century Gothic" w:hAnsi="Century Gothic"/>
          <w:sz w:val="21"/>
          <w:szCs w:val="21"/>
          <w:lang w:val="es-CO"/>
        </w:rPr>
      </w:pPr>
      <w:r w:rsidRPr="00F44270">
        <w:rPr>
          <w:rFonts w:ascii="Century Gothic" w:hAnsi="Century Gothic"/>
          <w:sz w:val="21"/>
          <w:szCs w:val="21"/>
          <w:lang w:val="es-CO"/>
        </w:rPr>
        <w:t>[…]”.</w:t>
      </w:r>
    </w:p>
    <w:p w14:paraId="0A3C1F7E" w14:textId="77777777" w:rsidR="008A30D4" w:rsidRPr="00F44270" w:rsidRDefault="008A30D4" w:rsidP="008A30D4">
      <w:pPr>
        <w:pStyle w:val="Textoindependiente"/>
        <w:spacing w:line="276" w:lineRule="auto"/>
        <w:ind w:left="709" w:right="736"/>
        <w:jc w:val="both"/>
        <w:rPr>
          <w:rFonts w:ascii="Century Gothic" w:hAnsi="Century Gothic"/>
          <w:lang w:val="es-CO"/>
        </w:rPr>
      </w:pPr>
    </w:p>
    <w:p w14:paraId="3F90D999" w14:textId="77777777" w:rsidR="008A30D4" w:rsidRPr="00F44270" w:rsidRDefault="008A30D4" w:rsidP="008A30D4">
      <w:pPr>
        <w:pStyle w:val="Textoindependiente"/>
        <w:spacing w:after="120" w:line="276" w:lineRule="auto"/>
        <w:ind w:right="306" w:firstLine="709"/>
        <w:jc w:val="both"/>
        <w:rPr>
          <w:rFonts w:ascii="Century Gothic" w:hAnsi="Century Gothic"/>
          <w:sz w:val="21"/>
          <w:szCs w:val="21"/>
          <w:lang w:val="es-CO"/>
        </w:rPr>
      </w:pPr>
      <w:r w:rsidRPr="00F44270">
        <w:rPr>
          <w:rFonts w:ascii="Century Gothic" w:hAnsi="Century Gothic"/>
          <w:lang w:val="es-CO"/>
        </w:rPr>
        <w:t xml:space="preserve">Los consorcios o uniones temporales son convenios de asociación </w:t>
      </w:r>
      <w:r w:rsidRPr="00F44270">
        <w:rPr>
          <w:rFonts w:ascii="Century Gothic" w:hAnsi="Century Gothic"/>
          <w:lang w:val="es-CO"/>
        </w:rPr>
        <w:lastRenderedPageBreak/>
        <w:t>provenientes de la colaboración empresarial, mediante los cuales sus integrantes se unen y se organizan mancomunadamente para lograr con mayor eficacia un fin común de contenido patrimonial y lucrativo, como lo es la obtención del derecho a ser adjudicatarios de un contrato estatal, compartiendo recursos, de toda índole, para su ejecución, así como las utilidades y los riesgos</w:t>
      </w:r>
      <w:r w:rsidRPr="00F44270">
        <w:rPr>
          <w:rStyle w:val="Refdenotaalpie"/>
          <w:rFonts w:ascii="Century Gothic" w:hAnsi="Century Gothic"/>
          <w:lang w:val="es-CO"/>
        </w:rPr>
        <w:footnoteReference w:id="4"/>
      </w:r>
      <w:r w:rsidRPr="00F44270">
        <w:rPr>
          <w:rFonts w:ascii="Century Gothic" w:hAnsi="Century Gothic"/>
          <w:lang w:val="es-CO"/>
        </w:rPr>
        <w:t>. La diferencia radica en la responsabilidad frente a las eventuales sanciones por el incumplimiento de las obligaciones, toda vez que tratándose de una unión temporal, estas se individualizan según la participación de sus miembros, mientras que en el consorcio los miembros responden solidariamente, con independencia de este aspecto</w:t>
      </w:r>
      <w:r w:rsidRPr="00F44270">
        <w:rPr>
          <w:rStyle w:val="Refdenotaalpie"/>
          <w:rFonts w:ascii="Century Gothic" w:hAnsi="Century Gothic"/>
          <w:lang w:val="es-CO"/>
        </w:rPr>
        <w:footnoteReference w:id="5"/>
      </w:r>
      <w:r w:rsidRPr="00F44270">
        <w:rPr>
          <w:rFonts w:ascii="Century Gothic" w:hAnsi="Century Gothic"/>
          <w:lang w:val="es-CO"/>
        </w:rPr>
        <w:t xml:space="preserve">. </w:t>
      </w:r>
    </w:p>
    <w:p w14:paraId="32F89E98" w14:textId="77777777" w:rsidR="008A30D4" w:rsidRPr="00F44270" w:rsidRDefault="008A30D4" w:rsidP="008A30D4">
      <w:pPr>
        <w:spacing w:after="120" w:line="276" w:lineRule="auto"/>
        <w:ind w:firstLine="709"/>
        <w:jc w:val="both"/>
        <w:rPr>
          <w:rFonts w:ascii="Century Gothic" w:hAnsi="Century Gothic" w:cs="Arial"/>
        </w:rPr>
      </w:pPr>
      <w:r w:rsidRPr="00F44270">
        <w:rPr>
          <w:rFonts w:ascii="Century Gothic" w:hAnsi="Century Gothic" w:cs="Arial"/>
        </w:rPr>
        <w:t xml:space="preserve">En la medida en que los consorcios y las uniones temporales no son personas jurídicas, su creación depende de un acuerdo privado en el que concurre la voluntad de sus integrantes para regular su objeto, la participación de los miembros, las obligaciones frente al proyecto, la responsabilidad de los miembros, la forma en que regirán sus relaciones internas y el relacionamiento con la entidad contratante, mediante la designación de un representante, conforme el parágrafo 1 del artículo 7 de la Ley 80 de 1993. Por lo anterior, la constitución del consorcio o unión temporal supone la asignación de facultades al </w:t>
      </w:r>
      <w:r w:rsidRPr="00F44270">
        <w:rPr>
          <w:rFonts w:ascii="Century Gothic" w:hAnsi="Century Gothic" w:cs="Arial"/>
          <w:shd w:val="clear" w:color="auto" w:fill="FFFFFF"/>
        </w:rPr>
        <w:t>“</w:t>
      </w:r>
      <w:r w:rsidRPr="00F44270">
        <w:rPr>
          <w:rFonts w:ascii="Century Gothic" w:hAnsi="Century Gothic" w:cs="Arial"/>
        </w:rPr>
        <w:t>representante</w:t>
      </w:r>
      <w:r w:rsidRPr="00F44270">
        <w:rPr>
          <w:rFonts w:ascii="Century Gothic" w:hAnsi="Century Gothic" w:cs="Arial"/>
          <w:shd w:val="clear" w:color="auto" w:fill="FFFFFF"/>
        </w:rPr>
        <w:t>”</w:t>
      </w:r>
      <w:r w:rsidRPr="00F44270">
        <w:rPr>
          <w:rFonts w:ascii="Century Gothic" w:hAnsi="Century Gothic" w:cs="Arial"/>
        </w:rPr>
        <w:t xml:space="preserve"> del proponente plural, pues –para efectos del artículo 1505 del Código Civil– </w:t>
      </w:r>
      <w:r w:rsidRPr="00F44270">
        <w:rPr>
          <w:rFonts w:ascii="Century Gothic" w:hAnsi="Century Gothic" w:cs="Arial"/>
          <w:shd w:val="clear" w:color="auto" w:fill="FFFFFF"/>
        </w:rPr>
        <w:t>“</w:t>
      </w:r>
      <w:r w:rsidRPr="00F44270">
        <w:rPr>
          <w:rFonts w:ascii="Century Gothic" w:hAnsi="Century Gothic" w:cs="Arial"/>
        </w:rPr>
        <w:t xml:space="preserve">Lo que una persona ejecuta a nombre de otra, estando facultada por ella o por la ley para </w:t>
      </w:r>
      <w:r w:rsidRPr="00F44270">
        <w:rPr>
          <w:rFonts w:ascii="Century Gothic" w:hAnsi="Century Gothic" w:cs="Arial"/>
        </w:rPr>
        <w:lastRenderedPageBreak/>
        <w:t>representarla, produce respecto del representado iguales efectos que si hubiese contratado él</w:t>
      </w:r>
      <w:r w:rsidRPr="00F44270">
        <w:rPr>
          <w:rFonts w:ascii="Century Gothic" w:hAnsi="Century Gothic" w:cs="Arial"/>
          <w:spacing w:val="-3"/>
        </w:rPr>
        <w:t xml:space="preserve"> </w:t>
      </w:r>
      <w:r w:rsidRPr="00F44270">
        <w:rPr>
          <w:rFonts w:ascii="Century Gothic" w:hAnsi="Century Gothic" w:cs="Arial"/>
        </w:rPr>
        <w:t>mismo”.</w:t>
      </w:r>
    </w:p>
    <w:p w14:paraId="06E90929" w14:textId="77777777" w:rsidR="008A30D4" w:rsidRPr="00F44270" w:rsidRDefault="008A30D4" w:rsidP="008A30D4">
      <w:pPr>
        <w:spacing w:after="0" w:line="276" w:lineRule="auto"/>
        <w:ind w:firstLine="709"/>
        <w:jc w:val="both"/>
        <w:rPr>
          <w:rFonts w:ascii="Century Gothic" w:eastAsia="Calibri" w:hAnsi="Century Gothic" w:cs="Arial"/>
          <w:b/>
          <w:bCs/>
          <w:color w:val="000000" w:themeColor="text1"/>
        </w:rPr>
      </w:pPr>
      <w:r w:rsidRPr="00F44270">
        <w:rPr>
          <w:rFonts w:ascii="Century Gothic" w:hAnsi="Century Gothic" w:cs="Arial"/>
        </w:rPr>
        <w:t>En el derecho privado, el acuerdo de voluntades que constituye el consorcio o unión temporal es un contrato principal, oneroso, conmutativo, bilateral o plurilateral</w:t>
      </w:r>
      <w:r w:rsidRPr="00F44270">
        <w:rPr>
          <w:rStyle w:val="Refdenotaalpie"/>
          <w:rFonts w:ascii="Century Gothic" w:hAnsi="Century Gothic" w:cs="Arial"/>
        </w:rPr>
        <w:footnoteReference w:id="6"/>
      </w:r>
      <w:r w:rsidRPr="00F44270">
        <w:rPr>
          <w:rFonts w:ascii="Century Gothic" w:hAnsi="Century Gothic" w:cs="Arial"/>
        </w:rPr>
        <w:t>. En el derecho público, el ente debidamente constituido será un sujeto con capacidad para contratar, para ejecutar las obligaciones y ejercer los derechos que derivan del contrato, así como para interrelacionarse con la entidad estatal contratante en todo lo referente a la ejecución del objeto contractual. Inclusive, los consorcios y uniones temporales, a través de su representante, tienen capacidad y están legitimados para comparecer al proceso, en orden de proteger sus derechos o responder por el incumplimiento de sus</w:t>
      </w:r>
      <w:r w:rsidRPr="00F44270">
        <w:rPr>
          <w:rFonts w:ascii="Century Gothic" w:hAnsi="Century Gothic" w:cs="Arial"/>
          <w:spacing w:val="-5"/>
        </w:rPr>
        <w:t xml:space="preserve"> </w:t>
      </w:r>
      <w:r w:rsidRPr="00F44270">
        <w:rPr>
          <w:rFonts w:ascii="Century Gothic" w:hAnsi="Century Gothic" w:cs="Arial"/>
        </w:rPr>
        <w:t>obligaciones</w:t>
      </w:r>
      <w:r w:rsidRPr="00F44270">
        <w:rPr>
          <w:rStyle w:val="Refdenotaalpie"/>
          <w:rFonts w:ascii="Century Gothic" w:hAnsi="Century Gothic" w:cs="Arial"/>
        </w:rPr>
        <w:footnoteReference w:id="7"/>
      </w:r>
      <w:r w:rsidRPr="00F44270">
        <w:rPr>
          <w:rFonts w:ascii="Century Gothic" w:hAnsi="Century Gothic" w:cs="Arial"/>
        </w:rPr>
        <w:t xml:space="preserve">. </w:t>
      </w:r>
      <w:r w:rsidRPr="00F44270">
        <w:rPr>
          <w:rFonts w:ascii="Century Gothic" w:hAnsi="Century Gothic"/>
        </w:rPr>
        <w:t>En conclusión, los consorcios y uniones temporales no son personas jurídicas, pero son entes creados por el acuerdo de voluntades de sus miembros que están facultados, en virtud de la ley, para celebrar y ejecutar contratos con entidades estatales y para ser parte en procesos administrativos y judiciales derivados de su celebración y ejecución</w:t>
      </w:r>
      <w:r w:rsidRPr="00F44270">
        <w:rPr>
          <w:rFonts w:ascii="Century Gothic" w:eastAsia="Calibri" w:hAnsi="Century Gothic" w:cs="Arial"/>
          <w:color w:val="000000" w:themeColor="text1"/>
        </w:rPr>
        <w:t xml:space="preserve">. </w:t>
      </w:r>
    </w:p>
    <w:p w14:paraId="35111880" w14:textId="77777777" w:rsidR="008A30D4" w:rsidRPr="00F44270" w:rsidRDefault="008A30D4" w:rsidP="008A30D4">
      <w:pPr>
        <w:spacing w:after="0" w:line="276" w:lineRule="auto"/>
        <w:ind w:firstLine="708"/>
        <w:jc w:val="both"/>
        <w:rPr>
          <w:rFonts w:ascii="Century Gothic" w:eastAsia="Calibri" w:hAnsi="Century Gothic" w:cs="Arial"/>
          <w:color w:val="000000" w:themeColor="text1"/>
        </w:rPr>
      </w:pPr>
      <w:r w:rsidRPr="00F44270">
        <w:rPr>
          <w:rFonts w:ascii="Century Gothic" w:eastAsia="Calibri" w:hAnsi="Century Gothic" w:cs="Arial"/>
          <w:color w:val="000000" w:themeColor="text1"/>
        </w:rPr>
        <w:t xml:space="preserve"> </w:t>
      </w:r>
      <w:bookmarkEnd w:id="11"/>
    </w:p>
    <w:p w14:paraId="6BE5BF96" w14:textId="77777777" w:rsidR="008A30D4" w:rsidRPr="00035110" w:rsidRDefault="008A30D4" w:rsidP="008A30D4">
      <w:pPr>
        <w:spacing w:after="0" w:line="276" w:lineRule="auto"/>
        <w:jc w:val="both"/>
        <w:rPr>
          <w:rFonts w:ascii="Century Gothic" w:eastAsia="Calibri" w:hAnsi="Century Gothic" w:cs="Arial"/>
          <w:b/>
          <w:bCs/>
          <w:color w:val="000000" w:themeColor="text1"/>
        </w:rPr>
      </w:pPr>
      <w:r w:rsidRPr="00035110">
        <w:rPr>
          <w:rFonts w:ascii="Century Gothic" w:eastAsia="Calibri" w:hAnsi="Century Gothic" w:cs="Arial"/>
          <w:b/>
          <w:bCs/>
          <w:color w:val="000000" w:themeColor="text1"/>
        </w:rPr>
        <w:t>2.2. Principio de igualdad y concurrencia como regla general en los procesos de selección: prohibición de trato discriminatorio entre nacionales y extranjeros</w:t>
      </w:r>
      <w:r>
        <w:rPr>
          <w:rFonts w:ascii="Century Gothic" w:eastAsia="Calibri" w:hAnsi="Century Gothic" w:cs="Arial"/>
          <w:b/>
          <w:bCs/>
          <w:color w:val="000000" w:themeColor="text1"/>
        </w:rPr>
        <w:t xml:space="preserve"> en los contratos sometidos a la Ley 80 de 1993. Especial referencia a </w:t>
      </w:r>
      <w:r w:rsidRPr="009A2ECA">
        <w:rPr>
          <w:rFonts w:ascii="Century Gothic" w:eastAsia="Calibri" w:hAnsi="Century Gothic" w:cs="Arial"/>
          <w:b/>
          <w:bCs/>
          <w:color w:val="000000" w:themeColor="text1"/>
        </w:rPr>
        <w:t>la actividad de las sociedades extranjeras en Colombia</w:t>
      </w:r>
      <w:r>
        <w:rPr>
          <w:rFonts w:ascii="Century Gothic" w:eastAsia="Calibri" w:hAnsi="Century Gothic" w:cs="Arial"/>
          <w:b/>
          <w:bCs/>
          <w:color w:val="000000" w:themeColor="text1"/>
        </w:rPr>
        <w:t xml:space="preserve"> </w:t>
      </w:r>
    </w:p>
    <w:p w14:paraId="67F3DC92" w14:textId="77777777" w:rsidR="008A30D4" w:rsidRPr="00035110" w:rsidRDefault="008A30D4" w:rsidP="008A30D4">
      <w:pPr>
        <w:spacing w:after="0" w:line="276" w:lineRule="auto"/>
        <w:jc w:val="both"/>
        <w:rPr>
          <w:rFonts w:ascii="Century Gothic" w:eastAsia="Calibri" w:hAnsi="Century Gothic" w:cs="Arial"/>
          <w:b/>
          <w:bCs/>
          <w:color w:val="000000" w:themeColor="text1"/>
        </w:rPr>
      </w:pPr>
    </w:p>
    <w:p w14:paraId="1161A947" w14:textId="77777777" w:rsidR="008A30D4" w:rsidRPr="00035110" w:rsidRDefault="008A30D4" w:rsidP="008A30D4">
      <w:pPr>
        <w:spacing w:after="0" w:line="276" w:lineRule="auto"/>
        <w:jc w:val="both"/>
        <w:rPr>
          <w:rFonts w:ascii="Century Gothic" w:eastAsia="Calibri" w:hAnsi="Century Gothic" w:cs="Arial"/>
          <w:color w:val="000000" w:themeColor="text1"/>
        </w:rPr>
      </w:pPr>
      <w:r w:rsidRPr="00035110">
        <w:rPr>
          <w:rFonts w:ascii="Century Gothic" w:eastAsia="Calibri" w:hAnsi="Century Gothic" w:cs="Arial"/>
          <w:color w:val="000000" w:themeColor="text1"/>
        </w:rPr>
        <w:t xml:space="preserve">Salvo las convocatorias limitadas a </w:t>
      </w:r>
      <w:proofErr w:type="spellStart"/>
      <w:r w:rsidRPr="00035110">
        <w:rPr>
          <w:rFonts w:ascii="Century Gothic" w:eastAsia="Calibri" w:hAnsi="Century Gothic" w:cs="Arial"/>
          <w:color w:val="000000" w:themeColor="text1"/>
        </w:rPr>
        <w:t>Mipymes</w:t>
      </w:r>
      <w:proofErr w:type="spellEnd"/>
      <w:r w:rsidRPr="00035110">
        <w:rPr>
          <w:rFonts w:ascii="Century Gothic" w:eastAsia="Calibri" w:hAnsi="Century Gothic" w:cs="Arial"/>
          <w:color w:val="000000" w:themeColor="text1"/>
        </w:rPr>
        <w:t xml:space="preserve"> nacionales o territoriales que se explicarán en el acápite siguiente, los principios de igualdad y concurrencia rigen en los procedimientos de selección competitivos de las entidades sometidas al Estatuto General de Contratación. </w:t>
      </w:r>
      <w:r>
        <w:rPr>
          <w:rFonts w:ascii="Century Gothic" w:eastAsia="Calibri" w:hAnsi="Century Gothic" w:cs="Arial"/>
          <w:color w:val="000000" w:themeColor="text1"/>
        </w:rPr>
        <w:t xml:space="preserve">Con las excepciones previstas en el </w:t>
      </w:r>
      <w:r>
        <w:rPr>
          <w:rFonts w:ascii="Century Gothic" w:eastAsia="Calibri" w:hAnsi="Century Gothic" w:cs="Arial"/>
          <w:color w:val="000000" w:themeColor="text1"/>
        </w:rPr>
        <w:lastRenderedPageBreak/>
        <w:t>ordenamiento jurídico, e</w:t>
      </w:r>
      <w:r w:rsidRPr="00035110">
        <w:rPr>
          <w:rFonts w:ascii="Century Gothic" w:eastAsia="Calibri" w:hAnsi="Century Gothic" w:cs="Arial"/>
          <w:color w:val="000000" w:themeColor="text1"/>
        </w:rPr>
        <w:t>sto significa que debe garantizarse la pluralidad de oferentes como condición necesaria para escoger la oferta más favorable a los intereses de la entidad. Esta prohibición de trato discriminatorio respecto a la posibilidad que tienen los proponentes de presentarse a las licitaciones o concursos es acorde al principio de selección objetiva, el cual define el artículo 5 de la Ley 1150 de 2007 como la escogencia realizada sin tener en consideración factores de afecto o de interés y, en general, cualquier clase de motivación subjetiva. En el mismo sentido, la doctrina considera que:</w:t>
      </w:r>
    </w:p>
    <w:p w14:paraId="6AA7D345" w14:textId="77777777" w:rsidR="008A30D4" w:rsidRPr="00035110" w:rsidRDefault="008A30D4" w:rsidP="008A30D4">
      <w:pPr>
        <w:spacing w:after="0" w:line="276" w:lineRule="auto"/>
        <w:jc w:val="both"/>
        <w:rPr>
          <w:rFonts w:ascii="Century Gothic" w:eastAsia="Calibri" w:hAnsi="Century Gothic" w:cs="Arial"/>
          <w:color w:val="000000" w:themeColor="text1"/>
        </w:rPr>
      </w:pPr>
    </w:p>
    <w:p w14:paraId="4360ED09" w14:textId="77777777" w:rsidR="008A30D4" w:rsidRPr="00035110" w:rsidRDefault="008A30D4" w:rsidP="008A30D4">
      <w:pPr>
        <w:spacing w:after="0" w:line="240" w:lineRule="auto"/>
        <w:ind w:left="709" w:right="709"/>
        <w:jc w:val="both"/>
        <w:rPr>
          <w:rFonts w:ascii="Century Gothic" w:eastAsia="Calibri" w:hAnsi="Century Gothic" w:cs="Arial"/>
          <w:color w:val="000000" w:themeColor="text1"/>
          <w:sz w:val="21"/>
          <w:szCs w:val="21"/>
        </w:rPr>
      </w:pPr>
      <w:r w:rsidRPr="00035110">
        <w:rPr>
          <w:rFonts w:ascii="Century Gothic" w:eastAsia="Calibri" w:hAnsi="Century Gothic" w:cs="Arial"/>
          <w:color w:val="000000" w:themeColor="text1"/>
          <w:sz w:val="21"/>
          <w:szCs w:val="21"/>
        </w:rPr>
        <w:t>“La concurrencia tiene por objeto lograr que al procedimiento licitatorio se presente la mayor cantidad posible de oferentes; porque si lo que la Administración pretende para satisfacer en la mejor forma sus intereses públicos, es contratar con el particular que ofrezca las mejores garantías para el cumplimiento del objeto contractual, es necesario que a la compulsa hayan podido acudir todos los interesados en participar que estén capacitados para brindar la prestación requerida.</w:t>
      </w:r>
    </w:p>
    <w:p w14:paraId="78724C7B" w14:textId="77777777" w:rsidR="008A30D4" w:rsidRPr="00035110" w:rsidRDefault="008A30D4" w:rsidP="008A30D4">
      <w:pPr>
        <w:spacing w:after="120" w:line="240" w:lineRule="auto"/>
        <w:ind w:left="709" w:right="709"/>
        <w:jc w:val="both"/>
        <w:rPr>
          <w:rFonts w:ascii="Century Gothic" w:eastAsia="Calibri" w:hAnsi="Century Gothic" w:cs="Arial"/>
          <w:color w:val="000000" w:themeColor="text1"/>
          <w:sz w:val="21"/>
          <w:szCs w:val="21"/>
        </w:rPr>
      </w:pPr>
      <w:r w:rsidRPr="00035110">
        <w:rPr>
          <w:rFonts w:ascii="Century Gothic" w:eastAsia="Calibri" w:hAnsi="Century Gothic" w:cs="Arial"/>
          <w:color w:val="000000" w:themeColor="text1"/>
          <w:sz w:val="21"/>
          <w:szCs w:val="21"/>
        </w:rPr>
        <w:t>[…]</w:t>
      </w:r>
    </w:p>
    <w:p w14:paraId="53ECFF32" w14:textId="77777777" w:rsidR="008A30D4" w:rsidRPr="00035110" w:rsidRDefault="008A30D4" w:rsidP="008A30D4">
      <w:pPr>
        <w:spacing w:after="120" w:line="240" w:lineRule="auto"/>
        <w:ind w:left="709" w:right="709"/>
        <w:jc w:val="both"/>
        <w:rPr>
          <w:rFonts w:ascii="Century Gothic" w:eastAsia="Calibri" w:hAnsi="Century Gothic" w:cs="Arial"/>
          <w:color w:val="000000" w:themeColor="text1"/>
          <w:sz w:val="21"/>
          <w:szCs w:val="21"/>
        </w:rPr>
      </w:pPr>
      <w:r w:rsidRPr="00035110">
        <w:rPr>
          <w:rFonts w:ascii="Century Gothic" w:eastAsia="Calibri" w:hAnsi="Century Gothic" w:cs="Arial"/>
          <w:color w:val="000000" w:themeColor="text1"/>
          <w:sz w:val="21"/>
          <w:szCs w:val="21"/>
        </w:rPr>
        <w:t>La concurrencia no significa enfrentamiento en el sentido de disputa entre los interesados, ella no supone el litigio en el sentido técnico procesal; es decir, que no hay litis, porque los participantes no acuden ante la autoridad administrativa para que ésta resuelva, como juez, un conflicto jurídico; los participantes son, en realidad, proponentes cuya actividad se limita, en principio, a presentar sus antecedentes y propuestas, en orden al emprendimiento licitado.</w:t>
      </w:r>
    </w:p>
    <w:p w14:paraId="46070C63" w14:textId="77777777" w:rsidR="008A30D4" w:rsidRPr="00035110" w:rsidRDefault="008A30D4" w:rsidP="008A30D4">
      <w:pPr>
        <w:spacing w:after="0" w:line="240" w:lineRule="auto"/>
        <w:ind w:left="709" w:right="709"/>
        <w:jc w:val="both"/>
        <w:rPr>
          <w:rFonts w:ascii="Century Gothic" w:eastAsia="Calibri" w:hAnsi="Century Gothic" w:cs="Arial"/>
          <w:color w:val="000000" w:themeColor="text1"/>
        </w:rPr>
      </w:pPr>
      <w:r w:rsidRPr="00035110">
        <w:rPr>
          <w:rFonts w:ascii="Century Gothic" w:eastAsia="Calibri" w:hAnsi="Century Gothic" w:cs="Arial"/>
          <w:color w:val="000000" w:themeColor="text1"/>
          <w:sz w:val="21"/>
          <w:szCs w:val="21"/>
        </w:rPr>
        <w:t>Existe, sí, oposición, la que consiste en un procedimiento selectivo que da lugar a que se comparen y evalúen las distintas ofertas, para escoger de entre ellas la más conveniente; pero no se da entre los postulantes una situación de contienda, sino, en todo caso, de competencia industrial, comercial, profesional, técnica o de todas ellas combinadas, entre quienes aspiran a ser admitidos en igualdad de condiciones en ese procedimiento y tratados con equidad”</w:t>
      </w:r>
      <w:r w:rsidRPr="00035110">
        <w:rPr>
          <w:rStyle w:val="Refdenotaalpie"/>
          <w:rFonts w:ascii="Century Gothic" w:eastAsia="Calibri" w:hAnsi="Century Gothic" w:cs="Arial"/>
          <w:color w:val="000000" w:themeColor="text1"/>
          <w:sz w:val="21"/>
          <w:szCs w:val="21"/>
        </w:rPr>
        <w:footnoteReference w:id="8"/>
      </w:r>
      <w:r w:rsidRPr="00035110">
        <w:rPr>
          <w:rFonts w:ascii="Century Gothic" w:eastAsia="Calibri" w:hAnsi="Century Gothic" w:cs="Arial"/>
          <w:color w:val="000000" w:themeColor="text1"/>
          <w:sz w:val="21"/>
          <w:szCs w:val="21"/>
        </w:rPr>
        <w:t>.</w:t>
      </w:r>
    </w:p>
    <w:p w14:paraId="17730909" w14:textId="77777777" w:rsidR="008A30D4" w:rsidRPr="00035110" w:rsidRDefault="008A30D4" w:rsidP="008A30D4">
      <w:pPr>
        <w:spacing w:after="0" w:line="276" w:lineRule="auto"/>
        <w:jc w:val="both"/>
        <w:rPr>
          <w:rFonts w:ascii="Century Gothic" w:eastAsia="Calibri" w:hAnsi="Century Gothic" w:cs="Arial"/>
          <w:color w:val="000000" w:themeColor="text1"/>
        </w:rPr>
      </w:pPr>
    </w:p>
    <w:p w14:paraId="332E544B" w14:textId="77777777" w:rsidR="008A30D4" w:rsidRPr="00035110" w:rsidRDefault="008A30D4" w:rsidP="008A30D4">
      <w:pPr>
        <w:spacing w:after="120" w:line="276" w:lineRule="auto"/>
        <w:ind w:firstLine="708"/>
        <w:jc w:val="both"/>
        <w:rPr>
          <w:rFonts w:ascii="Century Gothic" w:eastAsia="Calibri" w:hAnsi="Century Gothic" w:cs="Arial"/>
          <w:color w:val="000000" w:themeColor="text1"/>
        </w:rPr>
      </w:pPr>
      <w:r w:rsidRPr="00035110">
        <w:rPr>
          <w:rFonts w:ascii="Century Gothic" w:eastAsia="Calibri" w:hAnsi="Century Gothic" w:cs="Arial"/>
          <w:color w:val="000000" w:themeColor="text1"/>
        </w:rPr>
        <w:t>El principio jurídico de la libre concurrencia garantiza la oposición entre los oferentes, y –como contrapartida– establece una prohibición para el Estado de restringir su participación</w:t>
      </w:r>
      <w:r w:rsidRPr="00035110">
        <w:rPr>
          <w:rStyle w:val="Refdenotaalpie"/>
          <w:rFonts w:ascii="Century Gothic" w:eastAsia="Calibri" w:hAnsi="Century Gothic" w:cs="Arial"/>
          <w:color w:val="000000" w:themeColor="text1"/>
        </w:rPr>
        <w:footnoteReference w:id="9"/>
      </w:r>
      <w:r w:rsidRPr="00035110">
        <w:rPr>
          <w:rFonts w:ascii="Century Gothic" w:eastAsia="Calibri" w:hAnsi="Century Gothic" w:cs="Arial"/>
          <w:color w:val="000000" w:themeColor="text1"/>
        </w:rPr>
        <w:t xml:space="preserve">. En esta perspectiva, es una derivación del principio de </w:t>
      </w:r>
      <w:r w:rsidRPr="00035110">
        <w:rPr>
          <w:rFonts w:ascii="Century Gothic" w:eastAsia="Calibri" w:hAnsi="Century Gothic" w:cs="Arial"/>
          <w:color w:val="000000" w:themeColor="text1"/>
        </w:rPr>
        <w:lastRenderedPageBreak/>
        <w:t>igualdad, pues supone la intervención del mayor número de candidatos en un régimen de libre competencia. Ambos se concretan en la prohibición de limitar la presentación de ofertas, pues son importantes para evitar discriminaciones por razón de la nacionalidad pretendiendo favorecer a los nacionales frente a extranjeros, y también se oponen a la exigencia de criterios de territorialidad que vulneren la libertad de empresa en una economía de mercado</w:t>
      </w:r>
      <w:r w:rsidRPr="00035110">
        <w:rPr>
          <w:rStyle w:val="Refdenotaalpie"/>
          <w:rFonts w:ascii="Century Gothic" w:eastAsia="Calibri" w:hAnsi="Century Gothic" w:cs="Arial"/>
          <w:color w:val="000000" w:themeColor="text1"/>
        </w:rPr>
        <w:footnoteReference w:id="10"/>
      </w:r>
      <w:r w:rsidRPr="00035110">
        <w:rPr>
          <w:rFonts w:ascii="Century Gothic" w:eastAsia="Calibri" w:hAnsi="Century Gothic" w:cs="Arial"/>
          <w:color w:val="000000" w:themeColor="text1"/>
        </w:rPr>
        <w:t>. Por ello, en el Concepto</w:t>
      </w:r>
      <w:r w:rsidRPr="00035110">
        <w:rPr>
          <w:rFonts w:ascii="Century Gothic" w:eastAsia="Calibri" w:hAnsi="Century Gothic" w:cs="Arial"/>
          <w:color w:val="000000" w:themeColor="text1"/>
          <w:lang w:val="es-ES"/>
        </w:rPr>
        <w:t xml:space="preserve"> 2201913000006511 del 3 de septiembre de 2019, la Agencia sostuvo que, por regla general, las entidades no pueden exigir como requisito habilitante que el proponente tenga residencia en el lugar donde se ejecutará el contrato, pues afecta la libre competencia de los procesos de contratación y es una cláusula discriminatoria, sin dejar de lado que no garantiza la aptitud del proponente para ejecutar el objeto del contrato</w:t>
      </w:r>
      <w:r w:rsidRPr="00035110">
        <w:rPr>
          <w:rStyle w:val="Refdenotaalpie"/>
          <w:rFonts w:ascii="Century Gothic" w:eastAsia="Calibri" w:hAnsi="Century Gothic" w:cs="Arial"/>
          <w:color w:val="000000" w:themeColor="text1"/>
          <w:lang w:val="es-ES"/>
        </w:rPr>
        <w:footnoteReference w:id="11"/>
      </w:r>
      <w:r w:rsidRPr="00035110">
        <w:rPr>
          <w:rFonts w:ascii="Century Gothic" w:eastAsia="Calibri" w:hAnsi="Century Gothic" w:cs="Arial"/>
          <w:color w:val="000000" w:themeColor="text1"/>
          <w:lang w:val="es-ES"/>
        </w:rPr>
        <w:t xml:space="preserve"> </w:t>
      </w:r>
      <w:r w:rsidRPr="00035110">
        <w:rPr>
          <w:rStyle w:val="Refdenotaalpie"/>
          <w:rFonts w:ascii="Century Gothic" w:eastAsia="Calibri" w:hAnsi="Century Gothic" w:cs="Arial"/>
          <w:color w:val="000000" w:themeColor="text1"/>
          <w:lang w:val="es-ES"/>
        </w:rPr>
        <w:footnoteReference w:id="12"/>
      </w:r>
      <w:r w:rsidRPr="00035110">
        <w:rPr>
          <w:rFonts w:ascii="Century Gothic" w:eastAsia="Calibri" w:hAnsi="Century Gothic" w:cs="Arial"/>
          <w:color w:val="000000" w:themeColor="text1"/>
          <w:lang w:val="es-ES"/>
        </w:rPr>
        <w:t>.</w:t>
      </w:r>
      <w:r w:rsidRPr="00035110">
        <w:rPr>
          <w:rFonts w:ascii="Century Gothic" w:eastAsia="Calibri" w:hAnsi="Century Gothic" w:cs="Arial"/>
          <w:color w:val="000000" w:themeColor="text1"/>
        </w:rPr>
        <w:t xml:space="preserve">    </w:t>
      </w:r>
    </w:p>
    <w:p w14:paraId="136499AA" w14:textId="77777777" w:rsidR="008A30D4" w:rsidRPr="00035110" w:rsidRDefault="008A30D4" w:rsidP="740D53F7">
      <w:pPr>
        <w:spacing w:before="120" w:after="120" w:line="276" w:lineRule="auto"/>
        <w:ind w:firstLine="708"/>
        <w:jc w:val="both"/>
        <w:rPr>
          <w:rFonts w:ascii="Century Gothic" w:eastAsia="Calibri" w:hAnsi="Century Gothic" w:cs="Arial"/>
          <w:color w:val="000000"/>
          <w:lang w:val="es-ES"/>
        </w:rPr>
      </w:pPr>
      <w:r w:rsidRPr="740D53F7">
        <w:rPr>
          <w:rFonts w:ascii="Century Gothic" w:eastAsia="Calibri" w:hAnsi="Century Gothic" w:cs="Arial"/>
          <w:color w:val="000000" w:themeColor="text1"/>
          <w:lang w:val="es-ES"/>
        </w:rPr>
        <w:lastRenderedPageBreak/>
        <w:t>Lo anterior es congruente con el inciso primero del artículo 13 superior, el cual dispone que “Todas las personas nacen libres e iguales ante la ley, recibirán la misma protección y trato de las autoridades y gozarán de los mismos derechos, libertades y oportunidades sin ninguna discriminación por razones […] origen nacional […]”. Asimismo, conforme al artículo 100 constitucional, “</w:t>
      </w:r>
      <w:r w:rsidRPr="740D53F7">
        <w:rPr>
          <w:rFonts w:ascii="Century Gothic" w:eastAsia="Calibri" w:hAnsi="Century Gothic" w:cs="Arial"/>
          <w:i/>
          <w:iCs/>
          <w:color w:val="000000" w:themeColor="text1"/>
          <w:lang w:val="es-ES"/>
        </w:rPr>
        <w:t>Los extranjeros disfrutarán en Colombia de los mismos derechos civiles que se conceden a los colombianos</w:t>
      </w:r>
      <w:r w:rsidRPr="740D53F7">
        <w:rPr>
          <w:rFonts w:ascii="Century Gothic" w:eastAsia="Calibri" w:hAnsi="Century Gothic" w:cs="Arial"/>
          <w:color w:val="000000" w:themeColor="text1"/>
          <w:lang w:val="es-ES"/>
        </w:rPr>
        <w:t xml:space="preserve">. No obstante, la ley podrá, por razones de orden público, subordinar a condiciones especiales o negar el ejercicio de determinados derechos civiles a los extranjeros” (Énfasis fuera de texto). De esta manera, como explica la Corte Constitucional en la Sentencia T-147 de 1996, con ponencia de Eduardo Cifuentes Muñoz, “[…] Es evidente que si la Carta excluye la diferenciación de trato sustentado en el origen nacional, está igualmente descartada, inclusive de una manera más perentoria, la discriminación entre nacionales […]”, lo que reitera la prohibición de trato desigual por razón de la nacionalidad o el territorio. </w:t>
      </w:r>
    </w:p>
    <w:p w14:paraId="1567CF20" w14:textId="77777777" w:rsidR="008A30D4" w:rsidRPr="00035110" w:rsidRDefault="008A30D4" w:rsidP="008A30D4">
      <w:pPr>
        <w:spacing w:before="120" w:after="120" w:line="276" w:lineRule="auto"/>
        <w:ind w:firstLine="708"/>
        <w:jc w:val="both"/>
        <w:rPr>
          <w:rFonts w:ascii="Century Gothic" w:eastAsia="Calibri" w:hAnsi="Century Gothic" w:cs="Arial"/>
          <w:color w:val="000000"/>
          <w:lang w:val="es-ES_tradnl"/>
        </w:rPr>
      </w:pPr>
      <w:r w:rsidRPr="00035110">
        <w:rPr>
          <w:rFonts w:ascii="Century Gothic" w:eastAsia="Calibri" w:hAnsi="Century Gothic" w:cs="Arial"/>
          <w:color w:val="000000"/>
          <w:lang w:val="es-ES_tradnl"/>
        </w:rPr>
        <w:t xml:space="preserve">Por lo demás, </w:t>
      </w:r>
      <w:r w:rsidRPr="00035110">
        <w:rPr>
          <w:rFonts w:ascii="Century Gothic" w:hAnsi="Century Gothic" w:cs="Arial"/>
          <w:color w:val="000000" w:themeColor="text1"/>
        </w:rPr>
        <w:t>en concordancia con el numeral 1 del artículo 1502 del Código Civil</w:t>
      </w:r>
      <w:r w:rsidRPr="00035110">
        <w:rPr>
          <w:rStyle w:val="Refdenotaalpie"/>
          <w:rFonts w:ascii="Century Gothic" w:hAnsi="Century Gothic" w:cs="Arial"/>
          <w:color w:val="000000" w:themeColor="text1"/>
        </w:rPr>
        <w:footnoteReference w:id="13"/>
      </w:r>
      <w:r w:rsidRPr="00035110">
        <w:rPr>
          <w:rFonts w:ascii="Century Gothic" w:hAnsi="Century Gothic" w:cs="Arial"/>
          <w:color w:val="000000" w:themeColor="text1"/>
        </w:rPr>
        <w:t xml:space="preserve">, el inciso primero del artículo 6 de la Ley 80 de 1993 –modificado por el artículo 1 de la Ley 2160 de 2021– dispone que “Pueden celebrar contratos con las entidades estatales las personas consideradas legalmente capaces en las disposiciones vigentes […]”. Esta norma es acorde al reconocimiento de la personalidad jurídica del artículo 16 constitucional, de donde </w:t>
      </w:r>
      <w:r w:rsidRPr="00035110">
        <w:rPr>
          <w:rFonts w:ascii="Century Gothic" w:eastAsia="Calibri" w:hAnsi="Century Gothic" w:cs="Arial"/>
          <w:color w:val="000000"/>
          <w:lang w:val="es-ES_tradnl"/>
        </w:rPr>
        <w:t>se infiere que las personas extranjeras –al igual que las nacionales– pueden concurrir en la celebración de contratos estatales, siempre que no se encuentren en alguna causal de inhabilidad o incompatibilidad que la afecte</w:t>
      </w:r>
      <w:r w:rsidRPr="00035110">
        <w:rPr>
          <w:rStyle w:val="Refdenotaalpie"/>
          <w:rFonts w:ascii="Century Gothic" w:eastAsia="Calibri" w:hAnsi="Century Gothic" w:cs="Arial"/>
          <w:color w:val="000000"/>
          <w:lang w:val="es-ES_tradnl"/>
        </w:rPr>
        <w:footnoteReference w:id="14"/>
      </w:r>
      <w:r w:rsidRPr="00035110">
        <w:rPr>
          <w:rFonts w:ascii="Century Gothic" w:eastAsia="Calibri" w:hAnsi="Century Gothic" w:cs="Arial"/>
          <w:color w:val="000000"/>
          <w:lang w:val="es-ES_tradnl"/>
        </w:rPr>
        <w:t xml:space="preserve">.  </w:t>
      </w:r>
    </w:p>
    <w:p w14:paraId="4A81B339" w14:textId="77777777" w:rsidR="008A30D4" w:rsidRPr="00035110" w:rsidRDefault="008A30D4" w:rsidP="008A30D4">
      <w:pPr>
        <w:tabs>
          <w:tab w:val="left" w:pos="0"/>
        </w:tabs>
        <w:spacing w:line="276" w:lineRule="auto"/>
        <w:jc w:val="both"/>
        <w:rPr>
          <w:rFonts w:ascii="Century Gothic" w:eastAsia="Calibri" w:hAnsi="Century Gothic" w:cs="Arial"/>
          <w:bCs/>
          <w:color w:val="000000" w:themeColor="text1"/>
          <w:lang w:val="es-ES_tradnl"/>
        </w:rPr>
      </w:pPr>
      <w:r w:rsidRPr="00035110">
        <w:rPr>
          <w:rFonts w:ascii="Century Gothic" w:eastAsia="Calibri" w:hAnsi="Century Gothic" w:cs="Arial"/>
          <w:color w:val="000000"/>
          <w:lang w:val="es-ES_tradnl"/>
        </w:rPr>
        <w:tab/>
        <w:t xml:space="preserve">Esta posibilidad de que los extranjeros concurran a los procedimientos de selección adelantados en Colombia también se fundamenta en el artículo 20 de </w:t>
      </w:r>
      <w:r w:rsidRPr="00035110">
        <w:rPr>
          <w:rFonts w:ascii="Century Gothic" w:eastAsia="Calibri" w:hAnsi="Century Gothic" w:cs="Arial"/>
          <w:color w:val="000000"/>
          <w:lang w:val="es-ES_tradnl"/>
        </w:rPr>
        <w:lastRenderedPageBreak/>
        <w:t>la Ley 80 de 1993</w:t>
      </w:r>
      <w:r w:rsidRPr="00035110">
        <w:rPr>
          <w:rStyle w:val="Refdenotaalpie"/>
          <w:rFonts w:ascii="Century Gothic" w:eastAsia="Calibri" w:hAnsi="Century Gothic" w:cs="Arial"/>
          <w:bCs/>
          <w:color w:val="000000" w:themeColor="text1"/>
          <w:lang w:val="es-ES_tradnl"/>
        </w:rPr>
        <w:footnoteReference w:id="15"/>
      </w:r>
      <w:r w:rsidRPr="00035110">
        <w:rPr>
          <w:rFonts w:ascii="Century Gothic" w:eastAsia="Calibri" w:hAnsi="Century Gothic" w:cs="Arial"/>
          <w:color w:val="000000"/>
          <w:lang w:val="es-ES_tradnl"/>
        </w:rPr>
        <w:t xml:space="preserve">. Dicha norma </w:t>
      </w:r>
      <w:r w:rsidRPr="00035110">
        <w:rPr>
          <w:rFonts w:ascii="Century Gothic" w:eastAsia="Calibri" w:hAnsi="Century Gothic" w:cs="Arial"/>
          <w:bCs/>
          <w:color w:val="000000" w:themeColor="text1"/>
          <w:lang w:val="es-ES_tradnl"/>
        </w:rPr>
        <w:t xml:space="preserve">consagra el </w:t>
      </w:r>
      <w:r w:rsidRPr="00035110">
        <w:rPr>
          <w:rFonts w:ascii="Century Gothic" w:eastAsia="Calibri" w:hAnsi="Century Gothic" w:cs="Arial"/>
          <w:bCs/>
          <w:i/>
          <w:iCs/>
          <w:color w:val="000000" w:themeColor="text1"/>
          <w:lang w:val="es-ES_tradnl"/>
        </w:rPr>
        <w:t>principio de reciprocidad</w:t>
      </w:r>
      <w:r w:rsidRPr="00035110">
        <w:rPr>
          <w:rFonts w:ascii="Century Gothic" w:eastAsia="Calibri" w:hAnsi="Century Gothic" w:cs="Arial"/>
          <w:bCs/>
          <w:color w:val="000000" w:themeColor="text1"/>
          <w:lang w:val="es-ES_tradnl"/>
        </w:rPr>
        <w:t xml:space="preserve"> en la contratación estatal, entendido como el compromiso asumido por el Estado de brindar a los oferentes de bienes y servicios de origen extranjero un trato semejante al que les conceden a los colombianos en otros Estados con los cuales se ha celebrado acuerdo o tratado comercial, cuando, en ausencia de tratado, se certifica dicha reciprocidad, o en virtud de procesos de integración regional.</w:t>
      </w:r>
    </w:p>
    <w:p w14:paraId="6CC57F2D" w14:textId="77777777" w:rsidR="008A30D4" w:rsidRPr="00035110" w:rsidRDefault="008A30D4" w:rsidP="740D53F7">
      <w:pPr>
        <w:spacing w:before="120" w:line="276" w:lineRule="auto"/>
        <w:ind w:firstLine="709"/>
        <w:jc w:val="both"/>
        <w:rPr>
          <w:rFonts w:ascii="Century Gothic" w:eastAsia="Calibri" w:hAnsi="Century Gothic" w:cs="Arial"/>
          <w:color w:val="000000" w:themeColor="text1"/>
          <w:lang w:val="es-ES"/>
        </w:rPr>
      </w:pPr>
      <w:r w:rsidRPr="740D53F7">
        <w:rPr>
          <w:rFonts w:ascii="Century Gothic" w:eastAsia="Calibri" w:hAnsi="Century Gothic" w:cs="Arial"/>
          <w:color w:val="000000" w:themeColor="text1"/>
          <w:lang w:val="es-ES"/>
        </w:rPr>
        <w:t xml:space="preserve">En otras palabras, el </w:t>
      </w:r>
      <w:r w:rsidRPr="740D53F7">
        <w:rPr>
          <w:rFonts w:ascii="Century Gothic" w:eastAsia="Calibri" w:hAnsi="Century Gothic" w:cs="Arial"/>
          <w:i/>
          <w:iCs/>
          <w:color w:val="000000" w:themeColor="text1"/>
          <w:lang w:val="es-ES"/>
        </w:rPr>
        <w:t xml:space="preserve">trato nacional </w:t>
      </w:r>
      <w:r w:rsidRPr="740D53F7">
        <w:rPr>
          <w:rFonts w:ascii="Century Gothic" w:eastAsia="Calibri" w:hAnsi="Century Gothic" w:cs="Arial"/>
          <w:color w:val="000000" w:themeColor="text1"/>
          <w:lang w:val="es-ES"/>
        </w:rPr>
        <w:t xml:space="preserve">consiste en la consideración especial en la asignación de puntaje, que se tiene sobre los oferentes, bienes y servicios colombianos, en los procedimientos de selección, pero que, en virtud del principio de reciprocidad, se extiende a los oferentes, bienes o servicios extranjeros. Dicho privilegio que puede provenir de alguna de estas tres (3) fuentes: i) un tratado o acuerdo comercial en el que se haya negociado dicho trato nacional, </w:t>
      </w:r>
      <w:proofErr w:type="spellStart"/>
      <w:r w:rsidRPr="740D53F7">
        <w:rPr>
          <w:rFonts w:ascii="Century Gothic" w:eastAsia="Calibri" w:hAnsi="Century Gothic" w:cs="Arial"/>
          <w:color w:val="000000" w:themeColor="text1"/>
          <w:lang w:val="es-ES"/>
        </w:rPr>
        <w:t>ii</w:t>
      </w:r>
      <w:proofErr w:type="spellEnd"/>
      <w:r w:rsidRPr="740D53F7">
        <w:rPr>
          <w:rFonts w:ascii="Century Gothic" w:eastAsia="Calibri" w:hAnsi="Century Gothic" w:cs="Arial"/>
          <w:color w:val="000000" w:themeColor="text1"/>
          <w:lang w:val="es-ES"/>
        </w:rPr>
        <w:t xml:space="preserve">) un certificado de reciprocidad expedido por el Ministerio de Relaciones Exteriores –ante la ausencia de un tratado o acuerdo comercial– o </w:t>
      </w:r>
      <w:proofErr w:type="spellStart"/>
      <w:r w:rsidRPr="740D53F7">
        <w:rPr>
          <w:rFonts w:ascii="Century Gothic" w:eastAsia="Calibri" w:hAnsi="Century Gothic" w:cs="Arial"/>
          <w:color w:val="000000" w:themeColor="text1"/>
          <w:lang w:val="es-ES"/>
        </w:rPr>
        <w:t>iii</w:t>
      </w:r>
      <w:proofErr w:type="spellEnd"/>
      <w:r w:rsidRPr="740D53F7">
        <w:rPr>
          <w:rFonts w:ascii="Century Gothic" w:eastAsia="Calibri" w:hAnsi="Century Gothic" w:cs="Arial"/>
          <w:color w:val="000000" w:themeColor="text1"/>
          <w:lang w:val="es-ES"/>
        </w:rPr>
        <w:t>) la regulación andina. Las tres fuentes se reconocen no solo en el precitado artículo 20 de la Ley 80 de 1993, sino también en el artículo 2.2.1.2.4.1.3. del Decreto 1082 de 2015</w:t>
      </w:r>
      <w:r w:rsidRPr="740D53F7">
        <w:rPr>
          <w:rStyle w:val="Refdenotaalpie"/>
          <w:rFonts w:ascii="Century Gothic" w:eastAsia="Calibri" w:hAnsi="Century Gothic" w:cs="Arial"/>
          <w:color w:val="000000" w:themeColor="text1"/>
          <w:lang w:val="es-ES"/>
        </w:rPr>
        <w:footnoteReference w:id="16"/>
      </w:r>
      <w:r w:rsidRPr="740D53F7">
        <w:rPr>
          <w:rFonts w:ascii="Century Gothic" w:eastAsia="Calibri" w:hAnsi="Century Gothic" w:cs="Arial"/>
          <w:color w:val="000000" w:themeColor="text1"/>
          <w:lang w:val="es-ES"/>
        </w:rPr>
        <w:t>.</w:t>
      </w:r>
    </w:p>
    <w:p w14:paraId="6FACC9A5" w14:textId="77777777" w:rsidR="008A30D4" w:rsidRPr="00035110" w:rsidRDefault="008A30D4" w:rsidP="008A30D4">
      <w:pPr>
        <w:tabs>
          <w:tab w:val="left" w:pos="0"/>
        </w:tabs>
        <w:spacing w:before="120" w:line="276" w:lineRule="auto"/>
        <w:ind w:firstLine="709"/>
        <w:jc w:val="both"/>
        <w:rPr>
          <w:rFonts w:ascii="Century Gothic" w:eastAsia="Calibri" w:hAnsi="Century Gothic" w:cs="Arial"/>
          <w:bCs/>
          <w:color w:val="000000" w:themeColor="text1"/>
          <w:lang w:val="es-ES_tradnl"/>
        </w:rPr>
      </w:pPr>
      <w:r w:rsidRPr="00035110">
        <w:rPr>
          <w:rFonts w:ascii="Century Gothic" w:eastAsia="Calibri" w:hAnsi="Century Gothic" w:cs="Arial"/>
          <w:bCs/>
          <w:color w:val="000000" w:themeColor="text1"/>
          <w:lang w:val="es-ES_tradnl"/>
        </w:rPr>
        <w:lastRenderedPageBreak/>
        <w:t xml:space="preserve">En cuanto a la primera de ellas, cabe señalar que el trato nacional puede estar estipulado en un </w:t>
      </w:r>
      <w:r w:rsidRPr="00035110">
        <w:rPr>
          <w:rFonts w:ascii="Century Gothic" w:eastAsia="Calibri" w:hAnsi="Century Gothic" w:cs="Arial"/>
          <w:bCs/>
          <w:i/>
          <w:iCs/>
          <w:color w:val="000000" w:themeColor="text1"/>
          <w:lang w:val="es-ES_tradnl"/>
        </w:rPr>
        <w:t>tratado o acuerdo comercial</w:t>
      </w:r>
      <w:r w:rsidRPr="00035110">
        <w:rPr>
          <w:rFonts w:ascii="Century Gothic" w:eastAsia="Calibri" w:hAnsi="Century Gothic" w:cs="Arial"/>
          <w:bCs/>
          <w:color w:val="000000" w:themeColor="text1"/>
          <w:lang w:val="es-ES_tradnl"/>
        </w:rPr>
        <w:t xml:space="preserve"> suscrito entre Colombia y uno o varios Estados, adoptando como cláusula que a los oferentes, bienes o servicios extranjeros de dichos Estados se les considerará en nuestro país como nacionales, bajo las condiciones establecidas en la respectiva negociación</w:t>
      </w:r>
      <w:r w:rsidRPr="00035110">
        <w:rPr>
          <w:rStyle w:val="Refdenotaalpie"/>
          <w:rFonts w:ascii="Century Gothic" w:eastAsia="Calibri" w:hAnsi="Century Gothic" w:cs="Arial"/>
          <w:bCs/>
          <w:color w:val="000000" w:themeColor="text1"/>
          <w:lang w:val="es-ES_tradnl"/>
        </w:rPr>
        <w:footnoteReference w:id="17"/>
      </w:r>
      <w:r w:rsidRPr="00035110">
        <w:rPr>
          <w:rFonts w:ascii="Century Gothic" w:eastAsia="Calibri" w:hAnsi="Century Gothic" w:cs="Arial"/>
          <w:bCs/>
          <w:color w:val="000000" w:themeColor="text1"/>
          <w:lang w:val="es-ES_tradnl"/>
        </w:rPr>
        <w:t>. Así, el tratado correspondiente puede contener un acápite en el que se establezca que determinados bienes o servicios cubiertos se beneficiarán por el trato nacional; lo que a veces también puede suceder con los proveedores. A título de ejemplo, la cláusula 11.2 del tratado de libre comercio suscrito entre Colombia y los países del Triángulo Norte de Centroamérica –El Salvador, Guatemala y Honduras–</w:t>
      </w:r>
      <w:r w:rsidRPr="00035110">
        <w:rPr>
          <w:rStyle w:val="Refdenotaalpie"/>
          <w:rFonts w:ascii="Century Gothic" w:eastAsia="Calibri" w:hAnsi="Century Gothic" w:cs="Arial"/>
          <w:bCs/>
          <w:color w:val="000000" w:themeColor="text1"/>
          <w:lang w:val="es-ES_tradnl"/>
        </w:rPr>
        <w:footnoteReference w:id="18"/>
      </w:r>
      <w:r w:rsidRPr="00035110">
        <w:rPr>
          <w:rFonts w:ascii="Century Gothic" w:eastAsia="Calibri" w:hAnsi="Century Gothic" w:cs="Arial"/>
          <w:bCs/>
          <w:color w:val="000000" w:themeColor="text1"/>
          <w:lang w:val="es-ES_tradnl"/>
        </w:rPr>
        <w:t xml:space="preserve"> establece que, con respecto a la cobertura negociada en dicho acuerdo, “cada Parte concederá a las mercancías, servicios, incluidos los servicios de construcción, y proveedores de la otra Parte, un trato no menos favorable que el que conceda a sus propias mercancías, servicios y proveedores”. Asimismo, el artículo 9.2 del tratado de libre comercio celebrado entre Colombia y los Estados Unidos de Norteamérica</w:t>
      </w:r>
      <w:r w:rsidRPr="00035110">
        <w:rPr>
          <w:rStyle w:val="Refdenotaalpie"/>
          <w:rFonts w:ascii="Century Gothic" w:eastAsia="Calibri" w:hAnsi="Century Gothic" w:cs="Arial"/>
          <w:bCs/>
          <w:color w:val="000000" w:themeColor="text1"/>
          <w:lang w:val="es-ES_tradnl"/>
        </w:rPr>
        <w:footnoteReference w:id="19"/>
      </w:r>
      <w:r w:rsidRPr="00035110">
        <w:rPr>
          <w:rFonts w:ascii="Century Gothic" w:eastAsia="Calibri" w:hAnsi="Century Gothic" w:cs="Arial"/>
          <w:bCs/>
          <w:color w:val="000000" w:themeColor="text1"/>
          <w:lang w:val="es-ES_tradnl"/>
        </w:rPr>
        <w:t>, prevé que “Con respecto a cualquier medida cubierta por este Capítulo, cada Parte otorgará incondicionalmente a las mercancías y servicios de la otra Parte y a los proveedores de tales mercancías y servicios, un trato no menos favorable que el trato más favorable otorgado por dicha Parte a sus propias mercancías, servicios y proveedores”.</w:t>
      </w:r>
    </w:p>
    <w:p w14:paraId="52C0B926" w14:textId="77777777" w:rsidR="008A30D4" w:rsidRPr="00035110" w:rsidRDefault="008A30D4" w:rsidP="740D53F7">
      <w:pPr>
        <w:spacing w:before="120" w:line="276" w:lineRule="auto"/>
        <w:ind w:firstLine="709"/>
        <w:jc w:val="both"/>
        <w:rPr>
          <w:rFonts w:ascii="Century Gothic" w:eastAsia="Calibri" w:hAnsi="Century Gothic" w:cs="Arial"/>
          <w:color w:val="000000" w:themeColor="text1"/>
          <w:lang w:val="es-ES"/>
        </w:rPr>
      </w:pPr>
      <w:r w:rsidRPr="740D53F7">
        <w:rPr>
          <w:rFonts w:ascii="Century Gothic" w:eastAsia="Calibri" w:hAnsi="Century Gothic" w:cs="Arial"/>
          <w:color w:val="000000" w:themeColor="text1"/>
          <w:lang w:val="es-ES"/>
        </w:rPr>
        <w:t xml:space="preserve">En consecuencia, para que pueda aplicarse el trato nacional en virtud del pacto contenido en un tratado o acuerdo comercial, la contratación debe versar </w:t>
      </w:r>
      <w:r w:rsidRPr="740D53F7">
        <w:rPr>
          <w:rFonts w:ascii="Century Gothic" w:eastAsia="Calibri" w:hAnsi="Century Gothic" w:cs="Arial"/>
          <w:color w:val="000000" w:themeColor="text1"/>
          <w:lang w:val="es-ES"/>
        </w:rPr>
        <w:lastRenderedPageBreak/>
        <w:t xml:space="preserve">sobre los bienes, servicios o proveedores </w:t>
      </w:r>
      <w:r w:rsidRPr="740D53F7">
        <w:rPr>
          <w:rFonts w:ascii="Century Gothic" w:eastAsia="Calibri" w:hAnsi="Century Gothic" w:cs="Arial"/>
          <w:i/>
          <w:iCs/>
          <w:color w:val="000000" w:themeColor="text1"/>
          <w:lang w:val="es-ES"/>
        </w:rPr>
        <w:t>cubiertos</w:t>
      </w:r>
      <w:r w:rsidRPr="740D53F7">
        <w:rPr>
          <w:rFonts w:ascii="Century Gothic" w:eastAsia="Calibri" w:hAnsi="Century Gothic" w:cs="Arial"/>
          <w:color w:val="000000" w:themeColor="text1"/>
          <w:lang w:val="es-ES"/>
        </w:rPr>
        <w:t xml:space="preserve"> por dicho tratado, pues la autonomía de la voluntad de los Estados, que es expresión de su soberanía, les permite negociar en el acuerdo comercial un alcance o cobertura </w:t>
      </w:r>
      <w:proofErr w:type="gramStart"/>
      <w:r w:rsidRPr="740D53F7">
        <w:rPr>
          <w:rFonts w:ascii="Century Gothic" w:eastAsia="Calibri" w:hAnsi="Century Gothic" w:cs="Arial"/>
          <w:color w:val="000000" w:themeColor="text1"/>
          <w:lang w:val="es-ES"/>
        </w:rPr>
        <w:t>del mismo</w:t>
      </w:r>
      <w:proofErr w:type="gramEnd"/>
      <w:r w:rsidRPr="740D53F7">
        <w:rPr>
          <w:rFonts w:ascii="Century Gothic" w:eastAsia="Calibri" w:hAnsi="Century Gothic" w:cs="Arial"/>
          <w:color w:val="000000" w:themeColor="text1"/>
          <w:lang w:val="es-ES"/>
        </w:rPr>
        <w:t xml:space="preserve">, según razones de oportunidad o conveniencia. Es por esto </w:t>
      </w:r>
      <w:proofErr w:type="gramStart"/>
      <w:r w:rsidRPr="740D53F7">
        <w:rPr>
          <w:rFonts w:ascii="Century Gothic" w:eastAsia="Calibri" w:hAnsi="Century Gothic" w:cs="Arial"/>
          <w:color w:val="000000" w:themeColor="text1"/>
          <w:lang w:val="es-ES"/>
        </w:rPr>
        <w:t>que</w:t>
      </w:r>
      <w:proofErr w:type="gramEnd"/>
      <w:r w:rsidRPr="740D53F7">
        <w:rPr>
          <w:rFonts w:ascii="Century Gothic" w:eastAsia="Calibri" w:hAnsi="Century Gothic" w:cs="Arial"/>
          <w:color w:val="000000" w:themeColor="text1"/>
          <w:lang w:val="es-ES"/>
        </w:rPr>
        <w:t xml:space="preserve"> los tratados establecen las entidades cubiertas, así como los umbrales, es decir, los valores o montos que, al igualarse o superarse en un procedimiento de contratación, hacen que este quede amparado por el tratado. De igual manera, este también puede contener exclusiones explícitas a su cobertura</w:t>
      </w:r>
      <w:r w:rsidRPr="740D53F7">
        <w:rPr>
          <w:rStyle w:val="Refdenotaalpie"/>
          <w:rFonts w:ascii="Century Gothic" w:eastAsia="Calibri" w:hAnsi="Century Gothic" w:cs="Arial"/>
          <w:color w:val="000000" w:themeColor="text1"/>
          <w:lang w:val="es-ES"/>
        </w:rPr>
        <w:footnoteReference w:id="20"/>
      </w:r>
      <w:r w:rsidRPr="740D53F7">
        <w:rPr>
          <w:rFonts w:ascii="Century Gothic" w:eastAsia="Calibri" w:hAnsi="Century Gothic" w:cs="Arial"/>
          <w:color w:val="000000" w:themeColor="text1"/>
          <w:lang w:val="es-ES"/>
        </w:rPr>
        <w:t>.</w:t>
      </w:r>
    </w:p>
    <w:p w14:paraId="468BCA89" w14:textId="77777777" w:rsidR="008A30D4" w:rsidRPr="00035110" w:rsidRDefault="008A30D4" w:rsidP="008A30D4">
      <w:pPr>
        <w:tabs>
          <w:tab w:val="left" w:pos="0"/>
        </w:tabs>
        <w:spacing w:before="120" w:line="276" w:lineRule="auto"/>
        <w:ind w:firstLine="709"/>
        <w:jc w:val="both"/>
        <w:rPr>
          <w:rFonts w:ascii="Century Gothic" w:eastAsia="Calibri" w:hAnsi="Century Gothic" w:cs="Arial"/>
          <w:bCs/>
          <w:color w:val="000000" w:themeColor="text1"/>
          <w:lang w:val="es-ES_tradnl"/>
        </w:rPr>
      </w:pPr>
      <w:r w:rsidRPr="00035110">
        <w:rPr>
          <w:rFonts w:ascii="Century Gothic" w:eastAsia="Calibri" w:hAnsi="Century Gothic" w:cs="Arial"/>
          <w:bCs/>
          <w:color w:val="000000" w:themeColor="text1"/>
          <w:lang w:val="es-ES_tradnl"/>
        </w:rPr>
        <w:t xml:space="preserve">En relación con la segunda fuente del trato nacional, esto es, el </w:t>
      </w:r>
      <w:r w:rsidRPr="00035110">
        <w:rPr>
          <w:rFonts w:ascii="Century Gothic" w:eastAsia="Calibri" w:hAnsi="Century Gothic" w:cs="Arial"/>
          <w:bCs/>
          <w:i/>
          <w:iCs/>
          <w:color w:val="000000" w:themeColor="text1"/>
          <w:lang w:val="es-ES_tradnl"/>
        </w:rPr>
        <w:t>certificado de reciprocidad</w:t>
      </w:r>
      <w:r w:rsidRPr="00035110">
        <w:rPr>
          <w:rFonts w:ascii="Century Gothic" w:eastAsia="Calibri" w:hAnsi="Century Gothic" w:cs="Arial"/>
          <w:bCs/>
          <w:color w:val="000000" w:themeColor="text1"/>
          <w:lang w:val="es-ES_tradnl"/>
        </w:rPr>
        <w:t>, el artículo 20 de la Ley 80 de 1993 establece que cuando “[…] no se hubiere celebrado acuerdo, tratado o convenio, los proponentes de bienes y servicios de origen extranjero podrán participar en los procesos de contratación en las mismas condiciones y con los mismos requisitos exigidos a los nacionales colombianos, siempre y cuando en sus respectivos países los proponentes de bienes y servicios de origen colombiano gocen de iguales oportunidades”. Esto significa que la ausencia de tratado o acuerdo comercial no inhabilita por ese solo hecho al oferente extranjero para participar en el procedimiento de selección abierto por una entidad estatal colombiana, ni le impide ser tratado como nacional de nuestro país, pero, si pretende gozar de este último beneficio, debe contar con un certificado de reciprocidad. Este certificado es un documento que, según el artículo 2.2.1.2.4.1.3 del Decreto 1082 de 2015, debe expedir el Ministerio de Relaciones Exteriores frente “[…] a los bienes y servicios provenientes de Estados con los cuales no exista un Acuerdo Comercial pero respecto de los cuales el Gobierno Nacional haya certificado que los oferentes de Bienes y Servicios Nacionales gozan de trato nacional, con base en la revisión y comparación de la normativa en materia de compras y contratación pública de dicho Estado”. Tal certificado solo puede expedirse, entonces, cuando no exista tratado o acuerdo comercial suscrito con el Estado del que provenga el oferente, bien o servicio</w:t>
      </w:r>
      <w:r w:rsidRPr="00035110">
        <w:rPr>
          <w:rStyle w:val="Refdenotaalpie"/>
          <w:rFonts w:ascii="Century Gothic" w:eastAsia="Calibri" w:hAnsi="Century Gothic" w:cs="Arial"/>
          <w:bCs/>
          <w:color w:val="000000" w:themeColor="text1"/>
          <w:lang w:val="es-ES_tradnl"/>
        </w:rPr>
        <w:footnoteReference w:id="21"/>
      </w:r>
      <w:r w:rsidRPr="00035110">
        <w:rPr>
          <w:rFonts w:ascii="Century Gothic" w:eastAsia="Calibri" w:hAnsi="Century Gothic" w:cs="Arial"/>
          <w:bCs/>
          <w:color w:val="000000" w:themeColor="text1"/>
          <w:lang w:val="es-ES_tradnl"/>
        </w:rPr>
        <w:t>.</w:t>
      </w:r>
    </w:p>
    <w:p w14:paraId="7BE5BA8A" w14:textId="77777777" w:rsidR="008A30D4" w:rsidRPr="00035110" w:rsidRDefault="008A30D4" w:rsidP="008A30D4">
      <w:pPr>
        <w:tabs>
          <w:tab w:val="left" w:pos="0"/>
        </w:tabs>
        <w:spacing w:before="120" w:line="276" w:lineRule="auto"/>
        <w:ind w:firstLine="709"/>
        <w:jc w:val="both"/>
        <w:rPr>
          <w:rFonts w:ascii="Century Gothic" w:eastAsia="Calibri" w:hAnsi="Century Gothic" w:cs="Arial"/>
          <w:bCs/>
          <w:color w:val="000000" w:themeColor="text1"/>
          <w:lang w:val="es-ES_tradnl"/>
        </w:rPr>
      </w:pPr>
      <w:r w:rsidRPr="00035110">
        <w:rPr>
          <w:rFonts w:ascii="Century Gothic" w:eastAsia="Calibri" w:hAnsi="Century Gothic" w:cs="Arial"/>
          <w:bCs/>
          <w:color w:val="000000" w:themeColor="text1"/>
          <w:lang w:val="es-ES_tradnl"/>
        </w:rPr>
        <w:lastRenderedPageBreak/>
        <w:t>La tercera fuente del deber de trato nacional es el conjunto de las disposiciones de la Comunidad Andina que consagran este principio</w:t>
      </w:r>
      <w:r w:rsidRPr="00035110">
        <w:rPr>
          <w:rStyle w:val="Refdenotaalpie"/>
          <w:rFonts w:ascii="Century Gothic" w:eastAsia="Calibri" w:hAnsi="Century Gothic" w:cs="Arial"/>
          <w:bCs/>
          <w:color w:val="000000" w:themeColor="text1"/>
          <w:lang w:val="es-ES_tradnl"/>
        </w:rPr>
        <w:footnoteReference w:id="22"/>
      </w:r>
      <w:r w:rsidRPr="00035110">
        <w:rPr>
          <w:rFonts w:ascii="Century Gothic" w:eastAsia="Calibri" w:hAnsi="Century Gothic" w:cs="Arial"/>
          <w:bCs/>
          <w:color w:val="000000" w:themeColor="text1"/>
          <w:lang w:val="es-ES_tradnl"/>
        </w:rPr>
        <w:t>. Así lo reconoce el literal c) del mencionado artículo del Decreto 1082 de 2015, al establecer que las entidades estatales también deben conceder trato nacional “[…] a los servicios prestados por oferentes miembros de la Comunidad Andina de Naciones teniendo en cuenta la regulación andina aplicable a la materia”. Así, por ejemplo, el artículo 4 de la Decisión 439 de la Comisión de la Comunidad Andina, dispuso que “La adquisición de servicios por parte de organismos gubernamentales o de entidades públicas de los Países Miembros estará sujeta al principio de trato nacional entre los Países Miembros, mediante Decisión que será adoptada a más tardar el 1º de enero del año 2002. En caso de no adoptarse dicha Decisión en el plazo señalado, los Países Miembros otorgarán trato nacional en forma inmediata”.</w:t>
      </w:r>
    </w:p>
    <w:p w14:paraId="373238FE" w14:textId="77777777" w:rsidR="008A30D4" w:rsidRPr="00035110" w:rsidRDefault="008A30D4" w:rsidP="008A30D4">
      <w:pPr>
        <w:tabs>
          <w:tab w:val="left" w:pos="0"/>
        </w:tabs>
        <w:spacing w:before="120" w:line="276" w:lineRule="auto"/>
        <w:ind w:firstLine="709"/>
        <w:jc w:val="both"/>
        <w:rPr>
          <w:rFonts w:ascii="Century Gothic" w:eastAsia="Calibri" w:hAnsi="Century Gothic" w:cs="Arial"/>
          <w:bCs/>
          <w:color w:val="000000" w:themeColor="text1"/>
          <w:lang w:val="es-ES_tradnl"/>
        </w:rPr>
      </w:pPr>
      <w:r w:rsidRPr="00035110">
        <w:rPr>
          <w:rFonts w:ascii="Century Gothic" w:eastAsia="Calibri" w:hAnsi="Century Gothic" w:cs="Arial"/>
          <w:bCs/>
          <w:color w:val="000000" w:themeColor="text1"/>
          <w:lang w:val="es-ES_tradnl"/>
        </w:rPr>
        <w:t>Actualmente el artículo 20 de la Ley 80 de 1993, así como los artículos 2.2.1.2.4.1.1. y 2.2.1.2.4.1.2. del Decreto 1082 de 2015, consagran la prevalencia de los compromisos contenidos en los tratados o acuerdos comerciales suscritos por Colombia con otros Estados, sobre lo que establezca el derecho interno, el cual no puede ser contrario a los tratados. Esto se deduce de los artículos 26 y 27 de la Convención de Viena sobre el derecho de los tratados</w:t>
      </w:r>
      <w:r w:rsidRPr="00035110">
        <w:rPr>
          <w:rStyle w:val="Refdenotaalpie"/>
          <w:rFonts w:ascii="Century Gothic" w:eastAsia="Calibri" w:hAnsi="Century Gothic" w:cs="Arial"/>
          <w:bCs/>
          <w:color w:val="000000" w:themeColor="text1"/>
          <w:lang w:val="es-ES_tradnl"/>
        </w:rPr>
        <w:footnoteReference w:id="23"/>
      </w:r>
      <w:r w:rsidRPr="00035110">
        <w:rPr>
          <w:rFonts w:ascii="Century Gothic" w:eastAsia="Calibri" w:hAnsi="Century Gothic" w:cs="Arial"/>
          <w:bCs/>
          <w:color w:val="000000" w:themeColor="text1"/>
          <w:lang w:val="es-ES_tradnl"/>
        </w:rPr>
        <w:t xml:space="preserve">. </w:t>
      </w:r>
    </w:p>
    <w:p w14:paraId="1CC141AA" w14:textId="77777777" w:rsidR="008A30D4" w:rsidRPr="00035110" w:rsidRDefault="008A30D4" w:rsidP="008A30D4">
      <w:pPr>
        <w:tabs>
          <w:tab w:val="left" w:pos="0"/>
        </w:tabs>
        <w:spacing w:before="120" w:line="276" w:lineRule="auto"/>
        <w:ind w:firstLine="709"/>
        <w:jc w:val="both"/>
        <w:rPr>
          <w:rFonts w:ascii="Century Gothic" w:eastAsia="Calibri" w:hAnsi="Century Gothic" w:cs="Arial"/>
          <w:bCs/>
          <w:color w:val="000000" w:themeColor="text1"/>
          <w:lang w:val="es-ES_tradnl"/>
        </w:rPr>
      </w:pPr>
      <w:bookmarkStart w:id="12" w:name="_Hlk101515095"/>
      <w:r w:rsidRPr="00035110">
        <w:rPr>
          <w:rFonts w:ascii="Century Gothic" w:eastAsia="Calibri" w:hAnsi="Century Gothic" w:cs="Arial"/>
          <w:bCs/>
          <w:color w:val="000000" w:themeColor="text1"/>
          <w:lang w:val="es-ES_tradnl"/>
        </w:rPr>
        <w:t xml:space="preserve">Una vez analizadas las tres (3) fuentes del trato nacional en la contratación pública, el efecto de dicho beneficio es la asignación del puntaje previsto en la Ley 816 de 2003. El artículo 1 dispone que las entidades estatales, en los procedimientos de selección que realicen e independientemente del régimen contractual que les </w:t>
      </w:r>
      <w:r w:rsidRPr="00035110">
        <w:rPr>
          <w:rFonts w:ascii="Century Gothic" w:eastAsia="Calibri" w:hAnsi="Century Gothic" w:cs="Arial"/>
          <w:bCs/>
          <w:color w:val="000000" w:themeColor="text1"/>
          <w:lang w:val="es-ES_tradnl"/>
        </w:rPr>
        <w:lastRenderedPageBreak/>
        <w:t>sea aplicable, deben adoptar criterios que apoyen la industria nacional</w:t>
      </w:r>
      <w:bookmarkEnd w:id="12"/>
      <w:r w:rsidRPr="00035110">
        <w:rPr>
          <w:rFonts w:ascii="Century Gothic" w:eastAsia="Calibri" w:hAnsi="Century Gothic" w:cs="Arial"/>
          <w:bCs/>
          <w:color w:val="000000" w:themeColor="text1"/>
          <w:lang w:val="es-ES_tradnl"/>
        </w:rPr>
        <w:t xml:space="preserve">. En consonancia con lo anterior, el parágrafo </w:t>
      </w:r>
      <w:r w:rsidRPr="00035110">
        <w:rPr>
          <w:rFonts w:ascii="Century Gothic" w:eastAsia="Calibri" w:hAnsi="Century Gothic" w:cs="Arial"/>
          <w:bCs/>
          <w:i/>
          <w:iCs/>
          <w:color w:val="000000" w:themeColor="text1"/>
          <w:lang w:val="es-ES_tradnl"/>
        </w:rPr>
        <w:t>ibidem</w:t>
      </w:r>
      <w:r w:rsidRPr="00035110">
        <w:rPr>
          <w:rFonts w:ascii="Century Gothic" w:eastAsia="Calibri" w:hAnsi="Century Gothic" w:cs="Arial"/>
          <w:bCs/>
          <w:color w:val="000000" w:themeColor="text1"/>
          <w:lang w:val="es-ES_tradnl"/>
        </w:rPr>
        <w:t xml:space="preserve"> dispone lo siguiente: “Se otorgará tratamiento de bienes y servicios nacionales a aquellos bienes y servicios originarios de los países con los que Colombia ha negociado trato nacional en materia de compras estatales y de aquellos países en los cuales a las ofertas de bienes y servicios colombianos se les conceda el mismo tratamiento otorgado a sus bienes y servicios nacionales. La acreditación o demostración de tal circunstancia se hará en los términos que señale el reglamento”. Por tanto, si los extranjeros pueden acceder a este puntaje, es precisamente porque –al igual que los nacionales– están facultados para participar en los procedimientos de selección. </w:t>
      </w:r>
    </w:p>
    <w:p w14:paraId="3D00E4FC" w14:textId="77777777" w:rsidR="008A30D4" w:rsidRPr="00483D52" w:rsidRDefault="008A30D4" w:rsidP="008A30D4">
      <w:pPr>
        <w:spacing w:after="120" w:line="276" w:lineRule="auto"/>
        <w:jc w:val="both"/>
        <w:rPr>
          <w:rFonts w:ascii="Century Gothic" w:hAnsi="Century Gothic" w:cs="Arial"/>
        </w:rPr>
      </w:pPr>
      <w:r w:rsidRPr="00035110">
        <w:rPr>
          <w:rFonts w:ascii="Century Gothic" w:eastAsia="Calibri" w:hAnsi="Century Gothic" w:cs="Arial"/>
          <w:bCs/>
          <w:color w:val="000000" w:themeColor="text1"/>
          <w:lang w:val="es-ES_tradnl"/>
        </w:rPr>
        <w:tab/>
      </w:r>
      <w:r>
        <w:rPr>
          <w:rFonts w:ascii="Century Gothic" w:eastAsia="Calibri" w:hAnsi="Century Gothic" w:cs="Arial"/>
          <w:bCs/>
          <w:color w:val="000000" w:themeColor="text1"/>
          <w:lang w:val="es-ES_tradnl"/>
        </w:rPr>
        <w:t xml:space="preserve">Desde esta perspectiva, si los proponentes extranjeros pueden presentarse al proceso de selección de forma individual, con mayor razón por hacerlo a través de un consorcio o una unión temporal. </w:t>
      </w:r>
      <w:r w:rsidRPr="00483D52">
        <w:rPr>
          <w:rFonts w:ascii="Century Gothic" w:eastAsia="Calibri" w:hAnsi="Century Gothic" w:cs="Arial"/>
          <w:bCs/>
          <w:color w:val="000000" w:themeColor="text1"/>
          <w:lang w:val="es-ES_tradnl"/>
        </w:rPr>
        <w:t xml:space="preserve">Al respecto, </w:t>
      </w:r>
      <w:r w:rsidRPr="00483D52">
        <w:rPr>
          <w:rFonts w:ascii="Century Gothic" w:hAnsi="Century Gothic" w:cs="Arial"/>
          <w:color w:val="000000" w:themeColor="text1"/>
        </w:rPr>
        <w:t>es necesario tener en cuenta que el artículo 469 del Código de Comercio define a sociedad extrajera como “aquella constituidas conforme a la ley de otro país y con domicilio principal en el exterior”. A su vez, el artículo 471 del Código de Comercio dispone que “Para que una sociedad extranjera pueda emprender negocios permanentes en Colombia, establecerá una sucursal con domicilio en el territorio nacional […]”, cumpliendo con los siguientes requisitos: i</w:t>
      </w:r>
      <w:r w:rsidRPr="00483D52">
        <w:rPr>
          <w:rFonts w:ascii="Century Gothic" w:hAnsi="Century Gothic" w:cs="Arial"/>
        </w:rPr>
        <w:t>) p</w:t>
      </w:r>
      <w:r w:rsidRPr="00483D52">
        <w:rPr>
          <w:rFonts w:ascii="Century Gothic" w:hAnsi="Century Gothic" w:cs="Arial"/>
          <w:color w:val="000000"/>
        </w:rPr>
        <w:t xml:space="preserve">rotocolizar en una notaría del lugar elegido para su domicilio en el país copias auténticas del documento de su fundación, de sus estatutos, la resolución o el acto que acordó su establecimiento en Colombia y de los que acrediten que existe la sociedad y la personería de sus representantes y; </w:t>
      </w:r>
      <w:proofErr w:type="spellStart"/>
      <w:r w:rsidRPr="00483D52">
        <w:rPr>
          <w:rFonts w:ascii="Century Gothic" w:hAnsi="Century Gothic" w:cs="Arial"/>
          <w:color w:val="000000"/>
        </w:rPr>
        <w:t>ii</w:t>
      </w:r>
      <w:proofErr w:type="spellEnd"/>
      <w:r w:rsidRPr="00483D52">
        <w:rPr>
          <w:rFonts w:ascii="Century Gothic" w:hAnsi="Century Gothic" w:cs="Arial"/>
          <w:color w:val="000000"/>
        </w:rPr>
        <w:t xml:space="preserve">) obtener permiso para funcionar en el país de parte de la Superintendencia de Sociedades o de la Superintendencia Bancaria, según el caso. </w:t>
      </w:r>
    </w:p>
    <w:p w14:paraId="665D634C" w14:textId="77777777" w:rsidR="008A30D4" w:rsidRPr="00483D52" w:rsidRDefault="008A30D4" w:rsidP="008A30D4">
      <w:pPr>
        <w:spacing w:after="0" w:line="276" w:lineRule="auto"/>
        <w:ind w:right="51" w:firstLine="709"/>
        <w:jc w:val="both"/>
        <w:rPr>
          <w:rFonts w:ascii="Century Gothic" w:hAnsi="Century Gothic" w:cs="Arial"/>
          <w:color w:val="000000" w:themeColor="text1"/>
          <w:lang w:val="es-MX"/>
        </w:rPr>
      </w:pPr>
      <w:r w:rsidRPr="00483D52">
        <w:rPr>
          <w:rFonts w:ascii="Century Gothic" w:hAnsi="Century Gothic" w:cs="Arial"/>
          <w:color w:val="000000" w:themeColor="text1"/>
        </w:rPr>
        <w:t xml:space="preserve">Adicionalmente, para las sociedades extranjeras que pretendan realizar actividades permanentes en el territorio nacional, el artículo 482 del Código de Comercio dispone que “Quienes actúen a nombre y representación de personas extranjeras sin dar cumplimiento a las normas del presente Título, responderán solidariamente con dichas personas de las obligaciones que contraigan en Colombia”. De esta manera, el artículo 483 </w:t>
      </w:r>
      <w:r w:rsidRPr="00483D52">
        <w:rPr>
          <w:rFonts w:ascii="Century Gothic" w:hAnsi="Century Gothic" w:cs="Arial"/>
          <w:i/>
          <w:iCs/>
          <w:color w:val="000000" w:themeColor="text1"/>
        </w:rPr>
        <w:t>ibidem</w:t>
      </w:r>
      <w:r w:rsidRPr="00483D52">
        <w:rPr>
          <w:rFonts w:ascii="Century Gothic" w:hAnsi="Century Gothic" w:cs="Arial"/>
          <w:color w:val="000000" w:themeColor="text1"/>
          <w:lang w:val="es-MX"/>
        </w:rPr>
        <w:t xml:space="preserve"> también dispone que “</w:t>
      </w:r>
      <w:r w:rsidRPr="00483D52">
        <w:rPr>
          <w:rFonts w:ascii="Century Gothic" w:hAnsi="Century Gothic" w:cs="Arial"/>
          <w:color w:val="000000" w:themeColor="text1"/>
        </w:rPr>
        <w:t xml:space="preserve">El Superintendente de Sociedades o el Bancario, según el caso, podrá sancionar con multas sucesivas hasta de cincuenta mil pesos a las personas extranjeras que inicien o desarrollen actividades sin dar cumplimiento a las normas del presente Título, así como a sus representantes, gerentes, apoderados, directores o gestores. El respectivo superintendente tendrá, respecto de las sucursales, las atribuciones que le confieren las leyes en relación con la vigilancia de las sociedades </w:t>
      </w:r>
      <w:r w:rsidRPr="00483D52">
        <w:rPr>
          <w:rFonts w:ascii="Century Gothic" w:hAnsi="Century Gothic" w:cs="Arial"/>
          <w:color w:val="000000" w:themeColor="text1"/>
        </w:rPr>
        <w:lastRenderedPageBreak/>
        <w:t>nacionales”.</w:t>
      </w:r>
      <w:r w:rsidRPr="00483D52">
        <w:rPr>
          <w:rFonts w:ascii="Century Gothic" w:hAnsi="Century Gothic" w:cs="Arial"/>
          <w:color w:val="000000" w:themeColor="text1"/>
          <w:lang w:val="es-MX"/>
        </w:rPr>
        <w:t xml:space="preserve"> Por su parte, el artículo 474 del Código de Comercio entiende por actividades permanentes para efectos del artículo 471: </w:t>
      </w:r>
    </w:p>
    <w:p w14:paraId="27B74CF4" w14:textId="77777777" w:rsidR="008A30D4" w:rsidRPr="00483D52" w:rsidRDefault="008A30D4" w:rsidP="008A30D4">
      <w:pPr>
        <w:spacing w:after="0" w:line="276" w:lineRule="auto"/>
        <w:ind w:right="49"/>
        <w:jc w:val="both"/>
        <w:rPr>
          <w:rFonts w:ascii="Century Gothic" w:hAnsi="Century Gothic" w:cs="Arial"/>
          <w:color w:val="000000" w:themeColor="text1"/>
        </w:rPr>
      </w:pPr>
    </w:p>
    <w:p w14:paraId="3E0FE729" w14:textId="77777777" w:rsidR="008A30D4" w:rsidRPr="00483D52" w:rsidRDefault="008A30D4" w:rsidP="008A30D4">
      <w:pPr>
        <w:spacing w:line="240" w:lineRule="auto"/>
        <w:ind w:left="709" w:right="709"/>
        <w:jc w:val="both"/>
        <w:rPr>
          <w:rFonts w:ascii="Century Gothic" w:hAnsi="Century Gothic" w:cs="Arial"/>
          <w:color w:val="000000" w:themeColor="text1"/>
          <w:sz w:val="21"/>
          <w:szCs w:val="21"/>
          <w:lang w:val="es-MX"/>
        </w:rPr>
      </w:pPr>
      <w:r w:rsidRPr="00483D52">
        <w:rPr>
          <w:rFonts w:ascii="Century Gothic" w:hAnsi="Century Gothic" w:cs="Arial"/>
          <w:color w:val="000000" w:themeColor="text1"/>
          <w:sz w:val="21"/>
          <w:szCs w:val="21"/>
        </w:rPr>
        <w:t>“1) Abrir dentro del territorio de la República establecimientos mercantiles u oficinas de negocios aunque éstas solamente tengan un carácter técnico o de asesoría;</w:t>
      </w:r>
    </w:p>
    <w:p w14:paraId="0323E46B" w14:textId="77777777" w:rsidR="008A30D4" w:rsidRPr="00483D52" w:rsidRDefault="008A30D4" w:rsidP="008A30D4">
      <w:pPr>
        <w:spacing w:line="240" w:lineRule="auto"/>
        <w:ind w:left="709" w:right="709"/>
        <w:jc w:val="both"/>
        <w:rPr>
          <w:rFonts w:ascii="Century Gothic" w:hAnsi="Century Gothic" w:cs="Arial"/>
          <w:color w:val="000000" w:themeColor="text1"/>
          <w:sz w:val="21"/>
          <w:szCs w:val="21"/>
        </w:rPr>
      </w:pPr>
      <w:r w:rsidRPr="00483D52">
        <w:rPr>
          <w:rFonts w:ascii="Century Gothic" w:hAnsi="Century Gothic" w:cs="Arial"/>
          <w:color w:val="000000" w:themeColor="text1"/>
          <w:sz w:val="21"/>
          <w:szCs w:val="21"/>
        </w:rPr>
        <w:t>2) Intervenir como contratista en la ejecución de obras o en la prestación de servicios;</w:t>
      </w:r>
    </w:p>
    <w:p w14:paraId="12FE8C27" w14:textId="77777777" w:rsidR="008A30D4" w:rsidRPr="00483D52" w:rsidRDefault="008A30D4" w:rsidP="008A30D4">
      <w:pPr>
        <w:spacing w:line="240" w:lineRule="auto"/>
        <w:ind w:left="709" w:right="709"/>
        <w:jc w:val="both"/>
        <w:rPr>
          <w:rFonts w:ascii="Century Gothic" w:hAnsi="Century Gothic" w:cs="Arial"/>
          <w:color w:val="000000" w:themeColor="text1"/>
          <w:sz w:val="21"/>
          <w:szCs w:val="21"/>
        </w:rPr>
      </w:pPr>
      <w:r w:rsidRPr="00483D52">
        <w:rPr>
          <w:rFonts w:ascii="Century Gothic" w:hAnsi="Century Gothic" w:cs="Arial"/>
          <w:color w:val="000000" w:themeColor="text1"/>
          <w:sz w:val="21"/>
          <w:szCs w:val="21"/>
        </w:rPr>
        <w:t>3) Participar en cualquier forma en actividades que tengan por objeto el manejo, aprovechamiento o inversión de fondos provenientes del ahorro privado;</w:t>
      </w:r>
    </w:p>
    <w:p w14:paraId="4A537F40" w14:textId="77777777" w:rsidR="008A30D4" w:rsidRPr="00483D52" w:rsidRDefault="008A30D4" w:rsidP="008A30D4">
      <w:pPr>
        <w:spacing w:line="240" w:lineRule="auto"/>
        <w:ind w:left="709" w:right="709"/>
        <w:jc w:val="both"/>
        <w:rPr>
          <w:rFonts w:ascii="Century Gothic" w:hAnsi="Century Gothic" w:cs="Arial"/>
          <w:color w:val="000000" w:themeColor="text1"/>
          <w:sz w:val="21"/>
          <w:szCs w:val="21"/>
        </w:rPr>
      </w:pPr>
      <w:r w:rsidRPr="00483D52">
        <w:rPr>
          <w:rFonts w:ascii="Century Gothic" w:hAnsi="Century Gothic" w:cs="Arial"/>
          <w:color w:val="000000" w:themeColor="text1"/>
          <w:sz w:val="21"/>
          <w:szCs w:val="21"/>
        </w:rPr>
        <w:t>4) Dedicarse a la industria extractiva en cualquiera de sus ramas o servicios;</w:t>
      </w:r>
    </w:p>
    <w:p w14:paraId="004584E2" w14:textId="77777777" w:rsidR="008A30D4" w:rsidRPr="00483D52" w:rsidRDefault="008A30D4" w:rsidP="008A30D4">
      <w:pPr>
        <w:spacing w:line="240" w:lineRule="auto"/>
        <w:ind w:left="709" w:right="709"/>
        <w:jc w:val="both"/>
        <w:rPr>
          <w:rFonts w:ascii="Century Gothic" w:hAnsi="Century Gothic" w:cs="Arial"/>
          <w:color w:val="000000" w:themeColor="text1"/>
          <w:sz w:val="21"/>
          <w:szCs w:val="21"/>
        </w:rPr>
      </w:pPr>
      <w:r w:rsidRPr="00483D52">
        <w:rPr>
          <w:rFonts w:ascii="Century Gothic" w:hAnsi="Century Gothic" w:cs="Arial"/>
          <w:color w:val="000000" w:themeColor="text1"/>
          <w:sz w:val="21"/>
          <w:szCs w:val="21"/>
        </w:rPr>
        <w:t xml:space="preserve">5) Obtener del Estado colombiano una concesión o que ésta le hubiere sido cedida a cualquier título, o que en alguna forma participe en la explotación de </w:t>
      </w:r>
      <w:proofErr w:type="gramStart"/>
      <w:r w:rsidRPr="00483D52">
        <w:rPr>
          <w:rFonts w:ascii="Century Gothic" w:hAnsi="Century Gothic" w:cs="Arial"/>
          <w:color w:val="000000" w:themeColor="text1"/>
          <w:sz w:val="21"/>
          <w:szCs w:val="21"/>
        </w:rPr>
        <w:t>la misma</w:t>
      </w:r>
      <w:proofErr w:type="gramEnd"/>
      <w:r w:rsidRPr="00483D52">
        <w:rPr>
          <w:rFonts w:ascii="Century Gothic" w:hAnsi="Century Gothic" w:cs="Arial"/>
          <w:color w:val="000000" w:themeColor="text1"/>
          <w:sz w:val="21"/>
          <w:szCs w:val="21"/>
        </w:rPr>
        <w:t xml:space="preserve"> y,</w:t>
      </w:r>
    </w:p>
    <w:p w14:paraId="06078249" w14:textId="77777777" w:rsidR="008A30D4" w:rsidRPr="00483D52" w:rsidRDefault="008A30D4" w:rsidP="008A30D4">
      <w:pPr>
        <w:spacing w:after="0" w:line="240" w:lineRule="auto"/>
        <w:ind w:left="709" w:right="709"/>
        <w:jc w:val="both"/>
        <w:rPr>
          <w:rFonts w:ascii="Century Gothic" w:hAnsi="Century Gothic" w:cs="Arial"/>
          <w:color w:val="000000" w:themeColor="text1"/>
          <w:sz w:val="21"/>
          <w:szCs w:val="21"/>
        </w:rPr>
      </w:pPr>
      <w:r w:rsidRPr="00483D52">
        <w:rPr>
          <w:rFonts w:ascii="Century Gothic" w:hAnsi="Century Gothic" w:cs="Arial"/>
          <w:color w:val="000000" w:themeColor="text1"/>
          <w:sz w:val="21"/>
          <w:szCs w:val="21"/>
        </w:rPr>
        <w:t>6) El funcionamiento de sus asambleas de asociados, juntas directivas, gerencia o administración en el territorio nacional”.</w:t>
      </w:r>
    </w:p>
    <w:p w14:paraId="691DD621" w14:textId="77777777" w:rsidR="008A30D4" w:rsidRPr="00483D52" w:rsidRDefault="008A30D4" w:rsidP="008A30D4">
      <w:pPr>
        <w:spacing w:after="0" w:line="276" w:lineRule="auto"/>
        <w:ind w:right="49"/>
        <w:jc w:val="both"/>
        <w:rPr>
          <w:rFonts w:ascii="Century Gothic" w:hAnsi="Century Gothic" w:cs="Arial"/>
          <w:color w:val="000000" w:themeColor="text1"/>
        </w:rPr>
      </w:pPr>
    </w:p>
    <w:p w14:paraId="38AC8D43" w14:textId="77777777" w:rsidR="008A30D4" w:rsidRPr="00483D52" w:rsidRDefault="008A30D4" w:rsidP="008A30D4">
      <w:pPr>
        <w:spacing w:after="120" w:line="276" w:lineRule="auto"/>
        <w:ind w:right="51" w:firstLine="709"/>
        <w:jc w:val="both"/>
        <w:rPr>
          <w:rFonts w:ascii="Century Gothic" w:eastAsia="Calibri" w:hAnsi="Century Gothic" w:cs="Arial"/>
          <w:color w:val="000000" w:themeColor="text1"/>
          <w:lang w:val="es-MX"/>
        </w:rPr>
      </w:pPr>
      <w:r w:rsidRPr="00483D52">
        <w:rPr>
          <w:rFonts w:ascii="Century Gothic" w:hAnsi="Century Gothic" w:cs="Arial"/>
          <w:color w:val="000000" w:themeColor="text1"/>
        </w:rPr>
        <w:t xml:space="preserve">De acuerdo a lo anterior, </w:t>
      </w:r>
      <w:r w:rsidRPr="00483D52">
        <w:rPr>
          <w:rFonts w:ascii="Century Gothic" w:eastAsia="Calibri" w:hAnsi="Century Gothic" w:cs="Arial"/>
          <w:color w:val="000000" w:themeColor="text1"/>
        </w:rPr>
        <w:t>el acápite IV</w:t>
      </w:r>
      <w:r w:rsidRPr="00483D52">
        <w:rPr>
          <w:rFonts w:ascii="Century Gothic" w:hAnsi="Century Gothic" w:cs="Arial"/>
          <w:color w:val="000000" w:themeColor="text1"/>
        </w:rPr>
        <w:t xml:space="preserve"> de la “Guía de Asuntos Corporativos en los Procesos de </w:t>
      </w:r>
      <w:proofErr w:type="spellStart"/>
      <w:r w:rsidRPr="00483D52">
        <w:rPr>
          <w:rFonts w:ascii="Century Gothic" w:hAnsi="Century Gothic" w:cs="Arial"/>
          <w:color w:val="000000" w:themeColor="text1"/>
        </w:rPr>
        <w:t>Contratación</w:t>
      </w:r>
      <w:proofErr w:type="spellEnd"/>
      <w:r w:rsidRPr="00483D52">
        <w:rPr>
          <w:rFonts w:ascii="Century Gothic" w:hAnsi="Century Gothic" w:cs="Arial"/>
          <w:color w:val="000000" w:themeColor="text1"/>
        </w:rPr>
        <w:t xml:space="preserve">”, expedida por la </w:t>
      </w:r>
      <w:r w:rsidRPr="00483D52">
        <w:rPr>
          <w:rFonts w:ascii="Century Gothic" w:eastAsia="Calibri" w:hAnsi="Century Gothic" w:cs="Arial"/>
          <w:color w:val="000000" w:themeColor="text1"/>
        </w:rPr>
        <w:t>Agencia Nacional de Contratación Pública – Colombia Compra Eficiente, precisa que “</w:t>
      </w:r>
      <w:r w:rsidRPr="00483D52">
        <w:rPr>
          <w:rFonts w:ascii="Century Gothic" w:eastAsia="Calibri" w:hAnsi="Century Gothic" w:cs="Arial"/>
          <w:color w:val="000000" w:themeColor="text1"/>
          <w:lang w:val="es-MX"/>
        </w:rPr>
        <w:t>Para la presentación de la oferta no será necesario que se constituya una sucursal en Colombia pues esto solo es obligatorio si se resulta adjudicatario en Procesos de Contratación que tengan por objeto la construcción de obras o la prestación de servicios, pues en estos dos casos, se entiende que la persona jurídica extranjera está ejerciendo negocios permanentes en Colombia”</w:t>
      </w:r>
      <w:r w:rsidRPr="00483D52">
        <w:rPr>
          <w:rStyle w:val="Refdenotaalpie"/>
          <w:rFonts w:ascii="Century Gothic" w:hAnsi="Century Gothic" w:cs="Arial"/>
          <w:color w:val="000000" w:themeColor="text1"/>
        </w:rPr>
        <w:footnoteReference w:id="24"/>
      </w:r>
      <w:r w:rsidRPr="00483D52">
        <w:rPr>
          <w:rFonts w:ascii="Century Gothic" w:eastAsia="Calibri" w:hAnsi="Century Gothic" w:cs="Arial"/>
          <w:color w:val="000000" w:themeColor="text1"/>
          <w:lang w:val="es-MX"/>
        </w:rPr>
        <w:t>.</w:t>
      </w:r>
      <w:r w:rsidRPr="00483D52">
        <w:rPr>
          <w:rFonts w:ascii="Century Gothic" w:eastAsia="Calibri" w:hAnsi="Century Gothic" w:cs="Arial"/>
          <w:color w:val="000000" w:themeColor="text1"/>
        </w:rPr>
        <w:t xml:space="preserve"> </w:t>
      </w:r>
    </w:p>
    <w:p w14:paraId="4EB40BCC" w14:textId="77777777" w:rsidR="008A30D4" w:rsidRPr="00483D52" w:rsidRDefault="008A30D4" w:rsidP="008A30D4">
      <w:pPr>
        <w:spacing w:line="276" w:lineRule="auto"/>
        <w:ind w:right="49" w:firstLine="708"/>
        <w:jc w:val="both"/>
        <w:rPr>
          <w:rFonts w:ascii="Arial" w:hAnsi="Arial" w:cs="Arial"/>
          <w:color w:val="000000" w:themeColor="text1"/>
        </w:rPr>
      </w:pPr>
      <w:r w:rsidRPr="00483D52">
        <w:rPr>
          <w:rFonts w:ascii="Century Gothic" w:hAnsi="Century Gothic" w:cs="Arial"/>
          <w:color w:val="000000" w:themeColor="text1"/>
        </w:rPr>
        <w:t xml:space="preserve">Por lo tanto, para que una sociedad extrajera pueda desarrollar una actividad comercial considerada permanente según el artículo 474 del Código de Comercio deberá establecer una sucursal con domicilio en el territorio nacional –art. 471 </w:t>
      </w:r>
      <w:r w:rsidRPr="00483D52">
        <w:rPr>
          <w:rFonts w:ascii="Century Gothic" w:hAnsi="Century Gothic" w:cs="Arial"/>
          <w:i/>
          <w:iCs/>
          <w:color w:val="000000" w:themeColor="text1"/>
        </w:rPr>
        <w:t>ibidem</w:t>
      </w:r>
      <w:r w:rsidRPr="00483D52">
        <w:rPr>
          <w:rFonts w:ascii="Century Gothic" w:hAnsi="Century Gothic" w:cs="Arial"/>
          <w:color w:val="000000" w:themeColor="text1"/>
        </w:rPr>
        <w:t xml:space="preserve">–, y la presencia de la sucursal en el territorio colombiano supone el cumplimiento de las obligaciones previstas en el ordenamiento jurídico, ya que “Es deber de los nacionales y de los extranjeros en Colombia acatar la Constitución y las leyes, y respetar y obedecer a las autoridades” –art. 3, inc. 2, de la Constitución </w:t>
      </w:r>
      <w:r w:rsidRPr="00483D52">
        <w:rPr>
          <w:rFonts w:ascii="Century Gothic" w:hAnsi="Century Gothic" w:cs="Arial"/>
          <w:color w:val="000000" w:themeColor="text1"/>
        </w:rPr>
        <w:lastRenderedPageBreak/>
        <w:t xml:space="preserve">Política–, por lo que “La ley es obligatoria tanto a los nacionales como a los extranjeros residentes en Colombia” –art. 18 del Código Civil–. </w:t>
      </w:r>
    </w:p>
    <w:p w14:paraId="6C355D62" w14:textId="77777777" w:rsidR="008A30D4" w:rsidRPr="00035110" w:rsidRDefault="008A30D4" w:rsidP="008A30D4">
      <w:pPr>
        <w:tabs>
          <w:tab w:val="left" w:pos="0"/>
        </w:tabs>
        <w:spacing w:before="120" w:after="0" w:line="276" w:lineRule="auto"/>
        <w:jc w:val="both"/>
        <w:rPr>
          <w:rFonts w:ascii="Century Gothic" w:eastAsia="Calibri" w:hAnsi="Century Gothic" w:cs="Arial"/>
          <w:color w:val="000000" w:themeColor="text1"/>
        </w:rPr>
      </w:pPr>
      <w:r w:rsidRPr="00035110">
        <w:rPr>
          <w:rFonts w:ascii="Century Gothic" w:eastAsia="Calibri" w:hAnsi="Century Gothic" w:cs="Arial"/>
          <w:bCs/>
          <w:color w:val="000000" w:themeColor="text1"/>
          <w:lang w:val="es-ES_tradnl"/>
        </w:rPr>
        <w:tab/>
        <w:t xml:space="preserve">En todo caso, en línea con el artículo 12 de la Ley 1150 de 2007, el citado </w:t>
      </w:r>
      <w:r w:rsidRPr="00035110">
        <w:rPr>
          <w:rFonts w:ascii="Century Gothic" w:eastAsia="Calibri" w:hAnsi="Century Gothic" w:cs="Arial"/>
          <w:color w:val="000000" w:themeColor="text1"/>
        </w:rPr>
        <w:t>Concepto</w:t>
      </w:r>
      <w:r w:rsidRPr="00035110">
        <w:rPr>
          <w:rFonts w:ascii="Century Gothic" w:eastAsia="Calibri" w:hAnsi="Century Gothic" w:cs="Arial"/>
          <w:color w:val="000000" w:themeColor="text1"/>
          <w:lang w:val="es-ES"/>
        </w:rPr>
        <w:t xml:space="preserve"> 2201913000006511 del 3 de septiembre de 2019 precisa que “Si la entidad estatal limita el proceso de contratación a </w:t>
      </w:r>
      <w:proofErr w:type="spellStart"/>
      <w:r w:rsidRPr="00035110">
        <w:rPr>
          <w:rFonts w:ascii="Century Gothic" w:eastAsia="Calibri" w:hAnsi="Century Gothic" w:cs="Arial"/>
          <w:color w:val="000000" w:themeColor="text1"/>
          <w:lang w:val="es-ES"/>
        </w:rPr>
        <w:t>Mipymes</w:t>
      </w:r>
      <w:proofErr w:type="spellEnd"/>
      <w:r w:rsidRPr="00035110">
        <w:rPr>
          <w:rFonts w:ascii="Century Gothic" w:eastAsia="Calibri" w:hAnsi="Century Gothic" w:cs="Arial"/>
          <w:color w:val="000000" w:themeColor="text1"/>
          <w:lang w:val="es-ES"/>
        </w:rPr>
        <w:t xml:space="preserve"> nacionales, de acuerdo con el artículo 2.2.1.2.4.2.2 del Decreto 1082 de 2015, las entidades tienen la facultad de limitar la convocatoria a </w:t>
      </w:r>
      <w:proofErr w:type="spellStart"/>
      <w:r w:rsidRPr="00035110">
        <w:rPr>
          <w:rFonts w:ascii="Century Gothic" w:eastAsia="Calibri" w:hAnsi="Century Gothic" w:cs="Arial"/>
          <w:color w:val="000000" w:themeColor="text1"/>
          <w:lang w:val="es-ES"/>
        </w:rPr>
        <w:t>Mipymes</w:t>
      </w:r>
      <w:proofErr w:type="spellEnd"/>
      <w:r w:rsidRPr="00035110">
        <w:rPr>
          <w:rFonts w:ascii="Century Gothic" w:eastAsia="Calibri" w:hAnsi="Century Gothic" w:cs="Arial"/>
          <w:color w:val="000000" w:themeColor="text1"/>
          <w:lang w:val="es-ES"/>
        </w:rPr>
        <w:t xml:space="preserve"> nacionales domiciliadas en los departamentos o municipios en donde se va a ejecutar el contrato. En este caso, la entidad estatal podrá fijar como requisito habilitante que la </w:t>
      </w:r>
      <w:proofErr w:type="spellStart"/>
      <w:r w:rsidRPr="00035110">
        <w:rPr>
          <w:rFonts w:ascii="Century Gothic" w:eastAsia="Calibri" w:hAnsi="Century Gothic" w:cs="Arial"/>
          <w:color w:val="000000" w:themeColor="text1"/>
          <w:lang w:val="es-ES"/>
        </w:rPr>
        <w:t>Mipyme</w:t>
      </w:r>
      <w:proofErr w:type="spellEnd"/>
      <w:r w:rsidRPr="00035110">
        <w:rPr>
          <w:rFonts w:ascii="Century Gothic" w:eastAsia="Calibri" w:hAnsi="Century Gothic" w:cs="Arial"/>
          <w:color w:val="000000" w:themeColor="text1"/>
          <w:lang w:val="es-ES"/>
        </w:rPr>
        <w:t xml:space="preserve"> acredite […] que está domiciliada en el departamento o municipio en donde se va a ejecutar el contrato”</w:t>
      </w:r>
      <w:r w:rsidRPr="00035110">
        <w:rPr>
          <w:rStyle w:val="Refdenotaalpie"/>
          <w:rFonts w:ascii="Century Gothic" w:eastAsia="Calibri" w:hAnsi="Century Gothic" w:cs="Arial"/>
          <w:color w:val="000000" w:themeColor="text1"/>
          <w:lang w:val="es-ES"/>
        </w:rPr>
        <w:footnoteReference w:id="25"/>
      </w:r>
      <w:r w:rsidRPr="00035110">
        <w:rPr>
          <w:rFonts w:ascii="Century Gothic" w:eastAsia="Calibri" w:hAnsi="Century Gothic" w:cs="Arial"/>
          <w:color w:val="000000" w:themeColor="text1"/>
          <w:lang w:val="es-ES"/>
        </w:rPr>
        <w:t>. Esta norma establece un trato preferencial</w:t>
      </w:r>
      <w:r w:rsidRPr="00035110">
        <w:rPr>
          <w:rFonts w:ascii="Century Gothic" w:eastAsia="Calibri" w:hAnsi="Century Gothic" w:cs="Arial"/>
          <w:color w:val="000000"/>
          <w:lang w:val="es-ES_tradnl"/>
        </w:rPr>
        <w:t>, y se explicará en el siguiente acápite.</w:t>
      </w:r>
    </w:p>
    <w:p w14:paraId="564C755B" w14:textId="77777777" w:rsidR="008A30D4" w:rsidRPr="00035110" w:rsidRDefault="008A30D4" w:rsidP="008A30D4">
      <w:pPr>
        <w:spacing w:after="0" w:line="276" w:lineRule="auto"/>
        <w:jc w:val="both"/>
        <w:rPr>
          <w:rFonts w:ascii="Century Gothic" w:eastAsia="Calibri" w:hAnsi="Century Gothic" w:cs="Arial"/>
          <w:color w:val="000000" w:themeColor="text1"/>
        </w:rPr>
      </w:pPr>
    </w:p>
    <w:p w14:paraId="4E3F0E88" w14:textId="77777777" w:rsidR="008A30D4" w:rsidRPr="00035110" w:rsidRDefault="008A30D4" w:rsidP="008A30D4">
      <w:pPr>
        <w:tabs>
          <w:tab w:val="left" w:pos="426"/>
        </w:tabs>
        <w:spacing w:after="0" w:line="276" w:lineRule="auto"/>
        <w:contextualSpacing/>
        <w:jc w:val="both"/>
        <w:rPr>
          <w:rFonts w:ascii="Century Gothic" w:eastAsia="Calibri" w:hAnsi="Century Gothic" w:cs="Arial"/>
          <w:b/>
          <w:bCs/>
          <w:lang w:val="es-MX"/>
        </w:rPr>
      </w:pPr>
      <w:r w:rsidRPr="00035110">
        <w:rPr>
          <w:rFonts w:ascii="Century Gothic" w:eastAsia="Calibri" w:hAnsi="Century Gothic" w:cs="Arial"/>
          <w:b/>
          <w:bCs/>
          <w:color w:val="000000" w:themeColor="text1"/>
        </w:rPr>
        <w:t xml:space="preserve">2.3. </w:t>
      </w:r>
      <w:r w:rsidRPr="00035110">
        <w:rPr>
          <w:rFonts w:ascii="Century Gothic" w:eastAsia="Calibri" w:hAnsi="Century Gothic" w:cs="Arial"/>
          <w:b/>
          <w:bCs/>
          <w:lang w:val="es-MX"/>
        </w:rPr>
        <w:t xml:space="preserve">Convocatorias limitadas a </w:t>
      </w:r>
      <w:proofErr w:type="spellStart"/>
      <w:r w:rsidRPr="00035110">
        <w:rPr>
          <w:rFonts w:ascii="Century Gothic" w:eastAsia="Calibri" w:hAnsi="Century Gothic" w:cs="Arial"/>
          <w:b/>
          <w:bCs/>
          <w:lang w:val="es-MX"/>
        </w:rPr>
        <w:t>Mipymes</w:t>
      </w:r>
      <w:proofErr w:type="spellEnd"/>
      <w:r w:rsidRPr="00035110">
        <w:rPr>
          <w:rFonts w:ascii="Century Gothic" w:eastAsia="Calibri" w:hAnsi="Century Gothic" w:cs="Arial"/>
          <w:b/>
          <w:bCs/>
          <w:lang w:val="es-MX"/>
        </w:rPr>
        <w:t xml:space="preserve"> en el sistema de compras públicas</w:t>
      </w:r>
    </w:p>
    <w:p w14:paraId="641D5584" w14:textId="77777777" w:rsidR="008A30D4" w:rsidRPr="00035110" w:rsidRDefault="008A30D4" w:rsidP="008A30D4">
      <w:pPr>
        <w:tabs>
          <w:tab w:val="left" w:pos="426"/>
        </w:tabs>
        <w:spacing w:after="0" w:line="276" w:lineRule="auto"/>
        <w:contextualSpacing/>
        <w:jc w:val="both"/>
        <w:rPr>
          <w:rFonts w:ascii="Century Gothic" w:eastAsia="Calibri" w:hAnsi="Century Gothic" w:cs="Arial"/>
          <w:b/>
          <w:lang w:val="es-MX"/>
        </w:rPr>
      </w:pPr>
    </w:p>
    <w:p w14:paraId="54668830" w14:textId="77777777" w:rsidR="008A30D4" w:rsidRPr="00035110" w:rsidRDefault="008A30D4" w:rsidP="008A30D4">
      <w:pPr>
        <w:spacing w:after="0" w:line="276" w:lineRule="auto"/>
        <w:jc w:val="both"/>
        <w:rPr>
          <w:rFonts w:ascii="Century Gothic" w:eastAsia="Arial" w:hAnsi="Century Gothic" w:cs="Arial"/>
          <w:color w:val="000000"/>
        </w:rPr>
      </w:pPr>
      <w:r w:rsidRPr="00035110">
        <w:rPr>
          <w:rFonts w:ascii="Century Gothic" w:eastAsia="Arial" w:hAnsi="Century Gothic" w:cs="Arial"/>
          <w:color w:val="000000"/>
        </w:rPr>
        <w:t xml:space="preserve">En desarrollo del artículo 12 de la Ley 1150 de 2007, el artículo 2.2.1.2.4.2.2 del Decreto 1082 de 2015 –modificado por el Decreto 1860 de 2021– establece los requisitos que se deben acreditar en las “convocatorias limitadas a </w:t>
      </w:r>
      <w:proofErr w:type="spellStart"/>
      <w:r w:rsidRPr="00035110">
        <w:rPr>
          <w:rFonts w:ascii="Century Gothic" w:eastAsia="Arial" w:hAnsi="Century Gothic" w:cs="Arial"/>
          <w:color w:val="000000"/>
        </w:rPr>
        <w:t>Mipymes</w:t>
      </w:r>
      <w:proofErr w:type="spellEnd"/>
      <w:r w:rsidRPr="00035110">
        <w:rPr>
          <w:rFonts w:ascii="Century Gothic" w:eastAsia="Arial" w:hAnsi="Century Gothic" w:cs="Arial"/>
          <w:color w:val="000000"/>
        </w:rPr>
        <w:t xml:space="preserve">”. El inciso primero de la referida norma exige que las entidades estatales independientemente de su régimen de contratación, los patrimonios autónomos constituidos por entidades estatales y los particulares que ejecuten recursos públicos, limiten las convocatorias de los procesos de contratación a las </w:t>
      </w:r>
      <w:proofErr w:type="spellStart"/>
      <w:r w:rsidRPr="00035110">
        <w:rPr>
          <w:rFonts w:ascii="Century Gothic" w:eastAsia="Arial" w:hAnsi="Century Gothic" w:cs="Arial"/>
          <w:color w:val="000000"/>
        </w:rPr>
        <w:t>Mipyme</w:t>
      </w:r>
      <w:proofErr w:type="spellEnd"/>
      <w:r w:rsidRPr="00035110">
        <w:rPr>
          <w:rFonts w:ascii="Century Gothic" w:eastAsia="Arial" w:hAnsi="Century Gothic" w:cs="Arial"/>
          <w:color w:val="000000"/>
        </w:rPr>
        <w:t xml:space="preserve"> colombianas con mínimo un (1) año de existencia, siempre que se cumplan los requisitos señalados allí. Al respecto indica lo siguiente: </w:t>
      </w:r>
    </w:p>
    <w:p w14:paraId="7C836E1A" w14:textId="77777777" w:rsidR="008A30D4" w:rsidRPr="00035110" w:rsidRDefault="008A30D4" w:rsidP="008A30D4">
      <w:pPr>
        <w:spacing w:after="0" w:line="276" w:lineRule="auto"/>
        <w:ind w:firstLine="709"/>
        <w:jc w:val="both"/>
        <w:rPr>
          <w:rFonts w:ascii="Century Gothic" w:eastAsia="Arial" w:hAnsi="Century Gothic" w:cs="Arial"/>
          <w:color w:val="000000"/>
        </w:rPr>
      </w:pPr>
    </w:p>
    <w:p w14:paraId="5923E563" w14:textId="77777777" w:rsidR="008A30D4" w:rsidRPr="00035110" w:rsidRDefault="008A30D4" w:rsidP="740D53F7">
      <w:pPr>
        <w:spacing w:after="120" w:line="240" w:lineRule="auto"/>
        <w:ind w:left="709" w:right="709"/>
        <w:jc w:val="both"/>
        <w:rPr>
          <w:rFonts w:ascii="Century Gothic" w:eastAsia="Calibri" w:hAnsi="Century Gothic" w:cs="Arial"/>
          <w:sz w:val="21"/>
          <w:szCs w:val="21"/>
          <w:lang w:val="es-ES"/>
        </w:rPr>
      </w:pPr>
      <w:r w:rsidRPr="740D53F7">
        <w:rPr>
          <w:rFonts w:ascii="Century Gothic" w:eastAsia="Calibri" w:hAnsi="Century Gothic" w:cs="Arial"/>
          <w:sz w:val="21"/>
          <w:szCs w:val="21"/>
          <w:lang w:val="es-ES"/>
        </w:rPr>
        <w:t xml:space="preserve">“Artículo 2.2.1.2.4.2.2. Convocatorias Imitadas a </w:t>
      </w:r>
      <w:proofErr w:type="spellStart"/>
      <w:r w:rsidRPr="740D53F7">
        <w:rPr>
          <w:rFonts w:ascii="Century Gothic" w:eastAsia="Calibri" w:hAnsi="Century Gothic" w:cs="Arial"/>
          <w:sz w:val="21"/>
          <w:szCs w:val="21"/>
          <w:lang w:val="es-ES"/>
        </w:rPr>
        <w:t>Mipyme</w:t>
      </w:r>
      <w:proofErr w:type="spellEnd"/>
      <w:r w:rsidRPr="740D53F7">
        <w:rPr>
          <w:rFonts w:ascii="Century Gothic" w:eastAsia="Calibri" w:hAnsi="Century Gothic" w:cs="Arial"/>
          <w:sz w:val="21"/>
          <w:szCs w:val="21"/>
          <w:lang w:val="es-ES"/>
        </w:rPr>
        <w:t xml:space="preserve">. Las Entidades Estatales independientemente de su régimen de contratación, los patrimonios autónomos constituidos por Entidades Estatales y los </w:t>
      </w:r>
      <w:r w:rsidRPr="740D53F7">
        <w:rPr>
          <w:rFonts w:ascii="Century Gothic" w:eastAsia="Calibri" w:hAnsi="Century Gothic" w:cs="Arial"/>
          <w:sz w:val="21"/>
          <w:szCs w:val="21"/>
          <w:lang w:val="es-ES"/>
        </w:rPr>
        <w:lastRenderedPageBreak/>
        <w:t xml:space="preserve">particulares que ejecuten recursos públicos, deben limitar la convocatoria de los Procesos de Contratación con pluralidad de oferentes a las </w:t>
      </w:r>
      <w:proofErr w:type="spellStart"/>
      <w:r w:rsidRPr="740D53F7">
        <w:rPr>
          <w:rFonts w:ascii="Century Gothic" w:eastAsia="Calibri" w:hAnsi="Century Gothic" w:cs="Arial"/>
          <w:sz w:val="21"/>
          <w:szCs w:val="21"/>
          <w:lang w:val="es-ES"/>
        </w:rPr>
        <w:t>Mipyme</w:t>
      </w:r>
      <w:proofErr w:type="spellEnd"/>
      <w:r w:rsidRPr="740D53F7">
        <w:rPr>
          <w:rFonts w:ascii="Century Gothic" w:eastAsia="Calibri" w:hAnsi="Century Gothic" w:cs="Arial"/>
          <w:sz w:val="21"/>
          <w:szCs w:val="21"/>
          <w:lang w:val="es-ES"/>
        </w:rPr>
        <w:t xml:space="preserve"> colombianas con mínimo un (1) año de existencia, cuando concurran los siguientes requisitos: </w:t>
      </w:r>
    </w:p>
    <w:p w14:paraId="5123F03D" w14:textId="77777777" w:rsidR="008A30D4" w:rsidRPr="00035110" w:rsidRDefault="008A30D4" w:rsidP="008A30D4">
      <w:pPr>
        <w:spacing w:after="120" w:line="240" w:lineRule="auto"/>
        <w:ind w:left="709" w:right="709"/>
        <w:jc w:val="both"/>
        <w:rPr>
          <w:rFonts w:ascii="Century Gothic" w:eastAsia="Calibri" w:hAnsi="Century Gothic" w:cs="Arial"/>
          <w:sz w:val="21"/>
          <w:szCs w:val="21"/>
          <w:lang w:val="es-ES_tradnl"/>
        </w:rPr>
      </w:pPr>
      <w:r w:rsidRPr="00035110">
        <w:rPr>
          <w:rFonts w:ascii="Century Gothic" w:eastAsia="Calibri" w:hAnsi="Century Gothic" w:cs="Arial"/>
          <w:sz w:val="21"/>
          <w:szCs w:val="21"/>
          <w:lang w:val="es-ES_tradnl"/>
        </w:rPr>
        <w:t>1. El valor del Proceso de Contratación sea menor a ciento veinticinco mil dólares de los Estados Unidos de América (US$125.000), liquidados con la tasa de cambio que para el efecto determina cada dos años el Ministerio de Comercio, Industria y Turismo.</w:t>
      </w:r>
    </w:p>
    <w:p w14:paraId="6AC435DD" w14:textId="77777777" w:rsidR="008A30D4" w:rsidRPr="00035110" w:rsidRDefault="008A30D4" w:rsidP="740D53F7">
      <w:pPr>
        <w:spacing w:after="120" w:line="240" w:lineRule="auto"/>
        <w:ind w:left="709" w:right="709"/>
        <w:jc w:val="both"/>
        <w:rPr>
          <w:rFonts w:ascii="Century Gothic" w:eastAsia="Calibri" w:hAnsi="Century Gothic" w:cs="Arial"/>
          <w:sz w:val="21"/>
          <w:szCs w:val="21"/>
          <w:lang w:val="es-ES"/>
        </w:rPr>
      </w:pPr>
      <w:r w:rsidRPr="740D53F7">
        <w:rPr>
          <w:rFonts w:ascii="Century Gothic" w:eastAsia="Calibri" w:hAnsi="Century Gothic" w:cs="Arial"/>
          <w:sz w:val="21"/>
          <w:szCs w:val="21"/>
          <w:lang w:val="es-ES"/>
        </w:rPr>
        <w:t xml:space="preserve">2. Se hayan recibido solicitudes de por lo menos dos (2) </w:t>
      </w:r>
      <w:proofErr w:type="spellStart"/>
      <w:r w:rsidRPr="740D53F7">
        <w:rPr>
          <w:rFonts w:ascii="Century Gothic" w:eastAsia="Calibri" w:hAnsi="Century Gothic" w:cs="Arial"/>
          <w:sz w:val="21"/>
          <w:szCs w:val="21"/>
          <w:lang w:val="es-ES"/>
        </w:rPr>
        <w:t>Mipyme</w:t>
      </w:r>
      <w:proofErr w:type="spellEnd"/>
      <w:r w:rsidRPr="740D53F7">
        <w:rPr>
          <w:rFonts w:ascii="Century Gothic" w:eastAsia="Calibri" w:hAnsi="Century Gothic" w:cs="Arial"/>
          <w:sz w:val="21"/>
          <w:szCs w:val="21"/>
          <w:lang w:val="es-ES"/>
        </w:rPr>
        <w:t xml:space="preserve"> colombianas para limitar la convocatoria a </w:t>
      </w:r>
      <w:proofErr w:type="spellStart"/>
      <w:r w:rsidRPr="740D53F7">
        <w:rPr>
          <w:rFonts w:ascii="Century Gothic" w:eastAsia="Calibri" w:hAnsi="Century Gothic" w:cs="Arial"/>
          <w:sz w:val="21"/>
          <w:szCs w:val="21"/>
          <w:lang w:val="es-ES"/>
        </w:rPr>
        <w:t>Mipyme</w:t>
      </w:r>
      <w:proofErr w:type="spellEnd"/>
      <w:r w:rsidRPr="740D53F7">
        <w:rPr>
          <w:rFonts w:ascii="Century Gothic" w:eastAsia="Calibri" w:hAnsi="Century Gothic" w:cs="Arial"/>
          <w:sz w:val="21"/>
          <w:szCs w:val="21"/>
          <w:lang w:val="es-ES"/>
        </w:rPr>
        <w:t xml:space="preserv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Tratándose de personas jurídicas, las solicitudes solo las podrán realizar </w:t>
      </w:r>
      <w:proofErr w:type="spellStart"/>
      <w:r w:rsidRPr="740D53F7">
        <w:rPr>
          <w:rFonts w:ascii="Century Gothic" w:eastAsia="Calibri" w:hAnsi="Century Gothic" w:cs="Arial"/>
          <w:sz w:val="21"/>
          <w:szCs w:val="21"/>
          <w:lang w:val="es-ES"/>
        </w:rPr>
        <w:t>Mipyme</w:t>
      </w:r>
      <w:proofErr w:type="spellEnd"/>
      <w:r w:rsidRPr="740D53F7">
        <w:rPr>
          <w:rFonts w:ascii="Century Gothic" w:eastAsia="Calibri" w:hAnsi="Century Gothic" w:cs="Arial"/>
          <w:sz w:val="21"/>
          <w:szCs w:val="21"/>
          <w:lang w:val="es-ES"/>
        </w:rPr>
        <w:t>, cuyo objeto social les permita ejecutar el contrato relacionado con el proceso contractual.</w:t>
      </w:r>
    </w:p>
    <w:p w14:paraId="04535A19" w14:textId="77777777" w:rsidR="008A30D4" w:rsidRPr="00035110" w:rsidRDefault="008A30D4" w:rsidP="740D53F7">
      <w:pPr>
        <w:spacing w:after="0" w:line="240" w:lineRule="auto"/>
        <w:ind w:left="709" w:right="709"/>
        <w:jc w:val="both"/>
        <w:rPr>
          <w:rFonts w:ascii="Century Gothic" w:eastAsia="Calibri" w:hAnsi="Century Gothic" w:cs="Arial"/>
          <w:sz w:val="21"/>
          <w:szCs w:val="21"/>
          <w:lang w:val="es-ES"/>
        </w:rPr>
      </w:pPr>
      <w:r w:rsidRPr="740D53F7">
        <w:rPr>
          <w:rFonts w:ascii="Century Gothic" w:eastAsia="Calibri" w:hAnsi="Century Gothic" w:cs="Arial"/>
          <w:sz w:val="21"/>
          <w:szCs w:val="21"/>
          <w:lang w:val="es-ES"/>
        </w:rPr>
        <w:t xml:space="preserve">Parágrafo. Las cooperativas y demás entidades de economía solidaria, siempre que tengan la calidad de </w:t>
      </w:r>
      <w:proofErr w:type="spellStart"/>
      <w:r w:rsidRPr="740D53F7">
        <w:rPr>
          <w:rFonts w:ascii="Century Gothic" w:eastAsia="Calibri" w:hAnsi="Century Gothic" w:cs="Arial"/>
          <w:sz w:val="21"/>
          <w:szCs w:val="21"/>
          <w:lang w:val="es-ES"/>
        </w:rPr>
        <w:t>Mipyme</w:t>
      </w:r>
      <w:proofErr w:type="spellEnd"/>
      <w:r w:rsidRPr="740D53F7">
        <w:rPr>
          <w:rFonts w:ascii="Century Gothic" w:eastAsia="Calibri" w:hAnsi="Century Gothic" w:cs="Arial"/>
          <w:sz w:val="21"/>
          <w:szCs w:val="21"/>
          <w:lang w:val="es-ES"/>
        </w:rPr>
        <w:t>, podrán solicitar y participar en las convocatorias limitadas en las mismas condiciones dispuestas en el presente artículo”.</w:t>
      </w:r>
    </w:p>
    <w:p w14:paraId="0CB41979" w14:textId="77777777" w:rsidR="008A30D4" w:rsidRPr="00035110" w:rsidRDefault="008A30D4" w:rsidP="008A30D4">
      <w:pPr>
        <w:spacing w:after="0" w:line="276" w:lineRule="auto"/>
        <w:ind w:firstLine="709"/>
        <w:jc w:val="both"/>
        <w:rPr>
          <w:rFonts w:ascii="Century Gothic" w:eastAsia="Arial" w:hAnsi="Century Gothic" w:cs="Arial"/>
          <w:color w:val="000000"/>
        </w:rPr>
      </w:pPr>
    </w:p>
    <w:p w14:paraId="7441E6C2" w14:textId="77777777" w:rsidR="008A30D4" w:rsidRPr="00035110" w:rsidRDefault="008A30D4" w:rsidP="008A30D4">
      <w:pPr>
        <w:spacing w:after="120" w:line="276" w:lineRule="auto"/>
        <w:ind w:firstLine="709"/>
        <w:jc w:val="both"/>
        <w:rPr>
          <w:rFonts w:ascii="Century Gothic" w:eastAsia="Arial" w:hAnsi="Century Gothic" w:cs="Arial"/>
          <w:color w:val="000000"/>
        </w:rPr>
      </w:pPr>
      <w:r w:rsidRPr="00035110">
        <w:rPr>
          <w:rFonts w:ascii="Century Gothic" w:eastAsia="Arial" w:hAnsi="Century Gothic" w:cs="Arial"/>
          <w:color w:val="000000"/>
        </w:rPr>
        <w:t xml:space="preserve">Según se evidencia, el numeral primero limita cuantitativamente los procesos contractuales para las convocatorias limitadas a </w:t>
      </w:r>
      <w:proofErr w:type="spellStart"/>
      <w:r w:rsidRPr="00035110">
        <w:rPr>
          <w:rFonts w:ascii="Century Gothic" w:eastAsia="Arial" w:hAnsi="Century Gothic" w:cs="Arial"/>
          <w:color w:val="000000"/>
        </w:rPr>
        <w:t>Mipyme</w:t>
      </w:r>
      <w:proofErr w:type="spellEnd"/>
      <w:r w:rsidRPr="00035110">
        <w:rPr>
          <w:rFonts w:ascii="Century Gothic" w:eastAsia="Arial" w:hAnsi="Century Gothic" w:cs="Arial"/>
          <w:color w:val="000000"/>
        </w:rPr>
        <w:t xml:space="preserve">, puesto que el valor del proceso de contratación debe ser “menor a ciento veinticinco mil dólares de los Estados Unidos de América”. Esto de acuerdo con la tasa que determine cada dos años el Ministerio de Comercio, Industria y Turismo. Por su parte, el numeral segundo establece que al menos dos (2) </w:t>
      </w:r>
      <w:proofErr w:type="spellStart"/>
      <w:r w:rsidRPr="00035110">
        <w:rPr>
          <w:rFonts w:ascii="Century Gothic" w:eastAsia="Arial" w:hAnsi="Century Gothic" w:cs="Arial"/>
          <w:color w:val="000000"/>
        </w:rPr>
        <w:t>Mipymes</w:t>
      </w:r>
      <w:proofErr w:type="spellEnd"/>
      <w:r w:rsidRPr="00035110">
        <w:rPr>
          <w:rFonts w:ascii="Century Gothic" w:eastAsia="Arial" w:hAnsi="Century Gothic" w:cs="Arial"/>
          <w:color w:val="000000"/>
        </w:rPr>
        <w:t xml:space="preserve"> colombianas presenten a la entidad la solicitud de limitar el proceso contractual y, por el otro, que hagan la solicitud por lo menos un día (1) hábil antes de la expedición del acto administrativo de apertura </w:t>
      </w:r>
      <w:r w:rsidRPr="00035110">
        <w:rPr>
          <w:rFonts w:ascii="Century Gothic" w:eastAsia="Arial" w:hAnsi="Century Gothic" w:cs="Arial"/>
          <w:color w:val="000000"/>
          <w:lang w:val="es-ES_tradnl"/>
        </w:rPr>
        <w:t>o el que haga sus veces de acuerdo con la normativa aplicable a cada Proceso de Contratación</w:t>
      </w:r>
      <w:r w:rsidRPr="00035110">
        <w:rPr>
          <w:rFonts w:ascii="Century Gothic" w:eastAsia="Arial" w:hAnsi="Century Gothic" w:cs="Arial"/>
          <w:color w:val="000000"/>
        </w:rPr>
        <w:t xml:space="preserve">. Asimismo, la norma señala que, </w:t>
      </w:r>
      <w:r w:rsidRPr="00035110">
        <w:rPr>
          <w:rFonts w:ascii="Century Gothic" w:eastAsia="Arial" w:hAnsi="Century Gothic" w:cs="Arial"/>
          <w:color w:val="000000"/>
          <w:lang w:val="es-ES_tradnl"/>
        </w:rPr>
        <w:t xml:space="preserve">tratándose de personas jurídicas, las solicitudes solo las podrán realizar la </w:t>
      </w:r>
      <w:proofErr w:type="spellStart"/>
      <w:r w:rsidRPr="00035110">
        <w:rPr>
          <w:rFonts w:ascii="Century Gothic" w:eastAsia="Arial" w:hAnsi="Century Gothic" w:cs="Arial"/>
          <w:color w:val="000000"/>
          <w:lang w:val="es-ES_tradnl"/>
        </w:rPr>
        <w:t>Mipyme</w:t>
      </w:r>
      <w:proofErr w:type="spellEnd"/>
      <w:r w:rsidRPr="00035110">
        <w:rPr>
          <w:rFonts w:ascii="Century Gothic" w:eastAsia="Arial" w:hAnsi="Century Gothic" w:cs="Arial"/>
          <w:color w:val="000000"/>
          <w:lang w:val="es-ES_tradnl"/>
        </w:rPr>
        <w:t xml:space="preserve">, cuyo objeto social les permita ejecutar el contrato relacionado con el proceso contractual. Por lo demás, este artículo incluye a las cooperativas y demás entidades de economía solidaria dentro de los sujetos que pueden solicitar y participar en las convocatorias limitadas a </w:t>
      </w:r>
      <w:proofErr w:type="spellStart"/>
      <w:r w:rsidRPr="00035110">
        <w:rPr>
          <w:rFonts w:ascii="Century Gothic" w:eastAsia="Arial" w:hAnsi="Century Gothic" w:cs="Arial"/>
          <w:color w:val="000000"/>
          <w:lang w:val="es-ES_tradnl"/>
        </w:rPr>
        <w:t>Mipyme</w:t>
      </w:r>
      <w:proofErr w:type="spellEnd"/>
      <w:r w:rsidRPr="00035110">
        <w:rPr>
          <w:rFonts w:ascii="Century Gothic" w:eastAsia="Arial" w:hAnsi="Century Gothic" w:cs="Arial"/>
          <w:color w:val="000000"/>
          <w:lang w:val="es-ES_tradnl"/>
        </w:rPr>
        <w:t xml:space="preserve">, siempre que estas cumplan con las condiciones señaladas en el artículo. </w:t>
      </w:r>
    </w:p>
    <w:p w14:paraId="1F3E9C56" w14:textId="77777777" w:rsidR="008A30D4" w:rsidRPr="00035110" w:rsidRDefault="008A30D4" w:rsidP="740D53F7">
      <w:pPr>
        <w:spacing w:after="0" w:line="276" w:lineRule="auto"/>
        <w:ind w:firstLine="709"/>
        <w:jc w:val="both"/>
        <w:rPr>
          <w:rFonts w:ascii="Century Gothic" w:eastAsia="Calibri" w:hAnsi="Century Gothic" w:cs="Arial"/>
          <w:lang w:val="es-ES"/>
        </w:rPr>
      </w:pPr>
      <w:r w:rsidRPr="740D53F7">
        <w:rPr>
          <w:rFonts w:ascii="Century Gothic" w:eastAsia="Calibri" w:hAnsi="Century Gothic" w:cs="Arial"/>
          <w:lang w:val="es-ES"/>
        </w:rPr>
        <w:lastRenderedPageBreak/>
        <w:t>En relación con las limitaciones territorial</w:t>
      </w:r>
      <w:r w:rsidRPr="740D53F7">
        <w:rPr>
          <w:rFonts w:ascii="Century Gothic" w:hAnsi="Century Gothic" w:cs="Arial"/>
          <w:lang w:val="es-ES"/>
        </w:rPr>
        <w:t xml:space="preserve">es de las convocatorias a </w:t>
      </w:r>
      <w:proofErr w:type="spellStart"/>
      <w:r w:rsidRPr="740D53F7">
        <w:rPr>
          <w:rFonts w:ascii="Century Gothic" w:hAnsi="Century Gothic" w:cs="Arial"/>
          <w:lang w:val="es-ES"/>
        </w:rPr>
        <w:t>Mipyme</w:t>
      </w:r>
      <w:proofErr w:type="spellEnd"/>
      <w:r w:rsidRPr="740D53F7">
        <w:rPr>
          <w:rFonts w:ascii="Century Gothic" w:hAnsi="Century Gothic" w:cs="Arial"/>
          <w:lang w:val="es-ES"/>
        </w:rPr>
        <w:t xml:space="preserve">, </w:t>
      </w:r>
      <w:r w:rsidRPr="740D53F7">
        <w:rPr>
          <w:rFonts w:ascii="Century Gothic" w:eastAsia="Calibri" w:hAnsi="Century Gothic" w:cs="Arial"/>
          <w:lang w:val="es-ES"/>
        </w:rPr>
        <w:t xml:space="preserve"> a la luz del antiguo artículo 2.2.1.2.4.2.3 del Decreto 1082 de 2015, esta Agencia –</w:t>
      </w:r>
      <w:r w:rsidRPr="740D53F7">
        <w:rPr>
          <w:rFonts w:ascii="Century Gothic" w:hAnsi="Century Gothic" w:cs="Arial"/>
          <w:lang w:val="es-ES"/>
        </w:rPr>
        <w:t>en los Conceptos 4201714000006924 del 29 de enero de 2018,</w:t>
      </w:r>
      <w:r w:rsidRPr="740D53F7">
        <w:rPr>
          <w:rFonts w:ascii="Century Gothic" w:eastAsia="Calibri" w:hAnsi="Century Gothic" w:cs="Arial"/>
          <w:lang w:val="es-ES"/>
        </w:rPr>
        <w:t xml:space="preserve"> C-045 del 17 de marzo de 2020, C-162 del 16 de abril de 2020, C-214 del 21 de abril de 2020, C-258 del 17 de abril de 2020, C-364 del 4 de junio de 2020, C-413 del 30 de junio de 2020</w:t>
      </w:r>
      <w:r w:rsidRPr="740D53F7">
        <w:rPr>
          <w:rFonts w:ascii="Century Gothic" w:hAnsi="Century Gothic" w:cs="Arial"/>
          <w:lang w:val="es-ES"/>
        </w:rPr>
        <w:t xml:space="preserve">, </w:t>
      </w:r>
      <w:r w:rsidRPr="740D53F7">
        <w:rPr>
          <w:rFonts w:ascii="Century Gothic" w:eastAsia="Calibri" w:hAnsi="Century Gothic" w:cs="Arial"/>
          <w:lang w:val="es-ES"/>
        </w:rPr>
        <w:t xml:space="preserve">C-492 del 24 de julio de 2020, C-523 del 11 de agosto de 2020, C-610 del 14 de septiembre de 2020 y C-700 de 1 de diciembre de 2020– había sostenido que, para que se permitiera la participación de una </w:t>
      </w:r>
      <w:proofErr w:type="spellStart"/>
      <w:r w:rsidRPr="740D53F7">
        <w:rPr>
          <w:rFonts w:ascii="Century Gothic" w:eastAsia="Calibri" w:hAnsi="Century Gothic" w:cs="Arial"/>
          <w:lang w:val="es-ES"/>
        </w:rPr>
        <w:t>Mipyme</w:t>
      </w:r>
      <w:proofErr w:type="spellEnd"/>
      <w:r w:rsidRPr="740D53F7">
        <w:rPr>
          <w:rFonts w:ascii="Century Gothic" w:eastAsia="Calibri" w:hAnsi="Century Gothic" w:cs="Arial"/>
          <w:lang w:val="es-ES"/>
        </w:rPr>
        <w:t xml:space="preserve"> en uno de estos procesos, era necesario que esta demostrara estar domiciliada en el municipio o departamento en el que se ejecutaría el contrato. La tesis se expuso en los siguientes términos: </w:t>
      </w:r>
    </w:p>
    <w:p w14:paraId="40004C75" w14:textId="77777777" w:rsidR="008A30D4" w:rsidRPr="00035110" w:rsidRDefault="008A30D4" w:rsidP="008A30D4">
      <w:pPr>
        <w:spacing w:after="0" w:line="276" w:lineRule="auto"/>
        <w:ind w:firstLine="709"/>
        <w:jc w:val="both"/>
        <w:rPr>
          <w:rFonts w:ascii="Century Gothic" w:eastAsia="Calibri" w:hAnsi="Century Gothic" w:cs="Arial"/>
          <w:lang w:val="es-ES_tradnl"/>
        </w:rPr>
      </w:pPr>
    </w:p>
    <w:p w14:paraId="66820DB4" w14:textId="77777777" w:rsidR="008A30D4" w:rsidRPr="00035110" w:rsidRDefault="008A30D4" w:rsidP="740D53F7">
      <w:pPr>
        <w:spacing w:after="120" w:line="240" w:lineRule="auto"/>
        <w:ind w:left="709" w:right="709"/>
        <w:jc w:val="both"/>
        <w:rPr>
          <w:rFonts w:ascii="Century Gothic" w:hAnsi="Century Gothic" w:cs="Arial"/>
          <w:sz w:val="21"/>
          <w:szCs w:val="21"/>
          <w:lang w:val="es-ES"/>
        </w:rPr>
      </w:pPr>
      <w:r w:rsidRPr="740D53F7">
        <w:rPr>
          <w:rFonts w:ascii="Century Gothic" w:hAnsi="Century Gothic" w:cs="Arial"/>
          <w:sz w:val="21"/>
          <w:szCs w:val="21"/>
          <w:lang w:val="es-ES"/>
        </w:rPr>
        <w:t xml:space="preserve">“Es de resaltar que </w:t>
      </w:r>
      <w:r w:rsidRPr="740D53F7">
        <w:rPr>
          <w:rFonts w:ascii="Century Gothic" w:hAnsi="Century Gothic" w:cs="Arial"/>
          <w:i/>
          <w:iCs/>
          <w:sz w:val="21"/>
          <w:szCs w:val="21"/>
          <w:lang w:val="es-ES"/>
        </w:rPr>
        <w:t xml:space="preserve">estas normas se refieren a las </w:t>
      </w:r>
      <w:proofErr w:type="spellStart"/>
      <w:r w:rsidRPr="740D53F7">
        <w:rPr>
          <w:rFonts w:ascii="Century Gothic" w:hAnsi="Century Gothic" w:cs="Arial"/>
          <w:i/>
          <w:iCs/>
          <w:sz w:val="21"/>
          <w:szCs w:val="21"/>
          <w:lang w:val="es-ES"/>
        </w:rPr>
        <w:t>Mipymes</w:t>
      </w:r>
      <w:proofErr w:type="spellEnd"/>
      <w:r w:rsidRPr="740D53F7">
        <w:rPr>
          <w:rFonts w:ascii="Century Gothic" w:hAnsi="Century Gothic" w:cs="Arial"/>
          <w:i/>
          <w:iCs/>
          <w:sz w:val="21"/>
          <w:szCs w:val="21"/>
          <w:lang w:val="es-ES"/>
        </w:rPr>
        <w:t xml:space="preserve"> nacionales genéricamente y, particularmente, a las </w:t>
      </w:r>
      <w:proofErr w:type="spellStart"/>
      <w:r w:rsidRPr="740D53F7">
        <w:rPr>
          <w:rFonts w:ascii="Century Gothic" w:hAnsi="Century Gothic" w:cs="Arial"/>
          <w:i/>
          <w:iCs/>
          <w:sz w:val="21"/>
          <w:szCs w:val="21"/>
          <w:lang w:val="es-ES"/>
        </w:rPr>
        <w:t>Mipymes</w:t>
      </w:r>
      <w:proofErr w:type="spellEnd"/>
      <w:r w:rsidRPr="740D53F7">
        <w:rPr>
          <w:rFonts w:ascii="Century Gothic" w:hAnsi="Century Gothic" w:cs="Arial"/>
          <w:i/>
          <w:iCs/>
          <w:sz w:val="21"/>
          <w:szCs w:val="21"/>
          <w:lang w:val="es-ES"/>
        </w:rPr>
        <w:t xml:space="preserve"> nacionales “domiciliadas en los departamentos o municipios en donde se va a ejecutar el contrato”.</w:t>
      </w:r>
      <w:r w:rsidRPr="740D53F7">
        <w:rPr>
          <w:rFonts w:ascii="Century Gothic" w:hAnsi="Century Gothic" w:cs="Arial"/>
          <w:sz w:val="21"/>
          <w:szCs w:val="21"/>
          <w:lang w:val="es-ES"/>
        </w:rPr>
        <w:t xml:space="preserve"> En ambos casos se refiere a </w:t>
      </w:r>
      <w:proofErr w:type="spellStart"/>
      <w:r w:rsidRPr="740D53F7">
        <w:rPr>
          <w:rFonts w:ascii="Century Gothic" w:hAnsi="Century Gothic" w:cs="Arial"/>
          <w:sz w:val="21"/>
          <w:szCs w:val="21"/>
          <w:lang w:val="es-ES"/>
        </w:rPr>
        <w:t>Mipymes</w:t>
      </w:r>
      <w:proofErr w:type="spellEnd"/>
      <w:r w:rsidRPr="740D53F7">
        <w:rPr>
          <w:rFonts w:ascii="Century Gothic" w:hAnsi="Century Gothic" w:cs="Arial"/>
          <w:sz w:val="21"/>
          <w:szCs w:val="21"/>
          <w:lang w:val="es-ES"/>
        </w:rPr>
        <w:t xml:space="preserve"> nacionales, distinguiéndolas de las empresas extranjeras. Del artículo 2.2.1.2.4.2.3 del Decreto 1082 de 2015 no se deriva que existan </w:t>
      </w:r>
      <w:proofErr w:type="spellStart"/>
      <w:r w:rsidRPr="740D53F7">
        <w:rPr>
          <w:rFonts w:ascii="Century Gothic" w:hAnsi="Century Gothic" w:cs="Arial"/>
          <w:sz w:val="21"/>
          <w:szCs w:val="21"/>
          <w:lang w:val="es-ES"/>
        </w:rPr>
        <w:t>Mipymes</w:t>
      </w:r>
      <w:proofErr w:type="spellEnd"/>
      <w:r w:rsidRPr="740D53F7">
        <w:rPr>
          <w:rFonts w:ascii="Century Gothic" w:hAnsi="Century Gothic" w:cs="Arial"/>
          <w:sz w:val="21"/>
          <w:szCs w:val="21"/>
          <w:lang w:val="es-ES"/>
        </w:rPr>
        <w:t xml:space="preserve">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w:t>
      </w:r>
      <w:proofErr w:type="spellStart"/>
      <w:r w:rsidRPr="740D53F7">
        <w:rPr>
          <w:rFonts w:ascii="Century Gothic" w:hAnsi="Century Gothic" w:cs="Arial"/>
          <w:sz w:val="21"/>
          <w:szCs w:val="21"/>
          <w:lang w:val="es-ES"/>
        </w:rPr>
        <w:t>Mipymes</w:t>
      </w:r>
      <w:proofErr w:type="spellEnd"/>
      <w:r w:rsidRPr="740D53F7">
        <w:rPr>
          <w:rFonts w:ascii="Century Gothic" w:hAnsi="Century Gothic" w:cs="Arial"/>
          <w:sz w:val="21"/>
          <w:szCs w:val="21"/>
          <w:lang w:val="es-ES"/>
        </w:rPr>
        <w:t xml:space="preserve"> del orden nacional. Otra cosa es que las normas de contratación permitan que las </w:t>
      </w:r>
      <w:proofErr w:type="spellStart"/>
      <w:r w:rsidRPr="740D53F7">
        <w:rPr>
          <w:rFonts w:ascii="Century Gothic" w:hAnsi="Century Gothic" w:cs="Arial"/>
          <w:sz w:val="21"/>
          <w:szCs w:val="21"/>
          <w:lang w:val="es-ES"/>
        </w:rPr>
        <w:t>Mipymes</w:t>
      </w:r>
      <w:proofErr w:type="spellEnd"/>
      <w:r w:rsidRPr="740D53F7">
        <w:rPr>
          <w:rFonts w:ascii="Century Gothic" w:hAnsi="Century Gothic" w:cs="Arial"/>
          <w:sz w:val="21"/>
          <w:szCs w:val="21"/>
          <w:lang w:val="es-ES"/>
        </w:rPr>
        <w:t xml:space="preserve"> nacionales con “domicilio” en un municipio o departamento puedan beneficiarse en la ejecución de un contrato dentro de la entidad territorial en la que tienen su “domicilio”. De todos modos, las </w:t>
      </w:r>
      <w:proofErr w:type="spellStart"/>
      <w:r w:rsidRPr="740D53F7">
        <w:rPr>
          <w:rFonts w:ascii="Century Gothic" w:hAnsi="Century Gothic" w:cs="Arial"/>
          <w:sz w:val="21"/>
          <w:szCs w:val="21"/>
          <w:lang w:val="es-ES"/>
        </w:rPr>
        <w:t>Mipymes</w:t>
      </w:r>
      <w:proofErr w:type="spellEnd"/>
      <w:r w:rsidRPr="740D53F7">
        <w:rPr>
          <w:rFonts w:ascii="Century Gothic" w:hAnsi="Century Gothic" w:cs="Arial"/>
          <w:sz w:val="21"/>
          <w:szCs w:val="21"/>
          <w:lang w:val="es-ES"/>
        </w:rPr>
        <w:t xml:space="preserve"> domiciliadas en un municipio o departamento son </w:t>
      </w:r>
      <w:proofErr w:type="spellStart"/>
      <w:r w:rsidRPr="740D53F7">
        <w:rPr>
          <w:rFonts w:ascii="Century Gothic" w:hAnsi="Century Gothic" w:cs="Arial"/>
          <w:sz w:val="21"/>
          <w:szCs w:val="21"/>
          <w:lang w:val="es-ES"/>
        </w:rPr>
        <w:t>Mipymes</w:t>
      </w:r>
      <w:proofErr w:type="spellEnd"/>
      <w:r w:rsidRPr="740D53F7">
        <w:rPr>
          <w:rFonts w:ascii="Century Gothic" w:hAnsi="Century Gothic" w:cs="Arial"/>
          <w:sz w:val="21"/>
          <w:szCs w:val="21"/>
          <w:lang w:val="es-ES"/>
        </w:rPr>
        <w:t xml:space="preserve"> nacionales. En consecuencia, no es procedente distinguir entre </w:t>
      </w:r>
      <w:proofErr w:type="spellStart"/>
      <w:r w:rsidRPr="740D53F7">
        <w:rPr>
          <w:rFonts w:ascii="Century Gothic" w:hAnsi="Century Gothic" w:cs="Arial"/>
          <w:sz w:val="21"/>
          <w:szCs w:val="21"/>
          <w:lang w:val="es-ES"/>
        </w:rPr>
        <w:t>Mipymes</w:t>
      </w:r>
      <w:proofErr w:type="spellEnd"/>
      <w:r w:rsidRPr="740D53F7">
        <w:rPr>
          <w:rFonts w:ascii="Century Gothic" w:hAnsi="Century Gothic" w:cs="Arial"/>
          <w:sz w:val="21"/>
          <w:szCs w:val="21"/>
          <w:lang w:val="es-ES"/>
        </w:rPr>
        <w:t xml:space="preserve"> nacionales y </w:t>
      </w:r>
      <w:proofErr w:type="spellStart"/>
      <w:r w:rsidRPr="740D53F7">
        <w:rPr>
          <w:rFonts w:ascii="Century Gothic" w:hAnsi="Century Gothic" w:cs="Arial"/>
          <w:sz w:val="21"/>
          <w:szCs w:val="21"/>
          <w:lang w:val="es-ES"/>
        </w:rPr>
        <w:t>Mipymes</w:t>
      </w:r>
      <w:proofErr w:type="spellEnd"/>
      <w:r w:rsidRPr="740D53F7">
        <w:rPr>
          <w:rFonts w:ascii="Century Gothic" w:hAnsi="Century Gothic" w:cs="Arial"/>
          <w:sz w:val="21"/>
          <w:szCs w:val="21"/>
          <w:lang w:val="es-ES"/>
        </w:rPr>
        <w:t xml:space="preserve"> municipales o departamentales, habida cuenta que estas últimas no existen como categoría dentro del ordenamiento normativo.</w:t>
      </w:r>
    </w:p>
    <w:p w14:paraId="26548D21" w14:textId="77777777" w:rsidR="008A30D4" w:rsidRPr="00035110" w:rsidRDefault="008A30D4" w:rsidP="740D53F7">
      <w:pPr>
        <w:spacing w:after="0" w:line="240" w:lineRule="auto"/>
        <w:ind w:left="709" w:right="709"/>
        <w:jc w:val="both"/>
        <w:rPr>
          <w:rFonts w:ascii="Century Gothic" w:hAnsi="Century Gothic" w:cs="Arial"/>
          <w:sz w:val="21"/>
          <w:szCs w:val="21"/>
          <w:lang w:val="es-ES"/>
        </w:rPr>
      </w:pPr>
      <w:r w:rsidRPr="740D53F7">
        <w:rPr>
          <w:rFonts w:ascii="Century Gothic" w:hAnsi="Century Gothic" w:cs="Arial"/>
          <w:sz w:val="21"/>
          <w:szCs w:val="21"/>
          <w:lang w:val="es-ES"/>
        </w:rPr>
        <w:t xml:space="preserve">Igualmente, se debe precisar que </w:t>
      </w:r>
      <w:r w:rsidRPr="740D53F7">
        <w:rPr>
          <w:rFonts w:ascii="Century Gothic" w:hAnsi="Century Gothic" w:cs="Arial"/>
          <w:i/>
          <w:iCs/>
          <w:sz w:val="21"/>
          <w:szCs w:val="21"/>
          <w:lang w:val="es-ES"/>
        </w:rPr>
        <w:t>el artículo 2.2.1.2.4.2.3 del Decreto 1082 de 2015 se refiere a las “</w:t>
      </w:r>
      <w:proofErr w:type="spellStart"/>
      <w:r w:rsidRPr="740D53F7">
        <w:rPr>
          <w:rFonts w:ascii="Century Gothic" w:hAnsi="Century Gothic" w:cs="Arial"/>
          <w:i/>
          <w:iCs/>
          <w:sz w:val="21"/>
          <w:szCs w:val="21"/>
          <w:lang w:val="es-ES"/>
        </w:rPr>
        <w:t>Mipyme</w:t>
      </w:r>
      <w:proofErr w:type="spellEnd"/>
      <w:r w:rsidRPr="740D53F7">
        <w:rPr>
          <w:rFonts w:ascii="Century Gothic" w:hAnsi="Century Gothic" w:cs="Arial"/>
          <w:i/>
          <w:iCs/>
          <w:sz w:val="21"/>
          <w:szCs w:val="21"/>
          <w:lang w:val="es-ES"/>
        </w:rPr>
        <w:t xml:space="preserve"> nacionales domiciliadas en los departamentos o municipios en donde se va a ejecutar el contrato” “cursivas propias”, esto es, al “domicilio” y no a las “sucursales”. Esta distinción es importante porque el beneficio normativo únicamente aplica en el lugar en el que la </w:t>
      </w:r>
      <w:proofErr w:type="spellStart"/>
      <w:r w:rsidRPr="740D53F7">
        <w:rPr>
          <w:rFonts w:ascii="Century Gothic" w:hAnsi="Century Gothic" w:cs="Arial"/>
          <w:i/>
          <w:iCs/>
          <w:sz w:val="21"/>
          <w:szCs w:val="21"/>
          <w:lang w:val="es-ES"/>
        </w:rPr>
        <w:t>Mipyme</w:t>
      </w:r>
      <w:proofErr w:type="spellEnd"/>
      <w:r w:rsidRPr="740D53F7">
        <w:rPr>
          <w:rFonts w:ascii="Century Gothic" w:hAnsi="Century Gothic" w:cs="Arial"/>
          <w:i/>
          <w:iCs/>
          <w:sz w:val="21"/>
          <w:szCs w:val="21"/>
          <w:lang w:val="es-ES"/>
        </w:rPr>
        <w:t xml:space="preserve"> tiene su “domicilio”, y no en donde tiene sucursales</w:t>
      </w:r>
      <w:r w:rsidRPr="740D53F7">
        <w:rPr>
          <w:rFonts w:ascii="Century Gothic" w:hAnsi="Century Gothic" w:cs="Arial"/>
          <w:sz w:val="21"/>
          <w:szCs w:val="21"/>
          <w:lang w:val="es-ES"/>
        </w:rPr>
        <w:t>”</w:t>
      </w:r>
      <w:r w:rsidRPr="740D53F7">
        <w:rPr>
          <w:rStyle w:val="Refdenotaalpie"/>
          <w:rFonts w:ascii="Century Gothic" w:hAnsi="Century Gothic" w:cs="Arial"/>
          <w:i/>
          <w:iCs/>
          <w:sz w:val="21"/>
          <w:szCs w:val="21"/>
          <w:lang w:val="es-ES"/>
        </w:rPr>
        <w:footnoteReference w:id="26"/>
      </w:r>
      <w:r w:rsidRPr="740D53F7">
        <w:rPr>
          <w:rFonts w:ascii="Century Gothic" w:hAnsi="Century Gothic" w:cs="Arial"/>
          <w:sz w:val="21"/>
          <w:szCs w:val="21"/>
          <w:lang w:val="es-ES"/>
        </w:rPr>
        <w:t>. (Énfasis fuera de texto)</w:t>
      </w:r>
    </w:p>
    <w:p w14:paraId="14B7038E" w14:textId="77777777" w:rsidR="008A30D4" w:rsidRPr="00035110" w:rsidRDefault="008A30D4" w:rsidP="008A30D4">
      <w:pPr>
        <w:spacing w:after="0" w:line="276" w:lineRule="auto"/>
        <w:ind w:left="709" w:right="709"/>
        <w:jc w:val="both"/>
        <w:rPr>
          <w:rFonts w:ascii="Century Gothic" w:hAnsi="Century Gothic" w:cs="Arial"/>
          <w:lang w:val="es-ES_tradnl"/>
        </w:rPr>
      </w:pPr>
    </w:p>
    <w:p w14:paraId="4C102CE3" w14:textId="77777777" w:rsidR="008A30D4" w:rsidRPr="00035110" w:rsidRDefault="008A30D4" w:rsidP="740D53F7">
      <w:pPr>
        <w:spacing w:after="120" w:line="276" w:lineRule="auto"/>
        <w:ind w:firstLine="709"/>
        <w:jc w:val="both"/>
        <w:rPr>
          <w:rFonts w:ascii="Century Gothic" w:eastAsia="Calibri" w:hAnsi="Century Gothic" w:cs="Arial"/>
          <w:lang w:val="es-ES"/>
        </w:rPr>
      </w:pPr>
      <w:r w:rsidRPr="740D53F7">
        <w:rPr>
          <w:rFonts w:ascii="Century Gothic" w:hAnsi="Century Gothic" w:cs="Arial"/>
          <w:lang w:val="es-ES"/>
        </w:rPr>
        <w:lastRenderedPageBreak/>
        <w:t xml:space="preserve">Como se aprecia, la postura sostenida por esta Agencia en vigencia del artículo </w:t>
      </w:r>
      <w:r w:rsidRPr="740D53F7">
        <w:rPr>
          <w:rFonts w:ascii="Century Gothic" w:eastAsia="Calibri" w:hAnsi="Century Gothic" w:cs="Arial"/>
          <w:lang w:val="es-ES"/>
        </w:rPr>
        <w:t xml:space="preserve">2.2.1.2.4.2.3 del Decreto 1082 de 2015 no contemplaba la posibilidad de que una </w:t>
      </w:r>
      <w:proofErr w:type="spellStart"/>
      <w:r w:rsidRPr="740D53F7">
        <w:rPr>
          <w:rFonts w:ascii="Century Gothic" w:eastAsia="Calibri" w:hAnsi="Century Gothic" w:cs="Arial"/>
          <w:lang w:val="es-ES"/>
        </w:rPr>
        <w:t>Mipyme</w:t>
      </w:r>
      <w:proofErr w:type="spellEnd"/>
      <w:r w:rsidRPr="740D53F7">
        <w:rPr>
          <w:rFonts w:ascii="Century Gothic" w:eastAsia="Calibri" w:hAnsi="Century Gothic" w:cs="Arial"/>
          <w:lang w:val="es-ES"/>
        </w:rPr>
        <w:t xml:space="preserve"> domiciliada en un departamento o municipio diferentes al lugar de ejecución del contrato, en atención al cual se realiza la limitación territorial, participara en un proceso de selección por el hecho de tener una sucursal en este, puesto que lo relevante es el domicilio de la </w:t>
      </w:r>
      <w:proofErr w:type="spellStart"/>
      <w:r w:rsidRPr="740D53F7">
        <w:rPr>
          <w:rFonts w:ascii="Century Gothic" w:eastAsia="Calibri" w:hAnsi="Century Gothic" w:cs="Arial"/>
          <w:lang w:val="es-ES"/>
        </w:rPr>
        <w:t>Mipyme</w:t>
      </w:r>
      <w:proofErr w:type="spellEnd"/>
      <w:r w:rsidRPr="740D53F7">
        <w:rPr>
          <w:rFonts w:ascii="Century Gothic" w:eastAsia="Calibri" w:hAnsi="Century Gothic" w:cs="Arial"/>
          <w:lang w:val="es-ES"/>
        </w:rPr>
        <w:t xml:space="preserve">. </w:t>
      </w:r>
    </w:p>
    <w:p w14:paraId="2396D330" w14:textId="77777777" w:rsidR="008A30D4" w:rsidRPr="00035110" w:rsidRDefault="008A30D4" w:rsidP="740D53F7">
      <w:pPr>
        <w:spacing w:after="0" w:line="276" w:lineRule="auto"/>
        <w:ind w:firstLine="709"/>
        <w:jc w:val="both"/>
        <w:rPr>
          <w:rFonts w:ascii="Century Gothic" w:eastAsia="Calibri" w:hAnsi="Century Gothic" w:cs="Arial"/>
          <w:lang w:val="es-ES"/>
        </w:rPr>
      </w:pPr>
      <w:r w:rsidRPr="740D53F7">
        <w:rPr>
          <w:rFonts w:ascii="Century Gothic" w:eastAsia="Calibri" w:hAnsi="Century Gothic" w:cs="Arial"/>
          <w:lang w:val="es-ES"/>
        </w:rPr>
        <w:t xml:space="preserve">Ahora bien, el texto del actual artículo 2.2.1.2.4.2.3, modificado por el artículo 5 del Decreto 1860 de 2021, no cambia la tesis adoptada en conceptos anteriores de Colombia Compra Eficiente. Lo anterior en la medida en que, respecto al domicilio de las </w:t>
      </w:r>
      <w:proofErr w:type="spellStart"/>
      <w:r w:rsidRPr="740D53F7">
        <w:rPr>
          <w:rFonts w:ascii="Century Gothic" w:eastAsia="Calibri" w:hAnsi="Century Gothic" w:cs="Arial"/>
          <w:lang w:val="es-ES"/>
        </w:rPr>
        <w:t>Mipyme</w:t>
      </w:r>
      <w:proofErr w:type="spellEnd"/>
      <w:r w:rsidRPr="740D53F7">
        <w:rPr>
          <w:rFonts w:ascii="Century Gothic" w:eastAsia="Calibri" w:hAnsi="Century Gothic" w:cs="Arial"/>
          <w:lang w:val="es-ES"/>
        </w:rPr>
        <w:t xml:space="preserve"> en el departamento o municipio donde se ejecuta el contrato, la reglamentación no tuvo cambios. Así se desprende del texto de la norma que es del siguiente tenor: </w:t>
      </w:r>
    </w:p>
    <w:p w14:paraId="6C30A04B" w14:textId="77777777" w:rsidR="008A30D4" w:rsidRPr="00035110" w:rsidRDefault="008A30D4" w:rsidP="008A30D4">
      <w:pPr>
        <w:spacing w:after="0"/>
        <w:ind w:right="709"/>
        <w:jc w:val="both"/>
        <w:rPr>
          <w:rFonts w:ascii="Century Gothic" w:hAnsi="Century Gothic" w:cs="Arial"/>
          <w:sz w:val="21"/>
          <w:szCs w:val="21"/>
          <w:lang w:val="es-ES_tradnl"/>
        </w:rPr>
      </w:pPr>
    </w:p>
    <w:p w14:paraId="20823E81" w14:textId="77777777" w:rsidR="008A30D4" w:rsidRPr="00035110" w:rsidRDefault="008A30D4" w:rsidP="008A30D4">
      <w:pPr>
        <w:spacing w:after="0" w:line="240" w:lineRule="auto"/>
        <w:ind w:left="709" w:right="709"/>
        <w:jc w:val="both"/>
        <w:rPr>
          <w:rFonts w:ascii="Century Gothic" w:hAnsi="Century Gothic" w:cs="Arial"/>
          <w:sz w:val="21"/>
          <w:szCs w:val="21"/>
          <w:lang w:val="es-ES_tradnl"/>
        </w:rPr>
      </w:pPr>
      <w:r w:rsidRPr="00035110">
        <w:rPr>
          <w:rFonts w:ascii="Century Gothic" w:hAnsi="Century Gothic" w:cs="Arial"/>
          <w:sz w:val="21"/>
          <w:szCs w:val="21"/>
          <w:lang w:val="es-ES_tradnl"/>
        </w:rPr>
        <w:t>“ARTÍCULO</w:t>
      </w:r>
      <w:r w:rsidRPr="00035110">
        <w:rPr>
          <w:rFonts w:ascii="Arial" w:hAnsi="Arial" w:cs="Arial"/>
          <w:sz w:val="21"/>
          <w:szCs w:val="21"/>
          <w:lang w:val="es-ES_tradnl"/>
        </w:rPr>
        <w:t>  </w:t>
      </w:r>
      <w:r w:rsidRPr="00035110">
        <w:rPr>
          <w:rFonts w:ascii="Century Gothic" w:hAnsi="Century Gothic" w:cs="Arial"/>
          <w:sz w:val="21"/>
          <w:szCs w:val="21"/>
          <w:lang w:val="es-ES_tradnl"/>
        </w:rPr>
        <w:t>5. Modificaci</w:t>
      </w:r>
      <w:r w:rsidRPr="00035110">
        <w:rPr>
          <w:rFonts w:ascii="Century Gothic" w:hAnsi="Century Gothic" w:cs="Century Gothic"/>
          <w:sz w:val="21"/>
          <w:szCs w:val="21"/>
          <w:lang w:val="es-ES_tradnl"/>
        </w:rPr>
        <w:t>ó</w:t>
      </w:r>
      <w:r w:rsidRPr="00035110">
        <w:rPr>
          <w:rFonts w:ascii="Century Gothic" w:hAnsi="Century Gothic" w:cs="Arial"/>
          <w:sz w:val="21"/>
          <w:szCs w:val="21"/>
          <w:lang w:val="es-ES_tradnl"/>
        </w:rPr>
        <w:t>n de la Subsecci</w:t>
      </w:r>
      <w:r w:rsidRPr="00035110">
        <w:rPr>
          <w:rFonts w:ascii="Century Gothic" w:hAnsi="Century Gothic" w:cs="Century Gothic"/>
          <w:sz w:val="21"/>
          <w:szCs w:val="21"/>
          <w:lang w:val="es-ES_tradnl"/>
        </w:rPr>
        <w:t>ó</w:t>
      </w:r>
      <w:r w:rsidRPr="00035110">
        <w:rPr>
          <w:rFonts w:ascii="Century Gothic" w:hAnsi="Century Gothic" w:cs="Arial"/>
          <w:sz w:val="21"/>
          <w:szCs w:val="21"/>
          <w:lang w:val="es-ES_tradnl"/>
        </w:rPr>
        <w:t>n 2 de la Secci</w:t>
      </w:r>
      <w:r w:rsidRPr="00035110">
        <w:rPr>
          <w:rFonts w:ascii="Century Gothic" w:hAnsi="Century Gothic" w:cs="Century Gothic"/>
          <w:sz w:val="21"/>
          <w:szCs w:val="21"/>
          <w:lang w:val="es-ES_tradnl"/>
        </w:rPr>
        <w:t>ó</w:t>
      </w:r>
      <w:r w:rsidRPr="00035110">
        <w:rPr>
          <w:rFonts w:ascii="Century Gothic" w:hAnsi="Century Gothic" w:cs="Arial"/>
          <w:sz w:val="21"/>
          <w:szCs w:val="21"/>
          <w:lang w:val="es-ES_tradnl"/>
        </w:rPr>
        <w:t>n 4 del Cap</w:t>
      </w:r>
      <w:r w:rsidRPr="00035110">
        <w:rPr>
          <w:rFonts w:ascii="Century Gothic" w:hAnsi="Century Gothic" w:cs="Century Gothic"/>
          <w:sz w:val="21"/>
          <w:szCs w:val="21"/>
          <w:lang w:val="es-ES_tradnl"/>
        </w:rPr>
        <w:t>í</w:t>
      </w:r>
      <w:r w:rsidRPr="00035110">
        <w:rPr>
          <w:rFonts w:ascii="Century Gothic" w:hAnsi="Century Gothic" w:cs="Arial"/>
          <w:sz w:val="21"/>
          <w:szCs w:val="21"/>
          <w:lang w:val="es-ES_tradnl"/>
        </w:rPr>
        <w:t>tulo 2 del T</w:t>
      </w:r>
      <w:r w:rsidRPr="00035110">
        <w:rPr>
          <w:rFonts w:ascii="Century Gothic" w:hAnsi="Century Gothic" w:cs="Century Gothic"/>
          <w:sz w:val="21"/>
          <w:szCs w:val="21"/>
          <w:lang w:val="es-ES_tradnl"/>
        </w:rPr>
        <w:t>í</w:t>
      </w:r>
      <w:r w:rsidRPr="00035110">
        <w:rPr>
          <w:rFonts w:ascii="Century Gothic" w:hAnsi="Century Gothic" w:cs="Arial"/>
          <w:sz w:val="21"/>
          <w:szCs w:val="21"/>
          <w:lang w:val="es-ES_tradnl"/>
        </w:rPr>
        <w:t>tulo 1 de la Parte 2 del Libro 2 del Decreto 1082 de 2015.</w:t>
      </w:r>
      <w:r w:rsidRPr="00035110">
        <w:rPr>
          <w:rFonts w:ascii="Arial" w:hAnsi="Arial" w:cs="Arial"/>
          <w:sz w:val="21"/>
          <w:szCs w:val="21"/>
          <w:lang w:val="es-ES_tradnl"/>
        </w:rPr>
        <w:t> </w:t>
      </w:r>
      <w:r w:rsidRPr="00035110">
        <w:rPr>
          <w:rFonts w:ascii="Century Gothic" w:hAnsi="Century Gothic" w:cs="Arial"/>
          <w:sz w:val="21"/>
          <w:szCs w:val="21"/>
          <w:lang w:val="es-ES_tradnl"/>
        </w:rPr>
        <w:t>Modif</w:t>
      </w:r>
      <w:r w:rsidRPr="00035110">
        <w:rPr>
          <w:rFonts w:ascii="Century Gothic" w:hAnsi="Century Gothic" w:cs="Century Gothic"/>
          <w:sz w:val="21"/>
          <w:szCs w:val="21"/>
          <w:lang w:val="es-ES_tradnl"/>
        </w:rPr>
        <w:t>í</w:t>
      </w:r>
      <w:r w:rsidRPr="00035110">
        <w:rPr>
          <w:rFonts w:ascii="Century Gothic" w:hAnsi="Century Gothic" w:cs="Arial"/>
          <w:sz w:val="21"/>
          <w:szCs w:val="21"/>
          <w:lang w:val="es-ES_tradnl"/>
        </w:rPr>
        <w:t>quense los art</w:t>
      </w:r>
      <w:r w:rsidRPr="00035110">
        <w:rPr>
          <w:rFonts w:ascii="Century Gothic" w:hAnsi="Century Gothic" w:cs="Century Gothic"/>
          <w:sz w:val="21"/>
          <w:szCs w:val="21"/>
          <w:lang w:val="es-ES_tradnl"/>
        </w:rPr>
        <w:t>í</w:t>
      </w:r>
      <w:r w:rsidRPr="00035110">
        <w:rPr>
          <w:rFonts w:ascii="Century Gothic" w:hAnsi="Century Gothic" w:cs="Arial"/>
          <w:sz w:val="21"/>
          <w:szCs w:val="21"/>
          <w:lang w:val="es-ES_tradnl"/>
        </w:rPr>
        <w:t>culos</w:t>
      </w:r>
      <w:r w:rsidRPr="00035110">
        <w:rPr>
          <w:rFonts w:ascii="Arial" w:hAnsi="Arial" w:cs="Arial"/>
          <w:sz w:val="21"/>
          <w:szCs w:val="21"/>
          <w:lang w:val="es-ES_tradnl"/>
        </w:rPr>
        <w:t> </w:t>
      </w:r>
      <w:r w:rsidRPr="00035110">
        <w:rPr>
          <w:rFonts w:ascii="Century Gothic" w:hAnsi="Century Gothic" w:cs="Arial"/>
          <w:sz w:val="21"/>
          <w:szCs w:val="21"/>
          <w:lang w:val="es-ES_tradnl"/>
        </w:rPr>
        <w:t>2.2.1.2.4.2.2.,</w:t>
      </w:r>
      <w:r w:rsidRPr="00035110">
        <w:rPr>
          <w:rFonts w:ascii="Arial" w:hAnsi="Arial" w:cs="Arial"/>
          <w:sz w:val="21"/>
          <w:szCs w:val="21"/>
          <w:lang w:val="es-ES_tradnl"/>
        </w:rPr>
        <w:t> </w:t>
      </w:r>
      <w:r w:rsidRPr="00035110">
        <w:rPr>
          <w:rFonts w:ascii="Century Gothic" w:hAnsi="Century Gothic" w:cs="Arial"/>
          <w:sz w:val="21"/>
          <w:szCs w:val="21"/>
          <w:lang w:val="es-ES_tradnl"/>
        </w:rPr>
        <w:t>2.2.1.2.4.2.3. y</w:t>
      </w:r>
      <w:r w:rsidRPr="00035110">
        <w:rPr>
          <w:rFonts w:ascii="Arial" w:hAnsi="Arial" w:cs="Arial"/>
          <w:sz w:val="21"/>
          <w:szCs w:val="21"/>
          <w:lang w:val="es-ES_tradnl"/>
        </w:rPr>
        <w:t> </w:t>
      </w:r>
      <w:r w:rsidRPr="00035110">
        <w:rPr>
          <w:rFonts w:ascii="Century Gothic" w:hAnsi="Century Gothic" w:cs="Arial"/>
          <w:sz w:val="21"/>
          <w:szCs w:val="21"/>
          <w:lang w:val="es-ES_tradnl"/>
        </w:rPr>
        <w:t>2.2.1.2.4.2.4. de la Subsecci</w:t>
      </w:r>
      <w:r w:rsidRPr="00035110">
        <w:rPr>
          <w:rFonts w:ascii="Century Gothic" w:hAnsi="Century Gothic" w:cs="Century Gothic"/>
          <w:sz w:val="21"/>
          <w:szCs w:val="21"/>
          <w:lang w:val="es-ES_tradnl"/>
        </w:rPr>
        <w:t>ó</w:t>
      </w:r>
      <w:r w:rsidRPr="00035110">
        <w:rPr>
          <w:rFonts w:ascii="Century Gothic" w:hAnsi="Century Gothic" w:cs="Arial"/>
          <w:sz w:val="21"/>
          <w:szCs w:val="21"/>
          <w:lang w:val="es-ES_tradnl"/>
        </w:rPr>
        <w:t>n 2 de la Secci</w:t>
      </w:r>
      <w:r w:rsidRPr="00035110">
        <w:rPr>
          <w:rFonts w:ascii="Century Gothic" w:hAnsi="Century Gothic" w:cs="Century Gothic"/>
          <w:sz w:val="21"/>
          <w:szCs w:val="21"/>
          <w:lang w:val="es-ES_tradnl"/>
        </w:rPr>
        <w:t>ó</w:t>
      </w:r>
      <w:r w:rsidRPr="00035110">
        <w:rPr>
          <w:rFonts w:ascii="Century Gothic" w:hAnsi="Century Gothic" w:cs="Arial"/>
          <w:sz w:val="21"/>
          <w:szCs w:val="21"/>
          <w:lang w:val="es-ES_tradnl"/>
        </w:rPr>
        <w:t>n 4 del Cap</w:t>
      </w:r>
      <w:r w:rsidRPr="00035110">
        <w:rPr>
          <w:rFonts w:ascii="Century Gothic" w:hAnsi="Century Gothic" w:cs="Century Gothic"/>
          <w:sz w:val="21"/>
          <w:szCs w:val="21"/>
          <w:lang w:val="es-ES_tradnl"/>
        </w:rPr>
        <w:t>í</w:t>
      </w:r>
      <w:r w:rsidRPr="00035110">
        <w:rPr>
          <w:rFonts w:ascii="Century Gothic" w:hAnsi="Century Gothic" w:cs="Arial"/>
          <w:sz w:val="21"/>
          <w:szCs w:val="21"/>
          <w:lang w:val="es-ES_tradnl"/>
        </w:rPr>
        <w:t>tulo 2 del T</w:t>
      </w:r>
      <w:r w:rsidRPr="00035110">
        <w:rPr>
          <w:rFonts w:ascii="Century Gothic" w:hAnsi="Century Gothic" w:cs="Century Gothic"/>
          <w:sz w:val="21"/>
          <w:szCs w:val="21"/>
          <w:lang w:val="es-ES_tradnl"/>
        </w:rPr>
        <w:t>í</w:t>
      </w:r>
      <w:r w:rsidRPr="00035110">
        <w:rPr>
          <w:rFonts w:ascii="Century Gothic" w:hAnsi="Century Gothic" w:cs="Arial"/>
          <w:sz w:val="21"/>
          <w:szCs w:val="21"/>
          <w:lang w:val="es-ES_tradnl"/>
        </w:rPr>
        <w:t>tulo 1 de la Parte 2 del Libro 2 del Decreto 1082 de 2015, los cuales quedar</w:t>
      </w:r>
      <w:r w:rsidRPr="00035110">
        <w:rPr>
          <w:rFonts w:ascii="Century Gothic" w:hAnsi="Century Gothic" w:cs="Century Gothic"/>
          <w:sz w:val="21"/>
          <w:szCs w:val="21"/>
          <w:lang w:val="es-ES_tradnl"/>
        </w:rPr>
        <w:t>á</w:t>
      </w:r>
      <w:r w:rsidRPr="00035110">
        <w:rPr>
          <w:rFonts w:ascii="Century Gothic" w:hAnsi="Century Gothic" w:cs="Arial"/>
          <w:sz w:val="21"/>
          <w:szCs w:val="21"/>
          <w:lang w:val="es-ES_tradnl"/>
        </w:rPr>
        <w:t>n as</w:t>
      </w:r>
      <w:r w:rsidRPr="00035110">
        <w:rPr>
          <w:rFonts w:ascii="Century Gothic" w:hAnsi="Century Gothic" w:cs="Century Gothic"/>
          <w:sz w:val="21"/>
          <w:szCs w:val="21"/>
          <w:lang w:val="es-ES_tradnl"/>
        </w:rPr>
        <w:t>í</w:t>
      </w:r>
      <w:r w:rsidRPr="00035110">
        <w:rPr>
          <w:rFonts w:ascii="Century Gothic" w:hAnsi="Century Gothic" w:cs="Arial"/>
          <w:sz w:val="21"/>
          <w:szCs w:val="21"/>
          <w:lang w:val="es-ES_tradnl"/>
        </w:rPr>
        <w:t>:</w:t>
      </w:r>
    </w:p>
    <w:p w14:paraId="3FA4AC03" w14:textId="77777777" w:rsidR="008A30D4" w:rsidRPr="00035110" w:rsidRDefault="008A30D4" w:rsidP="008A30D4">
      <w:pPr>
        <w:spacing w:after="120" w:line="240" w:lineRule="auto"/>
        <w:ind w:left="709" w:right="709"/>
        <w:jc w:val="both"/>
        <w:rPr>
          <w:rFonts w:ascii="Century Gothic" w:hAnsi="Century Gothic" w:cs="Arial"/>
          <w:sz w:val="21"/>
          <w:szCs w:val="21"/>
          <w:lang w:val="es-ES_tradnl"/>
        </w:rPr>
      </w:pPr>
      <w:r w:rsidRPr="00035110">
        <w:rPr>
          <w:rFonts w:ascii="Century Gothic" w:hAnsi="Century Gothic" w:cs="Arial"/>
          <w:sz w:val="21"/>
          <w:szCs w:val="21"/>
          <w:lang w:val="es-ES_tradnl"/>
        </w:rPr>
        <w:t>[…]</w:t>
      </w:r>
    </w:p>
    <w:p w14:paraId="2B67BE11" w14:textId="77777777" w:rsidR="008A30D4" w:rsidRPr="00035110" w:rsidRDefault="008A30D4" w:rsidP="740D53F7">
      <w:pPr>
        <w:spacing w:after="0" w:line="240" w:lineRule="auto"/>
        <w:ind w:left="709" w:right="709"/>
        <w:jc w:val="both"/>
        <w:rPr>
          <w:rFonts w:ascii="Century Gothic" w:eastAsia="Calibri" w:hAnsi="Century Gothic" w:cs="Arial"/>
          <w:lang w:val="es-ES"/>
        </w:rPr>
      </w:pPr>
      <w:r w:rsidRPr="740D53F7">
        <w:rPr>
          <w:rFonts w:ascii="Century Gothic" w:hAnsi="Century Gothic" w:cs="Arial"/>
          <w:sz w:val="21"/>
          <w:szCs w:val="21"/>
          <w:lang w:val="es-ES"/>
        </w:rPr>
        <w:t>ARTÍCULO 2.2.1.2.4.2.3. Limitaciones territoriales.</w:t>
      </w:r>
      <w:r w:rsidRPr="740D53F7">
        <w:rPr>
          <w:rFonts w:ascii="Arial" w:hAnsi="Arial" w:cs="Arial"/>
          <w:sz w:val="21"/>
          <w:szCs w:val="21"/>
          <w:lang w:val="es-ES"/>
        </w:rPr>
        <w:t> </w:t>
      </w:r>
      <w:r w:rsidRPr="740D53F7">
        <w:rPr>
          <w:rFonts w:ascii="Century Gothic" w:hAnsi="Century Gothic" w:cs="Arial"/>
          <w:sz w:val="21"/>
          <w:szCs w:val="21"/>
          <w:lang w:val="es-ES"/>
        </w:rPr>
        <w:t>De conformidad con el par</w:t>
      </w:r>
      <w:r w:rsidRPr="740D53F7">
        <w:rPr>
          <w:rFonts w:ascii="Century Gothic" w:hAnsi="Century Gothic" w:cs="Century Gothic"/>
          <w:sz w:val="21"/>
          <w:szCs w:val="21"/>
          <w:lang w:val="es-ES"/>
        </w:rPr>
        <w:t>á</w:t>
      </w:r>
      <w:r w:rsidRPr="740D53F7">
        <w:rPr>
          <w:rFonts w:ascii="Century Gothic" w:hAnsi="Century Gothic" w:cs="Arial"/>
          <w:sz w:val="21"/>
          <w:szCs w:val="21"/>
          <w:lang w:val="es-ES"/>
        </w:rPr>
        <w:t>grafo</w:t>
      </w:r>
      <w:r w:rsidRPr="740D53F7">
        <w:rPr>
          <w:rFonts w:ascii="Arial" w:hAnsi="Arial" w:cs="Arial"/>
          <w:sz w:val="21"/>
          <w:szCs w:val="21"/>
          <w:lang w:val="es-ES"/>
        </w:rPr>
        <w:t> </w:t>
      </w:r>
      <w:r w:rsidRPr="740D53F7">
        <w:rPr>
          <w:rFonts w:ascii="Century Gothic" w:hAnsi="Century Gothic" w:cs="Arial"/>
          <w:sz w:val="21"/>
          <w:szCs w:val="21"/>
          <w:lang w:val="es-ES"/>
        </w:rPr>
        <w:t>1</w:t>
      </w:r>
      <w:r w:rsidRPr="740D53F7">
        <w:rPr>
          <w:rFonts w:ascii="Arial" w:hAnsi="Arial" w:cs="Arial"/>
          <w:sz w:val="21"/>
          <w:szCs w:val="21"/>
          <w:lang w:val="es-ES"/>
        </w:rPr>
        <w:t> </w:t>
      </w:r>
      <w:r w:rsidRPr="740D53F7">
        <w:rPr>
          <w:rFonts w:ascii="Century Gothic" w:hAnsi="Century Gothic" w:cs="Arial"/>
          <w:sz w:val="21"/>
          <w:szCs w:val="21"/>
          <w:lang w:val="es-ES"/>
        </w:rPr>
        <w:t>del art</w:t>
      </w:r>
      <w:r w:rsidRPr="740D53F7">
        <w:rPr>
          <w:rFonts w:ascii="Century Gothic" w:hAnsi="Century Gothic" w:cs="Century Gothic"/>
          <w:sz w:val="21"/>
          <w:szCs w:val="21"/>
          <w:lang w:val="es-ES"/>
        </w:rPr>
        <w:t>í</w:t>
      </w:r>
      <w:r w:rsidRPr="740D53F7">
        <w:rPr>
          <w:rFonts w:ascii="Century Gothic" w:hAnsi="Century Gothic" w:cs="Arial"/>
          <w:sz w:val="21"/>
          <w:szCs w:val="21"/>
          <w:lang w:val="es-ES"/>
        </w:rPr>
        <w:t>culo</w:t>
      </w:r>
      <w:r w:rsidRPr="740D53F7">
        <w:rPr>
          <w:rFonts w:ascii="Arial" w:hAnsi="Arial" w:cs="Arial"/>
          <w:sz w:val="21"/>
          <w:szCs w:val="21"/>
          <w:lang w:val="es-ES"/>
        </w:rPr>
        <w:t> </w:t>
      </w:r>
      <w:r w:rsidRPr="740D53F7">
        <w:rPr>
          <w:rFonts w:ascii="Century Gothic" w:hAnsi="Century Gothic" w:cs="Arial"/>
          <w:sz w:val="21"/>
          <w:szCs w:val="21"/>
          <w:lang w:val="es-ES"/>
        </w:rPr>
        <w:t>12</w:t>
      </w:r>
      <w:r w:rsidRPr="740D53F7">
        <w:rPr>
          <w:rFonts w:ascii="Arial" w:hAnsi="Arial" w:cs="Arial"/>
          <w:sz w:val="21"/>
          <w:szCs w:val="21"/>
          <w:lang w:val="es-ES"/>
        </w:rPr>
        <w:t> </w:t>
      </w:r>
      <w:r w:rsidRPr="740D53F7">
        <w:rPr>
          <w:rFonts w:ascii="Century Gothic" w:hAnsi="Century Gothic" w:cs="Arial"/>
          <w:sz w:val="21"/>
          <w:szCs w:val="21"/>
          <w:lang w:val="es-ES"/>
        </w:rPr>
        <w:t>de la Ley 1150 de 2007, las Entidades Estatales, independientemente de su r</w:t>
      </w:r>
      <w:r w:rsidRPr="740D53F7">
        <w:rPr>
          <w:rFonts w:ascii="Century Gothic" w:hAnsi="Century Gothic" w:cs="Century Gothic"/>
          <w:sz w:val="21"/>
          <w:szCs w:val="21"/>
          <w:lang w:val="es-ES"/>
        </w:rPr>
        <w:t>é</w:t>
      </w:r>
      <w:r w:rsidRPr="740D53F7">
        <w:rPr>
          <w:rFonts w:ascii="Century Gothic" w:hAnsi="Century Gothic" w:cs="Arial"/>
          <w:sz w:val="21"/>
          <w:szCs w:val="21"/>
          <w:lang w:val="es-ES"/>
        </w:rPr>
        <w:t>gimen de contrataci</w:t>
      </w:r>
      <w:r w:rsidRPr="740D53F7">
        <w:rPr>
          <w:rFonts w:ascii="Century Gothic" w:hAnsi="Century Gothic" w:cs="Century Gothic"/>
          <w:sz w:val="21"/>
          <w:szCs w:val="21"/>
          <w:lang w:val="es-ES"/>
        </w:rPr>
        <w:t>ó</w:t>
      </w:r>
      <w:r w:rsidRPr="740D53F7">
        <w:rPr>
          <w:rFonts w:ascii="Century Gothic" w:hAnsi="Century Gothic" w:cs="Arial"/>
          <w:sz w:val="21"/>
          <w:szCs w:val="21"/>
          <w:lang w:val="es-ES"/>
        </w:rPr>
        <w:t>n, los patrimonios aut</w:t>
      </w:r>
      <w:r w:rsidRPr="740D53F7">
        <w:rPr>
          <w:rFonts w:ascii="Century Gothic" w:hAnsi="Century Gothic" w:cs="Century Gothic"/>
          <w:sz w:val="21"/>
          <w:szCs w:val="21"/>
          <w:lang w:val="es-ES"/>
        </w:rPr>
        <w:t>ó</w:t>
      </w:r>
      <w:r w:rsidRPr="740D53F7">
        <w:rPr>
          <w:rFonts w:ascii="Century Gothic" w:hAnsi="Century Gothic" w:cs="Arial"/>
          <w:sz w:val="21"/>
          <w:szCs w:val="21"/>
          <w:lang w:val="es-ES"/>
        </w:rPr>
        <w:t>nomos constituidos por Entidades Estatales y los particulares que ejecuten recursos p</w:t>
      </w:r>
      <w:r w:rsidRPr="740D53F7">
        <w:rPr>
          <w:rFonts w:ascii="Century Gothic" w:hAnsi="Century Gothic" w:cs="Century Gothic"/>
          <w:sz w:val="21"/>
          <w:szCs w:val="21"/>
          <w:lang w:val="es-ES"/>
        </w:rPr>
        <w:t>ú</w:t>
      </w:r>
      <w:r w:rsidRPr="740D53F7">
        <w:rPr>
          <w:rFonts w:ascii="Century Gothic" w:hAnsi="Century Gothic" w:cs="Arial"/>
          <w:sz w:val="21"/>
          <w:szCs w:val="21"/>
          <w:lang w:val="es-ES"/>
        </w:rPr>
        <w:t xml:space="preserve">blicos, pueden realizar convocatorias limitadas a </w:t>
      </w:r>
      <w:proofErr w:type="spellStart"/>
      <w:r w:rsidRPr="740D53F7">
        <w:rPr>
          <w:rFonts w:ascii="Century Gothic" w:hAnsi="Century Gothic" w:cs="Arial"/>
          <w:sz w:val="21"/>
          <w:szCs w:val="21"/>
          <w:lang w:val="es-ES"/>
        </w:rPr>
        <w:t>Mipyme</w:t>
      </w:r>
      <w:proofErr w:type="spellEnd"/>
      <w:r w:rsidRPr="740D53F7">
        <w:rPr>
          <w:rFonts w:ascii="Century Gothic" w:hAnsi="Century Gothic" w:cs="Arial"/>
          <w:sz w:val="21"/>
          <w:szCs w:val="21"/>
          <w:lang w:val="es-ES"/>
        </w:rPr>
        <w:t xml:space="preserve"> colombianas que tengan domicilio en los departamentos o municipios en donde se va a ejecutar el contrato. Cada </w:t>
      </w:r>
      <w:proofErr w:type="spellStart"/>
      <w:r w:rsidRPr="740D53F7">
        <w:rPr>
          <w:rFonts w:ascii="Century Gothic" w:hAnsi="Century Gothic" w:cs="Arial"/>
          <w:sz w:val="21"/>
          <w:szCs w:val="21"/>
          <w:lang w:val="es-ES"/>
        </w:rPr>
        <w:t>Mipyme</w:t>
      </w:r>
      <w:proofErr w:type="spellEnd"/>
      <w:r w:rsidRPr="740D53F7">
        <w:rPr>
          <w:rFonts w:ascii="Century Gothic" w:hAnsi="Century Gothic" w:cs="Arial"/>
          <w:sz w:val="21"/>
          <w:szCs w:val="21"/>
          <w:lang w:val="es-ES"/>
        </w:rPr>
        <w:t xml:space="preserve"> deber</w:t>
      </w:r>
      <w:r w:rsidRPr="740D53F7">
        <w:rPr>
          <w:rFonts w:ascii="Century Gothic" w:hAnsi="Century Gothic" w:cs="Century Gothic"/>
          <w:sz w:val="21"/>
          <w:szCs w:val="21"/>
          <w:lang w:val="es-ES"/>
        </w:rPr>
        <w:t>á</w:t>
      </w:r>
      <w:r w:rsidRPr="740D53F7">
        <w:rPr>
          <w:rFonts w:ascii="Century Gothic" w:hAnsi="Century Gothic" w:cs="Arial"/>
          <w:sz w:val="21"/>
          <w:szCs w:val="21"/>
          <w:lang w:val="es-ES"/>
        </w:rPr>
        <w:t xml:space="preserve"> acreditar su domicilio con los documentos a los que se refiere el siguiente artículo”. </w:t>
      </w:r>
    </w:p>
    <w:p w14:paraId="45F356E3" w14:textId="77777777" w:rsidR="008A30D4" w:rsidRPr="00035110" w:rsidRDefault="008A30D4" w:rsidP="008A30D4">
      <w:pPr>
        <w:spacing w:after="0" w:line="276" w:lineRule="auto"/>
        <w:ind w:left="709" w:right="709"/>
        <w:jc w:val="both"/>
        <w:rPr>
          <w:rFonts w:ascii="Century Gothic" w:eastAsia="Calibri" w:hAnsi="Century Gothic" w:cs="Arial"/>
          <w:lang w:val="es-ES_tradnl"/>
        </w:rPr>
      </w:pPr>
    </w:p>
    <w:p w14:paraId="23590B99" w14:textId="77777777" w:rsidR="008A30D4" w:rsidRPr="00035110" w:rsidRDefault="008A30D4" w:rsidP="740D53F7">
      <w:pPr>
        <w:spacing w:after="120" w:line="276" w:lineRule="auto"/>
        <w:ind w:firstLine="709"/>
        <w:jc w:val="both"/>
        <w:rPr>
          <w:rFonts w:ascii="Century Gothic" w:eastAsia="Calibri" w:hAnsi="Century Gothic" w:cs="Arial"/>
          <w:lang w:val="es-ES"/>
        </w:rPr>
      </w:pPr>
      <w:r w:rsidRPr="740D53F7">
        <w:rPr>
          <w:rFonts w:ascii="Century Gothic" w:eastAsia="Calibri" w:hAnsi="Century Gothic" w:cs="Arial"/>
          <w:lang w:val="es-ES"/>
        </w:rPr>
        <w:t xml:space="preserve">La norma reglamentaria coincide con la redacción del parágrafo 1 del artículo 34 de la Ley 2069 de 2020, según el cual, “En los procesos de selección que se desarrollen con base en el primer inciso, las entidades podrán realizar las convocatorias limitadas que beneficien a las </w:t>
      </w:r>
      <w:proofErr w:type="spellStart"/>
      <w:r w:rsidRPr="740D53F7">
        <w:rPr>
          <w:rFonts w:ascii="Century Gothic" w:eastAsia="Calibri" w:hAnsi="Century Gothic" w:cs="Arial"/>
          <w:lang w:val="es-ES"/>
        </w:rPr>
        <w:t>Mipymes</w:t>
      </w:r>
      <w:proofErr w:type="spellEnd"/>
      <w:r w:rsidRPr="740D53F7">
        <w:rPr>
          <w:rFonts w:ascii="Century Gothic" w:eastAsia="Calibri" w:hAnsi="Century Gothic" w:cs="Arial"/>
          <w:lang w:val="es-ES"/>
        </w:rPr>
        <w:t xml:space="preserve"> del ámbito municipal o departamental correspondiente al de la ejecución del contrato”. En tales términos, la norma citada solo contempla la posibilidad de limitar convocatorias a </w:t>
      </w:r>
      <w:proofErr w:type="spellStart"/>
      <w:r w:rsidRPr="740D53F7">
        <w:rPr>
          <w:rFonts w:ascii="Century Gothic" w:eastAsia="Calibri" w:hAnsi="Century Gothic" w:cs="Arial"/>
          <w:lang w:val="es-ES"/>
        </w:rPr>
        <w:t>Mipymes</w:t>
      </w:r>
      <w:proofErr w:type="spellEnd"/>
      <w:r w:rsidRPr="740D53F7">
        <w:rPr>
          <w:rFonts w:ascii="Century Gothic" w:eastAsia="Calibri" w:hAnsi="Century Gothic" w:cs="Arial"/>
          <w:lang w:val="es-ES"/>
        </w:rPr>
        <w:t xml:space="preserve"> con domicilio en esos dos tipos de entidades territoriales. </w:t>
      </w:r>
    </w:p>
    <w:p w14:paraId="2A1EAAD9" w14:textId="77777777" w:rsidR="008A30D4" w:rsidRPr="00035110" w:rsidRDefault="008A30D4" w:rsidP="740D53F7">
      <w:pPr>
        <w:spacing w:after="120" w:line="276" w:lineRule="auto"/>
        <w:ind w:firstLine="709"/>
        <w:jc w:val="both"/>
        <w:rPr>
          <w:rFonts w:ascii="Century Gothic" w:eastAsia="Arial" w:hAnsi="Century Gothic" w:cs="Arial"/>
          <w:color w:val="000000"/>
          <w:lang w:val="es-ES"/>
        </w:rPr>
      </w:pPr>
      <w:r w:rsidRPr="740D53F7">
        <w:rPr>
          <w:rFonts w:ascii="Century Gothic" w:eastAsia="Arial" w:hAnsi="Century Gothic" w:cs="Arial"/>
          <w:color w:val="000000" w:themeColor="text1"/>
          <w:lang w:val="es-ES"/>
        </w:rPr>
        <w:t xml:space="preserve">En ese sentido, toda empresa constituida bajo las leyes colombianas o que tenga su domicilio principal en el territorio colombiano y, además, cumpla los criterios previstos por la Ley 590 de 2000 y el Decreto 957 de 2019, será considerada </w:t>
      </w:r>
      <w:proofErr w:type="spellStart"/>
      <w:r w:rsidRPr="740D53F7">
        <w:rPr>
          <w:rFonts w:ascii="Century Gothic" w:eastAsia="Arial" w:hAnsi="Century Gothic" w:cs="Arial"/>
          <w:color w:val="000000" w:themeColor="text1"/>
          <w:lang w:val="es-ES"/>
        </w:rPr>
        <w:lastRenderedPageBreak/>
        <w:t>Mipyme</w:t>
      </w:r>
      <w:proofErr w:type="spellEnd"/>
      <w:r w:rsidRPr="740D53F7">
        <w:rPr>
          <w:rFonts w:ascii="Century Gothic" w:eastAsia="Arial" w:hAnsi="Century Gothic" w:cs="Arial"/>
          <w:color w:val="000000" w:themeColor="text1"/>
          <w:lang w:val="es-ES"/>
        </w:rPr>
        <w:t xml:space="preserve"> nacional. Además, las normas de contratación permiten que las </w:t>
      </w:r>
      <w:proofErr w:type="spellStart"/>
      <w:r w:rsidRPr="740D53F7">
        <w:rPr>
          <w:rFonts w:ascii="Century Gothic" w:eastAsia="Arial" w:hAnsi="Century Gothic" w:cs="Arial"/>
          <w:color w:val="000000" w:themeColor="text1"/>
          <w:lang w:val="es-ES"/>
        </w:rPr>
        <w:t>Mipyme</w:t>
      </w:r>
      <w:proofErr w:type="spellEnd"/>
      <w:r w:rsidRPr="740D53F7">
        <w:rPr>
          <w:rFonts w:ascii="Century Gothic" w:eastAsia="Arial" w:hAnsi="Century Gothic" w:cs="Arial"/>
          <w:color w:val="000000" w:themeColor="text1"/>
          <w:lang w:val="es-ES"/>
        </w:rPr>
        <w:t xml:space="preserve"> nacionales puedan beneficiarse de la ejecución de un contrato dentro de la entidad territorial en la que tienen su “domicilio”. </w:t>
      </w:r>
    </w:p>
    <w:p w14:paraId="758D1E7F" w14:textId="77777777" w:rsidR="008A30D4" w:rsidRPr="00035110" w:rsidRDefault="008A30D4" w:rsidP="740D53F7">
      <w:pPr>
        <w:spacing w:after="120" w:line="276" w:lineRule="auto"/>
        <w:ind w:firstLine="709"/>
        <w:jc w:val="both"/>
        <w:rPr>
          <w:rFonts w:ascii="Century Gothic" w:eastAsia="Arial" w:hAnsi="Century Gothic" w:cs="Arial"/>
          <w:color w:val="000000"/>
          <w:lang w:val="es-ES"/>
        </w:rPr>
      </w:pPr>
      <w:r w:rsidRPr="740D53F7">
        <w:rPr>
          <w:rFonts w:ascii="Century Gothic" w:eastAsia="Arial" w:hAnsi="Century Gothic" w:cs="Arial"/>
          <w:color w:val="000000" w:themeColor="text1"/>
          <w:lang w:val="es-ES"/>
        </w:rPr>
        <w:t xml:space="preserve">No puede perderse de vista que la decisión de limitar “a </w:t>
      </w:r>
      <w:proofErr w:type="spellStart"/>
      <w:r w:rsidRPr="740D53F7">
        <w:rPr>
          <w:rFonts w:ascii="Century Gothic" w:eastAsia="Arial" w:hAnsi="Century Gothic" w:cs="Arial"/>
          <w:color w:val="000000" w:themeColor="text1"/>
          <w:lang w:val="es-ES"/>
        </w:rPr>
        <w:t>Mipyme</w:t>
      </w:r>
      <w:proofErr w:type="spellEnd"/>
      <w:r w:rsidRPr="740D53F7">
        <w:rPr>
          <w:rFonts w:ascii="Century Gothic" w:eastAsia="Arial" w:hAnsi="Century Gothic" w:cs="Arial"/>
          <w:color w:val="000000" w:themeColor="text1"/>
          <w:lang w:val="es-ES"/>
        </w:rPr>
        <w:t xml:space="preserve"> colombianas que tengan domicilio en los departamentos o municipios en donde se va a ejecutar el contrato”, aunque es facultativa de la entidad, está supeditada a que se verifiquen los requisitos establecidos en los numerales 1 y 2 del precitado artículo 2.2.1.2.4.2.2 del Decreto 1082 de 2015, modificado por el Decreto 1860 de 2021. En ese sentido, si la entidad no recibió las solicitudes para limitar la convocatoria a </w:t>
      </w:r>
      <w:proofErr w:type="spellStart"/>
      <w:r w:rsidRPr="740D53F7">
        <w:rPr>
          <w:rFonts w:ascii="Century Gothic" w:eastAsia="Arial" w:hAnsi="Century Gothic" w:cs="Arial"/>
          <w:color w:val="000000" w:themeColor="text1"/>
          <w:lang w:val="es-ES"/>
        </w:rPr>
        <w:t>Mipyme</w:t>
      </w:r>
      <w:proofErr w:type="spellEnd"/>
      <w:r w:rsidRPr="740D53F7">
        <w:rPr>
          <w:rFonts w:ascii="Century Gothic" w:eastAsia="Arial" w:hAnsi="Century Gothic" w:cs="Arial"/>
          <w:color w:val="000000" w:themeColor="text1"/>
          <w:lang w:val="es-ES"/>
        </w:rPr>
        <w:t xml:space="preserve">, no puede </w:t>
      </w:r>
      <w:r w:rsidRPr="740D53F7">
        <w:rPr>
          <w:rFonts w:ascii="Century Gothic" w:eastAsia="Arial" w:hAnsi="Century Gothic" w:cs="Arial"/>
          <w:i/>
          <w:iCs/>
          <w:color w:val="000000" w:themeColor="text1"/>
          <w:lang w:val="es-ES"/>
        </w:rPr>
        <w:t xml:space="preserve">motu proprio </w:t>
      </w:r>
      <w:r w:rsidRPr="740D53F7">
        <w:rPr>
          <w:rFonts w:ascii="Century Gothic" w:eastAsia="Arial" w:hAnsi="Century Gothic" w:cs="Arial"/>
          <w:color w:val="000000" w:themeColor="text1"/>
          <w:lang w:val="es-ES"/>
        </w:rPr>
        <w:t xml:space="preserve">proceder con la “limitación territorial” de que trata el artículo 2.2.1.2.4.2.3 del Decreto 1082 de 2015. Esto debido a que el ejercicio de esta facultad solo puede darse ante la “limitación a </w:t>
      </w:r>
      <w:proofErr w:type="spellStart"/>
      <w:r w:rsidRPr="740D53F7">
        <w:rPr>
          <w:rFonts w:ascii="Century Gothic" w:eastAsia="Arial" w:hAnsi="Century Gothic" w:cs="Arial"/>
          <w:color w:val="000000" w:themeColor="text1"/>
          <w:lang w:val="es-ES"/>
        </w:rPr>
        <w:t>Mipymes</w:t>
      </w:r>
      <w:proofErr w:type="spellEnd"/>
      <w:r w:rsidRPr="740D53F7">
        <w:rPr>
          <w:rFonts w:ascii="Century Gothic" w:eastAsia="Arial" w:hAnsi="Century Gothic" w:cs="Arial"/>
          <w:color w:val="000000" w:themeColor="text1"/>
          <w:lang w:val="es-ES"/>
        </w:rPr>
        <w:t xml:space="preserve"> colombianas”, lo cual supone verificar los supuestos legales establecidos en los mencionados numerales.</w:t>
      </w:r>
    </w:p>
    <w:p w14:paraId="41D7DBE8" w14:textId="77777777" w:rsidR="008A30D4" w:rsidRPr="00035110" w:rsidRDefault="008A30D4" w:rsidP="008A30D4">
      <w:pPr>
        <w:spacing w:after="120" w:line="276" w:lineRule="auto"/>
        <w:ind w:firstLine="708"/>
        <w:jc w:val="both"/>
        <w:rPr>
          <w:rFonts w:ascii="Century Gothic" w:hAnsi="Century Gothic" w:cs="Arial"/>
          <w:color w:val="000000" w:themeColor="text1"/>
        </w:rPr>
      </w:pPr>
      <w:r w:rsidRPr="00035110">
        <w:rPr>
          <w:rFonts w:ascii="Century Gothic" w:hAnsi="Century Gothic" w:cs="Arial"/>
          <w:color w:val="000000" w:themeColor="text1"/>
        </w:rPr>
        <w:t xml:space="preserve">Cumplidos los dos requisitos del artículo 2.2.1.2.4.2.2 </w:t>
      </w:r>
      <w:proofErr w:type="spellStart"/>
      <w:r w:rsidRPr="00035110">
        <w:rPr>
          <w:rFonts w:ascii="Century Gothic" w:hAnsi="Century Gothic" w:cs="Arial"/>
          <w:i/>
          <w:iCs/>
          <w:color w:val="000000" w:themeColor="text1"/>
        </w:rPr>
        <w:t>ibídem</w:t>
      </w:r>
      <w:proofErr w:type="spellEnd"/>
      <w:r w:rsidRPr="00035110">
        <w:rPr>
          <w:rFonts w:ascii="Century Gothic" w:hAnsi="Century Gothic" w:cs="Arial"/>
          <w:color w:val="000000" w:themeColor="text1"/>
        </w:rPr>
        <w:t xml:space="preserve">, la entidad estatal, independientemente de su régimen de contratación, los patrimonios autónomos constituidos por entidades estatales y los particulares que ejecuten recursos públicos, pueden ─sin estar obligadas─ decidir si limitan la convocatoria a las </w:t>
      </w:r>
      <w:proofErr w:type="spellStart"/>
      <w:r w:rsidRPr="00035110">
        <w:rPr>
          <w:rFonts w:ascii="Century Gothic" w:hAnsi="Century Gothic" w:cs="Arial"/>
          <w:color w:val="000000" w:themeColor="text1"/>
        </w:rPr>
        <w:t>Mipyme</w:t>
      </w:r>
      <w:proofErr w:type="spellEnd"/>
      <w:r w:rsidRPr="00035110">
        <w:rPr>
          <w:rFonts w:ascii="Century Gothic" w:hAnsi="Century Gothic" w:cs="Arial"/>
          <w:color w:val="000000" w:themeColor="text1"/>
        </w:rPr>
        <w:t xml:space="preserve"> colombianas domiciliadas en el municipio o departamento en el que se ejecutará el contrato. Esto de acuerdo con el artículo 2.2.1.2.4.2.3 del Decreto 1082 de 2015 </w:t>
      </w:r>
      <w:r w:rsidRPr="00035110">
        <w:rPr>
          <w:rFonts w:ascii="Century Gothic" w:eastAsia="Arial" w:hAnsi="Century Gothic" w:cs="Arial"/>
          <w:color w:val="000000"/>
          <w:lang w:val="es-ES_tradnl"/>
        </w:rPr>
        <w:t>modificado por el Decreto 1860 de 2021</w:t>
      </w:r>
      <w:r w:rsidRPr="00035110">
        <w:rPr>
          <w:rFonts w:ascii="Century Gothic" w:hAnsi="Century Gothic" w:cs="Arial"/>
          <w:color w:val="000000" w:themeColor="text1"/>
        </w:rPr>
        <w:t xml:space="preserve">, norma que se refiere a la facultad de la administración con el verbo infinitivo “poder”, no “deber”. </w:t>
      </w:r>
    </w:p>
    <w:p w14:paraId="111C312B" w14:textId="77777777" w:rsidR="008A30D4" w:rsidRPr="00035110" w:rsidRDefault="008A30D4" w:rsidP="008A30D4">
      <w:pPr>
        <w:spacing w:after="120" w:line="276" w:lineRule="auto"/>
        <w:ind w:firstLine="709"/>
        <w:jc w:val="both"/>
        <w:rPr>
          <w:rFonts w:ascii="Century Gothic" w:eastAsia="Calibri" w:hAnsi="Century Gothic" w:cs="Arial"/>
          <w:color w:val="000000" w:themeColor="text1"/>
        </w:rPr>
      </w:pPr>
      <w:r w:rsidRPr="00035110">
        <w:rPr>
          <w:rFonts w:ascii="Century Gothic" w:eastAsia="Calibri" w:hAnsi="Century Gothic" w:cs="Arial"/>
          <w:color w:val="000000" w:themeColor="text1"/>
        </w:rPr>
        <w:t>Colombia Compra Eficiente ha sostenido que la decisión de limitar territorialmente un</w:t>
      </w:r>
      <w:r w:rsidRPr="00035110">
        <w:rPr>
          <w:rFonts w:ascii="Century Gothic" w:hAnsi="Century Gothic" w:cs="Arial"/>
          <w:color w:val="000000" w:themeColor="text1"/>
        </w:rPr>
        <w:t xml:space="preserve">a convocatoria a </w:t>
      </w:r>
      <w:proofErr w:type="spellStart"/>
      <w:r w:rsidRPr="00035110">
        <w:rPr>
          <w:rFonts w:ascii="Century Gothic" w:hAnsi="Century Gothic" w:cs="Arial"/>
          <w:color w:val="000000" w:themeColor="text1"/>
        </w:rPr>
        <w:t>Mipyme</w:t>
      </w:r>
      <w:proofErr w:type="spellEnd"/>
      <w:r w:rsidRPr="00035110">
        <w:rPr>
          <w:rFonts w:ascii="Century Gothic" w:hAnsi="Century Gothic" w:cs="Arial"/>
          <w:color w:val="000000" w:themeColor="text1"/>
        </w:rPr>
        <w:t xml:space="preserve"> </w:t>
      </w:r>
      <w:r w:rsidRPr="00035110">
        <w:rPr>
          <w:rFonts w:ascii="Century Gothic" w:eastAsia="Calibri" w:hAnsi="Century Gothic" w:cs="Arial"/>
          <w:color w:val="000000" w:themeColor="text1"/>
        </w:rPr>
        <w:t xml:space="preserve">es discrecional, y ha precisado que, de todos modos, esta debe justificarse con fundamento en los correspondientes “estudios del sector”. Así lo consideró en la consulta No. 216130003241, resuelta el 30 de junio de 2016. Igualmente, en la consulta resuelta en el radicado No. 2201813000008184 del 7 de septiembre de 2019, se explicó que, de acuerdo con el </w:t>
      </w:r>
      <w:r w:rsidRPr="00035110">
        <w:rPr>
          <w:rFonts w:ascii="Century Gothic" w:hAnsi="Century Gothic" w:cs="Arial"/>
          <w:color w:val="000000" w:themeColor="text1"/>
        </w:rPr>
        <w:t xml:space="preserve">artículo 2.2.1.2.4.2.3 del Decreto 1082 de 2015, las </w:t>
      </w:r>
      <w:proofErr w:type="spellStart"/>
      <w:r w:rsidRPr="00035110">
        <w:rPr>
          <w:rFonts w:ascii="Century Gothic" w:hAnsi="Century Gothic" w:cs="Arial"/>
          <w:color w:val="000000" w:themeColor="text1"/>
        </w:rPr>
        <w:t>Mipyme</w:t>
      </w:r>
      <w:proofErr w:type="spellEnd"/>
      <w:r w:rsidRPr="00035110">
        <w:rPr>
          <w:rFonts w:ascii="Century Gothic" w:eastAsia="Calibri" w:hAnsi="Century Gothic" w:cs="Arial"/>
          <w:color w:val="000000" w:themeColor="text1"/>
        </w:rPr>
        <w:t xml:space="preserve"> beneficiadas deben tener su domicilio principal en el municipio o departamento donde se ejecutará el contrato para participar en una convocatoria limitada territorialmente.</w:t>
      </w:r>
      <w:r w:rsidRPr="00035110">
        <w:rPr>
          <w:rFonts w:ascii="Century Gothic" w:hAnsi="Century Gothic" w:cs="Arial"/>
          <w:color w:val="000000" w:themeColor="text1"/>
        </w:rPr>
        <w:t xml:space="preserve"> Esta tesis sigue vigente, puesto que el nuevo contenido del artículo 2.2.1.2.4.2.3 del Decreto 1082 de 2015, modificado por el artículo 5 del Decreto 1860 de 2021, mantiene la facultad de la Administración para limitar territorialmente la convocatoria teniendo en cuenta el domicilio de ejecución del contrato, lo cual es congruente como el verbo “podrán” del parágrafo primero del artículo 34 de la Ley de Emprendimiento.</w:t>
      </w:r>
    </w:p>
    <w:p w14:paraId="019708F4" w14:textId="77777777" w:rsidR="008A30D4" w:rsidRPr="00035110" w:rsidRDefault="008A30D4" w:rsidP="008A30D4">
      <w:pPr>
        <w:spacing w:after="120" w:line="276" w:lineRule="auto"/>
        <w:ind w:firstLine="709"/>
        <w:jc w:val="both"/>
        <w:rPr>
          <w:rFonts w:ascii="Century Gothic" w:eastAsia="Calibri" w:hAnsi="Century Gothic" w:cs="Arial"/>
          <w:color w:val="000000" w:themeColor="text1"/>
        </w:rPr>
      </w:pPr>
      <w:r w:rsidRPr="00035110">
        <w:rPr>
          <w:rFonts w:ascii="Century Gothic" w:hAnsi="Century Gothic" w:cs="Arial"/>
          <w:color w:val="000000" w:themeColor="text1"/>
        </w:rPr>
        <w:lastRenderedPageBreak/>
        <w:t xml:space="preserve">En tal sentido, </w:t>
      </w:r>
      <w:r w:rsidRPr="00035110">
        <w:rPr>
          <w:rFonts w:ascii="Century Gothic" w:eastAsia="Calibri" w:hAnsi="Century Gothic" w:cs="Arial"/>
          <w:color w:val="000000" w:themeColor="text1"/>
        </w:rPr>
        <w:t>lo que debe adoptarse obligatoriamente es la</w:t>
      </w:r>
      <w:r w:rsidRPr="00035110">
        <w:rPr>
          <w:rFonts w:ascii="Century Gothic" w:hAnsi="Century Gothic" w:cs="Arial"/>
          <w:color w:val="000000" w:themeColor="text1"/>
        </w:rPr>
        <w:t xml:space="preserve"> limitación a </w:t>
      </w:r>
      <w:proofErr w:type="spellStart"/>
      <w:r w:rsidRPr="00035110">
        <w:rPr>
          <w:rFonts w:ascii="Century Gothic" w:hAnsi="Century Gothic" w:cs="Arial"/>
          <w:color w:val="000000" w:themeColor="text1"/>
        </w:rPr>
        <w:t>Mipymes</w:t>
      </w:r>
      <w:proofErr w:type="spellEnd"/>
      <w:r w:rsidRPr="00035110">
        <w:rPr>
          <w:rFonts w:ascii="Century Gothic" w:hAnsi="Century Gothic" w:cs="Arial"/>
          <w:color w:val="000000" w:themeColor="text1"/>
        </w:rPr>
        <w:t xml:space="preserve"> colombianas</w:t>
      </w:r>
      <w:r w:rsidRPr="00035110">
        <w:rPr>
          <w:rFonts w:ascii="Century Gothic" w:eastAsia="Calibri" w:hAnsi="Century Gothic" w:cs="Arial"/>
          <w:color w:val="000000" w:themeColor="text1"/>
        </w:rPr>
        <w:t xml:space="preserve"> siempre que se cumplan las condiciones del artículo 2.2.1.2.4.2.2 del Decreto 1082 de 2015, pero no la “limitación territorial” referida en el artículo 2.2.1.2.4.2.3 </w:t>
      </w:r>
      <w:proofErr w:type="spellStart"/>
      <w:r w:rsidRPr="00035110">
        <w:rPr>
          <w:rFonts w:ascii="Century Gothic" w:eastAsia="Calibri" w:hAnsi="Century Gothic" w:cs="Arial"/>
          <w:i/>
          <w:iCs/>
          <w:color w:val="000000" w:themeColor="text1"/>
        </w:rPr>
        <w:t>ibídem</w:t>
      </w:r>
      <w:proofErr w:type="spellEnd"/>
      <w:r w:rsidRPr="00035110">
        <w:rPr>
          <w:rFonts w:ascii="Century Gothic" w:eastAsia="Calibri" w:hAnsi="Century Gothic" w:cs="Arial"/>
          <w:color w:val="000000" w:themeColor="text1"/>
        </w:rPr>
        <w:t>, pues esta es facultativa para la entidad. Las únicas exigencias son que la convocatoria esté l</w:t>
      </w:r>
      <w:r w:rsidRPr="00035110">
        <w:rPr>
          <w:rFonts w:ascii="Century Gothic" w:hAnsi="Century Gothic" w:cs="Arial"/>
          <w:color w:val="000000" w:themeColor="text1"/>
        </w:rPr>
        <w:t xml:space="preserve">imitada a las </w:t>
      </w:r>
      <w:proofErr w:type="spellStart"/>
      <w:r w:rsidRPr="00035110">
        <w:rPr>
          <w:rFonts w:ascii="Century Gothic" w:hAnsi="Century Gothic" w:cs="Arial"/>
          <w:color w:val="000000" w:themeColor="text1"/>
        </w:rPr>
        <w:t>Mipyme</w:t>
      </w:r>
      <w:proofErr w:type="spellEnd"/>
      <w:r w:rsidRPr="00035110">
        <w:rPr>
          <w:rFonts w:ascii="Century Gothic" w:hAnsi="Century Gothic" w:cs="Arial"/>
          <w:color w:val="000000" w:themeColor="text1"/>
        </w:rPr>
        <w:t xml:space="preserve"> colombianas</w:t>
      </w:r>
      <w:r w:rsidRPr="00035110">
        <w:rPr>
          <w:rFonts w:ascii="Century Gothic" w:eastAsia="Calibri" w:hAnsi="Century Gothic" w:cs="Arial"/>
          <w:color w:val="000000" w:themeColor="text1"/>
        </w:rPr>
        <w:t xml:space="preserve"> “domiciliadas en los departamentos o municipios en donde se va a ejecutar el contrato” y que la entidad justifique su decisión con base en los “estudios del sector”</w:t>
      </w:r>
      <w:r w:rsidRPr="00035110">
        <w:rPr>
          <w:rStyle w:val="Refdenotaalpie"/>
          <w:rFonts w:ascii="Century Gothic" w:eastAsia="Calibri" w:hAnsi="Century Gothic" w:cs="Arial"/>
          <w:color w:val="000000" w:themeColor="text1"/>
        </w:rPr>
        <w:footnoteReference w:id="27"/>
      </w:r>
      <w:r w:rsidRPr="00035110">
        <w:rPr>
          <w:rFonts w:ascii="Century Gothic" w:eastAsia="Calibri" w:hAnsi="Century Gothic" w:cs="Arial"/>
          <w:color w:val="000000" w:themeColor="text1"/>
        </w:rPr>
        <w:t xml:space="preserve">. No es procedente, entonces, que sean las </w:t>
      </w:r>
      <w:proofErr w:type="spellStart"/>
      <w:r w:rsidRPr="00035110">
        <w:rPr>
          <w:rFonts w:ascii="Century Gothic" w:eastAsia="Calibri" w:hAnsi="Century Gothic" w:cs="Arial"/>
          <w:color w:val="000000" w:themeColor="text1"/>
        </w:rPr>
        <w:t>Mipymes</w:t>
      </w:r>
      <w:proofErr w:type="spellEnd"/>
      <w:r w:rsidRPr="00035110">
        <w:rPr>
          <w:rFonts w:ascii="Century Gothic" w:eastAsia="Calibri" w:hAnsi="Century Gothic" w:cs="Arial"/>
          <w:color w:val="000000" w:themeColor="text1"/>
        </w:rPr>
        <w:t xml:space="preserve"> las que soliciten la “limitación territorial” a la que se refiere el artículo 2.2.1.2.4.2.3 del Decreto 1082 de 2015. </w:t>
      </w:r>
    </w:p>
    <w:p w14:paraId="1A3F3350" w14:textId="77777777" w:rsidR="008A30D4" w:rsidRPr="00035110" w:rsidRDefault="008A30D4" w:rsidP="008A30D4">
      <w:pPr>
        <w:spacing w:after="120" w:line="276" w:lineRule="auto"/>
        <w:ind w:firstLine="709"/>
        <w:jc w:val="both"/>
        <w:rPr>
          <w:rFonts w:ascii="Century Gothic" w:eastAsia="Calibri" w:hAnsi="Century Gothic" w:cs="Arial"/>
          <w:color w:val="000000" w:themeColor="text1"/>
        </w:rPr>
      </w:pPr>
      <w:r w:rsidRPr="00035110">
        <w:rPr>
          <w:rFonts w:ascii="Century Gothic" w:eastAsia="Calibri" w:hAnsi="Century Gothic" w:cs="Arial"/>
          <w:color w:val="000000" w:themeColor="text1"/>
        </w:rPr>
        <w:t>E</w:t>
      </w:r>
      <w:r w:rsidRPr="00035110">
        <w:rPr>
          <w:rFonts w:ascii="Century Gothic" w:hAnsi="Century Gothic" w:cs="Arial"/>
          <w:color w:val="000000" w:themeColor="text1"/>
        </w:rPr>
        <w:t xml:space="preserve">l origen de las </w:t>
      </w:r>
      <w:proofErr w:type="spellStart"/>
      <w:r w:rsidRPr="00035110">
        <w:rPr>
          <w:rFonts w:ascii="Century Gothic" w:hAnsi="Century Gothic" w:cs="Arial"/>
          <w:color w:val="000000" w:themeColor="text1"/>
        </w:rPr>
        <w:t>Mipyme</w:t>
      </w:r>
      <w:proofErr w:type="spellEnd"/>
      <w:r w:rsidRPr="00035110">
        <w:rPr>
          <w:rFonts w:ascii="Century Gothic" w:eastAsia="Calibri" w:hAnsi="Century Gothic" w:cs="Arial"/>
          <w:color w:val="000000" w:themeColor="text1"/>
        </w:rPr>
        <w:t xml:space="preserve"> que solicitan la “limitación territorial” no es relevante frente a dicha decisión por dos razo</w:t>
      </w:r>
      <w:r w:rsidRPr="00035110">
        <w:rPr>
          <w:rFonts w:ascii="Century Gothic" w:hAnsi="Century Gothic" w:cs="Arial"/>
          <w:color w:val="000000" w:themeColor="text1"/>
        </w:rPr>
        <w:t xml:space="preserve">nes: primero, porque las </w:t>
      </w:r>
      <w:proofErr w:type="spellStart"/>
      <w:r w:rsidRPr="00035110">
        <w:rPr>
          <w:rFonts w:ascii="Century Gothic" w:hAnsi="Century Gothic" w:cs="Arial"/>
          <w:color w:val="000000" w:themeColor="text1"/>
        </w:rPr>
        <w:t>Mipyme</w:t>
      </w:r>
      <w:proofErr w:type="spellEnd"/>
      <w:r w:rsidRPr="00035110">
        <w:rPr>
          <w:rFonts w:ascii="Century Gothic" w:eastAsia="Calibri" w:hAnsi="Century Gothic" w:cs="Arial"/>
          <w:color w:val="000000" w:themeColor="text1"/>
        </w:rPr>
        <w:t xml:space="preserve"> no están habilitadas para pedir la “limitación territorial”, lo están para pedir la “convocatoria limitada a </w:t>
      </w:r>
      <w:proofErr w:type="spellStart"/>
      <w:r w:rsidRPr="00035110">
        <w:rPr>
          <w:rFonts w:ascii="Century Gothic" w:eastAsia="Calibri" w:hAnsi="Century Gothic" w:cs="Arial"/>
          <w:color w:val="000000" w:themeColor="text1"/>
        </w:rPr>
        <w:t>Mipymes</w:t>
      </w:r>
      <w:proofErr w:type="spellEnd"/>
      <w:r w:rsidRPr="00035110">
        <w:rPr>
          <w:rFonts w:ascii="Century Gothic" w:eastAsia="Calibri" w:hAnsi="Century Gothic" w:cs="Arial"/>
          <w:color w:val="000000" w:themeColor="text1"/>
        </w:rPr>
        <w:t>”, y, segundo, porque el único criterio para tener en cuenta, una vez se ha decidido justificadamente limitar territorialmente la convocatori</w:t>
      </w:r>
      <w:r w:rsidRPr="00035110">
        <w:rPr>
          <w:rFonts w:ascii="Century Gothic" w:hAnsi="Century Gothic" w:cs="Arial"/>
          <w:color w:val="000000" w:themeColor="text1"/>
        </w:rPr>
        <w:t xml:space="preserve">a previamente limitada a </w:t>
      </w:r>
      <w:proofErr w:type="spellStart"/>
      <w:r w:rsidRPr="00035110">
        <w:rPr>
          <w:rFonts w:ascii="Century Gothic" w:hAnsi="Century Gothic" w:cs="Arial"/>
          <w:color w:val="000000" w:themeColor="text1"/>
        </w:rPr>
        <w:t>Mipyme</w:t>
      </w:r>
      <w:proofErr w:type="spellEnd"/>
      <w:r w:rsidRPr="00035110">
        <w:rPr>
          <w:rFonts w:ascii="Century Gothic" w:eastAsia="Calibri" w:hAnsi="Century Gothic" w:cs="Arial"/>
          <w:color w:val="000000" w:themeColor="text1"/>
        </w:rPr>
        <w:t>, es el lugar donde se va a ejecutar el contrato.</w:t>
      </w:r>
    </w:p>
    <w:p w14:paraId="05A04029" w14:textId="77777777" w:rsidR="008A30D4" w:rsidRPr="00035110" w:rsidRDefault="008A30D4" w:rsidP="008A30D4">
      <w:pPr>
        <w:spacing w:after="120" w:line="276" w:lineRule="auto"/>
        <w:ind w:firstLine="709"/>
        <w:jc w:val="both"/>
        <w:rPr>
          <w:rFonts w:ascii="Century Gothic" w:eastAsia="Arial" w:hAnsi="Century Gothic" w:cs="Arial"/>
          <w:color w:val="000000"/>
        </w:rPr>
      </w:pPr>
      <w:r w:rsidRPr="00035110">
        <w:rPr>
          <w:rFonts w:ascii="Century Gothic" w:eastAsia="Calibri" w:hAnsi="Century Gothic" w:cs="Arial"/>
          <w:color w:val="000000" w:themeColor="text1"/>
        </w:rPr>
        <w:t xml:space="preserve">En resumen, la decisión de limitar o no territorialmente una convocatoria limitada a </w:t>
      </w:r>
      <w:proofErr w:type="spellStart"/>
      <w:r w:rsidRPr="00035110">
        <w:rPr>
          <w:rFonts w:ascii="Century Gothic" w:eastAsia="Calibri" w:hAnsi="Century Gothic" w:cs="Arial"/>
          <w:color w:val="000000" w:themeColor="text1"/>
        </w:rPr>
        <w:t>Mipymes</w:t>
      </w:r>
      <w:proofErr w:type="spellEnd"/>
      <w:r w:rsidRPr="00035110">
        <w:rPr>
          <w:rFonts w:ascii="Century Gothic" w:eastAsia="Calibri" w:hAnsi="Century Gothic" w:cs="Arial"/>
          <w:color w:val="000000" w:themeColor="text1"/>
        </w:rPr>
        <w:t xml:space="preserve"> nacionales es una facultad discrecional, de manera que</w:t>
      </w:r>
      <w:r w:rsidRPr="00035110">
        <w:rPr>
          <w:rFonts w:ascii="Century Gothic" w:eastAsia="Arial" w:hAnsi="Century Gothic" w:cs="Arial"/>
          <w:color w:val="000000"/>
        </w:rPr>
        <w:t xml:space="preserve"> la entidad contratante valorará si es oportuno y conveniente adoptarla</w:t>
      </w:r>
      <w:r w:rsidRPr="00035110">
        <w:rPr>
          <w:rStyle w:val="Refdenotaalpie"/>
          <w:rFonts w:ascii="Century Gothic" w:eastAsia="Arial" w:hAnsi="Century Gothic" w:cs="Arial"/>
          <w:color w:val="000000"/>
        </w:rPr>
        <w:footnoteReference w:id="28"/>
      </w:r>
      <w:r w:rsidRPr="00035110">
        <w:rPr>
          <w:rFonts w:ascii="Century Gothic" w:eastAsia="Arial" w:hAnsi="Century Gothic" w:cs="Arial"/>
          <w:color w:val="000000"/>
        </w:rPr>
        <w:t xml:space="preserve">. Sin </w:t>
      </w:r>
      <w:r w:rsidRPr="00035110">
        <w:rPr>
          <w:rFonts w:ascii="Century Gothic" w:eastAsia="Arial" w:hAnsi="Century Gothic" w:cs="Arial"/>
          <w:color w:val="000000"/>
        </w:rPr>
        <w:lastRenderedPageBreak/>
        <w:t xml:space="preserve">embargo, aunque la discrecionalidad implica una elección administrativa, no puede ser una decisión irracional o arbitraria. Por ello, el ordenamiento impone una carga de motivación en el ejercicio de este tipo de facultades, pues –teniendo en cuenta la remisión del artículo 77 de la Ley 80 de 1993 a las normas que rigen los procedimientos y actuaciones en la función administrativa– el artículo 44 de la Ley 1437 de 2011 dispone que “En la medida en que el contenido de una decisión de carácter general o particular sea discrecional, debe ser adecuada a los fines de la norma que la autoriza, y proporcional a los hechos que le sirven de causa”. En cada caso concreto, las consecuencias del incumplimiento de este deber serán analizadas por el juez del contrato previo ejercicio del derecho de acción, bajo en el entendido que la falsa de motivación es uno de los vicios invalidantes de los actos administrativos –art. 137, inc. 2, de la Ley 1437 de 2011–.   </w:t>
      </w:r>
    </w:p>
    <w:p w14:paraId="6FCA176E" w14:textId="77777777" w:rsidR="008A30D4" w:rsidRDefault="008A30D4" w:rsidP="008A30D4">
      <w:pPr>
        <w:spacing w:after="120" w:line="276" w:lineRule="auto"/>
        <w:ind w:firstLine="709"/>
        <w:jc w:val="both"/>
        <w:rPr>
          <w:rFonts w:ascii="Century Gothic" w:eastAsia="Arial" w:hAnsi="Century Gothic" w:cs="Arial"/>
          <w:color w:val="000000"/>
        </w:rPr>
      </w:pPr>
      <w:r w:rsidRPr="00035110">
        <w:rPr>
          <w:rFonts w:ascii="Century Gothic" w:eastAsia="Arial" w:hAnsi="Century Gothic" w:cs="Arial"/>
          <w:color w:val="000000"/>
        </w:rPr>
        <w:t xml:space="preserve">Lo importante es que si la convocatoria de se limita a </w:t>
      </w:r>
      <w:proofErr w:type="spellStart"/>
      <w:r w:rsidRPr="00035110">
        <w:rPr>
          <w:rFonts w:ascii="Century Gothic" w:eastAsia="Arial" w:hAnsi="Century Gothic" w:cs="Arial"/>
          <w:color w:val="000000"/>
        </w:rPr>
        <w:t>Mipymes</w:t>
      </w:r>
      <w:proofErr w:type="spellEnd"/>
      <w:r w:rsidRPr="00035110">
        <w:rPr>
          <w:rFonts w:ascii="Century Gothic" w:eastAsia="Arial" w:hAnsi="Century Gothic" w:cs="Arial"/>
          <w:color w:val="000000"/>
        </w:rPr>
        <w:t xml:space="preserve"> nacionales, quedan excluidos no solo las grandes empresas ubicadas en el territorio colombiano sino también los proponentes extranjeros. En otras palabras, el inciso primero del artículo 12 de la Ley 1150 de 2007 y el artículo </w:t>
      </w:r>
      <w:r w:rsidRPr="00035110">
        <w:rPr>
          <w:rFonts w:ascii="Century Gothic" w:eastAsia="Calibri" w:hAnsi="Century Gothic" w:cs="Arial"/>
          <w:color w:val="000000" w:themeColor="text1"/>
        </w:rPr>
        <w:t xml:space="preserve">2.2.1.2.4.2.2 del Decreto 1082 de 2015 establece un trato preferencial </w:t>
      </w:r>
      <w:proofErr w:type="gramStart"/>
      <w:r w:rsidRPr="00035110">
        <w:rPr>
          <w:rFonts w:ascii="Century Gothic" w:eastAsia="Calibri" w:hAnsi="Century Gothic" w:cs="Arial"/>
          <w:color w:val="000000" w:themeColor="text1"/>
        </w:rPr>
        <w:t>en razón de</w:t>
      </w:r>
      <w:proofErr w:type="gramEnd"/>
      <w:r w:rsidRPr="00035110">
        <w:rPr>
          <w:rFonts w:ascii="Century Gothic" w:eastAsia="Calibri" w:hAnsi="Century Gothic" w:cs="Arial"/>
          <w:color w:val="000000" w:themeColor="text1"/>
        </w:rPr>
        <w:t xml:space="preserve"> la nacionalidad. En contraste, si la convocatoria limitada beneficia a las </w:t>
      </w:r>
      <w:proofErr w:type="spellStart"/>
      <w:r w:rsidRPr="00035110">
        <w:rPr>
          <w:rFonts w:ascii="Century Gothic" w:eastAsia="Calibri" w:hAnsi="Century Gothic" w:cs="Arial"/>
          <w:color w:val="000000" w:themeColor="text1"/>
        </w:rPr>
        <w:t>Mipymes</w:t>
      </w:r>
      <w:proofErr w:type="spellEnd"/>
      <w:r w:rsidRPr="00035110">
        <w:rPr>
          <w:rFonts w:ascii="Century Gothic" w:eastAsia="Calibri" w:hAnsi="Century Gothic" w:cs="Arial"/>
          <w:color w:val="000000" w:themeColor="text1"/>
        </w:rPr>
        <w:t xml:space="preserve"> del municipio o departamento correspondiente al de la ejecución del contrato, también quedan excluidas –además de los anteriores– las </w:t>
      </w:r>
      <w:proofErr w:type="spellStart"/>
      <w:r w:rsidRPr="00035110">
        <w:rPr>
          <w:rFonts w:ascii="Century Gothic" w:eastAsia="Calibri" w:hAnsi="Century Gothic" w:cs="Arial"/>
          <w:color w:val="000000" w:themeColor="text1"/>
        </w:rPr>
        <w:t>Mipymes</w:t>
      </w:r>
      <w:proofErr w:type="spellEnd"/>
      <w:r w:rsidRPr="00035110">
        <w:rPr>
          <w:rFonts w:ascii="Century Gothic" w:eastAsia="Calibri" w:hAnsi="Century Gothic" w:cs="Arial"/>
          <w:color w:val="000000" w:themeColor="text1"/>
        </w:rPr>
        <w:t xml:space="preserve"> de otros lugares de Colombia. Es decir, el parágrafo 1 </w:t>
      </w:r>
      <w:r w:rsidRPr="00035110">
        <w:rPr>
          <w:rFonts w:ascii="Century Gothic" w:eastAsia="Arial" w:hAnsi="Century Gothic" w:cs="Arial"/>
          <w:color w:val="000000"/>
        </w:rPr>
        <w:t xml:space="preserve">del artículo 12 de la Ley 1150 de 2007 y el artículo </w:t>
      </w:r>
      <w:r w:rsidRPr="00035110">
        <w:rPr>
          <w:rFonts w:ascii="Century Gothic" w:eastAsia="Calibri" w:hAnsi="Century Gothic" w:cs="Arial"/>
          <w:color w:val="000000" w:themeColor="text1"/>
        </w:rPr>
        <w:t xml:space="preserve">2.2.1.2.4.2.3 del Decreto 1082 de 2015 establece un trato privilegiado que se fundamenta en el territorio. </w:t>
      </w:r>
      <w:r w:rsidRPr="00035110">
        <w:rPr>
          <w:rFonts w:ascii="Century Gothic" w:eastAsia="Arial" w:hAnsi="Century Gothic" w:cs="Arial"/>
          <w:color w:val="000000"/>
        </w:rPr>
        <w:t xml:space="preserve"> </w:t>
      </w:r>
    </w:p>
    <w:p w14:paraId="36F1D7CD" w14:textId="77777777" w:rsidR="008A30D4" w:rsidRDefault="008A30D4" w:rsidP="008A30D4">
      <w:pPr>
        <w:spacing w:after="120" w:line="276" w:lineRule="auto"/>
        <w:ind w:firstLine="708"/>
        <w:jc w:val="both"/>
        <w:rPr>
          <w:rFonts w:ascii="Century Gothic" w:eastAsia="Calibri" w:hAnsi="Century Gothic" w:cs="Arial"/>
          <w:color w:val="000000" w:themeColor="text1"/>
        </w:rPr>
      </w:pPr>
      <w:r>
        <w:rPr>
          <w:rFonts w:ascii="Century Gothic" w:eastAsia="Calibri" w:hAnsi="Century Gothic" w:cs="Arial"/>
          <w:color w:val="000000" w:themeColor="text1"/>
        </w:rPr>
        <w:t>Por último, se advierte al peticionario que las entidades</w:t>
      </w:r>
      <w:r w:rsidRPr="00DC3C26">
        <w:rPr>
          <w:rFonts w:ascii="Century Gothic" w:eastAsia="Calibri" w:hAnsi="Century Gothic" w:cs="Arial"/>
          <w:color w:val="000000" w:themeColor="text1"/>
        </w:rPr>
        <w:t xml:space="preserve"> </w:t>
      </w:r>
      <w:r>
        <w:rPr>
          <w:rFonts w:ascii="Century Gothic" w:eastAsia="Calibri" w:hAnsi="Century Gothic" w:cs="Arial"/>
          <w:color w:val="000000" w:themeColor="text1"/>
        </w:rPr>
        <w:t>tienen</w:t>
      </w:r>
      <w:r w:rsidRPr="00DC3C26">
        <w:rPr>
          <w:rFonts w:ascii="Century Gothic" w:eastAsia="Calibri" w:hAnsi="Century Gothic" w:cs="Arial"/>
          <w:color w:val="000000" w:themeColor="text1"/>
        </w:rPr>
        <w:t xml:space="preserve"> un margen de discrecionalidad para definir el contenido del pliego de condiciones o documento equivalente. Salvo los aspectos que se encuentren reglados en la actuación administrativa, esto implica libertad para determinar los requisitos habilitantes </w:t>
      </w:r>
      <w:r>
        <w:rPr>
          <w:rFonts w:ascii="Century Gothic" w:eastAsia="Calibri" w:hAnsi="Century Gothic" w:cs="Arial"/>
          <w:color w:val="000000" w:themeColor="text1"/>
        </w:rPr>
        <w:t>y los factores de evaluación</w:t>
      </w:r>
      <w:r w:rsidRPr="00DC3C26">
        <w:rPr>
          <w:rFonts w:ascii="Century Gothic" w:eastAsia="Calibri" w:hAnsi="Century Gothic" w:cs="Arial"/>
          <w:color w:val="000000" w:themeColor="text1"/>
        </w:rPr>
        <w:t xml:space="preserve"> en los documentos del proceso. Lo anterior en la medida que no existen potestades completamente discrecionales, por lo que dichos elementos reglados son una limitación efectiva a la libertad de configuración.  </w:t>
      </w:r>
    </w:p>
    <w:p w14:paraId="76F0A6DD" w14:textId="77777777" w:rsidR="008A30D4" w:rsidRDefault="008A30D4" w:rsidP="008A30D4">
      <w:pPr>
        <w:spacing w:after="120" w:line="276" w:lineRule="auto"/>
        <w:ind w:firstLine="708"/>
        <w:jc w:val="both"/>
        <w:rPr>
          <w:rFonts w:ascii="Century Gothic" w:eastAsia="Calibri" w:hAnsi="Century Gothic" w:cs="Arial"/>
          <w:color w:val="000000" w:themeColor="text1"/>
        </w:rPr>
      </w:pPr>
      <w:r w:rsidRPr="00333101">
        <w:rPr>
          <w:rFonts w:ascii="Century Gothic" w:eastAsia="Calibri" w:hAnsi="Century Gothic" w:cs="Arial"/>
          <w:color w:val="000000" w:themeColor="text1"/>
        </w:rPr>
        <w:t>Dado que la Agencia carece de atribuciones para</w:t>
      </w:r>
      <w:r>
        <w:rPr>
          <w:rFonts w:ascii="Century Gothic" w:eastAsia="Calibri" w:hAnsi="Century Gothic" w:cs="Arial"/>
          <w:color w:val="000000" w:themeColor="text1"/>
        </w:rPr>
        <w:t xml:space="preserve"> juzgar la legalidad de las decisiones administrativas</w:t>
      </w:r>
      <w:r w:rsidRPr="00333101">
        <w:rPr>
          <w:rFonts w:ascii="Century Gothic" w:eastAsia="Calibri" w:hAnsi="Century Gothic" w:cs="Arial"/>
          <w:color w:val="000000" w:themeColor="text1"/>
        </w:rPr>
        <w:t>,</w:t>
      </w:r>
      <w:r>
        <w:rPr>
          <w:rFonts w:ascii="Century Gothic" w:eastAsia="Calibri" w:hAnsi="Century Gothic" w:cs="Arial"/>
          <w:color w:val="000000" w:themeColor="text1"/>
        </w:rPr>
        <w:t xml:space="preserve"> ante la imposibilidad de</w:t>
      </w:r>
      <w:r w:rsidRPr="00333101">
        <w:rPr>
          <w:rFonts w:ascii="Century Gothic" w:eastAsia="Calibri" w:hAnsi="Century Gothic" w:cs="Arial"/>
          <w:color w:val="000000" w:themeColor="text1"/>
        </w:rPr>
        <w:t xml:space="preserve"> definir un criterio universal y </w:t>
      </w:r>
      <w:r w:rsidRPr="00333101">
        <w:rPr>
          <w:rFonts w:ascii="Century Gothic" w:eastAsia="Calibri" w:hAnsi="Century Gothic" w:cs="Arial"/>
          <w:color w:val="000000" w:themeColor="text1"/>
        </w:rPr>
        <w:lastRenderedPageBreak/>
        <w:t xml:space="preserve">absoluto por vía consultiva sobre el objeto de la petición, </w:t>
      </w:r>
      <w:r>
        <w:rPr>
          <w:rFonts w:ascii="Century Gothic" w:eastAsia="Calibri" w:hAnsi="Century Gothic" w:cs="Arial"/>
          <w:color w:val="000000" w:themeColor="text1"/>
        </w:rPr>
        <w:t>el presente oficio se limita a</w:t>
      </w:r>
      <w:r w:rsidRPr="00333101">
        <w:rPr>
          <w:rFonts w:ascii="Century Gothic" w:eastAsia="Calibri" w:hAnsi="Century Gothic" w:cs="Arial"/>
          <w:color w:val="000000" w:themeColor="text1"/>
        </w:rPr>
        <w:t xml:space="preserve"> brinda</w:t>
      </w:r>
      <w:r>
        <w:rPr>
          <w:rFonts w:ascii="Century Gothic" w:eastAsia="Calibri" w:hAnsi="Century Gothic" w:cs="Arial"/>
          <w:color w:val="000000" w:themeColor="text1"/>
        </w:rPr>
        <w:t>r</w:t>
      </w:r>
      <w:r w:rsidRPr="00333101">
        <w:rPr>
          <w:rFonts w:ascii="Century Gothic" w:eastAsia="Calibri" w:hAnsi="Century Gothic" w:cs="Arial"/>
          <w:color w:val="000000" w:themeColor="text1"/>
        </w:rPr>
        <w:t xml:space="preserve"> elementos hermenéuticos de carácter general para que los partícipes del sistema de compras y contratación pública adopten la decisión que corresponda, lo cual es acorde con el principio de juridicidad. Por lo anterior, previo concepto de sus órganos asesores, </w:t>
      </w:r>
      <w:r>
        <w:rPr>
          <w:rFonts w:ascii="Century Gothic" w:eastAsia="Calibri" w:hAnsi="Century Gothic" w:cs="Arial"/>
          <w:color w:val="000000" w:themeColor="text1"/>
        </w:rPr>
        <w:t>el desarrollo de los requisitos de participación corresponde</w:t>
      </w:r>
      <w:r w:rsidRPr="00333101">
        <w:rPr>
          <w:rFonts w:ascii="Century Gothic" w:eastAsia="Calibri" w:hAnsi="Century Gothic" w:cs="Arial"/>
          <w:color w:val="000000" w:themeColor="text1"/>
        </w:rPr>
        <w:t xml:space="preserve"> a la entidad </w:t>
      </w:r>
      <w:r>
        <w:rPr>
          <w:rFonts w:ascii="Century Gothic" w:eastAsia="Calibri" w:hAnsi="Century Gothic" w:cs="Arial"/>
          <w:color w:val="000000" w:themeColor="text1"/>
        </w:rPr>
        <w:t xml:space="preserve">que </w:t>
      </w:r>
      <w:r w:rsidRPr="00333101">
        <w:rPr>
          <w:rFonts w:ascii="Century Gothic" w:eastAsia="Calibri" w:hAnsi="Century Gothic" w:cs="Arial"/>
          <w:color w:val="000000" w:themeColor="text1"/>
        </w:rPr>
        <w:t>de</w:t>
      </w:r>
      <w:r>
        <w:rPr>
          <w:rFonts w:ascii="Century Gothic" w:eastAsia="Calibri" w:hAnsi="Century Gothic" w:cs="Arial"/>
          <w:color w:val="000000" w:themeColor="text1"/>
        </w:rPr>
        <w:t>be</w:t>
      </w:r>
      <w:r w:rsidRPr="00333101">
        <w:rPr>
          <w:rFonts w:ascii="Century Gothic" w:eastAsia="Calibri" w:hAnsi="Century Gothic" w:cs="Arial"/>
          <w:color w:val="000000" w:themeColor="text1"/>
        </w:rPr>
        <w:t xml:space="preserve"> adoptar la decisión correspondiente y, en caso de conflicto, a las autoridades judiciales, fiscales y disciplinarias. </w:t>
      </w:r>
    </w:p>
    <w:p w14:paraId="093E72DC" w14:textId="77777777" w:rsidR="008A30D4" w:rsidRDefault="008A30D4" w:rsidP="740D53F7">
      <w:pPr>
        <w:spacing w:before="120" w:after="120" w:line="276" w:lineRule="auto"/>
        <w:ind w:firstLine="709"/>
        <w:jc w:val="both"/>
        <w:rPr>
          <w:rFonts w:ascii="Century Gothic" w:eastAsia="Times New Roman" w:hAnsi="Century Gothic" w:cs="Arial"/>
          <w:color w:val="000000"/>
          <w:lang w:val="es-ES" w:eastAsia="es-ES"/>
        </w:rPr>
      </w:pPr>
      <w:r w:rsidRPr="740D53F7">
        <w:rPr>
          <w:rFonts w:ascii="Century Gothic" w:eastAsia="Times New Roman" w:hAnsi="Century Gothic" w:cs="Arial"/>
          <w:color w:val="000000" w:themeColor="text1"/>
          <w:lang w:val="es-ES" w:eastAsia="es-ES"/>
        </w:rPr>
        <w:t xml:space="preserve">Si persiste la duda sobre la forma de aportar los documentos, los interesados pueden formular observaciones para aclarar sus inquietudes ante la entidad que adelanta el trámite. En este sentido, el artículo 24.2 del Estatuto General de Contratación de la Administración Pública dispone que “En los procesos contractuales los interesados tendrán oportunidad de conocer y controvertir los informes, conceptos y decisiones que se rindan o adopten, para lo cual se establecerán etapas que permitan el conocimiento de dichas actuaciones y otorguen la posibilidad de expresar observaciones”. Así, los proponentes pueden observar tanto el proyecto de pliego como el pliego de condiciones definitivo con el propósito de esclarecer aspectos del proceso. </w:t>
      </w:r>
    </w:p>
    <w:p w14:paraId="3BC91E17" w14:textId="77777777" w:rsidR="008A30D4" w:rsidRDefault="008A30D4" w:rsidP="740D53F7">
      <w:pPr>
        <w:spacing w:before="120" w:after="0" w:line="276" w:lineRule="auto"/>
        <w:ind w:firstLine="709"/>
        <w:jc w:val="both"/>
        <w:rPr>
          <w:rFonts w:ascii="Century Gothic" w:eastAsia="Times New Roman" w:hAnsi="Century Gothic" w:cs="Arial"/>
          <w:color w:val="000000"/>
          <w:lang w:val="es-ES" w:eastAsia="es-ES"/>
        </w:rPr>
      </w:pPr>
      <w:r w:rsidRPr="740D53F7">
        <w:rPr>
          <w:rFonts w:ascii="Century Gothic" w:eastAsia="Times New Roman" w:hAnsi="Century Gothic" w:cs="Arial"/>
          <w:color w:val="000000" w:themeColor="text1"/>
          <w:lang w:val="es-ES" w:eastAsia="es-ES"/>
        </w:rPr>
        <w:t>Independientemente de lo explicado en los párrafos precedentes, en función del régimen jurídico aplicable, es competencia de cada entidad estatal definir lo relacionado con su gestión contractual. Es decir, dentro de lo dispuesto por la ley y el reglamento, las entidades tienen un margen de discrecionalidad para la configuración y acreditación de los requisitos habilitantes y los factores de evaluación, sin perjuicio de la regulación especial de las Leyes 2022 de 2020 y 2195 de 2022. De esta manera, cada entidad definirá el contenido de los documentos del proceso, sin que sea atribución de la Agencia Nacional de Contratación Pública – Colombia Compra Eficiente validar las actuaciones realizadas.</w:t>
      </w:r>
    </w:p>
    <w:bookmarkEnd w:id="10"/>
    <w:p w14:paraId="2D942CBA" w14:textId="77777777" w:rsidR="008A30D4" w:rsidRPr="00035110" w:rsidRDefault="008A30D4" w:rsidP="008A30D4">
      <w:pPr>
        <w:spacing w:after="0" w:line="276" w:lineRule="auto"/>
        <w:jc w:val="both"/>
        <w:rPr>
          <w:rFonts w:ascii="Century Gothic" w:eastAsia="Times New Roman" w:hAnsi="Century Gothic" w:cs="Arial"/>
          <w:color w:val="000000" w:themeColor="text1"/>
          <w:lang w:eastAsia="es-CO"/>
        </w:rPr>
      </w:pPr>
    </w:p>
    <w:p w14:paraId="2884A347" w14:textId="77777777" w:rsidR="008A30D4" w:rsidRPr="00035110" w:rsidRDefault="008A30D4" w:rsidP="008A30D4">
      <w:pPr>
        <w:tabs>
          <w:tab w:val="left" w:pos="0"/>
        </w:tabs>
        <w:spacing w:after="0"/>
        <w:jc w:val="both"/>
        <w:rPr>
          <w:rFonts w:ascii="Century Gothic" w:eastAsia="Calibri" w:hAnsi="Century Gothic" w:cs="Arial"/>
          <w:b/>
          <w:color w:val="000000" w:themeColor="text1"/>
          <w:lang w:val="es-ES_tradnl"/>
        </w:rPr>
      </w:pPr>
      <w:r w:rsidRPr="00035110">
        <w:rPr>
          <w:rFonts w:ascii="Century Gothic" w:eastAsia="Calibri" w:hAnsi="Century Gothic" w:cs="Arial"/>
          <w:b/>
          <w:color w:val="000000" w:themeColor="text1"/>
          <w:lang w:val="es-ES_tradnl"/>
        </w:rPr>
        <w:t>3. Respuesta</w:t>
      </w:r>
    </w:p>
    <w:p w14:paraId="0378AE1E" w14:textId="77777777" w:rsidR="008A30D4" w:rsidRPr="00035110" w:rsidRDefault="008A30D4" w:rsidP="008A30D4">
      <w:pPr>
        <w:spacing w:after="0" w:line="276" w:lineRule="auto"/>
        <w:ind w:firstLine="709"/>
        <w:jc w:val="both"/>
        <w:rPr>
          <w:rFonts w:ascii="Century Gothic" w:eastAsia="Times New Roman" w:hAnsi="Century Gothic" w:cs="Arial"/>
          <w:lang w:eastAsia="es-CO"/>
        </w:rPr>
      </w:pPr>
      <w:bookmarkStart w:id="13" w:name="_Hlk131064197"/>
    </w:p>
    <w:p w14:paraId="47BC67C6" w14:textId="77777777" w:rsidR="008A30D4" w:rsidRPr="00035110" w:rsidRDefault="008A30D4" w:rsidP="740D53F7">
      <w:pPr>
        <w:spacing w:after="0" w:line="240" w:lineRule="auto"/>
        <w:ind w:left="709" w:right="709"/>
        <w:jc w:val="both"/>
        <w:rPr>
          <w:rFonts w:ascii="Century Gothic" w:hAnsi="Century Gothic" w:cs="Arial"/>
          <w:color w:val="000000" w:themeColor="text1"/>
          <w:sz w:val="21"/>
          <w:szCs w:val="21"/>
          <w:lang w:val="es-ES"/>
        </w:rPr>
      </w:pPr>
      <w:r w:rsidRPr="740D53F7">
        <w:rPr>
          <w:rFonts w:ascii="Century Gothic" w:hAnsi="Century Gothic" w:cs="Arial"/>
          <w:color w:val="000000" w:themeColor="text1"/>
          <w:sz w:val="21"/>
          <w:szCs w:val="21"/>
          <w:lang w:val="es-ES"/>
        </w:rPr>
        <w:t xml:space="preserve">“Desde SIA, empresa española perteneciente al grupo Indra, necesitamos aclarar los requisitos existentes en su país para la constitución de una UTE (Unión temporal de empresas) con la intención de licitar a un concurso público del Gobierno Colombiano. En concreto la duda es si es necesario que todos los miembros de la </w:t>
      </w:r>
      <w:proofErr w:type="gramStart"/>
      <w:r w:rsidRPr="740D53F7">
        <w:rPr>
          <w:rFonts w:ascii="Century Gothic" w:hAnsi="Century Gothic" w:cs="Arial"/>
          <w:color w:val="000000" w:themeColor="text1"/>
          <w:sz w:val="21"/>
          <w:szCs w:val="21"/>
          <w:lang w:val="es-ES"/>
        </w:rPr>
        <w:t>UTE,</w:t>
      </w:r>
      <w:proofErr w:type="gramEnd"/>
      <w:r w:rsidRPr="740D53F7">
        <w:rPr>
          <w:rFonts w:ascii="Century Gothic" w:hAnsi="Century Gothic" w:cs="Arial"/>
          <w:color w:val="000000" w:themeColor="text1"/>
          <w:sz w:val="21"/>
          <w:szCs w:val="21"/>
          <w:lang w:val="es-ES"/>
        </w:rPr>
        <w:t xml:space="preserve"> tengan oficina declarada en Colombia para poder licitar y contratar. Necesitamos saber si existe algún requerimiento en este sentido y si en caso afirmativo este requisito es solo para empresas privadas o también para empresas públicas españolas”.</w:t>
      </w:r>
    </w:p>
    <w:p w14:paraId="21E5FD95" w14:textId="77777777" w:rsidR="008A30D4" w:rsidRPr="00035110" w:rsidRDefault="008A30D4" w:rsidP="008A30D4">
      <w:pPr>
        <w:spacing w:after="0" w:line="276" w:lineRule="auto"/>
        <w:jc w:val="both"/>
        <w:rPr>
          <w:rFonts w:ascii="Century Gothic" w:hAnsi="Century Gothic" w:cs="Arial"/>
          <w:color w:val="000000" w:themeColor="text1"/>
          <w:lang w:val="es-ES_tradnl"/>
        </w:rPr>
      </w:pPr>
    </w:p>
    <w:p w14:paraId="0F3E1120" w14:textId="77777777" w:rsidR="008A30D4" w:rsidRPr="00035110" w:rsidRDefault="008A30D4" w:rsidP="008A30D4">
      <w:pPr>
        <w:spacing w:after="120" w:line="276" w:lineRule="auto"/>
        <w:jc w:val="both"/>
        <w:rPr>
          <w:rFonts w:ascii="Century Gothic" w:hAnsi="Century Gothic" w:cs="Arial"/>
        </w:rPr>
      </w:pPr>
      <w:r w:rsidRPr="00035110">
        <w:rPr>
          <w:rFonts w:ascii="Century Gothic" w:eastAsia="Calibri" w:hAnsi="Century Gothic" w:cs="Arial"/>
          <w:color w:val="000000" w:themeColor="text1"/>
        </w:rPr>
        <w:t xml:space="preserve">Salvo las convocatorias limitadas a </w:t>
      </w:r>
      <w:proofErr w:type="spellStart"/>
      <w:r w:rsidRPr="00035110">
        <w:rPr>
          <w:rFonts w:ascii="Century Gothic" w:eastAsia="Calibri" w:hAnsi="Century Gothic" w:cs="Arial"/>
          <w:color w:val="000000" w:themeColor="text1"/>
        </w:rPr>
        <w:t>Mipymes</w:t>
      </w:r>
      <w:proofErr w:type="spellEnd"/>
      <w:r w:rsidRPr="00035110">
        <w:rPr>
          <w:rFonts w:ascii="Century Gothic" w:eastAsia="Calibri" w:hAnsi="Century Gothic" w:cs="Arial"/>
          <w:color w:val="000000" w:themeColor="text1"/>
        </w:rPr>
        <w:t xml:space="preserve"> nacionales o territoriales que se explicaron en el acápite 2.3 del presente oficio,</w:t>
      </w:r>
      <w:r w:rsidRPr="00035110">
        <w:rPr>
          <w:rFonts w:ascii="Century Gothic" w:hAnsi="Century Gothic" w:cs="Arial"/>
        </w:rPr>
        <w:t xml:space="preserve"> los principios de igualdad y concurrencia rigen en los procedimientos de selección competitivos de las entidades sometidas al Estatuto General de Contratación</w:t>
      </w:r>
      <w:r w:rsidRPr="00035110">
        <w:rPr>
          <w:rFonts w:ascii="Century Gothic" w:eastAsia="Calibri" w:hAnsi="Century Gothic" w:cs="Arial"/>
          <w:color w:val="000000" w:themeColor="text1"/>
        </w:rPr>
        <w:t>. Esto significa que debe garantizarse la pluralidad de oferentes como condición necesaria para escoger la oferta más favorable a los intereses de la entidad. Esta prohibición de trato discriminatorio respecto a la posibilidad que tienen los proponentes de presentarse a las licitaciones o concursos es acorde al principio de selección objetiva, el cual define el artículo 5 de la Ley 1150 de 2007 como la escogencia realizada sin tener en consideración factores de afecto o de interés y, en general, cualquier clase de motivación subjetiva</w:t>
      </w:r>
    </w:p>
    <w:p w14:paraId="5B23C3DA" w14:textId="77777777" w:rsidR="008A30D4" w:rsidRPr="00035110" w:rsidRDefault="008A30D4" w:rsidP="008A30D4">
      <w:pPr>
        <w:spacing w:after="120" w:line="276" w:lineRule="auto"/>
        <w:ind w:firstLine="708"/>
        <w:jc w:val="both"/>
        <w:rPr>
          <w:rFonts w:ascii="Century Gothic" w:eastAsia="Calibri" w:hAnsi="Century Gothic" w:cs="Arial"/>
          <w:color w:val="000000" w:themeColor="text1"/>
        </w:rPr>
      </w:pPr>
      <w:r w:rsidRPr="00035110">
        <w:rPr>
          <w:rFonts w:ascii="Century Gothic" w:eastAsia="Calibri" w:hAnsi="Century Gothic" w:cs="Arial"/>
          <w:color w:val="000000" w:themeColor="text1"/>
        </w:rPr>
        <w:t>El principio jurídico de la libre concurrencia garantiza la oposición entre los oferentes, y –como contrapartida– establece una prohibición para el Estado de restringir su participación. En esta perspectiva, es una derivación del principio de igualdad, pues supone la intervención del mayor número de candidatos en un régimen de libre competencia. Ambos se concretan en la prohibición de limitar la presentación de ofertas, pues son importantes para evitar discriminaciones por razón de la nacionalidad pretendiendo favorecer a los nacionales frente a extranjeros, y también se oponen a la exigencia de criterios de territorialidad que vulneren la libertad de empresa en una economía de mercado. Por ello, en el Concepto</w:t>
      </w:r>
      <w:r w:rsidRPr="00035110">
        <w:rPr>
          <w:rFonts w:ascii="Century Gothic" w:eastAsia="Calibri" w:hAnsi="Century Gothic" w:cs="Arial"/>
          <w:color w:val="000000" w:themeColor="text1"/>
          <w:lang w:val="es-ES"/>
        </w:rPr>
        <w:t xml:space="preserve"> 2201913000006511 del 3 de septiembre de 2019, la Agencia sostuvo que, por regla general, las entidades no pueden exigir como requisito habilitante que el proponente tenga residencia en el lugar donde se ejecutará el contrato, pues afecta la libre competencia de los procesos de contratación y es una cláusula discriminatoria, sin dejar de lado que no garantiza la aptitud del proponente para ejecutar el objeto del contrato.</w:t>
      </w:r>
      <w:r w:rsidRPr="00035110">
        <w:rPr>
          <w:rFonts w:ascii="Century Gothic" w:eastAsia="Calibri" w:hAnsi="Century Gothic" w:cs="Arial"/>
          <w:color w:val="000000" w:themeColor="text1"/>
        </w:rPr>
        <w:t xml:space="preserve">    </w:t>
      </w:r>
    </w:p>
    <w:p w14:paraId="061D6A20" w14:textId="77777777" w:rsidR="008A30D4" w:rsidRPr="00035110" w:rsidRDefault="008A30D4" w:rsidP="740D53F7">
      <w:pPr>
        <w:spacing w:before="120" w:after="120" w:line="276" w:lineRule="auto"/>
        <w:ind w:firstLine="708"/>
        <w:jc w:val="both"/>
        <w:rPr>
          <w:rFonts w:ascii="Century Gothic" w:eastAsia="Calibri" w:hAnsi="Century Gothic" w:cs="Arial"/>
          <w:color w:val="000000"/>
          <w:lang w:val="es-ES"/>
        </w:rPr>
      </w:pPr>
      <w:r w:rsidRPr="740D53F7">
        <w:rPr>
          <w:rFonts w:ascii="Century Gothic" w:eastAsia="Calibri" w:hAnsi="Century Gothic" w:cs="Arial"/>
          <w:color w:val="000000" w:themeColor="text1"/>
          <w:lang w:val="es-ES"/>
        </w:rPr>
        <w:t>Lo anterior es congruente con el inciso primero del artículo 13 superior, el cual dispone que “Todas las personas nacen libres e iguales ante la ley, recibirán la misma protección y trato de las autoridades y gozarán de los mismos derechos, libertades y oportunidades sin ninguna discriminación por razones […] origen nacional […]”. Asimismo, conforme al artículo 100 constitucional, “</w:t>
      </w:r>
      <w:r w:rsidRPr="740D53F7">
        <w:rPr>
          <w:rFonts w:ascii="Century Gothic" w:eastAsia="Calibri" w:hAnsi="Century Gothic" w:cs="Arial"/>
          <w:i/>
          <w:iCs/>
          <w:color w:val="000000" w:themeColor="text1"/>
          <w:lang w:val="es-ES"/>
        </w:rPr>
        <w:t>Los extranjeros disfrutarán en Colombia de los mismos derechos civiles que se conceden a los colombianos</w:t>
      </w:r>
      <w:r w:rsidRPr="740D53F7">
        <w:rPr>
          <w:rFonts w:ascii="Century Gothic" w:eastAsia="Calibri" w:hAnsi="Century Gothic" w:cs="Arial"/>
          <w:color w:val="000000" w:themeColor="text1"/>
          <w:lang w:val="es-ES"/>
        </w:rPr>
        <w:t xml:space="preserve">. No obstante, la ley podrá, por razones de orden público, subordinar a condiciones especiales o negar el ejercicio de determinados derechos civiles a los extranjeros” (Énfasis fuera de texto). De esta manera, como explica la Corte Constitucional en la Sentencia T-147 de 1996, con ponencia de Eduardo Cifuentes Muñoz, “[…] Es evidente que si la Carta excluye la diferenciación de trato sustentado en el origen nacional, está igualmente descartada, inclusive de una manera más perentoria, la discriminación entre nacionales […]”, lo que reitera la prohibición de trato desigual por razón de la nacionalidad o el territorio. </w:t>
      </w:r>
    </w:p>
    <w:p w14:paraId="317CFEA1" w14:textId="77777777" w:rsidR="008A30D4" w:rsidRPr="00035110" w:rsidRDefault="008A30D4" w:rsidP="008A30D4">
      <w:pPr>
        <w:spacing w:before="120" w:after="120" w:line="276" w:lineRule="auto"/>
        <w:ind w:firstLine="708"/>
        <w:jc w:val="both"/>
        <w:rPr>
          <w:rFonts w:ascii="Century Gothic" w:eastAsia="Calibri" w:hAnsi="Century Gothic" w:cs="Arial"/>
          <w:color w:val="000000"/>
          <w:lang w:val="es-ES_tradnl"/>
        </w:rPr>
      </w:pPr>
      <w:r w:rsidRPr="00035110">
        <w:rPr>
          <w:rFonts w:ascii="Century Gothic" w:eastAsia="Calibri" w:hAnsi="Century Gothic" w:cs="Arial"/>
          <w:color w:val="000000"/>
          <w:lang w:val="es-ES_tradnl"/>
        </w:rPr>
        <w:lastRenderedPageBreak/>
        <w:t xml:space="preserve">Por lo demás, </w:t>
      </w:r>
      <w:r w:rsidRPr="00035110">
        <w:rPr>
          <w:rFonts w:ascii="Century Gothic" w:hAnsi="Century Gothic" w:cs="Arial"/>
          <w:color w:val="000000" w:themeColor="text1"/>
        </w:rPr>
        <w:t xml:space="preserve">en concordancia con el numeral 1 del artículo 1502 del Código Civil, el inciso primero del artículo 6 de la Ley 80 de 1993 –modificado por el artículo 1 de la Ley 2160 de 2021– dispone que “Pueden celebrar contratos con las entidades estatales las personas consideradas legalmente capaces en las disposiciones vigentes […]”. Esta norma es acorde al reconocimiento de la personalidad jurídica del artículo 16 constitucional, de donde </w:t>
      </w:r>
      <w:r w:rsidRPr="00035110">
        <w:rPr>
          <w:rFonts w:ascii="Century Gothic" w:eastAsia="Calibri" w:hAnsi="Century Gothic" w:cs="Arial"/>
          <w:color w:val="000000"/>
          <w:lang w:val="es-ES_tradnl"/>
        </w:rPr>
        <w:t xml:space="preserve">se infiere que las personas extranjeras –al igual que las nacionales– pueden concurrir en la celebración de contratos estatales, siempre que no se encuentren en alguna causal de inhabilidad o incompatibilidad que la afecte.  </w:t>
      </w:r>
    </w:p>
    <w:p w14:paraId="23413863" w14:textId="77777777" w:rsidR="008A30D4" w:rsidRPr="00035110" w:rsidRDefault="008A30D4" w:rsidP="008A30D4">
      <w:pPr>
        <w:tabs>
          <w:tab w:val="left" w:pos="0"/>
        </w:tabs>
        <w:spacing w:line="276" w:lineRule="auto"/>
        <w:jc w:val="both"/>
        <w:rPr>
          <w:rFonts w:ascii="Century Gothic" w:eastAsia="Calibri" w:hAnsi="Century Gothic" w:cs="Arial"/>
          <w:bCs/>
          <w:color w:val="000000" w:themeColor="text1"/>
          <w:lang w:val="es-ES_tradnl"/>
        </w:rPr>
      </w:pPr>
      <w:r w:rsidRPr="00035110">
        <w:rPr>
          <w:rFonts w:ascii="Century Gothic" w:eastAsia="Calibri" w:hAnsi="Century Gothic" w:cs="Arial"/>
          <w:color w:val="000000"/>
          <w:lang w:val="es-ES_tradnl"/>
        </w:rPr>
        <w:tab/>
        <w:t xml:space="preserve">Esta posibilidad de que los extranjeros concurran a los procedimientos de selección adelantados en Colombia también se fundamenta en el artículo 20 de la Ley 80 de 1993. Dicha norma </w:t>
      </w:r>
      <w:r w:rsidRPr="00035110">
        <w:rPr>
          <w:rFonts w:ascii="Century Gothic" w:eastAsia="Calibri" w:hAnsi="Century Gothic" w:cs="Arial"/>
          <w:bCs/>
          <w:color w:val="000000" w:themeColor="text1"/>
          <w:lang w:val="es-ES_tradnl"/>
        </w:rPr>
        <w:t xml:space="preserve">consagra el </w:t>
      </w:r>
      <w:r w:rsidRPr="00035110">
        <w:rPr>
          <w:rFonts w:ascii="Century Gothic" w:eastAsia="Calibri" w:hAnsi="Century Gothic" w:cs="Arial"/>
          <w:bCs/>
          <w:i/>
          <w:iCs/>
          <w:color w:val="000000" w:themeColor="text1"/>
          <w:lang w:val="es-ES_tradnl"/>
        </w:rPr>
        <w:t>principio de reciprocidad</w:t>
      </w:r>
      <w:r w:rsidRPr="00035110">
        <w:rPr>
          <w:rFonts w:ascii="Century Gothic" w:eastAsia="Calibri" w:hAnsi="Century Gothic" w:cs="Arial"/>
          <w:bCs/>
          <w:color w:val="000000" w:themeColor="text1"/>
          <w:lang w:val="es-ES_tradnl"/>
        </w:rPr>
        <w:t xml:space="preserve"> en la contratación estatal, entendido como el compromiso asumido por el Estado de brindar a los oferentes de bienes y servicios de origen extranjero un trato semejante al que les conceden a los colombianos en otros Estados con los cuales se ha celebrado acuerdo o tratado comercial, cuando, en ausencia de tratado, se certifica dicha reciprocidad, o en virtud de procesos de integración regional.</w:t>
      </w:r>
    </w:p>
    <w:p w14:paraId="181CF5E6" w14:textId="77777777" w:rsidR="008A30D4" w:rsidRPr="00035110" w:rsidRDefault="008A30D4" w:rsidP="008A30D4">
      <w:pPr>
        <w:tabs>
          <w:tab w:val="left" w:pos="0"/>
        </w:tabs>
        <w:spacing w:before="120" w:line="276" w:lineRule="auto"/>
        <w:ind w:firstLine="709"/>
        <w:jc w:val="both"/>
        <w:rPr>
          <w:rFonts w:ascii="Century Gothic" w:eastAsia="Calibri" w:hAnsi="Century Gothic" w:cs="Arial"/>
          <w:bCs/>
          <w:color w:val="000000" w:themeColor="text1"/>
          <w:lang w:val="es-ES_tradnl"/>
        </w:rPr>
      </w:pPr>
      <w:r w:rsidRPr="00035110">
        <w:rPr>
          <w:rFonts w:ascii="Century Gothic" w:eastAsia="Calibri" w:hAnsi="Century Gothic" w:cs="Arial"/>
          <w:bCs/>
          <w:color w:val="000000" w:themeColor="text1"/>
          <w:lang w:val="es-ES_tradnl"/>
        </w:rPr>
        <w:t xml:space="preserve">El efecto de dicho beneficio es la asignación del puntaje previsto en la Ley 816 de 2003. El artículo 1 dispone que las entidades estatales, en los procedimientos de selección que realicen e independientemente del régimen contractual que les sea aplicable, deben adoptar criterios que apoyen la industria nacional. En consonancia con lo anterior, el parágrafo </w:t>
      </w:r>
      <w:r w:rsidRPr="00035110">
        <w:rPr>
          <w:rFonts w:ascii="Century Gothic" w:eastAsia="Calibri" w:hAnsi="Century Gothic" w:cs="Arial"/>
          <w:bCs/>
          <w:i/>
          <w:iCs/>
          <w:color w:val="000000" w:themeColor="text1"/>
          <w:lang w:val="es-ES_tradnl"/>
        </w:rPr>
        <w:t>ibidem</w:t>
      </w:r>
      <w:r w:rsidRPr="00035110">
        <w:rPr>
          <w:rFonts w:ascii="Century Gothic" w:eastAsia="Calibri" w:hAnsi="Century Gothic" w:cs="Arial"/>
          <w:bCs/>
          <w:color w:val="000000" w:themeColor="text1"/>
          <w:lang w:val="es-ES_tradnl"/>
        </w:rPr>
        <w:t xml:space="preserve"> dispone lo siguiente: “Se otorgará tratamiento de bienes y servicios nacionales a aquellos bienes y servicios originarios de los países con los que Colombia ha negociado trato nacional en materia de compras estatales y de aquellos países en los cuales a las ofertas de bienes y servicios colombianos se les conceda el mismo tratamiento otorgado a sus bienes y servicios nacionales. La acreditación o demostración de tal circunstancia se hará en los términos que señale el reglamento”. Por tanto, si los extranjeros pueden acceder a este puntaje, es precisamente porque –al igual que los nacionales– están facultados para participar en los procedimientos de selección. </w:t>
      </w:r>
    </w:p>
    <w:p w14:paraId="2A123A6B" w14:textId="77777777" w:rsidR="008A30D4" w:rsidRDefault="008A30D4" w:rsidP="008A30D4">
      <w:pPr>
        <w:spacing w:after="120" w:line="276" w:lineRule="auto"/>
        <w:jc w:val="both"/>
        <w:rPr>
          <w:rFonts w:ascii="Century Gothic" w:eastAsia="Calibri" w:hAnsi="Century Gothic" w:cs="Arial"/>
          <w:color w:val="000000" w:themeColor="text1"/>
        </w:rPr>
      </w:pPr>
      <w:r w:rsidRPr="00035110">
        <w:rPr>
          <w:rFonts w:ascii="Century Gothic" w:eastAsia="Calibri" w:hAnsi="Century Gothic" w:cs="Arial"/>
          <w:bCs/>
          <w:color w:val="000000" w:themeColor="text1"/>
          <w:lang w:val="es-ES_tradnl"/>
        </w:rPr>
        <w:tab/>
      </w:r>
      <w:bookmarkEnd w:id="13"/>
      <w:r>
        <w:rPr>
          <w:rFonts w:ascii="Century Gothic" w:eastAsia="Calibri" w:hAnsi="Century Gothic" w:cs="Arial"/>
          <w:bCs/>
          <w:color w:val="000000" w:themeColor="text1"/>
          <w:lang w:val="es-ES_tradnl"/>
        </w:rPr>
        <w:t xml:space="preserve">Desde esta perspectiva, </w:t>
      </w:r>
      <w:bookmarkStart w:id="14" w:name="_Hlk161328404"/>
      <w:r>
        <w:rPr>
          <w:rFonts w:ascii="Century Gothic" w:eastAsia="Calibri" w:hAnsi="Century Gothic" w:cs="Arial"/>
          <w:bCs/>
          <w:color w:val="000000" w:themeColor="text1"/>
          <w:lang w:val="es-ES_tradnl"/>
        </w:rPr>
        <w:t xml:space="preserve">si los proponentes extranjeros pueden presentarse al proceso de selección de forma individual, con mayor razón por hacerlo a través de un consorcio o una unión temporal. </w:t>
      </w:r>
      <w:r w:rsidRPr="00483D52">
        <w:rPr>
          <w:rFonts w:ascii="Century Gothic" w:eastAsia="Calibri" w:hAnsi="Century Gothic" w:cs="Arial"/>
          <w:bCs/>
          <w:color w:val="000000" w:themeColor="text1"/>
          <w:lang w:val="es-ES_tradnl"/>
        </w:rPr>
        <w:t xml:space="preserve">Al respecto, </w:t>
      </w:r>
      <w:r w:rsidRPr="00483D52">
        <w:rPr>
          <w:rFonts w:ascii="Century Gothic" w:hAnsi="Century Gothic" w:cs="Arial"/>
          <w:color w:val="000000" w:themeColor="text1"/>
        </w:rPr>
        <w:t xml:space="preserve">es necesario tener en cuenta que </w:t>
      </w:r>
      <w:r>
        <w:rPr>
          <w:rFonts w:ascii="Century Gothic" w:hAnsi="Century Gothic" w:cs="Arial"/>
          <w:color w:val="000000" w:themeColor="text1"/>
        </w:rPr>
        <w:t xml:space="preserve">–en armonía con las normas del Código de Comercio– </w:t>
      </w:r>
      <w:r w:rsidRPr="00483D52">
        <w:rPr>
          <w:rFonts w:ascii="Century Gothic" w:eastAsia="Calibri" w:hAnsi="Century Gothic" w:cs="Arial"/>
          <w:color w:val="000000" w:themeColor="text1"/>
        </w:rPr>
        <w:t>el acápite IV</w:t>
      </w:r>
      <w:r w:rsidRPr="00483D52">
        <w:rPr>
          <w:rFonts w:ascii="Century Gothic" w:hAnsi="Century Gothic" w:cs="Arial"/>
          <w:color w:val="000000" w:themeColor="text1"/>
        </w:rPr>
        <w:t xml:space="preserve"> de la “Guía de Asuntos Corporativos en los Procesos de </w:t>
      </w:r>
      <w:proofErr w:type="spellStart"/>
      <w:r w:rsidRPr="00483D52">
        <w:rPr>
          <w:rFonts w:ascii="Century Gothic" w:hAnsi="Century Gothic" w:cs="Arial"/>
          <w:color w:val="000000" w:themeColor="text1"/>
        </w:rPr>
        <w:t>Contratación</w:t>
      </w:r>
      <w:proofErr w:type="spellEnd"/>
      <w:r w:rsidRPr="00483D52">
        <w:rPr>
          <w:rFonts w:ascii="Century Gothic" w:hAnsi="Century Gothic" w:cs="Arial"/>
          <w:color w:val="000000" w:themeColor="text1"/>
        </w:rPr>
        <w:t xml:space="preserve">”, expedida por la </w:t>
      </w:r>
      <w:r w:rsidRPr="00483D52">
        <w:rPr>
          <w:rFonts w:ascii="Century Gothic" w:eastAsia="Calibri" w:hAnsi="Century Gothic" w:cs="Arial"/>
          <w:color w:val="000000" w:themeColor="text1"/>
        </w:rPr>
        <w:t xml:space="preserve">Agencia Nacional de Contratación Pública – Colombia Compra Eficiente, precisa </w:t>
      </w:r>
      <w:r w:rsidRPr="00483D52">
        <w:rPr>
          <w:rFonts w:ascii="Century Gothic" w:eastAsia="Calibri" w:hAnsi="Century Gothic" w:cs="Arial"/>
          <w:color w:val="000000" w:themeColor="text1"/>
        </w:rPr>
        <w:lastRenderedPageBreak/>
        <w:t>que “</w:t>
      </w:r>
      <w:r w:rsidRPr="00483D52">
        <w:rPr>
          <w:rFonts w:ascii="Century Gothic" w:eastAsia="Calibri" w:hAnsi="Century Gothic" w:cs="Arial"/>
          <w:color w:val="000000" w:themeColor="text1"/>
          <w:lang w:val="es-MX"/>
        </w:rPr>
        <w:t>Para la presentación de la oferta no será necesario que se constituya una sucursal en Colombia pues esto solo es obligatorio si se resulta adjudicatario en Procesos de Contratación que tengan por objeto la construcción de obras o la prestación de servicios, pues en estos dos casos, se entiende que la persona jurídica extranjera está ejerciendo negocios permanentes en Colombia”</w:t>
      </w:r>
      <w:r w:rsidRPr="00483D52">
        <w:rPr>
          <w:rStyle w:val="Refdenotaalpie"/>
          <w:rFonts w:ascii="Century Gothic" w:hAnsi="Century Gothic" w:cs="Arial"/>
          <w:color w:val="000000" w:themeColor="text1"/>
        </w:rPr>
        <w:footnoteReference w:id="29"/>
      </w:r>
      <w:r w:rsidRPr="00483D52">
        <w:rPr>
          <w:rFonts w:ascii="Century Gothic" w:eastAsia="Calibri" w:hAnsi="Century Gothic" w:cs="Arial"/>
          <w:color w:val="000000" w:themeColor="text1"/>
          <w:lang w:val="es-MX"/>
        </w:rPr>
        <w:t>.</w:t>
      </w:r>
      <w:r w:rsidRPr="00483D52">
        <w:rPr>
          <w:rFonts w:ascii="Century Gothic" w:eastAsia="Calibri" w:hAnsi="Century Gothic" w:cs="Arial"/>
          <w:color w:val="000000" w:themeColor="text1"/>
        </w:rPr>
        <w:t xml:space="preserve"> </w:t>
      </w:r>
      <w:bookmarkEnd w:id="14"/>
    </w:p>
    <w:p w14:paraId="1857E7C0" w14:textId="77777777" w:rsidR="008A30D4" w:rsidRDefault="008A30D4" w:rsidP="008A30D4">
      <w:pPr>
        <w:spacing w:after="120" w:line="276" w:lineRule="auto"/>
        <w:jc w:val="both"/>
        <w:rPr>
          <w:rFonts w:ascii="Century Gothic" w:eastAsia="Calibri" w:hAnsi="Century Gothic" w:cs="Arial"/>
          <w:color w:val="000000" w:themeColor="text1"/>
        </w:rPr>
      </w:pPr>
      <w:r>
        <w:rPr>
          <w:rFonts w:ascii="Century Gothic" w:eastAsia="Calibri" w:hAnsi="Century Gothic" w:cs="Arial"/>
          <w:color w:val="000000" w:themeColor="text1"/>
        </w:rPr>
        <w:tab/>
        <w:t xml:space="preserve">No obstante, </w:t>
      </w:r>
      <w:r w:rsidRPr="00193C04">
        <w:rPr>
          <w:rFonts w:ascii="Century Gothic" w:eastAsia="Calibri" w:hAnsi="Century Gothic" w:cs="Arial"/>
          <w:color w:val="000000" w:themeColor="text1"/>
        </w:rPr>
        <w:t xml:space="preserve">si la convocatoria de se limita a </w:t>
      </w:r>
      <w:proofErr w:type="spellStart"/>
      <w:r w:rsidRPr="00193C04">
        <w:rPr>
          <w:rFonts w:ascii="Century Gothic" w:eastAsia="Calibri" w:hAnsi="Century Gothic" w:cs="Arial"/>
          <w:color w:val="000000" w:themeColor="text1"/>
        </w:rPr>
        <w:t>Mipymes</w:t>
      </w:r>
      <w:proofErr w:type="spellEnd"/>
      <w:r w:rsidRPr="00193C04">
        <w:rPr>
          <w:rFonts w:ascii="Century Gothic" w:eastAsia="Calibri" w:hAnsi="Century Gothic" w:cs="Arial"/>
          <w:color w:val="000000" w:themeColor="text1"/>
        </w:rPr>
        <w:t xml:space="preserve"> nacionales, quedan excluidos no solo las grandes empresas ubicadas en el territorio colombiano sino también los proponentes extranjeros. En otras palabras, el inciso primero del artículo 12 de la Ley 1150 de 2007 y el artículo 2.2.1.2.4.2.2 del Decreto 1082 de 2015 establece un trato preferencial </w:t>
      </w:r>
      <w:proofErr w:type="gramStart"/>
      <w:r w:rsidRPr="00193C04">
        <w:rPr>
          <w:rFonts w:ascii="Century Gothic" w:eastAsia="Calibri" w:hAnsi="Century Gothic" w:cs="Arial"/>
          <w:color w:val="000000" w:themeColor="text1"/>
        </w:rPr>
        <w:t>en razón de</w:t>
      </w:r>
      <w:proofErr w:type="gramEnd"/>
      <w:r w:rsidRPr="00193C04">
        <w:rPr>
          <w:rFonts w:ascii="Century Gothic" w:eastAsia="Calibri" w:hAnsi="Century Gothic" w:cs="Arial"/>
          <w:color w:val="000000" w:themeColor="text1"/>
        </w:rPr>
        <w:t xml:space="preserve"> la nacionalidad. En contraste, si la convocatoria limitada beneficia a las </w:t>
      </w:r>
      <w:proofErr w:type="spellStart"/>
      <w:r w:rsidRPr="00193C04">
        <w:rPr>
          <w:rFonts w:ascii="Century Gothic" w:eastAsia="Calibri" w:hAnsi="Century Gothic" w:cs="Arial"/>
          <w:color w:val="000000" w:themeColor="text1"/>
        </w:rPr>
        <w:t>Mipymes</w:t>
      </w:r>
      <w:proofErr w:type="spellEnd"/>
      <w:r w:rsidRPr="00193C04">
        <w:rPr>
          <w:rFonts w:ascii="Century Gothic" w:eastAsia="Calibri" w:hAnsi="Century Gothic" w:cs="Arial"/>
          <w:color w:val="000000" w:themeColor="text1"/>
        </w:rPr>
        <w:t xml:space="preserve"> del municipio o departamento correspondiente al de la ejecución del contrato, también quedan excluidas –además de los anteriores– las </w:t>
      </w:r>
      <w:proofErr w:type="spellStart"/>
      <w:r w:rsidRPr="00193C04">
        <w:rPr>
          <w:rFonts w:ascii="Century Gothic" w:eastAsia="Calibri" w:hAnsi="Century Gothic" w:cs="Arial"/>
          <w:color w:val="000000" w:themeColor="text1"/>
        </w:rPr>
        <w:t>Mipymes</w:t>
      </w:r>
      <w:proofErr w:type="spellEnd"/>
      <w:r w:rsidRPr="00193C04">
        <w:rPr>
          <w:rFonts w:ascii="Century Gothic" w:eastAsia="Calibri" w:hAnsi="Century Gothic" w:cs="Arial"/>
          <w:color w:val="000000" w:themeColor="text1"/>
        </w:rPr>
        <w:t xml:space="preserve"> de otros lugares de Colombia. Es decir, el parágrafo 1 del artículo 12 de la Ley 1150 de 2007 y el artículo 2.2.1.2.4.2.3 del Decreto 1082 de 2015 establece un trato privilegiado que se fundamenta en el territorio.  </w:t>
      </w:r>
    </w:p>
    <w:p w14:paraId="7F627229" w14:textId="77777777" w:rsidR="008A30D4" w:rsidRDefault="008A30D4" w:rsidP="008A30D4">
      <w:pPr>
        <w:spacing w:after="120" w:line="276" w:lineRule="auto"/>
        <w:ind w:firstLine="708"/>
        <w:jc w:val="both"/>
        <w:rPr>
          <w:rFonts w:ascii="Century Gothic" w:eastAsia="Calibri" w:hAnsi="Century Gothic" w:cs="Arial"/>
          <w:color w:val="000000" w:themeColor="text1"/>
        </w:rPr>
      </w:pPr>
      <w:r>
        <w:rPr>
          <w:rFonts w:ascii="Century Gothic" w:eastAsia="Calibri" w:hAnsi="Century Gothic" w:cs="Arial"/>
          <w:color w:val="000000" w:themeColor="text1"/>
        </w:rPr>
        <w:t>Por último, se advierte al peticionario que las entidades</w:t>
      </w:r>
      <w:r w:rsidRPr="00DC3C26">
        <w:rPr>
          <w:rFonts w:ascii="Century Gothic" w:eastAsia="Calibri" w:hAnsi="Century Gothic" w:cs="Arial"/>
          <w:color w:val="000000" w:themeColor="text1"/>
        </w:rPr>
        <w:t xml:space="preserve"> </w:t>
      </w:r>
      <w:r>
        <w:rPr>
          <w:rFonts w:ascii="Century Gothic" w:eastAsia="Calibri" w:hAnsi="Century Gothic" w:cs="Arial"/>
          <w:color w:val="000000" w:themeColor="text1"/>
        </w:rPr>
        <w:t>tienen</w:t>
      </w:r>
      <w:r w:rsidRPr="00DC3C26">
        <w:rPr>
          <w:rFonts w:ascii="Century Gothic" w:eastAsia="Calibri" w:hAnsi="Century Gothic" w:cs="Arial"/>
          <w:color w:val="000000" w:themeColor="text1"/>
        </w:rPr>
        <w:t xml:space="preserve"> un margen de discrecionalidad para definir el contenido del pliego de condiciones o documento equivalente. Salvo los aspectos que se encuentren reglados en la actuación administrativa, esto implica libertad para determinar los requisitos habilitantes </w:t>
      </w:r>
      <w:r>
        <w:rPr>
          <w:rFonts w:ascii="Century Gothic" w:eastAsia="Calibri" w:hAnsi="Century Gothic" w:cs="Arial"/>
          <w:color w:val="000000" w:themeColor="text1"/>
        </w:rPr>
        <w:t>y los factores de evaluación</w:t>
      </w:r>
      <w:r w:rsidRPr="00DC3C26">
        <w:rPr>
          <w:rFonts w:ascii="Century Gothic" w:eastAsia="Calibri" w:hAnsi="Century Gothic" w:cs="Arial"/>
          <w:color w:val="000000" w:themeColor="text1"/>
        </w:rPr>
        <w:t xml:space="preserve"> en los documentos del proceso. Lo anterior en la medida que no existen potestades completamente discrecionales, por lo que dichos elementos reglados son una limitación efectiva a la libertad de configuración.  </w:t>
      </w:r>
    </w:p>
    <w:p w14:paraId="7EC27EAF" w14:textId="77777777" w:rsidR="008A30D4" w:rsidRDefault="008A30D4" w:rsidP="008A30D4">
      <w:pPr>
        <w:spacing w:after="120" w:line="276" w:lineRule="auto"/>
        <w:ind w:firstLine="708"/>
        <w:jc w:val="both"/>
        <w:rPr>
          <w:rFonts w:ascii="Century Gothic" w:eastAsia="Calibri" w:hAnsi="Century Gothic" w:cs="Arial"/>
          <w:color w:val="000000" w:themeColor="text1"/>
        </w:rPr>
      </w:pPr>
      <w:r w:rsidRPr="00333101">
        <w:rPr>
          <w:rFonts w:ascii="Century Gothic" w:eastAsia="Calibri" w:hAnsi="Century Gothic" w:cs="Arial"/>
          <w:color w:val="000000" w:themeColor="text1"/>
        </w:rPr>
        <w:t>Dado que la Agencia carece de atribuciones para</w:t>
      </w:r>
      <w:r>
        <w:rPr>
          <w:rFonts w:ascii="Century Gothic" w:eastAsia="Calibri" w:hAnsi="Century Gothic" w:cs="Arial"/>
          <w:color w:val="000000" w:themeColor="text1"/>
        </w:rPr>
        <w:t xml:space="preserve"> juzgar la legalidad de las decisiones administrativas</w:t>
      </w:r>
      <w:r w:rsidRPr="00333101">
        <w:rPr>
          <w:rFonts w:ascii="Century Gothic" w:eastAsia="Calibri" w:hAnsi="Century Gothic" w:cs="Arial"/>
          <w:color w:val="000000" w:themeColor="text1"/>
        </w:rPr>
        <w:t>,</w:t>
      </w:r>
      <w:r>
        <w:rPr>
          <w:rFonts w:ascii="Century Gothic" w:eastAsia="Calibri" w:hAnsi="Century Gothic" w:cs="Arial"/>
          <w:color w:val="000000" w:themeColor="text1"/>
        </w:rPr>
        <w:t xml:space="preserve"> ante la imposibilidad de</w:t>
      </w:r>
      <w:r w:rsidRPr="00333101">
        <w:rPr>
          <w:rFonts w:ascii="Century Gothic" w:eastAsia="Calibri" w:hAnsi="Century Gothic" w:cs="Arial"/>
          <w:color w:val="000000" w:themeColor="text1"/>
        </w:rPr>
        <w:t xml:space="preserve"> definir un criterio universal y absoluto por vía consultiva sobre el objeto de la petición, </w:t>
      </w:r>
      <w:r>
        <w:rPr>
          <w:rFonts w:ascii="Century Gothic" w:eastAsia="Calibri" w:hAnsi="Century Gothic" w:cs="Arial"/>
          <w:color w:val="000000" w:themeColor="text1"/>
        </w:rPr>
        <w:t>el presente oficio se limita a</w:t>
      </w:r>
      <w:r w:rsidRPr="00333101">
        <w:rPr>
          <w:rFonts w:ascii="Century Gothic" w:eastAsia="Calibri" w:hAnsi="Century Gothic" w:cs="Arial"/>
          <w:color w:val="000000" w:themeColor="text1"/>
        </w:rPr>
        <w:t xml:space="preserve"> brinda</w:t>
      </w:r>
      <w:r>
        <w:rPr>
          <w:rFonts w:ascii="Century Gothic" w:eastAsia="Calibri" w:hAnsi="Century Gothic" w:cs="Arial"/>
          <w:color w:val="000000" w:themeColor="text1"/>
        </w:rPr>
        <w:t>r</w:t>
      </w:r>
      <w:r w:rsidRPr="00333101">
        <w:rPr>
          <w:rFonts w:ascii="Century Gothic" w:eastAsia="Calibri" w:hAnsi="Century Gothic" w:cs="Arial"/>
          <w:color w:val="000000" w:themeColor="text1"/>
        </w:rPr>
        <w:t xml:space="preserve"> elementos hermenéuticos de carácter general para que los partícipes del sistema de compras y contratación pública adopten la decisión que corresponda, lo cual es acorde con el principio de juridicidad. Por lo anterior, previo concepto de sus órganos asesores, </w:t>
      </w:r>
      <w:r>
        <w:rPr>
          <w:rFonts w:ascii="Century Gothic" w:eastAsia="Calibri" w:hAnsi="Century Gothic" w:cs="Arial"/>
          <w:color w:val="000000" w:themeColor="text1"/>
        </w:rPr>
        <w:t>el desarrollo de los requisitos de participación corresponde</w:t>
      </w:r>
      <w:r w:rsidRPr="00333101">
        <w:rPr>
          <w:rFonts w:ascii="Century Gothic" w:eastAsia="Calibri" w:hAnsi="Century Gothic" w:cs="Arial"/>
          <w:color w:val="000000" w:themeColor="text1"/>
        </w:rPr>
        <w:t xml:space="preserve"> a la entidad </w:t>
      </w:r>
      <w:r>
        <w:rPr>
          <w:rFonts w:ascii="Century Gothic" w:eastAsia="Calibri" w:hAnsi="Century Gothic" w:cs="Arial"/>
          <w:color w:val="000000" w:themeColor="text1"/>
        </w:rPr>
        <w:t xml:space="preserve">que </w:t>
      </w:r>
      <w:r w:rsidRPr="00333101">
        <w:rPr>
          <w:rFonts w:ascii="Century Gothic" w:eastAsia="Calibri" w:hAnsi="Century Gothic" w:cs="Arial"/>
          <w:color w:val="000000" w:themeColor="text1"/>
        </w:rPr>
        <w:t>de</w:t>
      </w:r>
      <w:r>
        <w:rPr>
          <w:rFonts w:ascii="Century Gothic" w:eastAsia="Calibri" w:hAnsi="Century Gothic" w:cs="Arial"/>
          <w:color w:val="000000" w:themeColor="text1"/>
        </w:rPr>
        <w:t>be</w:t>
      </w:r>
      <w:r w:rsidRPr="00333101">
        <w:rPr>
          <w:rFonts w:ascii="Century Gothic" w:eastAsia="Calibri" w:hAnsi="Century Gothic" w:cs="Arial"/>
          <w:color w:val="000000" w:themeColor="text1"/>
        </w:rPr>
        <w:t xml:space="preserve"> adoptar la decisión correspondiente y, en caso de conflicto, a las autoridades judiciales, fiscales y disciplinarias. </w:t>
      </w:r>
    </w:p>
    <w:p w14:paraId="06830014" w14:textId="77777777" w:rsidR="008A30D4" w:rsidRDefault="008A30D4" w:rsidP="740D53F7">
      <w:pPr>
        <w:spacing w:before="120" w:after="120" w:line="276" w:lineRule="auto"/>
        <w:ind w:firstLine="709"/>
        <w:jc w:val="both"/>
        <w:rPr>
          <w:rFonts w:ascii="Century Gothic" w:eastAsia="Times New Roman" w:hAnsi="Century Gothic" w:cs="Arial"/>
          <w:color w:val="000000"/>
          <w:lang w:val="es-ES" w:eastAsia="es-ES"/>
        </w:rPr>
      </w:pPr>
      <w:r w:rsidRPr="740D53F7">
        <w:rPr>
          <w:rFonts w:ascii="Century Gothic" w:eastAsia="Times New Roman" w:hAnsi="Century Gothic" w:cs="Arial"/>
          <w:color w:val="000000" w:themeColor="text1"/>
          <w:lang w:val="es-ES" w:eastAsia="es-ES"/>
        </w:rPr>
        <w:lastRenderedPageBreak/>
        <w:t xml:space="preserve">Si persiste la duda sobre la forma de aportar los documentos, los interesados pueden formular observaciones para aclarar sus inquietudes ante la entidad que adelanta el trámite. En este sentido, el artículo 24. 2 del Estatuto General de Contratación de la Administración Pública dispone que “En los procesos contractuales los interesados tendrán oportunidad de conocer y controvertir los informes, conceptos y decisiones que se rindan o adopten, para lo cual se establecerán etapas que permitan el conocimiento de dichas actuaciones y otorguen la posibilidad de expresar observaciones”. Así, los proponentes pueden observar tanto el proyecto de pliego como el pliego de condiciones definitivo con el propósito de esclarecer aspectos del proceso. </w:t>
      </w:r>
    </w:p>
    <w:p w14:paraId="6AA6C685" w14:textId="77777777" w:rsidR="008A30D4" w:rsidRPr="00BE52AA" w:rsidRDefault="008A30D4" w:rsidP="740D53F7">
      <w:pPr>
        <w:spacing w:before="120" w:after="0" w:line="276" w:lineRule="auto"/>
        <w:ind w:firstLine="709"/>
        <w:jc w:val="both"/>
        <w:rPr>
          <w:rFonts w:ascii="Century Gothic" w:eastAsia="Times New Roman" w:hAnsi="Century Gothic" w:cs="Arial"/>
          <w:color w:val="000000"/>
          <w:lang w:val="es-ES" w:eastAsia="es-ES"/>
        </w:rPr>
      </w:pPr>
      <w:r w:rsidRPr="740D53F7">
        <w:rPr>
          <w:rFonts w:ascii="Century Gothic" w:eastAsia="Times New Roman" w:hAnsi="Century Gothic" w:cs="Arial"/>
          <w:color w:val="000000" w:themeColor="text1"/>
          <w:lang w:val="es-ES" w:eastAsia="es-ES"/>
        </w:rPr>
        <w:t>Independientemente de lo explicado en los párrafos precedentes, en función del régimen jurídico aplicable, es competencia de cada entidad estatal definir lo relacionado con su gestión contractual. Es decir, dentro de lo dispuesto por la ley y el reglamento, las entidades tienen un margen de discrecionalidad para la configuración y acreditación de los requisitos habilitantes y los factores de evaluación, sin perjuicio de la regulación especial de las Leyes 2022 de 2020 y 2195 de 2022. De esta manera, cada entidad definirá el contenido de los documentos del proceso, sin que sea atribución de la Agencia Nacional de Contratación Pública – Colombia Compra Eficiente validar las actuaciones realizadas.</w:t>
      </w:r>
    </w:p>
    <w:p w14:paraId="1B1AD28E" w14:textId="77777777" w:rsidR="008A30D4" w:rsidRPr="00035110" w:rsidRDefault="008A30D4" w:rsidP="008A30D4">
      <w:pPr>
        <w:pBdr>
          <w:top w:val="nil"/>
          <w:left w:val="nil"/>
          <w:bottom w:val="nil"/>
          <w:right w:val="nil"/>
          <w:between w:val="nil"/>
        </w:pBdr>
        <w:spacing w:after="120" w:line="276" w:lineRule="auto"/>
        <w:jc w:val="both"/>
        <w:rPr>
          <w:rFonts w:ascii="Century Gothic" w:eastAsia="Arial" w:hAnsi="Century Gothic" w:cs="Arial"/>
          <w:color w:val="000000"/>
        </w:rPr>
      </w:pPr>
    </w:p>
    <w:p w14:paraId="6F0C5D30" w14:textId="77777777" w:rsidR="008A30D4" w:rsidRPr="00035110" w:rsidRDefault="008A30D4" w:rsidP="740D53F7">
      <w:pPr>
        <w:widowControl w:val="0"/>
        <w:autoSpaceDE w:val="0"/>
        <w:autoSpaceDN w:val="0"/>
        <w:spacing w:after="0" w:line="276" w:lineRule="auto"/>
        <w:jc w:val="both"/>
        <w:rPr>
          <w:rFonts w:ascii="Century Gothic" w:hAnsi="Century Gothic" w:cs="Arial"/>
          <w:color w:val="000000" w:themeColor="text1"/>
          <w:lang w:val="es-ES" w:bidi="es-ES"/>
        </w:rPr>
      </w:pPr>
      <w:r w:rsidRPr="740D53F7">
        <w:rPr>
          <w:rFonts w:ascii="Century Gothic" w:hAnsi="Century Gothic" w:cs="Arial"/>
          <w:color w:val="000000" w:themeColor="text1"/>
          <w:lang w:val="es-ES"/>
        </w:rPr>
        <w:t>Este concepto tiene el alcance previsto en el artículo 28 del Código de Procedimiento Administrativo y de lo Contencioso Administrativo. En los términos del artículo 226, inciso tercero, de la Ley 1564 de 2012, este oficio tampoco tiene la naturaleza de un dictamen pericial ya que versa sobre puntos de derecho.</w:t>
      </w:r>
    </w:p>
    <w:p w14:paraId="485FDED7" w14:textId="77777777" w:rsidR="008A30D4" w:rsidRPr="00035110" w:rsidRDefault="008A30D4" w:rsidP="008A30D4">
      <w:pPr>
        <w:widowControl w:val="0"/>
        <w:autoSpaceDE w:val="0"/>
        <w:autoSpaceDN w:val="0"/>
        <w:spacing w:after="0" w:line="276" w:lineRule="auto"/>
        <w:jc w:val="both"/>
        <w:rPr>
          <w:rFonts w:ascii="Century Gothic" w:hAnsi="Century Gothic" w:cs="Arial"/>
          <w:color w:val="000000" w:themeColor="text1"/>
          <w:lang w:val="es-ES_tradnl" w:bidi="es-ES"/>
        </w:rPr>
      </w:pPr>
    </w:p>
    <w:p w14:paraId="20F4C73B" w14:textId="77777777" w:rsidR="008A30D4" w:rsidRPr="00035110" w:rsidRDefault="008A30D4" w:rsidP="008A30D4">
      <w:pPr>
        <w:tabs>
          <w:tab w:val="left" w:pos="426"/>
        </w:tabs>
        <w:spacing w:line="276" w:lineRule="auto"/>
        <w:jc w:val="both"/>
        <w:rPr>
          <w:rFonts w:ascii="Century Gothic" w:eastAsia="Times New Roman" w:hAnsi="Century Gothic" w:cs="Arial"/>
          <w:color w:val="000000" w:themeColor="text1"/>
        </w:rPr>
      </w:pPr>
      <w:r w:rsidRPr="00035110">
        <w:rPr>
          <w:rFonts w:ascii="Century Gothic" w:eastAsia="Times New Roman" w:hAnsi="Century Gothic" w:cs="Arial"/>
          <w:color w:val="000000" w:themeColor="text1"/>
        </w:rPr>
        <w:t>Atentamente,</w:t>
      </w:r>
    </w:p>
    <w:p w14:paraId="698BF634" w14:textId="05FE9205" w:rsidR="008A30D4" w:rsidRPr="00035110" w:rsidRDefault="002E5F77" w:rsidP="008A30D4">
      <w:pPr>
        <w:jc w:val="center"/>
        <w:rPr>
          <w:rFonts w:ascii="Century Gothic" w:eastAsia="Times New Roman" w:hAnsi="Century Gothic" w:cs="Arial"/>
          <w:lang w:eastAsia="es-CO"/>
        </w:rPr>
      </w:pPr>
      <w:r>
        <w:rPr>
          <w:noProof/>
        </w:rPr>
        <w:drawing>
          <wp:inline distT="0" distB="0" distL="0" distR="0" wp14:anchorId="12347EDE" wp14:editId="02F3D535">
            <wp:extent cx="3152775" cy="1209675"/>
            <wp:effectExtent l="0" t="0" r="9525" b="9525"/>
            <wp:docPr id="136766671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666717" name="Imagen 1" descr="Texto&#10;&#10;Descripción generada automáticamente"/>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8A30D4" w:rsidRPr="00035110" w14:paraId="40F948F5" w14:textId="77777777" w:rsidTr="00E7105D">
        <w:trPr>
          <w:trHeight w:val="409"/>
        </w:trPr>
        <w:tc>
          <w:tcPr>
            <w:tcW w:w="817" w:type="dxa"/>
            <w:tcBorders>
              <w:top w:val="nil"/>
              <w:left w:val="nil"/>
              <w:bottom w:val="nil"/>
              <w:right w:val="nil"/>
            </w:tcBorders>
            <w:vAlign w:val="center"/>
            <w:hideMark/>
          </w:tcPr>
          <w:p w14:paraId="39710594" w14:textId="77777777" w:rsidR="008A30D4" w:rsidRPr="00035110" w:rsidRDefault="008A30D4" w:rsidP="00E7105D">
            <w:pPr>
              <w:spacing w:after="0" w:line="240" w:lineRule="auto"/>
              <w:jc w:val="both"/>
              <w:rPr>
                <w:rFonts w:ascii="Century Gothic" w:hAnsi="Century Gothic" w:cs="Arial"/>
                <w:sz w:val="16"/>
                <w:szCs w:val="16"/>
              </w:rPr>
            </w:pPr>
            <w:r w:rsidRPr="00035110">
              <w:rPr>
                <w:rFonts w:ascii="Century Gothic" w:hAnsi="Century Gothic"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3FEFCCB1" w14:textId="77777777" w:rsidR="008A30D4" w:rsidRPr="00035110" w:rsidRDefault="008A30D4" w:rsidP="00E7105D">
            <w:pPr>
              <w:spacing w:after="0" w:line="240" w:lineRule="auto"/>
              <w:jc w:val="both"/>
              <w:rPr>
                <w:rFonts w:ascii="Century Gothic" w:hAnsi="Century Gothic" w:cs="Arial"/>
                <w:sz w:val="16"/>
                <w:szCs w:val="16"/>
              </w:rPr>
            </w:pPr>
            <w:r w:rsidRPr="00035110">
              <w:rPr>
                <w:rFonts w:ascii="Century Gothic" w:hAnsi="Century Gothic" w:cs="Arial"/>
                <w:sz w:val="16"/>
                <w:szCs w:val="16"/>
              </w:rPr>
              <w:t>Juan David Montoya Penagos</w:t>
            </w:r>
          </w:p>
          <w:p w14:paraId="6D8C788A" w14:textId="77777777" w:rsidR="008A30D4" w:rsidRPr="00035110" w:rsidRDefault="008A30D4" w:rsidP="00E7105D">
            <w:pPr>
              <w:spacing w:after="0" w:line="240" w:lineRule="auto"/>
              <w:jc w:val="both"/>
              <w:rPr>
                <w:rFonts w:ascii="Century Gothic" w:hAnsi="Century Gothic" w:cs="Arial"/>
                <w:sz w:val="16"/>
                <w:szCs w:val="16"/>
              </w:rPr>
            </w:pPr>
            <w:r w:rsidRPr="00035110">
              <w:rPr>
                <w:rFonts w:ascii="Century Gothic" w:hAnsi="Century Gothic" w:cs="Arial"/>
                <w:sz w:val="16"/>
                <w:szCs w:val="16"/>
              </w:rPr>
              <w:t>Contratista de la Subdirección de Gestión Contractual</w:t>
            </w:r>
          </w:p>
        </w:tc>
      </w:tr>
      <w:tr w:rsidR="008A30D4" w:rsidRPr="00035110" w14:paraId="6B79673A" w14:textId="77777777" w:rsidTr="00E7105D">
        <w:trPr>
          <w:trHeight w:val="409"/>
        </w:trPr>
        <w:tc>
          <w:tcPr>
            <w:tcW w:w="817" w:type="dxa"/>
            <w:tcBorders>
              <w:top w:val="nil"/>
              <w:left w:val="nil"/>
              <w:right w:val="nil"/>
            </w:tcBorders>
            <w:vAlign w:val="center"/>
          </w:tcPr>
          <w:p w14:paraId="3670BE8A" w14:textId="77777777" w:rsidR="008A30D4" w:rsidRPr="00035110" w:rsidRDefault="008A30D4" w:rsidP="00E7105D">
            <w:pPr>
              <w:jc w:val="both"/>
              <w:rPr>
                <w:rFonts w:ascii="Century Gothic" w:hAnsi="Century Gothic" w:cs="Arial"/>
                <w:sz w:val="16"/>
                <w:szCs w:val="16"/>
              </w:rPr>
            </w:pPr>
            <w:r w:rsidRPr="00035110">
              <w:rPr>
                <w:rFonts w:ascii="Century Gothic" w:hAnsi="Century Gothic"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1E4A7E50" w14:textId="77777777" w:rsidR="008A30D4" w:rsidRPr="00035110" w:rsidRDefault="008A30D4" w:rsidP="00E7105D">
            <w:pPr>
              <w:spacing w:after="0" w:line="240" w:lineRule="auto"/>
              <w:jc w:val="both"/>
              <w:rPr>
                <w:rFonts w:ascii="Century Gothic" w:hAnsi="Century Gothic" w:cs="Arial"/>
                <w:sz w:val="16"/>
                <w:szCs w:val="16"/>
              </w:rPr>
            </w:pPr>
            <w:r w:rsidRPr="00035110">
              <w:rPr>
                <w:rFonts w:ascii="Century Gothic" w:hAnsi="Century Gothic" w:cs="Arial"/>
                <w:sz w:val="16"/>
                <w:szCs w:val="16"/>
              </w:rPr>
              <w:t xml:space="preserve">Juan David Cárdenas Cabeza </w:t>
            </w:r>
          </w:p>
          <w:p w14:paraId="2ADC9629" w14:textId="77777777" w:rsidR="008A30D4" w:rsidRPr="00035110" w:rsidRDefault="008A30D4" w:rsidP="00E7105D">
            <w:pPr>
              <w:spacing w:after="0" w:line="240" w:lineRule="auto"/>
              <w:jc w:val="both"/>
              <w:rPr>
                <w:rFonts w:ascii="Century Gothic" w:hAnsi="Century Gothic" w:cs="Arial"/>
                <w:sz w:val="16"/>
                <w:szCs w:val="16"/>
              </w:rPr>
            </w:pPr>
            <w:r w:rsidRPr="00035110">
              <w:rPr>
                <w:rFonts w:ascii="Century Gothic" w:hAnsi="Century Gothic" w:cs="Arial"/>
                <w:sz w:val="16"/>
                <w:szCs w:val="16"/>
              </w:rPr>
              <w:t>Contratista de la Subdirección de Gestión Contractual</w:t>
            </w:r>
          </w:p>
        </w:tc>
      </w:tr>
      <w:tr w:rsidR="008A30D4" w:rsidRPr="00035110" w14:paraId="5527BF2C" w14:textId="77777777" w:rsidTr="00E7105D">
        <w:trPr>
          <w:trHeight w:val="389"/>
        </w:trPr>
        <w:tc>
          <w:tcPr>
            <w:tcW w:w="817" w:type="dxa"/>
            <w:tcBorders>
              <w:top w:val="nil"/>
              <w:left w:val="nil"/>
              <w:bottom w:val="nil"/>
              <w:right w:val="nil"/>
            </w:tcBorders>
            <w:vAlign w:val="center"/>
            <w:hideMark/>
          </w:tcPr>
          <w:p w14:paraId="2B7A0F16" w14:textId="77777777" w:rsidR="008A30D4" w:rsidRPr="00035110" w:rsidRDefault="008A30D4" w:rsidP="00E7105D">
            <w:pPr>
              <w:spacing w:after="0" w:line="240" w:lineRule="auto"/>
              <w:jc w:val="both"/>
              <w:rPr>
                <w:rFonts w:ascii="Century Gothic" w:hAnsi="Century Gothic" w:cs="Arial"/>
                <w:sz w:val="16"/>
                <w:szCs w:val="16"/>
              </w:rPr>
            </w:pPr>
            <w:r w:rsidRPr="00035110">
              <w:rPr>
                <w:rFonts w:ascii="Century Gothic" w:hAnsi="Century Gothic" w:cs="Arial"/>
                <w:sz w:val="16"/>
                <w:szCs w:val="16"/>
              </w:rPr>
              <w:lastRenderedPageBreak/>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04A191F1" w14:textId="77777777" w:rsidR="008A30D4" w:rsidRPr="00035110" w:rsidRDefault="008A30D4" w:rsidP="00E7105D">
            <w:pPr>
              <w:spacing w:after="0" w:line="240" w:lineRule="auto"/>
              <w:jc w:val="both"/>
              <w:rPr>
                <w:rFonts w:ascii="Century Gothic" w:hAnsi="Century Gothic" w:cs="Arial"/>
                <w:sz w:val="16"/>
                <w:szCs w:val="16"/>
              </w:rPr>
            </w:pPr>
            <w:r w:rsidRPr="00035110">
              <w:rPr>
                <w:rFonts w:ascii="Century Gothic" w:hAnsi="Century Gothic" w:cs="Arial"/>
                <w:sz w:val="16"/>
                <w:szCs w:val="16"/>
              </w:rPr>
              <w:t xml:space="preserve">Nohelia del Carmen </w:t>
            </w:r>
            <w:proofErr w:type="spellStart"/>
            <w:r w:rsidRPr="00035110">
              <w:rPr>
                <w:rFonts w:ascii="Century Gothic" w:hAnsi="Century Gothic" w:cs="Arial"/>
                <w:sz w:val="16"/>
                <w:szCs w:val="16"/>
              </w:rPr>
              <w:t>Zawady</w:t>
            </w:r>
            <w:proofErr w:type="spellEnd"/>
            <w:r w:rsidRPr="00035110">
              <w:rPr>
                <w:rFonts w:ascii="Century Gothic" w:hAnsi="Century Gothic" w:cs="Arial"/>
                <w:sz w:val="16"/>
                <w:szCs w:val="16"/>
              </w:rPr>
              <w:t xml:space="preserve"> Palacio</w:t>
            </w:r>
          </w:p>
          <w:p w14:paraId="456880F3" w14:textId="77777777" w:rsidR="008A30D4" w:rsidRPr="00035110" w:rsidRDefault="008A30D4" w:rsidP="00E7105D">
            <w:pPr>
              <w:spacing w:after="0" w:line="240" w:lineRule="auto"/>
              <w:jc w:val="both"/>
              <w:rPr>
                <w:rFonts w:ascii="Century Gothic" w:hAnsi="Century Gothic" w:cs="Arial"/>
                <w:sz w:val="16"/>
                <w:szCs w:val="16"/>
              </w:rPr>
            </w:pPr>
            <w:r w:rsidRPr="00035110">
              <w:rPr>
                <w:rFonts w:ascii="Century Gothic" w:hAnsi="Century Gothic" w:cs="Arial"/>
                <w:sz w:val="16"/>
                <w:szCs w:val="16"/>
              </w:rPr>
              <w:t>Subdirectora de Gestión Contractual ANCP – CCE</w:t>
            </w:r>
          </w:p>
        </w:tc>
      </w:tr>
      <w:bookmarkEnd w:id="2"/>
    </w:tbl>
    <w:p w14:paraId="081261A6" w14:textId="5766D660" w:rsidR="008A30D4" w:rsidRPr="00035110" w:rsidRDefault="008A30D4" w:rsidP="008A30D4">
      <w:pPr>
        <w:rPr>
          <w:rFonts w:ascii="Century Gothic" w:hAnsi="Century Gothic"/>
        </w:rPr>
      </w:pPr>
    </w:p>
    <w:p w14:paraId="0F293BF4" w14:textId="4E630EB9" w:rsidR="00127233" w:rsidRPr="0088445F" w:rsidRDefault="00E245AB" w:rsidP="0088445F">
      <w:r w:rsidRPr="0088445F">
        <w:t xml:space="preserve"> </w:t>
      </w:r>
    </w:p>
    <w:sectPr w:rsidR="00127233" w:rsidRPr="0088445F" w:rsidSect="00F8077F">
      <w:headerReference w:type="default" r:id="rId12"/>
      <w:footerReference w:type="default" r:id="rId13"/>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47A64" w14:textId="77777777" w:rsidR="00F8077F" w:rsidRDefault="00F8077F" w:rsidP="004A1847">
      <w:pPr>
        <w:spacing w:after="0" w:line="240" w:lineRule="auto"/>
      </w:pPr>
      <w:r>
        <w:separator/>
      </w:r>
    </w:p>
  </w:endnote>
  <w:endnote w:type="continuationSeparator" w:id="0">
    <w:p w14:paraId="053B5B64" w14:textId="77777777" w:rsidR="00F8077F" w:rsidRDefault="00F8077F" w:rsidP="004A1847">
      <w:pPr>
        <w:spacing w:after="0" w:line="240" w:lineRule="auto"/>
      </w:pPr>
      <w:r>
        <w:continuationSeparator/>
      </w:r>
    </w:p>
  </w:endnote>
  <w:endnote w:type="continuationNotice" w:id="1">
    <w:p w14:paraId="61B32561" w14:textId="77777777" w:rsidR="00F8077F" w:rsidRDefault="00F807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2A942425"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2F9643A"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F613A2">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3EF9ACCC"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27B7F278"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09D08" w14:textId="77777777" w:rsidR="00F8077F" w:rsidRDefault="00F8077F" w:rsidP="004A1847">
      <w:pPr>
        <w:spacing w:after="0" w:line="240" w:lineRule="auto"/>
      </w:pPr>
      <w:r>
        <w:separator/>
      </w:r>
    </w:p>
  </w:footnote>
  <w:footnote w:type="continuationSeparator" w:id="0">
    <w:p w14:paraId="200A5CB9" w14:textId="77777777" w:rsidR="00F8077F" w:rsidRDefault="00F8077F" w:rsidP="004A1847">
      <w:pPr>
        <w:spacing w:after="0" w:line="240" w:lineRule="auto"/>
      </w:pPr>
      <w:r>
        <w:continuationSeparator/>
      </w:r>
    </w:p>
  </w:footnote>
  <w:footnote w:type="continuationNotice" w:id="1">
    <w:p w14:paraId="6C7091C9" w14:textId="77777777" w:rsidR="00F8077F" w:rsidRDefault="00F8077F">
      <w:pPr>
        <w:spacing w:after="0" w:line="240" w:lineRule="auto"/>
      </w:pPr>
    </w:p>
  </w:footnote>
  <w:footnote w:id="2">
    <w:p w14:paraId="5F96552F" w14:textId="77777777" w:rsidR="008A30D4" w:rsidRPr="00F44270" w:rsidRDefault="008A30D4" w:rsidP="008A30D4">
      <w:pPr>
        <w:pStyle w:val="Textonotapie"/>
        <w:ind w:firstLine="708"/>
        <w:jc w:val="both"/>
        <w:rPr>
          <w:rFonts w:ascii="Century Gothic" w:hAnsi="Century Gothic" w:cs="Arial"/>
          <w:sz w:val="16"/>
          <w:szCs w:val="16"/>
          <w:lang w:val="es-ES"/>
        </w:rPr>
      </w:pPr>
      <w:r w:rsidRPr="00F44270">
        <w:rPr>
          <w:rStyle w:val="Refdenotaalpie"/>
          <w:rFonts w:ascii="Century Gothic" w:hAnsi="Century Gothic" w:cs="Arial"/>
          <w:sz w:val="16"/>
          <w:szCs w:val="16"/>
        </w:rPr>
        <w:footnoteRef/>
      </w:r>
      <w:r w:rsidRPr="00F44270">
        <w:rPr>
          <w:rFonts w:ascii="Century Gothic" w:hAnsi="Century Gothic" w:cs="Arial"/>
          <w:sz w:val="16"/>
          <w:szCs w:val="16"/>
        </w:rPr>
        <w:t xml:space="preserve"> La Agencia Nacional de Contratación Pública </w:t>
      </w:r>
      <w:r w:rsidRPr="00F44270">
        <w:rPr>
          <w:rFonts w:ascii="Arial" w:hAnsi="Arial" w:cs="Arial"/>
          <w:sz w:val="16"/>
          <w:szCs w:val="16"/>
        </w:rPr>
        <w:t>‒</w:t>
      </w:r>
      <w:r w:rsidRPr="00F44270">
        <w:rPr>
          <w:rFonts w:ascii="Century Gothic" w:hAnsi="Century Gothic" w:cs="Arial"/>
          <w:sz w:val="16"/>
          <w:szCs w:val="16"/>
        </w:rPr>
        <w:t xml:space="preserve">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F44270">
        <w:rPr>
          <w:rFonts w:ascii="Century Gothic" w:hAnsi="Century Gothic" w:cs="Arial"/>
          <w:i/>
          <w:iCs/>
          <w:sz w:val="16"/>
          <w:szCs w:val="16"/>
        </w:rPr>
        <w:t xml:space="preserve">ibidem </w:t>
      </w:r>
      <w:r w:rsidRPr="00F44270">
        <w:rPr>
          <w:rFonts w:ascii="Century Gothic" w:hAnsi="Century Gothic" w:cs="Arial"/>
          <w:sz w:val="16"/>
          <w:szCs w:val="16"/>
        </w:rPr>
        <w:t>señala, de manera precisa, las funciones de Colombia Compra Eficiente. Concretamente, el numeral 5º de este artículo establece que le corresponde a esta entidad: “[a]</w:t>
      </w:r>
      <w:proofErr w:type="spellStart"/>
      <w:r w:rsidRPr="00F44270">
        <w:rPr>
          <w:rFonts w:ascii="Century Gothic" w:hAnsi="Century Gothic" w:cs="Arial"/>
          <w:sz w:val="16"/>
          <w:szCs w:val="16"/>
        </w:rPr>
        <w:t>bsolver</w:t>
      </w:r>
      <w:proofErr w:type="spellEnd"/>
      <w:r w:rsidRPr="00F44270">
        <w:rPr>
          <w:rFonts w:ascii="Century Gothic" w:hAnsi="Century Gothic" w:cs="Arial"/>
          <w:sz w:val="16"/>
          <w:szCs w:val="16"/>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254EC850" w14:textId="77777777" w:rsidR="008A30D4" w:rsidRPr="00F44270" w:rsidRDefault="008A30D4" w:rsidP="008A30D4">
      <w:pPr>
        <w:pStyle w:val="Textonotapie"/>
        <w:ind w:firstLine="708"/>
        <w:jc w:val="both"/>
        <w:rPr>
          <w:rFonts w:ascii="Century Gothic" w:hAnsi="Century Gothic" w:cs="Arial"/>
          <w:sz w:val="16"/>
          <w:szCs w:val="16"/>
        </w:rPr>
      </w:pPr>
      <w:r w:rsidRPr="00F44270">
        <w:rPr>
          <w:rStyle w:val="Refdenotaalpie"/>
          <w:rFonts w:ascii="Century Gothic" w:hAnsi="Century Gothic" w:cs="Arial"/>
          <w:sz w:val="16"/>
          <w:szCs w:val="16"/>
        </w:rPr>
        <w:footnoteRef/>
      </w:r>
      <w:r w:rsidRPr="00F44270">
        <w:rPr>
          <w:rFonts w:ascii="Century Gothic" w:hAnsi="Century Gothic" w:cs="Arial"/>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F44270">
          <w:rPr>
            <w:rStyle w:val="Hipervnculo"/>
            <w:rFonts w:ascii="Century Gothic" w:hAnsi="Century Gothic" w:cs="Arial"/>
            <w:sz w:val="16"/>
            <w:szCs w:val="16"/>
          </w:rPr>
          <w:t>https://relatoria.colombiacompra.gov.co/busqueda/conceptos</w:t>
        </w:r>
      </w:hyperlink>
      <w:r w:rsidRPr="00F44270">
        <w:rPr>
          <w:rStyle w:val="Hipervnculo"/>
          <w:rFonts w:ascii="Century Gothic" w:hAnsi="Century Gothic" w:cs="Arial"/>
          <w:sz w:val="16"/>
          <w:szCs w:val="16"/>
        </w:rPr>
        <w:t xml:space="preserve">. </w:t>
      </w:r>
      <w:r w:rsidRPr="00F44270">
        <w:rPr>
          <w:rFonts w:ascii="Century Gothic" w:hAnsi="Century Gothic" w:cs="Arial"/>
          <w:sz w:val="16"/>
          <w:szCs w:val="16"/>
          <w:shd w:val="clear" w:color="auto" w:fill="E6E6E6"/>
        </w:rPr>
        <w:t xml:space="preserve"> </w:t>
      </w:r>
    </w:p>
  </w:footnote>
  <w:footnote w:id="4">
    <w:p w14:paraId="5A676F8A" w14:textId="77777777" w:rsidR="008A30D4" w:rsidRPr="00F44270" w:rsidRDefault="008A30D4" w:rsidP="008A30D4">
      <w:pPr>
        <w:pStyle w:val="Textonotapie"/>
        <w:ind w:firstLine="709"/>
        <w:jc w:val="both"/>
        <w:rPr>
          <w:rFonts w:ascii="Century Gothic" w:hAnsi="Century Gothic" w:cs="Arial"/>
          <w:sz w:val="16"/>
          <w:szCs w:val="16"/>
        </w:rPr>
      </w:pPr>
      <w:r w:rsidRPr="00F44270">
        <w:rPr>
          <w:rStyle w:val="Refdenotaalpie"/>
          <w:rFonts w:ascii="Century Gothic" w:hAnsi="Century Gothic" w:cs="Arial"/>
          <w:sz w:val="16"/>
          <w:szCs w:val="16"/>
        </w:rPr>
        <w:footnoteRef/>
      </w:r>
      <w:r w:rsidRPr="00F44270">
        <w:rPr>
          <w:rFonts w:ascii="Century Gothic" w:hAnsi="Century Gothic" w:cs="Arial"/>
          <w:sz w:val="16"/>
          <w:szCs w:val="16"/>
        </w:rPr>
        <w:t xml:space="preserve"> </w:t>
      </w:r>
      <w:r w:rsidRPr="00F44270">
        <w:rPr>
          <w:rFonts w:ascii="Century Gothic" w:hAnsi="Century Gothic" w:cs="Arial"/>
          <w:sz w:val="16"/>
          <w:szCs w:val="16"/>
          <w:shd w:val="clear" w:color="auto" w:fill="FFFFFF"/>
        </w:rPr>
        <w:t>Para la jurisprudencia, “</w:t>
      </w:r>
      <w:r w:rsidRPr="00F44270">
        <w:rPr>
          <w:rFonts w:ascii="Century Gothic" w:hAnsi="Century Gothic" w:cs="Arial"/>
          <w:sz w:val="16"/>
          <w:szCs w:val="16"/>
        </w:rPr>
        <w:t>El consorcio es una figura propia del derecho privado, utilizado ordinariamente como un instrumento de cooperación entre empresas, cuando requieren asumir una tarea económica particularmente importante, que les permita distribuirse de algún modo los riesgos que pueda implicar la actividad que se acomete, aunar recursos financieros y tecnológicos, y mejorar la disponibilidad de equipos, según el caso, pero conservando los consorciados su independencia jurídica</w:t>
      </w:r>
      <w:r w:rsidRPr="00F44270">
        <w:rPr>
          <w:rFonts w:ascii="Century Gothic" w:hAnsi="Century Gothic" w:cs="Arial"/>
          <w:color w:val="000000" w:themeColor="text1"/>
          <w:sz w:val="16"/>
          <w:szCs w:val="16"/>
          <w:shd w:val="clear" w:color="auto" w:fill="FFFFFF"/>
        </w:rPr>
        <w:t>”</w:t>
      </w:r>
      <w:r w:rsidRPr="00F44270">
        <w:rPr>
          <w:rFonts w:ascii="Century Gothic" w:hAnsi="Century Gothic" w:cs="Arial"/>
          <w:sz w:val="16"/>
          <w:szCs w:val="16"/>
        </w:rPr>
        <w:t xml:space="preserve"> (CORTE CONSTITUCIONAL. Sentencia C-414 de 1994. M.P. Antonio Barrera</w:t>
      </w:r>
      <w:r w:rsidRPr="00F44270">
        <w:rPr>
          <w:rFonts w:ascii="Century Gothic" w:hAnsi="Century Gothic" w:cs="Arial"/>
          <w:spacing w:val="-2"/>
          <w:sz w:val="16"/>
          <w:szCs w:val="16"/>
        </w:rPr>
        <w:t xml:space="preserve"> </w:t>
      </w:r>
      <w:r w:rsidRPr="00F44270">
        <w:rPr>
          <w:rFonts w:ascii="Century Gothic" w:hAnsi="Century Gothic" w:cs="Arial"/>
          <w:sz w:val="16"/>
          <w:szCs w:val="16"/>
        </w:rPr>
        <w:t>Carbonell).</w:t>
      </w:r>
    </w:p>
  </w:footnote>
  <w:footnote w:id="5">
    <w:p w14:paraId="4D2EF01A" w14:textId="77777777" w:rsidR="008A30D4" w:rsidRPr="00F44270" w:rsidRDefault="008A30D4" w:rsidP="008A30D4">
      <w:pPr>
        <w:pStyle w:val="Textoindependiente"/>
        <w:ind w:firstLine="709"/>
        <w:jc w:val="both"/>
        <w:rPr>
          <w:rFonts w:ascii="Century Gothic" w:hAnsi="Century Gothic"/>
          <w:sz w:val="16"/>
          <w:szCs w:val="16"/>
          <w:lang w:val="es-CO"/>
        </w:rPr>
      </w:pPr>
      <w:r w:rsidRPr="00F44270">
        <w:rPr>
          <w:rStyle w:val="Refdenotaalpie"/>
          <w:rFonts w:ascii="Century Gothic" w:hAnsi="Century Gothic"/>
          <w:sz w:val="16"/>
          <w:szCs w:val="16"/>
        </w:rPr>
        <w:footnoteRef/>
      </w:r>
      <w:r w:rsidRPr="00F44270">
        <w:rPr>
          <w:rFonts w:ascii="Century Gothic" w:hAnsi="Century Gothic"/>
          <w:sz w:val="16"/>
          <w:szCs w:val="16"/>
        </w:rPr>
        <w:t xml:space="preserve"> </w:t>
      </w:r>
      <w:r w:rsidRPr="00F44270">
        <w:rPr>
          <w:rFonts w:ascii="Century Gothic" w:hAnsi="Century Gothic"/>
          <w:sz w:val="16"/>
          <w:szCs w:val="16"/>
          <w:shd w:val="clear" w:color="auto" w:fill="FFFFFF"/>
          <w:lang w:val="es-CO"/>
        </w:rPr>
        <w:t>Para estos efectos, “</w:t>
      </w:r>
      <w:r w:rsidRPr="00F44270">
        <w:rPr>
          <w:rFonts w:ascii="Century Gothic" w:hAnsi="Century Gothic"/>
          <w:sz w:val="16"/>
          <w:szCs w:val="16"/>
          <w:lang w:val="es-CO"/>
        </w:rPr>
        <w:t>En torno a la capacidad contractual de los consorcios y uniones temporales la jurisprudencia constitucional ha expresado que el Estatuto de contratación les reconoce este atributo sin exigirles como condición de su ejercicio la de ser personas morales. También ha dicho que el consorcio es un convenio de asociación, o mejor, un sistema de mediación que permite a sus miembros organizarse mancomunadamente para la celebración y ejecución de un contrato con el Estado, sin que por ello pierdan su individualidad jurídica, pero asumiendo un grado de responsabilidad solidaria en el cumplimiento de las obligaciones</w:t>
      </w:r>
      <w:r w:rsidRPr="00F44270">
        <w:rPr>
          <w:rFonts w:ascii="Century Gothic" w:hAnsi="Century Gothic"/>
          <w:spacing w:val="-2"/>
          <w:sz w:val="16"/>
          <w:szCs w:val="16"/>
          <w:lang w:val="es-CO"/>
        </w:rPr>
        <w:t xml:space="preserve"> </w:t>
      </w:r>
      <w:r w:rsidRPr="00F44270">
        <w:rPr>
          <w:rFonts w:ascii="Century Gothic" w:hAnsi="Century Gothic"/>
          <w:sz w:val="16"/>
          <w:szCs w:val="16"/>
          <w:lang w:val="es-CO"/>
        </w:rPr>
        <w:t>contractuales.</w:t>
      </w:r>
    </w:p>
    <w:p w14:paraId="1CBDEFA9" w14:textId="77777777" w:rsidR="008A30D4" w:rsidRPr="00F44270" w:rsidRDefault="008A30D4" w:rsidP="008A30D4">
      <w:pPr>
        <w:pStyle w:val="Textoindependiente"/>
        <w:spacing w:before="3"/>
        <w:ind w:left="709" w:right="709"/>
        <w:rPr>
          <w:rFonts w:ascii="Century Gothic" w:hAnsi="Century Gothic"/>
          <w:sz w:val="16"/>
          <w:szCs w:val="16"/>
          <w:lang w:val="es-CO"/>
        </w:rPr>
      </w:pPr>
      <w:r w:rsidRPr="00F44270">
        <w:rPr>
          <w:rFonts w:ascii="Century Gothic" w:hAnsi="Century Gothic"/>
          <w:sz w:val="16"/>
          <w:szCs w:val="16"/>
          <w:lang w:val="es-CO"/>
        </w:rPr>
        <w:t>[…]</w:t>
      </w:r>
    </w:p>
    <w:p w14:paraId="3D9FF48C" w14:textId="77777777" w:rsidR="008A30D4" w:rsidRPr="00F44270" w:rsidRDefault="008A30D4" w:rsidP="008A30D4">
      <w:pPr>
        <w:pStyle w:val="Textoindependiente"/>
        <w:ind w:firstLine="709"/>
        <w:jc w:val="both"/>
        <w:rPr>
          <w:rFonts w:ascii="Century Gothic" w:hAnsi="Century Gothic"/>
          <w:sz w:val="16"/>
          <w:szCs w:val="16"/>
          <w:lang w:val="es-CO"/>
        </w:rPr>
      </w:pPr>
      <w:r w:rsidRPr="00F44270">
        <w:rPr>
          <w:rFonts w:ascii="Century Gothic" w:hAnsi="Century Gothic"/>
          <w:sz w:val="16"/>
          <w:szCs w:val="16"/>
          <w:lang w:val="es-CO"/>
        </w:rPr>
        <w:t>Cabe apreciar que la única diferencia entre las dos figuras radica en que en la unión temporal la imposición de sanciones por incumplimiento de las obligaciones derivadas de la propuesta o del contrato, se individualiza en cabeza de los integrantes de aquélla, según el grado de participación de cada uno de ellos en la ejecución de tales obligaciones, mientras que en el consorcio no se da dicha individualización y responderán por tanto solidariamente todos los miembros del consorcio frente a las correspondientes sanciones.</w:t>
      </w:r>
    </w:p>
    <w:p w14:paraId="3C7563A5" w14:textId="77777777" w:rsidR="008A30D4" w:rsidRPr="00F44270" w:rsidRDefault="008A30D4" w:rsidP="008A30D4">
      <w:pPr>
        <w:pStyle w:val="Textoindependiente"/>
        <w:spacing w:before="2"/>
        <w:ind w:left="709" w:right="709"/>
        <w:rPr>
          <w:rFonts w:ascii="Century Gothic" w:hAnsi="Century Gothic"/>
          <w:sz w:val="16"/>
          <w:szCs w:val="16"/>
          <w:lang w:val="es-CO"/>
        </w:rPr>
      </w:pPr>
      <w:r w:rsidRPr="00F44270">
        <w:rPr>
          <w:rFonts w:ascii="Century Gothic" w:hAnsi="Century Gothic"/>
          <w:sz w:val="16"/>
          <w:szCs w:val="16"/>
          <w:lang w:val="es-CO"/>
        </w:rPr>
        <w:t>[…]</w:t>
      </w:r>
    </w:p>
    <w:p w14:paraId="7E7C8109" w14:textId="77777777" w:rsidR="008A30D4" w:rsidRPr="00F44270" w:rsidRDefault="008A30D4" w:rsidP="008A30D4">
      <w:pPr>
        <w:pStyle w:val="Textonotapie"/>
        <w:ind w:firstLine="709"/>
        <w:jc w:val="both"/>
        <w:rPr>
          <w:rFonts w:ascii="Century Gothic" w:hAnsi="Century Gothic" w:cs="Arial"/>
          <w:sz w:val="16"/>
          <w:szCs w:val="16"/>
        </w:rPr>
      </w:pPr>
      <w:r w:rsidRPr="00F44270">
        <w:rPr>
          <w:rFonts w:ascii="Century Gothic" w:hAnsi="Century Gothic" w:cs="Arial"/>
          <w:sz w:val="16"/>
          <w:szCs w:val="16"/>
          <w:lang w:val="es-CO"/>
        </w:rPr>
        <w:t xml:space="preserve">La Ley 80 de 1993, al crear las figuras de los consorcios y uniones temporales y constituirlas como sujetos de la contratación administrativa, reconoce una realidad del mundo negocial que son los denominados </w:t>
      </w:r>
      <w:r w:rsidRPr="00F44270">
        <w:rPr>
          <w:rFonts w:ascii="Century Gothic" w:hAnsi="Century Gothic" w:cs="Arial"/>
          <w:sz w:val="16"/>
          <w:szCs w:val="16"/>
          <w:shd w:val="clear" w:color="auto" w:fill="FFFFFF"/>
          <w:lang w:val="es-CO"/>
        </w:rPr>
        <w:t>«</w:t>
      </w:r>
      <w:r w:rsidRPr="00F44270">
        <w:rPr>
          <w:rFonts w:ascii="Century Gothic" w:hAnsi="Century Gothic" w:cs="Arial"/>
          <w:sz w:val="16"/>
          <w:szCs w:val="16"/>
          <w:lang w:val="es-CO"/>
        </w:rPr>
        <w:t>contratos de colaboración económica</w:t>
      </w:r>
      <w:r w:rsidRPr="00F44270">
        <w:rPr>
          <w:rFonts w:ascii="Century Gothic" w:hAnsi="Century Gothic" w:cs="Arial"/>
          <w:sz w:val="16"/>
          <w:szCs w:val="16"/>
          <w:shd w:val="clear" w:color="auto" w:fill="FFFFFF"/>
          <w:lang w:val="es-CO"/>
        </w:rPr>
        <w:t>»</w:t>
      </w:r>
      <w:r w:rsidRPr="00F44270">
        <w:rPr>
          <w:rFonts w:ascii="Century Gothic" w:hAnsi="Century Gothic" w:cs="Arial"/>
          <w:sz w:val="16"/>
          <w:szCs w:val="16"/>
          <w:lang w:val="es-CO"/>
        </w:rPr>
        <w:t>, que en la hora actual se celebran para la efectiva realización de proyectos de contratación pública altamente especializados e intensivos en capital y así mismo indispensables para que el Estado Social de Derecho, cumpla los cometidos para los cuales fue instituido [Preámbulo y artículos 1 y 2</w:t>
      </w:r>
      <w:r w:rsidRPr="00F44270">
        <w:rPr>
          <w:rFonts w:ascii="Century Gothic" w:hAnsi="Century Gothic" w:cs="Arial"/>
          <w:spacing w:val="-7"/>
          <w:sz w:val="16"/>
          <w:szCs w:val="16"/>
          <w:lang w:val="es-CO"/>
        </w:rPr>
        <w:t xml:space="preserve"> </w:t>
      </w:r>
      <w:r w:rsidRPr="00F44270">
        <w:rPr>
          <w:rFonts w:ascii="Century Gothic" w:hAnsi="Century Gothic" w:cs="Arial"/>
          <w:sz w:val="16"/>
          <w:szCs w:val="16"/>
          <w:lang w:val="es-CO"/>
        </w:rPr>
        <w:t>Superiores]</w:t>
      </w:r>
      <w:r w:rsidRPr="00F44270">
        <w:rPr>
          <w:rFonts w:ascii="Century Gothic" w:hAnsi="Century Gothic" w:cs="Arial"/>
          <w:sz w:val="16"/>
          <w:szCs w:val="16"/>
          <w:shd w:val="clear" w:color="auto" w:fill="FFFFFF"/>
          <w:lang w:val="es-CO"/>
        </w:rPr>
        <w:t xml:space="preserve">” </w:t>
      </w:r>
      <w:r w:rsidRPr="00F44270">
        <w:rPr>
          <w:rFonts w:ascii="Century Gothic" w:hAnsi="Century Gothic" w:cs="Arial"/>
          <w:sz w:val="16"/>
          <w:szCs w:val="16"/>
        </w:rPr>
        <w:t>(CORTE CONSTITUCIONAL. Sentencia C-949 de 2001. M.P. Clara Inés Vargas Hernández).</w:t>
      </w:r>
    </w:p>
  </w:footnote>
  <w:footnote w:id="6">
    <w:p w14:paraId="096F3D25" w14:textId="77777777" w:rsidR="008A30D4" w:rsidRPr="00F44270" w:rsidRDefault="008A30D4" w:rsidP="008A30D4">
      <w:pPr>
        <w:spacing w:after="0"/>
        <w:ind w:firstLine="709"/>
        <w:jc w:val="both"/>
        <w:rPr>
          <w:rFonts w:ascii="Century Gothic" w:hAnsi="Century Gothic" w:cs="Arial"/>
          <w:sz w:val="16"/>
          <w:szCs w:val="16"/>
        </w:rPr>
      </w:pPr>
      <w:r w:rsidRPr="00F44270">
        <w:rPr>
          <w:rStyle w:val="Refdenotaalpie"/>
          <w:rFonts w:ascii="Century Gothic" w:hAnsi="Century Gothic" w:cs="Arial"/>
          <w:sz w:val="16"/>
          <w:szCs w:val="16"/>
        </w:rPr>
        <w:footnoteRef/>
      </w:r>
      <w:r w:rsidRPr="00F44270">
        <w:rPr>
          <w:rFonts w:ascii="Century Gothic" w:hAnsi="Century Gothic" w:cs="Arial"/>
          <w:sz w:val="16"/>
          <w:szCs w:val="16"/>
        </w:rPr>
        <w:t xml:space="preserve"> LAFONT PIANETTA, Pedro. Manual de contratos. Tomo I. Bogotá: Ediciones Librería del Profesional, 2001. p. 508.</w:t>
      </w:r>
    </w:p>
  </w:footnote>
  <w:footnote w:id="7">
    <w:p w14:paraId="0B89661F" w14:textId="77777777" w:rsidR="008A30D4" w:rsidRPr="00F44270" w:rsidRDefault="008A30D4" w:rsidP="008A30D4">
      <w:pPr>
        <w:spacing w:after="0"/>
        <w:ind w:firstLine="709"/>
        <w:jc w:val="both"/>
        <w:rPr>
          <w:rFonts w:ascii="Century Gothic" w:hAnsi="Century Gothic" w:cs="Arial"/>
          <w:sz w:val="16"/>
          <w:szCs w:val="16"/>
        </w:rPr>
      </w:pPr>
      <w:r w:rsidRPr="00F44270">
        <w:rPr>
          <w:rStyle w:val="Refdenotaalpie"/>
          <w:rFonts w:ascii="Century Gothic" w:hAnsi="Century Gothic" w:cs="Arial"/>
          <w:sz w:val="16"/>
          <w:szCs w:val="16"/>
        </w:rPr>
        <w:footnoteRef/>
      </w:r>
      <w:r w:rsidRPr="00F44270">
        <w:rPr>
          <w:rFonts w:ascii="Century Gothic" w:hAnsi="Century Gothic" w:cs="Arial"/>
          <w:sz w:val="16"/>
          <w:szCs w:val="16"/>
        </w:rPr>
        <w:t xml:space="preserve"> Al respecto, la jurisprudencia explica lo siguiente: </w:t>
      </w:r>
      <w:r w:rsidRPr="00F44270">
        <w:rPr>
          <w:rFonts w:ascii="Century Gothic" w:hAnsi="Century Gothic" w:cs="Arial"/>
          <w:sz w:val="16"/>
          <w:szCs w:val="16"/>
          <w:shd w:val="clear" w:color="auto" w:fill="FFFFFF"/>
        </w:rPr>
        <w:t>“</w:t>
      </w:r>
      <w:r w:rsidRPr="00F44270">
        <w:rPr>
          <w:rFonts w:ascii="Century Gothic" w:hAnsi="Century Gothic" w:cs="Arial"/>
          <w:sz w:val="16"/>
          <w:szCs w:val="16"/>
        </w:rPr>
        <w:t>A juicio de la Sala, en esta ocasión debe retomarse el asunto para efectos de modificar la tesis jurisprudencial que se ha venido siguiendo y, por tanto, debe puntualizarse que si bien las uniones temporales y los consorcios no constituyen personas jurídicas distintas de quienes integran la respectiva figura plural de oferentes o de contratistas, lo cierto es que además de contar con la aptitud para ser parte en el correspondiente procedimiento administrativo de selección de contratistas –comoquiera que por ley cuentan con capacidad suficiente para ser titulares de los derechos y obligaciones derivadas tanto de los procedimientos administrativos de selección contractual como de los propios contratos estatales</w:t>
      </w:r>
      <w:r w:rsidRPr="00F44270">
        <w:rPr>
          <w:rFonts w:ascii="Century Gothic" w:hAnsi="Century Gothic" w:cs="Arial"/>
          <w:b/>
          <w:bCs/>
          <w:sz w:val="16"/>
          <w:szCs w:val="16"/>
        </w:rPr>
        <w:t>–</w:t>
      </w:r>
      <w:r w:rsidRPr="00F44270">
        <w:rPr>
          <w:rFonts w:ascii="Century Gothic" w:hAnsi="Century Gothic" w:cs="Arial"/>
          <w:sz w:val="16"/>
          <w:szCs w:val="16"/>
        </w:rPr>
        <w:t>, también se encuentran facultados para concurrir a los procesos judiciales que pudieren tener origen en controversias surgidas del mencionado procedimiento administrativo de selección de contratistas o de la celebración y ejecución del contrato estatal respectivo –</w:t>
      </w:r>
      <w:r w:rsidRPr="00F44270">
        <w:rPr>
          <w:rFonts w:ascii="Century Gothic" w:hAnsi="Century Gothic" w:cs="Arial"/>
          <w:i/>
          <w:sz w:val="16"/>
          <w:szCs w:val="16"/>
        </w:rPr>
        <w:t>legitimatio ad processum</w:t>
      </w:r>
      <w:r w:rsidRPr="00F44270">
        <w:rPr>
          <w:rFonts w:ascii="Century Gothic" w:hAnsi="Century Gothic" w:cs="Arial"/>
          <w:sz w:val="16"/>
          <w:szCs w:val="16"/>
        </w:rPr>
        <w:t>-, por intermedio de su</w:t>
      </w:r>
      <w:r w:rsidRPr="00F44270">
        <w:rPr>
          <w:rFonts w:ascii="Century Gothic" w:hAnsi="Century Gothic" w:cs="Arial"/>
          <w:spacing w:val="-8"/>
          <w:sz w:val="16"/>
          <w:szCs w:val="16"/>
        </w:rPr>
        <w:t xml:space="preserve"> </w:t>
      </w:r>
      <w:r w:rsidRPr="00F44270">
        <w:rPr>
          <w:rFonts w:ascii="Century Gothic" w:hAnsi="Century Gothic" w:cs="Arial"/>
          <w:sz w:val="16"/>
          <w:szCs w:val="16"/>
        </w:rPr>
        <w:t xml:space="preserve">representante” (CONSEJO DE ESTADO. Sección Tercera. Sala Plena. Sentencia de Unificación del 25 de septiembre de 2013. Rad. 19.933. C.P. Mauricio Fajardo Gómez). </w:t>
      </w:r>
    </w:p>
  </w:footnote>
  <w:footnote w:id="8">
    <w:p w14:paraId="311F7726" w14:textId="77777777" w:rsidR="008A30D4" w:rsidRPr="00F44270" w:rsidRDefault="008A30D4" w:rsidP="008A30D4">
      <w:pPr>
        <w:pStyle w:val="Textonotapie"/>
        <w:ind w:firstLine="708"/>
        <w:jc w:val="both"/>
        <w:rPr>
          <w:rFonts w:ascii="Century Gothic" w:hAnsi="Century Gothic" w:cs="Arial"/>
          <w:sz w:val="16"/>
          <w:szCs w:val="16"/>
        </w:rPr>
      </w:pPr>
      <w:r w:rsidRPr="00F44270">
        <w:rPr>
          <w:rStyle w:val="Refdenotaalpie"/>
          <w:rFonts w:ascii="Century Gothic" w:hAnsi="Century Gothic" w:cs="Arial"/>
          <w:sz w:val="16"/>
          <w:szCs w:val="16"/>
        </w:rPr>
        <w:footnoteRef/>
      </w:r>
      <w:r w:rsidRPr="00F44270">
        <w:rPr>
          <w:rFonts w:ascii="Century Gothic" w:hAnsi="Century Gothic" w:cs="Arial"/>
          <w:sz w:val="16"/>
          <w:szCs w:val="16"/>
        </w:rPr>
        <w:t xml:space="preserve"> COMADIRA, Julio Rodolfo. La licitación pública como procedimiento administrativo especial: protección jurídica al oferente. En: El procedimiento administrativo y el control judicial de la administración pública. Madrid: Instituto Nacional de Administración Pública, 2001. pp. 305-307.</w:t>
      </w:r>
    </w:p>
  </w:footnote>
  <w:footnote w:id="9">
    <w:p w14:paraId="1F2AB603" w14:textId="77777777" w:rsidR="008A30D4" w:rsidRPr="00F44270" w:rsidRDefault="008A30D4" w:rsidP="008A30D4">
      <w:pPr>
        <w:pStyle w:val="Textonotapie"/>
        <w:ind w:firstLine="708"/>
        <w:jc w:val="both"/>
        <w:rPr>
          <w:rFonts w:ascii="Century Gothic" w:hAnsi="Century Gothic" w:cs="Arial"/>
          <w:sz w:val="16"/>
          <w:szCs w:val="16"/>
        </w:rPr>
      </w:pPr>
      <w:r w:rsidRPr="00F44270">
        <w:rPr>
          <w:rStyle w:val="Refdenotaalpie"/>
          <w:rFonts w:ascii="Century Gothic" w:hAnsi="Century Gothic" w:cs="Arial"/>
          <w:sz w:val="16"/>
          <w:szCs w:val="16"/>
        </w:rPr>
        <w:footnoteRef/>
      </w:r>
      <w:r w:rsidRPr="00F44270">
        <w:rPr>
          <w:rFonts w:ascii="Century Gothic" w:hAnsi="Century Gothic" w:cs="Arial"/>
          <w:sz w:val="16"/>
          <w:szCs w:val="16"/>
        </w:rPr>
        <w:t xml:space="preserve"> Cfr. DROMI, Roberto. La licitación pública. Buenos Aires: Ciudad Argentina, 1980. p. 134. Para ESCOBAR GIL, “La finalidad del principio es doble: en primer término, asegura a los asociados la igualdad de oportunidades promoviendo la participación del mayor número de oferentes, y en segundo lugar, facilitar la selección de quien presente la propuesta más favorable en beneficio del interés público […].</w:t>
      </w:r>
    </w:p>
    <w:p w14:paraId="44955653" w14:textId="77777777" w:rsidR="008A30D4" w:rsidRPr="00F44270" w:rsidRDefault="008A30D4" w:rsidP="008A30D4">
      <w:pPr>
        <w:pStyle w:val="Textonotapie"/>
        <w:ind w:firstLine="708"/>
        <w:jc w:val="both"/>
        <w:rPr>
          <w:rFonts w:ascii="Century Gothic" w:hAnsi="Century Gothic" w:cs="Arial"/>
          <w:sz w:val="16"/>
          <w:szCs w:val="16"/>
        </w:rPr>
      </w:pPr>
      <w:r w:rsidRPr="00F44270">
        <w:rPr>
          <w:rFonts w:ascii="Century Gothic" w:hAnsi="Century Gothic" w:cs="Arial"/>
          <w:sz w:val="16"/>
          <w:szCs w:val="16"/>
        </w:rPr>
        <w:t>[…]</w:t>
      </w:r>
    </w:p>
    <w:p w14:paraId="301D81B3" w14:textId="77777777" w:rsidR="008A30D4" w:rsidRPr="00F44270" w:rsidRDefault="008A30D4" w:rsidP="008A30D4">
      <w:pPr>
        <w:pStyle w:val="Textonotapie"/>
        <w:ind w:firstLine="708"/>
        <w:jc w:val="both"/>
        <w:rPr>
          <w:rFonts w:ascii="Century Gothic" w:hAnsi="Century Gothic" w:cs="Arial"/>
          <w:sz w:val="16"/>
          <w:szCs w:val="16"/>
        </w:rPr>
      </w:pPr>
      <w:r w:rsidRPr="00F44270">
        <w:rPr>
          <w:rFonts w:ascii="Century Gothic" w:hAnsi="Century Gothic" w:cs="Arial"/>
          <w:sz w:val="16"/>
          <w:szCs w:val="16"/>
        </w:rPr>
        <w:t xml:space="preserve">Así mismo, repugna al principio de libertad de concurrencia, la fijación por parte de la Administración Pública de obstáculos y trabas a la participación de los proponentes […]” (Cfr. ESCOBAR GIL, Rodrigo. Teoría general de los contratos de la Administración Pública. Bogotá: Legis, 2000. pp. 154-155).   </w:t>
      </w:r>
    </w:p>
  </w:footnote>
  <w:footnote w:id="10">
    <w:p w14:paraId="770577CE" w14:textId="77777777" w:rsidR="008A30D4" w:rsidRPr="00F44270" w:rsidRDefault="008A30D4" w:rsidP="008A30D4">
      <w:pPr>
        <w:pStyle w:val="Textonotapie"/>
        <w:ind w:firstLine="708"/>
        <w:jc w:val="both"/>
        <w:rPr>
          <w:rFonts w:ascii="Century Gothic" w:hAnsi="Century Gothic" w:cs="Arial"/>
          <w:sz w:val="16"/>
          <w:szCs w:val="16"/>
        </w:rPr>
      </w:pPr>
      <w:r w:rsidRPr="00F44270">
        <w:rPr>
          <w:rStyle w:val="Refdenotaalpie"/>
          <w:rFonts w:ascii="Century Gothic" w:hAnsi="Century Gothic" w:cs="Arial"/>
          <w:sz w:val="16"/>
          <w:szCs w:val="16"/>
        </w:rPr>
        <w:footnoteRef/>
      </w:r>
      <w:r w:rsidRPr="00F44270">
        <w:rPr>
          <w:rFonts w:ascii="Century Gothic" w:hAnsi="Century Gothic" w:cs="Arial"/>
          <w:sz w:val="16"/>
          <w:szCs w:val="16"/>
        </w:rPr>
        <w:t xml:space="preserve"> Cfr. RAZQUIN LIZARRAGA, Martín María. Los principios generales de la contratación pública. En: Tratado de los contratos del sector público. Tomo I. Valencia: Tirant lo Blanch, 2018. p. 194 y 210.</w:t>
      </w:r>
    </w:p>
  </w:footnote>
  <w:footnote w:id="11">
    <w:p w14:paraId="27D21A7D" w14:textId="77777777" w:rsidR="008A30D4" w:rsidRPr="00F44270" w:rsidRDefault="008A30D4" w:rsidP="008A30D4">
      <w:pPr>
        <w:pStyle w:val="Textonotapie"/>
        <w:ind w:firstLine="708"/>
        <w:jc w:val="both"/>
        <w:rPr>
          <w:rFonts w:ascii="Century Gothic" w:hAnsi="Century Gothic" w:cs="Arial"/>
          <w:sz w:val="16"/>
          <w:szCs w:val="16"/>
        </w:rPr>
      </w:pPr>
      <w:r w:rsidRPr="00F44270">
        <w:rPr>
          <w:rStyle w:val="Refdenotaalpie"/>
          <w:rFonts w:ascii="Century Gothic" w:hAnsi="Century Gothic" w:cs="Arial"/>
          <w:sz w:val="16"/>
          <w:szCs w:val="16"/>
        </w:rPr>
        <w:footnoteRef/>
      </w:r>
      <w:r w:rsidRPr="00F44270">
        <w:rPr>
          <w:rFonts w:ascii="Century Gothic" w:hAnsi="Century Gothic" w:cs="Arial"/>
          <w:sz w:val="16"/>
          <w:szCs w:val="16"/>
        </w:rPr>
        <w:t xml:space="preserve"> Respecto a los factores de evaluación, PALACIO HINCAPIÉ considera que “No puede incluirse como factor de escogencia el hecho de que el proponente resida en el domicilio de la entidad contratante, pues ello viola la igualdad de los oferentes; […] tampoco ser nacional o pertenecer a la industria nacional, pues no hay esa protección […]” (PALACIO HINCAPIÉ, Juan Ángel. La contratación de las entidades estatales. Octava edición. Medellín: Librería Jurídica Sánchez R. SAS, 2020. pp. 251-252). Por su parte, GONZÁLEZ LÓPEZ estima que “[…] sería violatorio del principio de igualdad el establecer criterios de ponderación superiores respecto de su origen local y departamental” (p. GONZÁLEZ LÓPEZ, Edgar. El pliego de condiciones en la contratación estatal: la reforma consagrada en la Ley 1150 de 2007 y sus decretos reglamentarios. Bogotá: Universidad Externado de Colombia, 2012. p. 120).</w:t>
      </w:r>
    </w:p>
    <w:p w14:paraId="424F029B" w14:textId="77777777" w:rsidR="008A30D4" w:rsidRPr="00F44270" w:rsidRDefault="008A30D4" w:rsidP="008A30D4">
      <w:pPr>
        <w:pStyle w:val="Textonotapie"/>
        <w:ind w:firstLine="708"/>
        <w:jc w:val="both"/>
        <w:rPr>
          <w:rFonts w:ascii="Century Gothic" w:hAnsi="Century Gothic" w:cs="Arial"/>
          <w:sz w:val="16"/>
          <w:szCs w:val="16"/>
        </w:rPr>
      </w:pPr>
      <w:r w:rsidRPr="00F44270">
        <w:rPr>
          <w:rFonts w:ascii="Century Gothic" w:hAnsi="Century Gothic" w:cs="Arial"/>
          <w:sz w:val="16"/>
          <w:szCs w:val="16"/>
        </w:rPr>
        <w:t>Por ello, el Concepto 2201913000006511 del 3 de septiembre de 2019 menciona los siguiente: “[…] si la jurisprudencia proscribió fijar este criterio como factor de evaluación, con más razón se debe prohibir como requisito habilitante, porque ellos verifican la aptitud del proponente para presentarse a un proceso de contratación y esta exigencia no determina la aptitud del proponente para ejecutar el contrato. En este sentido, las entidades estatales no deben establecer como requisito habilitante la exigencia que el proponente resida en el lugar donde se ejecutará el contrato”.</w:t>
      </w:r>
    </w:p>
  </w:footnote>
  <w:footnote w:id="12">
    <w:p w14:paraId="6C23BBF0" w14:textId="77777777" w:rsidR="008A30D4" w:rsidRPr="00F44270" w:rsidRDefault="008A30D4" w:rsidP="008A30D4">
      <w:pPr>
        <w:pStyle w:val="Textonotapie"/>
        <w:ind w:firstLine="708"/>
        <w:jc w:val="both"/>
        <w:rPr>
          <w:rFonts w:ascii="Century Gothic" w:hAnsi="Century Gothic" w:cs="Arial"/>
          <w:sz w:val="16"/>
          <w:szCs w:val="16"/>
        </w:rPr>
      </w:pPr>
      <w:r w:rsidRPr="00F44270">
        <w:rPr>
          <w:rStyle w:val="Refdenotaalpie"/>
          <w:rFonts w:ascii="Century Gothic" w:hAnsi="Century Gothic" w:cs="Arial"/>
          <w:sz w:val="16"/>
          <w:szCs w:val="16"/>
        </w:rPr>
        <w:footnoteRef/>
      </w:r>
      <w:r w:rsidRPr="00F44270">
        <w:rPr>
          <w:rFonts w:ascii="Century Gothic" w:hAnsi="Century Gothic" w:cs="Arial"/>
          <w:sz w:val="16"/>
          <w:szCs w:val="16"/>
        </w:rPr>
        <w:t xml:space="preserve"> Excepcionalmente, algunas normas acotan ámbitos territoriales para la ejecución negocio jurídico. Por ejemplo, el inciso primero del artículo 95 de la Ley 2166 del 2021 dispone que “Se autoriza a los entes territoriales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 Esta norma debe concordarse con el artículo 9 </w:t>
      </w:r>
      <w:r w:rsidRPr="00F44270">
        <w:rPr>
          <w:rFonts w:ascii="Century Gothic" w:hAnsi="Century Gothic" w:cs="Arial"/>
          <w:i/>
          <w:iCs/>
          <w:sz w:val="16"/>
          <w:szCs w:val="16"/>
        </w:rPr>
        <w:t>ibidem</w:t>
      </w:r>
      <w:r w:rsidRPr="00F44270">
        <w:rPr>
          <w:rFonts w:ascii="Century Gothic" w:hAnsi="Century Gothic" w:cs="Arial"/>
          <w:sz w:val="16"/>
          <w:szCs w:val="16"/>
        </w:rPr>
        <w:t>, el cual dispone lo siguiente: “</w:t>
      </w:r>
      <w:r w:rsidRPr="00F44270">
        <w:rPr>
          <w:rFonts w:ascii="Century Gothic" w:hAnsi="Century Gothic" w:cs="Arial"/>
          <w:i/>
          <w:iCs/>
          <w:sz w:val="16"/>
          <w:szCs w:val="16"/>
        </w:rPr>
        <w:t>Cada organismo de acción comunal desarrollará sus actividades dentro de un territorio delimitado</w:t>
      </w:r>
      <w:r w:rsidRPr="00F44270">
        <w:rPr>
          <w:rFonts w:ascii="Century Gothic" w:hAnsi="Century Gothic" w:cs="Arial"/>
          <w:sz w:val="16"/>
          <w:szCs w:val="16"/>
        </w:rPr>
        <w:t xml:space="preserve"> […]” (Énfasis fuera de texto).</w:t>
      </w:r>
    </w:p>
    <w:p w14:paraId="31EDD8E7" w14:textId="77777777" w:rsidR="008A30D4" w:rsidRPr="00F44270" w:rsidRDefault="008A30D4" w:rsidP="008A30D4">
      <w:pPr>
        <w:pStyle w:val="Textonotapie"/>
        <w:ind w:firstLine="708"/>
        <w:jc w:val="both"/>
        <w:rPr>
          <w:rFonts w:ascii="Century Gothic" w:hAnsi="Century Gothic" w:cs="Arial"/>
          <w:sz w:val="16"/>
          <w:szCs w:val="16"/>
        </w:rPr>
      </w:pPr>
      <w:r w:rsidRPr="00F44270">
        <w:rPr>
          <w:rFonts w:ascii="Century Gothic" w:hAnsi="Century Gothic" w:cs="Arial"/>
          <w:sz w:val="16"/>
          <w:szCs w:val="16"/>
        </w:rPr>
        <w:t xml:space="preserve">Asimismo, de acuerdo con el artículo 101.1 de la Ley 2294 de 2023, a través de las Asociaciones de Iniciativa Público Popular “[…] se podrá desarrollar el diseño, construcción, renovación, reparación, mejoramiento, equipamiento, gestión, operación y mantenimiento de proyectos de infraestructura y demás actividades técnicas necesarias </w:t>
      </w:r>
      <w:r w:rsidRPr="00F44270">
        <w:rPr>
          <w:rFonts w:ascii="Century Gothic" w:hAnsi="Century Gothic" w:cs="Arial"/>
          <w:i/>
          <w:iCs/>
          <w:sz w:val="16"/>
          <w:szCs w:val="16"/>
        </w:rPr>
        <w:t>para el cumplimiento del contrato en el respectivo territorio de la respectiva comunidad</w:t>
      </w:r>
      <w:r w:rsidRPr="00F44270">
        <w:rPr>
          <w:rFonts w:ascii="Century Gothic" w:hAnsi="Century Gothic" w:cs="Arial"/>
          <w:sz w:val="16"/>
          <w:szCs w:val="16"/>
        </w:rPr>
        <w:t>” (Énfasis fuera de texto).</w:t>
      </w:r>
    </w:p>
  </w:footnote>
  <w:footnote w:id="13">
    <w:p w14:paraId="0CA6F35B" w14:textId="77777777" w:rsidR="008A30D4" w:rsidRPr="00F44270" w:rsidRDefault="008A30D4" w:rsidP="008A30D4">
      <w:pPr>
        <w:pStyle w:val="Textonotapie"/>
        <w:ind w:firstLine="708"/>
        <w:jc w:val="both"/>
        <w:rPr>
          <w:rFonts w:ascii="Century Gothic" w:hAnsi="Century Gothic" w:cs="Arial"/>
          <w:color w:val="000000" w:themeColor="text1"/>
          <w:sz w:val="16"/>
          <w:szCs w:val="16"/>
        </w:rPr>
      </w:pPr>
      <w:r w:rsidRPr="00F44270">
        <w:rPr>
          <w:rStyle w:val="Refdenotaalpie"/>
          <w:rFonts w:ascii="Century Gothic" w:hAnsi="Century Gothic" w:cs="Arial"/>
          <w:color w:val="000000" w:themeColor="text1"/>
          <w:sz w:val="16"/>
          <w:szCs w:val="16"/>
        </w:rPr>
        <w:footnoteRef/>
      </w:r>
      <w:r w:rsidRPr="00F44270">
        <w:rPr>
          <w:rFonts w:ascii="Century Gothic" w:hAnsi="Century Gothic" w:cs="Arial"/>
          <w:color w:val="000000" w:themeColor="text1"/>
          <w:sz w:val="16"/>
          <w:szCs w:val="16"/>
        </w:rPr>
        <w:t xml:space="preserve"> Esta norma prescribe que “Para que una persona se obligue a otra por un acto o declaración de voluntad, es necesario:</w:t>
      </w:r>
    </w:p>
    <w:p w14:paraId="7BD2B0F0" w14:textId="77777777" w:rsidR="008A30D4" w:rsidRPr="00F44270" w:rsidRDefault="008A30D4" w:rsidP="008A30D4">
      <w:pPr>
        <w:pStyle w:val="Textonotapie"/>
        <w:ind w:firstLine="708"/>
        <w:jc w:val="both"/>
        <w:rPr>
          <w:rFonts w:ascii="Century Gothic" w:hAnsi="Century Gothic" w:cs="Arial"/>
          <w:color w:val="000000" w:themeColor="text1"/>
          <w:sz w:val="16"/>
          <w:szCs w:val="16"/>
        </w:rPr>
      </w:pPr>
      <w:r w:rsidRPr="00F44270">
        <w:rPr>
          <w:rFonts w:ascii="Century Gothic" w:hAnsi="Century Gothic" w:cs="Arial"/>
          <w:color w:val="000000" w:themeColor="text1"/>
          <w:sz w:val="16"/>
          <w:szCs w:val="16"/>
        </w:rPr>
        <w:t>1o.) que sea legalmente capaz;</w:t>
      </w:r>
    </w:p>
    <w:p w14:paraId="5CDAE0F2" w14:textId="77777777" w:rsidR="008A30D4" w:rsidRPr="00F44270" w:rsidRDefault="008A30D4" w:rsidP="008A30D4">
      <w:pPr>
        <w:pStyle w:val="Textonotapie"/>
        <w:ind w:firstLine="708"/>
        <w:jc w:val="both"/>
        <w:rPr>
          <w:rFonts w:ascii="Century Gothic" w:hAnsi="Century Gothic" w:cs="Arial"/>
          <w:color w:val="000000" w:themeColor="text1"/>
          <w:sz w:val="16"/>
          <w:szCs w:val="16"/>
        </w:rPr>
      </w:pPr>
      <w:r w:rsidRPr="00F44270">
        <w:rPr>
          <w:rFonts w:ascii="Century Gothic" w:hAnsi="Century Gothic" w:cs="Arial"/>
          <w:color w:val="000000" w:themeColor="text1"/>
          <w:sz w:val="16"/>
          <w:szCs w:val="16"/>
        </w:rPr>
        <w:t>2o.) que consienta en dicho acto o declaración y su consentimiento no adolezca de vicio;</w:t>
      </w:r>
    </w:p>
    <w:p w14:paraId="53F48432" w14:textId="77777777" w:rsidR="008A30D4" w:rsidRPr="00F44270" w:rsidRDefault="008A30D4" w:rsidP="008A30D4">
      <w:pPr>
        <w:pStyle w:val="Textonotapie"/>
        <w:ind w:firstLine="708"/>
        <w:jc w:val="both"/>
        <w:rPr>
          <w:rFonts w:ascii="Century Gothic" w:hAnsi="Century Gothic" w:cs="Arial"/>
          <w:color w:val="000000" w:themeColor="text1"/>
          <w:sz w:val="16"/>
          <w:szCs w:val="16"/>
        </w:rPr>
      </w:pPr>
      <w:r w:rsidRPr="00F44270">
        <w:rPr>
          <w:rFonts w:ascii="Century Gothic" w:hAnsi="Century Gothic" w:cs="Arial"/>
          <w:color w:val="000000" w:themeColor="text1"/>
          <w:sz w:val="16"/>
          <w:szCs w:val="16"/>
        </w:rPr>
        <w:t>3o.) que recaiga sobre un objeto lícito;</w:t>
      </w:r>
    </w:p>
    <w:p w14:paraId="66805BA9" w14:textId="77777777" w:rsidR="008A30D4" w:rsidRPr="00F44270" w:rsidRDefault="008A30D4" w:rsidP="008A30D4">
      <w:pPr>
        <w:pStyle w:val="Textonotapie"/>
        <w:ind w:firstLine="708"/>
        <w:jc w:val="both"/>
        <w:rPr>
          <w:rFonts w:ascii="Century Gothic" w:hAnsi="Century Gothic" w:cs="Arial"/>
          <w:color w:val="000000" w:themeColor="text1"/>
          <w:sz w:val="16"/>
          <w:szCs w:val="16"/>
        </w:rPr>
      </w:pPr>
      <w:r w:rsidRPr="00F44270">
        <w:rPr>
          <w:rFonts w:ascii="Century Gothic" w:hAnsi="Century Gothic" w:cs="Arial"/>
          <w:color w:val="000000" w:themeColor="text1"/>
          <w:sz w:val="16"/>
          <w:szCs w:val="16"/>
        </w:rPr>
        <w:t>4o.) que tenga una causa lícita.</w:t>
      </w:r>
    </w:p>
    <w:p w14:paraId="65495901" w14:textId="77777777" w:rsidR="008A30D4" w:rsidRPr="00F44270" w:rsidRDefault="008A30D4" w:rsidP="008A30D4">
      <w:pPr>
        <w:pStyle w:val="Textonotapie"/>
        <w:ind w:firstLine="708"/>
        <w:jc w:val="both"/>
        <w:rPr>
          <w:rFonts w:ascii="Century Gothic" w:hAnsi="Century Gothic" w:cs="Arial"/>
          <w:color w:val="000000" w:themeColor="text1"/>
          <w:sz w:val="16"/>
          <w:szCs w:val="16"/>
        </w:rPr>
      </w:pPr>
      <w:r w:rsidRPr="00F44270">
        <w:rPr>
          <w:rFonts w:ascii="Century Gothic" w:hAnsi="Century Gothic" w:cs="Arial"/>
          <w:color w:val="000000" w:themeColor="text1"/>
          <w:sz w:val="16"/>
          <w:szCs w:val="16"/>
        </w:rPr>
        <w:t>La capacidad legal de una persona consiste en poderse obligar por sí misma, y sin el ministerio o la autorización de otra”.</w:t>
      </w:r>
    </w:p>
  </w:footnote>
  <w:footnote w:id="14">
    <w:p w14:paraId="49E869CF" w14:textId="77777777" w:rsidR="008A30D4" w:rsidRPr="00F44270" w:rsidRDefault="008A30D4" w:rsidP="008A30D4">
      <w:pPr>
        <w:pStyle w:val="Textonotapie"/>
        <w:ind w:firstLine="708"/>
        <w:jc w:val="both"/>
        <w:rPr>
          <w:rFonts w:ascii="Century Gothic" w:hAnsi="Century Gothic" w:cs="Arial"/>
          <w:sz w:val="16"/>
          <w:szCs w:val="16"/>
        </w:rPr>
      </w:pPr>
      <w:r w:rsidRPr="00F44270">
        <w:rPr>
          <w:rStyle w:val="Refdenotaalpie"/>
          <w:rFonts w:ascii="Century Gothic" w:hAnsi="Century Gothic" w:cs="Arial"/>
          <w:sz w:val="16"/>
          <w:szCs w:val="16"/>
        </w:rPr>
        <w:footnoteRef/>
      </w:r>
      <w:r w:rsidRPr="00F44270">
        <w:rPr>
          <w:rFonts w:ascii="Century Gothic" w:hAnsi="Century Gothic" w:cs="Arial"/>
          <w:sz w:val="16"/>
          <w:szCs w:val="16"/>
        </w:rPr>
        <w:t xml:space="preserve"> Para el Consejo de Estado “[…] la capacidad jurídica en la contratación estatal se integra no solamente por la capacidad de goce y la capacidad de ejercicio del proponente sino también por la ausencia de inhabilidades o incompatibilidades de su parte. En otros términos, en la actividad negocial de la administración tiene capacidad jurídica el proponente que existe, que tiene plena capacidad de ejercicio o de obrar y que no tiene inhabilidad o impedimento alguno para intervenir en el iter contractual” (CONSEJO DE ESTADO. Sección Tercera. Sentencia del 26 de enero de 2011. Rad. 36.408. C.P. Jaime Orlando Santofimio Gamboa).</w:t>
      </w:r>
    </w:p>
  </w:footnote>
  <w:footnote w:id="15">
    <w:p w14:paraId="742FF9FF" w14:textId="77777777" w:rsidR="008A30D4" w:rsidRPr="00F44270" w:rsidRDefault="008A30D4" w:rsidP="008A30D4">
      <w:pPr>
        <w:pStyle w:val="Textonotapie"/>
        <w:ind w:firstLine="709"/>
        <w:jc w:val="both"/>
        <w:rPr>
          <w:rFonts w:ascii="Century Gothic" w:hAnsi="Century Gothic" w:cs="Arial"/>
          <w:color w:val="000000" w:themeColor="text1"/>
          <w:sz w:val="16"/>
          <w:szCs w:val="16"/>
          <w:lang w:val="es-ES"/>
        </w:rPr>
      </w:pPr>
      <w:r w:rsidRPr="00F44270">
        <w:rPr>
          <w:rStyle w:val="Refdenotaalpie"/>
          <w:rFonts w:ascii="Century Gothic" w:hAnsi="Century Gothic" w:cs="Arial"/>
          <w:color w:val="000000" w:themeColor="text1"/>
          <w:sz w:val="16"/>
          <w:szCs w:val="16"/>
        </w:rPr>
        <w:footnoteRef/>
      </w:r>
      <w:r w:rsidRPr="00F44270">
        <w:rPr>
          <w:rFonts w:ascii="Century Gothic" w:hAnsi="Century Gothic" w:cs="Arial"/>
          <w:color w:val="000000" w:themeColor="text1"/>
          <w:sz w:val="16"/>
          <w:szCs w:val="16"/>
        </w:rPr>
        <w:t xml:space="preserve"> </w:t>
      </w:r>
      <w:r w:rsidRPr="00F44270">
        <w:rPr>
          <w:rFonts w:ascii="Century Gothic" w:hAnsi="Century Gothic" w:cs="Arial"/>
          <w:color w:val="000000" w:themeColor="text1"/>
          <w:sz w:val="16"/>
          <w:szCs w:val="16"/>
          <w:lang w:val="es-ES"/>
        </w:rPr>
        <w:t>El tenor del artículo 20 es el siguiente: “En los procesos de contratación estatal se concederá al proponente de bienes y servicios de origen extranjero, el mismo tratamiento y en las mismas condiciones, requisitos, procedimientos y criterios de adjudicación que el tratamiento concedido al nacional, exclusivamente bajo el principio de reciprocidad.</w:t>
      </w:r>
    </w:p>
    <w:p w14:paraId="6F9696A2" w14:textId="77777777" w:rsidR="008A30D4" w:rsidRPr="00F44270" w:rsidRDefault="008A30D4" w:rsidP="008A30D4">
      <w:pPr>
        <w:pStyle w:val="Textonotapie"/>
        <w:ind w:firstLine="709"/>
        <w:jc w:val="both"/>
        <w:rPr>
          <w:rFonts w:ascii="Century Gothic" w:hAnsi="Century Gothic" w:cs="Arial"/>
          <w:color w:val="000000" w:themeColor="text1"/>
          <w:sz w:val="16"/>
          <w:szCs w:val="16"/>
          <w:lang w:val="es-ES"/>
        </w:rPr>
      </w:pPr>
      <w:r w:rsidRPr="00F44270">
        <w:rPr>
          <w:rFonts w:ascii="Century Gothic" w:hAnsi="Century Gothic" w:cs="Arial"/>
          <w:color w:val="000000" w:themeColor="text1"/>
          <w:sz w:val="16"/>
          <w:szCs w:val="16"/>
          <w:lang w:val="es-ES"/>
        </w:rPr>
        <w:t>Se entiende por principio de reciprocidad, el compromiso adquirido por otro país, mediante acuerdo, tratado o convenio celebrado con Colombia, en el sentido de que a las ofertas de bienes y servicios colombianos se les concederá en ese país el mismo tratamiento otorgado a sus nacionales en cuanto a las condiciones, requisitos, procedimientos y criterios para la adjudicación de los contratos celebrados con el sector público.</w:t>
      </w:r>
    </w:p>
    <w:p w14:paraId="7F1DAD5F" w14:textId="77777777" w:rsidR="008A30D4" w:rsidRPr="00F44270" w:rsidRDefault="008A30D4" w:rsidP="008A30D4">
      <w:pPr>
        <w:pStyle w:val="Textonotapie"/>
        <w:ind w:firstLine="709"/>
        <w:jc w:val="both"/>
        <w:rPr>
          <w:rFonts w:ascii="Century Gothic" w:hAnsi="Century Gothic" w:cs="Arial"/>
          <w:color w:val="000000" w:themeColor="text1"/>
          <w:sz w:val="16"/>
          <w:szCs w:val="16"/>
          <w:lang w:val="es-ES"/>
        </w:rPr>
      </w:pPr>
      <w:r w:rsidRPr="00F44270">
        <w:rPr>
          <w:rFonts w:ascii="Century Gothic" w:hAnsi="Century Gothic" w:cs="Arial"/>
          <w:color w:val="000000" w:themeColor="text1"/>
          <w:sz w:val="16"/>
          <w:szCs w:val="16"/>
          <w:lang w:val="es-ES"/>
        </w:rPr>
        <w:t>PARÁGRAFO 1o. El Gobierno Nacional, en los acuerdos, tratados o convenios que celebre para estos efectos, deberá establecer todos los mecanismos necesarios para hacer cumplir el tratamiento igualitario entre el nacional y el extranjero tanto en Colombia como en el territorio del país con quien se celebre el mencionado acuerdo, convenio o tratado.</w:t>
      </w:r>
    </w:p>
    <w:p w14:paraId="309124B3" w14:textId="77777777" w:rsidR="008A30D4" w:rsidRPr="00F44270" w:rsidRDefault="008A30D4" w:rsidP="008A30D4">
      <w:pPr>
        <w:pStyle w:val="Textonotapie"/>
        <w:ind w:firstLine="709"/>
        <w:jc w:val="both"/>
        <w:rPr>
          <w:rFonts w:ascii="Century Gothic" w:hAnsi="Century Gothic" w:cs="Arial"/>
          <w:color w:val="000000" w:themeColor="text1"/>
          <w:sz w:val="16"/>
          <w:szCs w:val="16"/>
          <w:lang w:val="es-ES"/>
        </w:rPr>
      </w:pPr>
      <w:r w:rsidRPr="00F44270">
        <w:rPr>
          <w:rFonts w:ascii="Century Gothic" w:hAnsi="Century Gothic" w:cs="Arial"/>
          <w:color w:val="000000" w:themeColor="text1"/>
          <w:sz w:val="16"/>
          <w:szCs w:val="16"/>
          <w:lang w:val="es-ES"/>
        </w:rPr>
        <w:t>PARÁGRAFO 2o. Cuando para los efectos previstos en este artículo no se hubiere celebrado acuerdo, tratado o convenio, los proponentes de bienes y servicios de origen extranjero podrán participar en los procesos de contratación en las mismas condiciones y con los mismos requisitos exigidos a los nacionales colombianos, siempre y cuando en sus respectivos países los proponentes de bienes y servicios de origen colombiano gocen de iguales oportunidades. El Gobierno Nacional establecerá los mecanismos para asegurar el cumplimiento de la reciprocidad prevista en este parágrafo”.</w:t>
      </w:r>
    </w:p>
  </w:footnote>
  <w:footnote w:id="16">
    <w:p w14:paraId="4B39C55D" w14:textId="77777777" w:rsidR="008A30D4" w:rsidRPr="00F44270" w:rsidRDefault="008A30D4" w:rsidP="008A30D4">
      <w:pPr>
        <w:pStyle w:val="Textonotapie"/>
        <w:ind w:firstLine="709"/>
        <w:jc w:val="both"/>
        <w:rPr>
          <w:rFonts w:ascii="Century Gothic" w:hAnsi="Century Gothic" w:cs="Arial"/>
          <w:color w:val="000000" w:themeColor="text1"/>
          <w:sz w:val="16"/>
          <w:szCs w:val="16"/>
          <w:lang w:val="es-ES"/>
        </w:rPr>
      </w:pPr>
      <w:r w:rsidRPr="00F44270">
        <w:rPr>
          <w:rStyle w:val="Refdenotaalpie"/>
          <w:rFonts w:ascii="Century Gothic" w:hAnsi="Century Gothic" w:cs="Arial"/>
          <w:color w:val="000000" w:themeColor="text1"/>
          <w:sz w:val="16"/>
          <w:szCs w:val="16"/>
        </w:rPr>
        <w:footnoteRef/>
      </w:r>
      <w:r w:rsidRPr="00F44270">
        <w:rPr>
          <w:rFonts w:ascii="Century Gothic" w:hAnsi="Century Gothic" w:cs="Arial"/>
          <w:color w:val="000000" w:themeColor="text1"/>
          <w:sz w:val="16"/>
          <w:szCs w:val="16"/>
        </w:rPr>
        <w:t xml:space="preserve"> </w:t>
      </w:r>
      <w:r w:rsidRPr="00F44270">
        <w:rPr>
          <w:rFonts w:ascii="Century Gothic" w:hAnsi="Century Gothic" w:cs="Arial"/>
          <w:color w:val="000000" w:themeColor="text1"/>
          <w:sz w:val="16"/>
          <w:szCs w:val="16"/>
          <w:lang w:val="es-ES"/>
        </w:rPr>
        <w:t>“Artículo 2.2.1.2.4.1.3. Existencia de trato nacional. La Entidad Estatal debe conceder trato nacional a: (a) los oferentes, bienes y servicios provenientes de Estados con los cuales Colombia tenga Acuerdos Comerciales, en los términos establecidos en tales Acuerdos Comerciales; (b) a los bienes y servicios provenientes de Estados con los cuales no exista un Acuerdo Comercial pero respecto de los cuales el Gobierno Nacional haya certificado que los oferentes de Bienes y Servicios Nacionales gozan de trato nacional, con base en la revisión y comparación de la normativa en materia de compras y contratación pública de dicho Estado; y (c) a los servicios prestados por oferentes miembros de la Comunidad Andina de Naciones teniendo en cuenta la regulación andina aplicable a la materia.</w:t>
      </w:r>
    </w:p>
    <w:p w14:paraId="02554E91" w14:textId="77777777" w:rsidR="008A30D4" w:rsidRPr="00F44270" w:rsidRDefault="008A30D4" w:rsidP="008A30D4">
      <w:pPr>
        <w:pStyle w:val="Textonotapie"/>
        <w:ind w:firstLine="709"/>
        <w:jc w:val="both"/>
        <w:rPr>
          <w:rFonts w:ascii="Century Gothic" w:hAnsi="Century Gothic" w:cs="Arial"/>
          <w:color w:val="000000" w:themeColor="text1"/>
          <w:sz w:val="16"/>
          <w:szCs w:val="16"/>
          <w:lang w:val="es-ES"/>
        </w:rPr>
      </w:pPr>
      <w:r w:rsidRPr="00F44270">
        <w:rPr>
          <w:rFonts w:ascii="Century Gothic" w:hAnsi="Century Gothic" w:cs="Arial"/>
          <w:color w:val="000000" w:themeColor="text1"/>
          <w:sz w:val="16"/>
          <w:szCs w:val="16"/>
          <w:lang w:val="es-ES"/>
        </w:rPr>
        <w:t>El Ministerio de Relaciones Exteriores debe expedir el certificado por medio del cual se acredite la situación mencionada en el literal (b) anterior en relación con un Estado en particular, lo cual no es requerido para acreditar las situaciones a las que se refieren los literales (a) y (c) anteriores. Para constatar que los oferentes de Bienes y Servicios Nacionales gozan de trato nacional en un Estado, el Ministerio de Relaciones Exteriores debe revisar y comparar la normativa en materia de compras y contratación pública del respectivo Estado para lo cual puede solicitar el apoyo técnico del Ministerio de Comercio, Industria y Turismo y de Colombia Compra Eficiente, dentro de sus competencias legales.</w:t>
      </w:r>
    </w:p>
    <w:p w14:paraId="1DB3B29F" w14:textId="77777777" w:rsidR="008A30D4" w:rsidRPr="00F44270" w:rsidRDefault="008A30D4" w:rsidP="008A30D4">
      <w:pPr>
        <w:pStyle w:val="Textonotapie"/>
        <w:ind w:firstLine="709"/>
        <w:jc w:val="both"/>
        <w:rPr>
          <w:rFonts w:ascii="Century Gothic" w:hAnsi="Century Gothic" w:cs="Arial"/>
          <w:color w:val="000000" w:themeColor="text1"/>
          <w:sz w:val="16"/>
          <w:szCs w:val="16"/>
          <w:lang w:val="es-ES"/>
        </w:rPr>
      </w:pPr>
      <w:r w:rsidRPr="00F44270">
        <w:rPr>
          <w:rFonts w:ascii="Century Gothic" w:hAnsi="Century Gothic" w:cs="Arial"/>
          <w:color w:val="000000" w:themeColor="text1"/>
          <w:sz w:val="16"/>
          <w:szCs w:val="16"/>
          <w:lang w:val="es-ES"/>
        </w:rPr>
        <w:t>Los certificados para acreditar la condición a la que se refiere el literal (b) anterior deben ser publicados en la forma y oportunidad que para el efecto disponga Colombia Compra Eficiente. La vigencia de los certificados será de dos años contados a partir de la fecha de su expedición, sin perjuicio de que el Ministerio de Comercio, Industria y Turismo o Colombia Compra Eficiente soliciten al Ministerio de Relaciones Exteriores su revisión con ocasión de la expedición de nueva normativa en el Estado sobre el cual se expide el certificado. Colombia Compra Eficiente puede determinar vía circular la forma como el Ministerio de Relaciones Exteriores debe constatar que los oferentes de Bienes y Servicios Nacionales gozan de trato nacional y de revisar y comparar la normativa en materia de compras y contratación pública para la expedición del certificado”.</w:t>
      </w:r>
    </w:p>
  </w:footnote>
  <w:footnote w:id="17">
    <w:p w14:paraId="11D83C1C" w14:textId="77777777" w:rsidR="008A30D4" w:rsidRPr="00F44270" w:rsidRDefault="008A30D4" w:rsidP="008A30D4">
      <w:pPr>
        <w:tabs>
          <w:tab w:val="left" w:pos="0"/>
        </w:tabs>
        <w:spacing w:after="0"/>
        <w:ind w:firstLine="709"/>
        <w:jc w:val="both"/>
        <w:rPr>
          <w:rFonts w:ascii="Century Gothic" w:eastAsia="Calibri" w:hAnsi="Century Gothic" w:cs="Arial"/>
          <w:bCs/>
          <w:color w:val="000000" w:themeColor="text1"/>
          <w:sz w:val="16"/>
          <w:szCs w:val="16"/>
          <w:lang w:val="es-ES_tradnl"/>
        </w:rPr>
      </w:pPr>
      <w:r w:rsidRPr="00F44270">
        <w:rPr>
          <w:rStyle w:val="Refdenotaalpie"/>
          <w:rFonts w:ascii="Century Gothic" w:hAnsi="Century Gothic" w:cs="Arial"/>
          <w:color w:val="000000" w:themeColor="text1"/>
          <w:sz w:val="16"/>
          <w:szCs w:val="16"/>
        </w:rPr>
        <w:footnoteRef/>
      </w:r>
      <w:r w:rsidRPr="00F44270">
        <w:rPr>
          <w:rFonts w:ascii="Century Gothic" w:hAnsi="Century Gothic" w:cs="Arial"/>
          <w:color w:val="000000" w:themeColor="text1"/>
          <w:sz w:val="16"/>
          <w:szCs w:val="16"/>
        </w:rPr>
        <w:t xml:space="preserve"> </w:t>
      </w:r>
      <w:r w:rsidRPr="00F44270">
        <w:rPr>
          <w:rFonts w:ascii="Century Gothic" w:eastAsia="Calibri" w:hAnsi="Century Gothic" w:cs="Arial"/>
          <w:bCs/>
          <w:color w:val="000000" w:themeColor="text1"/>
          <w:sz w:val="16"/>
          <w:szCs w:val="16"/>
          <w:lang w:val="es-ES_tradnl"/>
        </w:rPr>
        <w:t>Como lo ha indicado la Corte Constitucional, “La cláusula del trato nacional es una clásica manifestación del principio de igualdad en las relaciones internacionales. Su objetivo apunta a que las mercancías que ingresan a un Estado Parte no sean sometidas a un trato discriminatorio en relación con los productos del país receptor. En otras palabras, se busca asegurar la existencia de unas reglas de competencia leal y transparente entre el producto importado y el nacional. La existencia de tales cláusulas-tipo en los tratados internacionales de integración o de inversión extranjera siempre ha sido considerada conforme con la Constitución por la Corte” (Sentencia C-608/10, M.P. Humberto Antonio Sierra Porto).</w:t>
      </w:r>
    </w:p>
  </w:footnote>
  <w:footnote w:id="18">
    <w:p w14:paraId="2F86A716" w14:textId="77777777" w:rsidR="008A30D4" w:rsidRPr="00F44270" w:rsidRDefault="008A30D4" w:rsidP="008A30D4">
      <w:pPr>
        <w:pStyle w:val="Textonotapie"/>
        <w:ind w:firstLine="709"/>
        <w:jc w:val="both"/>
        <w:rPr>
          <w:rFonts w:ascii="Century Gothic" w:hAnsi="Century Gothic" w:cs="Arial"/>
          <w:color w:val="000000" w:themeColor="text1"/>
          <w:sz w:val="16"/>
          <w:szCs w:val="16"/>
          <w:lang w:val="es-ES"/>
        </w:rPr>
      </w:pPr>
      <w:r w:rsidRPr="00F44270">
        <w:rPr>
          <w:rStyle w:val="Refdenotaalpie"/>
          <w:rFonts w:ascii="Century Gothic" w:hAnsi="Century Gothic" w:cs="Arial"/>
          <w:color w:val="000000" w:themeColor="text1"/>
          <w:sz w:val="16"/>
          <w:szCs w:val="16"/>
        </w:rPr>
        <w:footnoteRef/>
      </w:r>
      <w:r w:rsidRPr="00F44270">
        <w:rPr>
          <w:rFonts w:ascii="Century Gothic" w:hAnsi="Century Gothic" w:cs="Arial"/>
          <w:color w:val="000000" w:themeColor="text1"/>
          <w:sz w:val="16"/>
          <w:szCs w:val="16"/>
        </w:rPr>
        <w:t xml:space="preserve"> </w:t>
      </w:r>
      <w:r w:rsidRPr="00F44270">
        <w:rPr>
          <w:rFonts w:ascii="Century Gothic" w:hAnsi="Century Gothic" w:cs="Arial"/>
          <w:color w:val="000000" w:themeColor="text1"/>
          <w:sz w:val="16"/>
          <w:szCs w:val="16"/>
          <w:lang w:val="es-ES"/>
        </w:rPr>
        <w:t>Aprobado mediante Ley 1241 de 2008.</w:t>
      </w:r>
    </w:p>
  </w:footnote>
  <w:footnote w:id="19">
    <w:p w14:paraId="5BC4B136" w14:textId="77777777" w:rsidR="008A30D4" w:rsidRPr="00F44270" w:rsidRDefault="008A30D4" w:rsidP="008A30D4">
      <w:pPr>
        <w:pStyle w:val="Textonotapie"/>
        <w:ind w:firstLine="709"/>
        <w:jc w:val="both"/>
        <w:rPr>
          <w:rFonts w:ascii="Century Gothic" w:hAnsi="Century Gothic" w:cs="Arial"/>
          <w:color w:val="000000" w:themeColor="text1"/>
          <w:sz w:val="16"/>
          <w:szCs w:val="16"/>
        </w:rPr>
      </w:pPr>
      <w:r w:rsidRPr="00F44270">
        <w:rPr>
          <w:rStyle w:val="Refdenotaalpie"/>
          <w:rFonts w:ascii="Century Gothic" w:hAnsi="Century Gothic" w:cs="Arial"/>
          <w:color w:val="000000" w:themeColor="text1"/>
          <w:sz w:val="16"/>
          <w:szCs w:val="16"/>
        </w:rPr>
        <w:footnoteRef/>
      </w:r>
      <w:r w:rsidRPr="00F44270">
        <w:rPr>
          <w:rFonts w:ascii="Century Gothic" w:hAnsi="Century Gothic" w:cs="Arial"/>
          <w:color w:val="000000" w:themeColor="text1"/>
          <w:sz w:val="16"/>
          <w:szCs w:val="16"/>
        </w:rPr>
        <w:t xml:space="preserve"> Aprobado por la Ley 1143 de 2007.</w:t>
      </w:r>
    </w:p>
  </w:footnote>
  <w:footnote w:id="20">
    <w:p w14:paraId="23CF43A1" w14:textId="77777777" w:rsidR="008A30D4" w:rsidRPr="00F44270" w:rsidRDefault="008A30D4" w:rsidP="008A30D4">
      <w:pPr>
        <w:pStyle w:val="Textonotapie"/>
        <w:ind w:firstLine="709"/>
        <w:jc w:val="both"/>
        <w:rPr>
          <w:rFonts w:ascii="Century Gothic" w:hAnsi="Century Gothic" w:cs="Arial"/>
          <w:color w:val="000000" w:themeColor="text1"/>
          <w:sz w:val="16"/>
          <w:szCs w:val="16"/>
          <w:lang w:val="es-ES"/>
        </w:rPr>
      </w:pPr>
      <w:r w:rsidRPr="00F44270">
        <w:rPr>
          <w:rStyle w:val="Refdenotaalpie"/>
          <w:rFonts w:ascii="Century Gothic" w:hAnsi="Century Gothic" w:cs="Arial"/>
          <w:color w:val="000000" w:themeColor="text1"/>
          <w:sz w:val="16"/>
          <w:szCs w:val="16"/>
        </w:rPr>
        <w:footnoteRef/>
      </w:r>
      <w:r w:rsidRPr="00F44270">
        <w:rPr>
          <w:rFonts w:ascii="Century Gothic" w:hAnsi="Century Gothic" w:cs="Arial"/>
          <w:color w:val="000000" w:themeColor="text1"/>
          <w:sz w:val="16"/>
          <w:szCs w:val="16"/>
        </w:rPr>
        <w:t xml:space="preserve"> </w:t>
      </w:r>
      <w:r w:rsidRPr="00F44270">
        <w:rPr>
          <w:rFonts w:ascii="Century Gothic" w:hAnsi="Century Gothic" w:cs="Arial"/>
          <w:color w:val="000000" w:themeColor="text1"/>
          <w:sz w:val="16"/>
          <w:szCs w:val="16"/>
          <w:lang w:val="es-ES"/>
        </w:rPr>
        <w:t>Por ejemplo, la nota 2 del Anexo 9.1 del tratado de libre comercio entre Colombia y los Estados Unidos de Norteamérica dispone que, si bien el Ministerio de Defensa Nacional es una entidad cubierta, “No estarán cubiertas por este Capítulo las contrataciones de bienes contenidas en la Sección 2 (Alimentos, Bebidas y Tabaco; Textil y Confección y Productos de Cuero) del Clasificador Central de Productos (CPC versión 1.0) de las Naciones Unidas, para el Comando General de las Fuerzas Militares, el Ejército Nacional, la Armada Nacional, la Fuerza Aérea Colombiana, y la Policía Nacional”.</w:t>
      </w:r>
    </w:p>
  </w:footnote>
  <w:footnote w:id="21">
    <w:p w14:paraId="61623740" w14:textId="77777777" w:rsidR="008A30D4" w:rsidRPr="00F44270" w:rsidRDefault="008A30D4" w:rsidP="008A30D4">
      <w:pPr>
        <w:spacing w:after="0"/>
        <w:ind w:firstLine="709"/>
        <w:jc w:val="both"/>
        <w:rPr>
          <w:rFonts w:ascii="Century Gothic" w:hAnsi="Century Gothic" w:cs="Arial"/>
          <w:color w:val="000000" w:themeColor="text1"/>
          <w:sz w:val="16"/>
          <w:szCs w:val="16"/>
        </w:rPr>
      </w:pPr>
      <w:r w:rsidRPr="00F44270">
        <w:rPr>
          <w:rStyle w:val="Refdenotaalpie"/>
          <w:rFonts w:ascii="Century Gothic" w:hAnsi="Century Gothic" w:cs="Arial"/>
          <w:color w:val="000000" w:themeColor="text1"/>
          <w:sz w:val="16"/>
          <w:szCs w:val="16"/>
        </w:rPr>
        <w:footnoteRef/>
      </w:r>
      <w:r w:rsidRPr="00F44270">
        <w:rPr>
          <w:rFonts w:ascii="Century Gothic" w:hAnsi="Century Gothic" w:cs="Arial"/>
          <w:color w:val="000000" w:themeColor="text1"/>
          <w:sz w:val="16"/>
          <w:szCs w:val="16"/>
        </w:rPr>
        <w:t xml:space="preserve"> Esta es la tesis que ha prohijado esta Agencia en el Manual para el Manejo de los Acuerdos Comerciales en Procesos de Contratación, en las siguientes palabras: “La Entidad Estatal contratante también debe conceder el mismo trato que da a los proponentes de colombianos que ofertan bienes y servicios colombianos, a aquellos oferentes de bienes y servicios originarios de Estados con los cuales, a pesar de no existir o no estar vigente un Acuerdo Comercial, el Gobierno Nacional ha certificado reciprocidad. Esto supone que, el Gobierno Nacional, con base en la revisión y comparación de la normativa vigente en materia de compras públicas de dicho Estado, determine y certifique que en el respectivo Estado, los bienes, servicios y/o proveedores colombianos gozan del mismo trato que se le da a los bienes, servicios y/o proveedores de tal Estado, o que no existe en ese Estado ninguna medida que fomente el desarrollo local o mejore las cuentas de la balanza de pagos en detrimento de los bienes o servicios o proveedores colombianos.</w:t>
      </w:r>
    </w:p>
    <w:p w14:paraId="0FEE8232" w14:textId="77777777" w:rsidR="008A30D4" w:rsidRPr="00F44270" w:rsidRDefault="008A30D4" w:rsidP="008A30D4">
      <w:pPr>
        <w:spacing w:after="0"/>
        <w:ind w:firstLine="709"/>
        <w:jc w:val="both"/>
        <w:rPr>
          <w:rFonts w:ascii="Century Gothic" w:hAnsi="Century Gothic" w:cs="Arial"/>
          <w:color w:val="000000" w:themeColor="text1"/>
          <w:sz w:val="16"/>
          <w:szCs w:val="16"/>
        </w:rPr>
      </w:pPr>
      <w:r w:rsidRPr="00F44270">
        <w:rPr>
          <w:rFonts w:ascii="Century Gothic" w:hAnsi="Century Gothic" w:cs="Arial"/>
          <w:color w:val="000000" w:themeColor="text1"/>
          <w:sz w:val="16"/>
          <w:szCs w:val="16"/>
        </w:rPr>
        <w:t xml:space="preserve">La existencia de un Acuerdo Comercial que prevea el Trato Nacional en materia de contratación pública excluye la posibilidad de que el Gobierno Nacional certifique el Trato Nacional por reciprocidad. Así, por ejemplo, en ningún caso el Ministerio de Relaciones Exteriores podría certificar Trato Nacional por reciprocidad con México, pues existe un Acuerdo Comercial con dicha parte”. </w:t>
      </w:r>
    </w:p>
  </w:footnote>
  <w:footnote w:id="22">
    <w:p w14:paraId="4C0579E0" w14:textId="77777777" w:rsidR="008A30D4" w:rsidRPr="00F44270" w:rsidRDefault="008A30D4" w:rsidP="008A30D4">
      <w:pPr>
        <w:pStyle w:val="Textonotapie"/>
        <w:ind w:firstLine="709"/>
        <w:jc w:val="both"/>
        <w:rPr>
          <w:rFonts w:ascii="Century Gothic" w:hAnsi="Century Gothic" w:cs="Arial"/>
          <w:color w:val="000000" w:themeColor="text1"/>
          <w:sz w:val="16"/>
          <w:szCs w:val="16"/>
          <w:lang w:val="es-ES"/>
        </w:rPr>
      </w:pPr>
      <w:r w:rsidRPr="00F44270">
        <w:rPr>
          <w:rStyle w:val="Refdenotaalpie"/>
          <w:rFonts w:ascii="Century Gothic" w:hAnsi="Century Gothic" w:cs="Arial"/>
          <w:color w:val="000000" w:themeColor="text1"/>
          <w:sz w:val="16"/>
          <w:szCs w:val="16"/>
        </w:rPr>
        <w:footnoteRef/>
      </w:r>
      <w:r w:rsidRPr="00F44270">
        <w:rPr>
          <w:rFonts w:ascii="Century Gothic" w:hAnsi="Century Gothic" w:cs="Arial"/>
          <w:color w:val="000000" w:themeColor="text1"/>
          <w:sz w:val="16"/>
          <w:szCs w:val="16"/>
        </w:rPr>
        <w:t xml:space="preserve"> </w:t>
      </w:r>
      <w:r w:rsidRPr="00F44270">
        <w:rPr>
          <w:rFonts w:ascii="Century Gothic" w:hAnsi="Century Gothic" w:cs="Arial"/>
          <w:color w:val="000000" w:themeColor="text1"/>
          <w:sz w:val="16"/>
          <w:szCs w:val="16"/>
          <w:lang w:val="es-ES"/>
        </w:rPr>
        <w:t>La Comunidad Andina de Naciones –CAN– es un mecanismo subregional de integración creado mediante el Acuerdo de Cartagena del 26 de mayo de 1969, entre Bolivia, Colombia, Ecuador, Perú y Venezuela. Este último país perteneció a la Comunidad hasta el 2006.</w:t>
      </w:r>
    </w:p>
  </w:footnote>
  <w:footnote w:id="23">
    <w:p w14:paraId="09216BAF" w14:textId="77777777" w:rsidR="008A30D4" w:rsidRPr="00F44270" w:rsidRDefault="008A30D4" w:rsidP="008A30D4">
      <w:pPr>
        <w:pStyle w:val="Textonotapie"/>
        <w:ind w:firstLine="709"/>
        <w:jc w:val="both"/>
        <w:rPr>
          <w:rFonts w:ascii="Century Gothic" w:hAnsi="Century Gothic" w:cs="Arial"/>
          <w:color w:val="000000" w:themeColor="text1"/>
          <w:sz w:val="16"/>
          <w:szCs w:val="16"/>
          <w:lang w:val="es-ES"/>
        </w:rPr>
      </w:pPr>
      <w:r w:rsidRPr="00F44270">
        <w:rPr>
          <w:rStyle w:val="Refdenotaalpie"/>
          <w:rFonts w:ascii="Century Gothic" w:hAnsi="Century Gothic" w:cs="Arial"/>
          <w:color w:val="000000" w:themeColor="text1"/>
          <w:sz w:val="16"/>
          <w:szCs w:val="16"/>
        </w:rPr>
        <w:footnoteRef/>
      </w:r>
      <w:r w:rsidRPr="00F44270">
        <w:rPr>
          <w:rFonts w:ascii="Century Gothic" w:hAnsi="Century Gothic" w:cs="Arial"/>
          <w:color w:val="000000" w:themeColor="text1"/>
          <w:sz w:val="16"/>
          <w:szCs w:val="16"/>
        </w:rPr>
        <w:t xml:space="preserve"> </w:t>
      </w:r>
      <w:r w:rsidRPr="00F44270">
        <w:rPr>
          <w:rFonts w:ascii="Century Gothic" w:hAnsi="Century Gothic" w:cs="Arial"/>
          <w:color w:val="000000" w:themeColor="text1"/>
          <w:sz w:val="16"/>
          <w:szCs w:val="16"/>
          <w:lang w:val="es-ES"/>
        </w:rPr>
        <w:t>“26. "Pacta sunt servanda". Todo tratado en vigor obliga a las partes y debe ser cumplido por ellas de buena fe.</w:t>
      </w:r>
    </w:p>
    <w:p w14:paraId="622CBBDD" w14:textId="77777777" w:rsidR="008A30D4" w:rsidRPr="00F44270" w:rsidRDefault="008A30D4" w:rsidP="008A30D4">
      <w:pPr>
        <w:pStyle w:val="Textonotapie"/>
        <w:ind w:firstLine="709"/>
        <w:jc w:val="both"/>
        <w:rPr>
          <w:rFonts w:ascii="Century Gothic" w:hAnsi="Century Gothic" w:cs="Arial"/>
          <w:color w:val="000000" w:themeColor="text1"/>
          <w:sz w:val="16"/>
          <w:szCs w:val="16"/>
          <w:lang w:val="es-ES"/>
        </w:rPr>
      </w:pPr>
      <w:r w:rsidRPr="00F44270">
        <w:rPr>
          <w:rFonts w:ascii="Century Gothic" w:hAnsi="Century Gothic" w:cs="Arial"/>
          <w:color w:val="000000" w:themeColor="text1"/>
          <w:sz w:val="16"/>
          <w:szCs w:val="16"/>
          <w:lang w:val="es-ES"/>
        </w:rPr>
        <w:t>27. El derecho interno y la observancia de los tratados. Una parte no podrá invocar las disposiciones de su derecho interno como justificación del incumplimiento de un tratado.</w:t>
      </w:r>
    </w:p>
    <w:p w14:paraId="692FFC54" w14:textId="77777777" w:rsidR="008A30D4" w:rsidRPr="00F44270" w:rsidRDefault="008A30D4" w:rsidP="008A30D4">
      <w:pPr>
        <w:pStyle w:val="Textonotapie"/>
        <w:ind w:firstLine="709"/>
        <w:jc w:val="both"/>
        <w:rPr>
          <w:rFonts w:ascii="Century Gothic" w:hAnsi="Century Gothic" w:cs="Arial"/>
          <w:color w:val="000000" w:themeColor="text1"/>
          <w:sz w:val="16"/>
          <w:szCs w:val="16"/>
          <w:lang w:val="es-ES"/>
        </w:rPr>
      </w:pPr>
      <w:r w:rsidRPr="00F44270">
        <w:rPr>
          <w:rFonts w:ascii="Century Gothic" w:hAnsi="Century Gothic" w:cs="Arial"/>
          <w:color w:val="000000" w:themeColor="text1"/>
          <w:sz w:val="16"/>
          <w:szCs w:val="16"/>
          <w:lang w:val="es-ES"/>
        </w:rPr>
        <w:t xml:space="preserve">[…]”. </w:t>
      </w:r>
    </w:p>
    <w:p w14:paraId="70F003B2" w14:textId="77777777" w:rsidR="008A30D4" w:rsidRPr="00F44270" w:rsidRDefault="008A30D4" w:rsidP="008A30D4">
      <w:pPr>
        <w:pStyle w:val="Textonotapie"/>
        <w:ind w:firstLine="709"/>
        <w:jc w:val="both"/>
        <w:rPr>
          <w:rFonts w:ascii="Century Gothic" w:hAnsi="Century Gothic" w:cs="Arial"/>
          <w:color w:val="000000" w:themeColor="text1"/>
          <w:sz w:val="16"/>
          <w:szCs w:val="16"/>
          <w:lang w:val="es-ES"/>
        </w:rPr>
      </w:pPr>
    </w:p>
  </w:footnote>
  <w:footnote w:id="24">
    <w:p w14:paraId="42CAB40F" w14:textId="77777777" w:rsidR="008A30D4" w:rsidRPr="00F941E4" w:rsidRDefault="008A30D4" w:rsidP="008A30D4">
      <w:pPr>
        <w:pStyle w:val="Textonotapie"/>
        <w:ind w:firstLine="709"/>
        <w:rPr>
          <w:rFonts w:ascii="Arial" w:hAnsi="Arial" w:cs="Arial"/>
          <w:sz w:val="16"/>
          <w:szCs w:val="16"/>
        </w:rPr>
      </w:pPr>
      <w:r w:rsidRPr="00F941E4">
        <w:rPr>
          <w:rStyle w:val="Refdenotaalpie"/>
          <w:rFonts w:ascii="Arial" w:hAnsi="Arial" w:cs="Arial"/>
          <w:sz w:val="16"/>
          <w:szCs w:val="16"/>
        </w:rPr>
        <w:footnoteRef/>
      </w:r>
      <w:hyperlink r:id="rId2" w:history="1">
        <w:r w:rsidRPr="00F941E4">
          <w:rPr>
            <w:rStyle w:val="Hipervnculo"/>
            <w:rFonts w:ascii="Arial" w:hAnsi="Arial" w:cs="Arial"/>
          </w:rPr>
          <w:t>https://colombiacompra.gov.co/sites/cce_public/files/cce_documents/cce_guia_asuntos_corporativos.pdf</w:t>
        </w:r>
      </w:hyperlink>
      <w:r w:rsidRPr="00F941E4">
        <w:rPr>
          <w:rFonts w:ascii="Arial" w:hAnsi="Arial" w:cs="Arial"/>
          <w:sz w:val="16"/>
          <w:szCs w:val="16"/>
        </w:rPr>
        <w:t xml:space="preserve">. </w:t>
      </w:r>
    </w:p>
    <w:p w14:paraId="756A689B" w14:textId="77777777" w:rsidR="008A30D4" w:rsidRPr="00F941E4" w:rsidRDefault="008A30D4" w:rsidP="008A30D4">
      <w:pPr>
        <w:pStyle w:val="Textonotapie"/>
        <w:ind w:firstLine="709"/>
        <w:rPr>
          <w:rFonts w:ascii="Arial" w:hAnsi="Arial" w:cs="Arial"/>
          <w:sz w:val="16"/>
          <w:szCs w:val="16"/>
          <w:lang w:val="es-ES_tradnl"/>
        </w:rPr>
      </w:pPr>
    </w:p>
  </w:footnote>
  <w:footnote w:id="25">
    <w:p w14:paraId="0E3BF541" w14:textId="77777777" w:rsidR="008A30D4" w:rsidRPr="00F44270" w:rsidRDefault="008A30D4" w:rsidP="008A30D4">
      <w:pPr>
        <w:pStyle w:val="Textonotapie"/>
        <w:ind w:firstLine="708"/>
        <w:jc w:val="both"/>
        <w:rPr>
          <w:rFonts w:ascii="Century Gothic" w:hAnsi="Century Gothic" w:cs="Arial"/>
          <w:sz w:val="16"/>
          <w:szCs w:val="16"/>
        </w:rPr>
      </w:pPr>
      <w:r w:rsidRPr="00F44270">
        <w:rPr>
          <w:rStyle w:val="Refdenotaalpie"/>
          <w:rFonts w:ascii="Century Gothic" w:hAnsi="Century Gothic" w:cs="Arial"/>
          <w:sz w:val="16"/>
          <w:szCs w:val="16"/>
        </w:rPr>
        <w:footnoteRef/>
      </w:r>
      <w:r w:rsidRPr="00F44270">
        <w:rPr>
          <w:rFonts w:ascii="Century Gothic" w:hAnsi="Century Gothic" w:cs="Arial"/>
          <w:sz w:val="16"/>
          <w:szCs w:val="16"/>
        </w:rPr>
        <w:t xml:space="preserve"> En lo pertinente, el artículo 12 de la Ley 1150 de 2007 –</w:t>
      </w:r>
      <w:r w:rsidRPr="00F44270">
        <w:rPr>
          <w:rFonts w:ascii="Century Gothic" w:hAnsi="Century Gothic"/>
          <w:sz w:val="16"/>
          <w:szCs w:val="16"/>
        </w:rPr>
        <w:t xml:space="preserve"> </w:t>
      </w:r>
      <w:r w:rsidRPr="00F44270">
        <w:rPr>
          <w:rFonts w:ascii="Century Gothic" w:hAnsi="Century Gothic" w:cs="Arial"/>
          <w:sz w:val="16"/>
          <w:szCs w:val="16"/>
        </w:rPr>
        <w:t>modificado por el artículo 34 de la Ley de Emprendimiento– dispone que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Mipyme, convocatorias limitadas a estas en las que, previo a la Resolución de apertura del proceso respectivo, se haya manifestado el interés de por lo menos dos (2) Mipyme.</w:t>
      </w:r>
    </w:p>
    <w:p w14:paraId="2D3C644E" w14:textId="77777777" w:rsidR="008A30D4" w:rsidRPr="00F44270" w:rsidRDefault="008A30D4" w:rsidP="008A30D4">
      <w:pPr>
        <w:pStyle w:val="Textonotapie"/>
        <w:ind w:firstLine="708"/>
        <w:jc w:val="both"/>
        <w:rPr>
          <w:rFonts w:ascii="Century Gothic" w:hAnsi="Century Gothic" w:cs="Arial"/>
          <w:sz w:val="16"/>
          <w:szCs w:val="16"/>
        </w:rPr>
      </w:pPr>
      <w:r w:rsidRPr="00F44270">
        <w:rPr>
          <w:rFonts w:ascii="Century Gothic" w:hAnsi="Century Gothic" w:cs="Arial"/>
          <w:sz w:val="16"/>
          <w:szCs w:val="16"/>
        </w:rPr>
        <w:t>[…]</w:t>
      </w:r>
    </w:p>
    <w:p w14:paraId="00E0C5D4" w14:textId="77777777" w:rsidR="008A30D4" w:rsidRPr="00F44270" w:rsidRDefault="008A30D4" w:rsidP="008A30D4">
      <w:pPr>
        <w:pStyle w:val="Textonotapie"/>
        <w:ind w:firstLine="708"/>
        <w:jc w:val="both"/>
        <w:rPr>
          <w:rFonts w:ascii="Century Gothic" w:hAnsi="Century Gothic" w:cs="Arial"/>
          <w:sz w:val="16"/>
          <w:szCs w:val="16"/>
        </w:rPr>
      </w:pPr>
      <w:r w:rsidRPr="00F44270">
        <w:rPr>
          <w:rFonts w:ascii="Century Gothic" w:hAnsi="Century Gothic" w:cs="Arial"/>
          <w:sz w:val="16"/>
          <w:szCs w:val="16"/>
        </w:rPr>
        <w:t>PARÁGRAFO 1o. En los Procesos de Contratación que se desarrollen con base en el primer inciso, las entidades podrán realizar las convocatorias limitadas que beneficien a las Mipyme del ámbito municipal o departamental correspondiente al de la ejecución del contrato.</w:t>
      </w:r>
    </w:p>
    <w:p w14:paraId="4A12000D" w14:textId="77777777" w:rsidR="008A30D4" w:rsidRPr="00F44270" w:rsidRDefault="008A30D4" w:rsidP="008A30D4">
      <w:pPr>
        <w:pStyle w:val="Textonotapie"/>
        <w:ind w:firstLine="708"/>
        <w:jc w:val="both"/>
        <w:rPr>
          <w:rFonts w:ascii="Century Gothic" w:hAnsi="Century Gothic" w:cs="Arial"/>
          <w:sz w:val="16"/>
          <w:szCs w:val="16"/>
        </w:rPr>
      </w:pPr>
      <w:r w:rsidRPr="00F44270">
        <w:rPr>
          <w:rFonts w:ascii="Century Gothic" w:hAnsi="Century Gothic" w:cs="Arial"/>
          <w:sz w:val="16"/>
          <w:szCs w:val="16"/>
        </w:rPr>
        <w:t xml:space="preserve">[…]”. </w:t>
      </w:r>
    </w:p>
  </w:footnote>
  <w:footnote w:id="26">
    <w:p w14:paraId="2F98C8BE" w14:textId="77777777" w:rsidR="008A30D4" w:rsidRPr="00F44270" w:rsidRDefault="008A30D4" w:rsidP="008A30D4">
      <w:pPr>
        <w:pStyle w:val="Textonotapie"/>
        <w:ind w:firstLine="709"/>
        <w:jc w:val="both"/>
        <w:rPr>
          <w:rFonts w:ascii="Century Gothic" w:hAnsi="Century Gothic" w:cs="Arial"/>
          <w:sz w:val="16"/>
          <w:szCs w:val="16"/>
        </w:rPr>
      </w:pPr>
      <w:r w:rsidRPr="00F44270">
        <w:rPr>
          <w:rStyle w:val="Refdenotaalpie"/>
          <w:rFonts w:ascii="Century Gothic" w:hAnsi="Century Gothic" w:cs="Arial"/>
          <w:sz w:val="16"/>
          <w:szCs w:val="16"/>
        </w:rPr>
        <w:footnoteRef/>
      </w:r>
      <w:r w:rsidRPr="00F44270">
        <w:rPr>
          <w:rFonts w:ascii="Century Gothic" w:hAnsi="Century Gothic" w:cs="Arial"/>
          <w:sz w:val="16"/>
          <w:szCs w:val="16"/>
        </w:rPr>
        <w:t xml:space="preserve">  Agencia Nacional de Contratación Pública – Colombia Compra Eficiente. Concepto C-045 del 17 de marzo de 2020. Radicado de salida No. 2202013000001974.</w:t>
      </w:r>
    </w:p>
  </w:footnote>
  <w:footnote w:id="27">
    <w:p w14:paraId="1359F40C" w14:textId="77777777" w:rsidR="008A30D4" w:rsidRPr="00F44270" w:rsidRDefault="008A30D4" w:rsidP="008A30D4">
      <w:pPr>
        <w:pStyle w:val="Textonotapie"/>
        <w:ind w:firstLine="708"/>
        <w:jc w:val="both"/>
        <w:rPr>
          <w:rFonts w:ascii="Century Gothic" w:hAnsi="Century Gothic" w:cs="Arial"/>
          <w:sz w:val="16"/>
          <w:szCs w:val="16"/>
        </w:rPr>
      </w:pPr>
      <w:r w:rsidRPr="00F44270">
        <w:rPr>
          <w:rStyle w:val="Refdenotaalpie"/>
          <w:rFonts w:ascii="Century Gothic" w:hAnsi="Century Gothic" w:cs="Arial"/>
          <w:sz w:val="16"/>
          <w:szCs w:val="16"/>
        </w:rPr>
        <w:footnoteRef/>
      </w:r>
      <w:r w:rsidRPr="00F44270">
        <w:rPr>
          <w:rFonts w:ascii="Century Gothic" w:hAnsi="Century Gothic" w:cs="Arial"/>
          <w:sz w:val="16"/>
          <w:szCs w:val="16"/>
        </w:rPr>
        <w:t xml:space="preserve"> Al respecto, de acuerdo con el Concepto C-089 del 28 de abril de 2023, la Agencia estima que “el debido ejercicio de la referida potestad discrecional exige que converjan unos mínimos presupuestos de adecuación, para que resulte adecuada la decisión de limitar una convocatoria a la participación exclusiva de mipymes. Es por esto por lo que la decisión de limitar territorialmente una convocatoria solo puede resultar razonable si la información recolectada en el marco del análisis del sector indica que en el lugar de ejecución del contrato existe un número significativo de mipymes allí domiciliadas, cuyo objeto social les permitiría desarrollar el contrato o que estén interesadas en participar en el respectivo proceso de contratación. Adicionalmente, se torna relevante determinar que tantas de esas mipymes tendrían la posibilidad de participar en el respectivo proceso de contratación en consideración en atención a las aptitudes e idoneidad requerida.  De acuerdo con lo anterior, difícilmente podría entenderse adecuada la decisión de limitar una convocatoria por el referido factor territorial, si dentro del estudio del sector no se identifican una pluralidad de mipymes que estén en posición de participar en el respectivo proceso.</w:t>
      </w:r>
    </w:p>
    <w:p w14:paraId="7CF42DB9" w14:textId="77777777" w:rsidR="008A30D4" w:rsidRPr="00F44270" w:rsidRDefault="008A30D4" w:rsidP="008A30D4">
      <w:pPr>
        <w:pStyle w:val="Textonotapie"/>
        <w:ind w:firstLine="708"/>
        <w:jc w:val="both"/>
        <w:rPr>
          <w:rFonts w:ascii="Century Gothic" w:hAnsi="Century Gothic" w:cs="Arial"/>
          <w:sz w:val="16"/>
          <w:szCs w:val="16"/>
        </w:rPr>
      </w:pPr>
      <w:r w:rsidRPr="00F44270">
        <w:rPr>
          <w:rFonts w:ascii="Century Gothic" w:hAnsi="Century Gothic" w:cs="Arial"/>
          <w:sz w:val="16"/>
          <w:szCs w:val="16"/>
        </w:rPr>
        <w:t>En atención a lo anterior, situaciones en las que se presentan un ejercicio de la potestad de limitar a mipymes desconociendo los anteriores presupuestos mínimos, bien podrían ser cuestionadas por los proponentes, veedores y ciudadanía en general ya sea a través de observaciones, en el ejercicio del derecho fundamental de petición ante la respectiva entidad estatal o la presentación de denuncias antes las autoridades competentes en el caso de que se evidencien prácticas restrictivas a la competencia, o con relevancia penal o disciplinaria. Así mismo, en atención al interés general que revisten los procesos de contratación, cualquier ciudadano podría también solicitar el control judicial del respectivo pliego de condiciones –o invitación en los procesos de mínima cuantía–, cuando encuentre que estos contravienen el marco legal que les aplica”.</w:t>
      </w:r>
    </w:p>
  </w:footnote>
  <w:footnote w:id="28">
    <w:p w14:paraId="3E8B0958" w14:textId="77777777" w:rsidR="008A30D4" w:rsidRPr="00F44270" w:rsidRDefault="008A30D4" w:rsidP="008A30D4">
      <w:pPr>
        <w:pStyle w:val="Textonotapie"/>
        <w:ind w:firstLine="708"/>
        <w:jc w:val="both"/>
        <w:rPr>
          <w:rFonts w:ascii="Century Gothic" w:hAnsi="Century Gothic" w:cs="Arial"/>
          <w:sz w:val="16"/>
          <w:szCs w:val="16"/>
        </w:rPr>
      </w:pPr>
      <w:r w:rsidRPr="00F44270">
        <w:rPr>
          <w:rStyle w:val="Refdenotaalpie"/>
          <w:rFonts w:ascii="Century Gothic" w:hAnsi="Century Gothic" w:cs="Arial"/>
          <w:sz w:val="16"/>
          <w:szCs w:val="16"/>
        </w:rPr>
        <w:footnoteRef/>
      </w:r>
      <w:r w:rsidRPr="00F44270">
        <w:rPr>
          <w:rFonts w:ascii="Century Gothic" w:hAnsi="Century Gothic" w:cs="Arial"/>
          <w:sz w:val="16"/>
          <w:szCs w:val="16"/>
        </w:rPr>
        <w:t xml:space="preserve"> La doctrina explica que “[…] la discrecionalidad hace referencia a una decisión o disposición administrativa adoptada dentro un margen de libre apreciación dejado por el ordenamiento jurídico (es decir, hay varias soluciones válidas en Derecho, entre las que la administración puede elegir libremente, aunque justificando su decisión). Cualquiera de las soluciones adoptadas dentro del ámbito de legítima discrecionalidad son igualmente admisibles en Derecho, y todas ellas tienen el mismo valor jurídico. Siempre que no desborde el ámbito de discrecionalidad, la Administración puede decidir utilizando criterios de conveniencia u oportunidad (por lo que la discrecionalidad es la puerta de entrada en la pirámide del ordenamiento de consideraciones de política administrativa o de carácter metajurídico)” (BLANQUER, David. Derecho administrativo: el fin, los medios y el control. Tomo I. Valencia: Tirant lo Blanch, 2010. p. 191).   </w:t>
      </w:r>
    </w:p>
  </w:footnote>
  <w:footnote w:id="29">
    <w:p w14:paraId="76F2479D" w14:textId="77777777" w:rsidR="008A30D4" w:rsidRPr="00F941E4" w:rsidRDefault="008A30D4" w:rsidP="008A30D4">
      <w:pPr>
        <w:pStyle w:val="Textonotapie"/>
        <w:ind w:firstLine="709"/>
        <w:rPr>
          <w:rFonts w:ascii="Arial" w:hAnsi="Arial" w:cs="Arial"/>
          <w:sz w:val="16"/>
          <w:szCs w:val="16"/>
        </w:rPr>
      </w:pPr>
      <w:r w:rsidRPr="00F941E4">
        <w:rPr>
          <w:rStyle w:val="Refdenotaalpie"/>
          <w:rFonts w:ascii="Arial" w:hAnsi="Arial" w:cs="Arial"/>
          <w:sz w:val="16"/>
          <w:szCs w:val="16"/>
        </w:rPr>
        <w:footnoteRef/>
      </w:r>
      <w:hyperlink r:id="rId3" w:history="1">
        <w:r w:rsidRPr="00F941E4">
          <w:rPr>
            <w:rStyle w:val="Hipervnculo"/>
            <w:rFonts w:ascii="Arial" w:hAnsi="Arial" w:cs="Arial"/>
          </w:rPr>
          <w:t>https://colombiacompra.gov.co/sites/cce_public/files/cce_documents/cce_guia_asuntos_corporativos.pdf</w:t>
        </w:r>
      </w:hyperlink>
      <w:r w:rsidRPr="00F941E4">
        <w:rPr>
          <w:rFonts w:ascii="Arial" w:hAnsi="Arial" w:cs="Arial"/>
          <w:sz w:val="16"/>
          <w:szCs w:val="16"/>
        </w:rPr>
        <w:t xml:space="preserve">. </w:t>
      </w:r>
    </w:p>
    <w:p w14:paraId="47B23949" w14:textId="77777777" w:rsidR="008A30D4" w:rsidRPr="00F941E4" w:rsidRDefault="008A30D4" w:rsidP="008A30D4">
      <w:pPr>
        <w:pStyle w:val="Textonotapie"/>
        <w:ind w:firstLine="709"/>
        <w:rPr>
          <w:rFonts w:ascii="Arial" w:hAnsi="Arial" w:cs="Arial"/>
          <w:sz w:val="16"/>
          <w:szCs w:val="16"/>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5D0C20C7" w:rsidR="00756841" w:rsidRDefault="00BD15D4">
    <w:pPr>
      <w:pStyle w:val="Encabezado"/>
    </w:pPr>
    <w:r>
      <w:rPr>
        <w:noProof/>
        <w:lang w:eastAsia="es-CO"/>
      </w:rPr>
      <w:drawing>
        <wp:anchor distT="0" distB="0" distL="114300" distR="114300" simplePos="0" relativeHeight="251658240" behindDoc="1" locked="0" layoutInCell="1" allowOverlap="1" wp14:anchorId="748FC4A6" wp14:editId="19FCB529">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lang w:eastAsia="es-CO"/>
      </w:rPr>
      <w:drawing>
        <wp:anchor distT="0" distB="0" distL="114300" distR="114300" simplePos="0" relativeHeight="251658244"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56BAF314"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B0E5F1B" w:rsidR="004A305D" w:rsidRPr="004A305D" w:rsidRDefault="004A305D" w:rsidP="00BD15D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5B5D8B">
      <w:rPr>
        <w:rFonts w:ascii="Century Gothic" w:eastAsia="Geo" w:hAnsi="Century Gothic" w:cs="Geo"/>
        <w:bCs/>
        <w:color w:val="000000"/>
        <w:sz w:val="16"/>
        <w:szCs w:val="16"/>
        <w:lang w:eastAsia="es-CO"/>
      </w:rPr>
      <w:t>7</w:t>
    </w:r>
  </w:p>
  <w:p w14:paraId="3DBCDD3E" w14:textId="5553F40F" w:rsidR="005B5D8B" w:rsidRDefault="004A305D" w:rsidP="008A30D4">
    <w:pPr>
      <w:spacing w:after="0"/>
      <w:ind w:right="3402"/>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005B5D8B" w:rsidRPr="004A305D">
      <w:rPr>
        <w:rFonts w:ascii="Century Gothic" w:eastAsia="Geo" w:hAnsi="Century Gothic" w:cs="Geo"/>
        <w:sz w:val="16"/>
        <w:szCs w:val="16"/>
        <w:lang w:eastAsia="es-CO"/>
      </w:rPr>
      <w:t>0</w:t>
    </w:r>
    <w:r w:rsidR="005B5D8B">
      <w:rPr>
        <w:rFonts w:ascii="Century Gothic" w:eastAsia="Geo" w:hAnsi="Century Gothic" w:cs="Geo"/>
        <w:sz w:val="16"/>
        <w:szCs w:val="16"/>
        <w:lang w:eastAsia="es-CO"/>
      </w:rPr>
      <w:t>2</w:t>
    </w:r>
    <w:r w:rsidR="005B5D8B" w:rsidRPr="004A305D">
      <w:rPr>
        <w:rFonts w:ascii="Century Gothic" w:eastAsia="Geo" w:hAnsi="Century Gothic" w:cs="Geo"/>
        <w:sz w:val="16"/>
        <w:szCs w:val="16"/>
        <w:lang w:eastAsia="es-CO"/>
      </w:rPr>
      <w:t xml:space="preserve"> DEL </w:t>
    </w:r>
    <w:r w:rsidR="005B5D8B">
      <w:rPr>
        <w:rFonts w:ascii="Century Gothic" w:eastAsia="Geo" w:hAnsi="Century Gothic" w:cs="Geo"/>
        <w:sz w:val="16"/>
        <w:szCs w:val="16"/>
        <w:lang w:eastAsia="es-CO"/>
      </w:rPr>
      <w:t xml:space="preserve">22 </w:t>
    </w:r>
    <w:r w:rsidR="005B5D8B" w:rsidRPr="004A305D">
      <w:rPr>
        <w:rFonts w:ascii="Century Gothic" w:eastAsia="Geo" w:hAnsi="Century Gothic" w:cs="Geo"/>
        <w:sz w:val="16"/>
        <w:szCs w:val="16"/>
        <w:lang w:eastAsia="es-CO"/>
      </w:rPr>
      <w:t xml:space="preserve">DE </w:t>
    </w:r>
    <w:r w:rsidR="005B5D8B">
      <w:rPr>
        <w:rFonts w:ascii="Century Gothic" w:eastAsia="Geo" w:hAnsi="Century Gothic" w:cs="Geo"/>
        <w:sz w:val="16"/>
        <w:szCs w:val="16"/>
        <w:lang w:eastAsia="es-CO"/>
      </w:rPr>
      <w:t>AGOSTO</w:t>
    </w:r>
    <w:r w:rsidR="005B5D8B" w:rsidRPr="004A305D">
      <w:rPr>
        <w:rFonts w:ascii="Century Gothic" w:eastAsia="Geo" w:hAnsi="Century Gothic" w:cs="Geo"/>
        <w:sz w:val="16"/>
        <w:szCs w:val="16"/>
        <w:lang w:eastAsia="es-CO"/>
      </w:rPr>
      <w:t xml:space="preserve"> DE 202</w:t>
    </w:r>
    <w:r w:rsidR="005B5D8B">
      <w:rPr>
        <w:rFonts w:ascii="Century Gothic" w:eastAsia="Geo" w:hAnsi="Century Gothic" w:cs="Geo"/>
        <w:sz w:val="16"/>
        <w:szCs w:val="16"/>
        <w:lang w:eastAsia="es-CO"/>
      </w:rPr>
      <w:t>3</w:t>
    </w:r>
  </w:p>
  <w:p w14:paraId="604A559A" w14:textId="77777777" w:rsidR="008A30D4" w:rsidRPr="008A30D4" w:rsidRDefault="008A30D4" w:rsidP="008A30D4">
    <w:pPr>
      <w:spacing w:after="0"/>
      <w:ind w:right="3402"/>
      <w:rPr>
        <w:rFonts w:ascii="Century Gothic" w:eastAsia="Geo" w:hAnsi="Century Gothic" w:cs="Geo"/>
        <w:sz w:val="16"/>
        <w:szCs w:val="16"/>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981954">
    <w:abstractNumId w:val="3"/>
  </w:num>
  <w:num w:numId="2" w16cid:durableId="486676265">
    <w:abstractNumId w:val="1"/>
  </w:num>
  <w:num w:numId="3" w16cid:durableId="608313202">
    <w:abstractNumId w:val="2"/>
  </w:num>
  <w:num w:numId="4" w16cid:durableId="2667437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6877461">
    <w:abstractNumId w:val="1"/>
  </w:num>
  <w:num w:numId="6" w16cid:durableId="1763911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264F8"/>
    <w:rsid w:val="000A683E"/>
    <w:rsid w:val="000B19B9"/>
    <w:rsid w:val="000D0334"/>
    <w:rsid w:val="000E4714"/>
    <w:rsid w:val="000F6486"/>
    <w:rsid w:val="00125105"/>
    <w:rsid w:val="00127233"/>
    <w:rsid w:val="001E4177"/>
    <w:rsid w:val="002951A0"/>
    <w:rsid w:val="002962BC"/>
    <w:rsid w:val="002A093D"/>
    <w:rsid w:val="002A49AC"/>
    <w:rsid w:val="002A64FD"/>
    <w:rsid w:val="002C7A84"/>
    <w:rsid w:val="002E5F77"/>
    <w:rsid w:val="003448F4"/>
    <w:rsid w:val="003A2A79"/>
    <w:rsid w:val="003A779E"/>
    <w:rsid w:val="003B5604"/>
    <w:rsid w:val="003D0F4D"/>
    <w:rsid w:val="003E0499"/>
    <w:rsid w:val="003F3941"/>
    <w:rsid w:val="00400548"/>
    <w:rsid w:val="004368BC"/>
    <w:rsid w:val="004A1847"/>
    <w:rsid w:val="004A305D"/>
    <w:rsid w:val="004F21C4"/>
    <w:rsid w:val="004F685F"/>
    <w:rsid w:val="00533E8F"/>
    <w:rsid w:val="005566E8"/>
    <w:rsid w:val="00574867"/>
    <w:rsid w:val="005775FB"/>
    <w:rsid w:val="005A6AA1"/>
    <w:rsid w:val="005B5D8B"/>
    <w:rsid w:val="005C5CDC"/>
    <w:rsid w:val="005D476C"/>
    <w:rsid w:val="006219F8"/>
    <w:rsid w:val="00665D70"/>
    <w:rsid w:val="006978BA"/>
    <w:rsid w:val="00706C16"/>
    <w:rsid w:val="00727370"/>
    <w:rsid w:val="00756841"/>
    <w:rsid w:val="00763C80"/>
    <w:rsid w:val="007649AB"/>
    <w:rsid w:val="007833AC"/>
    <w:rsid w:val="007B7171"/>
    <w:rsid w:val="007C3DC2"/>
    <w:rsid w:val="007D16D5"/>
    <w:rsid w:val="007E5497"/>
    <w:rsid w:val="00806F5F"/>
    <w:rsid w:val="00820278"/>
    <w:rsid w:val="008843B6"/>
    <w:rsid w:val="0088445F"/>
    <w:rsid w:val="00891928"/>
    <w:rsid w:val="008A30D4"/>
    <w:rsid w:val="008A446D"/>
    <w:rsid w:val="008D695A"/>
    <w:rsid w:val="008E4DAF"/>
    <w:rsid w:val="008F0EA7"/>
    <w:rsid w:val="00923EEF"/>
    <w:rsid w:val="009419F9"/>
    <w:rsid w:val="00961B09"/>
    <w:rsid w:val="00965334"/>
    <w:rsid w:val="0097093E"/>
    <w:rsid w:val="009C71FA"/>
    <w:rsid w:val="009C72E7"/>
    <w:rsid w:val="00A17F13"/>
    <w:rsid w:val="00A20739"/>
    <w:rsid w:val="00A33C78"/>
    <w:rsid w:val="00AB0ADB"/>
    <w:rsid w:val="00AD5E99"/>
    <w:rsid w:val="00B72CD3"/>
    <w:rsid w:val="00B72FFF"/>
    <w:rsid w:val="00BD15D4"/>
    <w:rsid w:val="00BD2E7A"/>
    <w:rsid w:val="00BD7F72"/>
    <w:rsid w:val="00C04FB3"/>
    <w:rsid w:val="00C11DBD"/>
    <w:rsid w:val="00C330EB"/>
    <w:rsid w:val="00C754BE"/>
    <w:rsid w:val="00CB6357"/>
    <w:rsid w:val="00CC1B26"/>
    <w:rsid w:val="00D423A2"/>
    <w:rsid w:val="00D63AC2"/>
    <w:rsid w:val="00D7383B"/>
    <w:rsid w:val="00DA231B"/>
    <w:rsid w:val="00DA79F7"/>
    <w:rsid w:val="00E16408"/>
    <w:rsid w:val="00E20894"/>
    <w:rsid w:val="00E245AB"/>
    <w:rsid w:val="00E5041D"/>
    <w:rsid w:val="00E50AFE"/>
    <w:rsid w:val="00E7105D"/>
    <w:rsid w:val="00E771DC"/>
    <w:rsid w:val="00E8772A"/>
    <w:rsid w:val="00E90F6B"/>
    <w:rsid w:val="00E92C27"/>
    <w:rsid w:val="00EA0E3D"/>
    <w:rsid w:val="00EE1AA8"/>
    <w:rsid w:val="00F17039"/>
    <w:rsid w:val="00F204AB"/>
    <w:rsid w:val="00F31EDC"/>
    <w:rsid w:val="00F5664F"/>
    <w:rsid w:val="00F613A2"/>
    <w:rsid w:val="00F76AFC"/>
    <w:rsid w:val="00F8077F"/>
    <w:rsid w:val="00FB5DD1"/>
    <w:rsid w:val="00FC2B5D"/>
    <w:rsid w:val="00FF1449"/>
    <w:rsid w:val="687B05C8"/>
    <w:rsid w:val="740D53F7"/>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519C93BF-13A0-4982-92DE-AB7FE64AC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Appelnotedebasde">
    <w:name w:val="Appel note de bas de..."/>
    <w:basedOn w:val="Normal"/>
    <w:link w:val="Refdenotaalpie"/>
    <w:uiPriority w:val="99"/>
    <w:rsid w:val="008A30D4"/>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8A30D4"/>
    <w:rPr>
      <w:rFonts w:ascii="Geomanist Light" w:hAnsi="Geomanist Light"/>
      <w:lang w:val="es-ES"/>
    </w:rPr>
  </w:style>
  <w:style w:type="paragraph" w:styleId="Textoindependiente">
    <w:name w:val="Body Text"/>
    <w:basedOn w:val="Normal"/>
    <w:link w:val="TextoindependienteCar"/>
    <w:uiPriority w:val="1"/>
    <w:qFormat/>
    <w:rsid w:val="008A30D4"/>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8A30D4"/>
    <w:rPr>
      <w:rFonts w:ascii="Arial" w:eastAsia="Arial" w:hAnsi="Arial" w:cs="Arial"/>
      <w:lang w:val="es-ES"/>
    </w:rPr>
  </w:style>
  <w:style w:type="character" w:styleId="Refdecomentario">
    <w:name w:val="annotation reference"/>
    <w:basedOn w:val="Fuentedeprrafopredeter"/>
    <w:uiPriority w:val="99"/>
    <w:semiHidden/>
    <w:unhideWhenUsed/>
    <w:rsid w:val="008A30D4"/>
    <w:rPr>
      <w:sz w:val="16"/>
      <w:szCs w:val="16"/>
    </w:rPr>
  </w:style>
  <w:style w:type="paragraph" w:styleId="Textocomentario">
    <w:name w:val="annotation text"/>
    <w:basedOn w:val="Normal"/>
    <w:link w:val="TextocomentarioCar"/>
    <w:uiPriority w:val="99"/>
    <w:unhideWhenUsed/>
    <w:rsid w:val="008A30D4"/>
    <w:pPr>
      <w:spacing w:line="240" w:lineRule="auto"/>
    </w:pPr>
    <w:rPr>
      <w:sz w:val="20"/>
      <w:szCs w:val="20"/>
    </w:rPr>
  </w:style>
  <w:style w:type="character" w:customStyle="1" w:styleId="TextocomentarioCar">
    <w:name w:val="Texto comentario Car"/>
    <w:basedOn w:val="Fuentedeprrafopredeter"/>
    <w:link w:val="Textocomentario"/>
    <w:uiPriority w:val="99"/>
    <w:rsid w:val="008A30D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colombiacompra.gov.co/sites/cce_public/files/cce_documents/cce_guia_asuntos_corporativos.pdf" TargetMode="External"/><Relationship Id="rId2" Type="http://schemas.openxmlformats.org/officeDocument/2006/relationships/hyperlink" Target="https://colombiacompra.gov.co/sites/cce_public/files/cce_documents/cce_guia_asuntos_corporativos.pdf" TargetMode="External"/><Relationship Id="rId1" Type="http://schemas.openxmlformats.org/officeDocument/2006/relationships/hyperlink" Target="https://relatoria.colombiacompra.gov.co/busqueda/conceptos%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Juan David Montoya Penagos</DisplayName>
        <AccountId>697</AccountId>
        <AccountType/>
      </UserInfo>
      <UserInfo>
        <DisplayName>Juan David Cárdenas Cabeza</DisplayName>
        <AccountId>659</AccountId>
        <AccountType/>
      </UserInfo>
      <UserInfo>
        <DisplayName>Nohelia Del Carmen Zawady Palacio</DisplayName>
        <AccountId>289</AccountId>
        <AccountType/>
      </UserInfo>
    </SharedWithUsers>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51ffb7fd-4899-4472-8c42-8dade94ea362"/>
  </ds:schemaRefs>
</ds:datastoreItem>
</file>

<file path=customXml/itemProps2.xml><?xml version="1.0" encoding="utf-8"?>
<ds:datastoreItem xmlns:ds="http://schemas.openxmlformats.org/officeDocument/2006/customXml" ds:itemID="{DF096022-2CE6-4031-BBF4-0198526A4B65}"/>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9680</Words>
  <Characters>53243</Characters>
  <Application>Microsoft Office Word</Application>
  <DocSecurity>0</DocSecurity>
  <Lines>443</Lines>
  <Paragraphs>125</Paragraphs>
  <ScaleCrop>false</ScaleCrop>
  <Company/>
  <LinksUpToDate>false</LinksUpToDate>
  <CharactersWithSpaces>62798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ANCP - CCE</cp:lastModifiedBy>
  <cp:revision>5</cp:revision>
  <cp:lastPrinted>2023-01-11T00:18:00Z</cp:lastPrinted>
  <dcterms:created xsi:type="dcterms:W3CDTF">2024-04-16T22:31:00Z</dcterms:created>
  <dcterms:modified xsi:type="dcterms:W3CDTF">2024-04-28T21:34:00Z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