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2188E" w14:textId="77777777" w:rsidR="00281054" w:rsidRPr="00035110" w:rsidRDefault="00281054" w:rsidP="00281054">
      <w:pPr>
        <w:spacing w:after="0"/>
        <w:jc w:val="both"/>
        <w:rPr>
          <w:rFonts w:ascii="Century Gothic" w:eastAsia="Calibri" w:hAnsi="Century Gothic" w:cs="Arial"/>
          <w:b/>
          <w:color w:val="000000" w:themeColor="text1"/>
          <w:sz w:val="20"/>
          <w:szCs w:val="20"/>
        </w:rPr>
      </w:pPr>
      <w:bookmarkStart w:id="0" w:name="_Hlk94281581"/>
      <w:bookmarkStart w:id="1" w:name="_Hlk102489058"/>
      <w:bookmarkStart w:id="2" w:name="_Hlk34951122"/>
    </w:p>
    <w:p w14:paraId="17C50543" w14:textId="77777777" w:rsidR="00281054" w:rsidRPr="00035110" w:rsidRDefault="00281054" w:rsidP="00281054">
      <w:pPr>
        <w:spacing w:after="0"/>
        <w:jc w:val="both"/>
        <w:rPr>
          <w:rFonts w:ascii="Century Gothic" w:eastAsia="Calibri" w:hAnsi="Century Gothic" w:cs="Arial"/>
          <w:b/>
          <w:color w:val="000000" w:themeColor="text1"/>
        </w:rPr>
      </w:pPr>
      <w:r w:rsidRPr="009B51DF">
        <w:rPr>
          <w:rFonts w:ascii="Century Gothic" w:eastAsia="Calibri" w:hAnsi="Century Gothic" w:cs="Arial"/>
          <w:b/>
          <w:color w:val="000000" w:themeColor="text1"/>
        </w:rPr>
        <w:t xml:space="preserve">PROPONENTE PLURAL </w:t>
      </w:r>
      <w:r w:rsidRPr="009B51DF">
        <w:rPr>
          <w:rFonts w:ascii="Arial" w:eastAsia="Calibri" w:hAnsi="Arial" w:cs="Arial"/>
          <w:b/>
          <w:color w:val="000000" w:themeColor="text1"/>
        </w:rPr>
        <w:t>‒</w:t>
      </w:r>
      <w:r w:rsidRPr="009B51DF">
        <w:rPr>
          <w:rFonts w:ascii="Century Gothic" w:eastAsia="Calibri" w:hAnsi="Century Gothic" w:cs="Arial"/>
          <w:b/>
          <w:color w:val="000000" w:themeColor="text1"/>
        </w:rPr>
        <w:t xml:space="preserve"> Consorcio </w:t>
      </w:r>
      <w:r w:rsidRPr="009B51DF">
        <w:rPr>
          <w:rFonts w:ascii="Arial" w:eastAsia="Calibri" w:hAnsi="Arial" w:cs="Arial"/>
          <w:b/>
          <w:color w:val="000000" w:themeColor="text1"/>
        </w:rPr>
        <w:t>‒</w:t>
      </w:r>
      <w:r w:rsidRPr="009B51DF">
        <w:rPr>
          <w:rFonts w:ascii="Century Gothic" w:eastAsia="Calibri" w:hAnsi="Century Gothic" w:cs="Arial"/>
          <w:b/>
          <w:color w:val="000000" w:themeColor="text1"/>
        </w:rPr>
        <w:t xml:space="preserve"> Uni</w:t>
      </w:r>
      <w:r w:rsidRPr="009B51DF">
        <w:rPr>
          <w:rFonts w:ascii="Century Gothic" w:eastAsia="Calibri" w:hAnsi="Century Gothic" w:cs="Century Gothic"/>
          <w:b/>
          <w:color w:val="000000" w:themeColor="text1"/>
        </w:rPr>
        <w:t>ó</w:t>
      </w:r>
      <w:r w:rsidRPr="009B51DF">
        <w:rPr>
          <w:rFonts w:ascii="Century Gothic" w:eastAsia="Calibri" w:hAnsi="Century Gothic" w:cs="Arial"/>
          <w:b/>
          <w:color w:val="000000" w:themeColor="text1"/>
        </w:rPr>
        <w:t xml:space="preserve">n temporal </w:t>
      </w:r>
      <w:r w:rsidRPr="009B51DF">
        <w:rPr>
          <w:rFonts w:ascii="Arial" w:eastAsia="Calibri" w:hAnsi="Arial" w:cs="Arial"/>
          <w:b/>
          <w:color w:val="000000" w:themeColor="text1"/>
        </w:rPr>
        <w:t>‒</w:t>
      </w:r>
      <w:r w:rsidRPr="009B51DF">
        <w:rPr>
          <w:rFonts w:ascii="Century Gothic" w:eastAsia="Calibri" w:hAnsi="Century Gothic" w:cs="Arial"/>
          <w:b/>
          <w:color w:val="000000" w:themeColor="text1"/>
        </w:rPr>
        <w:t xml:space="preserve"> Concepto </w:t>
      </w:r>
      <w:r w:rsidRPr="009B51DF">
        <w:rPr>
          <w:rFonts w:ascii="Century Gothic" w:eastAsia="Calibri" w:hAnsi="Century Gothic" w:cs="Century Gothic"/>
          <w:b/>
          <w:color w:val="000000" w:themeColor="text1"/>
        </w:rPr>
        <w:t>–</w:t>
      </w:r>
      <w:r w:rsidRPr="009B51DF">
        <w:rPr>
          <w:rFonts w:ascii="Century Gothic" w:eastAsia="Calibri" w:hAnsi="Century Gothic" w:cs="Arial"/>
          <w:b/>
          <w:color w:val="000000" w:themeColor="text1"/>
        </w:rPr>
        <w:t xml:space="preserve"> Diferencias</w:t>
      </w:r>
      <w:r w:rsidRPr="00035110">
        <w:rPr>
          <w:rFonts w:ascii="Century Gothic" w:eastAsia="Calibri" w:hAnsi="Century Gothic" w:cs="Arial"/>
          <w:b/>
          <w:color w:val="000000" w:themeColor="text1"/>
        </w:rPr>
        <w:t xml:space="preserve">  </w:t>
      </w:r>
    </w:p>
    <w:p w14:paraId="7C67909C" w14:textId="77777777" w:rsidR="00281054" w:rsidRPr="00035110" w:rsidRDefault="00281054" w:rsidP="00281054">
      <w:pPr>
        <w:spacing w:after="0"/>
        <w:jc w:val="both"/>
        <w:rPr>
          <w:rFonts w:ascii="Century Gothic" w:eastAsia="Calibri" w:hAnsi="Century Gothic" w:cs="Arial"/>
          <w:color w:val="000000" w:themeColor="text1"/>
          <w:sz w:val="20"/>
          <w:szCs w:val="20"/>
        </w:rPr>
      </w:pPr>
    </w:p>
    <w:p w14:paraId="2C23B67F" w14:textId="77777777" w:rsidR="00281054" w:rsidRPr="00035110" w:rsidRDefault="00281054" w:rsidP="00281054">
      <w:pPr>
        <w:spacing w:after="0"/>
        <w:jc w:val="both"/>
        <w:rPr>
          <w:rFonts w:ascii="Century Gothic" w:eastAsia="Calibri" w:hAnsi="Century Gothic" w:cs="Arial"/>
          <w:bCs/>
          <w:color w:val="000000" w:themeColor="text1"/>
          <w:sz w:val="20"/>
          <w:szCs w:val="20"/>
        </w:rPr>
      </w:pPr>
      <w:r w:rsidRPr="009B51DF">
        <w:rPr>
          <w:rFonts w:ascii="Century Gothic" w:eastAsia="Calibri" w:hAnsi="Century Gothic" w:cs="Arial"/>
          <w:bCs/>
          <w:color w:val="000000" w:themeColor="text1"/>
          <w:sz w:val="20"/>
          <w:szCs w:val="20"/>
        </w:rPr>
        <w:t xml:space="preserve">Los consorcios o uniones temporales son convenios de asociación provenientes de la colaboración empresarial, mediante los cuales sus integrantes se unen y se organizan mancomunadamente para lograr con mayor eficacia un fin común de contenido patrimonial y lucrativo, como lo es la obtención del derecho a ser adjudicatarios de un contrato estatal, compartiendo recursos, de toda índole, para su ejecución, así como las utilidades y los riesgos. La diferencia radica en la responsabilidad frente a las eventuales sanciones por el incumplimiento de las obligaciones, toda vez que tratándose de una unión temporal, estas se individualizan según la participación de sus miembros, mientras que en el consorcio los miembros responden solidariamente, con independencia de este aspecto.  </w:t>
      </w:r>
      <w:r w:rsidRPr="00035110">
        <w:rPr>
          <w:rFonts w:ascii="Century Gothic" w:eastAsia="Calibri" w:hAnsi="Century Gothic" w:cs="Arial"/>
          <w:bCs/>
          <w:color w:val="000000" w:themeColor="text1"/>
          <w:sz w:val="20"/>
          <w:szCs w:val="20"/>
        </w:rPr>
        <w:t xml:space="preserve"> </w:t>
      </w:r>
    </w:p>
    <w:p w14:paraId="711CE97F" w14:textId="77777777" w:rsidR="00281054" w:rsidRPr="006603AC" w:rsidRDefault="00281054" w:rsidP="00281054">
      <w:pPr>
        <w:tabs>
          <w:tab w:val="left" w:pos="6551"/>
        </w:tabs>
        <w:spacing w:after="0" w:line="240" w:lineRule="auto"/>
        <w:jc w:val="both"/>
        <w:rPr>
          <w:rFonts w:ascii="Century Gothic" w:eastAsia="Calibri" w:hAnsi="Century Gothic" w:cs="Arial"/>
          <w:b/>
          <w:color w:val="000000" w:themeColor="text1"/>
          <w:sz w:val="20"/>
          <w:szCs w:val="20"/>
          <w:lang w:val="es-ES_tradnl"/>
        </w:rPr>
      </w:pPr>
    </w:p>
    <w:p w14:paraId="7D369249" w14:textId="77777777" w:rsidR="00281054" w:rsidRPr="00035110" w:rsidRDefault="00281054" w:rsidP="00281054">
      <w:pPr>
        <w:tabs>
          <w:tab w:val="left" w:pos="6551"/>
        </w:tabs>
        <w:spacing w:after="0" w:line="240" w:lineRule="auto"/>
        <w:jc w:val="both"/>
        <w:rPr>
          <w:rFonts w:ascii="Century Gothic" w:eastAsia="Calibri" w:hAnsi="Century Gothic" w:cs="Arial"/>
          <w:b/>
          <w:color w:val="000000" w:themeColor="text1"/>
          <w:lang w:val="es-ES_tradnl"/>
        </w:rPr>
      </w:pPr>
      <w:r w:rsidRPr="00035110">
        <w:rPr>
          <w:rFonts w:ascii="Century Gothic" w:eastAsia="Calibri" w:hAnsi="Century Gothic" w:cs="Arial"/>
          <w:b/>
          <w:color w:val="000000" w:themeColor="text1"/>
          <w:lang w:val="es-ES_tradnl"/>
        </w:rPr>
        <w:t xml:space="preserve">CONVOCATORIAS LIMITADAS A MIPYMES – </w:t>
      </w:r>
      <w:r>
        <w:rPr>
          <w:rFonts w:ascii="Century Gothic" w:eastAsia="Calibri" w:hAnsi="Century Gothic" w:cs="Arial"/>
          <w:b/>
          <w:color w:val="000000" w:themeColor="text1"/>
          <w:lang w:val="es-ES_tradnl"/>
        </w:rPr>
        <w:t>Legitimación</w:t>
      </w:r>
      <w:r w:rsidRPr="00035110">
        <w:rPr>
          <w:rFonts w:ascii="Century Gothic" w:eastAsia="Calibri" w:hAnsi="Century Gothic" w:cs="Arial"/>
          <w:b/>
          <w:color w:val="000000" w:themeColor="text1"/>
          <w:lang w:val="es-ES_tradnl"/>
        </w:rPr>
        <w:t xml:space="preserve"> – </w:t>
      </w:r>
      <w:r>
        <w:rPr>
          <w:rFonts w:ascii="Century Gothic" w:eastAsia="Calibri" w:hAnsi="Century Gothic" w:cs="Arial"/>
          <w:b/>
          <w:color w:val="000000" w:themeColor="text1"/>
          <w:lang w:val="es-ES_tradnl"/>
        </w:rPr>
        <w:t>Integrantes del consorcio o unión temporal – Documentación</w:t>
      </w:r>
      <w:r w:rsidRPr="00035110">
        <w:rPr>
          <w:rFonts w:ascii="Century Gothic" w:eastAsia="Calibri" w:hAnsi="Century Gothic" w:cs="Arial"/>
          <w:b/>
          <w:color w:val="000000" w:themeColor="text1"/>
          <w:lang w:val="es-ES_tradnl"/>
        </w:rPr>
        <w:t xml:space="preserve">  </w:t>
      </w:r>
    </w:p>
    <w:p w14:paraId="3197031D" w14:textId="77777777" w:rsidR="00281054" w:rsidRPr="00035110" w:rsidRDefault="00281054" w:rsidP="00281054">
      <w:pPr>
        <w:tabs>
          <w:tab w:val="left" w:pos="6551"/>
        </w:tabs>
        <w:spacing w:after="0" w:line="240" w:lineRule="auto"/>
        <w:jc w:val="both"/>
        <w:rPr>
          <w:rFonts w:ascii="Century Gothic" w:eastAsia="Calibri" w:hAnsi="Century Gothic" w:cs="Arial"/>
          <w:b/>
          <w:color w:val="000000" w:themeColor="text1"/>
          <w:lang w:val="es-ES_tradnl"/>
        </w:rPr>
      </w:pPr>
    </w:p>
    <w:p w14:paraId="095F4E79" w14:textId="77777777" w:rsidR="00281054" w:rsidRDefault="00281054" w:rsidP="00281054">
      <w:pPr>
        <w:widowControl w:val="0"/>
        <w:autoSpaceDE w:val="0"/>
        <w:autoSpaceDN w:val="0"/>
        <w:spacing w:line="240" w:lineRule="auto"/>
        <w:contextualSpacing/>
        <w:jc w:val="both"/>
        <w:rPr>
          <w:rFonts w:ascii="Century Gothic" w:eastAsia="Calibri" w:hAnsi="Century Gothic" w:cs="Arial"/>
          <w:bCs/>
          <w:sz w:val="20"/>
          <w:szCs w:val="20"/>
        </w:rPr>
      </w:pPr>
      <w:r>
        <w:rPr>
          <w:rFonts w:ascii="Century Gothic" w:eastAsia="Calibri" w:hAnsi="Century Gothic" w:cs="Arial"/>
          <w:bCs/>
          <w:sz w:val="20"/>
          <w:szCs w:val="20"/>
        </w:rPr>
        <w:t xml:space="preserve">[…] </w:t>
      </w:r>
      <w:r w:rsidRPr="00397BF2">
        <w:rPr>
          <w:rFonts w:ascii="Century Gothic" w:eastAsia="Calibri" w:hAnsi="Century Gothic" w:cs="Arial"/>
          <w:bCs/>
          <w:sz w:val="20"/>
          <w:szCs w:val="20"/>
        </w:rPr>
        <w:t xml:space="preserve">no es el consorcio o la unión temporal quien, a través de su representante, solicita limitar la convocatoria. Los proponentes plurales carecen de personería jurídica y, por tanto, los que pueden clasificarse como </w:t>
      </w:r>
      <w:proofErr w:type="spellStart"/>
      <w:r w:rsidRPr="00397BF2">
        <w:rPr>
          <w:rFonts w:ascii="Century Gothic" w:eastAsia="Calibri" w:hAnsi="Century Gothic" w:cs="Arial"/>
          <w:bCs/>
          <w:sz w:val="20"/>
          <w:szCs w:val="20"/>
        </w:rPr>
        <w:t>Mipyme</w:t>
      </w:r>
      <w:proofErr w:type="spellEnd"/>
      <w:r w:rsidRPr="00397BF2">
        <w:rPr>
          <w:rFonts w:ascii="Century Gothic" w:eastAsia="Calibri" w:hAnsi="Century Gothic" w:cs="Arial"/>
          <w:bCs/>
          <w:sz w:val="20"/>
          <w:szCs w:val="20"/>
        </w:rPr>
        <w:t xml:space="preserve"> son los integrantes del proponente plural. Uno o varios de ellos pueden pedir la limitación siempre que aporten alguno de los documentos mencionados en el artículo 2.2.1.2.4.2.4 del Decreto 1082 de 2015. Conforme al parágrafo 1, “[…] las </w:t>
      </w:r>
      <w:proofErr w:type="spellStart"/>
      <w:r w:rsidRPr="00397BF2">
        <w:rPr>
          <w:rFonts w:ascii="Century Gothic" w:eastAsia="Calibri" w:hAnsi="Century Gothic" w:cs="Arial"/>
          <w:bCs/>
          <w:sz w:val="20"/>
          <w:szCs w:val="20"/>
        </w:rPr>
        <w:t>Mipyme</w:t>
      </w:r>
      <w:proofErr w:type="spellEnd"/>
      <w:r w:rsidRPr="00397BF2">
        <w:rPr>
          <w:rFonts w:ascii="Century Gothic" w:eastAsia="Calibri" w:hAnsi="Century Gothic" w:cs="Arial"/>
          <w:bCs/>
          <w:sz w:val="20"/>
          <w:szCs w:val="20"/>
        </w:rPr>
        <w:t xml:space="preserve"> […] podrán acreditar esta condición con la copia del certificado del Registro Único de Proponentes, el cual deberá encontrarse vigente y en firme al momento de su presentación”. </w:t>
      </w:r>
    </w:p>
    <w:p w14:paraId="285230C1" w14:textId="77777777" w:rsidR="00281054" w:rsidRPr="00397BF2" w:rsidRDefault="00281054" w:rsidP="00281054">
      <w:pPr>
        <w:widowControl w:val="0"/>
        <w:autoSpaceDE w:val="0"/>
        <w:autoSpaceDN w:val="0"/>
        <w:spacing w:line="240" w:lineRule="auto"/>
        <w:contextualSpacing/>
        <w:jc w:val="both"/>
        <w:rPr>
          <w:rFonts w:ascii="Century Gothic" w:eastAsia="Calibri" w:hAnsi="Century Gothic" w:cs="Arial"/>
          <w:bCs/>
          <w:sz w:val="20"/>
          <w:szCs w:val="20"/>
        </w:rPr>
      </w:pPr>
    </w:p>
    <w:p w14:paraId="742529D0" w14:textId="77777777" w:rsidR="00281054" w:rsidRDefault="00281054" w:rsidP="00281054">
      <w:pPr>
        <w:widowControl w:val="0"/>
        <w:autoSpaceDE w:val="0"/>
        <w:autoSpaceDN w:val="0"/>
        <w:spacing w:line="240" w:lineRule="auto"/>
        <w:contextualSpacing/>
        <w:jc w:val="both"/>
        <w:rPr>
          <w:rFonts w:ascii="Century Gothic" w:eastAsia="Calibri" w:hAnsi="Century Gothic" w:cs="Arial"/>
          <w:bCs/>
          <w:sz w:val="20"/>
          <w:szCs w:val="20"/>
        </w:rPr>
      </w:pPr>
      <w:r w:rsidRPr="00397BF2">
        <w:rPr>
          <w:rFonts w:ascii="Century Gothic" w:eastAsia="Calibri" w:hAnsi="Century Gothic" w:cs="Arial"/>
          <w:bCs/>
          <w:sz w:val="20"/>
          <w:szCs w:val="20"/>
        </w:rPr>
        <w:t>Si alguno(s) de los integrantes carece(n) de registro, el numeral 2 del artículo 2.2.1.2.4.2.4 del Decreto 1082 de 2015 permite acreditar que tiene(n) el tamaño empresarial “[…] mediante certificación expedida por el representante legal y el contador o revisor fiscal, si están obligados a tenerlo, adjuntando copia del certificado de existencia y representación legal expedido por la Cámara de Comercio o por la autoridad competente para expedir dicha certificación”. Ambos deben suscribirla, por lo que no basta la firma del representante: la certificación también debe ir acompañada por la del contador o el revisor fiscal. Tratándose de estos últimos, la norma no exige adjuntar la tarjeta profesional ni los antecedentes disciplinarios de la profesión.</w:t>
      </w:r>
    </w:p>
    <w:p w14:paraId="50C1F843" w14:textId="77777777" w:rsidR="00281054" w:rsidRPr="00397BF2" w:rsidRDefault="00281054" w:rsidP="00281054">
      <w:pPr>
        <w:widowControl w:val="0"/>
        <w:autoSpaceDE w:val="0"/>
        <w:autoSpaceDN w:val="0"/>
        <w:spacing w:line="240" w:lineRule="auto"/>
        <w:contextualSpacing/>
        <w:jc w:val="both"/>
        <w:rPr>
          <w:rFonts w:ascii="Century Gothic" w:eastAsia="Calibri" w:hAnsi="Century Gothic" w:cs="Arial"/>
          <w:bCs/>
          <w:sz w:val="20"/>
          <w:szCs w:val="20"/>
        </w:rPr>
      </w:pPr>
    </w:p>
    <w:p w14:paraId="3C5E0B2A" w14:textId="77777777" w:rsidR="00281054" w:rsidRPr="00035110" w:rsidRDefault="00281054" w:rsidP="00281054">
      <w:pPr>
        <w:widowControl w:val="0"/>
        <w:autoSpaceDE w:val="0"/>
        <w:autoSpaceDN w:val="0"/>
        <w:spacing w:line="240" w:lineRule="auto"/>
        <w:contextualSpacing/>
        <w:jc w:val="both"/>
        <w:rPr>
          <w:rFonts w:ascii="Century Gothic" w:eastAsia="Calibri" w:hAnsi="Century Gothic" w:cs="Arial"/>
          <w:bCs/>
          <w:sz w:val="20"/>
          <w:szCs w:val="20"/>
        </w:rPr>
      </w:pPr>
      <w:r w:rsidRPr="00397BF2">
        <w:rPr>
          <w:rFonts w:ascii="Century Gothic" w:eastAsia="Calibri" w:hAnsi="Century Gothic" w:cs="Arial"/>
          <w:bCs/>
          <w:sz w:val="20"/>
          <w:szCs w:val="20"/>
        </w:rPr>
        <w:t xml:space="preserve">El RUP o el certificado de existencia y representación deben tener una fecha actualizada. Así lo dispone el parágrafo 2 del artículo citado en el párrafo anterior en los siguientes términos: “Para efectos de la limitación a </w:t>
      </w:r>
      <w:proofErr w:type="spellStart"/>
      <w:r w:rsidRPr="00397BF2">
        <w:rPr>
          <w:rFonts w:ascii="Century Gothic" w:eastAsia="Calibri" w:hAnsi="Century Gothic" w:cs="Arial"/>
          <w:bCs/>
          <w:sz w:val="20"/>
          <w:szCs w:val="20"/>
        </w:rPr>
        <w:t>Mipyme</w:t>
      </w:r>
      <w:proofErr w:type="spellEnd"/>
      <w:r w:rsidRPr="00397BF2">
        <w:rPr>
          <w:rFonts w:ascii="Century Gothic" w:eastAsia="Calibri" w:hAnsi="Century Gothic" w:cs="Arial"/>
          <w:bCs/>
          <w:sz w:val="20"/>
          <w:szCs w:val="20"/>
        </w:rPr>
        <w:t>, los proponentes aportarán la copia del registro mercantil, del certificado de existencia y representación legal o del Registro Único de Proponentes, según corresponda conforme a las reglas precedentes, con una fecha de máximo sesenta (60) días calendario anteriores a la prevista en el cronograma del Proceso de Contratación para el inicio del plazo para solicitar la convocatoria limitada”.</w:t>
      </w:r>
    </w:p>
    <w:p w14:paraId="35897D8D" w14:textId="77777777" w:rsidR="00281054" w:rsidRDefault="00281054" w:rsidP="0064450E">
      <w:pPr>
        <w:spacing w:after="0"/>
        <w:rPr>
          <w:rFonts w:ascii="Century Gothic" w:eastAsia="Geomanist Light" w:hAnsi="Century Gothic" w:cs="Arial"/>
          <w:color w:val="201F1E"/>
          <w:lang w:val="es-MX"/>
        </w:rPr>
      </w:pPr>
    </w:p>
    <w:p w14:paraId="4F3327FE" w14:textId="77777777" w:rsidR="00281054" w:rsidRDefault="00281054" w:rsidP="0064450E">
      <w:pPr>
        <w:spacing w:after="0"/>
        <w:rPr>
          <w:rFonts w:ascii="Century Gothic" w:eastAsia="Geomanist Light" w:hAnsi="Century Gothic" w:cs="Arial"/>
          <w:color w:val="201F1E"/>
          <w:lang w:val="es-MX"/>
        </w:rPr>
      </w:pPr>
    </w:p>
    <w:p w14:paraId="27C9C75A" w14:textId="77777777" w:rsidR="00281054" w:rsidRDefault="00281054" w:rsidP="0064450E">
      <w:pPr>
        <w:spacing w:after="0"/>
        <w:rPr>
          <w:rFonts w:ascii="Century Gothic" w:eastAsia="Geomanist Light" w:hAnsi="Century Gothic" w:cs="Arial"/>
          <w:color w:val="201F1E"/>
          <w:lang w:val="es-MX"/>
        </w:rPr>
      </w:pPr>
    </w:p>
    <w:p w14:paraId="59900C3B" w14:textId="266C6775" w:rsidR="0064450E" w:rsidRPr="00035110" w:rsidRDefault="0064450E" w:rsidP="0064450E">
      <w:pPr>
        <w:spacing w:after="0"/>
        <w:rPr>
          <w:rFonts w:ascii="Century Gothic" w:eastAsia="Geomanist Light" w:hAnsi="Century Gothic" w:cs="Arial"/>
          <w:color w:val="201F1E"/>
          <w:lang w:val="es-MX"/>
        </w:rPr>
      </w:pPr>
      <w:r w:rsidRPr="00035110">
        <w:rPr>
          <w:rFonts w:ascii="Century Gothic" w:eastAsia="Geomanist Light" w:hAnsi="Century Gothic" w:cs="Arial"/>
          <w:color w:val="201F1E"/>
          <w:lang w:val="es-MX"/>
        </w:rPr>
        <w:lastRenderedPageBreak/>
        <w:t xml:space="preserve">Bogotá D.C., </w:t>
      </w:r>
      <w:r w:rsidR="00C747AD" w:rsidRPr="00C747AD">
        <w:rPr>
          <w:rFonts w:ascii="Century Gothic" w:eastAsia="Geomanist Light" w:hAnsi="Century Gothic" w:cs="Arial"/>
          <w:color w:val="201F1E"/>
          <w:lang w:val="es-MX"/>
        </w:rPr>
        <w:t xml:space="preserve">23 de </w:t>
      </w:r>
      <w:proofErr w:type="gramStart"/>
      <w:r w:rsidR="00C747AD" w:rsidRPr="00C747AD">
        <w:rPr>
          <w:rFonts w:ascii="Century Gothic" w:eastAsia="Geomanist Light" w:hAnsi="Century Gothic" w:cs="Arial"/>
          <w:color w:val="201F1E"/>
          <w:lang w:val="es-MX"/>
        </w:rPr>
        <w:t>Abril</w:t>
      </w:r>
      <w:proofErr w:type="gramEnd"/>
      <w:r w:rsidR="00C747AD" w:rsidRPr="00C747AD">
        <w:rPr>
          <w:rFonts w:ascii="Century Gothic" w:eastAsia="Geomanist Light" w:hAnsi="Century Gothic" w:cs="Arial"/>
          <w:color w:val="201F1E"/>
          <w:lang w:val="es-MX"/>
        </w:rPr>
        <w:t xml:space="preserve"> de 2024</w:t>
      </w:r>
    </w:p>
    <w:p w14:paraId="063207CF" w14:textId="77777777" w:rsidR="0064450E" w:rsidRDefault="0064450E" w:rsidP="0064450E">
      <w:pPr>
        <w:spacing w:after="0"/>
        <w:rPr>
          <w:rFonts w:ascii="Century Gothic" w:eastAsia="Times New Roman" w:hAnsi="Century Gothic" w:cs="Arial"/>
          <w:lang w:val="es-MX" w:eastAsia="es-ES"/>
        </w:rPr>
      </w:pPr>
    </w:p>
    <w:p w14:paraId="67B9B2CD" w14:textId="3B4EFCBD" w:rsidR="00C747AD" w:rsidRPr="00035110" w:rsidRDefault="00C747AD" w:rsidP="00C747AD">
      <w:pPr>
        <w:spacing w:after="0"/>
        <w:jc w:val="right"/>
        <w:rPr>
          <w:rFonts w:ascii="Century Gothic" w:eastAsia="Times New Roman" w:hAnsi="Century Gothic" w:cs="Arial"/>
          <w:lang w:val="es-MX" w:eastAsia="es-ES"/>
        </w:rPr>
      </w:pPr>
      <w:r>
        <w:rPr>
          <w:noProof/>
        </w:rPr>
        <w:drawing>
          <wp:inline distT="0" distB="0" distL="0" distR="0" wp14:anchorId="6042AD8F" wp14:editId="79092B0D">
            <wp:extent cx="3253476" cy="904813"/>
            <wp:effectExtent l="0" t="0" r="4445" b="0"/>
            <wp:docPr id="16791867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186788" name=""/>
                    <pic:cNvPicPr/>
                  </pic:nvPicPr>
                  <pic:blipFill>
                    <a:blip r:embed="rId10"/>
                    <a:stretch>
                      <a:fillRect/>
                    </a:stretch>
                  </pic:blipFill>
                  <pic:spPr>
                    <a:xfrm>
                      <a:off x="0" y="0"/>
                      <a:ext cx="3253476" cy="904813"/>
                    </a:xfrm>
                    <a:prstGeom prst="rect">
                      <a:avLst/>
                    </a:prstGeom>
                  </pic:spPr>
                </pic:pic>
              </a:graphicData>
            </a:graphic>
          </wp:inline>
        </w:drawing>
      </w:r>
    </w:p>
    <w:p w14:paraId="4862318B" w14:textId="77777777" w:rsidR="0064450E" w:rsidRPr="00035110" w:rsidRDefault="0064450E" w:rsidP="0064450E">
      <w:pPr>
        <w:spacing w:after="0"/>
        <w:contextualSpacing/>
        <w:jc w:val="both"/>
        <w:rPr>
          <w:rFonts w:ascii="Century Gothic" w:eastAsia="Calibri" w:hAnsi="Century Gothic" w:cs="Arial"/>
          <w:lang w:val="es-ES_tradnl" w:eastAsia="es-ES_tradnl"/>
        </w:rPr>
      </w:pPr>
    </w:p>
    <w:p w14:paraId="7A1374D0" w14:textId="77777777" w:rsidR="0064450E" w:rsidRPr="00035110" w:rsidRDefault="0064450E" w:rsidP="0064450E">
      <w:pPr>
        <w:contextualSpacing/>
        <w:jc w:val="both"/>
        <w:rPr>
          <w:rFonts w:ascii="Century Gothic" w:eastAsia="Calibri" w:hAnsi="Century Gothic" w:cs="Arial"/>
          <w:lang w:eastAsia="es-ES_tradnl"/>
        </w:rPr>
      </w:pPr>
      <w:r w:rsidRPr="00035110">
        <w:rPr>
          <w:rFonts w:ascii="Century Gothic" w:eastAsia="Calibri" w:hAnsi="Century Gothic" w:cs="Arial"/>
          <w:lang w:eastAsia="es-ES_tradnl"/>
        </w:rPr>
        <w:t>Señor</w:t>
      </w:r>
      <w:r>
        <w:rPr>
          <w:rFonts w:ascii="Century Gothic" w:eastAsia="Calibri" w:hAnsi="Century Gothic" w:cs="Arial"/>
          <w:lang w:eastAsia="es-ES_tradnl"/>
        </w:rPr>
        <w:t>a</w:t>
      </w:r>
    </w:p>
    <w:p w14:paraId="57754F2A" w14:textId="77777777" w:rsidR="0064450E" w:rsidRDefault="0064450E" w:rsidP="0064450E">
      <w:pPr>
        <w:contextualSpacing/>
        <w:jc w:val="both"/>
        <w:rPr>
          <w:rFonts w:ascii="Century Gothic" w:eastAsia="Calibri" w:hAnsi="Century Gothic" w:cs="Arial"/>
          <w:b/>
          <w:lang w:eastAsia="es-ES_tradnl"/>
        </w:rPr>
      </w:pPr>
      <w:r w:rsidRPr="006603AC">
        <w:rPr>
          <w:rFonts w:ascii="Century Gothic" w:eastAsia="Calibri" w:hAnsi="Century Gothic" w:cs="Arial"/>
          <w:b/>
          <w:lang w:eastAsia="es-ES_tradnl"/>
        </w:rPr>
        <w:t>Valery Natalia Arboleda Gómez</w:t>
      </w:r>
    </w:p>
    <w:p w14:paraId="4A6AE4FC" w14:textId="77777777" w:rsidR="0064450E" w:rsidRPr="00035110" w:rsidRDefault="0064450E" w:rsidP="0064450E">
      <w:pPr>
        <w:contextualSpacing/>
        <w:jc w:val="both"/>
        <w:rPr>
          <w:rFonts w:ascii="Century Gothic" w:eastAsia="Calibri" w:hAnsi="Century Gothic" w:cs="Arial"/>
          <w:lang w:eastAsia="es-ES_tradnl"/>
        </w:rPr>
      </w:pPr>
      <w:r>
        <w:rPr>
          <w:rFonts w:ascii="Century Gothic" w:eastAsia="Calibri" w:hAnsi="Century Gothic" w:cs="Arial"/>
          <w:lang w:eastAsia="es-ES_tradnl"/>
        </w:rPr>
        <w:t>Medellín, Antioquia</w:t>
      </w:r>
      <w:r w:rsidRPr="00035110">
        <w:rPr>
          <w:rFonts w:ascii="Century Gothic" w:eastAsia="Calibri" w:hAnsi="Century Gothic" w:cs="Arial"/>
          <w:lang w:eastAsia="es-ES_tradnl"/>
        </w:rPr>
        <w:t xml:space="preserve">  </w:t>
      </w:r>
    </w:p>
    <w:p w14:paraId="01DF7284" w14:textId="77777777" w:rsidR="0064450E" w:rsidRPr="00035110" w:rsidRDefault="0064450E" w:rsidP="0064450E">
      <w:pPr>
        <w:contextualSpacing/>
        <w:jc w:val="both"/>
        <w:rPr>
          <w:rFonts w:ascii="Century Gothic" w:eastAsia="Calibri" w:hAnsi="Century Gothic" w:cs="Arial"/>
          <w:lang w:val="es-ES_tradnl" w:eastAsia="es-ES_tradnl"/>
        </w:rPr>
      </w:pPr>
    </w:p>
    <w:p w14:paraId="7438D2B2" w14:textId="77777777" w:rsidR="0064450E" w:rsidRPr="00035110" w:rsidRDefault="0064450E" w:rsidP="0064450E">
      <w:pPr>
        <w:contextualSpacing/>
        <w:rPr>
          <w:rFonts w:ascii="Century Gothic" w:eastAsia="Calibri" w:hAnsi="Century Gothic" w:cs="Arial"/>
          <w:b/>
          <w:lang w:val="es-ES_tradnl" w:eastAsia="es-ES_tradnl"/>
        </w:rPr>
      </w:pPr>
    </w:p>
    <w:p w14:paraId="42F7DEF7" w14:textId="77777777" w:rsidR="0064450E" w:rsidRPr="00035110" w:rsidRDefault="0064450E" w:rsidP="0064450E">
      <w:pPr>
        <w:ind w:left="2124" w:firstLine="570"/>
        <w:contextualSpacing/>
        <w:rPr>
          <w:rFonts w:ascii="Century Gothic" w:eastAsia="Calibri" w:hAnsi="Century Gothic" w:cs="Arial"/>
          <w:b/>
          <w:lang w:val="es-ES_tradnl" w:eastAsia="es-ES_tradnl"/>
        </w:rPr>
      </w:pPr>
      <w:r w:rsidRPr="00035110">
        <w:rPr>
          <w:rFonts w:ascii="Century Gothic" w:eastAsia="Calibri" w:hAnsi="Century Gothic" w:cs="Arial"/>
          <w:b/>
          <w:lang w:val="es-ES_tradnl" w:eastAsia="es-ES_tradnl"/>
        </w:rPr>
        <w:t xml:space="preserve">Concepto C – </w:t>
      </w:r>
      <w:r>
        <w:rPr>
          <w:rFonts w:ascii="Century Gothic" w:eastAsia="Calibri" w:hAnsi="Century Gothic" w:cs="Arial"/>
          <w:b/>
          <w:lang w:val="es-ES_tradnl" w:eastAsia="es-ES_tradnl"/>
        </w:rPr>
        <w:t>048</w:t>
      </w:r>
      <w:r w:rsidRPr="00035110">
        <w:rPr>
          <w:rFonts w:ascii="Century Gothic" w:eastAsia="Calibri" w:hAnsi="Century Gothic" w:cs="Arial"/>
          <w:b/>
          <w:lang w:val="es-ES_tradnl" w:eastAsia="es-ES_tradnl"/>
        </w:rPr>
        <w:t xml:space="preserve"> de 2024</w:t>
      </w:r>
    </w:p>
    <w:p w14:paraId="3A3194A7" w14:textId="77777777" w:rsidR="0064450E" w:rsidRPr="00035110" w:rsidRDefault="0064450E" w:rsidP="0064450E">
      <w:pPr>
        <w:contextualSpacing/>
        <w:jc w:val="both"/>
        <w:rPr>
          <w:rFonts w:ascii="Century Gothic" w:eastAsia="Calibri" w:hAnsi="Century Gothic"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4450E" w:rsidRPr="00035110" w14:paraId="61304706" w14:textId="77777777" w:rsidTr="0087636B">
        <w:tc>
          <w:tcPr>
            <w:tcW w:w="2689" w:type="dxa"/>
          </w:tcPr>
          <w:p w14:paraId="1B20AC3A" w14:textId="77777777" w:rsidR="0064450E" w:rsidRPr="00035110" w:rsidRDefault="0064450E" w:rsidP="0087636B">
            <w:pPr>
              <w:contextualSpacing/>
              <w:jc w:val="both"/>
              <w:rPr>
                <w:rFonts w:ascii="Century Gothic" w:eastAsia="Calibri" w:hAnsi="Century Gothic" w:cs="Arial"/>
                <w:lang w:val="es-ES_tradnl" w:eastAsia="es-ES_tradnl"/>
              </w:rPr>
            </w:pPr>
            <w:r w:rsidRPr="00035110">
              <w:rPr>
                <w:rFonts w:ascii="Century Gothic" w:eastAsia="Calibri" w:hAnsi="Century Gothic" w:cs="Arial"/>
                <w:b/>
                <w:lang w:val="es-ES_tradnl" w:eastAsia="es-ES_tradnl"/>
              </w:rPr>
              <w:t>Temas:</w:t>
            </w:r>
            <w:r w:rsidRPr="00035110">
              <w:rPr>
                <w:rFonts w:ascii="Century Gothic" w:eastAsia="Calibri" w:hAnsi="Century Gothic" w:cs="Arial"/>
                <w:lang w:val="es-ES_tradnl" w:eastAsia="es-ES_tradnl"/>
              </w:rPr>
              <w:t xml:space="preserve">                                      </w:t>
            </w:r>
          </w:p>
        </w:tc>
        <w:tc>
          <w:tcPr>
            <w:tcW w:w="6237" w:type="dxa"/>
          </w:tcPr>
          <w:p w14:paraId="4F7BF394" w14:textId="77777777" w:rsidR="0064450E" w:rsidRPr="00035110" w:rsidRDefault="0064450E" w:rsidP="0087636B">
            <w:pPr>
              <w:spacing w:after="120"/>
              <w:contextualSpacing/>
              <w:jc w:val="both"/>
              <w:rPr>
                <w:rFonts w:ascii="Century Gothic" w:eastAsia="Calibri" w:hAnsi="Century Gothic" w:cs="Arial"/>
                <w:lang w:val="es-MX" w:eastAsia="es-ES_tradnl"/>
              </w:rPr>
            </w:pPr>
            <w:r w:rsidRPr="006634C4">
              <w:rPr>
                <w:rFonts w:ascii="Century Gothic" w:eastAsia="Calibri" w:hAnsi="Century Gothic" w:cs="Arial"/>
                <w:lang w:val="es-MX" w:eastAsia="es-ES_tradnl"/>
              </w:rPr>
              <w:t xml:space="preserve">PROPONENTE PLURAL </w:t>
            </w:r>
            <w:r w:rsidRPr="006634C4">
              <w:rPr>
                <w:rFonts w:ascii="Arial" w:eastAsia="Calibri" w:hAnsi="Arial" w:cs="Arial"/>
                <w:lang w:val="es-MX" w:eastAsia="es-ES_tradnl"/>
              </w:rPr>
              <w:t>‒</w:t>
            </w:r>
            <w:r w:rsidRPr="006634C4">
              <w:rPr>
                <w:rFonts w:ascii="Century Gothic" w:eastAsia="Calibri" w:hAnsi="Century Gothic" w:cs="Arial"/>
                <w:lang w:val="es-MX" w:eastAsia="es-ES_tradnl"/>
              </w:rPr>
              <w:t xml:space="preserve"> Consorcio </w:t>
            </w:r>
            <w:r w:rsidRPr="006634C4">
              <w:rPr>
                <w:rFonts w:ascii="Arial" w:eastAsia="Calibri" w:hAnsi="Arial" w:cs="Arial"/>
                <w:lang w:val="es-MX" w:eastAsia="es-ES_tradnl"/>
              </w:rPr>
              <w:t>‒</w:t>
            </w:r>
            <w:r w:rsidRPr="006634C4">
              <w:rPr>
                <w:rFonts w:ascii="Century Gothic" w:eastAsia="Calibri" w:hAnsi="Century Gothic" w:cs="Arial"/>
                <w:lang w:val="es-MX" w:eastAsia="es-ES_tradnl"/>
              </w:rPr>
              <w:t xml:space="preserve"> Uni</w:t>
            </w:r>
            <w:r w:rsidRPr="006634C4">
              <w:rPr>
                <w:rFonts w:ascii="Century Gothic" w:eastAsia="Calibri" w:hAnsi="Century Gothic" w:cs="Century Gothic"/>
                <w:lang w:val="es-MX" w:eastAsia="es-ES_tradnl"/>
              </w:rPr>
              <w:t>ó</w:t>
            </w:r>
            <w:r w:rsidRPr="006634C4">
              <w:rPr>
                <w:rFonts w:ascii="Century Gothic" w:eastAsia="Calibri" w:hAnsi="Century Gothic" w:cs="Arial"/>
                <w:lang w:val="es-MX" w:eastAsia="es-ES_tradnl"/>
              </w:rPr>
              <w:t xml:space="preserve">n temporal </w:t>
            </w:r>
            <w:r w:rsidRPr="006634C4">
              <w:rPr>
                <w:rFonts w:ascii="Arial" w:eastAsia="Calibri" w:hAnsi="Arial" w:cs="Arial"/>
                <w:lang w:val="es-MX" w:eastAsia="es-ES_tradnl"/>
              </w:rPr>
              <w:t>‒</w:t>
            </w:r>
            <w:r w:rsidRPr="006634C4">
              <w:rPr>
                <w:rFonts w:ascii="Century Gothic" w:eastAsia="Calibri" w:hAnsi="Century Gothic" w:cs="Arial"/>
                <w:lang w:val="es-MX" w:eastAsia="es-ES_tradnl"/>
              </w:rPr>
              <w:t xml:space="preserve"> Concepto </w:t>
            </w:r>
            <w:r w:rsidRPr="006634C4">
              <w:rPr>
                <w:rFonts w:ascii="Century Gothic" w:eastAsia="Calibri" w:hAnsi="Century Gothic" w:cs="Century Gothic"/>
                <w:lang w:val="es-MX" w:eastAsia="es-ES_tradnl"/>
              </w:rPr>
              <w:t>–</w:t>
            </w:r>
            <w:r w:rsidRPr="006634C4">
              <w:rPr>
                <w:rFonts w:ascii="Century Gothic" w:eastAsia="Calibri" w:hAnsi="Century Gothic" w:cs="Arial"/>
                <w:lang w:val="es-MX" w:eastAsia="es-ES_tradnl"/>
              </w:rPr>
              <w:t xml:space="preserve"> Diferencias</w:t>
            </w:r>
            <w:r>
              <w:rPr>
                <w:rFonts w:ascii="Century Gothic" w:eastAsia="Calibri" w:hAnsi="Century Gothic" w:cs="Arial"/>
                <w:lang w:val="es-MX" w:eastAsia="es-ES_tradnl"/>
              </w:rPr>
              <w:t xml:space="preserve"> </w:t>
            </w:r>
            <w:r w:rsidRPr="00035110">
              <w:rPr>
                <w:rFonts w:ascii="Century Gothic" w:eastAsia="Calibri" w:hAnsi="Century Gothic" w:cs="Arial"/>
                <w:lang w:val="es-MX" w:eastAsia="es-ES_tradnl"/>
              </w:rPr>
              <w:t xml:space="preserve">/ </w:t>
            </w:r>
            <w:r w:rsidRPr="00397BF2">
              <w:rPr>
                <w:rFonts w:ascii="Century Gothic" w:eastAsia="Calibri" w:hAnsi="Century Gothic" w:cs="Arial"/>
                <w:lang w:val="es-MX" w:eastAsia="es-ES_tradnl"/>
              </w:rPr>
              <w:t xml:space="preserve">CONVOCATORIAS LIMITADAS A MIPYMES – Legitimación – Integrantes del consorcio o unión temporal – Documentación </w:t>
            </w:r>
          </w:p>
          <w:p w14:paraId="613C4BAE" w14:textId="77777777" w:rsidR="0064450E" w:rsidRPr="00035110" w:rsidRDefault="0064450E" w:rsidP="0087636B">
            <w:pPr>
              <w:spacing w:after="120"/>
              <w:contextualSpacing/>
              <w:jc w:val="both"/>
              <w:rPr>
                <w:rFonts w:ascii="Century Gothic" w:eastAsia="Calibri" w:hAnsi="Century Gothic" w:cs="Arial"/>
                <w:sz w:val="12"/>
                <w:szCs w:val="12"/>
                <w:lang w:val="es-ES_tradnl" w:eastAsia="es-ES_tradnl"/>
              </w:rPr>
            </w:pPr>
          </w:p>
        </w:tc>
      </w:tr>
      <w:tr w:rsidR="0064450E" w:rsidRPr="00035110" w14:paraId="6C9008D9" w14:textId="77777777" w:rsidTr="0087636B">
        <w:trPr>
          <w:trHeight w:val="227"/>
        </w:trPr>
        <w:tc>
          <w:tcPr>
            <w:tcW w:w="2689" w:type="dxa"/>
          </w:tcPr>
          <w:p w14:paraId="142191D7" w14:textId="77777777" w:rsidR="0064450E" w:rsidRPr="00035110" w:rsidRDefault="0064450E" w:rsidP="0087636B">
            <w:pPr>
              <w:contextualSpacing/>
              <w:jc w:val="both"/>
              <w:rPr>
                <w:rFonts w:ascii="Century Gothic" w:eastAsia="Calibri" w:hAnsi="Century Gothic" w:cs="Arial"/>
                <w:b/>
                <w:lang w:val="es-ES_tradnl" w:eastAsia="es-ES_tradnl"/>
              </w:rPr>
            </w:pPr>
            <w:r w:rsidRPr="00035110">
              <w:rPr>
                <w:rFonts w:ascii="Century Gothic" w:eastAsia="Calibri" w:hAnsi="Century Gothic" w:cs="Arial"/>
                <w:b/>
                <w:lang w:val="es-ES_tradnl" w:eastAsia="es-ES_tradnl"/>
              </w:rPr>
              <w:t>Radicación:</w:t>
            </w:r>
            <w:r w:rsidRPr="00035110">
              <w:rPr>
                <w:rFonts w:ascii="Century Gothic" w:eastAsia="Calibri" w:hAnsi="Century Gothic" w:cs="Arial"/>
                <w:lang w:val="es-ES_tradnl" w:eastAsia="es-ES_tradnl"/>
              </w:rPr>
              <w:t xml:space="preserve">                             </w:t>
            </w:r>
          </w:p>
        </w:tc>
        <w:tc>
          <w:tcPr>
            <w:tcW w:w="6237" w:type="dxa"/>
          </w:tcPr>
          <w:p w14:paraId="66E4A4B8" w14:textId="77777777" w:rsidR="0064450E" w:rsidRPr="00035110" w:rsidRDefault="0064450E" w:rsidP="0087636B">
            <w:pPr>
              <w:contextualSpacing/>
              <w:jc w:val="both"/>
              <w:rPr>
                <w:rFonts w:ascii="Century Gothic" w:eastAsia="Calibri" w:hAnsi="Century Gothic" w:cs="Arial"/>
                <w:lang w:val="es-ES_tradnl" w:eastAsia="es-ES_tradnl"/>
              </w:rPr>
            </w:pPr>
            <w:r w:rsidRPr="00035110">
              <w:rPr>
                <w:rFonts w:ascii="Century Gothic" w:eastAsia="Calibri" w:hAnsi="Century Gothic" w:cs="Arial"/>
                <w:lang w:val="es-ES_tradnl" w:eastAsia="es-ES_tradnl"/>
              </w:rPr>
              <w:t xml:space="preserve">Respuesta a la consulta </w:t>
            </w:r>
            <w:r w:rsidRPr="006603AC">
              <w:rPr>
                <w:rFonts w:ascii="Century Gothic" w:eastAsia="Calibri" w:hAnsi="Century Gothic" w:cs="Arial"/>
                <w:lang w:val="es-ES_tradnl" w:eastAsia="es-ES_tradnl"/>
              </w:rPr>
              <w:t>P20240313002800</w:t>
            </w:r>
          </w:p>
        </w:tc>
      </w:tr>
    </w:tbl>
    <w:p w14:paraId="6CB05D26" w14:textId="77777777" w:rsidR="0064450E" w:rsidRPr="00035110" w:rsidRDefault="0064450E" w:rsidP="0064450E">
      <w:pPr>
        <w:contextualSpacing/>
        <w:jc w:val="both"/>
        <w:rPr>
          <w:rFonts w:ascii="Century Gothic" w:eastAsia="Calibri" w:hAnsi="Century Gothic" w:cs="Arial"/>
          <w:lang w:val="es-ES_tradnl" w:eastAsia="es-ES_tradnl"/>
        </w:rPr>
      </w:pPr>
    </w:p>
    <w:p w14:paraId="44F25F6F" w14:textId="77777777" w:rsidR="0064450E" w:rsidRPr="00035110" w:rsidRDefault="0064450E" w:rsidP="0064450E">
      <w:pPr>
        <w:contextualSpacing/>
        <w:jc w:val="both"/>
        <w:rPr>
          <w:rFonts w:ascii="Century Gothic" w:eastAsia="Calibri" w:hAnsi="Century Gothic" w:cs="Arial"/>
          <w:lang w:val="es-ES_tradnl" w:eastAsia="es-ES_tradnl"/>
        </w:rPr>
      </w:pPr>
    </w:p>
    <w:p w14:paraId="2143FD11" w14:textId="77777777" w:rsidR="0064450E" w:rsidRPr="00035110" w:rsidRDefault="0064450E" w:rsidP="0064450E">
      <w:pPr>
        <w:contextualSpacing/>
        <w:jc w:val="both"/>
        <w:rPr>
          <w:rFonts w:ascii="Century Gothic" w:eastAsia="Calibri" w:hAnsi="Century Gothic" w:cs="Arial"/>
          <w:lang w:val="es-ES" w:eastAsia="es-ES"/>
        </w:rPr>
      </w:pPr>
      <w:r w:rsidRPr="00035110">
        <w:rPr>
          <w:rFonts w:ascii="Century Gothic" w:eastAsia="Calibri" w:hAnsi="Century Gothic" w:cs="Arial"/>
          <w:lang w:val="es-ES" w:eastAsia="es-ES"/>
        </w:rPr>
        <w:t>Respetad</w:t>
      </w:r>
      <w:r>
        <w:rPr>
          <w:rFonts w:ascii="Century Gothic" w:eastAsia="Calibri" w:hAnsi="Century Gothic" w:cs="Arial"/>
          <w:lang w:val="es-ES" w:eastAsia="es-ES"/>
        </w:rPr>
        <w:t>a</w:t>
      </w:r>
      <w:r w:rsidRPr="00035110">
        <w:rPr>
          <w:rFonts w:ascii="Century Gothic" w:eastAsia="Calibri" w:hAnsi="Century Gothic" w:cs="Arial"/>
          <w:lang w:val="es-ES" w:eastAsia="es-ES"/>
        </w:rPr>
        <w:t xml:space="preserve"> señor</w:t>
      </w:r>
      <w:r>
        <w:rPr>
          <w:rFonts w:ascii="Century Gothic" w:eastAsia="Calibri" w:hAnsi="Century Gothic" w:cs="Arial"/>
          <w:lang w:val="es-ES" w:eastAsia="es-ES"/>
        </w:rPr>
        <w:t>a</w:t>
      </w:r>
      <w:r w:rsidRPr="00035110">
        <w:rPr>
          <w:rFonts w:ascii="Century Gothic" w:eastAsia="Calibri" w:hAnsi="Century Gothic" w:cs="Arial"/>
          <w:lang w:val="es-ES" w:eastAsia="es-ES"/>
        </w:rPr>
        <w:t xml:space="preserve"> </w:t>
      </w:r>
      <w:r w:rsidRPr="006603AC">
        <w:rPr>
          <w:rFonts w:ascii="Century Gothic" w:eastAsia="Times New Roman" w:hAnsi="Century Gothic" w:cs="Arial"/>
          <w:lang w:eastAsia="es-ES"/>
        </w:rPr>
        <w:t>Arboleda Gómez</w:t>
      </w:r>
      <w:r w:rsidRPr="00035110">
        <w:rPr>
          <w:rFonts w:ascii="Century Gothic" w:eastAsia="Calibri" w:hAnsi="Century Gothic" w:cs="Arial"/>
          <w:lang w:val="es-ES" w:eastAsia="es-ES"/>
        </w:rPr>
        <w:t xml:space="preserve">: </w:t>
      </w:r>
    </w:p>
    <w:p w14:paraId="4850438D" w14:textId="77777777" w:rsidR="0064450E" w:rsidRPr="00035110" w:rsidRDefault="0064450E" w:rsidP="0064450E">
      <w:pPr>
        <w:spacing w:line="276" w:lineRule="auto"/>
        <w:contextualSpacing/>
        <w:jc w:val="both"/>
        <w:rPr>
          <w:rFonts w:ascii="Century Gothic" w:eastAsia="Calibri" w:hAnsi="Century Gothic" w:cs="Arial"/>
          <w:szCs w:val="24"/>
          <w:lang w:val="es-ES_tradnl" w:eastAsia="es-ES_tradnl"/>
        </w:rPr>
      </w:pPr>
    </w:p>
    <w:bookmarkEnd w:id="0"/>
    <w:bookmarkEnd w:id="1"/>
    <w:p w14:paraId="4A3C51E9" w14:textId="77777777" w:rsidR="0064450E" w:rsidRPr="00035110" w:rsidRDefault="0064450E" w:rsidP="0064450E">
      <w:pPr>
        <w:spacing w:after="0" w:line="276" w:lineRule="auto"/>
        <w:jc w:val="both"/>
        <w:rPr>
          <w:rFonts w:ascii="Century Gothic" w:eastAsia="Calibri" w:hAnsi="Century Gothic" w:cs="Arial"/>
          <w:color w:val="000000" w:themeColor="text1"/>
          <w:lang w:val="es-ES_tradnl"/>
        </w:rPr>
      </w:pPr>
      <w:r w:rsidRPr="00035110">
        <w:rPr>
          <w:rFonts w:ascii="Century Gothic" w:eastAsia="Calibri" w:hAnsi="Century Gothic" w:cs="Arial"/>
          <w:color w:val="000000" w:themeColor="text1"/>
          <w:lang w:val="es-ES_tradnl"/>
        </w:rPr>
        <w:t>En ejercicio de la competencia otorgada por el numeral 8 del artículo 11 y el numeral 5 del artículo 3 del Decreto Ley 4170 de 2011</w:t>
      </w:r>
      <w:bookmarkStart w:id="3" w:name="_Hlk99120496"/>
      <w:r w:rsidRPr="00035110">
        <w:rPr>
          <w:rFonts w:ascii="Century Gothic" w:eastAsia="Arial MT" w:hAnsi="Century Gothic" w:cs="Arial"/>
          <w:lang w:val="es-ES"/>
        </w:rPr>
        <w:t xml:space="preserve">, </w:t>
      </w:r>
      <w:bookmarkEnd w:id="3"/>
      <w:r w:rsidRPr="00035110">
        <w:rPr>
          <w:rFonts w:ascii="Century Gothic" w:eastAsia="Calibri" w:hAnsi="Century Gothic" w:cs="Arial"/>
          <w:color w:val="000000" w:themeColor="text1"/>
          <w:lang w:val="es-ES_tradnl"/>
        </w:rPr>
        <w:t xml:space="preserve">la Agencia Nacional de Contratación Pública – Colombia Compra Eficiente responde la petición radicada el </w:t>
      </w:r>
      <w:r>
        <w:rPr>
          <w:rFonts w:ascii="Century Gothic" w:eastAsia="Calibri" w:hAnsi="Century Gothic" w:cs="Arial"/>
          <w:color w:val="000000" w:themeColor="text1"/>
          <w:lang w:val="es-ES_tradnl"/>
        </w:rPr>
        <w:t>13</w:t>
      </w:r>
      <w:r w:rsidRPr="00035110">
        <w:rPr>
          <w:rFonts w:ascii="Century Gothic" w:eastAsia="Calibri" w:hAnsi="Century Gothic" w:cs="Arial"/>
          <w:color w:val="000000" w:themeColor="text1"/>
          <w:lang w:val="es-ES_tradnl"/>
        </w:rPr>
        <w:t xml:space="preserve"> de marzo de 2024.</w:t>
      </w:r>
    </w:p>
    <w:p w14:paraId="071F41BF" w14:textId="77777777" w:rsidR="0064450E" w:rsidRPr="00035110" w:rsidRDefault="0064450E" w:rsidP="0064450E">
      <w:pPr>
        <w:spacing w:after="0" w:line="276" w:lineRule="auto"/>
        <w:jc w:val="both"/>
        <w:rPr>
          <w:rFonts w:ascii="Century Gothic" w:eastAsia="Calibri" w:hAnsi="Century Gothic" w:cs="Arial"/>
          <w:b/>
          <w:color w:val="000000" w:themeColor="text1"/>
          <w:lang w:val="es-ES_tradnl"/>
        </w:rPr>
      </w:pPr>
    </w:p>
    <w:p w14:paraId="5529F7A7" w14:textId="77777777" w:rsidR="0064450E" w:rsidRPr="00035110" w:rsidRDefault="0064450E" w:rsidP="0064450E">
      <w:pPr>
        <w:pStyle w:val="Prrafodelista"/>
        <w:numPr>
          <w:ilvl w:val="0"/>
          <w:numId w:val="6"/>
        </w:numPr>
        <w:tabs>
          <w:tab w:val="left" w:pos="0"/>
          <w:tab w:val="left" w:pos="142"/>
          <w:tab w:val="left" w:pos="284"/>
        </w:tabs>
        <w:spacing w:after="0" w:line="276" w:lineRule="auto"/>
        <w:ind w:left="0" w:firstLine="0"/>
        <w:jc w:val="both"/>
        <w:rPr>
          <w:rFonts w:ascii="Century Gothic" w:eastAsia="Calibri" w:hAnsi="Century Gothic" w:cs="Arial"/>
          <w:b/>
          <w:color w:val="000000" w:themeColor="text1"/>
          <w:lang w:val="es-ES_tradnl"/>
        </w:rPr>
      </w:pPr>
      <w:r w:rsidRPr="00035110">
        <w:rPr>
          <w:rFonts w:ascii="Century Gothic" w:eastAsia="Calibri" w:hAnsi="Century Gothic" w:cs="Arial"/>
          <w:b/>
          <w:color w:val="000000" w:themeColor="text1"/>
          <w:lang w:val="es-ES_tradnl"/>
        </w:rPr>
        <w:t>Problema</w:t>
      </w:r>
      <w:r>
        <w:rPr>
          <w:rFonts w:ascii="Century Gothic" w:eastAsia="Calibri" w:hAnsi="Century Gothic" w:cs="Arial"/>
          <w:b/>
          <w:color w:val="000000" w:themeColor="text1"/>
          <w:lang w:val="es-ES_tradnl"/>
        </w:rPr>
        <w:t>s</w:t>
      </w:r>
      <w:r w:rsidRPr="00035110">
        <w:rPr>
          <w:rFonts w:ascii="Century Gothic" w:eastAsia="Calibri" w:hAnsi="Century Gothic" w:cs="Arial"/>
          <w:b/>
          <w:color w:val="000000" w:themeColor="text1"/>
          <w:lang w:val="es-ES_tradnl"/>
        </w:rPr>
        <w:t xml:space="preserve"> planteado</w:t>
      </w:r>
      <w:r>
        <w:rPr>
          <w:rFonts w:ascii="Century Gothic" w:eastAsia="Calibri" w:hAnsi="Century Gothic" w:cs="Arial"/>
          <w:b/>
          <w:color w:val="000000" w:themeColor="text1"/>
          <w:lang w:val="es-ES_tradnl"/>
        </w:rPr>
        <w:t>s</w:t>
      </w:r>
      <w:r w:rsidRPr="00035110">
        <w:rPr>
          <w:rFonts w:ascii="Century Gothic" w:eastAsia="Calibri" w:hAnsi="Century Gothic" w:cs="Arial"/>
          <w:b/>
          <w:color w:val="000000" w:themeColor="text1"/>
          <w:lang w:val="es-ES_tradnl"/>
        </w:rPr>
        <w:t xml:space="preserve"> </w:t>
      </w:r>
    </w:p>
    <w:p w14:paraId="460EB582" w14:textId="77777777" w:rsidR="0064450E" w:rsidRPr="00035110" w:rsidRDefault="0064450E" w:rsidP="0064450E">
      <w:pPr>
        <w:tabs>
          <w:tab w:val="left" w:pos="426"/>
        </w:tabs>
        <w:spacing w:after="0" w:line="276" w:lineRule="auto"/>
        <w:jc w:val="both"/>
        <w:rPr>
          <w:rFonts w:ascii="Century Gothic" w:eastAsia="Calibri" w:hAnsi="Century Gothic" w:cs="Arial"/>
          <w:b/>
          <w:color w:val="000000" w:themeColor="text1"/>
          <w:lang w:val="es-ES_tradnl"/>
        </w:rPr>
      </w:pPr>
    </w:p>
    <w:p w14:paraId="3D560F06" w14:textId="77777777" w:rsidR="0064450E" w:rsidRPr="00035110" w:rsidRDefault="0064450E" w:rsidP="49097B2D">
      <w:pPr>
        <w:spacing w:after="0" w:line="276" w:lineRule="auto"/>
        <w:jc w:val="both"/>
        <w:rPr>
          <w:rFonts w:ascii="Century Gothic" w:hAnsi="Century Gothic" w:cs="Arial"/>
          <w:color w:val="000000" w:themeColor="text1"/>
          <w:lang w:val="es-ES"/>
        </w:rPr>
      </w:pPr>
      <w:bookmarkStart w:id="4" w:name="_Hlk132728388"/>
      <w:bookmarkStart w:id="5" w:name="_Hlk142917142"/>
      <w:r w:rsidRPr="49097B2D">
        <w:rPr>
          <w:rFonts w:ascii="Century Gothic" w:hAnsi="Century Gothic" w:cs="Arial"/>
          <w:color w:val="000000" w:themeColor="text1"/>
          <w:lang w:val="es-ES"/>
        </w:rPr>
        <w:t xml:space="preserve">Usted realiza las siguientes preguntas: i) “Cuando una unión temporal solicita limitar a MIPYMES un proceso contractual ¿qué documentos debe aportar para la acreditación de su estado como MIPYME y a través de quién debe hacerlo? Es decir, ¿la solicitud de limitación debe ir acompañada con los documentos de existencia de cada una de las empresas que componen la Unión temporal o basta con el documento de la conformación de la sociedad?” y </w:t>
      </w:r>
      <w:proofErr w:type="spellStart"/>
      <w:r w:rsidRPr="49097B2D">
        <w:rPr>
          <w:rFonts w:ascii="Century Gothic" w:hAnsi="Century Gothic" w:cs="Arial"/>
          <w:color w:val="000000" w:themeColor="text1"/>
          <w:lang w:val="es-ES"/>
        </w:rPr>
        <w:t>ii</w:t>
      </w:r>
      <w:proofErr w:type="spellEnd"/>
      <w:r w:rsidRPr="49097B2D">
        <w:rPr>
          <w:rFonts w:ascii="Century Gothic" w:hAnsi="Century Gothic" w:cs="Arial"/>
          <w:color w:val="000000" w:themeColor="text1"/>
          <w:lang w:val="es-ES"/>
        </w:rPr>
        <w:t xml:space="preserve">) “Adicionalmente, ¿es el revisor Fiscal o el representante legal de la sociedad quien debe acreditar el </w:t>
      </w:r>
      <w:r w:rsidRPr="49097B2D">
        <w:rPr>
          <w:rFonts w:ascii="Century Gothic" w:hAnsi="Century Gothic" w:cs="Arial"/>
          <w:color w:val="000000" w:themeColor="text1"/>
          <w:lang w:val="es-ES"/>
        </w:rPr>
        <w:lastRenderedPageBreak/>
        <w:t xml:space="preserve">estado de </w:t>
      </w:r>
      <w:proofErr w:type="spellStart"/>
      <w:r w:rsidRPr="49097B2D">
        <w:rPr>
          <w:rFonts w:ascii="Century Gothic" w:hAnsi="Century Gothic" w:cs="Arial"/>
          <w:color w:val="000000" w:themeColor="text1"/>
          <w:lang w:val="es-ES"/>
        </w:rPr>
        <w:t>Mipyme</w:t>
      </w:r>
      <w:proofErr w:type="spellEnd"/>
      <w:r w:rsidRPr="49097B2D">
        <w:rPr>
          <w:rFonts w:ascii="Century Gothic" w:hAnsi="Century Gothic" w:cs="Arial"/>
          <w:color w:val="000000" w:themeColor="text1"/>
          <w:lang w:val="es-ES"/>
        </w:rPr>
        <w:t>? y si es el revisor fiscal, ¿debe aportar los documentos como tarjeta profesional y antecedentes disciplinarios de la profesión?”.</w:t>
      </w:r>
    </w:p>
    <w:p w14:paraId="298B2802" w14:textId="77777777" w:rsidR="0064450E" w:rsidRPr="00035110" w:rsidRDefault="0064450E" w:rsidP="0064450E">
      <w:pPr>
        <w:spacing w:after="0" w:line="276" w:lineRule="auto"/>
        <w:jc w:val="both"/>
        <w:rPr>
          <w:rFonts w:ascii="Century Gothic" w:hAnsi="Century Gothic" w:cs="Arial"/>
          <w:color w:val="000000" w:themeColor="text1"/>
          <w:lang w:val="es-ES_tradnl"/>
        </w:rPr>
      </w:pPr>
    </w:p>
    <w:bookmarkEnd w:id="4"/>
    <w:bookmarkEnd w:id="5"/>
    <w:p w14:paraId="5A8A8B7F" w14:textId="77777777" w:rsidR="0064450E" w:rsidRPr="00035110" w:rsidRDefault="0064450E" w:rsidP="0064450E">
      <w:pPr>
        <w:pStyle w:val="Prrafodelista"/>
        <w:numPr>
          <w:ilvl w:val="0"/>
          <w:numId w:val="6"/>
        </w:numPr>
        <w:tabs>
          <w:tab w:val="left" w:pos="0"/>
          <w:tab w:val="left" w:pos="284"/>
        </w:tabs>
        <w:spacing w:after="0" w:line="240" w:lineRule="auto"/>
        <w:ind w:left="0" w:firstLine="0"/>
        <w:jc w:val="both"/>
        <w:rPr>
          <w:rFonts w:ascii="Century Gothic" w:eastAsia="Calibri" w:hAnsi="Century Gothic" w:cs="Arial"/>
          <w:b/>
          <w:color w:val="000000" w:themeColor="text1"/>
          <w:lang w:val="es-ES_tradnl"/>
        </w:rPr>
      </w:pPr>
      <w:r w:rsidRPr="00035110">
        <w:rPr>
          <w:rFonts w:ascii="Century Gothic" w:eastAsia="Calibri" w:hAnsi="Century Gothic" w:cs="Arial"/>
          <w:b/>
          <w:color w:val="000000" w:themeColor="text1"/>
          <w:lang w:val="es-ES_tradnl"/>
        </w:rPr>
        <w:t>Consideraciones</w:t>
      </w:r>
    </w:p>
    <w:p w14:paraId="10167EE0" w14:textId="77777777" w:rsidR="0064450E" w:rsidRPr="00035110" w:rsidRDefault="0064450E" w:rsidP="0064450E">
      <w:pPr>
        <w:spacing w:after="0" w:line="276" w:lineRule="auto"/>
        <w:jc w:val="both"/>
        <w:rPr>
          <w:rFonts w:ascii="Century Gothic" w:eastAsia="Calibri" w:hAnsi="Century Gothic" w:cs="Arial"/>
          <w:color w:val="000000" w:themeColor="text1"/>
          <w:lang w:val="es-ES"/>
        </w:rPr>
      </w:pPr>
    </w:p>
    <w:p w14:paraId="4A0E14E4" w14:textId="77777777" w:rsidR="0064450E" w:rsidRDefault="0064450E" w:rsidP="0064450E">
      <w:pPr>
        <w:spacing w:after="120" w:line="276" w:lineRule="auto"/>
        <w:jc w:val="both"/>
        <w:rPr>
          <w:rFonts w:ascii="Century Gothic" w:hAnsi="Century Gothic" w:cs="Arial"/>
          <w:lang w:val="es-ES"/>
        </w:rPr>
      </w:pPr>
      <w:r>
        <w:rPr>
          <w:rFonts w:ascii="Century Gothic" w:hAnsi="Century Gothic" w:cs="Arial"/>
        </w:rPr>
        <w:t>Conforme a los</w:t>
      </w:r>
      <w:r w:rsidRPr="000B379D">
        <w:rPr>
          <w:rFonts w:ascii="Century Gothic" w:hAnsi="Century Gothic" w:cs="Arial"/>
        </w:rPr>
        <w:t xml:space="preserve"> artículos 3, numeral 5 y 1, numeral 8 del Decreto Ley 4170 de 2011, la Agencia Nacional de Contratación Pública resuelve las consultas sobre temáticas de la contratación estatal y compras públicas relacionadas en los artículos </w:t>
      </w:r>
      <w:r w:rsidRPr="000B379D">
        <w:rPr>
          <w:rFonts w:ascii="Century Gothic" w:hAnsi="Century Gothic" w:cs="Arial"/>
          <w:lang w:val="es-ES"/>
        </w:rPr>
        <w:t>citados</w:t>
      </w:r>
      <w:r w:rsidRPr="000B379D">
        <w:rPr>
          <w:rFonts w:ascii="Century Gothic" w:hAnsi="Century Gothic" w:cs="Arial"/>
          <w:vertAlign w:val="superscript"/>
          <w:lang w:val="es-ES"/>
        </w:rPr>
        <w:footnoteReference w:id="1"/>
      </w:r>
      <w:r w:rsidRPr="000B379D">
        <w:rPr>
          <w:rFonts w:ascii="Century Gothic" w:hAnsi="Century Gothic" w:cs="Arial"/>
          <w:lang w:val="es-ES"/>
        </w:rPr>
        <w:t xml:space="preserve">. </w:t>
      </w:r>
      <w:r>
        <w:rPr>
          <w:rFonts w:ascii="Century Gothic" w:hAnsi="Century Gothic" w:cs="Arial"/>
          <w:lang w:val="es-ES"/>
        </w:rPr>
        <w:t>E</w:t>
      </w:r>
      <w:r w:rsidRPr="000B379D">
        <w:rPr>
          <w:rFonts w:ascii="Century Gothic" w:hAnsi="Century Gothic" w:cs="Arial"/>
          <w:lang w:val="es-ES"/>
        </w:rPr>
        <w:t>sta entidad solo tiene competencia para responder solicitudes sobre la interpretación de normas de carácter general en materia de compras y contratación pública</w:t>
      </w:r>
      <w:r>
        <w:rPr>
          <w:rFonts w:ascii="Century Gothic" w:hAnsi="Century Gothic" w:cs="Arial"/>
          <w:lang w:val="es-ES"/>
        </w:rPr>
        <w:t>, esto</w:t>
      </w:r>
      <w:r w:rsidRPr="000B379D">
        <w:rPr>
          <w:rFonts w:ascii="Century Gothic" w:hAnsi="Century Gothic" w:cs="Arial"/>
          <w:lang w:val="es-ES"/>
        </w:rPr>
        <w:t xml:space="preserve"> con el objeto de evitar que la Agencia actúe como una instancia de validación de las actuaciones de las entidades </w:t>
      </w:r>
      <w:r>
        <w:rPr>
          <w:rFonts w:ascii="Century Gothic" w:hAnsi="Century Gothic" w:cs="Arial"/>
          <w:lang w:val="es-ES"/>
        </w:rPr>
        <w:t>estatales. De esta manera</w:t>
      </w:r>
      <w:r w:rsidRPr="000B379D">
        <w:rPr>
          <w:rFonts w:ascii="Century Gothic" w:hAnsi="Century Gothic" w:cs="Arial"/>
          <w:lang w:val="es-ES"/>
        </w:rPr>
        <w:t xml:space="preserve">, </w:t>
      </w:r>
      <w:r>
        <w:rPr>
          <w:rFonts w:ascii="Century Gothic" w:hAnsi="Century Gothic" w:cs="Arial"/>
          <w:lang w:val="es-ES"/>
        </w:rPr>
        <w:t xml:space="preserve">la función consultiva </w:t>
      </w:r>
      <w:r w:rsidRPr="000B379D">
        <w:rPr>
          <w:rFonts w:ascii="Century Gothic" w:hAnsi="Century Gothic" w:cs="Arial"/>
          <w:lang w:val="es-ES"/>
        </w:rPr>
        <w:t>no pu</w:t>
      </w:r>
      <w:r>
        <w:rPr>
          <w:rFonts w:ascii="Century Gothic" w:hAnsi="Century Gothic" w:cs="Arial"/>
          <w:lang w:val="es-ES"/>
        </w:rPr>
        <w:t>ede</w:t>
      </w:r>
      <w:r w:rsidRPr="000B379D">
        <w:rPr>
          <w:rFonts w:ascii="Century Gothic" w:hAnsi="Century Gothic" w:cs="Arial"/>
          <w:lang w:val="es-ES"/>
        </w:rPr>
        <w:t xml:space="preserve"> extenderse a la resolución de controversias</w:t>
      </w:r>
      <w:r>
        <w:rPr>
          <w:rFonts w:ascii="Century Gothic" w:hAnsi="Century Gothic" w:cs="Arial"/>
          <w:lang w:val="es-ES"/>
        </w:rPr>
        <w:t xml:space="preserve"> ni </w:t>
      </w:r>
      <w:r w:rsidRPr="000B379D">
        <w:rPr>
          <w:rFonts w:ascii="Century Gothic" w:hAnsi="Century Gothic" w:cs="Arial"/>
          <w:lang w:val="es-ES"/>
        </w:rPr>
        <w:t>brindar asesorías sobre casos puntuales</w:t>
      </w:r>
      <w:r>
        <w:rPr>
          <w:rFonts w:ascii="Century Gothic" w:hAnsi="Century Gothic" w:cs="Arial"/>
          <w:lang w:val="es-ES"/>
        </w:rPr>
        <w:t xml:space="preserve">. </w:t>
      </w:r>
    </w:p>
    <w:p w14:paraId="19444D8A" w14:textId="77777777" w:rsidR="0064450E" w:rsidRPr="009E212A" w:rsidRDefault="0064450E" w:rsidP="0064450E">
      <w:pPr>
        <w:spacing w:after="120" w:line="276" w:lineRule="auto"/>
        <w:ind w:firstLine="708"/>
        <w:jc w:val="both"/>
        <w:rPr>
          <w:rFonts w:ascii="Century Gothic" w:hAnsi="Century Gothic" w:cs="Arial"/>
          <w:lang w:val="es-ES"/>
        </w:rPr>
      </w:pPr>
      <w:r>
        <w:rPr>
          <w:rFonts w:ascii="Century Gothic" w:hAnsi="Century Gothic" w:cs="Arial"/>
          <w:lang w:val="es-ES"/>
        </w:rPr>
        <w:t xml:space="preserve">Por ello, </w:t>
      </w:r>
      <w:r w:rsidRPr="000B379D">
        <w:rPr>
          <w:rFonts w:ascii="Century Gothic" w:hAnsi="Century Gothic" w:cs="Arial"/>
        </w:rPr>
        <w:t>Colombia Compra Eficiente</w:t>
      </w:r>
      <w:r w:rsidRPr="00FA6BF6">
        <w:rPr>
          <w:rFonts w:ascii="Century Gothic" w:hAnsi="Century Gothic" w:cs="Arial"/>
          <w:lang w:val="es-ES"/>
        </w:rPr>
        <w:t xml:space="preserve"> –dentro de los límites de sus atribuciones, esto es, haciendo abstracción </w:t>
      </w:r>
      <w:r>
        <w:rPr>
          <w:rFonts w:ascii="Century Gothic" w:hAnsi="Century Gothic" w:cs="Arial"/>
          <w:lang w:val="es-ES"/>
        </w:rPr>
        <w:t>de cualquier situación concreta que afronten las entidades públicas en sus procesos</w:t>
      </w:r>
      <w:r w:rsidRPr="00FA6BF6">
        <w:rPr>
          <w:rFonts w:ascii="Century Gothic" w:hAnsi="Century Gothic" w:cs="Arial"/>
          <w:lang w:val="es-ES"/>
        </w:rPr>
        <w:t>– resolverá la consulta conforme a las normas generales en materia de contratación estatal</w:t>
      </w:r>
      <w:r>
        <w:rPr>
          <w:rFonts w:ascii="Century Gothic" w:hAnsi="Century Gothic" w:cs="Arial"/>
          <w:lang w:val="es-ES"/>
        </w:rPr>
        <w:t xml:space="preserve">. </w:t>
      </w:r>
      <w:r w:rsidRPr="00035110">
        <w:rPr>
          <w:rFonts w:ascii="Century Gothic" w:eastAsia="Calibri" w:hAnsi="Century Gothic" w:cs="Arial"/>
        </w:rPr>
        <w:t xml:space="preserve">Con este objetivo se abordarán </w:t>
      </w:r>
      <w:r w:rsidRPr="00035110">
        <w:rPr>
          <w:rFonts w:ascii="Century Gothic" w:eastAsia="Calibri" w:hAnsi="Century Gothic" w:cs="Arial"/>
          <w:lang w:val="es-ES"/>
        </w:rPr>
        <w:t>los siguientes temas:</w:t>
      </w:r>
      <w:r w:rsidRPr="00035110">
        <w:rPr>
          <w:rFonts w:ascii="Century Gothic" w:hAnsi="Century Gothic" w:cs="Arial"/>
          <w:color w:val="000000" w:themeColor="text1"/>
          <w:lang w:val="es-ES"/>
        </w:rPr>
        <w:t xml:space="preserve"> </w:t>
      </w:r>
      <w:r w:rsidRPr="00035110">
        <w:rPr>
          <w:rFonts w:ascii="Century Gothic" w:hAnsi="Century Gothic" w:cs="Arial"/>
          <w:color w:val="000000" w:themeColor="text1"/>
          <w:lang w:val="es-ES_tradnl"/>
        </w:rPr>
        <w:t>i) naturaleza jurídica de los consorcios y las uniones temporales</w:t>
      </w:r>
      <w:r>
        <w:rPr>
          <w:rFonts w:ascii="Century Gothic" w:hAnsi="Century Gothic" w:cs="Arial"/>
          <w:color w:val="000000" w:themeColor="text1"/>
          <w:lang w:val="es-ES_tradnl"/>
        </w:rPr>
        <w:t xml:space="preserve"> y </w:t>
      </w:r>
      <w:proofErr w:type="spellStart"/>
      <w:r w:rsidRPr="00035110">
        <w:rPr>
          <w:rFonts w:ascii="Century Gothic" w:hAnsi="Century Gothic" w:cs="Arial"/>
          <w:color w:val="000000" w:themeColor="text1"/>
          <w:lang w:val="es-ES_tradnl"/>
        </w:rPr>
        <w:t>i</w:t>
      </w:r>
      <w:r>
        <w:rPr>
          <w:rFonts w:ascii="Century Gothic" w:hAnsi="Century Gothic" w:cs="Arial"/>
          <w:color w:val="000000" w:themeColor="text1"/>
          <w:lang w:val="es-ES_tradnl"/>
        </w:rPr>
        <w:t>i</w:t>
      </w:r>
      <w:proofErr w:type="spellEnd"/>
      <w:r w:rsidRPr="00035110">
        <w:rPr>
          <w:rFonts w:ascii="Century Gothic" w:hAnsi="Century Gothic" w:cs="Arial"/>
          <w:color w:val="000000" w:themeColor="text1"/>
          <w:lang w:val="es-ES_tradnl"/>
        </w:rPr>
        <w:t xml:space="preserve">) convocatorias limitadas a </w:t>
      </w:r>
      <w:proofErr w:type="spellStart"/>
      <w:r w:rsidRPr="00035110">
        <w:rPr>
          <w:rFonts w:ascii="Century Gothic" w:hAnsi="Century Gothic" w:cs="Arial"/>
          <w:color w:val="000000" w:themeColor="text1"/>
          <w:lang w:val="es-ES_tradnl"/>
        </w:rPr>
        <w:t>Mipymes</w:t>
      </w:r>
      <w:proofErr w:type="spellEnd"/>
      <w:r w:rsidRPr="00035110">
        <w:rPr>
          <w:rFonts w:ascii="Century Gothic" w:hAnsi="Century Gothic" w:cs="Arial"/>
          <w:color w:val="000000" w:themeColor="text1"/>
          <w:lang w:val="es-ES_tradnl"/>
        </w:rPr>
        <w:t xml:space="preserve"> </w:t>
      </w:r>
      <w:r>
        <w:rPr>
          <w:rFonts w:ascii="Century Gothic" w:hAnsi="Century Gothic" w:cs="Arial"/>
          <w:color w:val="000000" w:themeColor="text1"/>
          <w:lang w:val="es-ES_tradnl"/>
        </w:rPr>
        <w:t>en sistema de compras públicas</w:t>
      </w:r>
      <w:r w:rsidRPr="00035110">
        <w:rPr>
          <w:rFonts w:ascii="Century Gothic" w:hAnsi="Century Gothic" w:cs="Arial"/>
          <w:color w:val="000000" w:themeColor="text1"/>
          <w:lang w:val="es-ES_tradnl"/>
        </w:rPr>
        <w:t>.</w:t>
      </w:r>
    </w:p>
    <w:p w14:paraId="6C5F7162" w14:textId="77777777" w:rsidR="0064450E" w:rsidRDefault="0064450E" w:rsidP="0064450E">
      <w:pPr>
        <w:spacing w:after="120" w:line="276" w:lineRule="auto"/>
        <w:ind w:firstLine="709"/>
        <w:jc w:val="both"/>
        <w:rPr>
          <w:rFonts w:ascii="Century Gothic" w:eastAsia="Calibri" w:hAnsi="Century Gothic" w:cs="Arial"/>
          <w:color w:val="000000" w:themeColor="text1"/>
          <w:lang w:val="es-ES"/>
        </w:rPr>
      </w:pPr>
      <w:r w:rsidRPr="00035110">
        <w:rPr>
          <w:rFonts w:ascii="Century Gothic" w:eastAsia="Calibri" w:hAnsi="Century Gothic" w:cs="Arial"/>
          <w:color w:val="000000" w:themeColor="text1"/>
          <w:lang w:val="es-ES"/>
        </w:rPr>
        <w:t>La Agencia Nacional de Contratación Pública – Colombia Compra Eficiente</w:t>
      </w:r>
      <w:r>
        <w:rPr>
          <w:rFonts w:ascii="Century Gothic" w:eastAsia="Calibri" w:hAnsi="Century Gothic" w:cs="Arial"/>
          <w:color w:val="000000" w:themeColor="text1"/>
          <w:lang w:val="es-ES"/>
        </w:rPr>
        <w:t xml:space="preserve"> </w:t>
      </w:r>
      <w:r w:rsidRPr="00035110">
        <w:rPr>
          <w:rFonts w:ascii="Century Gothic" w:eastAsia="Calibri" w:hAnsi="Century Gothic" w:cs="Arial"/>
          <w:color w:val="000000" w:themeColor="text1"/>
          <w:lang w:val="es-ES"/>
        </w:rPr>
        <w:t>explicó la naturaleza jurídica de los consorcios y las uniones temporales</w:t>
      </w:r>
      <w:r>
        <w:rPr>
          <w:rFonts w:ascii="Century Gothic" w:eastAsia="Calibri" w:hAnsi="Century Gothic" w:cs="Arial"/>
          <w:color w:val="000000" w:themeColor="text1"/>
          <w:lang w:val="es-ES"/>
        </w:rPr>
        <w:t xml:space="preserve"> en los Conceptos </w:t>
      </w:r>
      <w:r w:rsidRPr="00035110">
        <w:rPr>
          <w:rFonts w:ascii="Century Gothic" w:eastAsia="Calibri" w:hAnsi="Century Gothic" w:cs="Arial"/>
          <w:color w:val="000000" w:themeColor="text1"/>
          <w:lang w:val="es-ES"/>
        </w:rPr>
        <w:t>4201913000007643 del 26 de diciembre de 2019,</w:t>
      </w:r>
      <w:r>
        <w:rPr>
          <w:rFonts w:ascii="Century Gothic" w:eastAsia="Calibri" w:hAnsi="Century Gothic" w:cs="Arial"/>
          <w:color w:val="000000" w:themeColor="text1"/>
          <w:lang w:val="es-ES"/>
        </w:rPr>
        <w:t xml:space="preserve"> </w:t>
      </w:r>
      <w:r w:rsidRPr="00035110">
        <w:rPr>
          <w:rFonts w:ascii="Century Gothic" w:eastAsia="Calibri" w:hAnsi="Century Gothic" w:cs="Arial"/>
          <w:color w:val="000000" w:themeColor="text1"/>
          <w:lang w:val="es-ES"/>
        </w:rPr>
        <w:t>C-343 del 17 de junio de 2020</w:t>
      </w:r>
      <w:r>
        <w:rPr>
          <w:rFonts w:ascii="Century Gothic" w:eastAsia="Calibri" w:hAnsi="Century Gothic" w:cs="Arial"/>
          <w:color w:val="000000" w:themeColor="text1"/>
          <w:lang w:val="es-ES"/>
        </w:rPr>
        <w:t xml:space="preserve">, C-518 del 9 de septiembre de 2020, C-614 del 5 de octubre de 2022, C-882 del 21 de diciembre de 2022 y C-172 del 6 de junio de 2023. </w:t>
      </w:r>
      <w:r w:rsidRPr="00035110">
        <w:rPr>
          <w:rFonts w:ascii="Century Gothic" w:eastAsia="Calibri" w:hAnsi="Century Gothic" w:cs="Arial"/>
          <w:color w:val="000000" w:themeColor="text1"/>
          <w:lang w:val="es-ES"/>
        </w:rPr>
        <w:t xml:space="preserve">También se ha referido a la prohibición de trato discriminatorio en </w:t>
      </w:r>
      <w:r>
        <w:rPr>
          <w:rFonts w:ascii="Century Gothic" w:eastAsia="Calibri" w:hAnsi="Century Gothic" w:cs="Arial"/>
          <w:color w:val="000000" w:themeColor="text1"/>
          <w:lang w:val="es-ES"/>
        </w:rPr>
        <w:t xml:space="preserve">los </w:t>
      </w:r>
      <w:r w:rsidRPr="00035110">
        <w:rPr>
          <w:rFonts w:ascii="Century Gothic" w:eastAsia="Calibri" w:hAnsi="Century Gothic" w:cs="Arial"/>
          <w:color w:val="000000" w:themeColor="text1"/>
          <w:lang w:val="es-ES"/>
        </w:rPr>
        <w:t>Concepto</w:t>
      </w:r>
      <w:r>
        <w:rPr>
          <w:rFonts w:ascii="Century Gothic" w:eastAsia="Calibri" w:hAnsi="Century Gothic" w:cs="Arial"/>
          <w:color w:val="000000" w:themeColor="text1"/>
          <w:lang w:val="es-ES"/>
        </w:rPr>
        <w:t>s</w:t>
      </w:r>
      <w:r w:rsidRPr="00035110">
        <w:rPr>
          <w:rFonts w:ascii="Century Gothic" w:eastAsia="Calibri" w:hAnsi="Century Gothic" w:cs="Arial"/>
          <w:color w:val="000000" w:themeColor="text1"/>
          <w:lang w:val="es-ES"/>
        </w:rPr>
        <w:t xml:space="preserve"> 2201913000006511 del 3 de septiembre de 2019</w:t>
      </w:r>
      <w:r>
        <w:rPr>
          <w:rFonts w:ascii="Century Gothic" w:eastAsia="Calibri" w:hAnsi="Century Gothic" w:cs="Arial"/>
          <w:color w:val="000000" w:themeColor="text1"/>
          <w:lang w:val="es-ES"/>
        </w:rPr>
        <w:t xml:space="preserve"> y C-335 del 26 de septiembre de 2023, además de analizar especialmente </w:t>
      </w:r>
      <w:r w:rsidRPr="005E62FA">
        <w:rPr>
          <w:rFonts w:ascii="Century Gothic" w:eastAsia="Calibri" w:hAnsi="Century Gothic" w:cs="Arial"/>
          <w:color w:val="000000" w:themeColor="text1"/>
          <w:lang w:val="es-ES"/>
        </w:rPr>
        <w:t>la actividad de las sociedades extranjeras en Colombia</w:t>
      </w:r>
      <w:r>
        <w:rPr>
          <w:rFonts w:ascii="Century Gothic" w:eastAsia="Calibri" w:hAnsi="Century Gothic" w:cs="Arial"/>
          <w:color w:val="000000" w:themeColor="text1"/>
          <w:lang w:val="es-ES"/>
        </w:rPr>
        <w:t xml:space="preserve"> en el Concepto </w:t>
      </w:r>
      <w:r w:rsidRPr="005E62FA">
        <w:rPr>
          <w:rFonts w:ascii="Century Gothic" w:eastAsia="Calibri" w:hAnsi="Century Gothic" w:cs="Arial"/>
          <w:color w:val="000000" w:themeColor="text1"/>
          <w:lang w:val="es-ES"/>
        </w:rPr>
        <w:t>C-685 del 19 de octubre de 2022</w:t>
      </w:r>
      <w:r w:rsidRPr="00035110">
        <w:rPr>
          <w:rFonts w:ascii="Century Gothic" w:eastAsia="Calibri" w:hAnsi="Century Gothic" w:cs="Arial"/>
          <w:color w:val="000000" w:themeColor="text1"/>
          <w:lang w:val="es-ES"/>
        </w:rPr>
        <w:t xml:space="preserve">. </w:t>
      </w:r>
    </w:p>
    <w:p w14:paraId="248DBD08" w14:textId="77777777" w:rsidR="0064450E" w:rsidRPr="00035110" w:rsidRDefault="0064450E" w:rsidP="0064450E">
      <w:pPr>
        <w:spacing w:after="0" w:line="276" w:lineRule="auto"/>
        <w:ind w:firstLine="709"/>
        <w:jc w:val="both"/>
        <w:rPr>
          <w:rFonts w:ascii="Century Gothic" w:eastAsia="Calibri" w:hAnsi="Century Gothic" w:cs="Arial"/>
          <w:color w:val="000000" w:themeColor="text1"/>
          <w:lang w:val="es-ES"/>
        </w:rPr>
      </w:pPr>
      <w:r>
        <w:rPr>
          <w:rFonts w:ascii="Century Gothic" w:eastAsia="Calibri" w:hAnsi="Century Gothic" w:cs="Arial"/>
          <w:color w:val="000000" w:themeColor="text1"/>
          <w:lang w:val="es-ES"/>
        </w:rPr>
        <w:lastRenderedPageBreak/>
        <w:t>Por lo demás</w:t>
      </w:r>
      <w:r w:rsidRPr="00035110">
        <w:rPr>
          <w:rFonts w:ascii="Century Gothic" w:eastAsia="Calibri" w:hAnsi="Century Gothic" w:cs="Arial"/>
          <w:color w:val="000000" w:themeColor="text1"/>
          <w:lang w:val="es-ES"/>
        </w:rPr>
        <w:t xml:space="preserve">, </w:t>
      </w:r>
      <w:r w:rsidRPr="00035110">
        <w:rPr>
          <w:rFonts w:ascii="Century Gothic" w:eastAsia="Calibri" w:hAnsi="Century Gothic" w:cs="Arial"/>
          <w:lang w:val="es-ES_tradnl" w:eastAsia="es-ES_tradnl"/>
        </w:rPr>
        <w:t xml:space="preserve">en los Conceptos </w:t>
      </w:r>
      <w:r w:rsidRPr="00035110">
        <w:rPr>
          <w:rFonts w:ascii="Century Gothic" w:eastAsia="Calibri" w:hAnsi="Century Gothic" w:cs="Arial"/>
          <w:color w:val="000000" w:themeColor="text1"/>
        </w:rPr>
        <w:t xml:space="preserve">216130003241 el 30 de junio de 2016, </w:t>
      </w:r>
      <w:r w:rsidRPr="00035110">
        <w:rPr>
          <w:rFonts w:ascii="Century Gothic" w:hAnsi="Century Gothic" w:cs="Arial"/>
          <w:lang w:val="es-ES_tradnl"/>
        </w:rPr>
        <w:t xml:space="preserve">4201714000006924 del 29 de enero de 2018, </w:t>
      </w:r>
      <w:r w:rsidRPr="00035110">
        <w:rPr>
          <w:rFonts w:ascii="Century Gothic" w:eastAsia="Calibri" w:hAnsi="Century Gothic" w:cs="Arial"/>
          <w:color w:val="000000" w:themeColor="text1"/>
        </w:rPr>
        <w:t>2201813000008184 del 7 de septiembre de 2019,</w:t>
      </w:r>
      <w:r w:rsidRPr="00035110">
        <w:rPr>
          <w:rFonts w:ascii="Century Gothic" w:eastAsia="Calibri" w:hAnsi="Century Gothic" w:cs="Arial"/>
          <w:lang w:val="es-ES_tradnl" w:eastAsia="es-ES_tradnl"/>
        </w:rPr>
        <w:t xml:space="preserve"> </w:t>
      </w:r>
      <w:r w:rsidRPr="00035110">
        <w:rPr>
          <w:rFonts w:ascii="Century Gothic" w:eastAsia="Calibri" w:hAnsi="Century Gothic" w:cs="Arial"/>
          <w:lang w:val="es-ES_tradnl"/>
        </w:rPr>
        <w:t>C-045 del 17 de marzo de 2020, C-162 del 16 de abril de 2020, C-214 del 21 de abril de 2020, C-258 del 17 de abril de 2020, C-364 del 4 de junio de 2020, C-413 del 30 de junio de 2020</w:t>
      </w:r>
      <w:r w:rsidRPr="00035110">
        <w:rPr>
          <w:rFonts w:ascii="Century Gothic" w:hAnsi="Century Gothic" w:cs="Arial"/>
          <w:lang w:val="es-ES_tradnl"/>
        </w:rPr>
        <w:t xml:space="preserve">, </w:t>
      </w:r>
      <w:r w:rsidRPr="00035110">
        <w:rPr>
          <w:rFonts w:ascii="Century Gothic" w:eastAsia="Calibri" w:hAnsi="Century Gothic" w:cs="Arial"/>
          <w:lang w:val="es-ES_tradnl"/>
        </w:rPr>
        <w:t xml:space="preserve">C-492 del 24 de julio de 2020, C-523 del 11 de agosto de 2020, C-610 del 14 de septiembre de 2020, C-700 de 1 de diciembre de 2020, C-705 del 7 de diciembre de 2020, </w:t>
      </w:r>
      <w:r w:rsidRPr="00035110">
        <w:rPr>
          <w:rFonts w:ascii="Century Gothic" w:eastAsia="Calibri" w:hAnsi="Century Gothic" w:cs="Arial"/>
          <w:lang w:val="es-ES_tradnl" w:eastAsia="es-ES_tradnl"/>
        </w:rPr>
        <w:t>C-005 del 16 de febrero de 2021, C-037 del 26 de febrero de 2021, C-035 del 02 de marzo de 2021, C-126 del 06 de abril de 2021, C-127 del 06 de abril de 2021, C-144 del 07 de abril de 2021, C-141 del 08 de abril de 2021, C-163 y C-164 del 19 de abril de 2021, C-242 del 25 de mayo de 2021, C-438 del 27 de septiembre de 2021, C-496 del 14 de septiembre de 2021, C-573 de 13 de octubre de 2021, C-001 del 17 de febrero de 2022, C-041 del 2 de marzo de 2022, C-293 del 12 de mayo de 2022, C-340 del 26 de mayo de 2022, C-395 del 17 de junio de 2022, C-539 del 29 de agosto de 2022, C-089 del 28 de abril de 2023, C-159 del 22 de junio de 2023, C-206 del 20 de junio de 2023 y C-207 del 20 de junio de 2023, se pronunció sobre las convocatorias limitadas</w:t>
      </w:r>
      <w:r w:rsidRPr="00035110">
        <w:rPr>
          <w:rStyle w:val="Refdenotaalpie"/>
          <w:rFonts w:ascii="Century Gothic" w:eastAsia="Calibri" w:hAnsi="Century Gothic" w:cs="Arial"/>
        </w:rPr>
        <w:footnoteReference w:id="2"/>
      </w:r>
      <w:r w:rsidRPr="00035110">
        <w:rPr>
          <w:rStyle w:val="normaltextrun"/>
          <w:rFonts w:ascii="Century Gothic" w:hAnsi="Century Gothic" w:cs="Arial"/>
          <w:color w:val="000000"/>
          <w:shd w:val="clear" w:color="auto" w:fill="FFFFFF"/>
        </w:rPr>
        <w:t xml:space="preserve">. </w:t>
      </w:r>
      <w:r w:rsidRPr="00035110">
        <w:rPr>
          <w:rFonts w:ascii="Century Gothic" w:eastAsia="Calibri" w:hAnsi="Century Gothic" w:cs="Arial"/>
          <w:color w:val="000000" w:themeColor="text1"/>
          <w:lang w:val="es-ES_tradnl"/>
        </w:rPr>
        <w:t xml:space="preserve">La tesis propuesta en estos conceptos se reitera a continuación y se complementa en lo pertinente. </w:t>
      </w:r>
    </w:p>
    <w:p w14:paraId="6C999C44" w14:textId="77777777" w:rsidR="0064450E" w:rsidRPr="00035110" w:rsidRDefault="0064450E" w:rsidP="0064450E">
      <w:pPr>
        <w:spacing w:after="0" w:line="276" w:lineRule="auto"/>
        <w:contextualSpacing/>
        <w:jc w:val="both"/>
        <w:rPr>
          <w:rFonts w:ascii="Century Gothic" w:eastAsia="Times New Roman" w:hAnsi="Century Gothic" w:cs="Arial"/>
          <w:b/>
          <w:szCs w:val="24"/>
          <w:lang w:eastAsia="es-ES_tradnl"/>
        </w:rPr>
      </w:pPr>
    </w:p>
    <w:p w14:paraId="5C0CDE07" w14:textId="77777777" w:rsidR="0064450E" w:rsidRPr="00035110" w:rsidRDefault="0064450E" w:rsidP="0064450E">
      <w:pPr>
        <w:spacing w:after="0" w:line="276" w:lineRule="auto"/>
        <w:jc w:val="both"/>
        <w:rPr>
          <w:rFonts w:ascii="Century Gothic" w:eastAsia="Calibri" w:hAnsi="Century Gothic" w:cs="Arial"/>
          <w:b/>
          <w:bCs/>
          <w:color w:val="000000" w:themeColor="text1"/>
        </w:rPr>
      </w:pPr>
      <w:bookmarkStart w:id="6" w:name="_Hlk75784645"/>
      <w:r w:rsidRPr="00035110">
        <w:rPr>
          <w:rFonts w:ascii="Century Gothic" w:eastAsia="Calibri" w:hAnsi="Century Gothic" w:cs="Arial"/>
          <w:b/>
          <w:bCs/>
          <w:lang w:val="es-ES_tradnl"/>
        </w:rPr>
        <w:t xml:space="preserve">2.1. </w:t>
      </w:r>
      <w:r w:rsidRPr="002E71C7">
        <w:rPr>
          <w:rFonts w:ascii="Century Gothic" w:eastAsia="Calibri" w:hAnsi="Century Gothic" w:cs="Arial"/>
          <w:b/>
          <w:bCs/>
          <w:color w:val="000000" w:themeColor="text1"/>
        </w:rPr>
        <w:t>Naturaleza de los consorcios y uniones temporales</w:t>
      </w:r>
    </w:p>
    <w:p w14:paraId="74AEA029" w14:textId="77777777" w:rsidR="0064450E" w:rsidRPr="00035110" w:rsidRDefault="0064450E" w:rsidP="0064450E">
      <w:pPr>
        <w:spacing w:after="0" w:line="276" w:lineRule="auto"/>
        <w:jc w:val="both"/>
        <w:rPr>
          <w:rFonts w:ascii="Century Gothic" w:eastAsia="Calibri" w:hAnsi="Century Gothic" w:cs="Arial"/>
          <w:b/>
          <w:bCs/>
          <w:color w:val="000000" w:themeColor="text1"/>
        </w:rPr>
      </w:pPr>
    </w:p>
    <w:p w14:paraId="6A433B21" w14:textId="77777777" w:rsidR="0064450E" w:rsidRPr="00F44270" w:rsidRDefault="0064450E" w:rsidP="0064450E">
      <w:pPr>
        <w:spacing w:after="120" w:line="276" w:lineRule="auto"/>
        <w:jc w:val="both"/>
        <w:rPr>
          <w:rFonts w:ascii="Century Gothic" w:eastAsia="Calibri" w:hAnsi="Century Gothic" w:cs="Arial"/>
        </w:rPr>
      </w:pPr>
      <w:bookmarkStart w:id="7" w:name="_Hlk41238857"/>
      <w:r w:rsidRPr="00F44270">
        <w:rPr>
          <w:rFonts w:ascii="Century Gothic" w:hAnsi="Century Gothic" w:cs="Arial"/>
        </w:rPr>
        <w:t xml:space="preserve">La capacidad jurídica es uno de los presupuestos del contrato estatal, pues se entiende como la aptitud de un sujeto para ser titular de derechos y obligaciones, de ejercer o exigir los primeros y contraer las segundas en forma personal, sumada la posibilidad de comparecer en juicio. La capacidad jurídica permite crear, modificar o extinguir relaciones jurídicas de forma voluntaria </w:t>
      </w:r>
      <w:r w:rsidRPr="00F44270">
        <w:rPr>
          <w:rFonts w:ascii="Century Gothic" w:eastAsia="Calibri" w:hAnsi="Century Gothic" w:cs="Arial"/>
        </w:rPr>
        <w:t>y autónoma.</w:t>
      </w:r>
    </w:p>
    <w:p w14:paraId="3040531B" w14:textId="77777777" w:rsidR="0064450E" w:rsidRPr="00F44270" w:rsidRDefault="0064450E" w:rsidP="0064450E">
      <w:pPr>
        <w:spacing w:after="120" w:line="276" w:lineRule="auto"/>
        <w:ind w:firstLine="709"/>
        <w:jc w:val="both"/>
        <w:rPr>
          <w:rFonts w:ascii="Century Gothic" w:hAnsi="Century Gothic"/>
        </w:rPr>
      </w:pPr>
      <w:r w:rsidRPr="00F44270">
        <w:rPr>
          <w:rFonts w:ascii="Century Gothic" w:eastAsia="Calibri" w:hAnsi="Century Gothic" w:cs="Arial"/>
        </w:rPr>
        <w:t>D</w:t>
      </w:r>
      <w:r w:rsidRPr="00F44270">
        <w:rPr>
          <w:rFonts w:ascii="Century Gothic" w:hAnsi="Century Gothic" w:cs="Arial"/>
        </w:rPr>
        <w:t xml:space="preserve">e acuerdo con el Código Civil, la capacidad se refiere a la facultad que la ley le confiere a la persona para ejercer derechos y contraer obligaciones, partiendo del supuesto de que todas las personas naturales mayores de edad son capaces, con excepción de aquellas que la ley expresamente excluye de esta presunción –artículos 1502, 1503 y 1504 </w:t>
      </w:r>
      <w:r w:rsidRPr="00F44270">
        <w:rPr>
          <w:rFonts w:ascii="Century Gothic" w:hAnsi="Century Gothic" w:cs="Arial"/>
          <w:i/>
          <w:iCs/>
        </w:rPr>
        <w:t>ibidem</w:t>
      </w:r>
      <w:r w:rsidRPr="00F44270">
        <w:rPr>
          <w:rFonts w:ascii="Century Gothic" w:hAnsi="Century Gothic" w:cs="Arial"/>
        </w:rPr>
        <w:t>–, y de que la capacidad de las personas jurídicas se circunscribe a su objeto social –artículo 99 del Código de Comercio–.</w:t>
      </w:r>
      <w:r w:rsidRPr="00F44270">
        <w:rPr>
          <w:rFonts w:ascii="Century Gothic" w:hAnsi="Century Gothic"/>
        </w:rPr>
        <w:t xml:space="preserve"> </w:t>
      </w:r>
      <w:r w:rsidRPr="00F44270">
        <w:rPr>
          <w:rFonts w:ascii="Century Gothic" w:hAnsi="Century Gothic" w:cs="Arial"/>
        </w:rPr>
        <w:t>Al respecto, el artículo 6 de la Ley 80 de 1993 –modificado por</w:t>
      </w:r>
      <w:r w:rsidRPr="00F44270">
        <w:rPr>
          <w:rFonts w:ascii="Century Gothic" w:hAnsi="Century Gothic"/>
        </w:rPr>
        <w:t xml:space="preserve"> </w:t>
      </w:r>
      <w:r w:rsidRPr="00F44270">
        <w:rPr>
          <w:rFonts w:ascii="Century Gothic" w:hAnsi="Century Gothic" w:cs="Arial"/>
        </w:rPr>
        <w:t xml:space="preserve">el art. 1 de la Ley 2160 de 2021– dispone que: “Pueden celebrar contratos con las entidades estatales las personas consideradas legalmente capaces en las disposiciones </w:t>
      </w:r>
      <w:r w:rsidRPr="00F44270">
        <w:rPr>
          <w:rFonts w:ascii="Century Gothic" w:hAnsi="Century Gothic" w:cs="Arial"/>
        </w:rPr>
        <w:lastRenderedPageBreak/>
        <w:t>vigentes. También podrán celebrar contratos con las entidades estatales […] los consorcios y uniones temporales”.</w:t>
      </w:r>
    </w:p>
    <w:p w14:paraId="2EC0FECA" w14:textId="77777777" w:rsidR="0064450E" w:rsidRPr="00F44270" w:rsidRDefault="0064450E" w:rsidP="0064450E">
      <w:pPr>
        <w:spacing w:after="0" w:line="276" w:lineRule="auto"/>
        <w:ind w:firstLine="709"/>
        <w:jc w:val="both"/>
        <w:rPr>
          <w:rFonts w:ascii="Century Gothic" w:hAnsi="Century Gothic" w:cs="Arial"/>
        </w:rPr>
      </w:pPr>
      <w:r w:rsidRPr="00F44270">
        <w:rPr>
          <w:rFonts w:ascii="Century Gothic" w:hAnsi="Century Gothic" w:cs="Arial"/>
        </w:rPr>
        <w:t>En consecuencia, pueden celebrar contratos estatales las personas naturales mayores de edad, las personas jurídicas que tengan dentro de su objeto</w:t>
      </w:r>
      <w:r w:rsidRPr="00F44270">
        <w:rPr>
          <w:rFonts w:ascii="Century Gothic" w:hAnsi="Century Gothic" w:cs="Arial"/>
          <w:spacing w:val="43"/>
        </w:rPr>
        <w:t xml:space="preserve"> </w:t>
      </w:r>
      <w:r w:rsidRPr="00F44270">
        <w:rPr>
          <w:rFonts w:ascii="Century Gothic" w:hAnsi="Century Gothic" w:cs="Arial"/>
        </w:rPr>
        <w:t>social</w:t>
      </w:r>
      <w:r w:rsidRPr="00F44270">
        <w:rPr>
          <w:rFonts w:ascii="Century Gothic" w:hAnsi="Century Gothic" w:cs="Arial"/>
          <w:spacing w:val="44"/>
        </w:rPr>
        <w:t xml:space="preserve"> </w:t>
      </w:r>
      <w:r w:rsidRPr="00F44270">
        <w:rPr>
          <w:rFonts w:ascii="Century Gothic" w:hAnsi="Century Gothic" w:cs="Arial"/>
        </w:rPr>
        <w:t>actividades</w:t>
      </w:r>
      <w:r w:rsidRPr="00F44270">
        <w:rPr>
          <w:rFonts w:ascii="Century Gothic" w:hAnsi="Century Gothic" w:cs="Arial"/>
          <w:spacing w:val="44"/>
        </w:rPr>
        <w:t xml:space="preserve"> </w:t>
      </w:r>
      <w:r w:rsidRPr="00F44270">
        <w:rPr>
          <w:rFonts w:ascii="Century Gothic" w:hAnsi="Century Gothic" w:cs="Arial"/>
        </w:rPr>
        <w:t>relacionadas</w:t>
      </w:r>
      <w:r w:rsidRPr="00F44270">
        <w:rPr>
          <w:rFonts w:ascii="Century Gothic" w:hAnsi="Century Gothic" w:cs="Arial"/>
          <w:spacing w:val="44"/>
        </w:rPr>
        <w:t xml:space="preserve"> </w:t>
      </w:r>
      <w:r w:rsidRPr="00F44270">
        <w:rPr>
          <w:rFonts w:ascii="Century Gothic" w:hAnsi="Century Gothic" w:cs="Arial"/>
        </w:rPr>
        <w:t>con</w:t>
      </w:r>
      <w:r w:rsidRPr="00F44270">
        <w:rPr>
          <w:rFonts w:ascii="Century Gothic" w:hAnsi="Century Gothic" w:cs="Arial"/>
          <w:spacing w:val="43"/>
        </w:rPr>
        <w:t xml:space="preserve"> </w:t>
      </w:r>
      <w:r w:rsidRPr="00F44270">
        <w:rPr>
          <w:rFonts w:ascii="Century Gothic" w:hAnsi="Century Gothic" w:cs="Arial"/>
        </w:rPr>
        <w:t>el</w:t>
      </w:r>
      <w:r w:rsidRPr="00F44270">
        <w:rPr>
          <w:rFonts w:ascii="Century Gothic" w:hAnsi="Century Gothic" w:cs="Arial"/>
          <w:spacing w:val="45"/>
        </w:rPr>
        <w:t xml:space="preserve"> </w:t>
      </w:r>
      <w:r w:rsidRPr="00F44270">
        <w:rPr>
          <w:rFonts w:ascii="Century Gothic" w:hAnsi="Century Gothic" w:cs="Arial"/>
        </w:rPr>
        <w:t>objeto</w:t>
      </w:r>
      <w:r w:rsidRPr="00F44270">
        <w:rPr>
          <w:rFonts w:ascii="Century Gothic" w:hAnsi="Century Gothic" w:cs="Arial"/>
          <w:spacing w:val="43"/>
        </w:rPr>
        <w:t xml:space="preserve"> </w:t>
      </w:r>
      <w:r w:rsidRPr="00F44270">
        <w:rPr>
          <w:rFonts w:ascii="Century Gothic" w:hAnsi="Century Gothic" w:cs="Arial"/>
        </w:rPr>
        <w:t>a</w:t>
      </w:r>
      <w:r w:rsidRPr="00F44270">
        <w:rPr>
          <w:rFonts w:ascii="Century Gothic" w:hAnsi="Century Gothic" w:cs="Arial"/>
          <w:spacing w:val="44"/>
        </w:rPr>
        <w:t xml:space="preserve"> </w:t>
      </w:r>
      <w:r w:rsidRPr="00F44270">
        <w:rPr>
          <w:rFonts w:ascii="Century Gothic" w:hAnsi="Century Gothic" w:cs="Arial"/>
        </w:rPr>
        <w:t>contratar</w:t>
      </w:r>
      <w:r w:rsidRPr="00F44270">
        <w:rPr>
          <w:rFonts w:ascii="Century Gothic" w:hAnsi="Century Gothic" w:cs="Arial"/>
          <w:spacing w:val="47"/>
        </w:rPr>
        <w:t xml:space="preserve"> </w:t>
      </w:r>
      <w:r w:rsidRPr="00F44270">
        <w:rPr>
          <w:rFonts w:ascii="Century Gothic" w:hAnsi="Century Gothic" w:cs="Arial"/>
        </w:rPr>
        <w:t>y,</w:t>
      </w:r>
      <w:r w:rsidRPr="00F44270">
        <w:rPr>
          <w:rFonts w:ascii="Century Gothic" w:hAnsi="Century Gothic" w:cs="Arial"/>
          <w:spacing w:val="44"/>
        </w:rPr>
        <w:t xml:space="preserve"> </w:t>
      </w:r>
      <w:r w:rsidRPr="00F44270">
        <w:rPr>
          <w:rFonts w:ascii="Century Gothic" w:hAnsi="Century Gothic" w:cs="Arial"/>
        </w:rPr>
        <w:t>en</w:t>
      </w:r>
      <w:r w:rsidRPr="00F44270">
        <w:rPr>
          <w:rFonts w:ascii="Century Gothic" w:hAnsi="Century Gothic" w:cs="Arial"/>
          <w:spacing w:val="46"/>
        </w:rPr>
        <w:t xml:space="preserve"> </w:t>
      </w:r>
      <w:r w:rsidRPr="00F44270">
        <w:rPr>
          <w:rFonts w:ascii="Century Gothic" w:hAnsi="Century Gothic" w:cs="Arial"/>
        </w:rPr>
        <w:t>virtud</w:t>
      </w:r>
      <w:r w:rsidRPr="00F44270">
        <w:rPr>
          <w:rFonts w:ascii="Century Gothic" w:hAnsi="Century Gothic" w:cs="Arial"/>
          <w:spacing w:val="43"/>
        </w:rPr>
        <w:t xml:space="preserve"> </w:t>
      </w:r>
      <w:r w:rsidRPr="00F44270">
        <w:rPr>
          <w:rFonts w:ascii="Century Gothic" w:hAnsi="Century Gothic" w:cs="Arial"/>
        </w:rPr>
        <w:t>de</w:t>
      </w:r>
      <w:r w:rsidRPr="00F44270">
        <w:rPr>
          <w:rFonts w:ascii="Century Gothic" w:hAnsi="Century Gothic" w:cs="Arial"/>
          <w:spacing w:val="44"/>
        </w:rPr>
        <w:t xml:space="preserve"> </w:t>
      </w:r>
      <w:r w:rsidRPr="00F44270">
        <w:rPr>
          <w:rFonts w:ascii="Century Gothic" w:hAnsi="Century Gothic" w:cs="Arial"/>
        </w:rPr>
        <w:t>la</w:t>
      </w:r>
      <w:r w:rsidRPr="00F44270">
        <w:rPr>
          <w:rFonts w:ascii="Century Gothic" w:hAnsi="Century Gothic" w:cs="Arial"/>
          <w:spacing w:val="43"/>
        </w:rPr>
        <w:t xml:space="preserve"> </w:t>
      </w:r>
      <w:r w:rsidRPr="00F44270">
        <w:rPr>
          <w:rFonts w:ascii="Century Gothic" w:hAnsi="Century Gothic" w:cs="Arial"/>
        </w:rPr>
        <w:t>ley, también pueden hacerlo los consorcios y las uniones temporales. Si bien no son personas jurídicas, el artículo 7 de la Ley 80 de 1993 define estos sujetos para la presentación de ofertas por un número plural de interesados. En lo pertinente, con las modificaciones del art. 3 de la Ley 2160 de 2021, la norma dispone lo siguiente:</w:t>
      </w:r>
    </w:p>
    <w:p w14:paraId="3CFB45E7" w14:textId="77777777" w:rsidR="0064450E" w:rsidRPr="00F44270" w:rsidRDefault="0064450E" w:rsidP="0064450E">
      <w:pPr>
        <w:pStyle w:val="Textoindependiente"/>
        <w:rPr>
          <w:rFonts w:ascii="Century Gothic" w:hAnsi="Century Gothic"/>
          <w:lang w:val="es-CO"/>
        </w:rPr>
      </w:pPr>
    </w:p>
    <w:p w14:paraId="0EB58371" w14:textId="77777777" w:rsidR="0064450E" w:rsidRPr="00F44270" w:rsidRDefault="0064450E" w:rsidP="0064450E">
      <w:pPr>
        <w:pStyle w:val="Textoindependiente"/>
        <w:ind w:left="709" w:right="709"/>
        <w:jc w:val="both"/>
        <w:rPr>
          <w:rFonts w:ascii="Century Gothic" w:hAnsi="Century Gothic"/>
          <w:sz w:val="21"/>
          <w:szCs w:val="21"/>
          <w:lang w:val="es-CO"/>
        </w:rPr>
      </w:pPr>
      <w:r w:rsidRPr="00F44270">
        <w:rPr>
          <w:rFonts w:ascii="Century Gothic" w:hAnsi="Century Gothic"/>
          <w:sz w:val="21"/>
          <w:szCs w:val="21"/>
          <w:lang w:val="es-CO"/>
        </w:rPr>
        <w:t>“Para los efectos de esta ley se entiende por:</w:t>
      </w:r>
    </w:p>
    <w:p w14:paraId="64803554" w14:textId="77777777" w:rsidR="0064450E" w:rsidRPr="00F44270" w:rsidRDefault="0064450E" w:rsidP="0064450E">
      <w:pPr>
        <w:pStyle w:val="Textoindependiente"/>
        <w:spacing w:after="120"/>
        <w:ind w:left="709" w:right="709"/>
        <w:jc w:val="both"/>
        <w:rPr>
          <w:rFonts w:ascii="Century Gothic" w:hAnsi="Century Gothic"/>
          <w:sz w:val="21"/>
          <w:szCs w:val="21"/>
          <w:lang w:val="es-CO"/>
        </w:rPr>
      </w:pPr>
      <w:r w:rsidRPr="00F44270">
        <w:rPr>
          <w:rFonts w:ascii="Century Gothic" w:hAnsi="Century Gothic"/>
          <w:sz w:val="21"/>
          <w:szCs w:val="21"/>
          <w:lang w:val="es-CO"/>
        </w:rPr>
        <w:t>[…]</w:t>
      </w:r>
    </w:p>
    <w:p w14:paraId="258AC8F6" w14:textId="77777777" w:rsidR="0064450E" w:rsidRPr="00F44270" w:rsidRDefault="0064450E" w:rsidP="0064450E">
      <w:pPr>
        <w:pStyle w:val="Textoindependiente"/>
        <w:spacing w:after="120"/>
        <w:ind w:left="709" w:right="709"/>
        <w:jc w:val="both"/>
        <w:rPr>
          <w:rFonts w:ascii="Century Gothic" w:hAnsi="Century Gothic"/>
          <w:sz w:val="21"/>
          <w:szCs w:val="21"/>
          <w:lang w:val="es-CO"/>
        </w:rPr>
      </w:pPr>
      <w:r w:rsidRPr="00F44270">
        <w:rPr>
          <w:rFonts w:ascii="Century Gothic" w:hAnsi="Century Gothic"/>
          <w:sz w:val="21"/>
          <w:szCs w:val="21"/>
          <w:lang w:val="es-CO"/>
        </w:rPr>
        <w:t>6. Consorcio: 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 conforman.</w:t>
      </w:r>
    </w:p>
    <w:p w14:paraId="584C38FE" w14:textId="77777777" w:rsidR="0064450E" w:rsidRPr="00F44270" w:rsidRDefault="0064450E" w:rsidP="0064450E">
      <w:pPr>
        <w:pStyle w:val="Textoindependiente"/>
        <w:spacing w:after="120"/>
        <w:ind w:left="709" w:right="709"/>
        <w:jc w:val="both"/>
        <w:rPr>
          <w:rFonts w:ascii="Century Gothic" w:hAnsi="Century Gothic"/>
          <w:sz w:val="21"/>
          <w:szCs w:val="21"/>
          <w:lang w:val="es-CO"/>
        </w:rPr>
      </w:pPr>
      <w:r w:rsidRPr="00F44270">
        <w:rPr>
          <w:rFonts w:ascii="Century Gothic" w:hAnsi="Century Gothic"/>
          <w:sz w:val="21"/>
          <w:szCs w:val="21"/>
          <w:lang w:val="es-CO"/>
        </w:rPr>
        <w:t>7. Unión Temporal: 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w:t>
      </w:r>
    </w:p>
    <w:p w14:paraId="7F3347E1" w14:textId="77777777" w:rsidR="0064450E" w:rsidRPr="00F44270" w:rsidRDefault="0064450E" w:rsidP="0064450E">
      <w:pPr>
        <w:pStyle w:val="Textoindependiente"/>
        <w:ind w:left="709" w:right="709"/>
        <w:jc w:val="both"/>
        <w:rPr>
          <w:rFonts w:ascii="Century Gothic" w:hAnsi="Century Gothic"/>
          <w:sz w:val="21"/>
          <w:szCs w:val="21"/>
          <w:lang w:val="es-CO"/>
        </w:rPr>
      </w:pPr>
      <w:r w:rsidRPr="00F44270">
        <w:rPr>
          <w:rFonts w:ascii="Century Gothic" w:hAnsi="Century Gothic"/>
          <w:sz w:val="21"/>
          <w:szCs w:val="21"/>
          <w:lang w:val="es-CO"/>
        </w:rPr>
        <w:t>[…]”.</w:t>
      </w:r>
    </w:p>
    <w:p w14:paraId="6D597A3F" w14:textId="77777777" w:rsidR="0064450E" w:rsidRPr="00F44270" w:rsidRDefault="0064450E" w:rsidP="0064450E">
      <w:pPr>
        <w:pStyle w:val="Textoindependiente"/>
        <w:spacing w:line="276" w:lineRule="auto"/>
        <w:ind w:left="709" w:right="736"/>
        <w:jc w:val="both"/>
        <w:rPr>
          <w:rFonts w:ascii="Century Gothic" w:hAnsi="Century Gothic"/>
          <w:lang w:val="es-CO"/>
        </w:rPr>
      </w:pPr>
    </w:p>
    <w:p w14:paraId="1CB3B84D" w14:textId="77777777" w:rsidR="0064450E" w:rsidRPr="00F44270" w:rsidRDefault="0064450E" w:rsidP="0064450E">
      <w:pPr>
        <w:pStyle w:val="Textoindependiente"/>
        <w:spacing w:after="120" w:line="276" w:lineRule="auto"/>
        <w:ind w:right="306" w:firstLine="709"/>
        <w:jc w:val="both"/>
        <w:rPr>
          <w:rFonts w:ascii="Century Gothic" w:hAnsi="Century Gothic"/>
          <w:sz w:val="21"/>
          <w:szCs w:val="21"/>
          <w:lang w:val="es-CO"/>
        </w:rPr>
      </w:pPr>
      <w:r w:rsidRPr="00F44270">
        <w:rPr>
          <w:rFonts w:ascii="Century Gothic" w:hAnsi="Century Gothic"/>
          <w:lang w:val="es-CO"/>
        </w:rPr>
        <w:t>Los consorcios o uniones temporales son convenios de asociación provenientes de la colaboración empresarial, mediante los cuales sus integrantes se unen y se organizan mancomunadamente para lograr con mayor eficacia un fin común de contenido patrimonial y lucrativo, como lo es la obtención del derecho a ser adjudicatarios de un contrato estatal, compartiendo recursos, de toda índole, para su ejecución, así como las utilidades y los riesgos</w:t>
      </w:r>
      <w:r w:rsidRPr="00F44270">
        <w:rPr>
          <w:rStyle w:val="Refdenotaalpie"/>
          <w:rFonts w:ascii="Century Gothic" w:hAnsi="Century Gothic"/>
          <w:lang w:val="es-CO"/>
        </w:rPr>
        <w:footnoteReference w:id="3"/>
      </w:r>
      <w:r w:rsidRPr="00F44270">
        <w:rPr>
          <w:rFonts w:ascii="Century Gothic" w:hAnsi="Century Gothic"/>
          <w:lang w:val="es-CO"/>
        </w:rPr>
        <w:t xml:space="preserve">. La diferencia radica en la responsabilidad frente a las </w:t>
      </w:r>
      <w:r w:rsidRPr="00F44270">
        <w:rPr>
          <w:rFonts w:ascii="Century Gothic" w:hAnsi="Century Gothic"/>
          <w:lang w:val="es-CO"/>
        </w:rPr>
        <w:lastRenderedPageBreak/>
        <w:t>eventuales sanciones por el incumplimiento de las obligaciones, toda vez que tratándose de una unión temporal, estas se individualizan según la participación de sus miembros, mientras que en el consorcio los miembros responden solidariamente, con independencia de este aspecto</w:t>
      </w:r>
      <w:r w:rsidRPr="00F44270">
        <w:rPr>
          <w:rStyle w:val="Refdenotaalpie"/>
          <w:rFonts w:ascii="Century Gothic" w:hAnsi="Century Gothic"/>
          <w:lang w:val="es-CO"/>
        </w:rPr>
        <w:footnoteReference w:id="4"/>
      </w:r>
      <w:r w:rsidRPr="00F44270">
        <w:rPr>
          <w:rFonts w:ascii="Century Gothic" w:hAnsi="Century Gothic"/>
          <w:lang w:val="es-CO"/>
        </w:rPr>
        <w:t xml:space="preserve">. </w:t>
      </w:r>
    </w:p>
    <w:p w14:paraId="35B22DBA" w14:textId="77777777" w:rsidR="0064450E" w:rsidRPr="00F44270" w:rsidRDefault="0064450E" w:rsidP="0064450E">
      <w:pPr>
        <w:spacing w:after="120" w:line="276" w:lineRule="auto"/>
        <w:ind w:firstLine="709"/>
        <w:jc w:val="both"/>
        <w:rPr>
          <w:rFonts w:ascii="Century Gothic" w:hAnsi="Century Gothic" w:cs="Arial"/>
        </w:rPr>
      </w:pPr>
      <w:r w:rsidRPr="00F44270">
        <w:rPr>
          <w:rFonts w:ascii="Century Gothic" w:hAnsi="Century Gothic" w:cs="Arial"/>
        </w:rPr>
        <w:t xml:space="preserve">En la medida en que los consorcios y las uniones temporales no son personas jurídicas, su creación depende de un acuerdo privado en el que concurre la voluntad de sus integrantes para regular su objeto, la participación de los miembros, las obligaciones frente al proyecto, la responsabilidad de los miembros, la forma en que regirán sus relaciones internas y el relacionamiento con la entidad contratante, mediante la designación de un representante, conforme el parágrafo 1 del artículo 7 de la Ley 80 de 1993. Por lo anterior, la constitución del consorcio o unión temporal supone la asignación de facultades al </w:t>
      </w:r>
      <w:r w:rsidRPr="00F44270">
        <w:rPr>
          <w:rFonts w:ascii="Century Gothic" w:hAnsi="Century Gothic" w:cs="Arial"/>
          <w:shd w:val="clear" w:color="auto" w:fill="FFFFFF"/>
        </w:rPr>
        <w:t>“</w:t>
      </w:r>
      <w:r w:rsidRPr="00F44270">
        <w:rPr>
          <w:rFonts w:ascii="Century Gothic" w:hAnsi="Century Gothic" w:cs="Arial"/>
        </w:rPr>
        <w:t>representante</w:t>
      </w:r>
      <w:r w:rsidRPr="00F44270">
        <w:rPr>
          <w:rFonts w:ascii="Century Gothic" w:hAnsi="Century Gothic" w:cs="Arial"/>
          <w:shd w:val="clear" w:color="auto" w:fill="FFFFFF"/>
        </w:rPr>
        <w:t>”</w:t>
      </w:r>
      <w:r w:rsidRPr="00F44270">
        <w:rPr>
          <w:rFonts w:ascii="Century Gothic" w:hAnsi="Century Gothic" w:cs="Arial"/>
        </w:rPr>
        <w:t xml:space="preserve"> del proponente plural, pues –para efectos del artículo 1505 del Código Civil– </w:t>
      </w:r>
      <w:r w:rsidRPr="00F44270">
        <w:rPr>
          <w:rFonts w:ascii="Century Gothic" w:hAnsi="Century Gothic" w:cs="Arial"/>
          <w:shd w:val="clear" w:color="auto" w:fill="FFFFFF"/>
        </w:rPr>
        <w:t>“</w:t>
      </w:r>
      <w:r w:rsidRPr="00F44270">
        <w:rPr>
          <w:rFonts w:ascii="Century Gothic" w:hAnsi="Century Gothic" w:cs="Arial"/>
        </w:rPr>
        <w:t>Lo que una persona ejecuta a nombre de otra, estando facultada por ella o por la ley para representarla, produce respecto del representado iguales efectos que si hubiese contratado él</w:t>
      </w:r>
      <w:r w:rsidRPr="00F44270">
        <w:rPr>
          <w:rFonts w:ascii="Century Gothic" w:hAnsi="Century Gothic" w:cs="Arial"/>
          <w:spacing w:val="-3"/>
        </w:rPr>
        <w:t xml:space="preserve"> </w:t>
      </w:r>
      <w:r w:rsidRPr="00F44270">
        <w:rPr>
          <w:rFonts w:ascii="Century Gothic" w:hAnsi="Century Gothic" w:cs="Arial"/>
        </w:rPr>
        <w:t>mismo”.</w:t>
      </w:r>
    </w:p>
    <w:p w14:paraId="0F91048D" w14:textId="77777777" w:rsidR="0064450E" w:rsidRPr="00F44270" w:rsidRDefault="0064450E" w:rsidP="0064450E">
      <w:pPr>
        <w:spacing w:after="0" w:line="276" w:lineRule="auto"/>
        <w:ind w:firstLine="709"/>
        <w:jc w:val="both"/>
        <w:rPr>
          <w:rFonts w:ascii="Century Gothic" w:eastAsia="Calibri" w:hAnsi="Century Gothic" w:cs="Arial"/>
          <w:b/>
          <w:bCs/>
          <w:color w:val="000000" w:themeColor="text1"/>
        </w:rPr>
      </w:pPr>
      <w:r w:rsidRPr="00F44270">
        <w:rPr>
          <w:rFonts w:ascii="Century Gothic" w:hAnsi="Century Gothic" w:cs="Arial"/>
        </w:rPr>
        <w:t>En el derecho privado, el acuerdo de voluntades que constituye el consorcio o unión temporal es un contrato principal, oneroso, conmutativo, bilateral o plurilateral</w:t>
      </w:r>
      <w:r w:rsidRPr="00F44270">
        <w:rPr>
          <w:rStyle w:val="Refdenotaalpie"/>
          <w:rFonts w:ascii="Century Gothic" w:hAnsi="Century Gothic" w:cs="Arial"/>
        </w:rPr>
        <w:footnoteReference w:id="5"/>
      </w:r>
      <w:r w:rsidRPr="00F44270">
        <w:rPr>
          <w:rFonts w:ascii="Century Gothic" w:hAnsi="Century Gothic" w:cs="Arial"/>
        </w:rPr>
        <w:t xml:space="preserve">. En el derecho público, el ente debidamente constituido será un sujeto con capacidad para contratar, para ejecutar las obligaciones y ejercer los derechos que derivan del contrato, así como para interrelacionarse con la entidad </w:t>
      </w:r>
      <w:r w:rsidRPr="00F44270">
        <w:rPr>
          <w:rFonts w:ascii="Century Gothic" w:hAnsi="Century Gothic" w:cs="Arial"/>
        </w:rPr>
        <w:lastRenderedPageBreak/>
        <w:t>estatal contratante en todo lo referente a la ejecución del objeto contractual. Inclusive, los consorcios y uniones temporales, a través de su representante, tienen capacidad y están legitimados para comparecer al proceso, en orden de proteger sus derechos o responder por el incumplimiento de sus</w:t>
      </w:r>
      <w:r w:rsidRPr="00F44270">
        <w:rPr>
          <w:rFonts w:ascii="Century Gothic" w:hAnsi="Century Gothic" w:cs="Arial"/>
          <w:spacing w:val="-5"/>
        </w:rPr>
        <w:t xml:space="preserve"> </w:t>
      </w:r>
      <w:r w:rsidRPr="00F44270">
        <w:rPr>
          <w:rFonts w:ascii="Century Gothic" w:hAnsi="Century Gothic" w:cs="Arial"/>
        </w:rPr>
        <w:t>obligaciones</w:t>
      </w:r>
      <w:r w:rsidRPr="00F44270">
        <w:rPr>
          <w:rStyle w:val="Refdenotaalpie"/>
          <w:rFonts w:ascii="Century Gothic" w:hAnsi="Century Gothic" w:cs="Arial"/>
        </w:rPr>
        <w:footnoteReference w:id="6"/>
      </w:r>
      <w:r w:rsidRPr="00F44270">
        <w:rPr>
          <w:rFonts w:ascii="Century Gothic" w:hAnsi="Century Gothic" w:cs="Arial"/>
        </w:rPr>
        <w:t xml:space="preserve">. </w:t>
      </w:r>
      <w:r w:rsidRPr="00F44270">
        <w:rPr>
          <w:rFonts w:ascii="Century Gothic" w:hAnsi="Century Gothic"/>
        </w:rPr>
        <w:t>En conclusión, los consorcios y uniones temporales no son personas jurídicas, pero son entes creados por el acuerdo de voluntades de sus miembros que están facultados, en virtud de la ley, para celebrar y ejecutar contratos con entidades estatales y para ser parte en procesos administrativos y judiciales derivados de su celebración y ejecución</w:t>
      </w:r>
      <w:r w:rsidRPr="00F44270">
        <w:rPr>
          <w:rFonts w:ascii="Century Gothic" w:eastAsia="Calibri" w:hAnsi="Century Gothic" w:cs="Arial"/>
          <w:color w:val="000000" w:themeColor="text1"/>
        </w:rPr>
        <w:t xml:space="preserve">. </w:t>
      </w:r>
    </w:p>
    <w:p w14:paraId="49684FBE" w14:textId="77777777" w:rsidR="0064450E" w:rsidRPr="00F44270" w:rsidRDefault="0064450E" w:rsidP="0064450E">
      <w:pPr>
        <w:spacing w:after="0" w:line="276" w:lineRule="auto"/>
        <w:ind w:firstLine="708"/>
        <w:jc w:val="both"/>
        <w:rPr>
          <w:rFonts w:ascii="Century Gothic" w:eastAsia="Calibri" w:hAnsi="Century Gothic" w:cs="Arial"/>
          <w:color w:val="000000" w:themeColor="text1"/>
        </w:rPr>
      </w:pPr>
      <w:r w:rsidRPr="00F44270">
        <w:rPr>
          <w:rFonts w:ascii="Century Gothic" w:eastAsia="Calibri" w:hAnsi="Century Gothic" w:cs="Arial"/>
          <w:color w:val="000000" w:themeColor="text1"/>
        </w:rPr>
        <w:t xml:space="preserve"> </w:t>
      </w:r>
      <w:bookmarkEnd w:id="7"/>
    </w:p>
    <w:p w14:paraId="41C8008B" w14:textId="77777777" w:rsidR="0064450E" w:rsidRPr="00035110" w:rsidRDefault="0064450E" w:rsidP="0064450E">
      <w:pPr>
        <w:spacing w:after="0" w:line="276" w:lineRule="auto"/>
        <w:jc w:val="both"/>
        <w:rPr>
          <w:rFonts w:ascii="Century Gothic" w:eastAsia="Calibri" w:hAnsi="Century Gothic" w:cs="Arial"/>
          <w:b/>
          <w:bCs/>
          <w:lang w:val="es-MX"/>
        </w:rPr>
      </w:pPr>
      <w:r w:rsidRPr="00035110">
        <w:rPr>
          <w:rFonts w:ascii="Century Gothic" w:eastAsia="Calibri" w:hAnsi="Century Gothic" w:cs="Arial"/>
          <w:b/>
          <w:bCs/>
          <w:color w:val="000000" w:themeColor="text1"/>
        </w:rPr>
        <w:t xml:space="preserve">2.2. </w:t>
      </w:r>
      <w:r w:rsidRPr="00035110">
        <w:rPr>
          <w:rFonts w:ascii="Century Gothic" w:eastAsia="Calibri" w:hAnsi="Century Gothic" w:cs="Arial"/>
          <w:b/>
          <w:bCs/>
          <w:lang w:val="es-MX"/>
        </w:rPr>
        <w:t xml:space="preserve">Convocatorias limitadas a </w:t>
      </w:r>
      <w:proofErr w:type="spellStart"/>
      <w:r w:rsidRPr="00035110">
        <w:rPr>
          <w:rFonts w:ascii="Century Gothic" w:eastAsia="Calibri" w:hAnsi="Century Gothic" w:cs="Arial"/>
          <w:b/>
          <w:bCs/>
          <w:lang w:val="es-MX"/>
        </w:rPr>
        <w:t>Mipymes</w:t>
      </w:r>
      <w:proofErr w:type="spellEnd"/>
      <w:r w:rsidRPr="00035110">
        <w:rPr>
          <w:rFonts w:ascii="Century Gothic" w:eastAsia="Calibri" w:hAnsi="Century Gothic" w:cs="Arial"/>
          <w:b/>
          <w:bCs/>
          <w:lang w:val="es-MX"/>
        </w:rPr>
        <w:t xml:space="preserve"> en el sistema de compras públicas</w:t>
      </w:r>
    </w:p>
    <w:p w14:paraId="30C9AA24" w14:textId="77777777" w:rsidR="0064450E" w:rsidRPr="00035110" w:rsidRDefault="0064450E" w:rsidP="0064450E">
      <w:pPr>
        <w:tabs>
          <w:tab w:val="left" w:pos="426"/>
        </w:tabs>
        <w:spacing w:after="0" w:line="276" w:lineRule="auto"/>
        <w:contextualSpacing/>
        <w:jc w:val="both"/>
        <w:rPr>
          <w:rFonts w:ascii="Century Gothic" w:eastAsia="Calibri" w:hAnsi="Century Gothic" w:cs="Arial"/>
          <w:b/>
          <w:lang w:val="es-MX"/>
        </w:rPr>
      </w:pPr>
    </w:p>
    <w:p w14:paraId="4390F228" w14:textId="77777777" w:rsidR="0064450E" w:rsidRPr="00035110" w:rsidRDefault="0064450E" w:rsidP="0064450E">
      <w:pPr>
        <w:spacing w:after="0" w:line="276" w:lineRule="auto"/>
        <w:jc w:val="both"/>
        <w:rPr>
          <w:rFonts w:ascii="Century Gothic" w:eastAsia="Arial" w:hAnsi="Century Gothic" w:cs="Arial"/>
          <w:color w:val="000000"/>
        </w:rPr>
      </w:pPr>
      <w:r w:rsidRPr="00035110">
        <w:rPr>
          <w:rFonts w:ascii="Century Gothic" w:eastAsia="Arial" w:hAnsi="Century Gothic" w:cs="Arial"/>
          <w:color w:val="000000"/>
        </w:rPr>
        <w:t xml:space="preserve">En desarrollo del artículo 12 de la Ley 1150 de 2007, el artículo 2.2.1.2.4.2.2 del Decreto 1082 de 2015 –modificado por el Decreto 1860 de 2021– establece los requisitos que se deben acreditar en las “convocatorias limitadas a </w:t>
      </w:r>
      <w:proofErr w:type="spellStart"/>
      <w:r w:rsidRPr="00035110">
        <w:rPr>
          <w:rFonts w:ascii="Century Gothic" w:eastAsia="Arial" w:hAnsi="Century Gothic" w:cs="Arial"/>
          <w:color w:val="000000"/>
        </w:rPr>
        <w:t>Mipymes</w:t>
      </w:r>
      <w:proofErr w:type="spellEnd"/>
      <w:r w:rsidRPr="00035110">
        <w:rPr>
          <w:rFonts w:ascii="Century Gothic" w:eastAsia="Arial" w:hAnsi="Century Gothic" w:cs="Arial"/>
          <w:color w:val="000000"/>
        </w:rPr>
        <w:t xml:space="preserve">”. El inciso primero de la referida norma exige que las entidades estatales independientemente de su régimen de contratación, los patrimonios autónomos constituidos por entidades estatales y los particulares que ejecuten recursos públicos, limiten las convocatorias de los procesos de contratación a las </w:t>
      </w:r>
      <w:proofErr w:type="spellStart"/>
      <w:r w:rsidRPr="00035110">
        <w:rPr>
          <w:rFonts w:ascii="Century Gothic" w:eastAsia="Arial" w:hAnsi="Century Gothic" w:cs="Arial"/>
          <w:color w:val="000000"/>
        </w:rPr>
        <w:t>Mipyme</w:t>
      </w:r>
      <w:proofErr w:type="spellEnd"/>
      <w:r w:rsidRPr="00035110">
        <w:rPr>
          <w:rFonts w:ascii="Century Gothic" w:eastAsia="Arial" w:hAnsi="Century Gothic" w:cs="Arial"/>
          <w:color w:val="000000"/>
        </w:rPr>
        <w:t xml:space="preserve"> colombianas con mínimo un (1) año de existencia, siempre que se cumplan los requisitos señalados allí. Al respecto indica lo siguiente: </w:t>
      </w:r>
    </w:p>
    <w:p w14:paraId="2AA6C286" w14:textId="77777777" w:rsidR="0064450E" w:rsidRPr="00035110" w:rsidRDefault="0064450E" w:rsidP="0064450E">
      <w:pPr>
        <w:spacing w:after="0" w:line="276" w:lineRule="auto"/>
        <w:ind w:firstLine="709"/>
        <w:jc w:val="both"/>
        <w:rPr>
          <w:rFonts w:ascii="Century Gothic" w:eastAsia="Arial" w:hAnsi="Century Gothic" w:cs="Arial"/>
          <w:color w:val="000000"/>
        </w:rPr>
      </w:pPr>
    </w:p>
    <w:p w14:paraId="5A8147EC" w14:textId="77777777" w:rsidR="0064450E" w:rsidRPr="00035110" w:rsidRDefault="0064450E" w:rsidP="49097B2D">
      <w:pPr>
        <w:spacing w:after="120" w:line="240" w:lineRule="auto"/>
        <w:ind w:left="709" w:right="709"/>
        <w:jc w:val="both"/>
        <w:rPr>
          <w:rFonts w:ascii="Century Gothic" w:eastAsia="Calibri" w:hAnsi="Century Gothic" w:cs="Arial"/>
          <w:sz w:val="21"/>
          <w:szCs w:val="21"/>
          <w:lang w:val="es-ES"/>
        </w:rPr>
      </w:pPr>
      <w:r w:rsidRPr="49097B2D">
        <w:rPr>
          <w:rFonts w:ascii="Century Gothic" w:eastAsia="Calibri" w:hAnsi="Century Gothic" w:cs="Arial"/>
          <w:sz w:val="21"/>
          <w:szCs w:val="21"/>
          <w:lang w:val="es-ES"/>
        </w:rPr>
        <w:t xml:space="preserve">“Artículo 2.2.1.2.4.2.2. Convocatorias Imitadas a </w:t>
      </w:r>
      <w:proofErr w:type="spellStart"/>
      <w:r w:rsidRPr="49097B2D">
        <w:rPr>
          <w:rFonts w:ascii="Century Gothic" w:eastAsia="Calibri" w:hAnsi="Century Gothic" w:cs="Arial"/>
          <w:sz w:val="21"/>
          <w:szCs w:val="21"/>
          <w:lang w:val="es-ES"/>
        </w:rPr>
        <w:t>Mipyme</w:t>
      </w:r>
      <w:proofErr w:type="spellEnd"/>
      <w:r w:rsidRPr="49097B2D">
        <w:rPr>
          <w:rFonts w:ascii="Century Gothic" w:eastAsia="Calibri" w:hAnsi="Century Gothic" w:cs="Arial"/>
          <w:sz w:val="21"/>
          <w:szCs w:val="21"/>
          <w:lang w:val="es-ES"/>
        </w:rPr>
        <w:t xml:space="preserv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w:t>
      </w:r>
      <w:proofErr w:type="spellStart"/>
      <w:r w:rsidRPr="49097B2D">
        <w:rPr>
          <w:rFonts w:ascii="Century Gothic" w:eastAsia="Calibri" w:hAnsi="Century Gothic" w:cs="Arial"/>
          <w:sz w:val="21"/>
          <w:szCs w:val="21"/>
          <w:lang w:val="es-ES"/>
        </w:rPr>
        <w:t>Mipyme</w:t>
      </w:r>
      <w:proofErr w:type="spellEnd"/>
      <w:r w:rsidRPr="49097B2D">
        <w:rPr>
          <w:rFonts w:ascii="Century Gothic" w:eastAsia="Calibri" w:hAnsi="Century Gothic" w:cs="Arial"/>
          <w:sz w:val="21"/>
          <w:szCs w:val="21"/>
          <w:lang w:val="es-ES"/>
        </w:rPr>
        <w:t xml:space="preserve"> colombianas con mínimo un (1) año de existencia, cuando concurran los siguientes requisitos: </w:t>
      </w:r>
    </w:p>
    <w:p w14:paraId="2CB1203F" w14:textId="77777777" w:rsidR="0064450E" w:rsidRPr="00035110" w:rsidRDefault="0064450E" w:rsidP="0064450E">
      <w:pPr>
        <w:spacing w:after="120" w:line="240" w:lineRule="auto"/>
        <w:ind w:left="709" w:right="709"/>
        <w:jc w:val="both"/>
        <w:rPr>
          <w:rFonts w:ascii="Century Gothic" w:eastAsia="Calibri" w:hAnsi="Century Gothic" w:cs="Arial"/>
          <w:sz w:val="21"/>
          <w:szCs w:val="21"/>
          <w:lang w:val="es-ES_tradnl"/>
        </w:rPr>
      </w:pPr>
      <w:r w:rsidRPr="00035110">
        <w:rPr>
          <w:rFonts w:ascii="Century Gothic" w:eastAsia="Calibri" w:hAnsi="Century Gothic" w:cs="Arial"/>
          <w:sz w:val="21"/>
          <w:szCs w:val="21"/>
          <w:lang w:val="es-ES_tradnl"/>
        </w:rPr>
        <w:lastRenderedPageBreak/>
        <w:t>1. El valor del Proceso de Contratación sea menor a ciento veinticinco mil dólares de los Estados Unidos de América (US$125.000), liquidados con la tasa de cambio que para el efecto determina cada dos años el Ministerio de Comercio, Industria y Turismo.</w:t>
      </w:r>
    </w:p>
    <w:p w14:paraId="222EDFDD" w14:textId="77777777" w:rsidR="0064450E" w:rsidRPr="00035110" w:rsidRDefault="0064450E" w:rsidP="49097B2D">
      <w:pPr>
        <w:spacing w:after="120" w:line="240" w:lineRule="auto"/>
        <w:ind w:left="709" w:right="709"/>
        <w:jc w:val="both"/>
        <w:rPr>
          <w:rFonts w:ascii="Century Gothic" w:eastAsia="Calibri" w:hAnsi="Century Gothic" w:cs="Arial"/>
          <w:sz w:val="21"/>
          <w:szCs w:val="21"/>
          <w:lang w:val="es-ES"/>
        </w:rPr>
      </w:pPr>
      <w:r w:rsidRPr="49097B2D">
        <w:rPr>
          <w:rFonts w:ascii="Century Gothic" w:eastAsia="Calibri" w:hAnsi="Century Gothic" w:cs="Arial"/>
          <w:sz w:val="21"/>
          <w:szCs w:val="21"/>
          <w:lang w:val="es-ES"/>
        </w:rPr>
        <w:t xml:space="preserve">2. Se hayan recibido solicitudes de por lo menos dos (2) </w:t>
      </w:r>
      <w:proofErr w:type="spellStart"/>
      <w:r w:rsidRPr="49097B2D">
        <w:rPr>
          <w:rFonts w:ascii="Century Gothic" w:eastAsia="Calibri" w:hAnsi="Century Gothic" w:cs="Arial"/>
          <w:sz w:val="21"/>
          <w:szCs w:val="21"/>
          <w:lang w:val="es-ES"/>
        </w:rPr>
        <w:t>Mipyme</w:t>
      </w:r>
      <w:proofErr w:type="spellEnd"/>
      <w:r w:rsidRPr="49097B2D">
        <w:rPr>
          <w:rFonts w:ascii="Century Gothic" w:eastAsia="Calibri" w:hAnsi="Century Gothic" w:cs="Arial"/>
          <w:sz w:val="21"/>
          <w:szCs w:val="21"/>
          <w:lang w:val="es-ES"/>
        </w:rPr>
        <w:t xml:space="preserve"> colombianas para limitar la convocatoria a </w:t>
      </w:r>
      <w:proofErr w:type="spellStart"/>
      <w:r w:rsidRPr="49097B2D">
        <w:rPr>
          <w:rFonts w:ascii="Century Gothic" w:eastAsia="Calibri" w:hAnsi="Century Gothic" w:cs="Arial"/>
          <w:sz w:val="21"/>
          <w:szCs w:val="21"/>
          <w:lang w:val="es-ES"/>
        </w:rPr>
        <w:t>Mipyme</w:t>
      </w:r>
      <w:proofErr w:type="spellEnd"/>
      <w:r w:rsidRPr="49097B2D">
        <w:rPr>
          <w:rFonts w:ascii="Century Gothic" w:eastAsia="Calibri" w:hAnsi="Century Gothic" w:cs="Arial"/>
          <w:sz w:val="21"/>
          <w:szCs w:val="21"/>
          <w:lang w:val="es-ES"/>
        </w:rPr>
        <w:t xml:space="preserv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Tratándose de personas jurídicas, las solicitudes solo las podrán realizar </w:t>
      </w:r>
      <w:proofErr w:type="spellStart"/>
      <w:r w:rsidRPr="49097B2D">
        <w:rPr>
          <w:rFonts w:ascii="Century Gothic" w:eastAsia="Calibri" w:hAnsi="Century Gothic" w:cs="Arial"/>
          <w:sz w:val="21"/>
          <w:szCs w:val="21"/>
          <w:lang w:val="es-ES"/>
        </w:rPr>
        <w:t>Mipyme</w:t>
      </w:r>
      <w:proofErr w:type="spellEnd"/>
      <w:r w:rsidRPr="49097B2D">
        <w:rPr>
          <w:rFonts w:ascii="Century Gothic" w:eastAsia="Calibri" w:hAnsi="Century Gothic" w:cs="Arial"/>
          <w:sz w:val="21"/>
          <w:szCs w:val="21"/>
          <w:lang w:val="es-ES"/>
        </w:rPr>
        <w:t>, cuyo objeto social les permita ejecutar el contrato relacionado con el proceso contractual.</w:t>
      </w:r>
    </w:p>
    <w:p w14:paraId="7B4EE5FE" w14:textId="77777777" w:rsidR="0064450E" w:rsidRPr="00035110" w:rsidRDefault="0064450E" w:rsidP="49097B2D">
      <w:pPr>
        <w:spacing w:after="0" w:line="240" w:lineRule="auto"/>
        <w:ind w:left="709" w:right="709"/>
        <w:jc w:val="both"/>
        <w:rPr>
          <w:rFonts w:ascii="Century Gothic" w:eastAsia="Calibri" w:hAnsi="Century Gothic" w:cs="Arial"/>
          <w:sz w:val="21"/>
          <w:szCs w:val="21"/>
          <w:lang w:val="es-ES"/>
        </w:rPr>
      </w:pPr>
      <w:r w:rsidRPr="49097B2D">
        <w:rPr>
          <w:rFonts w:ascii="Century Gothic" w:eastAsia="Calibri" w:hAnsi="Century Gothic" w:cs="Arial"/>
          <w:sz w:val="21"/>
          <w:szCs w:val="21"/>
          <w:lang w:val="es-ES"/>
        </w:rPr>
        <w:t xml:space="preserve">Parágrafo. Las cooperativas y demás entidades de economía solidaria, siempre que tengan la calidad de </w:t>
      </w:r>
      <w:proofErr w:type="spellStart"/>
      <w:r w:rsidRPr="49097B2D">
        <w:rPr>
          <w:rFonts w:ascii="Century Gothic" w:eastAsia="Calibri" w:hAnsi="Century Gothic" w:cs="Arial"/>
          <w:sz w:val="21"/>
          <w:szCs w:val="21"/>
          <w:lang w:val="es-ES"/>
        </w:rPr>
        <w:t>Mipyme</w:t>
      </w:r>
      <w:proofErr w:type="spellEnd"/>
      <w:r w:rsidRPr="49097B2D">
        <w:rPr>
          <w:rFonts w:ascii="Century Gothic" w:eastAsia="Calibri" w:hAnsi="Century Gothic" w:cs="Arial"/>
          <w:sz w:val="21"/>
          <w:szCs w:val="21"/>
          <w:lang w:val="es-ES"/>
        </w:rPr>
        <w:t>, podrán solicitar y participar en las convocatorias limitadas en las mismas condiciones dispuestas en el presente artículo”.</w:t>
      </w:r>
    </w:p>
    <w:p w14:paraId="1CDA30C5" w14:textId="77777777" w:rsidR="0064450E" w:rsidRPr="00035110" w:rsidRDefault="0064450E" w:rsidP="0064450E">
      <w:pPr>
        <w:spacing w:after="0" w:line="276" w:lineRule="auto"/>
        <w:ind w:firstLine="709"/>
        <w:jc w:val="both"/>
        <w:rPr>
          <w:rFonts w:ascii="Century Gothic" w:eastAsia="Arial" w:hAnsi="Century Gothic" w:cs="Arial"/>
          <w:color w:val="000000"/>
        </w:rPr>
      </w:pPr>
    </w:p>
    <w:p w14:paraId="798DB3D4" w14:textId="77777777" w:rsidR="0064450E" w:rsidRDefault="0064450E" w:rsidP="0064450E">
      <w:pPr>
        <w:spacing w:after="120" w:line="276" w:lineRule="auto"/>
        <w:ind w:firstLine="709"/>
        <w:jc w:val="both"/>
        <w:rPr>
          <w:rFonts w:ascii="Century Gothic" w:eastAsia="Arial" w:hAnsi="Century Gothic" w:cs="Arial"/>
          <w:color w:val="000000"/>
          <w:lang w:val="es-ES_tradnl"/>
        </w:rPr>
      </w:pPr>
      <w:r w:rsidRPr="00035110">
        <w:rPr>
          <w:rFonts w:ascii="Century Gothic" w:eastAsia="Arial" w:hAnsi="Century Gothic" w:cs="Arial"/>
          <w:color w:val="000000"/>
        </w:rPr>
        <w:t xml:space="preserve">Según se evidencia, el numeral primero limita cuantitativamente los procesos contractuales para las convocatorias limitadas a </w:t>
      </w:r>
      <w:proofErr w:type="spellStart"/>
      <w:r w:rsidRPr="00035110">
        <w:rPr>
          <w:rFonts w:ascii="Century Gothic" w:eastAsia="Arial" w:hAnsi="Century Gothic" w:cs="Arial"/>
          <w:color w:val="000000"/>
        </w:rPr>
        <w:t>Mipyme</w:t>
      </w:r>
      <w:proofErr w:type="spellEnd"/>
      <w:r w:rsidRPr="00035110">
        <w:rPr>
          <w:rFonts w:ascii="Century Gothic" w:eastAsia="Arial" w:hAnsi="Century Gothic" w:cs="Arial"/>
          <w:color w:val="000000"/>
        </w:rPr>
        <w:t xml:space="preserve">, puesto que el valor del proceso de contratación debe ser “menor a ciento veinticinco mil dólares de los Estados Unidos de América”. Esto de acuerdo con la tasa que determine cada dos años el Ministerio de Comercio, Industria y Turismo. Por su parte, el numeral segundo establece que al menos dos (2) </w:t>
      </w:r>
      <w:proofErr w:type="spellStart"/>
      <w:r w:rsidRPr="00035110">
        <w:rPr>
          <w:rFonts w:ascii="Century Gothic" w:eastAsia="Arial" w:hAnsi="Century Gothic" w:cs="Arial"/>
          <w:color w:val="000000"/>
        </w:rPr>
        <w:t>Mipymes</w:t>
      </w:r>
      <w:proofErr w:type="spellEnd"/>
      <w:r w:rsidRPr="00035110">
        <w:rPr>
          <w:rFonts w:ascii="Century Gothic" w:eastAsia="Arial" w:hAnsi="Century Gothic" w:cs="Arial"/>
          <w:color w:val="000000"/>
        </w:rPr>
        <w:t xml:space="preserve"> colombianas presenten a la entidad la solicitud de limitar el proceso contractual y, por el otro, que hagan la solicitud por lo menos un día (1) hábil antes de la expedición del acto administrativo de apertura </w:t>
      </w:r>
      <w:r w:rsidRPr="00035110">
        <w:rPr>
          <w:rFonts w:ascii="Century Gothic" w:eastAsia="Arial" w:hAnsi="Century Gothic" w:cs="Arial"/>
          <w:color w:val="000000"/>
          <w:lang w:val="es-ES_tradnl"/>
        </w:rPr>
        <w:t>o el que haga sus veces de acuerdo con la normativa aplicable a cada Proceso de Contratación</w:t>
      </w:r>
      <w:r w:rsidRPr="00035110">
        <w:rPr>
          <w:rFonts w:ascii="Century Gothic" w:eastAsia="Arial" w:hAnsi="Century Gothic" w:cs="Arial"/>
          <w:color w:val="000000"/>
        </w:rPr>
        <w:t xml:space="preserve">. Asimismo, la norma señala que, </w:t>
      </w:r>
      <w:r w:rsidRPr="00035110">
        <w:rPr>
          <w:rFonts w:ascii="Century Gothic" w:eastAsia="Arial" w:hAnsi="Century Gothic" w:cs="Arial"/>
          <w:color w:val="000000"/>
          <w:lang w:val="es-ES_tradnl"/>
        </w:rPr>
        <w:t xml:space="preserve">tratándose de personas jurídicas, las solicitudes solo las podrán realizar la </w:t>
      </w:r>
      <w:proofErr w:type="spellStart"/>
      <w:r w:rsidRPr="00035110">
        <w:rPr>
          <w:rFonts w:ascii="Century Gothic" w:eastAsia="Arial" w:hAnsi="Century Gothic" w:cs="Arial"/>
          <w:color w:val="000000"/>
          <w:lang w:val="es-ES_tradnl"/>
        </w:rPr>
        <w:t>Mipyme</w:t>
      </w:r>
      <w:proofErr w:type="spellEnd"/>
      <w:r w:rsidRPr="00035110">
        <w:rPr>
          <w:rFonts w:ascii="Century Gothic" w:eastAsia="Arial" w:hAnsi="Century Gothic" w:cs="Arial"/>
          <w:color w:val="000000"/>
          <w:lang w:val="es-ES_tradnl"/>
        </w:rPr>
        <w:t xml:space="preserve">, cuyo objeto social les permita ejecutar el contrato relacionado con el proceso contractual. Por lo demás, este artículo incluye a las cooperativas y demás entidades de economía solidaria dentro de los sujetos que pueden solicitar y participar en las convocatorias limitadas a </w:t>
      </w:r>
      <w:proofErr w:type="spellStart"/>
      <w:r w:rsidRPr="00035110">
        <w:rPr>
          <w:rFonts w:ascii="Century Gothic" w:eastAsia="Arial" w:hAnsi="Century Gothic" w:cs="Arial"/>
          <w:color w:val="000000"/>
          <w:lang w:val="es-ES_tradnl"/>
        </w:rPr>
        <w:t>Mipyme</w:t>
      </w:r>
      <w:proofErr w:type="spellEnd"/>
      <w:r w:rsidRPr="00035110">
        <w:rPr>
          <w:rFonts w:ascii="Century Gothic" w:eastAsia="Arial" w:hAnsi="Century Gothic" w:cs="Arial"/>
          <w:color w:val="000000"/>
          <w:lang w:val="es-ES_tradnl"/>
        </w:rPr>
        <w:t xml:space="preserve">, siempre que estas cumplan con las condiciones señaladas en el artículo. </w:t>
      </w:r>
    </w:p>
    <w:p w14:paraId="4C38CA0B" w14:textId="77777777" w:rsidR="0064450E" w:rsidRDefault="0064450E" w:rsidP="0064450E">
      <w:pPr>
        <w:spacing w:after="120" w:line="276" w:lineRule="auto"/>
        <w:ind w:firstLine="709"/>
        <w:jc w:val="both"/>
        <w:rPr>
          <w:rFonts w:ascii="Century Gothic" w:eastAsia="Arial" w:hAnsi="Century Gothic" w:cs="Arial"/>
          <w:color w:val="000000"/>
          <w:lang w:val="es-ES_tradnl"/>
        </w:rPr>
      </w:pPr>
      <w:r>
        <w:rPr>
          <w:rFonts w:ascii="Century Gothic" w:eastAsia="Arial" w:hAnsi="Century Gothic" w:cs="Arial"/>
          <w:color w:val="000000"/>
          <w:lang w:val="es-ES_tradnl"/>
        </w:rPr>
        <w:t xml:space="preserve">Como se desprende del tenor literal de la disposición transcrita, cuando se cumplen las condiciones de los numerales 1 y 2, </w:t>
      </w:r>
      <w:r w:rsidRPr="00146B61">
        <w:rPr>
          <w:rFonts w:ascii="Century Gothic" w:eastAsia="Arial" w:hAnsi="Century Gothic" w:cs="Arial"/>
          <w:color w:val="000000"/>
          <w:lang w:val="es-ES_tradnl"/>
        </w:rPr>
        <w:t xml:space="preserve">la convocatoria de los Procesos de Contratación con pluralidad de oferentes </w:t>
      </w:r>
      <w:r>
        <w:rPr>
          <w:rFonts w:ascii="Century Gothic" w:eastAsia="Arial" w:hAnsi="Century Gothic" w:cs="Arial"/>
          <w:color w:val="000000"/>
          <w:lang w:val="es-ES_tradnl"/>
        </w:rPr>
        <w:t xml:space="preserve">se limita </w:t>
      </w:r>
      <w:r w:rsidRPr="00146B61">
        <w:rPr>
          <w:rFonts w:ascii="Century Gothic" w:eastAsia="Arial" w:hAnsi="Century Gothic" w:cs="Arial"/>
          <w:color w:val="000000"/>
          <w:lang w:val="es-ES_tradnl"/>
        </w:rPr>
        <w:t xml:space="preserve">a las </w:t>
      </w:r>
      <w:proofErr w:type="spellStart"/>
      <w:r w:rsidRPr="00146B61">
        <w:rPr>
          <w:rFonts w:ascii="Century Gothic" w:eastAsia="Arial" w:hAnsi="Century Gothic" w:cs="Arial"/>
          <w:color w:val="000000"/>
          <w:lang w:val="es-ES_tradnl"/>
        </w:rPr>
        <w:t>Mipyme</w:t>
      </w:r>
      <w:proofErr w:type="spellEnd"/>
      <w:r w:rsidRPr="00146B61">
        <w:rPr>
          <w:rFonts w:ascii="Century Gothic" w:eastAsia="Arial" w:hAnsi="Century Gothic" w:cs="Arial"/>
          <w:color w:val="000000"/>
          <w:lang w:val="es-ES_tradnl"/>
        </w:rPr>
        <w:t xml:space="preserve"> colombianas con mínimo un (1) año de existencia</w:t>
      </w:r>
      <w:r>
        <w:rPr>
          <w:rFonts w:ascii="Century Gothic" w:eastAsia="Arial" w:hAnsi="Century Gothic" w:cs="Arial"/>
          <w:color w:val="000000"/>
          <w:lang w:val="es-ES_tradnl"/>
        </w:rPr>
        <w:t xml:space="preserve">. El artículo </w:t>
      </w:r>
      <w:r w:rsidRPr="00F1717B">
        <w:rPr>
          <w:rFonts w:ascii="Century Gothic" w:eastAsia="Arial" w:hAnsi="Century Gothic" w:cs="Arial"/>
          <w:color w:val="000000"/>
          <w:lang w:val="es-ES_tradnl"/>
        </w:rPr>
        <w:t>2.2.1.2.4.2.4</w:t>
      </w:r>
      <w:r>
        <w:rPr>
          <w:rFonts w:ascii="Century Gothic" w:eastAsia="Arial" w:hAnsi="Century Gothic" w:cs="Arial"/>
          <w:color w:val="000000"/>
          <w:lang w:val="es-ES_tradnl"/>
        </w:rPr>
        <w:t xml:space="preserve">, parágrafo 3, del Decreto </w:t>
      </w:r>
      <w:r>
        <w:rPr>
          <w:rFonts w:ascii="Century Gothic" w:eastAsia="Arial" w:hAnsi="Century Gothic" w:cs="Arial"/>
          <w:color w:val="000000"/>
          <w:lang w:val="es-ES_tradnl"/>
        </w:rPr>
        <w:lastRenderedPageBreak/>
        <w:t>1082 de 2015 dispone que “E</w:t>
      </w:r>
      <w:r w:rsidRPr="00F1717B">
        <w:rPr>
          <w:rFonts w:ascii="Century Gothic" w:eastAsia="Arial" w:hAnsi="Century Gothic" w:cs="Arial"/>
          <w:color w:val="000000"/>
          <w:lang w:val="es-ES_tradnl"/>
        </w:rPr>
        <w:t xml:space="preserve">n las convocatorias limitadas, las Entidades Estatales independientemente de su régimen de contratación, los patrimonios autónomos constituidos por Entidades Estatales y los particulares que ejecuten recursos públicos, solo deberán aceptar las ofertas de </w:t>
      </w:r>
      <w:proofErr w:type="spellStart"/>
      <w:r w:rsidRPr="00F1717B">
        <w:rPr>
          <w:rFonts w:ascii="Century Gothic" w:eastAsia="Arial" w:hAnsi="Century Gothic" w:cs="Arial"/>
          <w:color w:val="000000"/>
          <w:lang w:val="es-ES_tradnl"/>
        </w:rPr>
        <w:t>Mipyme</w:t>
      </w:r>
      <w:proofErr w:type="spellEnd"/>
      <w:r w:rsidRPr="00F1717B">
        <w:rPr>
          <w:rFonts w:ascii="Century Gothic" w:eastAsia="Arial" w:hAnsi="Century Gothic" w:cs="Arial"/>
          <w:color w:val="000000"/>
          <w:lang w:val="es-ES_tradnl"/>
        </w:rPr>
        <w:t xml:space="preserve"> o de proponentes plurales integrados únicamente por </w:t>
      </w:r>
      <w:proofErr w:type="spellStart"/>
      <w:r w:rsidRPr="00F1717B">
        <w:rPr>
          <w:rFonts w:ascii="Century Gothic" w:eastAsia="Arial" w:hAnsi="Century Gothic" w:cs="Arial"/>
          <w:color w:val="000000"/>
          <w:lang w:val="es-ES_tradnl"/>
        </w:rPr>
        <w:t>Mipyme</w:t>
      </w:r>
      <w:proofErr w:type="spellEnd"/>
      <w:r>
        <w:rPr>
          <w:rFonts w:ascii="Century Gothic" w:eastAsia="Arial" w:hAnsi="Century Gothic" w:cs="Arial"/>
          <w:color w:val="000000"/>
          <w:lang w:val="es-ES_tradnl"/>
        </w:rPr>
        <w:t>”</w:t>
      </w:r>
      <w:r w:rsidRPr="00F1717B">
        <w:rPr>
          <w:rFonts w:ascii="Century Gothic" w:eastAsia="Arial" w:hAnsi="Century Gothic" w:cs="Arial"/>
          <w:color w:val="000000"/>
          <w:lang w:val="es-ES_tradnl"/>
        </w:rPr>
        <w:t>.</w:t>
      </w:r>
      <w:r>
        <w:rPr>
          <w:rFonts w:ascii="Century Gothic" w:eastAsia="Arial" w:hAnsi="Century Gothic" w:cs="Arial"/>
          <w:color w:val="000000"/>
          <w:lang w:val="es-ES_tradnl"/>
        </w:rPr>
        <w:t xml:space="preserve"> En los términos del artículo 30 del Código Civil, esta norma debe interpretarse sistemáticamente con el inciso primero del precitado </w:t>
      </w:r>
      <w:r w:rsidRPr="0049280E">
        <w:rPr>
          <w:rFonts w:ascii="Century Gothic" w:eastAsia="Arial" w:hAnsi="Century Gothic" w:cs="Arial"/>
          <w:color w:val="000000"/>
        </w:rPr>
        <w:t>artículo 2.2.1.2.4.2.2</w:t>
      </w:r>
      <w:r>
        <w:rPr>
          <w:rFonts w:ascii="Century Gothic" w:eastAsia="Arial" w:hAnsi="Century Gothic" w:cs="Arial"/>
          <w:color w:val="000000"/>
        </w:rPr>
        <w:t xml:space="preserve"> </w:t>
      </w:r>
      <w:r w:rsidRPr="009078A5">
        <w:rPr>
          <w:rFonts w:ascii="Century Gothic" w:eastAsia="Arial" w:hAnsi="Century Gothic" w:cs="Arial"/>
          <w:i/>
          <w:iCs/>
          <w:color w:val="000000"/>
        </w:rPr>
        <w:t>ibidem</w:t>
      </w:r>
      <w:r>
        <w:rPr>
          <w:rStyle w:val="Refdenotaalpie"/>
          <w:rFonts w:ascii="Century Gothic" w:eastAsia="Arial" w:hAnsi="Century Gothic" w:cs="Arial"/>
          <w:i/>
          <w:iCs/>
          <w:color w:val="000000"/>
        </w:rPr>
        <w:footnoteReference w:id="7"/>
      </w:r>
      <w:r>
        <w:rPr>
          <w:rFonts w:ascii="Century Gothic" w:eastAsia="Arial" w:hAnsi="Century Gothic" w:cs="Arial"/>
          <w:color w:val="000000"/>
        </w:rPr>
        <w:t>.</w:t>
      </w:r>
      <w:r>
        <w:rPr>
          <w:rFonts w:ascii="Century Gothic" w:eastAsia="Arial" w:hAnsi="Century Gothic" w:cs="Arial"/>
          <w:color w:val="000000"/>
          <w:lang w:val="es-ES_tradnl"/>
        </w:rPr>
        <w:t xml:space="preserve"> Por tanto, si la convocatoria limitada aplica en favor de </w:t>
      </w:r>
      <w:proofErr w:type="spellStart"/>
      <w:r w:rsidRPr="00146B61">
        <w:rPr>
          <w:rFonts w:ascii="Century Gothic" w:eastAsia="Arial" w:hAnsi="Century Gothic" w:cs="Arial"/>
          <w:color w:val="000000"/>
          <w:lang w:val="es-ES_tradnl"/>
        </w:rPr>
        <w:t>Mipyme</w:t>
      </w:r>
      <w:proofErr w:type="spellEnd"/>
      <w:r w:rsidRPr="00146B61">
        <w:rPr>
          <w:rFonts w:ascii="Century Gothic" w:eastAsia="Arial" w:hAnsi="Century Gothic" w:cs="Arial"/>
          <w:color w:val="000000"/>
          <w:lang w:val="es-ES_tradnl"/>
        </w:rPr>
        <w:t xml:space="preserve"> colombianas con mínimo un (1) año de existencia</w:t>
      </w:r>
      <w:r>
        <w:rPr>
          <w:rFonts w:ascii="Century Gothic" w:eastAsia="Arial" w:hAnsi="Century Gothic" w:cs="Arial"/>
          <w:color w:val="000000"/>
          <w:lang w:val="es-ES_tradnl"/>
        </w:rPr>
        <w:t xml:space="preserve">, no es posible la existencia de un proponente plural en que alguno de sus integrantes no cumpla con este criterio. En otras palabras, las </w:t>
      </w:r>
      <w:proofErr w:type="spellStart"/>
      <w:r w:rsidRPr="00146B61">
        <w:rPr>
          <w:rFonts w:ascii="Century Gothic" w:eastAsia="Arial" w:hAnsi="Century Gothic" w:cs="Arial"/>
          <w:color w:val="000000"/>
          <w:lang w:val="es-ES_tradnl"/>
        </w:rPr>
        <w:t>Mipyme</w:t>
      </w:r>
      <w:proofErr w:type="spellEnd"/>
      <w:r w:rsidRPr="00146B61">
        <w:rPr>
          <w:rFonts w:ascii="Century Gothic" w:eastAsia="Arial" w:hAnsi="Century Gothic" w:cs="Arial"/>
          <w:color w:val="000000"/>
          <w:lang w:val="es-ES_tradnl"/>
        </w:rPr>
        <w:t xml:space="preserve"> colombianas con</w:t>
      </w:r>
      <w:r>
        <w:rPr>
          <w:rFonts w:ascii="Century Gothic" w:eastAsia="Arial" w:hAnsi="Century Gothic" w:cs="Arial"/>
          <w:color w:val="000000"/>
          <w:lang w:val="es-ES_tradnl"/>
        </w:rPr>
        <w:t xml:space="preserve"> menos de</w:t>
      </w:r>
      <w:r w:rsidRPr="00146B61">
        <w:rPr>
          <w:rFonts w:ascii="Century Gothic" w:eastAsia="Arial" w:hAnsi="Century Gothic" w:cs="Arial"/>
          <w:color w:val="000000"/>
          <w:lang w:val="es-ES_tradnl"/>
        </w:rPr>
        <w:t xml:space="preserve"> un (1) año de existencia</w:t>
      </w:r>
      <w:r>
        <w:rPr>
          <w:rFonts w:ascii="Century Gothic" w:eastAsia="Arial" w:hAnsi="Century Gothic" w:cs="Arial"/>
          <w:color w:val="000000"/>
          <w:lang w:val="es-ES_tradnl"/>
        </w:rPr>
        <w:t xml:space="preserve"> no pueden participar en las convocatorias limitadas individualmente ni en consorcio ni unión temporal.</w:t>
      </w:r>
    </w:p>
    <w:p w14:paraId="39ABF5EB" w14:textId="77777777" w:rsidR="0064450E" w:rsidRDefault="0064450E" w:rsidP="0064450E">
      <w:pPr>
        <w:spacing w:after="120" w:line="276" w:lineRule="auto"/>
        <w:ind w:firstLine="709"/>
        <w:jc w:val="both"/>
        <w:rPr>
          <w:rFonts w:ascii="Century Gothic" w:eastAsia="Arial" w:hAnsi="Century Gothic" w:cs="Arial"/>
          <w:color w:val="000000"/>
          <w:lang w:val="es-ES_tradnl"/>
        </w:rPr>
      </w:pPr>
      <w:r>
        <w:rPr>
          <w:rFonts w:ascii="Century Gothic" w:eastAsia="Arial" w:hAnsi="Century Gothic" w:cs="Arial"/>
          <w:color w:val="000000"/>
          <w:lang w:val="es-ES_tradnl"/>
        </w:rPr>
        <w:t>Por lo demás, en lo que respecta a la presentación de las solicitudes, el numeral 2 de</w:t>
      </w:r>
      <w:r w:rsidRPr="0049280E">
        <w:rPr>
          <w:rFonts w:ascii="Century Gothic" w:eastAsia="Arial" w:hAnsi="Century Gothic" w:cs="Arial"/>
          <w:color w:val="000000"/>
        </w:rPr>
        <w:t>l artículo 2.2.1.2.4.2.2 del Decreto 1082 de 2015</w:t>
      </w:r>
      <w:r>
        <w:rPr>
          <w:rFonts w:ascii="Century Gothic" w:eastAsia="Arial" w:hAnsi="Century Gothic" w:cs="Arial"/>
          <w:color w:val="000000"/>
          <w:lang w:val="es-ES_tradnl"/>
        </w:rPr>
        <w:t xml:space="preserve"> no impide que, posteriormente, las dos (2) empresas formen un proponente plural. De hecho, si ambas solicitaron la limitación, pueden presentarse en forma individual o conjunta. Incluso, las dos (2) pueden competir entre sí formando un consorcio o una unión temporal con otras </w:t>
      </w:r>
      <w:proofErr w:type="spellStart"/>
      <w:r w:rsidRPr="00146B61">
        <w:rPr>
          <w:rFonts w:ascii="Century Gothic" w:eastAsia="Arial" w:hAnsi="Century Gothic" w:cs="Arial"/>
          <w:color w:val="000000"/>
          <w:lang w:val="es-ES_tradnl"/>
        </w:rPr>
        <w:t>Mipyme</w:t>
      </w:r>
      <w:proofErr w:type="spellEnd"/>
      <w:r w:rsidRPr="00146B61">
        <w:rPr>
          <w:rFonts w:ascii="Century Gothic" w:eastAsia="Arial" w:hAnsi="Century Gothic" w:cs="Arial"/>
          <w:color w:val="000000"/>
          <w:lang w:val="es-ES_tradnl"/>
        </w:rPr>
        <w:t xml:space="preserve"> colombianas con mínimo un (1) año de existencia</w:t>
      </w:r>
      <w:r>
        <w:rPr>
          <w:rFonts w:ascii="Century Gothic" w:eastAsia="Arial" w:hAnsi="Century Gothic" w:cs="Arial"/>
          <w:color w:val="000000"/>
          <w:lang w:val="es-ES_tradnl"/>
        </w:rPr>
        <w:t xml:space="preserve">, aunque estas últimas no hayan solicitado la limitación. En otras palabras, después de que la convocatoria haya quedado limitada, las </w:t>
      </w:r>
      <w:proofErr w:type="spellStart"/>
      <w:r>
        <w:rPr>
          <w:rFonts w:ascii="Century Gothic" w:eastAsia="Arial" w:hAnsi="Century Gothic" w:cs="Arial"/>
          <w:color w:val="000000"/>
          <w:lang w:val="es-ES_tradnl"/>
        </w:rPr>
        <w:t>Mipyme</w:t>
      </w:r>
      <w:proofErr w:type="spellEnd"/>
      <w:r>
        <w:rPr>
          <w:rFonts w:ascii="Century Gothic" w:eastAsia="Arial" w:hAnsi="Century Gothic" w:cs="Arial"/>
          <w:color w:val="000000"/>
          <w:lang w:val="es-ES_tradnl"/>
        </w:rPr>
        <w:t xml:space="preserve"> son libres para escoger alguna de estas opciones para presentarse al proceso de selección, pues la norma no exige alguna en específico. En esta medida, las </w:t>
      </w:r>
      <w:proofErr w:type="spellStart"/>
      <w:r w:rsidRPr="00146B61">
        <w:rPr>
          <w:rFonts w:ascii="Century Gothic" w:eastAsia="Arial" w:hAnsi="Century Gothic" w:cs="Arial"/>
          <w:color w:val="000000"/>
          <w:lang w:val="es-ES_tradnl"/>
        </w:rPr>
        <w:t>Mipyme</w:t>
      </w:r>
      <w:proofErr w:type="spellEnd"/>
      <w:r w:rsidRPr="00146B61">
        <w:rPr>
          <w:rFonts w:ascii="Century Gothic" w:eastAsia="Arial" w:hAnsi="Century Gothic" w:cs="Arial"/>
          <w:color w:val="000000"/>
          <w:lang w:val="es-ES_tradnl"/>
        </w:rPr>
        <w:t xml:space="preserve"> colombianas con mínimo un (1) año de existencia</w:t>
      </w:r>
      <w:r>
        <w:rPr>
          <w:rFonts w:ascii="Century Gothic" w:eastAsia="Arial" w:hAnsi="Century Gothic" w:cs="Arial"/>
          <w:color w:val="000000"/>
          <w:lang w:val="es-ES_tradnl"/>
        </w:rPr>
        <w:t xml:space="preserve"> pueden participar en las convocatorias, independientemente de hayan solicitado o no la limitación.</w:t>
      </w:r>
    </w:p>
    <w:p w14:paraId="1505FDC2" w14:textId="77777777" w:rsidR="0064450E" w:rsidRDefault="0064450E" w:rsidP="49097B2D">
      <w:pPr>
        <w:spacing w:after="120" w:line="276" w:lineRule="auto"/>
        <w:ind w:firstLine="709"/>
        <w:jc w:val="both"/>
        <w:rPr>
          <w:rFonts w:ascii="Century Gothic" w:eastAsia="Arial" w:hAnsi="Century Gothic" w:cs="Arial"/>
          <w:color w:val="000000"/>
          <w:lang w:val="es-ES"/>
        </w:rPr>
      </w:pPr>
      <w:r w:rsidRPr="49097B2D">
        <w:rPr>
          <w:rFonts w:ascii="Century Gothic" w:eastAsia="Arial" w:hAnsi="Century Gothic" w:cs="Arial"/>
          <w:color w:val="000000" w:themeColor="text1"/>
          <w:lang w:val="es-ES"/>
        </w:rPr>
        <w:t xml:space="preserve">Esto significa que no es el consorcio o la unión temporal quien, a través de su representante, solicita limitar la convocatoria. Conforme a los analizado en el acápite anterior, los proponentes plurales carecen de personería jurídica y, por tanto, los que pueden clasificarse como </w:t>
      </w:r>
      <w:proofErr w:type="spellStart"/>
      <w:r w:rsidRPr="49097B2D">
        <w:rPr>
          <w:rFonts w:ascii="Century Gothic" w:eastAsia="Arial" w:hAnsi="Century Gothic" w:cs="Arial"/>
          <w:color w:val="000000" w:themeColor="text1"/>
          <w:lang w:val="es-ES"/>
        </w:rPr>
        <w:t>Mipyme</w:t>
      </w:r>
      <w:proofErr w:type="spellEnd"/>
      <w:r w:rsidRPr="49097B2D">
        <w:rPr>
          <w:rFonts w:ascii="Century Gothic" w:eastAsia="Arial" w:hAnsi="Century Gothic" w:cs="Arial"/>
          <w:color w:val="000000" w:themeColor="text1"/>
          <w:lang w:val="es-ES"/>
        </w:rPr>
        <w:t xml:space="preserve"> son los integrantes del proponente plural. Uno o varios de ellos pueden pedir la limitación siempre que aporten alguno de los documentos mencionados en el artículo 2.2.1.2.4.2.4 del Decreto 1082 de 2015. Conforme al parágrafo 1, “[…] las </w:t>
      </w:r>
      <w:proofErr w:type="spellStart"/>
      <w:r w:rsidRPr="49097B2D">
        <w:rPr>
          <w:rFonts w:ascii="Century Gothic" w:eastAsia="Arial" w:hAnsi="Century Gothic" w:cs="Arial"/>
          <w:color w:val="000000" w:themeColor="text1"/>
          <w:lang w:val="es-ES"/>
        </w:rPr>
        <w:t>Mipyme</w:t>
      </w:r>
      <w:proofErr w:type="spellEnd"/>
      <w:r w:rsidRPr="49097B2D">
        <w:rPr>
          <w:rFonts w:ascii="Century Gothic" w:eastAsia="Arial" w:hAnsi="Century Gothic" w:cs="Arial"/>
          <w:color w:val="000000" w:themeColor="text1"/>
          <w:lang w:val="es-ES"/>
        </w:rPr>
        <w:t xml:space="preserve"> […] podrán acreditar esta </w:t>
      </w:r>
      <w:r w:rsidRPr="49097B2D">
        <w:rPr>
          <w:rFonts w:ascii="Century Gothic" w:eastAsia="Arial" w:hAnsi="Century Gothic" w:cs="Arial"/>
          <w:color w:val="000000" w:themeColor="text1"/>
          <w:lang w:val="es-ES"/>
        </w:rPr>
        <w:lastRenderedPageBreak/>
        <w:t xml:space="preserve">condición con la copia del certificado del Registro Único de Proponentes, el cual deberá encontrarse vigente y en firme al momento de su presentación”. </w:t>
      </w:r>
    </w:p>
    <w:p w14:paraId="21E4B699" w14:textId="77777777" w:rsidR="0064450E" w:rsidRDefault="0064450E" w:rsidP="0064450E">
      <w:pPr>
        <w:spacing w:after="120" w:line="276" w:lineRule="auto"/>
        <w:ind w:firstLine="709"/>
        <w:jc w:val="both"/>
        <w:rPr>
          <w:rFonts w:ascii="Century Gothic" w:eastAsia="Arial" w:hAnsi="Century Gothic" w:cs="Arial"/>
          <w:color w:val="000000"/>
          <w:lang w:val="es-ES_tradnl"/>
        </w:rPr>
      </w:pPr>
      <w:r>
        <w:rPr>
          <w:rFonts w:ascii="Century Gothic" w:eastAsia="Arial" w:hAnsi="Century Gothic" w:cs="Arial"/>
          <w:color w:val="000000"/>
          <w:lang w:val="es-ES_tradnl"/>
        </w:rPr>
        <w:t xml:space="preserve">Si alguno(s) de los integrantes carece(n) de registro, </w:t>
      </w:r>
      <w:r w:rsidRPr="00C25193">
        <w:rPr>
          <w:rFonts w:ascii="Century Gothic" w:eastAsia="Arial" w:hAnsi="Century Gothic" w:cs="Arial"/>
          <w:color w:val="000000"/>
          <w:lang w:val="es-ES_tradnl"/>
        </w:rPr>
        <w:t xml:space="preserve">el </w:t>
      </w:r>
      <w:r>
        <w:rPr>
          <w:rFonts w:ascii="Century Gothic" w:eastAsia="Arial" w:hAnsi="Century Gothic" w:cs="Arial"/>
          <w:color w:val="000000"/>
          <w:lang w:val="es-ES_tradnl"/>
        </w:rPr>
        <w:t xml:space="preserve">numeral 2 del </w:t>
      </w:r>
      <w:r w:rsidRPr="00C25193">
        <w:rPr>
          <w:rFonts w:ascii="Century Gothic" w:eastAsia="Arial" w:hAnsi="Century Gothic" w:cs="Arial"/>
          <w:color w:val="000000"/>
          <w:lang w:val="es-ES_tradnl"/>
        </w:rPr>
        <w:t>artículo 2.2.1.2.4.2.4 del Decreto 1082 de 2015</w:t>
      </w:r>
      <w:r>
        <w:rPr>
          <w:rFonts w:ascii="Century Gothic" w:eastAsia="Arial" w:hAnsi="Century Gothic" w:cs="Arial"/>
          <w:color w:val="000000"/>
          <w:lang w:val="es-ES_tradnl"/>
        </w:rPr>
        <w:t xml:space="preserve"> permite acreditar</w:t>
      </w:r>
      <w:r w:rsidRPr="00C25193">
        <w:rPr>
          <w:rFonts w:ascii="Century Gothic" w:eastAsia="Arial" w:hAnsi="Century Gothic" w:cs="Arial"/>
          <w:color w:val="000000"/>
          <w:lang w:val="es-ES_tradnl"/>
        </w:rPr>
        <w:t xml:space="preserve"> que tiene</w:t>
      </w:r>
      <w:r>
        <w:rPr>
          <w:rFonts w:ascii="Century Gothic" w:eastAsia="Arial" w:hAnsi="Century Gothic" w:cs="Arial"/>
          <w:color w:val="000000"/>
          <w:lang w:val="es-ES_tradnl"/>
        </w:rPr>
        <w:t>(n)</w:t>
      </w:r>
      <w:r w:rsidRPr="00C25193">
        <w:rPr>
          <w:rFonts w:ascii="Century Gothic" w:eastAsia="Arial" w:hAnsi="Century Gothic" w:cs="Arial"/>
          <w:color w:val="000000"/>
          <w:lang w:val="es-ES_tradnl"/>
        </w:rPr>
        <w:t xml:space="preserve"> el tamaño empresarial </w:t>
      </w:r>
      <w:r>
        <w:rPr>
          <w:rFonts w:ascii="Century Gothic" w:eastAsia="Arial" w:hAnsi="Century Gothic" w:cs="Arial"/>
          <w:color w:val="000000"/>
          <w:lang w:val="es-ES_tradnl"/>
        </w:rPr>
        <w:t xml:space="preserve">“[…] </w:t>
      </w:r>
      <w:r w:rsidRPr="00C25193">
        <w:rPr>
          <w:rFonts w:ascii="Century Gothic" w:eastAsia="Arial" w:hAnsi="Century Gothic" w:cs="Arial"/>
          <w:color w:val="000000"/>
          <w:lang w:val="es-ES_tradnl"/>
        </w:rPr>
        <w:t>mediante certificación expedida por el representante legal y el contador o revisor fiscal, si están obligados a tenerlo, adjuntando copia del certificado de existencia y representación legal expedido por la Cámara de Comercio o por la autoridad competente para expedir dicha certificación</w:t>
      </w:r>
      <w:r>
        <w:rPr>
          <w:rFonts w:ascii="Century Gothic" w:eastAsia="Arial" w:hAnsi="Century Gothic" w:cs="Arial"/>
          <w:color w:val="000000"/>
          <w:lang w:val="es-ES_tradnl"/>
        </w:rPr>
        <w:t>”. Ambos deben suscribirla, por lo que no basta la firma del representante: la certificación también debe ir acompañada por la del contador o el revisor fiscal. Tratándose de estos últimos, la norma no exige adjuntar la tarjeta profesional ni los antecedentes disciplinarios de la profesión.</w:t>
      </w:r>
    </w:p>
    <w:p w14:paraId="5E3DCB1F" w14:textId="77777777" w:rsidR="0064450E" w:rsidRDefault="0064450E" w:rsidP="49097B2D">
      <w:pPr>
        <w:spacing w:after="0" w:line="276" w:lineRule="auto"/>
        <w:ind w:firstLine="709"/>
        <w:jc w:val="both"/>
        <w:rPr>
          <w:rFonts w:ascii="Century Gothic" w:eastAsia="Arial" w:hAnsi="Century Gothic" w:cs="Arial"/>
          <w:color w:val="000000"/>
          <w:lang w:val="es-ES"/>
        </w:rPr>
      </w:pPr>
      <w:r w:rsidRPr="49097B2D">
        <w:rPr>
          <w:rFonts w:ascii="Century Gothic" w:eastAsia="Arial" w:hAnsi="Century Gothic" w:cs="Arial"/>
          <w:color w:val="000000" w:themeColor="text1"/>
          <w:lang w:val="es-ES"/>
        </w:rPr>
        <w:t xml:space="preserve">El RUP o el certificado de existencia y representación deben tener una fecha actualizada. Así lo dispone el parágrafo 2 del artículo citado en el párrafo anterior en los siguientes términos: “Para efectos de la limitación a </w:t>
      </w:r>
      <w:proofErr w:type="spellStart"/>
      <w:r w:rsidRPr="49097B2D">
        <w:rPr>
          <w:rFonts w:ascii="Century Gothic" w:eastAsia="Arial" w:hAnsi="Century Gothic" w:cs="Arial"/>
          <w:color w:val="000000" w:themeColor="text1"/>
          <w:lang w:val="es-ES"/>
        </w:rPr>
        <w:t>Mipyme</w:t>
      </w:r>
      <w:proofErr w:type="spellEnd"/>
      <w:r w:rsidRPr="49097B2D">
        <w:rPr>
          <w:rFonts w:ascii="Century Gothic" w:eastAsia="Arial" w:hAnsi="Century Gothic" w:cs="Arial"/>
          <w:color w:val="000000" w:themeColor="text1"/>
          <w:lang w:val="es-ES"/>
        </w:rPr>
        <w:t>, los proponentes aportarán la copia del registro mercantil, del certificado de existencia y representación legal o del Registro Único de Proponentes, según corresponda conforme a las reglas precedentes, con una fecha de máximo sesenta (60) días calendario anteriores a la prevista en el cronograma del Proceso de Contratación para el inicio del plazo para solicitar la convocatoria limitada”.</w:t>
      </w:r>
    </w:p>
    <w:p w14:paraId="03A63F4E" w14:textId="77777777" w:rsidR="0064450E" w:rsidRPr="00397BF2" w:rsidRDefault="0064450E" w:rsidP="0064450E">
      <w:pPr>
        <w:spacing w:after="0" w:line="276" w:lineRule="auto"/>
        <w:ind w:firstLine="709"/>
        <w:jc w:val="both"/>
        <w:rPr>
          <w:rFonts w:ascii="Century Gothic" w:eastAsia="Arial" w:hAnsi="Century Gothic" w:cs="Arial"/>
          <w:color w:val="000000"/>
        </w:rPr>
      </w:pPr>
      <w:r w:rsidRPr="00035110">
        <w:rPr>
          <w:rFonts w:ascii="Century Gothic" w:eastAsia="Arial" w:hAnsi="Century Gothic" w:cs="Arial"/>
          <w:color w:val="000000"/>
        </w:rPr>
        <w:t xml:space="preserve">   </w:t>
      </w:r>
      <w:bookmarkEnd w:id="6"/>
    </w:p>
    <w:p w14:paraId="1BD73B0D" w14:textId="77777777" w:rsidR="0064450E" w:rsidRPr="00035110" w:rsidRDefault="0064450E" w:rsidP="0064450E">
      <w:pPr>
        <w:tabs>
          <w:tab w:val="left" w:pos="0"/>
        </w:tabs>
        <w:spacing w:after="0"/>
        <w:jc w:val="both"/>
        <w:rPr>
          <w:rFonts w:ascii="Century Gothic" w:eastAsia="Calibri" w:hAnsi="Century Gothic" w:cs="Arial"/>
          <w:b/>
          <w:color w:val="000000" w:themeColor="text1"/>
          <w:lang w:val="es-ES_tradnl"/>
        </w:rPr>
      </w:pPr>
      <w:r w:rsidRPr="00035110">
        <w:rPr>
          <w:rFonts w:ascii="Century Gothic" w:eastAsia="Calibri" w:hAnsi="Century Gothic" w:cs="Arial"/>
          <w:b/>
          <w:color w:val="000000" w:themeColor="text1"/>
          <w:lang w:val="es-ES_tradnl"/>
        </w:rPr>
        <w:t>3. Respuesta</w:t>
      </w:r>
    </w:p>
    <w:p w14:paraId="2B011F8A" w14:textId="77777777" w:rsidR="0064450E" w:rsidRPr="00035110" w:rsidRDefault="0064450E" w:rsidP="0064450E">
      <w:pPr>
        <w:spacing w:after="0" w:line="276" w:lineRule="auto"/>
        <w:ind w:firstLine="709"/>
        <w:jc w:val="both"/>
        <w:rPr>
          <w:rFonts w:ascii="Century Gothic" w:eastAsia="Times New Roman" w:hAnsi="Century Gothic" w:cs="Arial"/>
          <w:lang w:eastAsia="es-CO"/>
        </w:rPr>
      </w:pPr>
      <w:bookmarkStart w:id="8" w:name="_Hlk131064197"/>
    </w:p>
    <w:p w14:paraId="6523C55A" w14:textId="77777777" w:rsidR="0064450E" w:rsidRDefault="0064450E" w:rsidP="0064450E">
      <w:pPr>
        <w:spacing w:after="120" w:line="240" w:lineRule="auto"/>
        <w:ind w:left="709" w:right="709"/>
        <w:jc w:val="both"/>
        <w:rPr>
          <w:rFonts w:ascii="Century Gothic" w:hAnsi="Century Gothic" w:cs="Arial"/>
          <w:color w:val="000000" w:themeColor="text1"/>
          <w:sz w:val="21"/>
          <w:szCs w:val="21"/>
          <w:lang w:val="es-ES_tradnl"/>
        </w:rPr>
      </w:pPr>
      <w:r w:rsidRPr="00CF2584">
        <w:rPr>
          <w:rFonts w:ascii="Century Gothic" w:hAnsi="Century Gothic" w:cs="Arial"/>
          <w:color w:val="000000" w:themeColor="text1"/>
          <w:sz w:val="21"/>
          <w:szCs w:val="21"/>
          <w:lang w:val="es-ES_tradnl"/>
        </w:rPr>
        <w:t>i) “Cuando una unión temporal solicita limitar a MIPYMES un proceso contractual ¿qué documentos debe aportar para la acreditación de su estado como MIPYME y a través de quién debe hacerlo? Es decir, ¿la solicitud de limitación debe ir acompañada con los documentos de existencia de cada una de las empresas que componen la Unión temporal o basta con el documento de la conformación de la sociedad?”</w:t>
      </w:r>
      <w:r>
        <w:rPr>
          <w:rFonts w:ascii="Century Gothic" w:hAnsi="Century Gothic" w:cs="Arial"/>
          <w:color w:val="000000" w:themeColor="text1"/>
          <w:sz w:val="21"/>
          <w:szCs w:val="21"/>
          <w:lang w:val="es-ES_tradnl"/>
        </w:rPr>
        <w:t>.</w:t>
      </w:r>
    </w:p>
    <w:p w14:paraId="2856EDD5" w14:textId="77777777" w:rsidR="0064450E" w:rsidRPr="00035110" w:rsidRDefault="0064450E" w:rsidP="49097B2D">
      <w:pPr>
        <w:spacing w:after="0" w:line="240" w:lineRule="auto"/>
        <w:ind w:left="709" w:right="709"/>
        <w:jc w:val="both"/>
        <w:rPr>
          <w:rFonts w:ascii="Century Gothic" w:hAnsi="Century Gothic" w:cs="Arial"/>
          <w:color w:val="000000" w:themeColor="text1"/>
          <w:sz w:val="21"/>
          <w:szCs w:val="21"/>
          <w:lang w:val="es-ES"/>
        </w:rPr>
      </w:pPr>
      <w:proofErr w:type="spellStart"/>
      <w:r w:rsidRPr="49097B2D">
        <w:rPr>
          <w:rFonts w:ascii="Century Gothic" w:hAnsi="Century Gothic" w:cs="Arial"/>
          <w:color w:val="000000" w:themeColor="text1"/>
          <w:sz w:val="21"/>
          <w:szCs w:val="21"/>
          <w:lang w:val="es-ES"/>
        </w:rPr>
        <w:t>ii</w:t>
      </w:r>
      <w:proofErr w:type="spellEnd"/>
      <w:r w:rsidRPr="49097B2D">
        <w:rPr>
          <w:rFonts w:ascii="Century Gothic" w:hAnsi="Century Gothic" w:cs="Arial"/>
          <w:color w:val="000000" w:themeColor="text1"/>
          <w:sz w:val="21"/>
          <w:szCs w:val="21"/>
          <w:lang w:val="es-ES"/>
        </w:rPr>
        <w:t xml:space="preserve">) “Adicionalmente, ¿es el revisor Fiscal o el representante legal de la sociedad quien debe acreditar el estado de </w:t>
      </w:r>
      <w:proofErr w:type="spellStart"/>
      <w:r w:rsidRPr="49097B2D">
        <w:rPr>
          <w:rFonts w:ascii="Century Gothic" w:hAnsi="Century Gothic" w:cs="Arial"/>
          <w:color w:val="000000" w:themeColor="text1"/>
          <w:sz w:val="21"/>
          <w:szCs w:val="21"/>
          <w:lang w:val="es-ES"/>
        </w:rPr>
        <w:t>Mipyme</w:t>
      </w:r>
      <w:proofErr w:type="spellEnd"/>
      <w:r w:rsidRPr="49097B2D">
        <w:rPr>
          <w:rFonts w:ascii="Century Gothic" w:hAnsi="Century Gothic" w:cs="Arial"/>
          <w:color w:val="000000" w:themeColor="text1"/>
          <w:sz w:val="21"/>
          <w:szCs w:val="21"/>
          <w:lang w:val="es-ES"/>
        </w:rPr>
        <w:t>? y si es el revisor fiscal, ¿debe aportar los documentos como tarjeta profesional y antecedentes disciplinarios de la profesión?”.</w:t>
      </w:r>
    </w:p>
    <w:p w14:paraId="29EEB994" w14:textId="77777777" w:rsidR="0064450E" w:rsidRPr="00035110" w:rsidRDefault="0064450E" w:rsidP="0064450E">
      <w:pPr>
        <w:spacing w:after="0" w:line="276" w:lineRule="auto"/>
        <w:jc w:val="both"/>
        <w:rPr>
          <w:rFonts w:ascii="Century Gothic" w:hAnsi="Century Gothic" w:cs="Arial"/>
          <w:color w:val="000000" w:themeColor="text1"/>
          <w:lang w:val="es-ES_tradnl"/>
        </w:rPr>
      </w:pPr>
    </w:p>
    <w:bookmarkEnd w:id="8"/>
    <w:p w14:paraId="46523B42" w14:textId="77777777" w:rsidR="0064450E" w:rsidRDefault="0064450E" w:rsidP="0064450E">
      <w:pPr>
        <w:spacing w:after="120" w:line="276" w:lineRule="auto"/>
        <w:jc w:val="both"/>
        <w:rPr>
          <w:rFonts w:ascii="Century Gothic" w:eastAsia="Arial" w:hAnsi="Century Gothic" w:cs="Arial"/>
          <w:color w:val="000000"/>
          <w:lang w:val="es-ES_tradnl"/>
        </w:rPr>
      </w:pPr>
      <w:r>
        <w:rPr>
          <w:rFonts w:ascii="Century Gothic" w:eastAsia="Calibri" w:hAnsi="Century Gothic" w:cs="Arial"/>
          <w:color w:val="000000" w:themeColor="text1"/>
        </w:rPr>
        <w:t xml:space="preserve">Conforme a la interpretación general de las normas del sistema de compras públicas, </w:t>
      </w:r>
      <w:r>
        <w:rPr>
          <w:rFonts w:ascii="Century Gothic" w:eastAsia="Arial" w:hAnsi="Century Gothic" w:cs="Arial"/>
          <w:color w:val="000000"/>
          <w:lang w:val="es-ES_tradnl"/>
        </w:rPr>
        <w:t xml:space="preserve">no es el consorcio o la unión temporal quien, a través de su representante, solicita limitar la convocatoria. Los proponentes plurales carecen de personería </w:t>
      </w:r>
      <w:r>
        <w:rPr>
          <w:rFonts w:ascii="Century Gothic" w:eastAsia="Arial" w:hAnsi="Century Gothic" w:cs="Arial"/>
          <w:color w:val="000000"/>
          <w:lang w:val="es-ES_tradnl"/>
        </w:rPr>
        <w:lastRenderedPageBreak/>
        <w:t xml:space="preserve">jurídica y, por tanto, los que pueden clasificarse como </w:t>
      </w:r>
      <w:proofErr w:type="spellStart"/>
      <w:r>
        <w:rPr>
          <w:rFonts w:ascii="Century Gothic" w:eastAsia="Arial" w:hAnsi="Century Gothic" w:cs="Arial"/>
          <w:color w:val="000000"/>
          <w:lang w:val="es-ES_tradnl"/>
        </w:rPr>
        <w:t>Mipyme</w:t>
      </w:r>
      <w:proofErr w:type="spellEnd"/>
      <w:r>
        <w:rPr>
          <w:rFonts w:ascii="Century Gothic" w:eastAsia="Arial" w:hAnsi="Century Gothic" w:cs="Arial"/>
          <w:color w:val="000000"/>
          <w:lang w:val="es-ES_tradnl"/>
        </w:rPr>
        <w:t xml:space="preserve"> son los integrantes del proponente plural. Uno o varios de ellos pueden pedir la limitación siempre que aporten alguno de los documentos mencionados en el artículo </w:t>
      </w:r>
      <w:r w:rsidRPr="00D37DE2">
        <w:rPr>
          <w:rFonts w:ascii="Century Gothic" w:eastAsia="Arial" w:hAnsi="Century Gothic" w:cs="Arial"/>
          <w:color w:val="000000"/>
          <w:lang w:val="es-ES_tradnl"/>
        </w:rPr>
        <w:t>2.2.1.2.4.2.4</w:t>
      </w:r>
      <w:r>
        <w:rPr>
          <w:rFonts w:ascii="Century Gothic" w:eastAsia="Arial" w:hAnsi="Century Gothic" w:cs="Arial"/>
          <w:color w:val="000000"/>
          <w:lang w:val="es-ES_tradnl"/>
        </w:rPr>
        <w:t xml:space="preserve"> del Decreto 1082 de 2015. Conforme al parágrafo 1, “[…] </w:t>
      </w:r>
      <w:r w:rsidRPr="00C25193">
        <w:rPr>
          <w:rFonts w:ascii="Century Gothic" w:eastAsia="Arial" w:hAnsi="Century Gothic" w:cs="Arial"/>
          <w:color w:val="000000"/>
          <w:lang w:val="es-ES_tradnl"/>
        </w:rPr>
        <w:t xml:space="preserve">las </w:t>
      </w:r>
      <w:proofErr w:type="spellStart"/>
      <w:r w:rsidRPr="00C25193">
        <w:rPr>
          <w:rFonts w:ascii="Century Gothic" w:eastAsia="Arial" w:hAnsi="Century Gothic" w:cs="Arial"/>
          <w:color w:val="000000"/>
          <w:lang w:val="es-ES_tradnl"/>
        </w:rPr>
        <w:t>Mipyme</w:t>
      </w:r>
      <w:proofErr w:type="spellEnd"/>
      <w:r w:rsidRPr="00C25193">
        <w:rPr>
          <w:rFonts w:ascii="Century Gothic" w:eastAsia="Arial" w:hAnsi="Century Gothic" w:cs="Arial"/>
          <w:color w:val="000000"/>
          <w:lang w:val="es-ES_tradnl"/>
        </w:rPr>
        <w:t xml:space="preserve"> </w:t>
      </w:r>
      <w:r>
        <w:rPr>
          <w:rFonts w:ascii="Century Gothic" w:eastAsia="Arial" w:hAnsi="Century Gothic" w:cs="Arial"/>
          <w:color w:val="000000"/>
          <w:lang w:val="es-ES_tradnl"/>
        </w:rPr>
        <w:t>[…]</w:t>
      </w:r>
      <w:r w:rsidRPr="00C25193">
        <w:rPr>
          <w:rFonts w:ascii="Century Gothic" w:eastAsia="Arial" w:hAnsi="Century Gothic" w:cs="Arial"/>
          <w:color w:val="000000"/>
          <w:lang w:val="es-ES_tradnl"/>
        </w:rPr>
        <w:t xml:space="preserve"> podrán acreditar esta condición con la copia del certificado del Registro Único de Proponentes, el cual deberá encontrarse vigente y en firme al momento de su presentación</w:t>
      </w:r>
      <w:r>
        <w:rPr>
          <w:rFonts w:ascii="Century Gothic" w:eastAsia="Arial" w:hAnsi="Century Gothic" w:cs="Arial"/>
          <w:color w:val="000000"/>
          <w:lang w:val="es-ES_tradnl"/>
        </w:rPr>
        <w:t xml:space="preserve">”. </w:t>
      </w:r>
    </w:p>
    <w:p w14:paraId="5BB81A4F" w14:textId="77777777" w:rsidR="0064450E" w:rsidRDefault="0064450E" w:rsidP="0064450E">
      <w:pPr>
        <w:spacing w:after="120" w:line="276" w:lineRule="auto"/>
        <w:ind w:firstLine="709"/>
        <w:jc w:val="both"/>
        <w:rPr>
          <w:rFonts w:ascii="Century Gothic" w:eastAsia="Arial" w:hAnsi="Century Gothic" w:cs="Arial"/>
          <w:color w:val="000000"/>
          <w:lang w:val="es-ES_tradnl"/>
        </w:rPr>
      </w:pPr>
      <w:r>
        <w:rPr>
          <w:rFonts w:ascii="Century Gothic" w:eastAsia="Arial" w:hAnsi="Century Gothic" w:cs="Arial"/>
          <w:color w:val="000000"/>
          <w:lang w:val="es-ES_tradnl"/>
        </w:rPr>
        <w:t xml:space="preserve">Si alguno(s) de los integrantes carece(n) de registro, </w:t>
      </w:r>
      <w:r w:rsidRPr="00C25193">
        <w:rPr>
          <w:rFonts w:ascii="Century Gothic" w:eastAsia="Arial" w:hAnsi="Century Gothic" w:cs="Arial"/>
          <w:color w:val="000000"/>
          <w:lang w:val="es-ES_tradnl"/>
        </w:rPr>
        <w:t xml:space="preserve">el </w:t>
      </w:r>
      <w:r>
        <w:rPr>
          <w:rFonts w:ascii="Century Gothic" w:eastAsia="Arial" w:hAnsi="Century Gothic" w:cs="Arial"/>
          <w:color w:val="000000"/>
          <w:lang w:val="es-ES_tradnl"/>
        </w:rPr>
        <w:t xml:space="preserve">numeral 2 del </w:t>
      </w:r>
      <w:r w:rsidRPr="00C25193">
        <w:rPr>
          <w:rFonts w:ascii="Century Gothic" w:eastAsia="Arial" w:hAnsi="Century Gothic" w:cs="Arial"/>
          <w:color w:val="000000"/>
          <w:lang w:val="es-ES_tradnl"/>
        </w:rPr>
        <w:t>artículo 2.2.1.2.4.2.4 del Decreto 1082 de 2015</w:t>
      </w:r>
      <w:r>
        <w:rPr>
          <w:rFonts w:ascii="Century Gothic" w:eastAsia="Arial" w:hAnsi="Century Gothic" w:cs="Arial"/>
          <w:color w:val="000000"/>
          <w:lang w:val="es-ES_tradnl"/>
        </w:rPr>
        <w:t xml:space="preserve"> permite acreditar</w:t>
      </w:r>
      <w:r w:rsidRPr="00C25193">
        <w:rPr>
          <w:rFonts w:ascii="Century Gothic" w:eastAsia="Arial" w:hAnsi="Century Gothic" w:cs="Arial"/>
          <w:color w:val="000000"/>
          <w:lang w:val="es-ES_tradnl"/>
        </w:rPr>
        <w:t xml:space="preserve"> que tiene</w:t>
      </w:r>
      <w:r>
        <w:rPr>
          <w:rFonts w:ascii="Century Gothic" w:eastAsia="Arial" w:hAnsi="Century Gothic" w:cs="Arial"/>
          <w:color w:val="000000"/>
          <w:lang w:val="es-ES_tradnl"/>
        </w:rPr>
        <w:t>(n)</w:t>
      </w:r>
      <w:r w:rsidRPr="00C25193">
        <w:rPr>
          <w:rFonts w:ascii="Century Gothic" w:eastAsia="Arial" w:hAnsi="Century Gothic" w:cs="Arial"/>
          <w:color w:val="000000"/>
          <w:lang w:val="es-ES_tradnl"/>
        </w:rPr>
        <w:t xml:space="preserve"> el tamaño empresarial </w:t>
      </w:r>
      <w:r>
        <w:rPr>
          <w:rFonts w:ascii="Century Gothic" w:eastAsia="Arial" w:hAnsi="Century Gothic" w:cs="Arial"/>
          <w:color w:val="000000"/>
          <w:lang w:val="es-ES_tradnl"/>
        </w:rPr>
        <w:t xml:space="preserve">“[…] </w:t>
      </w:r>
      <w:r w:rsidRPr="00C25193">
        <w:rPr>
          <w:rFonts w:ascii="Century Gothic" w:eastAsia="Arial" w:hAnsi="Century Gothic" w:cs="Arial"/>
          <w:color w:val="000000"/>
          <w:lang w:val="es-ES_tradnl"/>
        </w:rPr>
        <w:t>mediante certificación expedida por el representante legal y el contador o revisor fiscal, si están obligados a tenerlo, adjuntando copia del certificado de existencia y representación legal expedido por la Cámara de Comercio o por la autoridad competente para expedir dicha certificación</w:t>
      </w:r>
      <w:r>
        <w:rPr>
          <w:rFonts w:ascii="Century Gothic" w:eastAsia="Arial" w:hAnsi="Century Gothic" w:cs="Arial"/>
          <w:color w:val="000000"/>
          <w:lang w:val="es-ES_tradnl"/>
        </w:rPr>
        <w:t>”. Ambos deben suscribirla, por lo que no basta la firma del representante: la certificación también debe ir acompañada por la del contador o el revisor fiscal. Tratándose de estos últimos, la norma no exige adjuntar la tarjeta profesional ni los antecedentes disciplinarios de la profesión.</w:t>
      </w:r>
    </w:p>
    <w:p w14:paraId="40D61F8B" w14:textId="77777777" w:rsidR="0064450E" w:rsidRDefault="0064450E" w:rsidP="49097B2D">
      <w:pPr>
        <w:spacing w:after="120" w:line="276" w:lineRule="auto"/>
        <w:ind w:firstLine="709"/>
        <w:jc w:val="both"/>
        <w:rPr>
          <w:rFonts w:ascii="Century Gothic" w:eastAsia="Arial" w:hAnsi="Century Gothic" w:cs="Arial"/>
          <w:color w:val="000000"/>
          <w:lang w:val="es-ES"/>
        </w:rPr>
      </w:pPr>
      <w:r w:rsidRPr="49097B2D">
        <w:rPr>
          <w:rFonts w:ascii="Century Gothic" w:eastAsia="Arial" w:hAnsi="Century Gothic" w:cs="Arial"/>
          <w:color w:val="000000" w:themeColor="text1"/>
          <w:lang w:val="es-ES"/>
        </w:rPr>
        <w:t xml:space="preserve">El RUP o el certificado de existencia y representación deben tener una fecha actualizada. Así lo dispone el parágrafo 2 del artículo citado en el párrafo anterior en los siguientes términos: “Para efectos de la limitación a </w:t>
      </w:r>
      <w:proofErr w:type="spellStart"/>
      <w:r w:rsidRPr="49097B2D">
        <w:rPr>
          <w:rFonts w:ascii="Century Gothic" w:eastAsia="Arial" w:hAnsi="Century Gothic" w:cs="Arial"/>
          <w:color w:val="000000" w:themeColor="text1"/>
          <w:lang w:val="es-ES"/>
        </w:rPr>
        <w:t>Mipyme</w:t>
      </w:r>
      <w:proofErr w:type="spellEnd"/>
      <w:r w:rsidRPr="49097B2D">
        <w:rPr>
          <w:rFonts w:ascii="Century Gothic" w:eastAsia="Arial" w:hAnsi="Century Gothic" w:cs="Arial"/>
          <w:color w:val="000000" w:themeColor="text1"/>
          <w:lang w:val="es-ES"/>
        </w:rPr>
        <w:t>, los proponentes aportarán la copia del registro mercantil, del certificado de existencia y representación legal o del Registro Único de Proponentes, según corresponda conforme a las reglas precedentes, con una fecha de máximo sesenta (60) días calendario anteriores a la prevista en el cronograma del Proceso de Contratación para el inicio del plazo para solicitar la convocatoria limitada”.</w:t>
      </w:r>
    </w:p>
    <w:p w14:paraId="7184DEFA" w14:textId="77777777" w:rsidR="0064450E" w:rsidRPr="00035110" w:rsidRDefault="0064450E" w:rsidP="0064450E">
      <w:pPr>
        <w:pBdr>
          <w:top w:val="nil"/>
          <w:left w:val="nil"/>
          <w:bottom w:val="nil"/>
          <w:right w:val="nil"/>
          <w:between w:val="nil"/>
        </w:pBdr>
        <w:spacing w:after="0" w:line="276" w:lineRule="auto"/>
        <w:jc w:val="both"/>
        <w:rPr>
          <w:rFonts w:ascii="Century Gothic" w:eastAsia="Arial" w:hAnsi="Century Gothic" w:cs="Arial"/>
          <w:color w:val="000000"/>
        </w:rPr>
      </w:pPr>
    </w:p>
    <w:p w14:paraId="116B019A" w14:textId="77777777" w:rsidR="0064450E" w:rsidRPr="00035110" w:rsidRDefault="0064450E" w:rsidP="0064450E">
      <w:pPr>
        <w:widowControl w:val="0"/>
        <w:autoSpaceDE w:val="0"/>
        <w:autoSpaceDN w:val="0"/>
        <w:spacing w:after="0" w:line="276" w:lineRule="auto"/>
        <w:jc w:val="both"/>
        <w:rPr>
          <w:rFonts w:ascii="Century Gothic" w:hAnsi="Century Gothic" w:cs="Arial"/>
          <w:color w:val="000000" w:themeColor="text1"/>
          <w:lang w:val="es-ES_tradnl" w:bidi="es-ES"/>
        </w:rPr>
      </w:pPr>
      <w:r w:rsidRPr="00035110">
        <w:rPr>
          <w:rFonts w:ascii="Century Gothic" w:hAnsi="Century Gothic" w:cs="Arial"/>
          <w:color w:val="000000" w:themeColor="text1"/>
          <w:lang w:val="es-ES_tradnl"/>
        </w:rPr>
        <w:t>Este concepto tiene el alcance previsto en el artículo 28 del Código de Procedimiento Administrativo y de lo Contencioso Administrativo.</w:t>
      </w:r>
    </w:p>
    <w:p w14:paraId="51293042" w14:textId="77777777" w:rsidR="0064450E" w:rsidRPr="00035110" w:rsidRDefault="0064450E" w:rsidP="0064450E">
      <w:pPr>
        <w:widowControl w:val="0"/>
        <w:autoSpaceDE w:val="0"/>
        <w:autoSpaceDN w:val="0"/>
        <w:spacing w:after="0" w:line="276" w:lineRule="auto"/>
        <w:jc w:val="both"/>
        <w:rPr>
          <w:rFonts w:ascii="Century Gothic" w:hAnsi="Century Gothic" w:cs="Arial"/>
          <w:color w:val="000000" w:themeColor="text1"/>
          <w:lang w:val="es-ES_tradnl" w:bidi="es-ES"/>
        </w:rPr>
      </w:pPr>
    </w:p>
    <w:p w14:paraId="342D4079" w14:textId="77777777" w:rsidR="0064450E" w:rsidRPr="00035110" w:rsidRDefault="0064450E" w:rsidP="0064450E">
      <w:pPr>
        <w:tabs>
          <w:tab w:val="left" w:pos="426"/>
        </w:tabs>
        <w:spacing w:line="276" w:lineRule="auto"/>
        <w:jc w:val="both"/>
        <w:rPr>
          <w:rFonts w:ascii="Century Gothic" w:eastAsia="Times New Roman" w:hAnsi="Century Gothic" w:cs="Arial"/>
          <w:color w:val="000000" w:themeColor="text1"/>
        </w:rPr>
      </w:pPr>
      <w:r w:rsidRPr="00035110">
        <w:rPr>
          <w:rFonts w:ascii="Century Gothic" w:eastAsia="Times New Roman" w:hAnsi="Century Gothic" w:cs="Arial"/>
          <w:color w:val="000000" w:themeColor="text1"/>
        </w:rPr>
        <w:t>Atentamente,</w:t>
      </w:r>
    </w:p>
    <w:p w14:paraId="470F3C65" w14:textId="30EC9494" w:rsidR="0064450E" w:rsidRPr="00035110" w:rsidRDefault="00626582" w:rsidP="0064450E">
      <w:pPr>
        <w:jc w:val="center"/>
        <w:rPr>
          <w:rFonts w:ascii="Century Gothic" w:eastAsia="Times New Roman" w:hAnsi="Century Gothic" w:cs="Arial"/>
          <w:lang w:eastAsia="es-CO"/>
        </w:rPr>
      </w:pPr>
      <w:r>
        <w:rPr>
          <w:noProof/>
        </w:rPr>
        <w:lastRenderedPageBreak/>
        <w:drawing>
          <wp:inline distT="0" distB="0" distL="0" distR="0" wp14:anchorId="7F0CD09F" wp14:editId="29AC6251">
            <wp:extent cx="3152775" cy="1209675"/>
            <wp:effectExtent l="0" t="0" r="9525" b="9525"/>
            <wp:docPr id="136766671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66717" name="Imagen 1" descr="Texto&#10;&#10;Descripción generada automáticament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64450E" w:rsidRPr="00035110" w14:paraId="7959EF32" w14:textId="77777777" w:rsidTr="0087636B">
        <w:trPr>
          <w:trHeight w:val="409"/>
        </w:trPr>
        <w:tc>
          <w:tcPr>
            <w:tcW w:w="817" w:type="dxa"/>
            <w:tcBorders>
              <w:top w:val="nil"/>
              <w:left w:val="nil"/>
              <w:bottom w:val="nil"/>
              <w:right w:val="nil"/>
            </w:tcBorders>
            <w:vAlign w:val="center"/>
            <w:hideMark/>
          </w:tcPr>
          <w:p w14:paraId="2E8CD1BF" w14:textId="77777777" w:rsidR="0064450E" w:rsidRPr="00035110" w:rsidRDefault="0064450E" w:rsidP="0087636B">
            <w:pPr>
              <w:spacing w:after="0" w:line="240" w:lineRule="auto"/>
              <w:jc w:val="both"/>
              <w:rPr>
                <w:rFonts w:ascii="Century Gothic" w:hAnsi="Century Gothic" w:cs="Arial"/>
                <w:sz w:val="16"/>
                <w:szCs w:val="16"/>
              </w:rPr>
            </w:pPr>
            <w:r w:rsidRPr="00035110">
              <w:rPr>
                <w:rFonts w:ascii="Century Gothic" w:hAnsi="Century Gothic"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6B576B2B" w14:textId="77777777" w:rsidR="0064450E" w:rsidRPr="00035110" w:rsidRDefault="0064450E" w:rsidP="0087636B">
            <w:pPr>
              <w:spacing w:after="0" w:line="240" w:lineRule="auto"/>
              <w:jc w:val="both"/>
              <w:rPr>
                <w:rFonts w:ascii="Century Gothic" w:hAnsi="Century Gothic" w:cs="Arial"/>
                <w:sz w:val="16"/>
                <w:szCs w:val="16"/>
              </w:rPr>
            </w:pPr>
            <w:r w:rsidRPr="00035110">
              <w:rPr>
                <w:rFonts w:ascii="Century Gothic" w:hAnsi="Century Gothic" w:cs="Arial"/>
                <w:sz w:val="16"/>
                <w:szCs w:val="16"/>
              </w:rPr>
              <w:t>Juan David Montoya Penagos</w:t>
            </w:r>
          </w:p>
          <w:p w14:paraId="13B74836" w14:textId="77777777" w:rsidR="0064450E" w:rsidRPr="00035110" w:rsidRDefault="0064450E" w:rsidP="0087636B">
            <w:pPr>
              <w:spacing w:after="0" w:line="240" w:lineRule="auto"/>
              <w:jc w:val="both"/>
              <w:rPr>
                <w:rFonts w:ascii="Century Gothic" w:hAnsi="Century Gothic" w:cs="Arial"/>
                <w:sz w:val="16"/>
                <w:szCs w:val="16"/>
              </w:rPr>
            </w:pPr>
            <w:r w:rsidRPr="00035110">
              <w:rPr>
                <w:rFonts w:ascii="Century Gothic" w:hAnsi="Century Gothic" w:cs="Arial"/>
                <w:sz w:val="16"/>
                <w:szCs w:val="16"/>
              </w:rPr>
              <w:t>Contratista de la Subdirección de Gestión Contractual</w:t>
            </w:r>
          </w:p>
        </w:tc>
      </w:tr>
      <w:tr w:rsidR="0064450E" w:rsidRPr="00035110" w14:paraId="1673820A" w14:textId="77777777" w:rsidTr="0087636B">
        <w:trPr>
          <w:trHeight w:val="409"/>
        </w:trPr>
        <w:tc>
          <w:tcPr>
            <w:tcW w:w="817" w:type="dxa"/>
            <w:tcBorders>
              <w:top w:val="nil"/>
              <w:left w:val="nil"/>
              <w:right w:val="nil"/>
            </w:tcBorders>
            <w:vAlign w:val="center"/>
          </w:tcPr>
          <w:p w14:paraId="0A3A381F" w14:textId="77777777" w:rsidR="0064450E" w:rsidRPr="00035110" w:rsidRDefault="0064450E" w:rsidP="0087636B">
            <w:pPr>
              <w:jc w:val="both"/>
              <w:rPr>
                <w:rFonts w:ascii="Century Gothic" w:hAnsi="Century Gothic" w:cs="Arial"/>
                <w:sz w:val="16"/>
                <w:szCs w:val="16"/>
              </w:rPr>
            </w:pPr>
            <w:r w:rsidRPr="00035110">
              <w:rPr>
                <w:rFonts w:ascii="Century Gothic" w:hAnsi="Century Gothic"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7687A08D" w14:textId="77777777" w:rsidR="0064450E" w:rsidRPr="00035110" w:rsidRDefault="0064450E" w:rsidP="0087636B">
            <w:pPr>
              <w:spacing w:after="0" w:line="240" w:lineRule="auto"/>
              <w:jc w:val="both"/>
              <w:rPr>
                <w:rFonts w:ascii="Century Gothic" w:hAnsi="Century Gothic" w:cs="Arial"/>
                <w:sz w:val="16"/>
                <w:szCs w:val="16"/>
              </w:rPr>
            </w:pPr>
            <w:r w:rsidRPr="00035110">
              <w:rPr>
                <w:rFonts w:ascii="Century Gothic" w:hAnsi="Century Gothic" w:cs="Arial"/>
                <w:sz w:val="16"/>
                <w:szCs w:val="16"/>
              </w:rPr>
              <w:t xml:space="preserve">Juan David Cárdenas Cabeza </w:t>
            </w:r>
          </w:p>
          <w:p w14:paraId="4C273044" w14:textId="77777777" w:rsidR="0064450E" w:rsidRPr="00035110" w:rsidRDefault="0064450E" w:rsidP="0087636B">
            <w:pPr>
              <w:spacing w:after="0" w:line="240" w:lineRule="auto"/>
              <w:jc w:val="both"/>
              <w:rPr>
                <w:rFonts w:ascii="Century Gothic" w:hAnsi="Century Gothic" w:cs="Arial"/>
                <w:sz w:val="16"/>
                <w:szCs w:val="16"/>
              </w:rPr>
            </w:pPr>
            <w:r w:rsidRPr="00035110">
              <w:rPr>
                <w:rFonts w:ascii="Century Gothic" w:hAnsi="Century Gothic" w:cs="Arial"/>
                <w:sz w:val="16"/>
                <w:szCs w:val="16"/>
              </w:rPr>
              <w:t>Contratista de la Subdirección de Gestión Contractual</w:t>
            </w:r>
          </w:p>
        </w:tc>
      </w:tr>
      <w:tr w:rsidR="0064450E" w:rsidRPr="00035110" w14:paraId="209D6815" w14:textId="77777777" w:rsidTr="0087636B">
        <w:trPr>
          <w:trHeight w:val="389"/>
        </w:trPr>
        <w:tc>
          <w:tcPr>
            <w:tcW w:w="817" w:type="dxa"/>
            <w:tcBorders>
              <w:top w:val="nil"/>
              <w:left w:val="nil"/>
              <w:bottom w:val="nil"/>
              <w:right w:val="nil"/>
            </w:tcBorders>
            <w:vAlign w:val="center"/>
            <w:hideMark/>
          </w:tcPr>
          <w:p w14:paraId="68506B3C" w14:textId="77777777" w:rsidR="0064450E" w:rsidRPr="00035110" w:rsidRDefault="0064450E" w:rsidP="0087636B">
            <w:pPr>
              <w:spacing w:after="0" w:line="240" w:lineRule="auto"/>
              <w:jc w:val="both"/>
              <w:rPr>
                <w:rFonts w:ascii="Century Gothic" w:hAnsi="Century Gothic" w:cs="Arial"/>
                <w:sz w:val="16"/>
                <w:szCs w:val="16"/>
              </w:rPr>
            </w:pPr>
            <w:r w:rsidRPr="00035110">
              <w:rPr>
                <w:rFonts w:ascii="Century Gothic" w:hAnsi="Century Gothic"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702EC013" w14:textId="77777777" w:rsidR="0064450E" w:rsidRPr="00035110" w:rsidRDefault="0064450E" w:rsidP="0087636B">
            <w:pPr>
              <w:spacing w:after="0" w:line="240" w:lineRule="auto"/>
              <w:jc w:val="both"/>
              <w:rPr>
                <w:rFonts w:ascii="Century Gothic" w:hAnsi="Century Gothic" w:cs="Arial"/>
                <w:sz w:val="16"/>
                <w:szCs w:val="16"/>
              </w:rPr>
            </w:pPr>
            <w:r w:rsidRPr="00035110">
              <w:rPr>
                <w:rFonts w:ascii="Century Gothic" w:hAnsi="Century Gothic" w:cs="Arial"/>
                <w:sz w:val="16"/>
                <w:szCs w:val="16"/>
              </w:rPr>
              <w:t xml:space="preserve">Nohelia del Carmen </w:t>
            </w:r>
            <w:proofErr w:type="spellStart"/>
            <w:r w:rsidRPr="00035110">
              <w:rPr>
                <w:rFonts w:ascii="Century Gothic" w:hAnsi="Century Gothic" w:cs="Arial"/>
                <w:sz w:val="16"/>
                <w:szCs w:val="16"/>
              </w:rPr>
              <w:t>Zawady</w:t>
            </w:r>
            <w:proofErr w:type="spellEnd"/>
            <w:r w:rsidRPr="00035110">
              <w:rPr>
                <w:rFonts w:ascii="Century Gothic" w:hAnsi="Century Gothic" w:cs="Arial"/>
                <w:sz w:val="16"/>
                <w:szCs w:val="16"/>
              </w:rPr>
              <w:t xml:space="preserve"> Palacio</w:t>
            </w:r>
          </w:p>
          <w:p w14:paraId="4C8B8C97" w14:textId="77777777" w:rsidR="0064450E" w:rsidRPr="00035110" w:rsidRDefault="0064450E" w:rsidP="0087636B">
            <w:pPr>
              <w:spacing w:after="0" w:line="240" w:lineRule="auto"/>
              <w:jc w:val="both"/>
              <w:rPr>
                <w:rFonts w:ascii="Century Gothic" w:hAnsi="Century Gothic" w:cs="Arial"/>
                <w:sz w:val="16"/>
                <w:szCs w:val="16"/>
              </w:rPr>
            </w:pPr>
            <w:r w:rsidRPr="00035110">
              <w:rPr>
                <w:rFonts w:ascii="Century Gothic" w:hAnsi="Century Gothic" w:cs="Arial"/>
                <w:sz w:val="16"/>
                <w:szCs w:val="16"/>
              </w:rPr>
              <w:t>Subdirectora de Gestión Contractual ANCP – CCE</w:t>
            </w:r>
          </w:p>
        </w:tc>
      </w:tr>
      <w:bookmarkEnd w:id="2"/>
    </w:tbl>
    <w:p w14:paraId="51AE9E55" w14:textId="77777777" w:rsidR="0064450E" w:rsidRPr="00035110" w:rsidRDefault="0064450E" w:rsidP="0064450E">
      <w:pPr>
        <w:tabs>
          <w:tab w:val="left" w:pos="0"/>
        </w:tabs>
        <w:spacing w:line="276" w:lineRule="auto"/>
        <w:contextualSpacing/>
        <w:jc w:val="both"/>
        <w:rPr>
          <w:rFonts w:ascii="Century Gothic" w:hAnsi="Century Gothic" w:cs="Arial"/>
          <w:lang w:val="es-MX"/>
        </w:rPr>
      </w:pPr>
    </w:p>
    <w:p w14:paraId="32FCFF44" w14:textId="77777777" w:rsidR="0064450E" w:rsidRPr="00035110" w:rsidRDefault="0064450E" w:rsidP="0064450E">
      <w:pPr>
        <w:rPr>
          <w:rFonts w:ascii="Century Gothic" w:hAnsi="Century Gothic"/>
        </w:rPr>
      </w:pPr>
      <w:r w:rsidRPr="00035110">
        <w:rPr>
          <w:rFonts w:ascii="Century Gothic" w:hAnsi="Century Gothic"/>
        </w:rPr>
        <w:t xml:space="preserve"> </w:t>
      </w:r>
    </w:p>
    <w:p w14:paraId="0F293BF4" w14:textId="4E630EB9" w:rsidR="00127233" w:rsidRPr="000B2905" w:rsidRDefault="00E245AB" w:rsidP="000B2905">
      <w:r w:rsidRPr="000B2905">
        <w:t xml:space="preserve"> </w:t>
      </w:r>
    </w:p>
    <w:sectPr w:rsidR="00127233" w:rsidRPr="000B2905" w:rsidSect="008956E9">
      <w:headerReference w:type="default" r:id="rId12"/>
      <w:footerReference w:type="default" r:id="rId13"/>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E6F5C" w14:textId="77777777" w:rsidR="008956E9" w:rsidRDefault="008956E9" w:rsidP="004A1847">
      <w:pPr>
        <w:spacing w:after="0" w:line="240" w:lineRule="auto"/>
      </w:pPr>
      <w:r>
        <w:separator/>
      </w:r>
    </w:p>
  </w:endnote>
  <w:endnote w:type="continuationSeparator" w:id="0">
    <w:p w14:paraId="3400FAAD" w14:textId="77777777" w:rsidR="008956E9" w:rsidRDefault="008956E9"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2A942425"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2F9643A"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F613A2">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3EF9ACCC"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27B7F278"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4715E" w14:textId="77777777" w:rsidR="008956E9" w:rsidRDefault="008956E9" w:rsidP="004A1847">
      <w:pPr>
        <w:spacing w:after="0" w:line="240" w:lineRule="auto"/>
      </w:pPr>
      <w:r>
        <w:separator/>
      </w:r>
    </w:p>
  </w:footnote>
  <w:footnote w:type="continuationSeparator" w:id="0">
    <w:p w14:paraId="3F2A3C09" w14:textId="77777777" w:rsidR="008956E9" w:rsidRDefault="008956E9" w:rsidP="004A1847">
      <w:pPr>
        <w:spacing w:after="0" w:line="240" w:lineRule="auto"/>
      </w:pPr>
      <w:r>
        <w:continuationSeparator/>
      </w:r>
    </w:p>
  </w:footnote>
  <w:footnote w:id="1">
    <w:p w14:paraId="56589216" w14:textId="77777777" w:rsidR="0064450E" w:rsidRPr="00F44270" w:rsidRDefault="0064450E" w:rsidP="0064450E">
      <w:pPr>
        <w:pStyle w:val="Textonotapie"/>
        <w:ind w:firstLine="708"/>
        <w:jc w:val="both"/>
        <w:rPr>
          <w:rFonts w:ascii="Century Gothic" w:hAnsi="Century Gothic" w:cs="Arial"/>
          <w:sz w:val="16"/>
          <w:szCs w:val="16"/>
          <w:lang w:val="es-ES"/>
        </w:rPr>
      </w:pPr>
      <w:r w:rsidRPr="00F44270">
        <w:rPr>
          <w:rStyle w:val="Refdenotaalpie"/>
          <w:rFonts w:ascii="Century Gothic" w:hAnsi="Century Gothic" w:cs="Arial"/>
          <w:sz w:val="16"/>
          <w:szCs w:val="16"/>
        </w:rPr>
        <w:footnoteRef/>
      </w:r>
      <w:r w:rsidRPr="00F44270">
        <w:rPr>
          <w:rFonts w:ascii="Century Gothic" w:hAnsi="Century Gothic" w:cs="Arial"/>
          <w:sz w:val="16"/>
          <w:szCs w:val="16"/>
        </w:rPr>
        <w:t xml:space="preserve"> La Agencia Nacional de Contratación Pública </w:t>
      </w:r>
      <w:r w:rsidRPr="00F44270">
        <w:rPr>
          <w:rFonts w:ascii="Arial" w:hAnsi="Arial" w:cs="Arial"/>
          <w:sz w:val="16"/>
          <w:szCs w:val="16"/>
        </w:rPr>
        <w:t>‒</w:t>
      </w:r>
      <w:r w:rsidRPr="00F44270">
        <w:rPr>
          <w:rFonts w:ascii="Century Gothic" w:hAnsi="Century Gothic" w:cs="Arial"/>
          <w:sz w:val="16"/>
          <w:szCs w:val="16"/>
        </w:rPr>
        <w:t xml:space="preserve">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F44270">
        <w:rPr>
          <w:rFonts w:ascii="Century Gothic" w:hAnsi="Century Gothic" w:cs="Arial"/>
          <w:i/>
          <w:iCs/>
          <w:sz w:val="16"/>
          <w:szCs w:val="16"/>
        </w:rPr>
        <w:t xml:space="preserve">ibidem </w:t>
      </w:r>
      <w:r w:rsidRPr="00F44270">
        <w:rPr>
          <w:rFonts w:ascii="Century Gothic" w:hAnsi="Century Gothic" w:cs="Arial"/>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1EE9439D" w14:textId="77777777" w:rsidR="0064450E" w:rsidRPr="00F44270" w:rsidRDefault="0064450E" w:rsidP="0064450E">
      <w:pPr>
        <w:pStyle w:val="Textonotapie"/>
        <w:ind w:firstLine="708"/>
        <w:jc w:val="both"/>
        <w:rPr>
          <w:rFonts w:ascii="Century Gothic" w:hAnsi="Century Gothic" w:cs="Arial"/>
          <w:sz w:val="16"/>
          <w:szCs w:val="16"/>
        </w:rPr>
      </w:pPr>
      <w:r w:rsidRPr="00F44270">
        <w:rPr>
          <w:rStyle w:val="Refdenotaalpie"/>
          <w:rFonts w:ascii="Century Gothic" w:hAnsi="Century Gothic" w:cs="Arial"/>
          <w:sz w:val="16"/>
          <w:szCs w:val="16"/>
        </w:rPr>
        <w:footnoteRef/>
      </w:r>
      <w:r w:rsidRPr="00F44270">
        <w:rPr>
          <w:rFonts w:ascii="Century Gothic" w:hAnsi="Century Gothic"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F44270">
          <w:rPr>
            <w:rStyle w:val="Hipervnculo"/>
            <w:rFonts w:ascii="Century Gothic" w:hAnsi="Century Gothic" w:cs="Arial"/>
            <w:sz w:val="16"/>
            <w:szCs w:val="16"/>
          </w:rPr>
          <w:t>https://relatoria.colombiacompra.gov.co/busqueda/conceptos</w:t>
        </w:r>
      </w:hyperlink>
      <w:r w:rsidRPr="00F44270">
        <w:rPr>
          <w:rStyle w:val="Hipervnculo"/>
          <w:rFonts w:ascii="Century Gothic" w:hAnsi="Century Gothic" w:cs="Arial"/>
          <w:sz w:val="16"/>
          <w:szCs w:val="16"/>
        </w:rPr>
        <w:t xml:space="preserve">. </w:t>
      </w:r>
      <w:r w:rsidRPr="00F44270">
        <w:rPr>
          <w:rFonts w:ascii="Century Gothic" w:hAnsi="Century Gothic" w:cs="Arial"/>
          <w:sz w:val="16"/>
          <w:szCs w:val="16"/>
          <w:shd w:val="clear" w:color="auto" w:fill="E6E6E6"/>
        </w:rPr>
        <w:t xml:space="preserve"> </w:t>
      </w:r>
    </w:p>
  </w:footnote>
  <w:footnote w:id="3">
    <w:p w14:paraId="75D3ADE8" w14:textId="77777777" w:rsidR="0064450E" w:rsidRPr="00F44270" w:rsidRDefault="0064450E" w:rsidP="0064450E">
      <w:pPr>
        <w:pStyle w:val="Textonotapie"/>
        <w:ind w:firstLine="709"/>
        <w:jc w:val="both"/>
        <w:rPr>
          <w:rFonts w:ascii="Century Gothic" w:hAnsi="Century Gothic" w:cs="Arial"/>
          <w:sz w:val="16"/>
          <w:szCs w:val="16"/>
        </w:rPr>
      </w:pPr>
      <w:r w:rsidRPr="00F44270">
        <w:rPr>
          <w:rStyle w:val="Refdenotaalpie"/>
          <w:rFonts w:ascii="Century Gothic" w:hAnsi="Century Gothic" w:cs="Arial"/>
          <w:sz w:val="16"/>
          <w:szCs w:val="16"/>
        </w:rPr>
        <w:footnoteRef/>
      </w:r>
      <w:r w:rsidRPr="00F44270">
        <w:rPr>
          <w:rFonts w:ascii="Century Gothic" w:hAnsi="Century Gothic" w:cs="Arial"/>
          <w:sz w:val="16"/>
          <w:szCs w:val="16"/>
        </w:rPr>
        <w:t xml:space="preserve"> </w:t>
      </w:r>
      <w:r w:rsidRPr="00F44270">
        <w:rPr>
          <w:rFonts w:ascii="Century Gothic" w:hAnsi="Century Gothic" w:cs="Arial"/>
          <w:sz w:val="16"/>
          <w:szCs w:val="16"/>
          <w:shd w:val="clear" w:color="auto" w:fill="FFFFFF"/>
        </w:rPr>
        <w:t>Para la jurisprudencia, “</w:t>
      </w:r>
      <w:r w:rsidRPr="00F44270">
        <w:rPr>
          <w:rFonts w:ascii="Century Gothic" w:hAnsi="Century Gothic" w:cs="Arial"/>
          <w:sz w:val="16"/>
          <w:szCs w:val="16"/>
        </w:rPr>
        <w:t>El consorcio es una figura propia del derecho privado, utilizado ordinariamente como un instrumento de cooperación entre empresas, cuando requieren asumir una tarea económica particularmente importante, que les permita distribuirse de algún modo los riesgos que pueda implicar la actividad que se acomete, aunar recursos financieros y tecnológicos, y mejorar la disponibilidad de equipos, según el caso, pero conservando los consorciados su independencia jurídica</w:t>
      </w:r>
      <w:r w:rsidRPr="00F44270">
        <w:rPr>
          <w:rFonts w:ascii="Century Gothic" w:hAnsi="Century Gothic" w:cs="Arial"/>
          <w:color w:val="000000" w:themeColor="text1"/>
          <w:sz w:val="16"/>
          <w:szCs w:val="16"/>
          <w:shd w:val="clear" w:color="auto" w:fill="FFFFFF"/>
        </w:rPr>
        <w:t>”</w:t>
      </w:r>
      <w:r w:rsidRPr="00F44270">
        <w:rPr>
          <w:rFonts w:ascii="Century Gothic" w:hAnsi="Century Gothic" w:cs="Arial"/>
          <w:sz w:val="16"/>
          <w:szCs w:val="16"/>
        </w:rPr>
        <w:t xml:space="preserve"> (CORTE CONSTITUCIONAL. Sentencia C-414 de 1994. M.P. Antonio Barrera</w:t>
      </w:r>
      <w:r w:rsidRPr="00F44270">
        <w:rPr>
          <w:rFonts w:ascii="Century Gothic" w:hAnsi="Century Gothic" w:cs="Arial"/>
          <w:spacing w:val="-2"/>
          <w:sz w:val="16"/>
          <w:szCs w:val="16"/>
        </w:rPr>
        <w:t xml:space="preserve"> </w:t>
      </w:r>
      <w:r w:rsidRPr="00F44270">
        <w:rPr>
          <w:rFonts w:ascii="Century Gothic" w:hAnsi="Century Gothic" w:cs="Arial"/>
          <w:sz w:val="16"/>
          <w:szCs w:val="16"/>
        </w:rPr>
        <w:t>Carbonell).</w:t>
      </w:r>
    </w:p>
  </w:footnote>
  <w:footnote w:id="4">
    <w:p w14:paraId="54C38F3F" w14:textId="77777777" w:rsidR="0064450E" w:rsidRPr="00F44270" w:rsidRDefault="0064450E" w:rsidP="0064450E">
      <w:pPr>
        <w:pStyle w:val="Textoindependiente"/>
        <w:ind w:firstLine="709"/>
        <w:jc w:val="both"/>
        <w:rPr>
          <w:rFonts w:ascii="Century Gothic" w:hAnsi="Century Gothic"/>
          <w:sz w:val="16"/>
          <w:szCs w:val="16"/>
          <w:lang w:val="es-CO"/>
        </w:rPr>
      </w:pPr>
      <w:r w:rsidRPr="00F44270">
        <w:rPr>
          <w:rStyle w:val="Refdenotaalpie"/>
          <w:rFonts w:ascii="Century Gothic" w:hAnsi="Century Gothic"/>
          <w:sz w:val="16"/>
          <w:szCs w:val="16"/>
        </w:rPr>
        <w:footnoteRef/>
      </w:r>
      <w:r w:rsidRPr="00F44270">
        <w:rPr>
          <w:rFonts w:ascii="Century Gothic" w:hAnsi="Century Gothic"/>
          <w:sz w:val="16"/>
          <w:szCs w:val="16"/>
        </w:rPr>
        <w:t xml:space="preserve"> </w:t>
      </w:r>
      <w:r w:rsidRPr="00F44270">
        <w:rPr>
          <w:rFonts w:ascii="Century Gothic" w:hAnsi="Century Gothic"/>
          <w:sz w:val="16"/>
          <w:szCs w:val="16"/>
          <w:shd w:val="clear" w:color="auto" w:fill="FFFFFF"/>
          <w:lang w:val="es-CO"/>
        </w:rPr>
        <w:t>Para estos efectos, “</w:t>
      </w:r>
      <w:r w:rsidRPr="00F44270">
        <w:rPr>
          <w:rFonts w:ascii="Century Gothic" w:hAnsi="Century Gothic"/>
          <w:sz w:val="16"/>
          <w:szCs w:val="16"/>
          <w:lang w:val="es-CO"/>
        </w:rPr>
        <w:t>En torno a la capacidad contractual de los consorcios y uniones temporales la jurisprudencia constitucional ha expresado que el Estatuto de contratación les reconoce este atributo sin exigirles como condición de su ejercicio la de ser personas morales. También ha dicho que el consorcio es un convenio de asociación, o mejor, un sistema de mediación que permite a sus miembros organizarse mancomunadamente para la celebración y ejecución de un contrato con el Estado, sin que por ello pierdan su individualidad jurídica, pero asumiendo un grado de responsabilidad solidaria en el cumplimiento de las obligaciones</w:t>
      </w:r>
      <w:r w:rsidRPr="00F44270">
        <w:rPr>
          <w:rFonts w:ascii="Century Gothic" w:hAnsi="Century Gothic"/>
          <w:spacing w:val="-2"/>
          <w:sz w:val="16"/>
          <w:szCs w:val="16"/>
          <w:lang w:val="es-CO"/>
        </w:rPr>
        <w:t xml:space="preserve"> </w:t>
      </w:r>
      <w:r w:rsidRPr="00F44270">
        <w:rPr>
          <w:rFonts w:ascii="Century Gothic" w:hAnsi="Century Gothic"/>
          <w:sz w:val="16"/>
          <w:szCs w:val="16"/>
          <w:lang w:val="es-CO"/>
        </w:rPr>
        <w:t>contractuales.</w:t>
      </w:r>
    </w:p>
    <w:p w14:paraId="6D5B485D" w14:textId="77777777" w:rsidR="0064450E" w:rsidRPr="00F44270" w:rsidRDefault="0064450E" w:rsidP="0064450E">
      <w:pPr>
        <w:pStyle w:val="Textoindependiente"/>
        <w:spacing w:before="3"/>
        <w:ind w:left="709" w:right="709"/>
        <w:rPr>
          <w:rFonts w:ascii="Century Gothic" w:hAnsi="Century Gothic"/>
          <w:sz w:val="16"/>
          <w:szCs w:val="16"/>
          <w:lang w:val="es-CO"/>
        </w:rPr>
      </w:pPr>
      <w:r w:rsidRPr="00F44270">
        <w:rPr>
          <w:rFonts w:ascii="Century Gothic" w:hAnsi="Century Gothic"/>
          <w:sz w:val="16"/>
          <w:szCs w:val="16"/>
          <w:lang w:val="es-CO"/>
        </w:rPr>
        <w:t>[…]</w:t>
      </w:r>
    </w:p>
    <w:p w14:paraId="61F407E0" w14:textId="77777777" w:rsidR="0064450E" w:rsidRPr="00F44270" w:rsidRDefault="0064450E" w:rsidP="0064450E">
      <w:pPr>
        <w:pStyle w:val="Textoindependiente"/>
        <w:ind w:firstLine="709"/>
        <w:jc w:val="both"/>
        <w:rPr>
          <w:rFonts w:ascii="Century Gothic" w:hAnsi="Century Gothic"/>
          <w:sz w:val="16"/>
          <w:szCs w:val="16"/>
          <w:lang w:val="es-CO"/>
        </w:rPr>
      </w:pPr>
      <w:r w:rsidRPr="00F44270">
        <w:rPr>
          <w:rFonts w:ascii="Century Gothic" w:hAnsi="Century Gothic"/>
          <w:sz w:val="16"/>
          <w:szCs w:val="16"/>
          <w:lang w:val="es-CO"/>
        </w:rPr>
        <w:t>Cabe apreciar que la única diferencia entre las dos figuras radica en que en la unión temporal la imposición de sanciones por incumplimiento de las obligaciones derivadas de la propuesta o del contrato, se individualiza en cabeza de los integrantes de aquélla, según el grado de participación de cada uno de ellos en la ejecución de tales obligaciones, mientras que en el consorcio no se da dicha individualización y responderán por tanto solidariamente todos los miembros del consorcio frente a las correspondientes sanciones.</w:t>
      </w:r>
    </w:p>
    <w:p w14:paraId="69DF1263" w14:textId="77777777" w:rsidR="0064450E" w:rsidRPr="00F44270" w:rsidRDefault="0064450E" w:rsidP="0064450E">
      <w:pPr>
        <w:pStyle w:val="Textoindependiente"/>
        <w:spacing w:before="2"/>
        <w:ind w:left="709" w:right="709"/>
        <w:rPr>
          <w:rFonts w:ascii="Century Gothic" w:hAnsi="Century Gothic"/>
          <w:sz w:val="16"/>
          <w:szCs w:val="16"/>
          <w:lang w:val="es-CO"/>
        </w:rPr>
      </w:pPr>
      <w:r w:rsidRPr="00F44270">
        <w:rPr>
          <w:rFonts w:ascii="Century Gothic" w:hAnsi="Century Gothic"/>
          <w:sz w:val="16"/>
          <w:szCs w:val="16"/>
          <w:lang w:val="es-CO"/>
        </w:rPr>
        <w:t>[…]</w:t>
      </w:r>
    </w:p>
    <w:p w14:paraId="2DD13D07" w14:textId="77777777" w:rsidR="0064450E" w:rsidRPr="00F44270" w:rsidRDefault="0064450E" w:rsidP="0064450E">
      <w:pPr>
        <w:pStyle w:val="Textonotapie"/>
        <w:ind w:firstLine="709"/>
        <w:jc w:val="both"/>
        <w:rPr>
          <w:rFonts w:ascii="Century Gothic" w:hAnsi="Century Gothic" w:cs="Arial"/>
          <w:sz w:val="16"/>
          <w:szCs w:val="16"/>
        </w:rPr>
      </w:pPr>
      <w:r w:rsidRPr="00F44270">
        <w:rPr>
          <w:rFonts w:ascii="Century Gothic" w:hAnsi="Century Gothic" w:cs="Arial"/>
          <w:sz w:val="16"/>
          <w:szCs w:val="16"/>
          <w:lang w:val="es-CO"/>
        </w:rPr>
        <w:t xml:space="preserve">La Ley 80 de 1993, al crear las figuras de los consorcios y uniones temporales y constituirlas como sujetos de la contratación administrativa, reconoce una realidad del mundo negocial que son los denominados </w:t>
      </w:r>
      <w:r w:rsidRPr="00F44270">
        <w:rPr>
          <w:rFonts w:ascii="Century Gothic" w:hAnsi="Century Gothic" w:cs="Arial"/>
          <w:sz w:val="16"/>
          <w:szCs w:val="16"/>
          <w:shd w:val="clear" w:color="auto" w:fill="FFFFFF"/>
          <w:lang w:val="es-CO"/>
        </w:rPr>
        <w:t>«</w:t>
      </w:r>
      <w:r w:rsidRPr="00F44270">
        <w:rPr>
          <w:rFonts w:ascii="Century Gothic" w:hAnsi="Century Gothic" w:cs="Arial"/>
          <w:sz w:val="16"/>
          <w:szCs w:val="16"/>
          <w:lang w:val="es-CO"/>
        </w:rPr>
        <w:t>contratos de colaboración económica</w:t>
      </w:r>
      <w:r w:rsidRPr="00F44270">
        <w:rPr>
          <w:rFonts w:ascii="Century Gothic" w:hAnsi="Century Gothic" w:cs="Arial"/>
          <w:sz w:val="16"/>
          <w:szCs w:val="16"/>
          <w:shd w:val="clear" w:color="auto" w:fill="FFFFFF"/>
          <w:lang w:val="es-CO"/>
        </w:rPr>
        <w:t>»</w:t>
      </w:r>
      <w:r w:rsidRPr="00F44270">
        <w:rPr>
          <w:rFonts w:ascii="Century Gothic" w:hAnsi="Century Gothic" w:cs="Arial"/>
          <w:sz w:val="16"/>
          <w:szCs w:val="16"/>
          <w:lang w:val="es-CO"/>
        </w:rPr>
        <w:t>, que en la hora actual se celebran para la efectiva realización de proyectos de contratación pública altamente especializados e intensivos en capital y así mismo indispensables para que el Estado Social de Derecho, cumpla los cometidos para los cuales fue instituido [Preámbulo y artículos 1 y 2</w:t>
      </w:r>
      <w:r w:rsidRPr="00F44270">
        <w:rPr>
          <w:rFonts w:ascii="Century Gothic" w:hAnsi="Century Gothic" w:cs="Arial"/>
          <w:spacing w:val="-7"/>
          <w:sz w:val="16"/>
          <w:szCs w:val="16"/>
          <w:lang w:val="es-CO"/>
        </w:rPr>
        <w:t xml:space="preserve"> </w:t>
      </w:r>
      <w:r w:rsidRPr="00F44270">
        <w:rPr>
          <w:rFonts w:ascii="Century Gothic" w:hAnsi="Century Gothic" w:cs="Arial"/>
          <w:sz w:val="16"/>
          <w:szCs w:val="16"/>
          <w:lang w:val="es-CO"/>
        </w:rPr>
        <w:t>Superiores]</w:t>
      </w:r>
      <w:r w:rsidRPr="00F44270">
        <w:rPr>
          <w:rFonts w:ascii="Century Gothic" w:hAnsi="Century Gothic" w:cs="Arial"/>
          <w:sz w:val="16"/>
          <w:szCs w:val="16"/>
          <w:shd w:val="clear" w:color="auto" w:fill="FFFFFF"/>
          <w:lang w:val="es-CO"/>
        </w:rPr>
        <w:t xml:space="preserve">” </w:t>
      </w:r>
      <w:r w:rsidRPr="00F44270">
        <w:rPr>
          <w:rFonts w:ascii="Century Gothic" w:hAnsi="Century Gothic" w:cs="Arial"/>
          <w:sz w:val="16"/>
          <w:szCs w:val="16"/>
        </w:rPr>
        <w:t>(CORTE CONSTITUCIONAL. Sentencia C-949 de 2001. M.P. Clara Inés Vargas Hernández).</w:t>
      </w:r>
    </w:p>
  </w:footnote>
  <w:footnote w:id="5">
    <w:p w14:paraId="4F1EFFF2" w14:textId="77777777" w:rsidR="0064450E" w:rsidRPr="00F44270" w:rsidRDefault="0064450E" w:rsidP="0064450E">
      <w:pPr>
        <w:spacing w:after="0"/>
        <w:ind w:firstLine="709"/>
        <w:jc w:val="both"/>
        <w:rPr>
          <w:rFonts w:ascii="Century Gothic" w:hAnsi="Century Gothic" w:cs="Arial"/>
          <w:sz w:val="16"/>
          <w:szCs w:val="16"/>
        </w:rPr>
      </w:pPr>
      <w:r w:rsidRPr="00F44270">
        <w:rPr>
          <w:rStyle w:val="Refdenotaalpie"/>
          <w:rFonts w:ascii="Century Gothic" w:hAnsi="Century Gothic" w:cs="Arial"/>
          <w:sz w:val="16"/>
          <w:szCs w:val="16"/>
        </w:rPr>
        <w:footnoteRef/>
      </w:r>
      <w:r w:rsidRPr="00F44270">
        <w:rPr>
          <w:rFonts w:ascii="Century Gothic" w:hAnsi="Century Gothic" w:cs="Arial"/>
          <w:sz w:val="16"/>
          <w:szCs w:val="16"/>
        </w:rPr>
        <w:t xml:space="preserve"> LAFONT PIANETTA, Pedro. Manual de contratos. Tomo I. Bogotá: Ediciones Librería del Profesional, 2001. p. 508.</w:t>
      </w:r>
    </w:p>
  </w:footnote>
  <w:footnote w:id="6">
    <w:p w14:paraId="734DCEE9" w14:textId="77777777" w:rsidR="0064450E" w:rsidRPr="00F44270" w:rsidRDefault="0064450E" w:rsidP="0064450E">
      <w:pPr>
        <w:spacing w:after="0"/>
        <w:ind w:firstLine="709"/>
        <w:jc w:val="both"/>
        <w:rPr>
          <w:rFonts w:ascii="Century Gothic" w:hAnsi="Century Gothic" w:cs="Arial"/>
          <w:sz w:val="16"/>
          <w:szCs w:val="16"/>
        </w:rPr>
      </w:pPr>
      <w:r w:rsidRPr="00F44270">
        <w:rPr>
          <w:rStyle w:val="Refdenotaalpie"/>
          <w:rFonts w:ascii="Century Gothic" w:hAnsi="Century Gothic" w:cs="Arial"/>
          <w:sz w:val="16"/>
          <w:szCs w:val="16"/>
        </w:rPr>
        <w:footnoteRef/>
      </w:r>
      <w:r w:rsidRPr="00F44270">
        <w:rPr>
          <w:rFonts w:ascii="Century Gothic" w:hAnsi="Century Gothic" w:cs="Arial"/>
          <w:sz w:val="16"/>
          <w:szCs w:val="16"/>
        </w:rPr>
        <w:t xml:space="preserve"> Al respecto, la jurisprudencia explica lo siguiente: </w:t>
      </w:r>
      <w:r w:rsidRPr="00F44270">
        <w:rPr>
          <w:rFonts w:ascii="Century Gothic" w:hAnsi="Century Gothic" w:cs="Arial"/>
          <w:sz w:val="16"/>
          <w:szCs w:val="16"/>
          <w:shd w:val="clear" w:color="auto" w:fill="FFFFFF"/>
        </w:rPr>
        <w:t>“</w:t>
      </w:r>
      <w:r w:rsidRPr="00F44270">
        <w:rPr>
          <w:rFonts w:ascii="Century Gothic" w:hAnsi="Century Gothic" w:cs="Arial"/>
          <w:sz w:val="16"/>
          <w:szCs w:val="16"/>
        </w:rPr>
        <w:t>A juicio de la Sala, en esta ocasión debe retomarse el asunto para efectos de modificar la tesis jurisprudencial que se ha venido siguiendo y, por tanto, debe puntualizarse que si bien las uniones temporales y los consorcios no constituyen personas jurídicas distintas de quienes integran la respectiva figura plural de oferentes o de contratistas, lo cierto es que además de contar con la aptitud para ser parte en el correspondiente procedimiento administrativo de selección de contratistas –comoquiera que por ley cuentan con capacidad suficiente para ser titulares de los derechos y obligaciones derivadas tanto de los procedimientos administrativos de selección contractual como de los propios contratos estatales</w:t>
      </w:r>
      <w:r w:rsidRPr="00F44270">
        <w:rPr>
          <w:rFonts w:ascii="Century Gothic" w:hAnsi="Century Gothic" w:cs="Arial"/>
          <w:b/>
          <w:bCs/>
          <w:sz w:val="16"/>
          <w:szCs w:val="16"/>
        </w:rPr>
        <w:t>–</w:t>
      </w:r>
      <w:r w:rsidRPr="00F44270">
        <w:rPr>
          <w:rFonts w:ascii="Century Gothic" w:hAnsi="Century Gothic" w:cs="Arial"/>
          <w:sz w:val="16"/>
          <w:szCs w:val="16"/>
        </w:rPr>
        <w:t>, también se encuentran facultados para concurrir a los procesos judiciales que pudieren tener origen en controversias surgidas del mencionado procedimiento administrativo de selección de contratistas o de la celebración y ejecución del contrato estatal respectivo –</w:t>
      </w:r>
      <w:r w:rsidRPr="00F44270">
        <w:rPr>
          <w:rFonts w:ascii="Century Gothic" w:hAnsi="Century Gothic" w:cs="Arial"/>
          <w:i/>
          <w:sz w:val="16"/>
          <w:szCs w:val="16"/>
        </w:rPr>
        <w:t>legitimatio ad processum</w:t>
      </w:r>
      <w:r w:rsidRPr="00F44270">
        <w:rPr>
          <w:rFonts w:ascii="Century Gothic" w:hAnsi="Century Gothic" w:cs="Arial"/>
          <w:sz w:val="16"/>
          <w:szCs w:val="16"/>
        </w:rPr>
        <w:t>-, por intermedio de su</w:t>
      </w:r>
      <w:r w:rsidRPr="00F44270">
        <w:rPr>
          <w:rFonts w:ascii="Century Gothic" w:hAnsi="Century Gothic" w:cs="Arial"/>
          <w:spacing w:val="-8"/>
          <w:sz w:val="16"/>
          <w:szCs w:val="16"/>
        </w:rPr>
        <w:t xml:space="preserve"> </w:t>
      </w:r>
      <w:r w:rsidRPr="00F44270">
        <w:rPr>
          <w:rFonts w:ascii="Century Gothic" w:hAnsi="Century Gothic" w:cs="Arial"/>
          <w:sz w:val="16"/>
          <w:szCs w:val="16"/>
        </w:rPr>
        <w:t xml:space="preserve">representante” (CONSEJO DE ESTADO. Sección Tercera. Sala Plena. Sentencia de Unificación del 25 de septiembre de 2013. Rad. 19.933. C.P. Mauricio Fajardo Gómez). </w:t>
      </w:r>
    </w:p>
  </w:footnote>
  <w:footnote w:id="7">
    <w:p w14:paraId="0B07C559" w14:textId="77777777" w:rsidR="0064450E" w:rsidRPr="009078A5" w:rsidRDefault="0064450E" w:rsidP="0064450E">
      <w:pPr>
        <w:pStyle w:val="Textonotapie"/>
        <w:ind w:firstLine="708"/>
        <w:jc w:val="both"/>
        <w:rPr>
          <w:rFonts w:ascii="Century Gothic" w:hAnsi="Century Gothic"/>
          <w:sz w:val="18"/>
          <w:szCs w:val="18"/>
        </w:rPr>
      </w:pPr>
      <w:r w:rsidRPr="009078A5">
        <w:rPr>
          <w:rStyle w:val="Refdenotaalpie"/>
          <w:rFonts w:ascii="Century Gothic" w:hAnsi="Century Gothic"/>
          <w:sz w:val="18"/>
          <w:szCs w:val="18"/>
        </w:rPr>
        <w:footnoteRef/>
      </w:r>
      <w:r w:rsidRPr="009078A5">
        <w:rPr>
          <w:rFonts w:ascii="Century Gothic" w:hAnsi="Century Gothic"/>
          <w:sz w:val="18"/>
          <w:szCs w:val="18"/>
        </w:rPr>
        <w:t xml:space="preserve"> </w:t>
      </w:r>
      <w:r>
        <w:rPr>
          <w:rFonts w:ascii="Century Gothic" w:hAnsi="Century Gothic"/>
          <w:sz w:val="18"/>
          <w:szCs w:val="18"/>
        </w:rPr>
        <w:t>El artículo 30 del Código Civil dispone que “</w:t>
      </w:r>
      <w:r w:rsidRPr="009078A5">
        <w:rPr>
          <w:rFonts w:ascii="Century Gothic" w:hAnsi="Century Gothic"/>
          <w:sz w:val="18"/>
          <w:szCs w:val="18"/>
        </w:rPr>
        <w:t>El contexto de la ley servirá para ilustrar el sentido de cada una de sus partes, de manera que haya entre todas ellas la debida correspondencia y armonía.</w:t>
      </w:r>
    </w:p>
    <w:p w14:paraId="442A8ED2" w14:textId="77777777" w:rsidR="0064450E" w:rsidRPr="009078A5" w:rsidRDefault="0064450E" w:rsidP="0064450E">
      <w:pPr>
        <w:pStyle w:val="Textonotapie"/>
        <w:ind w:firstLine="708"/>
        <w:jc w:val="both"/>
        <w:rPr>
          <w:rFonts w:ascii="Century Gothic" w:hAnsi="Century Gothic"/>
          <w:sz w:val="18"/>
          <w:szCs w:val="18"/>
        </w:rPr>
      </w:pPr>
      <w:r w:rsidRPr="009078A5">
        <w:rPr>
          <w:rFonts w:ascii="Century Gothic" w:hAnsi="Century Gothic"/>
          <w:sz w:val="18"/>
          <w:szCs w:val="18"/>
        </w:rPr>
        <w:t>Los pasajes oscuros de una ley pueden ser ilustrados por medio de otras leyes, particularmente si versan sobre el mismo asunto</w:t>
      </w:r>
      <w:r>
        <w:rPr>
          <w:rFonts w:ascii="Century Gothic" w:hAnsi="Century Gothic"/>
          <w:sz w:val="18"/>
          <w:szCs w:val="18"/>
        </w:rPr>
        <w:t>”</w:t>
      </w:r>
      <w:r w:rsidRPr="009078A5">
        <w:rPr>
          <w:rFonts w:ascii="Century Gothic" w:hAnsi="Century Gothic"/>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5D0C20C7" w:rsidR="00756841" w:rsidRDefault="00BD15D4">
    <w:pPr>
      <w:pStyle w:val="Encabezado"/>
    </w:pPr>
    <w:r>
      <w:rPr>
        <w:noProof/>
        <w:lang w:eastAsia="es-CO"/>
      </w:rPr>
      <w:drawing>
        <wp:anchor distT="0" distB="0" distL="114300" distR="114300" simplePos="0" relativeHeight="251659264" behindDoc="1" locked="0" layoutInCell="1" allowOverlap="1" wp14:anchorId="748FC4A6" wp14:editId="19FCB529">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lang w:eastAsia="es-CO"/>
      </w:rPr>
      <w:drawing>
        <wp:anchor distT="0" distB="0" distL="114300" distR="114300" simplePos="0" relativeHeight="251667456"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56BAF314"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B0E5F1B" w:rsidR="004A305D" w:rsidRPr="004A305D" w:rsidRDefault="004A305D"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5B5D8B">
      <w:rPr>
        <w:rFonts w:ascii="Century Gothic" w:eastAsia="Geo" w:hAnsi="Century Gothic" w:cs="Geo"/>
        <w:bCs/>
        <w:color w:val="000000"/>
        <w:sz w:val="16"/>
        <w:szCs w:val="16"/>
        <w:lang w:eastAsia="es-CO"/>
      </w:rPr>
      <w:t>7</w:t>
    </w:r>
  </w:p>
  <w:p w14:paraId="3DBCDD3E" w14:textId="218CB595" w:rsidR="005B5D8B" w:rsidRPr="000B2905" w:rsidRDefault="004A305D" w:rsidP="000B2905">
    <w:pPr>
      <w:spacing w:after="12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005B5D8B" w:rsidRPr="004A305D">
      <w:rPr>
        <w:rFonts w:ascii="Century Gothic" w:eastAsia="Geo" w:hAnsi="Century Gothic" w:cs="Geo"/>
        <w:sz w:val="16"/>
        <w:szCs w:val="16"/>
        <w:lang w:eastAsia="es-CO"/>
      </w:rPr>
      <w:t>0</w:t>
    </w:r>
    <w:r w:rsidR="005B5D8B">
      <w:rPr>
        <w:rFonts w:ascii="Century Gothic" w:eastAsia="Geo" w:hAnsi="Century Gothic" w:cs="Geo"/>
        <w:sz w:val="16"/>
        <w:szCs w:val="16"/>
        <w:lang w:eastAsia="es-CO"/>
      </w:rPr>
      <w:t>2</w:t>
    </w:r>
    <w:r w:rsidR="005B5D8B" w:rsidRPr="004A305D">
      <w:rPr>
        <w:rFonts w:ascii="Century Gothic" w:eastAsia="Geo" w:hAnsi="Century Gothic" w:cs="Geo"/>
        <w:sz w:val="16"/>
        <w:szCs w:val="16"/>
        <w:lang w:eastAsia="es-CO"/>
      </w:rPr>
      <w:t xml:space="preserve"> DEL </w:t>
    </w:r>
    <w:r w:rsidR="005B5D8B">
      <w:rPr>
        <w:rFonts w:ascii="Century Gothic" w:eastAsia="Geo" w:hAnsi="Century Gothic" w:cs="Geo"/>
        <w:sz w:val="16"/>
        <w:szCs w:val="16"/>
        <w:lang w:eastAsia="es-CO"/>
      </w:rPr>
      <w:t xml:space="preserve">22 </w:t>
    </w:r>
    <w:r w:rsidR="005B5D8B" w:rsidRPr="004A305D">
      <w:rPr>
        <w:rFonts w:ascii="Century Gothic" w:eastAsia="Geo" w:hAnsi="Century Gothic" w:cs="Geo"/>
        <w:sz w:val="16"/>
        <w:szCs w:val="16"/>
        <w:lang w:eastAsia="es-CO"/>
      </w:rPr>
      <w:t xml:space="preserve">DE </w:t>
    </w:r>
    <w:r w:rsidR="005B5D8B">
      <w:rPr>
        <w:rFonts w:ascii="Century Gothic" w:eastAsia="Geo" w:hAnsi="Century Gothic" w:cs="Geo"/>
        <w:sz w:val="16"/>
        <w:szCs w:val="16"/>
        <w:lang w:eastAsia="es-CO"/>
      </w:rPr>
      <w:t>AGOSTO</w:t>
    </w:r>
    <w:r w:rsidR="005B5D8B" w:rsidRPr="004A305D">
      <w:rPr>
        <w:rFonts w:ascii="Century Gothic" w:eastAsia="Geo" w:hAnsi="Century Gothic" w:cs="Geo"/>
        <w:sz w:val="16"/>
        <w:szCs w:val="16"/>
        <w:lang w:eastAsia="es-CO"/>
      </w:rPr>
      <w:t xml:space="preserve"> DE 202</w:t>
    </w:r>
    <w:r w:rsidR="005B5D8B">
      <w:rPr>
        <w:rFonts w:ascii="Century Gothic" w:eastAsia="Geo" w:hAnsi="Century Gothic" w:cs="Geo"/>
        <w:sz w:val="16"/>
        <w:szCs w:val="16"/>
        <w:lang w:eastAsia="es-CO"/>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981954">
    <w:abstractNumId w:val="3"/>
  </w:num>
  <w:num w:numId="2" w16cid:durableId="486676265">
    <w:abstractNumId w:val="1"/>
  </w:num>
  <w:num w:numId="3" w16cid:durableId="608313202">
    <w:abstractNumId w:val="2"/>
  </w:num>
  <w:num w:numId="4" w16cid:durableId="266743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877461">
    <w:abstractNumId w:val="1"/>
  </w:num>
  <w:num w:numId="6" w16cid:durableId="1763911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A683E"/>
    <w:rsid w:val="000B19B9"/>
    <w:rsid w:val="000B2905"/>
    <w:rsid w:val="000D0334"/>
    <w:rsid w:val="000E4714"/>
    <w:rsid w:val="000F6486"/>
    <w:rsid w:val="00125105"/>
    <w:rsid w:val="00127233"/>
    <w:rsid w:val="001E4177"/>
    <w:rsid w:val="00281054"/>
    <w:rsid w:val="002951A0"/>
    <w:rsid w:val="002962BC"/>
    <w:rsid w:val="002A093D"/>
    <w:rsid w:val="002A49AC"/>
    <w:rsid w:val="002A64FD"/>
    <w:rsid w:val="002C7A84"/>
    <w:rsid w:val="003448F4"/>
    <w:rsid w:val="003A779E"/>
    <w:rsid w:val="003D0F4D"/>
    <w:rsid w:val="003D1CFB"/>
    <w:rsid w:val="003E0499"/>
    <w:rsid w:val="003F3941"/>
    <w:rsid w:val="00400548"/>
    <w:rsid w:val="004368BC"/>
    <w:rsid w:val="004A1847"/>
    <w:rsid w:val="004A305D"/>
    <w:rsid w:val="004F21C4"/>
    <w:rsid w:val="004F685F"/>
    <w:rsid w:val="00533E8F"/>
    <w:rsid w:val="005566E8"/>
    <w:rsid w:val="00574867"/>
    <w:rsid w:val="005A6AA1"/>
    <w:rsid w:val="005B5D8B"/>
    <w:rsid w:val="005C5CDC"/>
    <w:rsid w:val="005D476C"/>
    <w:rsid w:val="006219F8"/>
    <w:rsid w:val="00626582"/>
    <w:rsid w:val="0064450E"/>
    <w:rsid w:val="00665D70"/>
    <w:rsid w:val="00706C16"/>
    <w:rsid w:val="00727370"/>
    <w:rsid w:val="00756841"/>
    <w:rsid w:val="00763C80"/>
    <w:rsid w:val="007649AB"/>
    <w:rsid w:val="007833AC"/>
    <w:rsid w:val="007B7171"/>
    <w:rsid w:val="007C3DC2"/>
    <w:rsid w:val="007E5497"/>
    <w:rsid w:val="00806F5F"/>
    <w:rsid w:val="00820278"/>
    <w:rsid w:val="008843B6"/>
    <w:rsid w:val="00891928"/>
    <w:rsid w:val="008956E9"/>
    <w:rsid w:val="008A446D"/>
    <w:rsid w:val="008F0EA7"/>
    <w:rsid w:val="00923EEF"/>
    <w:rsid w:val="009419F9"/>
    <w:rsid w:val="00961B09"/>
    <w:rsid w:val="00965334"/>
    <w:rsid w:val="0097093E"/>
    <w:rsid w:val="009C71FA"/>
    <w:rsid w:val="009C72E7"/>
    <w:rsid w:val="00A051CD"/>
    <w:rsid w:val="00A17F13"/>
    <w:rsid w:val="00A20739"/>
    <w:rsid w:val="00A33C78"/>
    <w:rsid w:val="00AB0ADB"/>
    <w:rsid w:val="00AD5E99"/>
    <w:rsid w:val="00B72CD3"/>
    <w:rsid w:val="00B72FFF"/>
    <w:rsid w:val="00BD15D4"/>
    <w:rsid w:val="00BD2E7A"/>
    <w:rsid w:val="00BD7F72"/>
    <w:rsid w:val="00BF59CB"/>
    <w:rsid w:val="00C04FB3"/>
    <w:rsid w:val="00C330EB"/>
    <w:rsid w:val="00C747AD"/>
    <w:rsid w:val="00C754BE"/>
    <w:rsid w:val="00CB6357"/>
    <w:rsid w:val="00CC1B26"/>
    <w:rsid w:val="00D423A2"/>
    <w:rsid w:val="00D63AC2"/>
    <w:rsid w:val="00D7383B"/>
    <w:rsid w:val="00DA231B"/>
    <w:rsid w:val="00E16408"/>
    <w:rsid w:val="00E20894"/>
    <w:rsid w:val="00E245AB"/>
    <w:rsid w:val="00E50AFE"/>
    <w:rsid w:val="00E771DC"/>
    <w:rsid w:val="00E8772A"/>
    <w:rsid w:val="00E90F6B"/>
    <w:rsid w:val="00E92C27"/>
    <w:rsid w:val="00EA0E3D"/>
    <w:rsid w:val="00EE1AA8"/>
    <w:rsid w:val="00F17039"/>
    <w:rsid w:val="00F204AB"/>
    <w:rsid w:val="00F31EDC"/>
    <w:rsid w:val="00F5664F"/>
    <w:rsid w:val="00F613A2"/>
    <w:rsid w:val="00F76AFC"/>
    <w:rsid w:val="00FB5DD1"/>
    <w:rsid w:val="00FC2B5D"/>
    <w:rsid w:val="00FF1449"/>
    <w:rsid w:val="49097B2D"/>
    <w:rsid w:val="687B05C8"/>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Appelnotedebasde">
    <w:name w:val="Appel note de bas de..."/>
    <w:basedOn w:val="Normal"/>
    <w:link w:val="Refdenotaalpie"/>
    <w:uiPriority w:val="99"/>
    <w:rsid w:val="0064450E"/>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64450E"/>
    <w:rPr>
      <w:rFonts w:ascii="Geomanist Light" w:hAnsi="Geomanist Light"/>
      <w:lang w:val="es-ES"/>
    </w:rPr>
  </w:style>
  <w:style w:type="paragraph" w:styleId="Textoindependiente">
    <w:name w:val="Body Text"/>
    <w:basedOn w:val="Normal"/>
    <w:link w:val="TextoindependienteCar"/>
    <w:uiPriority w:val="1"/>
    <w:qFormat/>
    <w:rsid w:val="0064450E"/>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64450E"/>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Juan David Montoya Penagos</DisplayName>
        <AccountId>697</AccountId>
        <AccountType/>
      </UserInfo>
      <UserInfo>
        <DisplayName>Juan David Cárdenas Cabeza</DisplayName>
        <AccountId>659</AccountId>
        <AccountType/>
      </UserInfo>
      <UserInfo>
        <DisplayName>Nohelia Del Carmen Zawady Palacio</DisplayName>
        <AccountId>289</AccountId>
        <AccountType/>
      </UserInfo>
    </SharedWithUsers>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51ffb7fd-4899-4472-8c42-8dade94ea362"/>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0A6B2503-69E9-4A37-881E-F2A1D727E5F8}"/>
</file>

<file path=docProps/app.xml><?xml version="1.0" encoding="utf-8"?>
<Properties xmlns="http://schemas.openxmlformats.org/officeDocument/2006/extended-properties" xmlns:vt="http://schemas.openxmlformats.org/officeDocument/2006/docPropsVTypes">
  <Template>Normal</Template>
  <TotalTime>5</TotalTime>
  <Pages>12</Pages>
  <Words>3737</Words>
  <Characters>20556</Characters>
  <Application>Microsoft Office Word</Application>
  <DocSecurity>0</DocSecurity>
  <Lines>171</Lines>
  <Paragraphs>48</Paragraphs>
  <ScaleCrop>false</ScaleCrop>
  <Company/>
  <LinksUpToDate>false</LinksUpToDate>
  <CharactersWithSpaces>24245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ANCP - CCE</cp:lastModifiedBy>
  <cp:revision>5</cp:revision>
  <cp:lastPrinted>2023-01-10T21:18:00Z</cp:lastPrinted>
  <dcterms:created xsi:type="dcterms:W3CDTF">2024-04-24T01:15:00Z</dcterms:created>
  <dcterms:modified xsi:type="dcterms:W3CDTF">2024-04-28T21:37:00Z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