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31FA3" w:rsidR="00DA0FC3" w:rsidP="00DA0FC3" w:rsidRDefault="00DA0FC3" w14:paraId="4574C0EC" w14:textId="77777777">
      <w:pPr>
        <w:pStyle w:val="Textoindependiente"/>
        <w:spacing w:after="0" w:line="240" w:lineRule="auto"/>
        <w:ind w:right="102"/>
        <w:jc w:val="both"/>
        <w:rPr>
          <w:rFonts w:ascii="Century Gothic" w:hAnsi="Century Gothic" w:cs="Arial"/>
          <w:b/>
          <w:color w:val="000000" w:themeColor="text1"/>
          <w:sz w:val="20"/>
          <w:szCs w:val="20"/>
          <w:lang w:val="es-ES_tradnl"/>
        </w:rPr>
      </w:pPr>
      <w:bookmarkStart w:name="_Hlk94281581" w:id="0"/>
      <w:bookmarkStart w:name="_Hlk102489058" w:id="1"/>
      <w:bookmarkStart w:name="_Hlk34951122" w:id="2"/>
      <w:bookmarkStart w:name="_Hlk162346940" w:id="3"/>
    </w:p>
    <w:p w:rsidRPr="00131FA3" w:rsidR="00DA0FC3" w:rsidP="00DA0FC3" w:rsidRDefault="00DA0FC3" w14:paraId="2B1A079C" w14:textId="77777777">
      <w:pPr>
        <w:pStyle w:val="Textoindependiente"/>
        <w:spacing w:after="0" w:line="240" w:lineRule="auto"/>
        <w:ind w:right="102"/>
        <w:jc w:val="both"/>
        <w:rPr>
          <w:rFonts w:ascii="Century Gothic" w:hAnsi="Century Gothic" w:cs="Arial"/>
          <w:b/>
          <w:color w:val="000000" w:themeColor="text1"/>
          <w:lang w:val="es-ES_tradnl"/>
        </w:rPr>
      </w:pPr>
      <w:r w:rsidRPr="00131FA3">
        <w:rPr>
          <w:rFonts w:ascii="Century Gothic" w:hAnsi="Century Gothic" w:cs="Arial"/>
          <w:b/>
          <w:color w:val="000000" w:themeColor="text1"/>
          <w:lang w:val="es-ES_tradnl"/>
        </w:rPr>
        <w:t xml:space="preserve">DECRETO 092 DE 2017 – Finalidad – Clases de contratos </w:t>
      </w:r>
    </w:p>
    <w:p w:rsidRPr="00131FA3" w:rsidR="00DA0FC3" w:rsidP="00DA0FC3" w:rsidRDefault="00DA0FC3" w14:paraId="20A2B867" w14:textId="77777777">
      <w:pPr>
        <w:pStyle w:val="Textoindependiente"/>
        <w:spacing w:after="0" w:line="240" w:lineRule="auto"/>
        <w:ind w:right="102"/>
        <w:jc w:val="both"/>
        <w:rPr>
          <w:rFonts w:ascii="Century Gothic" w:hAnsi="Century Gothic" w:cs="Arial"/>
          <w:color w:val="000000" w:themeColor="text1"/>
          <w:sz w:val="20"/>
          <w:szCs w:val="20"/>
          <w:lang w:val="es-ES_tradnl"/>
        </w:rPr>
      </w:pPr>
    </w:p>
    <w:p w:rsidRPr="00131FA3" w:rsidR="00DA0FC3" w:rsidP="3C73260B" w:rsidRDefault="00DA0FC3" w14:paraId="1D88FAE5" w14:textId="77777777">
      <w:pPr>
        <w:spacing w:after="0" w:line="240" w:lineRule="auto"/>
        <w:jc w:val="both"/>
        <w:rPr>
          <w:rFonts w:ascii="Century Gothic" w:hAnsi="Century Gothic" w:eastAsia="Arial" w:cs="Arial"/>
          <w:color w:val="000000" w:themeColor="text1"/>
          <w:sz w:val="20"/>
          <w:szCs w:val="20"/>
          <w:lang w:val="es-ES"/>
        </w:rPr>
      </w:pPr>
      <w:r w:rsidRPr="3C73260B" w:rsidR="00DA0FC3">
        <w:rPr>
          <w:rFonts w:ascii="Century Gothic" w:hAnsi="Century Gothic" w:eastAsia="Arial" w:cs="Arial"/>
          <w:color w:val="000000" w:themeColor="text1" w:themeTint="FF" w:themeShade="FF"/>
          <w:sz w:val="20"/>
          <w:szCs w:val="20"/>
          <w:lang w:val="es-ES"/>
        </w:rPr>
        <w:t xml:space="preserve">El Decreto 092 de 2017 dispone reglas para las contrataciones que realicen las entidades estatales con las ESAL. El Decreto regula dos (2) eventos: i) los contratos del artículo 355 de la Constitución Política con el fin impulsar programas y actividades de interés público de acuerdo con el Plan Nacional o los planes seccionales de desarrollo; y </w:t>
      </w:r>
      <w:r w:rsidRPr="3C73260B" w:rsidR="00DA0FC3">
        <w:rPr>
          <w:rFonts w:ascii="Century Gothic" w:hAnsi="Century Gothic" w:eastAsia="Arial" w:cs="Arial"/>
          <w:color w:val="000000" w:themeColor="text1" w:themeTint="FF" w:themeShade="FF"/>
          <w:sz w:val="20"/>
          <w:szCs w:val="20"/>
          <w:lang w:val="es-ES"/>
        </w:rPr>
        <w:t>ii</w:t>
      </w:r>
      <w:r w:rsidRPr="3C73260B" w:rsidR="00DA0FC3">
        <w:rPr>
          <w:rFonts w:ascii="Century Gothic" w:hAnsi="Century Gothic" w:eastAsia="Arial" w:cs="Arial"/>
          <w:color w:val="000000" w:themeColor="text1" w:themeTint="FF" w:themeShade="FF"/>
          <w:sz w:val="20"/>
          <w:szCs w:val="20"/>
          <w:lang w:val="es-ES"/>
        </w:rPr>
        <w:t>) los convenios de asociación, para el desarrollo conjunto de actividades relacionadas con las funciones de las entidades estatales, en desarrollo del artículo 96 de la Ley 489 de 1998.</w:t>
      </w:r>
    </w:p>
    <w:p w:rsidRPr="00131FA3" w:rsidR="00DA0FC3" w:rsidP="00DA0FC3" w:rsidRDefault="00DA0FC3" w14:paraId="2B0DF4DD" w14:textId="77777777">
      <w:pPr>
        <w:spacing w:after="0" w:line="240" w:lineRule="auto"/>
        <w:jc w:val="both"/>
        <w:rPr>
          <w:rFonts w:ascii="Century Gothic" w:hAnsi="Century Gothic" w:eastAsia="Calibri" w:cs="Arial"/>
          <w:b/>
          <w:color w:val="000000" w:themeColor="text1"/>
          <w:lang w:val="es-ES_tradnl"/>
        </w:rPr>
      </w:pPr>
    </w:p>
    <w:p w:rsidRPr="00131FA3" w:rsidR="00DA0FC3" w:rsidP="00DA0FC3" w:rsidRDefault="00DA0FC3" w14:paraId="51779BAD" w14:textId="77777777">
      <w:pPr>
        <w:spacing w:after="0" w:line="240" w:lineRule="auto"/>
        <w:jc w:val="both"/>
        <w:rPr>
          <w:rFonts w:ascii="Century Gothic" w:hAnsi="Century Gothic" w:eastAsia="Calibri" w:cs="Arial"/>
          <w:b/>
          <w:color w:val="000000" w:themeColor="text1"/>
          <w:lang w:val="es-ES_tradnl"/>
        </w:rPr>
      </w:pPr>
      <w:r w:rsidRPr="00131FA3">
        <w:rPr>
          <w:rFonts w:ascii="Century Gothic" w:hAnsi="Century Gothic" w:eastAsia="Calibri" w:cs="Arial"/>
          <w:b/>
          <w:color w:val="000000" w:themeColor="text1"/>
          <w:lang w:val="es-ES_tradnl"/>
        </w:rPr>
        <w:t xml:space="preserve">CONTRATACIÓN CON ESAL – Contrato de colaboración – Objeto – Alcance </w:t>
      </w:r>
    </w:p>
    <w:p w:rsidRPr="00131FA3" w:rsidR="00DA0FC3" w:rsidP="00DA0FC3" w:rsidRDefault="00DA0FC3" w14:paraId="749C0A12" w14:textId="77777777">
      <w:pPr>
        <w:spacing w:after="0" w:line="240" w:lineRule="auto"/>
        <w:jc w:val="both"/>
        <w:rPr>
          <w:rFonts w:ascii="Century Gothic" w:hAnsi="Century Gothic" w:eastAsia="Calibri" w:cs="Arial"/>
          <w:bCs/>
          <w:color w:val="000000" w:themeColor="text1"/>
          <w:sz w:val="20"/>
          <w:szCs w:val="20"/>
          <w:lang w:val="es-ES_tradnl"/>
        </w:rPr>
      </w:pPr>
    </w:p>
    <w:p w:rsidRPr="00131FA3" w:rsidR="00DA0FC3" w:rsidP="00DA0FC3" w:rsidRDefault="00DA0FC3" w14:paraId="213B46A8" w14:textId="77777777">
      <w:pPr>
        <w:spacing w:after="0" w:line="240" w:lineRule="auto"/>
        <w:jc w:val="both"/>
        <w:rPr>
          <w:rFonts w:ascii="Century Gothic" w:hAnsi="Century Gothic" w:cs="Arial"/>
          <w:color w:val="000000" w:themeColor="text1"/>
          <w:sz w:val="20"/>
          <w:szCs w:val="20"/>
          <w:lang w:val="es-ES_tradnl"/>
        </w:rPr>
      </w:pPr>
      <w:r w:rsidRPr="00131FA3">
        <w:rPr>
          <w:rFonts w:ascii="Century Gothic" w:hAnsi="Century Gothic" w:cs="Arial"/>
          <w:color w:val="000000" w:themeColor="text1"/>
          <w:sz w:val="20"/>
          <w:szCs w:val="20"/>
          <w:lang w:val="es-ES_tradnl"/>
        </w:rPr>
        <w:t>Los contratos del artículo 355 de la Constitución Política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ésta y la ESAL, toda vez que el beneficio directo lo recibirán, en últimas, los sectores de este tipo de acciones de fomento. Para celebrar estos contratos, según lo establece el artículo 3 del Decreto 092 de 2017, por regla general, la entidad debe adelantar un proceso competitivo para seleccionar la entidad sin ánimo de lucro contratista.</w:t>
      </w:r>
    </w:p>
    <w:p w:rsidRPr="00131FA3" w:rsidR="00DA0FC3" w:rsidP="00DA0FC3" w:rsidRDefault="00DA0FC3" w14:paraId="7A126715" w14:textId="77777777">
      <w:pPr>
        <w:spacing w:after="0" w:line="240" w:lineRule="auto"/>
        <w:jc w:val="both"/>
        <w:rPr>
          <w:rFonts w:ascii="Century Gothic" w:hAnsi="Century Gothic" w:cs="Arial"/>
          <w:color w:val="000000" w:themeColor="text1"/>
          <w:sz w:val="21"/>
          <w:szCs w:val="21"/>
          <w:lang w:val="es-ES_tradnl"/>
        </w:rPr>
      </w:pPr>
    </w:p>
    <w:p w:rsidRPr="00131FA3" w:rsidR="00DA0FC3" w:rsidP="00DA0FC3" w:rsidRDefault="00DA0FC3" w14:paraId="2F09787B" w14:textId="77777777">
      <w:pPr>
        <w:spacing w:after="0" w:line="240" w:lineRule="auto"/>
        <w:jc w:val="both"/>
        <w:rPr>
          <w:rFonts w:ascii="Century Gothic" w:hAnsi="Century Gothic" w:eastAsia="Calibri" w:cs="Arial"/>
          <w:b/>
          <w:color w:val="000000" w:themeColor="text1"/>
          <w:lang w:val="es-ES_tradnl"/>
        </w:rPr>
      </w:pPr>
      <w:bookmarkStart w:name="_Hlk109118876" w:id="4"/>
      <w:r w:rsidRPr="00131FA3">
        <w:rPr>
          <w:rFonts w:ascii="Century Gothic" w:hAnsi="Century Gothic" w:eastAsia="Calibri" w:cs="Arial"/>
          <w:b/>
          <w:color w:val="000000" w:themeColor="text1"/>
          <w:lang w:val="es-ES_tradnl"/>
        </w:rPr>
        <w:t>CONTRATACIÓN CON ESAL –</w:t>
      </w:r>
      <w:bookmarkEnd w:id="4"/>
      <w:r w:rsidRPr="00131FA3">
        <w:rPr>
          <w:rFonts w:ascii="Century Gothic" w:hAnsi="Century Gothic" w:eastAsia="Calibri" w:cs="Arial"/>
          <w:b/>
          <w:color w:val="000000" w:themeColor="text1"/>
          <w:lang w:val="es-ES_tradnl"/>
        </w:rPr>
        <w:t xml:space="preserve"> Contrato de asociación – Objeto – Alcance </w:t>
      </w:r>
    </w:p>
    <w:p w:rsidRPr="00131FA3" w:rsidR="00DA0FC3" w:rsidP="00DA0FC3" w:rsidRDefault="00DA0FC3" w14:paraId="195FD73C" w14:textId="77777777">
      <w:pPr>
        <w:spacing w:after="0" w:line="240" w:lineRule="auto"/>
        <w:jc w:val="both"/>
        <w:rPr>
          <w:rFonts w:ascii="Century Gothic" w:hAnsi="Century Gothic" w:eastAsia="Calibri" w:cs="Arial"/>
          <w:b/>
          <w:color w:val="000000" w:themeColor="text1"/>
          <w:lang w:val="es-ES_tradnl"/>
        </w:rPr>
      </w:pPr>
    </w:p>
    <w:p w:rsidRPr="00131FA3" w:rsidR="00DA0FC3" w:rsidP="3C73260B" w:rsidRDefault="00DA0FC3" w14:paraId="0CD0D664" w14:textId="77777777">
      <w:pPr>
        <w:spacing w:after="0" w:line="240" w:lineRule="auto"/>
        <w:jc w:val="both"/>
        <w:rPr>
          <w:rFonts w:ascii="Century Gothic" w:hAnsi="Century Gothic" w:cs="Arial"/>
          <w:color w:val="000000" w:themeColor="text1"/>
          <w:sz w:val="20"/>
          <w:szCs w:val="20"/>
          <w:lang w:val="es-ES"/>
        </w:rPr>
      </w:pPr>
      <w:r w:rsidRPr="3C73260B" w:rsidR="00DA0FC3">
        <w:rPr>
          <w:rFonts w:ascii="Century Gothic" w:hAnsi="Century Gothic" w:cs="Arial"/>
          <w:color w:val="000000" w:themeColor="text1" w:themeTint="FF" w:themeShade="FF"/>
          <w:sz w:val="20"/>
          <w:szCs w:val="20"/>
          <w:lang w:val="es-ES"/>
        </w:rPr>
        <w:t>De otro lado, los convenios de asociación «[t]</w:t>
      </w:r>
      <w:r w:rsidRPr="3C73260B" w:rsidR="00DA0FC3">
        <w:rPr>
          <w:rFonts w:ascii="Century Gothic" w:hAnsi="Century Gothic" w:cs="Arial"/>
          <w:color w:val="000000" w:themeColor="text1" w:themeTint="FF" w:themeShade="FF"/>
          <w:sz w:val="20"/>
          <w:szCs w:val="20"/>
          <w:lang w:val="es-ES"/>
        </w:rPr>
        <w:t>ienen</w:t>
      </w:r>
      <w:r w:rsidRPr="3C73260B" w:rsidR="00DA0FC3">
        <w:rPr>
          <w:rFonts w:ascii="Century Gothic" w:hAnsi="Century Gothic" w:cs="Arial"/>
          <w:color w:val="000000" w:themeColor="text1" w:themeTint="FF" w:themeShade="FF"/>
          <w:sz w:val="20"/>
          <w:szCs w:val="20"/>
          <w:lang w:val="es-ES"/>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 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 El convenio de asociación no es conmutativo, </w:t>
      </w:r>
      <w:r w:rsidRPr="3C73260B" w:rsidR="00DA0FC3">
        <w:rPr>
          <w:rFonts w:ascii="Century Gothic" w:hAnsi="Century Gothic" w:cs="Arial"/>
          <w:color w:val="000000" w:themeColor="text1" w:themeTint="FF" w:themeShade="FF"/>
          <w:sz w:val="20"/>
          <w:szCs w:val="20"/>
          <w:lang w:val="es-ES"/>
        </w:rPr>
        <w:t>y</w:t>
      </w:r>
      <w:r w:rsidRPr="3C73260B" w:rsidR="00DA0FC3">
        <w:rPr>
          <w:rFonts w:ascii="Century Gothic" w:hAnsi="Century Gothic" w:cs="Arial"/>
          <w:color w:val="000000" w:themeColor="text1" w:themeTint="FF" w:themeShade="FF"/>
          <w:sz w:val="20"/>
          <w:szCs w:val="20"/>
          <w:lang w:val="es-ES"/>
        </w:rPr>
        <w:t xml:space="preserve"> por tanto, la entidad no instruye al contratista para desarrollar los programas o actividades previstas, sino que se asocia con él para el cumplimiento de objetivos comunes.</w:t>
      </w:r>
    </w:p>
    <w:p w:rsidRPr="00131FA3" w:rsidR="00DA0FC3" w:rsidP="00DA0FC3" w:rsidRDefault="00DA0FC3" w14:paraId="42BD79A5" w14:textId="77777777">
      <w:pPr>
        <w:spacing w:after="0" w:line="240" w:lineRule="auto"/>
        <w:jc w:val="both"/>
        <w:rPr>
          <w:rFonts w:ascii="Century Gothic" w:hAnsi="Century Gothic" w:cs="Arial"/>
          <w:color w:val="000000" w:themeColor="text1"/>
          <w:sz w:val="20"/>
          <w:szCs w:val="20"/>
          <w:lang w:val="es-ES_tradnl"/>
        </w:rPr>
      </w:pPr>
    </w:p>
    <w:p w:rsidRPr="00131FA3" w:rsidR="00DA0FC3" w:rsidP="00DA0FC3" w:rsidRDefault="00DA0FC3" w14:paraId="79F07512" w14:textId="77777777">
      <w:pPr>
        <w:spacing w:after="0" w:line="240" w:lineRule="auto"/>
        <w:jc w:val="both"/>
        <w:rPr>
          <w:rFonts w:ascii="Century Gothic" w:hAnsi="Century Gothic" w:eastAsia="Calibri" w:cs="Arial"/>
          <w:b/>
          <w:color w:val="000000" w:themeColor="text1"/>
          <w:lang w:val="es-ES_tradnl"/>
        </w:rPr>
      </w:pPr>
      <w:r w:rsidRPr="00131FA3">
        <w:rPr>
          <w:rFonts w:ascii="Century Gothic" w:hAnsi="Century Gothic" w:eastAsia="Calibri" w:cs="Arial"/>
          <w:b/>
          <w:color w:val="000000" w:themeColor="text1"/>
          <w:lang w:val="es-ES_tradnl"/>
        </w:rPr>
        <w:t>CONVENIOS DE ASOCIACIÓN – Multiplicidad de sujetos – Límites legales</w:t>
      </w:r>
    </w:p>
    <w:p w:rsidRPr="00131FA3" w:rsidR="00DA0FC3" w:rsidP="00DA0FC3" w:rsidRDefault="00DA0FC3" w14:paraId="18C83458" w14:textId="77777777">
      <w:pPr>
        <w:spacing w:after="0" w:line="240" w:lineRule="auto"/>
        <w:jc w:val="both"/>
        <w:rPr>
          <w:rFonts w:ascii="Century Gothic" w:hAnsi="Century Gothic" w:cs="Arial"/>
          <w:color w:val="000000" w:themeColor="text1"/>
          <w:sz w:val="20"/>
          <w:szCs w:val="20"/>
          <w:lang w:val="es-ES_tradnl"/>
        </w:rPr>
      </w:pPr>
    </w:p>
    <w:p w:rsidRPr="00131FA3" w:rsidR="00DA0FC3" w:rsidP="3C73260B" w:rsidRDefault="00DA0FC3" w14:paraId="538CD0BC" w14:textId="77777777">
      <w:pPr>
        <w:pStyle w:val="Sinespaciado"/>
        <w:jc w:val="both"/>
        <w:rPr>
          <w:rFonts w:ascii="Century Gothic" w:hAnsi="Century Gothic" w:cs="Arial"/>
          <w:color w:val="000000" w:themeColor="text1"/>
          <w:sz w:val="20"/>
          <w:szCs w:val="20"/>
          <w:lang w:val="es-ES"/>
        </w:rPr>
      </w:pPr>
      <w:r w:rsidRPr="3C73260B" w:rsidR="00DA0FC3">
        <w:rPr>
          <w:rFonts w:ascii="Century Gothic" w:hAnsi="Century Gothic" w:cs="Arial"/>
          <w:color w:val="000000" w:themeColor="text1" w:themeTint="FF" w:themeShade="FF"/>
          <w:sz w:val="20"/>
          <w:szCs w:val="20"/>
          <w:lang w:val="es-ES"/>
        </w:rPr>
        <w:t xml:space="preserve">La normativa vigente no impide que varias entidades suscriban conjuntamente el convenio de asociación y tampoco que dos o más ESAL pueden hacerlo, a través de las figuras asociativas autorizadas por la ley, por ejemplo, como unión temporal o como consorcio.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la o las </w:t>
      </w:r>
      <w:r w:rsidRPr="3C73260B" w:rsidR="00DA0FC3">
        <w:rPr>
          <w:rFonts w:ascii="Century Gothic" w:hAnsi="Century Gothic" w:cs="Arial"/>
          <w:color w:val="000000" w:themeColor="text1" w:themeTint="FF" w:themeShade="FF"/>
          <w:sz w:val="20"/>
          <w:szCs w:val="20"/>
          <w:lang w:val="es-ES"/>
        </w:rPr>
        <w:t xml:space="preserve">entidades deben asegurarse de que su contratista, es decir, una o varias ESAL, aporten al menos el treinta por ciento del valor del convenio para celebrarlo directamente. Además, en atención al inciso 2 del artículo 5 del Decreto 092 de 2017, deben «asegurarse que no haya otras ESAL que ofrezcan su compromiso de recursos en dinero en una proporción no inferior al 30% del valor total del convenio. </w:t>
      </w:r>
      <w:r w:rsidRPr="3C73260B" w:rsidR="00DA0FC3">
        <w:rPr>
          <w:rFonts w:ascii="Century Gothic" w:hAnsi="Century Gothic" w:cs="Arial"/>
          <w:color w:val="000000" w:themeColor="text1" w:themeTint="FF" w:themeShade="FF"/>
          <w:sz w:val="20"/>
          <w:szCs w:val="20"/>
          <w:lang w:val="es-ES"/>
        </w:rPr>
        <w:t>En caso de que la entidad encuentre que más de una ESAL le ofrece al menos el 30% de recursos en dinero para el convenio de asociación, debe seleccionar objetivamente con cual asociarse».</w:t>
      </w:r>
    </w:p>
    <w:p w:rsidRPr="00131FA3" w:rsidR="00DA0FC3" w:rsidP="00DA0FC3" w:rsidRDefault="00DA0FC3" w14:paraId="5C30A20C" w14:textId="77777777">
      <w:pPr>
        <w:pStyle w:val="Sinespaciado"/>
        <w:jc w:val="both"/>
        <w:rPr>
          <w:rFonts w:ascii="Century Gothic" w:hAnsi="Century Gothic" w:cs="Arial"/>
          <w:color w:val="000000" w:themeColor="text1"/>
          <w:sz w:val="20"/>
          <w:szCs w:val="20"/>
          <w:lang w:val="es-ES_tradnl"/>
        </w:rPr>
      </w:pPr>
    </w:p>
    <w:p w:rsidRPr="00131FA3" w:rsidR="00DA0FC3" w:rsidP="00DA0FC3" w:rsidRDefault="00DA0FC3" w14:paraId="50C599D3" w14:textId="77777777">
      <w:pPr>
        <w:spacing w:after="0" w:line="240" w:lineRule="auto"/>
        <w:jc w:val="both"/>
        <w:rPr>
          <w:rFonts w:ascii="Century Gothic" w:hAnsi="Century Gothic" w:eastAsia="Calibri" w:cs="Arial"/>
          <w:b/>
          <w:color w:val="000000" w:themeColor="text1"/>
          <w:lang w:val="es-ES_tradnl"/>
        </w:rPr>
      </w:pPr>
      <w:r w:rsidRPr="00131FA3">
        <w:rPr>
          <w:rFonts w:ascii="Century Gothic" w:hAnsi="Century Gothic" w:eastAsia="Calibri" w:cs="Arial"/>
          <w:b/>
          <w:color w:val="000000" w:themeColor="text1"/>
          <w:lang w:val="es-ES_tradnl"/>
        </w:rPr>
        <w:t xml:space="preserve">DECRETO 092 DE 2017 – Criterios – Aplicación </w:t>
      </w:r>
    </w:p>
    <w:p w:rsidRPr="00131FA3" w:rsidR="00DA0FC3" w:rsidP="00DA0FC3" w:rsidRDefault="00DA0FC3" w14:paraId="47AB09F8" w14:textId="77777777">
      <w:pPr>
        <w:spacing w:after="0" w:line="240" w:lineRule="auto"/>
        <w:jc w:val="both"/>
        <w:rPr>
          <w:rFonts w:ascii="Century Gothic" w:hAnsi="Century Gothic" w:cs="Arial"/>
          <w:color w:val="000000" w:themeColor="text1"/>
          <w:sz w:val="21"/>
          <w:szCs w:val="21"/>
          <w:lang w:val="es-ES_tradnl"/>
        </w:rPr>
      </w:pPr>
    </w:p>
    <w:p w:rsidRPr="00131FA3" w:rsidR="00DA0FC3" w:rsidP="3C73260B" w:rsidRDefault="00DA0FC3" w14:paraId="07AA5287" w14:textId="77777777">
      <w:pPr>
        <w:spacing w:after="0" w:line="240" w:lineRule="auto"/>
        <w:jc w:val="both"/>
        <w:rPr>
          <w:rFonts w:ascii="Century Gothic" w:hAnsi="Century Gothic" w:cs="Arial"/>
          <w:color w:val="000000" w:themeColor="text1"/>
          <w:sz w:val="20"/>
          <w:szCs w:val="20"/>
          <w:lang w:val="es-ES"/>
        </w:rPr>
      </w:pPr>
      <w:r w:rsidRPr="3C73260B" w:rsidR="00DA0FC3">
        <w:rPr>
          <w:rFonts w:ascii="Century Gothic" w:hAnsi="Century Gothic" w:cs="Arial"/>
          <w:color w:val="000000" w:themeColor="text1" w:themeTint="FF" w:themeShade="FF"/>
          <w:sz w:val="20"/>
          <w:szCs w:val="20"/>
          <w:lang w:val="es-ES"/>
        </w:rPr>
        <w:t xml:space="preserve">[…] De acuerdo con lo anterior, no todas las actividades que las entidades estatales deben desarrollar para alcanzar sus objetivos misionales deben ejecutarse a través de la celebración de contratos del artículo 355 superior o convenios de asociación. Debe tenerse en cuenta que lo que determina la aplicación del Decreto 092 de 2017 no es únicamente el carácter de las ESAL sino el objeto del contrato o convenio que la entidad pretende adelantar. </w:t>
      </w:r>
      <w:r w:rsidRPr="3C73260B" w:rsidR="00DA0FC3">
        <w:rPr>
          <w:rFonts w:ascii="Century Gothic" w:hAnsi="Century Gothic" w:cs="Arial"/>
          <w:color w:val="000000" w:themeColor="text1" w:themeTint="FF" w:themeShade="FF"/>
          <w:sz w:val="20"/>
          <w:szCs w:val="20"/>
          <w:lang w:val="es-ES"/>
        </w:rPr>
        <w:t>Por tanto, el hecho de que se trate de una entidad sin ánimo de lucro no implica que necesariamente deba celebrarse un contrato de colaboración o un convenio de asociación.</w:t>
      </w:r>
    </w:p>
    <w:p w:rsidRPr="00131FA3" w:rsidR="00DA0FC3" w:rsidP="00DA0FC3" w:rsidRDefault="00DA0FC3" w14:paraId="2C2CB9F2" w14:textId="77777777">
      <w:pPr>
        <w:pStyle w:val="Sinespaciado"/>
        <w:jc w:val="both"/>
        <w:rPr>
          <w:rFonts w:ascii="Century Gothic" w:hAnsi="Century Gothic" w:cs="Arial"/>
          <w:color w:val="000000" w:themeColor="text1"/>
          <w:sz w:val="20"/>
          <w:szCs w:val="20"/>
          <w:lang w:val="es-ES_tradnl"/>
        </w:rPr>
      </w:pPr>
    </w:p>
    <w:p w:rsidRPr="00131FA3" w:rsidR="00DA0FC3" w:rsidP="00DA0FC3" w:rsidRDefault="00DA0FC3" w14:paraId="4AE63588" w14:textId="77777777">
      <w:pPr>
        <w:pStyle w:val="Textoindependiente"/>
        <w:spacing w:after="0" w:line="240" w:lineRule="auto"/>
        <w:ind w:right="102"/>
        <w:jc w:val="both"/>
        <w:rPr>
          <w:rFonts w:ascii="Century Gothic" w:hAnsi="Century Gothic" w:cs="Arial"/>
          <w:b/>
          <w:bCs/>
          <w:color w:val="000000" w:themeColor="text1"/>
          <w:lang w:val="es-ES_tradnl"/>
        </w:rPr>
      </w:pPr>
      <w:r w:rsidRPr="00131FA3">
        <w:rPr>
          <w:rFonts w:ascii="Century Gothic" w:hAnsi="Century Gothic" w:cs="Arial"/>
          <w:b/>
          <w:bCs/>
          <w:color w:val="000000" w:themeColor="text1"/>
          <w:lang w:val="es-ES_tradnl"/>
        </w:rPr>
        <w:t>DECRETO 092 DE 2017 – Suspensión Provisional – Artículos suspendidos</w:t>
      </w:r>
    </w:p>
    <w:p w:rsidRPr="00131FA3" w:rsidR="00DA0FC3" w:rsidP="00DA0FC3" w:rsidRDefault="00DA0FC3" w14:paraId="7CA07A38" w14:textId="77777777">
      <w:pPr>
        <w:pStyle w:val="Textoindependiente"/>
        <w:spacing w:after="0" w:line="240" w:lineRule="auto"/>
        <w:ind w:right="102"/>
        <w:jc w:val="both"/>
        <w:rPr>
          <w:rFonts w:ascii="Century Gothic" w:hAnsi="Century Gothic" w:cs="Arial"/>
          <w:b/>
          <w:color w:val="000000" w:themeColor="text1"/>
          <w:lang w:val="es-ES_tradnl"/>
        </w:rPr>
      </w:pPr>
    </w:p>
    <w:p w:rsidRPr="00131FA3" w:rsidR="00DA0FC3" w:rsidP="3C73260B" w:rsidRDefault="00DA0FC3" w14:paraId="337DB20D" w14:textId="77777777">
      <w:pPr>
        <w:pStyle w:val="Textoindependiente"/>
        <w:spacing w:after="0" w:line="240" w:lineRule="auto"/>
        <w:ind w:right="102"/>
        <w:jc w:val="both"/>
        <w:rPr>
          <w:rFonts w:ascii="Century Gothic" w:hAnsi="Century Gothic" w:cs="Arial"/>
          <w:color w:val="000000" w:themeColor="text1"/>
          <w:sz w:val="20"/>
          <w:szCs w:val="20"/>
          <w:lang w:val="es-ES"/>
        </w:rPr>
      </w:pPr>
      <w:r w:rsidRPr="3C73260B" w:rsidR="00DA0FC3">
        <w:rPr>
          <w:rFonts w:ascii="Century Gothic" w:hAnsi="Century Gothic" w:cs="Arial"/>
          <w:color w:val="000000" w:themeColor="text1" w:themeTint="FF" w:themeShade="FF"/>
          <w:sz w:val="20"/>
          <w:szCs w:val="20"/>
          <w:lang w:val="es-ES"/>
        </w:rPr>
        <w:t xml:space="preserve">El Consejo de Estado, en el Auto del 6 de agosto de 2019 de la Sección Tercera, Subsección A, radicado No. 11001-03-26-000-2018-00113-00 (62.003), </w:t>
      </w:r>
      <w:r w:rsidRPr="3C73260B" w:rsidR="00DA0FC3">
        <w:rPr>
          <w:rFonts w:ascii="Century Gothic" w:hAnsi="Century Gothic" w:cs="Arial"/>
          <w:color w:val="000000" w:themeColor="text1" w:themeTint="FF" w:themeShade="FF"/>
          <w:sz w:val="20"/>
          <w:szCs w:val="20"/>
          <w:lang w:val="es-ES"/>
        </w:rPr>
        <w:t>Consejero</w:t>
      </w:r>
      <w:r w:rsidRPr="3C73260B" w:rsidR="00DA0FC3">
        <w:rPr>
          <w:rFonts w:ascii="Century Gothic" w:hAnsi="Century Gothic" w:cs="Arial"/>
          <w:color w:val="000000" w:themeColor="text1" w:themeTint="FF" w:themeShade="FF"/>
          <w:sz w:val="20"/>
          <w:szCs w:val="20"/>
          <w:lang w:val="es-ES"/>
        </w:rPr>
        <w:t xml:space="preserve"> Ponente Carlos Alberto Zambrano Barrera, estudió la solicitud de suspensión provisional del inciso 2 del artículo 1, literales a y c del artículo 2, inciso 5 del artículo 2, inciso 2 del artículo 3, inciso final del artículo 4 y artículo 5 del Decreto 092 de 2017. […] En virtud de este análisis, el Consejo de Estado suspendió provisionalmente el inciso 2 del artículo primero y el inciso 2 del artículo 3, lo que significa que los contratos celebrados con entidades sin ánimo de lucro no tienen que aplicar la «Guía para la contratación con entidades privadas sin ánimo de lucro y de reconocida idoneidad», expedida por la Agencia Nacional de Contratación Pública–Colombia Compra Eficiente. […]</w:t>
      </w:r>
    </w:p>
    <w:p w:rsidRPr="00131FA3" w:rsidR="00DA0FC3" w:rsidP="00DA0FC3" w:rsidRDefault="00DA0FC3" w14:paraId="7824725D" w14:textId="77777777">
      <w:pPr>
        <w:pStyle w:val="Textoindependiente"/>
        <w:spacing w:after="0" w:line="240" w:lineRule="auto"/>
        <w:ind w:right="102"/>
        <w:jc w:val="both"/>
        <w:rPr>
          <w:rFonts w:ascii="Century Gothic" w:hAnsi="Century Gothic" w:cs="Arial"/>
          <w:color w:val="000000" w:themeColor="text1"/>
          <w:sz w:val="20"/>
          <w:szCs w:val="20"/>
          <w:lang w:val="es-ES_tradnl"/>
        </w:rPr>
      </w:pPr>
    </w:p>
    <w:p w:rsidRPr="00131FA3" w:rsidR="00DA0FC3" w:rsidP="00DA0FC3" w:rsidRDefault="00DA0FC3" w14:paraId="29444B3A" w14:textId="77777777">
      <w:pPr>
        <w:spacing w:after="0" w:line="240" w:lineRule="auto"/>
        <w:jc w:val="both"/>
        <w:rPr>
          <w:rFonts w:ascii="Century Gothic" w:hAnsi="Century Gothic" w:eastAsia="Arial" w:cs="Arial"/>
          <w:color w:val="000000" w:themeColor="text1"/>
          <w:sz w:val="20"/>
          <w:szCs w:val="20"/>
          <w:lang w:val="es-ES_tradnl"/>
        </w:rPr>
      </w:pPr>
      <w:r w:rsidRPr="00131FA3">
        <w:rPr>
          <w:rFonts w:ascii="Century Gothic" w:hAnsi="Century Gothic" w:eastAsia="Arial" w:cs="Arial"/>
          <w:color w:val="000000" w:themeColor="text1"/>
          <w:sz w:val="20"/>
          <w:szCs w:val="20"/>
          <w:lang w:val="es-ES_tradnl"/>
        </w:rPr>
        <w:t xml:space="preserve">En este orden de ideas, el Consejo de Estado suspendió provisionalmente el literal a), por lo cual el objeto de los contratos debe ser acorde con los planes nacionales o seccionales de desarrollo; y no necesariamente estar previstos directamente en ellos, además no solo se pueden celebrar contratos para los objetos específicos señalados en el Decreto 092 de 2017. […] </w:t>
      </w:r>
    </w:p>
    <w:p w:rsidRPr="00131FA3" w:rsidR="00DA0FC3" w:rsidP="00DA0FC3" w:rsidRDefault="00DA0FC3" w14:paraId="3C06CA36" w14:textId="77777777">
      <w:pPr>
        <w:spacing w:after="0" w:line="240" w:lineRule="auto"/>
        <w:jc w:val="both"/>
        <w:rPr>
          <w:rFonts w:ascii="Century Gothic" w:hAnsi="Century Gothic" w:eastAsia="Arial" w:cs="Arial"/>
          <w:color w:val="000000" w:themeColor="text1"/>
          <w:sz w:val="20"/>
          <w:szCs w:val="20"/>
          <w:lang w:val="es-ES_tradnl"/>
        </w:rPr>
      </w:pPr>
    </w:p>
    <w:p w:rsidRPr="00131FA3" w:rsidR="00DA0FC3" w:rsidP="3C73260B" w:rsidRDefault="00DA0FC3" w14:paraId="6B8840CC" w14:textId="77777777">
      <w:pPr>
        <w:spacing w:after="0" w:line="240" w:lineRule="auto"/>
        <w:jc w:val="both"/>
        <w:rPr>
          <w:rFonts w:ascii="Century Gothic" w:hAnsi="Century Gothic" w:eastAsia="Arial" w:cs="Arial"/>
          <w:color w:val="000000" w:themeColor="text1"/>
          <w:sz w:val="20"/>
          <w:szCs w:val="20"/>
          <w:lang w:val="es-ES"/>
        </w:rPr>
      </w:pPr>
      <w:r w:rsidRPr="3C73260B" w:rsidR="00DA0FC3">
        <w:rPr>
          <w:rFonts w:ascii="Century Gothic" w:hAnsi="Century Gothic" w:eastAsia="Arial" w:cs="Arial"/>
          <w:color w:val="000000" w:themeColor="text1" w:themeTint="FF" w:themeShade="FF"/>
          <w:sz w:val="20"/>
          <w:szCs w:val="20"/>
          <w:lang w:val="es-ES"/>
        </w:rPr>
        <w:t xml:space="preserve">Por consiguiente, se suspendió provisionalmente el inciso final del artículo 4 por violar el principio de igualdad, de manera que la contratación de actividades y programas de interés público debe realizarse a través de un proceso competitivo para escoger a la entidad sin ánimo de lucro. En estos procesos, entonces, se debe acudir a los criterios aplicables a los otros negocios jurídicos que regula el Decreto 092 de 2017, particularmente las exigencias del artículo 2 ibidem. Incluso, habría que tener en cuenta las exigencias del inciso 2 del artículo 4 </w:t>
      </w:r>
      <w:r w:rsidRPr="3C73260B" w:rsidR="00DA0FC3">
        <w:rPr>
          <w:rFonts w:ascii="Century Gothic" w:hAnsi="Century Gothic" w:eastAsia="Arial" w:cs="Arial"/>
          <w:color w:val="000000" w:themeColor="text1" w:themeTint="FF" w:themeShade="FF"/>
          <w:sz w:val="20"/>
          <w:szCs w:val="20"/>
          <w:lang w:val="es-ES"/>
        </w:rPr>
        <w:t>íbídem</w:t>
      </w:r>
      <w:r w:rsidRPr="3C73260B" w:rsidR="00DA0FC3">
        <w:rPr>
          <w:rFonts w:ascii="Century Gothic" w:hAnsi="Century Gothic" w:eastAsia="Arial" w:cs="Arial"/>
          <w:color w:val="000000" w:themeColor="text1" w:themeTint="FF" w:themeShade="FF"/>
          <w:sz w:val="20"/>
          <w:szCs w:val="20"/>
          <w:lang w:val="es-ES"/>
        </w:rPr>
        <w:t>, claro está, siempre que se configuren los supuestos de aplicación de dicha normativa, esto es, siempre que exista más de una entidad sin ánimo de lucro de reconocida idoneidad.</w:t>
      </w:r>
    </w:p>
    <w:p w:rsidRPr="00131FA3" w:rsidR="00DA0FC3" w:rsidP="00DA0FC3" w:rsidRDefault="00DA0FC3" w14:paraId="652AC160" w14:textId="77777777">
      <w:pPr>
        <w:spacing w:after="0" w:line="240" w:lineRule="auto"/>
        <w:jc w:val="both"/>
        <w:rPr>
          <w:rFonts w:ascii="Century Gothic" w:hAnsi="Century Gothic" w:eastAsia="Arial" w:cs="Arial"/>
          <w:color w:val="000000" w:themeColor="text1"/>
          <w:sz w:val="20"/>
          <w:szCs w:val="20"/>
          <w:lang w:val="es-ES_tradnl"/>
        </w:rPr>
      </w:pPr>
    </w:p>
    <w:p w:rsidRPr="00131FA3" w:rsidR="00DA0FC3" w:rsidP="00DA0FC3" w:rsidRDefault="00DA0FC3" w14:paraId="3449760A" w14:textId="77777777">
      <w:pPr>
        <w:spacing w:after="0" w:line="240" w:lineRule="auto"/>
        <w:jc w:val="both"/>
        <w:rPr>
          <w:rFonts w:ascii="Century Gothic" w:hAnsi="Century Gothic" w:eastAsia="Arial" w:cs="Arial"/>
          <w:color w:val="000000" w:themeColor="text1"/>
          <w:sz w:val="20"/>
          <w:szCs w:val="20"/>
          <w:lang w:val="es-ES_tradnl"/>
        </w:rPr>
      </w:pPr>
      <w:r w:rsidRPr="00131FA3">
        <w:rPr>
          <w:rFonts w:ascii="Century Gothic" w:hAnsi="Century Gothic" w:eastAsia="Arial" w:cs="Arial"/>
          <w:color w:val="000000" w:themeColor="text1"/>
          <w:sz w:val="20"/>
          <w:szCs w:val="20"/>
          <w:lang w:val="es-ES_tradnl"/>
        </w:rPr>
        <w:t>Sin perjuicio de lo anterior, el mismo Consejo de Estado bajo el Auto del 15 de marzo de 2022 de la Sala Plena de lo Contencioso Administrativo, radicado No. 11001-03-26-000-2018-00113-01 (62.003), Consejera Ponente Roció Araujo Oñate, revocó el Auto del 6 de agosto de 2019 de la Sección Tercera, en lo pertinente a la suspensión provisional del inciso segundo del artículo 1 y del inciso segundo del artículo 3 del Decreto 092 de 2017, respectivamente y por ende  levantó la suspensión provisional de los mismos</w:t>
      </w:r>
    </w:p>
    <w:p w:rsidRPr="00131FA3" w:rsidR="00DA0FC3" w:rsidP="00DA0FC3" w:rsidRDefault="00DA0FC3" w14:paraId="01422245" w14:textId="77777777">
      <w:pPr>
        <w:spacing w:after="0" w:line="240" w:lineRule="auto"/>
        <w:jc w:val="both"/>
        <w:rPr>
          <w:rFonts w:ascii="Century Gothic" w:hAnsi="Century Gothic" w:eastAsia="Arial" w:cs="Arial"/>
          <w:color w:val="000000" w:themeColor="text1"/>
          <w:sz w:val="20"/>
          <w:szCs w:val="20"/>
          <w:lang w:val="es-ES_tradnl"/>
        </w:rPr>
      </w:pPr>
    </w:p>
    <w:p w:rsidRPr="00131FA3" w:rsidR="00DA0FC3" w:rsidP="00DA0FC3" w:rsidRDefault="00DA0FC3" w14:paraId="6129733A" w14:textId="77777777">
      <w:pPr>
        <w:spacing w:after="0" w:line="240" w:lineRule="auto"/>
        <w:jc w:val="both"/>
        <w:rPr>
          <w:rFonts w:ascii="Century Gothic" w:hAnsi="Century Gothic" w:eastAsia="Arial" w:cs="Arial"/>
          <w:b/>
          <w:bCs/>
          <w:color w:val="000000" w:themeColor="text1"/>
          <w:lang w:val="es-ES_tradnl"/>
        </w:rPr>
      </w:pPr>
      <w:r w:rsidRPr="00131FA3">
        <w:rPr>
          <w:rFonts w:ascii="Century Gothic" w:hAnsi="Century Gothic" w:eastAsia="Arial" w:cs="Arial"/>
          <w:b/>
          <w:bCs/>
          <w:color w:val="000000" w:themeColor="text1"/>
          <w:lang w:val="es-ES_tradnl"/>
        </w:rPr>
        <w:t xml:space="preserve">DECRETO 092 DE 2017 – Normativa vigente </w:t>
      </w:r>
    </w:p>
    <w:p w:rsidRPr="00131FA3" w:rsidR="00DA0FC3" w:rsidP="00DA0FC3" w:rsidRDefault="00DA0FC3" w14:paraId="0E3660D3" w14:textId="77777777">
      <w:pPr>
        <w:spacing w:after="0" w:line="240" w:lineRule="auto"/>
        <w:jc w:val="both"/>
        <w:rPr>
          <w:rFonts w:ascii="Century Gothic" w:hAnsi="Century Gothic" w:eastAsia="Arial" w:cs="Arial"/>
          <w:b/>
          <w:bCs/>
          <w:color w:val="000000" w:themeColor="text1"/>
          <w:lang w:val="es-ES_tradnl"/>
        </w:rPr>
      </w:pPr>
    </w:p>
    <w:p w:rsidRPr="00131FA3" w:rsidR="00DA0FC3" w:rsidP="3C73260B" w:rsidRDefault="00DA0FC3" w14:paraId="572D3B0B" w14:textId="77777777">
      <w:pPr>
        <w:spacing w:after="0" w:line="240" w:lineRule="auto"/>
        <w:jc w:val="both"/>
        <w:rPr>
          <w:rFonts w:ascii="Century Gothic" w:hAnsi="Century Gothic" w:eastAsia="Arial" w:cs="Arial"/>
          <w:b w:val="1"/>
          <w:bCs w:val="1"/>
          <w:color w:val="000000" w:themeColor="text1"/>
          <w:lang w:val="es-ES"/>
        </w:rPr>
      </w:pPr>
      <w:r w:rsidRPr="3C73260B" w:rsidR="00DA0FC3">
        <w:rPr>
          <w:rFonts w:ascii="Century Gothic" w:hAnsi="Century Gothic" w:cs="Arial"/>
          <w:color w:val="000000" w:themeColor="text1" w:themeTint="FF" w:themeShade="FF"/>
          <w:sz w:val="20"/>
          <w:szCs w:val="20"/>
          <w:lang w:val="es-ES"/>
        </w:rPr>
        <w:t xml:space="preserve">En este orden de ideas, la contratación con entidades sin ánimo de lucro se sigue rigiendo por el Decreto 092 de 2017, salvo lo que fue objeto de suspensión provisional. Por lo tanto, las entidades públicas que desean celebrar contratos de interés público, en los términos del artículo 355 de la Constitución Política, deberán contratar con ESAL de reconocida idoneidad, como ya se dijo, realizando un proceso competitivo, y teniendo en cuenta lo siguiente: i) no debe condicionarse el proceso de contratación a la inexistencia de oferta en el mercado de bienes y servicios; </w:t>
      </w:r>
      <w:r w:rsidRPr="3C73260B" w:rsidR="00DA0FC3">
        <w:rPr>
          <w:rFonts w:ascii="Century Gothic" w:hAnsi="Century Gothic" w:cs="Arial"/>
          <w:color w:val="000000" w:themeColor="text1" w:themeTint="FF" w:themeShade="FF"/>
          <w:sz w:val="20"/>
          <w:szCs w:val="20"/>
          <w:lang w:val="es-ES"/>
        </w:rPr>
        <w:t>ii</w:t>
      </w:r>
      <w:r w:rsidRPr="3C73260B" w:rsidR="00DA0FC3">
        <w:rPr>
          <w:rFonts w:ascii="Century Gothic" w:hAnsi="Century Gothic" w:cs="Arial"/>
          <w:color w:val="000000" w:themeColor="text1" w:themeTint="FF" w:themeShade="FF"/>
          <w:sz w:val="20"/>
          <w:szCs w:val="20"/>
          <w:lang w:val="es-ES"/>
        </w:rPr>
        <w:t xml:space="preserve">) tampoco debe condicionarse a que la contratación con las ESAL garantice la optimización de los recursos públicos en términos de eficiencia, eficacia, economía y manejo del riesgo; </w:t>
      </w:r>
      <w:r w:rsidRPr="3C73260B" w:rsidR="00DA0FC3">
        <w:rPr>
          <w:rFonts w:ascii="Century Gothic" w:hAnsi="Century Gothic" w:cs="Arial"/>
          <w:color w:val="000000" w:themeColor="text1" w:themeTint="FF" w:themeShade="FF"/>
          <w:sz w:val="20"/>
          <w:szCs w:val="20"/>
          <w:lang w:val="es-ES"/>
        </w:rPr>
        <w:t>iii</w:t>
      </w:r>
      <w:r w:rsidRPr="3C73260B" w:rsidR="00DA0FC3">
        <w:rPr>
          <w:rFonts w:ascii="Century Gothic" w:hAnsi="Century Gothic" w:cs="Arial"/>
          <w:color w:val="000000" w:themeColor="text1" w:themeTint="FF" w:themeShade="FF"/>
          <w:sz w:val="20"/>
          <w:szCs w:val="20"/>
          <w:lang w:val="es-ES"/>
        </w:rPr>
        <w:t xml:space="preserve">) el objeto del contrato debe estar acorde con el plan nacional o seccional de desarrollo; </w:t>
      </w:r>
      <w:r w:rsidRPr="3C73260B" w:rsidR="00DA0FC3">
        <w:rPr>
          <w:rFonts w:ascii="Century Gothic" w:hAnsi="Century Gothic" w:cs="Arial"/>
          <w:color w:val="000000" w:themeColor="text1" w:themeTint="FF" w:themeShade="FF"/>
          <w:sz w:val="20"/>
          <w:szCs w:val="20"/>
          <w:lang w:val="es-ES"/>
        </w:rPr>
        <w:t>iv</w:t>
      </w:r>
      <w:r w:rsidRPr="3C73260B" w:rsidR="00DA0FC3">
        <w:rPr>
          <w:rFonts w:ascii="Century Gothic" w:hAnsi="Century Gothic" w:cs="Arial"/>
          <w:color w:val="000000" w:themeColor="text1" w:themeTint="FF" w:themeShade="FF"/>
          <w:sz w:val="20"/>
          <w:szCs w:val="20"/>
          <w:lang w:val="es-ES"/>
        </w:rPr>
        <w:t>) no puede condicionarse únicamente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por lo que basta con cumplir el anterior numeral (</w:t>
      </w:r>
      <w:r w:rsidRPr="3C73260B" w:rsidR="00DA0FC3">
        <w:rPr>
          <w:rFonts w:ascii="Century Gothic" w:hAnsi="Century Gothic" w:cs="Arial"/>
          <w:color w:val="000000" w:themeColor="text1" w:themeTint="FF" w:themeShade="FF"/>
          <w:sz w:val="20"/>
          <w:szCs w:val="20"/>
          <w:lang w:val="es-ES"/>
        </w:rPr>
        <w:t>iii</w:t>
      </w:r>
      <w:r w:rsidRPr="3C73260B" w:rsidR="00DA0FC3">
        <w:rPr>
          <w:rFonts w:ascii="Century Gothic" w:hAnsi="Century Gothic" w:cs="Arial"/>
          <w:color w:val="000000" w:themeColor="text1" w:themeTint="FF" w:themeShade="FF"/>
          <w:sz w:val="20"/>
          <w:szCs w:val="20"/>
          <w:lang w:val="es-ES"/>
        </w:rPr>
        <w:t>); y v) el contrato no debe establecer una relación conmutativa en el cual haya una contraprestación directa a favor de la entidad, ni instrucciones precisas dadas por esta al contratista para cumplir con el objeto del contrato.</w:t>
      </w:r>
    </w:p>
    <w:p w:rsidR="00DA0FC3" w:rsidP="00351421" w:rsidRDefault="00DA0FC3" w14:paraId="701A2E2E" w14:textId="77777777">
      <w:pPr>
        <w:spacing w:after="0"/>
        <w:rPr>
          <w:rFonts w:ascii="Century Gothic" w:hAnsi="Century Gothic" w:eastAsia="Geomanist Light" w:cs="Arial"/>
          <w:color w:val="000000" w:themeColor="text1"/>
          <w:lang w:val="es-MX"/>
        </w:rPr>
      </w:pPr>
    </w:p>
    <w:p w:rsidR="00DA0FC3" w:rsidP="00351421" w:rsidRDefault="00DA0FC3" w14:paraId="0E4D45A0" w14:textId="77777777">
      <w:pPr>
        <w:spacing w:after="0"/>
        <w:rPr>
          <w:rFonts w:ascii="Century Gothic" w:hAnsi="Century Gothic" w:eastAsia="Geomanist Light" w:cs="Arial"/>
          <w:color w:val="000000" w:themeColor="text1"/>
          <w:lang w:val="es-MX"/>
        </w:rPr>
      </w:pPr>
    </w:p>
    <w:p w:rsidR="00DA0FC3" w:rsidP="00351421" w:rsidRDefault="00DA0FC3" w14:paraId="0A0BC060" w14:textId="77777777">
      <w:pPr>
        <w:spacing w:after="0"/>
        <w:rPr>
          <w:rFonts w:ascii="Century Gothic" w:hAnsi="Century Gothic" w:eastAsia="Geomanist Light" w:cs="Arial"/>
          <w:color w:val="000000" w:themeColor="text1"/>
          <w:lang w:val="es-MX"/>
        </w:rPr>
      </w:pPr>
    </w:p>
    <w:p w:rsidR="00DA0FC3" w:rsidP="00351421" w:rsidRDefault="00DA0FC3" w14:paraId="49574A8E" w14:textId="77777777">
      <w:pPr>
        <w:spacing w:after="0"/>
        <w:rPr>
          <w:rFonts w:ascii="Century Gothic" w:hAnsi="Century Gothic" w:eastAsia="Geomanist Light" w:cs="Arial"/>
          <w:color w:val="000000" w:themeColor="text1"/>
          <w:lang w:val="es-MX"/>
        </w:rPr>
      </w:pPr>
    </w:p>
    <w:p w:rsidR="00DA0FC3" w:rsidP="00351421" w:rsidRDefault="00DA0FC3" w14:paraId="475D1E32" w14:textId="77777777">
      <w:pPr>
        <w:spacing w:after="0"/>
        <w:rPr>
          <w:rFonts w:ascii="Century Gothic" w:hAnsi="Century Gothic" w:eastAsia="Geomanist Light" w:cs="Arial"/>
          <w:color w:val="000000" w:themeColor="text1"/>
          <w:lang w:val="es-MX"/>
        </w:rPr>
      </w:pPr>
    </w:p>
    <w:p w:rsidR="00DA0FC3" w:rsidP="00351421" w:rsidRDefault="00DA0FC3" w14:paraId="21C32704" w14:textId="77777777">
      <w:pPr>
        <w:spacing w:after="0"/>
        <w:rPr>
          <w:rFonts w:ascii="Century Gothic" w:hAnsi="Century Gothic" w:eastAsia="Geomanist Light" w:cs="Arial"/>
          <w:color w:val="000000" w:themeColor="text1"/>
          <w:lang w:val="es-MX"/>
        </w:rPr>
      </w:pPr>
    </w:p>
    <w:p w:rsidR="00DA0FC3" w:rsidP="00351421" w:rsidRDefault="00DA0FC3" w14:paraId="1C4DFDB7" w14:textId="77777777">
      <w:pPr>
        <w:spacing w:after="0"/>
        <w:rPr>
          <w:rFonts w:ascii="Century Gothic" w:hAnsi="Century Gothic" w:eastAsia="Geomanist Light" w:cs="Arial"/>
          <w:color w:val="000000" w:themeColor="text1"/>
          <w:lang w:val="es-MX"/>
        </w:rPr>
      </w:pPr>
    </w:p>
    <w:p w:rsidR="00DA0FC3" w:rsidP="00351421" w:rsidRDefault="00DA0FC3" w14:paraId="7F129D46" w14:textId="77777777">
      <w:pPr>
        <w:spacing w:after="0"/>
        <w:rPr>
          <w:rFonts w:ascii="Century Gothic" w:hAnsi="Century Gothic" w:eastAsia="Geomanist Light" w:cs="Arial"/>
          <w:color w:val="000000" w:themeColor="text1"/>
          <w:lang w:val="es-MX"/>
        </w:rPr>
      </w:pPr>
    </w:p>
    <w:p w:rsidR="00DA0FC3" w:rsidP="00351421" w:rsidRDefault="00DA0FC3" w14:paraId="1509CEE1" w14:textId="77777777">
      <w:pPr>
        <w:spacing w:after="0"/>
        <w:rPr>
          <w:rFonts w:ascii="Century Gothic" w:hAnsi="Century Gothic" w:eastAsia="Geomanist Light" w:cs="Arial"/>
          <w:color w:val="000000" w:themeColor="text1"/>
          <w:lang w:val="es-MX"/>
        </w:rPr>
      </w:pPr>
    </w:p>
    <w:p w:rsidR="00DA0FC3" w:rsidP="00351421" w:rsidRDefault="00DA0FC3" w14:paraId="52DEC9AD" w14:textId="77777777">
      <w:pPr>
        <w:spacing w:after="0"/>
        <w:rPr>
          <w:rFonts w:ascii="Century Gothic" w:hAnsi="Century Gothic" w:eastAsia="Geomanist Light" w:cs="Arial"/>
          <w:color w:val="000000" w:themeColor="text1"/>
          <w:lang w:val="es-MX"/>
        </w:rPr>
      </w:pPr>
    </w:p>
    <w:p w:rsidR="00DA0FC3" w:rsidP="00351421" w:rsidRDefault="00DA0FC3" w14:paraId="3EEBAE57" w14:textId="77777777">
      <w:pPr>
        <w:spacing w:after="0"/>
        <w:rPr>
          <w:rFonts w:ascii="Century Gothic" w:hAnsi="Century Gothic" w:eastAsia="Geomanist Light" w:cs="Arial"/>
          <w:color w:val="000000" w:themeColor="text1"/>
          <w:lang w:val="es-MX"/>
        </w:rPr>
      </w:pPr>
    </w:p>
    <w:p w:rsidR="00DA0FC3" w:rsidP="00351421" w:rsidRDefault="00DA0FC3" w14:paraId="00F8BBC6" w14:textId="77777777">
      <w:pPr>
        <w:spacing w:after="0"/>
        <w:rPr>
          <w:rFonts w:ascii="Century Gothic" w:hAnsi="Century Gothic" w:eastAsia="Geomanist Light" w:cs="Arial"/>
          <w:color w:val="000000" w:themeColor="text1"/>
          <w:lang w:val="es-MX"/>
        </w:rPr>
      </w:pPr>
    </w:p>
    <w:p w:rsidR="00DA0FC3" w:rsidP="00351421" w:rsidRDefault="00DA0FC3" w14:paraId="2FBAE906" w14:textId="77777777">
      <w:pPr>
        <w:spacing w:after="0"/>
        <w:rPr>
          <w:rFonts w:ascii="Century Gothic" w:hAnsi="Century Gothic" w:eastAsia="Geomanist Light" w:cs="Arial"/>
          <w:color w:val="000000" w:themeColor="text1"/>
          <w:lang w:val="es-MX"/>
        </w:rPr>
      </w:pPr>
    </w:p>
    <w:p w:rsidR="00DA0FC3" w:rsidP="00351421" w:rsidRDefault="00DA0FC3" w14:paraId="44614FE2" w14:textId="77777777">
      <w:pPr>
        <w:spacing w:after="0"/>
        <w:rPr>
          <w:rFonts w:ascii="Century Gothic" w:hAnsi="Century Gothic" w:eastAsia="Geomanist Light" w:cs="Arial"/>
          <w:color w:val="000000" w:themeColor="text1"/>
          <w:lang w:val="es-MX"/>
        </w:rPr>
      </w:pPr>
    </w:p>
    <w:p w:rsidR="00DA0FC3" w:rsidP="00351421" w:rsidRDefault="00DA0FC3" w14:paraId="614A2586" w14:textId="77777777">
      <w:pPr>
        <w:spacing w:after="0"/>
        <w:rPr>
          <w:rFonts w:ascii="Century Gothic" w:hAnsi="Century Gothic" w:eastAsia="Geomanist Light" w:cs="Arial"/>
          <w:color w:val="000000" w:themeColor="text1"/>
          <w:lang w:val="es-MX"/>
        </w:rPr>
      </w:pPr>
    </w:p>
    <w:p w:rsidR="00DA0FC3" w:rsidP="00351421" w:rsidRDefault="00DA0FC3" w14:paraId="19DB6A7A" w14:textId="77777777">
      <w:pPr>
        <w:spacing w:after="0"/>
        <w:rPr>
          <w:rFonts w:ascii="Century Gothic" w:hAnsi="Century Gothic" w:eastAsia="Geomanist Light" w:cs="Arial"/>
          <w:color w:val="000000" w:themeColor="text1"/>
          <w:lang w:val="es-MX"/>
        </w:rPr>
      </w:pPr>
    </w:p>
    <w:p w:rsidR="00DA0FC3" w:rsidP="00351421" w:rsidRDefault="00DA0FC3" w14:paraId="6F7BC9AD" w14:textId="77777777">
      <w:pPr>
        <w:spacing w:after="0"/>
        <w:rPr>
          <w:rFonts w:ascii="Century Gothic" w:hAnsi="Century Gothic" w:eastAsia="Geomanist Light" w:cs="Arial"/>
          <w:color w:val="000000" w:themeColor="text1"/>
          <w:lang w:val="es-MX"/>
        </w:rPr>
      </w:pPr>
    </w:p>
    <w:p w:rsidR="00351421" w:rsidP="00351421" w:rsidRDefault="00351421" w14:paraId="647F15B3" w14:textId="11907F99">
      <w:pPr>
        <w:spacing w:after="0"/>
        <w:rPr>
          <w:rFonts w:ascii="Century Gothic" w:hAnsi="Century Gothic" w:eastAsia="Geomanist Light" w:cs="Arial"/>
          <w:color w:val="201F1E"/>
          <w:lang w:val="es-MX"/>
        </w:rPr>
      </w:pPr>
      <w:r w:rsidRPr="00131FA3">
        <w:rPr>
          <w:rFonts w:ascii="Century Gothic" w:hAnsi="Century Gothic" w:eastAsia="Geomanist Light" w:cs="Arial"/>
          <w:color w:val="000000" w:themeColor="text1"/>
          <w:lang w:val="es-MX"/>
        </w:rPr>
        <w:lastRenderedPageBreak/>
        <w:t>Bogotá D.C., </w:t>
      </w:r>
      <w:r w:rsidRPr="00AE7FB4" w:rsidR="00AE7FB4">
        <w:rPr>
          <w:rFonts w:ascii="Century Gothic" w:hAnsi="Century Gothic" w:eastAsia="Geomanist Light" w:cs="Arial"/>
          <w:color w:val="201F1E"/>
          <w:lang w:val="es-MX"/>
        </w:rPr>
        <w:t xml:space="preserve">24 de </w:t>
      </w:r>
      <w:proofErr w:type="gramStart"/>
      <w:r w:rsidRPr="00AE7FB4" w:rsidR="00AE7FB4">
        <w:rPr>
          <w:rFonts w:ascii="Century Gothic" w:hAnsi="Century Gothic" w:eastAsia="Geomanist Light" w:cs="Arial"/>
          <w:color w:val="201F1E"/>
          <w:lang w:val="es-MX"/>
        </w:rPr>
        <w:t>Abril</w:t>
      </w:r>
      <w:proofErr w:type="gramEnd"/>
      <w:r w:rsidRPr="00AE7FB4" w:rsidR="00AE7FB4">
        <w:rPr>
          <w:rFonts w:ascii="Century Gothic" w:hAnsi="Century Gothic" w:eastAsia="Geomanist Light" w:cs="Arial"/>
          <w:color w:val="201F1E"/>
          <w:lang w:val="es-MX"/>
        </w:rPr>
        <w:t xml:space="preserve"> de 2024</w:t>
      </w:r>
    </w:p>
    <w:p w:rsidRPr="00131FA3" w:rsidR="00351421" w:rsidP="00351421" w:rsidRDefault="00351421" w14:paraId="7A706252" w14:textId="77777777">
      <w:pPr>
        <w:spacing w:after="0"/>
        <w:rPr>
          <w:rFonts w:ascii="Century Gothic" w:hAnsi="Century Gothic" w:eastAsia="Geomanist Light" w:cs="Arial"/>
          <w:color w:val="201F1E"/>
          <w:lang w:val="es-MX"/>
        </w:rPr>
      </w:pPr>
    </w:p>
    <w:p w:rsidR="00351421" w:rsidP="00AE7FB4" w:rsidRDefault="00AE7FB4" w14:paraId="4478CC04" w14:textId="051A7120">
      <w:pPr>
        <w:spacing w:after="0"/>
        <w:contextualSpacing/>
        <w:jc w:val="right"/>
        <w:rPr>
          <w:rFonts w:ascii="Century Gothic" w:hAnsi="Century Gothic" w:eastAsia="Calibri" w:cs="Arial"/>
          <w:lang w:val="es-ES_tradnl" w:eastAsia="es-ES_tradnl"/>
        </w:rPr>
      </w:pPr>
      <w:r>
        <w:rPr>
          <w:noProof/>
        </w:rPr>
        <w:drawing>
          <wp:inline distT="0" distB="0" distL="0" distR="0" wp14:anchorId="627282BC" wp14:editId="5E0E4348">
            <wp:extent cx="3253476" cy="904813"/>
            <wp:effectExtent l="0" t="0" r="4445" b="0"/>
            <wp:docPr id="3542207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20786" name=""/>
                    <pic:cNvPicPr/>
                  </pic:nvPicPr>
                  <pic:blipFill>
                    <a:blip r:embed="rId10"/>
                    <a:stretch>
                      <a:fillRect/>
                    </a:stretch>
                  </pic:blipFill>
                  <pic:spPr>
                    <a:xfrm>
                      <a:off x="0" y="0"/>
                      <a:ext cx="3253476" cy="904813"/>
                    </a:xfrm>
                    <a:prstGeom prst="rect">
                      <a:avLst/>
                    </a:prstGeom>
                  </pic:spPr>
                </pic:pic>
              </a:graphicData>
            </a:graphic>
          </wp:inline>
        </w:drawing>
      </w:r>
    </w:p>
    <w:p w:rsidRPr="00131FA3" w:rsidR="00AE7FB4" w:rsidP="00351421" w:rsidRDefault="00AE7FB4" w14:paraId="4FE8B7C4" w14:textId="77777777">
      <w:pPr>
        <w:spacing w:after="0"/>
        <w:contextualSpacing/>
        <w:jc w:val="both"/>
        <w:rPr>
          <w:rFonts w:ascii="Century Gothic" w:hAnsi="Century Gothic" w:eastAsia="Calibri" w:cs="Arial"/>
          <w:lang w:val="es-ES_tradnl" w:eastAsia="es-ES_tradnl"/>
        </w:rPr>
      </w:pPr>
    </w:p>
    <w:p w:rsidRPr="00131FA3" w:rsidR="00351421" w:rsidP="00351421" w:rsidRDefault="00351421" w14:paraId="69378267" w14:textId="77777777">
      <w:pPr>
        <w:contextualSpacing/>
        <w:jc w:val="both"/>
        <w:rPr>
          <w:rFonts w:ascii="Century Gothic" w:hAnsi="Century Gothic" w:eastAsia="Calibri" w:cs="Arial"/>
          <w:lang w:eastAsia="es-ES_tradnl"/>
        </w:rPr>
      </w:pPr>
      <w:r w:rsidRPr="00131FA3">
        <w:rPr>
          <w:rFonts w:ascii="Century Gothic" w:hAnsi="Century Gothic" w:eastAsia="Calibri" w:cs="Arial"/>
          <w:lang w:eastAsia="es-ES_tradnl"/>
        </w:rPr>
        <w:t>Señor</w:t>
      </w:r>
    </w:p>
    <w:p w:rsidRPr="00131FA3" w:rsidR="00351421" w:rsidP="00351421" w:rsidRDefault="00351421" w14:paraId="1192982A" w14:textId="77777777">
      <w:pPr>
        <w:contextualSpacing/>
        <w:jc w:val="both"/>
        <w:rPr>
          <w:rFonts w:ascii="Century Gothic" w:hAnsi="Century Gothic" w:eastAsia="Calibri" w:cs="Arial"/>
          <w:b/>
          <w:lang w:eastAsia="es-ES_tradnl"/>
        </w:rPr>
      </w:pPr>
      <w:r w:rsidRPr="007377EE">
        <w:rPr>
          <w:rFonts w:ascii="Century Gothic" w:hAnsi="Century Gothic" w:eastAsia="Calibri" w:cs="Arial"/>
          <w:b/>
          <w:lang w:eastAsia="es-ES_tradnl"/>
        </w:rPr>
        <w:t>Giovany Valencia Cruz</w:t>
      </w:r>
      <w:r w:rsidRPr="00131FA3">
        <w:rPr>
          <w:rFonts w:ascii="Century Gothic" w:hAnsi="Century Gothic" w:eastAsia="Calibri" w:cs="Arial"/>
          <w:b/>
          <w:lang w:eastAsia="es-ES_tradnl"/>
        </w:rPr>
        <w:t xml:space="preserve">  </w:t>
      </w:r>
    </w:p>
    <w:p w:rsidRPr="00131FA3" w:rsidR="00351421" w:rsidP="00351421" w:rsidRDefault="00351421" w14:paraId="3FE44891" w14:textId="77777777">
      <w:pPr>
        <w:contextualSpacing/>
        <w:jc w:val="both"/>
        <w:rPr>
          <w:rFonts w:ascii="Century Gothic" w:hAnsi="Century Gothic" w:eastAsia="Calibri" w:cs="Arial"/>
          <w:bCs/>
          <w:lang w:eastAsia="es-ES_tradnl"/>
        </w:rPr>
      </w:pPr>
      <w:r>
        <w:rPr>
          <w:rFonts w:ascii="Century Gothic" w:hAnsi="Century Gothic" w:eastAsia="Geomanist Light" w:cs="Arial"/>
          <w:color w:val="000000" w:themeColor="text1"/>
          <w:lang w:val="es-MX"/>
        </w:rPr>
        <w:t xml:space="preserve">Puerto Gaitán, Meta </w:t>
      </w:r>
    </w:p>
    <w:p w:rsidRPr="00131FA3" w:rsidR="00351421" w:rsidP="00351421" w:rsidRDefault="00351421" w14:paraId="33C0BD31" w14:textId="77777777">
      <w:pPr>
        <w:contextualSpacing/>
        <w:rPr>
          <w:rFonts w:ascii="Century Gothic" w:hAnsi="Century Gothic" w:eastAsia="Calibri" w:cs="Arial"/>
          <w:b/>
          <w:bCs/>
          <w:lang w:val="es-ES_tradnl" w:eastAsia="es-ES_tradnl"/>
        </w:rPr>
      </w:pPr>
    </w:p>
    <w:p w:rsidRPr="00131FA3" w:rsidR="00351421" w:rsidP="00351421" w:rsidRDefault="00351421" w14:paraId="0426C477" w14:textId="77777777">
      <w:pPr>
        <w:contextualSpacing/>
        <w:jc w:val="both"/>
        <w:rPr>
          <w:rFonts w:ascii="Century Gothic" w:hAnsi="Century Gothic" w:eastAsia="Calibri" w:cs="Arial"/>
          <w:lang w:val="es-ES_tradnl" w:eastAsia="es-ES_tradnl"/>
        </w:rPr>
      </w:pPr>
    </w:p>
    <w:p w:rsidRPr="00131FA3" w:rsidR="00351421" w:rsidP="00351421" w:rsidRDefault="00351421" w14:paraId="5E4BBD87" w14:textId="77777777">
      <w:pPr>
        <w:ind w:left="2124"/>
        <w:contextualSpacing/>
        <w:jc w:val="both"/>
        <w:rPr>
          <w:rFonts w:ascii="Century Gothic" w:hAnsi="Century Gothic" w:eastAsia="Calibri" w:cs="Arial"/>
          <w:b/>
          <w:bCs/>
          <w:lang w:val="es-ES_tradnl" w:eastAsia="es-ES_tradnl"/>
        </w:rPr>
      </w:pPr>
      <w:r w:rsidRPr="00131FA3">
        <w:rPr>
          <w:rFonts w:ascii="Century Gothic" w:hAnsi="Century Gothic" w:eastAsia="Calibri" w:cs="Arial"/>
          <w:b/>
          <w:bCs/>
          <w:lang w:val="es-ES_tradnl" w:eastAsia="es-ES_tradnl"/>
        </w:rPr>
        <w:t xml:space="preserve">         Concepto C – </w:t>
      </w:r>
      <w:r>
        <w:rPr>
          <w:rFonts w:ascii="Century Gothic" w:hAnsi="Century Gothic" w:eastAsia="Calibri" w:cs="Arial"/>
          <w:b/>
          <w:bCs/>
          <w:lang w:val="es-ES_tradnl" w:eastAsia="es-ES_tradnl"/>
        </w:rPr>
        <w:t>054</w:t>
      </w:r>
      <w:r w:rsidRPr="00131FA3">
        <w:rPr>
          <w:rFonts w:ascii="Century Gothic" w:hAnsi="Century Gothic" w:eastAsia="Calibri" w:cs="Arial"/>
          <w:b/>
          <w:bCs/>
          <w:lang w:val="es-ES_tradnl" w:eastAsia="es-ES_tradnl"/>
        </w:rPr>
        <w:t xml:space="preserve"> de 202</w:t>
      </w:r>
      <w:r>
        <w:rPr>
          <w:rFonts w:ascii="Century Gothic" w:hAnsi="Century Gothic" w:eastAsia="Calibri" w:cs="Arial"/>
          <w:b/>
          <w:bCs/>
          <w:lang w:val="es-ES_tradnl" w:eastAsia="es-ES_tradnl"/>
        </w:rPr>
        <w:t>4</w:t>
      </w:r>
    </w:p>
    <w:p w:rsidRPr="00131FA3" w:rsidR="00351421" w:rsidP="00351421" w:rsidRDefault="00351421" w14:paraId="1AB2DC01" w14:textId="77777777">
      <w:pPr>
        <w:contextualSpacing/>
        <w:jc w:val="both"/>
        <w:rPr>
          <w:rFonts w:ascii="Century Gothic" w:hAnsi="Century Gothic" w:eastAsia="Calibri" w:cs="Arial"/>
          <w:lang w:val="es-ES_tradnl" w:eastAsia="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131FA3" w:rsidR="00351421" w:rsidTr="006425DD" w14:paraId="1C79748C" w14:textId="77777777">
        <w:tc>
          <w:tcPr>
            <w:tcW w:w="2689" w:type="dxa"/>
          </w:tcPr>
          <w:p w:rsidRPr="00131FA3" w:rsidR="00351421" w:rsidP="006425DD" w:rsidRDefault="00351421" w14:paraId="5AAEE4C8" w14:textId="77777777">
            <w:pPr>
              <w:contextualSpacing/>
              <w:jc w:val="both"/>
              <w:rPr>
                <w:rFonts w:ascii="Century Gothic" w:hAnsi="Century Gothic" w:eastAsia="Calibri" w:cs="Arial"/>
                <w:lang w:val="es-ES_tradnl" w:eastAsia="es-ES_tradnl"/>
              </w:rPr>
            </w:pPr>
            <w:r w:rsidRPr="00131FA3">
              <w:rPr>
                <w:rFonts w:ascii="Century Gothic" w:hAnsi="Century Gothic" w:eastAsia="Calibri" w:cs="Arial"/>
                <w:b/>
                <w:lang w:val="es-ES_tradnl" w:eastAsia="es-ES_tradnl"/>
              </w:rPr>
              <w:t>Temas:</w:t>
            </w:r>
            <w:r w:rsidRPr="00131FA3">
              <w:rPr>
                <w:rFonts w:ascii="Century Gothic" w:hAnsi="Century Gothic" w:eastAsia="Calibri" w:cs="Arial"/>
                <w:lang w:val="es-ES_tradnl" w:eastAsia="es-ES_tradnl"/>
              </w:rPr>
              <w:t xml:space="preserve">                                      </w:t>
            </w:r>
          </w:p>
        </w:tc>
        <w:tc>
          <w:tcPr>
            <w:tcW w:w="6237" w:type="dxa"/>
          </w:tcPr>
          <w:p w:rsidRPr="00131FA3" w:rsidR="00351421" w:rsidP="006425DD" w:rsidRDefault="00351421" w14:paraId="028BC55F" w14:textId="77777777">
            <w:pPr>
              <w:spacing w:after="120"/>
              <w:contextualSpacing/>
              <w:jc w:val="both"/>
              <w:rPr>
                <w:rFonts w:ascii="Century Gothic" w:hAnsi="Century Gothic" w:eastAsia="Calibri" w:cs="Arial"/>
                <w:bCs/>
                <w:lang w:val="es-MX" w:eastAsia="es-ES_tradnl"/>
              </w:rPr>
            </w:pPr>
            <w:r w:rsidRPr="00131FA3">
              <w:rPr>
                <w:rFonts w:ascii="Century Gothic" w:hAnsi="Century Gothic" w:eastAsia="Calibri" w:cs="Arial"/>
                <w:bCs/>
                <w:lang w:val="es-ES_tradnl" w:eastAsia="es-ES_tradnl"/>
              </w:rPr>
              <w:t>DECRETO 092 DE 2017 – Finalidad – Clases de contratos / CONTRATACIÓN CON ESAL – Contrato de colaboración – Objeto – Alcance / CONTRATACIÓN CON ESAL – Contrato de asociación – Objeto – Alcance / CONVENIOS DE ASOCIACIÓN – Multiplicidad de sujetos – Límites legales / DECRETO 092 DE 2017 – Criterios – Aplicación / DECRETO 092 DE 2017 – Suspensión Provisional – Artículos suspendidos / DECRETO 092 DE 2017 – Normativa vigente</w:t>
            </w:r>
            <w:r w:rsidRPr="00131FA3">
              <w:rPr>
                <w:rFonts w:ascii="Century Gothic" w:hAnsi="Century Gothic" w:eastAsia="Calibri" w:cs="Arial"/>
                <w:bCs/>
                <w:lang w:val="es-MX" w:eastAsia="es-ES_tradnl"/>
              </w:rPr>
              <w:t xml:space="preserve"> </w:t>
            </w:r>
          </w:p>
          <w:p w:rsidRPr="00131FA3" w:rsidR="00351421" w:rsidP="006425DD" w:rsidRDefault="00351421" w14:paraId="471F7287" w14:textId="77777777">
            <w:pPr>
              <w:spacing w:after="120"/>
              <w:contextualSpacing/>
              <w:jc w:val="both"/>
              <w:rPr>
                <w:rFonts w:ascii="Century Gothic" w:hAnsi="Century Gothic" w:eastAsia="Calibri" w:cs="Arial"/>
                <w:bCs/>
                <w:sz w:val="12"/>
                <w:szCs w:val="12"/>
                <w:lang w:val="es-ES_tradnl" w:eastAsia="es-ES_tradnl"/>
              </w:rPr>
            </w:pPr>
          </w:p>
        </w:tc>
      </w:tr>
      <w:tr w:rsidRPr="00131FA3" w:rsidR="00351421" w:rsidTr="006425DD" w14:paraId="7341069D" w14:textId="77777777">
        <w:trPr>
          <w:trHeight w:val="227"/>
        </w:trPr>
        <w:tc>
          <w:tcPr>
            <w:tcW w:w="2689" w:type="dxa"/>
          </w:tcPr>
          <w:p w:rsidRPr="00131FA3" w:rsidR="00351421" w:rsidP="006425DD" w:rsidRDefault="00351421" w14:paraId="7A78DE9F" w14:textId="77777777">
            <w:pPr>
              <w:contextualSpacing/>
              <w:jc w:val="both"/>
              <w:rPr>
                <w:rFonts w:ascii="Century Gothic" w:hAnsi="Century Gothic" w:eastAsia="Calibri" w:cs="Arial"/>
                <w:b/>
                <w:lang w:val="es-ES_tradnl" w:eastAsia="es-ES_tradnl"/>
              </w:rPr>
            </w:pPr>
            <w:r w:rsidRPr="00131FA3">
              <w:rPr>
                <w:rFonts w:ascii="Century Gothic" w:hAnsi="Century Gothic" w:eastAsia="Calibri" w:cs="Arial"/>
                <w:b/>
                <w:lang w:val="es-ES_tradnl" w:eastAsia="es-ES_tradnl"/>
              </w:rPr>
              <w:t>Radicación:</w:t>
            </w:r>
            <w:r w:rsidRPr="00131FA3">
              <w:rPr>
                <w:rFonts w:ascii="Century Gothic" w:hAnsi="Century Gothic" w:eastAsia="Calibri" w:cs="Arial"/>
                <w:lang w:val="es-ES_tradnl" w:eastAsia="es-ES_tradnl"/>
              </w:rPr>
              <w:t xml:space="preserve">                             </w:t>
            </w:r>
          </w:p>
        </w:tc>
        <w:tc>
          <w:tcPr>
            <w:tcW w:w="6237" w:type="dxa"/>
          </w:tcPr>
          <w:p w:rsidRPr="00131FA3" w:rsidR="00351421" w:rsidP="006425DD" w:rsidRDefault="00351421" w14:paraId="0A0169B5" w14:textId="77777777">
            <w:pPr>
              <w:contextualSpacing/>
              <w:jc w:val="both"/>
              <w:rPr>
                <w:rFonts w:ascii="Century Gothic" w:hAnsi="Century Gothic" w:eastAsia="Calibri" w:cs="Arial"/>
                <w:lang w:val="es-ES_tradnl" w:eastAsia="es-ES_tradnl"/>
              </w:rPr>
            </w:pPr>
            <w:r w:rsidRPr="00131FA3">
              <w:rPr>
                <w:rFonts w:ascii="Century Gothic" w:hAnsi="Century Gothic" w:eastAsia="Calibri" w:cs="Arial"/>
                <w:lang w:val="es-ES_tradnl" w:eastAsia="es-ES_tradnl"/>
              </w:rPr>
              <w:t xml:space="preserve">Respuesta a consulta </w:t>
            </w:r>
            <w:r w:rsidRPr="007377EE">
              <w:rPr>
                <w:rFonts w:ascii="Century Gothic" w:hAnsi="Century Gothic" w:eastAsia="Calibri" w:cs="Arial"/>
                <w:lang w:val="es-ES_tradnl" w:eastAsia="es-ES_tradnl"/>
              </w:rPr>
              <w:t>P20240320003077</w:t>
            </w:r>
          </w:p>
        </w:tc>
      </w:tr>
    </w:tbl>
    <w:p w:rsidRPr="00131FA3" w:rsidR="00351421" w:rsidP="00351421" w:rsidRDefault="00351421" w14:paraId="20A7A847" w14:textId="77777777">
      <w:pPr>
        <w:contextualSpacing/>
        <w:jc w:val="both"/>
        <w:rPr>
          <w:rFonts w:ascii="Century Gothic" w:hAnsi="Century Gothic" w:eastAsia="Calibri" w:cs="Arial"/>
          <w:lang w:val="es-ES_tradnl" w:eastAsia="es-ES_tradnl"/>
        </w:rPr>
      </w:pPr>
    </w:p>
    <w:p w:rsidRPr="00131FA3" w:rsidR="00351421" w:rsidP="00351421" w:rsidRDefault="00351421" w14:paraId="5AEF6D5B" w14:textId="77777777">
      <w:pPr>
        <w:contextualSpacing/>
        <w:jc w:val="both"/>
        <w:rPr>
          <w:rFonts w:ascii="Century Gothic" w:hAnsi="Century Gothic" w:eastAsia="Calibri" w:cs="Arial"/>
          <w:lang w:val="es-ES_tradnl" w:eastAsia="es-ES_tradnl"/>
        </w:rPr>
      </w:pPr>
    </w:p>
    <w:p w:rsidRPr="00131FA3" w:rsidR="00351421" w:rsidP="00351421" w:rsidRDefault="00351421" w14:paraId="2E43136D" w14:textId="77777777">
      <w:pPr>
        <w:contextualSpacing/>
        <w:jc w:val="both"/>
        <w:rPr>
          <w:rFonts w:ascii="Century Gothic" w:hAnsi="Century Gothic" w:eastAsia="Calibri" w:cs="Arial"/>
          <w:lang w:val="es-ES" w:eastAsia="es-ES"/>
        </w:rPr>
      </w:pPr>
      <w:r w:rsidRPr="00131FA3">
        <w:rPr>
          <w:rFonts w:ascii="Century Gothic" w:hAnsi="Century Gothic" w:eastAsia="Calibri" w:cs="Arial"/>
          <w:lang w:val="es-ES" w:eastAsia="es-ES"/>
        </w:rPr>
        <w:t xml:space="preserve">Respetado señor </w:t>
      </w:r>
      <w:r w:rsidRPr="009D0790">
        <w:rPr>
          <w:rFonts w:ascii="Century Gothic" w:hAnsi="Century Gothic" w:eastAsia="Times New Roman" w:cs="Arial"/>
          <w:lang w:eastAsia="es-ES"/>
        </w:rPr>
        <w:t>Valencia Cruz</w:t>
      </w:r>
      <w:r w:rsidRPr="00131FA3">
        <w:rPr>
          <w:rFonts w:ascii="Century Gothic" w:hAnsi="Century Gothic" w:eastAsia="Calibri" w:cs="Arial"/>
          <w:lang w:val="es-ES" w:eastAsia="es-ES"/>
        </w:rPr>
        <w:t xml:space="preserve">: </w:t>
      </w:r>
    </w:p>
    <w:p w:rsidRPr="00131FA3" w:rsidR="00351421" w:rsidP="00351421" w:rsidRDefault="00351421" w14:paraId="5E4D0E7E" w14:textId="77777777">
      <w:pPr>
        <w:spacing w:line="276" w:lineRule="auto"/>
        <w:contextualSpacing/>
        <w:jc w:val="both"/>
        <w:rPr>
          <w:rFonts w:ascii="Century Gothic" w:hAnsi="Century Gothic" w:eastAsia="Calibri" w:cs="Arial"/>
          <w:szCs w:val="24"/>
          <w:lang w:val="es-ES_tradnl" w:eastAsia="es-ES_tradnl"/>
        </w:rPr>
      </w:pPr>
    </w:p>
    <w:bookmarkEnd w:id="0"/>
    <w:bookmarkEnd w:id="1"/>
    <w:p w:rsidRPr="00131FA3" w:rsidR="00351421" w:rsidP="00351421" w:rsidRDefault="00351421" w14:paraId="4D31E611" w14:textId="77777777">
      <w:pPr>
        <w:spacing w:after="0" w:line="276" w:lineRule="auto"/>
        <w:jc w:val="both"/>
        <w:rPr>
          <w:rFonts w:ascii="Century Gothic" w:hAnsi="Century Gothic" w:eastAsia="Calibri" w:cs="Arial"/>
          <w:color w:val="000000" w:themeColor="text1"/>
          <w:lang w:val="es-ES_tradnl"/>
        </w:rPr>
      </w:pPr>
      <w:r w:rsidRPr="00131FA3">
        <w:rPr>
          <w:rFonts w:ascii="Century Gothic" w:hAnsi="Century Gothic" w:eastAsia="Calibri" w:cs="Arial"/>
          <w:color w:val="000000" w:themeColor="text1"/>
          <w:lang w:val="es-ES_tradnl"/>
        </w:rPr>
        <w:t>En ejercicio de la competencia otorgada por el numeral 8 del artículo 11 y el numeral 5 del artículo 3 del Decreto Ley 4170 de 2011</w:t>
      </w:r>
      <w:bookmarkStart w:name="_Hlk99120496" w:id="5"/>
      <w:r w:rsidRPr="00131FA3">
        <w:rPr>
          <w:rFonts w:ascii="Century Gothic" w:hAnsi="Century Gothic" w:eastAsia="Arial MT" w:cs="Arial MT"/>
          <w:lang w:val="es-ES"/>
        </w:rPr>
        <w:t xml:space="preserve">, </w:t>
      </w:r>
      <w:bookmarkEnd w:id="5"/>
      <w:r w:rsidRPr="00131FA3">
        <w:rPr>
          <w:rFonts w:ascii="Century Gothic" w:hAnsi="Century Gothic" w:eastAsia="Calibri" w:cs="Arial"/>
          <w:color w:val="000000" w:themeColor="text1"/>
          <w:lang w:val="es-ES_tradnl"/>
        </w:rPr>
        <w:t xml:space="preserve">la Agencia Nacional de Contratación Pública – Colombia Compra Eficiente responde la consulta remitida mediante correo electrónico del </w:t>
      </w:r>
      <w:r>
        <w:rPr>
          <w:rFonts w:ascii="Century Gothic" w:hAnsi="Century Gothic" w:eastAsia="Calibri" w:cs="Arial"/>
          <w:color w:val="000000" w:themeColor="text1"/>
          <w:lang w:val="es-ES_tradnl"/>
        </w:rPr>
        <w:t>20 de marzo de 2024</w:t>
      </w:r>
      <w:r w:rsidRPr="00131FA3">
        <w:rPr>
          <w:rFonts w:ascii="Century Gothic" w:hAnsi="Century Gothic" w:eastAsia="Calibri" w:cs="Arial"/>
          <w:color w:val="000000" w:themeColor="text1"/>
          <w:lang w:val="es-ES_tradnl"/>
        </w:rPr>
        <w:t>.</w:t>
      </w:r>
    </w:p>
    <w:p w:rsidRPr="00131FA3" w:rsidR="00351421" w:rsidP="00351421" w:rsidRDefault="00351421" w14:paraId="0E540268" w14:textId="77777777">
      <w:pPr>
        <w:spacing w:after="0" w:line="276" w:lineRule="auto"/>
        <w:jc w:val="both"/>
        <w:rPr>
          <w:rFonts w:ascii="Century Gothic" w:hAnsi="Century Gothic" w:eastAsia="Calibri" w:cs="Arial"/>
          <w:b/>
          <w:color w:val="000000" w:themeColor="text1"/>
          <w:lang w:val="es-ES_tradnl"/>
        </w:rPr>
      </w:pPr>
    </w:p>
    <w:p w:rsidRPr="00131FA3" w:rsidR="00351421" w:rsidP="00351421" w:rsidRDefault="00351421" w14:paraId="47ECF64B" w14:textId="77777777">
      <w:pPr>
        <w:pStyle w:val="Prrafodelista"/>
        <w:numPr>
          <w:ilvl w:val="0"/>
          <w:numId w:val="6"/>
        </w:numPr>
        <w:tabs>
          <w:tab w:val="left" w:pos="0"/>
          <w:tab w:val="left" w:pos="142"/>
          <w:tab w:val="left" w:pos="284"/>
        </w:tabs>
        <w:spacing w:after="0" w:line="276" w:lineRule="auto"/>
        <w:ind w:left="0" w:firstLine="0"/>
        <w:jc w:val="both"/>
        <w:rPr>
          <w:rFonts w:ascii="Century Gothic" w:hAnsi="Century Gothic" w:eastAsia="Calibri" w:cs="Arial"/>
          <w:b/>
          <w:color w:val="000000" w:themeColor="text1"/>
          <w:lang w:val="es-ES_tradnl"/>
        </w:rPr>
      </w:pPr>
      <w:r w:rsidRPr="00131FA3">
        <w:rPr>
          <w:rFonts w:ascii="Century Gothic" w:hAnsi="Century Gothic" w:eastAsia="Calibri" w:cs="Arial"/>
          <w:b/>
          <w:color w:val="000000" w:themeColor="text1"/>
          <w:lang w:val="es-ES_tradnl"/>
        </w:rPr>
        <w:t xml:space="preserve">Problemas planteados </w:t>
      </w:r>
    </w:p>
    <w:p w:rsidRPr="00131FA3" w:rsidR="00351421" w:rsidP="00351421" w:rsidRDefault="00351421" w14:paraId="68B18305" w14:textId="77777777">
      <w:pPr>
        <w:tabs>
          <w:tab w:val="left" w:pos="426"/>
        </w:tabs>
        <w:spacing w:after="0" w:line="276" w:lineRule="auto"/>
        <w:jc w:val="both"/>
        <w:rPr>
          <w:rFonts w:ascii="Century Gothic" w:hAnsi="Century Gothic" w:eastAsia="Calibri" w:cs="Arial"/>
          <w:b/>
          <w:color w:val="000000" w:themeColor="text1"/>
          <w:lang w:val="es-ES_tradnl"/>
        </w:rPr>
      </w:pPr>
    </w:p>
    <w:p w:rsidRPr="00131FA3" w:rsidR="00351421" w:rsidP="00351421" w:rsidRDefault="00351421" w14:paraId="7CFC469B" w14:textId="77777777">
      <w:pPr>
        <w:spacing w:after="0" w:line="276" w:lineRule="auto"/>
        <w:jc w:val="both"/>
        <w:rPr>
          <w:rFonts w:ascii="Century Gothic" w:hAnsi="Century Gothic" w:cs="Arial"/>
          <w:color w:val="000000" w:themeColor="text1"/>
          <w:lang w:val="es-ES"/>
        </w:rPr>
      </w:pPr>
      <w:r w:rsidRPr="13B52EC9">
        <w:rPr>
          <w:rFonts w:ascii="Century Gothic" w:hAnsi="Century Gothic" w:cs="Arial"/>
          <w:color w:val="000000" w:themeColor="text1"/>
          <w:lang w:val="es-ES"/>
        </w:rPr>
        <w:t xml:space="preserve">Teniendo en cuenta las últimas actualizaciones de la Circular Externa Única, usted realiza las siguientes preguntas: </w:t>
      </w:r>
      <w:bookmarkStart w:name="_Hlk162346097" w:id="6"/>
      <w:r w:rsidRPr="13B52EC9">
        <w:rPr>
          <w:rFonts w:ascii="Century Gothic" w:hAnsi="Century Gothic" w:cs="Arial"/>
          <w:color w:val="000000" w:themeColor="text1"/>
          <w:lang w:val="es-ES"/>
        </w:rPr>
        <w:t xml:space="preserve">i) “El Dec 092 de 2017 es aplicable a los convenios señalados en el Atención Integral al Adulto Mayor Centros Vida Ley 1276 de 2009, artículo 8?”, ii) “En el caso de no ser aplicable que procedimiento contractual se </w:t>
      </w:r>
      <w:r w:rsidRPr="13B52EC9">
        <w:rPr>
          <w:rFonts w:ascii="Century Gothic" w:hAnsi="Century Gothic" w:cs="Arial"/>
          <w:color w:val="000000" w:themeColor="text1"/>
          <w:lang w:val="es-ES"/>
        </w:rPr>
        <w:lastRenderedPageBreak/>
        <w:t>debe hacer? o puede llevarse a cabo bajo la modalidad de contratación Directa?”, iii) “Si una entidad pública no está obligada a estar en SECOP II, al aplicar el Dec 092 de 2017 lo puede hacer por SECOP I?”, iv) “El Dec 092 de 2017 no es aplicable a las contrataciones que cuentan con una norma especial que las regula. A la fecha se C.C.E. qué normas ha identificado como especiales a las que no le aplica el mencionado Decreto?”, v) “Teniendo en cuenta que la Circular Externa Única de 2023 sintetizó varios temas pero no puntualizó otros, se puede complementar con la Circular Externa Única de 2018, referente a todo lo del Dec 092?”.</w:t>
      </w:r>
      <w:bookmarkEnd w:id="6"/>
    </w:p>
    <w:p w:rsidRPr="00131FA3" w:rsidR="00351421" w:rsidP="00351421" w:rsidRDefault="00351421" w14:paraId="752DA8CF" w14:textId="77777777">
      <w:pPr>
        <w:spacing w:after="0" w:line="276" w:lineRule="auto"/>
        <w:jc w:val="both"/>
        <w:rPr>
          <w:rFonts w:ascii="Century Gothic" w:hAnsi="Century Gothic" w:cs="Arial"/>
          <w:color w:val="000000" w:themeColor="text1"/>
          <w:lang w:val="es-ES_tradnl"/>
        </w:rPr>
      </w:pPr>
    </w:p>
    <w:p w:rsidRPr="00131FA3" w:rsidR="00351421" w:rsidP="00351421" w:rsidRDefault="00351421" w14:paraId="73B1FAD1" w14:textId="77777777">
      <w:pPr>
        <w:pStyle w:val="Prrafodelista"/>
        <w:numPr>
          <w:ilvl w:val="0"/>
          <w:numId w:val="6"/>
        </w:numPr>
        <w:tabs>
          <w:tab w:val="left" w:pos="0"/>
          <w:tab w:val="left" w:pos="284"/>
        </w:tabs>
        <w:spacing w:after="0" w:line="240" w:lineRule="auto"/>
        <w:ind w:left="0" w:firstLine="0"/>
        <w:jc w:val="both"/>
        <w:rPr>
          <w:rFonts w:ascii="Century Gothic" w:hAnsi="Century Gothic" w:eastAsia="Calibri" w:cs="Arial"/>
          <w:b/>
          <w:color w:val="000000" w:themeColor="text1"/>
          <w:lang w:val="es-ES_tradnl"/>
        </w:rPr>
      </w:pPr>
      <w:r w:rsidRPr="00131FA3">
        <w:rPr>
          <w:rFonts w:ascii="Century Gothic" w:hAnsi="Century Gothic" w:eastAsia="Calibri" w:cs="Arial"/>
          <w:b/>
          <w:color w:val="000000" w:themeColor="text1"/>
          <w:lang w:val="es-ES_tradnl"/>
        </w:rPr>
        <w:t>Consideraciones</w:t>
      </w:r>
    </w:p>
    <w:p w:rsidRPr="00131FA3" w:rsidR="00351421" w:rsidP="00351421" w:rsidRDefault="00351421" w14:paraId="0DF01A3E" w14:textId="77777777">
      <w:pPr>
        <w:spacing w:after="0" w:line="276" w:lineRule="auto"/>
        <w:jc w:val="both"/>
        <w:rPr>
          <w:rFonts w:ascii="Century Gothic" w:hAnsi="Century Gothic" w:eastAsia="Calibri" w:cs="Arial"/>
          <w:color w:val="000000" w:themeColor="text1"/>
          <w:lang w:val="es-ES_tradnl"/>
        </w:rPr>
      </w:pPr>
    </w:p>
    <w:p w:rsidRPr="00131FA3" w:rsidR="00351421" w:rsidP="00351421" w:rsidRDefault="00351421" w14:paraId="4F2B68CE" w14:textId="77777777">
      <w:pPr>
        <w:spacing w:after="120" w:line="276" w:lineRule="auto"/>
        <w:jc w:val="both"/>
        <w:rPr>
          <w:rFonts w:ascii="Century Gothic" w:hAnsi="Century Gothic" w:cs="Arial"/>
          <w:lang w:val="es-ES"/>
        </w:rPr>
      </w:pPr>
      <w:r w:rsidRPr="00131FA3">
        <w:rPr>
          <w:rFonts w:ascii="Century Gothic" w:hAnsi="Century Gothic" w:cs="Arial"/>
          <w:bCs/>
        </w:rPr>
        <w:t xml:space="preserve">En ejercicio de las competencias establecidas en los artículos 3.5 y 11.8 del Decreto 4170 de 2011, la Agencia Nacional de Contratación Pública – Colombia Compra Eficiente resuelve consultas sobre </w:t>
      </w:r>
      <w:r w:rsidRPr="00131FA3">
        <w:rPr>
          <w:rFonts w:ascii="Century Gothic" w:hAnsi="Century Gothic" w:cs="Arial"/>
          <w:lang w:val="es-ES"/>
        </w:rPr>
        <w:t>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w:t>
      </w:r>
      <w:r w:rsidRPr="00131FA3">
        <w:rPr>
          <w:rFonts w:ascii="Century Gothic" w:hAnsi="Century Gothic" w:cs="Arial"/>
          <w:bCs/>
        </w:rPr>
        <w:t xml:space="preserve"> de todos los partícipes de la contratación estatal.</w:t>
      </w:r>
    </w:p>
    <w:p w:rsidRPr="00131FA3" w:rsidR="00351421" w:rsidP="00351421" w:rsidRDefault="00351421" w14:paraId="4F608E16" w14:textId="77777777">
      <w:pPr>
        <w:spacing w:after="120" w:line="276" w:lineRule="auto"/>
        <w:ind w:firstLine="708"/>
        <w:jc w:val="both"/>
        <w:rPr>
          <w:rFonts w:ascii="Century Gothic" w:hAnsi="Century Gothic" w:cs="Arial"/>
          <w:lang w:val="es-ES"/>
        </w:rPr>
      </w:pPr>
      <w:r w:rsidRPr="00131FA3">
        <w:rPr>
          <w:rFonts w:ascii="Century Gothic" w:hAnsi="Century Gothic"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131FA3">
        <w:rPr>
          <w:rFonts w:ascii="Century Gothic" w:hAnsi="Century Gothic" w:cs="Arial"/>
          <w:vertAlign w:val="superscript"/>
          <w:lang w:val="es-ES"/>
        </w:rPr>
        <w:footnoteReference w:id="2"/>
      </w:r>
      <w:r w:rsidRPr="00131FA3">
        <w:rPr>
          <w:rFonts w:ascii="Century Gothic" w:hAnsi="Century Gothic" w:cs="Arial"/>
          <w:lang w:val="es-ES"/>
        </w:rPr>
        <w:t>. Esta competencia de interpretación de normas generales, por definición, no puede extenderse a la resolución de controversias</w:t>
      </w:r>
      <w:r>
        <w:rPr>
          <w:rFonts w:ascii="Century Gothic" w:hAnsi="Century Gothic" w:cs="Arial"/>
          <w:lang w:val="es-ES"/>
        </w:rPr>
        <w:t xml:space="preserve"> ni</w:t>
      </w:r>
      <w:r w:rsidRPr="00131FA3">
        <w:rPr>
          <w:rFonts w:ascii="Century Gothic" w:hAnsi="Century Gothic" w:cs="Arial"/>
          <w:lang w:val="es-ES"/>
        </w:rPr>
        <w:t xml:space="preserve"> brindar asesorías sobre casos puntuales. Por lo anterior, previo concepto de sus órganos asesores, la solución de</w:t>
      </w:r>
      <w:r>
        <w:rPr>
          <w:rFonts w:ascii="Century Gothic" w:hAnsi="Century Gothic" w:cs="Arial"/>
          <w:lang w:val="es-ES"/>
        </w:rPr>
        <w:t xml:space="preserve"> situaciones</w:t>
      </w:r>
      <w:r w:rsidRPr="00131FA3">
        <w:rPr>
          <w:rFonts w:ascii="Century Gothic" w:hAnsi="Century Gothic" w:cs="Arial"/>
          <w:lang w:val="es-ES"/>
        </w:rPr>
        <w:t xml:space="preserve"> particulares corresponde a la entidad </w:t>
      </w:r>
      <w:r>
        <w:rPr>
          <w:rFonts w:ascii="Century Gothic" w:hAnsi="Century Gothic" w:cs="Arial"/>
          <w:lang w:val="es-ES"/>
        </w:rPr>
        <w:t xml:space="preserve">que </w:t>
      </w:r>
      <w:r w:rsidRPr="00131FA3">
        <w:rPr>
          <w:rFonts w:ascii="Century Gothic" w:hAnsi="Century Gothic" w:cs="Arial"/>
          <w:lang w:val="es-ES"/>
        </w:rPr>
        <w:t>de</w:t>
      </w:r>
      <w:r>
        <w:rPr>
          <w:rFonts w:ascii="Century Gothic" w:hAnsi="Century Gothic" w:cs="Arial"/>
          <w:lang w:val="es-ES"/>
        </w:rPr>
        <w:t>be</w:t>
      </w:r>
      <w:r w:rsidRPr="00131FA3">
        <w:rPr>
          <w:rFonts w:ascii="Century Gothic" w:hAnsi="Century Gothic" w:cs="Arial"/>
          <w:lang w:val="es-ES"/>
        </w:rPr>
        <w:t xml:space="preserve"> adoptar la decisión correspondiente y, en caso de conflicto, a las autoridades judiciales, fiscales y disciplinarias. </w:t>
      </w:r>
    </w:p>
    <w:p w:rsidRPr="00131FA3" w:rsidR="00351421" w:rsidP="00351421" w:rsidRDefault="00351421" w14:paraId="4637C75F" w14:textId="77777777">
      <w:pPr>
        <w:spacing w:after="120" w:line="276" w:lineRule="auto"/>
        <w:ind w:firstLine="709"/>
        <w:jc w:val="both"/>
        <w:rPr>
          <w:rFonts w:ascii="Century Gothic" w:hAnsi="Century Gothic" w:cs="Arial"/>
          <w:bCs/>
          <w:color w:val="000000" w:themeColor="text1"/>
          <w:lang w:val="es-ES_tradnl"/>
        </w:rPr>
      </w:pPr>
      <w:r w:rsidRPr="00131FA3">
        <w:rPr>
          <w:rFonts w:ascii="Century Gothic" w:hAnsi="Century Gothic" w:eastAsia="Calibri" w:cs="Arial"/>
        </w:rPr>
        <w:lastRenderedPageBreak/>
        <w:t xml:space="preserve">Sin perjuicio de lo anterior, </w:t>
      </w:r>
      <w:r w:rsidRPr="00131FA3">
        <w:rPr>
          <w:rFonts w:ascii="Century Gothic" w:hAnsi="Century Gothic" w:eastAsia="Calibri" w:cs="Arial"/>
          <w:lang w:val="es-ES"/>
        </w:rPr>
        <w:t xml:space="preserve">la Agencia –dentro de los límites de sus atribuciones, es decir, </w:t>
      </w:r>
      <w:bookmarkStart w:name="_Hlk61025408" w:id="7"/>
      <w:r w:rsidRPr="00131FA3">
        <w:rPr>
          <w:rFonts w:ascii="Century Gothic" w:hAnsi="Century Gothic" w:eastAsia="Calibri" w:cs="Arial"/>
          <w:lang w:val="es-ES"/>
        </w:rPr>
        <w:t xml:space="preserve">haciendo abstracción del caso particular </w:t>
      </w:r>
      <w:bookmarkEnd w:id="7"/>
      <w:r w:rsidRPr="00131FA3">
        <w:rPr>
          <w:rFonts w:ascii="Century Gothic" w:hAnsi="Century Gothic" w:eastAsia="Calibri" w:cs="Arial"/>
          <w:lang w:val="es-ES"/>
        </w:rPr>
        <w:t>expuesto en la petición– resolverá la consulta conforme a las normas generales del sistema de compras públicas. Con este objetivo se analizarán los siguientes temas:</w:t>
      </w:r>
      <w:r w:rsidRPr="00131FA3">
        <w:rPr>
          <w:rFonts w:ascii="Century Gothic" w:hAnsi="Century Gothic" w:cs="Arial"/>
          <w:color w:val="000000" w:themeColor="text1"/>
          <w:lang w:val="es-ES_tradnl"/>
        </w:rPr>
        <w:t xml:space="preserve"> i) </w:t>
      </w:r>
      <w:r w:rsidRPr="00131FA3">
        <w:rPr>
          <w:rFonts w:ascii="Century Gothic" w:hAnsi="Century Gothic" w:cs="Arial"/>
          <w:bCs/>
          <w:color w:val="000000" w:themeColor="text1"/>
          <w:lang w:val="es-ES_tradnl"/>
        </w:rPr>
        <w:t xml:space="preserve">diferencias entre los contratos del artículo 355 de la Constitución Política y los convenios de asociación del artículo 96 de la Ley 489 de 1998 y ii) suspensión provisional de algunas normas del Decreto 092 de 2017. </w:t>
      </w:r>
    </w:p>
    <w:p w:rsidRPr="00131FA3" w:rsidR="00351421" w:rsidP="00351421" w:rsidRDefault="00351421" w14:paraId="64E85822" w14:textId="77777777">
      <w:pPr>
        <w:spacing w:after="0" w:line="276" w:lineRule="auto"/>
        <w:ind w:firstLine="709"/>
        <w:jc w:val="both"/>
        <w:rPr>
          <w:rFonts w:ascii="Century Gothic" w:hAnsi="Century Gothic" w:cs="Arial"/>
        </w:rPr>
      </w:pPr>
      <w:r w:rsidRPr="00131FA3">
        <w:rPr>
          <w:rFonts w:ascii="Century Gothic" w:hAnsi="Century Gothic" w:cs="Arial"/>
        </w:rPr>
        <w:t>La Agencia Nacional de Contratación Pública – Colombia Compra Eficiente se ha pronunciado en diferentes conceptos sobre la contratación con entidades privadas sin ánimo de lucro y de reconocida idoneidad –desde ahora ESAL–, con fundamento en el Decreto 092 de 2017, en particular en los Conceptos 4201912000008310 del 26 de diciembre de 2019, 4201912000007899 del 27 de diciembre de 2019, 4201912000007901 del 27 de diciembre de 2019, C-070 04 de marzo de 2020, C-094 del 04 de marzo de 2020, C-086 del 16 de marzo de 2020, C-101 del 16 de marzo de 2020, C-228 del 17 de marzo de 2020, C-014 del 24 de marzo de 2020, C-215 de 31 de marzo de 2020, C-223 del 29 de abril de 2020, C-416 del 30 junio de 2020, C-447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 8 de febrero de 2021, C-364 de 26 de julio de 2021, C-379 de 20 de julio de 2021, C- 537 del 27 de septiembre de 2021,  C-021 del 22 de febrero de 2022, C-236 del 27 de abril de 2022, C-273 del 6 de mayo de 2022, C-274 del 6 de mayo de 2022, C-291 del 18 de mayo de 2022, C-331 del 24 de mayo de 2022, C-477 del 26 de julio de 2022, C-550 del 31 de agosto de 2022, C-560 del 7 de septiembre de 2022, C-624 del 28 de septiembre de 2022, C-771 del 30 de diciembre de 2022</w:t>
      </w:r>
      <w:r>
        <w:rPr>
          <w:rFonts w:ascii="Century Gothic" w:hAnsi="Century Gothic" w:cs="Arial"/>
        </w:rPr>
        <w:t>,</w:t>
      </w:r>
      <w:r w:rsidRPr="00131FA3">
        <w:rPr>
          <w:rFonts w:ascii="Century Gothic" w:hAnsi="Century Gothic" w:cs="Arial"/>
        </w:rPr>
        <w:t xml:space="preserve"> C-853 del 9 de diciembre de 2022</w:t>
      </w:r>
      <w:r>
        <w:rPr>
          <w:rFonts w:ascii="Century Gothic" w:hAnsi="Century Gothic" w:cs="Arial"/>
        </w:rPr>
        <w:t xml:space="preserve"> y C-351 del 6 de octubre de 2023</w:t>
      </w:r>
      <w:r w:rsidRPr="00131FA3">
        <w:rPr>
          <w:rStyle w:val="Refdenotaalpie"/>
          <w:rFonts w:ascii="Century Gothic" w:hAnsi="Century Gothic" w:eastAsia="Calibri" w:cs="Arial"/>
        </w:rPr>
        <w:footnoteReference w:id="3"/>
      </w:r>
      <w:r w:rsidRPr="00131FA3">
        <w:rPr>
          <w:rFonts w:ascii="Century Gothic" w:hAnsi="Century Gothic" w:cs="Arial"/>
        </w:rPr>
        <w:t>. Las tesis propuestas en tales conceptos se reiteran a continuación y se complementan en lo pertinente, teniendo en cuenta que la Sala Plena del Consejo de Estado resolvió el recurso de súplica interpuesto contra el Auto del 6 de agosto de 2019 de la Subsección A de la Sección Tercera.</w:t>
      </w:r>
    </w:p>
    <w:p w:rsidRPr="00131FA3" w:rsidR="00351421" w:rsidP="00351421" w:rsidRDefault="00351421" w14:paraId="4089FB46" w14:textId="77777777">
      <w:pPr>
        <w:spacing w:after="0" w:line="276" w:lineRule="auto"/>
        <w:ind w:firstLine="709"/>
        <w:jc w:val="both"/>
        <w:rPr>
          <w:rFonts w:ascii="Century Gothic" w:hAnsi="Century Gothic" w:cs="Arial"/>
        </w:rPr>
      </w:pPr>
    </w:p>
    <w:p w:rsidRPr="00131FA3" w:rsidR="00351421" w:rsidP="00351421" w:rsidRDefault="00351421" w14:paraId="08798DFD" w14:textId="77777777">
      <w:pPr>
        <w:spacing w:after="0" w:line="276" w:lineRule="auto"/>
        <w:jc w:val="both"/>
        <w:rPr>
          <w:rFonts w:ascii="Century Gothic" w:hAnsi="Century Gothic" w:cs="Arial"/>
          <w:b/>
          <w:bCs/>
        </w:rPr>
      </w:pPr>
      <w:r w:rsidRPr="00131FA3">
        <w:rPr>
          <w:rFonts w:ascii="Century Gothic" w:hAnsi="Century Gothic" w:cs="Arial"/>
          <w:b/>
          <w:bCs/>
        </w:rPr>
        <w:t xml:space="preserve">1. Diferencias entre los </w:t>
      </w:r>
      <w:bookmarkStart w:name="_Hlk162345481" w:id="8"/>
      <w:r w:rsidRPr="00131FA3">
        <w:rPr>
          <w:rFonts w:ascii="Century Gothic" w:hAnsi="Century Gothic" w:cs="Arial"/>
          <w:b/>
          <w:bCs/>
        </w:rPr>
        <w:t>contratos del artículo 355 de la Constitución Política y los convenios de asociación del artículo 96 de la Ley 489 de 1998</w:t>
      </w:r>
      <w:bookmarkEnd w:id="8"/>
    </w:p>
    <w:p w:rsidRPr="00131FA3" w:rsidR="00351421" w:rsidP="00351421" w:rsidRDefault="00351421" w14:paraId="3A48E96B" w14:textId="77777777">
      <w:pPr>
        <w:spacing w:after="0" w:line="276" w:lineRule="auto"/>
        <w:jc w:val="both"/>
        <w:rPr>
          <w:rFonts w:ascii="Century Gothic" w:hAnsi="Century Gothic" w:eastAsia="Calibri" w:cs="Arial"/>
          <w:bCs/>
          <w:lang w:val="es-ES_tradnl"/>
        </w:rPr>
      </w:pPr>
    </w:p>
    <w:p w:rsidRPr="00131FA3" w:rsidR="00351421" w:rsidP="00351421" w:rsidRDefault="00351421" w14:paraId="1A2F84CA" w14:textId="77777777">
      <w:pPr>
        <w:spacing w:line="276" w:lineRule="auto"/>
        <w:jc w:val="both"/>
        <w:rPr>
          <w:rFonts w:ascii="Century Gothic" w:hAnsi="Century Gothic" w:eastAsia="Calibri" w:cs="Arial"/>
          <w:bCs/>
          <w:lang w:val="es-ES_tradnl"/>
        </w:rPr>
      </w:pPr>
      <w:r w:rsidRPr="00131FA3">
        <w:rPr>
          <w:rFonts w:ascii="Century Gothic" w:hAnsi="Century Gothic" w:eastAsia="Calibri" w:cs="Arial"/>
          <w:bCs/>
          <w:lang w:val="es-ES_tradnl"/>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131FA3">
        <w:rPr>
          <w:rStyle w:val="Refdenotaalpie"/>
          <w:rFonts w:ascii="Century Gothic" w:hAnsi="Century Gothic" w:cs="Arial"/>
        </w:rPr>
        <w:footnoteReference w:id="4"/>
      </w:r>
      <w:r w:rsidRPr="00131FA3">
        <w:rPr>
          <w:rFonts w:ascii="Century Gothic" w:hAnsi="Century Gothic" w:eastAsia="Calibri" w:cs="Arial"/>
          <w:bCs/>
          <w:lang w:val="es-ES_tradnl"/>
        </w:rPr>
        <w:t>. Por otra parte,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r w:rsidRPr="00131FA3">
        <w:rPr>
          <w:rStyle w:val="Refdenotaalpie"/>
          <w:rFonts w:ascii="Century Gothic" w:hAnsi="Century Gothic" w:eastAsia="Calibri" w:cs="Arial"/>
          <w:bCs/>
          <w:lang w:val="es-ES_tradnl"/>
        </w:rPr>
        <w:footnoteReference w:id="5"/>
      </w:r>
      <w:r w:rsidRPr="00131FA3">
        <w:rPr>
          <w:rFonts w:ascii="Century Gothic" w:hAnsi="Century Gothic" w:eastAsia="Calibri" w:cs="Arial"/>
          <w:bCs/>
          <w:lang w:val="es-ES_tradnl"/>
        </w:rPr>
        <w:t>.</w:t>
      </w:r>
    </w:p>
    <w:p w:rsidRPr="00131FA3" w:rsidR="00351421" w:rsidP="00351421" w:rsidRDefault="00351421" w14:paraId="2C0607D6" w14:textId="77777777">
      <w:pPr>
        <w:spacing w:before="120" w:after="120" w:line="276" w:lineRule="auto"/>
        <w:ind w:firstLine="709"/>
        <w:jc w:val="both"/>
        <w:rPr>
          <w:rFonts w:ascii="Century Gothic" w:hAnsi="Century Gothic" w:eastAsia="Calibri" w:cs="Arial"/>
          <w:lang w:val="es-ES"/>
        </w:rPr>
      </w:pPr>
      <w:bookmarkStart w:name="_Hlk38819155" w:id="10"/>
      <w:r w:rsidRPr="13B52EC9">
        <w:rPr>
          <w:rFonts w:ascii="Century Gothic" w:hAnsi="Century Gothic" w:eastAsia="Calibri" w:cs="Arial"/>
          <w:lang w:val="es-ES"/>
        </w:rPr>
        <w:t xml:space="preserve">El Decreto 092 de 2017 dispone reglas para las contrataciones que realicen las entidades estatales con las ESAL. El Decreto regula dos (2) eventos: i) los contratos del artículo 355 de la Constitución Política con el fin impulsar programas y actividades de interés público de acuerdo con el Plan Nacional o los planes seccionales de desarrollo; y ii) los convenios de asociación, para el desarrollo conjunto de actividades relacionadas con las funciones de las entidades estatales, en desarrollo del artículo 96 de la Ley 489 de 1998. </w:t>
      </w:r>
      <w:bookmarkEnd w:id="10"/>
    </w:p>
    <w:p w:rsidRPr="00131FA3" w:rsidR="00351421" w:rsidP="00351421" w:rsidRDefault="00351421" w14:paraId="7E675708" w14:textId="77777777">
      <w:pPr>
        <w:spacing w:before="120" w:after="120" w:line="276" w:lineRule="auto"/>
        <w:ind w:firstLine="709"/>
        <w:jc w:val="both"/>
        <w:rPr>
          <w:rFonts w:ascii="Century Gothic" w:hAnsi="Century Gothic" w:eastAsia="Calibri" w:cs="Arial"/>
          <w:lang w:val="es-ES"/>
        </w:rPr>
      </w:pPr>
      <w:bookmarkStart w:name="_Hlk95756032" w:id="11"/>
      <w:r w:rsidRPr="13B52EC9">
        <w:rPr>
          <w:rFonts w:ascii="Century Gothic" w:hAnsi="Century Gothic" w:eastAsia="Calibri" w:cs="Arial"/>
          <w:lang w:val="es-ES"/>
        </w:rPr>
        <w:t xml:space="preserve">Los </w:t>
      </w:r>
      <w:r w:rsidRPr="13B52EC9">
        <w:rPr>
          <w:rFonts w:ascii="Century Gothic" w:hAnsi="Century Gothic" w:eastAsia="Calibri" w:cs="Arial"/>
          <w:i/>
          <w:lang w:val="es-ES"/>
        </w:rPr>
        <w:t>contratos del artículo 355 de la Constitución Política</w:t>
      </w:r>
      <w:r w:rsidRPr="13B52EC9">
        <w:rPr>
          <w:rFonts w:ascii="Century Gothic" w:hAnsi="Century Gothic" w:eastAsia="Calibri" w:cs="Arial"/>
          <w:lang w:val="es-ES"/>
        </w:rPr>
        <w:t xml:space="preserve">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ésta y la ESAL, toda vez que el beneficio directo lo recibirán, en últimas, los sectores de este tipo de acciones de fomento. Para celebrar estos contratos, según lo establece el artículo 3 del Decreto 092 de 2017, por regla general, la entidad debe adelantar un proceso competitivo para seleccionar la entidad sin ánimo de lucro contratista. En </w:t>
      </w:r>
      <w:r w:rsidRPr="13B52EC9">
        <w:rPr>
          <w:rFonts w:ascii="Century Gothic" w:hAnsi="Century Gothic" w:eastAsia="Calibri" w:cs="Arial"/>
          <w:lang w:val="es-ES"/>
        </w:rPr>
        <w:lastRenderedPageBreak/>
        <w:t>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este dirigida al beneficio de la población en general, ya que cuando se adquieren bienes o servicios o se ejecutan obras en una relación conmutativa, las normas aplicables son las del Estatuto General de Contratación. Solo cuando se reúnan estas condiciones es procedente celebrar contratos del artículo 355 de la Constitución Política; de lo contrario, se aplicarán las normas del Estatuto General de Contratación de la Administración Pública.</w:t>
      </w:r>
    </w:p>
    <w:bookmarkEnd w:id="11"/>
    <w:p w:rsidRPr="00131FA3" w:rsidR="00351421" w:rsidP="00351421" w:rsidRDefault="00351421" w14:paraId="5D82DA3F" w14:textId="77777777">
      <w:pPr>
        <w:spacing w:before="120" w:after="120" w:line="276" w:lineRule="auto"/>
        <w:ind w:firstLine="709"/>
        <w:jc w:val="both"/>
        <w:rPr>
          <w:rFonts w:ascii="Century Gothic" w:hAnsi="Century Gothic" w:eastAsia="Calibri" w:cs="Arial"/>
          <w:bCs/>
          <w:lang w:val="es-ES_tradnl"/>
        </w:rPr>
      </w:pPr>
      <w:r w:rsidRPr="00131FA3">
        <w:rPr>
          <w:rFonts w:ascii="Century Gothic" w:hAnsi="Century Gothic" w:eastAsia="Calibri" w:cs="Arial"/>
          <w:bCs/>
          <w:lang w:val="es-ES_tradnl"/>
        </w:rPr>
        <w:t xml:space="preserve">De otro lado, los </w:t>
      </w:r>
      <w:r w:rsidRPr="00131FA3">
        <w:rPr>
          <w:rFonts w:ascii="Century Gothic" w:hAnsi="Century Gothic" w:eastAsia="Calibri" w:cs="Arial"/>
          <w:bCs/>
          <w:i/>
          <w:lang w:val="es-ES_tradnl"/>
        </w:rPr>
        <w:t>convenios de asociación</w:t>
      </w:r>
      <w:r w:rsidRPr="00131FA3">
        <w:rPr>
          <w:rFonts w:ascii="Century Gothic" w:hAnsi="Century Gothic" w:eastAsia="Calibri" w:cs="Arial"/>
          <w:bCs/>
          <w:lang w:val="es-ES_tradnl"/>
        </w:rPr>
        <w:t xml:space="preserve">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131FA3">
        <w:rPr>
          <w:rStyle w:val="Refdenotaalpie"/>
          <w:rFonts w:ascii="Century Gothic" w:hAnsi="Century Gothic" w:cs="Arial"/>
        </w:rPr>
        <w:footnoteReference w:id="6"/>
      </w:r>
      <w:r w:rsidRPr="00131FA3">
        <w:rPr>
          <w:rFonts w:ascii="Century Gothic" w:hAnsi="Century Gothic" w:eastAsia="Calibri" w:cs="Arial"/>
          <w:bCs/>
          <w:lang w:val="es-ES_tradnl"/>
        </w:rPr>
        <w:t>. 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 El convenio de asociación no es conmutativo, y por tanto, la entidad no instruye al contratista para desarrollar los programas o actividades previstas, sino que se asocia con él para el cumplimiento de objetivos comunes</w:t>
      </w:r>
      <w:r w:rsidRPr="00131FA3">
        <w:rPr>
          <w:rStyle w:val="Refdenotaalpie"/>
          <w:rFonts w:ascii="Century Gothic" w:hAnsi="Century Gothic" w:cs="Arial"/>
        </w:rPr>
        <w:footnoteReference w:id="7"/>
      </w:r>
      <w:r w:rsidRPr="00131FA3">
        <w:rPr>
          <w:rFonts w:ascii="Century Gothic" w:hAnsi="Century Gothic" w:eastAsia="Calibri" w:cs="Arial"/>
          <w:bCs/>
          <w:lang w:val="es-ES_tradnl"/>
        </w:rPr>
        <w:t>.</w:t>
      </w:r>
    </w:p>
    <w:p w:rsidRPr="00131FA3" w:rsidR="00351421" w:rsidP="00351421" w:rsidRDefault="00351421" w14:paraId="7FFB84F7" w14:textId="77777777">
      <w:pPr>
        <w:spacing w:before="120" w:after="120" w:line="276" w:lineRule="auto"/>
        <w:ind w:firstLine="709"/>
        <w:jc w:val="both"/>
        <w:rPr>
          <w:rFonts w:ascii="Century Gothic" w:hAnsi="Century Gothic" w:eastAsia="Calibri" w:cs="Arial"/>
          <w:bCs/>
        </w:rPr>
      </w:pPr>
      <w:r w:rsidRPr="00131FA3">
        <w:rPr>
          <w:rFonts w:ascii="Century Gothic" w:hAnsi="Century Gothic" w:eastAsia="Calibri" w:cs="Arial"/>
          <w:bCs/>
          <w:lang w:val="es-ES_tradnl"/>
        </w:rPr>
        <w:t>La normativa vigente no impide que varias entidades suscriban conjuntamente el convenio de asociación y tampoco que dos o más ESAL pueden hacerlo, a través de las figuras asociativas autorizadas por la ley, por ejemplo, como unión temporal o como consorcio</w:t>
      </w:r>
      <w:r w:rsidRPr="00131FA3">
        <w:rPr>
          <w:rFonts w:ascii="Century Gothic" w:hAnsi="Century Gothic" w:eastAsia="Calibri" w:cs="Arial"/>
          <w:bCs/>
        </w:rPr>
        <w:t xml:space="preserve">.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las entidades deben asegurarse de que su contratista, es decir, las ESAL, aporte al </w:t>
      </w:r>
      <w:r w:rsidRPr="00131FA3">
        <w:rPr>
          <w:rFonts w:ascii="Century Gothic" w:hAnsi="Century Gothic" w:eastAsia="Calibri" w:cs="Arial"/>
          <w:bCs/>
        </w:rPr>
        <w:lastRenderedPageBreak/>
        <w:t xml:space="preserve">menos el treinta por ciento del valor del convenio para celebrarlo directamente. Además, en atención al inciso 2 del artículo 5 del Decreto 092 de 2017, deben asegurarse </w:t>
      </w:r>
      <w:proofErr w:type="gramStart"/>
      <w:r w:rsidRPr="00131FA3">
        <w:rPr>
          <w:rFonts w:ascii="Century Gothic" w:hAnsi="Century Gothic" w:eastAsia="Calibri" w:cs="Arial"/>
          <w:bCs/>
        </w:rPr>
        <w:t>que</w:t>
      </w:r>
      <w:proofErr w:type="gramEnd"/>
      <w:r w:rsidRPr="00131FA3">
        <w:rPr>
          <w:rFonts w:ascii="Century Gothic" w:hAnsi="Century Gothic" w:eastAsia="Calibri" w:cs="Arial"/>
          <w:bCs/>
        </w:rPr>
        <w:t xml:space="preserv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p>
    <w:p w:rsidRPr="00131FA3" w:rsidR="00351421" w:rsidP="00351421" w:rsidRDefault="00351421" w14:paraId="6F28EF04" w14:textId="77777777">
      <w:pPr>
        <w:spacing w:before="120" w:after="120" w:line="276" w:lineRule="auto"/>
        <w:ind w:firstLine="709"/>
        <w:jc w:val="both"/>
        <w:rPr>
          <w:rFonts w:ascii="Century Gothic" w:hAnsi="Century Gothic"/>
        </w:rPr>
      </w:pPr>
      <w:r w:rsidRPr="00131FA3">
        <w:rPr>
          <w:rFonts w:ascii="Century Gothic" w:hAnsi="Century Gothic" w:cs="Arial"/>
          <w:color w:val="000000" w:themeColor="text1"/>
        </w:rPr>
        <w:t xml:space="preserve">La noción “seleccionar de forma objetiva”, contenida en la disposición </w:t>
      </w:r>
      <w:r w:rsidRPr="00131FA3">
        <w:rPr>
          <w:rFonts w:ascii="Century Gothic" w:hAnsi="Century Gothic" w:cs="Arial"/>
          <w:i/>
          <w:iCs/>
          <w:color w:val="000000" w:themeColor="text1"/>
        </w:rPr>
        <w:t xml:space="preserve">sub examine </w:t>
      </w:r>
      <w:r w:rsidRPr="00131FA3">
        <w:rPr>
          <w:rFonts w:ascii="Century Gothic" w:hAnsi="Century Gothic" w:cs="Arial"/>
          <w:color w:val="000000" w:themeColor="text1"/>
        </w:rPr>
        <w:t>no puede ser entendida como una remisión total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ello, la entidad puede tomar la decisión de acudir a los procesos de selección de contratistas que establece el Estatuto General de Contratación de la Administración Pública o, incluso, al trámite que regula el inciso 2 del artículo 2 del Decreto 092 de 2017.</w:t>
      </w:r>
    </w:p>
    <w:p w:rsidRPr="00131FA3" w:rsidR="00351421" w:rsidP="00351421" w:rsidRDefault="00351421" w14:paraId="10664CE4" w14:textId="77777777">
      <w:pPr>
        <w:pStyle w:val="Sinespaciado"/>
        <w:spacing w:line="276" w:lineRule="auto"/>
        <w:ind w:firstLine="708"/>
        <w:jc w:val="both"/>
        <w:rPr>
          <w:rFonts w:ascii="Century Gothic" w:hAnsi="Century Gothic" w:cs="Arial"/>
          <w:color w:val="000000" w:themeColor="text1"/>
          <w:sz w:val="22"/>
        </w:rPr>
      </w:pPr>
      <w:r w:rsidRPr="00131FA3">
        <w:rPr>
          <w:rFonts w:ascii="Century Gothic" w:hAnsi="Century Gothic" w:cs="Arial"/>
          <w:color w:val="000000" w:themeColor="text1"/>
          <w:sz w:val="22"/>
        </w:rPr>
        <w:t xml:space="preserve">Es importante aclarar que los negocios jurídicos que regula el Decreto 092 de 2017 “[…] son esencialmente distintos a los contratos para la adquisición y aprovisionamiento de bienes, obras o servicios regulados por el estatuto de contratación </w:t>
      </w:r>
      <w:proofErr w:type="gramStart"/>
      <w:r w:rsidRPr="00131FA3">
        <w:rPr>
          <w:rFonts w:ascii="Century Gothic" w:hAnsi="Century Gothic" w:cs="Arial"/>
          <w:color w:val="000000" w:themeColor="text1"/>
          <w:sz w:val="22"/>
        </w:rPr>
        <w:t>y[</w:t>
      </w:r>
      <w:proofErr w:type="gramEnd"/>
      <w:r w:rsidRPr="00131FA3">
        <w:rPr>
          <w:rFonts w:ascii="Century Gothic" w:hAnsi="Century Gothic" w:cs="Arial"/>
          <w:color w:val="000000" w:themeColor="text1"/>
          <w:sz w:val="22"/>
        </w:rPr>
        <w:t>, como tal,] no hacen parte del sistema de compra pública. […] De acuerdo con lo anterior, si la entidad estatal adquiere o se abastece de un bien, obra o servicio en un contrato conmutativo en el cual el proveedor es una [ESAL], debe aplicar el régimen contenido en las Leyes 80 de 1993 y 1150 de 2007, y no el Decreto 092 de 2017”</w:t>
      </w:r>
      <w:r w:rsidRPr="00131FA3">
        <w:rPr>
          <w:rStyle w:val="Refdenotaalpie"/>
          <w:rFonts w:ascii="Century Gothic" w:hAnsi="Century Gothic" w:cs="Arial"/>
          <w:color w:val="000000" w:themeColor="text1"/>
          <w:sz w:val="22"/>
        </w:rPr>
        <w:footnoteReference w:id="8"/>
      </w:r>
      <w:r w:rsidRPr="00131FA3">
        <w:rPr>
          <w:rFonts w:ascii="Century Gothic" w:hAnsi="Century Gothic" w:cs="Arial"/>
          <w:color w:val="000000" w:themeColor="text1"/>
          <w:sz w:val="22"/>
        </w:rPr>
        <w:t>. Así lo consideró la Sala de Consulta y Servicio Civil del Consejo de Estado</w:t>
      </w:r>
      <w:r w:rsidRPr="00131FA3">
        <w:rPr>
          <w:rStyle w:val="Refdenotaalpie"/>
          <w:rFonts w:ascii="Century Gothic" w:hAnsi="Century Gothic" w:cs="Arial"/>
          <w:color w:val="000000" w:themeColor="text1"/>
          <w:sz w:val="22"/>
        </w:rPr>
        <w:footnoteReference w:id="9"/>
      </w:r>
      <w:r w:rsidRPr="00131FA3">
        <w:rPr>
          <w:rFonts w:ascii="Century Gothic" w:hAnsi="Century Gothic" w:cs="Arial"/>
          <w:color w:val="000000" w:themeColor="text1"/>
          <w:sz w:val="22"/>
        </w:rPr>
        <w:t>:</w:t>
      </w:r>
    </w:p>
    <w:p w:rsidRPr="00131FA3" w:rsidR="00351421" w:rsidP="00351421" w:rsidRDefault="00351421" w14:paraId="3FA0719D" w14:textId="77777777">
      <w:pPr>
        <w:pStyle w:val="Sinespaciado"/>
        <w:spacing w:line="276" w:lineRule="auto"/>
        <w:jc w:val="both"/>
        <w:rPr>
          <w:rFonts w:ascii="Century Gothic" w:hAnsi="Century Gothic" w:cs="Arial"/>
          <w:color w:val="000000" w:themeColor="text1"/>
          <w:sz w:val="22"/>
        </w:rPr>
      </w:pPr>
    </w:p>
    <w:p w:rsidRPr="00131FA3" w:rsidR="00351421" w:rsidP="00351421" w:rsidRDefault="00351421" w14:paraId="09336303" w14:textId="77777777">
      <w:pPr>
        <w:spacing w:line="240" w:lineRule="auto"/>
        <w:ind w:left="709" w:right="709"/>
        <w:jc w:val="both"/>
        <w:rPr>
          <w:rFonts w:ascii="Century Gothic" w:hAnsi="Century Gothic" w:eastAsia="Calibri" w:cs="Arial"/>
          <w:color w:val="000000" w:themeColor="text1"/>
          <w:sz w:val="21"/>
          <w:szCs w:val="21"/>
        </w:rPr>
      </w:pPr>
      <w:r w:rsidRPr="00131FA3">
        <w:rPr>
          <w:rFonts w:ascii="Century Gothic" w:hAnsi="Century Gothic" w:eastAsia="Calibri" w:cs="Arial"/>
          <w:color w:val="000000" w:themeColor="text1"/>
          <w:sz w:val="21"/>
          <w:szCs w:val="21"/>
        </w:rPr>
        <w:t xml:space="preserve">“Como ya se indicó, el objeto de los contratos que autoriza el inciso segundo del artículo 355 Superior, se limita a la realización de actividades o programas de interés público que, conforme a los planes de desarrollo, adelanten instituciones privadas sin ánimo de lucro. Aquellos que generan una contraprestación directa a favor de la entidad contratante y los que tienen por objeto desarrollar proyectos específicos, corresponden al giro normal de las funciones propias de la entidad estatal, y por lo tanto, se tipifican dentro de cualquiera de las modalidades de contratación de la ley 80 de 1.993, debiendo sujetarse </w:t>
      </w:r>
      <w:r w:rsidRPr="00131FA3">
        <w:rPr>
          <w:rFonts w:ascii="Century Gothic" w:hAnsi="Century Gothic" w:eastAsia="Calibri" w:cs="Arial"/>
          <w:color w:val="000000" w:themeColor="text1"/>
          <w:sz w:val="21"/>
          <w:szCs w:val="21"/>
        </w:rPr>
        <w:lastRenderedPageBreak/>
        <w:t>a los procedimientos allí previstos, en especial los de escogencia del contratista.</w:t>
      </w:r>
    </w:p>
    <w:p w:rsidRPr="00131FA3" w:rsidR="00351421" w:rsidP="00351421" w:rsidRDefault="00351421" w14:paraId="136A2ECD" w14:textId="77777777">
      <w:pPr>
        <w:spacing w:after="0" w:line="240" w:lineRule="auto"/>
        <w:ind w:left="708" w:right="709"/>
        <w:jc w:val="both"/>
        <w:rPr>
          <w:rFonts w:ascii="Century Gothic" w:hAnsi="Century Gothic" w:eastAsia="Calibri" w:cs="Arial"/>
          <w:color w:val="000000" w:themeColor="text1"/>
          <w:sz w:val="21"/>
          <w:szCs w:val="21"/>
        </w:rPr>
      </w:pPr>
      <w:r w:rsidRPr="00131FA3">
        <w:rPr>
          <w:rFonts w:ascii="Century Gothic" w:hAnsi="Century Gothic" w:eastAsia="Calibri" w:cs="Arial"/>
          <w:color w:val="000000" w:themeColor="text1"/>
          <w:sz w:val="21"/>
          <w:szCs w:val="21"/>
        </w:rPr>
        <w:t>Cuando el artículo 355 autoriza a las entidades estatales a celebrar contratos para “impulsar” programas y actividades de interés público, se refiere a los del ente privado y no a los del Estado, pues respecto de éste el deber constitucional es no sólo impulsarlos sino cumplirlos, conforme las disposiciones contractuales vigentes, como sería por ejemplo, contratos de prestación de servicios o de obra pública”.</w:t>
      </w:r>
    </w:p>
    <w:p w:rsidRPr="00131FA3" w:rsidR="00351421" w:rsidP="00351421" w:rsidRDefault="00351421" w14:paraId="6B92379A" w14:textId="77777777">
      <w:pPr>
        <w:spacing w:after="0" w:line="276" w:lineRule="auto"/>
        <w:ind w:firstLine="708"/>
        <w:jc w:val="both"/>
        <w:rPr>
          <w:rFonts w:ascii="Century Gothic" w:hAnsi="Century Gothic" w:eastAsia="Calibri" w:cs="Arial"/>
          <w:color w:val="000000" w:themeColor="text1"/>
        </w:rPr>
      </w:pPr>
      <w:bookmarkStart w:name="_Hlk95756200" w:id="12"/>
    </w:p>
    <w:p w:rsidRPr="00131FA3" w:rsidR="00351421" w:rsidP="00351421" w:rsidRDefault="00351421" w14:paraId="636BF392" w14:textId="77777777">
      <w:pPr>
        <w:spacing w:after="0" w:line="276" w:lineRule="auto"/>
        <w:ind w:firstLine="708"/>
        <w:jc w:val="both"/>
        <w:rPr>
          <w:rFonts w:ascii="Century Gothic" w:hAnsi="Century Gothic" w:eastAsia="Calibri" w:cs="Arial"/>
          <w:color w:val="000000" w:themeColor="text1"/>
        </w:rPr>
      </w:pPr>
      <w:r w:rsidRPr="00131FA3">
        <w:rPr>
          <w:rFonts w:ascii="Century Gothic" w:hAnsi="Century Gothic" w:eastAsia="Calibri" w:cs="Arial"/>
          <w:color w:val="000000" w:themeColor="text1"/>
        </w:rPr>
        <w:t xml:space="preserve">De acuerdo con lo anterior, no todas las actividades que las entidades estatales deben desarrollar para alcanzar sus objetivos misionales deben ejecutarse a través de la celebración de contratos del artículo 355 superior o convenios de asociación. Debe tenerse en cuenta que lo que determina la aplicación del Decreto 092 de 2017 no es únicamente el carácter de las ESAL sino el objeto del contrato o convenio que la entidad pretende adelantar. Por tanto, el hecho de que se trate de una entidad sin ánimo de lucro no implica que necesariamente deba celebrarse un contrato de colaboración o un convenio de asociación. </w:t>
      </w:r>
      <w:bookmarkEnd w:id="12"/>
      <w:r w:rsidRPr="00131FA3">
        <w:rPr>
          <w:rFonts w:ascii="Century Gothic" w:hAnsi="Century Gothic" w:eastAsia="Calibri" w:cs="Arial"/>
          <w:color w:val="000000" w:themeColor="text1"/>
        </w:rPr>
        <w:t>Así lo reconoció la Corte Constitucional en la sentencia C-287 del 18 de abril de 2012, en la que sostuvo lo siguiente:</w:t>
      </w:r>
    </w:p>
    <w:p w:rsidRPr="00131FA3" w:rsidR="00351421" w:rsidP="00351421" w:rsidRDefault="00351421" w14:paraId="3F6C2625" w14:textId="77777777">
      <w:pPr>
        <w:spacing w:after="0" w:line="276" w:lineRule="auto"/>
        <w:ind w:firstLine="708"/>
        <w:jc w:val="both"/>
        <w:rPr>
          <w:rFonts w:ascii="Century Gothic" w:hAnsi="Century Gothic" w:eastAsia="Calibri" w:cs="Arial"/>
          <w:color w:val="000000" w:themeColor="text1"/>
        </w:rPr>
      </w:pPr>
    </w:p>
    <w:p w:rsidRPr="00131FA3" w:rsidR="00351421" w:rsidP="00351421" w:rsidRDefault="00351421" w14:paraId="330027D1" w14:textId="77777777">
      <w:pPr>
        <w:spacing w:line="240" w:lineRule="auto"/>
        <w:ind w:left="709" w:right="709"/>
        <w:jc w:val="both"/>
        <w:rPr>
          <w:rFonts w:ascii="Century Gothic" w:hAnsi="Century Gothic" w:eastAsia="Calibri" w:cs="Arial"/>
          <w:color w:val="000000" w:themeColor="text1"/>
          <w:sz w:val="21"/>
          <w:szCs w:val="21"/>
        </w:rPr>
      </w:pPr>
      <w:r w:rsidRPr="00131FA3">
        <w:rPr>
          <w:rFonts w:ascii="Century Gothic" w:hAnsi="Century Gothic" w:eastAsia="Calibri" w:cs="Arial"/>
          <w:color w:val="000000" w:themeColor="text1"/>
          <w:sz w:val="21"/>
          <w:szCs w:val="21"/>
        </w:rPr>
        <w:t>“Las corporaciones o asociaciones sin ánimo de lucro han sido definas por la doctrina como personas jurídicas que surgen de la voluntad de un grupo de individuos que vinculan un capital a la obtención de un fin de interés general o de bienestar común no lucrativo, de manera que tienen como finalidad propia la satisfacción de intereses públicos y sociales.</w:t>
      </w:r>
    </w:p>
    <w:p w:rsidRPr="00131FA3" w:rsidR="00351421" w:rsidP="00351421" w:rsidRDefault="00351421" w14:paraId="2804569E" w14:textId="77777777">
      <w:pPr>
        <w:spacing w:after="0" w:line="240" w:lineRule="auto"/>
        <w:ind w:left="709" w:right="709"/>
        <w:jc w:val="both"/>
        <w:rPr>
          <w:rFonts w:ascii="Century Gothic" w:hAnsi="Century Gothic" w:eastAsia="Calibri" w:cs="Arial"/>
          <w:color w:val="000000" w:themeColor="text1"/>
          <w:sz w:val="21"/>
          <w:szCs w:val="21"/>
        </w:rPr>
      </w:pPr>
      <w:r w:rsidRPr="00131FA3">
        <w:rPr>
          <w:rFonts w:ascii="Century Gothic" w:hAnsi="Century Gothic" w:eastAsia="Calibri" w:cs="Arial"/>
          <w:i/>
          <w:iCs/>
          <w:color w:val="000000" w:themeColor="text1"/>
          <w:sz w:val="21"/>
          <w:szCs w:val="21"/>
        </w:rPr>
        <w:t xml:space="preserve">Sin embargo, el hecho que no persigan una finalidad </w:t>
      </w:r>
      <w:proofErr w:type="gramStart"/>
      <w:r w:rsidRPr="00131FA3">
        <w:rPr>
          <w:rFonts w:ascii="Century Gothic" w:hAnsi="Century Gothic" w:eastAsia="Calibri" w:cs="Arial"/>
          <w:i/>
          <w:iCs/>
          <w:color w:val="000000" w:themeColor="text1"/>
          <w:sz w:val="21"/>
          <w:szCs w:val="21"/>
        </w:rPr>
        <w:t>lucrativa,</w:t>
      </w:r>
      <w:proofErr w:type="gramEnd"/>
      <w:r w:rsidRPr="00131FA3">
        <w:rPr>
          <w:rFonts w:ascii="Century Gothic" w:hAnsi="Century Gothic" w:eastAsia="Calibri" w:cs="Arial"/>
          <w:i/>
          <w:iCs/>
          <w:color w:val="000000" w:themeColor="text1"/>
          <w:sz w:val="21"/>
          <w:szCs w:val="21"/>
        </w:rPr>
        <w:t xml:space="preserve"> no significa que no desarrollen actividades que generen utilidades, lo que pasa es que a diferencia de las sociedades, el lucro o ganancia obtenida no se reparte entre sus miembros sino que se integra al patrimonio de la asociación para la obtención del fin deseado</w:t>
      </w:r>
      <w:r w:rsidRPr="00131FA3">
        <w:rPr>
          <w:rFonts w:ascii="Century Gothic" w:hAnsi="Century Gothic" w:eastAsia="Calibri" w:cs="Arial"/>
          <w:color w:val="000000" w:themeColor="text1"/>
          <w:sz w:val="21"/>
          <w:szCs w:val="21"/>
        </w:rPr>
        <w:t xml:space="preserve">. Así, el elemento característico de las corporaciones o asociaciones sin ánimo de lucro radica, precisamente, en la determinación de sus miembros de desarrollar una actividad de interés general sin esperar a cambio repartición de utilidades en proporción a su aporte, ni la recuperación </w:t>
      </w:r>
      <w:proofErr w:type="gramStart"/>
      <w:r w:rsidRPr="00131FA3">
        <w:rPr>
          <w:rFonts w:ascii="Century Gothic" w:hAnsi="Century Gothic" w:eastAsia="Calibri" w:cs="Arial"/>
          <w:color w:val="000000" w:themeColor="text1"/>
          <w:sz w:val="21"/>
          <w:szCs w:val="21"/>
        </w:rPr>
        <w:t>del mismo</w:t>
      </w:r>
      <w:proofErr w:type="gramEnd"/>
      <w:r w:rsidRPr="00131FA3">
        <w:rPr>
          <w:rFonts w:ascii="Century Gothic" w:hAnsi="Century Gothic" w:eastAsia="Calibri" w:cs="Arial"/>
          <w:color w:val="000000" w:themeColor="text1"/>
          <w:sz w:val="21"/>
          <w:szCs w:val="21"/>
        </w:rPr>
        <w:t xml:space="preserve"> en el momento de su disolución o liquidación”. (Cursivas propias)</w:t>
      </w:r>
    </w:p>
    <w:p w:rsidRPr="00131FA3" w:rsidR="00351421" w:rsidP="00351421" w:rsidRDefault="00351421" w14:paraId="497BAF22" w14:textId="77777777">
      <w:pPr>
        <w:spacing w:after="0" w:line="276" w:lineRule="auto"/>
        <w:ind w:firstLine="709"/>
        <w:jc w:val="both"/>
        <w:rPr>
          <w:rFonts w:ascii="Century Gothic" w:hAnsi="Century Gothic" w:eastAsia="Calibri" w:cs="Arial"/>
          <w:color w:val="000000" w:themeColor="text1"/>
        </w:rPr>
      </w:pPr>
    </w:p>
    <w:p w:rsidRPr="00131FA3" w:rsidR="00351421" w:rsidP="00351421" w:rsidRDefault="00351421" w14:paraId="28FA8CFC" w14:textId="77777777">
      <w:pPr>
        <w:spacing w:after="0" w:line="276" w:lineRule="auto"/>
        <w:ind w:firstLine="709"/>
        <w:jc w:val="both"/>
        <w:rPr>
          <w:rFonts w:ascii="Century Gothic" w:hAnsi="Century Gothic" w:eastAsia="Calibri" w:cs="Arial"/>
          <w:color w:val="000000" w:themeColor="text1"/>
        </w:rPr>
      </w:pPr>
      <w:r w:rsidRPr="00131FA3">
        <w:rPr>
          <w:rFonts w:ascii="Century Gothic" w:hAnsi="Century Gothic" w:eastAsia="Calibri" w:cs="Arial"/>
          <w:color w:val="000000" w:themeColor="text1"/>
        </w:rPr>
        <w:t xml:space="preserve">Lo anterior se justifica en que la principal característica de las ESAL es la ausencia de lucro, es decir, las ganancias o beneficios económicos no están destinados a repartirse en favor de los miembros ni de terceros, sino que </w:t>
      </w:r>
      <w:r w:rsidRPr="00131FA3">
        <w:rPr>
          <w:rFonts w:ascii="Century Gothic" w:hAnsi="Century Gothic" w:eastAsia="Calibri" w:cs="Arial"/>
          <w:color w:val="000000" w:themeColor="text1"/>
        </w:rPr>
        <w:lastRenderedPageBreak/>
        <w:t>permanecen dentro de la entidad incrementando su patrimonio. Con todo, las ESAL pueden participar en igualdad de condiciones en procesos de contratación regidos por la Ley 80 de 1993, la Ley 1150 de 2007 y el Decreto 1082 de 2015, siempre y cuando cumplan con los requisitos exigidos en los documentos del proceso. De esta manera, ni los contratos del artículo 355 de la Constitución Política ni los convenios de asociación del artículo 96 de la Ley 489 de 1998 generan utilidades para la ESAL, pues en dicho caso se trataría de un contrato en el que se debe remunerar al contratista por los servicios prestados, el cual, por eso mismo, tiene un régimen legal distinto.</w:t>
      </w:r>
    </w:p>
    <w:p w:rsidRPr="00131FA3" w:rsidR="00351421" w:rsidP="00351421" w:rsidRDefault="00351421" w14:paraId="2EFF6D06" w14:textId="77777777">
      <w:pPr>
        <w:spacing w:after="0" w:line="276" w:lineRule="auto"/>
        <w:ind w:firstLine="709"/>
        <w:jc w:val="both"/>
        <w:rPr>
          <w:rFonts w:ascii="Century Gothic" w:hAnsi="Century Gothic" w:eastAsia="Calibri" w:cs="Arial"/>
          <w:color w:val="000000" w:themeColor="text1"/>
        </w:rPr>
      </w:pPr>
    </w:p>
    <w:p w:rsidRPr="00131FA3" w:rsidR="00351421" w:rsidP="00351421" w:rsidRDefault="00351421" w14:paraId="180651FA" w14:textId="77777777">
      <w:pPr>
        <w:spacing w:after="0" w:line="276" w:lineRule="auto"/>
        <w:jc w:val="both"/>
        <w:rPr>
          <w:rFonts w:ascii="Century Gothic" w:hAnsi="Century Gothic" w:eastAsia="Calibri" w:cs="Arial"/>
          <w:b/>
          <w:bCs/>
          <w:color w:val="000000" w:themeColor="text1"/>
        </w:rPr>
      </w:pPr>
      <w:r w:rsidRPr="00131FA3">
        <w:rPr>
          <w:rFonts w:ascii="Century Gothic" w:hAnsi="Century Gothic" w:eastAsia="Calibri" w:cs="Arial"/>
          <w:b/>
          <w:bCs/>
          <w:color w:val="000000" w:themeColor="text1"/>
        </w:rPr>
        <w:t xml:space="preserve">2. </w:t>
      </w:r>
      <w:r w:rsidRPr="00131FA3">
        <w:rPr>
          <w:rFonts w:ascii="Century Gothic" w:hAnsi="Century Gothic" w:cs="Arial"/>
          <w:b/>
          <w:bCs/>
          <w:color w:val="000000" w:themeColor="text1"/>
          <w:lang w:val="es-ES_tradnl"/>
        </w:rPr>
        <w:t>Suspensión provisional de algunas normas del Decreto 092 de 2017</w:t>
      </w:r>
    </w:p>
    <w:p w:rsidRPr="00131FA3" w:rsidR="00351421" w:rsidP="00351421" w:rsidRDefault="00351421" w14:paraId="4583B2A5" w14:textId="77777777">
      <w:pPr>
        <w:spacing w:after="0" w:line="276" w:lineRule="auto"/>
        <w:jc w:val="both"/>
        <w:rPr>
          <w:rFonts w:ascii="Century Gothic" w:hAnsi="Century Gothic" w:eastAsia="Calibri" w:cs="Arial"/>
          <w:color w:val="000000" w:themeColor="text1"/>
        </w:rPr>
      </w:pPr>
    </w:p>
    <w:p w:rsidRPr="00131FA3" w:rsidR="00351421" w:rsidP="00351421" w:rsidRDefault="00351421" w14:paraId="68694113" w14:textId="77777777">
      <w:pPr>
        <w:spacing w:line="276" w:lineRule="auto"/>
        <w:jc w:val="both"/>
        <w:rPr>
          <w:rFonts w:ascii="Century Gothic" w:hAnsi="Century Gothic" w:eastAsia="Calibri" w:cs="Arial"/>
          <w:color w:val="000000" w:themeColor="text1"/>
        </w:rPr>
      </w:pPr>
      <w:r w:rsidRPr="00131FA3">
        <w:rPr>
          <w:rFonts w:ascii="Century Gothic" w:hAnsi="Century Gothic" w:eastAsia="Calibri" w:cs="Arial"/>
          <w:color w:val="000000" w:themeColor="text1"/>
        </w:rPr>
        <w:t xml:space="preserve">El Consejo de Estado, en el Auto del 6 de agosto de 2019 de la Sección Tercera, Subsección A, radicado No. 11001-03-26-000-2018-00113-00 (62.003), </w:t>
      </w:r>
      <w:proofErr w:type="gramStart"/>
      <w:r w:rsidRPr="00131FA3">
        <w:rPr>
          <w:rFonts w:ascii="Century Gothic" w:hAnsi="Century Gothic" w:eastAsia="Calibri" w:cs="Arial"/>
          <w:color w:val="000000" w:themeColor="text1"/>
        </w:rPr>
        <w:t>Consejero</w:t>
      </w:r>
      <w:proofErr w:type="gramEnd"/>
      <w:r w:rsidRPr="00131FA3">
        <w:rPr>
          <w:rFonts w:ascii="Century Gothic" w:hAnsi="Century Gothic" w:eastAsia="Calibri" w:cs="Arial"/>
          <w:color w:val="000000" w:themeColor="text1"/>
        </w:rPr>
        <w:t xml:space="preserve"> Ponente Carlos Alberto Zambrano Barrera, estudió la solicitud de suspensión provisional del inciso 2 del artículo 1, literales a y c del artículo 2, inciso 5 del artículo 2, inciso 2 del artículo 3, inciso final del artículo 4 y artículo 5 del Decreto 092 de 2017</w:t>
      </w:r>
      <w:r w:rsidRPr="00131FA3">
        <w:rPr>
          <w:rStyle w:val="Refdenotaalpie"/>
          <w:rFonts w:ascii="Century Gothic" w:hAnsi="Century Gothic" w:eastAsia="Calibri" w:cs="Arial"/>
          <w:color w:val="000000" w:themeColor="text1"/>
        </w:rPr>
        <w:footnoteReference w:id="10"/>
      </w:r>
      <w:r w:rsidRPr="00131FA3">
        <w:rPr>
          <w:rFonts w:ascii="Century Gothic" w:hAnsi="Century Gothic" w:eastAsia="Calibri" w:cs="Arial"/>
          <w:color w:val="000000" w:themeColor="text1"/>
        </w:rPr>
        <w:t>. Cabe precisar que las decisiones adoptadas en el auto indicado fueron mantenidas en su mayoría en el Auto del 15 de marzo de 2022 de la Sala Plena del Consejo de Estado</w:t>
      </w:r>
      <w:r w:rsidRPr="00131FA3">
        <w:rPr>
          <w:rFonts w:ascii="Century Gothic" w:hAnsi="Century Gothic" w:eastAsia="Calibri" w:cs="Arial"/>
          <w:color w:val="000000" w:themeColor="text1"/>
          <w:vertAlign w:val="superscript"/>
        </w:rPr>
        <w:footnoteReference w:id="11"/>
      </w:r>
      <w:r w:rsidRPr="00131FA3">
        <w:rPr>
          <w:rFonts w:ascii="Century Gothic" w:hAnsi="Century Gothic" w:eastAsia="Calibri" w:cs="Arial"/>
          <w:color w:val="000000" w:themeColor="text1"/>
        </w:rPr>
        <w:t xml:space="preserve">, mediante el cual se resuelve el recurso de súplica frente al anterior auto que, como se explicará, suspendió provisionalmente varios apartes del Decreto 092 de 2017. En este sentido, en el último auto se levantó la suspensión provisional del inciso segundo del artículo 1 y del inciso segundo del artículo 3, manteniendo en lo demás la suspensión provisional, como se precisará a continuación. </w:t>
      </w:r>
    </w:p>
    <w:p w:rsidRPr="00131FA3" w:rsidR="00351421" w:rsidP="00351421" w:rsidRDefault="00351421" w14:paraId="28F26DA4" w14:textId="77777777">
      <w:pPr>
        <w:spacing w:before="120" w:after="0" w:line="276" w:lineRule="auto"/>
        <w:ind w:firstLine="708"/>
        <w:jc w:val="both"/>
        <w:rPr>
          <w:rFonts w:ascii="Century Gothic" w:hAnsi="Century Gothic" w:eastAsia="Calibri" w:cs="Arial"/>
          <w:color w:val="000000" w:themeColor="text1"/>
        </w:rPr>
      </w:pPr>
      <w:r w:rsidRPr="00131FA3">
        <w:rPr>
          <w:rFonts w:ascii="Century Gothic" w:hAnsi="Century Gothic" w:eastAsia="Calibri" w:cs="Arial"/>
          <w:color w:val="000000" w:themeColor="text1"/>
        </w:rPr>
        <w:t xml:space="preserve">La </w:t>
      </w:r>
      <w:r w:rsidRPr="00131FA3">
        <w:rPr>
          <w:rFonts w:ascii="Century Gothic" w:hAnsi="Century Gothic" w:eastAsia="Calibri" w:cs="Arial"/>
          <w:i/>
          <w:iCs/>
          <w:color w:val="000000" w:themeColor="text1"/>
        </w:rPr>
        <w:t>primera</w:t>
      </w:r>
      <w:r w:rsidRPr="00131FA3">
        <w:rPr>
          <w:rFonts w:ascii="Century Gothic" w:hAnsi="Century Gothic" w:eastAsia="Calibri" w:cs="Arial"/>
          <w:color w:val="000000" w:themeColor="text1"/>
        </w:rPr>
        <w:t xml:space="preserve"> norma que estudió el Consejo de Estado en el auto del 6 de agosto de 2019 fue el inciso 2 del artículo 1 del Decreto 092 de 2017, el cual establece que la interpretación de las expresiones que se encuentran en mayúsculas en el Decreto 092 de 2017 se harían de conformidad con la guía que expida la Agencia Nacional de Contratación Pública</w:t>
      </w:r>
      <w:r w:rsidRPr="00131FA3">
        <w:rPr>
          <w:rStyle w:val="Refdenotaalpie"/>
          <w:rFonts w:ascii="Century Gothic" w:hAnsi="Century Gothic" w:eastAsia="Calibri" w:cs="Arial"/>
          <w:color w:val="000000" w:themeColor="text1"/>
        </w:rPr>
        <w:footnoteReference w:id="12"/>
      </w:r>
      <w:r w:rsidRPr="00131FA3">
        <w:rPr>
          <w:rFonts w:ascii="Century Gothic" w:hAnsi="Century Gothic" w:eastAsia="Calibri" w:cs="Arial"/>
          <w:color w:val="000000" w:themeColor="text1"/>
        </w:rPr>
        <w:t>. Señaló que esta disposición, así como el inciso segundo del artículo 3 del Decreto 092 de 2017</w:t>
      </w:r>
      <w:r w:rsidRPr="00131FA3">
        <w:rPr>
          <w:rStyle w:val="Refdenotaalpie"/>
          <w:rFonts w:ascii="Century Gothic" w:hAnsi="Century Gothic" w:eastAsia="Calibri" w:cs="Arial"/>
          <w:color w:val="000000" w:themeColor="text1"/>
        </w:rPr>
        <w:footnoteReference w:id="13"/>
      </w:r>
      <w:r w:rsidRPr="00131FA3">
        <w:rPr>
          <w:rFonts w:ascii="Century Gothic" w:hAnsi="Century Gothic" w:eastAsia="Calibri" w:cs="Arial"/>
          <w:color w:val="000000" w:themeColor="text1"/>
        </w:rPr>
        <w:t xml:space="preserve">, excedían la potestad reglamentaria, que estaba exclusivamente asignada al Presidente de la República, toda vez que la esencia de la facultad reglamentaria es de carácter permanente, inalienable, intransferible e irrenunciable, y el Presidente no la podía delegar en una entidad como la Agencia Nacional de Contratación Pública – Colombia Compra Eficiente, para que a través de una guía reglamentara los vacíos de un Decreto. Al respecto señaló: </w:t>
      </w:r>
    </w:p>
    <w:p w:rsidRPr="00131FA3" w:rsidR="00351421" w:rsidP="00351421" w:rsidRDefault="00351421" w14:paraId="7764EA17" w14:textId="77777777">
      <w:pPr>
        <w:spacing w:after="0" w:line="276" w:lineRule="auto"/>
        <w:jc w:val="both"/>
        <w:rPr>
          <w:rFonts w:ascii="Century Gothic" w:hAnsi="Century Gothic" w:eastAsia="Calibri" w:cs="Arial"/>
          <w:color w:val="000000" w:themeColor="text1"/>
        </w:rPr>
      </w:pPr>
    </w:p>
    <w:p w:rsidRPr="00131FA3" w:rsidR="00351421" w:rsidP="00351421" w:rsidRDefault="00351421" w14:paraId="7575796D" w14:textId="77777777">
      <w:pPr>
        <w:tabs>
          <w:tab w:val="left" w:pos="8789"/>
        </w:tabs>
        <w:spacing w:after="0" w:line="240" w:lineRule="auto"/>
        <w:ind w:left="708" w:right="709"/>
        <w:jc w:val="both"/>
        <w:rPr>
          <w:rFonts w:ascii="Century Gothic" w:hAnsi="Century Gothic" w:eastAsia="Calibri" w:cs="Arial"/>
          <w:color w:val="000000" w:themeColor="text1"/>
          <w:sz w:val="21"/>
          <w:szCs w:val="21"/>
        </w:rPr>
      </w:pPr>
      <w:r w:rsidRPr="00131FA3">
        <w:rPr>
          <w:rFonts w:ascii="Century Gothic" w:hAnsi="Century Gothic" w:eastAsia="Calibri" w:cs="Arial"/>
          <w:color w:val="000000" w:themeColor="text1"/>
          <w:sz w:val="21"/>
          <w:szCs w:val="21"/>
        </w:rPr>
        <w:t>“En efecto, dejar espacios “vacíos” para que Colombia Compra Eficiente defina el alcance y la interpretación de ciertas expresiones y dicte las ‘pautas’ y ‘criterios’ para desarrollar la materia reglamentada no es otra cosa que delegar la reglamentación, pues materialmente se le encomienda a otra autoridad administrativa la labor de completar el ejercicio reglamentario que hizo el Gobierno Nacional o, cuando menos, se le encomienda la tarea de complementar una reglamentación insuficiente que hizo la autoridad competente, tarea que no puede ser asignada por el Presidente de la República a ningún otro organismo o entidad de la administración (distinto del Gobierno Nacional), puesto que, sin duda, quien estaría concurriendo materialmente en tal caso a reglamentar la norma constitucional sería la autoridad delegataria y no el competente para ello, según lo dispuesto por el constituyente”.</w:t>
      </w:r>
    </w:p>
    <w:p w:rsidRPr="00131FA3" w:rsidR="00351421" w:rsidP="00351421" w:rsidRDefault="00351421" w14:paraId="36C03B37" w14:textId="77777777">
      <w:pPr>
        <w:tabs>
          <w:tab w:val="left" w:pos="8789"/>
        </w:tabs>
        <w:spacing w:after="0" w:line="276" w:lineRule="auto"/>
        <w:ind w:left="708" w:right="709"/>
        <w:jc w:val="both"/>
        <w:rPr>
          <w:rFonts w:ascii="Century Gothic" w:hAnsi="Century Gothic" w:eastAsia="Calibri" w:cs="Arial"/>
          <w:color w:val="000000" w:themeColor="text1"/>
        </w:rPr>
      </w:pPr>
    </w:p>
    <w:p w:rsidRPr="00131FA3" w:rsidR="00351421" w:rsidP="00351421" w:rsidRDefault="00351421" w14:paraId="07AC871F" w14:textId="77777777">
      <w:pPr>
        <w:spacing w:after="0" w:line="276" w:lineRule="auto"/>
        <w:ind w:firstLine="709"/>
        <w:jc w:val="both"/>
        <w:rPr>
          <w:rFonts w:ascii="Century Gothic" w:hAnsi="Century Gothic" w:eastAsia="Calibri" w:cs="Arial"/>
          <w:color w:val="000000" w:themeColor="text1"/>
        </w:rPr>
      </w:pPr>
      <w:r w:rsidRPr="00131FA3">
        <w:rPr>
          <w:rFonts w:ascii="Century Gothic" w:hAnsi="Century Gothic" w:eastAsia="Calibri" w:cs="Arial"/>
          <w:color w:val="000000" w:themeColor="text1"/>
        </w:rPr>
        <w:t>En virtud de este análisis, el Consejo de Estado, en el auto del 9 de agosto de 2019 suspendió provisionalmente el inciso 2 del artículo primero y el inciso 2 del artículo 3, lo que significaba que los contratos celebrados con entidades sin ánimo de lucro no tenían que aplicar la “Guía para la contratación con entidades privadas sin ánimo de lucro y de reconocida idoneidad”, expedida por la Agencia Nacional de Contratación Pública–Colombia Compra Eficiente. Sin embargo, mediante el auto del 15 de marzo de 2022 de la Sala Plena del Consejo de Estado, al que se hizo referencia en inicio de este acápite, se ordenó levantar la suspensión provisional del inciso segundo del artículo 1 y del inciso segundo del artículo 3, al considerar la Alta Corporación que:</w:t>
      </w:r>
    </w:p>
    <w:p w:rsidRPr="00131FA3" w:rsidR="00351421" w:rsidP="00351421" w:rsidRDefault="00351421" w14:paraId="00C87773" w14:textId="77777777">
      <w:pPr>
        <w:spacing w:after="0" w:line="276" w:lineRule="auto"/>
        <w:ind w:firstLine="709"/>
        <w:jc w:val="both"/>
        <w:rPr>
          <w:rFonts w:ascii="Century Gothic" w:hAnsi="Century Gothic" w:eastAsia="Calibri" w:cs="Arial"/>
          <w:color w:val="000000" w:themeColor="text1"/>
        </w:rPr>
      </w:pPr>
    </w:p>
    <w:p w:rsidRPr="00131FA3" w:rsidR="00351421" w:rsidP="00351421" w:rsidRDefault="00351421" w14:paraId="259B1952" w14:textId="77777777">
      <w:pPr>
        <w:spacing w:after="0" w:line="240" w:lineRule="auto"/>
        <w:ind w:left="708" w:right="709"/>
        <w:jc w:val="both"/>
        <w:rPr>
          <w:rFonts w:ascii="Century Gothic" w:hAnsi="Century Gothic" w:eastAsia="Calibri" w:cs="Arial"/>
          <w:color w:val="000000" w:themeColor="text1"/>
          <w:sz w:val="21"/>
          <w:szCs w:val="21"/>
        </w:rPr>
      </w:pPr>
      <w:r w:rsidRPr="00131FA3">
        <w:rPr>
          <w:rFonts w:ascii="Century Gothic" w:hAnsi="Century Gothic" w:eastAsia="Calibri" w:cs="Arial"/>
          <w:color w:val="000000" w:themeColor="text1"/>
          <w:sz w:val="21"/>
          <w:szCs w:val="21"/>
        </w:rPr>
        <w:t>“28. Contrario a la conclusión a la que se arribó en el auto suplicado, la Sala observa que de la simple confrontación de la norma no se advierte, prima facie, que lo ordenado en el inciso segundo del artículo 1, así como en el inciso segundo del artículo 3 del Decreto 092 de 2017, conlleve, per se, la delegación de la facultad reglamentaria directa de la Constitución, atribuida al Gobierno nacional en el artículo 355 superior”.</w:t>
      </w:r>
    </w:p>
    <w:p w:rsidRPr="00131FA3" w:rsidR="00351421" w:rsidP="00351421" w:rsidRDefault="00351421" w14:paraId="4A272E83" w14:textId="77777777">
      <w:pPr>
        <w:spacing w:after="0" w:line="276" w:lineRule="auto"/>
        <w:ind w:left="708" w:right="709"/>
        <w:jc w:val="both"/>
        <w:rPr>
          <w:rFonts w:ascii="Century Gothic" w:hAnsi="Century Gothic" w:eastAsia="Calibri" w:cs="Arial"/>
          <w:color w:val="000000" w:themeColor="text1"/>
        </w:rPr>
      </w:pPr>
    </w:p>
    <w:p w:rsidRPr="00131FA3" w:rsidR="00351421" w:rsidP="00351421" w:rsidRDefault="00351421" w14:paraId="5C30471F" w14:textId="77777777">
      <w:pPr>
        <w:spacing w:after="0" w:line="276" w:lineRule="auto"/>
        <w:ind w:firstLine="709"/>
        <w:jc w:val="both"/>
        <w:rPr>
          <w:rFonts w:ascii="Century Gothic" w:hAnsi="Century Gothic" w:eastAsia="Calibri" w:cs="Arial"/>
          <w:color w:val="000000" w:themeColor="text1"/>
        </w:rPr>
      </w:pPr>
      <w:r w:rsidRPr="00131FA3">
        <w:rPr>
          <w:rFonts w:ascii="Century Gothic" w:hAnsi="Century Gothic" w:eastAsia="Calibri" w:cs="Arial"/>
          <w:color w:val="000000" w:themeColor="text1"/>
        </w:rPr>
        <w:t xml:space="preserve">En armonía con lo anterior, en relación con el inciso segundo del artículo primero del Decreto 092 de 2017, que establece que las expresiones utilizadas en el decreto con mayúscula inicial deben ser entendidas con el significado indicado en la guía que expida la Agencia Nacional de Contratación Pública – Colombia Compra Eficiente, el Consejo de Estado consideró procedente levantar la suspensión provisional, al considerar que: </w:t>
      </w:r>
    </w:p>
    <w:p w:rsidRPr="00131FA3" w:rsidR="00351421" w:rsidP="00351421" w:rsidRDefault="00351421" w14:paraId="4325453B" w14:textId="77777777">
      <w:pPr>
        <w:spacing w:after="0" w:line="276" w:lineRule="auto"/>
        <w:ind w:firstLine="709"/>
        <w:jc w:val="both"/>
        <w:rPr>
          <w:rFonts w:ascii="Century Gothic" w:hAnsi="Century Gothic" w:eastAsia="Calibri" w:cs="Arial"/>
          <w:color w:val="000000" w:themeColor="text1"/>
        </w:rPr>
      </w:pPr>
    </w:p>
    <w:p w:rsidRPr="00131FA3" w:rsidR="00351421" w:rsidP="00351421" w:rsidRDefault="00351421" w14:paraId="07DDC187" w14:textId="77777777">
      <w:pPr>
        <w:spacing w:after="0" w:line="240" w:lineRule="auto"/>
        <w:ind w:left="708" w:right="709"/>
        <w:jc w:val="both"/>
        <w:rPr>
          <w:rFonts w:ascii="Century Gothic" w:hAnsi="Century Gothic" w:eastAsia="Calibri" w:cs="Arial"/>
          <w:color w:val="000000" w:themeColor="text1"/>
          <w:sz w:val="21"/>
          <w:szCs w:val="21"/>
        </w:rPr>
      </w:pPr>
      <w:r w:rsidRPr="00131FA3">
        <w:rPr>
          <w:rFonts w:ascii="Century Gothic" w:hAnsi="Century Gothic" w:eastAsia="Calibri" w:cs="Arial"/>
          <w:color w:val="000000" w:themeColor="text1"/>
          <w:sz w:val="21"/>
          <w:szCs w:val="21"/>
        </w:rPr>
        <w:t>“35. En esa medida determinó el Gobierno nacional que para la interpretación del decreto que nos ocupa, las expresiones utilizadas con mayúscula inicial deben ser entendidas con el significado indicado en la guía que expida la Agencia Nacional de Contratación Pública –Colombia Compra Eficiente– para su correspondiente aplicación, lo que implica una orientación tendiente a propiciar una integración normativa con definiciones que ya existen en el ordenamiento jurídico y que fundamentará la interpretación de dichas expresiones. En este orden de ideas, no existe habilitación a Colombia Compra Eficiente para crear definiciones normativas de estas expresiones, sino que de las que ya cuenta el ordenamiento jurídico realiza la guía. Por ello, no hay delegación de la competencia para crear el decreto constitucional que le compete al Gobierno nacional”.</w:t>
      </w:r>
    </w:p>
    <w:p w:rsidRPr="00131FA3" w:rsidR="00351421" w:rsidP="00351421" w:rsidRDefault="00351421" w14:paraId="61560A65" w14:textId="77777777">
      <w:pPr>
        <w:spacing w:after="0" w:line="276" w:lineRule="auto"/>
        <w:ind w:firstLine="709"/>
        <w:jc w:val="both"/>
        <w:rPr>
          <w:rFonts w:ascii="Century Gothic" w:hAnsi="Century Gothic" w:eastAsia="Calibri" w:cs="Arial"/>
          <w:color w:val="000000" w:themeColor="text1"/>
        </w:rPr>
      </w:pPr>
    </w:p>
    <w:p w:rsidRPr="00131FA3" w:rsidR="00351421" w:rsidP="00351421" w:rsidRDefault="00351421" w14:paraId="3CD9A0EE" w14:textId="77777777">
      <w:pPr>
        <w:spacing w:line="276" w:lineRule="auto"/>
        <w:ind w:firstLine="709"/>
        <w:jc w:val="both"/>
        <w:rPr>
          <w:rFonts w:ascii="Century Gothic" w:hAnsi="Century Gothic" w:eastAsia="Calibri" w:cs="Arial"/>
          <w:color w:val="000000" w:themeColor="text1"/>
        </w:rPr>
      </w:pPr>
      <w:r w:rsidRPr="00131FA3">
        <w:rPr>
          <w:rFonts w:ascii="Century Gothic" w:hAnsi="Century Gothic" w:eastAsia="Calibri" w:cs="Arial"/>
          <w:color w:val="000000" w:themeColor="text1"/>
        </w:rPr>
        <w:t>Además, en relación con el inciso segundo del artículo 3, que establece que la entidad estatal debe definir en los documentos del proceso las características que debe acreditar la entidad sin ánimo de lucro, para lo que deberá tener en consideración los criterios establecidos en la guía que expida Colombia Compra Eficiente, el Consejo de Estado también resolvió levantar la suspensión provisional, al considerar que el análisis sobre su validez se debe reservar para el momento en que se profiera la sentencia respectiva, pues, a su juicio, no resulta evidente que se haya delegado indebidamente el ejercicio de la potestad reglamentaria</w:t>
      </w:r>
      <w:r w:rsidRPr="00131FA3">
        <w:rPr>
          <w:rStyle w:val="Refdenotaalpie"/>
          <w:rFonts w:ascii="Century Gothic" w:hAnsi="Century Gothic" w:eastAsia="Calibri" w:cs="Arial"/>
          <w:color w:val="000000" w:themeColor="text1"/>
        </w:rPr>
        <w:footnoteReference w:id="14"/>
      </w:r>
      <w:r w:rsidRPr="00131FA3">
        <w:rPr>
          <w:rFonts w:ascii="Century Gothic" w:hAnsi="Century Gothic" w:eastAsia="Calibri" w:cs="Arial"/>
          <w:color w:val="000000" w:themeColor="text1"/>
        </w:rPr>
        <w:t>.</w:t>
      </w:r>
    </w:p>
    <w:p w:rsidRPr="00131FA3" w:rsidR="00351421" w:rsidP="00351421" w:rsidRDefault="00351421" w14:paraId="03FF94F2" w14:textId="77777777">
      <w:pPr>
        <w:spacing w:before="120" w:line="276" w:lineRule="auto"/>
        <w:ind w:firstLine="709"/>
        <w:jc w:val="both"/>
        <w:rPr>
          <w:rFonts w:ascii="Century Gothic" w:hAnsi="Century Gothic" w:eastAsia="Calibri" w:cs="Arial"/>
          <w:color w:val="000000" w:themeColor="text1"/>
        </w:rPr>
      </w:pPr>
      <w:r w:rsidRPr="00131FA3">
        <w:rPr>
          <w:rFonts w:ascii="Century Gothic" w:hAnsi="Century Gothic" w:eastAsia="Calibri" w:cs="Arial"/>
          <w:color w:val="000000" w:themeColor="text1"/>
        </w:rPr>
        <w:t>Ahora bien, cabe precisar que mediante el auto del 15 de marzo de 2022 de la Sala Plena del Consejo de Estado únicamente se levantó la suspensión provisional de las normas desarrolladas hasta este lugar, por lo que, en lo demás, se confirmó la decisión de suspensión provisional de los demás apartes del Decreto 019 de 2017 dictada en el auto del 6 de agosto de 2019, como se procede a explicar.</w:t>
      </w:r>
    </w:p>
    <w:p w:rsidRPr="00131FA3" w:rsidR="00351421" w:rsidP="00351421" w:rsidRDefault="00351421" w14:paraId="7F01AA27" w14:textId="77777777">
      <w:pPr>
        <w:spacing w:before="120" w:after="0" w:line="276" w:lineRule="auto"/>
        <w:ind w:firstLine="709"/>
        <w:jc w:val="both"/>
        <w:rPr>
          <w:rFonts w:ascii="Century Gothic" w:hAnsi="Century Gothic" w:eastAsia="Calibri" w:cs="Arial"/>
          <w:color w:val="000000" w:themeColor="text1"/>
        </w:rPr>
      </w:pPr>
      <w:r w:rsidRPr="00131FA3">
        <w:rPr>
          <w:rFonts w:ascii="Century Gothic" w:hAnsi="Century Gothic" w:eastAsia="Calibri" w:cs="Arial"/>
          <w:color w:val="000000" w:themeColor="text1"/>
        </w:rPr>
        <w:t xml:space="preserve">La </w:t>
      </w:r>
      <w:r w:rsidRPr="00131FA3">
        <w:rPr>
          <w:rFonts w:ascii="Century Gothic" w:hAnsi="Century Gothic" w:eastAsia="Calibri" w:cs="Arial"/>
          <w:i/>
          <w:iCs/>
          <w:color w:val="000000" w:themeColor="text1"/>
        </w:rPr>
        <w:t>segunda</w:t>
      </w:r>
      <w:r w:rsidRPr="00131FA3">
        <w:rPr>
          <w:rFonts w:ascii="Century Gothic" w:hAnsi="Century Gothic" w:eastAsia="Calibri" w:cs="Arial"/>
          <w:color w:val="000000" w:themeColor="text1"/>
        </w:rPr>
        <w:t xml:space="preserve"> norma que analizó el Consejo de Estado en el auto del 6 de agosto de 2019, fue el literal a), del artículo 2, del Decreto 092, que establece que únicamente se podrá contratar con entidades privadas sin ánimo de lucro cuando el objeto corresponda directamente con los planes de desarrollo y busque exclusivamente promover los derechos de personas en situación de debilidad manifiesta o indefensión, los derechos de las minorías, el derecho a la educación, el derecho a la paz, las manifestaciones artísticas, culturales, deportivas y de promoción de la diversidad étnica colombiana</w:t>
      </w:r>
      <w:r w:rsidRPr="00131FA3">
        <w:rPr>
          <w:rStyle w:val="Refdenotaalpie"/>
          <w:rFonts w:ascii="Century Gothic" w:hAnsi="Century Gothic" w:cs="Arial"/>
          <w:color w:val="000000" w:themeColor="text1"/>
        </w:rPr>
        <w:footnoteReference w:id="15"/>
      </w:r>
      <w:r w:rsidRPr="00131FA3">
        <w:rPr>
          <w:rFonts w:ascii="Century Gothic" w:hAnsi="Century Gothic" w:eastAsia="Calibri" w:cs="Arial"/>
          <w:color w:val="000000" w:themeColor="text1"/>
        </w:rPr>
        <w:t xml:space="preserve">. </w:t>
      </w:r>
      <w:bookmarkStart w:name="_Hlk95756502" w:id="13"/>
      <w:r w:rsidRPr="00131FA3">
        <w:rPr>
          <w:rFonts w:ascii="Century Gothic" w:hAnsi="Century Gothic" w:eastAsia="Calibri" w:cs="Arial"/>
          <w:color w:val="000000" w:themeColor="text1"/>
        </w:rPr>
        <w:t xml:space="preserve">En relación con esta norma, encontró que el literal a) del artículo 2 establece dos condiciones contrarias al artículo 355 de la Constitución Política: primero, que el objeto tenga que estar “directamente” en los planes de desarrollo –nacional o territorial– cuando la norma constitucional establece que el objeto debe ser “acorde” con el plan nacional o seccional de desarrollo, lo que implica que el objeto del contrato no debe estar explícitamente en el plan de desarrollo sino que se encuentre en armonía con este. </w:t>
      </w:r>
      <w:bookmarkEnd w:id="13"/>
      <w:r w:rsidRPr="00131FA3">
        <w:rPr>
          <w:rFonts w:ascii="Century Gothic" w:hAnsi="Century Gothic" w:eastAsia="Calibri" w:cs="Arial"/>
          <w:color w:val="000000" w:themeColor="text1"/>
        </w:rPr>
        <w:t xml:space="preserve">En relación con lo anterior, el auto del Consejo de Estado explica que: </w:t>
      </w:r>
    </w:p>
    <w:p w:rsidRPr="00131FA3" w:rsidR="00351421" w:rsidP="00351421" w:rsidRDefault="00351421" w14:paraId="7DE99ABE" w14:textId="77777777">
      <w:pPr>
        <w:spacing w:after="0" w:line="276" w:lineRule="auto"/>
        <w:jc w:val="both"/>
        <w:rPr>
          <w:rFonts w:ascii="Century Gothic" w:hAnsi="Century Gothic" w:eastAsia="Calibri" w:cs="Arial"/>
          <w:color w:val="000000" w:themeColor="text1"/>
        </w:rPr>
      </w:pPr>
    </w:p>
    <w:p w:rsidRPr="00131FA3" w:rsidR="00351421" w:rsidP="00351421" w:rsidRDefault="00351421" w14:paraId="05E25F8A" w14:textId="77777777">
      <w:pPr>
        <w:spacing w:after="0" w:line="240" w:lineRule="auto"/>
        <w:ind w:left="708" w:right="709"/>
        <w:jc w:val="both"/>
        <w:rPr>
          <w:rFonts w:ascii="Century Gothic" w:hAnsi="Century Gothic" w:eastAsia="Calibri" w:cs="Arial"/>
          <w:color w:val="000000" w:themeColor="text1"/>
          <w:sz w:val="21"/>
          <w:szCs w:val="21"/>
        </w:rPr>
      </w:pPr>
      <w:r w:rsidRPr="00131FA3">
        <w:rPr>
          <w:rFonts w:ascii="Century Gothic" w:hAnsi="Century Gothic" w:eastAsia="Calibri" w:cs="Arial"/>
          <w:color w:val="000000" w:themeColor="text1"/>
          <w:sz w:val="21"/>
          <w:szCs w:val="21"/>
        </w:rPr>
        <w:lastRenderedPageBreak/>
        <w:t xml:space="preserve">“El aparte acusado exige que el objeto del contrato corresponda directamente a los programas contenidos en los diferentes planes de desarrollo, pero ello, así concebido, es propio de los procesos de selección a los que deben someterse los contratos ordinarios de la administración pública; al respecto, recuérdese que los contratos referidos en el mencionado artículo 355 no están sometidos a la lógica de los contratos ordinarios, pues tienen como finalidad impulsar los programas y actividades de interés público que desarrollen las entidades sin ánimo de lucro, para lo cual únicamente se exige que sean acordes con los que, a su vez, estén contemplados en los correspondientes planes de desarrollo”. </w:t>
      </w:r>
    </w:p>
    <w:p w:rsidRPr="00131FA3" w:rsidR="00351421" w:rsidP="00351421" w:rsidRDefault="00351421" w14:paraId="5877F5FE" w14:textId="77777777">
      <w:pPr>
        <w:spacing w:after="0" w:line="276" w:lineRule="auto"/>
        <w:jc w:val="both"/>
        <w:rPr>
          <w:rFonts w:ascii="Century Gothic" w:hAnsi="Century Gothic" w:eastAsia="Calibri" w:cs="Arial"/>
          <w:color w:val="000000" w:themeColor="text1"/>
        </w:rPr>
      </w:pPr>
    </w:p>
    <w:p w:rsidRPr="00131FA3" w:rsidR="00351421" w:rsidP="00351421" w:rsidRDefault="00351421" w14:paraId="0D24E858" w14:textId="77777777">
      <w:pPr>
        <w:spacing w:after="0" w:line="276" w:lineRule="auto"/>
        <w:ind w:firstLine="708"/>
        <w:jc w:val="both"/>
        <w:rPr>
          <w:rFonts w:ascii="Century Gothic" w:hAnsi="Century Gothic" w:eastAsia="Calibri" w:cs="Arial"/>
          <w:color w:val="000000" w:themeColor="text1"/>
        </w:rPr>
      </w:pPr>
      <w:r w:rsidRPr="00131FA3">
        <w:rPr>
          <w:rFonts w:ascii="Century Gothic" w:hAnsi="Century Gothic" w:eastAsia="Calibri" w:cs="Arial"/>
          <w:color w:val="000000" w:themeColor="text1"/>
        </w:rPr>
        <w:t xml:space="preserve">Asimismo, el Consejo de Estado consideró que el literal a) del artículo 2, al establecer que los programas y actividades de interés público deben buscar la promoción de los derechos de personas en situaciones de debilidad manifiesta o de indefensión, los derechos de las minorías, el derecho a la educación, el derecho a la paz, las manifestaciones artísticas, culturales, deportivas y de promoción de la diversidad étnica colombiana, limita el ámbito de aplicación que establece el artículo 355 de la Constitución Política. Al respecto expresa: </w:t>
      </w:r>
    </w:p>
    <w:p w:rsidRPr="00131FA3" w:rsidR="00351421" w:rsidP="00351421" w:rsidRDefault="00351421" w14:paraId="5BF22DFE" w14:textId="77777777">
      <w:pPr>
        <w:spacing w:after="0" w:line="276" w:lineRule="auto"/>
        <w:jc w:val="both"/>
        <w:rPr>
          <w:rFonts w:ascii="Century Gothic" w:hAnsi="Century Gothic" w:eastAsia="Calibri" w:cs="Arial"/>
          <w:color w:val="000000" w:themeColor="text1"/>
        </w:rPr>
      </w:pPr>
    </w:p>
    <w:p w:rsidRPr="00131FA3" w:rsidR="00351421" w:rsidP="00351421" w:rsidRDefault="00351421" w14:paraId="74DB41B0" w14:textId="77777777">
      <w:pPr>
        <w:tabs>
          <w:tab w:val="left" w:pos="8080"/>
        </w:tabs>
        <w:spacing w:after="0" w:line="240" w:lineRule="auto"/>
        <w:ind w:left="708" w:right="709"/>
        <w:jc w:val="both"/>
        <w:rPr>
          <w:rFonts w:ascii="Century Gothic" w:hAnsi="Century Gothic" w:eastAsia="Calibri" w:cs="Arial"/>
          <w:color w:val="000000" w:themeColor="text1"/>
          <w:sz w:val="21"/>
          <w:szCs w:val="21"/>
        </w:rPr>
      </w:pPr>
      <w:r w:rsidRPr="00131FA3">
        <w:rPr>
          <w:rFonts w:ascii="Century Gothic" w:hAnsi="Century Gothic" w:eastAsia="Calibri" w:cs="Arial"/>
          <w:color w:val="000000" w:themeColor="text1"/>
          <w:sz w:val="21"/>
          <w:szCs w:val="21"/>
        </w:rPr>
        <w:t xml:space="preserve">“Una limitación del anterior calado implica, sin duda, establecer una condición no prevista en la norma constitucional reglamentada. Esta última solo establece una restricción y es que la “causa” del contrato tenga como finalidad “… impulsar programas y actividades de interés público acordes con el plan de desarrollo”, mientras que, por su parte, la norma acusada limita la celebración de tales contratos a que tengan como objeto la promoción de las actividades enunciadas anteriormente [letra a, art. 2 ibidem]. Si la norma constitucional restringe sólo la causa o la finalidad del contrato, quiere decir ello que, independientemente de su objeto, puede celebrarse en cualquier modalidad, siempre y cuando –claro está– su causa sea “acorde” con los planes de desarrollo, que es, en últimas, el propósito de la norma constitucional”. </w:t>
      </w:r>
    </w:p>
    <w:p w:rsidRPr="00131FA3" w:rsidR="00351421" w:rsidP="00351421" w:rsidRDefault="00351421" w14:paraId="1A73E3AB" w14:textId="77777777">
      <w:pPr>
        <w:spacing w:after="0" w:line="276" w:lineRule="auto"/>
        <w:jc w:val="both"/>
        <w:rPr>
          <w:rFonts w:ascii="Century Gothic" w:hAnsi="Century Gothic" w:eastAsia="Calibri" w:cs="Arial"/>
          <w:color w:val="000000" w:themeColor="text1"/>
        </w:rPr>
      </w:pPr>
      <w:r w:rsidRPr="00131FA3">
        <w:rPr>
          <w:rFonts w:ascii="Century Gothic" w:hAnsi="Century Gothic" w:eastAsia="Calibri" w:cs="Arial"/>
          <w:color w:val="000000" w:themeColor="text1"/>
        </w:rPr>
        <w:t xml:space="preserve"> </w:t>
      </w:r>
    </w:p>
    <w:p w:rsidRPr="00131FA3" w:rsidR="00351421" w:rsidP="00351421" w:rsidRDefault="00351421" w14:paraId="6AF1CBCB" w14:textId="77777777">
      <w:pPr>
        <w:spacing w:line="276" w:lineRule="auto"/>
        <w:ind w:firstLine="709"/>
        <w:jc w:val="both"/>
        <w:rPr>
          <w:rFonts w:ascii="Century Gothic" w:hAnsi="Century Gothic" w:eastAsia="Calibri" w:cs="Arial"/>
          <w:color w:val="000000" w:themeColor="text1"/>
        </w:rPr>
      </w:pPr>
      <w:bookmarkStart w:name="_Hlk95756534" w:id="14"/>
      <w:r w:rsidRPr="00131FA3">
        <w:rPr>
          <w:rFonts w:ascii="Century Gothic" w:hAnsi="Century Gothic" w:eastAsia="Calibri" w:cs="Arial"/>
          <w:color w:val="000000" w:themeColor="text1"/>
        </w:rPr>
        <w:t>Así las cosas, el Consejo de Estado suspendió provisionalmente el literal a), por lo cual el objeto de los contratos debe ser acorde con los planes nacionales o seccionales de desarrollo; y no necesariamente estar previstos directamente en ellos. Por lo demás, no solo se pueden celebrar contratos para los objetos específicos señalados en el Decreto 092 de 2017.</w:t>
      </w:r>
    </w:p>
    <w:bookmarkEnd w:id="14"/>
    <w:p w:rsidRPr="00131FA3" w:rsidR="00351421" w:rsidP="00351421" w:rsidRDefault="00351421" w14:paraId="59241F2F" w14:textId="77777777">
      <w:pPr>
        <w:spacing w:after="0" w:line="276" w:lineRule="auto"/>
        <w:ind w:firstLine="709"/>
        <w:jc w:val="both"/>
        <w:rPr>
          <w:rFonts w:ascii="Century Gothic" w:hAnsi="Century Gothic" w:eastAsia="Calibri" w:cs="Arial"/>
          <w:color w:val="000000" w:themeColor="text1"/>
        </w:rPr>
      </w:pPr>
      <w:r w:rsidRPr="00131FA3">
        <w:rPr>
          <w:rFonts w:ascii="Century Gothic" w:hAnsi="Century Gothic" w:eastAsia="Calibri" w:cs="Arial"/>
          <w:color w:val="000000" w:themeColor="text1"/>
        </w:rPr>
        <w:lastRenderedPageBreak/>
        <w:t xml:space="preserve">El Consejo de Estado, en el auto del 6 de agosto de 2019, en </w:t>
      </w:r>
      <w:r w:rsidRPr="00131FA3">
        <w:rPr>
          <w:rFonts w:ascii="Century Gothic" w:hAnsi="Century Gothic" w:eastAsia="Calibri" w:cs="Arial"/>
          <w:i/>
          <w:iCs/>
          <w:color w:val="000000" w:themeColor="text1"/>
        </w:rPr>
        <w:t>tercer</w:t>
      </w:r>
      <w:r w:rsidRPr="00131FA3">
        <w:rPr>
          <w:rFonts w:ascii="Century Gothic" w:hAnsi="Century Gothic" w:eastAsia="Calibri" w:cs="Arial"/>
          <w:color w:val="000000" w:themeColor="text1"/>
        </w:rPr>
        <w:t xml:space="preserve"> lugar, examinó el literal c) y el inciso 5 del artículo 2 del Decreto</w:t>
      </w:r>
      <w:r w:rsidRPr="00131FA3">
        <w:rPr>
          <w:rStyle w:val="Refdenotaalpie"/>
          <w:rFonts w:ascii="Century Gothic" w:hAnsi="Century Gothic" w:eastAsia="Calibri" w:cs="Arial"/>
          <w:color w:val="000000" w:themeColor="text1"/>
        </w:rPr>
        <w:footnoteReference w:id="16"/>
      </w:r>
      <w:r w:rsidRPr="00131FA3">
        <w:rPr>
          <w:rFonts w:ascii="Century Gothic" w:hAnsi="Century Gothic" w:eastAsia="Calibri" w:cs="Arial"/>
          <w:color w:val="000000" w:themeColor="text1"/>
        </w:rPr>
        <w:t xml:space="preserve">, señalando que contraría la norma constitucional al condicionar que los contratos solo se pueden celebrar cuando no exista oferta en el mercado, sometiendo su celebración a que, de existir oferta, la contratación con las entidades sin ánimo de lucro represente la optimización de los recursos públicos en términos de eficiencia, eficacia, economía y manejo del riesgo, toda vez que se desconocería la naturaleza de las entidades sin ánimo de lucro que implica que ellas no participan en el mercado de bienes y servicios de la misma forma que las demás sociedades. En este sentido, el Consejo de Estado manifestó: </w:t>
      </w:r>
    </w:p>
    <w:p w:rsidRPr="00131FA3" w:rsidR="00351421" w:rsidP="00351421" w:rsidRDefault="00351421" w14:paraId="59CD3267" w14:textId="77777777">
      <w:pPr>
        <w:spacing w:after="0" w:line="276" w:lineRule="auto"/>
        <w:jc w:val="both"/>
        <w:rPr>
          <w:rFonts w:ascii="Century Gothic" w:hAnsi="Century Gothic" w:eastAsia="Calibri" w:cs="Arial"/>
          <w:color w:val="000000" w:themeColor="text1"/>
        </w:rPr>
      </w:pPr>
    </w:p>
    <w:p w:rsidRPr="00131FA3" w:rsidR="00351421" w:rsidP="00351421" w:rsidRDefault="00351421" w14:paraId="30137B93" w14:textId="77777777">
      <w:pPr>
        <w:spacing w:after="0" w:line="240" w:lineRule="auto"/>
        <w:ind w:left="708" w:right="709"/>
        <w:jc w:val="both"/>
        <w:rPr>
          <w:rFonts w:ascii="Century Gothic" w:hAnsi="Century Gothic" w:eastAsia="Calibri" w:cs="Arial"/>
          <w:color w:val="000000" w:themeColor="text1"/>
          <w:sz w:val="21"/>
          <w:szCs w:val="21"/>
        </w:rPr>
      </w:pPr>
      <w:r w:rsidRPr="00131FA3">
        <w:rPr>
          <w:rFonts w:ascii="Century Gothic" w:hAnsi="Century Gothic" w:eastAsia="Calibri" w:cs="Arial"/>
          <w:color w:val="000000" w:themeColor="text1"/>
          <w:sz w:val="21"/>
          <w:szCs w:val="21"/>
        </w:rPr>
        <w:t>“El propósito de garantizar la libre competencia en el mercado –como se advierte de la lectura del acto acusado– no se ajusta a la finalidad de la norma constitucional en cita, pues desconoce que las entidades sin ánimo de lucro no participan en el mercado de bienes y servicios como lo hacen las demás y, por la misma razón, no se les pueden aplicar las reglas de selección contenidas en el Estatuto General de la Contratación Pública. Las entidades a las cuales la norma constitucional busca apoyar son entidades que (i) no tienen ánimo de lucro y (ii) desarrollan programas y actividades de interés público con reconocida idoneidad. No son, entonces, entidades creadas para competir en el mercado”.</w:t>
      </w:r>
    </w:p>
    <w:p w:rsidRPr="00131FA3" w:rsidR="00351421" w:rsidP="00351421" w:rsidRDefault="00351421" w14:paraId="76788E4A" w14:textId="77777777">
      <w:pPr>
        <w:spacing w:after="0" w:line="276" w:lineRule="auto"/>
        <w:jc w:val="both"/>
        <w:rPr>
          <w:rFonts w:ascii="Century Gothic" w:hAnsi="Century Gothic" w:eastAsia="Calibri" w:cs="Arial"/>
          <w:color w:val="000000" w:themeColor="text1"/>
        </w:rPr>
      </w:pPr>
    </w:p>
    <w:p w:rsidRPr="00131FA3" w:rsidR="00351421" w:rsidP="00351421" w:rsidRDefault="00351421" w14:paraId="09F7AF90" w14:textId="77777777">
      <w:pPr>
        <w:spacing w:line="276" w:lineRule="auto"/>
        <w:ind w:firstLine="709"/>
        <w:jc w:val="both"/>
        <w:rPr>
          <w:rFonts w:ascii="Century Gothic" w:hAnsi="Century Gothic" w:eastAsia="Calibri" w:cs="Arial"/>
          <w:color w:val="000000" w:themeColor="text1"/>
        </w:rPr>
      </w:pPr>
      <w:r w:rsidRPr="00131FA3">
        <w:rPr>
          <w:rFonts w:ascii="Century Gothic" w:hAnsi="Century Gothic" w:eastAsia="Calibri" w:cs="Arial"/>
          <w:color w:val="000000" w:themeColor="text1"/>
        </w:rPr>
        <w:t>Por tanto, suspendió provisionalmente el literal c) y el inciso 5º del artículo 2 del Decreto 092 de 2017, razón por la cual los procesos de contratación con entidades privadas sin ánimo de lucro no quedan condicionados a la inexistencia de oferta en el mercado de bienes y servicios, ni a que la ESAL garantice la mejor oferta y la optimización de los recursos públicos. Lo anterior, en la medida que estas condiciones son propias de la contratación del Estatuto General de Contratación de la Administración Pública, no del régimen jurídico especial que establece el artículo 355 de la Constitución Política.</w:t>
      </w:r>
    </w:p>
    <w:p w:rsidRPr="00131FA3" w:rsidR="00351421" w:rsidP="00351421" w:rsidRDefault="00351421" w14:paraId="7E16D265" w14:textId="77777777">
      <w:pPr>
        <w:spacing w:after="0" w:line="276" w:lineRule="auto"/>
        <w:ind w:firstLine="709"/>
        <w:jc w:val="both"/>
        <w:rPr>
          <w:rFonts w:ascii="Century Gothic" w:hAnsi="Century Gothic" w:eastAsia="Calibri" w:cs="Arial"/>
          <w:color w:val="000000" w:themeColor="text1"/>
        </w:rPr>
      </w:pPr>
      <w:r w:rsidRPr="00131FA3">
        <w:rPr>
          <w:rFonts w:ascii="Century Gothic" w:hAnsi="Century Gothic" w:eastAsia="Calibri" w:cs="Arial"/>
          <w:color w:val="000000" w:themeColor="text1"/>
        </w:rPr>
        <w:t xml:space="preserve">La </w:t>
      </w:r>
      <w:r w:rsidRPr="00131FA3">
        <w:rPr>
          <w:rFonts w:ascii="Century Gothic" w:hAnsi="Century Gothic" w:eastAsia="Calibri" w:cs="Arial"/>
          <w:i/>
          <w:iCs/>
          <w:color w:val="000000" w:themeColor="text1"/>
        </w:rPr>
        <w:t>cuarta</w:t>
      </w:r>
      <w:r w:rsidRPr="00131FA3">
        <w:rPr>
          <w:rFonts w:ascii="Century Gothic" w:hAnsi="Century Gothic" w:eastAsia="Calibri" w:cs="Arial"/>
          <w:color w:val="000000" w:themeColor="text1"/>
        </w:rPr>
        <w:t xml:space="preserve"> norma que estudió el Consejo de Estado en el auto del 6 de agosto de 2019 fue el inciso final del artículo 4 del Decreto 092 de 2017, el cual hace referencia a la posibilidad de contratar directamente cuando el objeto del contrato esté relacionado con actividades artísticas, culturales, deportivas y de </w:t>
      </w:r>
      <w:r w:rsidRPr="00131FA3">
        <w:rPr>
          <w:rFonts w:ascii="Century Gothic" w:hAnsi="Century Gothic" w:eastAsia="Calibri" w:cs="Arial"/>
          <w:color w:val="000000" w:themeColor="text1"/>
        </w:rPr>
        <w:lastRenderedPageBreak/>
        <w:t>promoción de la diversidad étnica colombiana, que únicamente pueden ejecutar determinadas personas jurídicas o naturales</w:t>
      </w:r>
      <w:r w:rsidRPr="00131FA3">
        <w:rPr>
          <w:rStyle w:val="Refdenotaalpie"/>
          <w:rFonts w:ascii="Century Gothic" w:hAnsi="Century Gothic" w:eastAsia="Calibri" w:cs="Arial"/>
          <w:color w:val="000000" w:themeColor="text1"/>
        </w:rPr>
        <w:footnoteReference w:id="17"/>
      </w:r>
      <w:r w:rsidRPr="00131FA3">
        <w:rPr>
          <w:rFonts w:ascii="Century Gothic" w:hAnsi="Century Gothic" w:eastAsia="Calibri" w:cs="Arial"/>
          <w:color w:val="000000" w:themeColor="text1"/>
        </w:rPr>
        <w:t xml:space="preserve">. Para la Sala, esta norma vulnera el principio de igualdad, por establecer un privilegio para determinadas personas jurídicas o naturales que ejecutaran únicamente las actividades allí previstas, contratándolas sin realizar un proceso competitivo. El Consejo de Estado se pronunció en los siguientes términos: </w:t>
      </w:r>
    </w:p>
    <w:p w:rsidRPr="00131FA3" w:rsidR="00351421" w:rsidP="00351421" w:rsidRDefault="00351421" w14:paraId="4C92578A" w14:textId="77777777">
      <w:pPr>
        <w:spacing w:after="0" w:line="276" w:lineRule="auto"/>
        <w:jc w:val="both"/>
        <w:rPr>
          <w:rFonts w:ascii="Century Gothic" w:hAnsi="Century Gothic" w:eastAsia="Calibri" w:cs="Arial"/>
          <w:color w:val="000000" w:themeColor="text1"/>
        </w:rPr>
      </w:pPr>
    </w:p>
    <w:p w:rsidRPr="00131FA3" w:rsidR="00351421" w:rsidP="00351421" w:rsidRDefault="00351421" w14:paraId="253523DF" w14:textId="77777777">
      <w:pPr>
        <w:spacing w:after="0" w:line="240" w:lineRule="auto"/>
        <w:ind w:left="708" w:right="709"/>
        <w:jc w:val="both"/>
        <w:rPr>
          <w:rFonts w:ascii="Century Gothic" w:hAnsi="Century Gothic" w:eastAsia="Calibri" w:cs="Arial"/>
          <w:color w:val="000000" w:themeColor="text1"/>
          <w:sz w:val="21"/>
          <w:szCs w:val="21"/>
        </w:rPr>
      </w:pPr>
      <w:r w:rsidRPr="00131FA3">
        <w:rPr>
          <w:rFonts w:ascii="Century Gothic" w:hAnsi="Century Gothic" w:eastAsia="Calibri" w:cs="Arial"/>
          <w:color w:val="000000" w:themeColor="text1"/>
          <w:sz w:val="21"/>
          <w:szCs w:val="21"/>
        </w:rPr>
        <w:t xml:space="preserve">“Puestas así las cosas, el despacho no encuentra motivo alguno para que se prescinda del proceso de selección cuando se identifique que el programa o actividad de interés público es ofrecido por más de una persona –natural o jurídica– simple y llanamente porque el objeto del proceso de contratación corresponda a actividades artísticas, culturales, deportivas y de promoción de la diversidad étnica. Esta razón, por tanto, es suficiente para concluir que el Gobierno Nacional le otorgó un tratamiento privilegiado a quienes desarrollen tales actividades (artísticas, culturales, deportivas y de promoción de la diversidad étnica) lo cual resulta claramente violatorio de la igualdad que debe gobernar este tipo de procedimientos contractuales. No se entiende, entonces, cuál es la razón para que se le asigne un tratamiento distinto a la contratación con este tipo de actividades (artísticas, culturales, deportivas y de promoción a la diversidad étnica) frente a las actividades de interés público de otra naturaleza”. </w:t>
      </w:r>
    </w:p>
    <w:p w:rsidRPr="00131FA3" w:rsidR="00351421" w:rsidP="00351421" w:rsidRDefault="00351421" w14:paraId="02ADFA95" w14:textId="77777777">
      <w:pPr>
        <w:spacing w:after="0" w:line="276" w:lineRule="auto"/>
        <w:ind w:firstLine="709"/>
        <w:jc w:val="both"/>
        <w:rPr>
          <w:rFonts w:ascii="Century Gothic" w:hAnsi="Century Gothic" w:eastAsia="Calibri" w:cs="Arial"/>
          <w:color w:val="000000" w:themeColor="text1"/>
        </w:rPr>
      </w:pPr>
      <w:bookmarkStart w:name="_Hlk95756891" w:id="15"/>
    </w:p>
    <w:p w:rsidRPr="00131FA3" w:rsidR="00351421" w:rsidP="00351421" w:rsidRDefault="00351421" w14:paraId="6772CE10" w14:textId="77777777">
      <w:pPr>
        <w:spacing w:line="276" w:lineRule="auto"/>
        <w:ind w:firstLine="709"/>
        <w:jc w:val="both"/>
        <w:rPr>
          <w:rFonts w:ascii="Century Gothic" w:hAnsi="Century Gothic" w:eastAsia="Calibri" w:cs="Arial"/>
          <w:color w:val="000000" w:themeColor="text1"/>
        </w:rPr>
      </w:pPr>
      <w:r w:rsidRPr="00131FA3">
        <w:rPr>
          <w:rFonts w:ascii="Century Gothic" w:hAnsi="Century Gothic" w:eastAsia="Calibri" w:cs="Arial"/>
          <w:color w:val="000000" w:themeColor="text1"/>
        </w:rPr>
        <w:t xml:space="preserve">Por consiguiente, se suspendió provisionalmente el inciso final del artículo 4 por violar el principio de igualdad, de manera que la contratación de actividades y programas de interés público debe realizarse a través de un proceso competitivo para escoger a la entidad sin ánimo de lucro. </w:t>
      </w:r>
      <w:bookmarkEnd w:id="15"/>
      <w:r w:rsidRPr="00131FA3">
        <w:rPr>
          <w:rFonts w:ascii="Century Gothic" w:hAnsi="Century Gothic" w:eastAsia="Calibri" w:cs="Arial"/>
          <w:color w:val="000000" w:themeColor="text1"/>
        </w:rPr>
        <w:t xml:space="preserve">En estos procesos, entonces, se debe acudir a los criterios aplicables a los otros negocios jurídicos que regula el Decreto 092 de 2017, particularmente las exigencias del artículo 2 </w:t>
      </w:r>
      <w:r w:rsidRPr="00131FA3">
        <w:rPr>
          <w:rFonts w:ascii="Century Gothic" w:hAnsi="Century Gothic" w:eastAsia="Calibri" w:cs="Arial"/>
          <w:i/>
          <w:iCs/>
          <w:color w:val="000000" w:themeColor="text1"/>
        </w:rPr>
        <w:t>ibidem</w:t>
      </w:r>
      <w:r w:rsidRPr="00131FA3">
        <w:rPr>
          <w:rFonts w:ascii="Century Gothic" w:hAnsi="Century Gothic" w:eastAsia="Calibri" w:cs="Arial"/>
          <w:color w:val="000000" w:themeColor="text1"/>
        </w:rPr>
        <w:t xml:space="preserve">. Incluso, habría que tener en cuenta las exigencias del inciso 2 del artículo 4 </w:t>
      </w:r>
      <w:r w:rsidRPr="00131FA3">
        <w:rPr>
          <w:rFonts w:ascii="Century Gothic" w:hAnsi="Century Gothic" w:eastAsia="Calibri" w:cs="Arial"/>
          <w:i/>
          <w:iCs/>
          <w:color w:val="000000" w:themeColor="text1"/>
        </w:rPr>
        <w:t>íbídem</w:t>
      </w:r>
      <w:r w:rsidRPr="00131FA3">
        <w:rPr>
          <w:rFonts w:ascii="Century Gothic" w:hAnsi="Century Gothic" w:eastAsia="Calibri" w:cs="Arial"/>
          <w:color w:val="000000" w:themeColor="text1"/>
        </w:rPr>
        <w:t>, siempre que se configuren los supuestos de aplicación de dicha normativa, esto es, siempre que exista más de una entidad sin ánimo de lucro de reconocida idoneidad.</w:t>
      </w:r>
    </w:p>
    <w:p w:rsidRPr="00131FA3" w:rsidR="00351421" w:rsidP="00351421" w:rsidRDefault="00351421" w14:paraId="3A5834E6" w14:textId="77777777">
      <w:pPr>
        <w:spacing w:before="120" w:line="276" w:lineRule="auto"/>
        <w:ind w:firstLine="709"/>
        <w:jc w:val="both"/>
        <w:rPr>
          <w:rFonts w:ascii="Century Gothic" w:hAnsi="Century Gothic" w:eastAsia="Calibri" w:cs="Arial"/>
          <w:color w:val="000000" w:themeColor="text1"/>
        </w:rPr>
      </w:pPr>
      <w:bookmarkStart w:name="_Hlk95757095" w:id="16"/>
      <w:r w:rsidRPr="00131FA3">
        <w:rPr>
          <w:rFonts w:ascii="Century Gothic" w:hAnsi="Century Gothic" w:eastAsia="Calibri" w:cs="Arial"/>
          <w:color w:val="000000" w:themeColor="text1"/>
        </w:rPr>
        <w:t xml:space="preserve">Por último, en </w:t>
      </w:r>
      <w:r w:rsidRPr="00131FA3">
        <w:rPr>
          <w:rFonts w:ascii="Century Gothic" w:hAnsi="Century Gothic" w:eastAsia="Calibri" w:cs="Arial"/>
          <w:i/>
          <w:iCs/>
          <w:color w:val="000000" w:themeColor="text1"/>
        </w:rPr>
        <w:t xml:space="preserve">quinto </w:t>
      </w:r>
      <w:r w:rsidRPr="00131FA3">
        <w:rPr>
          <w:rFonts w:ascii="Century Gothic" w:hAnsi="Century Gothic" w:eastAsia="Calibri" w:cs="Arial"/>
          <w:color w:val="000000" w:themeColor="text1"/>
        </w:rPr>
        <w:t xml:space="preserve">lugar, el Consejo de Estado en el auto del 6 de agosto de 2019 analizó la solicitud de suspensión del artículo 5 del Decreto 092 de 2017, que reglamenta los convenios de asociación que prevé el artículo 96 de la Ley 489 de 1998. Concluyó que el análisis de esta norma debe realizarse a profundidad </w:t>
      </w:r>
      <w:r w:rsidRPr="00131FA3">
        <w:rPr>
          <w:rFonts w:ascii="Century Gothic" w:hAnsi="Century Gothic" w:eastAsia="Calibri" w:cs="Arial"/>
          <w:color w:val="000000" w:themeColor="text1"/>
        </w:rPr>
        <w:lastRenderedPageBreak/>
        <w:t xml:space="preserve">para establecer si efectivamente existe una contradicción normativa que implique que se afectó la competencia del legislador. En consecuencia negó la solicitud de suspensión provisional, reservando el análisis sobre la legalidad de dicho artículo a la sentencia. </w:t>
      </w:r>
    </w:p>
    <w:p w:rsidRPr="00131FA3" w:rsidR="00351421" w:rsidP="00351421" w:rsidRDefault="00351421" w14:paraId="64F23A69" w14:textId="77777777">
      <w:pPr>
        <w:spacing w:before="120" w:after="0" w:line="276" w:lineRule="auto"/>
        <w:ind w:firstLine="709"/>
        <w:jc w:val="both"/>
        <w:rPr>
          <w:rFonts w:ascii="Century Gothic" w:hAnsi="Century Gothic" w:eastAsia="Calibri" w:cs="Arial"/>
          <w:color w:val="000000" w:themeColor="text1"/>
        </w:rPr>
      </w:pPr>
      <w:r w:rsidRPr="00131FA3">
        <w:rPr>
          <w:rFonts w:ascii="Century Gothic" w:hAnsi="Century Gothic" w:eastAsia="Calibri" w:cs="Arial"/>
          <w:color w:val="000000" w:themeColor="text1"/>
        </w:rPr>
        <w:t>La Sala Plena del Consejo de Estado en Auto del 15 de marzo de 2022 estima que debe mantenerse la suspensión provisional del literal a) del artículo 2 del Decreto 092 de 2017. Lo anterior en la medida que esta restringe y contraria la finalidad de apoyo y fomento prevista en el artículo 355 de la Constitución Política, pues –pese a que la norma superior no hizo diferenciación alguna al respecto– el decreto limita su órbita de aplicación a un catálogo de actividades y programas de interés público susceptibles de este mecanismo</w:t>
      </w:r>
      <w:r w:rsidRPr="00131FA3">
        <w:rPr>
          <w:rStyle w:val="Refdenotaalpie"/>
          <w:rFonts w:ascii="Century Gothic" w:hAnsi="Century Gothic" w:eastAsia="Calibri" w:cs="Arial"/>
          <w:color w:val="000000" w:themeColor="text1"/>
        </w:rPr>
        <w:footnoteReference w:id="18"/>
      </w:r>
      <w:r w:rsidRPr="00131FA3">
        <w:rPr>
          <w:rFonts w:ascii="Century Gothic" w:hAnsi="Century Gothic" w:eastAsia="Calibri" w:cs="Arial"/>
          <w:color w:val="000000" w:themeColor="text1"/>
        </w:rPr>
        <w:t xml:space="preserve">. Por lo demás, respecto al inciso final del artículo 4 </w:t>
      </w:r>
      <w:r w:rsidRPr="00131FA3">
        <w:rPr>
          <w:rFonts w:ascii="Century Gothic" w:hAnsi="Century Gothic" w:eastAsia="Calibri" w:cs="Arial"/>
          <w:i/>
          <w:iCs/>
          <w:color w:val="000000" w:themeColor="text1"/>
        </w:rPr>
        <w:t>ibidem</w:t>
      </w:r>
      <w:r w:rsidRPr="00131FA3">
        <w:rPr>
          <w:rFonts w:ascii="Century Gothic" w:hAnsi="Century Gothic" w:eastAsia="Calibri" w:cs="Arial"/>
          <w:color w:val="000000" w:themeColor="text1"/>
        </w:rPr>
        <w:t>, el Consejo de Estado mantiene la medida cautelar al configurarse el cargo de violación del principio de igualdad. Para estos efectos, considera que:</w:t>
      </w:r>
    </w:p>
    <w:p w:rsidRPr="00131FA3" w:rsidR="00351421" w:rsidP="00351421" w:rsidRDefault="00351421" w14:paraId="3BB7CCB3" w14:textId="77777777">
      <w:pPr>
        <w:spacing w:after="0" w:line="276" w:lineRule="auto"/>
        <w:ind w:firstLine="709"/>
        <w:jc w:val="both"/>
        <w:rPr>
          <w:rFonts w:ascii="Century Gothic" w:hAnsi="Century Gothic" w:eastAsia="Calibri" w:cs="Arial"/>
          <w:color w:val="000000" w:themeColor="text1"/>
        </w:rPr>
      </w:pPr>
    </w:p>
    <w:p w:rsidRPr="00131FA3" w:rsidR="00351421" w:rsidP="00351421" w:rsidRDefault="00351421" w14:paraId="1534C0DA" w14:textId="77777777">
      <w:pPr>
        <w:spacing w:after="120" w:line="240" w:lineRule="auto"/>
        <w:ind w:left="709" w:right="709"/>
        <w:jc w:val="both"/>
        <w:rPr>
          <w:rFonts w:ascii="Century Gothic" w:hAnsi="Century Gothic" w:eastAsia="Calibri" w:cs="Arial"/>
          <w:color w:val="000000" w:themeColor="text1"/>
          <w:sz w:val="21"/>
          <w:szCs w:val="21"/>
        </w:rPr>
      </w:pPr>
      <w:r w:rsidRPr="00131FA3">
        <w:rPr>
          <w:rFonts w:ascii="Century Gothic" w:hAnsi="Century Gothic" w:eastAsia="Calibri" w:cs="Arial"/>
          <w:color w:val="000000" w:themeColor="text1"/>
          <w:sz w:val="21"/>
          <w:szCs w:val="21"/>
        </w:rPr>
        <w:t xml:space="preserve">“73. […] la simple afirmación referida a que existe una relación inherente entre el producto del contrato y el contratista en las actividades exceptuadas del proceso competitivo de selección no permite concluir, razonablemente, que en las demás actividades de interés general aquello no se presente, o que, por ese simple hecho, merezcan un trato diferente. </w:t>
      </w:r>
    </w:p>
    <w:p w:rsidRPr="00131FA3" w:rsidR="00351421" w:rsidP="00351421" w:rsidRDefault="00351421" w14:paraId="23D72C29" w14:textId="77777777">
      <w:pPr>
        <w:spacing w:after="0" w:line="240" w:lineRule="auto"/>
        <w:ind w:left="709" w:right="709"/>
        <w:jc w:val="both"/>
        <w:rPr>
          <w:rFonts w:ascii="Century Gothic" w:hAnsi="Century Gothic" w:eastAsia="Calibri" w:cs="Arial"/>
          <w:color w:val="000000" w:themeColor="text1"/>
          <w:sz w:val="21"/>
          <w:szCs w:val="21"/>
        </w:rPr>
      </w:pPr>
      <w:r w:rsidRPr="00131FA3">
        <w:rPr>
          <w:rFonts w:ascii="Century Gothic" w:hAnsi="Century Gothic" w:eastAsia="Calibri" w:cs="Arial"/>
          <w:color w:val="000000" w:themeColor="text1"/>
          <w:sz w:val="21"/>
          <w:szCs w:val="21"/>
        </w:rPr>
        <w:t>74. En efecto, si en otros ámbitos de actividad de interés público que pueden adelantar entidades privadas sin ánimo de lucro se llega a presentar la situación de que sólo una de ellas esté en capacidad de realizarla, no será factible contratar directamente con ella, puesto que no hace parte de las actividades enunciadas en la norma: de índole artística, cultural, deportiva o de promoción de la diversidad étnica”</w:t>
      </w:r>
      <w:r w:rsidRPr="00131FA3">
        <w:rPr>
          <w:rStyle w:val="Refdenotaalpie"/>
          <w:rFonts w:ascii="Century Gothic" w:hAnsi="Century Gothic" w:eastAsia="Calibri" w:cs="Arial"/>
          <w:color w:val="000000" w:themeColor="text1"/>
          <w:sz w:val="21"/>
          <w:szCs w:val="21"/>
        </w:rPr>
        <w:footnoteReference w:id="19"/>
      </w:r>
      <w:r w:rsidRPr="00131FA3">
        <w:rPr>
          <w:rFonts w:ascii="Century Gothic" w:hAnsi="Century Gothic" w:eastAsia="Calibri" w:cs="Arial"/>
          <w:color w:val="000000" w:themeColor="text1"/>
          <w:sz w:val="21"/>
          <w:szCs w:val="21"/>
        </w:rPr>
        <w:t xml:space="preserve">.  </w:t>
      </w:r>
    </w:p>
    <w:p w:rsidRPr="00131FA3" w:rsidR="00351421" w:rsidP="00351421" w:rsidRDefault="00351421" w14:paraId="10C5E6E1" w14:textId="77777777">
      <w:pPr>
        <w:spacing w:after="0" w:line="276" w:lineRule="auto"/>
        <w:ind w:firstLine="709"/>
        <w:jc w:val="both"/>
        <w:rPr>
          <w:rFonts w:ascii="Century Gothic" w:hAnsi="Century Gothic" w:eastAsia="Calibri" w:cs="Arial"/>
          <w:color w:val="000000" w:themeColor="text1"/>
        </w:rPr>
      </w:pPr>
    </w:p>
    <w:p w:rsidRPr="00131FA3" w:rsidR="00351421" w:rsidP="00351421" w:rsidRDefault="00351421" w14:paraId="1337123E" w14:textId="77777777">
      <w:pPr>
        <w:spacing w:line="276" w:lineRule="auto"/>
        <w:ind w:firstLine="709"/>
        <w:jc w:val="both"/>
        <w:rPr>
          <w:rFonts w:ascii="Century Gothic" w:hAnsi="Century Gothic" w:eastAsia="Calibri" w:cs="Arial"/>
          <w:color w:val="000000" w:themeColor="text1"/>
        </w:rPr>
      </w:pPr>
      <w:bookmarkStart w:name="_Hlk95757157" w:id="18"/>
      <w:bookmarkEnd w:id="16"/>
      <w:r w:rsidRPr="00131FA3">
        <w:rPr>
          <w:rFonts w:ascii="Century Gothic" w:hAnsi="Century Gothic" w:cs="Arial"/>
          <w:color w:val="000000" w:themeColor="text1"/>
        </w:rPr>
        <w:t xml:space="preserve">De lo anterior se desprende que la contratación con entidades sin ánimo de lucro se sigue rigiendo por el Decreto 092 de 2017, salvo lo que fue objeto de suspensión provisional. Por lo tanto, las entidades públicas que desean celebrar contratos de interés público, en los términos del artículo 355 de la Constitución Política, deberán contratar con ESAL de reconocida idoneidad, como ya se dijo, </w:t>
      </w:r>
      <w:r w:rsidRPr="00131FA3">
        <w:rPr>
          <w:rFonts w:ascii="Century Gothic" w:hAnsi="Century Gothic" w:cs="Arial"/>
          <w:color w:val="000000" w:themeColor="text1"/>
        </w:rPr>
        <w:lastRenderedPageBreak/>
        <w:t>realizando un proceso competitivo, y teniendo en cuenta lo siguiente: i) no debe condicionarse el proceso de contratación a la inexistencia de oferta en el mercado de bienes y servicios; ii) tampoco debe condicionarse a que la contratación con las ESAL garantice la optimización de los recursos públicos en términos de eficiencia, eficacia, economía y manejo del riesgo; iii) el objeto del contrato debe estar acorde con el plan nacional o seccional de desarrollo; iv) no puede condicionarse únicamente a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por lo que basta con cumplir el anterior numeral iii); y v) el contrato no debe establecer una relación conmutativa en el cual haya una contraprestación directa a favor de la entidad, ni instrucciones precisas dadas por esta al contratista para cumplir con el objeto del contrato.</w:t>
      </w:r>
    </w:p>
    <w:p w:rsidRPr="00131FA3" w:rsidR="00351421" w:rsidP="00351421" w:rsidRDefault="00351421" w14:paraId="42C39975" w14:textId="77777777">
      <w:pPr>
        <w:spacing w:before="120" w:line="276" w:lineRule="auto"/>
        <w:ind w:firstLine="709"/>
        <w:jc w:val="both"/>
        <w:rPr>
          <w:rFonts w:ascii="Century Gothic" w:hAnsi="Century Gothic" w:eastAsia="Calibri" w:cs="Arial"/>
          <w:color w:val="000000" w:themeColor="text1"/>
        </w:rPr>
      </w:pPr>
      <w:r w:rsidRPr="00131FA3">
        <w:rPr>
          <w:rFonts w:ascii="Century Gothic" w:hAnsi="Century Gothic" w:eastAsia="Calibri" w:cs="Arial"/>
          <w:color w:val="000000" w:themeColor="text1"/>
        </w:rPr>
        <w:t xml:space="preserve">Ahora, si se pretende realizar un </w:t>
      </w:r>
      <w:r w:rsidRPr="00131FA3">
        <w:rPr>
          <w:rFonts w:ascii="Century Gothic" w:hAnsi="Century Gothic" w:eastAsia="Calibri" w:cs="Arial"/>
          <w:i/>
          <w:iCs/>
          <w:color w:val="000000" w:themeColor="text1"/>
        </w:rPr>
        <w:t>convenio de asociación</w:t>
      </w:r>
      <w:r w:rsidRPr="00131FA3">
        <w:rPr>
          <w:rFonts w:ascii="Century Gothic" w:hAnsi="Century Gothic" w:eastAsia="Calibri" w:cs="Arial"/>
          <w:color w:val="000000" w:themeColor="text1"/>
        </w:rPr>
        <w:t xml:space="preserve"> con ESAL de reconocida idoneidad para el cumplimiento de las funciones que la ley les asigna a las entidades públicas, deberá aplicarse lo dispuesto en el artículo 5 del Decreto 092 de 2017. De esta manera, </w:t>
      </w:r>
      <w:bookmarkEnd w:id="18"/>
      <w:r w:rsidRPr="00131FA3">
        <w:rPr>
          <w:rFonts w:ascii="Century Gothic" w:hAnsi="Century Gothic" w:eastAsia="Calibri" w:cs="Arial"/>
          <w:color w:val="000000" w:themeColor="text1"/>
        </w:rPr>
        <w:t>deben estar sujetos a competencia, salvo en aquellos casos en que una entidad sin ánimo de lucro comprometa recursos en dinero por un valor igual o superior al 30% del valor total del convenio</w:t>
      </w:r>
      <w:r w:rsidRPr="00131FA3">
        <w:rPr>
          <w:rStyle w:val="Refdenotaalpie"/>
          <w:rFonts w:ascii="Century Gothic" w:hAnsi="Century Gothic" w:cs="Arial"/>
          <w:color w:val="000000" w:themeColor="text1"/>
          <w:sz w:val="20"/>
          <w:szCs w:val="20"/>
        </w:rPr>
        <w:footnoteReference w:id="20"/>
      </w:r>
      <w:r w:rsidRPr="00131FA3">
        <w:rPr>
          <w:rFonts w:ascii="Century Gothic" w:hAnsi="Century Gothic" w:eastAsia="Calibri" w:cs="Arial"/>
          <w:color w:val="000000" w:themeColor="text1"/>
        </w:rPr>
        <w:t xml:space="preserve">, y siempre que la entidad estatal verifique previamente que no existe ninguna otra entidad sin ánimo de lucro que ofrezca aportes iguales o superiores al 30%. </w:t>
      </w:r>
      <w:r w:rsidRPr="00131FA3">
        <w:rPr>
          <w:rFonts w:ascii="Century Gothic" w:hAnsi="Century Gothic" w:eastAsia="Calibri" w:cs="Arial"/>
          <w:color w:val="000000"/>
        </w:rPr>
        <w:t>Lo anterior sin perjuicio de las restricciones previstas en el artículo 33 de la Ley de Garantías durante el periodo preelectoral de las elecciones presidenciales para los procesos no competitivos</w:t>
      </w:r>
      <w:r w:rsidRPr="00131FA3">
        <w:rPr>
          <w:rFonts w:ascii="Century Gothic" w:hAnsi="Century Gothic" w:eastAsia="Calibri" w:cs="Arial"/>
          <w:color w:val="000000" w:themeColor="text1"/>
        </w:rPr>
        <w:t>.</w:t>
      </w:r>
    </w:p>
    <w:p w:rsidRPr="00131FA3" w:rsidR="00351421" w:rsidP="00351421" w:rsidRDefault="00351421" w14:paraId="64E2FB89" w14:textId="77777777">
      <w:pPr>
        <w:spacing w:before="120" w:line="276" w:lineRule="auto"/>
        <w:ind w:firstLine="709"/>
        <w:jc w:val="both"/>
        <w:rPr>
          <w:rFonts w:ascii="Century Gothic" w:hAnsi="Century Gothic" w:eastAsia="Calibri" w:cs="Arial"/>
          <w:color w:val="000000" w:themeColor="text1"/>
        </w:rPr>
      </w:pPr>
      <w:r>
        <w:rPr>
          <w:rFonts w:ascii="Century Gothic" w:hAnsi="Century Gothic" w:eastAsia="Calibri" w:cs="Arial"/>
          <w:color w:val="000000" w:themeColor="text1"/>
        </w:rPr>
        <w:t>Anteriormente, e</w:t>
      </w:r>
      <w:r w:rsidRPr="00131FA3">
        <w:rPr>
          <w:rFonts w:ascii="Century Gothic" w:hAnsi="Century Gothic" w:eastAsia="Calibri" w:cs="Arial"/>
          <w:color w:val="000000" w:themeColor="text1"/>
        </w:rPr>
        <w:t xml:space="preserve">l numeral 16.1 de la </w:t>
      </w:r>
      <w:r>
        <w:rPr>
          <w:rFonts w:ascii="Century Gothic" w:hAnsi="Century Gothic" w:eastAsia="Calibri" w:cs="Arial"/>
          <w:color w:val="000000" w:themeColor="text1"/>
        </w:rPr>
        <w:t xml:space="preserve">versión 1 de la </w:t>
      </w:r>
      <w:r w:rsidRPr="00131FA3">
        <w:rPr>
          <w:rFonts w:ascii="Century Gothic" w:hAnsi="Century Gothic" w:eastAsia="Calibri" w:cs="Arial"/>
          <w:color w:val="000000" w:themeColor="text1"/>
        </w:rPr>
        <w:t>Circular Externa Única disponía lo siguiente: “El Decreto 092 de 2017 no es aplicable a las contrataciones que cuentan con una norma especial que las regula. A la fecha se han identificado algunas especiales, no obstante, es posible que las Entidades Estatales en el cumplimiento de sus funciones identifiquen otras adicionales”. Sin embargo, este aparte no se reprodujo en la versión 2, aprobada el 15 de julio de 2022,</w:t>
      </w:r>
      <w:r>
        <w:rPr>
          <w:rFonts w:ascii="Century Gothic" w:hAnsi="Century Gothic" w:eastAsia="Calibri" w:cs="Arial"/>
          <w:color w:val="000000" w:themeColor="text1"/>
        </w:rPr>
        <w:t xml:space="preserve"> ni en la versión 3, aprobada el 27 de diciembre de 2023,</w:t>
      </w:r>
      <w:r w:rsidRPr="00131FA3">
        <w:rPr>
          <w:rFonts w:ascii="Century Gothic" w:hAnsi="Century Gothic" w:eastAsia="Calibri" w:cs="Arial"/>
          <w:color w:val="000000" w:themeColor="text1"/>
        </w:rPr>
        <w:t xml:space="preserve"> la</w:t>
      </w:r>
      <w:r>
        <w:rPr>
          <w:rFonts w:ascii="Century Gothic" w:hAnsi="Century Gothic" w:eastAsia="Calibri" w:cs="Arial"/>
          <w:color w:val="000000" w:themeColor="text1"/>
        </w:rPr>
        <w:t>s</w:t>
      </w:r>
      <w:r w:rsidRPr="00131FA3">
        <w:rPr>
          <w:rFonts w:ascii="Century Gothic" w:hAnsi="Century Gothic" w:eastAsia="Calibri" w:cs="Arial"/>
          <w:color w:val="000000" w:themeColor="text1"/>
        </w:rPr>
        <w:t xml:space="preserve"> cual</w:t>
      </w:r>
      <w:r>
        <w:rPr>
          <w:rFonts w:ascii="Century Gothic" w:hAnsi="Century Gothic" w:eastAsia="Calibri" w:cs="Arial"/>
          <w:color w:val="000000" w:themeColor="text1"/>
        </w:rPr>
        <w:t>es</w:t>
      </w:r>
      <w:r w:rsidRPr="00131FA3">
        <w:rPr>
          <w:rFonts w:ascii="Century Gothic" w:hAnsi="Century Gothic" w:eastAsia="Calibri" w:cs="Arial"/>
          <w:color w:val="000000" w:themeColor="text1"/>
        </w:rPr>
        <w:t xml:space="preserve"> no se refiere</w:t>
      </w:r>
      <w:r>
        <w:rPr>
          <w:rFonts w:ascii="Century Gothic" w:hAnsi="Century Gothic" w:eastAsia="Calibri" w:cs="Arial"/>
          <w:color w:val="000000" w:themeColor="text1"/>
        </w:rPr>
        <w:t>n</w:t>
      </w:r>
      <w:r w:rsidRPr="00131FA3">
        <w:rPr>
          <w:rFonts w:ascii="Century Gothic" w:hAnsi="Century Gothic" w:eastAsia="Calibri" w:cs="Arial"/>
          <w:color w:val="000000" w:themeColor="text1"/>
        </w:rPr>
        <w:t xml:space="preserve"> a la </w:t>
      </w:r>
      <w:r w:rsidRPr="00131FA3">
        <w:rPr>
          <w:rFonts w:ascii="Century Gothic" w:hAnsi="Century Gothic" w:eastAsia="Calibri" w:cs="Arial"/>
          <w:color w:val="000000" w:themeColor="text1"/>
        </w:rPr>
        <w:lastRenderedPageBreak/>
        <w:t>contratación con ESAL</w:t>
      </w:r>
      <w:r w:rsidRPr="00131FA3">
        <w:rPr>
          <w:rStyle w:val="Refdenotaalpie"/>
          <w:rFonts w:ascii="Century Gothic" w:hAnsi="Century Gothic" w:eastAsia="Calibri" w:cs="Arial"/>
          <w:color w:val="000000" w:themeColor="text1"/>
        </w:rPr>
        <w:footnoteReference w:id="21"/>
      </w:r>
      <w:r w:rsidRPr="00131FA3">
        <w:rPr>
          <w:rFonts w:ascii="Century Gothic" w:hAnsi="Century Gothic" w:eastAsia="Calibri" w:cs="Arial"/>
          <w:color w:val="000000" w:themeColor="text1"/>
        </w:rPr>
        <w:t xml:space="preserve">. </w:t>
      </w:r>
      <w:r>
        <w:rPr>
          <w:rFonts w:ascii="Century Gothic" w:hAnsi="Century Gothic" w:eastAsia="Calibri" w:cs="Arial"/>
          <w:color w:val="000000" w:themeColor="text1"/>
        </w:rPr>
        <w:t>Dado que la versión 1 se encuentra derogada, es claro que ésta no complementa la versión 3, expedida recientemente. Por ello, con la derogatoria de la versión 1, cesó la obligación de la Agencia de identificar las dichas “normas especiales” a través de circular.</w:t>
      </w:r>
    </w:p>
    <w:p w:rsidR="00351421" w:rsidP="00351421" w:rsidRDefault="00351421" w14:paraId="72D8B565" w14:textId="77777777">
      <w:pPr>
        <w:spacing w:after="120" w:line="276" w:lineRule="auto"/>
        <w:ind w:firstLine="709"/>
        <w:jc w:val="both"/>
        <w:rPr>
          <w:rFonts w:ascii="Century Gothic" w:hAnsi="Century Gothic" w:eastAsia="Calibri" w:cs="Arial"/>
          <w:bCs/>
          <w:color w:val="000000"/>
          <w:lang w:eastAsia="es-CO"/>
        </w:rPr>
      </w:pPr>
      <w:r>
        <w:rPr>
          <w:rFonts w:ascii="Century Gothic" w:hAnsi="Century Gothic" w:eastAsia="Calibri" w:cs="Arial"/>
          <w:bCs/>
          <w:color w:val="000000"/>
          <w:lang w:eastAsia="es-CO"/>
        </w:rPr>
        <w:t>Dado que el artículo 8 de la Ley 1276 de 2009 dispone que “</w:t>
      </w:r>
      <w:r w:rsidRPr="00DF7334">
        <w:rPr>
          <w:rFonts w:ascii="Century Gothic" w:hAnsi="Century Gothic" w:eastAsia="Calibri" w:cs="Arial"/>
          <w:bCs/>
          <w:color w:val="000000"/>
          <w:lang w:eastAsia="es-CO"/>
        </w:rPr>
        <w:t>Los distritos y municipios podrán suscribir convenios con entidades reconocidas para el manejo de los Centros Vida</w:t>
      </w:r>
      <w:r>
        <w:rPr>
          <w:rFonts w:ascii="Century Gothic" w:hAnsi="Century Gothic" w:eastAsia="Calibri" w:cs="Arial"/>
          <w:bCs/>
          <w:color w:val="000000"/>
          <w:lang w:eastAsia="es-CO"/>
        </w:rPr>
        <w:t xml:space="preserve"> […]”</w:t>
      </w:r>
      <w:r w:rsidRPr="00131FA3">
        <w:rPr>
          <w:rFonts w:ascii="Century Gothic" w:hAnsi="Century Gothic" w:eastAsia="Calibri" w:cs="Arial"/>
          <w:bCs/>
          <w:color w:val="000000"/>
          <w:lang w:eastAsia="es-CO"/>
        </w:rPr>
        <w:t xml:space="preserve">, corresponde a cada entidad pública, en ejercicio de su competencia y previa valoración de los elementos fácticos y jurídicos, determinar la forma de </w:t>
      </w:r>
      <w:r>
        <w:rPr>
          <w:rFonts w:ascii="Century Gothic" w:hAnsi="Century Gothic" w:eastAsia="Calibri" w:cs="Arial"/>
          <w:bCs/>
          <w:color w:val="000000"/>
          <w:lang w:eastAsia="es-CO"/>
        </w:rPr>
        <w:t>adelantar su gestión contractual</w:t>
      </w:r>
      <w:r w:rsidRPr="00131FA3">
        <w:rPr>
          <w:rFonts w:ascii="Century Gothic" w:hAnsi="Century Gothic" w:eastAsia="Calibri" w:cs="Arial"/>
          <w:bCs/>
          <w:color w:val="000000"/>
          <w:lang w:eastAsia="es-CO"/>
        </w:rPr>
        <w:t>.</w:t>
      </w:r>
      <w:r>
        <w:rPr>
          <w:rFonts w:ascii="Century Gothic" w:hAnsi="Century Gothic" w:eastAsia="Calibri" w:cs="Arial"/>
          <w:bCs/>
          <w:color w:val="000000"/>
          <w:lang w:eastAsia="es-CO"/>
        </w:rPr>
        <w:t xml:space="preserve"> De esta manera, teniendo en cuenta de la norma citada no se desprende explícitamente una causal de contratación directa y que éstas son de interpretación estricta, deberá definir la aplicación del Decreto 092 de 2017 bajo el marco normativo general descrito </w:t>
      </w:r>
      <w:r w:rsidRPr="00DF7334">
        <w:rPr>
          <w:rFonts w:ascii="Century Gothic" w:hAnsi="Century Gothic" w:eastAsia="Calibri" w:cs="Arial"/>
          <w:bCs/>
          <w:i/>
          <w:iCs/>
          <w:color w:val="000000"/>
          <w:lang w:eastAsia="es-CO"/>
        </w:rPr>
        <w:t>ut supra</w:t>
      </w:r>
      <w:r>
        <w:rPr>
          <w:rFonts w:ascii="Century Gothic" w:hAnsi="Century Gothic" w:eastAsia="Calibri" w:cs="Arial"/>
          <w:bCs/>
          <w:color w:val="000000"/>
          <w:lang w:eastAsia="es-CO"/>
        </w:rPr>
        <w:t xml:space="preserve">. </w:t>
      </w:r>
      <w:r w:rsidRPr="00131FA3">
        <w:rPr>
          <w:rFonts w:ascii="Century Gothic" w:hAnsi="Century Gothic" w:eastAsia="Calibri" w:cs="Arial"/>
          <w:bCs/>
          <w:color w:val="000000"/>
          <w:lang w:eastAsia="es-CO"/>
        </w:rPr>
        <w:t xml:space="preserve"> </w:t>
      </w:r>
    </w:p>
    <w:p w:rsidR="00351421" w:rsidP="00351421" w:rsidRDefault="00351421" w14:paraId="7EB3E2D7" w14:textId="77777777">
      <w:pPr>
        <w:spacing w:after="120" w:line="276" w:lineRule="auto"/>
        <w:ind w:firstLine="709"/>
        <w:jc w:val="both"/>
        <w:rPr>
          <w:rFonts w:ascii="Century Gothic" w:hAnsi="Century Gothic" w:cs="Arial"/>
          <w:lang w:val="es-ES"/>
        </w:rPr>
      </w:pPr>
      <w:r w:rsidRPr="00131FA3">
        <w:rPr>
          <w:rFonts w:ascii="Century Gothic" w:hAnsi="Century Gothic" w:eastAsia="Calibri" w:cs="Arial"/>
          <w:bCs/>
          <w:color w:val="000000"/>
          <w:lang w:eastAsia="es-CO"/>
        </w:rPr>
        <w:t xml:space="preserve">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 </w:t>
      </w:r>
      <w:r w:rsidRPr="00131FA3">
        <w:rPr>
          <w:rFonts w:ascii="Century Gothic" w:hAnsi="Century Gothic" w:cs="Arial"/>
          <w:lang w:val="es-ES"/>
        </w:rPr>
        <w:t>Por lo anterior, previo concepto de sus órganos asesores, la solución de casos particulares o la interpretación de disposiciones de subsistemas normativos ajenos a las compras públicas corresponden a la entidad de adoptar la decisión correspondiente y, en caso de conflicto, a las autoridades judiciales, fiscales y disciplinarias.</w:t>
      </w:r>
    </w:p>
    <w:p w:rsidR="00351421" w:rsidP="00351421" w:rsidRDefault="00351421" w14:paraId="56125BBF" w14:textId="2F1FF4D3">
      <w:pPr>
        <w:spacing w:after="0" w:line="276" w:lineRule="auto"/>
        <w:ind w:firstLine="709"/>
        <w:jc w:val="both"/>
        <w:rPr>
          <w:rFonts w:ascii="Century Gothic" w:hAnsi="Century Gothic" w:eastAsia="Calibri" w:cs="Arial"/>
          <w:bCs/>
          <w:color w:val="000000"/>
          <w:lang w:eastAsia="es-CO"/>
        </w:rPr>
      </w:pPr>
      <w:r>
        <w:rPr>
          <w:rFonts w:ascii="Century Gothic" w:hAnsi="Century Gothic" w:cs="Arial"/>
          <w:lang w:val="es-ES"/>
        </w:rPr>
        <w:t xml:space="preserve">Sin perjuicio de lo anterior, </w:t>
      </w:r>
      <w:r>
        <w:rPr>
          <w:rFonts w:ascii="Century Gothic" w:hAnsi="Century Gothic" w:eastAsia="Calibri" w:cs="Arial"/>
          <w:bCs/>
          <w:color w:val="000000"/>
          <w:lang w:eastAsia="es-CO"/>
        </w:rPr>
        <w:t>en caso de que los convenios para el manejo de los centros de vida se suscriban ESAL, es necesario tener en cuenta que el artículo 9 del Decreto 092 de 2017 dispone que “</w:t>
      </w:r>
      <w:r w:rsidRPr="00FE1080">
        <w:rPr>
          <w:rFonts w:ascii="Century Gothic" w:hAnsi="Century Gothic" w:eastAsia="Calibri" w:cs="Arial"/>
          <w:bCs/>
          <w:color w:val="000000"/>
          <w:lang w:eastAsia="es-CO"/>
        </w:rPr>
        <w:t>Las entidades privadas sin ánimo de lucro que contraten con las Entidades Estatales en desarrollo del artículo 355 de la Constitución Política y el presente decreto deberán estar registradas en el SECOP, el cual será el medio para acreditar los indicadores de idoneidad, experiencia, eficacia, eficiencia, economía y de manejo del Riesgo definidos por las Entidades Estatales</w:t>
      </w:r>
      <w:r>
        <w:rPr>
          <w:rFonts w:ascii="Century Gothic" w:hAnsi="Century Gothic" w:eastAsia="Calibri" w:cs="Arial"/>
          <w:bCs/>
          <w:color w:val="000000"/>
          <w:lang w:eastAsia="es-CO"/>
        </w:rPr>
        <w:t>”</w:t>
      </w:r>
      <w:r w:rsidRPr="00FE1080">
        <w:rPr>
          <w:rFonts w:ascii="Century Gothic" w:hAnsi="Century Gothic" w:eastAsia="Calibri" w:cs="Arial"/>
          <w:bCs/>
          <w:color w:val="000000"/>
          <w:lang w:eastAsia="es-CO"/>
        </w:rPr>
        <w:t>.</w:t>
      </w:r>
      <w:r>
        <w:rPr>
          <w:rFonts w:ascii="Century Gothic" w:hAnsi="Century Gothic" w:eastAsia="Calibri" w:cs="Arial"/>
          <w:bCs/>
          <w:color w:val="000000"/>
          <w:lang w:eastAsia="es-CO"/>
        </w:rPr>
        <w:t xml:space="preserve"> </w:t>
      </w:r>
      <w:r w:rsidRPr="00484F25" w:rsidR="00484F25">
        <w:rPr>
          <w:rFonts w:ascii="Century Gothic" w:hAnsi="Century Gothic" w:eastAsia="Calibri" w:cs="Arial"/>
          <w:bCs/>
          <w:color w:val="000000"/>
          <w:lang w:eastAsia="es-CO"/>
        </w:rPr>
        <w:t>Desde esta perspectiva, como indicó la Agencia en los Conceptos C-280 de 2021 y C-112 de 2023, las Entidades Estatales que contratan con ESAL deben adelantar el Proceso de Contratación en SECOP II utilizando el módulo “Régimen Especial”, lo que restringe la utilización del SECOP I.</w:t>
      </w:r>
    </w:p>
    <w:p w:rsidRPr="00FE1080" w:rsidR="00351421" w:rsidP="00351421" w:rsidRDefault="00351421" w14:paraId="1956A227" w14:textId="77777777">
      <w:pPr>
        <w:spacing w:after="0" w:line="276" w:lineRule="auto"/>
        <w:ind w:firstLine="709"/>
        <w:jc w:val="both"/>
        <w:rPr>
          <w:rFonts w:ascii="Century Gothic" w:hAnsi="Century Gothic" w:eastAsia="Calibri" w:cs="Arial"/>
          <w:bCs/>
          <w:color w:val="000000"/>
          <w:lang w:eastAsia="es-CO"/>
        </w:rPr>
      </w:pPr>
    </w:p>
    <w:p w:rsidRPr="00131FA3" w:rsidR="00351421" w:rsidP="00351421" w:rsidRDefault="00351421" w14:paraId="2B977DFF" w14:textId="77777777">
      <w:pPr>
        <w:tabs>
          <w:tab w:val="left" w:pos="0"/>
        </w:tabs>
        <w:spacing w:after="0"/>
        <w:jc w:val="both"/>
        <w:rPr>
          <w:rFonts w:ascii="Century Gothic" w:hAnsi="Century Gothic" w:eastAsia="Calibri" w:cs="Arial"/>
          <w:b/>
          <w:color w:val="000000" w:themeColor="text1"/>
          <w:lang w:val="es-ES_tradnl"/>
        </w:rPr>
      </w:pPr>
      <w:r w:rsidRPr="00131FA3">
        <w:rPr>
          <w:rFonts w:ascii="Century Gothic" w:hAnsi="Century Gothic" w:eastAsia="Calibri" w:cs="Arial"/>
          <w:b/>
          <w:color w:val="000000" w:themeColor="text1"/>
          <w:lang w:val="es-ES_tradnl"/>
        </w:rPr>
        <w:lastRenderedPageBreak/>
        <w:t>3. Respuesta</w:t>
      </w:r>
    </w:p>
    <w:p w:rsidRPr="00131FA3" w:rsidR="00351421" w:rsidP="00351421" w:rsidRDefault="00351421" w14:paraId="6DC97294" w14:textId="77777777">
      <w:pPr>
        <w:spacing w:after="0" w:line="276" w:lineRule="auto"/>
        <w:jc w:val="both"/>
        <w:rPr>
          <w:rFonts w:ascii="Century Gothic" w:hAnsi="Century Gothic" w:eastAsia="Times New Roman" w:cs="Arial"/>
          <w:lang w:eastAsia="es-CO"/>
        </w:rPr>
      </w:pPr>
    </w:p>
    <w:p w:rsidR="00351421" w:rsidP="00351421" w:rsidRDefault="00351421" w14:paraId="643D9AE3" w14:textId="77777777">
      <w:pPr>
        <w:spacing w:after="120" w:line="240" w:lineRule="auto"/>
        <w:ind w:left="709" w:right="709"/>
        <w:jc w:val="both"/>
        <w:rPr>
          <w:rFonts w:ascii="Century Gothic" w:hAnsi="Century Gothic" w:cs="Arial"/>
          <w:color w:val="000000" w:themeColor="text1"/>
          <w:sz w:val="21"/>
          <w:szCs w:val="21"/>
          <w:lang w:val="es-ES"/>
        </w:rPr>
      </w:pPr>
      <w:r w:rsidRPr="13B52EC9">
        <w:rPr>
          <w:rFonts w:ascii="Century Gothic" w:hAnsi="Century Gothic" w:cs="Arial"/>
          <w:color w:val="000000" w:themeColor="text1"/>
          <w:sz w:val="21"/>
          <w:szCs w:val="21"/>
          <w:lang w:val="es-ES"/>
        </w:rPr>
        <w:t>i) “El Dec 092 de 2017 es aplicable a los convenios señalados en el Atención Integral al Adulto Mayor Centros Vida Ley 1276 de 2009, artículo 8?”.</w:t>
      </w:r>
    </w:p>
    <w:p w:rsidR="00351421" w:rsidP="00351421" w:rsidRDefault="00351421" w14:paraId="2A6BF1E0" w14:textId="77777777">
      <w:pPr>
        <w:spacing w:after="120" w:line="240" w:lineRule="auto"/>
        <w:ind w:left="709" w:right="709"/>
        <w:jc w:val="both"/>
        <w:rPr>
          <w:rFonts w:ascii="Century Gothic" w:hAnsi="Century Gothic" w:cs="Arial"/>
          <w:color w:val="000000" w:themeColor="text1"/>
          <w:sz w:val="21"/>
          <w:szCs w:val="21"/>
          <w:lang w:val="es-ES"/>
        </w:rPr>
      </w:pPr>
      <w:r w:rsidRPr="13B52EC9">
        <w:rPr>
          <w:rFonts w:ascii="Century Gothic" w:hAnsi="Century Gothic" w:cs="Arial"/>
          <w:color w:val="000000" w:themeColor="text1"/>
          <w:sz w:val="21"/>
          <w:szCs w:val="21"/>
          <w:lang w:val="es-ES"/>
        </w:rPr>
        <w:t>ii) “En el caso de no ser aplicable que procedimiento contractual se debe hacer? o puede llevarse a cabo bajo la modalidad de contratación Directa?”.</w:t>
      </w:r>
    </w:p>
    <w:p w:rsidR="00351421" w:rsidP="00351421" w:rsidRDefault="00351421" w14:paraId="0A2AD813" w14:textId="77777777">
      <w:pPr>
        <w:spacing w:after="120" w:line="240" w:lineRule="auto"/>
        <w:ind w:left="709" w:right="709"/>
        <w:jc w:val="both"/>
        <w:rPr>
          <w:rFonts w:ascii="Century Gothic" w:hAnsi="Century Gothic" w:cs="Arial"/>
          <w:color w:val="000000" w:themeColor="text1"/>
          <w:sz w:val="21"/>
          <w:szCs w:val="21"/>
          <w:lang w:val="es-ES"/>
        </w:rPr>
      </w:pPr>
      <w:r w:rsidRPr="13B52EC9">
        <w:rPr>
          <w:rFonts w:ascii="Century Gothic" w:hAnsi="Century Gothic" w:cs="Arial"/>
          <w:color w:val="000000" w:themeColor="text1"/>
          <w:sz w:val="21"/>
          <w:szCs w:val="21"/>
          <w:lang w:val="es-ES"/>
        </w:rPr>
        <w:t>iii) “Si una entidad pública no está obligada a estar en SECOP II, al aplicar el Dec 092 de 2017 lo puede hacer por SECOP I?”.</w:t>
      </w:r>
    </w:p>
    <w:p w:rsidR="00351421" w:rsidP="00351421" w:rsidRDefault="00351421" w14:paraId="28AFFF23" w14:textId="77777777">
      <w:pPr>
        <w:spacing w:after="120" w:line="240" w:lineRule="auto"/>
        <w:ind w:left="709" w:right="709"/>
        <w:jc w:val="both"/>
        <w:rPr>
          <w:rFonts w:ascii="Century Gothic" w:hAnsi="Century Gothic" w:cs="Arial"/>
          <w:color w:val="000000" w:themeColor="text1"/>
          <w:sz w:val="21"/>
          <w:szCs w:val="21"/>
          <w:lang w:val="es-ES"/>
        </w:rPr>
      </w:pPr>
      <w:r w:rsidRPr="13B52EC9">
        <w:rPr>
          <w:rFonts w:ascii="Century Gothic" w:hAnsi="Century Gothic" w:cs="Arial"/>
          <w:color w:val="000000" w:themeColor="text1"/>
          <w:sz w:val="21"/>
          <w:szCs w:val="21"/>
          <w:lang w:val="es-ES"/>
        </w:rPr>
        <w:t>iv) “El Dec 092 de 2017 no es aplicable a las contrataciones que cuentan con una norma especial que las regula. A la fecha se C.C.E. qué normas ha identificado como especiales a las que no le aplica el mencionado Decreto?”.</w:t>
      </w:r>
    </w:p>
    <w:p w:rsidRPr="00131FA3" w:rsidR="00351421" w:rsidP="00351421" w:rsidRDefault="00351421" w14:paraId="02DB97F8" w14:textId="77777777">
      <w:pPr>
        <w:spacing w:after="0" w:line="240" w:lineRule="auto"/>
        <w:ind w:left="709" w:right="709"/>
        <w:jc w:val="both"/>
        <w:rPr>
          <w:rFonts w:ascii="Century Gothic" w:hAnsi="Century Gothic" w:cs="Arial"/>
          <w:color w:val="000000" w:themeColor="text1"/>
          <w:sz w:val="21"/>
          <w:szCs w:val="21"/>
          <w:lang w:val="es-ES"/>
        </w:rPr>
      </w:pPr>
      <w:r w:rsidRPr="13B52EC9">
        <w:rPr>
          <w:rFonts w:ascii="Century Gothic" w:hAnsi="Century Gothic" w:cs="Arial"/>
          <w:color w:val="000000" w:themeColor="text1"/>
          <w:sz w:val="21"/>
          <w:szCs w:val="21"/>
          <w:lang w:val="es-ES"/>
        </w:rPr>
        <w:t>v) “Teniendo en cuenta que la Circular Externa Única de 2023 sintetizó varios temas pero no puntualizó otros, se puede complementar con la Circular Externa Única de 2018, referente a todo lo del Dec 092?”.</w:t>
      </w:r>
    </w:p>
    <w:p w:rsidRPr="00131FA3" w:rsidR="00351421" w:rsidP="00351421" w:rsidRDefault="00351421" w14:paraId="3D61A5B0" w14:textId="77777777">
      <w:pPr>
        <w:spacing w:after="0" w:line="276" w:lineRule="auto"/>
        <w:jc w:val="both"/>
        <w:rPr>
          <w:rFonts w:ascii="Century Gothic" w:hAnsi="Century Gothic" w:cs="Arial"/>
          <w:color w:val="000000" w:themeColor="text1"/>
          <w:lang w:val="es-ES_tradnl"/>
        </w:rPr>
      </w:pPr>
    </w:p>
    <w:p w:rsidRPr="00131FA3" w:rsidR="00351421" w:rsidP="00351421" w:rsidRDefault="00351421" w14:paraId="661E2B4D" w14:textId="77777777">
      <w:pPr>
        <w:spacing w:after="120" w:line="276" w:lineRule="auto"/>
        <w:jc w:val="both"/>
        <w:rPr>
          <w:rFonts w:ascii="Century Gothic" w:hAnsi="Century Gothic" w:eastAsia="Calibri" w:cs="Arial"/>
          <w:bCs/>
          <w:lang w:val="es-ES_tradnl"/>
        </w:rPr>
      </w:pPr>
      <w:r w:rsidRPr="00131FA3">
        <w:rPr>
          <w:rFonts w:ascii="Century Gothic" w:hAnsi="Century Gothic" w:cs="Arial"/>
          <w:bCs/>
        </w:rPr>
        <w:t xml:space="preserve">Conforme a la interpretación de las reglas generales del sistema de compras públicas, </w:t>
      </w:r>
      <w:r w:rsidRPr="00131FA3">
        <w:rPr>
          <w:rFonts w:ascii="Century Gothic" w:hAnsi="Century Gothic" w:eastAsia="Calibri" w:cs="Arial"/>
          <w:bCs/>
          <w:lang w:val="es-ES_tradnl"/>
        </w:rPr>
        <w:t xml:space="preserve">el Decreto 092 de 2017 dispone reglas para las contrataciones que realicen las entidades estatales con las ESAL. El Decreto regula dos (2) eventos: i) los contratos del artículo 355 de la Constitución Política con el fin impulsar programas y actividades de interés público de acuerdo con el Plan Nacional o los planes seccionales de desarrollo; y ii) los convenios de asociación, para el desarrollo conjunto de actividades relacionadas con las funciones de las entidades estatales, en desarrollo del artículo 96 de la Ley 489 de 1998. </w:t>
      </w:r>
    </w:p>
    <w:p w:rsidRPr="00131FA3" w:rsidR="00351421" w:rsidP="00351421" w:rsidRDefault="00351421" w14:paraId="2E701C10" w14:textId="77777777">
      <w:pPr>
        <w:spacing w:before="120" w:after="120" w:line="276" w:lineRule="auto"/>
        <w:ind w:firstLine="709"/>
        <w:jc w:val="both"/>
        <w:rPr>
          <w:rFonts w:ascii="Century Gothic" w:hAnsi="Century Gothic" w:eastAsia="Calibri" w:cs="Arial"/>
          <w:lang w:val="es-ES"/>
        </w:rPr>
      </w:pPr>
      <w:r w:rsidRPr="13B52EC9">
        <w:rPr>
          <w:rFonts w:ascii="Century Gothic" w:hAnsi="Century Gothic" w:eastAsia="Calibri" w:cs="Arial"/>
          <w:lang w:val="es-ES"/>
        </w:rPr>
        <w:t xml:space="preserve">Los </w:t>
      </w:r>
      <w:r w:rsidRPr="13B52EC9">
        <w:rPr>
          <w:rFonts w:ascii="Century Gothic" w:hAnsi="Century Gothic" w:eastAsia="Calibri" w:cs="Arial"/>
          <w:i/>
          <w:lang w:val="es-ES"/>
        </w:rPr>
        <w:t>contratos del artículo 355 de la Constitución Política</w:t>
      </w:r>
      <w:r w:rsidRPr="13B52EC9">
        <w:rPr>
          <w:rFonts w:ascii="Century Gothic" w:hAnsi="Century Gothic" w:eastAsia="Calibri" w:cs="Arial"/>
          <w:lang w:val="es-ES"/>
        </w:rPr>
        <w:t xml:space="preserve">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ésta y la ESAL, toda vez que el beneficio directo lo recibirán, en últimas, los sectores de este tipo de acciones de fomento. De otro lado, los </w:t>
      </w:r>
      <w:r w:rsidRPr="13B52EC9">
        <w:rPr>
          <w:rFonts w:ascii="Century Gothic" w:hAnsi="Century Gothic" w:eastAsia="Calibri" w:cs="Arial"/>
          <w:i/>
          <w:lang w:val="es-ES"/>
        </w:rPr>
        <w:t>convenios de asociación</w:t>
      </w:r>
      <w:r w:rsidRPr="13B52EC9">
        <w:rPr>
          <w:rFonts w:ascii="Century Gothic" w:hAnsi="Century Gothic" w:eastAsia="Calibri" w:cs="Arial"/>
          <w:lang w:val="es-ES"/>
        </w:rPr>
        <w:t xml:space="preserve">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p>
    <w:p w:rsidRPr="00131FA3" w:rsidR="00351421" w:rsidP="00351421" w:rsidRDefault="00351421" w14:paraId="1DF16BA7" w14:textId="77777777">
      <w:pPr>
        <w:spacing w:line="276" w:lineRule="auto"/>
        <w:ind w:firstLine="709"/>
        <w:jc w:val="both"/>
        <w:rPr>
          <w:rFonts w:ascii="Century Gothic" w:hAnsi="Century Gothic" w:eastAsia="Calibri" w:cs="Arial"/>
          <w:color w:val="000000" w:themeColor="text1"/>
        </w:rPr>
      </w:pPr>
      <w:r w:rsidRPr="00131FA3">
        <w:rPr>
          <w:rFonts w:ascii="Century Gothic" w:hAnsi="Century Gothic" w:cs="Arial"/>
          <w:color w:val="000000" w:themeColor="text1"/>
        </w:rPr>
        <w:lastRenderedPageBreak/>
        <w:t>La contratación con entidades sin ánimo de lucro se sigue rigiendo por el Decreto 092 de 2017, salvo lo que fue objeto de suspensión provisional. Por lo tanto, las entidades públicas que desean celebrar contratos de interés público, en los términos del artículo 355 de la Constitución Política, deberán contratar con ESAL de reconocida idoneidad, como ya se dijo, realizando un proceso competitivo, y teniendo en cuenta lo siguiente: i) no debe condicionarse el proceso de contratación a la inexistencia de oferta en el mercado de bienes y servicios; ii) tampoco debe condicionarse a que la contratación con las ESAL garantice la optimización de los recursos públicos en términos de eficiencia, eficacia, economía y manejo del riesgo; iii) el objeto del contrato debe estar acorde con el plan nacional o seccional de desarrollo; iv) no puede condicionarse únicamente a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por lo que basta con cumplir el anterior numeral iii); y v) el contrato no debe establecer una relación conmutativa en el cual haya una contraprestación directa a favor de la entidad, ni instrucciones precisas dadas por esta al contratista para cumplir con el objeto del contrato.</w:t>
      </w:r>
    </w:p>
    <w:p w:rsidRPr="00131FA3" w:rsidR="00351421" w:rsidP="00351421" w:rsidRDefault="00351421" w14:paraId="51BBB757" w14:textId="77777777">
      <w:pPr>
        <w:spacing w:before="120" w:line="276" w:lineRule="auto"/>
        <w:ind w:firstLine="709"/>
        <w:jc w:val="both"/>
        <w:rPr>
          <w:rFonts w:ascii="Century Gothic" w:hAnsi="Century Gothic" w:eastAsia="Calibri" w:cs="Arial"/>
          <w:color w:val="000000" w:themeColor="text1"/>
        </w:rPr>
      </w:pPr>
      <w:r w:rsidRPr="00131FA3">
        <w:rPr>
          <w:rFonts w:ascii="Century Gothic" w:hAnsi="Century Gothic" w:eastAsia="Calibri" w:cs="Arial"/>
          <w:color w:val="000000" w:themeColor="text1"/>
        </w:rPr>
        <w:t xml:space="preserve">Ahora, si se pretende realizar un </w:t>
      </w:r>
      <w:r w:rsidRPr="00131FA3">
        <w:rPr>
          <w:rFonts w:ascii="Century Gothic" w:hAnsi="Century Gothic" w:eastAsia="Calibri" w:cs="Arial"/>
          <w:i/>
          <w:iCs/>
          <w:color w:val="000000" w:themeColor="text1"/>
        </w:rPr>
        <w:t>convenio de asociación</w:t>
      </w:r>
      <w:r w:rsidRPr="00131FA3">
        <w:rPr>
          <w:rFonts w:ascii="Century Gothic" w:hAnsi="Century Gothic" w:eastAsia="Calibri" w:cs="Arial"/>
          <w:color w:val="000000" w:themeColor="text1"/>
        </w:rPr>
        <w:t xml:space="preserve"> con ESAL de reconocida idoneidad para el cumplimiento de las funciones que la ley les asigna a las entidades públicas, deberá aplicarse lo dispuesto en el artículo 5 del Decreto 092 de 2017. De esta manera, deben estar sujetos a competencia, salvo en aquellos casos en que una entidad sin ánimo de lucro comprometa recursos en dinero por un valor igual o superior al 30% del valor total del convenio, y siempre que la entidad estatal verifique previamente que no existe ninguna otra entidad sin ánimo de lucro que ofrezca aportes iguales o superiores al 30%. </w:t>
      </w:r>
      <w:r w:rsidRPr="00131FA3">
        <w:rPr>
          <w:rFonts w:ascii="Century Gothic" w:hAnsi="Century Gothic" w:eastAsia="Calibri" w:cs="Arial"/>
          <w:color w:val="000000"/>
        </w:rPr>
        <w:t>Lo anterior sin perjuicio de las restricciones previstas en el artículo 33 de la Ley de Garantías durante el periodo preelectoral de las elecciones presidenciales para los procesos no competitivos</w:t>
      </w:r>
      <w:r w:rsidRPr="00131FA3">
        <w:rPr>
          <w:rFonts w:ascii="Century Gothic" w:hAnsi="Century Gothic" w:eastAsia="Calibri" w:cs="Arial"/>
          <w:color w:val="000000" w:themeColor="text1"/>
        </w:rPr>
        <w:t>.</w:t>
      </w:r>
    </w:p>
    <w:p w:rsidRPr="00131FA3" w:rsidR="00351421" w:rsidP="00351421" w:rsidRDefault="00351421" w14:paraId="29755DFF" w14:textId="77777777">
      <w:pPr>
        <w:spacing w:before="120" w:line="276" w:lineRule="auto"/>
        <w:ind w:firstLine="709"/>
        <w:jc w:val="both"/>
        <w:rPr>
          <w:rFonts w:ascii="Century Gothic" w:hAnsi="Century Gothic" w:eastAsia="Calibri" w:cs="Arial"/>
          <w:color w:val="000000" w:themeColor="text1"/>
        </w:rPr>
      </w:pPr>
      <w:r>
        <w:rPr>
          <w:rFonts w:ascii="Century Gothic" w:hAnsi="Century Gothic" w:eastAsia="Calibri" w:cs="Arial"/>
          <w:color w:val="000000" w:themeColor="text1"/>
        </w:rPr>
        <w:t>Anteriormente, e</w:t>
      </w:r>
      <w:r w:rsidRPr="00131FA3">
        <w:rPr>
          <w:rFonts w:ascii="Century Gothic" w:hAnsi="Century Gothic" w:eastAsia="Calibri" w:cs="Arial"/>
          <w:color w:val="000000" w:themeColor="text1"/>
        </w:rPr>
        <w:t xml:space="preserve">l numeral 16.1 de la </w:t>
      </w:r>
      <w:r>
        <w:rPr>
          <w:rFonts w:ascii="Century Gothic" w:hAnsi="Century Gothic" w:eastAsia="Calibri" w:cs="Arial"/>
          <w:color w:val="000000" w:themeColor="text1"/>
        </w:rPr>
        <w:t xml:space="preserve">versión 1 de la </w:t>
      </w:r>
      <w:r w:rsidRPr="00131FA3">
        <w:rPr>
          <w:rFonts w:ascii="Century Gothic" w:hAnsi="Century Gothic" w:eastAsia="Calibri" w:cs="Arial"/>
          <w:color w:val="000000" w:themeColor="text1"/>
        </w:rPr>
        <w:t>Circular Externa Única disponía lo siguiente: “El Decreto 092 de 2017 no es aplicable a las contrataciones que cuentan con una norma especial que las regula. A la fecha se han identificado algunas especiales, no obstante, es posible que las Entidades Estatales en el cumplimiento de sus funciones identifiquen otras adicionales”. Sin embargo, este aparte no se reprodujo en la versión 2, aprobada el 15 de julio de 2022,</w:t>
      </w:r>
      <w:r>
        <w:rPr>
          <w:rFonts w:ascii="Century Gothic" w:hAnsi="Century Gothic" w:eastAsia="Calibri" w:cs="Arial"/>
          <w:color w:val="000000" w:themeColor="text1"/>
        </w:rPr>
        <w:t xml:space="preserve"> ni en la versión 3, aprobada el 27 de diciembre de 2023,</w:t>
      </w:r>
      <w:r w:rsidRPr="00131FA3">
        <w:rPr>
          <w:rFonts w:ascii="Century Gothic" w:hAnsi="Century Gothic" w:eastAsia="Calibri" w:cs="Arial"/>
          <w:color w:val="000000" w:themeColor="text1"/>
        </w:rPr>
        <w:t xml:space="preserve"> la</w:t>
      </w:r>
      <w:r>
        <w:rPr>
          <w:rFonts w:ascii="Century Gothic" w:hAnsi="Century Gothic" w:eastAsia="Calibri" w:cs="Arial"/>
          <w:color w:val="000000" w:themeColor="text1"/>
        </w:rPr>
        <w:t>s</w:t>
      </w:r>
      <w:r w:rsidRPr="00131FA3">
        <w:rPr>
          <w:rFonts w:ascii="Century Gothic" w:hAnsi="Century Gothic" w:eastAsia="Calibri" w:cs="Arial"/>
          <w:color w:val="000000" w:themeColor="text1"/>
        </w:rPr>
        <w:t xml:space="preserve"> cual</w:t>
      </w:r>
      <w:r>
        <w:rPr>
          <w:rFonts w:ascii="Century Gothic" w:hAnsi="Century Gothic" w:eastAsia="Calibri" w:cs="Arial"/>
          <w:color w:val="000000" w:themeColor="text1"/>
        </w:rPr>
        <w:t>es</w:t>
      </w:r>
      <w:r w:rsidRPr="00131FA3">
        <w:rPr>
          <w:rFonts w:ascii="Century Gothic" w:hAnsi="Century Gothic" w:eastAsia="Calibri" w:cs="Arial"/>
          <w:color w:val="000000" w:themeColor="text1"/>
        </w:rPr>
        <w:t xml:space="preserve"> no se refiere</w:t>
      </w:r>
      <w:r>
        <w:rPr>
          <w:rFonts w:ascii="Century Gothic" w:hAnsi="Century Gothic" w:eastAsia="Calibri" w:cs="Arial"/>
          <w:color w:val="000000" w:themeColor="text1"/>
        </w:rPr>
        <w:t>n</w:t>
      </w:r>
      <w:r w:rsidRPr="00131FA3">
        <w:rPr>
          <w:rFonts w:ascii="Century Gothic" w:hAnsi="Century Gothic" w:eastAsia="Calibri" w:cs="Arial"/>
          <w:color w:val="000000" w:themeColor="text1"/>
        </w:rPr>
        <w:t xml:space="preserve"> a la </w:t>
      </w:r>
      <w:r w:rsidRPr="00131FA3">
        <w:rPr>
          <w:rFonts w:ascii="Century Gothic" w:hAnsi="Century Gothic" w:eastAsia="Calibri" w:cs="Arial"/>
          <w:color w:val="000000" w:themeColor="text1"/>
        </w:rPr>
        <w:lastRenderedPageBreak/>
        <w:t>contratación con ESAL</w:t>
      </w:r>
      <w:r w:rsidRPr="00131FA3">
        <w:rPr>
          <w:rStyle w:val="Refdenotaalpie"/>
          <w:rFonts w:ascii="Century Gothic" w:hAnsi="Century Gothic" w:eastAsia="Calibri" w:cs="Arial"/>
          <w:color w:val="000000" w:themeColor="text1"/>
        </w:rPr>
        <w:footnoteReference w:id="22"/>
      </w:r>
      <w:r w:rsidRPr="00131FA3">
        <w:rPr>
          <w:rFonts w:ascii="Century Gothic" w:hAnsi="Century Gothic" w:eastAsia="Calibri" w:cs="Arial"/>
          <w:color w:val="000000" w:themeColor="text1"/>
        </w:rPr>
        <w:t xml:space="preserve">. </w:t>
      </w:r>
      <w:r>
        <w:rPr>
          <w:rFonts w:ascii="Century Gothic" w:hAnsi="Century Gothic" w:eastAsia="Calibri" w:cs="Arial"/>
          <w:color w:val="000000" w:themeColor="text1"/>
        </w:rPr>
        <w:t>Dado que la versión 1 se encuentra derogada, es claro que ésta no complementa la versión 3, expedida recientemente. Por ello, con la derogatoria de la versión 1, cesó la obligación de la Agencia de identificar las dichas “normas especiales” a través de circular.</w:t>
      </w:r>
    </w:p>
    <w:p w:rsidR="00351421" w:rsidP="00351421" w:rsidRDefault="00351421" w14:paraId="16A3CDDD" w14:textId="77777777">
      <w:pPr>
        <w:spacing w:after="120" w:line="276" w:lineRule="auto"/>
        <w:ind w:firstLine="709"/>
        <w:jc w:val="both"/>
        <w:rPr>
          <w:rFonts w:ascii="Century Gothic" w:hAnsi="Century Gothic" w:eastAsia="Calibri" w:cs="Arial"/>
          <w:bCs/>
          <w:color w:val="000000"/>
          <w:lang w:eastAsia="es-CO"/>
        </w:rPr>
      </w:pPr>
      <w:r>
        <w:rPr>
          <w:rFonts w:ascii="Century Gothic" w:hAnsi="Century Gothic" w:eastAsia="Calibri" w:cs="Arial"/>
          <w:bCs/>
          <w:color w:val="000000"/>
          <w:lang w:eastAsia="es-CO"/>
        </w:rPr>
        <w:t>Dado que el artículo 8 de la Ley 1276 de 2009 dispone que “</w:t>
      </w:r>
      <w:r w:rsidRPr="00DF7334">
        <w:rPr>
          <w:rFonts w:ascii="Century Gothic" w:hAnsi="Century Gothic" w:eastAsia="Calibri" w:cs="Arial"/>
          <w:bCs/>
          <w:color w:val="000000"/>
          <w:lang w:eastAsia="es-CO"/>
        </w:rPr>
        <w:t>Los distritos y municipios podrán suscribir convenios con entidades reconocidas para el manejo de los Centros Vida</w:t>
      </w:r>
      <w:r>
        <w:rPr>
          <w:rFonts w:ascii="Century Gothic" w:hAnsi="Century Gothic" w:eastAsia="Calibri" w:cs="Arial"/>
          <w:bCs/>
          <w:color w:val="000000"/>
          <w:lang w:eastAsia="es-CO"/>
        </w:rPr>
        <w:t xml:space="preserve"> […]”</w:t>
      </w:r>
      <w:r w:rsidRPr="00131FA3">
        <w:rPr>
          <w:rFonts w:ascii="Century Gothic" w:hAnsi="Century Gothic" w:eastAsia="Calibri" w:cs="Arial"/>
          <w:bCs/>
          <w:color w:val="000000"/>
          <w:lang w:eastAsia="es-CO"/>
        </w:rPr>
        <w:t xml:space="preserve">, corresponde a cada entidad pública, en ejercicio de su competencia y previa valoración de los elementos fácticos y jurídicos, determinar la forma de </w:t>
      </w:r>
      <w:r>
        <w:rPr>
          <w:rFonts w:ascii="Century Gothic" w:hAnsi="Century Gothic" w:eastAsia="Calibri" w:cs="Arial"/>
          <w:bCs/>
          <w:color w:val="000000"/>
          <w:lang w:eastAsia="es-CO"/>
        </w:rPr>
        <w:t>adelantar su gestión contractual</w:t>
      </w:r>
      <w:r w:rsidRPr="00131FA3">
        <w:rPr>
          <w:rFonts w:ascii="Century Gothic" w:hAnsi="Century Gothic" w:eastAsia="Calibri" w:cs="Arial"/>
          <w:bCs/>
          <w:color w:val="000000"/>
          <w:lang w:eastAsia="es-CO"/>
        </w:rPr>
        <w:t>.</w:t>
      </w:r>
      <w:r>
        <w:rPr>
          <w:rFonts w:ascii="Century Gothic" w:hAnsi="Century Gothic" w:eastAsia="Calibri" w:cs="Arial"/>
          <w:bCs/>
          <w:color w:val="000000"/>
          <w:lang w:eastAsia="es-CO"/>
        </w:rPr>
        <w:t xml:space="preserve"> De esta manera, teniendo en cuenta de la norma citada no se desprende explícitamente una causal de contratación directa y que éstas son de interpretación estricta, deberá definir la aplicación del Decreto 092 de 2017 bajo el marco normativo general descrito </w:t>
      </w:r>
      <w:r w:rsidRPr="00DF7334">
        <w:rPr>
          <w:rFonts w:ascii="Century Gothic" w:hAnsi="Century Gothic" w:eastAsia="Calibri" w:cs="Arial"/>
          <w:bCs/>
          <w:i/>
          <w:iCs/>
          <w:color w:val="000000"/>
          <w:lang w:eastAsia="es-CO"/>
        </w:rPr>
        <w:t>ut supra</w:t>
      </w:r>
      <w:r>
        <w:rPr>
          <w:rFonts w:ascii="Century Gothic" w:hAnsi="Century Gothic" w:eastAsia="Calibri" w:cs="Arial"/>
          <w:bCs/>
          <w:color w:val="000000"/>
          <w:lang w:eastAsia="es-CO"/>
        </w:rPr>
        <w:t xml:space="preserve">. </w:t>
      </w:r>
      <w:r w:rsidRPr="00131FA3">
        <w:rPr>
          <w:rFonts w:ascii="Century Gothic" w:hAnsi="Century Gothic" w:eastAsia="Calibri" w:cs="Arial"/>
          <w:bCs/>
          <w:color w:val="000000"/>
          <w:lang w:eastAsia="es-CO"/>
        </w:rPr>
        <w:t xml:space="preserve"> </w:t>
      </w:r>
    </w:p>
    <w:p w:rsidR="00351421" w:rsidP="00351421" w:rsidRDefault="00351421" w14:paraId="251D630A" w14:textId="77777777">
      <w:pPr>
        <w:spacing w:after="120" w:line="276" w:lineRule="auto"/>
        <w:ind w:firstLine="709"/>
        <w:jc w:val="both"/>
        <w:rPr>
          <w:rFonts w:ascii="Century Gothic" w:hAnsi="Century Gothic" w:cs="Arial"/>
          <w:lang w:val="es-ES"/>
        </w:rPr>
      </w:pPr>
      <w:r w:rsidRPr="00131FA3">
        <w:rPr>
          <w:rFonts w:ascii="Century Gothic" w:hAnsi="Century Gothic" w:eastAsia="Calibri" w:cs="Arial"/>
          <w:bCs/>
          <w:color w:val="000000"/>
          <w:lang w:eastAsia="es-CO"/>
        </w:rPr>
        <w:t xml:space="preserve">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 </w:t>
      </w:r>
      <w:r w:rsidRPr="00131FA3">
        <w:rPr>
          <w:rFonts w:ascii="Century Gothic" w:hAnsi="Century Gothic" w:cs="Arial"/>
          <w:lang w:val="es-ES"/>
        </w:rPr>
        <w:t xml:space="preserve">Por lo anterior, previo concepto de sus órganos asesores, la solución de casos particulares corresponde a la entidad </w:t>
      </w:r>
      <w:r>
        <w:rPr>
          <w:rFonts w:ascii="Century Gothic" w:hAnsi="Century Gothic" w:cs="Arial"/>
          <w:lang w:val="es-ES"/>
        </w:rPr>
        <w:t xml:space="preserve">que </w:t>
      </w:r>
      <w:r w:rsidRPr="00131FA3">
        <w:rPr>
          <w:rFonts w:ascii="Century Gothic" w:hAnsi="Century Gothic" w:cs="Arial"/>
          <w:lang w:val="es-ES"/>
        </w:rPr>
        <w:t>de</w:t>
      </w:r>
      <w:r>
        <w:rPr>
          <w:rFonts w:ascii="Century Gothic" w:hAnsi="Century Gothic" w:cs="Arial"/>
          <w:lang w:val="es-ES"/>
        </w:rPr>
        <w:t>be</w:t>
      </w:r>
      <w:r w:rsidRPr="00131FA3">
        <w:rPr>
          <w:rFonts w:ascii="Century Gothic" w:hAnsi="Century Gothic" w:cs="Arial"/>
          <w:lang w:val="es-ES"/>
        </w:rPr>
        <w:t xml:space="preserve"> adoptar la decisión correspondiente y, en caso de conflicto, a las autoridades judiciales, fiscales y disciplinarias.</w:t>
      </w:r>
    </w:p>
    <w:p w:rsidR="00351421" w:rsidP="00351421" w:rsidRDefault="00351421" w14:paraId="736D429B" w14:textId="253973EA">
      <w:pPr>
        <w:spacing w:after="0" w:line="276" w:lineRule="auto"/>
        <w:ind w:firstLine="709"/>
        <w:jc w:val="both"/>
        <w:rPr>
          <w:rFonts w:ascii="Century Gothic" w:hAnsi="Century Gothic" w:eastAsia="Calibri" w:cs="Arial"/>
          <w:bCs/>
          <w:color w:val="000000"/>
          <w:lang w:eastAsia="es-CO"/>
        </w:rPr>
      </w:pPr>
      <w:r>
        <w:rPr>
          <w:rFonts w:ascii="Century Gothic" w:hAnsi="Century Gothic" w:cs="Arial"/>
          <w:lang w:val="es-ES"/>
        </w:rPr>
        <w:t xml:space="preserve">Sin perjuicio de lo anterior, </w:t>
      </w:r>
      <w:r>
        <w:rPr>
          <w:rFonts w:ascii="Century Gothic" w:hAnsi="Century Gothic" w:eastAsia="Calibri" w:cs="Arial"/>
          <w:bCs/>
          <w:color w:val="000000"/>
          <w:lang w:eastAsia="es-CO"/>
        </w:rPr>
        <w:t>en caso de que los convenios para el manejo de los centros de vida se suscriban ESAL, es necesario tener en cuenta que el artículo 9 del Decreto 092 de 2017 dispone que “</w:t>
      </w:r>
      <w:r w:rsidRPr="00FE1080">
        <w:rPr>
          <w:rFonts w:ascii="Century Gothic" w:hAnsi="Century Gothic" w:eastAsia="Calibri" w:cs="Arial"/>
          <w:bCs/>
          <w:color w:val="000000"/>
          <w:lang w:eastAsia="es-CO"/>
        </w:rPr>
        <w:t>Las entidades privadas sin ánimo de lucro que contraten con las Entidades Estatales en desarrollo del artículo 355 de la Constitución Política y el presente decreto deberán estar registradas en el SECOP, el cual será el medio para acreditar los indicadores de idoneidad, experiencia, eficacia, eficiencia, economía y de manejo del Riesgo definidos por las Entidades Estatales</w:t>
      </w:r>
      <w:r>
        <w:rPr>
          <w:rFonts w:ascii="Century Gothic" w:hAnsi="Century Gothic" w:eastAsia="Calibri" w:cs="Arial"/>
          <w:bCs/>
          <w:color w:val="000000"/>
          <w:lang w:eastAsia="es-CO"/>
        </w:rPr>
        <w:t>”</w:t>
      </w:r>
      <w:r w:rsidRPr="00FE1080">
        <w:rPr>
          <w:rFonts w:ascii="Century Gothic" w:hAnsi="Century Gothic" w:eastAsia="Calibri" w:cs="Arial"/>
          <w:bCs/>
          <w:color w:val="000000"/>
          <w:lang w:eastAsia="es-CO"/>
        </w:rPr>
        <w:t>.</w:t>
      </w:r>
      <w:r>
        <w:rPr>
          <w:rFonts w:ascii="Century Gothic" w:hAnsi="Century Gothic" w:eastAsia="Calibri" w:cs="Arial"/>
          <w:bCs/>
          <w:color w:val="000000"/>
          <w:lang w:eastAsia="es-CO"/>
        </w:rPr>
        <w:t xml:space="preserve"> Desde esta perspectiva,</w:t>
      </w:r>
      <w:r w:rsidR="00FA0DB6">
        <w:rPr>
          <w:rFonts w:ascii="Century Gothic" w:hAnsi="Century Gothic" w:eastAsia="Calibri" w:cs="Arial"/>
          <w:bCs/>
          <w:color w:val="000000"/>
          <w:lang w:eastAsia="es-CO"/>
        </w:rPr>
        <w:t xml:space="preserve"> como indicó la Agencia en los Conceptos</w:t>
      </w:r>
      <w:r w:rsidR="00A30AAE">
        <w:rPr>
          <w:rFonts w:ascii="Century Gothic" w:hAnsi="Century Gothic" w:eastAsia="Calibri" w:cs="Arial"/>
          <w:bCs/>
          <w:color w:val="000000"/>
          <w:lang w:eastAsia="es-CO"/>
        </w:rPr>
        <w:t xml:space="preserve"> C-280 de 2021 y</w:t>
      </w:r>
      <w:r w:rsidR="00FA0DB6">
        <w:rPr>
          <w:rFonts w:ascii="Century Gothic" w:hAnsi="Century Gothic" w:eastAsia="Calibri" w:cs="Arial"/>
          <w:bCs/>
          <w:color w:val="000000"/>
          <w:lang w:eastAsia="es-CO"/>
        </w:rPr>
        <w:t xml:space="preserve"> C-112 de 2023</w:t>
      </w:r>
      <w:r w:rsidR="00A30AAE">
        <w:rPr>
          <w:rFonts w:ascii="Century Gothic" w:hAnsi="Century Gothic" w:eastAsia="Calibri" w:cs="Arial"/>
          <w:bCs/>
          <w:color w:val="000000"/>
          <w:lang w:eastAsia="es-CO"/>
        </w:rPr>
        <w:t>,</w:t>
      </w:r>
      <w:r>
        <w:rPr>
          <w:rFonts w:ascii="Century Gothic" w:hAnsi="Century Gothic" w:eastAsia="Calibri" w:cs="Arial"/>
          <w:bCs/>
          <w:color w:val="000000"/>
          <w:lang w:eastAsia="es-CO"/>
        </w:rPr>
        <w:t xml:space="preserve"> l</w:t>
      </w:r>
      <w:r w:rsidRPr="00FE1080">
        <w:rPr>
          <w:rFonts w:ascii="Century Gothic" w:hAnsi="Century Gothic" w:eastAsia="Calibri" w:cs="Arial"/>
          <w:bCs/>
          <w:color w:val="000000"/>
          <w:lang w:eastAsia="es-CO"/>
        </w:rPr>
        <w:t xml:space="preserve">as Entidades Estatales que contratan </w:t>
      </w:r>
      <w:r>
        <w:rPr>
          <w:rFonts w:ascii="Century Gothic" w:hAnsi="Century Gothic" w:eastAsia="Calibri" w:cs="Arial"/>
          <w:bCs/>
          <w:color w:val="000000"/>
          <w:lang w:eastAsia="es-CO"/>
        </w:rPr>
        <w:t>con ESAL</w:t>
      </w:r>
      <w:r w:rsidRPr="00FE1080">
        <w:rPr>
          <w:rFonts w:ascii="Century Gothic" w:hAnsi="Century Gothic" w:eastAsia="Calibri" w:cs="Arial"/>
          <w:bCs/>
          <w:color w:val="000000"/>
          <w:lang w:eastAsia="es-CO"/>
        </w:rPr>
        <w:t xml:space="preserve"> deben adelantar el Proceso de Contratación en SECOP</w:t>
      </w:r>
      <w:r>
        <w:rPr>
          <w:rFonts w:ascii="Century Gothic" w:hAnsi="Century Gothic" w:eastAsia="Calibri" w:cs="Arial"/>
          <w:bCs/>
          <w:color w:val="000000"/>
          <w:lang w:eastAsia="es-CO"/>
        </w:rPr>
        <w:t xml:space="preserve"> </w:t>
      </w:r>
      <w:r w:rsidRPr="00FE1080">
        <w:rPr>
          <w:rFonts w:ascii="Century Gothic" w:hAnsi="Century Gothic" w:eastAsia="Calibri" w:cs="Arial"/>
          <w:bCs/>
          <w:color w:val="000000"/>
          <w:lang w:eastAsia="es-CO"/>
        </w:rPr>
        <w:t>II utilizando el módulo “Régimen Especial”</w:t>
      </w:r>
      <w:r>
        <w:rPr>
          <w:rFonts w:ascii="Century Gothic" w:hAnsi="Century Gothic" w:eastAsia="Calibri" w:cs="Arial"/>
          <w:bCs/>
          <w:color w:val="000000"/>
          <w:lang w:eastAsia="es-CO"/>
        </w:rPr>
        <w:t>, lo que restringe la utilización del SECOP I.</w:t>
      </w:r>
    </w:p>
    <w:p w:rsidRPr="00131FA3" w:rsidR="00351421" w:rsidP="00351421" w:rsidRDefault="00351421" w14:paraId="41A13B8E" w14:textId="77777777">
      <w:pPr>
        <w:spacing w:after="120" w:line="276" w:lineRule="auto"/>
        <w:jc w:val="both"/>
        <w:rPr>
          <w:rFonts w:ascii="Century Gothic" w:hAnsi="Century Gothic" w:cs="Arial"/>
          <w:color w:val="000000" w:themeColor="text1"/>
          <w:lang w:eastAsia="es-MX"/>
        </w:rPr>
      </w:pPr>
    </w:p>
    <w:p w:rsidRPr="00131FA3" w:rsidR="00351421" w:rsidP="00351421" w:rsidRDefault="00351421" w14:paraId="61768B2E" w14:textId="03A2C90F">
      <w:pPr>
        <w:widowControl w:val="0"/>
        <w:autoSpaceDE w:val="0"/>
        <w:autoSpaceDN w:val="0"/>
        <w:spacing w:after="0" w:line="276" w:lineRule="auto"/>
        <w:jc w:val="both"/>
        <w:rPr>
          <w:rFonts w:ascii="Century Gothic" w:hAnsi="Century Gothic" w:cs="Arial"/>
          <w:color w:val="000000" w:themeColor="text1"/>
          <w:lang w:val="es-ES"/>
        </w:rPr>
      </w:pPr>
      <w:r w:rsidRPr="4C23B292">
        <w:rPr>
          <w:rFonts w:ascii="Century Gothic" w:hAnsi="Century Gothic" w:cs="Arial"/>
          <w:color w:val="000000" w:themeColor="text1"/>
          <w:lang w:val="es-ES"/>
        </w:rPr>
        <w:t xml:space="preserve">Este concepto tiene el alcance previsto en el artículo 28 del Código de </w:t>
      </w:r>
      <w:r w:rsidRPr="4C23B292">
        <w:rPr>
          <w:rFonts w:ascii="Century Gothic" w:hAnsi="Century Gothic" w:cs="Arial"/>
          <w:color w:val="000000" w:themeColor="text1"/>
          <w:lang w:val="es-ES"/>
        </w:rPr>
        <w:lastRenderedPageBreak/>
        <w:t>Procedimiento Administrativo y de lo Contencioso Administrativo</w:t>
      </w:r>
      <w:r w:rsidRPr="4C23B292" w:rsidR="67DCC852">
        <w:rPr>
          <w:rFonts w:ascii="Century Gothic" w:hAnsi="Century Gothic" w:cs="Arial"/>
          <w:color w:val="000000" w:themeColor="text1"/>
          <w:lang w:val="es-ES"/>
        </w:rPr>
        <w:t xml:space="preserve"> y las expresiones aquí utilizadas con mayúscula inicial deben ser entendidas con el significado que les otorga el artículo 2.2.1.1.1.3.1. del Decreto 1082 de 2015.</w:t>
      </w:r>
    </w:p>
    <w:p w:rsidRPr="00131FA3" w:rsidR="00351421" w:rsidP="00351421" w:rsidRDefault="00351421" w14:paraId="1BC64053" w14:textId="77777777">
      <w:pPr>
        <w:widowControl w:val="0"/>
        <w:autoSpaceDE w:val="0"/>
        <w:autoSpaceDN w:val="0"/>
        <w:spacing w:after="0" w:line="276" w:lineRule="auto"/>
        <w:jc w:val="both"/>
        <w:rPr>
          <w:rFonts w:ascii="Century Gothic" w:hAnsi="Century Gothic" w:cs="Arial"/>
          <w:color w:val="000000" w:themeColor="text1"/>
          <w:lang w:val="es-ES_tradnl" w:bidi="es-ES"/>
        </w:rPr>
      </w:pPr>
    </w:p>
    <w:p w:rsidRPr="00131FA3" w:rsidR="00351421" w:rsidP="00351421" w:rsidRDefault="00351421" w14:paraId="1F9E771D" w14:textId="77777777">
      <w:pPr>
        <w:tabs>
          <w:tab w:val="left" w:pos="426"/>
        </w:tabs>
        <w:spacing w:line="276" w:lineRule="auto"/>
        <w:jc w:val="both"/>
        <w:rPr>
          <w:rFonts w:ascii="Century Gothic" w:hAnsi="Century Gothic" w:eastAsia="Times New Roman" w:cs="Arial"/>
          <w:color w:val="000000" w:themeColor="text1"/>
        </w:rPr>
      </w:pPr>
      <w:r w:rsidRPr="00131FA3">
        <w:rPr>
          <w:rFonts w:ascii="Century Gothic" w:hAnsi="Century Gothic" w:eastAsia="Times New Roman" w:cs="Arial"/>
          <w:color w:val="000000" w:themeColor="text1"/>
        </w:rPr>
        <w:t>Atentamente,</w:t>
      </w:r>
    </w:p>
    <w:p w:rsidRPr="00131FA3" w:rsidR="00351421" w:rsidP="00351421" w:rsidRDefault="00613EB3" w14:paraId="1D4C478A" w14:textId="64591324">
      <w:pPr>
        <w:jc w:val="center"/>
        <w:rPr>
          <w:rFonts w:ascii="Century Gothic" w:hAnsi="Century Gothic" w:eastAsia="Times New Roman" w:cs="Arial"/>
          <w:lang w:eastAsia="es-CO"/>
        </w:rPr>
      </w:pPr>
      <w:r>
        <w:rPr>
          <w:noProof/>
        </w:rPr>
        <w:drawing>
          <wp:inline distT="0" distB="0" distL="0" distR="0" wp14:anchorId="48402B9D" wp14:editId="60D5F036">
            <wp:extent cx="3152775" cy="1209675"/>
            <wp:effectExtent l="0" t="0" r="9525" b="9525"/>
            <wp:docPr id="136766671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666717" name="Imagen 1" descr="Texto&#10;&#10;Descripción generada automáticamente"/>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2775" cy="1209675"/>
                    </a:xfrm>
                    <a:prstGeom prst="rect">
                      <a:avLst/>
                    </a:prstGeom>
                    <a:noFill/>
                    <a:ln>
                      <a:noFill/>
                    </a:ln>
                  </pic:spPr>
                </pic:pic>
              </a:graphicData>
            </a:graphic>
          </wp:inline>
        </w:drawing>
      </w:r>
    </w:p>
    <w:tbl>
      <w:tblPr>
        <w:tblW w:w="575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17"/>
        <w:gridCol w:w="4937"/>
      </w:tblGrid>
      <w:tr w:rsidRPr="00131FA3" w:rsidR="00351421" w:rsidTr="006425DD" w14:paraId="147260BC" w14:textId="77777777">
        <w:trPr>
          <w:trHeight w:val="409"/>
        </w:trPr>
        <w:tc>
          <w:tcPr>
            <w:tcW w:w="817" w:type="dxa"/>
            <w:tcBorders>
              <w:top w:val="nil"/>
              <w:left w:val="nil"/>
              <w:bottom w:val="nil"/>
              <w:right w:val="nil"/>
            </w:tcBorders>
            <w:vAlign w:val="center"/>
            <w:hideMark/>
          </w:tcPr>
          <w:p w:rsidRPr="00131FA3" w:rsidR="00351421" w:rsidP="006425DD" w:rsidRDefault="00351421" w14:paraId="12612EDC" w14:textId="77777777">
            <w:pPr>
              <w:spacing w:after="0" w:line="240" w:lineRule="auto"/>
              <w:jc w:val="both"/>
              <w:rPr>
                <w:rFonts w:ascii="Century Gothic" w:hAnsi="Century Gothic" w:cs="Arial"/>
                <w:sz w:val="16"/>
                <w:szCs w:val="16"/>
              </w:rPr>
            </w:pPr>
            <w:r w:rsidRPr="00131FA3">
              <w:rPr>
                <w:rFonts w:ascii="Century Gothic" w:hAnsi="Century Gothic" w:cs="Arial"/>
                <w:sz w:val="16"/>
                <w:szCs w:val="16"/>
              </w:rPr>
              <w:t>Elaboró: </w:t>
            </w:r>
          </w:p>
        </w:tc>
        <w:tc>
          <w:tcPr>
            <w:tcW w:w="4937" w:type="dxa"/>
            <w:tcBorders>
              <w:top w:val="nil"/>
              <w:left w:val="nil"/>
              <w:bottom w:val="dotted" w:color="7F7F7F" w:themeColor="text1" w:themeTint="80" w:sz="6" w:space="0"/>
              <w:right w:val="nil"/>
            </w:tcBorders>
            <w:vAlign w:val="center"/>
            <w:hideMark/>
          </w:tcPr>
          <w:p w:rsidRPr="00131FA3" w:rsidR="00351421" w:rsidP="006425DD" w:rsidRDefault="00351421" w14:paraId="354F6A77" w14:textId="77777777">
            <w:pPr>
              <w:spacing w:after="0" w:line="240" w:lineRule="auto"/>
              <w:jc w:val="both"/>
              <w:rPr>
                <w:rFonts w:ascii="Century Gothic" w:hAnsi="Century Gothic" w:cs="Arial"/>
                <w:sz w:val="16"/>
                <w:szCs w:val="16"/>
              </w:rPr>
            </w:pPr>
            <w:r w:rsidRPr="00131FA3">
              <w:rPr>
                <w:rFonts w:ascii="Century Gothic" w:hAnsi="Century Gothic" w:cs="Arial"/>
                <w:sz w:val="16"/>
                <w:szCs w:val="16"/>
              </w:rPr>
              <w:t>Juan David Montoya Penagos</w:t>
            </w:r>
          </w:p>
          <w:p w:rsidRPr="00131FA3" w:rsidR="00351421" w:rsidP="006425DD" w:rsidRDefault="00351421" w14:paraId="42B42814" w14:textId="77777777">
            <w:pPr>
              <w:spacing w:after="0" w:line="240" w:lineRule="auto"/>
              <w:jc w:val="both"/>
              <w:rPr>
                <w:rFonts w:ascii="Century Gothic" w:hAnsi="Century Gothic" w:cs="Arial"/>
                <w:sz w:val="16"/>
                <w:szCs w:val="16"/>
              </w:rPr>
            </w:pPr>
            <w:r w:rsidRPr="00131FA3">
              <w:rPr>
                <w:rFonts w:ascii="Century Gothic" w:hAnsi="Century Gothic" w:cs="Arial"/>
                <w:sz w:val="16"/>
                <w:szCs w:val="16"/>
              </w:rPr>
              <w:t>Contratista de la Subdirección de Gestión Contractual</w:t>
            </w:r>
          </w:p>
        </w:tc>
      </w:tr>
      <w:tr w:rsidRPr="00131FA3" w:rsidR="00351421" w:rsidTr="006425DD" w14:paraId="6E8354E5" w14:textId="77777777">
        <w:trPr>
          <w:trHeight w:val="409"/>
        </w:trPr>
        <w:tc>
          <w:tcPr>
            <w:tcW w:w="817" w:type="dxa"/>
            <w:tcBorders>
              <w:top w:val="nil"/>
              <w:left w:val="nil"/>
              <w:right w:val="nil"/>
            </w:tcBorders>
            <w:vAlign w:val="center"/>
          </w:tcPr>
          <w:p w:rsidRPr="00131FA3" w:rsidR="00351421" w:rsidP="006425DD" w:rsidRDefault="00351421" w14:paraId="02F5BB22" w14:textId="77777777">
            <w:pPr>
              <w:jc w:val="both"/>
              <w:rPr>
                <w:rFonts w:ascii="Century Gothic" w:hAnsi="Century Gothic" w:cs="Arial"/>
                <w:sz w:val="16"/>
                <w:szCs w:val="16"/>
              </w:rPr>
            </w:pPr>
            <w:r w:rsidRPr="00131FA3">
              <w:rPr>
                <w:rFonts w:ascii="Century Gothic" w:hAnsi="Century Gothic" w:cs="Arial"/>
                <w:sz w:val="16"/>
                <w:szCs w:val="16"/>
              </w:rPr>
              <w:t>Revisó</w:t>
            </w:r>
          </w:p>
        </w:tc>
        <w:tc>
          <w:tcPr>
            <w:tcW w:w="4937" w:type="dxa"/>
            <w:tcBorders>
              <w:top w:val="dotted" w:color="7F7F7F" w:themeColor="text1" w:themeTint="80" w:sz="6" w:space="0"/>
              <w:left w:val="nil"/>
              <w:bottom w:val="dotted" w:color="7F7F7F" w:themeColor="text1" w:themeTint="80" w:sz="6" w:space="0"/>
              <w:right w:val="nil"/>
            </w:tcBorders>
            <w:vAlign w:val="center"/>
          </w:tcPr>
          <w:p w:rsidRPr="00DC79DE" w:rsidR="00351421" w:rsidP="006425DD" w:rsidRDefault="00351421" w14:paraId="2818A89F" w14:textId="77777777">
            <w:pPr>
              <w:spacing w:after="0" w:line="240" w:lineRule="auto"/>
              <w:jc w:val="both"/>
              <w:rPr>
                <w:rFonts w:ascii="Century Gothic" w:hAnsi="Century Gothic" w:cs="Arial"/>
                <w:sz w:val="16"/>
                <w:szCs w:val="16"/>
              </w:rPr>
            </w:pPr>
            <w:r w:rsidRPr="00DC79DE">
              <w:rPr>
                <w:rFonts w:ascii="Century Gothic" w:hAnsi="Century Gothic" w:cs="Arial"/>
                <w:sz w:val="16"/>
                <w:szCs w:val="16"/>
              </w:rPr>
              <w:t>Martha Alicia Romero Vargas</w:t>
            </w:r>
          </w:p>
          <w:p w:rsidRPr="00131FA3" w:rsidR="00351421" w:rsidP="006425DD" w:rsidRDefault="00351421" w14:paraId="5509A81D" w14:textId="77777777">
            <w:pPr>
              <w:spacing w:after="0" w:line="240" w:lineRule="auto"/>
              <w:jc w:val="both"/>
              <w:rPr>
                <w:rFonts w:ascii="Century Gothic" w:hAnsi="Century Gothic" w:cs="Arial"/>
                <w:sz w:val="16"/>
                <w:szCs w:val="16"/>
              </w:rPr>
            </w:pPr>
            <w:r w:rsidRPr="00DC79DE">
              <w:rPr>
                <w:rFonts w:ascii="Century Gothic" w:hAnsi="Century Gothic" w:cs="Arial"/>
                <w:sz w:val="16"/>
                <w:szCs w:val="16"/>
              </w:rPr>
              <w:t xml:space="preserve">Gestor T1 </w:t>
            </w:r>
            <w:r w:rsidRPr="00DC79DE">
              <w:rPr>
                <w:rFonts w:ascii="Arial" w:hAnsi="Arial" w:cs="Arial"/>
                <w:sz w:val="16"/>
                <w:szCs w:val="16"/>
              </w:rPr>
              <w:t>‒</w:t>
            </w:r>
            <w:r w:rsidRPr="00DC79DE">
              <w:rPr>
                <w:rFonts w:ascii="Century Gothic" w:hAnsi="Century Gothic" w:cs="Arial"/>
                <w:sz w:val="16"/>
                <w:szCs w:val="16"/>
              </w:rPr>
              <w:t xml:space="preserve"> 15 de la Subdirecci</w:t>
            </w:r>
            <w:r w:rsidRPr="00DC79DE">
              <w:rPr>
                <w:rFonts w:ascii="Century Gothic" w:hAnsi="Century Gothic" w:cs="Century Gothic"/>
                <w:sz w:val="16"/>
                <w:szCs w:val="16"/>
              </w:rPr>
              <w:t>ó</w:t>
            </w:r>
            <w:r w:rsidRPr="00DC79DE">
              <w:rPr>
                <w:rFonts w:ascii="Century Gothic" w:hAnsi="Century Gothic" w:cs="Arial"/>
                <w:sz w:val="16"/>
                <w:szCs w:val="16"/>
              </w:rPr>
              <w:t>n de Gesti</w:t>
            </w:r>
            <w:r w:rsidRPr="00DC79DE">
              <w:rPr>
                <w:rFonts w:ascii="Century Gothic" w:hAnsi="Century Gothic" w:cs="Century Gothic"/>
                <w:sz w:val="16"/>
                <w:szCs w:val="16"/>
              </w:rPr>
              <w:t>ó</w:t>
            </w:r>
            <w:r w:rsidRPr="00DC79DE">
              <w:rPr>
                <w:rFonts w:ascii="Century Gothic" w:hAnsi="Century Gothic" w:cs="Arial"/>
                <w:sz w:val="16"/>
                <w:szCs w:val="16"/>
              </w:rPr>
              <w:t>n Contractual</w:t>
            </w:r>
          </w:p>
        </w:tc>
      </w:tr>
      <w:tr w:rsidRPr="00131FA3" w:rsidR="00351421" w:rsidTr="006425DD" w14:paraId="4C5D67B2" w14:textId="77777777">
        <w:trPr>
          <w:trHeight w:val="389"/>
        </w:trPr>
        <w:tc>
          <w:tcPr>
            <w:tcW w:w="817" w:type="dxa"/>
            <w:tcBorders>
              <w:top w:val="nil"/>
              <w:left w:val="nil"/>
              <w:bottom w:val="nil"/>
              <w:right w:val="nil"/>
            </w:tcBorders>
            <w:vAlign w:val="center"/>
            <w:hideMark/>
          </w:tcPr>
          <w:p w:rsidRPr="00131FA3" w:rsidR="00351421" w:rsidP="006425DD" w:rsidRDefault="00351421" w14:paraId="3F5CD8C4" w14:textId="77777777">
            <w:pPr>
              <w:spacing w:after="0" w:line="240" w:lineRule="auto"/>
              <w:jc w:val="both"/>
              <w:rPr>
                <w:rFonts w:ascii="Century Gothic" w:hAnsi="Century Gothic" w:cs="Arial"/>
                <w:sz w:val="16"/>
                <w:szCs w:val="16"/>
              </w:rPr>
            </w:pPr>
            <w:r w:rsidRPr="00131FA3">
              <w:rPr>
                <w:rFonts w:ascii="Century Gothic" w:hAnsi="Century Gothic" w:cs="Arial"/>
                <w:sz w:val="16"/>
                <w:szCs w:val="16"/>
              </w:rPr>
              <w:t>Aprobó: </w:t>
            </w:r>
          </w:p>
        </w:tc>
        <w:tc>
          <w:tcPr>
            <w:tcW w:w="4937" w:type="dxa"/>
            <w:tcBorders>
              <w:top w:val="dotted" w:color="7F7F7F" w:themeColor="text1" w:themeTint="80" w:sz="6" w:space="0"/>
              <w:left w:val="nil"/>
              <w:bottom w:val="dotted" w:color="7F7F7F" w:themeColor="text1" w:themeTint="80" w:sz="6" w:space="0"/>
              <w:right w:val="nil"/>
            </w:tcBorders>
            <w:vAlign w:val="center"/>
            <w:hideMark/>
          </w:tcPr>
          <w:p w:rsidRPr="00131FA3" w:rsidR="00351421" w:rsidP="006425DD" w:rsidRDefault="00351421" w14:paraId="67F4AF8B" w14:textId="77777777">
            <w:pPr>
              <w:spacing w:after="0" w:line="240" w:lineRule="auto"/>
              <w:jc w:val="both"/>
              <w:rPr>
                <w:rFonts w:ascii="Century Gothic" w:hAnsi="Century Gothic" w:cs="Arial"/>
                <w:sz w:val="16"/>
                <w:szCs w:val="16"/>
              </w:rPr>
            </w:pPr>
            <w:r w:rsidRPr="00131FA3">
              <w:rPr>
                <w:rFonts w:ascii="Century Gothic" w:hAnsi="Century Gothic" w:cs="Arial"/>
                <w:sz w:val="16"/>
                <w:szCs w:val="16"/>
              </w:rPr>
              <w:t>Nohelia del Carmen Zawady Palacio</w:t>
            </w:r>
          </w:p>
          <w:p w:rsidRPr="00131FA3" w:rsidR="00351421" w:rsidP="006425DD" w:rsidRDefault="00351421" w14:paraId="30FF4741" w14:textId="77777777">
            <w:pPr>
              <w:spacing w:after="0" w:line="240" w:lineRule="auto"/>
              <w:jc w:val="both"/>
              <w:rPr>
                <w:rFonts w:ascii="Century Gothic" w:hAnsi="Century Gothic" w:cs="Arial"/>
                <w:sz w:val="16"/>
                <w:szCs w:val="16"/>
              </w:rPr>
            </w:pPr>
            <w:r w:rsidRPr="00131FA3">
              <w:rPr>
                <w:rFonts w:ascii="Century Gothic" w:hAnsi="Century Gothic" w:cs="Arial"/>
                <w:sz w:val="16"/>
                <w:szCs w:val="16"/>
              </w:rPr>
              <w:t>Subdirectora de Gestión Contractual ANCP - CCE</w:t>
            </w:r>
          </w:p>
        </w:tc>
      </w:tr>
      <w:bookmarkEnd w:id="2"/>
    </w:tbl>
    <w:p w:rsidRPr="00131FA3" w:rsidR="00351421" w:rsidP="00351421" w:rsidRDefault="00351421" w14:paraId="366004C3" w14:textId="77777777">
      <w:pPr>
        <w:tabs>
          <w:tab w:val="left" w:pos="0"/>
        </w:tabs>
        <w:spacing w:line="276" w:lineRule="auto"/>
        <w:contextualSpacing/>
        <w:jc w:val="both"/>
        <w:rPr>
          <w:rFonts w:ascii="Century Gothic" w:hAnsi="Century Gothic"/>
          <w:lang w:val="es-MX"/>
        </w:rPr>
      </w:pPr>
    </w:p>
    <w:bookmarkEnd w:id="3"/>
    <w:p w:rsidRPr="00131FA3" w:rsidR="00351421" w:rsidP="00351421" w:rsidRDefault="00351421" w14:paraId="1CA3724D" w14:textId="77777777">
      <w:pPr>
        <w:rPr>
          <w:rFonts w:ascii="Century Gothic" w:hAnsi="Century Gothic"/>
        </w:rPr>
      </w:pPr>
    </w:p>
    <w:p w:rsidRPr="007D7931" w:rsidR="00127233" w:rsidP="007D7931" w:rsidRDefault="00E245AB" w14:paraId="0F293BF4" w14:textId="4E630EB9">
      <w:r w:rsidRPr="007D7931">
        <w:t xml:space="preserve"> </w:t>
      </w:r>
    </w:p>
    <w:sectPr w:rsidRPr="007D7931" w:rsidR="00127233" w:rsidSect="00C04905">
      <w:headerReference w:type="default" r:id="rId12"/>
      <w:footerReference w:type="default" r:id="rId13"/>
      <w:pgSz w:w="12240" w:h="15840" w:orient="portrait"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4905" w:rsidP="004A1847" w:rsidRDefault="00C04905" w14:paraId="10E59182" w14:textId="77777777">
      <w:pPr>
        <w:spacing w:after="0" w:line="240" w:lineRule="auto"/>
      </w:pPr>
      <w:r>
        <w:separator/>
      </w:r>
    </w:p>
  </w:endnote>
  <w:endnote w:type="continuationSeparator" w:id="0">
    <w:p w:rsidR="00C04905" w:rsidP="004A1847" w:rsidRDefault="00C04905" w14:paraId="2B1DE3E5" w14:textId="77777777">
      <w:pPr>
        <w:spacing w:after="0" w:line="240" w:lineRule="auto"/>
      </w:pPr>
      <w:r>
        <w:continuationSeparator/>
      </w:r>
    </w:p>
  </w:endnote>
  <w:endnote w:type="continuationNotice" w:id="1">
    <w:p w:rsidR="00C04905" w:rsidRDefault="00C04905" w14:paraId="3EC156B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altName w:val="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A1847" w:rsidRDefault="009419F9" w14:paraId="18911A32" w14:textId="3BA5BB2D">
    <w:pPr>
      <w:pStyle w:val="Piedepgina"/>
    </w:pPr>
    <w:r>
      <w:rPr>
        <w:noProof/>
        <w:lang w:eastAsia="es-CO"/>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271"/>
      <w:gridCol w:w="2693"/>
      <w:gridCol w:w="2699"/>
      <w:gridCol w:w="2268"/>
    </w:tblGrid>
    <w:tr w:rsidRPr="00080DA3" w:rsidR="00FC2B5D" w:rsidTr="00B72CD3" w14:paraId="0534DA7F" w14:textId="77777777">
      <w:trPr>
        <w:trHeight w:val="229"/>
        <w:jc w:val="center"/>
      </w:trPr>
      <w:tc>
        <w:tcPr>
          <w:tcW w:w="1271"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71D456F" w14:textId="2A942425">
          <w:pPr>
            <w:pStyle w:val="Piedepgina"/>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0C74553" w14:textId="52F9643A">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hAnsi="Century Gothic" w:eastAsia="Geo" w:cs="Geo"/>
              <w:b/>
              <w:color w:val="000000"/>
              <w:sz w:val="16"/>
              <w:szCs w:val="16"/>
              <w:lang w:eastAsia="es-CO"/>
            </w:rPr>
            <w:t>CCE-</w:t>
          </w:r>
          <w:r w:rsidR="00B72CD3">
            <w:rPr>
              <w:rFonts w:ascii="Century Gothic" w:hAnsi="Century Gothic" w:eastAsia="Geo" w:cs="Geo"/>
              <w:b/>
              <w:color w:val="000000"/>
              <w:sz w:val="16"/>
              <w:szCs w:val="16"/>
              <w:lang w:eastAsia="es-CO"/>
            </w:rPr>
            <w:t>REC</w:t>
          </w:r>
          <w:r w:rsidRPr="003F3941">
            <w:rPr>
              <w:rFonts w:ascii="Century Gothic" w:hAnsi="Century Gothic" w:eastAsia="Geo" w:cs="Geo"/>
              <w:b/>
              <w:color w:val="000000"/>
              <w:sz w:val="16"/>
              <w:szCs w:val="16"/>
              <w:lang w:eastAsia="es-CO"/>
            </w:rPr>
            <w:t>-FM-</w:t>
          </w:r>
          <w:r w:rsidR="00CB6357">
            <w:rPr>
              <w:rFonts w:ascii="Century Gothic" w:hAnsi="Century Gothic" w:eastAsia="Geo" w:cs="Geo"/>
              <w:b/>
              <w:color w:val="000000"/>
              <w:sz w:val="16"/>
              <w:szCs w:val="16"/>
              <w:lang w:eastAsia="es-CO"/>
            </w:rPr>
            <w:t>1</w:t>
          </w:r>
          <w:r w:rsidR="00F613A2">
            <w:rPr>
              <w:rFonts w:ascii="Century Gothic" w:hAnsi="Century Gothic" w:eastAsia="Geo" w:cs="Geo"/>
              <w:b/>
              <w:color w:val="000000"/>
              <w:sz w:val="16"/>
              <w:szCs w:val="16"/>
              <w:lang w:eastAsia="es-CO"/>
            </w:rPr>
            <w:t>7</w:t>
          </w:r>
        </w:p>
      </w:tc>
      <w:tc>
        <w:tcPr>
          <w:tcW w:w="2699"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FC2B5D" w:rsidRDefault="003F3941" w14:paraId="5B51611F" w14:textId="3EF9ACCC">
          <w:pPr>
            <w:pStyle w:val="Piedepgina"/>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3F3941" w:rsidR="00FC2B5D" w:rsidP="00820278" w:rsidRDefault="003F3941" w14:paraId="6C25E7A7" w14:textId="27B7F278">
          <w:pPr>
            <w:pStyle w:val="Piedepgina"/>
            <w:rPr>
              <w:rFonts w:ascii="Century Gothic" w:hAnsi="Century Gothic"/>
              <w:sz w:val="16"/>
              <w:szCs w:val="16"/>
            </w:rPr>
          </w:pPr>
          <w:r w:rsidRPr="003F3941">
            <w:rPr>
              <w:rFonts w:ascii="Century Gothic" w:hAnsi="Century Gothic"/>
              <w:sz w:val="16"/>
              <w:szCs w:val="16"/>
            </w:rPr>
            <w:t xml:space="preserve">  PÁGINA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PAGE  \* Arabic  \* MERGEFORMAT</w:instrText>
          </w:r>
          <w:r w:rsidRPr="003F3941" w:rsidR="00FC2B5D">
            <w:rPr>
              <w:rFonts w:ascii="Century Gothic" w:hAnsi="Century Gothic"/>
              <w:b/>
              <w:bCs/>
              <w:sz w:val="16"/>
              <w:szCs w:val="16"/>
            </w:rPr>
            <w:fldChar w:fldCharType="separate"/>
          </w:r>
          <w:r w:rsidR="00BD15D4">
            <w:rPr>
              <w:rFonts w:ascii="Century Gothic" w:hAnsi="Century Gothic"/>
              <w:b/>
              <w:bCs/>
              <w:noProof/>
              <w:sz w:val="16"/>
              <w:szCs w:val="16"/>
            </w:rPr>
            <w:t>2</w:t>
          </w:r>
          <w:r w:rsidRPr="003F3941" w:rsidR="00FC2B5D">
            <w:rPr>
              <w:rFonts w:ascii="Century Gothic" w:hAnsi="Century Gothic"/>
              <w:b/>
              <w:bCs/>
              <w:sz w:val="16"/>
              <w:szCs w:val="16"/>
            </w:rPr>
            <w:fldChar w:fldCharType="end"/>
          </w:r>
          <w:r w:rsidRPr="003F3941">
            <w:rPr>
              <w:rFonts w:ascii="Century Gothic" w:hAnsi="Century Gothic"/>
              <w:sz w:val="16"/>
              <w:szCs w:val="16"/>
            </w:rPr>
            <w:t xml:space="preserve"> DE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NUMPAGES  \* Arabic  \* MERGEFORMAT</w:instrText>
          </w:r>
          <w:r w:rsidRPr="003F3941" w:rsidR="00FC2B5D">
            <w:rPr>
              <w:rFonts w:ascii="Century Gothic" w:hAnsi="Century Gothic"/>
              <w:b/>
              <w:bCs/>
              <w:sz w:val="16"/>
              <w:szCs w:val="16"/>
            </w:rPr>
            <w:fldChar w:fldCharType="separate"/>
          </w:r>
          <w:r w:rsidR="00BD15D4">
            <w:rPr>
              <w:rFonts w:ascii="Century Gothic" w:hAnsi="Century Gothic"/>
              <w:b/>
              <w:bCs/>
              <w:noProof/>
              <w:sz w:val="16"/>
              <w:szCs w:val="16"/>
            </w:rPr>
            <w:t>2</w:t>
          </w:r>
          <w:r w:rsidRPr="003F3941" w:rsidR="00FC2B5D">
            <w:rPr>
              <w:rFonts w:ascii="Century Gothic" w:hAnsi="Century Gothic"/>
              <w:b/>
              <w:bCs/>
              <w:sz w:val="16"/>
              <w:szCs w:val="16"/>
            </w:rPr>
            <w:fldChar w:fldCharType="end"/>
          </w:r>
        </w:p>
      </w:tc>
    </w:tr>
  </w:tbl>
  <w:p w:rsidR="006219F8" w:rsidP="003E0499" w:rsidRDefault="006219F8" w14:paraId="744661F5" w14:textId="3FCEAD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4905" w:rsidP="004A1847" w:rsidRDefault="00C04905" w14:paraId="01A20C8A" w14:textId="77777777">
      <w:pPr>
        <w:spacing w:after="0" w:line="240" w:lineRule="auto"/>
      </w:pPr>
      <w:r>
        <w:separator/>
      </w:r>
    </w:p>
  </w:footnote>
  <w:footnote w:type="continuationSeparator" w:id="0">
    <w:p w:rsidR="00C04905" w:rsidP="004A1847" w:rsidRDefault="00C04905" w14:paraId="4B122C37" w14:textId="77777777">
      <w:pPr>
        <w:spacing w:after="0" w:line="240" w:lineRule="auto"/>
      </w:pPr>
      <w:r>
        <w:continuationSeparator/>
      </w:r>
    </w:p>
  </w:footnote>
  <w:footnote w:type="continuationNotice" w:id="1">
    <w:p w:rsidR="00C04905" w:rsidRDefault="00C04905" w14:paraId="41624396" w14:textId="77777777">
      <w:pPr>
        <w:spacing w:after="0" w:line="240" w:lineRule="auto"/>
      </w:pPr>
    </w:p>
  </w:footnote>
  <w:footnote w:id="2">
    <w:p w:rsidRPr="00FD6EB1" w:rsidR="00351421" w:rsidP="00351421" w:rsidRDefault="00351421" w14:paraId="4EEB95D8" w14:textId="77777777">
      <w:pPr>
        <w:pStyle w:val="Textonotapie"/>
        <w:ind w:firstLine="708"/>
        <w:jc w:val="both"/>
        <w:rPr>
          <w:rFonts w:ascii="Century Gothic" w:hAnsi="Century Gothic" w:cs="Arial"/>
          <w:sz w:val="16"/>
          <w:szCs w:val="16"/>
          <w:lang w:val="es-ES"/>
        </w:rPr>
      </w:pPr>
      <w:r w:rsidRPr="00FD6EB1">
        <w:rPr>
          <w:rStyle w:val="Refdenotaalpie"/>
          <w:rFonts w:ascii="Century Gothic" w:hAnsi="Century Gothic" w:cs="Arial"/>
          <w:sz w:val="16"/>
          <w:szCs w:val="16"/>
        </w:rPr>
        <w:footnoteRef/>
      </w:r>
      <w:r w:rsidRPr="00FD6EB1">
        <w:rPr>
          <w:rFonts w:ascii="Century Gothic" w:hAnsi="Century Gothic" w:cs="Arial"/>
          <w:sz w:val="16"/>
          <w:szCs w:val="16"/>
        </w:rPr>
        <w:t xml:space="preserve"> La Agencia Nacional de Contratación Pública </w:t>
      </w:r>
      <w:r w:rsidRPr="00FD6EB1">
        <w:rPr>
          <w:rFonts w:ascii="Arial" w:hAnsi="Arial" w:cs="Arial"/>
          <w:sz w:val="16"/>
          <w:szCs w:val="16"/>
        </w:rPr>
        <w:t>‒</w:t>
      </w:r>
      <w:r w:rsidRPr="00FD6EB1">
        <w:rPr>
          <w:rFonts w:ascii="Century Gothic" w:hAnsi="Century Gothic" w:cs="Arial"/>
          <w:sz w:val="16"/>
          <w:szCs w:val="16"/>
        </w:rPr>
        <w:t xml:space="preserve"> Colombia Compra Eficiente fue creada por el Decreto Ley 4170 de 2011. Su objetivo es servir como ente rector de la pol</w:t>
      </w:r>
      <w:r w:rsidRPr="00FD6EB1">
        <w:rPr>
          <w:rFonts w:ascii="Century Gothic" w:hAnsi="Century Gothic" w:cs="Century Gothic"/>
          <w:sz w:val="16"/>
          <w:szCs w:val="16"/>
        </w:rPr>
        <w:t>í</w:t>
      </w:r>
      <w:r w:rsidRPr="00FD6EB1">
        <w:rPr>
          <w:rFonts w:ascii="Century Gothic" w:hAnsi="Century Gothic" w:cs="Arial"/>
          <w:sz w:val="16"/>
          <w:szCs w:val="16"/>
        </w:rPr>
        <w:t>tica de compras y contrataci</w:t>
      </w:r>
      <w:r w:rsidRPr="00FD6EB1">
        <w:rPr>
          <w:rFonts w:ascii="Century Gothic" w:hAnsi="Century Gothic" w:cs="Century Gothic"/>
          <w:sz w:val="16"/>
          <w:szCs w:val="16"/>
        </w:rPr>
        <w:t>ó</w:t>
      </w:r>
      <w:r w:rsidRPr="00FD6EB1">
        <w:rPr>
          <w:rFonts w:ascii="Century Gothic" w:hAnsi="Century Gothic" w:cs="Arial"/>
          <w:sz w:val="16"/>
          <w:szCs w:val="16"/>
        </w:rPr>
        <w:t xml:space="preserve">n del Estado. Para tales fines, como </w:t>
      </w:r>
      <w:r w:rsidRPr="00FD6EB1">
        <w:rPr>
          <w:rFonts w:ascii="Century Gothic" w:hAnsi="Century Gothic" w:cs="Century Gothic"/>
          <w:sz w:val="16"/>
          <w:szCs w:val="16"/>
        </w:rPr>
        <w:t>ó</w:t>
      </w:r>
      <w:r w:rsidRPr="00FD6EB1">
        <w:rPr>
          <w:rFonts w:ascii="Century Gothic" w:hAnsi="Century Gothic" w:cs="Arial"/>
          <w:sz w:val="16"/>
          <w:szCs w:val="16"/>
        </w:rPr>
        <w:t>rgano t</w:t>
      </w:r>
      <w:r w:rsidRPr="00FD6EB1">
        <w:rPr>
          <w:rFonts w:ascii="Century Gothic" w:hAnsi="Century Gothic" w:cs="Century Gothic"/>
          <w:sz w:val="16"/>
          <w:szCs w:val="16"/>
        </w:rPr>
        <w:t>é</w:t>
      </w:r>
      <w:r w:rsidRPr="00FD6EB1">
        <w:rPr>
          <w:rFonts w:ascii="Century Gothic" w:hAnsi="Century Gothic" w:cs="Arial"/>
          <w:sz w:val="16"/>
          <w:szCs w:val="16"/>
        </w:rPr>
        <w:t>cnico especializado, le corresponde formular pol</w:t>
      </w:r>
      <w:r w:rsidRPr="00FD6EB1">
        <w:rPr>
          <w:rFonts w:ascii="Century Gothic" w:hAnsi="Century Gothic" w:cs="Century Gothic"/>
          <w:sz w:val="16"/>
          <w:szCs w:val="16"/>
        </w:rPr>
        <w:t>í</w:t>
      </w:r>
      <w:r w:rsidRPr="00FD6EB1">
        <w:rPr>
          <w:rFonts w:ascii="Century Gothic" w:hAnsi="Century Gothic" w:cs="Arial"/>
          <w:sz w:val="16"/>
          <w:szCs w:val="16"/>
        </w:rPr>
        <w:t>ticas p</w:t>
      </w:r>
      <w:r w:rsidRPr="00FD6EB1">
        <w:rPr>
          <w:rFonts w:ascii="Century Gothic" w:hAnsi="Century Gothic" w:cs="Century Gothic"/>
          <w:sz w:val="16"/>
          <w:szCs w:val="16"/>
        </w:rPr>
        <w:t>ú</w:t>
      </w:r>
      <w:r w:rsidRPr="00FD6EB1">
        <w:rPr>
          <w:rFonts w:ascii="Century Gothic" w:hAnsi="Century Gothic" w:cs="Arial"/>
          <w:sz w:val="16"/>
          <w:szCs w:val="16"/>
        </w:rPr>
        <w:t>blicas y normas y unificar los procesos de contrataci</w:t>
      </w:r>
      <w:r w:rsidRPr="00FD6EB1">
        <w:rPr>
          <w:rFonts w:ascii="Century Gothic" w:hAnsi="Century Gothic" w:cs="Century Gothic"/>
          <w:sz w:val="16"/>
          <w:szCs w:val="16"/>
        </w:rPr>
        <w:t>ó</w:t>
      </w:r>
      <w:r w:rsidRPr="00FD6EB1">
        <w:rPr>
          <w:rFonts w:ascii="Century Gothic" w:hAnsi="Century Gothic" w:cs="Arial"/>
          <w:sz w:val="16"/>
          <w:szCs w:val="16"/>
        </w:rPr>
        <w:t>n estatal, con el fin de lograr una mayor eficiencia, transparencia y optimizaci</w:t>
      </w:r>
      <w:r w:rsidRPr="00FD6EB1">
        <w:rPr>
          <w:rFonts w:ascii="Century Gothic" w:hAnsi="Century Gothic" w:cs="Century Gothic"/>
          <w:sz w:val="16"/>
          <w:szCs w:val="16"/>
        </w:rPr>
        <w:t>ó</w:t>
      </w:r>
      <w:r w:rsidRPr="00FD6EB1">
        <w:rPr>
          <w:rFonts w:ascii="Century Gothic" w:hAnsi="Century Gothic" w:cs="Arial"/>
          <w:sz w:val="16"/>
          <w:szCs w:val="16"/>
        </w:rPr>
        <w:t>n de los recursos del Estado. El art</w:t>
      </w:r>
      <w:r w:rsidRPr="00FD6EB1">
        <w:rPr>
          <w:rFonts w:ascii="Century Gothic" w:hAnsi="Century Gothic" w:cs="Century Gothic"/>
          <w:sz w:val="16"/>
          <w:szCs w:val="16"/>
        </w:rPr>
        <w:t>í</w:t>
      </w:r>
      <w:r w:rsidRPr="00FD6EB1">
        <w:rPr>
          <w:rFonts w:ascii="Century Gothic" w:hAnsi="Century Gothic" w:cs="Arial"/>
          <w:sz w:val="16"/>
          <w:szCs w:val="16"/>
        </w:rPr>
        <w:t xml:space="preserve">culo 3 </w:t>
      </w:r>
      <w:r w:rsidRPr="00FD6EB1">
        <w:rPr>
          <w:rFonts w:ascii="Century Gothic" w:hAnsi="Century Gothic" w:cs="Arial"/>
          <w:i/>
          <w:iCs/>
          <w:sz w:val="16"/>
          <w:szCs w:val="16"/>
        </w:rPr>
        <w:t xml:space="preserve">ibidem </w:t>
      </w:r>
      <w:r w:rsidRPr="00FD6EB1">
        <w:rPr>
          <w:rFonts w:ascii="Century Gothic" w:hAnsi="Century Gothic" w:cs="Arial"/>
          <w:sz w:val="16"/>
          <w:szCs w:val="16"/>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rsidRPr="00FD6EB1" w:rsidR="00351421" w:rsidP="00351421" w:rsidRDefault="00351421" w14:paraId="3EE07063" w14:textId="77777777">
      <w:pPr>
        <w:pStyle w:val="Textonotapie"/>
        <w:ind w:firstLine="708"/>
        <w:jc w:val="both"/>
        <w:rPr>
          <w:rFonts w:ascii="Century Gothic" w:hAnsi="Century Gothic" w:cs="Arial"/>
          <w:sz w:val="16"/>
          <w:szCs w:val="16"/>
        </w:rPr>
      </w:pPr>
      <w:r w:rsidRPr="00FD6EB1">
        <w:rPr>
          <w:rStyle w:val="Refdenotaalpie"/>
          <w:rFonts w:ascii="Century Gothic" w:hAnsi="Century Gothic" w:cs="Arial"/>
          <w:sz w:val="16"/>
          <w:szCs w:val="16"/>
        </w:rPr>
        <w:footnoteRef/>
      </w:r>
      <w:r w:rsidRPr="00FD6EB1">
        <w:rPr>
          <w:rFonts w:ascii="Century Gothic" w:hAnsi="Century Gothic" w:cs="Arial"/>
          <w:sz w:val="16"/>
          <w:szCs w:val="16"/>
        </w:rPr>
        <w:t xml:space="preserve"> Los conceptos referenciados, así como otros expedidos por la Subdirección se encuentran disponibles para consulta pública en el portal de relatoría de la Agencia, al cual se puede acceder a través del siguiente enlace: </w:t>
      </w:r>
      <w:hyperlink w:history="1" r:id="rId1">
        <w:r w:rsidRPr="00FD6EB1">
          <w:rPr>
            <w:rStyle w:val="Hipervnculo"/>
            <w:rFonts w:ascii="Century Gothic" w:hAnsi="Century Gothic" w:cs="Arial"/>
            <w:sz w:val="16"/>
            <w:szCs w:val="16"/>
          </w:rPr>
          <w:t>https://relatoria.colombiacompra.gov.co/busqueda/conceptos</w:t>
        </w:r>
      </w:hyperlink>
      <w:r w:rsidRPr="00FD6EB1">
        <w:rPr>
          <w:rStyle w:val="Hipervnculo"/>
          <w:rFonts w:ascii="Century Gothic" w:hAnsi="Century Gothic" w:cs="Arial"/>
          <w:sz w:val="16"/>
          <w:szCs w:val="16"/>
        </w:rPr>
        <w:t xml:space="preserve">. </w:t>
      </w:r>
      <w:r w:rsidRPr="00FD6EB1">
        <w:rPr>
          <w:rFonts w:ascii="Century Gothic" w:hAnsi="Century Gothic" w:cs="Arial"/>
          <w:sz w:val="16"/>
          <w:szCs w:val="16"/>
          <w:shd w:val="clear" w:color="auto" w:fill="E6E6E6"/>
        </w:rPr>
        <w:t xml:space="preserve"> </w:t>
      </w:r>
    </w:p>
  </w:footnote>
  <w:footnote w:id="4">
    <w:p w:rsidRPr="00FD6EB1" w:rsidR="00351421" w:rsidP="00351421" w:rsidRDefault="00351421" w14:paraId="4344558A" w14:textId="77777777">
      <w:pPr>
        <w:pStyle w:val="Textonotapie"/>
        <w:ind w:firstLine="708"/>
        <w:jc w:val="both"/>
        <w:rPr>
          <w:rFonts w:ascii="Century Gothic" w:hAnsi="Century Gothic" w:cs="Arial"/>
          <w:sz w:val="16"/>
          <w:szCs w:val="16"/>
        </w:rPr>
      </w:pPr>
      <w:r w:rsidRPr="00FD6EB1">
        <w:rPr>
          <w:rStyle w:val="Refdenotaalpie"/>
          <w:rFonts w:ascii="Century Gothic" w:hAnsi="Century Gothic" w:cs="Arial"/>
          <w:sz w:val="16"/>
          <w:szCs w:val="16"/>
        </w:rPr>
        <w:footnoteRef/>
      </w:r>
      <w:r w:rsidRPr="00FD6EB1">
        <w:rPr>
          <w:rFonts w:ascii="Century Gothic" w:hAnsi="Century Gothic" w:cs="Arial"/>
          <w:sz w:val="16"/>
          <w:szCs w:val="16"/>
        </w:rPr>
        <w:t xml:space="preserve"> Sobre esta norma, consultar los conceptos del 8 de octubre de 2019, con radicado No. 2201913000007532, y del 20 de diciembre de 2019, con radicado No. 4201913000008240.</w:t>
      </w:r>
    </w:p>
  </w:footnote>
  <w:footnote w:id="5">
    <w:p w:rsidRPr="00FD6EB1" w:rsidR="00351421" w:rsidP="00351421" w:rsidRDefault="00351421" w14:paraId="2F92653A" w14:textId="77777777">
      <w:pPr>
        <w:pStyle w:val="Textonotapie"/>
        <w:ind w:firstLine="708"/>
        <w:jc w:val="both"/>
        <w:rPr>
          <w:rFonts w:ascii="Century Gothic" w:hAnsi="Century Gothic" w:cs="Arial"/>
          <w:sz w:val="16"/>
          <w:szCs w:val="16"/>
        </w:rPr>
      </w:pPr>
      <w:r w:rsidRPr="00FD6EB1">
        <w:rPr>
          <w:rStyle w:val="Refdenotaalpie"/>
          <w:rFonts w:ascii="Century Gothic" w:hAnsi="Century Gothic"/>
          <w:sz w:val="16"/>
          <w:szCs w:val="16"/>
        </w:rPr>
        <w:footnoteRef/>
      </w:r>
      <w:r w:rsidRPr="00FD6EB1">
        <w:rPr>
          <w:rFonts w:ascii="Century Gothic" w:hAnsi="Century Gothic"/>
          <w:sz w:val="16"/>
          <w:szCs w:val="16"/>
        </w:rPr>
        <w:t xml:space="preserve"> </w:t>
      </w:r>
      <w:r w:rsidRPr="00FD6EB1">
        <w:rPr>
          <w:rFonts w:ascii="Century Gothic" w:hAnsi="Century Gothic" w:cs="Arial"/>
          <w:sz w:val="16"/>
          <w:szCs w:val="16"/>
        </w:rPr>
        <w:t>Al respecto, la Ley 489 de 1998 dispone que “Art. 96.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rsidRPr="00FD6EB1" w:rsidR="00351421" w:rsidP="00351421" w:rsidRDefault="00351421" w14:paraId="1E423099" w14:textId="77777777">
      <w:pPr>
        <w:pStyle w:val="Textonotapie"/>
        <w:ind w:firstLine="708"/>
        <w:jc w:val="both"/>
        <w:rPr>
          <w:rFonts w:ascii="Century Gothic" w:hAnsi="Century Gothic" w:cs="Arial"/>
          <w:sz w:val="16"/>
          <w:szCs w:val="16"/>
        </w:rPr>
      </w:pPr>
      <w:r w:rsidRPr="00FD6EB1">
        <w:rPr>
          <w:rFonts w:ascii="Century Gothic" w:hAnsi="Century Gothic" w:cs="Arial"/>
          <w:sz w:val="16"/>
          <w:szCs w:val="16"/>
        </w:rPr>
        <w:t xml:space="preserve">Los convenios de asociación a que se refiere el presente artículo </w:t>
      </w:r>
      <w:bookmarkStart w:name="_Hlk36023315" w:id="9"/>
      <w:r w:rsidRPr="00FD6EB1">
        <w:rPr>
          <w:rFonts w:ascii="Century Gothic" w:hAnsi="Century Gothic" w:cs="Arial"/>
          <w:sz w:val="16"/>
          <w:szCs w:val="16"/>
        </w:rPr>
        <w:t>se celebrarán de conformidad con lo dispuesto en el artículo 355 de la Constitución Política</w:t>
      </w:r>
      <w:bookmarkEnd w:id="9"/>
      <w:r w:rsidRPr="00FD6EB1">
        <w:rPr>
          <w:rFonts w:ascii="Century Gothic" w:hAnsi="Century Gothic" w:cs="Arial"/>
          <w:sz w:val="16"/>
          <w:szCs w:val="16"/>
        </w:rPr>
        <w:t>, en ellos se determinará con precisión su objeto, término, obligaciones de las partes, aportes, coordinación y todos aquellos aspectos que se consideren pertinentes”.</w:t>
      </w:r>
    </w:p>
  </w:footnote>
  <w:footnote w:id="6">
    <w:p w:rsidRPr="00FD6EB1" w:rsidR="00351421" w:rsidP="00351421" w:rsidRDefault="00351421" w14:paraId="6C4F1ED8" w14:textId="77777777">
      <w:pPr>
        <w:pStyle w:val="Textonotapie"/>
        <w:ind w:firstLine="708"/>
        <w:jc w:val="both"/>
        <w:rPr>
          <w:rFonts w:ascii="Century Gothic" w:hAnsi="Century Gothic" w:cs="Arial"/>
          <w:sz w:val="16"/>
          <w:szCs w:val="16"/>
        </w:rPr>
      </w:pPr>
      <w:r w:rsidRPr="00FD6EB1">
        <w:rPr>
          <w:rStyle w:val="Refdenotaalpie"/>
          <w:rFonts w:ascii="Century Gothic" w:hAnsi="Century Gothic" w:cs="Arial"/>
          <w:sz w:val="16"/>
          <w:szCs w:val="16"/>
        </w:rPr>
        <w:footnoteRef/>
      </w:r>
      <w:r w:rsidRPr="00FD6EB1">
        <w:rPr>
          <w:rFonts w:ascii="Century Gothic" w:hAnsi="Century Gothic" w:cs="Arial"/>
          <w:sz w:val="16"/>
          <w:szCs w:val="16"/>
        </w:rPr>
        <w:t xml:space="preserve"> Concepto del 3 de septiembre de 2019, con radicado No. 2201913000006512.</w:t>
      </w:r>
    </w:p>
  </w:footnote>
  <w:footnote w:id="7">
    <w:p w:rsidRPr="00FD6EB1" w:rsidR="00351421" w:rsidP="00351421" w:rsidRDefault="00351421" w14:paraId="325F2654" w14:textId="77777777">
      <w:pPr>
        <w:pStyle w:val="Textonotapie"/>
        <w:ind w:firstLine="708"/>
        <w:jc w:val="both"/>
        <w:rPr>
          <w:rFonts w:ascii="Century Gothic" w:hAnsi="Century Gothic" w:cs="Arial"/>
          <w:sz w:val="16"/>
          <w:szCs w:val="16"/>
        </w:rPr>
      </w:pPr>
      <w:r w:rsidRPr="00FD6EB1">
        <w:rPr>
          <w:rStyle w:val="Refdenotaalpie"/>
          <w:rFonts w:ascii="Century Gothic" w:hAnsi="Century Gothic" w:cs="Arial"/>
          <w:sz w:val="16"/>
          <w:szCs w:val="16"/>
        </w:rPr>
        <w:footnoteRef/>
      </w:r>
      <w:r w:rsidRPr="00FD6EB1">
        <w:rPr>
          <w:rFonts w:ascii="Century Gothic" w:hAnsi="Century Gothic" w:cs="Arial"/>
          <w:sz w:val="16"/>
          <w:szCs w:val="16"/>
        </w:rPr>
        <w:t xml:space="preserve"> Sobre la naturaleza de los convenios de asociación, se reitera lo expuesto en el concepto del 19 de noviembre de 2019, con radicado No. 2201913000008611.</w:t>
      </w:r>
    </w:p>
  </w:footnote>
  <w:footnote w:id="8">
    <w:p w:rsidRPr="00FD6EB1" w:rsidR="00351421" w:rsidP="00351421" w:rsidRDefault="00351421" w14:paraId="074E20B0" w14:textId="77777777">
      <w:pPr>
        <w:pStyle w:val="Textonotapie"/>
        <w:ind w:firstLine="708"/>
        <w:jc w:val="both"/>
        <w:rPr>
          <w:rFonts w:ascii="Century Gothic" w:hAnsi="Century Gothic" w:cs="Arial"/>
          <w:color w:val="000000" w:themeColor="text1"/>
          <w:sz w:val="16"/>
          <w:szCs w:val="16"/>
        </w:rPr>
      </w:pPr>
      <w:r w:rsidRPr="00FD6EB1">
        <w:rPr>
          <w:rStyle w:val="Refdenotaalpie"/>
          <w:rFonts w:ascii="Century Gothic" w:hAnsi="Century Gothic" w:cs="Arial"/>
          <w:color w:val="000000" w:themeColor="text1"/>
          <w:sz w:val="16"/>
          <w:szCs w:val="16"/>
        </w:rPr>
        <w:footnoteRef/>
      </w:r>
      <w:r w:rsidRPr="00FD6EB1">
        <w:rPr>
          <w:rFonts w:ascii="Century Gothic" w:hAnsi="Century Gothic" w:cs="Arial"/>
          <w:color w:val="000000" w:themeColor="text1"/>
          <w:sz w:val="16"/>
          <w:szCs w:val="16"/>
        </w:rPr>
        <w:t xml:space="preserve"> Cfr. Concepto del 21 de agosto de 2019, dictado dentro del radicado No. 2201913000006047.</w:t>
      </w:r>
    </w:p>
  </w:footnote>
  <w:footnote w:id="9">
    <w:p w:rsidRPr="00FD6EB1" w:rsidR="00351421" w:rsidP="00351421" w:rsidRDefault="00351421" w14:paraId="5B48ADF1" w14:textId="77777777">
      <w:pPr>
        <w:pStyle w:val="Textonotapie"/>
        <w:ind w:firstLine="708"/>
        <w:jc w:val="both"/>
        <w:rPr>
          <w:rFonts w:ascii="Century Gothic" w:hAnsi="Century Gothic" w:cs="Arial"/>
          <w:color w:val="000000" w:themeColor="text1"/>
          <w:sz w:val="16"/>
          <w:szCs w:val="16"/>
          <w:lang w:val="es-ES"/>
        </w:rPr>
      </w:pPr>
      <w:r w:rsidRPr="00FD6EB1">
        <w:rPr>
          <w:rStyle w:val="Refdenotaalpie"/>
          <w:rFonts w:ascii="Century Gothic" w:hAnsi="Century Gothic" w:cs="Arial"/>
          <w:color w:val="000000" w:themeColor="text1"/>
          <w:sz w:val="16"/>
          <w:szCs w:val="16"/>
        </w:rPr>
        <w:footnoteRef/>
      </w:r>
      <w:r w:rsidRPr="00FD6EB1">
        <w:rPr>
          <w:rFonts w:ascii="Century Gothic" w:hAnsi="Century Gothic" w:cs="Arial"/>
          <w:color w:val="000000" w:themeColor="text1"/>
          <w:sz w:val="16"/>
          <w:szCs w:val="16"/>
        </w:rPr>
        <w:t xml:space="preserve"> Concepto del 24 de febrero de 2005, con radicado No. 1626, C.P. Dra. Gloria Duque Hernández</w:t>
      </w:r>
    </w:p>
  </w:footnote>
  <w:footnote w:id="10">
    <w:p w:rsidRPr="00FD6EB1" w:rsidR="00351421" w:rsidP="00351421" w:rsidRDefault="00351421" w14:paraId="0E45E4A0" w14:textId="77777777">
      <w:pPr>
        <w:pStyle w:val="Textonotapie"/>
        <w:ind w:firstLine="708"/>
        <w:jc w:val="both"/>
        <w:rPr>
          <w:rFonts w:ascii="Century Gothic" w:hAnsi="Century Gothic" w:cs="Arial"/>
          <w:color w:val="000000" w:themeColor="text1"/>
          <w:sz w:val="16"/>
          <w:szCs w:val="16"/>
        </w:rPr>
      </w:pPr>
      <w:r w:rsidRPr="00FD6EB1">
        <w:rPr>
          <w:rStyle w:val="Refdenotaalpie"/>
          <w:rFonts w:ascii="Century Gothic" w:hAnsi="Century Gothic" w:cs="Arial"/>
          <w:color w:val="000000" w:themeColor="text1"/>
          <w:sz w:val="16"/>
          <w:szCs w:val="16"/>
        </w:rPr>
        <w:footnoteRef/>
      </w:r>
      <w:r w:rsidRPr="00FD6EB1">
        <w:rPr>
          <w:rFonts w:ascii="Century Gothic" w:hAnsi="Century Gothic" w:cs="Arial"/>
          <w:color w:val="000000" w:themeColor="text1"/>
          <w:sz w:val="16"/>
          <w:szCs w:val="16"/>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footnote>
  <w:footnote w:id="11">
    <w:p w:rsidRPr="00FD6EB1" w:rsidR="00351421" w:rsidP="00351421" w:rsidRDefault="00351421" w14:paraId="2A607B15" w14:textId="77777777">
      <w:pPr>
        <w:pStyle w:val="Textonotapie"/>
        <w:ind w:firstLine="708"/>
        <w:rPr>
          <w:rFonts w:ascii="Century Gothic" w:hAnsi="Century Gothic" w:cs="Arial"/>
          <w:color w:val="000000" w:themeColor="text1"/>
          <w:sz w:val="16"/>
          <w:szCs w:val="16"/>
        </w:rPr>
      </w:pPr>
      <w:r w:rsidRPr="00FD6EB1">
        <w:rPr>
          <w:rStyle w:val="Refdenotaalpie"/>
          <w:rFonts w:ascii="Century Gothic" w:hAnsi="Century Gothic"/>
          <w:sz w:val="16"/>
          <w:szCs w:val="16"/>
        </w:rPr>
        <w:footnoteRef/>
      </w:r>
      <w:r w:rsidRPr="00FD6EB1">
        <w:rPr>
          <w:rFonts w:ascii="Century Gothic" w:hAnsi="Century Gothic"/>
          <w:sz w:val="16"/>
          <w:szCs w:val="16"/>
        </w:rPr>
        <w:t xml:space="preserve"> </w:t>
      </w:r>
      <w:r w:rsidRPr="00FD6EB1">
        <w:rPr>
          <w:rFonts w:ascii="Century Gothic" w:hAnsi="Century Gothic" w:cs="Arial"/>
          <w:color w:val="000000" w:themeColor="text1"/>
          <w:sz w:val="16"/>
          <w:szCs w:val="16"/>
        </w:rPr>
        <w:t>CONSEJO DE ESTADO. Sala Plena. Auto del 15 de marzo de 2022. Exp. 11001-03-26-000-2018-00113-01 (62.003). C.P. Rocío Araújo Oñate.</w:t>
      </w:r>
    </w:p>
  </w:footnote>
  <w:footnote w:id="12">
    <w:p w:rsidRPr="00FD6EB1" w:rsidR="00351421" w:rsidP="00351421" w:rsidRDefault="00351421" w14:paraId="525EADDE" w14:textId="77777777">
      <w:pPr>
        <w:pStyle w:val="Textonotapie"/>
        <w:ind w:firstLine="708"/>
        <w:jc w:val="both"/>
        <w:rPr>
          <w:rFonts w:ascii="Century Gothic" w:hAnsi="Century Gothic" w:eastAsia="Calibri" w:cs="Arial"/>
          <w:color w:val="000000" w:themeColor="text1"/>
          <w:sz w:val="16"/>
          <w:szCs w:val="16"/>
        </w:rPr>
      </w:pPr>
      <w:r w:rsidRPr="00FD6EB1">
        <w:rPr>
          <w:rStyle w:val="Refdenotaalpie"/>
          <w:rFonts w:ascii="Century Gothic" w:hAnsi="Century Gothic" w:cs="Arial"/>
          <w:color w:val="000000" w:themeColor="text1"/>
          <w:sz w:val="16"/>
          <w:szCs w:val="16"/>
        </w:rPr>
        <w:footnoteRef/>
      </w:r>
      <w:r w:rsidRPr="00FD6EB1">
        <w:rPr>
          <w:rFonts w:ascii="Century Gothic" w:hAnsi="Century Gothic" w:cs="Arial"/>
          <w:color w:val="000000" w:themeColor="text1"/>
          <w:sz w:val="16"/>
          <w:szCs w:val="16"/>
        </w:rPr>
        <w:t xml:space="preserve"> </w:t>
      </w:r>
      <w:r w:rsidRPr="00FD6EB1">
        <w:rPr>
          <w:rFonts w:ascii="Century Gothic" w:hAnsi="Century Gothic" w:eastAsia="Calibri" w:cs="Arial"/>
          <w:color w:val="000000" w:themeColor="text1"/>
          <w:sz w:val="16"/>
          <w:szCs w:val="16"/>
        </w:rPr>
        <w:t>Decreto 092 de 2017, artículo 1, inciso 2: “Para la interpretación del presente decreto, las expresiones aquí utilizadas con mayúscula inicial deben ser entendidas con el significado indicado en la guía que expida la Agencia Nacional de Contratación Pública –Colombia Compra Eficiente– para la aplicación del presente decreto”.</w:t>
      </w:r>
    </w:p>
  </w:footnote>
  <w:footnote w:id="13">
    <w:p w:rsidRPr="00FD6EB1" w:rsidR="00351421" w:rsidP="00351421" w:rsidRDefault="00351421" w14:paraId="1541044E" w14:textId="77777777">
      <w:pPr>
        <w:pStyle w:val="Textonotapie"/>
        <w:ind w:firstLine="708"/>
        <w:jc w:val="both"/>
        <w:rPr>
          <w:rFonts w:ascii="Century Gothic" w:hAnsi="Century Gothic" w:cs="Arial"/>
          <w:color w:val="000000" w:themeColor="text1"/>
          <w:sz w:val="16"/>
          <w:szCs w:val="16"/>
        </w:rPr>
      </w:pPr>
      <w:r w:rsidRPr="00FD6EB1">
        <w:rPr>
          <w:rStyle w:val="Refdenotaalpie"/>
          <w:rFonts w:ascii="Century Gothic" w:hAnsi="Century Gothic" w:cs="Arial"/>
          <w:color w:val="000000" w:themeColor="text1"/>
          <w:sz w:val="16"/>
          <w:szCs w:val="16"/>
        </w:rPr>
        <w:footnoteRef/>
      </w:r>
      <w:r w:rsidRPr="00FD6EB1">
        <w:rPr>
          <w:rFonts w:ascii="Century Gothic" w:hAnsi="Century Gothic" w:cs="Arial"/>
          <w:color w:val="000000" w:themeColor="text1"/>
          <w:sz w:val="16"/>
          <w:szCs w:val="16"/>
        </w:rPr>
        <w:t xml:space="preserve"> </w:t>
      </w:r>
      <w:r w:rsidRPr="00FD6EB1">
        <w:rPr>
          <w:rFonts w:ascii="Century Gothic" w:hAnsi="Century Gothic" w:eastAsia="Calibri" w:cs="Arial"/>
          <w:color w:val="000000" w:themeColor="text1"/>
          <w:sz w:val="16"/>
          <w:szCs w:val="16"/>
        </w:rPr>
        <w:t>Decreto 092 de 2017, artículo 3, inciso 2: “</w:t>
      </w:r>
      <w:r w:rsidRPr="00FD6EB1">
        <w:rPr>
          <w:rFonts w:ascii="Century Gothic" w:hAnsi="Century Gothic" w:cs="Arial"/>
          <w:color w:val="000000" w:themeColor="text1"/>
          <w:sz w:val="16"/>
          <w:szCs w:val="16"/>
        </w:rPr>
        <w:t>La Entidad Estatal debe definir en los Documentos del Proceso las características que debe acreditar la entidad sin ánimo de lucro. Para el efecto, deberá tomar en consideración las pautas y criterios establecidos en la guía que expida la Agencia Nacional de Contratación Pública –Colombia Compra Eficiente, la cual deberá tener en cuenta las normas de trasparencia y acceso a la información aplicable a las entidades privadas sin ánimo de lucro que contratan con cargo a recursos de origen público y las mejores prácticas en materia de prohibiciones, inhabilidades, incompatibilidades y conflictos de interés”.</w:t>
      </w:r>
    </w:p>
  </w:footnote>
  <w:footnote w:id="14">
    <w:p w:rsidRPr="00FD6EB1" w:rsidR="00351421" w:rsidP="00351421" w:rsidRDefault="00351421" w14:paraId="7A4ED1F7" w14:textId="77777777">
      <w:pPr>
        <w:spacing w:after="0" w:line="240" w:lineRule="auto"/>
        <w:ind w:firstLine="708"/>
        <w:jc w:val="both"/>
        <w:rPr>
          <w:rFonts w:ascii="Century Gothic" w:hAnsi="Century Gothic" w:cs="Arial"/>
          <w:color w:val="000000" w:themeColor="text1"/>
          <w:sz w:val="16"/>
          <w:szCs w:val="16"/>
        </w:rPr>
      </w:pPr>
      <w:r w:rsidRPr="00FD6EB1">
        <w:rPr>
          <w:rFonts w:ascii="Century Gothic" w:hAnsi="Century Gothic" w:cs="Arial"/>
          <w:color w:val="000000" w:themeColor="text1"/>
          <w:sz w:val="16"/>
          <w:szCs w:val="16"/>
          <w:vertAlign w:val="superscript"/>
        </w:rPr>
        <w:footnoteRef/>
      </w:r>
      <w:r w:rsidRPr="00FD6EB1">
        <w:rPr>
          <w:rFonts w:ascii="Century Gothic" w:hAnsi="Century Gothic" w:cs="Arial"/>
          <w:color w:val="000000" w:themeColor="text1"/>
          <w:sz w:val="16"/>
          <w:szCs w:val="16"/>
        </w:rPr>
        <w:t xml:space="preserve"> En el auto del 15 de marzo de 2022 se señalaron los siguientes argumentos para levantar la suspensión provisional del inciso segundo del artículo 3 del Decreto 092 de 2017: “43. En suma, lo que advierte la Sala es que para establecer si el Gobierno nacional delegó indebidamente el ejercicio de la potestad reglamentaria directa de la Constitución, es necesario realizar un estudio de fondo, que es propio de la sentencia, pues de la literalidad de las normas confrontadas no surge que la expedición de la guía, con el alcance orientador y de interpretación señalado en las disposiciones demandadas, corresponda al ejercicio incompleto y trasladado de esa potestad, como lo razona el demandante, o si se trata de la asignación de una función o tarea, dentro de la amplia esfera de configuración normativa que confieren los reglamentos constitucionales autónomos, como lo entiende el Departamento Nacional de Planeación. </w:t>
      </w:r>
    </w:p>
    <w:p w:rsidRPr="00FD6EB1" w:rsidR="00351421" w:rsidP="00351421" w:rsidRDefault="00351421" w14:paraId="3CD9E253" w14:textId="77777777">
      <w:pPr>
        <w:spacing w:after="0" w:line="240" w:lineRule="auto"/>
        <w:ind w:firstLine="708"/>
        <w:jc w:val="both"/>
        <w:rPr>
          <w:rFonts w:ascii="Century Gothic" w:hAnsi="Century Gothic" w:cs="Arial"/>
          <w:color w:val="000000" w:themeColor="text1"/>
          <w:sz w:val="16"/>
          <w:szCs w:val="16"/>
        </w:rPr>
      </w:pPr>
      <w:r w:rsidRPr="00FD6EB1">
        <w:rPr>
          <w:rFonts w:ascii="Century Gothic" w:hAnsi="Century Gothic" w:cs="Arial"/>
          <w:color w:val="000000" w:themeColor="text1"/>
          <w:sz w:val="16"/>
          <w:szCs w:val="16"/>
        </w:rPr>
        <w:t xml:space="preserve"> 44. Así pues, al no evidenciarse ab initio la infracción constitucional aducida en los términos del artículo 231 de la Ley 1437 de 2011, no existe fundamento jurídico para suspender provisionalmente los efectos del inciso segundo del artículo 1 y del inciso segundo del artículo 3 del Decreto 092 de 2017. En consecuencia, la Sala revocará dicha medida cautelar y la negará en relación con esas disposiciones”. (CONSEJO DE ESTADO. Sala Plena. Auto del 15 de marzo de 2022. Exp. 11001-03-26-000-2018-00113-01 (62.003). C.P. Rocío Araújo Oñate).</w:t>
      </w:r>
    </w:p>
  </w:footnote>
  <w:footnote w:id="15">
    <w:p w:rsidRPr="00FD6EB1" w:rsidR="00351421" w:rsidP="00351421" w:rsidRDefault="00351421" w14:paraId="0DCC4BB8" w14:textId="77777777">
      <w:pPr>
        <w:spacing w:after="0" w:line="240" w:lineRule="auto"/>
        <w:ind w:firstLine="708"/>
        <w:jc w:val="both"/>
        <w:rPr>
          <w:rFonts w:ascii="Century Gothic" w:hAnsi="Century Gothic" w:cs="Arial"/>
          <w:color w:val="000000" w:themeColor="text1"/>
          <w:sz w:val="16"/>
          <w:szCs w:val="16"/>
        </w:rPr>
      </w:pPr>
      <w:r w:rsidRPr="00FD6EB1">
        <w:rPr>
          <w:rStyle w:val="Refdenotaalpie"/>
          <w:rFonts w:ascii="Century Gothic" w:hAnsi="Century Gothic" w:cs="Arial"/>
          <w:color w:val="000000" w:themeColor="text1"/>
          <w:sz w:val="16"/>
          <w:szCs w:val="16"/>
        </w:rPr>
        <w:footnoteRef/>
      </w:r>
      <w:r w:rsidRPr="00FD6EB1">
        <w:rPr>
          <w:rFonts w:ascii="Century Gothic" w:hAnsi="Century Gothic" w:cs="Arial"/>
          <w:color w:val="000000" w:themeColor="text1"/>
          <w:sz w:val="16"/>
          <w:szCs w:val="16"/>
        </w:rPr>
        <w:t xml:space="preserve"> Decreto 092 de 2017, Artículo 2, literal a: “Que el objeto del contrato corresponda directamente a programas y actividades de interés público previsto en el Plan Nacional o Seccional de Desarrollo, de acuerdo con el nivel de la Entidad Estatal, con los cuales esta busque exclusivamente promover los derechos de personas en situaciones de debilidad manifiesta o indefensión, los derechos de las minorías, el derecho a la educación, el derecho a la paz, las manifestaciones artísticas, culturales, deportivas y de promoción de la diversidad étnica colombiana”.</w:t>
      </w:r>
    </w:p>
  </w:footnote>
  <w:footnote w:id="16">
    <w:p w:rsidRPr="00FD6EB1" w:rsidR="00351421" w:rsidP="00351421" w:rsidRDefault="00351421" w14:paraId="718182D8" w14:textId="77777777">
      <w:pPr>
        <w:pStyle w:val="Textonotapie"/>
        <w:ind w:firstLine="708"/>
        <w:jc w:val="both"/>
        <w:rPr>
          <w:rFonts w:ascii="Century Gothic" w:hAnsi="Century Gothic" w:cs="Arial"/>
          <w:color w:val="000000" w:themeColor="text1"/>
          <w:sz w:val="16"/>
          <w:szCs w:val="16"/>
        </w:rPr>
      </w:pPr>
      <w:r w:rsidRPr="00FD6EB1">
        <w:rPr>
          <w:rStyle w:val="Refdenotaalpie"/>
          <w:rFonts w:ascii="Century Gothic" w:hAnsi="Century Gothic" w:cs="Arial"/>
          <w:color w:val="000000" w:themeColor="text1"/>
          <w:sz w:val="16"/>
          <w:szCs w:val="16"/>
        </w:rPr>
        <w:footnoteRef/>
      </w:r>
      <w:r w:rsidRPr="00FD6EB1">
        <w:rPr>
          <w:rFonts w:ascii="Century Gothic" w:hAnsi="Century Gothic" w:cs="Arial"/>
          <w:color w:val="000000" w:themeColor="text1"/>
          <w:sz w:val="16"/>
          <w:szCs w:val="16"/>
        </w:rPr>
        <w:t xml:space="preserve"> Decreto 092 de 2017, Artículo 2, literal a: “Que no exista oferta en el mercado de los bienes, obras y servicios requeridos para la estrategia y política del plan de desarrollo objeto de la contratación, distinta de la oferta que hacen las entidades privadas sin ánimo de lucro; o que, si existe, la contratación con entidades privadas sin ánimo de lucro represente la optimización de los recursos públicos en términos de eficiencia, eficacia, economía y manejo del Riesgo. En los demás eventos, la Entidad Estatal deberá aplicar la Ley 80 de 1993, sus modificaciones y reglamentos”.</w:t>
      </w:r>
    </w:p>
  </w:footnote>
  <w:footnote w:id="17">
    <w:p w:rsidRPr="00FD6EB1" w:rsidR="00351421" w:rsidP="00351421" w:rsidRDefault="00351421" w14:paraId="108590BB" w14:textId="77777777">
      <w:pPr>
        <w:pStyle w:val="Textonotapie"/>
        <w:ind w:firstLine="708"/>
        <w:jc w:val="both"/>
        <w:rPr>
          <w:rFonts w:ascii="Century Gothic" w:hAnsi="Century Gothic" w:cs="Arial"/>
          <w:color w:val="000000" w:themeColor="text1"/>
          <w:sz w:val="16"/>
          <w:szCs w:val="16"/>
          <w:lang w:val="es-ES"/>
        </w:rPr>
      </w:pPr>
      <w:r w:rsidRPr="00FD6EB1">
        <w:rPr>
          <w:rStyle w:val="Refdenotaalpie"/>
          <w:rFonts w:ascii="Century Gothic" w:hAnsi="Century Gothic" w:cs="Arial"/>
          <w:color w:val="000000" w:themeColor="text1"/>
          <w:sz w:val="16"/>
          <w:szCs w:val="16"/>
        </w:rPr>
        <w:footnoteRef/>
      </w:r>
      <w:r w:rsidRPr="00FD6EB1">
        <w:rPr>
          <w:rFonts w:ascii="Century Gothic" w:hAnsi="Century Gothic" w:cs="Arial"/>
          <w:color w:val="000000" w:themeColor="text1"/>
          <w:sz w:val="16"/>
          <w:szCs w:val="16"/>
        </w:rPr>
        <w:t xml:space="preserve"> Decreto 092 de 2017, artículo 4: “(…) Las Entidades Estatales no están obligadas a adelantar el proceso competitivo previsto en este artículo cuando el objeto del Proceso de Contratación corresponde a actividades artísticas, culturales, deportivas y de promoción de la diversidad étnica colombiana, que solo pueden desarrollar determinadas personas naturales o jurídicas, condición que debe justificarse en los estudios y documentos previos”.</w:t>
      </w:r>
    </w:p>
  </w:footnote>
  <w:footnote w:id="18">
    <w:p w:rsidRPr="00FD6EB1" w:rsidR="00351421" w:rsidP="00351421" w:rsidRDefault="00351421" w14:paraId="6F0E1DF0" w14:textId="77777777">
      <w:pPr>
        <w:pStyle w:val="Textonotapie"/>
        <w:ind w:firstLine="708"/>
        <w:jc w:val="both"/>
        <w:rPr>
          <w:rFonts w:ascii="Century Gothic" w:hAnsi="Century Gothic" w:cs="Arial"/>
          <w:sz w:val="16"/>
          <w:szCs w:val="16"/>
        </w:rPr>
      </w:pPr>
      <w:r w:rsidRPr="00FD6EB1">
        <w:rPr>
          <w:rStyle w:val="Refdenotaalpie"/>
          <w:rFonts w:ascii="Century Gothic" w:hAnsi="Century Gothic" w:cs="Arial"/>
          <w:sz w:val="16"/>
          <w:szCs w:val="16"/>
        </w:rPr>
        <w:footnoteRef/>
      </w:r>
      <w:r w:rsidRPr="00FD6EB1">
        <w:rPr>
          <w:rFonts w:ascii="Century Gothic" w:hAnsi="Century Gothic" w:cs="Arial"/>
          <w:sz w:val="16"/>
          <w:szCs w:val="16"/>
        </w:rPr>
        <w:t xml:space="preserve"> De esta manera, agrega que “[…] cuando el reglamento exige correspondencia directa entre los objetos de los contratos y las actividades y programas contenidos específicamente en los planes de desarrollo, excluye aquellos programas y actividades de interés público que desarrollan entidades sin ánimo de lucro y de reconocida idoneidad, que aun cuando acordes con los planes de desarrollo no encajan de manera precisa en alguna de las actividades o programas particulares contemplados en dichos planes” (Cfr. Consejo de Estado. Sala Plena. </w:t>
      </w:r>
      <w:bookmarkStart w:name="_Hlk102655636" w:id="17"/>
      <w:r w:rsidRPr="00FD6EB1">
        <w:rPr>
          <w:rFonts w:ascii="Century Gothic" w:hAnsi="Century Gothic" w:cs="Arial"/>
          <w:sz w:val="16"/>
          <w:szCs w:val="16"/>
        </w:rPr>
        <w:t>Auto del 15 de marzo de 2022</w:t>
      </w:r>
      <w:bookmarkEnd w:id="17"/>
      <w:r w:rsidRPr="00FD6EB1">
        <w:rPr>
          <w:rFonts w:ascii="Century Gothic" w:hAnsi="Century Gothic" w:cs="Arial"/>
          <w:sz w:val="16"/>
          <w:szCs w:val="16"/>
        </w:rPr>
        <w:t>. Exp. 62.003. C.P. Rocío Araújo Oñate).</w:t>
      </w:r>
    </w:p>
  </w:footnote>
  <w:footnote w:id="19">
    <w:p w:rsidRPr="00FD6EB1" w:rsidR="00351421" w:rsidP="00351421" w:rsidRDefault="00351421" w14:paraId="0B9F6F62" w14:textId="77777777">
      <w:pPr>
        <w:pStyle w:val="Textonotapie"/>
        <w:ind w:firstLine="708"/>
        <w:rPr>
          <w:rFonts w:ascii="Century Gothic" w:hAnsi="Century Gothic" w:cs="Arial"/>
          <w:sz w:val="16"/>
          <w:szCs w:val="16"/>
        </w:rPr>
      </w:pPr>
      <w:r w:rsidRPr="00FD6EB1">
        <w:rPr>
          <w:rStyle w:val="Refdenotaalpie"/>
          <w:rFonts w:ascii="Century Gothic" w:hAnsi="Century Gothic" w:cs="Arial"/>
          <w:sz w:val="16"/>
          <w:szCs w:val="16"/>
        </w:rPr>
        <w:footnoteRef/>
      </w:r>
      <w:r w:rsidRPr="00FD6EB1">
        <w:rPr>
          <w:rFonts w:ascii="Century Gothic" w:hAnsi="Century Gothic" w:cs="Arial"/>
          <w:sz w:val="16"/>
          <w:szCs w:val="16"/>
        </w:rPr>
        <w:t xml:space="preserve"> </w:t>
      </w:r>
      <w:r w:rsidRPr="00FD6EB1">
        <w:rPr>
          <w:rFonts w:ascii="Century Gothic" w:hAnsi="Century Gothic" w:cs="Arial"/>
          <w:i/>
          <w:iCs/>
          <w:sz w:val="16"/>
          <w:szCs w:val="16"/>
        </w:rPr>
        <w:t>Ibidem</w:t>
      </w:r>
      <w:r w:rsidRPr="00FD6EB1">
        <w:rPr>
          <w:rFonts w:ascii="Century Gothic" w:hAnsi="Century Gothic" w:cs="Arial"/>
          <w:sz w:val="16"/>
          <w:szCs w:val="16"/>
        </w:rPr>
        <w:t>.</w:t>
      </w:r>
    </w:p>
  </w:footnote>
  <w:footnote w:id="20">
    <w:p w:rsidRPr="00FD6EB1" w:rsidR="00351421" w:rsidP="00351421" w:rsidRDefault="00351421" w14:paraId="7E80CB5A" w14:textId="77777777">
      <w:pPr>
        <w:pStyle w:val="Textonotapie"/>
        <w:ind w:firstLine="708"/>
        <w:jc w:val="both"/>
        <w:rPr>
          <w:rFonts w:ascii="Century Gothic" w:hAnsi="Century Gothic" w:cs="Arial"/>
          <w:color w:val="000000" w:themeColor="text1"/>
          <w:sz w:val="16"/>
          <w:szCs w:val="16"/>
        </w:rPr>
      </w:pPr>
      <w:r w:rsidRPr="00FD6EB1">
        <w:rPr>
          <w:rStyle w:val="Refdenotaalpie"/>
          <w:rFonts w:ascii="Century Gothic" w:hAnsi="Century Gothic" w:cs="Arial"/>
          <w:color w:val="000000" w:themeColor="text1"/>
          <w:sz w:val="16"/>
          <w:szCs w:val="16"/>
        </w:rPr>
        <w:footnoteRef/>
      </w:r>
      <w:r w:rsidRPr="00FD6EB1">
        <w:rPr>
          <w:rFonts w:ascii="Century Gothic" w:hAnsi="Century Gothic" w:cs="Arial"/>
          <w:color w:val="000000" w:themeColor="text1"/>
          <w:sz w:val="16"/>
          <w:szCs w:val="16"/>
        </w:rPr>
        <w:t xml:space="preserve"> Decreto 1082, artículo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footnote>
  <w:footnote w:id="21">
    <w:p w:rsidRPr="00FD6EB1" w:rsidR="00351421" w:rsidP="00351421" w:rsidRDefault="00351421" w14:paraId="2E064A36" w14:textId="77777777">
      <w:pPr>
        <w:pStyle w:val="Textonotapie"/>
        <w:ind w:firstLine="708"/>
        <w:jc w:val="both"/>
        <w:rPr>
          <w:rFonts w:ascii="Century Gothic" w:hAnsi="Century Gothic" w:cs="Arial"/>
          <w:sz w:val="16"/>
          <w:szCs w:val="16"/>
        </w:rPr>
      </w:pPr>
      <w:r w:rsidRPr="00FD6EB1">
        <w:rPr>
          <w:rStyle w:val="Refdenotaalpie"/>
          <w:rFonts w:ascii="Century Gothic" w:hAnsi="Century Gothic" w:cs="Arial"/>
          <w:sz w:val="16"/>
          <w:szCs w:val="16"/>
        </w:rPr>
        <w:footnoteRef/>
      </w:r>
      <w:r w:rsidRPr="00FD6EB1">
        <w:rPr>
          <w:rFonts w:ascii="Century Gothic" w:hAnsi="Century Gothic" w:cs="Arial"/>
          <w:sz w:val="16"/>
          <w:szCs w:val="16"/>
        </w:rPr>
        <w:t xml:space="preserve"> La nueva versión de la circular se encuentra en el siguiente enlace: </w:t>
      </w:r>
      <w:hyperlink w:history="1" r:id="rId2">
        <w:r w:rsidRPr="00FD6EB1">
          <w:rPr>
            <w:rStyle w:val="Hipervnculo"/>
            <w:rFonts w:ascii="Century Gothic" w:hAnsi="Century Gothic" w:cs="Arial"/>
            <w:sz w:val="16"/>
            <w:szCs w:val="16"/>
          </w:rPr>
          <w:t>https://www.colombiacompra.gov.co/sites/cce_public/files/cce_circulares/circular_externa_unica_version_3_vf49.pdf</w:t>
        </w:r>
      </w:hyperlink>
      <w:r w:rsidRPr="00FD6EB1">
        <w:rPr>
          <w:rFonts w:ascii="Century Gothic" w:hAnsi="Century Gothic" w:cs="Arial"/>
          <w:sz w:val="16"/>
          <w:szCs w:val="16"/>
        </w:rPr>
        <w:t xml:space="preserve">.  </w:t>
      </w:r>
    </w:p>
  </w:footnote>
  <w:footnote w:id="22">
    <w:p w:rsidRPr="00FD6EB1" w:rsidR="00351421" w:rsidP="00351421" w:rsidRDefault="00351421" w14:paraId="4259BFAD" w14:textId="77777777">
      <w:pPr>
        <w:pStyle w:val="Textonotapie"/>
        <w:ind w:firstLine="708"/>
        <w:jc w:val="both"/>
        <w:rPr>
          <w:rFonts w:ascii="Century Gothic" w:hAnsi="Century Gothic" w:cs="Arial"/>
          <w:sz w:val="16"/>
          <w:szCs w:val="16"/>
        </w:rPr>
      </w:pPr>
      <w:r w:rsidRPr="00FD6EB1">
        <w:rPr>
          <w:rStyle w:val="Refdenotaalpie"/>
          <w:rFonts w:ascii="Century Gothic" w:hAnsi="Century Gothic" w:cs="Arial"/>
          <w:sz w:val="16"/>
          <w:szCs w:val="16"/>
        </w:rPr>
        <w:footnoteRef/>
      </w:r>
      <w:r w:rsidRPr="00FD6EB1">
        <w:rPr>
          <w:rFonts w:ascii="Century Gothic" w:hAnsi="Century Gothic" w:cs="Arial"/>
          <w:sz w:val="16"/>
          <w:szCs w:val="16"/>
        </w:rPr>
        <w:t xml:space="preserve"> La nueva versión de la circular se encuentra en el siguiente enlace: </w:t>
      </w:r>
      <w:hyperlink w:history="1" r:id="rId3">
        <w:r w:rsidRPr="00FD6EB1">
          <w:rPr>
            <w:rStyle w:val="Hipervnculo"/>
            <w:rFonts w:ascii="Century Gothic" w:hAnsi="Century Gothic" w:cs="Arial"/>
            <w:sz w:val="16"/>
            <w:szCs w:val="16"/>
          </w:rPr>
          <w:t>https://www.colombiacompra.gov.co/sites/cce_public/files/cce_circulares/circular_externa_unica_version_3_vf49.pdf</w:t>
        </w:r>
      </w:hyperlink>
      <w:r w:rsidRPr="00FD6EB1">
        <w:rPr>
          <w:rFonts w:ascii="Century Gothic" w:hAnsi="Century Gothic"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56841" w:rsidRDefault="00BD15D4" w14:paraId="6ED12154" w14:textId="5D0C20C7">
    <w:pPr>
      <w:pStyle w:val="Encabezado"/>
    </w:pPr>
    <w:r>
      <w:rPr>
        <w:noProof/>
        <w:lang w:eastAsia="es-CO"/>
      </w:rPr>
      <w:drawing>
        <wp:anchor distT="0" distB="0" distL="114300" distR="114300" simplePos="0" relativeHeight="251658240" behindDoc="1" locked="0" layoutInCell="1" allowOverlap="1" wp14:anchorId="748FC4A6" wp14:editId="19FCB529">
          <wp:simplePos x="0" y="0"/>
          <wp:positionH relativeFrom="margin">
            <wp:posOffset>3808040</wp:posOffset>
          </wp:positionH>
          <wp:positionV relativeFrom="margin">
            <wp:posOffset>-1521184</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sidR="002962BC">
      <w:rPr>
        <w:rFonts w:ascii="Geomanist Bold" w:hAnsi="Geomanist Bold"/>
        <w:b/>
        <w:bCs/>
        <w:noProof/>
        <w:color w:val="46589C"/>
        <w:sz w:val="24"/>
        <w:szCs w:val="24"/>
        <w:lang w:eastAsia="es-CO"/>
      </w:rPr>
      <w:drawing>
        <wp:anchor distT="0" distB="0" distL="114300" distR="114300" simplePos="0" relativeHeight="251658244" behindDoc="0" locked="0" layoutInCell="1" allowOverlap="1" wp14:anchorId="7E9042C1" wp14:editId="08BF0B10">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eastAsia="es-CO"/>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eastAsia="es-CO"/>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rsidR="00756841" w:rsidRDefault="00756841" w14:paraId="435F4D03" w14:textId="56BAF314">
    <w:pPr>
      <w:pStyle w:val="Encabezado"/>
    </w:pPr>
  </w:p>
  <w:p w:rsidR="00756841" w:rsidRDefault="00756841" w14:paraId="1BE2B9AE" w14:textId="4B94DB3B">
    <w:pPr>
      <w:pStyle w:val="Encabezado"/>
    </w:pPr>
  </w:p>
  <w:p w:rsidRPr="004A305D" w:rsidR="004A305D" w:rsidP="004A305D" w:rsidRDefault="004A305D" w14:paraId="7FE1230C" w14:textId="77777777">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rsidRPr="004A305D" w:rsidR="004A305D" w:rsidP="00BD15D4" w:rsidRDefault="004A305D" w14:paraId="7B0A8834" w14:textId="3B0E5F1B">
    <w:pPr>
      <w:pBdr>
        <w:top w:val="nil"/>
        <w:left w:val="nil"/>
        <w:bottom w:val="nil"/>
        <w:right w:val="nil"/>
        <w:between w:val="nil"/>
      </w:pBdr>
      <w:tabs>
        <w:tab w:val="center" w:pos="4419"/>
        <w:tab w:val="right" w:pos="8838"/>
        <w:tab w:val="center" w:pos="5400"/>
      </w:tabs>
      <w:spacing w:after="0"/>
      <w:rPr>
        <w:rFonts w:ascii="Century Gothic" w:hAnsi="Century Gothic" w:eastAsia="Geo" w:cs="Geo"/>
        <w:b/>
        <w:color w:val="002060"/>
        <w:sz w:val="16"/>
        <w:szCs w:val="16"/>
        <w:lang w:eastAsia="es-CO"/>
      </w:rPr>
    </w:pPr>
    <w:r w:rsidRPr="004A305D">
      <w:rPr>
        <w:rFonts w:ascii="Century Gothic" w:hAnsi="Century Gothic" w:eastAsia="Geo" w:cs="Geo"/>
        <w:b/>
        <w:color w:val="000000"/>
        <w:sz w:val="16"/>
        <w:szCs w:val="16"/>
        <w:lang w:eastAsia="es-CO"/>
      </w:rPr>
      <w:t xml:space="preserve">Código: </w:t>
    </w:r>
    <w:r w:rsidRPr="004A305D">
      <w:rPr>
        <w:rFonts w:ascii="Century Gothic" w:hAnsi="Century Gothic" w:eastAsia="Geo" w:cs="Geo"/>
        <w:bCs/>
        <w:color w:val="000000"/>
        <w:sz w:val="16"/>
        <w:szCs w:val="16"/>
        <w:lang w:eastAsia="es-CO"/>
      </w:rPr>
      <w:t>CCE-</w:t>
    </w:r>
    <w:r w:rsidR="00CB6357">
      <w:rPr>
        <w:rFonts w:ascii="Century Gothic" w:hAnsi="Century Gothic" w:eastAsia="Geo" w:cs="Geo"/>
        <w:bCs/>
        <w:color w:val="000000"/>
        <w:sz w:val="16"/>
        <w:szCs w:val="16"/>
        <w:lang w:eastAsia="es-CO"/>
      </w:rPr>
      <w:t>REC</w:t>
    </w:r>
    <w:r w:rsidRPr="004A305D">
      <w:rPr>
        <w:rFonts w:ascii="Century Gothic" w:hAnsi="Century Gothic" w:eastAsia="Geo" w:cs="Geo"/>
        <w:bCs/>
        <w:color w:val="000000"/>
        <w:sz w:val="16"/>
        <w:szCs w:val="16"/>
        <w:lang w:eastAsia="es-CO"/>
      </w:rPr>
      <w:t>-FM-</w:t>
    </w:r>
    <w:r w:rsidR="00CB6357">
      <w:rPr>
        <w:rFonts w:ascii="Century Gothic" w:hAnsi="Century Gothic" w:eastAsia="Geo" w:cs="Geo"/>
        <w:bCs/>
        <w:color w:val="000000"/>
        <w:sz w:val="16"/>
        <w:szCs w:val="16"/>
        <w:lang w:eastAsia="es-CO"/>
      </w:rPr>
      <w:t>1</w:t>
    </w:r>
    <w:r w:rsidR="005B5D8B">
      <w:rPr>
        <w:rFonts w:ascii="Century Gothic" w:hAnsi="Century Gothic" w:eastAsia="Geo" w:cs="Geo"/>
        <w:bCs/>
        <w:color w:val="000000"/>
        <w:sz w:val="16"/>
        <w:szCs w:val="16"/>
        <w:lang w:eastAsia="es-CO"/>
      </w:rPr>
      <w:t>7</w:t>
    </w:r>
  </w:p>
  <w:p w:rsidRPr="007D7931" w:rsidR="005B5D8B" w:rsidP="007D7931" w:rsidRDefault="004A305D" w14:paraId="3DBCDD3E" w14:textId="1C59D465">
    <w:pPr>
      <w:spacing w:after="120"/>
      <w:rPr>
        <w:rFonts w:ascii="Century Gothic" w:hAnsi="Century Gothic" w:eastAsia="Geo" w:cs="Geo"/>
        <w:sz w:val="16"/>
        <w:szCs w:val="16"/>
        <w:lang w:eastAsia="es-CO"/>
      </w:rPr>
    </w:pPr>
    <w:r w:rsidRPr="004A305D">
      <w:rPr>
        <w:rFonts w:ascii="Century Gothic" w:hAnsi="Century Gothic" w:eastAsia="Geo" w:cs="Geo"/>
        <w:b/>
        <w:color w:val="000000"/>
        <w:sz w:val="16"/>
        <w:szCs w:val="16"/>
        <w:lang w:eastAsia="es-CO"/>
      </w:rPr>
      <w:t>Versión</w:t>
    </w:r>
    <w:r w:rsidRPr="004A305D">
      <w:rPr>
        <w:rFonts w:ascii="Century Gothic" w:hAnsi="Century Gothic" w:eastAsia="Arial Nova" w:cs="Arial Nova"/>
        <w:b/>
        <w:color w:val="000000"/>
        <w:sz w:val="16"/>
        <w:szCs w:val="16"/>
        <w:lang w:eastAsia="es-CO"/>
      </w:rPr>
      <w:t xml:space="preserve">: </w:t>
    </w:r>
    <w:r w:rsidRPr="004A305D" w:rsidR="005B5D8B">
      <w:rPr>
        <w:rFonts w:ascii="Century Gothic" w:hAnsi="Century Gothic" w:eastAsia="Geo" w:cs="Geo"/>
        <w:sz w:val="16"/>
        <w:szCs w:val="16"/>
        <w:lang w:eastAsia="es-CO"/>
      </w:rPr>
      <w:t>0</w:t>
    </w:r>
    <w:r w:rsidR="005B5D8B">
      <w:rPr>
        <w:rFonts w:ascii="Century Gothic" w:hAnsi="Century Gothic" w:eastAsia="Geo" w:cs="Geo"/>
        <w:sz w:val="16"/>
        <w:szCs w:val="16"/>
        <w:lang w:eastAsia="es-CO"/>
      </w:rPr>
      <w:t>2</w:t>
    </w:r>
    <w:r w:rsidRPr="004A305D" w:rsidR="005B5D8B">
      <w:rPr>
        <w:rFonts w:ascii="Century Gothic" w:hAnsi="Century Gothic" w:eastAsia="Geo" w:cs="Geo"/>
        <w:sz w:val="16"/>
        <w:szCs w:val="16"/>
        <w:lang w:eastAsia="es-CO"/>
      </w:rPr>
      <w:t xml:space="preserve"> DEL </w:t>
    </w:r>
    <w:r w:rsidR="005B5D8B">
      <w:rPr>
        <w:rFonts w:ascii="Century Gothic" w:hAnsi="Century Gothic" w:eastAsia="Geo" w:cs="Geo"/>
        <w:sz w:val="16"/>
        <w:szCs w:val="16"/>
        <w:lang w:eastAsia="es-CO"/>
      </w:rPr>
      <w:t xml:space="preserve">22 </w:t>
    </w:r>
    <w:r w:rsidRPr="004A305D" w:rsidR="005B5D8B">
      <w:rPr>
        <w:rFonts w:ascii="Century Gothic" w:hAnsi="Century Gothic" w:eastAsia="Geo" w:cs="Geo"/>
        <w:sz w:val="16"/>
        <w:szCs w:val="16"/>
        <w:lang w:eastAsia="es-CO"/>
      </w:rPr>
      <w:t xml:space="preserve">DE </w:t>
    </w:r>
    <w:r w:rsidR="005B5D8B">
      <w:rPr>
        <w:rFonts w:ascii="Century Gothic" w:hAnsi="Century Gothic" w:eastAsia="Geo" w:cs="Geo"/>
        <w:sz w:val="16"/>
        <w:szCs w:val="16"/>
        <w:lang w:eastAsia="es-CO"/>
      </w:rPr>
      <w:t>AGOSTO</w:t>
    </w:r>
    <w:r w:rsidRPr="004A305D" w:rsidR="005B5D8B">
      <w:rPr>
        <w:rFonts w:ascii="Century Gothic" w:hAnsi="Century Gothic" w:eastAsia="Geo" w:cs="Geo"/>
        <w:sz w:val="16"/>
        <w:szCs w:val="16"/>
        <w:lang w:eastAsia="es-CO"/>
      </w:rPr>
      <w:t xml:space="preserve"> DE 202</w:t>
    </w:r>
    <w:r w:rsidR="005B5D8B">
      <w:rPr>
        <w:rFonts w:ascii="Century Gothic" w:hAnsi="Century Gothic" w:eastAsia="Geo" w:cs="Geo"/>
        <w:sz w:val="16"/>
        <w:szCs w:val="16"/>
        <w:lang w:eastAsia="es-CO"/>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981954">
    <w:abstractNumId w:val="3"/>
  </w:num>
  <w:num w:numId="2" w16cid:durableId="486676265">
    <w:abstractNumId w:val="1"/>
  </w:num>
  <w:num w:numId="3" w16cid:durableId="608313202">
    <w:abstractNumId w:val="2"/>
  </w:num>
  <w:num w:numId="4" w16cid:durableId="2667437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6877461">
    <w:abstractNumId w:val="1"/>
  </w:num>
  <w:num w:numId="6" w16cid:durableId="1488322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A683E"/>
    <w:rsid w:val="000B19B9"/>
    <w:rsid w:val="000D0334"/>
    <w:rsid w:val="000E4714"/>
    <w:rsid w:val="000F6486"/>
    <w:rsid w:val="00125105"/>
    <w:rsid w:val="00127233"/>
    <w:rsid w:val="001C3197"/>
    <w:rsid w:val="001D3E34"/>
    <w:rsid w:val="001E243F"/>
    <w:rsid w:val="001E4177"/>
    <w:rsid w:val="002951A0"/>
    <w:rsid w:val="002962BC"/>
    <w:rsid w:val="002A093D"/>
    <w:rsid w:val="002A49AC"/>
    <w:rsid w:val="002A64FD"/>
    <w:rsid w:val="002C7A84"/>
    <w:rsid w:val="003448F4"/>
    <w:rsid w:val="00351421"/>
    <w:rsid w:val="003A779E"/>
    <w:rsid w:val="003D0F4D"/>
    <w:rsid w:val="003E0499"/>
    <w:rsid w:val="003F3941"/>
    <w:rsid w:val="00400548"/>
    <w:rsid w:val="004368BC"/>
    <w:rsid w:val="00484F25"/>
    <w:rsid w:val="004A1847"/>
    <w:rsid w:val="004A305D"/>
    <w:rsid w:val="004F21C4"/>
    <w:rsid w:val="004F685F"/>
    <w:rsid w:val="0050196C"/>
    <w:rsid w:val="00533E8F"/>
    <w:rsid w:val="005566E8"/>
    <w:rsid w:val="00574867"/>
    <w:rsid w:val="005A6AA1"/>
    <w:rsid w:val="005B5D8B"/>
    <w:rsid w:val="005C5CDC"/>
    <w:rsid w:val="005D476C"/>
    <w:rsid w:val="00613EB3"/>
    <w:rsid w:val="006219F8"/>
    <w:rsid w:val="00665D70"/>
    <w:rsid w:val="006961AA"/>
    <w:rsid w:val="00706C16"/>
    <w:rsid w:val="00727370"/>
    <w:rsid w:val="00756841"/>
    <w:rsid w:val="00763C80"/>
    <w:rsid w:val="007649AB"/>
    <w:rsid w:val="007833AC"/>
    <w:rsid w:val="007B7171"/>
    <w:rsid w:val="007C3DC2"/>
    <w:rsid w:val="007D7931"/>
    <w:rsid w:val="007E5497"/>
    <w:rsid w:val="00806F5F"/>
    <w:rsid w:val="00820278"/>
    <w:rsid w:val="008843B6"/>
    <w:rsid w:val="00891928"/>
    <w:rsid w:val="008A446D"/>
    <w:rsid w:val="008F0EA7"/>
    <w:rsid w:val="00923EEF"/>
    <w:rsid w:val="009419F9"/>
    <w:rsid w:val="00961B09"/>
    <w:rsid w:val="00965334"/>
    <w:rsid w:val="0097093E"/>
    <w:rsid w:val="009C71FA"/>
    <w:rsid w:val="009C72E7"/>
    <w:rsid w:val="00A17F13"/>
    <w:rsid w:val="00A20739"/>
    <w:rsid w:val="00A30AAE"/>
    <w:rsid w:val="00A33C78"/>
    <w:rsid w:val="00AB0ADB"/>
    <w:rsid w:val="00AD5E99"/>
    <w:rsid w:val="00AE7FB4"/>
    <w:rsid w:val="00B72CD3"/>
    <w:rsid w:val="00B72FFF"/>
    <w:rsid w:val="00BD15D4"/>
    <w:rsid w:val="00BD2E7A"/>
    <w:rsid w:val="00BD4EC1"/>
    <w:rsid w:val="00BD7F72"/>
    <w:rsid w:val="00C04905"/>
    <w:rsid w:val="00C04FB3"/>
    <w:rsid w:val="00C330EB"/>
    <w:rsid w:val="00C754BE"/>
    <w:rsid w:val="00CB6357"/>
    <w:rsid w:val="00CC1B26"/>
    <w:rsid w:val="00D423A2"/>
    <w:rsid w:val="00D63AC2"/>
    <w:rsid w:val="00D7383B"/>
    <w:rsid w:val="00DA0FC3"/>
    <w:rsid w:val="00DA231B"/>
    <w:rsid w:val="00E16408"/>
    <w:rsid w:val="00E20894"/>
    <w:rsid w:val="00E245AB"/>
    <w:rsid w:val="00E50AFE"/>
    <w:rsid w:val="00E771DC"/>
    <w:rsid w:val="00E8772A"/>
    <w:rsid w:val="00E90F6B"/>
    <w:rsid w:val="00E92C27"/>
    <w:rsid w:val="00EA0E3D"/>
    <w:rsid w:val="00EE1AA8"/>
    <w:rsid w:val="00F17039"/>
    <w:rsid w:val="00F204AB"/>
    <w:rsid w:val="00F31EDC"/>
    <w:rsid w:val="00F5664F"/>
    <w:rsid w:val="00F613A2"/>
    <w:rsid w:val="00F76AFC"/>
    <w:rsid w:val="00FA0DB6"/>
    <w:rsid w:val="00FB5DD1"/>
    <w:rsid w:val="00FC2B5D"/>
    <w:rsid w:val="00FF1449"/>
    <w:rsid w:val="13B52EC9"/>
    <w:rsid w:val="3C73260B"/>
    <w:rsid w:val="4C23B292"/>
    <w:rsid w:val="67DCC852"/>
    <w:rsid w:val="687B05C8"/>
    <w:rsid w:val="7996B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5AB"/>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ui-provider" w:customStyle="1">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Appelnotedebasde" w:customStyle="1">
    <w:name w:val="Appel note de bas de..."/>
    <w:basedOn w:val="Normal"/>
    <w:link w:val="Refdenotaalpie"/>
    <w:uiPriority w:val="99"/>
    <w:rsid w:val="00351421"/>
    <w:pPr>
      <w:spacing w:line="240" w:lineRule="exact"/>
    </w:pPr>
    <w:rPr>
      <w:vertAlign w:val="superscript"/>
    </w:rPr>
  </w:style>
  <w:style w:type="paragraph" w:styleId="Textoindependiente">
    <w:name w:val="Body Text"/>
    <w:basedOn w:val="Normal"/>
    <w:link w:val="TextoindependienteCar"/>
    <w:uiPriority w:val="99"/>
    <w:unhideWhenUsed/>
    <w:rsid w:val="00351421"/>
    <w:pPr>
      <w:spacing w:after="120" w:line="276" w:lineRule="auto"/>
    </w:pPr>
    <w:rPr>
      <w:rFonts w:eastAsiaTheme="minorEastAsia"/>
      <w:lang w:eastAsia="es-CO"/>
    </w:rPr>
  </w:style>
  <w:style w:type="character" w:styleId="TextoindependienteCar" w:customStyle="1">
    <w:name w:val="Texto independiente Car"/>
    <w:basedOn w:val="Fuentedeprrafopredeter"/>
    <w:link w:val="Textoindependiente"/>
    <w:uiPriority w:val="99"/>
    <w:rsid w:val="00351421"/>
    <w:rPr>
      <w:rFonts w:eastAsiaTheme="minorEastAsia"/>
      <w:lang w:eastAsia="es-CO"/>
    </w:rPr>
  </w:style>
  <w:style w:type="paragraph" w:styleId="Sinespaciado">
    <w:name w:val="No Spacing"/>
    <w:aliases w:val="No Indent"/>
    <w:uiPriority w:val="3"/>
    <w:qFormat/>
    <w:rsid w:val="00351421"/>
    <w:pPr>
      <w:spacing w:after="0" w:line="240" w:lineRule="auto"/>
    </w:pPr>
    <w:rPr>
      <w:sz w:val="24"/>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351421"/>
    <w:rPr>
      <w:rFonts w:ascii="Geomanist Light" w:hAnsi="Geomanist Light"/>
      <w:lang w:val="es-ES"/>
    </w:rPr>
  </w:style>
  <w:style w:type="paragraph" w:styleId="Revisin">
    <w:name w:val="Revision"/>
    <w:hidden/>
    <w:uiPriority w:val="99"/>
    <w:semiHidden/>
    <w:rsid w:val="001E24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compra.gov.co/sites/cce_public/files/cce_circulares/circular_externa_unica_version_3_vf49.pdf" TargetMode="External"/><Relationship Id="rId2" Type="http://schemas.openxmlformats.org/officeDocument/2006/relationships/hyperlink" Target="https://www.colombiacompra.gov.co/sites/cce_public/files/cce_circulares/circular_externa_unica_version_3_vf49.pdf" TargetMode="External"/><Relationship Id="rId1" Type="http://schemas.openxmlformats.org/officeDocument/2006/relationships/hyperlink" Target="https://relatoria.colombiacompra.gov.co/busqueda/conceptos%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UsrMemex02</DisplayName>
        <AccountId>180</AccountId>
        <AccountType/>
      </UserInfo>
      <UserInfo>
        <DisplayName>Hernán Camilo Lozano Ochoa</DisplayName>
        <AccountId>287</AccountId>
        <AccountType/>
      </UserInfo>
      <UserInfo>
        <DisplayName>Juan David Montoya Penagos</DisplayName>
        <AccountId>697</AccountId>
        <AccountType/>
      </UserInfo>
      <UserInfo>
        <DisplayName>Martha Alicia Romero Vargas</DisplayName>
        <AccountId>215</AccountId>
        <AccountType/>
      </UserInfo>
      <UserInfo>
        <DisplayName>Nohelia Del Carmen Zawady Palacio</DisplayName>
        <AccountId>289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2.xml><?xml version="1.0" encoding="utf-8"?>
<ds:datastoreItem xmlns:ds="http://schemas.openxmlformats.org/officeDocument/2006/customXml" ds:itemID="{27EA348E-3298-49C0-B1B6-1F9CC0336D8C}"/>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Paula Andrea Manrique Sarmiento</lastModifiedBy>
  <revision>6</revision>
  <lastPrinted>2023-01-10T21:18:00.0000000Z</lastPrinted>
  <dcterms:created xsi:type="dcterms:W3CDTF">2024-04-24T00:17:00.0000000Z</dcterms:created>
  <dcterms:modified xsi:type="dcterms:W3CDTF">2024-04-29T16:08:39.5639801Z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