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F278"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kern w:val="2"/>
          <w:lang w:val="es-MX" w:eastAsia="es-ES_tradnl"/>
          <w14:ligatures w14:val="standardContextual"/>
        </w:rPr>
      </w:pPr>
      <w:bookmarkStart w:id="0" w:name="_Hlk143780582"/>
      <w:r w:rsidRPr="001B1C66">
        <w:rPr>
          <w:rFonts w:ascii="Century Gothic" w:eastAsia="Calibri" w:hAnsi="Century Gothic" w:cs="Arial"/>
          <w:b/>
          <w:kern w:val="2"/>
          <w:lang w:val="es-MX" w:eastAsia="es-ES_tradnl"/>
          <w14:ligatures w14:val="standardContextual"/>
        </w:rPr>
        <w:t>LEY 136 DE 1994 – Convenios solidarios – Definición – Ámbito de aplicación – Organismos de Acción Comunal – Régimen jurídico</w:t>
      </w:r>
    </w:p>
    <w:p w14:paraId="13C2AD87" w14:textId="1FC87C2B" w:rsidR="00C122FF" w:rsidRPr="001B1C66" w:rsidRDefault="00C122FF"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p>
    <w:p w14:paraId="28CDFCBD" w14:textId="25E4950E" w:rsidR="00CD2868" w:rsidRPr="001B1C66" w:rsidRDefault="00431277" w:rsidP="0EFABF03">
      <w:pPr>
        <w:shd w:val="clear" w:color="auto" w:fill="FFFFFF" w:themeFill="background1"/>
        <w:spacing w:after="0" w:line="240" w:lineRule="auto"/>
        <w:contextualSpacing/>
        <w:jc w:val="both"/>
        <w:rPr>
          <w:rFonts w:ascii="Century Gothic" w:eastAsia="Aptos" w:hAnsi="Century Gothic" w:cs="Arial"/>
          <w:kern w:val="2"/>
          <w:sz w:val="20"/>
          <w:szCs w:val="20"/>
          <w:lang w:val="es-ES"/>
          <w14:ligatures w14:val="standardContextual"/>
        </w:rPr>
      </w:pPr>
      <w:r w:rsidRPr="00431277">
        <w:rPr>
          <w:rFonts w:ascii="Century Gothic" w:eastAsia="Aptos" w:hAnsi="Century Gothic" w:cs="Arial"/>
          <w:kern w:val="2"/>
          <w:sz w:val="20"/>
          <w:szCs w:val="20"/>
          <w:lang w:val="es-ES"/>
          <w14:ligatures w14:val="standardContextual"/>
        </w:rPr>
        <w:t xml:space="preserve">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431277">
        <w:rPr>
          <w:rFonts w:ascii="Century Gothic" w:eastAsia="Aptos" w:hAnsi="Century Gothic" w:cs="Arial"/>
          <w:i/>
          <w:iCs/>
          <w:kern w:val="2"/>
          <w:sz w:val="20"/>
          <w:szCs w:val="20"/>
          <w:lang w:val="es-ES"/>
          <w14:ligatures w14:val="standardContextual"/>
        </w:rPr>
        <w:t>“la complementación de esfuerzos institucionales, comunitarios, económicos y sociales para la construcción de obras y la satisfacción de necesidades y aspiraciones de las comunidades”.</w:t>
      </w:r>
      <w:r w:rsidRPr="00431277">
        <w:rPr>
          <w:rFonts w:ascii="Century Gothic" w:eastAsia="Aptos" w:hAnsi="Century Gothic" w:cs="Arial"/>
          <w:kern w:val="2"/>
          <w:sz w:val="20"/>
          <w:szCs w:val="20"/>
          <w:lang w:val="es-ES"/>
          <w14:ligatures w14:val="standardContextual"/>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359045EE" w14:textId="60DC0A4B" w:rsidR="00CD2868" w:rsidRPr="001B1C66" w:rsidRDefault="00C122FF" w:rsidP="00C122FF">
      <w:pPr>
        <w:shd w:val="clear" w:color="auto" w:fill="FFFFFF"/>
        <w:spacing w:after="0" w:line="240" w:lineRule="auto"/>
        <w:contextualSpacing/>
        <w:jc w:val="both"/>
        <w:rPr>
          <w:rFonts w:ascii="Century Gothic" w:eastAsia="Aptos" w:hAnsi="Century Gothic" w:cs="Arial"/>
          <w:kern w:val="2"/>
          <w:sz w:val="20"/>
          <w:szCs w:val="20"/>
          <w:lang w:val="es-ES_tradnl"/>
          <w14:ligatures w14:val="standardContextual"/>
        </w:rPr>
      </w:pPr>
      <w:r w:rsidRPr="001B1C66">
        <w:rPr>
          <w:rFonts w:ascii="Century Gothic" w:eastAsia="Aptos" w:hAnsi="Century Gothic" w:cs="Arial"/>
          <w:kern w:val="2"/>
          <w:sz w:val="20"/>
          <w:szCs w:val="20"/>
          <w:lang w:val="es-ES_tradnl"/>
          <w14:ligatures w14:val="standardContextual"/>
        </w:rPr>
        <w:t>[…]</w:t>
      </w:r>
    </w:p>
    <w:p w14:paraId="46C7D04F" w14:textId="358E2040" w:rsidR="00C122FF" w:rsidRPr="001B1C66" w:rsidRDefault="00431277" w:rsidP="0EFABF03">
      <w:pPr>
        <w:shd w:val="clear" w:color="auto" w:fill="FFFFFF" w:themeFill="background1"/>
        <w:spacing w:after="0" w:line="240" w:lineRule="auto"/>
        <w:contextualSpacing/>
        <w:jc w:val="both"/>
        <w:rPr>
          <w:rFonts w:ascii="Century Gothic" w:eastAsia="Aptos" w:hAnsi="Century Gothic" w:cs="Arial"/>
          <w:kern w:val="2"/>
          <w:sz w:val="20"/>
          <w:szCs w:val="20"/>
          <w:lang w:val="es-ES"/>
          <w14:ligatures w14:val="standardContextual"/>
        </w:rPr>
      </w:pPr>
      <w:r w:rsidRPr="00431277">
        <w:rPr>
          <w:rFonts w:ascii="Century Gothic" w:eastAsia="Aptos" w:hAnsi="Century Gothic" w:cs="Arial"/>
          <w:kern w:val="2"/>
          <w:sz w:val="20"/>
          <w:szCs w:val="20"/>
          <w:lang w:val="es-ES"/>
          <w14:ligatures w14:val="standardContextual"/>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w:t>
      </w:r>
    </w:p>
    <w:p w14:paraId="7A8F3020" w14:textId="77777777" w:rsidR="00C122FF" w:rsidRPr="001B1C66" w:rsidRDefault="00C122FF" w:rsidP="00C122FF">
      <w:pPr>
        <w:shd w:val="clear" w:color="auto" w:fill="FFFFFF"/>
        <w:spacing w:after="0" w:line="240" w:lineRule="auto"/>
        <w:contextualSpacing/>
        <w:jc w:val="both"/>
        <w:rPr>
          <w:rFonts w:ascii="Century Gothic" w:eastAsia="Aptos" w:hAnsi="Century Gothic" w:cs="Arial"/>
          <w:kern w:val="2"/>
          <w:lang w:val="es-ES_tradnl"/>
          <w14:ligatures w14:val="standardContextual"/>
        </w:rPr>
      </w:pPr>
    </w:p>
    <w:p w14:paraId="62363C20"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1B1C66">
        <w:rPr>
          <w:rFonts w:ascii="Century Gothic" w:eastAsia="Calibri" w:hAnsi="Century Gothic" w:cs="Arial"/>
          <w:b/>
          <w:lang w:val="es-MX" w:eastAsia="es-ES_tradnl"/>
        </w:rPr>
        <w:t xml:space="preserve">LEY 2166 DE 2021 – Organismos de Acción Comunal – Artículo 95 – Convenios solidarios – Contratación directa – Contratos de obra – Menor cuantía </w:t>
      </w:r>
    </w:p>
    <w:p w14:paraId="55AD853E"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7CDD91C2" w14:textId="2523D8FD" w:rsidR="00C122FF" w:rsidRPr="001B1C66" w:rsidRDefault="00F73FF9" w:rsidP="00C122FF">
      <w:pPr>
        <w:shd w:val="clear" w:color="auto" w:fill="FFFFFF"/>
        <w:spacing w:after="0" w:line="240" w:lineRule="auto"/>
        <w:contextualSpacing/>
        <w:jc w:val="both"/>
        <w:rPr>
          <w:rFonts w:ascii="Century Gothic" w:eastAsia="Calibri" w:hAnsi="Century Gothic" w:cs="Arial"/>
          <w:sz w:val="20"/>
          <w:szCs w:val="20"/>
        </w:rPr>
      </w:pPr>
      <w:r w:rsidRPr="00F73FF9">
        <w:rPr>
          <w:rFonts w:ascii="Century Gothic" w:eastAsia="Calibri" w:hAnsi="Century Gothic" w:cs="Arial"/>
          <w:i/>
          <w:iCs/>
          <w:sz w:val="20"/>
          <w:szCs w:val="20"/>
        </w:rPr>
        <w:t>El primer régimen jurídico</w:t>
      </w:r>
      <w:r w:rsidRPr="00F73FF9">
        <w:rPr>
          <w:rFonts w:ascii="Century Gothic" w:eastAsia="Calibri" w:hAnsi="Century Gothic" w:cs="Arial"/>
          <w:sz w:val="20"/>
          <w:szCs w:val="20"/>
        </w:rPr>
        <w:t xml:space="preserve"> encuentra su fundamento en el parágrafo cuarto del artículo 3 de la Ley 136 de 1994. Como se indicó, este determina una </w:t>
      </w:r>
      <w:proofErr w:type="spellStart"/>
      <w:r w:rsidRPr="00F73FF9">
        <w:rPr>
          <w:rFonts w:ascii="Century Gothic" w:eastAsia="Calibri" w:hAnsi="Century Gothic" w:cs="Arial"/>
          <w:sz w:val="20"/>
          <w:szCs w:val="20"/>
        </w:rPr>
        <w:t>sub-regla</w:t>
      </w:r>
      <w:proofErr w:type="spellEnd"/>
      <w:r w:rsidRPr="00F73FF9">
        <w:rPr>
          <w:rFonts w:ascii="Century Gothic" w:eastAsia="Calibri" w:hAnsi="Century Gothic" w:cs="Arial"/>
          <w:sz w:val="20"/>
          <w:szCs w:val="20"/>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F73FF9">
        <w:rPr>
          <w:rFonts w:ascii="Century Gothic" w:eastAsia="Calibri" w:hAnsi="Century Gothic" w:cs="Arial"/>
          <w:sz w:val="20"/>
          <w:szCs w:val="20"/>
        </w:rPr>
        <w:t>ii</w:t>
      </w:r>
      <w:proofErr w:type="spellEnd"/>
      <w:r w:rsidRPr="00F73FF9">
        <w:rPr>
          <w:rFonts w:ascii="Century Gothic" w:eastAsia="Calibri" w:hAnsi="Century Gothic" w:cs="Arial"/>
          <w:sz w:val="20"/>
          <w:szCs w:val="20"/>
        </w:rPr>
        <w:t xml:space="preserve">) que el objeto contractual consista en la ejecución de obras; y, </w:t>
      </w:r>
      <w:proofErr w:type="spellStart"/>
      <w:r w:rsidRPr="00F73FF9">
        <w:rPr>
          <w:rFonts w:ascii="Century Gothic" w:eastAsia="Calibri" w:hAnsi="Century Gothic" w:cs="Arial"/>
          <w:sz w:val="20"/>
          <w:szCs w:val="20"/>
        </w:rPr>
        <w:t>iii</w:t>
      </w:r>
      <w:proofErr w:type="spellEnd"/>
      <w:r w:rsidRPr="00F73FF9">
        <w:rPr>
          <w:rFonts w:ascii="Century Gothic" w:eastAsia="Calibri" w:hAnsi="Century Gothic" w:cs="Arial"/>
          <w:sz w:val="20"/>
          <w:szCs w:val="20"/>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w:t>
      </w:r>
      <w:r w:rsidRPr="00F73FF9">
        <w:rPr>
          <w:rFonts w:ascii="Century Gothic" w:eastAsia="Calibri" w:hAnsi="Century Gothic" w:cs="Arial"/>
          <w:sz w:val="20"/>
          <w:szCs w:val="20"/>
        </w:rPr>
        <w:lastRenderedPageBreak/>
        <w:t>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w:t>
      </w:r>
    </w:p>
    <w:p w14:paraId="5B2DB171"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02FD2089"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1B1C66">
        <w:rPr>
          <w:rFonts w:ascii="Century Gothic" w:eastAsia="Calibri" w:hAnsi="Century Gothic" w:cs="Arial"/>
          <w:b/>
          <w:lang w:val="es-MX" w:eastAsia="es-ES_tradnl"/>
        </w:rPr>
        <w:t>ORGANISMOS DE ACCIÓN COMUNAL – Capacidad jurídica</w:t>
      </w:r>
    </w:p>
    <w:p w14:paraId="43D5CB23"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p>
    <w:p w14:paraId="7BDECD5D" w14:textId="1DC1B4EE" w:rsidR="00C122FF" w:rsidRPr="001B1C66" w:rsidRDefault="00F73FF9" w:rsidP="00C122FF">
      <w:pPr>
        <w:shd w:val="clear" w:color="auto" w:fill="FFFFFF"/>
        <w:spacing w:after="0" w:line="240" w:lineRule="auto"/>
        <w:contextualSpacing/>
        <w:jc w:val="both"/>
        <w:rPr>
          <w:rFonts w:ascii="Century Gothic" w:eastAsia="Calibri" w:hAnsi="Century Gothic" w:cs="Arial"/>
          <w:sz w:val="20"/>
          <w:szCs w:val="20"/>
        </w:rPr>
      </w:pPr>
      <w:r w:rsidRPr="00F73FF9">
        <w:rPr>
          <w:rFonts w:ascii="Century Gothic" w:eastAsia="Calibri" w:hAnsi="Century Gothic" w:cs="Arial"/>
          <w:sz w:val="20"/>
          <w:szCs w:val="20"/>
        </w:rPr>
        <w:t xml:space="preserve">Asimismo, el artículo 9 </w:t>
      </w:r>
      <w:r w:rsidRPr="00F73FF9">
        <w:rPr>
          <w:rFonts w:ascii="Century Gothic" w:eastAsia="Calibri" w:hAnsi="Century Gothic" w:cs="Arial"/>
          <w:i/>
          <w:iCs/>
          <w:sz w:val="20"/>
          <w:szCs w:val="20"/>
        </w:rPr>
        <w:t>ibidem</w:t>
      </w:r>
      <w:r w:rsidRPr="00F73FF9">
        <w:rPr>
          <w:rFonts w:ascii="Century Gothic" w:eastAsia="Calibri" w:hAnsi="Century Gothic" w:cs="Arial"/>
          <w:sz w:val="20"/>
          <w:szCs w:val="20"/>
        </w:rPr>
        <w:t xml:space="preserve"> dispuso que </w:t>
      </w:r>
      <w:r w:rsidRPr="00F73FF9">
        <w:rPr>
          <w:rFonts w:ascii="Century Gothic" w:eastAsia="Calibri" w:hAnsi="Century Gothic" w:cs="Arial"/>
          <w:i/>
          <w:iCs/>
          <w:sz w:val="20"/>
          <w:szCs w:val="20"/>
        </w:rPr>
        <w:t>“cada organismo de acción comunal desarrollará sus actividades dentro de un territorio delimitado”,</w:t>
      </w:r>
      <w:r w:rsidRPr="00F73FF9">
        <w:rPr>
          <w:rFonts w:ascii="Century Gothic" w:eastAsia="Calibri" w:hAnsi="Century Gothic" w:cs="Arial"/>
          <w:sz w:val="20"/>
          <w:szCs w:val="20"/>
        </w:rPr>
        <w:t xml:space="preserve"> indicando las orientaciones para dicha limitación. Es así como en las capitales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2D795CDA"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rPr>
      </w:pPr>
    </w:p>
    <w:p w14:paraId="23EBD89C"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b/>
          <w:lang w:val="es-MX" w:eastAsia="es-ES_tradnl"/>
        </w:rPr>
      </w:pPr>
      <w:r w:rsidRPr="001B1C66">
        <w:rPr>
          <w:rFonts w:ascii="Century Gothic" w:eastAsia="Calibri" w:hAnsi="Century Gothic" w:cs="Arial"/>
          <w:b/>
          <w:lang w:val="es-MX" w:eastAsia="es-ES_tradnl"/>
        </w:rPr>
        <w:t>ORGANISMOS DE ACCIÓN COMUNAL – Capacidad técnica – Acreditación – Artículo 18 de la Ley 842 de 2003 – Ejercicio de la ingeniería</w:t>
      </w:r>
    </w:p>
    <w:p w14:paraId="29E1A21A"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rPr>
      </w:pPr>
    </w:p>
    <w:p w14:paraId="50149995" w14:textId="1266EC7A" w:rsidR="00C122FF" w:rsidRPr="001B1C66" w:rsidRDefault="00F73FF9" w:rsidP="00C122FF">
      <w:pPr>
        <w:shd w:val="clear" w:color="auto" w:fill="FFFFFF"/>
        <w:spacing w:after="0" w:line="240" w:lineRule="auto"/>
        <w:contextualSpacing/>
        <w:jc w:val="both"/>
        <w:rPr>
          <w:rFonts w:ascii="Century Gothic" w:eastAsia="Calibri" w:hAnsi="Century Gothic" w:cs="Arial"/>
          <w:sz w:val="20"/>
          <w:szCs w:val="20"/>
        </w:rPr>
      </w:pPr>
      <w:r w:rsidRPr="00F73FF9">
        <w:rPr>
          <w:rFonts w:ascii="Century Gothic" w:eastAsia="Calibri" w:hAnsi="Century Gothic" w:cs="Arial"/>
          <w:sz w:val="20"/>
          <w:szCs w:val="20"/>
        </w:rPr>
        <w:t>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w:t>
      </w:r>
    </w:p>
    <w:p w14:paraId="4154D6AD" w14:textId="77777777" w:rsidR="00C122FF" w:rsidRPr="001B1C66" w:rsidRDefault="00C122FF" w:rsidP="00C122FF">
      <w:pPr>
        <w:shd w:val="clear" w:color="auto" w:fill="FFFFFF"/>
        <w:spacing w:after="0" w:line="240" w:lineRule="auto"/>
        <w:contextualSpacing/>
        <w:jc w:val="both"/>
        <w:rPr>
          <w:rFonts w:ascii="Century Gothic" w:eastAsia="Calibri" w:hAnsi="Century Gothic" w:cs="Arial"/>
          <w:sz w:val="20"/>
          <w:szCs w:val="20"/>
        </w:rPr>
      </w:pPr>
      <w:r w:rsidRPr="001B1C66">
        <w:rPr>
          <w:rFonts w:ascii="Century Gothic" w:eastAsia="Calibri" w:hAnsi="Century Gothic" w:cs="Arial"/>
          <w:sz w:val="20"/>
          <w:szCs w:val="20"/>
        </w:rPr>
        <w:t>[…]</w:t>
      </w:r>
    </w:p>
    <w:p w14:paraId="6EBC73C0" w14:textId="33B951C1" w:rsidR="00C122FF" w:rsidRPr="001B1C66" w:rsidRDefault="00F73FF9" w:rsidP="00C122FF">
      <w:pPr>
        <w:shd w:val="clear" w:color="auto" w:fill="FFFFFF"/>
        <w:spacing w:after="0" w:line="240" w:lineRule="auto"/>
        <w:contextualSpacing/>
        <w:jc w:val="both"/>
        <w:rPr>
          <w:rFonts w:ascii="Century Gothic" w:eastAsia="Calibri" w:hAnsi="Century Gothic" w:cs="Arial"/>
          <w:b/>
          <w:sz w:val="20"/>
          <w:szCs w:val="20"/>
          <w:lang w:val="es-MX" w:eastAsia="es-ES_tradnl"/>
        </w:rPr>
      </w:pPr>
      <w:r w:rsidRPr="00F73FF9">
        <w:rPr>
          <w:rFonts w:ascii="Century Gothic" w:eastAsia="Calibri" w:hAnsi="Century Gothic" w:cs="Arial"/>
          <w:sz w:val="20"/>
          <w:szCs w:val="20"/>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del orden </w:t>
      </w:r>
      <w:r w:rsidRPr="00F73FF9">
        <w:rPr>
          <w:rFonts w:ascii="Century Gothic" w:eastAsia="Calibri" w:hAnsi="Century Gothic" w:cs="Arial"/>
          <w:sz w:val="20"/>
          <w:szCs w:val="20"/>
        </w:rPr>
        <w:lastRenderedPageBreak/>
        <w:t>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4EB182D6" w14:textId="77777777" w:rsidR="00C122FF" w:rsidRPr="00F73FF9" w:rsidRDefault="00C122FF" w:rsidP="00C122FF">
      <w:pPr>
        <w:shd w:val="clear" w:color="auto" w:fill="FFFFFF"/>
        <w:spacing w:before="240" w:after="120" w:line="240" w:lineRule="auto"/>
        <w:contextualSpacing/>
        <w:jc w:val="both"/>
        <w:rPr>
          <w:rFonts w:ascii="Century Gothic" w:eastAsia="Calibri" w:hAnsi="Century Gothic" w:cs="Arial"/>
          <w:b/>
          <w:lang w:val="es-MX" w:eastAsia="es-ES_tradnl"/>
        </w:rPr>
      </w:pPr>
    </w:p>
    <w:p w14:paraId="0AF52FC6" w14:textId="77777777" w:rsidR="00C122FF" w:rsidRDefault="00C122FF" w:rsidP="004C7B53">
      <w:pPr>
        <w:spacing w:after="0" w:line="240" w:lineRule="auto"/>
        <w:jc w:val="both"/>
        <w:rPr>
          <w:rFonts w:ascii="Century Gothic" w:eastAsia="Calibri" w:hAnsi="Century Gothic" w:cs="Arial"/>
          <w:b/>
          <w:lang w:val="es-MX" w:eastAsia="es-ES_tradnl"/>
        </w:rPr>
      </w:pPr>
      <w:r w:rsidRPr="001B1C66">
        <w:rPr>
          <w:rFonts w:ascii="Century Gothic" w:eastAsia="Calibri" w:hAnsi="Century Gothic" w:cs="Arial"/>
          <w:b/>
          <w:lang w:val="es-MX" w:eastAsia="es-ES_tradnl"/>
        </w:rPr>
        <w:t xml:space="preserve">LEY 2166 DE 2021 – Convenios solidarios – Pluralidad de partes – Artículo 13 de la Ley 80 de 1993 – Artículo 1495 del Código Civil – Determinación de la menor cuantía – Tope de la menor cuantía </w:t>
      </w:r>
    </w:p>
    <w:p w14:paraId="31476CFE" w14:textId="77777777" w:rsidR="004C7B53" w:rsidRPr="001B1C66" w:rsidRDefault="004C7B53" w:rsidP="004C7B53">
      <w:pPr>
        <w:spacing w:after="0" w:line="240" w:lineRule="auto"/>
        <w:jc w:val="both"/>
        <w:rPr>
          <w:rFonts w:ascii="Century Gothic" w:eastAsia="Calibri" w:hAnsi="Century Gothic" w:cs="Arial"/>
          <w:sz w:val="20"/>
          <w:szCs w:val="20"/>
        </w:rPr>
      </w:pPr>
    </w:p>
    <w:p w14:paraId="2E5E7BFB" w14:textId="77777777" w:rsidR="001067C5" w:rsidRPr="004C7B53" w:rsidRDefault="001067C5" w:rsidP="004C7B53">
      <w:pPr>
        <w:shd w:val="clear" w:color="auto" w:fill="FFFFFF"/>
        <w:spacing w:after="0" w:line="240" w:lineRule="auto"/>
        <w:jc w:val="both"/>
        <w:rPr>
          <w:rFonts w:ascii="Century Gothic" w:eastAsia="Calibri" w:hAnsi="Century Gothic" w:cs="Arial"/>
          <w:sz w:val="20"/>
          <w:szCs w:val="20"/>
          <w:lang w:eastAsia="es-MX"/>
        </w:rPr>
      </w:pPr>
      <w:r w:rsidRPr="004C7B53">
        <w:rPr>
          <w:rFonts w:ascii="Century Gothic" w:eastAsia="Calibri" w:hAnsi="Century Gothic" w:cs="Arial"/>
          <w:sz w:val="20"/>
          <w:szCs w:val="20"/>
          <w:lang w:eastAsia="es-MX"/>
        </w:rPr>
        <w:t xml:space="preserve">Finalmente, teniendo en cuenta el objeto de su consulta, es importante señalar que las normas que regulan los convenios solidarios para la ejecución de obras con Organismos de Acción Comunal no imponen límites en cuanto al número de integrantes que pueden configurar cada una de las partes de la </w:t>
      </w:r>
      <w:r w:rsidRPr="004C7B53">
        <w:rPr>
          <w:rFonts w:ascii="Century Gothic" w:eastAsia="Calibri" w:hAnsi="Century Gothic" w:cs="Arial"/>
          <w:i/>
          <w:iCs/>
          <w:sz w:val="20"/>
          <w:szCs w:val="20"/>
          <w:lang w:eastAsia="es-MX"/>
        </w:rPr>
        <w:t>relación de colaboración</w:t>
      </w:r>
      <w:r w:rsidRPr="004C7B53">
        <w:rPr>
          <w:rFonts w:ascii="Century Gothic" w:eastAsia="Calibri" w:hAnsi="Century Gothic" w:cs="Arial"/>
          <w:sz w:val="20"/>
          <w:szCs w:val="20"/>
          <w:lang w:eastAsia="es-MX"/>
        </w:rPr>
        <w:t xml:space="preserve">. Sobre el particular, es necesario advertir que el artículo 13 de la Ley 80 de 1993 establece </w:t>
      </w:r>
      <w:r w:rsidRPr="004C7B53">
        <w:rPr>
          <w:rFonts w:ascii="Century Gothic" w:eastAsia="Calibri" w:hAnsi="Century Gothic" w:cs="Arial"/>
          <w:i/>
          <w:iCs/>
          <w:sz w:val="20"/>
          <w:szCs w:val="20"/>
          <w:lang w:eastAsia="es-MX"/>
        </w:rPr>
        <w:t>“[l]os contratos que celebren las entidades a que se refiere el artículo 2o. del presente estatuto se regirán por las disposiciones comerciales y civiles pertinentes, salvo en las materias particularmente reguladas en esta ley”.</w:t>
      </w:r>
      <w:r w:rsidRPr="004C7B53">
        <w:rPr>
          <w:rFonts w:ascii="Century Gothic" w:eastAsia="Calibri" w:hAnsi="Century Gothic" w:cs="Arial"/>
          <w:sz w:val="20"/>
          <w:szCs w:val="20"/>
          <w:lang w:eastAsia="es-MX"/>
        </w:rPr>
        <w:t xml:space="preserve"> Por lo tanto, al no existir una regulación expresa sobre la pluralidad de partes en el Estatuto General de Contratación de la Administración Pública, se hace necesario acudir a lo dispuesto en el Código Civil, a propósito de la definición de contrato o convención: </w:t>
      </w:r>
      <w:r w:rsidRPr="004C7B53">
        <w:rPr>
          <w:rFonts w:ascii="Century Gothic" w:eastAsia="Calibri" w:hAnsi="Century Gothic" w:cs="Arial"/>
          <w:i/>
          <w:iCs/>
          <w:sz w:val="20"/>
          <w:szCs w:val="20"/>
          <w:lang w:eastAsia="es-MX"/>
        </w:rPr>
        <w:t>“[c]</w:t>
      </w:r>
      <w:proofErr w:type="spellStart"/>
      <w:r w:rsidRPr="004C7B53">
        <w:rPr>
          <w:rFonts w:ascii="Century Gothic" w:eastAsia="Calibri" w:hAnsi="Century Gothic" w:cs="Arial"/>
          <w:i/>
          <w:iCs/>
          <w:sz w:val="20"/>
          <w:szCs w:val="20"/>
          <w:lang w:eastAsia="es-MX"/>
        </w:rPr>
        <w:t>ontrato</w:t>
      </w:r>
      <w:proofErr w:type="spellEnd"/>
      <w:r w:rsidRPr="004C7B53">
        <w:rPr>
          <w:rFonts w:ascii="Century Gothic" w:eastAsia="Calibri" w:hAnsi="Century Gothic" w:cs="Arial"/>
          <w:i/>
          <w:iCs/>
          <w:sz w:val="20"/>
          <w:szCs w:val="20"/>
          <w:lang w:eastAsia="es-MX"/>
        </w:rPr>
        <w:t xml:space="preserve"> o convención es un acto por el cual una parte se obliga para con otra a dar, hacer o no hacer alguna cosa. </w:t>
      </w:r>
      <w:r w:rsidRPr="004C7B53">
        <w:rPr>
          <w:rFonts w:ascii="Century Gothic" w:eastAsia="Calibri" w:hAnsi="Century Gothic" w:cs="Arial"/>
          <w:i/>
          <w:iCs/>
          <w:sz w:val="20"/>
          <w:szCs w:val="20"/>
          <w:u w:val="single"/>
          <w:lang w:eastAsia="es-MX"/>
        </w:rPr>
        <w:t>Cada parte puede ser de una o de muchas personas</w:t>
      </w:r>
      <w:r w:rsidRPr="004C7B53">
        <w:rPr>
          <w:rFonts w:ascii="Century Gothic" w:eastAsia="Calibri" w:hAnsi="Century Gothic" w:cs="Arial"/>
          <w:i/>
          <w:iCs/>
          <w:sz w:val="20"/>
          <w:szCs w:val="20"/>
          <w:lang w:eastAsia="es-MX"/>
        </w:rPr>
        <w:t>.”</w:t>
      </w:r>
      <w:r w:rsidRPr="004C7B53">
        <w:rPr>
          <w:rFonts w:ascii="Century Gothic" w:eastAsia="Calibri" w:hAnsi="Century Gothic" w:cs="Arial"/>
          <w:sz w:val="20"/>
          <w:szCs w:val="20"/>
          <w:lang w:eastAsia="es-MX"/>
        </w:rPr>
        <w:t xml:space="preserve"> (Énfasis fuera del texto original).</w:t>
      </w:r>
    </w:p>
    <w:p w14:paraId="099509CD" w14:textId="77777777" w:rsidR="004C7B53" w:rsidRPr="004C7B53" w:rsidRDefault="004C7B53" w:rsidP="004C7B53">
      <w:pPr>
        <w:shd w:val="clear" w:color="auto" w:fill="FFFFFF"/>
        <w:spacing w:after="0" w:line="240" w:lineRule="auto"/>
        <w:jc w:val="both"/>
        <w:rPr>
          <w:rFonts w:ascii="Century Gothic" w:eastAsia="Calibri" w:hAnsi="Century Gothic" w:cs="Arial"/>
          <w:sz w:val="20"/>
          <w:szCs w:val="20"/>
          <w:lang w:eastAsia="es-MX"/>
        </w:rPr>
      </w:pPr>
    </w:p>
    <w:p w14:paraId="79C70786" w14:textId="77777777" w:rsidR="001067C5" w:rsidRPr="004C7B53" w:rsidRDefault="001067C5" w:rsidP="004C7B53">
      <w:pPr>
        <w:shd w:val="clear" w:color="auto" w:fill="FFFFFF"/>
        <w:spacing w:after="0" w:line="240" w:lineRule="auto"/>
        <w:jc w:val="both"/>
        <w:rPr>
          <w:rFonts w:ascii="Century Gothic" w:eastAsia="Calibri" w:hAnsi="Century Gothic" w:cs="Arial"/>
          <w:sz w:val="20"/>
          <w:szCs w:val="20"/>
          <w:lang w:eastAsia="es-MX"/>
        </w:rPr>
      </w:pPr>
      <w:r w:rsidRPr="004C7B53">
        <w:rPr>
          <w:rFonts w:ascii="Century Gothic" w:eastAsia="Calibri" w:hAnsi="Century Gothic" w:cs="Arial"/>
          <w:sz w:val="20"/>
          <w:szCs w:val="20"/>
          <w:lang w:eastAsia="es-MX"/>
        </w:rPr>
        <w:t>En virtud de lo anterior, debe concluirse que la pluralidad de partes en los contratos celebrados por Entidades Estatales es plenamente válida y encuentra su fundamento en el artículo 1495 del Código Civil, por expresa remisión del artículo 13 de la Ley 80 de 1993, lo cual es aplicable, también, a los convenios solidarios del artículo 95 de la Ley 2166 de 2021, para la ejecución de obras hasta la menor 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Así, es importante que cada una de las partes del convenio cumpla con los requisitos establecidos por la norma.</w:t>
      </w:r>
    </w:p>
    <w:p w14:paraId="2E320697" w14:textId="77777777" w:rsidR="004C7B53" w:rsidRPr="004C7B53" w:rsidRDefault="004C7B53" w:rsidP="004C7B53">
      <w:pPr>
        <w:shd w:val="clear" w:color="auto" w:fill="FFFFFF"/>
        <w:spacing w:after="0" w:line="240" w:lineRule="auto"/>
        <w:jc w:val="both"/>
        <w:rPr>
          <w:rFonts w:ascii="Century Gothic" w:eastAsia="Calibri" w:hAnsi="Century Gothic" w:cs="Arial"/>
          <w:sz w:val="20"/>
          <w:szCs w:val="20"/>
          <w:lang w:eastAsia="es-MX"/>
        </w:rPr>
      </w:pPr>
    </w:p>
    <w:p w14:paraId="00ED96DF" w14:textId="77777777" w:rsidR="004C7B53" w:rsidRDefault="001067C5" w:rsidP="004C7B53">
      <w:pPr>
        <w:shd w:val="clear" w:color="auto" w:fill="FFFFFF"/>
        <w:spacing w:after="0" w:line="240" w:lineRule="auto"/>
        <w:jc w:val="both"/>
        <w:rPr>
          <w:rFonts w:ascii="Century Gothic" w:eastAsia="Calibri" w:hAnsi="Century Gothic" w:cs="Arial"/>
          <w:sz w:val="20"/>
          <w:szCs w:val="20"/>
          <w:lang w:eastAsia="es-MX"/>
        </w:rPr>
      </w:pPr>
      <w:r w:rsidRPr="004C7B53">
        <w:rPr>
          <w:rFonts w:ascii="Century Gothic" w:eastAsia="Calibri" w:hAnsi="Century Gothic" w:cs="Arial"/>
          <w:sz w:val="20"/>
          <w:szCs w:val="20"/>
          <w:lang w:eastAsia="es-MX"/>
        </w:rPr>
        <w:t xml:space="preserve">Por otra parte, si bien el literal b) del numeral 2 del artículo 2 de la Ley 1150 de 2007 establece la forma de determinar la menor cuantía de las entidades públicas, existe un </w:t>
      </w:r>
      <w:r w:rsidRPr="004C7B53">
        <w:rPr>
          <w:rFonts w:ascii="Century Gothic" w:eastAsia="Calibri" w:hAnsi="Century Gothic" w:cs="Arial"/>
          <w:i/>
          <w:iCs/>
          <w:sz w:val="20"/>
          <w:szCs w:val="20"/>
          <w:lang w:eastAsia="es-MX"/>
        </w:rPr>
        <w:t>vacío legal</w:t>
      </w:r>
      <w:r w:rsidRPr="004C7B53">
        <w:rPr>
          <w:rFonts w:ascii="Century Gothic" w:eastAsia="Calibri" w:hAnsi="Century Gothic" w:cs="Arial"/>
          <w:sz w:val="20"/>
          <w:szCs w:val="20"/>
          <w:lang w:eastAsia="es-MX"/>
        </w:rPr>
        <w:t xml:space="preserve"> cuando se trata de dos o más entidades que hacen parte de una relación negocial, ya que no se reguló cuál de las menores cuantías debe considerarse en estas situaciones o cómo determinarse a efectos de adelantar el respectivo Proceso de Contratación. Por lo tanto, en criterio de esta Subdirección, corresponde a las partes del convenio solidario establecer el tope de la menor cuantía cuando participen dos o más Entidades Estatales. Lo anterior, previa justificación de la decisión que adopten, conforme al marco jurídico particular que resulte aplicable al caso concreto y lo expresado en los estudios </w:t>
      </w:r>
    </w:p>
    <w:p w14:paraId="21D712C9" w14:textId="45E4CA27" w:rsidR="00C122FF" w:rsidRPr="00A8304A" w:rsidRDefault="00C122FF" w:rsidP="00A8304A">
      <w:pPr>
        <w:shd w:val="clear" w:color="auto" w:fill="FFFFFF"/>
        <w:spacing w:after="0" w:line="240" w:lineRule="auto"/>
        <w:jc w:val="both"/>
        <w:rPr>
          <w:rFonts w:ascii="Century Gothic" w:eastAsia="Calibri" w:hAnsi="Century Gothic" w:cs="Arial"/>
          <w:sz w:val="20"/>
          <w:szCs w:val="20"/>
          <w:lang w:eastAsia="es-MX"/>
        </w:rPr>
      </w:pPr>
      <w:r w:rsidRPr="001B1C66">
        <w:rPr>
          <w:rFonts w:ascii="Century Gothic" w:eastAsia="Calibri" w:hAnsi="Century Gothic" w:cs="Arial"/>
        </w:rPr>
        <w:lastRenderedPageBreak/>
        <w:t>Bogotá D.C.</w:t>
      </w:r>
      <w:r w:rsidR="00A8304A">
        <w:rPr>
          <w:rFonts w:ascii="Century Gothic" w:eastAsia="Calibri" w:hAnsi="Century Gothic" w:cs="Arial"/>
        </w:rPr>
        <w:t>, 24 Abril 2024</w:t>
      </w:r>
    </w:p>
    <w:p w14:paraId="1D0425AF" w14:textId="4CBD667B" w:rsidR="00C122FF" w:rsidRPr="001B1C66" w:rsidRDefault="00A8304A" w:rsidP="00A8304A">
      <w:pPr>
        <w:spacing w:after="0"/>
        <w:jc w:val="right"/>
        <w:rPr>
          <w:rFonts w:ascii="Century Gothic" w:eastAsia="Calibri" w:hAnsi="Century Gothic" w:cs="Arial"/>
        </w:rPr>
      </w:pPr>
      <w:bookmarkStart w:id="1" w:name="_Hlk94281581"/>
      <w:bookmarkStart w:id="2" w:name="_Hlk102489058"/>
      <w:bookmarkStart w:id="3" w:name="_Hlk34951122"/>
      <w:r>
        <w:rPr>
          <w:rFonts w:ascii="Century Gothic" w:eastAsia="Calibri" w:hAnsi="Century Gothic" w:cs="Arial"/>
          <w:noProof/>
        </w:rPr>
        <w:drawing>
          <wp:inline distT="0" distB="0" distL="0" distR="0" wp14:anchorId="19114A50" wp14:editId="377741F7">
            <wp:extent cx="3013671" cy="878988"/>
            <wp:effectExtent l="0" t="0" r="0" b="0"/>
            <wp:docPr id="1950407643" name="Imagen 1" descr="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07643" name="Imagen 1" descr="Texto, Chat o mensaje de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045629" cy="888309"/>
                    </a:xfrm>
                    <a:prstGeom prst="rect">
                      <a:avLst/>
                    </a:prstGeom>
                  </pic:spPr>
                </pic:pic>
              </a:graphicData>
            </a:graphic>
          </wp:inline>
        </w:drawing>
      </w:r>
    </w:p>
    <w:p w14:paraId="4326597B" w14:textId="77777777" w:rsidR="00C122FF" w:rsidRPr="001B1C66" w:rsidRDefault="00C122FF" w:rsidP="00C122FF">
      <w:pPr>
        <w:spacing w:after="0"/>
        <w:rPr>
          <w:rFonts w:ascii="Century Gothic" w:eastAsia="Calibri" w:hAnsi="Century Gothic" w:cs="Arial"/>
        </w:rPr>
      </w:pPr>
      <w:r w:rsidRPr="001B1C66">
        <w:rPr>
          <w:rFonts w:ascii="Century Gothic" w:eastAsia="Calibri" w:hAnsi="Century Gothic" w:cs="Arial"/>
        </w:rPr>
        <w:t>Señor</w:t>
      </w:r>
    </w:p>
    <w:p w14:paraId="31439249" w14:textId="77777777" w:rsidR="00C122FF" w:rsidRPr="001B1C66" w:rsidRDefault="00C122FF" w:rsidP="00C122FF">
      <w:pPr>
        <w:spacing w:after="0"/>
        <w:rPr>
          <w:rFonts w:ascii="Century Gothic" w:eastAsia="Calibri" w:hAnsi="Century Gothic" w:cs="Arial"/>
          <w:b/>
          <w:bCs/>
        </w:rPr>
      </w:pPr>
      <w:r w:rsidRPr="001B1C66">
        <w:rPr>
          <w:rFonts w:ascii="Century Gothic" w:eastAsia="Calibri" w:hAnsi="Century Gothic" w:cs="Arial"/>
          <w:b/>
          <w:bCs/>
        </w:rPr>
        <w:t>Pedro Alejandro Ariza Rubiano</w:t>
      </w:r>
    </w:p>
    <w:p w14:paraId="084FC2C1" w14:textId="77777777" w:rsidR="00C122FF" w:rsidRPr="001B1C66" w:rsidRDefault="00C122FF" w:rsidP="00C122FF">
      <w:pPr>
        <w:spacing w:after="0"/>
        <w:rPr>
          <w:rFonts w:ascii="Century Gothic" w:eastAsia="Calibri" w:hAnsi="Century Gothic" w:cs="Arial"/>
        </w:rPr>
      </w:pPr>
      <w:r w:rsidRPr="001B1C66">
        <w:rPr>
          <w:rFonts w:ascii="Century Gothic" w:eastAsia="Calibri" w:hAnsi="Century Gothic" w:cs="Arial"/>
        </w:rPr>
        <w:t>Bucaramanga, Santander</w:t>
      </w:r>
    </w:p>
    <w:p w14:paraId="76EF1D7B" w14:textId="77777777" w:rsidR="00C122FF" w:rsidRPr="001B1C66" w:rsidRDefault="00C122FF" w:rsidP="00C122FF">
      <w:pPr>
        <w:spacing w:after="0"/>
        <w:rPr>
          <w:rFonts w:ascii="Century Gothic" w:eastAsia="Calibri" w:hAnsi="Century Gothic" w:cs="Arial"/>
        </w:rPr>
      </w:pPr>
    </w:p>
    <w:p w14:paraId="4E4B00CD" w14:textId="77777777" w:rsidR="00C122FF" w:rsidRPr="001B1C66" w:rsidRDefault="00C122FF" w:rsidP="00C122FF">
      <w:pPr>
        <w:shd w:val="clear" w:color="auto" w:fill="FFFFFF"/>
        <w:ind w:left="2124" w:firstLine="570"/>
        <w:contextualSpacing/>
        <w:rPr>
          <w:rFonts w:ascii="Century Gothic" w:eastAsia="Calibri" w:hAnsi="Century Gothic" w:cs="Arial"/>
          <w:b/>
          <w:bCs/>
          <w:lang w:val="es-ES_tradnl" w:eastAsia="es-ES_tradnl"/>
        </w:rPr>
      </w:pPr>
      <w:r w:rsidRPr="001B1C66">
        <w:rPr>
          <w:rFonts w:ascii="Century Gothic" w:eastAsia="Calibri" w:hAnsi="Century Gothic" w:cs="Arial"/>
          <w:b/>
          <w:bCs/>
          <w:lang w:val="es-ES_tradnl" w:eastAsia="es-ES_tradnl"/>
        </w:rPr>
        <w:t>Concepto C – 060 de 2024</w:t>
      </w:r>
    </w:p>
    <w:p w14:paraId="2E6AA1E6" w14:textId="77777777" w:rsidR="00C122FF" w:rsidRPr="001B1C66" w:rsidRDefault="00C122FF" w:rsidP="00C122FF">
      <w:pPr>
        <w:shd w:val="clear" w:color="auto" w:fill="FFFFFF"/>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122FF" w:rsidRPr="001B1C66" w14:paraId="3AE2EEC3" w14:textId="77777777" w:rsidTr="00991E78">
        <w:tc>
          <w:tcPr>
            <w:tcW w:w="2689" w:type="dxa"/>
          </w:tcPr>
          <w:p w14:paraId="4BD1BDD6" w14:textId="77777777" w:rsidR="00C122FF" w:rsidRPr="001B1C66" w:rsidRDefault="00C122FF" w:rsidP="00C122FF">
            <w:pPr>
              <w:shd w:val="clear" w:color="auto" w:fill="FFFFFF"/>
              <w:contextualSpacing/>
              <w:jc w:val="both"/>
              <w:rPr>
                <w:rFonts w:ascii="Century Gothic" w:eastAsia="Calibri" w:hAnsi="Century Gothic" w:cs="Arial"/>
                <w:lang w:val="es-ES_tradnl" w:eastAsia="es-ES_tradnl"/>
              </w:rPr>
            </w:pPr>
            <w:r w:rsidRPr="001B1C66">
              <w:rPr>
                <w:rFonts w:ascii="Century Gothic" w:eastAsia="Calibri" w:hAnsi="Century Gothic" w:cs="Arial"/>
                <w:b/>
                <w:lang w:val="es-ES_tradnl" w:eastAsia="es-ES_tradnl"/>
              </w:rPr>
              <w:t>Temas:</w:t>
            </w:r>
            <w:r w:rsidRPr="001B1C66">
              <w:rPr>
                <w:rFonts w:ascii="Century Gothic" w:eastAsia="Calibri" w:hAnsi="Century Gothic" w:cs="Arial"/>
                <w:lang w:val="es-ES_tradnl" w:eastAsia="es-ES_tradnl"/>
              </w:rPr>
              <w:t xml:space="preserve">                                      </w:t>
            </w:r>
          </w:p>
        </w:tc>
        <w:tc>
          <w:tcPr>
            <w:tcW w:w="6237" w:type="dxa"/>
          </w:tcPr>
          <w:p w14:paraId="486C86F2" w14:textId="7F23BB74" w:rsidR="00C122FF" w:rsidRPr="001B1C66" w:rsidRDefault="00C122FF" w:rsidP="00C122FF">
            <w:pPr>
              <w:shd w:val="clear" w:color="auto" w:fill="FFFFFF"/>
              <w:spacing w:after="120"/>
              <w:contextualSpacing/>
              <w:jc w:val="both"/>
              <w:rPr>
                <w:rFonts w:ascii="Century Gothic" w:eastAsia="Calibri" w:hAnsi="Century Gothic" w:cs="Arial"/>
                <w:bCs/>
                <w:highlight w:val="yellow"/>
                <w:lang w:val="es-MX" w:eastAsia="es-ES_tradnl"/>
              </w:rPr>
            </w:pPr>
            <w:r w:rsidRPr="001B1C66">
              <w:rPr>
                <w:rFonts w:ascii="Century Gothic" w:eastAsia="Calibri" w:hAnsi="Century Gothic" w:cs="Arial"/>
                <w:bCs/>
                <w:lang w:val="es-MX" w:eastAsia="es-ES_tradnl"/>
              </w:rPr>
              <w:t>LEY 136 DE 1994 – Convenios solidarios – Definición – Ámbito de aplicación – Organismos de Acción Comunal – Régimen jurídico / LEY 2166 DE 2021 – Organismos de Acción Comunal – Artículo 95 – Convenios solidarios – Contratación directa – Contratos de obra – Menor cuantía / ORGANISMOS DE ACCIÓN COMUNAL – Capacidad jurídica /</w:t>
            </w:r>
            <w:r w:rsidRPr="001B1C66">
              <w:rPr>
                <w:rFonts w:ascii="Century Gothic" w:eastAsia="Aptos" w:hAnsi="Century Gothic" w:cs="Times New Roman"/>
                <w:lang w:val="es-ES_tradnl"/>
              </w:rPr>
              <w:t xml:space="preserve"> </w:t>
            </w:r>
            <w:r w:rsidRPr="001B1C66">
              <w:rPr>
                <w:rFonts w:ascii="Century Gothic" w:eastAsia="Calibri" w:hAnsi="Century Gothic" w:cs="Arial"/>
                <w:bCs/>
                <w:lang w:val="es-MX" w:eastAsia="es-ES_tradnl"/>
              </w:rPr>
              <w:t xml:space="preserve">ORGANISMOS DE ACCIÓN COMUNAL – Capacidad técnica – Acreditación – Artículo 18 de la Ley 842 de 2003 – Ejercicio de la ingeniería / LEY 2166 DE 2021 – Convenios solidarios – Pluralidad de partes – Artículo 13 de la Ley 80 de 1993 – Artículo 1495 del Código Civil – Determinación de la menor cuantía – Tope de la menor cuantía </w:t>
            </w:r>
          </w:p>
          <w:p w14:paraId="0681C158" w14:textId="77777777" w:rsidR="00C122FF" w:rsidRPr="001B1C66" w:rsidRDefault="00C122FF" w:rsidP="00C122FF">
            <w:pPr>
              <w:shd w:val="clear" w:color="auto" w:fill="FFFFFF"/>
              <w:spacing w:after="120"/>
              <w:contextualSpacing/>
              <w:jc w:val="both"/>
              <w:rPr>
                <w:rFonts w:ascii="Century Gothic" w:eastAsia="Calibri" w:hAnsi="Century Gothic" w:cs="Arial"/>
                <w:bCs/>
                <w:sz w:val="12"/>
                <w:szCs w:val="12"/>
                <w:highlight w:val="yellow"/>
                <w:lang w:val="es-ES_tradnl" w:eastAsia="es-ES_tradnl"/>
              </w:rPr>
            </w:pPr>
          </w:p>
        </w:tc>
      </w:tr>
      <w:tr w:rsidR="00C122FF" w:rsidRPr="001B1C66" w14:paraId="00915DFA" w14:textId="77777777" w:rsidTr="00991E78">
        <w:trPr>
          <w:trHeight w:val="309"/>
        </w:trPr>
        <w:tc>
          <w:tcPr>
            <w:tcW w:w="2689" w:type="dxa"/>
          </w:tcPr>
          <w:p w14:paraId="2EEE859C" w14:textId="77777777" w:rsidR="00C122FF" w:rsidRPr="001B1C66" w:rsidRDefault="00C122FF" w:rsidP="00C122FF">
            <w:pPr>
              <w:shd w:val="clear" w:color="auto" w:fill="FFFFFF"/>
              <w:contextualSpacing/>
              <w:jc w:val="both"/>
              <w:rPr>
                <w:rFonts w:ascii="Century Gothic" w:eastAsia="Calibri" w:hAnsi="Century Gothic" w:cs="Arial"/>
                <w:b/>
                <w:lang w:val="es-ES_tradnl" w:eastAsia="es-ES_tradnl"/>
              </w:rPr>
            </w:pPr>
            <w:r w:rsidRPr="001B1C66">
              <w:rPr>
                <w:rFonts w:ascii="Century Gothic" w:eastAsia="Calibri" w:hAnsi="Century Gothic" w:cs="Arial"/>
                <w:b/>
                <w:lang w:val="es-ES_tradnl" w:eastAsia="es-ES_tradnl"/>
              </w:rPr>
              <w:t>Radicación:</w:t>
            </w:r>
            <w:r w:rsidRPr="001B1C66">
              <w:rPr>
                <w:rFonts w:ascii="Century Gothic" w:eastAsia="Calibri" w:hAnsi="Century Gothic" w:cs="Arial"/>
                <w:lang w:val="es-ES_tradnl" w:eastAsia="es-ES_tradnl"/>
              </w:rPr>
              <w:t xml:space="preserve">                             </w:t>
            </w:r>
          </w:p>
        </w:tc>
        <w:tc>
          <w:tcPr>
            <w:tcW w:w="6237" w:type="dxa"/>
          </w:tcPr>
          <w:p w14:paraId="0F887230" w14:textId="77777777" w:rsidR="00C122FF" w:rsidRPr="001B1C66" w:rsidRDefault="00C122FF" w:rsidP="00C122FF">
            <w:pPr>
              <w:shd w:val="clear" w:color="auto" w:fill="FFFFFF"/>
              <w:contextualSpacing/>
              <w:jc w:val="both"/>
              <w:rPr>
                <w:rFonts w:ascii="Century Gothic" w:eastAsia="Calibri" w:hAnsi="Century Gothic" w:cs="Arial"/>
                <w:lang w:val="es-ES_tradnl" w:eastAsia="es-ES_tradnl"/>
              </w:rPr>
            </w:pPr>
            <w:r w:rsidRPr="001B1C66">
              <w:rPr>
                <w:rFonts w:ascii="Century Gothic" w:eastAsia="Calibri" w:hAnsi="Century Gothic" w:cs="Arial"/>
                <w:lang w:val="es-ES_tradnl" w:eastAsia="es-ES_tradnl"/>
              </w:rPr>
              <w:t>Respuesta a consultas acumuladas P20240301002334 y P20240305002488</w:t>
            </w:r>
          </w:p>
        </w:tc>
      </w:tr>
    </w:tbl>
    <w:p w14:paraId="63CEFEAF" w14:textId="77777777" w:rsidR="00C122FF" w:rsidRPr="001B1C66" w:rsidRDefault="00C122FF" w:rsidP="00C122FF">
      <w:pPr>
        <w:shd w:val="clear" w:color="auto" w:fill="FFFFFF"/>
        <w:contextualSpacing/>
        <w:jc w:val="both"/>
        <w:rPr>
          <w:rFonts w:ascii="Century Gothic" w:eastAsia="Calibri" w:hAnsi="Century Gothic" w:cs="Arial"/>
          <w:lang w:val="es-ES_tradnl" w:eastAsia="es-ES_tradnl"/>
        </w:rPr>
      </w:pPr>
    </w:p>
    <w:p w14:paraId="170D68A1" w14:textId="77777777" w:rsidR="00C122FF" w:rsidRPr="001B1C66" w:rsidRDefault="00C122FF" w:rsidP="00C122FF">
      <w:pPr>
        <w:shd w:val="clear" w:color="auto" w:fill="FFFFFF"/>
        <w:contextualSpacing/>
        <w:jc w:val="both"/>
        <w:rPr>
          <w:rFonts w:ascii="Century Gothic" w:eastAsia="Calibri" w:hAnsi="Century Gothic" w:cs="Arial"/>
          <w:lang w:val="es-ES" w:eastAsia="es-ES"/>
        </w:rPr>
      </w:pPr>
      <w:r w:rsidRPr="001B1C66">
        <w:rPr>
          <w:rFonts w:ascii="Century Gothic" w:eastAsia="Calibri" w:hAnsi="Century Gothic" w:cs="Arial"/>
          <w:lang w:val="es-ES" w:eastAsia="es-ES"/>
        </w:rPr>
        <w:t xml:space="preserve">Respetado señor Ariza Rubiano: </w:t>
      </w:r>
    </w:p>
    <w:p w14:paraId="78739A63" w14:textId="77777777" w:rsidR="00C122FF" w:rsidRPr="001B1C66" w:rsidRDefault="00C122FF" w:rsidP="00C122FF">
      <w:pPr>
        <w:shd w:val="clear" w:color="auto" w:fill="FFFFFF"/>
        <w:spacing w:line="276" w:lineRule="auto"/>
        <w:contextualSpacing/>
        <w:jc w:val="both"/>
        <w:rPr>
          <w:rFonts w:ascii="Century Gothic" w:eastAsia="Calibri" w:hAnsi="Century Gothic" w:cs="Arial"/>
          <w:szCs w:val="24"/>
          <w:lang w:val="es-ES_tradnl" w:eastAsia="es-ES_tradnl"/>
        </w:rPr>
      </w:pPr>
    </w:p>
    <w:bookmarkEnd w:id="1"/>
    <w:bookmarkEnd w:id="2"/>
    <w:p w14:paraId="05F6C71F" w14:textId="771D0A9F" w:rsidR="00C122FF" w:rsidRPr="001B1C66" w:rsidRDefault="00C122FF" w:rsidP="00C122FF">
      <w:pPr>
        <w:shd w:val="clear" w:color="auto" w:fill="FFFFFF"/>
        <w:spacing w:after="0" w:line="276" w:lineRule="auto"/>
        <w:jc w:val="both"/>
        <w:rPr>
          <w:rFonts w:ascii="Century Gothic" w:eastAsia="Calibri" w:hAnsi="Century Gothic" w:cs="Arial"/>
          <w:color w:val="000000"/>
          <w:lang w:val="es-ES_tradnl"/>
        </w:rPr>
      </w:pPr>
      <w:r w:rsidRPr="001B1C66">
        <w:rPr>
          <w:rFonts w:ascii="Century Gothic" w:eastAsia="Calibri" w:hAnsi="Century Gothic" w:cs="Arial"/>
          <w:color w:val="000000"/>
          <w:lang w:val="es-ES_tradnl"/>
        </w:rPr>
        <w:t>En ejercicio de la competencia otorgada por el numeral 8 del artículo 11 y el numeral 5 del artículo 3 del Decreto Ley 4170 de 2011</w:t>
      </w:r>
      <w:bookmarkStart w:id="4" w:name="_Hlk99120496"/>
      <w:r w:rsidRPr="001B1C66">
        <w:rPr>
          <w:rFonts w:ascii="Century Gothic" w:eastAsia="Arial MT" w:hAnsi="Century Gothic" w:cs="Arial"/>
          <w:lang w:val="es-ES"/>
        </w:rPr>
        <w:t xml:space="preserve">, </w:t>
      </w:r>
      <w:bookmarkEnd w:id="4"/>
      <w:r w:rsidRPr="001B1C66">
        <w:rPr>
          <w:rFonts w:ascii="Century Gothic" w:eastAsia="Calibri" w:hAnsi="Century Gothic" w:cs="Arial"/>
          <w:color w:val="000000"/>
          <w:lang w:val="es-ES_tradnl"/>
        </w:rPr>
        <w:t xml:space="preserve">la Agencia Nacional de Contratación Pública – Colombia Compra Eficiente </w:t>
      </w:r>
      <w:r w:rsidR="00EF7EF4" w:rsidRPr="001B1C66">
        <w:rPr>
          <w:rFonts w:ascii="Century Gothic" w:eastAsia="Calibri" w:hAnsi="Century Gothic" w:cs="Arial"/>
          <w:color w:val="000000"/>
          <w:lang w:val="es-ES_tradnl"/>
        </w:rPr>
        <w:t xml:space="preserve">- </w:t>
      </w:r>
      <w:r w:rsidRPr="001B1C66">
        <w:rPr>
          <w:rFonts w:ascii="Century Gothic" w:eastAsia="Calibri" w:hAnsi="Century Gothic" w:cs="Arial"/>
          <w:color w:val="000000"/>
          <w:lang w:val="es-ES_tradnl"/>
        </w:rPr>
        <w:t>responde las consultas acumuladas radicadas el 1 y 5 de marzo de 2024, respectivamente. La consulta P20240305002488 fue remitida por el Departamento Administrativo de la Función Pública, mediante oficio con radicado No. 20249000191332 de la misma fecha.</w:t>
      </w:r>
    </w:p>
    <w:p w14:paraId="6741AD2D" w14:textId="77777777" w:rsidR="00C122FF" w:rsidRPr="001B1C66" w:rsidRDefault="00C122FF" w:rsidP="00C122FF">
      <w:pPr>
        <w:shd w:val="clear" w:color="auto" w:fill="FFFFFF"/>
        <w:spacing w:after="0" w:line="276" w:lineRule="auto"/>
        <w:jc w:val="both"/>
        <w:rPr>
          <w:rFonts w:ascii="Century Gothic" w:eastAsia="Calibri" w:hAnsi="Century Gothic" w:cs="Arial"/>
          <w:b/>
          <w:color w:val="000000"/>
          <w:lang w:val="es-ES_tradnl"/>
        </w:rPr>
      </w:pPr>
    </w:p>
    <w:p w14:paraId="5D9D8B09" w14:textId="77777777" w:rsidR="00C122FF" w:rsidRPr="001B1C66" w:rsidRDefault="00C122FF" w:rsidP="00C122FF">
      <w:pPr>
        <w:numPr>
          <w:ilvl w:val="0"/>
          <w:numId w:val="6"/>
        </w:numPr>
        <w:shd w:val="clear" w:color="auto" w:fill="FFFFFF"/>
        <w:tabs>
          <w:tab w:val="left" w:pos="0"/>
          <w:tab w:val="left" w:pos="142"/>
          <w:tab w:val="left" w:pos="284"/>
        </w:tabs>
        <w:spacing w:after="0" w:line="276" w:lineRule="auto"/>
        <w:ind w:left="357" w:hanging="357"/>
        <w:contextualSpacing/>
        <w:rPr>
          <w:rFonts w:ascii="Century Gothic" w:eastAsia="Calibri" w:hAnsi="Century Gothic" w:cs="Arial"/>
          <w:b/>
          <w:color w:val="000000"/>
          <w:lang w:val="es-ES_tradnl"/>
        </w:rPr>
      </w:pPr>
      <w:r w:rsidRPr="001B1C66">
        <w:rPr>
          <w:rFonts w:ascii="Century Gothic" w:eastAsia="Calibri" w:hAnsi="Century Gothic" w:cs="Arial"/>
          <w:b/>
          <w:color w:val="000000"/>
          <w:lang w:val="es-ES_tradnl"/>
        </w:rPr>
        <w:lastRenderedPageBreak/>
        <w:t xml:space="preserve">Problema planteado </w:t>
      </w:r>
    </w:p>
    <w:p w14:paraId="7FEBC37D" w14:textId="77777777" w:rsidR="00C122FF" w:rsidRPr="001B1C66" w:rsidRDefault="00C122FF" w:rsidP="00C122FF">
      <w:pPr>
        <w:shd w:val="clear" w:color="auto" w:fill="FFFFFF"/>
        <w:tabs>
          <w:tab w:val="left" w:pos="426"/>
        </w:tabs>
        <w:spacing w:after="0" w:line="276" w:lineRule="auto"/>
        <w:jc w:val="both"/>
        <w:rPr>
          <w:rFonts w:ascii="Century Gothic" w:eastAsia="Calibri" w:hAnsi="Century Gothic" w:cs="Arial"/>
          <w:b/>
          <w:color w:val="000000"/>
          <w:lang w:val="es-ES_tradnl"/>
        </w:rPr>
      </w:pPr>
    </w:p>
    <w:p w14:paraId="12B78FD8" w14:textId="77777777" w:rsidR="00C122FF" w:rsidRPr="001B1C66" w:rsidRDefault="00C122FF" w:rsidP="00C122FF">
      <w:pPr>
        <w:shd w:val="clear" w:color="auto" w:fill="FFFFFF"/>
        <w:spacing w:after="0" w:line="276" w:lineRule="auto"/>
        <w:jc w:val="both"/>
        <w:rPr>
          <w:rFonts w:ascii="Century Gothic" w:eastAsia="Calibri" w:hAnsi="Century Gothic" w:cs="Arial"/>
          <w:color w:val="000000"/>
        </w:rPr>
      </w:pPr>
      <w:r w:rsidRPr="001B1C66">
        <w:rPr>
          <w:rFonts w:ascii="Century Gothic" w:eastAsia="Calibri" w:hAnsi="Century Gothic" w:cs="Arial"/>
          <w:color w:val="000000"/>
          <w:lang w:val="es-ES_tradnl"/>
        </w:rPr>
        <w:t>Usted realiza las siguientes preguntas:</w:t>
      </w:r>
      <w:r w:rsidRPr="001B1C66">
        <w:rPr>
          <w:rFonts w:ascii="Century Gothic" w:eastAsia="Calibri" w:hAnsi="Century Gothic" w:cs="Arial"/>
          <w:color w:val="000000"/>
        </w:rPr>
        <w:t xml:space="preserve"> </w:t>
      </w:r>
    </w:p>
    <w:p w14:paraId="271607A5" w14:textId="77777777" w:rsidR="00C122FF" w:rsidRPr="001B1C66" w:rsidRDefault="00C122FF" w:rsidP="00C122FF">
      <w:pPr>
        <w:shd w:val="clear" w:color="auto" w:fill="FFFFFF"/>
        <w:spacing w:after="0" w:line="276" w:lineRule="auto"/>
        <w:jc w:val="both"/>
        <w:rPr>
          <w:rFonts w:ascii="Century Gothic" w:eastAsia="Calibri" w:hAnsi="Century Gothic" w:cs="Arial"/>
          <w:color w:val="000000"/>
        </w:rPr>
      </w:pPr>
    </w:p>
    <w:p w14:paraId="133004EF"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1B1C66">
        <w:rPr>
          <w:rFonts w:ascii="Century Gothic" w:eastAsia="Calibri" w:hAnsi="Century Gothic" w:cs="Arial"/>
          <w:color w:val="000000"/>
          <w:sz w:val="21"/>
          <w:szCs w:val="21"/>
          <w:lang w:val="es-ES_tradnl"/>
        </w:rPr>
        <w:t>“1. El fundamento de los Convenios solidarios hasta el tope de la menor cuantía permite que sean suscritos por entidades nacionales, distritales, departamentales y municipales, sin efectuar exclusión entre estas. En este sentido pregunto: ¿Es posible suscribirse un convenio solidario tripartito entre una Gobernación, uno de sus municipios, y una OAC/ JAC del municipio?</w:t>
      </w:r>
    </w:p>
    <w:p w14:paraId="3439FCF2"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2FA9ABA1" w14:textId="77777777" w:rsidR="00C122FF" w:rsidRPr="001B1C66" w:rsidRDefault="00C122FF" w:rsidP="0EFABF03">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001B1C66">
        <w:rPr>
          <w:rFonts w:ascii="Century Gothic" w:eastAsia="Calibri" w:hAnsi="Century Gothic" w:cs="Arial"/>
          <w:color w:val="000000" w:themeColor="text1"/>
          <w:sz w:val="21"/>
          <w:szCs w:val="21"/>
          <w:lang w:val="es-ES"/>
        </w:rPr>
        <w:t xml:space="preserve">2. De admitirse la posibilidad de suscribirse un Convenio Solidario Tripartito (ya que la norma no establece una </w:t>
      </w:r>
      <w:proofErr w:type="spellStart"/>
      <w:r w:rsidRPr="001B1C66">
        <w:rPr>
          <w:rFonts w:ascii="Century Gothic" w:eastAsia="Calibri" w:hAnsi="Century Gothic" w:cs="Arial"/>
          <w:color w:val="000000" w:themeColor="text1"/>
          <w:sz w:val="21"/>
          <w:szCs w:val="21"/>
          <w:lang w:val="es-ES"/>
        </w:rPr>
        <w:t>restriccion</w:t>
      </w:r>
      <w:proofErr w:type="spellEnd"/>
      <w:r w:rsidRPr="001B1C66">
        <w:rPr>
          <w:rFonts w:ascii="Century Gothic" w:eastAsia="Calibri" w:hAnsi="Century Gothic" w:cs="Arial"/>
          <w:color w:val="000000" w:themeColor="text1"/>
          <w:sz w:val="21"/>
          <w:szCs w:val="21"/>
          <w:lang w:val="es-ES"/>
        </w:rPr>
        <w:t xml:space="preserve">, </w:t>
      </w:r>
      <w:proofErr w:type="spellStart"/>
      <w:r w:rsidRPr="001B1C66">
        <w:rPr>
          <w:rFonts w:ascii="Century Gothic" w:eastAsia="Calibri" w:hAnsi="Century Gothic" w:cs="Arial"/>
          <w:color w:val="000000" w:themeColor="text1"/>
          <w:sz w:val="21"/>
          <w:szCs w:val="21"/>
          <w:lang w:val="es-ES"/>
        </w:rPr>
        <w:t>mas</w:t>
      </w:r>
      <w:proofErr w:type="spellEnd"/>
      <w:r w:rsidRPr="001B1C66">
        <w:rPr>
          <w:rFonts w:ascii="Century Gothic" w:eastAsia="Calibri" w:hAnsi="Century Gothic" w:cs="Arial"/>
          <w:color w:val="000000" w:themeColor="text1"/>
          <w:sz w:val="21"/>
          <w:szCs w:val="21"/>
          <w:lang w:val="es-ES"/>
        </w:rPr>
        <w:t xml:space="preserve"> cuando dos de las partes pueden fungir como contratantes) : ¿ </w:t>
      </w:r>
      <w:proofErr w:type="spellStart"/>
      <w:r w:rsidRPr="001B1C66">
        <w:rPr>
          <w:rFonts w:ascii="Century Gothic" w:eastAsia="Calibri" w:hAnsi="Century Gothic" w:cs="Arial"/>
          <w:color w:val="000000" w:themeColor="text1"/>
          <w:sz w:val="21"/>
          <w:szCs w:val="21"/>
          <w:lang w:val="es-ES"/>
        </w:rPr>
        <w:t>Cual</w:t>
      </w:r>
      <w:proofErr w:type="spellEnd"/>
      <w:r w:rsidRPr="001B1C66">
        <w:rPr>
          <w:rFonts w:ascii="Century Gothic" w:eastAsia="Calibri" w:hAnsi="Century Gothic" w:cs="Arial"/>
          <w:color w:val="000000" w:themeColor="text1"/>
          <w:sz w:val="21"/>
          <w:szCs w:val="21"/>
          <w:lang w:val="es-ES"/>
        </w:rPr>
        <w:t xml:space="preserve"> sería la menor cuantía del presupuesto global a tenerse en cuenta? ¿Sería la de la Gobernación si la menor </w:t>
      </w:r>
      <w:proofErr w:type="spellStart"/>
      <w:r w:rsidRPr="001B1C66">
        <w:rPr>
          <w:rFonts w:ascii="Century Gothic" w:eastAsia="Calibri" w:hAnsi="Century Gothic" w:cs="Arial"/>
          <w:color w:val="000000" w:themeColor="text1"/>
          <w:sz w:val="21"/>
          <w:szCs w:val="21"/>
          <w:lang w:val="es-ES"/>
        </w:rPr>
        <w:t>cuantia</w:t>
      </w:r>
      <w:proofErr w:type="spellEnd"/>
      <w:r w:rsidRPr="001B1C66">
        <w:rPr>
          <w:rFonts w:ascii="Century Gothic" w:eastAsia="Calibri" w:hAnsi="Century Gothic" w:cs="Arial"/>
          <w:color w:val="000000" w:themeColor="text1"/>
          <w:sz w:val="21"/>
          <w:szCs w:val="21"/>
          <w:lang w:val="es-ES"/>
        </w:rPr>
        <w:t xml:space="preserve"> del municipio es inferior? ¿o </w:t>
      </w:r>
      <w:proofErr w:type="spellStart"/>
      <w:r w:rsidRPr="001B1C66">
        <w:rPr>
          <w:rFonts w:ascii="Century Gothic" w:eastAsia="Calibri" w:hAnsi="Century Gothic" w:cs="Arial"/>
          <w:color w:val="000000" w:themeColor="text1"/>
          <w:sz w:val="21"/>
          <w:szCs w:val="21"/>
          <w:lang w:val="es-ES"/>
        </w:rPr>
        <w:t>como</w:t>
      </w:r>
      <w:proofErr w:type="spellEnd"/>
      <w:r w:rsidRPr="001B1C66">
        <w:rPr>
          <w:rFonts w:ascii="Century Gothic" w:eastAsia="Calibri" w:hAnsi="Century Gothic" w:cs="Arial"/>
          <w:color w:val="000000" w:themeColor="text1"/>
          <w:sz w:val="21"/>
          <w:szCs w:val="21"/>
          <w:lang w:val="es-ES"/>
        </w:rPr>
        <w:t>?</w:t>
      </w:r>
    </w:p>
    <w:p w14:paraId="1B29FF8E"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1B1C66">
        <w:rPr>
          <w:rFonts w:ascii="Century Gothic" w:eastAsia="Calibri" w:hAnsi="Century Gothic" w:cs="Arial"/>
          <w:color w:val="000000"/>
          <w:sz w:val="21"/>
          <w:szCs w:val="21"/>
          <w:lang w:val="es-ES_tradnl"/>
        </w:rPr>
        <w:t>[…]</w:t>
      </w:r>
    </w:p>
    <w:p w14:paraId="353DA9AD" w14:textId="77777777" w:rsidR="00C122FF" w:rsidRPr="001B1C66" w:rsidRDefault="00C122FF" w:rsidP="0EFABF03">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001B1C66">
        <w:rPr>
          <w:rFonts w:ascii="Century Gothic" w:eastAsia="Calibri" w:hAnsi="Century Gothic" w:cs="Arial"/>
          <w:color w:val="000000" w:themeColor="text1"/>
          <w:sz w:val="21"/>
          <w:szCs w:val="21"/>
          <w:lang w:val="es-ES"/>
        </w:rPr>
        <w:t xml:space="preserve">¿Puede un organismo comunal, </w:t>
      </w:r>
      <w:proofErr w:type="spellStart"/>
      <w:r w:rsidRPr="001B1C66">
        <w:rPr>
          <w:rFonts w:ascii="Century Gothic" w:eastAsia="Calibri" w:hAnsi="Century Gothic" w:cs="Arial"/>
          <w:color w:val="000000" w:themeColor="text1"/>
          <w:sz w:val="21"/>
          <w:szCs w:val="21"/>
          <w:lang w:val="es-ES"/>
        </w:rPr>
        <w:t>especificamente</w:t>
      </w:r>
      <w:proofErr w:type="spellEnd"/>
      <w:r w:rsidRPr="001B1C66">
        <w:rPr>
          <w:rFonts w:ascii="Century Gothic" w:eastAsia="Calibri" w:hAnsi="Century Gothic" w:cs="Arial"/>
          <w:color w:val="000000" w:themeColor="text1"/>
          <w:sz w:val="21"/>
          <w:szCs w:val="21"/>
          <w:lang w:val="es-ES"/>
        </w:rPr>
        <w:t xml:space="preserve"> una JAC, intervenir una vía secundaria en virtud de un convenio solidario?” [SIC]</w:t>
      </w:r>
    </w:p>
    <w:p w14:paraId="19A32971"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lang w:val="es-ES_tradnl"/>
        </w:rPr>
      </w:pPr>
    </w:p>
    <w:p w14:paraId="2379947E" w14:textId="77777777" w:rsidR="00C122FF" w:rsidRPr="001B1C66" w:rsidRDefault="00C122FF" w:rsidP="00C122FF">
      <w:pPr>
        <w:numPr>
          <w:ilvl w:val="0"/>
          <w:numId w:val="6"/>
        </w:numPr>
        <w:shd w:val="clear" w:color="auto" w:fill="FFFFFF"/>
        <w:tabs>
          <w:tab w:val="left" w:pos="0"/>
          <w:tab w:val="left" w:pos="284"/>
        </w:tabs>
        <w:spacing w:after="0" w:line="240" w:lineRule="auto"/>
        <w:ind w:left="357" w:hanging="357"/>
        <w:contextualSpacing/>
        <w:jc w:val="both"/>
        <w:rPr>
          <w:rFonts w:ascii="Century Gothic" w:eastAsia="Calibri" w:hAnsi="Century Gothic" w:cs="Arial"/>
          <w:b/>
          <w:color w:val="000000"/>
          <w:lang w:val="es-ES_tradnl"/>
        </w:rPr>
      </w:pPr>
      <w:r w:rsidRPr="001B1C66">
        <w:rPr>
          <w:rFonts w:ascii="Century Gothic" w:eastAsia="Calibri" w:hAnsi="Century Gothic" w:cs="Arial"/>
          <w:b/>
          <w:color w:val="000000"/>
          <w:lang w:val="es-ES_tradnl"/>
        </w:rPr>
        <w:t>Consideraciones</w:t>
      </w:r>
    </w:p>
    <w:p w14:paraId="0A426158" w14:textId="77777777" w:rsidR="00C122FF" w:rsidRPr="001B1C66" w:rsidRDefault="00C122FF" w:rsidP="00C122FF">
      <w:pPr>
        <w:shd w:val="clear" w:color="auto" w:fill="FFFFFF"/>
        <w:spacing w:after="0" w:line="276" w:lineRule="auto"/>
        <w:jc w:val="both"/>
        <w:rPr>
          <w:rFonts w:ascii="Century Gothic" w:eastAsia="Calibri" w:hAnsi="Century Gothic" w:cs="Arial"/>
          <w:color w:val="000000"/>
          <w:lang w:val="es-ES"/>
        </w:rPr>
      </w:pPr>
    </w:p>
    <w:p w14:paraId="2F9D2FF5" w14:textId="0E44797C" w:rsidR="00C122FF" w:rsidRPr="001B1C66" w:rsidRDefault="00C122FF" w:rsidP="00C122FF">
      <w:pPr>
        <w:shd w:val="clear" w:color="auto" w:fill="FFFFFF"/>
        <w:spacing w:after="120" w:line="276" w:lineRule="auto"/>
        <w:jc w:val="both"/>
        <w:rPr>
          <w:rFonts w:ascii="Century Gothic" w:eastAsia="Calibri" w:hAnsi="Century Gothic" w:cs="Arial"/>
          <w:color w:val="000000"/>
        </w:rPr>
      </w:pPr>
      <w:r w:rsidRPr="001B1C66">
        <w:rPr>
          <w:rFonts w:ascii="Century Gothic" w:eastAsia="Calibri" w:hAnsi="Century Gothic" w:cs="Arial"/>
          <w:color w:val="000000"/>
        </w:rPr>
        <w:t>La Agencia Nacional de Contratación Pública – Colombia Compra Eficiente</w:t>
      </w:r>
      <w:r w:rsidR="00EF7EF4" w:rsidRPr="001B1C66">
        <w:rPr>
          <w:rFonts w:ascii="Century Gothic" w:eastAsia="Calibri" w:hAnsi="Century Gothic" w:cs="Arial"/>
          <w:color w:val="000000"/>
        </w:rPr>
        <w:t>-</w:t>
      </w:r>
      <w:r w:rsidRPr="001B1C66">
        <w:rPr>
          <w:rFonts w:ascii="Century Gothic" w:eastAsia="Calibri" w:hAnsi="Century Gothic" w:cs="Arial"/>
          <w:color w:val="000000"/>
        </w:rPr>
        <w:t xml:space="preserve"> resuelve consultas sobre 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 de todos los partícipes de la contratación estatal ni para interpretar el alcance de cualquier norma vigente en el ordenamiento jurídico.</w:t>
      </w:r>
    </w:p>
    <w:p w14:paraId="3C458C51"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color w:val="000000"/>
        </w:rPr>
      </w:pPr>
      <w:r w:rsidRPr="001B1C66">
        <w:rPr>
          <w:rFonts w:ascii="Century Gothic" w:eastAsia="Calibri" w:hAnsi="Century Gothic"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brindar asesorías sobre casos puntuales ni interpretar normas ajenas al sistema de compras públicas. </w:t>
      </w:r>
    </w:p>
    <w:p w14:paraId="5324CFC0" w14:textId="77777777" w:rsidR="00C122FF" w:rsidRPr="001B1C66" w:rsidRDefault="00C122FF" w:rsidP="00C122FF">
      <w:pPr>
        <w:shd w:val="clear" w:color="auto" w:fill="FFFFFF"/>
        <w:spacing w:after="120" w:line="276" w:lineRule="auto"/>
        <w:jc w:val="both"/>
        <w:rPr>
          <w:rFonts w:ascii="Century Gothic" w:eastAsia="Calibri" w:hAnsi="Century Gothic" w:cs="Arial"/>
          <w:bCs/>
          <w:color w:val="000000"/>
          <w:lang w:val="es-ES"/>
        </w:rPr>
      </w:pPr>
      <w:r w:rsidRPr="001B1C66">
        <w:rPr>
          <w:rFonts w:ascii="Century Gothic" w:eastAsia="Calibri" w:hAnsi="Century Gothic" w:cs="Arial"/>
          <w:color w:val="000000"/>
        </w:rPr>
        <w:lastRenderedPageBreak/>
        <w:tab/>
        <w:t>En este contexto, la Subdirección de Gestión Contractual, dentro de los límites de sus atribuciones, resolverá la consulta conforme a las normas generales en materia de contratación estatal. Con este objetivo se analizarán</w:t>
      </w:r>
      <w:r w:rsidRPr="001B1C66">
        <w:rPr>
          <w:rFonts w:ascii="Century Gothic" w:eastAsia="Calibri" w:hAnsi="Century Gothic" w:cs="Arial"/>
          <w:color w:val="000000"/>
          <w:lang w:val="es-ES"/>
        </w:rPr>
        <w:t xml:space="preserve"> los siguientes temas: </w:t>
      </w:r>
      <w:r w:rsidRPr="001B1C66">
        <w:rPr>
          <w:rFonts w:ascii="Century Gothic" w:eastAsia="Calibri" w:hAnsi="Century Gothic" w:cs="Arial"/>
          <w:color w:val="000000"/>
          <w:lang w:val="es-ES_tradnl"/>
        </w:rPr>
        <w:t>i) aplicación de los convenios solidarios y los Organismos de Acción Comunal de conformidad con la Ley 136 de 1994, y</w:t>
      </w:r>
      <w:r w:rsidRPr="001B1C66">
        <w:rPr>
          <w:rFonts w:ascii="Century Gothic" w:eastAsia="Calibri" w:hAnsi="Century Gothic" w:cs="Arial"/>
          <w:color w:val="000000"/>
          <w:lang w:val="es-ES"/>
        </w:rPr>
        <w:t xml:space="preserve"> </w:t>
      </w:r>
      <w:proofErr w:type="spellStart"/>
      <w:r w:rsidRPr="001B1C66">
        <w:rPr>
          <w:rFonts w:ascii="Century Gothic" w:eastAsia="Calibri" w:hAnsi="Century Gothic" w:cs="Arial"/>
          <w:color w:val="000000"/>
          <w:lang w:val="es-ES"/>
        </w:rPr>
        <w:t>ii</w:t>
      </w:r>
      <w:proofErr w:type="spellEnd"/>
      <w:r w:rsidRPr="001B1C66">
        <w:rPr>
          <w:rFonts w:ascii="Century Gothic" w:eastAsia="Calibri" w:hAnsi="Century Gothic" w:cs="Arial"/>
          <w:color w:val="000000"/>
          <w:lang w:val="es-ES"/>
        </w:rPr>
        <w:t xml:space="preserve">) </w:t>
      </w:r>
      <w:r w:rsidRPr="001B1C66">
        <w:rPr>
          <w:rFonts w:ascii="Century Gothic" w:eastAsia="Calibri" w:hAnsi="Century Gothic" w:cs="Arial"/>
          <w:bCs/>
          <w:color w:val="000000"/>
        </w:rPr>
        <w:t xml:space="preserve">convenios solidarios con Organismos de Acción Comunal bajo la Ley 2166 de 2021 y el Decreto 142 de 2023, con especial énfasis en la pluralidad de partes y la determinación del tope de la menor cuantía. </w:t>
      </w:r>
    </w:p>
    <w:p w14:paraId="4642C7CD" w14:textId="24664AE3" w:rsidR="00C122FF" w:rsidRPr="001B1C66" w:rsidRDefault="00C122FF" w:rsidP="00C122FF">
      <w:pPr>
        <w:shd w:val="clear" w:color="auto" w:fill="FFFFFF"/>
        <w:spacing w:before="120" w:after="0" w:line="276" w:lineRule="auto"/>
        <w:ind w:firstLine="709"/>
        <w:jc w:val="both"/>
        <w:rPr>
          <w:rFonts w:ascii="Century Gothic" w:eastAsia="Calibri" w:hAnsi="Century Gothic" w:cs="Arial"/>
          <w:color w:val="000000"/>
          <w:lang w:val="es-ES_tradnl"/>
        </w:rPr>
      </w:pPr>
      <w:r w:rsidRPr="001B1C66">
        <w:rPr>
          <w:rFonts w:ascii="Century Gothic" w:eastAsia="Calibri" w:hAnsi="Century Gothic" w:cs="Arial"/>
          <w:color w:val="000000"/>
          <w:lang w:val="es-ES"/>
        </w:rPr>
        <w:t>La Agencia Nacional de Contratación Pública – Colombia Compra Eficiente, en los Conceptos No. 4201913000006135 del 10 de septiembre de 2019,</w:t>
      </w:r>
      <w:r w:rsidRPr="001B1C66">
        <w:rPr>
          <w:rFonts w:ascii="Century Gothic" w:eastAsia="Calibri" w:hAnsi="Century Gothic" w:cs="Arial"/>
          <w:color w:val="000000"/>
        </w:rPr>
        <w:t xml:space="preserve"> </w:t>
      </w:r>
      <w:r w:rsidRPr="001B1C66">
        <w:rPr>
          <w:rFonts w:ascii="Century Gothic" w:eastAsia="Calibri" w:hAnsi="Century Gothic" w:cs="Arial"/>
          <w:color w:val="000000"/>
          <w:lang w:val="es-ES"/>
        </w:rPr>
        <w:t>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w:t>
      </w:r>
      <w:r w:rsidR="00C87C33" w:rsidRPr="001B1C66">
        <w:rPr>
          <w:rFonts w:ascii="Century Gothic" w:eastAsia="Calibri" w:hAnsi="Century Gothic" w:cs="Arial"/>
          <w:color w:val="000000"/>
          <w:lang w:val="es-ES"/>
        </w:rPr>
        <w:t xml:space="preserve">, </w:t>
      </w:r>
      <w:r w:rsidRPr="001B1C66">
        <w:rPr>
          <w:rFonts w:ascii="Century Gothic" w:eastAsia="Calibri" w:hAnsi="Century Gothic" w:cs="Arial"/>
          <w:color w:val="000000"/>
          <w:lang w:val="es-ES"/>
        </w:rPr>
        <w:t>C-287 del 9 de octubre de 2023</w:t>
      </w:r>
      <w:r w:rsidR="00C87C33" w:rsidRPr="001B1C66">
        <w:rPr>
          <w:rFonts w:ascii="Century Gothic" w:eastAsia="Calibri" w:hAnsi="Century Gothic" w:cs="Arial"/>
          <w:color w:val="000000"/>
          <w:lang w:val="es-ES"/>
        </w:rPr>
        <w:t xml:space="preserve"> y C</w:t>
      </w:r>
      <w:r w:rsidR="00E87E85" w:rsidRPr="001B1C66">
        <w:rPr>
          <w:rFonts w:ascii="Century Gothic" w:eastAsia="Calibri" w:hAnsi="Century Gothic" w:cs="Arial"/>
          <w:color w:val="000000"/>
          <w:lang w:val="es-ES"/>
        </w:rPr>
        <w:t>-020 de 2024</w:t>
      </w:r>
      <w:r w:rsidR="00D83901">
        <w:rPr>
          <w:rFonts w:ascii="Century Gothic" w:eastAsia="Calibri" w:hAnsi="Century Gothic" w:cs="Arial"/>
          <w:color w:val="000000"/>
          <w:lang w:val="es-ES"/>
        </w:rPr>
        <w:t>,</w:t>
      </w:r>
      <w:r w:rsidRPr="001B1C66">
        <w:rPr>
          <w:rFonts w:ascii="Century Gothic" w:eastAsia="Calibri" w:hAnsi="Century Gothic" w:cs="Arial"/>
          <w:color w:val="000000"/>
          <w:lang w:val="es-ES"/>
        </w:rPr>
        <w:t xml:space="preserve"> analizó los convenios solidarios, su alcance y su régimen contractual</w:t>
      </w:r>
      <w:r w:rsidRPr="001B1C66">
        <w:rPr>
          <w:rFonts w:ascii="Century Gothic" w:eastAsia="Calibri" w:hAnsi="Century Gothic" w:cs="Arial"/>
          <w:vertAlign w:val="superscript"/>
        </w:rPr>
        <w:footnoteReference w:id="2"/>
      </w:r>
      <w:r w:rsidRPr="001B1C66">
        <w:rPr>
          <w:rFonts w:ascii="Century Gothic" w:eastAsia="Calibri" w:hAnsi="Century Gothic" w:cs="Arial"/>
          <w:color w:val="000000"/>
          <w:lang w:val="es-ES"/>
        </w:rPr>
        <w:t xml:space="preserve">. </w:t>
      </w:r>
      <w:r w:rsidRPr="001B1C66">
        <w:rPr>
          <w:rFonts w:ascii="Century Gothic" w:eastAsia="Calibri" w:hAnsi="Century Gothic" w:cs="Arial"/>
          <w:color w:val="000000"/>
          <w:lang w:val="es-ES_tradnl"/>
        </w:rPr>
        <w:t>La tesis propuesta en estos conceptos se reitera a continuación y se complementa en lo pertinente de acuerdo con la consulta realizada.</w:t>
      </w:r>
    </w:p>
    <w:p w14:paraId="0AF7CF27" w14:textId="77777777" w:rsidR="00C122FF" w:rsidRPr="001B1C66" w:rsidRDefault="00C122FF" w:rsidP="00C122FF">
      <w:pPr>
        <w:shd w:val="clear" w:color="auto" w:fill="FFFFFF"/>
        <w:tabs>
          <w:tab w:val="left" w:pos="0"/>
        </w:tabs>
        <w:spacing w:after="0" w:line="276" w:lineRule="auto"/>
        <w:jc w:val="both"/>
        <w:rPr>
          <w:rFonts w:ascii="Century Gothic" w:eastAsia="Calibri" w:hAnsi="Century Gothic" w:cs="Arial"/>
          <w:b/>
          <w:color w:val="000000"/>
        </w:rPr>
      </w:pPr>
    </w:p>
    <w:p w14:paraId="5FD2D02D" w14:textId="77777777" w:rsidR="00C122FF" w:rsidRPr="001B1C66" w:rsidRDefault="00C122FF" w:rsidP="00C122FF">
      <w:pPr>
        <w:shd w:val="clear" w:color="auto" w:fill="FFFFFF"/>
        <w:tabs>
          <w:tab w:val="left" w:pos="426"/>
        </w:tabs>
        <w:spacing w:after="0"/>
        <w:jc w:val="both"/>
        <w:rPr>
          <w:rFonts w:ascii="Century Gothic" w:eastAsia="Calibri" w:hAnsi="Century Gothic" w:cs="Arial"/>
          <w:noProof/>
          <w:color w:val="000000"/>
          <w:lang w:val="es-ES"/>
        </w:rPr>
      </w:pPr>
      <w:r w:rsidRPr="001B1C66">
        <w:rPr>
          <w:rFonts w:ascii="Century Gothic" w:eastAsia="Calibri" w:hAnsi="Century Gothic" w:cs="Arial"/>
          <w:b/>
          <w:bCs/>
          <w:color w:val="000000"/>
          <w:lang w:eastAsia="en-GB"/>
        </w:rPr>
        <w:t xml:space="preserve">2.1. </w:t>
      </w:r>
      <w:r w:rsidRPr="001B1C66">
        <w:rPr>
          <w:rFonts w:ascii="Century Gothic" w:eastAsia="Calibri" w:hAnsi="Century Gothic" w:cs="Arial"/>
          <w:b/>
          <w:bCs/>
          <w:color w:val="000000"/>
          <w:lang w:val="es-ES" w:eastAsia="en-GB"/>
        </w:rPr>
        <w:t>Aplicación de los convenios solidarios</w:t>
      </w:r>
      <w:r w:rsidRPr="001B1C66">
        <w:rPr>
          <w:rFonts w:ascii="Century Gothic" w:eastAsia="Calibri" w:hAnsi="Century Gothic" w:cs="Arial"/>
          <w:b/>
          <w:bCs/>
          <w:color w:val="000000"/>
          <w:lang w:eastAsia="en-GB"/>
        </w:rPr>
        <w:t xml:space="preserve"> y los Organismos de Acción Comunal de conformidad con la Ley 136 de 1994 – Regímenes jurídicos previo a la expedición Ley 2166 de 2021</w:t>
      </w:r>
    </w:p>
    <w:p w14:paraId="3589335A" w14:textId="77777777" w:rsidR="00C122FF" w:rsidRPr="001B1C66" w:rsidRDefault="00C122FF" w:rsidP="00C122FF">
      <w:pPr>
        <w:shd w:val="clear" w:color="auto" w:fill="FFFFFF"/>
        <w:spacing w:after="0" w:line="276" w:lineRule="auto"/>
        <w:jc w:val="both"/>
        <w:rPr>
          <w:rFonts w:ascii="Century Gothic" w:eastAsia="Arial" w:hAnsi="Century Gothic" w:cs="Arial"/>
          <w:b/>
          <w:color w:val="000000"/>
          <w:lang w:val="es-ES"/>
        </w:rPr>
      </w:pPr>
    </w:p>
    <w:p w14:paraId="6B83D7D6" w14:textId="77777777" w:rsidR="00C122FF" w:rsidRPr="001B1C66" w:rsidRDefault="00C122FF" w:rsidP="00C122FF">
      <w:pPr>
        <w:shd w:val="clear" w:color="auto" w:fill="FFFFFF"/>
        <w:spacing w:after="120" w:line="276" w:lineRule="auto"/>
        <w:jc w:val="both"/>
        <w:rPr>
          <w:rFonts w:ascii="Century Gothic" w:eastAsia="Calibri" w:hAnsi="Century Gothic" w:cs="Arial"/>
          <w:bCs/>
          <w:color w:val="000000"/>
          <w:lang w:val="es-MX"/>
        </w:rPr>
      </w:pPr>
      <w:r w:rsidRPr="001B1C66">
        <w:rPr>
          <w:rFonts w:ascii="Century Gothic" w:eastAsia="Calibri" w:hAnsi="Century Gothic" w:cs="Arial"/>
          <w:bCs/>
          <w:color w:val="000000"/>
          <w:lang w:val="es-MX"/>
        </w:rPr>
        <w:t xml:space="preserve">El artículo 38 de la Constitución Política, estableció la obligación de </w:t>
      </w:r>
      <w:r w:rsidRPr="001B1C66">
        <w:rPr>
          <w:rFonts w:ascii="Century Gothic" w:eastAsia="Calibri" w:hAnsi="Century Gothic" w:cs="Arial"/>
          <w:color w:val="000000"/>
        </w:rPr>
        <w:t>“</w:t>
      </w:r>
      <w:r w:rsidRPr="001B1C66">
        <w:rPr>
          <w:rFonts w:ascii="Century Gothic" w:eastAsia="Calibri" w:hAnsi="Century Gothic" w:cs="Arial"/>
          <w:bCs/>
          <w:color w:val="000000"/>
          <w:lang w:val="es-MX"/>
        </w:rPr>
        <w:t>garantizar el derecho de libre asociación para el desarrollo de las distintas actividades que las personas realizan en sociedad</w:t>
      </w:r>
      <w:r w:rsidRPr="001B1C66">
        <w:rPr>
          <w:rFonts w:ascii="Century Gothic" w:eastAsia="Calibri" w:hAnsi="Century Gothic" w:cs="Arial"/>
          <w:color w:val="000000"/>
          <w:lang w:val="es-ES_tradnl"/>
        </w:rPr>
        <w:t>”</w:t>
      </w:r>
      <w:r w:rsidRPr="001B1C66">
        <w:rPr>
          <w:rFonts w:ascii="Century Gothic" w:eastAsia="Calibri" w:hAnsi="Century Gothic" w:cs="Arial"/>
          <w:bCs/>
          <w:i/>
          <w:iCs/>
          <w:color w:val="000000"/>
          <w:lang w:val="es-MX"/>
        </w:rPr>
        <w:t>,</w:t>
      </w:r>
      <w:r w:rsidRPr="001B1C66">
        <w:rPr>
          <w:rFonts w:ascii="Century Gothic" w:eastAsia="Calibri" w:hAnsi="Century Gothic" w:cs="Arial"/>
          <w:bCs/>
          <w:color w:val="000000"/>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1B1C66">
        <w:rPr>
          <w:rFonts w:ascii="Century Gothic" w:eastAsia="Calibri" w:hAnsi="Century Gothic" w:cs="Arial"/>
          <w:bCs/>
          <w:color w:val="000000"/>
          <w:vertAlign w:val="superscript"/>
          <w:lang w:val="es-MX"/>
        </w:rPr>
        <w:footnoteReference w:id="3"/>
      </w:r>
      <w:r w:rsidRPr="001B1C66">
        <w:rPr>
          <w:rFonts w:ascii="Century Gothic" w:eastAsia="Calibri" w:hAnsi="Century Gothic" w:cs="Arial"/>
          <w:bCs/>
          <w:color w:val="000000"/>
          <w:lang w:val="es-MX"/>
        </w:rPr>
        <w:t>.</w:t>
      </w:r>
    </w:p>
    <w:p w14:paraId="3BFC2C45"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1B1C66">
        <w:rPr>
          <w:rFonts w:ascii="Century Gothic" w:eastAsia="Calibri" w:hAnsi="Century Gothic" w:cs="Arial"/>
          <w:color w:val="000000"/>
          <w:lang w:val="es-MX"/>
        </w:rPr>
        <w:t>Es así como, en desarrollo del principio de participación, el artículo 7 de la Ley 2166 de 2021 definió cuatro grados de Organismos de Acción Comunal</w:t>
      </w:r>
      <w:r w:rsidRPr="001B1C66">
        <w:rPr>
          <w:rFonts w:ascii="Century Gothic" w:eastAsia="Calibri" w:hAnsi="Century Gothic" w:cs="Arial"/>
          <w:color w:val="000000"/>
          <w:vertAlign w:val="superscript"/>
          <w:lang w:val="es-MX"/>
        </w:rPr>
        <w:footnoteReference w:id="4"/>
      </w:r>
      <w:r w:rsidRPr="001B1C66">
        <w:rPr>
          <w:rFonts w:ascii="Century Gothic" w:eastAsia="Calibri" w:hAnsi="Century Gothic" w:cs="Arial"/>
          <w:color w:val="000000"/>
          <w:lang w:val="es-MX"/>
        </w:rPr>
        <w:t xml:space="preserve">. En el primer grado se clasifican las Juntas de Acción Comunal y las Juntas de Vivienda Comunal. Las primeras de ellas fueron definidas como </w:t>
      </w:r>
      <w:r w:rsidRPr="001B1C66">
        <w:rPr>
          <w:rFonts w:ascii="Century Gothic" w:eastAsia="Calibri" w:hAnsi="Century Gothic" w:cs="Arial"/>
          <w:i/>
          <w:color w:val="000000"/>
          <w:lang w:val="es-MX"/>
        </w:rPr>
        <w:t>“una organización cívica, social y comunitaria de gestión social, sin ánimo de lucro, de naturaleza solidaria, con personería jurídica y patrimonio propio (…)</w:t>
      </w:r>
      <w:r w:rsidRPr="001B1C66">
        <w:rPr>
          <w:rFonts w:ascii="Century Gothic" w:eastAsia="Calibri" w:hAnsi="Century Gothic" w:cs="Arial"/>
          <w:color w:val="000000"/>
          <w:lang w:val="es-MX"/>
        </w:rPr>
        <w:t xml:space="preserve">”, que se encuentra integrada voluntariamente por los residentes de un lugar que aúnan esfuerzos y recursos para </w:t>
      </w:r>
      <w:r w:rsidRPr="001B1C66">
        <w:rPr>
          <w:rFonts w:ascii="Century Gothic" w:eastAsia="Calibri" w:hAnsi="Century Gothic" w:cs="Arial"/>
          <w:i/>
          <w:color w:val="000000"/>
          <w:lang w:val="es-MX"/>
        </w:rPr>
        <w:t>“procurar un desarrollo integral, sostenible y sustentable con fundamento en el ejercicio de la democracia participativa.”</w:t>
      </w:r>
      <w:r w:rsidRPr="001B1C66">
        <w:rPr>
          <w:rFonts w:ascii="Century Gothic" w:eastAsia="Calibri" w:hAnsi="Century Gothic" w:cs="Arial"/>
          <w:color w:val="000000"/>
          <w:lang w:val="es-MX"/>
        </w:rPr>
        <w:t xml:space="preserve"> Por su parte, las Juntas de Vivienda Comunal, fueron definidas como “</w:t>
      </w:r>
      <w:r w:rsidRPr="001B1C66">
        <w:rPr>
          <w:rFonts w:ascii="Century Gothic" w:eastAsia="Calibri" w:hAnsi="Century Gothic" w:cs="Arial"/>
          <w:i/>
          <w:color w:val="000000"/>
          <w:lang w:val="es-MX"/>
        </w:rPr>
        <w:t>una organización cívica sin ánimo de lucro, integrada por familias que se reúnen con el propósito de adelantar programas de mejoramiento o de autoconstrucción de vivienda”</w:t>
      </w:r>
      <w:r w:rsidRPr="001B1C66">
        <w:rPr>
          <w:rFonts w:ascii="Century Gothic" w:eastAsia="Calibri" w:hAnsi="Century Gothic" w:cs="Arial"/>
          <w:color w:val="000000"/>
          <w:lang w:val="es-MX"/>
        </w:rPr>
        <w:t xml:space="preserve"> y una vez concluido el </w:t>
      </w:r>
      <w:r w:rsidRPr="001B1C66">
        <w:rPr>
          <w:rFonts w:ascii="Century Gothic" w:eastAsia="Calibri" w:hAnsi="Century Gothic" w:cs="Arial"/>
          <w:color w:val="000000"/>
          <w:lang w:val="es-MX"/>
        </w:rPr>
        <w:lastRenderedPageBreak/>
        <w:t>programa se podrán asimilar a una Junta de Acción Comunal, siempre y cuando cumplan los requisitos de Ley.</w:t>
      </w:r>
    </w:p>
    <w:p w14:paraId="543B32E6"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1B1C66">
        <w:rPr>
          <w:rFonts w:ascii="Century Gothic" w:eastAsia="Calibri" w:hAnsi="Century Gothic" w:cs="Arial"/>
          <w:color w:val="000000"/>
          <w:lang w:val="es-MX"/>
        </w:rPr>
        <w:t>En desarrollo de ese ejercicio democrático, el artículo 16 ibidem dispuso como funciones de los Organismos de Acción Comunal promover y fortalecer en el individuo, el sentido de pertenencia frente a su comunidad, localidad, distrito o municipio a través del ejercicio de la democracia participativa, y en virtud de ello generar procesos comunitarios como la formulación, ejecución y administración, entre otros, de planes, programas y proyectos de desarrollo comunitario, por lo que se encuentran facultadas para celebrar contratos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14:paraId="7E1C879B"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bCs/>
          <w:color w:val="000000"/>
          <w:lang w:val="es-MX"/>
        </w:rPr>
      </w:pPr>
      <w:r w:rsidRPr="001B1C66">
        <w:rPr>
          <w:rFonts w:ascii="Century Gothic" w:eastAsia="Calibri" w:hAnsi="Century Gothic" w:cs="Arial"/>
          <w:bCs/>
          <w:color w:val="000000"/>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1B1C66">
        <w:rPr>
          <w:rFonts w:ascii="Century Gothic" w:eastAsia="Calibri" w:hAnsi="Century Gothic" w:cs="Arial"/>
          <w:bCs/>
          <w:color w:val="000000"/>
          <w:vertAlign w:val="superscript"/>
          <w:lang w:val="es-MX" w:eastAsia="es-MX"/>
        </w:rPr>
        <w:footnoteReference w:id="5"/>
      </w:r>
      <w:r w:rsidRPr="001B1C66">
        <w:rPr>
          <w:rFonts w:ascii="Century Gothic" w:eastAsia="Calibri" w:hAnsi="Century Gothic" w:cs="Arial"/>
          <w:bCs/>
          <w:color w:val="000000"/>
          <w:lang w:val="es-MX"/>
        </w:rPr>
        <w:t>.</w:t>
      </w:r>
    </w:p>
    <w:p w14:paraId="278B2E49"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1B1C66">
        <w:rPr>
          <w:rFonts w:ascii="Century Gothic" w:eastAsia="Calibri" w:hAnsi="Century Gothic" w:cs="Arial"/>
          <w:color w:val="000000"/>
          <w:lang w:val="es-ES"/>
        </w:rPr>
        <w:t>Ahora bien, 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A su vez, el referido mandato constitucional faculta al Gobierno Nacional para reglamentar la materia.</w:t>
      </w:r>
    </w:p>
    <w:p w14:paraId="217B6C6E"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1B1C66">
        <w:rPr>
          <w:rFonts w:ascii="Century Gothic" w:eastAsia="Calibri" w:hAnsi="Century Gothic" w:cs="Arial"/>
          <w:color w:val="000000"/>
          <w:lang w:val="es-ES"/>
        </w:rPr>
        <w:lastRenderedPageBreak/>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1B1C66">
        <w:rPr>
          <w:rFonts w:ascii="Century Gothic" w:eastAsia="Calibri" w:hAnsi="Century Gothic" w:cs="Arial"/>
          <w:i/>
          <w:iCs/>
          <w:color w:val="000000"/>
          <w:lang w:val="es-ES"/>
        </w:rPr>
        <w:t>la complementación de esfuerzos institucionales, comunitarios, económicos y sociales para la construcción de obras y la satisfacción de necesidades y aspiraciones de las comunidades”.</w:t>
      </w:r>
      <w:r w:rsidRPr="001B1C66">
        <w:rPr>
          <w:rFonts w:ascii="Century Gothic" w:eastAsia="Calibri" w:hAnsi="Century Gothic" w:cs="Arial"/>
          <w:color w:val="000000"/>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16FB7D7F"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r w:rsidRPr="001B1C66">
        <w:rPr>
          <w:rFonts w:ascii="Century Gothic" w:eastAsia="Calibri" w:hAnsi="Century Gothic" w:cs="Arial"/>
          <w:color w:val="000000"/>
          <w:lang w:val="es-ES"/>
        </w:rPr>
        <w:t>i) En primer lugar, las entidades territoriales del orden municipal o distrital pueden celebrar convenios solidarios con Organismos de Acción Comunal</w:t>
      </w:r>
      <w:r w:rsidRPr="001B1C66">
        <w:rPr>
          <w:rFonts w:ascii="Century Gothic" w:eastAsia="Calibri" w:hAnsi="Century Gothic" w:cs="Arial"/>
          <w:i/>
          <w:iCs/>
          <w:color w:val="000000"/>
          <w:lang w:val="es-ES"/>
        </w:rPr>
        <w:t xml:space="preserve"> “[…] para el desarrollo conjunto de programas y actividades establecidas por la Ley a los municipios y distritos, acorde con sus planes y desarrollos</w:t>
      </w:r>
      <w:r w:rsidRPr="001B1C66">
        <w:rPr>
          <w:rFonts w:ascii="Century Gothic" w:eastAsia="Calibri" w:hAnsi="Century Gothic" w:cs="Arial"/>
          <w:color w:val="000000"/>
          <w:lang w:val="es-ES"/>
        </w:rPr>
        <w:t>”</w:t>
      </w:r>
      <w:r w:rsidRPr="001B1C66">
        <w:rPr>
          <w:rFonts w:ascii="Century Gothic" w:eastAsia="Calibri" w:hAnsi="Century Gothic" w:cs="Arial"/>
          <w:color w:val="000000"/>
          <w:vertAlign w:val="superscript"/>
        </w:rPr>
        <w:footnoteReference w:id="6"/>
      </w:r>
      <w:r w:rsidRPr="001B1C66">
        <w:rPr>
          <w:rFonts w:ascii="Century Gothic" w:eastAsia="Calibri" w:hAnsi="Century Gothic" w:cs="Arial"/>
          <w:color w:val="000000"/>
          <w:lang w:val="es-ES"/>
        </w:rPr>
        <w:t>.</w:t>
      </w:r>
    </w:p>
    <w:p w14:paraId="490A3A31"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color w:val="000000"/>
          <w:lang w:val="es-ES"/>
        </w:rPr>
      </w:pPr>
      <w:proofErr w:type="spellStart"/>
      <w:r w:rsidRPr="001B1C66">
        <w:rPr>
          <w:rFonts w:ascii="Century Gothic" w:eastAsia="Calibri" w:hAnsi="Century Gothic" w:cs="Arial"/>
          <w:color w:val="000000"/>
          <w:lang w:val="es-ES"/>
        </w:rPr>
        <w:t>ii</w:t>
      </w:r>
      <w:proofErr w:type="spellEnd"/>
      <w:r w:rsidRPr="001B1C66">
        <w:rPr>
          <w:rFonts w:ascii="Century Gothic" w:eastAsia="Calibri" w:hAnsi="Century Gothic" w:cs="Arial"/>
          <w:color w:val="00000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8674777"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proofErr w:type="spellStart"/>
      <w:r w:rsidRPr="001B1C66">
        <w:rPr>
          <w:rFonts w:ascii="Century Gothic" w:eastAsia="Calibri" w:hAnsi="Century Gothic" w:cs="Arial"/>
          <w:color w:val="000000"/>
          <w:lang w:val="es-ES"/>
        </w:rPr>
        <w:t>iii</w:t>
      </w:r>
      <w:proofErr w:type="spellEnd"/>
      <w:r w:rsidRPr="001B1C66">
        <w:rPr>
          <w:rFonts w:ascii="Century Gothic" w:eastAsia="Calibri" w:hAnsi="Century Gothic" w:cs="Arial"/>
          <w:color w:val="000000"/>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D2D55A8"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Existen características generales aplicables a la celebración de cualquier convenio solidario que se encuentran presentes en los tres (3) regímenes de contratación expuestos y que están contenidas en el parágrafo tercero del artículo 3 de la Ley 136 de 1994, en consonancia con el artículo 355 de la Constitución </w:t>
      </w:r>
      <w:r w:rsidRPr="001B1C66">
        <w:rPr>
          <w:rFonts w:ascii="Century Gothic" w:eastAsia="Calibri" w:hAnsi="Century Gothic" w:cs="Arial"/>
          <w:color w:val="000000"/>
          <w:lang w:val="es-ES"/>
        </w:rPr>
        <w:lastRenderedPageBreak/>
        <w:t xml:space="preserve">Política. En ese sentido, debe tenerse en cuenta que todos los convenios solidarios celebrados entre entidades del orden nacional, departamental, distrital o municipal y los Organismos de Acción Comunal deben, en primer lugar, satisfacer las necesidades y aspiraciones de las comunidades, en segundo lugar, deben estar encaminados a la satisfacción del interés público, y finalmente, ser concordantes con el Plan Nacional o los planes seccionales de desarrollo, según el caso. </w:t>
      </w:r>
    </w:p>
    <w:p w14:paraId="6F3BD510"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De esta manera, habiendo abordado dichas características generales de cualquier convenio solidario, debe destacarse que, anterior a la expedición de la Ley 2166 de 2021, se presentan los siguientes regímenes jurídicos para la celebración de convenios solidarios, los cuales se mantienen en la actualidad, pero con algunas modificaciones que se abordarán más adelante. </w:t>
      </w:r>
    </w:p>
    <w:p w14:paraId="6569A824"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El </w:t>
      </w:r>
      <w:bookmarkStart w:id="5" w:name="_Hlk69293147"/>
      <w:r w:rsidRPr="001B1C66">
        <w:rPr>
          <w:rFonts w:ascii="Century Gothic" w:eastAsia="Calibri" w:hAnsi="Century Gothic" w:cs="Arial"/>
          <w:i/>
          <w:iCs/>
          <w:color w:val="000000"/>
          <w:lang w:val="es-ES"/>
        </w:rPr>
        <w:t>primer régimen jurídico</w:t>
      </w:r>
      <w:r w:rsidRPr="001B1C66">
        <w:rPr>
          <w:rFonts w:ascii="Century Gothic" w:eastAsia="Calibri" w:hAnsi="Century Gothic" w:cs="Arial"/>
          <w:color w:val="000000"/>
          <w:lang w:val="es-ES"/>
        </w:rPr>
        <w:t xml:space="preserve"> encuentra su fundamento en el parágrafo cuarto del artículo 3 de la Ley 136 de 1994. Como se indicó, este determina una </w:t>
      </w:r>
      <w:proofErr w:type="spellStart"/>
      <w:r w:rsidRPr="001B1C66">
        <w:rPr>
          <w:rFonts w:ascii="Century Gothic" w:eastAsia="Calibri" w:hAnsi="Century Gothic" w:cs="Arial"/>
          <w:color w:val="000000"/>
          <w:lang w:val="es-ES"/>
        </w:rPr>
        <w:t>sub-regla</w:t>
      </w:r>
      <w:proofErr w:type="spellEnd"/>
      <w:r w:rsidRPr="001B1C66">
        <w:rPr>
          <w:rFonts w:ascii="Century Gothic" w:eastAsia="Calibri" w:hAnsi="Century Gothic" w:cs="Arial"/>
          <w:color w:val="00000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1B1C66">
        <w:rPr>
          <w:rFonts w:ascii="Century Gothic" w:eastAsia="Calibri" w:hAnsi="Century Gothic" w:cs="Arial"/>
          <w:color w:val="000000"/>
          <w:lang w:val="es-ES"/>
        </w:rPr>
        <w:t>ii</w:t>
      </w:r>
      <w:proofErr w:type="spellEnd"/>
      <w:r w:rsidRPr="001B1C66">
        <w:rPr>
          <w:rFonts w:ascii="Century Gothic" w:eastAsia="Calibri" w:hAnsi="Century Gothic" w:cs="Arial"/>
          <w:color w:val="000000"/>
          <w:lang w:val="es-ES"/>
        </w:rPr>
        <w:t xml:space="preserve">) que el objeto contractual consista en la ejecución de obras; y, </w:t>
      </w:r>
      <w:proofErr w:type="spellStart"/>
      <w:r w:rsidRPr="001B1C66">
        <w:rPr>
          <w:rFonts w:ascii="Century Gothic" w:eastAsia="Calibri" w:hAnsi="Century Gothic" w:cs="Arial"/>
          <w:color w:val="000000"/>
          <w:lang w:val="es-ES"/>
        </w:rPr>
        <w:t>iii</w:t>
      </w:r>
      <w:proofErr w:type="spellEnd"/>
      <w:r w:rsidRPr="001B1C66">
        <w:rPr>
          <w:rFonts w:ascii="Century Gothic" w:eastAsia="Calibri" w:hAnsi="Century Gothic" w:cs="Arial"/>
          <w:color w:val="000000"/>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w:t>
      </w:r>
      <w:bookmarkEnd w:id="5"/>
      <w:r w:rsidRPr="001B1C66">
        <w:rPr>
          <w:rFonts w:ascii="Century Gothic" w:eastAsia="Calibri" w:hAnsi="Century Gothic" w:cs="Arial"/>
          <w:color w:val="000000"/>
          <w:lang w:val="es-ES"/>
        </w:rPr>
        <w:t xml:space="preserve"> Sin embargo, como se expondrá más adelante, el artículo 95 de la Ley 2166 de 2021 y el Decreto 142 de 2023 modificó estas subreglas en cuanto a los sujetos aplicables, condiciones y la cuantía del contrato. </w:t>
      </w:r>
    </w:p>
    <w:p w14:paraId="21646B7C"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Un </w:t>
      </w:r>
      <w:r w:rsidRPr="001B1C66">
        <w:rPr>
          <w:rFonts w:ascii="Century Gothic" w:eastAsia="Calibri" w:hAnsi="Century Gothic" w:cs="Arial"/>
          <w:i/>
          <w:iCs/>
          <w:color w:val="000000"/>
          <w:lang w:val="es-ES"/>
        </w:rPr>
        <w:t>segundo</w:t>
      </w:r>
      <w:r w:rsidRPr="001B1C66">
        <w:rPr>
          <w:rFonts w:ascii="Century Gothic" w:eastAsia="Calibri" w:hAnsi="Century Gothic" w:cs="Arial"/>
          <w:color w:val="000000"/>
          <w:lang w:val="es-ES"/>
        </w:rPr>
        <w:t xml:space="preserve"> </w:t>
      </w:r>
      <w:r w:rsidRPr="001B1C66">
        <w:rPr>
          <w:rFonts w:ascii="Century Gothic" w:eastAsia="Calibri" w:hAnsi="Century Gothic" w:cs="Arial"/>
          <w:i/>
          <w:iCs/>
          <w:color w:val="000000"/>
          <w:lang w:val="es-ES"/>
        </w:rPr>
        <w:t>régimen</w:t>
      </w:r>
      <w:r w:rsidRPr="001B1C66">
        <w:rPr>
          <w:rFonts w:ascii="Century Gothic" w:eastAsia="Calibri" w:hAnsi="Century Gothic" w:cs="Arial"/>
          <w:color w:val="000000"/>
          <w:lang w:val="es-ES"/>
        </w:rPr>
        <w:t xml:space="preserve"> o modalidad de contratación se encuentra prevista en el Decreto 092 de 2017, exceptuando lo consignado en su artículo quinto, pues versa sobre convenios de asociación. Este decreto desarrolló, en términos generales, la contratación autorizada por el artículo 355 de la Constitución Política, la cual, en concordancia con el numeral 16 y el parágrafo tercero del artículo 3 de la Ley 136 de 1994, puede manifestarse a través de convenios solidarios.  </w:t>
      </w:r>
    </w:p>
    <w:p w14:paraId="247C37EF"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lastRenderedPageBreak/>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entidades sin ánimo de lucro de reconocida idoneidad (entre los que se encuentra los Organismos de Acción Comunal); </w:t>
      </w:r>
      <w:proofErr w:type="spellStart"/>
      <w:r w:rsidRPr="001B1C66">
        <w:rPr>
          <w:rFonts w:ascii="Century Gothic" w:eastAsia="Calibri" w:hAnsi="Century Gothic" w:cs="Arial"/>
          <w:color w:val="000000"/>
          <w:lang w:val="es-ES"/>
        </w:rPr>
        <w:t>ii</w:t>
      </w:r>
      <w:proofErr w:type="spellEnd"/>
      <w:r w:rsidRPr="001B1C66">
        <w:rPr>
          <w:rFonts w:ascii="Century Gothic" w:eastAsia="Calibri" w:hAnsi="Century Gothic" w:cs="Arial"/>
          <w:color w:val="000000"/>
          <w:lang w:val="es-ES"/>
        </w:rPr>
        <w:t xml:space="preserve">) que el objeto del contrato esté dirigido al impulso de programas y actividades de interés público acordes con el plan de desarrollo aplicable (territorial o nacional); </w:t>
      </w:r>
      <w:proofErr w:type="spellStart"/>
      <w:r w:rsidRPr="001B1C66">
        <w:rPr>
          <w:rFonts w:ascii="Century Gothic" w:eastAsia="Calibri" w:hAnsi="Century Gothic" w:cs="Arial"/>
          <w:color w:val="000000"/>
          <w:lang w:val="es-ES"/>
        </w:rPr>
        <w:t>iii</w:t>
      </w:r>
      <w:proofErr w:type="spellEnd"/>
      <w:r w:rsidRPr="001B1C66">
        <w:rPr>
          <w:rFonts w:ascii="Century Gothic" w:eastAsia="Calibri" w:hAnsi="Century Gothic" w:cs="Arial"/>
          <w:color w:val="000000"/>
          <w:lang w:val="es-ES"/>
        </w:rPr>
        <w:t xml:space="preserve">) que el contrato, independientemente de su cuantía, no refleje relaciones conmutativas que impliquen contraprestaciones para la entidad del Estado; y </w:t>
      </w:r>
      <w:proofErr w:type="spellStart"/>
      <w:r w:rsidRPr="001B1C66">
        <w:rPr>
          <w:rFonts w:ascii="Century Gothic" w:eastAsia="Calibri" w:hAnsi="Century Gothic" w:cs="Arial"/>
          <w:color w:val="000000"/>
          <w:lang w:val="es-ES"/>
        </w:rPr>
        <w:t>iv</w:t>
      </w:r>
      <w:proofErr w:type="spellEnd"/>
      <w:r w:rsidRPr="001B1C66">
        <w:rPr>
          <w:rFonts w:ascii="Century Gothic" w:eastAsia="Calibri" w:hAnsi="Century Gothic" w:cs="Arial"/>
          <w:color w:val="000000"/>
          <w:lang w:val="es-ES"/>
        </w:rPr>
        <w:t xml:space="preserve">) que la entidad del Estado no imparta instrucciones precisas para la ejecución del objeto convenido. </w:t>
      </w:r>
    </w:p>
    <w:p w14:paraId="4C7A9507"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 EGCAP, con base en las remisiones efectuadas en los artículos séptimo y octavo del citado Decreto. Sin embargo, como se expondrá más adelante, el artículo 63 de la Ley 2166 de 2021 y el Decreto 142 de 2023 estableció unas subreglas especiales a observar cuando los sujetos sean Organismos de Acción Comunal, respecto de la cuantía del convenio y su consagración expresa en los planes de desarrollo respectivos. </w:t>
      </w:r>
    </w:p>
    <w:p w14:paraId="15B41925"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i/>
          <w:color w:val="000000"/>
          <w:lang w:val="es-ES"/>
        </w:rPr>
        <w:t>Por último</w:t>
      </w:r>
      <w:r w:rsidRPr="001B1C66">
        <w:rPr>
          <w:rFonts w:ascii="Century Gothic" w:eastAsia="Calibri" w:hAnsi="Century Gothic" w:cs="Arial"/>
          <w:color w:val="000000"/>
          <w:lang w:val="es-ES"/>
        </w:rPr>
        <w:t xml:space="preserve">, en armonía con la modificación realizada por la Ley 1955 de 2019, se presenta un </w:t>
      </w:r>
      <w:r w:rsidRPr="001B1C66">
        <w:rPr>
          <w:rFonts w:ascii="Century Gothic" w:eastAsia="Calibri" w:hAnsi="Century Gothic" w:cs="Arial"/>
          <w:i/>
          <w:color w:val="000000"/>
          <w:lang w:val="es-ES"/>
        </w:rPr>
        <w:t>tercer régimen</w:t>
      </w:r>
      <w:r w:rsidRPr="001B1C66">
        <w:rPr>
          <w:rFonts w:ascii="Century Gothic" w:eastAsia="Calibri" w:hAnsi="Century Gothic" w:cs="Arial"/>
          <w:color w:val="000000"/>
          <w:lang w:val="es-ES"/>
        </w:rPr>
        <w:t xml:space="preserve">, </w:t>
      </w:r>
      <w:bookmarkStart w:id="6" w:name="_Hlk98594490"/>
      <w:r w:rsidRPr="001B1C66">
        <w:rPr>
          <w:rFonts w:ascii="Century Gothic" w:eastAsia="Calibri" w:hAnsi="Century Gothic" w:cs="Arial"/>
          <w:color w:val="000000"/>
          <w:lang w:val="es-ES"/>
        </w:rPr>
        <w:t>que encuentra su fundamento en los parágrafos tercero y quinto del artículo tercero de la Ley 136 de 1994</w:t>
      </w:r>
      <w:bookmarkEnd w:id="6"/>
      <w:r w:rsidRPr="001B1C66">
        <w:rPr>
          <w:rFonts w:ascii="Century Gothic" w:eastAsia="Calibri" w:hAnsi="Century Gothic" w:cs="Arial"/>
          <w:color w:val="000000"/>
          <w:lang w:val="es-ES"/>
        </w:rPr>
        <w:t>. Retomando los Conceptos de esta Agencia</w:t>
      </w:r>
      <w:r w:rsidRPr="001B1C66">
        <w:rPr>
          <w:rFonts w:ascii="Century Gothic" w:eastAsia="Calibri" w:hAnsi="Century Gothic" w:cs="Arial"/>
          <w:color w:val="000000"/>
          <w:vertAlign w:val="superscript"/>
          <w:lang w:val="es-ES"/>
        </w:rPr>
        <w:footnoteReference w:id="7"/>
      </w:r>
      <w:r w:rsidRPr="001B1C66">
        <w:rPr>
          <w:rFonts w:ascii="Century Gothic" w:eastAsia="Calibri" w:hAnsi="Century Gothic" w:cs="Arial"/>
          <w:color w:val="000000"/>
          <w:lang w:val="es-ES"/>
        </w:rPr>
        <w:t>, dicho régimen se debía interpretar armónicamente con lo dispuesto en el artículo 141 de la precitada Ley</w:t>
      </w:r>
      <w:r w:rsidRPr="001B1C66">
        <w:rPr>
          <w:rFonts w:ascii="Century Gothic" w:eastAsia="Calibri" w:hAnsi="Century Gothic" w:cs="Arial"/>
          <w:color w:val="000000"/>
          <w:vertAlign w:val="superscript"/>
          <w:lang w:val="es-ES"/>
        </w:rPr>
        <w:footnoteReference w:id="8"/>
      </w:r>
      <w:r w:rsidRPr="001B1C66">
        <w:rPr>
          <w:rFonts w:ascii="Century Gothic" w:eastAsia="Calibri" w:hAnsi="Century Gothic" w:cs="Arial"/>
          <w:color w:val="000000"/>
          <w:lang w:val="es-ES"/>
        </w:rPr>
        <w:t xml:space="preserve"> y el artículo 55 de la Ley 743 </w:t>
      </w:r>
      <w:r w:rsidRPr="001B1C66">
        <w:rPr>
          <w:rFonts w:ascii="Century Gothic" w:eastAsia="Calibri" w:hAnsi="Century Gothic" w:cs="Arial"/>
          <w:color w:val="000000"/>
          <w:lang w:val="es-ES"/>
        </w:rPr>
        <w:lastRenderedPageBreak/>
        <w:t>de 2002</w:t>
      </w:r>
      <w:r w:rsidRPr="001B1C66">
        <w:rPr>
          <w:rFonts w:ascii="Century Gothic" w:eastAsia="Calibri" w:hAnsi="Century Gothic" w:cs="Arial"/>
          <w:color w:val="000000"/>
          <w:vertAlign w:val="superscript"/>
          <w:lang w:val="es-ES"/>
        </w:rPr>
        <w:footnoteReference w:id="9"/>
      </w:r>
      <w:r w:rsidRPr="001B1C66">
        <w:rPr>
          <w:rFonts w:ascii="Century Gothic" w:eastAsia="Calibri" w:hAnsi="Century Gothic" w:cs="Arial"/>
          <w:color w:val="000000"/>
          <w:lang w:val="es-ES"/>
        </w:rPr>
        <w:t xml:space="preserve"> –norma vigente hasta la expedición de la Ley 2166 de 2021– remplazado por el artículo 63. En virtud de tales disposiciones normativas, las organizaciones comunitarias cuentan con la posibilidad de </w:t>
      </w:r>
      <w:r w:rsidRPr="001B1C66">
        <w:rPr>
          <w:rFonts w:ascii="Century Gothic" w:eastAsia="Calibri" w:hAnsi="Century Gothic" w:cs="Arial"/>
          <w:i/>
          <w:color w:val="000000"/>
          <w:lang w:val="es-ES"/>
        </w:rPr>
        <w:t>“vincularse al desarrollo y mejoramiento municipal mediante la participación en el ejercicio de las funciones, la prestación de servicios o la ejecución de obras públicas a cargo de la administración central o descentralizada”</w:t>
      </w:r>
      <w:r w:rsidRPr="001B1C66">
        <w:rPr>
          <w:rFonts w:ascii="Century Gothic" w:eastAsia="Calibri" w:hAnsi="Century Gothic" w:cs="Arial"/>
          <w:color w:val="000000"/>
          <w:lang w:val="es-ES"/>
        </w:rPr>
        <w:t xml:space="preserve">. Para la vinculación en el desarrollo municipal, las normas previamente citadas disponen que se aplicarán los artículos 375 a 378 del Decreto 1333 de 1986 así como el EGCAP. Frente a este régimen de contratación la Agencia indicó que aquel resulta aplicable a todos los casos no reglamentados a través de normas específicas en los que: i) se vinculen entidades del orden municipal o distrital y organizaciones comunales; </w:t>
      </w:r>
      <w:proofErr w:type="spellStart"/>
      <w:r w:rsidRPr="001B1C66">
        <w:rPr>
          <w:rFonts w:ascii="Century Gothic" w:eastAsia="Calibri" w:hAnsi="Century Gothic" w:cs="Arial"/>
          <w:color w:val="000000"/>
          <w:lang w:val="es-ES"/>
        </w:rPr>
        <w:t>ii</w:t>
      </w:r>
      <w:proofErr w:type="spellEnd"/>
      <w:r w:rsidRPr="001B1C66">
        <w:rPr>
          <w:rFonts w:ascii="Century Gothic" w:eastAsia="Calibri" w:hAnsi="Century Gothic" w:cs="Arial"/>
          <w:color w:val="000000"/>
          <w:lang w:val="es-ES"/>
        </w:rPr>
        <w:t xml:space="preserve">) se cumpla con el objetivo planteado en el parágrafo tercero del artículo tercero de la Ley 136 de 1994, en consonancia con el artículo 355 constitucional; y </w:t>
      </w:r>
      <w:proofErr w:type="spellStart"/>
      <w:r w:rsidRPr="001B1C66">
        <w:rPr>
          <w:rFonts w:ascii="Century Gothic" w:eastAsia="Calibri" w:hAnsi="Century Gothic" w:cs="Arial"/>
          <w:color w:val="000000"/>
          <w:lang w:val="es-ES"/>
        </w:rPr>
        <w:t>iii</w:t>
      </w:r>
      <w:proofErr w:type="spellEnd"/>
      <w:r w:rsidRPr="001B1C66">
        <w:rPr>
          <w:rFonts w:ascii="Century Gothic" w:eastAsia="Calibri" w:hAnsi="Century Gothic" w:cs="Arial"/>
          <w:color w:val="000000"/>
          <w:lang w:val="es-ES"/>
        </w:rPr>
        <w:t>) no exista otra forma especial de contratación. Sin embargo, hay que tener en cuenta que para que estos Organismos de Acción Comunal puedan intervenir en la prestación de servicios públicos requiere de autorización expresa de los Concejos Municipales y Asambleas Departamentales en virtud de lo consagrado en el artículo 22 de la Ley 19 de 1958.</w:t>
      </w:r>
    </w:p>
    <w:p w14:paraId="39354DA0"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rPr>
      </w:pPr>
      <w:r w:rsidRPr="001B1C66">
        <w:rPr>
          <w:rFonts w:ascii="Century Gothic" w:eastAsia="Calibri" w:hAnsi="Century Gothic" w:cs="Arial"/>
          <w:color w:val="000000"/>
          <w:lang w:val="es-ES"/>
        </w:rPr>
        <w:t xml:space="preserve">Las anteriores subreglas también serían aplicables para la celebración de convenios para la vinculación al desarrollo departamental de Organismos de Acción Comunal en virtud de lo consagrado en el artículo 139 de la Ley 2200 de 2022, en virtud del cual, los departamentos podrán vincular a estos organismos para el cumplimiento o la ejecución de determinadas funciones u obras, siempre y cuando estos últimos aporten el trabajo de sus integrantes y/o afiliados, así como otros bienes o recursos para cumplimiento de funciones o ejecución de obras en el territorio para lo cual deberá tener en cuenta los artículos 63 y 95 de Ley 2166 de 2021, respectivamente. Asimismo, la norma dispuso que los convenios que se </w:t>
      </w:r>
      <w:r w:rsidRPr="001B1C66">
        <w:rPr>
          <w:rFonts w:ascii="Century Gothic" w:eastAsia="Calibri" w:hAnsi="Century Gothic" w:cs="Arial"/>
          <w:color w:val="000000"/>
          <w:lang w:val="es-ES"/>
        </w:rPr>
        <w:lastRenderedPageBreak/>
        <w:t>celebren en desarrollo de este artículo estarán sujetos a las formalidades o requisitos previstos en la Ley para las entidades públicas.</w:t>
      </w:r>
    </w:p>
    <w:p w14:paraId="4CEFBAE8"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los previsto en el artículo 4 del Decreto 092 de 2017</w:t>
      </w:r>
      <w:r w:rsidRPr="001B1C66">
        <w:rPr>
          <w:rFonts w:ascii="Century Gothic" w:eastAsia="Calibri" w:hAnsi="Century Gothic" w:cs="Arial"/>
          <w:color w:val="000000"/>
          <w:vertAlign w:val="superscript"/>
          <w:lang w:val="es-ES"/>
        </w:rPr>
        <w:footnoteReference w:id="10"/>
      </w:r>
      <w:r w:rsidRPr="001B1C66">
        <w:rPr>
          <w:rFonts w:ascii="Century Gothic" w:eastAsia="Calibri" w:hAnsi="Century Gothic" w:cs="Arial"/>
          <w:color w:val="000000"/>
          <w:lang w:val="es-ES"/>
        </w:rPr>
        <w:t>.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w:t>
      </w:r>
      <w:r w:rsidRPr="001B1C66">
        <w:rPr>
          <w:rFonts w:ascii="Century Gothic" w:eastAsia="Calibri" w:hAnsi="Century Gothic" w:cs="Arial"/>
          <w:color w:val="000000"/>
          <w:vertAlign w:val="superscript"/>
          <w:lang w:val="es-ES"/>
        </w:rPr>
        <w:footnoteReference w:id="11"/>
      </w:r>
      <w:r w:rsidRPr="001B1C66">
        <w:rPr>
          <w:rFonts w:ascii="Century Gothic" w:eastAsia="Calibri" w:hAnsi="Century Gothic" w:cs="Arial"/>
          <w:color w:val="000000"/>
          <w:lang w:val="es-ES"/>
        </w:rPr>
        <w:t xml:space="preserve">, aspecto que también se extiende al régimen sancionatorio contractual en caso de responsabilidad por incumplimiento. </w:t>
      </w:r>
    </w:p>
    <w:p w14:paraId="23E23092"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Finalmente, respecto a la supervisión, el inciso segundo del artículo 83 de la Ley 1474 de 2011 es una norma de aplicación transversal al sistema de compras públicas, pues dispone </w:t>
      </w:r>
      <w:r w:rsidRPr="001B1C66">
        <w:rPr>
          <w:rFonts w:ascii="Century Gothic" w:eastAsia="Calibri" w:hAnsi="Century Gothic" w:cs="Arial"/>
          <w:i/>
          <w:color w:val="000000"/>
          <w:lang w:val="es-ES"/>
        </w:rPr>
        <w:t>“[…] la Entidad estatal podrá contratar personal de apoyo, a través de los contratos de prestación de servicios que sean requeridos</w:t>
      </w:r>
      <w:r w:rsidRPr="001B1C66">
        <w:rPr>
          <w:rFonts w:ascii="Century Gothic" w:eastAsia="Calibri" w:hAnsi="Century Gothic" w:cs="Arial"/>
          <w:color w:val="000000"/>
          <w:lang w:val="es-ES"/>
        </w:rPr>
        <w:t xml:space="preserve">”; razón por </w:t>
      </w:r>
      <w:r w:rsidRPr="001B1C66">
        <w:rPr>
          <w:rFonts w:ascii="Century Gothic" w:eastAsia="Calibri" w:hAnsi="Century Gothic" w:cs="Arial"/>
          <w:color w:val="000000"/>
          <w:lang w:val="es-ES"/>
        </w:rPr>
        <w:lastRenderedPageBreak/>
        <w:t>la cual, de acuerdo con la línea consolidada de esta Agencia, los convenios solidarios no están exentos de supervisión</w:t>
      </w:r>
      <w:r w:rsidRPr="001B1C66">
        <w:rPr>
          <w:rFonts w:ascii="Century Gothic" w:eastAsia="Calibri" w:hAnsi="Century Gothic" w:cs="Arial"/>
          <w:color w:val="000000"/>
          <w:vertAlign w:val="superscript"/>
          <w:lang w:val="es-ES"/>
        </w:rPr>
        <w:footnoteReference w:id="12"/>
      </w:r>
      <w:r w:rsidRPr="001B1C66">
        <w:rPr>
          <w:rFonts w:ascii="Century Gothic" w:eastAsia="Calibri" w:hAnsi="Century Gothic" w:cs="Arial"/>
          <w:color w:val="000000"/>
          <w:lang w:val="es-ES"/>
        </w:rPr>
        <w:t xml:space="preserve">.    </w:t>
      </w:r>
    </w:p>
    <w:p w14:paraId="376E2629"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color w:val="000000"/>
          <w:lang w:val="es-ES"/>
        </w:rPr>
      </w:pPr>
      <w:r w:rsidRPr="001B1C66">
        <w:rPr>
          <w:rFonts w:ascii="Century Gothic" w:eastAsia="Calibri" w:hAnsi="Century Gothic" w:cs="Arial"/>
          <w:color w:val="000000"/>
          <w:lang w:val="es-ES"/>
        </w:rPr>
        <w:t xml:space="preserve">Las anteriores precisiones son importantes puesto que, como se analizará a continuación, los tres (3)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17BAB38F"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color w:val="000000"/>
          <w:lang w:val="es-ES"/>
        </w:rPr>
      </w:pPr>
    </w:p>
    <w:p w14:paraId="7087456B" w14:textId="77777777" w:rsidR="00C122FF" w:rsidRPr="001B1C66" w:rsidRDefault="00C122FF" w:rsidP="00C122FF">
      <w:pPr>
        <w:shd w:val="clear" w:color="auto" w:fill="FFFFFF"/>
        <w:spacing w:after="0" w:line="276" w:lineRule="auto"/>
        <w:jc w:val="both"/>
        <w:rPr>
          <w:rFonts w:ascii="Century Gothic" w:eastAsia="Calibri" w:hAnsi="Century Gothic" w:cs="Arial"/>
          <w:b/>
          <w:color w:val="000000"/>
        </w:rPr>
      </w:pPr>
      <w:r w:rsidRPr="001B1C66">
        <w:rPr>
          <w:rFonts w:ascii="Century Gothic" w:eastAsia="Calibri" w:hAnsi="Century Gothic" w:cs="Arial"/>
          <w:b/>
          <w:color w:val="000000"/>
        </w:rPr>
        <w:t xml:space="preserve">2.2. Convenios solidarios con Organismos de Acción Comunal bajo la </w:t>
      </w:r>
      <w:bookmarkStart w:id="8" w:name="_Hlk131059883"/>
      <w:r w:rsidRPr="001B1C66">
        <w:rPr>
          <w:rFonts w:ascii="Century Gothic" w:eastAsia="Calibri" w:hAnsi="Century Gothic" w:cs="Arial"/>
          <w:b/>
          <w:color w:val="000000"/>
        </w:rPr>
        <w:t>Ley 2166 de 2021 y el Decreto 142 de 2023</w:t>
      </w:r>
      <w:bookmarkEnd w:id="8"/>
      <w:r w:rsidRPr="001B1C66">
        <w:rPr>
          <w:rFonts w:ascii="Century Gothic" w:eastAsia="Calibri" w:hAnsi="Century Gothic" w:cs="Arial"/>
          <w:b/>
          <w:color w:val="000000"/>
        </w:rPr>
        <w:t>. Especial referencia a la pluralidad de partes y la determinación del tope de la menor cuantía</w:t>
      </w:r>
    </w:p>
    <w:p w14:paraId="107F1D39" w14:textId="77777777" w:rsidR="00C122FF" w:rsidRPr="001B1C66" w:rsidRDefault="00C122FF" w:rsidP="00C122FF">
      <w:pPr>
        <w:shd w:val="clear" w:color="auto" w:fill="FFFFFF"/>
        <w:spacing w:after="0" w:line="276" w:lineRule="auto"/>
        <w:jc w:val="both"/>
        <w:rPr>
          <w:rFonts w:ascii="Century Gothic" w:eastAsia="Calibri" w:hAnsi="Century Gothic" w:cs="Arial"/>
          <w:b/>
          <w:color w:val="000000"/>
          <w:lang w:val="es-ES_tradnl"/>
        </w:rPr>
      </w:pPr>
    </w:p>
    <w:p w14:paraId="7790D737" w14:textId="77777777" w:rsidR="00C122FF" w:rsidRPr="001B1C66" w:rsidRDefault="00C122FF" w:rsidP="00C122FF">
      <w:pPr>
        <w:shd w:val="clear" w:color="auto" w:fill="FFFFFF"/>
        <w:spacing w:after="120" w:line="276" w:lineRule="auto"/>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B1C66">
        <w:rPr>
          <w:rFonts w:ascii="Century Gothic" w:eastAsia="Calibri" w:hAnsi="Century Gothic" w:cs="Arial"/>
          <w:color w:val="000000"/>
          <w:lang w:val="es-ES_tradnl"/>
        </w:rPr>
        <w:t>“</w:t>
      </w:r>
      <w:r w:rsidRPr="001B1C66">
        <w:rPr>
          <w:rFonts w:ascii="Century Gothic" w:eastAsia="Calibri" w:hAnsi="Century Gothic"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B1C66">
        <w:rPr>
          <w:rFonts w:ascii="Century Gothic" w:eastAsia="Calibri" w:hAnsi="Century Gothic" w:cs="Arial"/>
          <w:color w:val="000000"/>
          <w:lang w:val="es-ES_tradnl"/>
        </w:rPr>
        <w:t>”</w:t>
      </w:r>
      <w:r w:rsidRPr="001B1C66">
        <w:rPr>
          <w:rFonts w:ascii="Century Gothic" w:eastAsia="Calibri" w:hAnsi="Century Gothic" w:cs="Arial"/>
          <w:bCs/>
          <w:color w:val="000000"/>
          <w:lang w:eastAsia="es-MX"/>
        </w:rPr>
        <w:t xml:space="preserve">. </w:t>
      </w:r>
    </w:p>
    <w:p w14:paraId="0A9D4C13"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 xml:space="preserve">En desarrollo de lo anterior, el artículo 95 de dicha ley –derogado parcialmente por el artículo 372 de la Ley 2294 de 2023 en lo que respecta a la expresión “territoriales”– contempla la celebración de directa de convenios solidarios entre Organismos de Acción Comunal y “los entes </w:t>
      </w:r>
      <w:r w:rsidRPr="001B1C66">
        <w:rPr>
          <w:rFonts w:ascii="Century Gothic" w:eastAsia="Calibri" w:hAnsi="Century Gothic" w:cs="Arial"/>
          <w:bCs/>
          <w:strike/>
          <w:color w:val="000000"/>
          <w:lang w:eastAsia="es-MX"/>
        </w:rPr>
        <w:t>territoriales</w:t>
      </w:r>
      <w:r w:rsidRPr="001B1C66">
        <w:rPr>
          <w:rFonts w:ascii="Century Gothic" w:eastAsia="Calibri" w:hAnsi="Century Gothic" w:cs="Arial"/>
          <w:bCs/>
          <w:color w:val="000000"/>
          <w:lang w:eastAsia="es-MX"/>
        </w:rPr>
        <w:t xml:space="preserve"> del orden Nacional, Departamental, Distrital y municipal” prescribiendo lo siguiente:</w:t>
      </w:r>
    </w:p>
    <w:p w14:paraId="4F7C2861"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6925E2E8" w14:textId="77777777" w:rsidR="00C122FF" w:rsidRPr="001B1C66" w:rsidRDefault="00C122FF" w:rsidP="00C122FF">
      <w:pPr>
        <w:shd w:val="clear" w:color="auto" w:fill="FFFFFF"/>
        <w:spacing w:after="120" w:line="240" w:lineRule="auto"/>
        <w:ind w:left="709" w:right="709"/>
        <w:jc w:val="both"/>
        <w:rPr>
          <w:rFonts w:ascii="Century Gothic" w:eastAsia="Calibri" w:hAnsi="Century Gothic" w:cs="Arial"/>
          <w:color w:val="000000"/>
          <w:sz w:val="21"/>
          <w:szCs w:val="21"/>
        </w:rPr>
      </w:pPr>
      <w:r w:rsidRPr="001B1C66">
        <w:rPr>
          <w:rFonts w:ascii="Century Gothic" w:eastAsia="Calibri" w:hAnsi="Century Gothic" w:cs="Arial"/>
          <w:color w:val="000000"/>
          <w:sz w:val="21"/>
          <w:szCs w:val="21"/>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6D7EDE08" w14:textId="77777777" w:rsidR="00C122FF" w:rsidRPr="001B1C66" w:rsidRDefault="00C122FF" w:rsidP="00C122FF">
      <w:pPr>
        <w:shd w:val="clear" w:color="auto" w:fill="FFFFFF"/>
        <w:spacing w:after="120" w:line="240" w:lineRule="auto"/>
        <w:ind w:left="709" w:right="709"/>
        <w:jc w:val="both"/>
        <w:rPr>
          <w:rFonts w:ascii="Century Gothic" w:eastAsia="Calibri" w:hAnsi="Century Gothic" w:cs="Arial"/>
          <w:color w:val="000000"/>
          <w:sz w:val="21"/>
          <w:szCs w:val="21"/>
        </w:rPr>
      </w:pPr>
      <w:r w:rsidRPr="001B1C66">
        <w:rPr>
          <w:rFonts w:ascii="Century Gothic" w:eastAsia="Calibri" w:hAnsi="Century Gothic"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3718CD7F"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rPr>
      </w:pPr>
      <w:r w:rsidRPr="001B1C66">
        <w:rPr>
          <w:rFonts w:ascii="Century Gothic" w:eastAsia="Calibri" w:hAnsi="Century Gothic" w:cs="Arial"/>
          <w:color w:val="000000"/>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B1C66">
        <w:rPr>
          <w:rFonts w:ascii="Century Gothic" w:eastAsia="Calibri" w:hAnsi="Century Gothic" w:cs="Arial"/>
          <w:color w:val="000000"/>
          <w:sz w:val="21"/>
          <w:szCs w:val="21"/>
          <w:vertAlign w:val="superscript"/>
        </w:rPr>
        <w:footnoteReference w:id="13"/>
      </w:r>
      <w:r w:rsidRPr="001B1C66">
        <w:rPr>
          <w:rFonts w:ascii="Century Gothic" w:eastAsia="Calibri" w:hAnsi="Century Gothic" w:cs="Arial"/>
          <w:color w:val="000000"/>
          <w:sz w:val="21"/>
          <w:szCs w:val="21"/>
        </w:rPr>
        <w:t>.</w:t>
      </w:r>
    </w:p>
    <w:p w14:paraId="4D904CE4" w14:textId="77777777" w:rsidR="00C122FF" w:rsidRPr="001B1C66" w:rsidRDefault="00C122FF" w:rsidP="00C122FF">
      <w:pPr>
        <w:shd w:val="clear" w:color="auto" w:fill="FFFFFF"/>
        <w:spacing w:after="0"/>
        <w:ind w:firstLine="709"/>
        <w:jc w:val="both"/>
        <w:rPr>
          <w:rFonts w:ascii="Century Gothic" w:eastAsia="Calibri" w:hAnsi="Century Gothic" w:cs="Arial"/>
          <w:bCs/>
          <w:color w:val="000000"/>
          <w:lang w:eastAsia="es-MX"/>
        </w:rPr>
      </w:pPr>
    </w:p>
    <w:p w14:paraId="33E292CE"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_tradnl"/>
        </w:rPr>
      </w:pPr>
      <w:r w:rsidRPr="001B1C66">
        <w:rPr>
          <w:rFonts w:ascii="Century Gothic" w:eastAsia="Calibri" w:hAnsi="Century Gothic" w:cs="Arial"/>
          <w:bCs/>
          <w:color w:val="000000"/>
          <w:lang w:eastAsia="es-MX"/>
        </w:rPr>
        <w:t xml:space="preserve">Según se evidencia, esta norma desarrolla las siguientes reglas: i) Las </w:t>
      </w:r>
      <w:r w:rsidRPr="001B1C66">
        <w:rPr>
          <w:rFonts w:ascii="Century Gothic" w:eastAsia="Calibri" w:hAnsi="Century Gothic" w:cs="Arial"/>
          <w:i/>
          <w:iCs/>
          <w:color w:val="000000"/>
          <w:lang w:val="es-ES_tradnl"/>
        </w:rPr>
        <w:t>“</w:t>
      </w:r>
      <w:r w:rsidRPr="001B1C66">
        <w:rPr>
          <w:rFonts w:ascii="Century Gothic" w:eastAsia="Calibri" w:hAnsi="Century Gothic" w:cs="Arial"/>
          <w:bCs/>
          <w:i/>
          <w:iCs/>
          <w:color w:val="000000"/>
          <w:lang w:eastAsia="es-MX"/>
        </w:rPr>
        <w:t>entidades del</w:t>
      </w:r>
      <w:r w:rsidRPr="001B1C66">
        <w:rPr>
          <w:rFonts w:ascii="Century Gothic" w:eastAsia="Calibri" w:hAnsi="Century Gothic" w:cs="Arial"/>
          <w:i/>
          <w:iCs/>
          <w:color w:val="000000"/>
          <w:lang w:val="es-ES_tradnl"/>
        </w:rPr>
        <w:t xml:space="preserve"> </w:t>
      </w:r>
      <w:r w:rsidRPr="001B1C66">
        <w:rPr>
          <w:rFonts w:ascii="Century Gothic" w:eastAsia="Calibri" w:hAnsi="Century Gothic" w:cs="Arial"/>
          <w:i/>
          <w:iCs/>
          <w:color w:val="000000"/>
        </w:rPr>
        <w:t>orden Nacional, Departamental, Distrital y municipal</w:t>
      </w:r>
      <w:r w:rsidRPr="001B1C66">
        <w:rPr>
          <w:rFonts w:ascii="Century Gothic" w:eastAsia="Calibri" w:hAnsi="Century Gothic" w:cs="Arial"/>
          <w:i/>
          <w:iCs/>
          <w:color w:val="000000"/>
          <w:lang w:val="es-ES_tradnl"/>
        </w:rPr>
        <w:t>”</w:t>
      </w:r>
      <w:r w:rsidRPr="001B1C66">
        <w:rPr>
          <w:rFonts w:ascii="Century Gothic" w:eastAsia="Calibri" w:hAnsi="Century Gothic"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B1C66">
        <w:rPr>
          <w:rFonts w:ascii="Century Gothic" w:eastAsia="Calibri" w:hAnsi="Century Gothic" w:cs="Arial"/>
          <w:i/>
          <w:iCs/>
          <w:color w:val="000000"/>
          <w:lang w:val="es-ES_tradnl"/>
        </w:rPr>
        <w:t>Organismos de Acción Comunal</w:t>
      </w:r>
      <w:r w:rsidRPr="001B1C66">
        <w:rPr>
          <w:rFonts w:ascii="Century Gothic" w:eastAsia="Calibri" w:hAnsi="Century Gothic" w:cs="Arial"/>
          <w:color w:val="000000"/>
          <w:vertAlign w:val="superscript"/>
          <w:lang w:val="es-ES_tradnl"/>
        </w:rPr>
        <w:footnoteReference w:id="14"/>
      </w:r>
      <w:r w:rsidRPr="001B1C66">
        <w:rPr>
          <w:rFonts w:ascii="Century Gothic" w:eastAsia="Calibri" w:hAnsi="Century Gothic" w:cs="Arial"/>
          <w:color w:val="000000"/>
          <w:lang w:val="es-ES_tradnl"/>
        </w:rPr>
        <w:t xml:space="preserve">.  </w:t>
      </w:r>
    </w:p>
    <w:p w14:paraId="1626C9B9" w14:textId="77777777" w:rsidR="00C122FF" w:rsidRPr="001B1C66"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proofErr w:type="spellStart"/>
      <w:r w:rsidRPr="001B1C66">
        <w:rPr>
          <w:rFonts w:ascii="Century Gothic" w:eastAsia="Calibri" w:hAnsi="Century Gothic" w:cs="Arial"/>
          <w:color w:val="000000" w:themeColor="text1"/>
          <w:lang w:val="es-ES"/>
        </w:rPr>
        <w:lastRenderedPageBreak/>
        <w:t>ii</w:t>
      </w:r>
      <w:proofErr w:type="spellEnd"/>
      <w:r w:rsidRPr="001B1C66">
        <w:rPr>
          <w:rFonts w:ascii="Century Gothic" w:eastAsia="Calibri" w:hAnsi="Century Gothic" w:cs="Arial"/>
          <w:color w:val="000000" w:themeColor="text1"/>
          <w:lang w:val="es-ES"/>
        </w:rPr>
        <w:t xml:space="preserve">) Estos convenios solidarios deben tener por objeto únicamente la ejecución de obras. Esto significa que no pueden desarrollarse otros objetos distintos a la obra con fundamento en este artículo. </w:t>
      </w:r>
    </w:p>
    <w:p w14:paraId="69156C5C" w14:textId="77777777" w:rsidR="00C122FF" w:rsidRPr="001B1C66"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proofErr w:type="spellStart"/>
      <w:r w:rsidRPr="001B1C66">
        <w:rPr>
          <w:rFonts w:ascii="Century Gothic" w:eastAsia="Calibri" w:hAnsi="Century Gothic" w:cs="Arial"/>
          <w:color w:val="000000" w:themeColor="text1"/>
          <w:lang w:val="es-ES"/>
        </w:rPr>
        <w:t>iii</w:t>
      </w:r>
      <w:proofErr w:type="spellEnd"/>
      <w:r w:rsidRPr="001B1C66">
        <w:rPr>
          <w:rFonts w:ascii="Century Gothic" w:eastAsia="Calibri" w:hAnsi="Century Gothic" w:cs="Arial"/>
          <w:color w:val="000000" w:themeColor="text1"/>
          <w:lang w:val="es-E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75EB016D" w14:textId="77777777" w:rsidR="00C122FF" w:rsidRPr="001B1C66" w:rsidRDefault="00C122FF" w:rsidP="0EFABF03">
      <w:pPr>
        <w:shd w:val="clear" w:color="auto" w:fill="FFFFFF" w:themeFill="background1"/>
        <w:spacing w:before="120" w:after="120" w:line="276" w:lineRule="auto"/>
        <w:ind w:firstLine="709"/>
        <w:jc w:val="both"/>
        <w:rPr>
          <w:rFonts w:ascii="Century Gothic" w:eastAsia="Calibri" w:hAnsi="Century Gothic" w:cs="Arial"/>
          <w:color w:val="000000"/>
          <w:lang w:val="es-ES"/>
        </w:rPr>
      </w:pPr>
      <w:proofErr w:type="spellStart"/>
      <w:r w:rsidRPr="001B1C66">
        <w:rPr>
          <w:rFonts w:ascii="Century Gothic" w:eastAsia="Calibri" w:hAnsi="Century Gothic" w:cs="Arial"/>
          <w:color w:val="000000" w:themeColor="text1"/>
          <w:lang w:val="es-ES"/>
        </w:rPr>
        <w:t>iv</w:t>
      </w:r>
      <w:proofErr w:type="spellEnd"/>
      <w:r w:rsidRPr="001B1C66">
        <w:rPr>
          <w:rFonts w:ascii="Century Gothic" w:eastAsia="Calibri" w:hAnsi="Century Gothic" w:cs="Arial"/>
          <w:color w:val="000000" w:themeColor="text1"/>
          <w:lang w:val="es-ES"/>
        </w:rPr>
        <w:t>) Para la ejecución de las obras se establece el deber de contratar con los habitantes de la comunidad.</w:t>
      </w:r>
    </w:p>
    <w:p w14:paraId="53A2A40A"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color w:val="000000"/>
        </w:rPr>
      </w:pPr>
      <w:r w:rsidRPr="001B1C66">
        <w:rPr>
          <w:rFonts w:ascii="Century Gothic" w:eastAsia="Calibri" w:hAnsi="Century Gothic" w:cs="Arial"/>
          <w:color w:val="000000"/>
          <w:lang w:val="es-ES_tradnl"/>
        </w:rPr>
        <w:t xml:space="preserve">v) En el valor total del convenio la entidad podrá incluir los costos directos, los costos administrativos y el subsidio </w:t>
      </w:r>
      <w:r w:rsidRPr="001B1C66">
        <w:rPr>
          <w:rFonts w:ascii="Century Gothic" w:eastAsia="Calibri" w:hAnsi="Century Gothic"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217BEDC6"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color w:val="000000"/>
          <w:lang w:val="es-ES_tradnl"/>
        </w:rPr>
      </w:pPr>
      <w:r w:rsidRPr="001B1C66">
        <w:rPr>
          <w:rFonts w:ascii="Century Gothic" w:eastAsia="Calibri" w:hAnsi="Century Gothic" w:cs="Arial"/>
          <w:color w:val="000000"/>
        </w:rPr>
        <w:t xml:space="preserve">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w:t>
      </w:r>
      <w:r w:rsidRPr="001B1C66">
        <w:rPr>
          <w:rFonts w:ascii="Century Gothic" w:eastAsia="Calibri" w:hAnsi="Century Gothic" w:cs="Arial"/>
          <w:color w:val="000000"/>
        </w:rPr>
        <w:lastRenderedPageBreak/>
        <w:t>contar con unos recursos adicionales a los comprendidos dentro del valor del Convenio Solidario.</w:t>
      </w:r>
    </w:p>
    <w:p w14:paraId="2A5D8C1D"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B1C66">
        <w:rPr>
          <w:rFonts w:ascii="Century Gothic" w:eastAsia="Calibri" w:hAnsi="Century Gothic" w:cs="Arial"/>
          <w:color w:val="000000"/>
          <w:lang w:val="es-ES_tradnl"/>
        </w:rPr>
        <w:t>“</w:t>
      </w:r>
      <w:r w:rsidRPr="001B1C66">
        <w:rPr>
          <w:rFonts w:ascii="Century Gothic" w:eastAsia="Calibri" w:hAnsi="Century Gothic" w:cs="Arial"/>
          <w:bCs/>
          <w:i/>
          <w:iCs/>
          <w:color w:val="000000"/>
          <w:lang w:eastAsia="es-MX"/>
        </w:rPr>
        <w:t>entes del</w:t>
      </w:r>
      <w:r w:rsidRPr="001B1C66">
        <w:rPr>
          <w:rFonts w:ascii="Century Gothic" w:eastAsia="Calibri" w:hAnsi="Century Gothic" w:cs="Arial"/>
          <w:i/>
          <w:iCs/>
          <w:color w:val="000000"/>
          <w:lang w:val="es-ES_tradnl"/>
        </w:rPr>
        <w:t xml:space="preserve"> </w:t>
      </w:r>
      <w:r w:rsidRPr="001B1C66">
        <w:rPr>
          <w:rFonts w:ascii="Century Gothic" w:eastAsia="Calibri" w:hAnsi="Century Gothic" w:cs="Arial"/>
          <w:i/>
          <w:iCs/>
          <w:color w:val="000000"/>
        </w:rPr>
        <w:t>orden Nacional, Departamental, Distrital y municipal</w:t>
      </w:r>
      <w:r w:rsidRPr="001B1C66">
        <w:rPr>
          <w:rFonts w:ascii="Century Gothic" w:eastAsia="Calibri" w:hAnsi="Century Gothic" w:cs="Arial"/>
          <w:i/>
          <w:iCs/>
          <w:color w:val="000000"/>
          <w:lang w:val="es-ES_tradnl"/>
        </w:rPr>
        <w:t>”</w:t>
      </w:r>
      <w:r w:rsidRPr="001B1C66">
        <w:rPr>
          <w:rFonts w:ascii="Century Gothic" w:eastAsia="Calibri" w:hAnsi="Century Gothic" w:cs="Arial"/>
          <w:color w:val="000000"/>
          <w:lang w:val="es-ES_tradnl"/>
        </w:rPr>
        <w:t xml:space="preserve"> y a los “Organismos de Acción Comunal”. Es decir, </w:t>
      </w:r>
      <w:r w:rsidRPr="001B1C66">
        <w:rPr>
          <w:rFonts w:ascii="Century Gothic" w:eastAsia="Calibri" w:hAnsi="Century Gothic" w:cs="Arial"/>
          <w:bCs/>
          <w:color w:val="000000"/>
          <w:lang w:eastAsia="es-MX"/>
        </w:rPr>
        <w:t>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61D4FD70" w14:textId="77777777" w:rsidR="00C122FF" w:rsidRPr="001B1C66" w:rsidRDefault="00C122FF" w:rsidP="00C122FF">
      <w:pPr>
        <w:shd w:val="clear" w:color="auto" w:fill="FFFFFF"/>
        <w:spacing w:after="0" w:line="276" w:lineRule="auto"/>
        <w:ind w:left="709" w:right="709"/>
        <w:jc w:val="both"/>
        <w:rPr>
          <w:rFonts w:ascii="Century Gothic" w:eastAsia="Calibri" w:hAnsi="Century Gothic" w:cs="Arial"/>
          <w:bCs/>
          <w:color w:val="000000"/>
          <w:lang w:eastAsia="es-MX"/>
        </w:rPr>
      </w:pPr>
    </w:p>
    <w:p w14:paraId="430BA7C6"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1303AF6" w14:textId="77777777" w:rsidR="00C122FF" w:rsidRPr="001B1C66" w:rsidRDefault="00C122FF" w:rsidP="00C122FF">
      <w:pPr>
        <w:shd w:val="clear" w:color="auto" w:fill="FFFFFF"/>
        <w:spacing w:before="120"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2252B5A7" w14:textId="77777777" w:rsidR="00C122FF" w:rsidRPr="001B1C66" w:rsidRDefault="00C122FF" w:rsidP="00C122FF">
      <w:pPr>
        <w:shd w:val="clear" w:color="auto" w:fill="FFFFFF"/>
        <w:spacing w:after="0" w:line="276" w:lineRule="auto"/>
        <w:ind w:left="709" w:right="709"/>
        <w:jc w:val="both"/>
        <w:rPr>
          <w:rFonts w:ascii="Century Gothic" w:eastAsia="Calibri" w:hAnsi="Century Gothic" w:cs="Arial"/>
          <w:bCs/>
          <w:color w:val="000000"/>
          <w:lang w:eastAsia="es-MX"/>
        </w:rPr>
      </w:pPr>
    </w:p>
    <w:p w14:paraId="5A0F89AE"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Respecto a la determinación de la menor cuantía de la entidad, debe observarse lo previsto en el literal b) del numeral 2 del artículo 2 de la Ley 1150 de 2007, el cual prescribe lo siguiente:</w:t>
      </w:r>
    </w:p>
    <w:p w14:paraId="2121B307"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24DDCCB7"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w:t>
      </w:r>
    </w:p>
    <w:p w14:paraId="6C0352A8"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lastRenderedPageBreak/>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5686F07D"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p>
    <w:p w14:paraId="11C4D630"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Para las entidades que tengan un presupuesto anual superior o igual a 1.200.000 salarios mínimos legales mensuales, la menor cuantía será hasta 1.000 salarios mínimos legales mensuales. </w:t>
      </w:r>
    </w:p>
    <w:p w14:paraId="47599CB2"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  </w:t>
      </w:r>
    </w:p>
    <w:p w14:paraId="53DD276A"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Las que tengan un presupuesto anual superior o igual a 850.000 salarios mínimos legales mensuales e inferiores a 1.200.000 salarios mínimos legales mensuales, la menor cuantía será hasta 850 salarios mínimos legales mensuales. </w:t>
      </w:r>
    </w:p>
    <w:p w14:paraId="663DE3AC"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  </w:t>
      </w:r>
    </w:p>
    <w:p w14:paraId="6F543957"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Las que tengan un presupuesto anual superior o igual a 400.000 salarios mínimos legales mensuales e inferior a 850.000 salarios mínimos legales mensuales, la menor cuantía será hasta 650 salarios mínimos legales mensuales. </w:t>
      </w:r>
    </w:p>
    <w:p w14:paraId="0D28A21D"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  </w:t>
      </w:r>
    </w:p>
    <w:p w14:paraId="6ADFEE67"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Las que tengan un presupuesto anual superior o igual a 120.000 salarios mínimos legales mensuales e inferior a 400.000 salarios mínimos legales mensuales, la menor cuantía será hasta 450 salarios mínimos legales mensuales. </w:t>
      </w:r>
    </w:p>
    <w:p w14:paraId="2BC9C447"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 xml:space="preserve">  </w:t>
      </w:r>
    </w:p>
    <w:p w14:paraId="767BB021"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eastAsia="es-MX"/>
        </w:rPr>
      </w:pPr>
      <w:r w:rsidRPr="001B1C66">
        <w:rPr>
          <w:rFonts w:ascii="Century Gothic" w:eastAsia="Calibri" w:hAnsi="Century Gothic" w:cs="Arial"/>
          <w:bCs/>
          <w:color w:val="000000"/>
          <w:sz w:val="21"/>
          <w:szCs w:val="21"/>
          <w:lang w:eastAsia="es-MX"/>
        </w:rPr>
        <w:t>Las que tengan un presupuesto anual inferior a 120.000 salarios mínimos legales mensuales, la menor cuantía será hasta 280 salarios mínimos legales mensuales; […]”</w:t>
      </w:r>
    </w:p>
    <w:p w14:paraId="0220E81D"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lang w:eastAsia="es-MX"/>
        </w:rPr>
      </w:pPr>
    </w:p>
    <w:p w14:paraId="43755968" w14:textId="23908926" w:rsidR="00C122FF" w:rsidRPr="001B1C66" w:rsidRDefault="00C122FF" w:rsidP="00C122FF">
      <w:pPr>
        <w:shd w:val="clear" w:color="auto" w:fill="FFFFFF"/>
        <w:spacing w:after="12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 xml:space="preserve">Como puede apreciarse, la norma transcrita señala que </w:t>
      </w:r>
      <w:r w:rsidR="00CD507B" w:rsidRPr="001B1C66">
        <w:rPr>
          <w:rFonts w:ascii="Century Gothic" w:eastAsia="Calibri" w:hAnsi="Century Gothic" w:cs="Arial"/>
          <w:bCs/>
          <w:color w:val="000000"/>
          <w:lang w:eastAsia="es-MX"/>
        </w:rPr>
        <w:t xml:space="preserve">la </w:t>
      </w:r>
      <w:r w:rsidRPr="001B1C66">
        <w:rPr>
          <w:rFonts w:ascii="Century Gothic" w:eastAsia="Calibri" w:hAnsi="Century Gothic" w:cs="Arial"/>
          <w:bCs/>
          <w:color w:val="000000"/>
          <w:lang w:eastAsia="es-MX"/>
        </w:rPr>
        <w:t xml:space="preserve">determinación de la menor cuantía de la entidad depende de su presupuesto anual expresado en salarios mínimos legales mensuales vigentes. Una vez se realice esta operación, deberán observarse los rangos establecidos en el precitado artículo, para efectos de determinar la procedencia de celebrar un convenio solidario de obra con un Organismo de Acción Comunal. </w:t>
      </w:r>
    </w:p>
    <w:p w14:paraId="07F3BF75"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_tradnl"/>
        </w:rPr>
      </w:pPr>
      <w:r w:rsidRPr="001B1C66">
        <w:rPr>
          <w:rFonts w:ascii="Century Gothic" w:eastAsia="Calibri" w:hAnsi="Century Gothic" w:cs="Arial"/>
          <w:bCs/>
          <w:color w:val="000000"/>
          <w:lang w:eastAsia="es-MX"/>
        </w:rPr>
        <w:t>En relación con los sujetos, es importante señalar que,</w:t>
      </w:r>
      <w:r w:rsidRPr="001B1C66">
        <w:rPr>
          <w:rFonts w:ascii="Century Gothic" w:eastAsia="Calibri" w:hAnsi="Century Gothic" w:cs="Arial"/>
          <w:color w:val="000000"/>
          <w:lang w:val="es-ES_tradnl"/>
        </w:rPr>
        <w:t xml:space="preserve"> aunque la norma de forma imprecisa incluye como parte de los “entes territoriales” a las entidades del orden nacional</w:t>
      </w:r>
      <w:r w:rsidRPr="001B1C66">
        <w:rPr>
          <w:rFonts w:ascii="Century Gothic" w:eastAsia="Calibri" w:hAnsi="Century Gothic" w:cs="Arial"/>
          <w:color w:val="000000"/>
          <w:vertAlign w:val="superscript"/>
          <w:lang w:val="es-ES_tradnl"/>
        </w:rPr>
        <w:footnoteReference w:id="15"/>
      </w:r>
      <w:r w:rsidRPr="001B1C66">
        <w:rPr>
          <w:rFonts w:ascii="Century Gothic" w:eastAsia="Calibri" w:hAnsi="Century Gothic" w:cs="Arial"/>
          <w:color w:val="000000"/>
          <w:lang w:val="es-ES_tradnl"/>
        </w:rPr>
        <w:t xml:space="preserve">, a nuestro juicio su intención no es otra que incluir a las entidades </w:t>
      </w:r>
      <w:r w:rsidRPr="001B1C66">
        <w:rPr>
          <w:rFonts w:ascii="Century Gothic" w:eastAsia="Calibri" w:hAnsi="Century Gothic" w:cs="Arial"/>
          <w:color w:val="000000"/>
          <w:lang w:val="es-ES_tradnl"/>
        </w:rPr>
        <w:lastRenderedPageBreak/>
        <w:t xml:space="preserve">del orden nacional dentro de los sujetos que pueden celebrar estos convenios solidarios con los Organismos de Acción Comunal. Esta interpretación resulta coherente </w:t>
      </w:r>
      <w:r w:rsidRPr="001B1C66">
        <w:rPr>
          <w:rFonts w:ascii="Century Gothic" w:eastAsia="Calibri" w:hAnsi="Century Gothic" w:cs="Arial"/>
          <w:bCs/>
          <w:color w:val="000000"/>
          <w:lang w:eastAsia="es-MX"/>
        </w:rPr>
        <w:t xml:space="preserve">con lo señalado en el trámite legislativo en el Congreso de la República de la Ley 2166 de 2021, conforme al cual esta iniciativa legislativa pretende fortalecer las organizaciones comunales </w:t>
      </w:r>
      <w:r w:rsidRPr="001B1C66">
        <w:rPr>
          <w:rFonts w:ascii="Century Gothic" w:eastAsia="Calibri" w:hAnsi="Century Gothic" w:cs="Arial"/>
          <w:color w:val="000000"/>
          <w:lang w:val="es-ES_tradnl"/>
        </w:rPr>
        <w:t>“</w:t>
      </w:r>
      <w:r w:rsidRPr="001B1C66">
        <w:rPr>
          <w:rFonts w:ascii="Century Gothic" w:eastAsia="Calibri" w:hAnsi="Century Gothic" w:cs="Arial"/>
          <w:bCs/>
          <w:color w:val="000000"/>
          <w:lang w:eastAsia="es-MX"/>
        </w:rPr>
        <w:t xml:space="preserve">incentivando la formulación y ejecución de los Planes de Desarrollo Estratégicos Comunales y </w:t>
      </w:r>
      <w:r w:rsidRPr="001B1C66">
        <w:rPr>
          <w:rFonts w:ascii="Century Gothic" w:eastAsia="Calibri" w:hAnsi="Century Gothic" w:cs="Arial"/>
          <w:bCs/>
          <w:i/>
          <w:iCs/>
          <w:color w:val="000000"/>
          <w:lang w:eastAsia="es-MX"/>
        </w:rPr>
        <w:t>su capacidad de contratación social con el Estado</w:t>
      </w:r>
      <w:r w:rsidRPr="001B1C66">
        <w:rPr>
          <w:rFonts w:ascii="Century Gothic" w:eastAsia="Calibri" w:hAnsi="Century Gothic" w:cs="Arial"/>
          <w:bCs/>
          <w:color w:val="000000"/>
          <w:lang w:eastAsia="es-MX"/>
        </w:rPr>
        <w:t xml:space="preserve"> a través de herramientas que beneficien el desarrollo de los territorios y sus comunidades</w:t>
      </w:r>
      <w:r w:rsidRPr="001B1C66">
        <w:rPr>
          <w:rFonts w:ascii="Century Gothic" w:eastAsia="Calibri" w:hAnsi="Century Gothic" w:cs="Arial"/>
          <w:color w:val="000000"/>
          <w:lang w:val="es-ES_tradnl"/>
        </w:rPr>
        <w:t>”</w:t>
      </w:r>
      <w:r w:rsidRPr="001B1C66">
        <w:rPr>
          <w:rFonts w:ascii="Century Gothic" w:eastAsia="Calibri" w:hAnsi="Century Gothic" w:cs="Arial"/>
          <w:color w:val="000000"/>
          <w:vertAlign w:val="superscript"/>
          <w:lang w:val="es-ES_tradnl"/>
        </w:rPr>
        <w:footnoteReference w:id="16"/>
      </w:r>
      <w:r w:rsidRPr="001B1C66">
        <w:rPr>
          <w:rFonts w:ascii="Century Gothic" w:eastAsia="Calibri" w:hAnsi="Century Gothic" w:cs="Arial"/>
          <w:color w:val="000000"/>
          <w:lang w:val="es-ES_tradnl"/>
        </w:rPr>
        <w:t xml:space="preserve"> (Énfasis por fuera de texto)</w:t>
      </w:r>
      <w:r w:rsidRPr="001B1C66">
        <w:rPr>
          <w:rFonts w:ascii="Century Gothic" w:eastAsia="Calibri" w:hAnsi="Century Gothic" w:cs="Arial"/>
          <w:bCs/>
          <w:color w:val="000000"/>
          <w:lang w:eastAsia="es-MX"/>
        </w:rPr>
        <w:t>.</w:t>
      </w:r>
      <w:r w:rsidRPr="001B1C66">
        <w:rPr>
          <w:rFonts w:ascii="Century Gothic" w:eastAsia="Aptos" w:hAnsi="Century Gothic" w:cs="Times New Roman"/>
          <w:kern w:val="2"/>
          <w:sz w:val="24"/>
          <w:szCs w:val="24"/>
          <w:lang w:val="es-ES_tradnl"/>
          <w14:ligatures w14:val="standardContextual"/>
        </w:rPr>
        <w:t xml:space="preserve"> </w:t>
      </w:r>
      <w:r w:rsidRPr="001B1C66">
        <w:rPr>
          <w:rFonts w:ascii="Century Gothic" w:eastAsia="Calibri" w:hAnsi="Century Gothic" w:cs="Arial"/>
          <w:bCs/>
          <w:color w:val="000000"/>
          <w:lang w:eastAsia="es-MX"/>
        </w:rPr>
        <w:t xml:space="preserve">Incluso, se reitera que el artículo 95 de la Ley 2166 de 2021 fue derogado parcialmente por el artículo 372 de la Ley 2294 de 2023 en lo que respecta a la expresión “territoriales”, ajustando de esta manera su redacción a las verdaderas intenciones de la norma. Asimismo, el artículo 1 de la Ley 2166 de 2021 señala como objetivo de esta </w:t>
      </w:r>
      <w:r w:rsidRPr="001B1C66">
        <w:rPr>
          <w:rFonts w:ascii="Century Gothic" w:eastAsia="Calibri" w:hAnsi="Century Gothic" w:cs="Arial"/>
          <w:color w:val="000000"/>
          <w:lang w:val="es-ES_tradnl"/>
        </w:rPr>
        <w:t>“</w:t>
      </w:r>
      <w:r w:rsidRPr="001B1C66">
        <w:rPr>
          <w:rFonts w:ascii="Century Gothic" w:eastAsia="Calibri" w:hAnsi="Century Gothic" w:cs="Arial"/>
          <w:color w:val="000000"/>
        </w:rPr>
        <w:t>establecer un marco jurídico para sus relaciones con el Estado y con los particulares, así como para el cabal ejercicio de derechos y deberes</w:t>
      </w:r>
      <w:r w:rsidRPr="001B1C66">
        <w:rPr>
          <w:rFonts w:ascii="Century Gothic" w:eastAsia="Calibri" w:hAnsi="Century Gothic" w:cs="Arial"/>
          <w:color w:val="000000"/>
          <w:lang w:val="es-ES_tradnl"/>
        </w:rPr>
        <w:t>”</w:t>
      </w:r>
      <w:r w:rsidRPr="001B1C66">
        <w:rPr>
          <w:rFonts w:ascii="Century Gothic" w:eastAsia="Calibri" w:hAnsi="Century Gothic" w:cs="Arial"/>
          <w:bCs/>
          <w:color w:val="000000"/>
          <w:lang w:eastAsia="es-MX"/>
        </w:rPr>
        <w:t xml:space="preserve">. De esta manera, el artículo 95 </w:t>
      </w:r>
      <w:r w:rsidRPr="001B1C66">
        <w:rPr>
          <w:rFonts w:ascii="Century Gothic" w:eastAsia="Calibri" w:hAnsi="Century Gothic" w:cs="Arial"/>
          <w:bCs/>
          <w:i/>
          <w:iCs/>
          <w:color w:val="000000"/>
          <w:lang w:eastAsia="es-MX"/>
        </w:rPr>
        <w:t xml:space="preserve">ibidem </w:t>
      </w:r>
      <w:r w:rsidRPr="001B1C66">
        <w:rPr>
          <w:rFonts w:ascii="Century Gothic" w:eastAsia="Calibri" w:hAnsi="Century Gothic" w:cs="Arial"/>
          <w:bCs/>
          <w:color w:val="000000"/>
          <w:lang w:eastAsia="es-MX"/>
        </w:rPr>
        <w:t>desarrolla estos objetivos</w:t>
      </w:r>
      <w:r w:rsidRPr="001B1C66">
        <w:rPr>
          <w:rFonts w:ascii="Century Gothic" w:eastAsia="Calibri" w:hAnsi="Century Gothic" w:cs="Arial"/>
          <w:bCs/>
          <w:i/>
          <w:iCs/>
          <w:color w:val="000000"/>
          <w:lang w:eastAsia="es-MX"/>
        </w:rPr>
        <w:t xml:space="preserve"> y </w:t>
      </w:r>
      <w:r w:rsidRPr="001B1C66">
        <w:rPr>
          <w:rFonts w:ascii="Century Gothic" w:eastAsia="Calibri" w:hAnsi="Century Gothic" w:cs="Arial"/>
          <w:bCs/>
          <w:color w:val="000000"/>
          <w:lang w:eastAsia="es-MX"/>
        </w:rPr>
        <w:t xml:space="preserve">permite la celebración de convenios solidarios con entidades territoriales del orden departamental, municipal y distrital, así como con las entidades del orden nacional.  </w:t>
      </w:r>
    </w:p>
    <w:p w14:paraId="2D04995D"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bCs/>
          <w:color w:val="000000"/>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6567FE1" w14:textId="795F5487" w:rsidR="008C2566" w:rsidRPr="001B1C66" w:rsidRDefault="00C122FF" w:rsidP="00D83901">
      <w:pPr>
        <w:shd w:val="clear" w:color="auto" w:fill="FFFFFF"/>
        <w:spacing w:before="120" w:after="120" w:line="276" w:lineRule="auto"/>
        <w:ind w:firstLine="709"/>
        <w:jc w:val="both"/>
        <w:rPr>
          <w:rFonts w:ascii="Century Gothic" w:eastAsia="Calibri" w:hAnsi="Century Gothic" w:cs="Arial"/>
          <w:color w:val="000000"/>
          <w:lang w:val="es-ES" w:eastAsia="es-MX"/>
        </w:rPr>
      </w:pPr>
      <w:r w:rsidRPr="001B1C66">
        <w:rPr>
          <w:rFonts w:ascii="Century Gothic" w:eastAsia="Calibri" w:hAnsi="Century Gothic" w:cs="Arial"/>
          <w:bCs/>
          <w:color w:val="000000"/>
          <w:lang w:eastAsia="es-MX"/>
        </w:rPr>
        <w:t xml:space="preserve">Lo anterior, sin perjuicio de la celebración de convenios solidarios con los Organismos de Acción Comunal mediante los otros dos (2) regímenes señalados en el numeral anterior de este concepto, esto es, el previsto en el Decreto 092 de 2017; y el que </w:t>
      </w:r>
      <w:r w:rsidRPr="001B1C66">
        <w:rPr>
          <w:rFonts w:ascii="Century Gothic" w:eastAsia="Calibri" w:hAnsi="Century Gothic" w:cs="Arial"/>
          <w:color w:val="000000"/>
          <w:lang w:val="es-ES" w:eastAsia="es-MX"/>
        </w:rPr>
        <w:t xml:space="preserve">se fundamenta en los parágrafos tercero y quinto del artículo 3 de la Ley 136 de 1994, los cuales deben interpretarse armónicamente con lo dispuesto en el </w:t>
      </w:r>
      <w:r w:rsidRPr="001B1C66">
        <w:rPr>
          <w:rFonts w:ascii="Century Gothic" w:eastAsia="Calibri" w:hAnsi="Century Gothic" w:cs="Arial"/>
          <w:color w:val="000000"/>
          <w:lang w:val="es-ES" w:eastAsia="es-MX"/>
        </w:rPr>
        <w:lastRenderedPageBreak/>
        <w:t>artículo 141 de la precitada Ley y, actualmente, con el artículo 63 de la Ley 2166 de 2021</w:t>
      </w:r>
      <w:r w:rsidRPr="001B1C66">
        <w:rPr>
          <w:rFonts w:ascii="Century Gothic" w:eastAsia="Calibri" w:hAnsi="Century Gothic" w:cs="Arial"/>
          <w:color w:val="000000"/>
          <w:vertAlign w:val="superscript"/>
          <w:lang w:val="es-ES" w:eastAsia="es-MX"/>
        </w:rPr>
        <w:footnoteReference w:id="17"/>
      </w:r>
      <w:r w:rsidRPr="001B1C66">
        <w:rPr>
          <w:rFonts w:ascii="Century Gothic" w:eastAsia="Calibri" w:hAnsi="Century Gothic" w:cs="Arial"/>
          <w:color w:val="000000"/>
          <w:lang w:val="es-ES" w:eastAsia="es-MX"/>
        </w:rPr>
        <w:t xml:space="preserve">. </w:t>
      </w:r>
    </w:p>
    <w:p w14:paraId="4D78A926"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color w:val="000000"/>
          <w:lang w:val="es-ES" w:eastAsia="es-MX"/>
        </w:rPr>
      </w:pPr>
      <w:r w:rsidRPr="001B1C66">
        <w:rPr>
          <w:rFonts w:ascii="Century Gothic" w:eastAsia="Calibri" w:hAnsi="Century Gothic" w:cs="Arial"/>
          <w:bCs/>
          <w:color w:val="000000"/>
          <w:lang w:eastAsia="es-MX"/>
        </w:rPr>
        <w:t xml:space="preserve">Al respecto, es preciso señalar que conforme con el artículo 63 de la </w:t>
      </w:r>
      <w:r w:rsidRPr="001B1C66">
        <w:rPr>
          <w:rFonts w:ascii="Century Gothic" w:eastAsia="Calibri" w:hAnsi="Century Gothic" w:cs="Arial"/>
          <w:color w:val="000000"/>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28FDEF4C"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color w:val="000000"/>
          <w:lang w:val="es-ES" w:eastAsia="es-MX"/>
        </w:rPr>
      </w:pPr>
    </w:p>
    <w:p w14:paraId="30D1FDF1" w14:textId="77777777" w:rsidR="00C122FF" w:rsidRPr="001B1C66" w:rsidRDefault="00C122FF" w:rsidP="00C122FF">
      <w:pPr>
        <w:shd w:val="clear" w:color="auto" w:fill="FFFFFF"/>
        <w:spacing w:after="120" w:line="240" w:lineRule="auto"/>
        <w:ind w:left="709" w:right="709"/>
        <w:jc w:val="both"/>
        <w:rPr>
          <w:rFonts w:ascii="Century Gothic" w:eastAsia="Calibri" w:hAnsi="Century Gothic" w:cs="Arial"/>
          <w:color w:val="000000"/>
          <w:sz w:val="21"/>
          <w:szCs w:val="21"/>
        </w:rPr>
      </w:pPr>
      <w:bookmarkStart w:id="10" w:name="63"/>
      <w:r w:rsidRPr="001B1C66">
        <w:rPr>
          <w:rFonts w:ascii="Century Gothic" w:eastAsia="Calibri" w:hAnsi="Century Gothic" w:cs="Arial"/>
          <w:color w:val="000000"/>
          <w:sz w:val="21"/>
          <w:szCs w:val="21"/>
        </w:rPr>
        <w:t>“Artículo 63.</w:t>
      </w:r>
      <w:bookmarkEnd w:id="10"/>
      <w:r w:rsidRPr="001B1C66">
        <w:rPr>
          <w:rFonts w:ascii="Century Gothic" w:eastAsia="Calibri" w:hAnsi="Century Gothic" w:cs="Arial"/>
          <w:color w:val="000000"/>
          <w:sz w:val="21"/>
          <w:szCs w:val="21"/>
        </w:rPr>
        <w:t> Conforme con el artículo </w:t>
      </w:r>
      <w:hyperlink r:id="rId11" w:anchor="141" w:history="1">
        <w:r w:rsidRPr="001B1C66">
          <w:rPr>
            <w:rFonts w:ascii="Century Gothic" w:eastAsia="Calibri" w:hAnsi="Century Gothic" w:cs="Arial"/>
            <w:color w:val="000000"/>
            <w:sz w:val="21"/>
            <w:szCs w:val="21"/>
          </w:rPr>
          <w:t>141</w:t>
        </w:r>
      </w:hyperlink>
      <w:r w:rsidRPr="001B1C66">
        <w:rPr>
          <w:rFonts w:ascii="Century Gothic" w:eastAsia="Calibri" w:hAnsi="Century Gothic" w:cs="Arial"/>
          <w:color w:val="000000"/>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0307DD66" w14:textId="77777777" w:rsidR="00C122FF" w:rsidRPr="001B1C66" w:rsidRDefault="00C122FF" w:rsidP="00C122FF">
      <w:pPr>
        <w:shd w:val="clear" w:color="auto" w:fill="FFFFFF"/>
        <w:spacing w:after="120" w:line="240" w:lineRule="auto"/>
        <w:ind w:left="709" w:right="709"/>
        <w:jc w:val="both"/>
        <w:rPr>
          <w:rFonts w:ascii="Century Gothic" w:eastAsia="Calibri" w:hAnsi="Century Gothic" w:cs="Arial"/>
          <w:color w:val="000000"/>
          <w:sz w:val="21"/>
          <w:szCs w:val="21"/>
        </w:rPr>
      </w:pPr>
      <w:r w:rsidRPr="001B1C66">
        <w:rPr>
          <w:rFonts w:ascii="Century Gothic" w:eastAsia="Calibri" w:hAnsi="Century Gothic" w:cs="Arial"/>
          <w:color w:val="000000"/>
          <w:sz w:val="21"/>
          <w:szCs w:val="21"/>
        </w:rPr>
        <w:t>PARÁGRAFO 1o. Los organismos de Acción Comunal podrán contratar con las entidades territoriales hasta por la menor cuantía de dicha entidad de conformidad con la ley.</w:t>
      </w:r>
    </w:p>
    <w:p w14:paraId="5FC5332C"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rPr>
      </w:pPr>
      <w:r w:rsidRPr="001B1C66">
        <w:rPr>
          <w:rFonts w:ascii="Century Gothic" w:eastAsia="Calibri" w:hAnsi="Century Gothic" w:cs="Arial"/>
          <w:color w:val="000000"/>
          <w:sz w:val="21"/>
          <w:szCs w:val="21"/>
        </w:rPr>
        <w:t xml:space="preserve">PARÁGRAFO 2o. Los denominados convenios solidarios y contratos interadministrativos de mínima, que trata el presente artículo también podrán ser celebrados </w:t>
      </w:r>
      <w:bookmarkStart w:id="11" w:name="_Hlk98592569"/>
      <w:r w:rsidRPr="001B1C66">
        <w:rPr>
          <w:rFonts w:ascii="Century Gothic" w:eastAsia="Calibri" w:hAnsi="Century Gothic" w:cs="Arial"/>
          <w:color w:val="000000"/>
          <w:sz w:val="21"/>
          <w:szCs w:val="21"/>
        </w:rPr>
        <w:t xml:space="preserve">entre las entidades del orden nacional, departamental, distrital, local y municipal y los organismos de acción comunal </w:t>
      </w:r>
      <w:bookmarkEnd w:id="11"/>
      <w:r w:rsidRPr="001B1C66">
        <w:rPr>
          <w:rFonts w:ascii="Century Gothic" w:eastAsia="Calibri" w:hAnsi="Century Gothic" w:cs="Arial"/>
          <w:color w:val="000000"/>
          <w:sz w:val="21"/>
          <w:szCs w:val="21"/>
        </w:rPr>
        <w:t xml:space="preserve">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w:t>
      </w:r>
      <w:r w:rsidRPr="001B1C66">
        <w:rPr>
          <w:rFonts w:ascii="Century Gothic" w:eastAsia="Calibri" w:hAnsi="Century Gothic" w:cs="Arial"/>
          <w:color w:val="000000"/>
          <w:sz w:val="21"/>
          <w:szCs w:val="21"/>
        </w:rPr>
        <w:lastRenderedPageBreak/>
        <w:t>(PATR) o la Hoja de Ruta Única de que trata el artículo </w:t>
      </w:r>
      <w:hyperlink r:id="rId12" w:anchor="281" w:history="1">
        <w:r w:rsidRPr="001B1C66">
          <w:rPr>
            <w:rFonts w:ascii="Century Gothic" w:eastAsia="Calibri" w:hAnsi="Century Gothic" w:cs="Arial"/>
            <w:color w:val="000000"/>
            <w:sz w:val="21"/>
            <w:szCs w:val="21"/>
          </w:rPr>
          <w:t>281</w:t>
        </w:r>
      </w:hyperlink>
      <w:r w:rsidRPr="001B1C66">
        <w:rPr>
          <w:rFonts w:ascii="Century Gothic" w:eastAsia="Calibri" w:hAnsi="Century Gothic" w:cs="Arial"/>
          <w:color w:val="000000"/>
          <w:sz w:val="21"/>
          <w:szCs w:val="21"/>
        </w:rPr>
        <w:t> de la Ley 1955 de 2019”.</w:t>
      </w:r>
    </w:p>
    <w:p w14:paraId="2B4903C4" w14:textId="77777777" w:rsidR="00C122FF" w:rsidRPr="001B1C66" w:rsidRDefault="00C122FF" w:rsidP="00C122FF">
      <w:pPr>
        <w:shd w:val="clear" w:color="auto" w:fill="FFFFFF"/>
        <w:spacing w:after="0"/>
        <w:ind w:left="709" w:right="709"/>
        <w:jc w:val="both"/>
        <w:rPr>
          <w:rFonts w:ascii="Century Gothic" w:eastAsia="Calibri" w:hAnsi="Century Gothic" w:cs="Arial"/>
          <w:color w:val="000000"/>
        </w:rPr>
      </w:pPr>
    </w:p>
    <w:p w14:paraId="2B224C72"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r w:rsidRPr="001B1C66">
        <w:rPr>
          <w:rFonts w:ascii="Century Gothic" w:eastAsia="Calibri" w:hAnsi="Century Gothic" w:cs="Arial"/>
          <w:color w:val="000000"/>
          <w:lang w:val="es-ES" w:eastAsia="es-MX"/>
        </w:rPr>
        <w:t xml:space="preserve">Es necesario tener en cuenta que </w:t>
      </w:r>
      <w:r w:rsidRPr="001B1C66">
        <w:rPr>
          <w:rFonts w:ascii="Century Gothic" w:eastAsia="Calibri" w:hAnsi="Century Gothic" w:cs="Arial"/>
          <w:color w:val="000000"/>
          <w:lang w:eastAsia="es-MX"/>
        </w:rPr>
        <w:t xml:space="preserve">esta </w:t>
      </w:r>
      <w:r w:rsidRPr="001B1C66">
        <w:rPr>
          <w:rFonts w:ascii="Century Gothic" w:eastAsia="Calibri" w:hAnsi="Century Gothic" w:cs="Arial"/>
          <w:color w:val="000000"/>
          <w:lang w:val="es-ES" w:eastAsia="es-MX"/>
        </w:rPr>
        <w:t xml:space="preserve">disposición contempla supuestos distintos al establecido en el artículo 95 de la Ley 2166 de 2021. En efecto, el parágrafo 2 del artículo 63 </w:t>
      </w:r>
      <w:r w:rsidRPr="001B1C66">
        <w:rPr>
          <w:rFonts w:ascii="Century Gothic" w:eastAsia="Calibri" w:hAnsi="Century Gothic" w:cs="Arial"/>
          <w:i/>
          <w:iCs/>
          <w:color w:val="000000"/>
          <w:lang w:val="es-ES" w:eastAsia="es-MX"/>
        </w:rPr>
        <w:t xml:space="preserve">ibidem </w:t>
      </w:r>
      <w:r w:rsidRPr="001B1C66">
        <w:rPr>
          <w:rFonts w:ascii="Century Gothic" w:eastAsia="Calibri" w:hAnsi="Century Gothic" w:cs="Arial"/>
          <w:color w:val="000000"/>
          <w:lang w:val="es-ES" w:eastAsia="es-MX"/>
        </w:rPr>
        <w:t xml:space="preserve">permite la celebración de convenios solidarios con </w:t>
      </w:r>
      <w:r w:rsidRPr="001B1C66">
        <w:rPr>
          <w:rFonts w:ascii="Century Gothic" w:eastAsia="Calibri" w:hAnsi="Century Gothic" w:cs="Arial"/>
          <w:color w:val="000000"/>
          <w:lang w:eastAsia="es-MX"/>
        </w:rPr>
        <w:t xml:space="preserve">Organismos de Acción Comunal con la finalidad de que estos se vinculen al desarrollo y mejoramiento municipal mediante: i) su participación en el ejercicio de sus funciones, </w:t>
      </w:r>
      <w:proofErr w:type="spellStart"/>
      <w:r w:rsidRPr="001B1C66">
        <w:rPr>
          <w:rFonts w:ascii="Century Gothic" w:eastAsia="Calibri" w:hAnsi="Century Gothic" w:cs="Arial"/>
          <w:color w:val="000000"/>
          <w:lang w:eastAsia="es-MX"/>
        </w:rPr>
        <w:t>ii</w:t>
      </w:r>
      <w:proofErr w:type="spellEnd"/>
      <w:r w:rsidRPr="001B1C66">
        <w:rPr>
          <w:rFonts w:ascii="Century Gothic" w:eastAsia="Calibri" w:hAnsi="Century Gothic" w:cs="Arial"/>
          <w:color w:val="000000"/>
          <w:lang w:eastAsia="es-MX"/>
        </w:rPr>
        <w:t xml:space="preserve">) la prestación de bienes y servicios o </w:t>
      </w:r>
      <w:proofErr w:type="spellStart"/>
      <w:r w:rsidRPr="001B1C66">
        <w:rPr>
          <w:rFonts w:ascii="Century Gothic" w:eastAsia="Calibri" w:hAnsi="Century Gothic" w:cs="Arial"/>
          <w:color w:val="000000"/>
          <w:lang w:eastAsia="es-MX"/>
        </w:rPr>
        <w:t>iii</w:t>
      </w:r>
      <w:proofErr w:type="spellEnd"/>
      <w:r w:rsidRPr="001B1C66">
        <w:rPr>
          <w:rFonts w:ascii="Century Gothic" w:eastAsia="Calibri" w:hAnsi="Century Gothic" w:cs="Arial"/>
          <w:color w:val="000000"/>
          <w:lang w:eastAsia="es-MX"/>
        </w:rPr>
        <w:t>) la ejecución de obras públicas</w:t>
      </w:r>
      <w:r w:rsidRPr="001B1C66">
        <w:rPr>
          <w:rFonts w:ascii="Century Gothic" w:eastAsia="Calibri" w:hAnsi="Century Gothic" w:cs="Arial"/>
          <w:color w:val="000000"/>
          <w:sz w:val="21"/>
          <w:szCs w:val="21"/>
        </w:rPr>
        <w:t xml:space="preserve"> </w:t>
      </w:r>
      <w:r w:rsidRPr="001B1C66">
        <w:rPr>
          <w:rFonts w:ascii="Century Gothic" w:eastAsia="Calibri" w:hAnsi="Century Gothic" w:cs="Arial"/>
          <w:color w:val="000000"/>
          <w:lang w:eastAsia="es-MX"/>
        </w:rPr>
        <w:t xml:space="preserve">cargo de la administración central o descentralizada, todos estos objetos contractuales </w:t>
      </w:r>
      <w:r w:rsidRPr="001B1C66">
        <w:rPr>
          <w:rFonts w:ascii="Century Gothic" w:eastAsia="Calibri" w:hAnsi="Century Gothic" w:cs="Arial"/>
          <w:color w:val="000000"/>
          <w:sz w:val="21"/>
          <w:szCs w:val="21"/>
        </w:rPr>
        <w:t>hasta por la menor cuantía de la Entidad</w:t>
      </w:r>
      <w:r w:rsidRPr="001B1C66">
        <w:rPr>
          <w:rFonts w:ascii="Century Gothic" w:eastAsia="Calibri" w:hAnsi="Century Gothic" w:cs="Arial"/>
          <w:color w:val="000000"/>
          <w:lang w:eastAsia="es-MX"/>
        </w:rPr>
        <w:t xml:space="preserve">.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1B1C66">
          <w:rPr>
            <w:rFonts w:ascii="Century Gothic" w:eastAsia="Calibri" w:hAnsi="Century Gothic" w:cs="Arial"/>
            <w:color w:val="000000"/>
            <w:u w:val="single"/>
            <w:lang w:eastAsia="es-MX"/>
          </w:rPr>
          <w:t>281</w:t>
        </w:r>
      </w:hyperlink>
      <w:r w:rsidRPr="001B1C66">
        <w:rPr>
          <w:rFonts w:ascii="Century Gothic" w:eastAsia="Calibri" w:hAnsi="Century Gothic" w:cs="Arial"/>
          <w:color w:val="000000"/>
          <w:lang w:eastAsia="es-MX"/>
        </w:rPr>
        <w:t xml:space="preserve"> de la Ley 1955 de 2019. Como se observa, la norma señalada contempla diversos objetos para la celebración de convenios solidarios, mientras que en contraste el artículo 95 </w:t>
      </w:r>
      <w:r w:rsidRPr="001B1C66">
        <w:rPr>
          <w:rFonts w:ascii="Century Gothic" w:eastAsia="Calibri" w:hAnsi="Century Gothic" w:cs="Arial"/>
          <w:color w:val="000000"/>
          <w:lang w:val="es-ES" w:eastAsia="es-MX"/>
        </w:rPr>
        <w:t xml:space="preserve">de la Ley 2166 de 2021 permite la ejecución de obras. De hecho, este aspecto también fue reglamentado por el Decreto 142 de 2023, el cual </w:t>
      </w:r>
      <w:r w:rsidRPr="001B1C66">
        <w:rPr>
          <w:rFonts w:ascii="Century Gothic" w:eastAsia="Calibri" w:hAnsi="Century Gothic" w:cs="Arial"/>
          <w:bCs/>
          <w:color w:val="000000"/>
          <w:lang w:eastAsia="es-MX"/>
        </w:rPr>
        <w:t>adiciona el artículo 2.2.15.1.2 del Decreto 1082 de 2015 prescribiendo lo siguiente:</w:t>
      </w:r>
    </w:p>
    <w:p w14:paraId="5DDB8DE0"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4ADEA9C2" w14:textId="77777777" w:rsidR="00C122FF" w:rsidRPr="001B1C66" w:rsidRDefault="00C122FF" w:rsidP="00C122FF">
      <w:pPr>
        <w:shd w:val="clear" w:color="auto" w:fill="FFFFFF"/>
        <w:spacing w:after="120" w:line="240" w:lineRule="auto"/>
        <w:ind w:left="709" w:right="709"/>
        <w:jc w:val="both"/>
        <w:rPr>
          <w:rFonts w:ascii="Century Gothic" w:eastAsia="Calibri" w:hAnsi="Century Gothic" w:cs="Arial"/>
          <w:bCs/>
          <w:color w:val="000000"/>
          <w:sz w:val="21"/>
          <w:szCs w:val="21"/>
          <w:lang w:val="es-MX" w:eastAsia="es-MX"/>
        </w:rPr>
      </w:pPr>
      <w:r w:rsidRPr="001B1C66">
        <w:rPr>
          <w:rFonts w:ascii="Century Gothic" w:eastAsia="Calibri" w:hAnsi="Century Gothic" w:cs="Arial"/>
          <w:bCs/>
          <w:color w:val="000000"/>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5B235A15"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bCs/>
          <w:color w:val="000000"/>
          <w:sz w:val="21"/>
          <w:szCs w:val="21"/>
          <w:lang w:val="es-MX" w:eastAsia="es-MX"/>
        </w:rPr>
      </w:pPr>
      <w:r w:rsidRPr="001B1C66">
        <w:rPr>
          <w:rFonts w:ascii="Century Gothic" w:eastAsia="Calibri" w:hAnsi="Century Gothic" w:cs="Arial"/>
          <w:bCs/>
          <w:color w:val="000000"/>
          <w:sz w:val="21"/>
          <w:szCs w:val="21"/>
          <w:lang w:val="es-MX" w:eastAsia="es-MX"/>
        </w:rPr>
        <w:t xml:space="preserve">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w:t>
      </w:r>
      <w:r w:rsidRPr="001B1C66">
        <w:rPr>
          <w:rFonts w:ascii="Century Gothic" w:eastAsia="Calibri" w:hAnsi="Century Gothic" w:cs="Arial"/>
          <w:bCs/>
          <w:color w:val="000000"/>
          <w:sz w:val="21"/>
          <w:szCs w:val="21"/>
          <w:lang w:val="es-MX" w:eastAsia="es-MX"/>
        </w:rPr>
        <w:lastRenderedPageBreak/>
        <w:t>consagración expresa en el instrumento de planificación de la escala respectiva”. </w:t>
      </w:r>
    </w:p>
    <w:p w14:paraId="7643B2F7" w14:textId="77777777" w:rsidR="00C122FF" w:rsidRPr="001B1C66" w:rsidRDefault="00C122FF" w:rsidP="00C122FF">
      <w:pPr>
        <w:shd w:val="clear" w:color="auto" w:fill="FFFFFF"/>
        <w:spacing w:after="0" w:line="276" w:lineRule="auto"/>
        <w:ind w:firstLine="709"/>
        <w:jc w:val="both"/>
        <w:rPr>
          <w:rFonts w:ascii="Century Gothic" w:eastAsia="Calibri" w:hAnsi="Century Gothic" w:cs="Arial"/>
          <w:bCs/>
          <w:color w:val="000000"/>
          <w:lang w:eastAsia="es-MX"/>
        </w:rPr>
      </w:pPr>
    </w:p>
    <w:p w14:paraId="1E3597AE" w14:textId="77777777" w:rsidR="00C122FF" w:rsidRPr="001B1C66" w:rsidRDefault="00C122FF" w:rsidP="00C122FF">
      <w:pPr>
        <w:shd w:val="clear" w:color="auto" w:fill="FFFFFF"/>
        <w:spacing w:after="120" w:line="276" w:lineRule="auto"/>
        <w:ind w:firstLine="709"/>
        <w:jc w:val="both"/>
        <w:rPr>
          <w:rFonts w:ascii="Century Gothic" w:eastAsia="Calibri" w:hAnsi="Century Gothic" w:cs="Arial"/>
          <w:color w:val="000000"/>
          <w:lang w:val="es-ES" w:eastAsia="es-MX"/>
        </w:rPr>
      </w:pPr>
      <w:r w:rsidRPr="001B1C66">
        <w:rPr>
          <w:rFonts w:ascii="Century Gothic" w:eastAsia="Calibri" w:hAnsi="Century Gothic" w:cs="Arial"/>
          <w:color w:val="000000"/>
          <w:lang w:eastAsia="es-MX"/>
        </w:rPr>
        <w:t xml:space="preserve">Aunado a lo anterior, para la celebración de dichos convenios el inciso primero del citado artículo 63 remite al artículo 141 de la Ley 136 de 1994, en virtud del cual </w:t>
      </w:r>
      <w:r w:rsidRPr="001B1C66">
        <w:rPr>
          <w:rFonts w:ascii="Century Gothic" w:eastAsia="Calibri" w:hAnsi="Century Gothic" w:cs="Arial"/>
          <w:color w:val="000000"/>
          <w:lang w:val="es-ES_tradnl"/>
        </w:rPr>
        <w:t>“</w:t>
      </w:r>
      <w:r w:rsidRPr="001B1C66">
        <w:rPr>
          <w:rFonts w:ascii="Century Gothic" w:eastAsia="Calibri" w:hAnsi="Century Gothic" w:cs="Arial"/>
          <w:i/>
          <w:iCs/>
          <w:color w:val="000000"/>
          <w:lang w:eastAsia="es-MX"/>
        </w:rPr>
        <w:t xml:space="preserve">Los contratos o convenios que se celebren en desarrollo del artículo anterior, se sujetarán a lo dispuesto por los artículos </w:t>
      </w:r>
      <w:hyperlink r:id="rId14" w:anchor="375" w:history="1">
        <w:r w:rsidRPr="001B1C66">
          <w:rPr>
            <w:rFonts w:ascii="Century Gothic" w:eastAsia="Calibri" w:hAnsi="Century Gothic" w:cs="Arial"/>
            <w:i/>
            <w:iCs/>
            <w:color w:val="000000"/>
            <w:u w:val="single"/>
            <w:lang w:eastAsia="es-MX"/>
          </w:rPr>
          <w:t>375</w:t>
        </w:r>
      </w:hyperlink>
      <w:r w:rsidRPr="001B1C66">
        <w:rPr>
          <w:rFonts w:ascii="Century Gothic" w:eastAsia="Calibri" w:hAnsi="Century Gothic" w:cs="Arial"/>
          <w:i/>
          <w:iCs/>
          <w:color w:val="000000"/>
          <w:lang w:eastAsia="es-MX"/>
        </w:rPr>
        <w:t xml:space="preserve"> a </w:t>
      </w:r>
      <w:hyperlink r:id="rId15" w:anchor="378" w:history="1">
        <w:r w:rsidRPr="001B1C66">
          <w:rPr>
            <w:rFonts w:ascii="Century Gothic" w:eastAsia="Calibri" w:hAnsi="Century Gothic" w:cs="Arial"/>
            <w:i/>
            <w:iCs/>
            <w:color w:val="000000"/>
            <w:u w:val="single"/>
            <w:lang w:eastAsia="es-MX"/>
          </w:rPr>
          <w:t>378</w:t>
        </w:r>
      </w:hyperlink>
      <w:r w:rsidRPr="001B1C66">
        <w:rPr>
          <w:rFonts w:ascii="Century Gothic" w:eastAsia="Calibri" w:hAnsi="Century Gothic" w:cs="Arial"/>
          <w:i/>
          <w:iCs/>
          <w:color w:val="000000"/>
          <w:lang w:eastAsia="es-MX"/>
        </w:rPr>
        <w:t xml:space="preserve"> del Decreto 1333 de 1986 y la Ley </w:t>
      </w:r>
      <w:hyperlink r:id="rId16" w:anchor="inicio" w:history="1">
        <w:r w:rsidRPr="001B1C66">
          <w:rPr>
            <w:rFonts w:ascii="Century Gothic" w:eastAsia="Calibri" w:hAnsi="Century Gothic" w:cs="Arial"/>
            <w:i/>
            <w:iCs/>
            <w:color w:val="000000"/>
            <w:u w:val="single"/>
            <w:lang w:eastAsia="es-MX"/>
          </w:rPr>
          <w:t>80</w:t>
        </w:r>
      </w:hyperlink>
      <w:r w:rsidRPr="001B1C66">
        <w:rPr>
          <w:rFonts w:ascii="Century Gothic" w:eastAsia="Calibri" w:hAnsi="Century Gothic" w:cs="Arial"/>
          <w:i/>
          <w:iCs/>
          <w:color w:val="000000"/>
          <w:lang w:eastAsia="es-MX"/>
        </w:rPr>
        <w:t xml:space="preserve"> de 1993</w:t>
      </w:r>
      <w:r w:rsidRPr="001B1C66">
        <w:rPr>
          <w:rFonts w:ascii="Century Gothic" w:eastAsia="Calibri" w:hAnsi="Century Gothic" w:cs="Arial"/>
          <w:i/>
          <w:iCs/>
          <w:color w:val="000000"/>
          <w:lang w:val="es-ES_tradnl"/>
        </w:rPr>
        <w:t>”</w:t>
      </w:r>
      <w:r w:rsidRPr="001B1C66">
        <w:rPr>
          <w:rFonts w:ascii="Century Gothic" w:eastAsia="Calibri" w:hAnsi="Century Gothic" w:cs="Arial"/>
          <w:i/>
          <w:iCs/>
          <w:color w:val="000000"/>
          <w:lang w:eastAsia="es-MX"/>
        </w:rPr>
        <w:t>.</w:t>
      </w:r>
      <w:r w:rsidRPr="001B1C66">
        <w:rPr>
          <w:rFonts w:ascii="Century Gothic" w:eastAsia="Calibri" w:hAnsi="Century Gothic" w:cs="Arial"/>
          <w:color w:val="000000"/>
          <w:lang w:eastAsia="es-MX"/>
        </w:rPr>
        <w:t xml:space="preserve"> En este sentido, retomando las consideraciones de los conceptos de esta Agencia, en este caso resulta aplicable el tercer régimen expuesto en el numeral anterior. Esto implica que los convenios solidarios que se celebren con fundamento el artículo 63 de la Ley </w:t>
      </w:r>
      <w:r w:rsidRPr="001B1C66">
        <w:rPr>
          <w:rFonts w:ascii="Century Gothic" w:eastAsia="Calibri" w:hAnsi="Century Gothic" w:cs="Arial"/>
          <w:color w:val="000000"/>
          <w:lang w:val="es-ES" w:eastAsia="es-MX"/>
        </w:rPr>
        <w:t>2166 de 2021</w:t>
      </w:r>
      <w:r w:rsidRPr="001B1C66">
        <w:rPr>
          <w:rFonts w:ascii="Century Gothic" w:eastAsia="Calibri" w:hAnsi="Century Gothic" w:cs="Arial"/>
          <w:color w:val="000000"/>
          <w:lang w:val="es-ES"/>
        </w:rPr>
        <w:t xml:space="preserve"> deben interpretarse armónicamente con </w:t>
      </w:r>
      <w:r w:rsidRPr="001B1C66">
        <w:rPr>
          <w:rFonts w:ascii="Century Gothic" w:eastAsia="Calibri" w:hAnsi="Century Gothic" w:cs="Arial"/>
          <w:color w:val="000000"/>
          <w:lang w:eastAsia="es-MX"/>
        </w:rPr>
        <w:t xml:space="preserve">el artículo 141 de la Ley 136 de 1994 y </w:t>
      </w:r>
      <w:r w:rsidRPr="001B1C66">
        <w:rPr>
          <w:rFonts w:ascii="Century Gothic" w:eastAsia="Calibri" w:hAnsi="Century Gothic" w:cs="Arial"/>
          <w:color w:val="000000"/>
          <w:lang w:val="es-ES"/>
        </w:rPr>
        <w:t>los parágrafos tercero y quinto del artículo tercero de la Ley 136 de 1994</w:t>
      </w:r>
      <w:r w:rsidRPr="001B1C66">
        <w:rPr>
          <w:rFonts w:ascii="Century Gothic" w:eastAsia="Calibri" w:hAnsi="Century Gothic" w:cs="Arial"/>
          <w:color w:val="000000"/>
          <w:lang w:val="es-ES" w:eastAsia="es-MX"/>
        </w:rPr>
        <w:t xml:space="preserve">, por lo que podrá aplicarse lo dispuesto en los artículos 375 a 378 del Decreto 1333 de 1986 y el </w:t>
      </w:r>
      <w:r w:rsidRPr="001B1C66">
        <w:rPr>
          <w:rFonts w:ascii="Century Gothic" w:eastAsia="Calibri" w:hAnsi="Century Gothic" w:cs="Arial"/>
          <w:color w:val="000000"/>
          <w:lang w:val="es-ES"/>
        </w:rPr>
        <w:t xml:space="preserve">EGCAP, salvo que no exista otra forma especial de contratación como puede ser la consagrada en el Decreto 092 de 2017 para la ejecución de programas </w:t>
      </w:r>
      <w:r w:rsidRPr="001B1C66">
        <w:rPr>
          <w:rFonts w:ascii="Century Gothic" w:eastAsia="Calibri" w:hAnsi="Century Gothic" w:cs="Arial"/>
          <w:color w:val="000000"/>
          <w:lang w:val="es-ES" w:eastAsia="es-MX"/>
        </w:rPr>
        <w:t xml:space="preserve">. No obstante, se considera que en el caso en que el objeto del convenio involucre únicamente la ejecución de una obra por parte de la organización comunal, sin superar el monto de la menor cuantía, la entidad podrá aplicar el régimen previsto en el artículo 95 de la Ley 2166 de 2021 y cumplir con los presupuestos allí contemplados. </w:t>
      </w:r>
    </w:p>
    <w:p w14:paraId="0908C20F"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color w:val="000000"/>
          <w:lang w:eastAsia="es-MX"/>
        </w:rPr>
      </w:pPr>
      <w:r w:rsidRPr="001B1C66">
        <w:rPr>
          <w:rFonts w:ascii="Century Gothic" w:eastAsia="Calibri" w:hAnsi="Century Gothic" w:cs="Arial"/>
          <w:color w:val="000000"/>
          <w:lang w:eastAsia="es-MX"/>
        </w:rPr>
        <w:t xml:space="preserve">Así las cosas, cuando el inciso primero del artículo 63 de la Ley 2166 de 2021 establece que </w:t>
      </w:r>
      <w:r w:rsidRPr="001B1C66">
        <w:rPr>
          <w:rFonts w:ascii="Century Gothic" w:eastAsia="Calibri" w:hAnsi="Century Gothic" w:cs="Arial"/>
          <w:i/>
          <w:iCs/>
          <w:color w:val="000000"/>
          <w:lang w:val="es-ES_tradnl"/>
        </w:rPr>
        <w:t>“</w:t>
      </w:r>
      <w:r w:rsidRPr="001B1C66">
        <w:rPr>
          <w:rFonts w:ascii="Century Gothic" w:eastAsia="Calibri" w:hAnsi="Century Gothic" w:cs="Arial"/>
          <w:i/>
          <w:iCs/>
          <w:color w:val="000000"/>
          <w:lang w:eastAsia="es-MX"/>
        </w:rPr>
        <w:t>Los contratos o convenios que celebren con los organismos comunales se realizarán de acuerdo con la ley y sus objetivos, se regularán por el régimen vigente de contratación para organizaciones solidarias</w:t>
      </w:r>
      <w:r w:rsidRPr="001B1C66">
        <w:rPr>
          <w:rFonts w:ascii="Century Gothic" w:eastAsia="Calibri" w:hAnsi="Century Gothic" w:cs="Arial"/>
          <w:i/>
          <w:iCs/>
          <w:color w:val="000000"/>
          <w:lang w:val="es-ES_tradnl"/>
        </w:rPr>
        <w:t>”,</w:t>
      </w:r>
      <w:r w:rsidRPr="001B1C66">
        <w:rPr>
          <w:rFonts w:ascii="Century Gothic" w:eastAsia="Calibri" w:hAnsi="Century Gothic" w:cs="Arial"/>
          <w:color w:val="000000"/>
          <w:lang w:eastAsia="es-MX"/>
        </w:rPr>
        <w:t xml:space="preserve"> debe interpretarse armónicamente con lo dispuesto por el artículo 141 de la Ley 136 de 1994 –al que hace referencia el mismo artículo 63–, de manera que su contratación debe sujetarse a los </w:t>
      </w:r>
      <w:r w:rsidRPr="001B1C66">
        <w:rPr>
          <w:rFonts w:ascii="Century Gothic" w:eastAsia="Calibri" w:hAnsi="Century Gothic" w:cs="Arial"/>
          <w:color w:val="000000"/>
          <w:lang w:val="es-ES" w:eastAsia="es-MX"/>
        </w:rPr>
        <w:t xml:space="preserve">artículos 375 a 378 del Decreto 1333 de 1986 y al </w:t>
      </w:r>
      <w:r w:rsidRPr="001B1C66">
        <w:rPr>
          <w:rFonts w:ascii="Century Gothic" w:eastAsia="Calibri" w:hAnsi="Century Gothic" w:cs="Arial"/>
          <w:color w:val="000000"/>
          <w:lang w:val="es-ES"/>
        </w:rPr>
        <w:t>EGCAP</w:t>
      </w:r>
      <w:r w:rsidRPr="001B1C66">
        <w:rPr>
          <w:rFonts w:ascii="Century Gothic" w:eastAsia="Calibri" w:hAnsi="Century Gothic" w:cs="Arial"/>
          <w:color w:val="000000"/>
          <w:lang w:val="es-ES" w:eastAsia="es-MX"/>
        </w:rPr>
        <w:t xml:space="preserve">. En este contexto, según el artículo 376 del Decreto 1333 de 1986, </w:t>
      </w:r>
      <w:r w:rsidRPr="001B1C66">
        <w:rPr>
          <w:rFonts w:ascii="Century Gothic" w:eastAsia="Calibri" w:hAnsi="Century Gothic" w:cs="Arial"/>
          <w:color w:val="000000"/>
          <w:lang w:val="es-ES_tradnl"/>
        </w:rPr>
        <w:t>“L</w:t>
      </w:r>
      <w:r w:rsidRPr="001B1C66">
        <w:rPr>
          <w:rFonts w:ascii="Century Gothic" w:eastAsia="Calibri" w:hAnsi="Century Gothic" w:cs="Arial"/>
          <w:color w:val="000000"/>
          <w:lang w:eastAsia="es-MX"/>
        </w:rPr>
        <w:t xml:space="preserve">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w:t>
      </w:r>
      <w:r w:rsidRPr="001B1C66">
        <w:rPr>
          <w:rFonts w:ascii="Century Gothic" w:eastAsia="Calibri" w:hAnsi="Century Gothic" w:cs="Arial"/>
          <w:color w:val="000000"/>
          <w:lang w:eastAsia="es-MX"/>
        </w:rPr>
        <w:lastRenderedPageBreak/>
        <w:t>su cumplimiento estará a cargo del interventor que designe el alcalde o representante legal de la entidad descentralizada, según el caso</w:t>
      </w:r>
      <w:r w:rsidRPr="001B1C66">
        <w:rPr>
          <w:rFonts w:ascii="Century Gothic" w:eastAsia="Calibri" w:hAnsi="Century Gothic" w:cs="Arial"/>
          <w:color w:val="000000"/>
          <w:lang w:val="es-ES_tradnl"/>
        </w:rPr>
        <w:t>”.</w:t>
      </w:r>
      <w:r w:rsidRPr="001B1C66">
        <w:rPr>
          <w:rFonts w:ascii="Century Gothic" w:eastAsia="Calibri" w:hAnsi="Century Gothic" w:cs="Arial"/>
          <w:color w:val="000000"/>
          <w:lang w:eastAsia="es-MX"/>
        </w:rPr>
        <w:t xml:space="preserve"> </w:t>
      </w:r>
    </w:p>
    <w:p w14:paraId="300976BE"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color w:val="000000"/>
          <w:lang w:val="es-ES" w:eastAsia="es-MX"/>
        </w:rPr>
      </w:pPr>
      <w:r w:rsidRPr="001B1C66">
        <w:rPr>
          <w:rFonts w:ascii="Century Gothic" w:eastAsia="Calibri" w:hAnsi="Century Gothic" w:cs="Arial"/>
          <w:color w:val="000000"/>
          <w:lang w:val="es-ES" w:eastAsia="es-MX"/>
        </w:rPr>
        <w:t xml:space="preserve">Ahora bien, el parágrafo primero del artículo 63 de la Ley 2166 de 2021 dispone que </w:t>
      </w:r>
      <w:r w:rsidRPr="001B1C66">
        <w:rPr>
          <w:rFonts w:ascii="Century Gothic" w:eastAsia="Calibri" w:hAnsi="Century Gothic" w:cs="Arial"/>
          <w:color w:val="000000"/>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1B1C66">
        <w:rPr>
          <w:rFonts w:ascii="Century Gothic" w:eastAsia="Calibri" w:hAnsi="Century Gothic" w:cs="Arial"/>
          <w:color w:val="000000"/>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sidRPr="001B1C66">
        <w:rPr>
          <w:rFonts w:ascii="Century Gothic" w:eastAsia="Calibri" w:hAnsi="Century Gothic" w:cs="Arial"/>
          <w:color w:val="000000"/>
          <w:lang w:val="es-ES_tradnl"/>
        </w:rPr>
        <w:t>“</w:t>
      </w:r>
      <w:r w:rsidRPr="001B1C66">
        <w:rPr>
          <w:rFonts w:ascii="Century Gothic" w:eastAsia="Calibri" w:hAnsi="Century Gothic" w:cs="Arial"/>
          <w:color w:val="000000"/>
          <w:lang w:val="es-ES" w:eastAsia="es-MX"/>
        </w:rPr>
        <w:t>contratos interadministrativos de mínima</w:t>
      </w:r>
      <w:r w:rsidRPr="001B1C66">
        <w:rPr>
          <w:rFonts w:ascii="Century Gothic" w:eastAsia="Calibri" w:hAnsi="Century Gothic" w:cs="Arial"/>
          <w:color w:val="000000"/>
          <w:lang w:val="es-ES_tradnl"/>
        </w:rPr>
        <w:t>”</w:t>
      </w:r>
      <w:r w:rsidRPr="001B1C66">
        <w:rPr>
          <w:rFonts w:ascii="Century Gothic" w:eastAsia="Calibri" w:hAnsi="Century Gothic" w:cs="Arial"/>
          <w:color w:val="000000"/>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761D20D3" w14:textId="77777777" w:rsidR="00C122FF" w:rsidRPr="001B1C66" w:rsidRDefault="00C122FF" w:rsidP="00C122FF">
      <w:pPr>
        <w:shd w:val="clear" w:color="auto" w:fill="FFFFFF"/>
        <w:spacing w:before="120" w:after="120" w:line="276" w:lineRule="auto"/>
        <w:ind w:firstLine="703"/>
        <w:jc w:val="both"/>
        <w:textAlignment w:val="baseline"/>
        <w:rPr>
          <w:rFonts w:ascii="Century Gothic" w:eastAsia="Calibri" w:hAnsi="Century Gothic" w:cs="Arial"/>
          <w:color w:val="000000"/>
          <w:lang w:val="es-ES" w:eastAsia="es-CO"/>
        </w:rPr>
      </w:pPr>
      <w:r w:rsidRPr="001B1C66">
        <w:rPr>
          <w:rFonts w:ascii="Century Gothic" w:eastAsia="Calibri" w:hAnsi="Century Gothic" w:cs="Arial"/>
          <w:color w:val="000000"/>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1B1C66">
        <w:rPr>
          <w:rFonts w:ascii="Century Gothic" w:eastAsia="Calibri" w:hAnsi="Century Gothic" w:cs="Arial"/>
          <w:color w:val="000000"/>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31848D57" w14:textId="77777777" w:rsidR="00D83901" w:rsidRDefault="00C122FF" w:rsidP="00D83901">
      <w:pPr>
        <w:shd w:val="clear" w:color="auto" w:fill="FFFFFF"/>
        <w:spacing w:before="120" w:after="120" w:line="276" w:lineRule="auto"/>
        <w:ind w:firstLine="703"/>
        <w:jc w:val="both"/>
        <w:textAlignment w:val="baseline"/>
        <w:rPr>
          <w:rFonts w:ascii="Century Gothic" w:eastAsia="Calibri" w:hAnsi="Century Gothic" w:cs="Arial"/>
          <w:color w:val="000000"/>
          <w:lang w:val="es-ES" w:eastAsia="es-MX"/>
        </w:rPr>
      </w:pPr>
      <w:r w:rsidRPr="001B1C66">
        <w:rPr>
          <w:rFonts w:ascii="Century Gothic" w:eastAsia="Calibri" w:hAnsi="Century Gothic" w:cs="Arial"/>
          <w:color w:val="000000"/>
          <w:lang w:val="es-ES" w:eastAsia="es-CO"/>
        </w:rPr>
        <w:t xml:space="preserve">En este sentido, aunque los convenios solidarios tienen el propósito de cooperación explicado en el acápite anterior, no corresponden a la categoría </w:t>
      </w:r>
      <w:r w:rsidRPr="001B1C66">
        <w:rPr>
          <w:rFonts w:ascii="Century Gothic" w:eastAsia="Calibri" w:hAnsi="Century Gothic" w:cs="Arial"/>
          <w:color w:val="000000"/>
          <w:lang w:eastAsia="es-CO"/>
        </w:rPr>
        <w:lastRenderedPageBreak/>
        <w:t>definida en el 2.2.1.2.1.4.4 del Decreto 1082 de 2015</w:t>
      </w:r>
      <w:r w:rsidRPr="001B1C66">
        <w:rPr>
          <w:rFonts w:ascii="Century Gothic" w:eastAsia="Calibri" w:hAnsi="Century Gothic" w:cs="Arial"/>
          <w:color w:val="000000"/>
          <w:lang w:val="es-ES" w:eastAsia="es-CO"/>
        </w:rPr>
        <w:t>, pues –tomando en consideración</w:t>
      </w:r>
      <w:r w:rsidRPr="001B1C66">
        <w:rPr>
          <w:rFonts w:ascii="Century Gothic" w:eastAsia="Calibri" w:hAnsi="Century Gothic" w:cs="Arial"/>
          <w:color w:val="000000"/>
          <w:lang w:eastAsia="es-CO"/>
        </w:rPr>
        <w:t xml:space="preserve"> lo señalado en el artículo 7 de la Ley 2166 de 2021–</w:t>
      </w:r>
      <w:r w:rsidRPr="001B1C66">
        <w:rPr>
          <w:rFonts w:ascii="Century Gothic" w:eastAsia="Calibri" w:hAnsi="Century Gothic" w:cs="Arial"/>
          <w:color w:val="000000"/>
          <w:lang w:val="es-ES" w:eastAsia="es-CO"/>
        </w:rPr>
        <w:t xml:space="preserve"> no implica una contratación entre autoridades del Estado, sino un negocio jurídico entre una Entidad Estatal y una persona jurídica de derecho privado sin ánimo de lucro.</w:t>
      </w:r>
      <w:r w:rsidRPr="001B1C66">
        <w:rPr>
          <w:rFonts w:ascii="Century Gothic" w:eastAsia="Calibri" w:hAnsi="Century Gothic" w:cs="Arial"/>
          <w:color w:val="000000"/>
          <w:lang w:eastAsia="es-CO"/>
        </w:rPr>
        <w:t xml:space="preserve"> </w:t>
      </w:r>
      <w:r w:rsidRPr="001B1C66">
        <w:rPr>
          <w:rFonts w:ascii="Century Gothic" w:eastAsia="Calibri" w:hAnsi="Century Gothic" w:cs="Arial"/>
          <w:color w:val="000000"/>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6EBCA384" w14:textId="5E2A9DD0" w:rsidR="00D83901" w:rsidRDefault="00C122FF" w:rsidP="00D83901">
      <w:pPr>
        <w:shd w:val="clear" w:color="auto" w:fill="FFFFFF"/>
        <w:spacing w:before="120" w:after="0" w:line="276" w:lineRule="auto"/>
        <w:ind w:firstLine="703"/>
        <w:jc w:val="both"/>
        <w:textAlignment w:val="baseline"/>
        <w:rPr>
          <w:rFonts w:ascii="Century Gothic" w:eastAsia="Calibri" w:hAnsi="Century Gothic" w:cs="Arial"/>
          <w:lang w:eastAsia="es-MX"/>
        </w:rPr>
      </w:pPr>
      <w:r w:rsidRPr="001B1C66">
        <w:rPr>
          <w:rFonts w:ascii="Century Gothic" w:eastAsia="Calibri" w:hAnsi="Century Gothic" w:cs="Arial"/>
          <w:lang w:eastAsia="es-MX"/>
        </w:rPr>
        <w:t>Adicionalmente, además de que cada organismo debe acreditar su existencia y representación legal en los términos del artículo 78 de la Ley 2166 de 2021</w:t>
      </w:r>
      <w:r w:rsidRPr="001B1C66">
        <w:rPr>
          <w:rFonts w:ascii="Century Gothic" w:eastAsia="Calibri" w:hAnsi="Century Gothic" w:cs="Arial"/>
          <w:vertAlign w:val="superscript"/>
          <w:lang w:eastAsia="es-MX"/>
        </w:rPr>
        <w:footnoteReference w:id="18"/>
      </w:r>
      <w:r w:rsidRPr="001B1C66">
        <w:rPr>
          <w:rFonts w:ascii="Century Gothic" w:eastAsia="Calibri" w:hAnsi="Century Gothic" w:cs="Arial"/>
          <w:lang w:eastAsia="es-MX"/>
        </w:rPr>
        <w:t xml:space="preserve">, </w:t>
      </w:r>
      <w:r w:rsidRPr="001B1C66">
        <w:rPr>
          <w:rFonts w:ascii="Century Gothic" w:eastAsia="Calibri" w:hAnsi="Century Gothic" w:cs="Arial"/>
          <w:bCs/>
          <w:color w:val="000000"/>
          <w:lang w:val="es-MX" w:eastAsia="es-MX"/>
        </w:rPr>
        <w:t xml:space="preserve">teniendo en cuenta la naturaleza de las Juntas de Acción Comunal y la incidencia que en ellas tiene el principio de participación, es importante realzar que la territorialidad </w:t>
      </w:r>
      <w:r w:rsidRPr="001B1C66">
        <w:rPr>
          <w:rFonts w:ascii="Century Gothic" w:eastAsia="Calibri" w:hAnsi="Century Gothic" w:cs="Arial"/>
          <w:color w:val="000000"/>
          <w:lang w:val="es-MX" w:eastAsia="es-MX"/>
        </w:rPr>
        <w:t>de</w:t>
      </w:r>
      <w:r w:rsidRPr="001B1C66">
        <w:rPr>
          <w:rFonts w:ascii="Century Gothic" w:eastAsia="Calibri" w:hAnsi="Century Gothic" w:cs="Arial"/>
          <w:bCs/>
          <w:color w:val="000000"/>
          <w:lang w:val="es-MX" w:eastAsia="es-MX"/>
        </w:rPr>
        <w:t xml:space="preserve"> la cual hace parte es el único lugar en el cual puede desarrollar sus actividades, pues solo así se garantizaría una verdadera participación de la comunidad en la formulación, ejecución y administración de planes, programas y proyectos en su territorio, por lo que resultaría contrario al principio de participación que las Juntas de Acción Comunal pudieran ejecutar contratos en sitios donde no tienen representación participativa. </w:t>
      </w:r>
      <w:r w:rsidRPr="001B1C66">
        <w:rPr>
          <w:rFonts w:ascii="Century Gothic" w:eastAsia="Calibri" w:hAnsi="Century Gothic" w:cs="Arial"/>
          <w:lang w:eastAsia="es-MX"/>
        </w:rPr>
        <w:t xml:space="preserve">De esta forma, el desarrollo normativo que trajo consigo la Ley 2166 de 2021 con el objetivo de promover, facilitar, estructurar y fortalecer la organización democrática, moderna, participativa y representativa de la acción comunal en sus respectivos grados </w:t>
      </w:r>
      <w:r w:rsidRPr="001B1C66">
        <w:rPr>
          <w:rFonts w:ascii="Century Gothic" w:eastAsia="Calibri" w:hAnsi="Century Gothic" w:cs="Arial"/>
          <w:lang w:eastAsia="es-MX"/>
        </w:rPr>
        <w:lastRenderedPageBreak/>
        <w:t>asociativos, dispuso en su artículo 7 una nueva definición de Junta de Acción Comunal:</w:t>
      </w:r>
    </w:p>
    <w:p w14:paraId="76F77D72" w14:textId="77777777" w:rsidR="00D83901" w:rsidRPr="00D83901" w:rsidRDefault="00D83901" w:rsidP="00D83901">
      <w:pPr>
        <w:shd w:val="clear" w:color="auto" w:fill="FFFFFF"/>
        <w:spacing w:before="120" w:after="0" w:line="276" w:lineRule="auto"/>
        <w:ind w:firstLine="703"/>
        <w:jc w:val="both"/>
        <w:textAlignment w:val="baseline"/>
        <w:rPr>
          <w:rFonts w:ascii="Century Gothic" w:eastAsia="Calibri" w:hAnsi="Century Gothic" w:cs="Arial"/>
          <w:lang w:eastAsia="es-MX"/>
        </w:rPr>
      </w:pPr>
    </w:p>
    <w:p w14:paraId="047E152A" w14:textId="1304FD6F" w:rsidR="00C122FF" w:rsidRPr="001B1C66" w:rsidRDefault="00C122FF" w:rsidP="00C122FF">
      <w:pPr>
        <w:shd w:val="clear" w:color="auto" w:fill="FFFFFF"/>
        <w:spacing w:after="120" w:line="240" w:lineRule="auto"/>
        <w:ind w:left="709" w:right="709"/>
        <w:jc w:val="both"/>
        <w:rPr>
          <w:rFonts w:ascii="Century Gothic" w:eastAsia="Calibri" w:hAnsi="Century Gothic" w:cs="Arial"/>
          <w:sz w:val="21"/>
          <w:szCs w:val="21"/>
          <w:lang w:eastAsia="es-MX"/>
        </w:rPr>
      </w:pPr>
      <w:r w:rsidRPr="001B1C66">
        <w:rPr>
          <w:rFonts w:ascii="Century Gothic" w:eastAsia="Calibri" w:hAnsi="Century Gothic" w:cs="Arial"/>
          <w:sz w:val="21"/>
          <w:szCs w:val="21"/>
          <w:lang w:eastAsia="es-MX"/>
        </w:rPr>
        <w:t>“ARTÍCULO 7. Organismos de la acción comunal.</w:t>
      </w:r>
    </w:p>
    <w:p w14:paraId="73FE8F9F"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1B1C66">
        <w:rPr>
          <w:rFonts w:ascii="Century Gothic" w:eastAsia="Calibri" w:hAnsi="Century Gothic" w:cs="Arial"/>
          <w:sz w:val="21"/>
          <w:szCs w:val="21"/>
          <w:lang w:eastAsia="es-MX"/>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1B1C66">
        <w:rPr>
          <w:rFonts w:ascii="Century Gothic" w:eastAsia="Calibri" w:hAnsi="Century Gothic" w:cs="Arial"/>
          <w:color w:val="000000"/>
          <w:sz w:val="21"/>
          <w:szCs w:val="21"/>
          <w:lang w:val="es-ES_tradnl"/>
        </w:rPr>
        <w:t>”.</w:t>
      </w:r>
    </w:p>
    <w:p w14:paraId="07D8BCC7" w14:textId="77777777" w:rsidR="00C122FF" w:rsidRPr="001B1C66" w:rsidRDefault="00C122FF" w:rsidP="00C122FF">
      <w:pPr>
        <w:shd w:val="clear" w:color="auto" w:fill="FFFFFF"/>
        <w:spacing w:after="0" w:line="276" w:lineRule="auto"/>
        <w:ind w:left="709" w:right="709"/>
        <w:jc w:val="both"/>
        <w:rPr>
          <w:rFonts w:ascii="Century Gothic" w:eastAsia="Calibri" w:hAnsi="Century Gothic" w:cs="Arial"/>
          <w:sz w:val="20"/>
          <w:szCs w:val="20"/>
          <w:lang w:eastAsia="es-MX"/>
        </w:rPr>
      </w:pPr>
    </w:p>
    <w:p w14:paraId="20CED511" w14:textId="77777777" w:rsidR="00C122FF" w:rsidRPr="001B1C66" w:rsidRDefault="00C122FF" w:rsidP="00C122FF">
      <w:pPr>
        <w:shd w:val="clear" w:color="auto" w:fill="FFFFFF"/>
        <w:spacing w:after="120" w:line="276" w:lineRule="auto"/>
        <w:ind w:firstLine="708"/>
        <w:jc w:val="both"/>
        <w:rPr>
          <w:rFonts w:ascii="Century Gothic" w:eastAsia="Calibri" w:hAnsi="Century Gothic" w:cs="Arial"/>
          <w:bCs/>
          <w:color w:val="000000"/>
          <w:lang w:val="es-MX" w:eastAsia="es-MX"/>
        </w:rPr>
      </w:pPr>
      <w:r w:rsidRPr="001B1C66">
        <w:rPr>
          <w:rFonts w:ascii="Century Gothic" w:eastAsia="Calibri" w:hAnsi="Century Gothic" w:cs="Arial"/>
          <w:bCs/>
          <w:color w:val="000000"/>
          <w:lang w:val="es-MX" w:eastAsia="es-MX"/>
        </w:rPr>
        <w:t xml:space="preserve">Asimismo, el artículo 9 </w:t>
      </w:r>
      <w:r w:rsidRPr="001B1C66">
        <w:rPr>
          <w:rFonts w:ascii="Century Gothic" w:eastAsia="Calibri" w:hAnsi="Century Gothic" w:cs="Arial"/>
          <w:bCs/>
          <w:i/>
          <w:iCs/>
          <w:color w:val="000000"/>
          <w:lang w:val="es-MX" w:eastAsia="es-MX"/>
        </w:rPr>
        <w:t>ibidem</w:t>
      </w:r>
      <w:r w:rsidRPr="001B1C66">
        <w:rPr>
          <w:rFonts w:ascii="Century Gothic" w:eastAsia="Calibri" w:hAnsi="Century Gothic" w:cs="Arial"/>
          <w:bCs/>
          <w:color w:val="000000"/>
          <w:lang w:val="es-MX" w:eastAsia="es-MX"/>
        </w:rPr>
        <w:t xml:space="preserve"> dispuso que </w:t>
      </w:r>
      <w:r w:rsidRPr="001B1C66">
        <w:rPr>
          <w:rFonts w:ascii="Century Gothic" w:eastAsia="Calibri" w:hAnsi="Century Gothic" w:cs="Arial"/>
          <w:i/>
          <w:iCs/>
          <w:color w:val="000000"/>
        </w:rPr>
        <w:t>“</w:t>
      </w:r>
      <w:r w:rsidRPr="001B1C66">
        <w:rPr>
          <w:rFonts w:ascii="Century Gothic" w:eastAsia="Calibri" w:hAnsi="Century Gothic" w:cs="Arial"/>
          <w:bCs/>
          <w:i/>
          <w:iCs/>
          <w:color w:val="000000"/>
          <w:lang w:val="es-MX" w:eastAsia="es-MX"/>
        </w:rPr>
        <w:t>cada organismo de acción comunal desarrollará sus actividades dentro de un territorio delimitado</w:t>
      </w:r>
      <w:r w:rsidRPr="001B1C66">
        <w:rPr>
          <w:rFonts w:ascii="Century Gothic" w:eastAsia="Calibri" w:hAnsi="Century Gothic" w:cs="Arial"/>
          <w:i/>
          <w:iCs/>
          <w:color w:val="000000"/>
          <w:lang w:val="es-ES_tradnl"/>
        </w:rPr>
        <w:t>”,</w:t>
      </w:r>
      <w:r w:rsidRPr="001B1C66">
        <w:rPr>
          <w:rFonts w:ascii="Century Gothic" w:eastAsia="Calibri" w:hAnsi="Century Gothic" w:cs="Arial"/>
          <w:color w:val="000000"/>
          <w:lang w:val="es-ES_tradnl"/>
        </w:rPr>
        <w:t xml:space="preserve"> indicando las orientaciones para dicha limitación. Es así como en las capitales</w:t>
      </w:r>
      <w:r w:rsidRPr="001B1C66">
        <w:rPr>
          <w:rFonts w:ascii="Century Gothic" w:eastAsia="Calibri" w:hAnsi="Century Gothic" w:cs="Arial"/>
          <w:bCs/>
          <w:color w:val="000000"/>
          <w:lang w:val="es-MX" w:eastAsia="es-MX"/>
        </w:rPr>
        <w:t xml:space="preserve"> de departamentos y en la ciudad de Bogotá, D. C., se podrá constituir una junta por cada barrio, conjunto residencial, sector o etapa del mismo, según la división establecida por la correspondiente autoridad municipal o distrital. Por su parte, en las demás cabeceras de municipio y en las de corregimientos o inspecciones de policía podrá reconocerse más de una junta si existen las divisiones urbanas a que se refiere el literal anterior, por lo que en las poblaciones donde no exista delimitación por barrios la junta podrá abarcar toda el área urbana.</w:t>
      </w:r>
    </w:p>
    <w:p w14:paraId="39D0BE8C" w14:textId="77777777" w:rsidR="00C122FF" w:rsidRPr="001B1C66" w:rsidRDefault="00C122FF" w:rsidP="00C122FF">
      <w:pPr>
        <w:shd w:val="clear" w:color="auto" w:fill="FFFFFF"/>
        <w:spacing w:before="120" w:after="120" w:line="276" w:lineRule="auto"/>
        <w:ind w:firstLine="708"/>
        <w:jc w:val="both"/>
        <w:rPr>
          <w:rFonts w:ascii="Century Gothic" w:eastAsia="Calibri" w:hAnsi="Century Gothic" w:cs="Arial"/>
          <w:bCs/>
          <w:color w:val="000000"/>
          <w:lang w:val="es-MX" w:eastAsia="es-MX"/>
        </w:rPr>
      </w:pPr>
      <w:r w:rsidRPr="001B1C66">
        <w:rPr>
          <w:rFonts w:ascii="Century Gothic" w:eastAsia="Calibri" w:hAnsi="Century Gothic" w:cs="Arial"/>
          <w:bCs/>
          <w:color w:val="000000"/>
          <w:lang w:val="es-MX" w:eastAsia="es-MX"/>
        </w:rPr>
        <w:t xml:space="preserve">Dicha norma indica que en cada caserío o vereda solo podrá constituirse una junta de acción comunal, pero la autoridad competente podrá autorizar, mediante resolución motivada, la constitución de más de una junta si la respectiva extensión territorial lo aconsejare. </w:t>
      </w:r>
      <w:r w:rsidRPr="001B1C66">
        <w:rPr>
          <w:rFonts w:ascii="Century Gothic" w:eastAsia="Calibri" w:hAnsi="Century Gothic" w:cs="Arial"/>
          <w:bCs/>
          <w:color w:val="000000"/>
          <w:lang w:eastAsia="es-MX"/>
        </w:rPr>
        <w:t xml:space="preserve">De otra parte, la Ley 2166 de 2021 trajo consigo también una regla para denominación social de estos Organismos de Acción Comunal, señalando en su artículo 8 que </w:t>
      </w:r>
      <w:r w:rsidRPr="001B1C66">
        <w:rPr>
          <w:rFonts w:ascii="Century Gothic" w:eastAsia="Calibri" w:hAnsi="Century Gothic" w:cs="Arial"/>
          <w:bCs/>
          <w:color w:val="000000"/>
          <w:lang w:val="es-MX" w:eastAsia="es-MX"/>
        </w:rPr>
        <w:t>dichas organizaciones conformarán su nombre legal con el de su territorio seguido del nombre de la entidad territorial a la que pertenezca y en la cual desarrolle sus actividades.</w:t>
      </w:r>
    </w:p>
    <w:p w14:paraId="182AE4BE"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De lo anterior se concluye, que con base en el principio de participación, el objeto social de las Juntas de Acción Comunal está definido y limitado a la territorialidad a la cual pertenece y tiene jurisdicción, por lo tanto no podrá ejecutar actividades por fuera de esta, pues sólo así se garantizaría que el desarrollo de la </w:t>
      </w:r>
      <w:r w:rsidRPr="001B1C66">
        <w:rPr>
          <w:rFonts w:ascii="Century Gothic" w:eastAsia="Calibri" w:hAnsi="Century Gothic" w:cs="Arial"/>
          <w:lang w:eastAsia="es-MX"/>
        </w:rPr>
        <w:lastRenderedPageBreak/>
        <w:t>comunidad, se dé a través de un proceso territorial que integren los esfuerzos de su población, organismos y el Estado, para mejorar la calidad de vida de las comunidades, fortaleciendo así la construcción de las mismas, a partir de los planes de desarrollo comunales y comunitarios construidos y concertados por los afiliados a los organismos comunales, en articulación con las autoridades de cada uno de sus territorios.</w:t>
      </w:r>
    </w:p>
    <w:p w14:paraId="4096055F"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Por lo demás, en lo que respecta a la capacidad técnica del organismo de acción comunal, es necesario tener en cuenta que –de acuerdo en lo explicado en el apartado 2.1–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5658D7C4"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los que la entidad contribuye a la ejecución del convenio, por lo que el avance no queda totalmente en cabeza del organismo de acción comunal, pues a la entidad le corresponde disponer de un personal multidisciplinario para apoyar las obras, sin perjuicio de la supervisión del convenio. </w:t>
      </w:r>
    </w:p>
    <w:p w14:paraId="295A5445"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w:t>
      </w:r>
      <w:r w:rsidRPr="001B1C66">
        <w:rPr>
          <w:rFonts w:ascii="Century Gothic" w:eastAsia="Calibri" w:hAnsi="Century Gothic" w:cs="Arial"/>
          <w:lang w:eastAsia="es-MX"/>
        </w:rPr>
        <w:lastRenderedPageBreak/>
        <w:t xml:space="preserve">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095F9B49"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1B1C66">
        <w:rPr>
          <w:rFonts w:ascii="Century Gothic" w:eastAsia="Calibri" w:hAnsi="Century Gothic" w:cs="Arial"/>
          <w:i/>
          <w:iCs/>
          <w:lang w:eastAsia="es-MX"/>
        </w:rPr>
        <w:t xml:space="preserve">“Todo trabajo relacionado con el ejercicio de la Ingeniería, deberá ser dirigido por un ingeniero inscrito en el registro profesional de ingeniería y con tarjeta de matrícula profesional”. </w:t>
      </w:r>
      <w:r w:rsidRPr="001B1C66">
        <w:rPr>
          <w:rFonts w:ascii="Century Gothic" w:eastAsia="Calibri" w:hAnsi="Century Gothic"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14:paraId="33D4E62F"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En este caso, por ejemplo, si un Organismo de Acción Comunal nunca ha ejecutado antes una obra o no cuenta con la capacidad para contratar a un profesional de ingeniería, sería procedente que la Entidad Estatal asumiera las </w:t>
      </w:r>
      <w:r w:rsidRPr="001B1C66">
        <w:rPr>
          <w:rFonts w:ascii="Century Gothic" w:eastAsia="Calibri" w:hAnsi="Century Gothic" w:cs="Arial"/>
          <w:lang w:eastAsia="es-MX"/>
        </w:rPr>
        <w:lastRenderedPageBreak/>
        <w:t>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098F686D"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Finalmente, teniendo en cuenta el objeto de su consulta, es importante señalar que las normas que regulan los convenios solidarios para la ejecución de obras con Organismos de Acción Comunal no imponen límites en cuanto al número de integrantes que pueden configurar cada una de las partes de la </w:t>
      </w:r>
      <w:r w:rsidRPr="001B1C66">
        <w:rPr>
          <w:rFonts w:ascii="Century Gothic" w:eastAsia="Calibri" w:hAnsi="Century Gothic" w:cs="Arial"/>
          <w:i/>
          <w:iCs/>
          <w:lang w:eastAsia="es-MX"/>
        </w:rPr>
        <w:t>relación de colaboración</w:t>
      </w:r>
      <w:r w:rsidRPr="001B1C66">
        <w:rPr>
          <w:rFonts w:ascii="Century Gothic" w:eastAsia="Calibri" w:hAnsi="Century Gothic" w:cs="Arial"/>
          <w:lang w:eastAsia="es-MX"/>
        </w:rPr>
        <w:t xml:space="preserve">. Sobre el particular, es necesario advertir que el artículo 13 de la Ley 80 de 1993 establece </w:t>
      </w:r>
      <w:r w:rsidRPr="001B1C66">
        <w:rPr>
          <w:rFonts w:ascii="Century Gothic" w:eastAsia="Calibri" w:hAnsi="Century Gothic" w:cs="Arial"/>
          <w:i/>
          <w:iCs/>
          <w:lang w:eastAsia="es-MX"/>
        </w:rPr>
        <w:t>“[l]os contratos que celebren las entidades a que se refiere el artículo 2o. del presente estatuto se regirán por las disposiciones comerciales y civiles pertinentes, salvo en las materias particularmente reguladas en esta ley”.</w:t>
      </w:r>
      <w:r w:rsidRPr="001B1C66">
        <w:rPr>
          <w:rFonts w:ascii="Century Gothic" w:eastAsia="Calibri" w:hAnsi="Century Gothic" w:cs="Arial"/>
          <w:lang w:eastAsia="es-MX"/>
        </w:rPr>
        <w:t xml:space="preserve"> Por lo tanto, al no existir una regulación expresa sobre la pluralidad de partes en el Estatuto General de Contratación de la Administración Pública, se hace necesario acudir a lo dispuesto en el Código Civil, a propósito de la definición de contrato o convención: </w:t>
      </w:r>
      <w:r w:rsidRPr="001B1C66">
        <w:rPr>
          <w:rFonts w:ascii="Century Gothic" w:eastAsia="Calibri" w:hAnsi="Century Gothic" w:cs="Arial"/>
          <w:i/>
          <w:iCs/>
          <w:lang w:eastAsia="es-MX"/>
        </w:rPr>
        <w:t>“[c]</w:t>
      </w:r>
      <w:proofErr w:type="spellStart"/>
      <w:r w:rsidRPr="001B1C66">
        <w:rPr>
          <w:rFonts w:ascii="Century Gothic" w:eastAsia="Calibri" w:hAnsi="Century Gothic" w:cs="Arial"/>
          <w:i/>
          <w:iCs/>
          <w:lang w:eastAsia="es-MX"/>
        </w:rPr>
        <w:t>ontrato</w:t>
      </w:r>
      <w:proofErr w:type="spellEnd"/>
      <w:r w:rsidRPr="001B1C66">
        <w:rPr>
          <w:rFonts w:ascii="Century Gothic" w:eastAsia="Calibri" w:hAnsi="Century Gothic" w:cs="Arial"/>
          <w:i/>
          <w:iCs/>
          <w:lang w:eastAsia="es-MX"/>
        </w:rPr>
        <w:t xml:space="preserve"> o convención es un acto por el cual una parte se obliga para con otra a dar, hacer o no hacer alguna cosa. </w:t>
      </w:r>
      <w:r w:rsidRPr="001B1C66">
        <w:rPr>
          <w:rFonts w:ascii="Century Gothic" w:eastAsia="Calibri" w:hAnsi="Century Gothic" w:cs="Arial"/>
          <w:i/>
          <w:iCs/>
          <w:u w:val="single"/>
          <w:lang w:eastAsia="es-MX"/>
        </w:rPr>
        <w:t>Cada parte puede ser de una o de muchas personas</w:t>
      </w:r>
      <w:r w:rsidRPr="001B1C66">
        <w:rPr>
          <w:rFonts w:ascii="Century Gothic" w:eastAsia="Calibri" w:hAnsi="Century Gothic" w:cs="Arial"/>
          <w:i/>
          <w:iCs/>
          <w:lang w:eastAsia="es-MX"/>
        </w:rPr>
        <w:t>.”</w:t>
      </w:r>
      <w:r w:rsidRPr="001B1C66">
        <w:rPr>
          <w:rFonts w:ascii="Century Gothic" w:eastAsia="Calibri" w:hAnsi="Century Gothic" w:cs="Arial"/>
          <w:lang w:eastAsia="es-MX"/>
        </w:rPr>
        <w:t xml:space="preserve"> (Énfasis fuera del texto original).</w:t>
      </w:r>
    </w:p>
    <w:p w14:paraId="5DA5DEC9"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En virtud de lo anterior, debe concluirse que la pluralidad de partes en los contratos celebrados por Entidades Estatales es plenamente válida y encuentra su fundamento en el artículo 1495 del Código Civil, por expresa remisión del artículo 13 de la Ley 80 de 1993, lo cual es aplicable, también, a los convenios solidarios del artículo 95 de la Ley 2166 de 2021, para la ejecución de obras hasta la menor 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Así, es importante que cada una de las partes del convenio cumpla con los requisitos establecidos por la norma.</w:t>
      </w:r>
    </w:p>
    <w:p w14:paraId="3F609FE8" w14:textId="19E06D74"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lastRenderedPageBreak/>
        <w:t xml:space="preserve">Por otra parte, si bien el literal b) del numeral 2 del artículo 2 de la Ley 1150 de 2007 establece la forma de determinar la menor cuantía de las entidades públicas, existe un </w:t>
      </w:r>
      <w:r w:rsidRPr="001B1C66">
        <w:rPr>
          <w:rFonts w:ascii="Century Gothic" w:eastAsia="Calibri" w:hAnsi="Century Gothic" w:cs="Arial"/>
          <w:i/>
          <w:iCs/>
          <w:lang w:eastAsia="es-MX"/>
        </w:rPr>
        <w:t>vacío legal</w:t>
      </w:r>
      <w:r w:rsidRPr="001B1C66">
        <w:rPr>
          <w:rFonts w:ascii="Century Gothic" w:eastAsia="Calibri" w:hAnsi="Century Gothic" w:cs="Arial"/>
          <w:lang w:eastAsia="es-MX"/>
        </w:rPr>
        <w:t xml:space="preserve"> cuando se trata de dos o más entidades que hacen parte de una relación negocial, ya que no se reguló cuál de las menores cuantías debe considerarse en estas situaciones o cómo determinarse a efectos de adelantar el </w:t>
      </w:r>
      <w:r w:rsidR="00E05A34" w:rsidRPr="001B1C66">
        <w:rPr>
          <w:rFonts w:ascii="Century Gothic" w:eastAsia="Calibri" w:hAnsi="Century Gothic" w:cs="Arial"/>
          <w:lang w:eastAsia="es-MX"/>
        </w:rPr>
        <w:t>respectivo P</w:t>
      </w:r>
      <w:r w:rsidRPr="001B1C66">
        <w:rPr>
          <w:rFonts w:ascii="Century Gothic" w:eastAsia="Calibri" w:hAnsi="Century Gothic" w:cs="Arial"/>
          <w:lang w:eastAsia="es-MX"/>
        </w:rPr>
        <w:t xml:space="preserve">roceso de </w:t>
      </w:r>
      <w:r w:rsidR="00E05A34" w:rsidRPr="001B1C66">
        <w:rPr>
          <w:rFonts w:ascii="Century Gothic" w:eastAsia="Calibri" w:hAnsi="Century Gothic" w:cs="Arial"/>
          <w:lang w:eastAsia="es-MX"/>
        </w:rPr>
        <w:t>C</w:t>
      </w:r>
      <w:r w:rsidRPr="001B1C66">
        <w:rPr>
          <w:rFonts w:ascii="Century Gothic" w:eastAsia="Calibri" w:hAnsi="Century Gothic" w:cs="Arial"/>
          <w:lang w:eastAsia="es-MX"/>
        </w:rPr>
        <w:t>ontratación. Por lo tanto, en criterio de esta Subdirección, corresponde a las partes del convenio solidario establecer el tope de la menor cuantía cuando participen dos o más Entidades Estatales. Lo anterior, previa justificación de la decisión que adopten</w:t>
      </w:r>
      <w:r w:rsidR="00927962">
        <w:rPr>
          <w:rFonts w:ascii="Century Gothic" w:eastAsia="Calibri" w:hAnsi="Century Gothic" w:cs="Arial"/>
          <w:lang w:eastAsia="es-MX"/>
        </w:rPr>
        <w:t xml:space="preserve">, </w:t>
      </w:r>
      <w:r w:rsidR="00927962" w:rsidRPr="00927962">
        <w:rPr>
          <w:rFonts w:ascii="Century Gothic" w:eastAsia="Calibri" w:hAnsi="Century Gothic" w:cs="Arial"/>
          <w:lang w:eastAsia="es-MX"/>
        </w:rPr>
        <w:t>conforme al marco jurídico particular que resulte aplicable al caso concreto y lo expresado en los estudios previos.</w:t>
      </w:r>
    </w:p>
    <w:p w14:paraId="78E36DC8" w14:textId="77777777" w:rsidR="00C122FF" w:rsidRPr="001B1C66" w:rsidRDefault="00C122FF" w:rsidP="00C122FF">
      <w:pPr>
        <w:shd w:val="clear" w:color="auto" w:fill="FFFFFF"/>
        <w:tabs>
          <w:tab w:val="left" w:pos="0"/>
        </w:tabs>
        <w:spacing w:after="0"/>
        <w:jc w:val="both"/>
        <w:rPr>
          <w:rFonts w:ascii="Century Gothic" w:eastAsia="Calibri" w:hAnsi="Century Gothic" w:cs="Arial"/>
          <w:b/>
          <w:color w:val="000000"/>
          <w:lang w:val="es-ES_tradnl"/>
        </w:rPr>
      </w:pPr>
    </w:p>
    <w:p w14:paraId="47F77E14" w14:textId="221AD05F" w:rsidR="00C122FF" w:rsidRPr="001B1C66" w:rsidRDefault="00C122FF" w:rsidP="00C122FF">
      <w:pPr>
        <w:shd w:val="clear" w:color="auto" w:fill="FFFFFF"/>
        <w:tabs>
          <w:tab w:val="left" w:pos="0"/>
        </w:tabs>
        <w:spacing w:after="0"/>
        <w:jc w:val="both"/>
        <w:rPr>
          <w:rFonts w:ascii="Century Gothic" w:eastAsia="Calibri" w:hAnsi="Century Gothic" w:cs="Arial"/>
          <w:b/>
          <w:color w:val="000000"/>
          <w:lang w:val="es-ES_tradnl"/>
        </w:rPr>
      </w:pPr>
      <w:r w:rsidRPr="001B1C66">
        <w:rPr>
          <w:rFonts w:ascii="Century Gothic" w:eastAsia="Calibri" w:hAnsi="Century Gothic" w:cs="Arial"/>
          <w:b/>
          <w:color w:val="000000"/>
          <w:lang w:val="es-ES_tradnl"/>
        </w:rPr>
        <w:t>3. Respuesta</w:t>
      </w:r>
      <w:r w:rsidR="00350CF5" w:rsidRPr="001B1C66">
        <w:rPr>
          <w:rFonts w:ascii="Century Gothic" w:eastAsia="Calibri" w:hAnsi="Century Gothic" w:cs="Arial"/>
          <w:b/>
          <w:color w:val="000000"/>
          <w:lang w:val="es-ES_tradnl"/>
        </w:rPr>
        <w:t>s</w:t>
      </w:r>
    </w:p>
    <w:p w14:paraId="7CAC98CF" w14:textId="77777777" w:rsidR="00C122FF" w:rsidRPr="001B1C66" w:rsidRDefault="00C122FF" w:rsidP="00C122FF">
      <w:pPr>
        <w:shd w:val="clear" w:color="auto" w:fill="FFFFFF"/>
        <w:spacing w:after="0" w:line="240" w:lineRule="auto"/>
        <w:ind w:right="709"/>
        <w:jc w:val="both"/>
        <w:rPr>
          <w:rFonts w:ascii="Century Gothic" w:eastAsia="Calibri" w:hAnsi="Century Gothic" w:cs="Arial"/>
          <w:color w:val="000000"/>
          <w:lang w:val="es-ES_tradnl"/>
        </w:rPr>
      </w:pPr>
    </w:p>
    <w:p w14:paraId="046F2B59" w14:textId="77777777" w:rsidR="00C122FF" w:rsidRPr="001B1C66" w:rsidRDefault="00C122FF" w:rsidP="0EFABF03">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001B1C66">
        <w:rPr>
          <w:rFonts w:ascii="Century Gothic" w:eastAsia="Calibri" w:hAnsi="Century Gothic" w:cs="Arial"/>
          <w:color w:val="000000" w:themeColor="text1"/>
          <w:sz w:val="21"/>
          <w:szCs w:val="21"/>
          <w:lang w:val="es-ES"/>
        </w:rPr>
        <w:t xml:space="preserve">“¿Puede un organismo comunal, </w:t>
      </w:r>
      <w:proofErr w:type="spellStart"/>
      <w:r w:rsidRPr="001B1C66">
        <w:rPr>
          <w:rFonts w:ascii="Century Gothic" w:eastAsia="Calibri" w:hAnsi="Century Gothic" w:cs="Arial"/>
          <w:color w:val="000000" w:themeColor="text1"/>
          <w:sz w:val="21"/>
          <w:szCs w:val="21"/>
          <w:lang w:val="es-ES"/>
        </w:rPr>
        <w:t>especificamente</w:t>
      </w:r>
      <w:proofErr w:type="spellEnd"/>
      <w:r w:rsidRPr="001B1C66">
        <w:rPr>
          <w:rFonts w:ascii="Century Gothic" w:eastAsia="Calibri" w:hAnsi="Century Gothic" w:cs="Arial"/>
          <w:color w:val="000000" w:themeColor="text1"/>
          <w:sz w:val="21"/>
          <w:szCs w:val="21"/>
          <w:lang w:val="es-ES"/>
        </w:rPr>
        <w:t xml:space="preserve"> una JAC, intervenir una vía secundaria en virtud de un convenio solidario?”</w:t>
      </w:r>
    </w:p>
    <w:p w14:paraId="37DEA968" w14:textId="77777777" w:rsidR="00C122FF" w:rsidRPr="001B1C66" w:rsidRDefault="00C122FF" w:rsidP="00C122FF">
      <w:pPr>
        <w:shd w:val="clear" w:color="auto" w:fill="FFFFFF"/>
        <w:spacing w:after="0" w:line="240" w:lineRule="auto"/>
        <w:ind w:right="709"/>
        <w:jc w:val="both"/>
        <w:rPr>
          <w:rFonts w:ascii="Century Gothic" w:eastAsia="Calibri" w:hAnsi="Century Gothic" w:cs="Arial"/>
          <w:color w:val="000000"/>
          <w:lang w:val="es-ES_tradnl"/>
        </w:rPr>
      </w:pPr>
    </w:p>
    <w:p w14:paraId="7415DDD5" w14:textId="77777777" w:rsidR="00C122FF" w:rsidRPr="001B1C66" w:rsidRDefault="00C122FF" w:rsidP="00C122FF">
      <w:pPr>
        <w:shd w:val="clear" w:color="auto" w:fill="FFFFFF"/>
        <w:spacing w:after="120" w:line="276" w:lineRule="auto"/>
        <w:jc w:val="both"/>
        <w:rPr>
          <w:rFonts w:ascii="Century Gothic" w:eastAsia="Calibri" w:hAnsi="Century Gothic" w:cs="Arial"/>
          <w:color w:val="000000"/>
          <w:sz w:val="21"/>
          <w:szCs w:val="21"/>
          <w:lang w:val="es-ES_tradnl"/>
        </w:rPr>
      </w:pPr>
      <w:r w:rsidRPr="001B1C66">
        <w:rPr>
          <w:rFonts w:ascii="Century Gothic" w:eastAsia="Calibri" w:hAnsi="Century Gothic" w:cs="Arial"/>
          <w:lang w:eastAsia="es-MX"/>
        </w:rPr>
        <w:t>De acuerdo con el artículo 95 de la Ley 2166 de 2021</w:t>
      </w:r>
      <w:r w:rsidRPr="001B1C66">
        <w:rPr>
          <w:rFonts w:ascii="Century Gothic" w:eastAsia="Calibri" w:hAnsi="Century Gothic" w:cs="Arial"/>
          <w:bCs/>
          <w:color w:val="000000"/>
          <w:lang w:eastAsia="es-MX"/>
        </w:rPr>
        <w:t xml:space="preserve">: i) Las </w:t>
      </w:r>
      <w:r w:rsidRPr="001B1C66">
        <w:rPr>
          <w:rFonts w:ascii="Century Gothic" w:eastAsia="Calibri" w:hAnsi="Century Gothic" w:cs="Arial"/>
          <w:i/>
          <w:iCs/>
          <w:color w:val="000000"/>
          <w:lang w:val="es-ES_tradnl"/>
        </w:rPr>
        <w:t>“</w:t>
      </w:r>
      <w:r w:rsidRPr="001B1C66">
        <w:rPr>
          <w:rFonts w:ascii="Century Gothic" w:eastAsia="Calibri" w:hAnsi="Century Gothic" w:cs="Arial"/>
          <w:bCs/>
          <w:i/>
          <w:iCs/>
          <w:color w:val="000000"/>
          <w:lang w:eastAsia="es-MX"/>
        </w:rPr>
        <w:t xml:space="preserve">entidades </w:t>
      </w:r>
      <w:r w:rsidRPr="001B1C66">
        <w:rPr>
          <w:rFonts w:ascii="Century Gothic" w:eastAsia="Calibri" w:hAnsi="Century Gothic" w:cs="Arial"/>
          <w:bCs/>
          <w:i/>
          <w:iCs/>
          <w:strike/>
          <w:color w:val="000000"/>
          <w:lang w:eastAsia="es-MX"/>
        </w:rPr>
        <w:t>territoriales</w:t>
      </w:r>
      <w:r w:rsidRPr="001B1C66">
        <w:rPr>
          <w:rFonts w:ascii="Century Gothic" w:eastAsia="Calibri" w:hAnsi="Century Gothic" w:cs="Arial"/>
          <w:bCs/>
          <w:i/>
          <w:iCs/>
          <w:color w:val="000000"/>
          <w:lang w:eastAsia="es-MX"/>
        </w:rPr>
        <w:t xml:space="preserve"> del</w:t>
      </w:r>
      <w:r w:rsidRPr="001B1C66">
        <w:rPr>
          <w:rFonts w:ascii="Century Gothic" w:eastAsia="Calibri" w:hAnsi="Century Gothic" w:cs="Arial"/>
          <w:i/>
          <w:iCs/>
          <w:color w:val="000000"/>
          <w:lang w:val="es-ES_tradnl"/>
        </w:rPr>
        <w:t xml:space="preserve"> </w:t>
      </w:r>
      <w:r w:rsidRPr="001B1C66">
        <w:rPr>
          <w:rFonts w:ascii="Century Gothic" w:eastAsia="Calibri" w:hAnsi="Century Gothic" w:cs="Arial"/>
          <w:i/>
          <w:iCs/>
          <w:color w:val="000000"/>
        </w:rPr>
        <w:t>orden Nacional, Departamental, Distrital y municipal</w:t>
      </w:r>
      <w:r w:rsidRPr="001B1C66">
        <w:rPr>
          <w:rFonts w:ascii="Century Gothic" w:eastAsia="Calibri" w:hAnsi="Century Gothic" w:cs="Arial"/>
          <w:i/>
          <w:iCs/>
          <w:color w:val="000000"/>
          <w:lang w:val="es-ES_tradnl"/>
        </w:rPr>
        <w:t>”</w:t>
      </w:r>
      <w:r w:rsidRPr="001B1C66">
        <w:rPr>
          <w:rFonts w:ascii="Century Gothic" w:eastAsia="Calibri" w:hAnsi="Century Gothic"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B1C66">
        <w:rPr>
          <w:rFonts w:ascii="Century Gothic" w:eastAsia="Calibri" w:hAnsi="Century Gothic" w:cs="Arial"/>
          <w:i/>
          <w:iCs/>
          <w:color w:val="000000"/>
          <w:lang w:val="es-ES_tradnl"/>
        </w:rPr>
        <w:t>Organismos de Acción Comunal</w:t>
      </w:r>
      <w:r w:rsidRPr="001B1C66">
        <w:rPr>
          <w:rFonts w:ascii="Century Gothic" w:eastAsia="Calibri" w:hAnsi="Century Gothic" w:cs="Arial"/>
          <w:color w:val="000000"/>
          <w:lang w:val="es-ES_tradnl"/>
        </w:rPr>
        <w:t xml:space="preserve">. </w:t>
      </w:r>
      <w:proofErr w:type="spellStart"/>
      <w:r w:rsidRPr="001B1C66">
        <w:rPr>
          <w:rFonts w:ascii="Century Gothic" w:eastAsia="Calibri" w:hAnsi="Century Gothic" w:cs="Arial"/>
          <w:color w:val="000000"/>
          <w:lang w:val="es-ES_tradnl"/>
        </w:rPr>
        <w:t>ii</w:t>
      </w:r>
      <w:proofErr w:type="spellEnd"/>
      <w:r w:rsidRPr="001B1C66">
        <w:rPr>
          <w:rFonts w:ascii="Century Gothic" w:eastAsia="Calibri" w:hAnsi="Century Gothic" w:cs="Arial"/>
          <w:color w:val="000000"/>
          <w:lang w:val="es-ES_tradnl"/>
        </w:rPr>
        <w:t xml:space="preserve">) Estos convenios solidarios deben tener por objeto únicamente la ejecución de obras. Esto significa que no pueden desarrollarse otros objetos distintos a la obra con fundamento en este artículo. </w:t>
      </w:r>
      <w:proofErr w:type="spellStart"/>
      <w:r w:rsidRPr="001B1C66">
        <w:rPr>
          <w:rFonts w:ascii="Century Gothic" w:eastAsia="Calibri" w:hAnsi="Century Gothic" w:cs="Arial"/>
          <w:color w:val="000000"/>
          <w:lang w:val="es-ES_tradnl"/>
        </w:rPr>
        <w:t>iii</w:t>
      </w:r>
      <w:proofErr w:type="spellEnd"/>
      <w:r w:rsidRPr="001B1C66">
        <w:rPr>
          <w:rFonts w:ascii="Century Gothic" w:eastAsia="Calibri" w:hAnsi="Century Gothic" w:cs="Arial"/>
          <w:color w:val="000000"/>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1B1C66">
        <w:rPr>
          <w:rFonts w:ascii="Century Gothic" w:eastAsia="Calibri" w:hAnsi="Century Gothic" w:cs="Arial"/>
          <w:color w:val="000000"/>
          <w:lang w:val="es-ES_tradnl"/>
        </w:rPr>
        <w:t>iv</w:t>
      </w:r>
      <w:proofErr w:type="spellEnd"/>
      <w:r w:rsidRPr="001B1C66">
        <w:rPr>
          <w:rFonts w:ascii="Century Gothic" w:eastAsia="Calibri" w:hAnsi="Century Gothic" w:cs="Arial"/>
          <w:color w:val="000000"/>
          <w:lang w:val="es-ES_tradnl"/>
        </w:rPr>
        <w:t>) Para la ejecución de las obras se establece el deber de contratar con los habitantes de la comunidad.</w:t>
      </w:r>
      <w:r w:rsidRPr="001B1C66">
        <w:rPr>
          <w:rFonts w:ascii="Century Gothic" w:eastAsia="Calibri" w:hAnsi="Century Gothic" w:cs="Arial"/>
          <w:color w:val="000000"/>
          <w:sz w:val="21"/>
          <w:szCs w:val="21"/>
          <w:lang w:val="es-ES_tradnl"/>
        </w:rPr>
        <w:t xml:space="preserve"> </w:t>
      </w:r>
      <w:r w:rsidRPr="001B1C66">
        <w:rPr>
          <w:rFonts w:ascii="Century Gothic" w:eastAsia="Calibri" w:hAnsi="Century Gothic" w:cs="Arial"/>
          <w:color w:val="000000"/>
          <w:lang w:val="es-ES_tradnl"/>
        </w:rPr>
        <w:t xml:space="preserve">v) En el valor total del convenio la entidad podrá incluir los costos </w:t>
      </w:r>
      <w:r w:rsidRPr="001B1C66">
        <w:rPr>
          <w:rFonts w:ascii="Century Gothic" w:eastAsia="Calibri" w:hAnsi="Century Gothic" w:cs="Arial"/>
          <w:color w:val="000000"/>
          <w:lang w:val="es-ES_tradnl"/>
        </w:rPr>
        <w:lastRenderedPageBreak/>
        <w:t xml:space="preserve">directos, los costos administrativos y el subsidio </w:t>
      </w:r>
      <w:r w:rsidRPr="001B1C66">
        <w:rPr>
          <w:rFonts w:ascii="Century Gothic" w:eastAsia="Calibri" w:hAnsi="Century Gothic" w:cs="Arial"/>
          <w:color w:val="000000"/>
        </w:rPr>
        <w:t>al dignatario representante legal para transportes de que trata el literal c) del artículo 38 de la Ley 2166 de 2022. Estos costos deberán incluirse en el ejercicio de planeación que realice la entidad y estar debidamente justificados. 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5EC3988"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En lo que respecta a la capacidad técnica del organismo de acción comunal, es necesario tener en cuenta que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 </w:t>
      </w:r>
    </w:p>
    <w:p w14:paraId="5267C157"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Esto se observa, por ejemplo, para efectos del artículo 95 de la Ley 2166 de 2021, pues dispone que “Los entes territoriales podrán incluir en el monto total de los Convenios Solidarios los costos directos, los costos administrativos y el Subsidio al dignatario representante legal para transportes de que trata el literal c) del artículo 38 de la presente ley” y que “Adicional del monto del Convenio Solidario, los entes territoriales deberán contar o disponer de personal técnico y administrativo-contable, para supervisar y apoyar a los Organismos de Acción Comunal en la ejecución de las obras”. Estos constituyen algunos de los puntos con la entidad contribuye a la ejecución del convenio, por lo que el avance no queda totalmente en cabeza del organismo de acción comunal, pues a la entidad corresponde disponer de un personal multidisciplinario para apoyar las obras, sin perjuicio de la supervisión del convenio. </w:t>
      </w:r>
    </w:p>
    <w:p w14:paraId="71710384" w14:textId="77777777" w:rsidR="00C122FF" w:rsidRPr="001B1C66" w:rsidRDefault="00C122FF" w:rsidP="00C122FF">
      <w:pPr>
        <w:shd w:val="clear" w:color="auto" w:fill="FFFFFF"/>
        <w:spacing w:before="120" w:after="12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En estricto sentido, desde un punto de vista jurídico, podría ser razonable afirmar que, la validación de la idoneidad a los Organismos de Acción Comunal </w:t>
      </w:r>
      <w:r w:rsidRPr="001B1C66">
        <w:rPr>
          <w:rFonts w:ascii="Century Gothic" w:eastAsia="Calibri" w:hAnsi="Century Gothic" w:cs="Arial"/>
          <w:lang w:eastAsia="es-MX"/>
        </w:rPr>
        <w:lastRenderedPageBreak/>
        <w:t xml:space="preserve">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precitado cuando dispone que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 </w:t>
      </w:r>
    </w:p>
    <w:p w14:paraId="17A0C1C9"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1B1C66">
        <w:rPr>
          <w:rFonts w:ascii="Century Gothic" w:eastAsia="Calibri" w:hAnsi="Century Gothic" w:cs="Arial"/>
          <w:i/>
          <w:iCs/>
          <w:lang w:eastAsia="es-MX"/>
        </w:rPr>
        <w:t xml:space="preserve">“Todo trabajo relacionado con el ejercicio de la Ingeniería, deberá ser dirigido por un ingeniero inscrito en el registro profesional de ingeniería y con tarjeta de matrícula profesional”. </w:t>
      </w:r>
      <w:r w:rsidRPr="001B1C66">
        <w:rPr>
          <w:rFonts w:ascii="Century Gothic" w:eastAsia="Calibri" w:hAnsi="Century Gothic" w:cs="Arial"/>
          <w:lang w:eastAsia="es-MX"/>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14:paraId="0D3705FA"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lastRenderedPageBreak/>
        <w:t xml:space="preserve">En este caso, teniendo en cuenta el objeto de su consulta,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 Por el contrario, si la entidad verifica que el Organismo de Acción Comunal puede ejecutar la obra, tal obligación podría ser asumida por este cuando así se determine. </w:t>
      </w:r>
    </w:p>
    <w:p w14:paraId="12ED0604"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lang w:val="es-ES_tradnl"/>
        </w:rPr>
      </w:pPr>
    </w:p>
    <w:p w14:paraId="2A0C71CA"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r w:rsidRPr="001B1C66">
        <w:rPr>
          <w:rFonts w:ascii="Century Gothic" w:eastAsia="Calibri" w:hAnsi="Century Gothic" w:cs="Arial"/>
          <w:color w:val="000000"/>
          <w:sz w:val="21"/>
          <w:szCs w:val="21"/>
          <w:lang w:val="es-ES_tradnl"/>
        </w:rPr>
        <w:t>“1. El fundamento de los Convenios solidarios hasta el tope de la menor cuantía permite que sean suscritos por entidades nacionales, distritales, departamentales y municipales, sin efectuar exclusión entre estas. En este sentido pregunto: ¿Es posible suscribirse un convenio solidario tripartito entre una Gobernación, uno de sus municipios, y una OAC/ JAC del municipio?</w:t>
      </w:r>
    </w:p>
    <w:p w14:paraId="3A761DE9" w14:textId="77777777" w:rsidR="00C122FF" w:rsidRPr="001B1C66" w:rsidRDefault="00C122FF" w:rsidP="00C122FF">
      <w:pPr>
        <w:shd w:val="clear" w:color="auto" w:fill="FFFFFF"/>
        <w:spacing w:after="0" w:line="240" w:lineRule="auto"/>
        <w:ind w:left="709" w:right="709"/>
        <w:jc w:val="both"/>
        <w:rPr>
          <w:rFonts w:ascii="Century Gothic" w:eastAsia="Calibri" w:hAnsi="Century Gothic" w:cs="Arial"/>
          <w:color w:val="000000"/>
          <w:sz w:val="21"/>
          <w:szCs w:val="21"/>
          <w:lang w:val="es-ES_tradnl"/>
        </w:rPr>
      </w:pPr>
    </w:p>
    <w:p w14:paraId="60665114" w14:textId="77777777" w:rsidR="00C122FF" w:rsidRPr="001B1C66" w:rsidRDefault="00C122FF" w:rsidP="0EFABF03">
      <w:pPr>
        <w:shd w:val="clear" w:color="auto" w:fill="FFFFFF" w:themeFill="background1"/>
        <w:spacing w:after="0" w:line="240" w:lineRule="auto"/>
        <w:ind w:left="709" w:right="709"/>
        <w:jc w:val="both"/>
        <w:rPr>
          <w:rFonts w:ascii="Century Gothic" w:eastAsia="Calibri" w:hAnsi="Century Gothic" w:cs="Arial"/>
          <w:color w:val="000000"/>
          <w:sz w:val="21"/>
          <w:szCs w:val="21"/>
          <w:lang w:val="es-ES"/>
        </w:rPr>
      </w:pPr>
      <w:r w:rsidRPr="001B1C66">
        <w:rPr>
          <w:rFonts w:ascii="Century Gothic" w:eastAsia="Calibri" w:hAnsi="Century Gothic" w:cs="Arial"/>
          <w:color w:val="000000" w:themeColor="text1"/>
          <w:sz w:val="21"/>
          <w:szCs w:val="21"/>
          <w:lang w:val="es-ES"/>
        </w:rPr>
        <w:t xml:space="preserve">2. De admitirse la posibilidad de suscribirse un Convenio Solidario Tripartito (ya que la norma no establece una </w:t>
      </w:r>
      <w:proofErr w:type="spellStart"/>
      <w:r w:rsidRPr="001B1C66">
        <w:rPr>
          <w:rFonts w:ascii="Century Gothic" w:eastAsia="Calibri" w:hAnsi="Century Gothic" w:cs="Arial"/>
          <w:color w:val="000000" w:themeColor="text1"/>
          <w:sz w:val="21"/>
          <w:szCs w:val="21"/>
          <w:lang w:val="es-ES"/>
        </w:rPr>
        <w:t>restriccion</w:t>
      </w:r>
      <w:proofErr w:type="spellEnd"/>
      <w:r w:rsidRPr="001B1C66">
        <w:rPr>
          <w:rFonts w:ascii="Century Gothic" w:eastAsia="Calibri" w:hAnsi="Century Gothic" w:cs="Arial"/>
          <w:color w:val="000000" w:themeColor="text1"/>
          <w:sz w:val="21"/>
          <w:szCs w:val="21"/>
          <w:lang w:val="es-ES"/>
        </w:rPr>
        <w:t xml:space="preserve">, </w:t>
      </w:r>
      <w:proofErr w:type="spellStart"/>
      <w:r w:rsidRPr="001B1C66">
        <w:rPr>
          <w:rFonts w:ascii="Century Gothic" w:eastAsia="Calibri" w:hAnsi="Century Gothic" w:cs="Arial"/>
          <w:color w:val="000000" w:themeColor="text1"/>
          <w:sz w:val="21"/>
          <w:szCs w:val="21"/>
          <w:lang w:val="es-ES"/>
        </w:rPr>
        <w:t>mas</w:t>
      </w:r>
      <w:proofErr w:type="spellEnd"/>
      <w:r w:rsidRPr="001B1C66">
        <w:rPr>
          <w:rFonts w:ascii="Century Gothic" w:eastAsia="Calibri" w:hAnsi="Century Gothic" w:cs="Arial"/>
          <w:color w:val="000000" w:themeColor="text1"/>
          <w:sz w:val="21"/>
          <w:szCs w:val="21"/>
          <w:lang w:val="es-ES"/>
        </w:rPr>
        <w:t xml:space="preserve"> cuando dos de las partes pueden fungir como contratantes) : ¿ </w:t>
      </w:r>
      <w:proofErr w:type="spellStart"/>
      <w:r w:rsidRPr="001B1C66">
        <w:rPr>
          <w:rFonts w:ascii="Century Gothic" w:eastAsia="Calibri" w:hAnsi="Century Gothic" w:cs="Arial"/>
          <w:color w:val="000000" w:themeColor="text1"/>
          <w:sz w:val="21"/>
          <w:szCs w:val="21"/>
          <w:lang w:val="es-ES"/>
        </w:rPr>
        <w:t>Cual</w:t>
      </w:r>
      <w:proofErr w:type="spellEnd"/>
      <w:r w:rsidRPr="001B1C66">
        <w:rPr>
          <w:rFonts w:ascii="Century Gothic" w:eastAsia="Calibri" w:hAnsi="Century Gothic" w:cs="Arial"/>
          <w:color w:val="000000" w:themeColor="text1"/>
          <w:sz w:val="21"/>
          <w:szCs w:val="21"/>
          <w:lang w:val="es-ES"/>
        </w:rPr>
        <w:t xml:space="preserve"> sería la menor cuantía del presupuesto global a tenerse en cuenta? ¿Sería la de la Gobernación si la menor </w:t>
      </w:r>
      <w:proofErr w:type="spellStart"/>
      <w:r w:rsidRPr="001B1C66">
        <w:rPr>
          <w:rFonts w:ascii="Century Gothic" w:eastAsia="Calibri" w:hAnsi="Century Gothic" w:cs="Arial"/>
          <w:color w:val="000000" w:themeColor="text1"/>
          <w:sz w:val="21"/>
          <w:szCs w:val="21"/>
          <w:lang w:val="es-ES"/>
        </w:rPr>
        <w:t>cuantia</w:t>
      </w:r>
      <w:proofErr w:type="spellEnd"/>
      <w:r w:rsidRPr="001B1C66">
        <w:rPr>
          <w:rFonts w:ascii="Century Gothic" w:eastAsia="Calibri" w:hAnsi="Century Gothic" w:cs="Arial"/>
          <w:color w:val="000000" w:themeColor="text1"/>
          <w:sz w:val="21"/>
          <w:szCs w:val="21"/>
          <w:lang w:val="es-ES"/>
        </w:rPr>
        <w:t xml:space="preserve"> del municipio es inferior? ¿o </w:t>
      </w:r>
      <w:proofErr w:type="spellStart"/>
      <w:r w:rsidRPr="001B1C66">
        <w:rPr>
          <w:rFonts w:ascii="Century Gothic" w:eastAsia="Calibri" w:hAnsi="Century Gothic" w:cs="Arial"/>
          <w:color w:val="000000" w:themeColor="text1"/>
          <w:sz w:val="21"/>
          <w:szCs w:val="21"/>
          <w:lang w:val="es-ES"/>
        </w:rPr>
        <w:t>como</w:t>
      </w:r>
      <w:proofErr w:type="spellEnd"/>
      <w:r w:rsidRPr="001B1C66">
        <w:rPr>
          <w:rFonts w:ascii="Century Gothic" w:eastAsia="Calibri" w:hAnsi="Century Gothic" w:cs="Arial"/>
          <w:color w:val="000000" w:themeColor="text1"/>
          <w:sz w:val="21"/>
          <w:szCs w:val="21"/>
          <w:lang w:val="es-ES"/>
        </w:rPr>
        <w:t>?” [SIC]</w:t>
      </w:r>
    </w:p>
    <w:p w14:paraId="50415983" w14:textId="77777777" w:rsidR="00C122FF" w:rsidRPr="001B1C66" w:rsidRDefault="00C122FF" w:rsidP="00C122FF">
      <w:pPr>
        <w:shd w:val="clear" w:color="auto" w:fill="FFFFFF"/>
        <w:spacing w:after="0" w:line="276" w:lineRule="auto"/>
        <w:jc w:val="both"/>
        <w:rPr>
          <w:rFonts w:ascii="Century Gothic" w:eastAsia="Calibri" w:hAnsi="Century Gothic" w:cs="Arial"/>
          <w:lang w:eastAsia="es-MX"/>
        </w:rPr>
      </w:pPr>
    </w:p>
    <w:p w14:paraId="7613C9FB" w14:textId="77777777" w:rsidR="00C122FF" w:rsidRPr="001B1C66" w:rsidRDefault="00C122FF" w:rsidP="00C122FF">
      <w:pPr>
        <w:shd w:val="clear" w:color="auto" w:fill="FFFFFF"/>
        <w:spacing w:after="0" w:line="276" w:lineRule="auto"/>
        <w:jc w:val="both"/>
        <w:rPr>
          <w:rFonts w:ascii="Century Gothic" w:eastAsia="Calibri" w:hAnsi="Century Gothic" w:cs="Arial"/>
          <w:lang w:eastAsia="es-MX"/>
        </w:rPr>
      </w:pPr>
      <w:r w:rsidRPr="001B1C66">
        <w:rPr>
          <w:rFonts w:ascii="Century Gothic" w:eastAsia="Calibri" w:hAnsi="Century Gothic" w:cs="Arial"/>
          <w:lang w:eastAsia="es-MX"/>
        </w:rPr>
        <w:t xml:space="preserve">Es importante señalar que las normas que regulan los convenios solidarios para la ejecución de obras con Organismos de Acción Comunal no imponen límites en cuanto al número de integrantes que pueden configurar cada una de las partes de la </w:t>
      </w:r>
      <w:r w:rsidRPr="001B1C66">
        <w:rPr>
          <w:rFonts w:ascii="Century Gothic" w:eastAsia="Calibri" w:hAnsi="Century Gothic" w:cs="Arial"/>
          <w:i/>
          <w:iCs/>
          <w:lang w:eastAsia="es-MX"/>
        </w:rPr>
        <w:t>relación de colaboración</w:t>
      </w:r>
      <w:r w:rsidRPr="001B1C66">
        <w:rPr>
          <w:rFonts w:ascii="Century Gothic" w:eastAsia="Calibri" w:hAnsi="Century Gothic" w:cs="Arial"/>
          <w:lang w:eastAsia="es-MX"/>
        </w:rPr>
        <w:t xml:space="preserve">. Sobre el particular, es necesario advertir que el artículo 13 de la Ley 80 de 1993 establece </w:t>
      </w:r>
      <w:r w:rsidRPr="001B1C66">
        <w:rPr>
          <w:rFonts w:ascii="Century Gothic" w:eastAsia="Calibri" w:hAnsi="Century Gothic" w:cs="Arial"/>
          <w:i/>
          <w:iCs/>
          <w:lang w:eastAsia="es-MX"/>
        </w:rPr>
        <w:t>“[l]os contratos que celebren las entidades a que se refiere el artículo 2o. del presente estatuto se regirán por las disposiciones comerciales y civiles pertinentes, salvo en las materias particularmente reguladas en esta ley”.</w:t>
      </w:r>
      <w:r w:rsidRPr="001B1C66">
        <w:rPr>
          <w:rFonts w:ascii="Century Gothic" w:eastAsia="Calibri" w:hAnsi="Century Gothic" w:cs="Arial"/>
          <w:lang w:eastAsia="es-MX"/>
        </w:rPr>
        <w:t xml:space="preserve"> Por lo tanto, al no existir una regulación expresa sobre la pluralidad de partes en el Estatuto General de Contratación de la Administración Pública, se hace necesario acudir a lo dispuesto en el Código Civil, </w:t>
      </w:r>
      <w:r w:rsidRPr="001B1C66">
        <w:rPr>
          <w:rFonts w:ascii="Century Gothic" w:eastAsia="Calibri" w:hAnsi="Century Gothic" w:cs="Arial"/>
          <w:lang w:eastAsia="es-MX"/>
        </w:rPr>
        <w:lastRenderedPageBreak/>
        <w:t xml:space="preserve">a propósito de la definición de contrato o convención: </w:t>
      </w:r>
      <w:r w:rsidRPr="001B1C66">
        <w:rPr>
          <w:rFonts w:ascii="Century Gothic" w:eastAsia="Calibri" w:hAnsi="Century Gothic" w:cs="Arial"/>
          <w:i/>
          <w:iCs/>
          <w:lang w:eastAsia="es-MX"/>
        </w:rPr>
        <w:t>“[c]</w:t>
      </w:r>
      <w:proofErr w:type="spellStart"/>
      <w:r w:rsidRPr="001B1C66">
        <w:rPr>
          <w:rFonts w:ascii="Century Gothic" w:eastAsia="Calibri" w:hAnsi="Century Gothic" w:cs="Arial"/>
          <w:i/>
          <w:iCs/>
          <w:lang w:eastAsia="es-MX"/>
        </w:rPr>
        <w:t>ontrato</w:t>
      </w:r>
      <w:proofErr w:type="spellEnd"/>
      <w:r w:rsidRPr="001B1C66">
        <w:rPr>
          <w:rFonts w:ascii="Century Gothic" w:eastAsia="Calibri" w:hAnsi="Century Gothic" w:cs="Arial"/>
          <w:i/>
          <w:iCs/>
          <w:lang w:eastAsia="es-MX"/>
        </w:rPr>
        <w:t xml:space="preserve"> o convención es un acto por el cual una parte se obliga para con otra a dar, hacer o no hacer alguna cosa. </w:t>
      </w:r>
      <w:r w:rsidRPr="001B1C66">
        <w:rPr>
          <w:rFonts w:ascii="Century Gothic" w:eastAsia="Calibri" w:hAnsi="Century Gothic" w:cs="Arial"/>
          <w:i/>
          <w:iCs/>
          <w:u w:val="single"/>
          <w:lang w:eastAsia="es-MX"/>
        </w:rPr>
        <w:t>Cada parte puede ser de una o de muchas personas</w:t>
      </w:r>
      <w:r w:rsidRPr="001B1C66">
        <w:rPr>
          <w:rFonts w:ascii="Century Gothic" w:eastAsia="Calibri" w:hAnsi="Century Gothic" w:cs="Arial"/>
          <w:i/>
          <w:iCs/>
          <w:lang w:eastAsia="es-MX"/>
        </w:rPr>
        <w:t>.”</w:t>
      </w:r>
      <w:r w:rsidRPr="001B1C66">
        <w:rPr>
          <w:rFonts w:ascii="Century Gothic" w:eastAsia="Calibri" w:hAnsi="Century Gothic" w:cs="Arial"/>
          <w:lang w:eastAsia="es-MX"/>
        </w:rPr>
        <w:t xml:space="preserve"> (Énfasis fuera del texto original).</w:t>
      </w:r>
    </w:p>
    <w:p w14:paraId="7038A8C1"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En virtud de lo anterior, debe concluirse que la pluralidad de partes en los contratos celebrados por Entidades Estatales es plenamente válida y encuentra su fundamento en el artículo 1495 del Código Civil, por expresa remisión del artículo 13 de la Ley 80 de 1993, lo cual es aplicable, también, a los convenios solidarios del artículo 95 de la Ley 2166 de 2021, para la ejecución de obras hasta la menor cuantía con Organismos de Acción Comunal, estudiados en este concepto. Esto significa que puede haber más de una Entidad Estatal u Organismo de Acción Comunal en ambos extremos de la relación, siempre y cuando no se desnaturalice el objeto de este tipo de convenios y se cumplan los presupuestos y requisitos para su celebración y ejecución. Así, es importante que cada una de las partes del convenio cumpla con los requisitos establecidos por la norma.</w:t>
      </w:r>
    </w:p>
    <w:p w14:paraId="48AED6A5" w14:textId="77777777"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Por otra parte, conforme al artículo 95 de la Ley 2166 de 2021, estos convenios solidarios </w:t>
      </w:r>
      <w:r w:rsidRPr="001B1C66">
        <w:rPr>
          <w:rFonts w:ascii="Century Gothic" w:eastAsia="Calibri" w:hAnsi="Century Gothic" w:cs="Arial"/>
          <w:color w:val="000000"/>
          <w:lang w:val="es-ES_tradnl"/>
        </w:rPr>
        <w:t>tienen un límite consistente en que no podrán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w:t>
      </w:r>
    </w:p>
    <w:p w14:paraId="766D4C62" w14:textId="6F9F4C29" w:rsidR="00C122FF" w:rsidRPr="001B1C66" w:rsidRDefault="00C122FF" w:rsidP="00C122FF">
      <w:pPr>
        <w:shd w:val="clear" w:color="auto" w:fill="FFFFFF"/>
        <w:spacing w:before="120" w:after="0" w:line="276" w:lineRule="auto"/>
        <w:ind w:firstLine="709"/>
        <w:jc w:val="both"/>
        <w:rPr>
          <w:rFonts w:ascii="Century Gothic" w:eastAsia="Calibri" w:hAnsi="Century Gothic" w:cs="Arial"/>
          <w:lang w:eastAsia="es-MX"/>
        </w:rPr>
      </w:pPr>
      <w:r w:rsidRPr="001B1C66">
        <w:rPr>
          <w:rFonts w:ascii="Century Gothic" w:eastAsia="Calibri" w:hAnsi="Century Gothic" w:cs="Arial"/>
          <w:lang w:eastAsia="es-MX"/>
        </w:rPr>
        <w:t xml:space="preserve">Sin embargo, si bien el precitado artículo 2 de la Ley 1150 de 2007 establece la forma de determinar la menor cuantía de las entidades públicas, existe un </w:t>
      </w:r>
      <w:r w:rsidRPr="001B1C66">
        <w:rPr>
          <w:rFonts w:ascii="Century Gothic" w:eastAsia="Calibri" w:hAnsi="Century Gothic" w:cs="Arial"/>
          <w:i/>
          <w:iCs/>
          <w:lang w:eastAsia="es-MX"/>
        </w:rPr>
        <w:t>vacío legal</w:t>
      </w:r>
      <w:r w:rsidRPr="001B1C66">
        <w:rPr>
          <w:rFonts w:ascii="Century Gothic" w:eastAsia="Calibri" w:hAnsi="Century Gothic" w:cs="Arial"/>
          <w:lang w:eastAsia="es-MX"/>
        </w:rPr>
        <w:t xml:space="preserve"> cuando se trata de dos o más entidades que hacen parte de una relación negocial, ya que no se reguló cuál de las menores cuantías debe considerarse en estas situaciones o cómo determinarse a efectos de adelantar el proceso de contratación. Por lo tanto, en criterio de esta Subdirección, corresponde a las partes del convenio solidario establecer el tope de la menor cuantía cuando participen dos o más Entidades Estatales.</w:t>
      </w:r>
      <w:r w:rsidR="00D73F83">
        <w:rPr>
          <w:rFonts w:ascii="Century Gothic" w:eastAsia="Calibri" w:hAnsi="Century Gothic" w:cs="Arial"/>
          <w:lang w:eastAsia="es-MX"/>
        </w:rPr>
        <w:t xml:space="preserve"> </w:t>
      </w:r>
      <w:r w:rsidR="00B4010D" w:rsidRPr="00B4010D">
        <w:rPr>
          <w:rFonts w:ascii="Century Gothic" w:eastAsia="Calibri" w:hAnsi="Century Gothic" w:cs="Arial"/>
          <w:lang w:eastAsia="es-MX"/>
        </w:rPr>
        <w:t>Lo anterior, previa justificación de la decisión que adopten, conforme al marco jurídico particular que resulte aplicable al caso concreto y lo expresado en los estudios previos.</w:t>
      </w:r>
    </w:p>
    <w:p w14:paraId="5A1840A3" w14:textId="77777777" w:rsidR="00C122FF" w:rsidRPr="001B1C66" w:rsidRDefault="00C122FF" w:rsidP="00C122FF">
      <w:pPr>
        <w:shd w:val="clear" w:color="auto" w:fill="FFFFFF"/>
        <w:spacing w:after="0" w:line="276" w:lineRule="auto"/>
        <w:jc w:val="both"/>
        <w:rPr>
          <w:rFonts w:ascii="Century Gothic" w:eastAsia="Calibri" w:hAnsi="Century Gothic" w:cs="Arial"/>
          <w:color w:val="000000"/>
          <w:lang w:eastAsia="es-MX"/>
        </w:rPr>
      </w:pPr>
    </w:p>
    <w:p w14:paraId="6F74A2ED" w14:textId="77777777" w:rsidR="00C122FF" w:rsidRPr="001B1C66" w:rsidRDefault="00C122FF" w:rsidP="00C122FF">
      <w:pPr>
        <w:shd w:val="clear" w:color="auto" w:fill="FFFFFF"/>
        <w:spacing w:after="0" w:line="276" w:lineRule="auto"/>
        <w:jc w:val="both"/>
        <w:rPr>
          <w:rFonts w:ascii="Century Gothic" w:eastAsia="Calibri" w:hAnsi="Century Gothic" w:cs="Arial"/>
          <w:lang w:eastAsia="es-MX"/>
        </w:rPr>
      </w:pPr>
      <w:r w:rsidRPr="001B1C66">
        <w:rPr>
          <w:rFonts w:ascii="Century Gothic" w:eastAsia="Calibri" w:hAnsi="Century Gothic" w:cs="Arial"/>
          <w:color w:val="000000"/>
          <w:lang w:eastAsia="es-MX"/>
        </w:rPr>
        <w:t xml:space="preserve">Este concepto tiene el alcance previsto en el artículo 28 del Código de Procedimiento Administrativo y de lo Contencioso Administrativo y las expresiones </w:t>
      </w:r>
      <w:r w:rsidRPr="001B1C66">
        <w:rPr>
          <w:rFonts w:ascii="Century Gothic" w:eastAsia="Calibri" w:hAnsi="Century Gothic" w:cs="Arial"/>
          <w:color w:val="000000"/>
          <w:lang w:eastAsia="es-MX"/>
        </w:rPr>
        <w:lastRenderedPageBreak/>
        <w:t>aquí utilizadas con mayúscula inicial deben ser entendidas con el significado que les otorga el artículo 2.2.1.1.1.3.1. del Decreto 1082 de 2015.</w:t>
      </w:r>
    </w:p>
    <w:p w14:paraId="689B45A5" w14:textId="77777777" w:rsidR="00C122FF" w:rsidRPr="001B1C66" w:rsidRDefault="00C122FF" w:rsidP="00C122FF">
      <w:pPr>
        <w:widowControl w:val="0"/>
        <w:shd w:val="clear" w:color="auto" w:fill="FFFFFF"/>
        <w:autoSpaceDE w:val="0"/>
        <w:autoSpaceDN w:val="0"/>
        <w:spacing w:after="0" w:line="276" w:lineRule="auto"/>
        <w:jc w:val="both"/>
        <w:rPr>
          <w:rFonts w:ascii="Century Gothic" w:eastAsia="Calibri" w:hAnsi="Century Gothic" w:cs="Arial"/>
          <w:color w:val="000000"/>
          <w:lang w:val="es-ES_tradnl" w:bidi="es-ES"/>
        </w:rPr>
      </w:pPr>
    </w:p>
    <w:p w14:paraId="27CBCC58" w14:textId="77777777" w:rsidR="00C122FF" w:rsidRPr="001B1C66" w:rsidRDefault="00C122FF" w:rsidP="00C122FF">
      <w:pPr>
        <w:shd w:val="clear" w:color="auto" w:fill="FFFFFF"/>
        <w:tabs>
          <w:tab w:val="left" w:pos="426"/>
        </w:tabs>
        <w:spacing w:line="276" w:lineRule="auto"/>
        <w:jc w:val="both"/>
        <w:rPr>
          <w:rFonts w:ascii="Century Gothic" w:eastAsia="Times New Roman" w:hAnsi="Century Gothic" w:cs="Arial"/>
          <w:color w:val="000000"/>
        </w:rPr>
      </w:pPr>
      <w:r w:rsidRPr="001B1C66">
        <w:rPr>
          <w:rFonts w:ascii="Century Gothic" w:eastAsia="Times New Roman" w:hAnsi="Century Gothic" w:cs="Arial"/>
          <w:color w:val="000000"/>
        </w:rPr>
        <w:t>Atentamente,</w:t>
      </w:r>
    </w:p>
    <w:p w14:paraId="506B1A0B" w14:textId="58C62CB0" w:rsidR="00C122FF" w:rsidRPr="001B1C66" w:rsidRDefault="002A2745" w:rsidP="00C122FF">
      <w:pPr>
        <w:jc w:val="center"/>
        <w:rPr>
          <w:rFonts w:ascii="Century Gothic" w:eastAsia="Calibri" w:hAnsi="Century Gothic" w:cs="Arial"/>
        </w:rPr>
      </w:pPr>
      <w:r>
        <w:rPr>
          <w:rFonts w:ascii="Arial" w:hAnsi="Arial" w:cs="Arial"/>
          <w:noProof/>
          <w:color w:val="000000"/>
          <w:lang w:val="es-ES_tradnl"/>
        </w:rPr>
        <w:drawing>
          <wp:inline distT="0" distB="0" distL="0" distR="0" wp14:anchorId="45AD3913" wp14:editId="21735F47">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122FF" w:rsidRPr="001B1C66" w14:paraId="5CC060C3" w14:textId="77777777" w:rsidTr="00991E78">
        <w:trPr>
          <w:trHeight w:val="409"/>
        </w:trPr>
        <w:tc>
          <w:tcPr>
            <w:tcW w:w="817" w:type="dxa"/>
            <w:tcBorders>
              <w:top w:val="nil"/>
              <w:left w:val="nil"/>
              <w:bottom w:val="nil"/>
              <w:right w:val="nil"/>
            </w:tcBorders>
            <w:vAlign w:val="center"/>
            <w:hideMark/>
          </w:tcPr>
          <w:p w14:paraId="37D2FC2D"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Elaboró: </w:t>
            </w:r>
          </w:p>
        </w:tc>
        <w:tc>
          <w:tcPr>
            <w:tcW w:w="4937" w:type="dxa"/>
            <w:tcBorders>
              <w:top w:val="nil"/>
              <w:left w:val="nil"/>
              <w:bottom w:val="dotted" w:sz="6" w:space="0" w:color="7F7F7F"/>
              <w:right w:val="nil"/>
            </w:tcBorders>
            <w:vAlign w:val="center"/>
            <w:hideMark/>
          </w:tcPr>
          <w:p w14:paraId="34211E91"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Kevin Arlid Herrera Santa</w:t>
            </w:r>
          </w:p>
          <w:p w14:paraId="759E80CE"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Contratista de la Subdirección de Gestión Contractual</w:t>
            </w:r>
          </w:p>
        </w:tc>
      </w:tr>
      <w:tr w:rsidR="00C122FF" w:rsidRPr="001B1C66" w14:paraId="34EAE5C1" w14:textId="77777777" w:rsidTr="00991E78">
        <w:trPr>
          <w:trHeight w:val="409"/>
        </w:trPr>
        <w:tc>
          <w:tcPr>
            <w:tcW w:w="817" w:type="dxa"/>
            <w:tcBorders>
              <w:top w:val="nil"/>
              <w:left w:val="nil"/>
              <w:right w:val="nil"/>
            </w:tcBorders>
            <w:vAlign w:val="center"/>
          </w:tcPr>
          <w:p w14:paraId="5B4CF17B" w14:textId="77777777" w:rsidR="00C122FF" w:rsidRPr="001B1C66" w:rsidRDefault="00C122FF" w:rsidP="00C122FF">
            <w:pPr>
              <w:shd w:val="clear" w:color="auto" w:fill="FFFFFF"/>
              <w:jc w:val="both"/>
              <w:rPr>
                <w:rFonts w:ascii="Century Gothic" w:eastAsia="Calibri" w:hAnsi="Century Gothic" w:cs="Arial"/>
                <w:sz w:val="16"/>
                <w:szCs w:val="16"/>
              </w:rPr>
            </w:pPr>
            <w:r w:rsidRPr="001B1C66">
              <w:rPr>
                <w:rFonts w:ascii="Century Gothic" w:eastAsia="Calibri" w:hAnsi="Century Gothic" w:cs="Arial"/>
                <w:sz w:val="16"/>
                <w:szCs w:val="16"/>
              </w:rPr>
              <w:t>Revisó</w:t>
            </w:r>
          </w:p>
        </w:tc>
        <w:tc>
          <w:tcPr>
            <w:tcW w:w="4937" w:type="dxa"/>
            <w:tcBorders>
              <w:top w:val="dotted" w:sz="6" w:space="0" w:color="7F7F7F"/>
              <w:left w:val="nil"/>
              <w:bottom w:val="dotted" w:sz="6" w:space="0" w:color="7F7F7F"/>
              <w:right w:val="nil"/>
            </w:tcBorders>
            <w:vAlign w:val="center"/>
          </w:tcPr>
          <w:p w14:paraId="31D8D0F4"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Martha Alicia Romero Vargas</w:t>
            </w:r>
          </w:p>
          <w:p w14:paraId="65D4EF3D"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Gestor T1-15 de la Subdirección de Gestión Contractual</w:t>
            </w:r>
          </w:p>
        </w:tc>
      </w:tr>
      <w:tr w:rsidR="00C122FF" w:rsidRPr="001B1C66" w14:paraId="1A28F8FD" w14:textId="77777777" w:rsidTr="00991E78">
        <w:trPr>
          <w:trHeight w:val="389"/>
        </w:trPr>
        <w:tc>
          <w:tcPr>
            <w:tcW w:w="817" w:type="dxa"/>
            <w:tcBorders>
              <w:top w:val="nil"/>
              <w:left w:val="nil"/>
              <w:bottom w:val="nil"/>
              <w:right w:val="nil"/>
            </w:tcBorders>
            <w:vAlign w:val="center"/>
            <w:hideMark/>
          </w:tcPr>
          <w:p w14:paraId="327CFADA"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Aprobó: </w:t>
            </w:r>
          </w:p>
        </w:tc>
        <w:tc>
          <w:tcPr>
            <w:tcW w:w="4937" w:type="dxa"/>
            <w:tcBorders>
              <w:top w:val="dotted" w:sz="6" w:space="0" w:color="7F7F7F"/>
              <w:left w:val="nil"/>
              <w:bottom w:val="dotted" w:sz="6" w:space="0" w:color="7F7F7F"/>
              <w:right w:val="nil"/>
            </w:tcBorders>
            <w:vAlign w:val="center"/>
            <w:hideMark/>
          </w:tcPr>
          <w:p w14:paraId="7FB03995"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 xml:space="preserve">Nohelia del Carmen </w:t>
            </w:r>
            <w:proofErr w:type="spellStart"/>
            <w:r w:rsidRPr="001B1C66">
              <w:rPr>
                <w:rFonts w:ascii="Century Gothic" w:eastAsia="Calibri" w:hAnsi="Century Gothic" w:cs="Arial"/>
                <w:sz w:val="16"/>
                <w:szCs w:val="16"/>
              </w:rPr>
              <w:t>Zawady</w:t>
            </w:r>
            <w:proofErr w:type="spellEnd"/>
            <w:r w:rsidRPr="001B1C66">
              <w:rPr>
                <w:rFonts w:ascii="Century Gothic" w:eastAsia="Calibri" w:hAnsi="Century Gothic" w:cs="Arial"/>
                <w:sz w:val="16"/>
                <w:szCs w:val="16"/>
              </w:rPr>
              <w:t xml:space="preserve"> Palacio</w:t>
            </w:r>
          </w:p>
          <w:p w14:paraId="269E18C5" w14:textId="77777777" w:rsidR="00C122FF" w:rsidRPr="001B1C66" w:rsidRDefault="00C122FF" w:rsidP="00C122FF">
            <w:pPr>
              <w:shd w:val="clear" w:color="auto" w:fill="FFFFFF"/>
              <w:spacing w:after="0" w:line="240" w:lineRule="auto"/>
              <w:jc w:val="both"/>
              <w:rPr>
                <w:rFonts w:ascii="Century Gothic" w:eastAsia="Calibri" w:hAnsi="Century Gothic" w:cs="Arial"/>
                <w:sz w:val="16"/>
                <w:szCs w:val="16"/>
              </w:rPr>
            </w:pPr>
            <w:r w:rsidRPr="001B1C66">
              <w:rPr>
                <w:rFonts w:ascii="Century Gothic" w:eastAsia="Calibri" w:hAnsi="Century Gothic" w:cs="Arial"/>
                <w:sz w:val="16"/>
                <w:szCs w:val="16"/>
              </w:rPr>
              <w:t>Subdirectora de Gestión Contractual ANCP - CCE</w:t>
            </w:r>
          </w:p>
        </w:tc>
      </w:tr>
      <w:bookmarkEnd w:id="3"/>
    </w:tbl>
    <w:p w14:paraId="30E4B6F6" w14:textId="77777777" w:rsidR="00C122FF" w:rsidRPr="001B1C66" w:rsidRDefault="00C122FF" w:rsidP="00C122FF">
      <w:pPr>
        <w:spacing w:after="0"/>
        <w:rPr>
          <w:rFonts w:ascii="Century Gothic" w:eastAsia="Calibri" w:hAnsi="Century Gothic" w:cs="Arial"/>
          <w:b/>
          <w:color w:val="002060"/>
        </w:rPr>
      </w:pPr>
    </w:p>
    <w:bookmarkEnd w:id="0"/>
    <w:p w14:paraId="514BC5EC" w14:textId="77777777" w:rsidR="00C122FF" w:rsidRPr="001B1C66" w:rsidRDefault="00C122FF" w:rsidP="00C122FF">
      <w:pPr>
        <w:spacing w:after="0"/>
        <w:rPr>
          <w:rFonts w:ascii="Century Gothic" w:eastAsia="Calibri" w:hAnsi="Century Gothic" w:cs="Times New Roman"/>
        </w:rPr>
      </w:pPr>
    </w:p>
    <w:p w14:paraId="62F4BE4E" w14:textId="77777777" w:rsidR="00C122FF" w:rsidRPr="001B1C66" w:rsidRDefault="00C122FF" w:rsidP="00C122FF">
      <w:pPr>
        <w:spacing w:after="0" w:line="240" w:lineRule="auto"/>
        <w:rPr>
          <w:rFonts w:ascii="Century Gothic" w:eastAsia="Aptos" w:hAnsi="Century Gothic" w:cs="Times New Roman"/>
          <w:kern w:val="2"/>
          <w:sz w:val="24"/>
          <w:szCs w:val="24"/>
          <w:lang w:val="es-ES_tradnl"/>
          <w14:ligatures w14:val="standardContextual"/>
        </w:rPr>
      </w:pPr>
    </w:p>
    <w:p w14:paraId="7EBFAB6A" w14:textId="77777777" w:rsidR="005A6AA1" w:rsidRPr="001B1C66" w:rsidRDefault="005A6AA1" w:rsidP="00400548">
      <w:pPr>
        <w:spacing w:after="0"/>
        <w:rPr>
          <w:rFonts w:ascii="Century Gothic" w:hAnsi="Century Gothic"/>
          <w:lang w:val="es-MX"/>
        </w:rPr>
      </w:pPr>
    </w:p>
    <w:sectPr w:rsidR="005A6AA1" w:rsidRPr="001B1C66" w:rsidSect="00E6450D">
      <w:headerReference w:type="default" r:id="rId18"/>
      <w:footerReference w:type="default" r:id="rId19"/>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CB02" w14:textId="77777777" w:rsidR="00E6450D" w:rsidRDefault="00E6450D" w:rsidP="004A1847">
      <w:pPr>
        <w:spacing w:after="0" w:line="240" w:lineRule="auto"/>
      </w:pPr>
      <w:r>
        <w:separator/>
      </w:r>
    </w:p>
  </w:endnote>
  <w:endnote w:type="continuationSeparator" w:id="0">
    <w:p w14:paraId="48715397" w14:textId="77777777" w:rsidR="00E6450D" w:rsidRDefault="00E6450D" w:rsidP="004A1847">
      <w:pPr>
        <w:spacing w:after="0" w:line="240" w:lineRule="auto"/>
      </w:pPr>
      <w:r>
        <w:continuationSeparator/>
      </w:r>
    </w:p>
  </w:endnote>
  <w:endnote w:type="continuationNotice" w:id="1">
    <w:p w14:paraId="36141C8F" w14:textId="77777777" w:rsidR="00E6450D" w:rsidRDefault="00E6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64A8" w14:textId="77777777" w:rsidR="00E6450D" w:rsidRDefault="00E6450D" w:rsidP="004A1847">
      <w:pPr>
        <w:spacing w:after="0" w:line="240" w:lineRule="auto"/>
      </w:pPr>
      <w:r>
        <w:separator/>
      </w:r>
    </w:p>
  </w:footnote>
  <w:footnote w:type="continuationSeparator" w:id="0">
    <w:p w14:paraId="63405FAE" w14:textId="77777777" w:rsidR="00E6450D" w:rsidRDefault="00E6450D" w:rsidP="004A1847">
      <w:pPr>
        <w:spacing w:after="0" w:line="240" w:lineRule="auto"/>
      </w:pPr>
      <w:r>
        <w:continuationSeparator/>
      </w:r>
    </w:p>
  </w:footnote>
  <w:footnote w:type="continuationNotice" w:id="1">
    <w:p w14:paraId="171C5138" w14:textId="77777777" w:rsidR="00E6450D" w:rsidRDefault="00E6450D">
      <w:pPr>
        <w:spacing w:after="0" w:line="240" w:lineRule="auto"/>
      </w:pPr>
    </w:p>
  </w:footnote>
  <w:footnote w:id="2">
    <w:p w14:paraId="72FA12B0" w14:textId="77777777" w:rsidR="00C122FF" w:rsidRPr="001B1C66" w:rsidRDefault="00C122FF" w:rsidP="00C122F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1B1C66">
          <w:rPr>
            <w:rStyle w:val="Hipervnculo"/>
            <w:rFonts w:ascii="Century Gothic" w:hAnsi="Century Gothic" w:cs="Arial"/>
            <w:sz w:val="18"/>
            <w:szCs w:val="18"/>
          </w:rPr>
          <w:t>https://relatoria.colombiacompra.gov.co/busqueda/conceptos</w:t>
        </w:r>
      </w:hyperlink>
      <w:r w:rsidRPr="001B1C66">
        <w:rPr>
          <w:rStyle w:val="Hipervnculo"/>
          <w:rFonts w:ascii="Century Gothic" w:hAnsi="Century Gothic" w:cs="Arial"/>
          <w:sz w:val="18"/>
          <w:szCs w:val="18"/>
        </w:rPr>
        <w:t xml:space="preserve">. </w:t>
      </w:r>
      <w:r w:rsidRPr="001B1C66">
        <w:rPr>
          <w:rFonts w:ascii="Century Gothic" w:hAnsi="Century Gothic" w:cs="Arial"/>
          <w:sz w:val="18"/>
          <w:szCs w:val="18"/>
          <w:shd w:val="clear" w:color="auto" w:fill="E6E6E6"/>
        </w:rPr>
        <w:t xml:space="preserve"> </w:t>
      </w:r>
    </w:p>
  </w:footnote>
  <w:footnote w:id="3">
    <w:p w14:paraId="7EABF227" w14:textId="77777777" w:rsidR="00C122FF" w:rsidRPr="001B1C66" w:rsidRDefault="00C122FF" w:rsidP="00C122F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Corte Constitucional, M.P. Clara Inés Vargas Hernández, en sentencia C 580 del 6 de junio de 2001, </w:t>
      </w:r>
      <w:proofErr w:type="spellStart"/>
      <w:r w:rsidRPr="001B1C66">
        <w:rPr>
          <w:rFonts w:ascii="Century Gothic" w:hAnsi="Century Gothic" w:cs="Arial"/>
          <w:sz w:val="18"/>
          <w:szCs w:val="18"/>
          <w:lang w:val="es-CO"/>
        </w:rPr>
        <w:t>Exp</w:t>
      </w:r>
      <w:proofErr w:type="spellEnd"/>
      <w:r w:rsidRPr="001B1C66">
        <w:rPr>
          <w:rFonts w:ascii="Century Gothic" w:hAnsi="Century Gothic" w:cs="Arial"/>
          <w:sz w:val="18"/>
          <w:szCs w:val="18"/>
          <w:lang w:val="es-CO"/>
        </w:rPr>
        <w:t xml:space="preserve"> O.P.047.</w:t>
      </w:r>
    </w:p>
  </w:footnote>
  <w:footnote w:id="4">
    <w:p w14:paraId="2575CB10" w14:textId="77777777" w:rsidR="00C122FF" w:rsidRPr="001B1C66" w:rsidRDefault="00C122FF" w:rsidP="00C122F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En el segundo grado por su parte, se clasificaron las asociaciones de juntas de acción comunal; en el tercer grado a la Federación de la acción comunal, constituida por los organismos de segundo grado y en cuarto grado al Confederación nacional de Acción comunal, constituido por los organismos de tercer grado y que posteriormente se afilien.</w:t>
      </w:r>
    </w:p>
  </w:footnote>
  <w:footnote w:id="5">
    <w:p w14:paraId="32FBF942" w14:textId="77777777" w:rsidR="00C122FF" w:rsidRPr="001B1C66" w:rsidRDefault="00C122FF" w:rsidP="00C122FF">
      <w:pPr>
        <w:pStyle w:val="Textonotapie"/>
        <w:spacing w:before="120" w:after="120"/>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Corte Constitucional, M.P. Jorge Ignacio Pretelt Chaljub, en sentencia C 106 del 9 de marzo de 2016, </w:t>
      </w:r>
      <w:proofErr w:type="spellStart"/>
      <w:r w:rsidRPr="001B1C66">
        <w:rPr>
          <w:rFonts w:ascii="Century Gothic" w:hAnsi="Century Gothic" w:cs="Arial"/>
          <w:sz w:val="18"/>
          <w:szCs w:val="18"/>
          <w:lang w:val="es-CO"/>
        </w:rPr>
        <w:t>Exp</w:t>
      </w:r>
      <w:proofErr w:type="spellEnd"/>
      <w:r w:rsidRPr="001B1C66">
        <w:rPr>
          <w:rFonts w:ascii="Century Gothic" w:hAnsi="Century Gothic" w:cs="Arial"/>
          <w:sz w:val="18"/>
          <w:szCs w:val="18"/>
          <w:lang w:val="es-CO"/>
        </w:rPr>
        <w:t xml:space="preserve"> D-10894</w:t>
      </w:r>
    </w:p>
  </w:footnote>
  <w:footnote w:id="6">
    <w:p w14:paraId="079627A8" w14:textId="77777777" w:rsidR="00C122FF" w:rsidRPr="001B1C66" w:rsidRDefault="00C122FF" w:rsidP="00C122FF">
      <w:pPr>
        <w:pStyle w:val="Textonotapie"/>
        <w:ind w:firstLine="709"/>
        <w:jc w:val="both"/>
        <w:rPr>
          <w:rFonts w:ascii="Century Gothic" w:hAnsi="Century Gothic" w:cs="Arial"/>
          <w:sz w:val="18"/>
          <w:szCs w:val="18"/>
          <w:lang w:val="es-ES"/>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ES"/>
        </w:rPr>
        <w:t>El numeral 16 del artículo tercero de la Ley 136 de 1994 dispone lo siguiente:</w:t>
      </w:r>
      <w:r w:rsidRPr="001B1C66">
        <w:rPr>
          <w:rFonts w:ascii="Century Gothic" w:hAnsi="Century Gothic" w:cs="Arial"/>
          <w:color w:val="000000"/>
          <w:sz w:val="18"/>
          <w:szCs w:val="18"/>
          <w:lang w:val="es-CO"/>
        </w:rPr>
        <w:t xml:space="preserve"> “[…] </w:t>
      </w:r>
      <w:r w:rsidRPr="001B1C66">
        <w:rPr>
          <w:rFonts w:ascii="Century Gothic" w:hAnsi="Century Gothic"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1B1C66">
        <w:rPr>
          <w:rFonts w:ascii="Century Gothic" w:hAnsi="Century Gothic" w:cs="Arial"/>
          <w:color w:val="000000"/>
          <w:sz w:val="18"/>
          <w:szCs w:val="18"/>
          <w:lang w:val="es-CO"/>
        </w:rPr>
        <w:t xml:space="preserve"> […]”.</w:t>
      </w:r>
    </w:p>
  </w:footnote>
  <w:footnote w:id="7">
    <w:p w14:paraId="267C00DE" w14:textId="77777777" w:rsidR="00C122FF" w:rsidRPr="001B1C66" w:rsidRDefault="00C122FF" w:rsidP="00C122FF">
      <w:pPr>
        <w:pStyle w:val="Textonotapie"/>
        <w:ind w:firstLine="709"/>
        <w:jc w:val="both"/>
        <w:rPr>
          <w:rFonts w:ascii="Century Gothic" w:hAnsi="Century Gothic" w:cs="Arial"/>
          <w:sz w:val="18"/>
          <w:szCs w:val="18"/>
          <w:lang w:val="es-ES"/>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Al respecto puede consultarse, entre otros, los conceptos </w:t>
      </w:r>
      <w:r w:rsidRPr="001B1C66">
        <w:rPr>
          <w:rFonts w:ascii="Century Gothic" w:hAnsi="Century Gothic" w:cs="Arial"/>
          <w:sz w:val="18"/>
          <w:szCs w:val="18"/>
          <w:lang w:val="es-ES"/>
        </w:rPr>
        <w:t xml:space="preserve">C-155 del 14 de abril de 2021, C-364 del 28 de julio de 2021, C-394 del 17 de septiembre de 2021 y C-627 del 25 de octubre de 2021. </w:t>
      </w:r>
    </w:p>
    <w:p w14:paraId="7E3A1E42" w14:textId="77777777" w:rsidR="00C122FF" w:rsidRPr="001B1C66" w:rsidRDefault="00C122FF" w:rsidP="00C122FF">
      <w:pPr>
        <w:pStyle w:val="Textonotapie"/>
        <w:ind w:firstLine="709"/>
        <w:jc w:val="both"/>
        <w:rPr>
          <w:rFonts w:ascii="Century Gothic" w:hAnsi="Century Gothic" w:cs="Arial"/>
          <w:sz w:val="18"/>
          <w:szCs w:val="18"/>
          <w:lang w:val="es-ES"/>
        </w:rPr>
      </w:pPr>
    </w:p>
  </w:footnote>
  <w:footnote w:id="8">
    <w:p w14:paraId="16A7D379" w14:textId="77777777" w:rsidR="00C122FF" w:rsidRPr="001B1C66" w:rsidRDefault="00C122FF" w:rsidP="00C122FF">
      <w:pPr>
        <w:pStyle w:val="Textonotapie"/>
        <w:ind w:firstLine="709"/>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3F68886C" w14:textId="77777777" w:rsidR="00C122FF" w:rsidRPr="001B1C66" w:rsidRDefault="00C122FF" w:rsidP="00C122FF">
      <w:pPr>
        <w:pStyle w:val="Textonotapie"/>
        <w:ind w:firstLine="709"/>
        <w:jc w:val="both"/>
        <w:rPr>
          <w:rFonts w:ascii="Century Gothic" w:hAnsi="Century Gothic" w:cs="Arial"/>
          <w:sz w:val="18"/>
          <w:szCs w:val="18"/>
        </w:rPr>
      </w:pPr>
      <w:r w:rsidRPr="001B1C66">
        <w:rPr>
          <w:rFonts w:ascii="Century Gothic" w:hAnsi="Century Gothic" w:cs="Arial"/>
          <w:sz w:val="18"/>
          <w:szCs w:val="18"/>
        </w:rPr>
        <w:t>Parágrafo: Los contratos o convenios que se celebren en desarrollo del artículo anterior, se sujetarán a lo dispuesto por los artículos 375 a 378 del Decreto 1333 de 1986 y la Ley 80 de 1993”.</w:t>
      </w:r>
    </w:p>
    <w:p w14:paraId="28466B4E" w14:textId="77777777" w:rsidR="00C122FF" w:rsidRPr="001B1C66" w:rsidRDefault="00C122FF" w:rsidP="00C122FF">
      <w:pPr>
        <w:pStyle w:val="Textonotapie"/>
        <w:ind w:firstLine="709"/>
        <w:jc w:val="both"/>
        <w:rPr>
          <w:rFonts w:ascii="Century Gothic" w:hAnsi="Century Gothic" w:cs="Arial"/>
          <w:sz w:val="18"/>
          <w:szCs w:val="18"/>
        </w:rPr>
      </w:pPr>
    </w:p>
  </w:footnote>
  <w:footnote w:id="9">
    <w:p w14:paraId="308F6189" w14:textId="77777777" w:rsidR="00C122FF" w:rsidRPr="001B1C66" w:rsidRDefault="00C122FF" w:rsidP="00C122F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Ley 743 del 2002, “Artículo 55. </w:t>
      </w:r>
      <w:bookmarkStart w:id="7" w:name="_Hlk98586808"/>
      <w:r w:rsidRPr="001B1C66">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079D8237" w14:textId="77777777" w:rsidR="00C122FF" w:rsidRPr="001B1C66" w:rsidRDefault="00C122FF" w:rsidP="00C122FF">
      <w:pPr>
        <w:pStyle w:val="Textonotapie"/>
        <w:ind w:firstLine="708"/>
        <w:jc w:val="both"/>
        <w:rPr>
          <w:rFonts w:ascii="Century Gothic" w:hAnsi="Century Gothic" w:cs="Arial"/>
          <w:sz w:val="18"/>
          <w:szCs w:val="18"/>
          <w:lang w:val="es-CO"/>
        </w:rPr>
      </w:pPr>
      <w:r w:rsidRPr="001B1C66">
        <w:rPr>
          <w:rFonts w:ascii="Century Gothic" w:hAnsi="Century Gothic" w:cs="Arial"/>
          <w:sz w:val="18"/>
          <w:szCs w:val="18"/>
        </w:rPr>
        <w:t xml:space="preserve">Los contratos o convenios que celebren los organismos comunales se regularán por el régimen vigente de contratación para organizaciones solidarias”.  </w:t>
      </w:r>
      <w:bookmarkEnd w:id="7"/>
    </w:p>
  </w:footnote>
  <w:footnote w:id="10">
    <w:p w14:paraId="4099295C"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La norma dispone que “</w:t>
      </w:r>
      <w:r w:rsidRPr="001B1C66">
        <w:rPr>
          <w:rFonts w:ascii="Century Gothic" w:hAnsi="Century Gothic" w:cs="Arial"/>
          <w:sz w:val="18"/>
          <w:szCs w:val="18"/>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4ED47CCC" w14:textId="77777777" w:rsidR="00C122FF" w:rsidRPr="001B1C66" w:rsidRDefault="00C122FF" w:rsidP="00C122FF">
      <w:pPr>
        <w:pStyle w:val="Textonotapie"/>
        <w:ind w:firstLine="709"/>
        <w:jc w:val="both"/>
        <w:rPr>
          <w:rFonts w:ascii="Century Gothic" w:hAnsi="Century Gothic" w:cs="Arial"/>
          <w:sz w:val="18"/>
          <w:szCs w:val="18"/>
        </w:rPr>
      </w:pPr>
      <w:r w:rsidRPr="001B1C66">
        <w:rPr>
          <w:rFonts w:ascii="Century Gothic" w:hAnsi="Century Gothic" w:cs="Arial"/>
          <w:sz w:val="18"/>
          <w:szCs w:val="18"/>
        </w:rPr>
        <w:t>En el proceso competitivo la Entidad Estatal deberá cumplir las siguientes fases: (i) definición y publicación de los indicadores de idoneidad, experiencia, eficacia, eficiencia, economía y de manejo del Riesgo y los criterios de ponderación para comparar las ofertas; (</w:t>
      </w:r>
      <w:proofErr w:type="spellStart"/>
      <w:r w:rsidRPr="001B1C66">
        <w:rPr>
          <w:rFonts w:ascii="Century Gothic" w:hAnsi="Century Gothic" w:cs="Arial"/>
          <w:sz w:val="18"/>
          <w:szCs w:val="18"/>
        </w:rPr>
        <w:t>ii</w:t>
      </w:r>
      <w:proofErr w:type="spellEnd"/>
      <w:r w:rsidRPr="001B1C66">
        <w:rPr>
          <w:rFonts w:ascii="Century Gothic" w:hAnsi="Century Gothic" w:cs="Arial"/>
          <w:sz w:val="18"/>
          <w:szCs w:val="18"/>
        </w:rPr>
        <w:t>) definición de un plazo razonable para que las entidades privadas sin ánimo de lucro de reconocida idoneidad presenten a la Entidad Estatal sus ofertas y los documentos que acrediten su idoneidad, y (</w:t>
      </w:r>
      <w:proofErr w:type="spellStart"/>
      <w:r w:rsidRPr="001B1C66">
        <w:rPr>
          <w:rFonts w:ascii="Century Gothic" w:hAnsi="Century Gothic" w:cs="Arial"/>
          <w:sz w:val="18"/>
          <w:szCs w:val="18"/>
        </w:rPr>
        <w:t>iii</w:t>
      </w:r>
      <w:proofErr w:type="spellEnd"/>
      <w:r w:rsidRPr="001B1C66">
        <w:rPr>
          <w:rFonts w:ascii="Century Gothic" w:hAnsi="Century Gothic" w:cs="Arial"/>
          <w:sz w:val="18"/>
          <w:szCs w:val="18"/>
        </w:rPr>
        <w:t>) evaluación de las ofertas por parte de la Entidad Estatal teniendo en cuenta los criterios definidos para el efecto”.</w:t>
      </w:r>
    </w:p>
    <w:p w14:paraId="48C477CC" w14:textId="77777777" w:rsidR="00C122FF" w:rsidRPr="001B1C66" w:rsidRDefault="00C122FF" w:rsidP="00C122FF">
      <w:pPr>
        <w:pStyle w:val="Textonotapie"/>
        <w:ind w:firstLine="709"/>
        <w:jc w:val="both"/>
        <w:rPr>
          <w:rFonts w:ascii="Century Gothic" w:hAnsi="Century Gothic" w:cs="Arial"/>
          <w:sz w:val="18"/>
          <w:szCs w:val="18"/>
        </w:rPr>
      </w:pPr>
    </w:p>
  </w:footnote>
  <w:footnote w:id="11">
    <w:p w14:paraId="3434B735" w14:textId="77777777" w:rsidR="00C122FF" w:rsidRPr="001B1C66" w:rsidRDefault="00C122FF" w:rsidP="00C122F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El artículo 8 dispone del Decreto 092 de 2017 dispone que “La contratación a la que hace referencia el presente decreto está sujeta a las normas generales aplicables a la contratación pública excepto en lo reglamentado en el presente decreto”.</w:t>
      </w:r>
    </w:p>
  </w:footnote>
  <w:footnote w:id="12">
    <w:p w14:paraId="65654DE2" w14:textId="77777777" w:rsidR="00C122FF" w:rsidRPr="001B1C66" w:rsidRDefault="00C122FF" w:rsidP="00C122FF">
      <w:pPr>
        <w:pStyle w:val="Textonotapie"/>
        <w:ind w:firstLine="708"/>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Esta Agencia se pronunció sobre la obligación de controlar y vigilar la ejecución de los contratos estatales, en los conceptos con radicado 4201913000004799, emitido el 30 de agosto de 2019, y 4201913000008240 del 20 de diciembre de 2019; y en los conceptos C-064 del 28 de febrero de 2020, C–077 del 18 de marzo de 2020, C–150 del 18 de marzo de 2020, C–134 del 30 de marzo de 2020, C–180 del 13 de abril de 2020, C-344 de 26 de mayo de 2020, C-765 de 1 de enero de 2021, C-603 de 02 de noviembre de 2021, C-745 de 3 de febrero de 2022, C-506 del 3 de agosto de 2022, C-577 del 15 de septiembre de 2022, C-620 de 27 de septiembre de 2022 y C-830 del 28 de septiembre de 2022.</w:t>
      </w:r>
    </w:p>
  </w:footnote>
  <w:footnote w:id="13">
    <w:p w14:paraId="7A69CAF0" w14:textId="77777777" w:rsidR="00C122FF" w:rsidRPr="001B1C66" w:rsidRDefault="00C122FF" w:rsidP="00C122FF">
      <w:pPr>
        <w:pStyle w:val="Textonotapie"/>
        <w:ind w:firstLine="708"/>
        <w:jc w:val="both"/>
        <w:rPr>
          <w:rFonts w:ascii="Century Gothic" w:hAnsi="Century Gothic" w:cs="Arial"/>
          <w:color w:val="000000"/>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Texto tomado de la ley sancionada y publicada en la página web </w:t>
      </w:r>
      <w:hyperlink r:id="rId2" w:history="1">
        <w:r w:rsidRPr="001B1C66">
          <w:rPr>
            <w:rStyle w:val="Hipervnculo"/>
            <w:rFonts w:ascii="Century Gothic" w:hAnsi="Century Gothic" w:cs="Arial"/>
            <w:sz w:val="18"/>
            <w:szCs w:val="18"/>
          </w:rPr>
          <w:t>https://www.suin-juriscol.gov.co/viewDocument.asp?ruta=Leyes/30043742</w:t>
        </w:r>
      </w:hyperlink>
      <w:r w:rsidRPr="001B1C66">
        <w:rPr>
          <w:rFonts w:ascii="Century Gothic" w:hAnsi="Century Gothic" w:cs="Arial"/>
          <w:sz w:val="18"/>
          <w:szCs w:val="18"/>
        </w:rPr>
        <w:t xml:space="preserve"> </w:t>
      </w:r>
    </w:p>
    <w:p w14:paraId="479B5259" w14:textId="77777777" w:rsidR="00C122FF" w:rsidRPr="001B1C66" w:rsidRDefault="00C122FF" w:rsidP="00C122FF">
      <w:pPr>
        <w:pStyle w:val="Textonotapie"/>
        <w:ind w:firstLine="708"/>
        <w:jc w:val="both"/>
        <w:rPr>
          <w:rFonts w:ascii="Century Gothic" w:hAnsi="Century Gothic" w:cs="Arial"/>
          <w:color w:val="000000"/>
          <w:sz w:val="18"/>
          <w:szCs w:val="18"/>
          <w:lang w:val="es-CO"/>
        </w:rPr>
      </w:pPr>
    </w:p>
  </w:footnote>
  <w:footnote w:id="14">
    <w:p w14:paraId="2CB2EF3C"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bookmarkStart w:id="9" w:name="7"/>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lang w:val="es-CO"/>
        </w:rPr>
        <w:t>Artículo 7. Organismos de la Acción Comunal.</w:t>
      </w:r>
      <w:bookmarkEnd w:id="9"/>
    </w:p>
    <w:p w14:paraId="67908E89"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FB91163"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69DCC0DA"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54DF6CBF"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A5BB767"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4B979FFE"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PARÁGRAFO 1o. Cada organismo de acción comunal, se dará su propio reglamento conforme al marco brindado por esta ley enunciado en el artículo 1 y las normas que le sucedan.</w:t>
      </w:r>
    </w:p>
    <w:p w14:paraId="12E1A83F"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Fonts w:ascii="Century Gothic" w:hAnsi="Century Gothic"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1B1C66">
        <w:rPr>
          <w:rFonts w:ascii="Century Gothic" w:eastAsia="Calibri" w:hAnsi="Century Gothic" w:cs="Arial"/>
          <w:color w:val="000000"/>
          <w:sz w:val="18"/>
          <w:szCs w:val="18"/>
          <w:lang w:val="es-ES_tradnl"/>
        </w:rPr>
        <w:t>”.</w:t>
      </w:r>
    </w:p>
    <w:p w14:paraId="76002B9C" w14:textId="77777777" w:rsidR="00C122FF" w:rsidRPr="001B1C66" w:rsidRDefault="00C122FF" w:rsidP="00C122FF">
      <w:pPr>
        <w:pStyle w:val="Textonotapie"/>
        <w:jc w:val="both"/>
        <w:rPr>
          <w:rFonts w:ascii="Century Gothic" w:hAnsi="Century Gothic" w:cs="Arial"/>
          <w:sz w:val="18"/>
          <w:szCs w:val="18"/>
          <w:lang w:val="es-CO"/>
        </w:rPr>
      </w:pPr>
    </w:p>
  </w:footnote>
  <w:footnote w:id="15">
    <w:p w14:paraId="7F95FEBF" w14:textId="77777777" w:rsidR="00C122FF" w:rsidRPr="001B1C66" w:rsidRDefault="00C122FF" w:rsidP="00C122FF">
      <w:pPr>
        <w:pStyle w:val="Textonotapie"/>
        <w:ind w:firstLine="709"/>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El artículo 286 de la Constitución política de Colombia señala que </w:t>
      </w:r>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lang w:val="es-CO"/>
        </w:rPr>
        <w:t>Son entidades territoriales los departamentos, los distritos, los municipios y los territorios indígenas”.</w:t>
      </w:r>
    </w:p>
  </w:footnote>
  <w:footnote w:id="16">
    <w:p w14:paraId="385AE7FD" w14:textId="77777777" w:rsidR="00C122FF" w:rsidRPr="001B1C66" w:rsidRDefault="00C122FF" w:rsidP="00C122FF">
      <w:pPr>
        <w:pStyle w:val="Textonotapie"/>
        <w:ind w:firstLine="709"/>
        <w:jc w:val="both"/>
        <w:rPr>
          <w:rFonts w:ascii="Century Gothic" w:hAnsi="Century Gothic" w:cs="Arial"/>
          <w:color w:val="4472C4"/>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Informe de ponencia para primer debate del proyecto de Ley</w:t>
      </w:r>
      <w:r w:rsidRPr="001B1C66">
        <w:rPr>
          <w:rFonts w:ascii="Century Gothic" w:eastAsia="Times New Roman" w:hAnsi="Century Gothic" w:cs="Arial"/>
          <w:sz w:val="18"/>
          <w:szCs w:val="18"/>
          <w:lang w:val="es-CO" w:eastAsia="es-ES_tradnl"/>
        </w:rPr>
        <w:t xml:space="preserve"> </w:t>
      </w:r>
      <w:r w:rsidRPr="001B1C66">
        <w:rPr>
          <w:rFonts w:ascii="Century Gothic" w:hAnsi="Century Gothic"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1B1C66">
        <w:rPr>
          <w:rFonts w:ascii="Century Gothic" w:hAnsi="Century Gothic" w:cs="Arial"/>
          <w:sz w:val="18"/>
          <w:szCs w:val="18"/>
        </w:rPr>
        <w:t xml:space="preserve">Gaceta del Congreso de la República No. </w:t>
      </w:r>
      <w:r w:rsidRPr="001B1C66">
        <w:rPr>
          <w:rFonts w:ascii="Century Gothic" w:hAnsi="Century Gothic" w:cs="Arial"/>
          <w:sz w:val="18"/>
          <w:szCs w:val="18"/>
          <w:lang w:val="es-CO"/>
        </w:rPr>
        <w:t xml:space="preserve">578 del 4 de junio de 2021. Disponible en: </w:t>
      </w:r>
      <w:hyperlink r:id="rId3" w:history="1">
        <w:r w:rsidRPr="001B1C66">
          <w:rPr>
            <w:rStyle w:val="Hipervnculo"/>
            <w:rFonts w:ascii="Century Gothic" w:hAnsi="Century Gothic" w:cs="Arial"/>
            <w:color w:val="4472C4"/>
            <w:sz w:val="18"/>
            <w:szCs w:val="18"/>
            <w:lang w:val="es-CO"/>
          </w:rPr>
          <w:t>https://www.camara.gov.co/juntas-de-accion-comunal</w:t>
        </w:r>
      </w:hyperlink>
      <w:r w:rsidRPr="001B1C66">
        <w:rPr>
          <w:rFonts w:ascii="Century Gothic" w:hAnsi="Century Gothic" w:cs="Arial"/>
          <w:color w:val="4472C4"/>
          <w:sz w:val="18"/>
          <w:szCs w:val="18"/>
          <w:lang w:val="es-CO"/>
        </w:rPr>
        <w:t xml:space="preserve">  </w:t>
      </w:r>
    </w:p>
  </w:footnote>
  <w:footnote w:id="17">
    <w:p w14:paraId="12829F78" w14:textId="77777777" w:rsidR="00C122FF" w:rsidRPr="001B1C66" w:rsidRDefault="00C122FF" w:rsidP="00C122FF">
      <w:pPr>
        <w:pStyle w:val="Textonotapie"/>
        <w:ind w:firstLine="709"/>
        <w:jc w:val="both"/>
        <w:rPr>
          <w:rFonts w:ascii="Century Gothic" w:hAnsi="Century Gothic" w:cs="Arial"/>
          <w:sz w:val="18"/>
          <w:szCs w:val="18"/>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w:t>
      </w:r>
      <w:r w:rsidRPr="001B1C66">
        <w:rPr>
          <w:rFonts w:ascii="Century Gothic" w:hAnsi="Century Gothic"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1B1C66">
        <w:rPr>
          <w:rFonts w:ascii="Century Gothic" w:hAnsi="Century Gothic" w:cs="Arial"/>
          <w:sz w:val="18"/>
          <w:szCs w:val="18"/>
          <w:lang w:val="es-ES"/>
        </w:rPr>
        <w:t>los parágrafos tercero y quinto del artículo 3 de la Ley 136 de 1994 y lo dispuesto en el artículo 141 de la precitada Ley</w:t>
      </w:r>
      <w:r w:rsidRPr="001B1C66">
        <w:rPr>
          <w:rFonts w:ascii="Century Gothic" w:hAnsi="Century Gothic" w:cs="Arial"/>
          <w:sz w:val="18"/>
          <w:szCs w:val="18"/>
          <w:lang w:val="es-CO"/>
        </w:rPr>
        <w:t xml:space="preserve">. Este artículo disponía lo siguiente: </w:t>
      </w:r>
      <w:r w:rsidRPr="001B1C66">
        <w:rPr>
          <w:rFonts w:ascii="Century Gothic" w:eastAsia="Calibri" w:hAnsi="Century Gothic" w:cs="Arial"/>
          <w:color w:val="000000"/>
          <w:sz w:val="18"/>
          <w:szCs w:val="18"/>
          <w:lang w:val="es-ES_tradnl"/>
        </w:rPr>
        <w:t>“</w:t>
      </w:r>
      <w:r w:rsidRPr="001B1C66">
        <w:rPr>
          <w:rFonts w:ascii="Century Gothic" w:hAnsi="Century Gothic"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382C67CE" w14:textId="77777777" w:rsidR="00C122FF" w:rsidRPr="001B1C66" w:rsidRDefault="00C122FF" w:rsidP="00C122FF">
      <w:pPr>
        <w:pStyle w:val="Textonotapie"/>
        <w:jc w:val="both"/>
        <w:rPr>
          <w:rFonts w:ascii="Century Gothic" w:hAnsi="Century Gothic" w:cs="Arial"/>
          <w:sz w:val="18"/>
          <w:szCs w:val="18"/>
          <w:lang w:val="es-CO"/>
        </w:rPr>
      </w:pPr>
    </w:p>
  </w:footnote>
  <w:footnote w:id="18">
    <w:p w14:paraId="1A971FEE" w14:textId="77777777" w:rsidR="00C122FF" w:rsidRPr="001B1C66" w:rsidRDefault="00C122FF" w:rsidP="00C122FF">
      <w:pPr>
        <w:pStyle w:val="Textonotapie"/>
        <w:ind w:firstLine="708"/>
        <w:jc w:val="both"/>
        <w:rPr>
          <w:rFonts w:ascii="Century Gothic" w:hAnsi="Century Gothic" w:cs="Arial"/>
          <w:sz w:val="18"/>
          <w:szCs w:val="18"/>
          <w:lang w:val="es-CO"/>
        </w:rPr>
      </w:pPr>
      <w:r w:rsidRPr="001B1C66">
        <w:rPr>
          <w:rStyle w:val="Refdenotaalpie"/>
          <w:rFonts w:ascii="Century Gothic" w:hAnsi="Century Gothic" w:cs="Arial"/>
          <w:sz w:val="18"/>
          <w:szCs w:val="18"/>
        </w:rPr>
        <w:footnoteRef/>
      </w:r>
      <w:r w:rsidRPr="001B1C66">
        <w:rPr>
          <w:rFonts w:ascii="Century Gothic" w:hAnsi="Century Gothic" w:cs="Arial"/>
          <w:sz w:val="18"/>
          <w:szCs w:val="18"/>
        </w:rPr>
        <w:t xml:space="preserve"> El artículo citado dispone que “</w:t>
      </w:r>
      <w:r w:rsidRPr="001B1C66">
        <w:rPr>
          <w:rFonts w:ascii="Century Gothic" w:hAnsi="Century Gothic" w:cs="Arial"/>
          <w:sz w:val="18"/>
          <w:szCs w:val="18"/>
          <w:lang w:val="es-CO"/>
        </w:rPr>
        <w:t>Los organismos de acción comunal a que se refiere esta ley, formarán una persona distinta de sus miembros individualmente considerados, a partir de su registro ante la entidad que ejerce su inspección, vigilancia y control.</w:t>
      </w:r>
    </w:p>
    <w:p w14:paraId="32B0BBFD" w14:textId="77777777" w:rsidR="00C122FF" w:rsidRPr="001B1C66" w:rsidRDefault="00C122FF" w:rsidP="00C122FF">
      <w:pPr>
        <w:pStyle w:val="Textonotapie"/>
        <w:ind w:firstLine="708"/>
        <w:jc w:val="both"/>
        <w:rPr>
          <w:rFonts w:ascii="Century Gothic" w:hAnsi="Century Gothic" w:cs="Arial"/>
          <w:sz w:val="18"/>
          <w:szCs w:val="18"/>
        </w:rPr>
      </w:pPr>
      <w:r w:rsidRPr="001B1C66">
        <w:rPr>
          <w:rFonts w:ascii="Century Gothic" w:hAnsi="Century Gothic" w:cs="Arial"/>
          <w:sz w:val="18"/>
          <w:szCs w:val="18"/>
        </w:rPr>
        <w:t>Sus estatutos y sus reformas, los nombramientos y elección de dignatarios, los libros y la disolución y liquidación de las personas jurídicas de que trata esta ley, se inscribirán ante las entidades que ejercen su inspección, vigilancia y control.</w:t>
      </w:r>
    </w:p>
    <w:p w14:paraId="41289A2C" w14:textId="77777777" w:rsidR="00C122FF" w:rsidRPr="001B1C66" w:rsidRDefault="00C122FF" w:rsidP="00C122FF">
      <w:pPr>
        <w:pStyle w:val="Textonotapie"/>
        <w:ind w:firstLine="708"/>
        <w:jc w:val="both"/>
        <w:rPr>
          <w:rFonts w:ascii="Century Gothic" w:hAnsi="Century Gothic" w:cs="Arial"/>
          <w:sz w:val="18"/>
          <w:szCs w:val="18"/>
        </w:rPr>
      </w:pPr>
      <w:r w:rsidRPr="001B1C66">
        <w:rPr>
          <w:rFonts w:ascii="Century Gothic" w:hAnsi="Century Gothic" w:cs="Arial"/>
          <w:sz w:val="18"/>
          <w:szCs w:val="18"/>
        </w:rPr>
        <w:t>La existencia y representación legal de las personas jurídicas a que se refiere esta ley se aprobarán con la certificación expedida por la entidad competente para la realización del registro”.</w:t>
      </w:r>
    </w:p>
    <w:p w14:paraId="4DAF6BD7" w14:textId="77777777" w:rsidR="00C122FF" w:rsidRPr="001B1C66" w:rsidRDefault="00C122FF" w:rsidP="00C122FF">
      <w:pPr>
        <w:pStyle w:val="Textonotapie"/>
        <w:ind w:firstLine="708"/>
        <w:jc w:val="both"/>
        <w:rPr>
          <w:rFonts w:ascii="Century Gothic" w:hAnsi="Century Gothic" w:cs="Arial"/>
          <w:sz w:val="18"/>
          <w:szCs w:val="18"/>
          <w:lang w:val="es-CO"/>
        </w:rPr>
      </w:pPr>
      <w:r w:rsidRPr="001B1C66">
        <w:rPr>
          <w:rFonts w:ascii="Century Gothic" w:hAnsi="Century Gothic" w:cs="Arial"/>
          <w:sz w:val="18"/>
          <w:szCs w:val="18"/>
        </w:rPr>
        <w:t>Dicha norma debe entenderse en concordancia con el artículo 74 de la Ley 2166 de 2021, pues también prescribe lo siguiente: “</w:t>
      </w:r>
      <w:r w:rsidRPr="001B1C66">
        <w:rPr>
          <w:rFonts w:ascii="Century Gothic" w:hAnsi="Century Gothic" w:cs="Arial"/>
          <w:sz w:val="18"/>
          <w:szCs w:val="18"/>
          <w:lang w:val="es-CO"/>
        </w:rPr>
        <w:t>Existen dos niveles de autoridades que ejercen vigilancia, inspección y control sobre los organismos comunales, de acuerdo al grado al que pertenezcan:</w:t>
      </w:r>
    </w:p>
    <w:p w14:paraId="5DC8F97C" w14:textId="77777777" w:rsidR="00C122FF" w:rsidRPr="001B1C66" w:rsidRDefault="00C122FF" w:rsidP="00C122FF">
      <w:pPr>
        <w:pStyle w:val="Textonotapie"/>
        <w:ind w:firstLine="708"/>
        <w:jc w:val="both"/>
        <w:rPr>
          <w:rFonts w:ascii="Century Gothic" w:hAnsi="Century Gothic" w:cs="Arial"/>
          <w:sz w:val="18"/>
          <w:szCs w:val="18"/>
        </w:rPr>
      </w:pPr>
      <w:r w:rsidRPr="001B1C66">
        <w:rPr>
          <w:rFonts w:ascii="Century Gothic" w:hAnsi="Century Gothic" w:cs="Arial"/>
          <w:sz w:val="18"/>
          <w:szCs w:val="18"/>
        </w:rPr>
        <w:t>a) Primer nivel: lo ejerce Ministerio del Interior, sobre los organismos comunales de tercer y cuarto grado.</w:t>
      </w:r>
    </w:p>
    <w:p w14:paraId="0217F6D9" w14:textId="77777777" w:rsidR="00C122FF" w:rsidRPr="001B1C66" w:rsidRDefault="00C122FF" w:rsidP="00C122FF">
      <w:pPr>
        <w:pStyle w:val="Textonotapie"/>
        <w:ind w:firstLine="708"/>
        <w:jc w:val="both"/>
        <w:rPr>
          <w:rFonts w:ascii="Century Gothic" w:hAnsi="Century Gothic" w:cs="Arial"/>
          <w:sz w:val="18"/>
          <w:szCs w:val="18"/>
        </w:rPr>
      </w:pPr>
      <w:r w:rsidRPr="001B1C66">
        <w:rPr>
          <w:rFonts w:ascii="Century Gothic" w:hAnsi="Century Gothic" w:cs="Arial"/>
          <w:sz w:val="18"/>
          <w:szCs w:val="18"/>
        </w:rPr>
        <w:t>b) Segundo nivel: lo ejercen los Departamentos, Distritos y Municipios, a través de las dependencias a las que se le asignen dichas funciones sobre los organismos comunales de primer y segundo grado”.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361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A683E"/>
    <w:rsid w:val="000B19B9"/>
    <w:rsid w:val="000D0334"/>
    <w:rsid w:val="000E4714"/>
    <w:rsid w:val="000E694C"/>
    <w:rsid w:val="000F4129"/>
    <w:rsid w:val="000F6486"/>
    <w:rsid w:val="001067C5"/>
    <w:rsid w:val="00106CE6"/>
    <w:rsid w:val="00125105"/>
    <w:rsid w:val="00127233"/>
    <w:rsid w:val="0019293D"/>
    <w:rsid w:val="001B1C66"/>
    <w:rsid w:val="001E4177"/>
    <w:rsid w:val="001F1AC6"/>
    <w:rsid w:val="001F3327"/>
    <w:rsid w:val="002951A0"/>
    <w:rsid w:val="002962BC"/>
    <w:rsid w:val="002A093D"/>
    <w:rsid w:val="002A2745"/>
    <w:rsid w:val="002A49AC"/>
    <w:rsid w:val="002A64FD"/>
    <w:rsid w:val="002C7A84"/>
    <w:rsid w:val="003448F4"/>
    <w:rsid w:val="00350CF5"/>
    <w:rsid w:val="0035666C"/>
    <w:rsid w:val="003A779E"/>
    <w:rsid w:val="003C1D44"/>
    <w:rsid w:val="003D0F4D"/>
    <w:rsid w:val="003E0499"/>
    <w:rsid w:val="003E6B07"/>
    <w:rsid w:val="003F3941"/>
    <w:rsid w:val="00400548"/>
    <w:rsid w:val="0042627C"/>
    <w:rsid w:val="00431277"/>
    <w:rsid w:val="004368BC"/>
    <w:rsid w:val="004A1847"/>
    <w:rsid w:val="004A305D"/>
    <w:rsid w:val="004C7B53"/>
    <w:rsid w:val="004E1FFE"/>
    <w:rsid w:val="004F21C4"/>
    <w:rsid w:val="004F685F"/>
    <w:rsid w:val="00533E8F"/>
    <w:rsid w:val="00553F16"/>
    <w:rsid w:val="00554ED2"/>
    <w:rsid w:val="005566E8"/>
    <w:rsid w:val="00574867"/>
    <w:rsid w:val="005A6AA1"/>
    <w:rsid w:val="005B5D8B"/>
    <w:rsid w:val="005C2467"/>
    <w:rsid w:val="005C5CDC"/>
    <w:rsid w:val="005D476C"/>
    <w:rsid w:val="00614941"/>
    <w:rsid w:val="0062122C"/>
    <w:rsid w:val="006219F8"/>
    <w:rsid w:val="00665D70"/>
    <w:rsid w:val="00706C16"/>
    <w:rsid w:val="00727370"/>
    <w:rsid w:val="00736A57"/>
    <w:rsid w:val="00756841"/>
    <w:rsid w:val="00763C80"/>
    <w:rsid w:val="007649AB"/>
    <w:rsid w:val="007833AC"/>
    <w:rsid w:val="007B7171"/>
    <w:rsid w:val="007C3DC2"/>
    <w:rsid w:val="007E5497"/>
    <w:rsid w:val="0080148D"/>
    <w:rsid w:val="00806F5F"/>
    <w:rsid w:val="00820278"/>
    <w:rsid w:val="008843B6"/>
    <w:rsid w:val="00891928"/>
    <w:rsid w:val="008A446D"/>
    <w:rsid w:val="008C2566"/>
    <w:rsid w:val="008F0EA7"/>
    <w:rsid w:val="00900680"/>
    <w:rsid w:val="00910B42"/>
    <w:rsid w:val="0091437D"/>
    <w:rsid w:val="00923EEF"/>
    <w:rsid w:val="00927962"/>
    <w:rsid w:val="009419F9"/>
    <w:rsid w:val="00961B09"/>
    <w:rsid w:val="00965334"/>
    <w:rsid w:val="0097093E"/>
    <w:rsid w:val="00970D2F"/>
    <w:rsid w:val="009C71FA"/>
    <w:rsid w:val="009C72E7"/>
    <w:rsid w:val="00A17F13"/>
    <w:rsid w:val="00A20739"/>
    <w:rsid w:val="00A33C78"/>
    <w:rsid w:val="00A379E3"/>
    <w:rsid w:val="00A80F55"/>
    <w:rsid w:val="00A8304A"/>
    <w:rsid w:val="00AB0ADB"/>
    <w:rsid w:val="00AD5E99"/>
    <w:rsid w:val="00AD7E14"/>
    <w:rsid w:val="00AE32C5"/>
    <w:rsid w:val="00B0474F"/>
    <w:rsid w:val="00B4010D"/>
    <w:rsid w:val="00B72CD3"/>
    <w:rsid w:val="00B72FFF"/>
    <w:rsid w:val="00BD15D4"/>
    <w:rsid w:val="00BD2E7A"/>
    <w:rsid w:val="00BD6B19"/>
    <w:rsid w:val="00BD7F72"/>
    <w:rsid w:val="00C04FB3"/>
    <w:rsid w:val="00C1084E"/>
    <w:rsid w:val="00C122FF"/>
    <w:rsid w:val="00C330EB"/>
    <w:rsid w:val="00C754BE"/>
    <w:rsid w:val="00C87C33"/>
    <w:rsid w:val="00CB6357"/>
    <w:rsid w:val="00CC1B26"/>
    <w:rsid w:val="00CD2868"/>
    <w:rsid w:val="00CD507B"/>
    <w:rsid w:val="00CE3E7D"/>
    <w:rsid w:val="00D423A2"/>
    <w:rsid w:val="00D57F65"/>
    <w:rsid w:val="00D63AC2"/>
    <w:rsid w:val="00D7383B"/>
    <w:rsid w:val="00D73F83"/>
    <w:rsid w:val="00D83901"/>
    <w:rsid w:val="00D933EB"/>
    <w:rsid w:val="00DA01DA"/>
    <w:rsid w:val="00DA231B"/>
    <w:rsid w:val="00E05A34"/>
    <w:rsid w:val="00E16408"/>
    <w:rsid w:val="00E20894"/>
    <w:rsid w:val="00E245AB"/>
    <w:rsid w:val="00E50AFE"/>
    <w:rsid w:val="00E6450D"/>
    <w:rsid w:val="00E730B1"/>
    <w:rsid w:val="00E771DC"/>
    <w:rsid w:val="00E8772A"/>
    <w:rsid w:val="00E87E85"/>
    <w:rsid w:val="00E90F6B"/>
    <w:rsid w:val="00E92C27"/>
    <w:rsid w:val="00EA0E3D"/>
    <w:rsid w:val="00EE1AA8"/>
    <w:rsid w:val="00EF7EF4"/>
    <w:rsid w:val="00F17039"/>
    <w:rsid w:val="00F204AB"/>
    <w:rsid w:val="00F31EDC"/>
    <w:rsid w:val="00F44827"/>
    <w:rsid w:val="00F50059"/>
    <w:rsid w:val="00F5333B"/>
    <w:rsid w:val="00F5664F"/>
    <w:rsid w:val="00F613A2"/>
    <w:rsid w:val="00F73FF9"/>
    <w:rsid w:val="00F76AFC"/>
    <w:rsid w:val="00FB5DD1"/>
    <w:rsid w:val="00FC2B5D"/>
    <w:rsid w:val="00FD5638"/>
    <w:rsid w:val="00FF1449"/>
    <w:rsid w:val="0EFABF03"/>
    <w:rsid w:val="3E4247CE"/>
    <w:rsid w:val="687B05C8"/>
    <w:rsid w:val="707DB1BE"/>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rsid w:val="00C122FF"/>
    <w:pPr>
      <w:spacing w:line="240" w:lineRule="exact"/>
    </w:pPr>
    <w:rPr>
      <w:vertAlign w:val="superscript"/>
    </w:rPr>
  </w:style>
  <w:style w:type="paragraph" w:styleId="Revisin">
    <w:name w:val="Revision"/>
    <w:hidden/>
    <w:uiPriority w:val="99"/>
    <w:semiHidden/>
    <w:rsid w:val="00A80F55"/>
    <w:pPr>
      <w:spacing w:after="0" w:line="240" w:lineRule="auto"/>
    </w:pPr>
  </w:style>
  <w:style w:type="character" w:styleId="Refdecomentario">
    <w:name w:val="annotation reference"/>
    <w:basedOn w:val="Fuentedeprrafopredeter"/>
    <w:uiPriority w:val="99"/>
    <w:semiHidden/>
    <w:unhideWhenUsed/>
    <w:rsid w:val="00A80F55"/>
    <w:rPr>
      <w:sz w:val="16"/>
      <w:szCs w:val="16"/>
    </w:rPr>
  </w:style>
  <w:style w:type="paragraph" w:styleId="Textocomentario">
    <w:name w:val="annotation text"/>
    <w:basedOn w:val="Normal"/>
    <w:link w:val="TextocomentarioCar"/>
    <w:uiPriority w:val="99"/>
    <w:unhideWhenUsed/>
    <w:rsid w:val="00A80F55"/>
    <w:pPr>
      <w:spacing w:line="240" w:lineRule="auto"/>
    </w:pPr>
    <w:rPr>
      <w:sz w:val="20"/>
      <w:szCs w:val="20"/>
    </w:rPr>
  </w:style>
  <w:style w:type="character" w:customStyle="1" w:styleId="TextocomentarioCar">
    <w:name w:val="Texto comentario Car"/>
    <w:basedOn w:val="Fuentedeprrafopredeter"/>
    <w:link w:val="Textocomentario"/>
    <w:uiPriority w:val="99"/>
    <w:rsid w:val="00A80F55"/>
    <w:rPr>
      <w:sz w:val="20"/>
      <w:szCs w:val="20"/>
    </w:rPr>
  </w:style>
  <w:style w:type="paragraph" w:styleId="Asuntodelcomentario">
    <w:name w:val="annotation subject"/>
    <w:basedOn w:val="Textocomentario"/>
    <w:next w:val="Textocomentario"/>
    <w:link w:val="AsuntodelcomentarioCar"/>
    <w:uiPriority w:val="99"/>
    <w:semiHidden/>
    <w:unhideWhenUsed/>
    <w:rsid w:val="00A80F55"/>
    <w:rPr>
      <w:b/>
      <w:bCs/>
    </w:rPr>
  </w:style>
  <w:style w:type="character" w:customStyle="1" w:styleId="AsuntodelcomentarioCar">
    <w:name w:val="Asunto del comentario Car"/>
    <w:basedOn w:val="TextocomentarioCar"/>
    <w:link w:val="Asuntodelcomentario"/>
    <w:uiPriority w:val="99"/>
    <w:semiHidden/>
    <w:rsid w:val="00A80F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1955_2019_pr005.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ecretariasenado.gov.co/senado/basedoc/ley_1955_2019_pr005.htm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secretariasenado.gov.co/senado/basedoc/ley_0080_199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136_1994_pr002.html" TargetMode="External"/><Relationship Id="rId5" Type="http://schemas.openxmlformats.org/officeDocument/2006/relationships/styles" Target="styles.xml"/><Relationship Id="rId15" Type="http://schemas.openxmlformats.org/officeDocument/2006/relationships/hyperlink" Target="http://www.secretariasenado.gov.co/senado/basedoc/decreto_1333_1986_pr008.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retariasenado.gov.co/senado/basedoc/decreto_1333_1986_pr008.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www.suin-juriscol.gov.co/viewDocument.asp?ruta=Leyes/30043742"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Kevin Arlid Herrera Santa</DisplayName>
        <AccountId>221</AccountId>
        <AccountType/>
      </UserInfo>
      <UserInfo>
        <DisplayName>Martha Alicia Romero Vargas</DisplayName>
        <AccountId>215</AccountId>
        <AccountType/>
      </UserInfo>
      <UserInfo>
        <DisplayName>Nohelia Del Carmen Zawady Palacio</DisplayName>
        <AccountId>289</AccountId>
        <AccountType/>
      </UserInfo>
    </SharedWithUsers>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0e7c2da-874a-4317-b16c-9b7cc326d775"/>
    <ds:schemaRef ds:uri="9eccf7e5-4b30-41b4-821a-29927aab4fc0"/>
  </ds:schemaRefs>
</ds:datastoreItem>
</file>

<file path=customXml/itemProps3.xml><?xml version="1.0" encoding="utf-8"?>
<ds:datastoreItem xmlns:ds="http://schemas.openxmlformats.org/officeDocument/2006/customXml" ds:itemID="{7E6BCA1B-C53C-4A5D-B638-78842A6BE1CE}"/>
</file>

<file path=docProps/app.xml><?xml version="1.0" encoding="utf-8"?>
<Properties xmlns="http://schemas.openxmlformats.org/officeDocument/2006/extended-properties" xmlns:vt="http://schemas.openxmlformats.org/officeDocument/2006/docPropsVTypes">
  <Template>Normal</Template>
  <TotalTime>26</TotalTime>
  <Pages>34</Pages>
  <Words>11756</Words>
  <Characters>64661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4</cp:revision>
  <cp:lastPrinted>2023-01-10T21:18:00Z</cp:lastPrinted>
  <dcterms:created xsi:type="dcterms:W3CDTF">2024-04-26T21:50:00Z</dcterms:created>
  <dcterms:modified xsi:type="dcterms:W3CDTF">2024-04-26T22:16:00Z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