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1FA3" w:rsidR="00D449FD" w:rsidP="00D449FD" w:rsidRDefault="00D449FD" w14:paraId="7FCE2BD5" w14:textId="77777777">
      <w:pPr>
        <w:pStyle w:val="Textoindependiente"/>
        <w:spacing w:after="0" w:line="240" w:lineRule="auto"/>
        <w:ind w:right="102"/>
        <w:jc w:val="both"/>
        <w:rPr>
          <w:rFonts w:ascii="Century Gothic" w:hAnsi="Century Gothic" w:cs="Arial"/>
          <w:b/>
          <w:color w:val="000000" w:themeColor="text1"/>
          <w:sz w:val="20"/>
          <w:szCs w:val="20"/>
          <w:lang w:val="es-ES_tradnl"/>
        </w:rPr>
      </w:pPr>
      <w:bookmarkStart w:name="_Hlk94281581" w:id="0"/>
      <w:bookmarkStart w:name="_Hlk102489058" w:id="1"/>
      <w:bookmarkStart w:name="_Hlk34951122" w:id="2"/>
      <w:bookmarkStart w:name="_Hlk162346940" w:id="3"/>
    </w:p>
    <w:p w:rsidRPr="00131FA3" w:rsidR="00D449FD" w:rsidP="00D449FD" w:rsidRDefault="00D449FD" w14:paraId="23747F32" w14:textId="77777777">
      <w:pPr>
        <w:pStyle w:val="Textoindependiente"/>
        <w:spacing w:after="0" w:line="240" w:lineRule="auto"/>
        <w:ind w:right="102"/>
        <w:jc w:val="both"/>
        <w:rPr>
          <w:rFonts w:ascii="Century Gothic" w:hAnsi="Century Gothic" w:cs="Arial"/>
          <w:b/>
          <w:color w:val="000000" w:themeColor="text1"/>
          <w:lang w:val="es-ES_tradnl"/>
        </w:rPr>
      </w:pPr>
      <w:r w:rsidRPr="00131FA3">
        <w:rPr>
          <w:rFonts w:ascii="Century Gothic" w:hAnsi="Century Gothic" w:cs="Arial"/>
          <w:b/>
          <w:color w:val="000000" w:themeColor="text1"/>
          <w:lang w:val="es-ES_tradnl"/>
        </w:rPr>
        <w:t xml:space="preserve">DECRETO 092 DE 2017 – Finalidad – Clases de contratos </w:t>
      </w:r>
    </w:p>
    <w:p w:rsidRPr="00131FA3" w:rsidR="00D449FD" w:rsidP="00D449FD" w:rsidRDefault="00D449FD" w14:paraId="47405B88" w14:textId="77777777">
      <w:pPr>
        <w:pStyle w:val="Textoindependiente"/>
        <w:spacing w:after="0" w:line="240" w:lineRule="auto"/>
        <w:ind w:right="102"/>
        <w:jc w:val="both"/>
        <w:rPr>
          <w:rFonts w:ascii="Century Gothic" w:hAnsi="Century Gothic" w:cs="Arial"/>
          <w:color w:val="000000" w:themeColor="text1"/>
          <w:sz w:val="20"/>
          <w:szCs w:val="20"/>
          <w:lang w:val="es-ES_tradnl"/>
        </w:rPr>
      </w:pPr>
    </w:p>
    <w:p w:rsidRPr="00131FA3" w:rsidR="00D449FD" w:rsidP="7F2E6CBC" w:rsidRDefault="00D449FD" w14:paraId="0B045D5B" w14:textId="77777777">
      <w:pPr>
        <w:spacing w:after="0" w:line="240" w:lineRule="auto"/>
        <w:jc w:val="both"/>
        <w:rPr>
          <w:rFonts w:ascii="Century Gothic" w:hAnsi="Century Gothic" w:eastAsia="Arial" w:cs="Arial"/>
          <w:color w:val="000000" w:themeColor="text1"/>
          <w:sz w:val="20"/>
          <w:szCs w:val="20"/>
          <w:lang w:val="es-ES"/>
        </w:rPr>
      </w:pPr>
      <w:r w:rsidRPr="7F2E6CBC" w:rsidR="00D449FD">
        <w:rPr>
          <w:rFonts w:ascii="Century Gothic" w:hAnsi="Century Gothic" w:eastAsia="Arial" w:cs="Arial"/>
          <w:color w:val="000000" w:themeColor="text1" w:themeTint="FF" w:themeShade="FF"/>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r w:rsidRPr="7F2E6CBC" w:rsidR="00D449FD">
        <w:rPr>
          <w:rFonts w:ascii="Century Gothic" w:hAnsi="Century Gothic" w:eastAsia="Arial" w:cs="Arial"/>
          <w:color w:val="000000" w:themeColor="text1" w:themeTint="FF" w:themeShade="FF"/>
          <w:sz w:val="20"/>
          <w:szCs w:val="20"/>
          <w:lang w:val="es-ES"/>
        </w:rPr>
        <w:t>ii</w:t>
      </w:r>
      <w:r w:rsidRPr="7F2E6CBC" w:rsidR="00D449FD">
        <w:rPr>
          <w:rFonts w:ascii="Century Gothic" w:hAnsi="Century Gothic" w:eastAsia="Arial" w:cs="Arial"/>
          <w:color w:val="000000" w:themeColor="text1" w:themeTint="FF" w:themeShade="FF"/>
          <w:sz w:val="20"/>
          <w:szCs w:val="20"/>
          <w:lang w:val="es-ES"/>
        </w:rPr>
        <w:t>) los convenios de asociación, para el desarrollo conjunto de actividades relacionadas con las funciones de las entidades estatales, en desarrollo del artículo 96 de la Ley 489 de 1998.</w:t>
      </w:r>
    </w:p>
    <w:p w:rsidRPr="00131FA3" w:rsidR="00D449FD" w:rsidP="00D449FD" w:rsidRDefault="00D449FD" w14:paraId="417E2395" w14:textId="77777777">
      <w:pPr>
        <w:spacing w:after="0" w:line="240" w:lineRule="auto"/>
        <w:jc w:val="both"/>
        <w:rPr>
          <w:rFonts w:ascii="Century Gothic" w:hAnsi="Century Gothic" w:eastAsia="Calibri" w:cs="Arial"/>
          <w:b/>
          <w:color w:val="000000" w:themeColor="text1"/>
          <w:lang w:val="es-ES_tradnl"/>
        </w:rPr>
      </w:pPr>
    </w:p>
    <w:p w:rsidRPr="00131FA3" w:rsidR="00D449FD" w:rsidP="00D449FD" w:rsidRDefault="00D449FD" w14:paraId="1F27D576" w14:textId="77777777">
      <w:pPr>
        <w:spacing w:after="0" w:line="240" w:lineRule="auto"/>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 xml:space="preserve">CONTRATACIÓN CON ESAL – Contrato de colaboración – Objeto – Alcance </w:t>
      </w:r>
    </w:p>
    <w:p w:rsidRPr="00131FA3" w:rsidR="00D449FD" w:rsidP="00D449FD" w:rsidRDefault="00D449FD" w14:paraId="5634CA89" w14:textId="77777777">
      <w:pPr>
        <w:spacing w:after="0" w:line="240" w:lineRule="auto"/>
        <w:jc w:val="both"/>
        <w:rPr>
          <w:rFonts w:ascii="Century Gothic" w:hAnsi="Century Gothic" w:eastAsia="Calibri" w:cs="Arial"/>
          <w:bCs/>
          <w:color w:val="000000" w:themeColor="text1"/>
          <w:sz w:val="20"/>
          <w:szCs w:val="20"/>
          <w:lang w:val="es-ES_tradnl"/>
        </w:rPr>
      </w:pPr>
    </w:p>
    <w:p w:rsidRPr="00131FA3" w:rsidR="00D449FD" w:rsidP="00D449FD" w:rsidRDefault="00D449FD" w14:paraId="424ACC3A" w14:textId="77777777">
      <w:pPr>
        <w:spacing w:after="0" w:line="240" w:lineRule="auto"/>
        <w:jc w:val="both"/>
        <w:rPr>
          <w:rFonts w:ascii="Century Gothic" w:hAnsi="Century Gothic" w:cs="Arial"/>
          <w:color w:val="000000" w:themeColor="text1"/>
          <w:sz w:val="20"/>
          <w:szCs w:val="20"/>
          <w:lang w:val="es-ES_tradnl"/>
        </w:rPr>
      </w:pPr>
      <w:r w:rsidRPr="00131FA3">
        <w:rPr>
          <w:rFonts w:ascii="Century Gothic" w:hAnsi="Century Gothic" w:cs="Arial"/>
          <w:color w:val="000000" w:themeColor="text1"/>
          <w:sz w:val="20"/>
          <w:szCs w:val="20"/>
          <w:lang w:val="es-ES_tradnl"/>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rsidRPr="00131FA3" w:rsidR="00D449FD" w:rsidP="00D449FD" w:rsidRDefault="00D449FD" w14:paraId="4A899A79" w14:textId="77777777">
      <w:pPr>
        <w:spacing w:after="0" w:line="240" w:lineRule="auto"/>
        <w:jc w:val="both"/>
        <w:rPr>
          <w:rFonts w:ascii="Century Gothic" w:hAnsi="Century Gothic" w:cs="Arial"/>
          <w:color w:val="000000" w:themeColor="text1"/>
          <w:sz w:val="21"/>
          <w:szCs w:val="21"/>
          <w:lang w:val="es-ES_tradnl"/>
        </w:rPr>
      </w:pPr>
    </w:p>
    <w:p w:rsidRPr="00131FA3" w:rsidR="00D449FD" w:rsidP="00D449FD" w:rsidRDefault="00D449FD" w14:paraId="1BF7DFC9" w14:textId="77777777">
      <w:pPr>
        <w:spacing w:after="0" w:line="240" w:lineRule="auto"/>
        <w:jc w:val="both"/>
        <w:rPr>
          <w:rFonts w:ascii="Century Gothic" w:hAnsi="Century Gothic" w:eastAsia="Calibri" w:cs="Arial"/>
          <w:b/>
          <w:color w:val="000000" w:themeColor="text1"/>
          <w:lang w:val="es-ES_tradnl"/>
        </w:rPr>
      </w:pPr>
      <w:bookmarkStart w:name="_Hlk109118876" w:id="4"/>
      <w:r w:rsidRPr="00131FA3">
        <w:rPr>
          <w:rFonts w:ascii="Century Gothic" w:hAnsi="Century Gothic" w:eastAsia="Calibri" w:cs="Arial"/>
          <w:b/>
          <w:color w:val="000000" w:themeColor="text1"/>
          <w:lang w:val="es-ES_tradnl"/>
        </w:rPr>
        <w:t>CONTRATACIÓN CON ESAL –</w:t>
      </w:r>
      <w:bookmarkEnd w:id="4"/>
      <w:r w:rsidRPr="00131FA3">
        <w:rPr>
          <w:rFonts w:ascii="Century Gothic" w:hAnsi="Century Gothic" w:eastAsia="Calibri" w:cs="Arial"/>
          <w:b/>
          <w:color w:val="000000" w:themeColor="text1"/>
          <w:lang w:val="es-ES_tradnl"/>
        </w:rPr>
        <w:t xml:space="preserve"> Contrato de asociación – Objeto – Alcance </w:t>
      </w:r>
    </w:p>
    <w:p w:rsidRPr="00131FA3" w:rsidR="00D449FD" w:rsidP="00D449FD" w:rsidRDefault="00D449FD" w14:paraId="0F50F4F8" w14:textId="77777777">
      <w:pPr>
        <w:spacing w:after="0" w:line="240" w:lineRule="auto"/>
        <w:jc w:val="both"/>
        <w:rPr>
          <w:rFonts w:ascii="Century Gothic" w:hAnsi="Century Gothic" w:eastAsia="Calibri" w:cs="Arial"/>
          <w:b/>
          <w:color w:val="000000" w:themeColor="text1"/>
          <w:lang w:val="es-ES_tradnl"/>
        </w:rPr>
      </w:pPr>
    </w:p>
    <w:p w:rsidRPr="00131FA3" w:rsidR="00D449FD" w:rsidP="7F2E6CBC" w:rsidRDefault="00D449FD" w14:paraId="2FD2847E" w14:textId="77777777">
      <w:pPr>
        <w:spacing w:after="0" w:line="240" w:lineRule="auto"/>
        <w:jc w:val="both"/>
        <w:rPr>
          <w:rFonts w:ascii="Century Gothic" w:hAnsi="Century Gothic" w:cs="Arial"/>
          <w:color w:val="000000" w:themeColor="text1"/>
          <w:sz w:val="20"/>
          <w:szCs w:val="20"/>
          <w:lang w:val="es-ES"/>
        </w:rPr>
      </w:pPr>
      <w:r w:rsidRPr="7F2E6CBC" w:rsidR="00D449FD">
        <w:rPr>
          <w:rFonts w:ascii="Century Gothic" w:hAnsi="Century Gothic" w:cs="Arial"/>
          <w:color w:val="000000" w:themeColor="text1" w:themeTint="FF" w:themeShade="FF"/>
          <w:sz w:val="20"/>
          <w:szCs w:val="20"/>
          <w:lang w:val="es-ES"/>
        </w:rPr>
        <w:t>De otro lado, los convenios de asociación «[t]</w:t>
      </w:r>
      <w:r w:rsidRPr="7F2E6CBC" w:rsidR="00D449FD">
        <w:rPr>
          <w:rFonts w:ascii="Century Gothic" w:hAnsi="Century Gothic" w:cs="Arial"/>
          <w:color w:val="000000" w:themeColor="text1" w:themeTint="FF" w:themeShade="FF"/>
          <w:sz w:val="20"/>
          <w:szCs w:val="20"/>
          <w:lang w:val="es-ES"/>
        </w:rPr>
        <w:t>ienen</w:t>
      </w:r>
      <w:r w:rsidRPr="7F2E6CBC" w:rsidR="00D449FD">
        <w:rPr>
          <w:rFonts w:ascii="Century Gothic" w:hAnsi="Century Gothic" w:cs="Arial"/>
          <w:color w:val="000000" w:themeColor="text1" w:themeTint="FF" w:themeShade="FF"/>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r w:rsidRPr="7F2E6CBC" w:rsidR="00D449FD">
        <w:rPr>
          <w:rFonts w:ascii="Century Gothic" w:hAnsi="Century Gothic" w:cs="Arial"/>
          <w:color w:val="000000" w:themeColor="text1" w:themeTint="FF" w:themeShade="FF"/>
          <w:sz w:val="20"/>
          <w:szCs w:val="20"/>
          <w:lang w:val="es-ES"/>
        </w:rPr>
        <w:t>y</w:t>
      </w:r>
      <w:r w:rsidRPr="7F2E6CBC" w:rsidR="00D449FD">
        <w:rPr>
          <w:rFonts w:ascii="Century Gothic" w:hAnsi="Century Gothic" w:cs="Arial"/>
          <w:color w:val="000000" w:themeColor="text1" w:themeTint="FF" w:themeShade="FF"/>
          <w:sz w:val="20"/>
          <w:szCs w:val="20"/>
          <w:lang w:val="es-ES"/>
        </w:rPr>
        <w:t xml:space="preserve"> por tanto, la entidad no instruye al contratista para desarrollar los programas o actividades previstas, sino que se asocia con él para el cumplimiento de objetivos comunes.</w:t>
      </w:r>
    </w:p>
    <w:p w:rsidRPr="00131FA3" w:rsidR="00D449FD" w:rsidP="00D449FD" w:rsidRDefault="00D449FD" w14:paraId="3A31AAAB" w14:textId="77777777">
      <w:pPr>
        <w:spacing w:after="0" w:line="240" w:lineRule="auto"/>
        <w:jc w:val="both"/>
        <w:rPr>
          <w:rFonts w:ascii="Century Gothic" w:hAnsi="Century Gothic" w:cs="Arial"/>
          <w:color w:val="000000" w:themeColor="text1"/>
          <w:sz w:val="20"/>
          <w:szCs w:val="20"/>
          <w:lang w:val="es-ES_tradnl"/>
        </w:rPr>
      </w:pPr>
    </w:p>
    <w:p w:rsidRPr="00131FA3" w:rsidR="00D449FD" w:rsidP="00D449FD" w:rsidRDefault="00D449FD" w14:paraId="1E6D343F" w14:textId="77777777">
      <w:pPr>
        <w:spacing w:after="0" w:line="240" w:lineRule="auto"/>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CONVENIOS DE ASOCIACIÓN – Multiplicidad de sujetos – Límites legales</w:t>
      </w:r>
    </w:p>
    <w:p w:rsidRPr="00131FA3" w:rsidR="00D449FD" w:rsidP="00D449FD" w:rsidRDefault="00D449FD" w14:paraId="5E7A0B5C" w14:textId="77777777">
      <w:pPr>
        <w:spacing w:after="0" w:line="240" w:lineRule="auto"/>
        <w:jc w:val="both"/>
        <w:rPr>
          <w:rFonts w:ascii="Century Gothic" w:hAnsi="Century Gothic" w:cs="Arial"/>
          <w:color w:val="000000" w:themeColor="text1"/>
          <w:sz w:val="20"/>
          <w:szCs w:val="20"/>
          <w:lang w:val="es-ES_tradnl"/>
        </w:rPr>
      </w:pPr>
    </w:p>
    <w:p w:rsidRPr="00131FA3" w:rsidR="00D449FD" w:rsidP="7F2E6CBC" w:rsidRDefault="00D449FD" w14:paraId="0B12A44A" w14:textId="77777777" w14:noSpellErr="1">
      <w:pPr>
        <w:pStyle w:val="Sinespaciado"/>
        <w:jc w:val="both"/>
        <w:rPr>
          <w:rFonts w:ascii="Century Gothic" w:hAnsi="Century Gothic" w:cs="Arial"/>
          <w:color w:val="000000" w:themeColor="text1"/>
          <w:sz w:val="20"/>
          <w:szCs w:val="20"/>
          <w:lang w:val="es-ES"/>
        </w:rPr>
      </w:pPr>
      <w:r w:rsidRPr="7F2E6CBC" w:rsidR="00D449FD">
        <w:rPr>
          <w:rFonts w:ascii="Century Gothic" w:hAnsi="Century Gothic" w:cs="Arial"/>
          <w:color w:val="000000" w:themeColor="text1" w:themeTint="FF" w:themeShade="FF"/>
          <w:sz w:val="20"/>
          <w:szCs w:val="20"/>
          <w:lang w:val="es-ES"/>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w:t>
      </w:r>
      <w:r w:rsidRPr="7F2E6CBC" w:rsidR="00D449FD">
        <w:rPr>
          <w:rFonts w:ascii="Century Gothic" w:hAnsi="Century Gothic" w:cs="Arial"/>
          <w:color w:val="000000" w:themeColor="text1" w:themeTint="FF" w:themeShade="FF"/>
          <w:sz w:val="20"/>
          <w:szCs w:val="20"/>
          <w:lang w:val="es-ES"/>
        </w:rPr>
        <w:t xml:space="preserve">entidades deben asegurarse de que su contratista, es decir, una o varias ESAL, aporten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w:t>
      </w:r>
      <w:r w:rsidRPr="7F2E6CBC" w:rsidR="00D449FD">
        <w:rPr>
          <w:rFonts w:ascii="Century Gothic" w:hAnsi="Century Gothic" w:cs="Arial"/>
          <w:color w:val="000000" w:themeColor="text1" w:themeTint="FF" w:themeShade="FF"/>
          <w:sz w:val="20"/>
          <w:szCs w:val="20"/>
          <w:lang w:val="es-ES"/>
        </w:rPr>
        <w:t>En caso de que la entidad encuentre que más de una ESAL le ofrece al menos el 30% de recursos en dinero para el convenio de asociación, debe seleccionar objetivamente con cual asociarse».</w:t>
      </w:r>
    </w:p>
    <w:p w:rsidRPr="00131FA3" w:rsidR="00D449FD" w:rsidP="00D449FD" w:rsidRDefault="00D449FD" w14:paraId="65355285" w14:textId="77777777">
      <w:pPr>
        <w:pStyle w:val="Sinespaciado"/>
        <w:jc w:val="both"/>
        <w:rPr>
          <w:rFonts w:ascii="Century Gothic" w:hAnsi="Century Gothic" w:cs="Arial"/>
          <w:color w:val="000000" w:themeColor="text1"/>
          <w:sz w:val="20"/>
          <w:szCs w:val="20"/>
          <w:lang w:val="es-ES_tradnl"/>
        </w:rPr>
      </w:pPr>
    </w:p>
    <w:p w:rsidRPr="00131FA3" w:rsidR="00D449FD" w:rsidP="00D449FD" w:rsidRDefault="00D449FD" w14:paraId="49AB9587" w14:textId="77777777">
      <w:pPr>
        <w:spacing w:after="0" w:line="240" w:lineRule="auto"/>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 xml:space="preserve">DECRETO 092 DE 2017 – Criterios – Aplicación </w:t>
      </w:r>
    </w:p>
    <w:p w:rsidRPr="00131FA3" w:rsidR="00D449FD" w:rsidP="00D449FD" w:rsidRDefault="00D449FD" w14:paraId="56943462" w14:textId="77777777">
      <w:pPr>
        <w:spacing w:after="0" w:line="240" w:lineRule="auto"/>
        <w:jc w:val="both"/>
        <w:rPr>
          <w:rFonts w:ascii="Century Gothic" w:hAnsi="Century Gothic" w:cs="Arial"/>
          <w:color w:val="000000" w:themeColor="text1"/>
          <w:sz w:val="21"/>
          <w:szCs w:val="21"/>
          <w:lang w:val="es-ES_tradnl"/>
        </w:rPr>
      </w:pPr>
    </w:p>
    <w:p w:rsidRPr="00131FA3" w:rsidR="00D449FD" w:rsidP="7F2E6CBC" w:rsidRDefault="00D449FD" w14:paraId="0EAA735D" w14:textId="77777777" w14:noSpellErr="1">
      <w:pPr>
        <w:spacing w:after="0" w:line="240" w:lineRule="auto"/>
        <w:jc w:val="both"/>
        <w:rPr>
          <w:rFonts w:ascii="Century Gothic" w:hAnsi="Century Gothic" w:cs="Arial"/>
          <w:color w:val="000000" w:themeColor="text1"/>
          <w:sz w:val="20"/>
          <w:szCs w:val="20"/>
          <w:lang w:val="es-ES"/>
        </w:rPr>
      </w:pPr>
      <w:r w:rsidRPr="7F2E6CBC" w:rsidR="00D449FD">
        <w:rPr>
          <w:rFonts w:ascii="Century Gothic" w:hAnsi="Century Gothic" w:cs="Arial"/>
          <w:color w:val="000000" w:themeColor="text1" w:themeTint="FF" w:themeShade="FF"/>
          <w:sz w:val="20"/>
          <w:szCs w:val="20"/>
          <w:lang w:val="es-ES"/>
        </w:rPr>
        <w:t xml:space="preserve">[…] 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w:t>
      </w:r>
      <w:r w:rsidRPr="7F2E6CBC" w:rsidR="00D449FD">
        <w:rPr>
          <w:rFonts w:ascii="Century Gothic" w:hAnsi="Century Gothic" w:cs="Arial"/>
          <w:color w:val="000000" w:themeColor="text1" w:themeTint="FF" w:themeShade="FF"/>
          <w:sz w:val="20"/>
          <w:szCs w:val="20"/>
          <w:lang w:val="es-ES"/>
        </w:rPr>
        <w:t>Por tanto, el hecho de que se trate de una entidad sin ánimo de lucro no implica que necesariamente deba celebrarse un contrato de colaboración o un convenio de asociación.</w:t>
      </w:r>
    </w:p>
    <w:p w:rsidRPr="00131FA3" w:rsidR="00D449FD" w:rsidP="00D449FD" w:rsidRDefault="00D449FD" w14:paraId="3C186F82" w14:textId="77777777">
      <w:pPr>
        <w:pStyle w:val="Sinespaciado"/>
        <w:jc w:val="both"/>
        <w:rPr>
          <w:rFonts w:ascii="Century Gothic" w:hAnsi="Century Gothic" w:cs="Arial"/>
          <w:color w:val="000000" w:themeColor="text1"/>
          <w:sz w:val="20"/>
          <w:szCs w:val="20"/>
          <w:lang w:val="es-ES_tradnl"/>
        </w:rPr>
      </w:pPr>
    </w:p>
    <w:p w:rsidRPr="00131FA3" w:rsidR="00D449FD" w:rsidP="00D449FD" w:rsidRDefault="00D449FD" w14:paraId="107A94F6" w14:textId="77777777">
      <w:pPr>
        <w:pStyle w:val="Textoindependiente"/>
        <w:spacing w:after="0" w:line="240" w:lineRule="auto"/>
        <w:ind w:right="102"/>
        <w:jc w:val="both"/>
        <w:rPr>
          <w:rFonts w:ascii="Century Gothic" w:hAnsi="Century Gothic" w:cs="Arial"/>
          <w:b/>
          <w:bCs/>
          <w:color w:val="000000" w:themeColor="text1"/>
          <w:lang w:val="es-ES_tradnl"/>
        </w:rPr>
      </w:pPr>
      <w:r w:rsidRPr="00131FA3">
        <w:rPr>
          <w:rFonts w:ascii="Century Gothic" w:hAnsi="Century Gothic" w:cs="Arial"/>
          <w:b/>
          <w:bCs/>
          <w:color w:val="000000" w:themeColor="text1"/>
          <w:lang w:val="es-ES_tradnl"/>
        </w:rPr>
        <w:t>DECRETO 092 DE 2017 – Suspensión Provisional – Artículos suspendidos</w:t>
      </w:r>
    </w:p>
    <w:p w:rsidRPr="00131FA3" w:rsidR="00D449FD" w:rsidP="00D449FD" w:rsidRDefault="00D449FD" w14:paraId="49B166D3" w14:textId="77777777">
      <w:pPr>
        <w:pStyle w:val="Textoindependiente"/>
        <w:spacing w:after="0" w:line="240" w:lineRule="auto"/>
        <w:ind w:right="102"/>
        <w:jc w:val="both"/>
        <w:rPr>
          <w:rFonts w:ascii="Century Gothic" w:hAnsi="Century Gothic" w:cs="Arial"/>
          <w:b/>
          <w:color w:val="000000" w:themeColor="text1"/>
          <w:lang w:val="es-ES_tradnl"/>
        </w:rPr>
      </w:pPr>
    </w:p>
    <w:p w:rsidRPr="00131FA3" w:rsidR="00D449FD" w:rsidP="7F2E6CBC" w:rsidRDefault="00D449FD" w14:paraId="35C2951A" w14:textId="77777777" w14:noSpellErr="1">
      <w:pPr>
        <w:pStyle w:val="Textoindependiente"/>
        <w:spacing w:after="0" w:line="240" w:lineRule="auto"/>
        <w:ind w:right="102"/>
        <w:jc w:val="both"/>
        <w:rPr>
          <w:rFonts w:ascii="Century Gothic" w:hAnsi="Century Gothic" w:cs="Arial"/>
          <w:color w:val="000000" w:themeColor="text1"/>
          <w:sz w:val="20"/>
          <w:szCs w:val="20"/>
          <w:lang w:val="es-ES"/>
        </w:rPr>
      </w:pPr>
      <w:r w:rsidRPr="7F2E6CBC" w:rsidR="00D449FD">
        <w:rPr>
          <w:rFonts w:ascii="Century Gothic" w:hAnsi="Century Gothic" w:cs="Arial"/>
          <w:color w:val="000000" w:themeColor="text1" w:themeTint="FF" w:themeShade="FF"/>
          <w:sz w:val="20"/>
          <w:szCs w:val="20"/>
          <w:lang w:val="es-ES"/>
        </w:rPr>
        <w:t xml:space="preserve">El Consejo de Estado, en el Auto del 6 de agosto de 2019 de la Sección Tercera, Subsección A, radicado No. 11001-03-26-000-2018-00113-00 (62.003), </w:t>
      </w:r>
      <w:r w:rsidRPr="7F2E6CBC" w:rsidR="00D449FD">
        <w:rPr>
          <w:rFonts w:ascii="Century Gothic" w:hAnsi="Century Gothic" w:cs="Arial"/>
          <w:color w:val="000000" w:themeColor="text1" w:themeTint="FF" w:themeShade="FF"/>
          <w:sz w:val="20"/>
          <w:szCs w:val="20"/>
          <w:lang w:val="es-ES"/>
        </w:rPr>
        <w:t>Consejero</w:t>
      </w:r>
      <w:r w:rsidRPr="7F2E6CBC" w:rsidR="00D449FD">
        <w:rPr>
          <w:rFonts w:ascii="Century Gothic" w:hAnsi="Century Gothic" w:cs="Arial"/>
          <w:color w:val="000000" w:themeColor="text1" w:themeTint="FF" w:themeShade="FF"/>
          <w:sz w:val="20"/>
          <w:szCs w:val="20"/>
          <w:lang w:val="es-ES"/>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rsidRPr="00131FA3" w:rsidR="00D449FD" w:rsidP="00D449FD" w:rsidRDefault="00D449FD" w14:paraId="04DEE83B" w14:textId="77777777">
      <w:pPr>
        <w:pStyle w:val="Textoindependiente"/>
        <w:spacing w:after="0" w:line="240" w:lineRule="auto"/>
        <w:ind w:right="102"/>
        <w:jc w:val="both"/>
        <w:rPr>
          <w:rFonts w:ascii="Century Gothic" w:hAnsi="Century Gothic" w:cs="Arial"/>
          <w:color w:val="000000" w:themeColor="text1"/>
          <w:sz w:val="20"/>
          <w:szCs w:val="20"/>
          <w:lang w:val="es-ES_tradnl"/>
        </w:rPr>
      </w:pPr>
    </w:p>
    <w:p w:rsidRPr="00131FA3" w:rsidR="00D449FD" w:rsidP="00D449FD" w:rsidRDefault="00D449FD" w14:paraId="767FD47B" w14:textId="77777777">
      <w:pPr>
        <w:spacing w:after="0" w:line="240" w:lineRule="auto"/>
        <w:jc w:val="both"/>
        <w:rPr>
          <w:rFonts w:ascii="Century Gothic" w:hAnsi="Century Gothic" w:eastAsia="Arial" w:cs="Arial"/>
          <w:color w:val="000000" w:themeColor="text1"/>
          <w:sz w:val="20"/>
          <w:szCs w:val="20"/>
          <w:lang w:val="es-ES_tradnl"/>
        </w:rPr>
      </w:pPr>
      <w:r w:rsidRPr="00131FA3">
        <w:rPr>
          <w:rFonts w:ascii="Century Gothic" w:hAnsi="Century Gothic" w:eastAsia="Arial" w:cs="Arial"/>
          <w:color w:val="000000" w:themeColor="text1"/>
          <w:sz w:val="20"/>
          <w:szCs w:val="20"/>
          <w:lang w:val="es-ES_tradnl"/>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092 de 2017. […] </w:t>
      </w:r>
    </w:p>
    <w:p w:rsidRPr="00131FA3" w:rsidR="00D449FD" w:rsidP="00D449FD" w:rsidRDefault="00D449FD" w14:paraId="2107639A" w14:textId="77777777">
      <w:pPr>
        <w:spacing w:after="0" w:line="240" w:lineRule="auto"/>
        <w:jc w:val="both"/>
        <w:rPr>
          <w:rFonts w:ascii="Century Gothic" w:hAnsi="Century Gothic" w:eastAsia="Arial" w:cs="Arial"/>
          <w:color w:val="000000" w:themeColor="text1"/>
          <w:sz w:val="20"/>
          <w:szCs w:val="20"/>
          <w:lang w:val="es-ES_tradnl"/>
        </w:rPr>
      </w:pPr>
    </w:p>
    <w:p w:rsidRPr="00131FA3" w:rsidR="00D449FD" w:rsidP="7F2E6CBC" w:rsidRDefault="00D449FD" w14:paraId="3384DA98" w14:textId="77777777">
      <w:pPr>
        <w:spacing w:after="0" w:line="240" w:lineRule="auto"/>
        <w:jc w:val="both"/>
        <w:rPr>
          <w:rFonts w:ascii="Century Gothic" w:hAnsi="Century Gothic" w:eastAsia="Arial" w:cs="Arial"/>
          <w:color w:val="000000" w:themeColor="text1"/>
          <w:sz w:val="20"/>
          <w:szCs w:val="20"/>
          <w:lang w:val="es-ES"/>
        </w:rPr>
      </w:pPr>
      <w:r w:rsidRPr="7F2E6CBC" w:rsidR="00D449FD">
        <w:rPr>
          <w:rFonts w:ascii="Century Gothic" w:hAnsi="Century Gothic" w:eastAsia="Arial" w:cs="Arial"/>
          <w:color w:val="000000" w:themeColor="text1" w:themeTint="FF" w:themeShade="FF"/>
          <w:sz w:val="20"/>
          <w:szCs w:val="20"/>
          <w:lang w:val="es-ES"/>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w:t>
      </w:r>
      <w:r w:rsidRPr="7F2E6CBC" w:rsidR="00D449FD">
        <w:rPr>
          <w:rFonts w:ascii="Century Gothic" w:hAnsi="Century Gothic" w:eastAsia="Arial" w:cs="Arial"/>
          <w:color w:val="000000" w:themeColor="text1" w:themeTint="FF" w:themeShade="FF"/>
          <w:sz w:val="20"/>
          <w:szCs w:val="20"/>
          <w:lang w:val="es-ES"/>
        </w:rPr>
        <w:t>íbídem</w:t>
      </w:r>
      <w:r w:rsidRPr="7F2E6CBC" w:rsidR="00D449FD">
        <w:rPr>
          <w:rFonts w:ascii="Century Gothic" w:hAnsi="Century Gothic" w:eastAsia="Arial" w:cs="Arial"/>
          <w:color w:val="000000" w:themeColor="text1" w:themeTint="FF" w:themeShade="FF"/>
          <w:sz w:val="20"/>
          <w:szCs w:val="20"/>
          <w:lang w:val="es-ES"/>
        </w:rPr>
        <w:t>, claro está, siempre que se configuren los supuestos de aplicación de dicha normativa, esto es, siempre que exista más de una entidad sin ánimo de lucro de reconocida idoneidad.</w:t>
      </w:r>
    </w:p>
    <w:p w:rsidRPr="00131FA3" w:rsidR="00D449FD" w:rsidP="00D449FD" w:rsidRDefault="00D449FD" w14:paraId="0AC2D649" w14:textId="77777777">
      <w:pPr>
        <w:spacing w:after="0" w:line="240" w:lineRule="auto"/>
        <w:jc w:val="both"/>
        <w:rPr>
          <w:rFonts w:ascii="Century Gothic" w:hAnsi="Century Gothic" w:eastAsia="Arial" w:cs="Arial"/>
          <w:color w:val="000000" w:themeColor="text1"/>
          <w:sz w:val="20"/>
          <w:szCs w:val="20"/>
          <w:lang w:val="es-ES_tradnl"/>
        </w:rPr>
      </w:pPr>
    </w:p>
    <w:p w:rsidRPr="00131FA3" w:rsidR="00D449FD" w:rsidP="00D449FD" w:rsidRDefault="00D449FD" w14:paraId="6FA3528F" w14:textId="77777777">
      <w:pPr>
        <w:spacing w:after="0" w:line="240" w:lineRule="auto"/>
        <w:jc w:val="both"/>
        <w:rPr>
          <w:rFonts w:ascii="Century Gothic" w:hAnsi="Century Gothic" w:eastAsia="Arial" w:cs="Arial"/>
          <w:color w:val="000000" w:themeColor="text1"/>
          <w:sz w:val="20"/>
          <w:szCs w:val="20"/>
          <w:lang w:val="es-ES_tradnl"/>
        </w:rPr>
      </w:pPr>
      <w:r w:rsidRPr="00131FA3">
        <w:rPr>
          <w:rFonts w:ascii="Century Gothic" w:hAnsi="Century Gothic" w:eastAsia="Arial" w:cs="Arial"/>
          <w:color w:val="000000" w:themeColor="text1"/>
          <w:sz w:val="20"/>
          <w:szCs w:val="20"/>
          <w:lang w:val="es-ES_tradnl"/>
        </w:rPr>
        <w:t>Sin perjuicio de lo anterior, el mismo Consejo de Estado bajo el Auto del 15 de marzo de 2022 de la Sala Plena de lo Contencioso Administrativo, radicado No. 11001-03-26-000-2018-00113-01 (62.003), Consejera Ponente Roció Araujo Oñate, revocó el Auto del 6 de agosto de 2019 de la Sección Tercera, en lo pertinente a la suspensión provisional del inciso segundo del artículo 1 y del inciso segundo del artículo 3 del Decreto 092 de 2017, respectivamente y por ende  levantó la suspensión provisional de los mismos</w:t>
      </w:r>
    </w:p>
    <w:p w:rsidRPr="00131FA3" w:rsidR="00D449FD" w:rsidP="00D449FD" w:rsidRDefault="00D449FD" w14:paraId="67A31FF3" w14:textId="77777777">
      <w:pPr>
        <w:spacing w:after="0" w:line="240" w:lineRule="auto"/>
        <w:jc w:val="both"/>
        <w:rPr>
          <w:rFonts w:ascii="Century Gothic" w:hAnsi="Century Gothic" w:eastAsia="Arial" w:cs="Arial"/>
          <w:color w:val="000000" w:themeColor="text1"/>
          <w:sz w:val="20"/>
          <w:szCs w:val="20"/>
          <w:lang w:val="es-ES_tradnl"/>
        </w:rPr>
      </w:pPr>
    </w:p>
    <w:p w:rsidRPr="00131FA3" w:rsidR="00D449FD" w:rsidP="00D449FD" w:rsidRDefault="00D449FD" w14:paraId="780D8B9C" w14:textId="77777777">
      <w:pPr>
        <w:spacing w:after="0" w:line="240" w:lineRule="auto"/>
        <w:jc w:val="both"/>
        <w:rPr>
          <w:rFonts w:ascii="Century Gothic" w:hAnsi="Century Gothic" w:eastAsia="Arial" w:cs="Arial"/>
          <w:b/>
          <w:bCs/>
          <w:color w:val="000000" w:themeColor="text1"/>
          <w:lang w:val="es-ES_tradnl"/>
        </w:rPr>
      </w:pPr>
      <w:r w:rsidRPr="00131FA3">
        <w:rPr>
          <w:rFonts w:ascii="Century Gothic" w:hAnsi="Century Gothic" w:eastAsia="Arial" w:cs="Arial"/>
          <w:b/>
          <w:bCs/>
          <w:color w:val="000000" w:themeColor="text1"/>
          <w:lang w:val="es-ES_tradnl"/>
        </w:rPr>
        <w:t xml:space="preserve">DECRETO 092 DE 2017 – Normativa vigente </w:t>
      </w:r>
    </w:p>
    <w:p w:rsidRPr="00131FA3" w:rsidR="00D449FD" w:rsidP="00D449FD" w:rsidRDefault="00D449FD" w14:paraId="3AB1D3D0" w14:textId="77777777">
      <w:pPr>
        <w:spacing w:after="0" w:line="240" w:lineRule="auto"/>
        <w:jc w:val="both"/>
        <w:rPr>
          <w:rFonts w:ascii="Century Gothic" w:hAnsi="Century Gothic" w:eastAsia="Arial" w:cs="Arial"/>
          <w:b/>
          <w:bCs/>
          <w:color w:val="000000" w:themeColor="text1"/>
          <w:lang w:val="es-ES_tradnl"/>
        </w:rPr>
      </w:pPr>
    </w:p>
    <w:p w:rsidRPr="00131FA3" w:rsidR="00D449FD" w:rsidP="7F2E6CBC" w:rsidRDefault="00D449FD" w14:paraId="53179B04" w14:textId="77777777">
      <w:pPr>
        <w:spacing w:after="0" w:line="240" w:lineRule="auto"/>
        <w:jc w:val="both"/>
        <w:rPr>
          <w:rFonts w:ascii="Century Gothic" w:hAnsi="Century Gothic" w:eastAsia="Arial" w:cs="Arial"/>
          <w:b w:val="1"/>
          <w:bCs w:val="1"/>
          <w:color w:val="000000" w:themeColor="text1"/>
          <w:lang w:val="es-ES"/>
        </w:rPr>
      </w:pPr>
      <w:r w:rsidRPr="7F2E6CBC" w:rsidR="00D449FD">
        <w:rPr>
          <w:rFonts w:ascii="Century Gothic" w:hAnsi="Century Gothic" w:cs="Arial"/>
          <w:color w:val="000000" w:themeColor="text1" w:themeTint="FF" w:themeShade="FF"/>
          <w:sz w:val="20"/>
          <w:szCs w:val="20"/>
          <w:lang w:val="es-ES"/>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r w:rsidRPr="7F2E6CBC" w:rsidR="00D449FD">
        <w:rPr>
          <w:rFonts w:ascii="Century Gothic" w:hAnsi="Century Gothic" w:cs="Arial"/>
          <w:color w:val="000000" w:themeColor="text1" w:themeTint="FF" w:themeShade="FF"/>
          <w:sz w:val="20"/>
          <w:szCs w:val="20"/>
          <w:lang w:val="es-ES"/>
        </w:rPr>
        <w:t>ii</w:t>
      </w:r>
      <w:r w:rsidRPr="7F2E6CBC" w:rsidR="00D449FD">
        <w:rPr>
          <w:rFonts w:ascii="Century Gothic" w:hAnsi="Century Gothic" w:cs="Arial"/>
          <w:color w:val="000000" w:themeColor="text1" w:themeTint="FF" w:themeShade="FF"/>
          <w:sz w:val="20"/>
          <w:szCs w:val="20"/>
          <w:lang w:val="es-ES"/>
        </w:rPr>
        <w:t xml:space="preserve">) tampoco debe condicionarse a que la contratación con las ESAL garantice la optimización de los recursos públicos en términos de eficiencia, eficacia, economía y manejo del riesgo; </w:t>
      </w:r>
      <w:r w:rsidRPr="7F2E6CBC" w:rsidR="00D449FD">
        <w:rPr>
          <w:rFonts w:ascii="Century Gothic" w:hAnsi="Century Gothic" w:cs="Arial"/>
          <w:color w:val="000000" w:themeColor="text1" w:themeTint="FF" w:themeShade="FF"/>
          <w:sz w:val="20"/>
          <w:szCs w:val="20"/>
          <w:lang w:val="es-ES"/>
        </w:rPr>
        <w:t>iii</w:t>
      </w:r>
      <w:r w:rsidRPr="7F2E6CBC" w:rsidR="00D449FD">
        <w:rPr>
          <w:rFonts w:ascii="Century Gothic" w:hAnsi="Century Gothic" w:cs="Arial"/>
          <w:color w:val="000000" w:themeColor="text1" w:themeTint="FF" w:themeShade="FF"/>
          <w:sz w:val="20"/>
          <w:szCs w:val="20"/>
          <w:lang w:val="es-ES"/>
        </w:rPr>
        <w:t xml:space="preserve">) el objeto del contrato debe estar acorde con el plan nacional o seccional de desarrollo; </w:t>
      </w:r>
      <w:r w:rsidRPr="7F2E6CBC" w:rsidR="00D449FD">
        <w:rPr>
          <w:rFonts w:ascii="Century Gothic" w:hAnsi="Century Gothic" w:cs="Arial"/>
          <w:color w:val="000000" w:themeColor="text1" w:themeTint="FF" w:themeShade="FF"/>
          <w:sz w:val="20"/>
          <w:szCs w:val="20"/>
          <w:lang w:val="es-ES"/>
        </w:rPr>
        <w:t>iv</w:t>
      </w:r>
      <w:r w:rsidRPr="7F2E6CBC" w:rsidR="00D449FD">
        <w:rPr>
          <w:rFonts w:ascii="Century Gothic" w:hAnsi="Century Gothic" w:cs="Arial"/>
          <w:color w:val="000000" w:themeColor="text1" w:themeTint="FF" w:themeShade="FF"/>
          <w:sz w:val="20"/>
          <w:szCs w:val="20"/>
          <w:lang w:val="es-ES"/>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r w:rsidRPr="7F2E6CBC" w:rsidR="00D449FD">
        <w:rPr>
          <w:rFonts w:ascii="Century Gothic" w:hAnsi="Century Gothic" w:cs="Arial"/>
          <w:color w:val="000000" w:themeColor="text1" w:themeTint="FF" w:themeShade="FF"/>
          <w:sz w:val="20"/>
          <w:szCs w:val="20"/>
          <w:lang w:val="es-ES"/>
        </w:rPr>
        <w:t>iii</w:t>
      </w:r>
      <w:r w:rsidRPr="7F2E6CBC" w:rsidR="00D449FD">
        <w:rPr>
          <w:rFonts w:ascii="Century Gothic" w:hAnsi="Century Gothic" w:cs="Arial"/>
          <w:color w:val="000000" w:themeColor="text1" w:themeTint="FF" w:themeShade="FF"/>
          <w:sz w:val="20"/>
          <w:szCs w:val="20"/>
          <w:lang w:val="es-ES"/>
        </w:rPr>
        <w:t>); y v) el contrato no debe establecer una relación conmutativa en el cual haya una contraprestación directa a favor de la entidad, ni instrucciones precisas dadas por esta al contratista para cumplir con el objeto del contrato.</w:t>
      </w:r>
    </w:p>
    <w:p w:rsidR="00D449FD" w:rsidP="00707041" w:rsidRDefault="00D449FD" w14:paraId="5286EFE2" w14:textId="77777777">
      <w:pPr>
        <w:spacing w:after="0"/>
        <w:rPr>
          <w:rFonts w:ascii="Century Gothic" w:hAnsi="Century Gothic" w:eastAsia="Geomanist Light" w:cs="Arial"/>
          <w:color w:val="000000" w:themeColor="text1"/>
          <w:lang w:val="es-MX"/>
        </w:rPr>
      </w:pPr>
    </w:p>
    <w:p w:rsidR="00D449FD" w:rsidP="00707041" w:rsidRDefault="00D449FD" w14:paraId="26E023E7" w14:textId="77777777">
      <w:pPr>
        <w:spacing w:after="0"/>
        <w:rPr>
          <w:rFonts w:ascii="Century Gothic" w:hAnsi="Century Gothic" w:eastAsia="Geomanist Light" w:cs="Arial"/>
          <w:color w:val="000000" w:themeColor="text1"/>
          <w:lang w:val="es-MX"/>
        </w:rPr>
      </w:pPr>
    </w:p>
    <w:p w:rsidR="00D449FD" w:rsidP="00707041" w:rsidRDefault="00D449FD" w14:paraId="0CDE5010" w14:textId="77777777">
      <w:pPr>
        <w:spacing w:after="0"/>
        <w:rPr>
          <w:rFonts w:ascii="Century Gothic" w:hAnsi="Century Gothic" w:eastAsia="Geomanist Light" w:cs="Arial"/>
          <w:color w:val="000000" w:themeColor="text1"/>
          <w:lang w:val="es-MX"/>
        </w:rPr>
      </w:pPr>
    </w:p>
    <w:p w:rsidR="00D449FD" w:rsidP="00707041" w:rsidRDefault="00D449FD" w14:paraId="196B079C" w14:textId="77777777">
      <w:pPr>
        <w:spacing w:after="0"/>
        <w:rPr>
          <w:rFonts w:ascii="Century Gothic" w:hAnsi="Century Gothic" w:eastAsia="Geomanist Light" w:cs="Arial"/>
          <w:color w:val="000000" w:themeColor="text1"/>
          <w:lang w:val="es-MX"/>
        </w:rPr>
      </w:pPr>
    </w:p>
    <w:p w:rsidR="00D449FD" w:rsidP="00707041" w:rsidRDefault="00D449FD" w14:paraId="049E4360" w14:textId="77777777">
      <w:pPr>
        <w:spacing w:after="0"/>
        <w:rPr>
          <w:rFonts w:ascii="Century Gothic" w:hAnsi="Century Gothic" w:eastAsia="Geomanist Light" w:cs="Arial"/>
          <w:color w:val="000000" w:themeColor="text1"/>
          <w:lang w:val="es-MX"/>
        </w:rPr>
      </w:pPr>
    </w:p>
    <w:p w:rsidR="00D449FD" w:rsidP="00707041" w:rsidRDefault="00D449FD" w14:paraId="704A8C35" w14:textId="77777777">
      <w:pPr>
        <w:spacing w:after="0"/>
        <w:rPr>
          <w:rFonts w:ascii="Century Gothic" w:hAnsi="Century Gothic" w:eastAsia="Geomanist Light" w:cs="Arial"/>
          <w:color w:val="000000" w:themeColor="text1"/>
          <w:lang w:val="es-MX"/>
        </w:rPr>
      </w:pPr>
    </w:p>
    <w:p w:rsidR="00D449FD" w:rsidP="00707041" w:rsidRDefault="00D449FD" w14:paraId="321C7904" w14:textId="77777777">
      <w:pPr>
        <w:spacing w:after="0"/>
        <w:rPr>
          <w:rFonts w:ascii="Century Gothic" w:hAnsi="Century Gothic" w:eastAsia="Geomanist Light" w:cs="Arial"/>
          <w:color w:val="000000" w:themeColor="text1"/>
          <w:lang w:val="es-MX"/>
        </w:rPr>
      </w:pPr>
    </w:p>
    <w:p w:rsidR="00D449FD" w:rsidP="00707041" w:rsidRDefault="00D449FD" w14:paraId="10167571" w14:textId="77777777">
      <w:pPr>
        <w:spacing w:after="0"/>
        <w:rPr>
          <w:rFonts w:ascii="Century Gothic" w:hAnsi="Century Gothic" w:eastAsia="Geomanist Light" w:cs="Arial"/>
          <w:color w:val="000000" w:themeColor="text1"/>
          <w:lang w:val="es-MX"/>
        </w:rPr>
      </w:pPr>
    </w:p>
    <w:p w:rsidR="00D449FD" w:rsidP="00707041" w:rsidRDefault="00D449FD" w14:paraId="5DE7ED36" w14:textId="77777777">
      <w:pPr>
        <w:spacing w:after="0"/>
        <w:rPr>
          <w:rFonts w:ascii="Century Gothic" w:hAnsi="Century Gothic" w:eastAsia="Geomanist Light" w:cs="Arial"/>
          <w:color w:val="000000" w:themeColor="text1"/>
          <w:lang w:val="es-MX"/>
        </w:rPr>
      </w:pPr>
    </w:p>
    <w:p w:rsidR="00D449FD" w:rsidP="00707041" w:rsidRDefault="00D449FD" w14:paraId="5746E884" w14:textId="77777777">
      <w:pPr>
        <w:spacing w:after="0"/>
        <w:rPr>
          <w:rFonts w:ascii="Century Gothic" w:hAnsi="Century Gothic" w:eastAsia="Geomanist Light" w:cs="Arial"/>
          <w:color w:val="000000" w:themeColor="text1"/>
          <w:lang w:val="es-MX"/>
        </w:rPr>
      </w:pPr>
    </w:p>
    <w:p w:rsidR="00D449FD" w:rsidP="00707041" w:rsidRDefault="00D449FD" w14:paraId="49AB76B5" w14:textId="77777777">
      <w:pPr>
        <w:spacing w:after="0"/>
        <w:rPr>
          <w:rFonts w:ascii="Century Gothic" w:hAnsi="Century Gothic" w:eastAsia="Geomanist Light" w:cs="Arial"/>
          <w:color w:val="000000" w:themeColor="text1"/>
          <w:lang w:val="es-MX"/>
        </w:rPr>
      </w:pPr>
    </w:p>
    <w:p w:rsidR="00D449FD" w:rsidP="00707041" w:rsidRDefault="00D449FD" w14:paraId="5D854919" w14:textId="77777777">
      <w:pPr>
        <w:spacing w:after="0"/>
        <w:rPr>
          <w:rFonts w:ascii="Century Gothic" w:hAnsi="Century Gothic" w:eastAsia="Geomanist Light" w:cs="Arial"/>
          <w:color w:val="000000" w:themeColor="text1"/>
          <w:lang w:val="es-MX"/>
        </w:rPr>
      </w:pPr>
    </w:p>
    <w:p w:rsidR="00D449FD" w:rsidP="00707041" w:rsidRDefault="00D449FD" w14:paraId="35CDD051" w14:textId="77777777">
      <w:pPr>
        <w:spacing w:after="0"/>
        <w:rPr>
          <w:rFonts w:ascii="Century Gothic" w:hAnsi="Century Gothic" w:eastAsia="Geomanist Light" w:cs="Arial"/>
          <w:color w:val="000000" w:themeColor="text1"/>
          <w:lang w:val="es-MX"/>
        </w:rPr>
      </w:pPr>
    </w:p>
    <w:p w:rsidR="00D449FD" w:rsidP="00707041" w:rsidRDefault="00D449FD" w14:paraId="08155012" w14:textId="77777777">
      <w:pPr>
        <w:spacing w:after="0"/>
        <w:rPr>
          <w:rFonts w:ascii="Century Gothic" w:hAnsi="Century Gothic" w:eastAsia="Geomanist Light" w:cs="Arial"/>
          <w:color w:val="000000" w:themeColor="text1"/>
          <w:lang w:val="es-MX"/>
        </w:rPr>
      </w:pPr>
    </w:p>
    <w:p w:rsidR="00D449FD" w:rsidP="00707041" w:rsidRDefault="00D449FD" w14:paraId="7E97FD7B" w14:textId="77777777">
      <w:pPr>
        <w:spacing w:after="0"/>
        <w:rPr>
          <w:rFonts w:ascii="Century Gothic" w:hAnsi="Century Gothic" w:eastAsia="Geomanist Light" w:cs="Arial"/>
          <w:color w:val="000000" w:themeColor="text1"/>
          <w:lang w:val="es-MX"/>
        </w:rPr>
      </w:pPr>
    </w:p>
    <w:p w:rsidR="00D449FD" w:rsidP="00707041" w:rsidRDefault="00D449FD" w14:paraId="7FE3DC00" w14:textId="77777777">
      <w:pPr>
        <w:spacing w:after="0"/>
        <w:rPr>
          <w:rFonts w:ascii="Century Gothic" w:hAnsi="Century Gothic" w:eastAsia="Geomanist Light" w:cs="Arial"/>
          <w:color w:val="000000" w:themeColor="text1"/>
          <w:lang w:val="es-MX"/>
        </w:rPr>
      </w:pPr>
    </w:p>
    <w:p w:rsidR="00D449FD" w:rsidP="00707041" w:rsidRDefault="00D449FD" w14:paraId="218F1655" w14:textId="77777777">
      <w:pPr>
        <w:spacing w:after="0"/>
        <w:rPr>
          <w:rFonts w:ascii="Century Gothic" w:hAnsi="Century Gothic" w:eastAsia="Geomanist Light" w:cs="Arial"/>
          <w:color w:val="000000" w:themeColor="text1"/>
          <w:lang w:val="es-MX"/>
        </w:rPr>
      </w:pPr>
    </w:p>
    <w:p w:rsidR="00707041" w:rsidP="00707041" w:rsidRDefault="00707041" w14:paraId="149196C6" w14:textId="637BDB0B">
      <w:pPr>
        <w:spacing w:after="0"/>
        <w:rPr>
          <w:rFonts w:ascii="Century Gothic" w:hAnsi="Century Gothic" w:eastAsia="Geomanist Light" w:cs="Arial"/>
          <w:color w:val="201F1E"/>
          <w:lang w:val="es-MX"/>
        </w:rPr>
      </w:pPr>
      <w:r w:rsidRPr="00131FA3">
        <w:rPr>
          <w:rFonts w:ascii="Century Gothic" w:hAnsi="Century Gothic" w:eastAsia="Geomanist Light" w:cs="Arial"/>
          <w:color w:val="000000" w:themeColor="text1"/>
          <w:lang w:val="es-MX"/>
        </w:rPr>
        <w:lastRenderedPageBreak/>
        <w:t>Bogotá D.C., </w:t>
      </w:r>
      <w:r w:rsidRPr="00442594" w:rsidR="00442594">
        <w:rPr>
          <w:rFonts w:ascii="Century Gothic" w:hAnsi="Century Gothic" w:eastAsia="Geomanist Light" w:cs="Arial"/>
          <w:color w:val="201F1E"/>
          <w:lang w:val="es-MX"/>
        </w:rPr>
        <w:t xml:space="preserve">24 de </w:t>
      </w:r>
      <w:proofErr w:type="gramStart"/>
      <w:r w:rsidRPr="00442594" w:rsidR="00442594">
        <w:rPr>
          <w:rFonts w:ascii="Century Gothic" w:hAnsi="Century Gothic" w:eastAsia="Geomanist Light" w:cs="Arial"/>
          <w:color w:val="201F1E"/>
          <w:lang w:val="es-MX"/>
        </w:rPr>
        <w:t>Abril</w:t>
      </w:r>
      <w:proofErr w:type="gramEnd"/>
      <w:r w:rsidRPr="00442594" w:rsidR="00442594">
        <w:rPr>
          <w:rFonts w:ascii="Century Gothic" w:hAnsi="Century Gothic" w:eastAsia="Geomanist Light" w:cs="Arial"/>
          <w:color w:val="201F1E"/>
          <w:lang w:val="es-MX"/>
        </w:rPr>
        <w:t xml:space="preserve"> de 2024</w:t>
      </w:r>
    </w:p>
    <w:p w:rsidRPr="00131FA3" w:rsidR="00707041" w:rsidP="00707041" w:rsidRDefault="00707041" w14:paraId="3051DFCE" w14:textId="77777777">
      <w:pPr>
        <w:spacing w:after="0"/>
        <w:rPr>
          <w:rFonts w:ascii="Century Gothic" w:hAnsi="Century Gothic" w:eastAsia="Geomanist Light" w:cs="Arial"/>
          <w:color w:val="201F1E"/>
          <w:lang w:val="es-MX"/>
        </w:rPr>
      </w:pPr>
    </w:p>
    <w:p w:rsidR="00707041" w:rsidP="00197050" w:rsidRDefault="00197050" w14:paraId="5003AC50" w14:textId="30E2EB93">
      <w:pPr>
        <w:spacing w:after="0"/>
        <w:contextualSpacing/>
        <w:jc w:val="right"/>
        <w:rPr>
          <w:rFonts w:ascii="Century Gothic" w:hAnsi="Century Gothic" w:eastAsia="Calibri" w:cs="Arial"/>
          <w:lang w:val="es-ES_tradnl" w:eastAsia="es-ES_tradnl"/>
        </w:rPr>
      </w:pPr>
      <w:r>
        <w:rPr>
          <w:noProof/>
        </w:rPr>
        <w:drawing>
          <wp:inline distT="0" distB="0" distL="0" distR="0" wp14:anchorId="0C7422F3" wp14:editId="5E6D7A43">
            <wp:extent cx="3253476" cy="904813"/>
            <wp:effectExtent l="0" t="0" r="4445" b="0"/>
            <wp:docPr id="2107763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63570" name=""/>
                    <pic:cNvPicPr/>
                  </pic:nvPicPr>
                  <pic:blipFill>
                    <a:blip r:embed="rId10"/>
                    <a:stretch>
                      <a:fillRect/>
                    </a:stretch>
                  </pic:blipFill>
                  <pic:spPr>
                    <a:xfrm>
                      <a:off x="0" y="0"/>
                      <a:ext cx="3253476" cy="904813"/>
                    </a:xfrm>
                    <a:prstGeom prst="rect">
                      <a:avLst/>
                    </a:prstGeom>
                  </pic:spPr>
                </pic:pic>
              </a:graphicData>
            </a:graphic>
          </wp:inline>
        </w:drawing>
      </w:r>
    </w:p>
    <w:p w:rsidRPr="00131FA3" w:rsidR="00197050" w:rsidP="00707041" w:rsidRDefault="00197050" w14:paraId="51D91CC9" w14:textId="77777777">
      <w:pPr>
        <w:spacing w:after="0"/>
        <w:contextualSpacing/>
        <w:jc w:val="both"/>
        <w:rPr>
          <w:rFonts w:ascii="Century Gothic" w:hAnsi="Century Gothic" w:eastAsia="Calibri" w:cs="Arial"/>
          <w:lang w:val="es-ES_tradnl" w:eastAsia="es-ES_tradnl"/>
        </w:rPr>
      </w:pPr>
    </w:p>
    <w:p w:rsidRPr="00131FA3" w:rsidR="00707041" w:rsidP="00707041" w:rsidRDefault="00707041" w14:paraId="37F66808" w14:textId="77777777">
      <w:pPr>
        <w:contextualSpacing/>
        <w:jc w:val="both"/>
        <w:rPr>
          <w:rFonts w:ascii="Century Gothic" w:hAnsi="Century Gothic" w:eastAsia="Calibri" w:cs="Arial"/>
          <w:lang w:eastAsia="es-ES_tradnl"/>
        </w:rPr>
      </w:pPr>
      <w:r w:rsidRPr="00131FA3">
        <w:rPr>
          <w:rFonts w:ascii="Century Gothic" w:hAnsi="Century Gothic" w:eastAsia="Calibri" w:cs="Arial"/>
          <w:lang w:eastAsia="es-ES_tradnl"/>
        </w:rPr>
        <w:t>Señor</w:t>
      </w:r>
    </w:p>
    <w:p w:rsidRPr="00131FA3" w:rsidR="00707041" w:rsidP="00707041" w:rsidRDefault="00707041" w14:paraId="0301D520" w14:textId="77777777">
      <w:pPr>
        <w:contextualSpacing/>
        <w:jc w:val="both"/>
        <w:rPr>
          <w:rFonts w:ascii="Century Gothic" w:hAnsi="Century Gothic" w:eastAsia="Calibri" w:cs="Arial"/>
          <w:b/>
          <w:lang w:eastAsia="es-ES_tradnl"/>
        </w:rPr>
      </w:pPr>
      <w:r w:rsidRPr="00F73F86">
        <w:rPr>
          <w:rFonts w:ascii="Century Gothic" w:hAnsi="Century Gothic" w:eastAsia="Calibri" w:cs="Arial"/>
          <w:b/>
          <w:lang w:eastAsia="es-ES_tradnl"/>
        </w:rPr>
        <w:t>Mar</w:t>
      </w:r>
      <w:r>
        <w:rPr>
          <w:rFonts w:ascii="Century Gothic" w:hAnsi="Century Gothic" w:eastAsia="Calibri" w:cs="Arial"/>
          <w:b/>
          <w:lang w:eastAsia="es-ES_tradnl"/>
        </w:rPr>
        <w:t>í</w:t>
      </w:r>
      <w:r w:rsidRPr="00F73F86">
        <w:rPr>
          <w:rFonts w:ascii="Century Gothic" w:hAnsi="Century Gothic" w:eastAsia="Calibri" w:cs="Arial"/>
          <w:b/>
          <w:lang w:eastAsia="es-ES_tradnl"/>
        </w:rPr>
        <w:t xml:space="preserve">a Josefa </w:t>
      </w:r>
      <w:bookmarkStart w:name="_Hlk163481280" w:id="5"/>
      <w:r w:rsidRPr="00F73F86">
        <w:rPr>
          <w:rFonts w:ascii="Century Gothic" w:hAnsi="Century Gothic" w:eastAsia="Calibri" w:cs="Arial"/>
          <w:b/>
          <w:lang w:eastAsia="es-ES_tradnl"/>
        </w:rPr>
        <w:t>Ortiz</w:t>
      </w:r>
      <w:r w:rsidRPr="00131FA3">
        <w:rPr>
          <w:rFonts w:ascii="Century Gothic" w:hAnsi="Century Gothic" w:eastAsia="Calibri" w:cs="Arial"/>
          <w:b/>
          <w:lang w:eastAsia="es-ES_tradnl"/>
        </w:rPr>
        <w:t xml:space="preserve"> </w:t>
      </w:r>
      <w:bookmarkEnd w:id="5"/>
      <w:r w:rsidRPr="00131FA3">
        <w:rPr>
          <w:rFonts w:ascii="Century Gothic" w:hAnsi="Century Gothic" w:eastAsia="Calibri" w:cs="Arial"/>
          <w:b/>
          <w:lang w:eastAsia="es-ES_tradnl"/>
        </w:rPr>
        <w:t xml:space="preserve"> </w:t>
      </w:r>
    </w:p>
    <w:p w:rsidRPr="00131FA3" w:rsidR="00707041" w:rsidP="00707041" w:rsidRDefault="00707041" w14:paraId="7859D469" w14:textId="77777777">
      <w:pPr>
        <w:contextualSpacing/>
        <w:jc w:val="both"/>
        <w:rPr>
          <w:rFonts w:ascii="Century Gothic" w:hAnsi="Century Gothic" w:eastAsia="Calibri" w:cs="Arial"/>
          <w:bCs/>
          <w:lang w:eastAsia="es-ES_tradnl"/>
        </w:rPr>
      </w:pPr>
      <w:r>
        <w:rPr>
          <w:rFonts w:ascii="Century Gothic" w:hAnsi="Century Gothic" w:eastAsia="Geomanist Light" w:cs="Arial"/>
          <w:color w:val="000000" w:themeColor="text1"/>
          <w:lang w:val="es-MX"/>
        </w:rPr>
        <w:t xml:space="preserve">Cali, Valle del Cauca </w:t>
      </w:r>
    </w:p>
    <w:p w:rsidRPr="00131FA3" w:rsidR="00707041" w:rsidP="00707041" w:rsidRDefault="00707041" w14:paraId="2936AB4C" w14:textId="77777777">
      <w:pPr>
        <w:contextualSpacing/>
        <w:rPr>
          <w:rFonts w:ascii="Century Gothic" w:hAnsi="Century Gothic" w:eastAsia="Calibri" w:cs="Arial"/>
          <w:b/>
          <w:bCs/>
          <w:lang w:val="es-ES_tradnl" w:eastAsia="es-ES_tradnl"/>
        </w:rPr>
      </w:pPr>
    </w:p>
    <w:p w:rsidRPr="00131FA3" w:rsidR="00707041" w:rsidP="00707041" w:rsidRDefault="00707041" w14:paraId="3156436C" w14:textId="77777777">
      <w:pPr>
        <w:contextualSpacing/>
        <w:jc w:val="both"/>
        <w:rPr>
          <w:rFonts w:ascii="Century Gothic" w:hAnsi="Century Gothic" w:eastAsia="Calibri" w:cs="Arial"/>
          <w:lang w:val="es-ES_tradnl" w:eastAsia="es-ES_tradnl"/>
        </w:rPr>
      </w:pPr>
    </w:p>
    <w:p w:rsidRPr="00131FA3" w:rsidR="00707041" w:rsidP="00707041" w:rsidRDefault="00707041" w14:paraId="556564A5" w14:textId="77777777">
      <w:pPr>
        <w:ind w:left="2124"/>
        <w:contextualSpacing/>
        <w:jc w:val="both"/>
        <w:rPr>
          <w:rFonts w:ascii="Century Gothic" w:hAnsi="Century Gothic" w:eastAsia="Calibri" w:cs="Arial"/>
          <w:b/>
          <w:bCs/>
          <w:lang w:val="es-ES_tradnl" w:eastAsia="es-ES_tradnl"/>
        </w:rPr>
      </w:pPr>
      <w:r w:rsidRPr="00131FA3">
        <w:rPr>
          <w:rFonts w:ascii="Century Gothic" w:hAnsi="Century Gothic" w:eastAsia="Calibri" w:cs="Arial"/>
          <w:b/>
          <w:bCs/>
          <w:lang w:val="es-ES_tradnl" w:eastAsia="es-ES_tradnl"/>
        </w:rPr>
        <w:t xml:space="preserve">         Concepto C – </w:t>
      </w:r>
      <w:r w:rsidRPr="00AF2715">
        <w:rPr>
          <w:rFonts w:ascii="Century Gothic" w:hAnsi="Century Gothic" w:eastAsia="Calibri" w:cs="Arial"/>
          <w:b/>
          <w:bCs/>
          <w:lang w:val="es-ES_tradnl" w:eastAsia="es-ES_tradnl"/>
        </w:rPr>
        <w:t>064</w:t>
      </w:r>
      <w:r w:rsidRPr="00131FA3">
        <w:rPr>
          <w:rFonts w:ascii="Century Gothic" w:hAnsi="Century Gothic" w:eastAsia="Calibri" w:cs="Arial"/>
          <w:b/>
          <w:bCs/>
          <w:lang w:val="es-ES_tradnl" w:eastAsia="es-ES_tradnl"/>
        </w:rPr>
        <w:t xml:space="preserve"> de 202</w:t>
      </w:r>
      <w:r>
        <w:rPr>
          <w:rFonts w:ascii="Century Gothic" w:hAnsi="Century Gothic" w:eastAsia="Calibri" w:cs="Arial"/>
          <w:b/>
          <w:bCs/>
          <w:lang w:val="es-ES_tradnl" w:eastAsia="es-ES_tradnl"/>
        </w:rPr>
        <w:t>4</w:t>
      </w:r>
    </w:p>
    <w:p w:rsidRPr="00131FA3" w:rsidR="00707041" w:rsidP="00707041" w:rsidRDefault="00707041" w14:paraId="2DD2E2B0"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31FA3" w:rsidR="00707041" w:rsidTr="006425DD" w14:paraId="3F0BCBE3" w14:textId="77777777">
        <w:tc>
          <w:tcPr>
            <w:tcW w:w="2689" w:type="dxa"/>
          </w:tcPr>
          <w:p w:rsidRPr="00131FA3" w:rsidR="00707041" w:rsidP="006425DD" w:rsidRDefault="00707041" w14:paraId="0E4F3E20" w14:textId="77777777">
            <w:pPr>
              <w:contextualSpacing/>
              <w:jc w:val="both"/>
              <w:rPr>
                <w:rFonts w:ascii="Century Gothic" w:hAnsi="Century Gothic" w:eastAsia="Calibri" w:cs="Arial"/>
                <w:lang w:val="es-ES_tradnl" w:eastAsia="es-ES_tradnl"/>
              </w:rPr>
            </w:pPr>
            <w:r w:rsidRPr="00131FA3">
              <w:rPr>
                <w:rFonts w:ascii="Century Gothic" w:hAnsi="Century Gothic" w:eastAsia="Calibri" w:cs="Arial"/>
                <w:b/>
                <w:lang w:val="es-ES_tradnl" w:eastAsia="es-ES_tradnl"/>
              </w:rPr>
              <w:t>Temas:</w:t>
            </w:r>
            <w:r w:rsidRPr="00131FA3">
              <w:rPr>
                <w:rFonts w:ascii="Century Gothic" w:hAnsi="Century Gothic" w:eastAsia="Calibri" w:cs="Arial"/>
                <w:lang w:val="es-ES_tradnl" w:eastAsia="es-ES_tradnl"/>
              </w:rPr>
              <w:t xml:space="preserve">                                      </w:t>
            </w:r>
          </w:p>
        </w:tc>
        <w:tc>
          <w:tcPr>
            <w:tcW w:w="6237" w:type="dxa"/>
          </w:tcPr>
          <w:p w:rsidRPr="00131FA3" w:rsidR="00707041" w:rsidP="006425DD" w:rsidRDefault="00707041" w14:paraId="110F1058" w14:textId="77777777">
            <w:pPr>
              <w:spacing w:after="120"/>
              <w:contextualSpacing/>
              <w:jc w:val="both"/>
              <w:rPr>
                <w:rFonts w:ascii="Century Gothic" w:hAnsi="Century Gothic" w:eastAsia="Calibri" w:cs="Arial"/>
                <w:bCs/>
                <w:lang w:val="es-MX" w:eastAsia="es-ES_tradnl"/>
              </w:rPr>
            </w:pPr>
            <w:r w:rsidRPr="00131FA3">
              <w:rPr>
                <w:rFonts w:ascii="Century Gothic" w:hAnsi="Century Gothic" w:eastAsia="Calibri" w:cs="Arial"/>
                <w:bCs/>
                <w:lang w:val="es-ES_tradnl" w:eastAsia="es-ES_tradnl"/>
              </w:rPr>
              <w:t>DECRETO 092 DE 2017 – Finalidad – Clases de contratos / CONTRATACIÓN CON ESAL – Contrato de colaboración – Objeto – Alcance / CONTRATACIÓN CON ESAL – Contrato de asociación – Objeto – Alcance / CONVENIOS DE ASOCIACIÓN – Multiplicidad de sujetos – Límites legales / DECRETO 092 DE 2017 – Criterios – Aplicación / DECRETO 092 DE 2017 – Suspensión Provisional – Artículos suspendidos / DECRETO 092 DE 2017 – Normativa vigente</w:t>
            </w:r>
            <w:r w:rsidRPr="00131FA3">
              <w:rPr>
                <w:rFonts w:ascii="Century Gothic" w:hAnsi="Century Gothic" w:eastAsia="Calibri" w:cs="Arial"/>
                <w:bCs/>
                <w:lang w:val="es-MX" w:eastAsia="es-ES_tradnl"/>
              </w:rPr>
              <w:t xml:space="preserve"> </w:t>
            </w:r>
          </w:p>
          <w:p w:rsidRPr="00131FA3" w:rsidR="00707041" w:rsidP="006425DD" w:rsidRDefault="00707041" w14:paraId="09F2B4B9" w14:textId="77777777">
            <w:pPr>
              <w:spacing w:after="120"/>
              <w:contextualSpacing/>
              <w:jc w:val="both"/>
              <w:rPr>
                <w:rFonts w:ascii="Century Gothic" w:hAnsi="Century Gothic" w:eastAsia="Calibri" w:cs="Arial"/>
                <w:bCs/>
                <w:sz w:val="12"/>
                <w:szCs w:val="12"/>
                <w:lang w:val="es-ES_tradnl" w:eastAsia="es-ES_tradnl"/>
              </w:rPr>
            </w:pPr>
          </w:p>
        </w:tc>
      </w:tr>
      <w:tr w:rsidRPr="00131FA3" w:rsidR="00707041" w:rsidTr="006425DD" w14:paraId="2D99FA0B" w14:textId="77777777">
        <w:trPr>
          <w:trHeight w:val="227"/>
        </w:trPr>
        <w:tc>
          <w:tcPr>
            <w:tcW w:w="2689" w:type="dxa"/>
          </w:tcPr>
          <w:p w:rsidRPr="00131FA3" w:rsidR="00707041" w:rsidP="006425DD" w:rsidRDefault="00707041" w14:paraId="4299A386" w14:textId="77777777">
            <w:pPr>
              <w:contextualSpacing/>
              <w:jc w:val="both"/>
              <w:rPr>
                <w:rFonts w:ascii="Century Gothic" w:hAnsi="Century Gothic" w:eastAsia="Calibri" w:cs="Arial"/>
                <w:b/>
                <w:lang w:val="es-ES_tradnl" w:eastAsia="es-ES_tradnl"/>
              </w:rPr>
            </w:pPr>
            <w:r w:rsidRPr="00131FA3">
              <w:rPr>
                <w:rFonts w:ascii="Century Gothic" w:hAnsi="Century Gothic" w:eastAsia="Calibri" w:cs="Arial"/>
                <w:b/>
                <w:lang w:val="es-ES_tradnl" w:eastAsia="es-ES_tradnl"/>
              </w:rPr>
              <w:t>Radicación:</w:t>
            </w:r>
            <w:r w:rsidRPr="00131FA3">
              <w:rPr>
                <w:rFonts w:ascii="Century Gothic" w:hAnsi="Century Gothic" w:eastAsia="Calibri" w:cs="Arial"/>
                <w:lang w:val="es-ES_tradnl" w:eastAsia="es-ES_tradnl"/>
              </w:rPr>
              <w:t xml:space="preserve">                             </w:t>
            </w:r>
          </w:p>
        </w:tc>
        <w:tc>
          <w:tcPr>
            <w:tcW w:w="6237" w:type="dxa"/>
          </w:tcPr>
          <w:p w:rsidRPr="00131FA3" w:rsidR="00707041" w:rsidP="006425DD" w:rsidRDefault="00707041" w14:paraId="1B232047" w14:textId="77777777">
            <w:pPr>
              <w:contextualSpacing/>
              <w:jc w:val="both"/>
              <w:rPr>
                <w:rFonts w:ascii="Century Gothic" w:hAnsi="Century Gothic" w:eastAsia="Calibri" w:cs="Arial"/>
                <w:lang w:val="es-ES_tradnl" w:eastAsia="es-ES_tradnl"/>
              </w:rPr>
            </w:pPr>
            <w:r w:rsidRPr="00131FA3">
              <w:rPr>
                <w:rFonts w:ascii="Century Gothic" w:hAnsi="Century Gothic" w:eastAsia="Calibri" w:cs="Arial"/>
                <w:lang w:val="es-ES_tradnl" w:eastAsia="es-ES_tradnl"/>
              </w:rPr>
              <w:t xml:space="preserve">Respuesta a consulta </w:t>
            </w:r>
            <w:r w:rsidRPr="00F73F86">
              <w:rPr>
                <w:rFonts w:ascii="Century Gothic" w:hAnsi="Century Gothic" w:eastAsia="Calibri" w:cs="Arial"/>
                <w:lang w:val="es-ES_tradnl" w:eastAsia="es-ES_tradnl"/>
              </w:rPr>
              <w:t>P20240403003352</w:t>
            </w:r>
          </w:p>
        </w:tc>
      </w:tr>
    </w:tbl>
    <w:p w:rsidRPr="00131FA3" w:rsidR="00707041" w:rsidP="00707041" w:rsidRDefault="00707041" w14:paraId="071A3EF5" w14:textId="77777777">
      <w:pPr>
        <w:contextualSpacing/>
        <w:jc w:val="both"/>
        <w:rPr>
          <w:rFonts w:ascii="Century Gothic" w:hAnsi="Century Gothic" w:eastAsia="Calibri" w:cs="Arial"/>
          <w:lang w:val="es-ES_tradnl" w:eastAsia="es-ES_tradnl"/>
        </w:rPr>
      </w:pPr>
    </w:p>
    <w:p w:rsidRPr="00131FA3" w:rsidR="00707041" w:rsidP="00707041" w:rsidRDefault="00707041" w14:paraId="14EDF102" w14:textId="77777777">
      <w:pPr>
        <w:contextualSpacing/>
        <w:jc w:val="both"/>
        <w:rPr>
          <w:rFonts w:ascii="Century Gothic" w:hAnsi="Century Gothic" w:eastAsia="Calibri" w:cs="Arial"/>
          <w:lang w:val="es-ES_tradnl" w:eastAsia="es-ES_tradnl"/>
        </w:rPr>
      </w:pPr>
    </w:p>
    <w:p w:rsidRPr="00131FA3" w:rsidR="00707041" w:rsidP="00707041" w:rsidRDefault="00707041" w14:paraId="07438F74" w14:textId="77777777">
      <w:pPr>
        <w:contextualSpacing/>
        <w:jc w:val="both"/>
        <w:rPr>
          <w:rFonts w:ascii="Century Gothic" w:hAnsi="Century Gothic" w:eastAsia="Calibri" w:cs="Arial"/>
          <w:lang w:val="es-ES" w:eastAsia="es-ES"/>
        </w:rPr>
      </w:pPr>
      <w:r w:rsidRPr="00131FA3">
        <w:rPr>
          <w:rFonts w:ascii="Century Gothic" w:hAnsi="Century Gothic" w:eastAsia="Calibri" w:cs="Arial"/>
          <w:lang w:val="es-ES" w:eastAsia="es-ES"/>
        </w:rPr>
        <w:t>Respetad</w:t>
      </w:r>
      <w:r>
        <w:rPr>
          <w:rFonts w:ascii="Century Gothic" w:hAnsi="Century Gothic" w:eastAsia="Calibri" w:cs="Arial"/>
          <w:lang w:val="es-ES" w:eastAsia="es-ES"/>
        </w:rPr>
        <w:t>a</w:t>
      </w:r>
      <w:r w:rsidRPr="00131FA3">
        <w:rPr>
          <w:rFonts w:ascii="Century Gothic" w:hAnsi="Century Gothic" w:eastAsia="Calibri" w:cs="Arial"/>
          <w:lang w:val="es-ES" w:eastAsia="es-ES"/>
        </w:rPr>
        <w:t xml:space="preserve"> señor</w:t>
      </w:r>
      <w:r>
        <w:rPr>
          <w:rFonts w:ascii="Century Gothic" w:hAnsi="Century Gothic" w:eastAsia="Calibri" w:cs="Arial"/>
          <w:lang w:val="es-ES" w:eastAsia="es-ES"/>
        </w:rPr>
        <w:t>a</w:t>
      </w:r>
      <w:r w:rsidRPr="00131FA3">
        <w:rPr>
          <w:rFonts w:ascii="Century Gothic" w:hAnsi="Century Gothic" w:eastAsia="Calibri" w:cs="Arial"/>
          <w:lang w:val="es-ES" w:eastAsia="es-ES"/>
        </w:rPr>
        <w:t xml:space="preserve"> </w:t>
      </w:r>
      <w:r w:rsidRPr="00F73F86">
        <w:rPr>
          <w:rFonts w:ascii="Century Gothic" w:hAnsi="Century Gothic" w:eastAsia="Times New Roman" w:cs="Arial"/>
          <w:lang w:eastAsia="es-ES"/>
        </w:rPr>
        <w:t>Ortiz</w:t>
      </w:r>
      <w:r w:rsidRPr="00131FA3">
        <w:rPr>
          <w:rFonts w:ascii="Century Gothic" w:hAnsi="Century Gothic" w:eastAsia="Calibri" w:cs="Arial"/>
          <w:lang w:val="es-ES" w:eastAsia="es-ES"/>
        </w:rPr>
        <w:t xml:space="preserve">: </w:t>
      </w:r>
    </w:p>
    <w:p w:rsidRPr="00131FA3" w:rsidR="00707041" w:rsidP="00707041" w:rsidRDefault="00707041" w14:paraId="45E311AF"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131FA3" w:rsidR="00707041" w:rsidP="00707041" w:rsidRDefault="00707041" w14:paraId="332A376C" w14:textId="77777777">
      <w:pPr>
        <w:spacing w:after="0" w:line="276" w:lineRule="auto"/>
        <w:jc w:val="both"/>
        <w:rPr>
          <w:rFonts w:ascii="Century Gothic" w:hAnsi="Century Gothic" w:eastAsia="Calibri" w:cs="Arial"/>
          <w:color w:val="000000" w:themeColor="text1"/>
          <w:lang w:val="es-ES_tradnl"/>
        </w:rPr>
      </w:pPr>
      <w:r w:rsidRPr="00131FA3">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6"/>
      <w:r w:rsidRPr="00131FA3">
        <w:rPr>
          <w:rFonts w:ascii="Century Gothic" w:hAnsi="Century Gothic" w:eastAsia="Arial MT" w:cs="Arial MT"/>
          <w:lang w:val="es-ES"/>
        </w:rPr>
        <w:t xml:space="preserve">, </w:t>
      </w:r>
      <w:bookmarkEnd w:id="6"/>
      <w:r w:rsidRPr="00131FA3">
        <w:rPr>
          <w:rFonts w:ascii="Century Gothic" w:hAnsi="Century Gothic" w:eastAsia="Calibri" w:cs="Arial"/>
          <w:color w:val="000000" w:themeColor="text1"/>
          <w:lang w:val="es-ES_tradnl"/>
        </w:rPr>
        <w:t xml:space="preserve">la Agencia Nacional de Contratación Pública – Colombia Compra Eficiente responde la consulta remitida mediante correo electrónico del </w:t>
      </w:r>
      <w:r>
        <w:rPr>
          <w:rFonts w:ascii="Century Gothic" w:hAnsi="Century Gothic" w:eastAsia="Calibri" w:cs="Arial"/>
          <w:color w:val="000000" w:themeColor="text1"/>
          <w:lang w:val="es-ES_tradnl"/>
        </w:rPr>
        <w:t>2 de abril de 2024</w:t>
      </w:r>
      <w:r w:rsidRPr="00131FA3">
        <w:rPr>
          <w:rFonts w:ascii="Century Gothic" w:hAnsi="Century Gothic" w:eastAsia="Calibri" w:cs="Arial"/>
          <w:color w:val="000000" w:themeColor="text1"/>
          <w:lang w:val="es-ES_tradnl"/>
        </w:rPr>
        <w:t>.</w:t>
      </w:r>
    </w:p>
    <w:p w:rsidRPr="00131FA3" w:rsidR="00707041" w:rsidP="00707041" w:rsidRDefault="00707041" w14:paraId="759D03B2" w14:textId="77777777">
      <w:pPr>
        <w:spacing w:after="0" w:line="276" w:lineRule="auto"/>
        <w:jc w:val="both"/>
        <w:rPr>
          <w:rFonts w:ascii="Century Gothic" w:hAnsi="Century Gothic" w:eastAsia="Calibri" w:cs="Arial"/>
          <w:b/>
          <w:color w:val="000000" w:themeColor="text1"/>
          <w:lang w:val="es-ES_tradnl"/>
        </w:rPr>
      </w:pPr>
    </w:p>
    <w:p w:rsidRPr="00131FA3" w:rsidR="00707041" w:rsidP="00707041" w:rsidRDefault="00707041" w14:paraId="23A3BF39" w14:textId="77777777">
      <w:pPr>
        <w:pStyle w:val="Prrafodelista"/>
        <w:numPr>
          <w:ilvl w:val="0"/>
          <w:numId w:val="6"/>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 xml:space="preserve">Problema planteado </w:t>
      </w:r>
    </w:p>
    <w:p w:rsidRPr="00131FA3" w:rsidR="00707041" w:rsidP="00707041" w:rsidRDefault="00707041" w14:paraId="5BEBB569" w14:textId="77777777">
      <w:pPr>
        <w:tabs>
          <w:tab w:val="left" w:pos="426"/>
        </w:tabs>
        <w:spacing w:after="0" w:line="276" w:lineRule="auto"/>
        <w:jc w:val="both"/>
        <w:rPr>
          <w:rFonts w:ascii="Century Gothic" w:hAnsi="Century Gothic" w:eastAsia="Calibri" w:cs="Arial"/>
          <w:b/>
          <w:color w:val="000000" w:themeColor="text1"/>
          <w:lang w:val="es-ES_tradnl"/>
        </w:rPr>
      </w:pPr>
    </w:p>
    <w:p w:rsidRPr="00131FA3" w:rsidR="00707041" w:rsidP="00707041" w:rsidRDefault="00707041" w14:paraId="7C9B76D3" w14:textId="77777777">
      <w:pPr>
        <w:spacing w:after="0" w:line="276" w:lineRule="auto"/>
        <w:jc w:val="both"/>
        <w:rPr>
          <w:rFonts w:ascii="Century Gothic" w:hAnsi="Century Gothic" w:cs="Arial"/>
          <w:color w:val="000000" w:themeColor="text1"/>
          <w:lang w:val="es-ES"/>
        </w:rPr>
      </w:pPr>
      <w:bookmarkStart w:name="_Hlk162346097" w:id="7"/>
      <w:r w:rsidRPr="2E13CB85">
        <w:rPr>
          <w:rFonts w:ascii="Century Gothic" w:hAnsi="Century Gothic" w:cs="Arial"/>
          <w:color w:val="000000" w:themeColor="text1"/>
          <w:lang w:val="es-ES"/>
        </w:rPr>
        <w:t>Usted solicita explicar si “[…</w:t>
      </w:r>
      <w:bookmarkEnd w:id="7"/>
      <w:r w:rsidRPr="2E13CB85">
        <w:rPr>
          <w:rFonts w:ascii="Century Gothic" w:hAnsi="Century Gothic" w:cs="Arial"/>
          <w:color w:val="000000" w:themeColor="text1"/>
          <w:lang w:val="es-ES"/>
        </w:rPr>
        <w:t xml:space="preserve">] para los casos de Contratación de Servicios para el funcionamiento de Centros Vida / Centros Dia / Centros de Protección y demás concebidos en la Ley 1276 de 2009, existe una regla de CONTRATACIÓN DIRECTA a proveedor que estime la entidad pública bajo los criterios definidos por la Ley 1850 </w:t>
      </w:r>
      <w:r w:rsidRPr="2E13CB85">
        <w:rPr>
          <w:rFonts w:ascii="Century Gothic" w:hAnsi="Century Gothic" w:cs="Arial"/>
          <w:color w:val="000000" w:themeColor="text1"/>
          <w:lang w:val="es-ES"/>
        </w:rPr>
        <w:lastRenderedPageBreak/>
        <w:t>de 2017, o si por el contrario, la Ley 1850 de 2017 no estima ningún parámetro orientador para obviar la selección objetiva o procesos competitivos ESAL”.</w:t>
      </w:r>
    </w:p>
    <w:p w:rsidRPr="00131FA3" w:rsidR="00707041" w:rsidP="00707041" w:rsidRDefault="00707041" w14:paraId="732A7C41" w14:textId="77777777">
      <w:pPr>
        <w:spacing w:after="0" w:line="276" w:lineRule="auto"/>
        <w:jc w:val="both"/>
        <w:rPr>
          <w:rFonts w:ascii="Century Gothic" w:hAnsi="Century Gothic" w:cs="Arial"/>
          <w:color w:val="000000" w:themeColor="text1"/>
          <w:lang w:val="es-ES_tradnl"/>
        </w:rPr>
      </w:pPr>
    </w:p>
    <w:p w:rsidRPr="00131FA3" w:rsidR="00707041" w:rsidP="00707041" w:rsidRDefault="00707041" w14:paraId="3FEDB057" w14:textId="77777777">
      <w:pPr>
        <w:pStyle w:val="Prrafodelista"/>
        <w:numPr>
          <w:ilvl w:val="0"/>
          <w:numId w:val="6"/>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Consideraciones</w:t>
      </w:r>
    </w:p>
    <w:p w:rsidRPr="00131FA3" w:rsidR="00707041" w:rsidP="00707041" w:rsidRDefault="00707041" w14:paraId="1C92D4A5" w14:textId="77777777">
      <w:pPr>
        <w:spacing w:after="0" w:line="276" w:lineRule="auto"/>
        <w:jc w:val="both"/>
        <w:rPr>
          <w:rFonts w:ascii="Century Gothic" w:hAnsi="Century Gothic" w:eastAsia="Calibri" w:cs="Arial"/>
          <w:color w:val="000000" w:themeColor="text1"/>
          <w:lang w:val="es-ES_tradnl"/>
        </w:rPr>
      </w:pPr>
    </w:p>
    <w:p w:rsidRPr="00131FA3" w:rsidR="00707041" w:rsidP="00707041" w:rsidRDefault="00707041" w14:paraId="47F48C04" w14:textId="77777777">
      <w:pPr>
        <w:spacing w:after="120" w:line="276" w:lineRule="auto"/>
        <w:jc w:val="both"/>
        <w:rPr>
          <w:rFonts w:ascii="Century Gothic" w:hAnsi="Century Gothic" w:cs="Arial"/>
          <w:lang w:val="es-ES"/>
        </w:rPr>
      </w:pPr>
      <w:r w:rsidRPr="00131FA3">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131FA3">
        <w:rPr>
          <w:rFonts w:ascii="Century Gothic"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131FA3">
        <w:rPr>
          <w:rFonts w:ascii="Century Gothic" w:hAnsi="Century Gothic" w:cs="Arial"/>
          <w:bCs/>
        </w:rPr>
        <w:t xml:space="preserve"> de todos los partícipes de la contratación estatal.</w:t>
      </w:r>
    </w:p>
    <w:p w:rsidRPr="00131FA3" w:rsidR="00707041" w:rsidP="00707041" w:rsidRDefault="00707041" w14:paraId="0BAC59A3" w14:textId="77777777">
      <w:pPr>
        <w:spacing w:after="120" w:line="276" w:lineRule="auto"/>
        <w:ind w:firstLine="708"/>
        <w:jc w:val="both"/>
        <w:rPr>
          <w:rFonts w:ascii="Century Gothic" w:hAnsi="Century Gothic" w:cs="Arial"/>
          <w:lang w:val="es-ES"/>
        </w:rPr>
      </w:pPr>
      <w:r w:rsidRPr="00131FA3">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31FA3">
        <w:rPr>
          <w:rFonts w:ascii="Century Gothic" w:hAnsi="Century Gothic" w:cs="Arial"/>
          <w:vertAlign w:val="superscript"/>
          <w:lang w:val="es-ES"/>
        </w:rPr>
        <w:footnoteReference w:id="2"/>
      </w:r>
      <w:r w:rsidRPr="00131FA3">
        <w:rPr>
          <w:rFonts w:ascii="Century Gothic" w:hAnsi="Century Gothic" w:cs="Arial"/>
          <w:lang w:val="es-ES"/>
        </w:rPr>
        <w:t>. Esta competencia de interpretación de normas generales, por definición, no puede extenderse a la resolución de controversias</w:t>
      </w:r>
      <w:r>
        <w:rPr>
          <w:rFonts w:ascii="Century Gothic" w:hAnsi="Century Gothic" w:cs="Arial"/>
          <w:lang w:val="es-ES"/>
        </w:rPr>
        <w:t xml:space="preserve"> ni</w:t>
      </w:r>
      <w:r w:rsidRPr="00131FA3">
        <w:rPr>
          <w:rFonts w:ascii="Century Gothic" w:hAnsi="Century Gothic" w:cs="Arial"/>
          <w:lang w:val="es-ES"/>
        </w:rPr>
        <w:t xml:space="preserve"> brindar asesorías sobre casos puntuales. Por lo anterior, previo concepto de sus órganos asesores, la solución de</w:t>
      </w:r>
      <w:r>
        <w:rPr>
          <w:rFonts w:ascii="Century Gothic" w:hAnsi="Century Gothic" w:cs="Arial"/>
          <w:lang w:val="es-ES"/>
        </w:rPr>
        <w:t xml:space="preserve"> situaciones</w:t>
      </w:r>
      <w:r w:rsidRPr="00131FA3">
        <w:rPr>
          <w:rFonts w:ascii="Century Gothic" w:hAnsi="Century Gothic" w:cs="Arial"/>
          <w:lang w:val="es-ES"/>
        </w:rPr>
        <w:t xml:space="preserve"> particulares corresponde a la entidad de adoptar la decisión correspondiente y, en caso de conflicto, a las autoridades judiciales, fiscales y disciplinarias. </w:t>
      </w:r>
    </w:p>
    <w:p w:rsidRPr="00131FA3" w:rsidR="00707041" w:rsidP="00707041" w:rsidRDefault="00707041" w14:paraId="6DF77012" w14:textId="77777777">
      <w:pPr>
        <w:spacing w:after="120" w:line="276" w:lineRule="auto"/>
        <w:ind w:firstLine="709"/>
        <w:jc w:val="both"/>
        <w:rPr>
          <w:rFonts w:ascii="Century Gothic" w:hAnsi="Century Gothic" w:cs="Arial"/>
          <w:bCs/>
          <w:color w:val="000000" w:themeColor="text1"/>
          <w:lang w:val="es-ES_tradnl"/>
        </w:rPr>
      </w:pPr>
      <w:r w:rsidRPr="00131FA3">
        <w:rPr>
          <w:rFonts w:ascii="Century Gothic" w:hAnsi="Century Gothic" w:eastAsia="Calibri" w:cs="Arial"/>
        </w:rPr>
        <w:t xml:space="preserve">Sin perjuicio de lo anterior, </w:t>
      </w:r>
      <w:r w:rsidRPr="00131FA3">
        <w:rPr>
          <w:rFonts w:ascii="Century Gothic" w:hAnsi="Century Gothic" w:eastAsia="Calibri" w:cs="Arial"/>
          <w:lang w:val="es-ES"/>
        </w:rPr>
        <w:t xml:space="preserve">la Agencia –dentro de los límites de sus atribuciones, es decir, </w:t>
      </w:r>
      <w:bookmarkStart w:name="_Hlk61025408" w:id="8"/>
      <w:r w:rsidRPr="00131FA3">
        <w:rPr>
          <w:rFonts w:ascii="Century Gothic" w:hAnsi="Century Gothic" w:eastAsia="Calibri" w:cs="Arial"/>
          <w:lang w:val="es-ES"/>
        </w:rPr>
        <w:t xml:space="preserve">haciendo abstracción del caso particular </w:t>
      </w:r>
      <w:bookmarkEnd w:id="8"/>
      <w:r w:rsidRPr="00131FA3">
        <w:rPr>
          <w:rFonts w:ascii="Century Gothic" w:hAnsi="Century Gothic" w:eastAsia="Calibri" w:cs="Arial"/>
          <w:lang w:val="es-ES"/>
        </w:rPr>
        <w:t>expuesto en la petición– resolverá la consulta conforme a las normas generales del sistema de compras públicas. Con este objetivo se analizarán los siguientes temas:</w:t>
      </w:r>
      <w:r w:rsidRPr="00131FA3">
        <w:rPr>
          <w:rFonts w:ascii="Century Gothic" w:hAnsi="Century Gothic" w:cs="Arial"/>
          <w:color w:val="000000" w:themeColor="text1"/>
          <w:lang w:val="es-ES_tradnl"/>
        </w:rPr>
        <w:t xml:space="preserve"> i) </w:t>
      </w:r>
      <w:r w:rsidRPr="00131FA3">
        <w:rPr>
          <w:rFonts w:ascii="Century Gothic" w:hAnsi="Century Gothic" w:cs="Arial"/>
          <w:bCs/>
          <w:color w:val="000000" w:themeColor="text1"/>
          <w:lang w:val="es-ES_tradnl"/>
        </w:rPr>
        <w:t xml:space="preserve">diferencias entre los contratos del artículo 355 de la Constitución Política y los convenios de asociación del artículo 96 de la Ley 489 de 1998 y </w:t>
      </w:r>
      <w:proofErr w:type="spellStart"/>
      <w:r w:rsidRPr="00131FA3">
        <w:rPr>
          <w:rFonts w:ascii="Century Gothic" w:hAnsi="Century Gothic" w:cs="Arial"/>
          <w:bCs/>
          <w:color w:val="000000" w:themeColor="text1"/>
          <w:lang w:val="es-ES_tradnl"/>
        </w:rPr>
        <w:t>ii</w:t>
      </w:r>
      <w:proofErr w:type="spellEnd"/>
      <w:r w:rsidRPr="00131FA3">
        <w:rPr>
          <w:rFonts w:ascii="Century Gothic" w:hAnsi="Century Gothic" w:cs="Arial"/>
          <w:bCs/>
          <w:color w:val="000000" w:themeColor="text1"/>
          <w:lang w:val="es-ES_tradnl"/>
        </w:rPr>
        <w:t xml:space="preserve">) suspensión provisional de algunas normas del Decreto 092 de 2017. </w:t>
      </w:r>
    </w:p>
    <w:p w:rsidRPr="00131FA3" w:rsidR="00707041" w:rsidP="00707041" w:rsidRDefault="00707041" w14:paraId="489342AC" w14:textId="77777777">
      <w:pPr>
        <w:spacing w:after="0" w:line="276" w:lineRule="auto"/>
        <w:ind w:firstLine="709"/>
        <w:jc w:val="both"/>
        <w:rPr>
          <w:rFonts w:ascii="Century Gothic" w:hAnsi="Century Gothic" w:cs="Arial"/>
        </w:rPr>
      </w:pPr>
      <w:r w:rsidRPr="00131FA3">
        <w:rPr>
          <w:rFonts w:ascii="Century Gothic" w:hAnsi="Century Gothic" w:cs="Arial"/>
        </w:rPr>
        <w:lastRenderedPageBreak/>
        <w:t>La Agencia Nacional de Contratación Pública – Colombia Compra Eficiente se ha pronunciado en diferentes conceptos sobre la contratación con entidades privadas sin ánimo de lucro y de reconocida idoneidad –desde ahora ESAL–, con fundamento en el Decreto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w:t>
      </w:r>
      <w:r>
        <w:rPr>
          <w:rFonts w:ascii="Century Gothic" w:hAnsi="Century Gothic" w:cs="Arial"/>
        </w:rPr>
        <w:t>,</w:t>
      </w:r>
      <w:r w:rsidRPr="00131FA3">
        <w:rPr>
          <w:rFonts w:ascii="Century Gothic" w:hAnsi="Century Gothic" w:cs="Arial"/>
        </w:rPr>
        <w:t xml:space="preserve"> C-853 del 9 de diciembre de 2022</w:t>
      </w:r>
      <w:r>
        <w:rPr>
          <w:rFonts w:ascii="Century Gothic" w:hAnsi="Century Gothic" w:cs="Arial"/>
        </w:rPr>
        <w:t xml:space="preserve"> y C-351 del 6 de octubre de 2023</w:t>
      </w:r>
      <w:r w:rsidRPr="00131FA3">
        <w:rPr>
          <w:rStyle w:val="Refdenotaalpie"/>
          <w:rFonts w:ascii="Century Gothic" w:hAnsi="Century Gothic" w:eastAsia="Calibri" w:cs="Arial"/>
        </w:rPr>
        <w:footnoteReference w:id="3"/>
      </w:r>
      <w:r w:rsidRPr="00131FA3">
        <w:rPr>
          <w:rFonts w:ascii="Century Gothic" w:hAnsi="Century Gothic" w:cs="Arial"/>
        </w:rPr>
        <w:t>. Las tesis propuestas en tales conceptos se reiteran a continuación y se complementan en lo pertinente, teniendo en cuenta que la Sala Plena del Consejo de Estado resolvió el recurso de súplica interpuesto contra el Auto del 6 de agosto de 2019 de la Subsección A de la Sección Tercera.</w:t>
      </w:r>
    </w:p>
    <w:p w:rsidRPr="00131FA3" w:rsidR="00707041" w:rsidP="00707041" w:rsidRDefault="00707041" w14:paraId="54719C1F" w14:textId="77777777">
      <w:pPr>
        <w:spacing w:after="0" w:line="276" w:lineRule="auto"/>
        <w:ind w:firstLine="709"/>
        <w:jc w:val="both"/>
        <w:rPr>
          <w:rFonts w:ascii="Century Gothic" w:hAnsi="Century Gothic" w:cs="Arial"/>
        </w:rPr>
      </w:pPr>
    </w:p>
    <w:p w:rsidRPr="00131FA3" w:rsidR="00707041" w:rsidP="00707041" w:rsidRDefault="00707041" w14:paraId="257F30B9" w14:textId="77777777">
      <w:pPr>
        <w:spacing w:after="0" w:line="276" w:lineRule="auto"/>
        <w:jc w:val="both"/>
        <w:rPr>
          <w:rFonts w:ascii="Century Gothic" w:hAnsi="Century Gothic" w:cs="Arial"/>
          <w:b/>
          <w:bCs/>
        </w:rPr>
      </w:pPr>
      <w:r w:rsidRPr="00131FA3">
        <w:rPr>
          <w:rFonts w:ascii="Century Gothic" w:hAnsi="Century Gothic" w:cs="Arial"/>
          <w:b/>
          <w:bCs/>
        </w:rPr>
        <w:t xml:space="preserve">1. Diferencias entre los </w:t>
      </w:r>
      <w:bookmarkStart w:name="_Hlk162345481" w:id="9"/>
      <w:r w:rsidRPr="00131FA3">
        <w:rPr>
          <w:rFonts w:ascii="Century Gothic" w:hAnsi="Century Gothic" w:cs="Arial"/>
          <w:b/>
          <w:bCs/>
        </w:rPr>
        <w:t>contratos del artículo 355 de la Constitución Política y los convenios de asociación del artículo 96 de la Ley 489 de 1998</w:t>
      </w:r>
      <w:bookmarkEnd w:id="9"/>
    </w:p>
    <w:p w:rsidRPr="00131FA3" w:rsidR="00707041" w:rsidP="00707041" w:rsidRDefault="00707041" w14:paraId="1B7CEC6C" w14:textId="77777777">
      <w:pPr>
        <w:spacing w:after="0" w:line="276" w:lineRule="auto"/>
        <w:jc w:val="both"/>
        <w:rPr>
          <w:rFonts w:ascii="Century Gothic" w:hAnsi="Century Gothic" w:eastAsia="Calibri" w:cs="Arial"/>
          <w:bCs/>
          <w:lang w:val="es-ES_tradnl"/>
        </w:rPr>
      </w:pPr>
    </w:p>
    <w:p w:rsidRPr="00131FA3" w:rsidR="00707041" w:rsidP="00707041" w:rsidRDefault="00707041" w14:paraId="22869C17" w14:textId="77777777">
      <w:pPr>
        <w:spacing w:line="276" w:lineRule="auto"/>
        <w:jc w:val="both"/>
        <w:rPr>
          <w:rFonts w:ascii="Century Gothic" w:hAnsi="Century Gothic" w:eastAsia="Calibri" w:cs="Arial"/>
          <w:bCs/>
          <w:lang w:val="es-ES_tradnl"/>
        </w:rPr>
      </w:pPr>
      <w:r w:rsidRPr="00131FA3">
        <w:rPr>
          <w:rFonts w:ascii="Century Gothic" w:hAnsi="Century Gothic" w:eastAsia="Calibri" w:cs="Arial"/>
          <w:bCs/>
          <w:lang w:val="es-ES_tradnl"/>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w:t>
      </w:r>
      <w:r w:rsidRPr="00131FA3">
        <w:rPr>
          <w:rFonts w:ascii="Century Gothic" w:hAnsi="Century Gothic" w:eastAsia="Calibri" w:cs="Arial"/>
          <w:bCs/>
          <w:lang w:val="es-ES_tradnl"/>
        </w:rPr>
        <w:lastRenderedPageBreak/>
        <w:t>nacional y los planes seccionales de desarrollo</w:t>
      </w:r>
      <w:r w:rsidRPr="00131FA3">
        <w:rPr>
          <w:rStyle w:val="Refdenotaalpie"/>
          <w:rFonts w:ascii="Century Gothic" w:hAnsi="Century Gothic" w:cs="Arial"/>
        </w:rPr>
        <w:footnoteReference w:id="4"/>
      </w:r>
      <w:r w:rsidRPr="00131FA3">
        <w:rPr>
          <w:rFonts w:ascii="Century Gothic" w:hAnsi="Century Gothic" w:eastAsia="Calibri"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131FA3">
        <w:rPr>
          <w:rStyle w:val="Refdenotaalpie"/>
          <w:rFonts w:ascii="Century Gothic" w:hAnsi="Century Gothic" w:eastAsia="Calibri" w:cs="Arial"/>
          <w:bCs/>
          <w:lang w:val="es-ES_tradnl"/>
        </w:rPr>
        <w:footnoteReference w:id="5"/>
      </w:r>
      <w:r w:rsidRPr="00131FA3">
        <w:rPr>
          <w:rFonts w:ascii="Century Gothic" w:hAnsi="Century Gothic" w:eastAsia="Calibri" w:cs="Arial"/>
          <w:bCs/>
          <w:lang w:val="es-ES_tradnl"/>
        </w:rPr>
        <w:t>.</w:t>
      </w:r>
    </w:p>
    <w:p w:rsidRPr="00131FA3" w:rsidR="00707041" w:rsidP="00707041" w:rsidRDefault="00707041" w14:paraId="211EE251" w14:textId="77777777">
      <w:pPr>
        <w:spacing w:before="120" w:after="120" w:line="276" w:lineRule="auto"/>
        <w:ind w:firstLine="709"/>
        <w:jc w:val="both"/>
        <w:rPr>
          <w:rFonts w:ascii="Century Gothic" w:hAnsi="Century Gothic" w:eastAsia="Calibri" w:cs="Arial"/>
          <w:lang w:val="es-ES"/>
        </w:rPr>
      </w:pPr>
      <w:bookmarkStart w:name="_Hlk38819155" w:id="11"/>
      <w:r w:rsidRPr="2E13CB85">
        <w:rPr>
          <w:rFonts w:ascii="Century Gothic" w:hAnsi="Century Gothic" w:eastAsia="Calibri" w:cs="Arial"/>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2E13CB85">
        <w:rPr>
          <w:rFonts w:ascii="Century Gothic" w:hAnsi="Century Gothic" w:eastAsia="Calibri" w:cs="Arial"/>
          <w:lang w:val="es-ES"/>
        </w:rPr>
        <w:t>ii</w:t>
      </w:r>
      <w:proofErr w:type="spellEnd"/>
      <w:r w:rsidRPr="2E13CB85">
        <w:rPr>
          <w:rFonts w:ascii="Century Gothic" w:hAnsi="Century Gothic" w:eastAsia="Calibri" w:cs="Arial"/>
          <w:lang w:val="es-ES"/>
        </w:rPr>
        <w:t xml:space="preserve">) los convenios de asociación, para el desarrollo conjunto de actividades relacionadas con las funciones de las entidades estatales, en desarrollo del artículo 96 de la Ley 489 de 1998. </w:t>
      </w:r>
      <w:bookmarkEnd w:id="11"/>
    </w:p>
    <w:p w:rsidRPr="00131FA3" w:rsidR="00707041" w:rsidP="00707041" w:rsidRDefault="00707041" w14:paraId="38DD0D9A" w14:textId="77777777">
      <w:pPr>
        <w:spacing w:before="120" w:after="120" w:line="276" w:lineRule="auto"/>
        <w:ind w:firstLine="709"/>
        <w:jc w:val="both"/>
        <w:rPr>
          <w:rFonts w:ascii="Century Gothic" w:hAnsi="Century Gothic" w:eastAsia="Calibri" w:cs="Arial"/>
          <w:lang w:val="es-ES"/>
        </w:rPr>
      </w:pPr>
      <w:bookmarkStart w:name="_Hlk95756032" w:id="12"/>
      <w:r w:rsidRPr="2E13CB85">
        <w:rPr>
          <w:rFonts w:ascii="Century Gothic" w:hAnsi="Century Gothic" w:eastAsia="Calibri" w:cs="Arial"/>
          <w:lang w:val="es-ES"/>
        </w:rPr>
        <w:t xml:space="preserve">Los </w:t>
      </w:r>
      <w:r w:rsidRPr="2E13CB85">
        <w:rPr>
          <w:rFonts w:ascii="Century Gothic" w:hAnsi="Century Gothic" w:eastAsia="Calibri" w:cs="Arial"/>
          <w:i/>
          <w:lang w:val="es-ES"/>
        </w:rPr>
        <w:t>contratos del artículo 355 de la Constitución Política</w:t>
      </w:r>
      <w:r w:rsidRPr="2E13CB85">
        <w:rPr>
          <w:rFonts w:ascii="Century Gothic" w:hAnsi="Century Gothic"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2E13CB85">
        <w:rPr>
          <w:rFonts w:ascii="Century Gothic" w:hAnsi="Century Gothic" w:eastAsia="Calibri" w:cs="Arial"/>
          <w:lang w:val="es-ES"/>
        </w:rPr>
        <w:t>ii</w:t>
      </w:r>
      <w:proofErr w:type="spellEnd"/>
      <w:r w:rsidRPr="2E13CB85">
        <w:rPr>
          <w:rFonts w:ascii="Century Gothic" w:hAnsi="Century Gothic" w:eastAsia="Calibri" w:cs="Arial"/>
          <w:lang w:val="es-ES"/>
        </w:rPr>
        <w:t xml:space="preserve">) que no haya una contraprestación directa a favor de la entidad estatal, es decir, que el programa o actividad a desarrollar este dirigida al beneficio de la población en general, ya que cuando se adquieren bienes o servicios o se ejecutan obras en una relación </w:t>
      </w:r>
      <w:r w:rsidRPr="2E13CB85">
        <w:rPr>
          <w:rFonts w:ascii="Century Gothic" w:hAnsi="Century Gothic" w:eastAsia="Calibri" w:cs="Arial"/>
          <w:lang w:val="es-ES"/>
        </w:rPr>
        <w:lastRenderedPageBreak/>
        <w:t>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12"/>
    <w:p w:rsidRPr="00131FA3" w:rsidR="00707041" w:rsidP="00707041" w:rsidRDefault="00707041" w14:paraId="135F8E10" w14:textId="77777777">
      <w:pPr>
        <w:spacing w:before="120" w:after="120" w:line="276" w:lineRule="auto"/>
        <w:ind w:firstLine="709"/>
        <w:jc w:val="both"/>
        <w:rPr>
          <w:rFonts w:ascii="Century Gothic" w:hAnsi="Century Gothic" w:eastAsia="Calibri" w:cs="Arial"/>
          <w:bCs/>
          <w:lang w:val="es-ES_tradnl"/>
        </w:rPr>
      </w:pPr>
      <w:r w:rsidRPr="00131FA3">
        <w:rPr>
          <w:rFonts w:ascii="Century Gothic" w:hAnsi="Century Gothic" w:eastAsia="Calibri" w:cs="Arial"/>
          <w:bCs/>
          <w:lang w:val="es-ES_tradnl"/>
        </w:rPr>
        <w:t xml:space="preserve">De otro lado, los </w:t>
      </w:r>
      <w:r w:rsidRPr="00131FA3">
        <w:rPr>
          <w:rFonts w:ascii="Century Gothic" w:hAnsi="Century Gothic" w:eastAsia="Calibri" w:cs="Arial"/>
          <w:bCs/>
          <w:i/>
          <w:lang w:val="es-ES_tradnl"/>
        </w:rPr>
        <w:t>convenios de asociación</w:t>
      </w:r>
      <w:r w:rsidRPr="00131FA3">
        <w:rPr>
          <w:rFonts w:ascii="Century Gothic" w:hAnsi="Century Gothic" w:eastAsia="Calibri" w:cs="Arial"/>
          <w:bCs/>
          <w:lang w:val="es-ES_tradnl"/>
        </w:rPr>
        <w:t xml:space="preserve"> “[t]</w:t>
      </w:r>
      <w:proofErr w:type="spellStart"/>
      <w:r w:rsidRPr="00131FA3">
        <w:rPr>
          <w:rFonts w:ascii="Century Gothic" w:hAnsi="Century Gothic" w:eastAsia="Calibri" w:cs="Arial"/>
          <w:bCs/>
          <w:lang w:val="es-ES_tradnl"/>
        </w:rPr>
        <w:t>ienen</w:t>
      </w:r>
      <w:proofErr w:type="spellEnd"/>
      <w:r w:rsidRPr="00131FA3">
        <w:rPr>
          <w:rFonts w:ascii="Century Gothic" w:hAnsi="Century Gothic" w:eastAsia="Calibri"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131FA3">
        <w:rPr>
          <w:rStyle w:val="Refdenotaalpie"/>
          <w:rFonts w:ascii="Century Gothic" w:hAnsi="Century Gothic" w:cs="Arial"/>
        </w:rPr>
        <w:footnoteReference w:id="6"/>
      </w:r>
      <w:r w:rsidRPr="00131FA3">
        <w:rPr>
          <w:rFonts w:ascii="Century Gothic" w:hAnsi="Century Gothic" w:eastAsia="Calibri"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131FA3">
        <w:rPr>
          <w:rStyle w:val="Refdenotaalpie"/>
          <w:rFonts w:ascii="Century Gothic" w:hAnsi="Century Gothic" w:cs="Arial"/>
        </w:rPr>
        <w:footnoteReference w:id="7"/>
      </w:r>
      <w:r w:rsidRPr="00131FA3">
        <w:rPr>
          <w:rFonts w:ascii="Century Gothic" w:hAnsi="Century Gothic" w:eastAsia="Calibri" w:cs="Arial"/>
          <w:bCs/>
          <w:lang w:val="es-ES_tradnl"/>
        </w:rPr>
        <w:t>.</w:t>
      </w:r>
    </w:p>
    <w:p w:rsidRPr="00131FA3" w:rsidR="00707041" w:rsidP="00707041" w:rsidRDefault="00707041" w14:paraId="53D9A95E" w14:textId="77777777">
      <w:pPr>
        <w:spacing w:before="120" w:after="120" w:line="276" w:lineRule="auto"/>
        <w:ind w:firstLine="709"/>
        <w:jc w:val="both"/>
        <w:rPr>
          <w:rFonts w:ascii="Century Gothic" w:hAnsi="Century Gothic" w:eastAsia="Calibri" w:cs="Arial"/>
          <w:bCs/>
        </w:rPr>
      </w:pPr>
      <w:r w:rsidRPr="00131FA3">
        <w:rPr>
          <w:rFonts w:ascii="Century Gothic" w:hAnsi="Century Gothic" w:eastAsia="Calibri"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131FA3">
        <w:rPr>
          <w:rFonts w:ascii="Century Gothic" w:hAnsi="Century Gothic" w:eastAsia="Calibri"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w:t>
      </w:r>
      <w:proofErr w:type="gramStart"/>
      <w:r w:rsidRPr="00131FA3">
        <w:rPr>
          <w:rFonts w:ascii="Century Gothic" w:hAnsi="Century Gothic" w:eastAsia="Calibri" w:cs="Arial"/>
          <w:bCs/>
        </w:rPr>
        <w:t>que</w:t>
      </w:r>
      <w:proofErr w:type="gramEnd"/>
      <w:r w:rsidRPr="00131FA3">
        <w:rPr>
          <w:rFonts w:ascii="Century Gothic" w:hAnsi="Century Gothic" w:eastAsia="Calibri" w:cs="Arial"/>
          <w:bCs/>
        </w:rPr>
        <w:t xml:space="preserve"> no haya otras ESAL que ofrezcan su compromiso de recursos en dinero en una proporción no inferior al 30% del valor total del convenio. En caso de que la entidad encuentre que más de una ESAL le ofrece al menos el 30% de </w:t>
      </w:r>
      <w:r w:rsidRPr="00131FA3">
        <w:rPr>
          <w:rFonts w:ascii="Century Gothic" w:hAnsi="Century Gothic" w:eastAsia="Calibri" w:cs="Arial"/>
          <w:bCs/>
        </w:rPr>
        <w:lastRenderedPageBreak/>
        <w:t>recursos en dinero para el convenio de asociación, debe seleccionar objetivamente con cual asociarse.</w:t>
      </w:r>
    </w:p>
    <w:p w:rsidRPr="00131FA3" w:rsidR="00707041" w:rsidP="00707041" w:rsidRDefault="00707041" w14:paraId="604365C5" w14:textId="77777777">
      <w:pPr>
        <w:spacing w:before="120" w:after="120" w:line="276" w:lineRule="auto"/>
        <w:ind w:firstLine="709"/>
        <w:jc w:val="both"/>
        <w:rPr>
          <w:rFonts w:ascii="Century Gothic" w:hAnsi="Century Gothic"/>
        </w:rPr>
      </w:pPr>
      <w:r w:rsidRPr="00131FA3">
        <w:rPr>
          <w:rFonts w:ascii="Century Gothic" w:hAnsi="Century Gothic" w:cs="Arial"/>
          <w:color w:val="000000" w:themeColor="text1"/>
        </w:rPr>
        <w:t xml:space="preserve">La noción “seleccionar de forma objetiva”, contenida en la disposición </w:t>
      </w:r>
      <w:r w:rsidRPr="00131FA3">
        <w:rPr>
          <w:rFonts w:ascii="Century Gothic" w:hAnsi="Century Gothic" w:cs="Arial"/>
          <w:i/>
          <w:iCs/>
          <w:color w:val="000000" w:themeColor="text1"/>
        </w:rPr>
        <w:t xml:space="preserve">sub examine </w:t>
      </w:r>
      <w:r w:rsidRPr="00131FA3">
        <w:rPr>
          <w:rFonts w:ascii="Century Gothic" w:hAnsi="Century Gothic" w:cs="Arial"/>
          <w:color w:val="000000" w:themeColor="text1"/>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rsidRPr="00131FA3" w:rsidR="00707041" w:rsidP="00707041" w:rsidRDefault="00707041" w14:paraId="14A4229E" w14:textId="77777777">
      <w:pPr>
        <w:pStyle w:val="Sinespaciado"/>
        <w:spacing w:line="276" w:lineRule="auto"/>
        <w:ind w:firstLine="708"/>
        <w:jc w:val="both"/>
        <w:rPr>
          <w:rFonts w:ascii="Century Gothic" w:hAnsi="Century Gothic" w:cs="Arial"/>
          <w:color w:val="000000" w:themeColor="text1"/>
          <w:sz w:val="22"/>
        </w:rPr>
      </w:pPr>
      <w:r w:rsidRPr="00131FA3">
        <w:rPr>
          <w:rFonts w:ascii="Century Gothic" w:hAnsi="Century Gothic" w:cs="Arial"/>
          <w:color w:val="000000" w:themeColor="text1"/>
          <w:sz w:val="22"/>
        </w:rPr>
        <w:t xml:space="preserve">Es importante aclarar que los negocios jurídicos que regula el Decreto 092 de 2017 “[…] son esencialmente distintos a los contratos para la adquisición y aprovisionamiento de bienes, obras o servicios regulados por el estatuto de contratación </w:t>
      </w:r>
      <w:proofErr w:type="gramStart"/>
      <w:r w:rsidRPr="00131FA3">
        <w:rPr>
          <w:rFonts w:ascii="Century Gothic" w:hAnsi="Century Gothic" w:cs="Arial"/>
          <w:color w:val="000000" w:themeColor="text1"/>
          <w:sz w:val="22"/>
        </w:rPr>
        <w:t>y[</w:t>
      </w:r>
      <w:proofErr w:type="gramEnd"/>
      <w:r w:rsidRPr="00131FA3">
        <w:rPr>
          <w:rFonts w:ascii="Century Gothic" w:hAnsi="Century Gothic" w:cs="Arial"/>
          <w:color w:val="000000" w:themeColor="text1"/>
          <w:sz w:val="22"/>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131FA3">
        <w:rPr>
          <w:rStyle w:val="Refdenotaalpie"/>
          <w:rFonts w:ascii="Century Gothic" w:hAnsi="Century Gothic" w:cs="Arial"/>
          <w:color w:val="000000" w:themeColor="text1"/>
          <w:sz w:val="22"/>
        </w:rPr>
        <w:footnoteReference w:id="8"/>
      </w:r>
      <w:r w:rsidRPr="00131FA3">
        <w:rPr>
          <w:rFonts w:ascii="Century Gothic" w:hAnsi="Century Gothic" w:cs="Arial"/>
          <w:color w:val="000000" w:themeColor="text1"/>
          <w:sz w:val="22"/>
        </w:rPr>
        <w:t>. Así lo consideró la Sala de Consulta y Servicio Civil del Consejo de Estado</w:t>
      </w:r>
      <w:r w:rsidRPr="00131FA3">
        <w:rPr>
          <w:rStyle w:val="Refdenotaalpie"/>
          <w:rFonts w:ascii="Century Gothic" w:hAnsi="Century Gothic" w:cs="Arial"/>
          <w:color w:val="000000" w:themeColor="text1"/>
          <w:sz w:val="22"/>
        </w:rPr>
        <w:footnoteReference w:id="9"/>
      </w:r>
      <w:r w:rsidRPr="00131FA3">
        <w:rPr>
          <w:rFonts w:ascii="Century Gothic" w:hAnsi="Century Gothic" w:cs="Arial"/>
          <w:color w:val="000000" w:themeColor="text1"/>
          <w:sz w:val="22"/>
        </w:rPr>
        <w:t>:</w:t>
      </w:r>
    </w:p>
    <w:p w:rsidRPr="00131FA3" w:rsidR="00707041" w:rsidP="00707041" w:rsidRDefault="00707041" w14:paraId="77D0B806" w14:textId="77777777">
      <w:pPr>
        <w:pStyle w:val="Sinespaciado"/>
        <w:spacing w:line="276" w:lineRule="auto"/>
        <w:jc w:val="both"/>
        <w:rPr>
          <w:rFonts w:ascii="Century Gothic" w:hAnsi="Century Gothic" w:cs="Arial"/>
          <w:color w:val="000000" w:themeColor="text1"/>
          <w:sz w:val="22"/>
        </w:rPr>
      </w:pPr>
    </w:p>
    <w:p w:rsidRPr="00131FA3" w:rsidR="00707041" w:rsidP="00707041" w:rsidRDefault="00707041" w14:paraId="1D30B9F7" w14:textId="77777777">
      <w:pPr>
        <w:spacing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131FA3" w:rsidR="00707041" w:rsidP="00707041" w:rsidRDefault="00707041" w14:paraId="715AEEE7"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w:t>
      </w:r>
      <w:r w:rsidRPr="00131FA3">
        <w:rPr>
          <w:rFonts w:ascii="Century Gothic" w:hAnsi="Century Gothic" w:eastAsia="Calibri" w:cs="Arial"/>
          <w:color w:val="000000" w:themeColor="text1"/>
          <w:sz w:val="21"/>
          <w:szCs w:val="21"/>
        </w:rPr>
        <w:lastRenderedPageBreak/>
        <w:t>el deber constitucional es no sólo impulsarlos sino cumplirlos, conforme las disposiciones contractuales vigentes, como sería por ejemplo, contratos de prestación de servicios o de obra pública”.</w:t>
      </w:r>
    </w:p>
    <w:p w:rsidRPr="00131FA3" w:rsidR="00707041" w:rsidP="00707041" w:rsidRDefault="00707041" w14:paraId="488BFA45" w14:textId="77777777">
      <w:pPr>
        <w:spacing w:after="0" w:line="276" w:lineRule="auto"/>
        <w:ind w:firstLine="708"/>
        <w:jc w:val="both"/>
        <w:rPr>
          <w:rFonts w:ascii="Century Gothic" w:hAnsi="Century Gothic" w:eastAsia="Calibri" w:cs="Arial"/>
          <w:color w:val="000000" w:themeColor="text1"/>
        </w:rPr>
      </w:pPr>
      <w:bookmarkStart w:name="_Hlk95756200" w:id="13"/>
    </w:p>
    <w:p w:rsidRPr="00131FA3" w:rsidR="00707041" w:rsidP="00707041" w:rsidRDefault="00707041" w14:paraId="3D0D07B4" w14:textId="77777777">
      <w:pPr>
        <w:spacing w:after="0" w:line="276" w:lineRule="auto"/>
        <w:ind w:firstLine="708"/>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13"/>
      <w:r w:rsidRPr="00131FA3">
        <w:rPr>
          <w:rFonts w:ascii="Century Gothic" w:hAnsi="Century Gothic" w:eastAsia="Calibri" w:cs="Arial"/>
          <w:color w:val="000000" w:themeColor="text1"/>
        </w:rPr>
        <w:t>Así lo reconoció la Corte Constitucional en la sentencia C-287 del 18 de abril de 2012, en la que sostuvo lo siguiente:</w:t>
      </w:r>
    </w:p>
    <w:p w:rsidRPr="00131FA3" w:rsidR="00707041" w:rsidP="00707041" w:rsidRDefault="00707041" w14:paraId="37ED47AD" w14:textId="77777777">
      <w:pPr>
        <w:spacing w:after="0" w:line="276" w:lineRule="auto"/>
        <w:ind w:firstLine="708"/>
        <w:jc w:val="both"/>
        <w:rPr>
          <w:rFonts w:ascii="Century Gothic" w:hAnsi="Century Gothic" w:eastAsia="Calibri" w:cs="Arial"/>
          <w:color w:val="000000" w:themeColor="text1"/>
        </w:rPr>
      </w:pPr>
    </w:p>
    <w:p w:rsidRPr="00131FA3" w:rsidR="00707041" w:rsidP="00707041" w:rsidRDefault="00707041" w14:paraId="24E39609" w14:textId="77777777">
      <w:pPr>
        <w:spacing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131FA3" w:rsidR="00707041" w:rsidP="00707041" w:rsidRDefault="00707041" w14:paraId="49FF971C" w14:textId="77777777">
      <w:pPr>
        <w:spacing w:after="0"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i/>
          <w:iCs/>
          <w:color w:val="000000" w:themeColor="text1"/>
          <w:sz w:val="21"/>
          <w:szCs w:val="21"/>
        </w:rPr>
        <w:t xml:space="preserve">Sin embargo, el hecho que no persigan una finalidad </w:t>
      </w:r>
      <w:proofErr w:type="gramStart"/>
      <w:r w:rsidRPr="00131FA3">
        <w:rPr>
          <w:rFonts w:ascii="Century Gothic" w:hAnsi="Century Gothic" w:eastAsia="Calibri" w:cs="Arial"/>
          <w:i/>
          <w:iCs/>
          <w:color w:val="000000" w:themeColor="text1"/>
          <w:sz w:val="21"/>
          <w:szCs w:val="21"/>
        </w:rPr>
        <w:t>lucrativa,</w:t>
      </w:r>
      <w:proofErr w:type="gramEnd"/>
      <w:r w:rsidRPr="00131FA3">
        <w:rPr>
          <w:rFonts w:ascii="Century Gothic" w:hAnsi="Century Gothic" w:eastAsia="Calibri"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131FA3">
        <w:rPr>
          <w:rFonts w:ascii="Century Gothic" w:hAnsi="Century Gothic" w:eastAsia="Calibri"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131FA3">
        <w:rPr>
          <w:rFonts w:ascii="Century Gothic" w:hAnsi="Century Gothic" w:eastAsia="Calibri" w:cs="Arial"/>
          <w:color w:val="000000" w:themeColor="text1"/>
          <w:sz w:val="21"/>
          <w:szCs w:val="21"/>
        </w:rPr>
        <w:t>del mismo</w:t>
      </w:r>
      <w:proofErr w:type="gramEnd"/>
      <w:r w:rsidRPr="00131FA3">
        <w:rPr>
          <w:rFonts w:ascii="Century Gothic" w:hAnsi="Century Gothic" w:eastAsia="Calibri" w:cs="Arial"/>
          <w:color w:val="000000" w:themeColor="text1"/>
          <w:sz w:val="21"/>
          <w:szCs w:val="21"/>
        </w:rPr>
        <w:t xml:space="preserve"> en el momento de su disolución o liquidación”. (Cursivas propias)</w:t>
      </w:r>
    </w:p>
    <w:p w:rsidRPr="00131FA3" w:rsidR="00707041" w:rsidP="00707041" w:rsidRDefault="00707041" w14:paraId="6D54DDB8"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6BCABFCC"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w:t>
      </w:r>
      <w:r w:rsidRPr="00131FA3">
        <w:rPr>
          <w:rFonts w:ascii="Century Gothic" w:hAnsi="Century Gothic" w:eastAsia="Calibri" w:cs="Arial"/>
          <w:color w:val="000000" w:themeColor="text1"/>
        </w:rPr>
        <w:lastRenderedPageBreak/>
        <w:t>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131FA3" w:rsidR="00707041" w:rsidP="00707041" w:rsidRDefault="00707041" w14:paraId="5C2CDAEF"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3FD7FD55" w14:textId="77777777">
      <w:pPr>
        <w:spacing w:after="0" w:line="276" w:lineRule="auto"/>
        <w:jc w:val="both"/>
        <w:rPr>
          <w:rFonts w:ascii="Century Gothic" w:hAnsi="Century Gothic" w:eastAsia="Calibri" w:cs="Arial"/>
          <w:b/>
          <w:bCs/>
          <w:color w:val="000000" w:themeColor="text1"/>
        </w:rPr>
      </w:pPr>
      <w:r w:rsidRPr="00131FA3">
        <w:rPr>
          <w:rFonts w:ascii="Century Gothic" w:hAnsi="Century Gothic" w:eastAsia="Calibri" w:cs="Arial"/>
          <w:b/>
          <w:bCs/>
          <w:color w:val="000000" w:themeColor="text1"/>
        </w:rPr>
        <w:t xml:space="preserve">2. </w:t>
      </w:r>
      <w:r w:rsidRPr="00131FA3">
        <w:rPr>
          <w:rFonts w:ascii="Century Gothic" w:hAnsi="Century Gothic" w:cs="Arial"/>
          <w:b/>
          <w:bCs/>
          <w:color w:val="000000" w:themeColor="text1"/>
          <w:lang w:val="es-ES_tradnl"/>
        </w:rPr>
        <w:t>Suspensión provisional de algunas normas del Decreto 092 de 2017</w:t>
      </w:r>
    </w:p>
    <w:p w:rsidRPr="00131FA3" w:rsidR="00707041" w:rsidP="00707041" w:rsidRDefault="00707041" w14:paraId="5C1E7F0B"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18FCA8AF" w14:textId="77777777">
      <w:pPr>
        <w:spacing w:line="276" w:lineRule="auto"/>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El Consejo de Estado, en el Auto del 6 de agosto de 2019 de la Sección Tercera, Subsección A, radicado No. 11001-03-26-000-2018-00113-00 (62.003), </w:t>
      </w:r>
      <w:proofErr w:type="gramStart"/>
      <w:r w:rsidRPr="00131FA3">
        <w:rPr>
          <w:rFonts w:ascii="Century Gothic" w:hAnsi="Century Gothic" w:eastAsia="Calibri" w:cs="Arial"/>
          <w:color w:val="000000" w:themeColor="text1"/>
        </w:rPr>
        <w:t>Consejero</w:t>
      </w:r>
      <w:proofErr w:type="gramEnd"/>
      <w:r w:rsidRPr="00131FA3">
        <w:rPr>
          <w:rFonts w:ascii="Century Gothic" w:hAnsi="Century Gothic" w:eastAsia="Calibri" w:cs="Arial"/>
          <w:color w:val="000000" w:themeColor="text1"/>
        </w:rPr>
        <w:t xml:space="preserve">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131FA3">
        <w:rPr>
          <w:rStyle w:val="Refdenotaalpie"/>
          <w:rFonts w:ascii="Century Gothic" w:hAnsi="Century Gothic" w:eastAsia="Calibri" w:cs="Arial"/>
          <w:color w:val="000000" w:themeColor="text1"/>
        </w:rPr>
        <w:footnoteReference w:id="10"/>
      </w:r>
      <w:r w:rsidRPr="00131FA3">
        <w:rPr>
          <w:rFonts w:ascii="Century Gothic" w:hAnsi="Century Gothic" w:eastAsia="Calibri" w:cs="Arial"/>
          <w:color w:val="000000" w:themeColor="text1"/>
        </w:rPr>
        <w:t>. Cabe precisar que las decisiones adoptadas en el auto indicado fueron mantenidas en su mayoría en el Auto del 15 de marzo de 2022 de la Sala Plena del Consejo de Estado</w:t>
      </w:r>
      <w:r w:rsidRPr="00131FA3">
        <w:rPr>
          <w:rFonts w:ascii="Century Gothic" w:hAnsi="Century Gothic" w:eastAsia="Calibri" w:cs="Arial"/>
          <w:color w:val="000000" w:themeColor="text1"/>
          <w:vertAlign w:val="superscript"/>
        </w:rPr>
        <w:footnoteReference w:id="11"/>
      </w:r>
      <w:r w:rsidRPr="00131FA3">
        <w:rPr>
          <w:rFonts w:ascii="Century Gothic" w:hAnsi="Century Gothic" w:eastAsia="Calibri" w:cs="Arial"/>
          <w:color w:val="000000" w:themeColor="text1"/>
        </w:rPr>
        <w:t xml:space="preserve">,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 </w:t>
      </w:r>
    </w:p>
    <w:p w:rsidRPr="00131FA3" w:rsidR="00707041" w:rsidP="00707041" w:rsidRDefault="00707041" w14:paraId="2FDFF354" w14:textId="77777777">
      <w:pPr>
        <w:spacing w:before="120" w:after="0" w:line="276" w:lineRule="auto"/>
        <w:ind w:firstLine="708"/>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w:t>
      </w:r>
      <w:r w:rsidRPr="00131FA3">
        <w:rPr>
          <w:rFonts w:ascii="Century Gothic" w:hAnsi="Century Gothic" w:eastAsia="Calibri" w:cs="Arial"/>
          <w:i/>
          <w:iCs/>
          <w:color w:val="000000" w:themeColor="text1"/>
        </w:rPr>
        <w:t>primera</w:t>
      </w:r>
      <w:r w:rsidRPr="00131FA3">
        <w:rPr>
          <w:rFonts w:ascii="Century Gothic" w:hAnsi="Century Gothic" w:eastAsia="Calibri" w:cs="Arial"/>
          <w:color w:val="000000" w:themeColor="text1"/>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131FA3">
        <w:rPr>
          <w:rStyle w:val="Refdenotaalpie"/>
          <w:rFonts w:ascii="Century Gothic" w:hAnsi="Century Gothic" w:eastAsia="Calibri" w:cs="Arial"/>
          <w:color w:val="000000" w:themeColor="text1"/>
        </w:rPr>
        <w:footnoteReference w:id="12"/>
      </w:r>
      <w:r w:rsidRPr="00131FA3">
        <w:rPr>
          <w:rFonts w:ascii="Century Gothic" w:hAnsi="Century Gothic" w:eastAsia="Calibri" w:cs="Arial"/>
          <w:color w:val="000000" w:themeColor="text1"/>
        </w:rPr>
        <w:t>. Señaló que esta disposición, así como el inciso segundo del artículo 3 del Decreto 092 de 2017</w:t>
      </w:r>
      <w:r w:rsidRPr="00131FA3">
        <w:rPr>
          <w:rStyle w:val="Refdenotaalpie"/>
          <w:rFonts w:ascii="Century Gothic" w:hAnsi="Century Gothic" w:eastAsia="Calibri" w:cs="Arial"/>
          <w:color w:val="000000" w:themeColor="text1"/>
        </w:rPr>
        <w:footnoteReference w:id="13"/>
      </w:r>
      <w:r w:rsidRPr="00131FA3">
        <w:rPr>
          <w:rFonts w:ascii="Century Gothic" w:hAnsi="Century Gothic" w:eastAsia="Calibri" w:cs="Arial"/>
          <w:color w:val="000000" w:themeColor="text1"/>
        </w:rPr>
        <w:t xml:space="preserve">, </w:t>
      </w:r>
      <w:r w:rsidRPr="00131FA3">
        <w:rPr>
          <w:rFonts w:ascii="Century Gothic" w:hAnsi="Century Gothic" w:eastAsia="Calibri" w:cs="Arial"/>
          <w:color w:val="000000" w:themeColor="text1"/>
        </w:rPr>
        <w:lastRenderedPageBreak/>
        <w:t xml:space="preserve">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rsidRPr="00131FA3" w:rsidR="00707041" w:rsidP="00707041" w:rsidRDefault="00707041" w14:paraId="3D86A85F"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71F60998" w14:textId="77777777">
      <w:pPr>
        <w:tabs>
          <w:tab w:val="left" w:pos="8789"/>
        </w:tabs>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131FA3" w:rsidR="00707041" w:rsidP="00707041" w:rsidRDefault="00707041" w14:paraId="06DAF832" w14:textId="77777777">
      <w:pPr>
        <w:tabs>
          <w:tab w:val="left" w:pos="8789"/>
        </w:tabs>
        <w:spacing w:after="0" w:line="276" w:lineRule="auto"/>
        <w:ind w:left="708" w:right="709"/>
        <w:jc w:val="both"/>
        <w:rPr>
          <w:rFonts w:ascii="Century Gothic" w:hAnsi="Century Gothic" w:eastAsia="Calibri" w:cs="Arial"/>
          <w:color w:val="000000" w:themeColor="text1"/>
        </w:rPr>
      </w:pPr>
    </w:p>
    <w:p w:rsidRPr="00131FA3" w:rsidR="00707041" w:rsidP="00707041" w:rsidRDefault="00707041" w14:paraId="19703FE7"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“Guía para la contratación con entidades privadas sin ánimo de lucro y de reconocida idoneidad”, expedida por la Agencia Nacional de Contratación Pública–Colombia Compra Eficiente. 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rsidRPr="00131FA3" w:rsidR="00707041" w:rsidP="00707041" w:rsidRDefault="00707041" w14:paraId="02503B11"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5AF6ACDA"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w:t>
      </w:r>
      <w:r w:rsidRPr="00131FA3">
        <w:rPr>
          <w:rFonts w:ascii="Century Gothic" w:hAnsi="Century Gothic" w:eastAsia="Calibri" w:cs="Arial"/>
          <w:color w:val="000000" w:themeColor="text1"/>
          <w:sz w:val="21"/>
          <w:szCs w:val="21"/>
        </w:rPr>
        <w:lastRenderedPageBreak/>
        <w:t>se, la delegación de la facultad reglamentaria directa de la Constitución, atribuida al Gobierno nacional en el artículo 355 superior”.</w:t>
      </w:r>
    </w:p>
    <w:p w:rsidRPr="00131FA3" w:rsidR="00707041" w:rsidP="00707041" w:rsidRDefault="00707041" w14:paraId="44521172" w14:textId="77777777">
      <w:pPr>
        <w:spacing w:after="0" w:line="276" w:lineRule="auto"/>
        <w:ind w:left="708" w:right="709"/>
        <w:jc w:val="both"/>
        <w:rPr>
          <w:rFonts w:ascii="Century Gothic" w:hAnsi="Century Gothic" w:eastAsia="Calibri" w:cs="Arial"/>
          <w:color w:val="000000" w:themeColor="text1"/>
        </w:rPr>
      </w:pPr>
    </w:p>
    <w:p w:rsidRPr="00131FA3" w:rsidR="00707041" w:rsidP="00707041" w:rsidRDefault="00707041" w14:paraId="1B7422A0"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rsidRPr="00131FA3" w:rsidR="00707041" w:rsidP="00707041" w:rsidRDefault="00707041" w14:paraId="5161104B"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13BAE19E"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rsidRPr="00131FA3" w:rsidR="00707041" w:rsidP="00707041" w:rsidRDefault="00707041" w14:paraId="036E321C"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35850921"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131FA3">
        <w:rPr>
          <w:rStyle w:val="Refdenotaalpie"/>
          <w:rFonts w:ascii="Century Gothic" w:hAnsi="Century Gothic" w:eastAsia="Calibri" w:cs="Arial"/>
          <w:color w:val="000000" w:themeColor="text1"/>
        </w:rPr>
        <w:footnoteReference w:id="14"/>
      </w:r>
      <w:r w:rsidRPr="00131FA3">
        <w:rPr>
          <w:rFonts w:ascii="Century Gothic" w:hAnsi="Century Gothic" w:eastAsia="Calibri" w:cs="Arial"/>
          <w:color w:val="000000" w:themeColor="text1"/>
        </w:rPr>
        <w:t>.</w:t>
      </w:r>
    </w:p>
    <w:p w:rsidRPr="00131FA3" w:rsidR="00707041" w:rsidP="00707041" w:rsidRDefault="00707041" w14:paraId="4BBC103A" w14:textId="77777777">
      <w:pPr>
        <w:spacing w:before="12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lastRenderedPageBreak/>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rsidRPr="00131FA3" w:rsidR="00707041" w:rsidP="00707041" w:rsidRDefault="00707041" w14:paraId="08C767BA" w14:textId="77777777">
      <w:pPr>
        <w:spacing w:before="120"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w:t>
      </w:r>
      <w:r w:rsidRPr="00131FA3">
        <w:rPr>
          <w:rFonts w:ascii="Century Gothic" w:hAnsi="Century Gothic" w:eastAsia="Calibri" w:cs="Arial"/>
          <w:i/>
          <w:iCs/>
          <w:color w:val="000000" w:themeColor="text1"/>
        </w:rPr>
        <w:t>segunda</w:t>
      </w:r>
      <w:r w:rsidRPr="00131FA3">
        <w:rPr>
          <w:rFonts w:ascii="Century Gothic" w:hAnsi="Century Gothic" w:eastAsia="Calibri" w:cs="Arial"/>
          <w:color w:val="000000" w:themeColor="text1"/>
        </w:rPr>
        <w:t xml:space="preserve"> norma que analizó el Consejo de Estado en el auto del 6 de agosto de 2019,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131FA3">
        <w:rPr>
          <w:rStyle w:val="Refdenotaalpie"/>
          <w:rFonts w:ascii="Century Gothic" w:hAnsi="Century Gothic" w:cs="Arial"/>
          <w:color w:val="000000" w:themeColor="text1"/>
        </w:rPr>
        <w:footnoteReference w:id="15"/>
      </w:r>
      <w:r w:rsidRPr="00131FA3">
        <w:rPr>
          <w:rFonts w:ascii="Century Gothic" w:hAnsi="Century Gothic" w:eastAsia="Calibri" w:cs="Arial"/>
          <w:color w:val="000000" w:themeColor="text1"/>
        </w:rPr>
        <w:t xml:space="preserve">. </w:t>
      </w:r>
      <w:bookmarkStart w:name="_Hlk95756502" w:id="14"/>
      <w:r w:rsidRPr="00131FA3">
        <w:rPr>
          <w:rFonts w:ascii="Century Gothic" w:hAnsi="Century Gothic" w:eastAsia="Calibri" w:cs="Arial"/>
          <w:color w:val="000000" w:themeColor="text1"/>
        </w:rPr>
        <w:t xml:space="preserve">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14"/>
      <w:r w:rsidRPr="00131FA3">
        <w:rPr>
          <w:rFonts w:ascii="Century Gothic" w:hAnsi="Century Gothic" w:eastAsia="Calibri" w:cs="Arial"/>
          <w:color w:val="000000" w:themeColor="text1"/>
        </w:rPr>
        <w:t xml:space="preserve">En relación con lo anterior, el auto del Consejo de Estado explica que: </w:t>
      </w:r>
    </w:p>
    <w:p w:rsidRPr="00131FA3" w:rsidR="00707041" w:rsidP="00707041" w:rsidRDefault="00707041" w14:paraId="64E2F833"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7258AE1E"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w:t>
      </w:r>
      <w:r w:rsidRPr="00131FA3">
        <w:rPr>
          <w:rFonts w:ascii="Century Gothic" w:hAnsi="Century Gothic" w:eastAsia="Calibri" w:cs="Arial"/>
          <w:color w:val="000000" w:themeColor="text1"/>
          <w:sz w:val="21"/>
          <w:szCs w:val="21"/>
        </w:rPr>
        <w:lastRenderedPageBreak/>
        <w:t xml:space="preserve">con los que, a su vez, estén contemplados en los correspondientes planes de desarrollo”. </w:t>
      </w:r>
    </w:p>
    <w:p w:rsidRPr="00131FA3" w:rsidR="00707041" w:rsidP="00707041" w:rsidRDefault="00707041" w14:paraId="4F1C9CD3"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17B92219" w14:textId="77777777">
      <w:pPr>
        <w:spacing w:after="0" w:line="276" w:lineRule="auto"/>
        <w:ind w:firstLine="708"/>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131FA3" w:rsidR="00707041" w:rsidP="00707041" w:rsidRDefault="00707041" w14:paraId="345DCB96"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0D57FD4E" w14:textId="77777777">
      <w:pPr>
        <w:tabs>
          <w:tab w:val="left" w:pos="8080"/>
        </w:tabs>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131FA3" w:rsidR="00707041" w:rsidP="00707041" w:rsidRDefault="00707041" w14:paraId="039D5B94" w14:textId="77777777">
      <w:pPr>
        <w:spacing w:after="0" w:line="276" w:lineRule="auto"/>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 </w:t>
      </w:r>
    </w:p>
    <w:p w:rsidRPr="00131FA3" w:rsidR="00707041" w:rsidP="00707041" w:rsidRDefault="00707041" w14:paraId="46CEDFC2" w14:textId="77777777">
      <w:pPr>
        <w:spacing w:line="276" w:lineRule="auto"/>
        <w:ind w:firstLine="709"/>
        <w:jc w:val="both"/>
        <w:rPr>
          <w:rFonts w:ascii="Century Gothic" w:hAnsi="Century Gothic" w:eastAsia="Calibri" w:cs="Arial"/>
          <w:color w:val="000000" w:themeColor="text1"/>
        </w:rPr>
      </w:pPr>
      <w:bookmarkStart w:name="_Hlk95756534" w:id="15"/>
      <w:r w:rsidRPr="00131FA3">
        <w:rPr>
          <w:rFonts w:ascii="Century Gothic" w:hAnsi="Century Gothic" w:eastAsia="Calibri" w:cs="Arial"/>
          <w:color w:val="000000" w:themeColor="text1"/>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5"/>
    <w:p w:rsidRPr="00131FA3" w:rsidR="00707041" w:rsidP="00707041" w:rsidRDefault="00707041" w14:paraId="096AE8A7"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El Consejo de Estado, en el auto del 6 de agosto de 2019, en </w:t>
      </w:r>
      <w:r w:rsidRPr="00131FA3">
        <w:rPr>
          <w:rFonts w:ascii="Century Gothic" w:hAnsi="Century Gothic" w:eastAsia="Calibri" w:cs="Arial"/>
          <w:i/>
          <w:iCs/>
          <w:color w:val="000000" w:themeColor="text1"/>
        </w:rPr>
        <w:t>tercer</w:t>
      </w:r>
      <w:r w:rsidRPr="00131FA3">
        <w:rPr>
          <w:rFonts w:ascii="Century Gothic" w:hAnsi="Century Gothic" w:eastAsia="Calibri" w:cs="Arial"/>
          <w:color w:val="000000" w:themeColor="text1"/>
        </w:rPr>
        <w:t xml:space="preserve"> lugar, examinó el literal c) y el inciso 5 del artículo 2 del Decreto</w:t>
      </w:r>
      <w:r w:rsidRPr="00131FA3">
        <w:rPr>
          <w:rStyle w:val="Refdenotaalpie"/>
          <w:rFonts w:ascii="Century Gothic" w:hAnsi="Century Gothic" w:eastAsia="Calibri" w:cs="Arial"/>
          <w:color w:val="000000" w:themeColor="text1"/>
        </w:rPr>
        <w:footnoteReference w:id="16"/>
      </w:r>
      <w:r w:rsidRPr="00131FA3">
        <w:rPr>
          <w:rFonts w:ascii="Century Gothic" w:hAnsi="Century Gothic" w:eastAsia="Calibri" w:cs="Arial"/>
          <w:color w:val="000000" w:themeColor="text1"/>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w:t>
      </w:r>
      <w:r w:rsidRPr="00131FA3">
        <w:rPr>
          <w:rFonts w:ascii="Century Gothic" w:hAnsi="Century Gothic" w:eastAsia="Calibri" w:cs="Arial"/>
          <w:color w:val="000000" w:themeColor="text1"/>
        </w:rPr>
        <w:lastRenderedPageBreak/>
        <w:t xml:space="preserve">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rsidRPr="00131FA3" w:rsidR="00707041" w:rsidP="00707041" w:rsidRDefault="00707041" w14:paraId="656BF39B"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796D7033"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131FA3">
        <w:rPr>
          <w:rFonts w:ascii="Century Gothic" w:hAnsi="Century Gothic" w:eastAsia="Calibri" w:cs="Arial"/>
          <w:color w:val="000000" w:themeColor="text1"/>
          <w:sz w:val="21"/>
          <w:szCs w:val="21"/>
        </w:rPr>
        <w:t>ii</w:t>
      </w:r>
      <w:proofErr w:type="spellEnd"/>
      <w:r w:rsidRPr="00131FA3">
        <w:rPr>
          <w:rFonts w:ascii="Century Gothic" w:hAnsi="Century Gothic" w:eastAsia="Calibri" w:cs="Arial"/>
          <w:color w:val="000000" w:themeColor="text1"/>
          <w:sz w:val="21"/>
          <w:szCs w:val="21"/>
        </w:rPr>
        <w:t>) desarrollan programas y actividades de interés público con reconocida idoneidad. No son, entonces, entidades creadas para competir en el mercado”.</w:t>
      </w:r>
    </w:p>
    <w:p w:rsidRPr="00131FA3" w:rsidR="00707041" w:rsidP="00707041" w:rsidRDefault="00707041" w14:paraId="76764E22"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33A06710"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rsidRPr="00131FA3" w:rsidR="00707041" w:rsidP="00707041" w:rsidRDefault="00707041" w14:paraId="2B9E9C44" w14:textId="77777777">
      <w:pPr>
        <w:spacing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w:t>
      </w:r>
      <w:r w:rsidRPr="00131FA3">
        <w:rPr>
          <w:rFonts w:ascii="Century Gothic" w:hAnsi="Century Gothic" w:eastAsia="Calibri" w:cs="Arial"/>
          <w:i/>
          <w:iCs/>
          <w:color w:val="000000" w:themeColor="text1"/>
        </w:rPr>
        <w:t>cuarta</w:t>
      </w:r>
      <w:r w:rsidRPr="00131FA3">
        <w:rPr>
          <w:rFonts w:ascii="Century Gothic" w:hAnsi="Century Gothic" w:eastAsia="Calibri" w:cs="Arial"/>
          <w:color w:val="000000" w:themeColor="text1"/>
        </w:rPr>
        <w:t xml:space="preserve"> norma que estudió el Consejo de Estado en el auto del 6 de agosto de 2019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131FA3">
        <w:rPr>
          <w:rStyle w:val="Refdenotaalpie"/>
          <w:rFonts w:ascii="Century Gothic" w:hAnsi="Century Gothic" w:eastAsia="Calibri" w:cs="Arial"/>
          <w:color w:val="000000" w:themeColor="text1"/>
        </w:rPr>
        <w:footnoteReference w:id="17"/>
      </w:r>
      <w:r w:rsidRPr="00131FA3">
        <w:rPr>
          <w:rFonts w:ascii="Century Gothic" w:hAnsi="Century Gothic" w:eastAsia="Calibri" w:cs="Arial"/>
          <w:color w:val="000000" w:themeColor="text1"/>
        </w:rPr>
        <w:t xml:space="preserve">. Para la Sala, esta norma vulnera el principio de igualdad, por establecer un privilegio para determinadas personas jurídicas o naturales que ejecutaran únicamente las actividades allí previstas, contratándolas sin realizar un proceso competitivo. El Consejo de Estado se pronunció en los siguientes términos: </w:t>
      </w:r>
    </w:p>
    <w:p w:rsidRPr="00131FA3" w:rsidR="00707041" w:rsidP="00707041" w:rsidRDefault="00707041" w14:paraId="7EDDB32B" w14:textId="77777777">
      <w:pPr>
        <w:spacing w:after="0" w:line="276" w:lineRule="auto"/>
        <w:jc w:val="both"/>
        <w:rPr>
          <w:rFonts w:ascii="Century Gothic" w:hAnsi="Century Gothic" w:eastAsia="Calibri" w:cs="Arial"/>
          <w:color w:val="000000" w:themeColor="text1"/>
        </w:rPr>
      </w:pPr>
    </w:p>
    <w:p w:rsidRPr="00131FA3" w:rsidR="00707041" w:rsidP="00707041" w:rsidRDefault="00707041" w14:paraId="1A2F69FE" w14:textId="77777777">
      <w:pPr>
        <w:spacing w:after="0" w:line="240" w:lineRule="auto"/>
        <w:ind w:left="708"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rsidRPr="00131FA3" w:rsidR="00707041" w:rsidP="00707041" w:rsidRDefault="00707041" w14:paraId="2801E202" w14:textId="77777777">
      <w:pPr>
        <w:spacing w:after="0" w:line="276" w:lineRule="auto"/>
        <w:ind w:firstLine="709"/>
        <w:jc w:val="both"/>
        <w:rPr>
          <w:rFonts w:ascii="Century Gothic" w:hAnsi="Century Gothic" w:eastAsia="Calibri" w:cs="Arial"/>
          <w:color w:val="000000" w:themeColor="text1"/>
        </w:rPr>
      </w:pPr>
      <w:bookmarkStart w:name="_Hlk95756891" w:id="16"/>
    </w:p>
    <w:p w:rsidRPr="00131FA3" w:rsidR="00707041" w:rsidP="00707041" w:rsidRDefault="00707041" w14:paraId="6B482B0F"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16"/>
      <w:r w:rsidRPr="00131FA3">
        <w:rPr>
          <w:rFonts w:ascii="Century Gothic" w:hAnsi="Century Gothic" w:eastAsia="Calibri" w:cs="Arial"/>
          <w:color w:val="000000" w:themeColor="text1"/>
        </w:rPr>
        <w:t xml:space="preserve">En estos procesos, entonces, se debe acudir a los criterios aplicables a los otros negocios jurídicos que regula el Decreto 092 de 2017, particularmente las exigencias del artículo 2 </w:t>
      </w:r>
      <w:r w:rsidRPr="00131FA3">
        <w:rPr>
          <w:rFonts w:ascii="Century Gothic" w:hAnsi="Century Gothic" w:eastAsia="Calibri" w:cs="Arial"/>
          <w:i/>
          <w:iCs/>
          <w:color w:val="000000" w:themeColor="text1"/>
        </w:rPr>
        <w:t>ibidem</w:t>
      </w:r>
      <w:r w:rsidRPr="00131FA3">
        <w:rPr>
          <w:rFonts w:ascii="Century Gothic" w:hAnsi="Century Gothic" w:eastAsia="Calibri" w:cs="Arial"/>
          <w:color w:val="000000" w:themeColor="text1"/>
        </w:rPr>
        <w:t xml:space="preserve">. Incluso, habría que tener en cuenta las exigencias del inciso 2 del artículo 4 </w:t>
      </w:r>
      <w:proofErr w:type="spellStart"/>
      <w:r w:rsidRPr="00131FA3">
        <w:rPr>
          <w:rFonts w:ascii="Century Gothic" w:hAnsi="Century Gothic" w:eastAsia="Calibri" w:cs="Arial"/>
          <w:i/>
          <w:iCs/>
          <w:color w:val="000000" w:themeColor="text1"/>
        </w:rPr>
        <w:t>íbídem</w:t>
      </w:r>
      <w:proofErr w:type="spellEnd"/>
      <w:r w:rsidRPr="00131FA3">
        <w:rPr>
          <w:rFonts w:ascii="Century Gothic" w:hAnsi="Century Gothic" w:eastAsia="Calibri" w:cs="Arial"/>
          <w:color w:val="000000" w:themeColor="text1"/>
        </w:rPr>
        <w:t>, siempre que se configuren los supuestos de aplicación de dicha normativa, esto es, siempre que exista más de una entidad sin ánimo de lucro de reconocida idoneidad.</w:t>
      </w:r>
    </w:p>
    <w:p w:rsidRPr="00131FA3" w:rsidR="00707041" w:rsidP="00707041" w:rsidRDefault="00707041" w14:paraId="4AA8D177" w14:textId="77777777">
      <w:pPr>
        <w:spacing w:before="120" w:line="276" w:lineRule="auto"/>
        <w:ind w:firstLine="709"/>
        <w:jc w:val="both"/>
        <w:rPr>
          <w:rFonts w:ascii="Century Gothic" w:hAnsi="Century Gothic" w:eastAsia="Calibri" w:cs="Arial"/>
          <w:color w:val="000000" w:themeColor="text1"/>
        </w:rPr>
      </w:pPr>
      <w:bookmarkStart w:name="_Hlk95757095" w:id="17"/>
      <w:r w:rsidRPr="00131FA3">
        <w:rPr>
          <w:rFonts w:ascii="Century Gothic" w:hAnsi="Century Gothic" w:eastAsia="Calibri" w:cs="Arial"/>
          <w:color w:val="000000" w:themeColor="text1"/>
        </w:rPr>
        <w:t xml:space="preserve">Por último, en </w:t>
      </w:r>
      <w:r w:rsidRPr="00131FA3">
        <w:rPr>
          <w:rFonts w:ascii="Century Gothic" w:hAnsi="Century Gothic" w:eastAsia="Calibri" w:cs="Arial"/>
          <w:i/>
          <w:iCs/>
          <w:color w:val="000000" w:themeColor="text1"/>
        </w:rPr>
        <w:t xml:space="preserve">quinto </w:t>
      </w:r>
      <w:r w:rsidRPr="00131FA3">
        <w:rPr>
          <w:rFonts w:ascii="Century Gothic" w:hAnsi="Century Gothic" w:eastAsia="Calibri" w:cs="Arial"/>
          <w:color w:val="000000" w:themeColor="text1"/>
        </w:rPr>
        <w:t xml:space="preserve">lugar, el Consejo de Estado en el auto del 6 de agosto de 2019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rsidRPr="00131FA3" w:rsidR="00707041" w:rsidP="00707041" w:rsidRDefault="00707041" w14:paraId="4978952D" w14:textId="77777777">
      <w:pPr>
        <w:spacing w:before="120" w:after="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La Sala Plena del Consejo de Estado en Auto del 15 de marzo de 2022 estima que debe mantenerse la suspensión provisional del literal a) del artículo 2 del Decreto 092 de 2017. Lo anterior en la medida que esta restringe y contraria la finalidad de apoyo y fomento prevista en el artículo 355 de la Constitución Política, pues –pese a que la norma superior no hizo diferenciación alguna al respecto– el </w:t>
      </w:r>
      <w:r w:rsidRPr="00131FA3">
        <w:rPr>
          <w:rFonts w:ascii="Century Gothic" w:hAnsi="Century Gothic" w:eastAsia="Calibri" w:cs="Arial"/>
          <w:color w:val="000000" w:themeColor="text1"/>
        </w:rPr>
        <w:lastRenderedPageBreak/>
        <w:t>decreto limita su órbita de aplicación a un catálogo de actividades y programas de interés público susceptibles de este mecanismo</w:t>
      </w:r>
      <w:r w:rsidRPr="00131FA3">
        <w:rPr>
          <w:rStyle w:val="Refdenotaalpie"/>
          <w:rFonts w:ascii="Century Gothic" w:hAnsi="Century Gothic" w:eastAsia="Calibri" w:cs="Arial"/>
          <w:color w:val="000000" w:themeColor="text1"/>
        </w:rPr>
        <w:footnoteReference w:id="18"/>
      </w:r>
      <w:r w:rsidRPr="00131FA3">
        <w:rPr>
          <w:rFonts w:ascii="Century Gothic" w:hAnsi="Century Gothic" w:eastAsia="Calibri" w:cs="Arial"/>
          <w:color w:val="000000" w:themeColor="text1"/>
        </w:rPr>
        <w:t xml:space="preserve">. Por lo demás, respecto al inciso final del artículo 4 </w:t>
      </w:r>
      <w:r w:rsidRPr="00131FA3">
        <w:rPr>
          <w:rFonts w:ascii="Century Gothic" w:hAnsi="Century Gothic" w:eastAsia="Calibri" w:cs="Arial"/>
          <w:i/>
          <w:iCs/>
          <w:color w:val="000000" w:themeColor="text1"/>
        </w:rPr>
        <w:t>ibidem</w:t>
      </w:r>
      <w:r w:rsidRPr="00131FA3">
        <w:rPr>
          <w:rFonts w:ascii="Century Gothic" w:hAnsi="Century Gothic" w:eastAsia="Calibri" w:cs="Arial"/>
          <w:color w:val="000000" w:themeColor="text1"/>
        </w:rPr>
        <w:t>, el Consejo de Estado mantiene la medida cautelar al configurarse el cargo de violación del principio de igualdad. Para estos efectos, considera que:</w:t>
      </w:r>
    </w:p>
    <w:p w:rsidRPr="00131FA3" w:rsidR="00707041" w:rsidP="00707041" w:rsidRDefault="00707041" w14:paraId="31FFBC1C"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3AE05311" w14:textId="77777777">
      <w:pPr>
        <w:spacing w:after="120"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 xml:space="preserve">“73. […]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rsidRPr="00131FA3" w:rsidR="00707041" w:rsidP="00707041" w:rsidRDefault="00707041" w14:paraId="4ADF854C" w14:textId="77777777">
      <w:pPr>
        <w:spacing w:after="0" w:line="240" w:lineRule="auto"/>
        <w:ind w:left="709" w:right="709"/>
        <w:jc w:val="both"/>
        <w:rPr>
          <w:rFonts w:ascii="Century Gothic" w:hAnsi="Century Gothic" w:eastAsia="Calibri" w:cs="Arial"/>
          <w:color w:val="000000" w:themeColor="text1"/>
          <w:sz w:val="21"/>
          <w:szCs w:val="21"/>
        </w:rPr>
      </w:pPr>
      <w:r w:rsidRPr="00131FA3">
        <w:rPr>
          <w:rFonts w:ascii="Century Gothic" w:hAnsi="Century Gothic" w:eastAsia="Calibri" w:cs="Arial"/>
          <w:color w:val="000000" w:themeColor="text1"/>
          <w:sz w:val="21"/>
          <w:szCs w:val="21"/>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Pr="00131FA3">
        <w:rPr>
          <w:rStyle w:val="Refdenotaalpie"/>
          <w:rFonts w:ascii="Century Gothic" w:hAnsi="Century Gothic" w:eastAsia="Calibri" w:cs="Arial"/>
          <w:color w:val="000000" w:themeColor="text1"/>
          <w:sz w:val="21"/>
          <w:szCs w:val="21"/>
        </w:rPr>
        <w:footnoteReference w:id="19"/>
      </w:r>
      <w:r w:rsidRPr="00131FA3">
        <w:rPr>
          <w:rFonts w:ascii="Century Gothic" w:hAnsi="Century Gothic" w:eastAsia="Calibri" w:cs="Arial"/>
          <w:color w:val="000000" w:themeColor="text1"/>
          <w:sz w:val="21"/>
          <w:szCs w:val="21"/>
        </w:rPr>
        <w:t xml:space="preserve">.  </w:t>
      </w:r>
    </w:p>
    <w:p w:rsidRPr="00131FA3" w:rsidR="00707041" w:rsidP="00707041" w:rsidRDefault="00707041" w14:paraId="7C099171" w14:textId="77777777">
      <w:pPr>
        <w:spacing w:after="0" w:line="276" w:lineRule="auto"/>
        <w:ind w:firstLine="709"/>
        <w:jc w:val="both"/>
        <w:rPr>
          <w:rFonts w:ascii="Century Gothic" w:hAnsi="Century Gothic" w:eastAsia="Calibri" w:cs="Arial"/>
          <w:color w:val="000000" w:themeColor="text1"/>
        </w:rPr>
      </w:pPr>
    </w:p>
    <w:p w:rsidRPr="00131FA3" w:rsidR="00707041" w:rsidP="00707041" w:rsidRDefault="00707041" w14:paraId="161D9E47" w14:textId="77777777">
      <w:pPr>
        <w:spacing w:line="276" w:lineRule="auto"/>
        <w:ind w:firstLine="709"/>
        <w:jc w:val="both"/>
        <w:rPr>
          <w:rFonts w:ascii="Century Gothic" w:hAnsi="Century Gothic" w:eastAsia="Calibri" w:cs="Arial"/>
          <w:color w:val="000000" w:themeColor="text1"/>
        </w:rPr>
      </w:pPr>
      <w:bookmarkStart w:name="_Hlk95757157" w:id="19"/>
      <w:bookmarkEnd w:id="17"/>
      <w:r w:rsidRPr="00131FA3">
        <w:rPr>
          <w:rFonts w:ascii="Century Gothic" w:hAnsi="Century Gothic" w:cs="Arial"/>
          <w:color w:val="000000" w:themeColor="text1"/>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131FA3">
        <w:rPr>
          <w:rFonts w:ascii="Century Gothic" w:hAnsi="Century Gothic" w:cs="Arial"/>
          <w:color w:val="000000" w:themeColor="text1"/>
        </w:rPr>
        <w:t>ii</w:t>
      </w:r>
      <w:proofErr w:type="spellEnd"/>
      <w:r w:rsidRPr="00131FA3">
        <w:rPr>
          <w:rFonts w:ascii="Century Gothic" w:hAnsi="Century Gothic"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131FA3">
        <w:rPr>
          <w:rFonts w:ascii="Century Gothic" w:hAnsi="Century Gothic" w:cs="Arial"/>
          <w:color w:val="000000" w:themeColor="text1"/>
        </w:rPr>
        <w:t>iii</w:t>
      </w:r>
      <w:proofErr w:type="spellEnd"/>
      <w:r w:rsidRPr="00131FA3">
        <w:rPr>
          <w:rFonts w:ascii="Century Gothic" w:hAnsi="Century Gothic" w:cs="Arial"/>
          <w:color w:val="000000" w:themeColor="text1"/>
        </w:rPr>
        <w:t xml:space="preserve">) el objeto del contrato debe estar acorde con el plan nacional o seccional de desarrollo; </w:t>
      </w:r>
      <w:proofErr w:type="spellStart"/>
      <w:r w:rsidRPr="00131FA3">
        <w:rPr>
          <w:rFonts w:ascii="Century Gothic" w:hAnsi="Century Gothic" w:cs="Arial"/>
          <w:color w:val="000000" w:themeColor="text1"/>
        </w:rPr>
        <w:t>iv</w:t>
      </w:r>
      <w:proofErr w:type="spellEnd"/>
      <w:r w:rsidRPr="00131FA3">
        <w:rPr>
          <w:rFonts w:ascii="Century Gothic" w:hAnsi="Century Gothic" w:cs="Arial"/>
          <w:color w:val="000000" w:themeColor="text1"/>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w:t>
      </w:r>
      <w:r w:rsidRPr="00131FA3">
        <w:rPr>
          <w:rFonts w:ascii="Century Gothic" w:hAnsi="Century Gothic" w:cs="Arial"/>
          <w:color w:val="000000" w:themeColor="text1"/>
        </w:rPr>
        <w:lastRenderedPageBreak/>
        <w:t xml:space="preserve">promoción de la diversidad étnica colombiana, por lo que basta con cumplir el anterior numeral </w:t>
      </w:r>
      <w:proofErr w:type="spellStart"/>
      <w:r w:rsidRPr="00131FA3">
        <w:rPr>
          <w:rFonts w:ascii="Century Gothic" w:hAnsi="Century Gothic" w:cs="Arial"/>
          <w:color w:val="000000" w:themeColor="text1"/>
        </w:rPr>
        <w:t>iii</w:t>
      </w:r>
      <w:proofErr w:type="spellEnd"/>
      <w:r w:rsidRPr="00131FA3">
        <w:rPr>
          <w:rFonts w:ascii="Century Gothic" w:hAnsi="Century Gothic" w:cs="Arial"/>
          <w:color w:val="000000" w:themeColor="text1"/>
        </w:rPr>
        <w:t>); y v) el contrato no debe establecer una relación conmutativa en el cual haya una contraprestación directa a favor de la entidad, ni instrucciones precisas dadas por esta al contratista para cumplir con el objeto del contrato.</w:t>
      </w:r>
    </w:p>
    <w:p w:rsidRPr="00131FA3" w:rsidR="00707041" w:rsidP="00707041" w:rsidRDefault="00707041" w14:paraId="094DD7F2" w14:textId="77777777">
      <w:pPr>
        <w:spacing w:before="12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Ahora, si se pretende realizar un </w:t>
      </w:r>
      <w:r w:rsidRPr="00131FA3">
        <w:rPr>
          <w:rFonts w:ascii="Century Gothic" w:hAnsi="Century Gothic" w:eastAsia="Calibri" w:cs="Arial"/>
          <w:i/>
          <w:iCs/>
          <w:color w:val="000000" w:themeColor="text1"/>
        </w:rPr>
        <w:t>convenio de asociación</w:t>
      </w:r>
      <w:r w:rsidRPr="00131FA3">
        <w:rPr>
          <w:rFonts w:ascii="Century Gothic" w:hAnsi="Century Gothic"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w:t>
      </w:r>
      <w:bookmarkEnd w:id="19"/>
      <w:r w:rsidRPr="00131FA3">
        <w:rPr>
          <w:rFonts w:ascii="Century Gothic" w:hAnsi="Century Gothic" w:eastAsia="Calibri" w:cs="Arial"/>
          <w:color w:val="000000" w:themeColor="text1"/>
        </w:rPr>
        <w:t>deben estar sujetos a competencia, salvo en aquellos casos en que una entidad sin ánimo de lucro comprometa recursos en dinero por un valor igual o superior al 30% del valor total del convenio</w:t>
      </w:r>
      <w:r w:rsidRPr="00131FA3">
        <w:rPr>
          <w:rStyle w:val="Refdenotaalpie"/>
          <w:rFonts w:ascii="Century Gothic" w:hAnsi="Century Gothic" w:cs="Arial"/>
          <w:color w:val="000000" w:themeColor="text1"/>
          <w:sz w:val="20"/>
          <w:szCs w:val="20"/>
        </w:rPr>
        <w:footnoteReference w:id="20"/>
      </w:r>
      <w:r w:rsidRPr="00131FA3">
        <w:rPr>
          <w:rFonts w:ascii="Century Gothic" w:hAnsi="Century Gothic" w:eastAsia="Calibri" w:cs="Arial"/>
          <w:color w:val="000000" w:themeColor="text1"/>
        </w:rPr>
        <w:t xml:space="preserve">, y siempre que la entidad estatal verifique previamente que no existe ninguna otra entidad sin ánimo de lucro que ofrezca aportes iguales o superiores al 30%. </w:t>
      </w:r>
      <w:r w:rsidRPr="00131FA3">
        <w:rPr>
          <w:rFonts w:ascii="Century Gothic" w:hAnsi="Century Gothic" w:eastAsia="Calibri" w:cs="Arial"/>
          <w:color w:val="000000"/>
        </w:rPr>
        <w:t>Lo anterior sin perjuicio de las restricciones previstas en el artículo 33 de la Ley de Garantías durante el periodo preelectoral de las elecciones presidenciales para los procesos no competitivos</w:t>
      </w:r>
      <w:r w:rsidRPr="00131FA3">
        <w:rPr>
          <w:rFonts w:ascii="Century Gothic" w:hAnsi="Century Gothic" w:eastAsia="Calibri" w:cs="Arial"/>
          <w:color w:val="000000" w:themeColor="text1"/>
        </w:rPr>
        <w:t>.</w:t>
      </w:r>
    </w:p>
    <w:p w:rsidR="00707041" w:rsidP="00707041" w:rsidRDefault="00707041" w14:paraId="0A6223B4" w14:textId="77777777">
      <w:pPr>
        <w:spacing w:after="120" w:line="276" w:lineRule="auto"/>
        <w:ind w:firstLine="709"/>
        <w:jc w:val="both"/>
        <w:rPr>
          <w:rFonts w:ascii="Century Gothic" w:hAnsi="Century Gothic" w:eastAsia="Calibri" w:cs="Arial"/>
          <w:bCs/>
          <w:color w:val="000000"/>
          <w:lang w:eastAsia="es-CO"/>
        </w:rPr>
      </w:pPr>
      <w:r>
        <w:rPr>
          <w:rFonts w:ascii="Century Gothic" w:hAnsi="Century Gothic" w:eastAsia="Calibri" w:cs="Arial"/>
          <w:bCs/>
          <w:color w:val="000000"/>
          <w:lang w:eastAsia="es-CO"/>
        </w:rPr>
        <w:t>Considerando que el artículo 8 de la Ley 1276 de 2009 dispone que “</w:t>
      </w:r>
      <w:r w:rsidRPr="00DF7334">
        <w:rPr>
          <w:rFonts w:ascii="Century Gothic" w:hAnsi="Century Gothic" w:eastAsia="Calibri" w:cs="Arial"/>
          <w:bCs/>
          <w:color w:val="000000"/>
          <w:lang w:eastAsia="es-CO"/>
        </w:rPr>
        <w:t>Los distritos y municipios podrán suscribir convenios con entidades reconocidas para el manejo de los Centros Vida</w:t>
      </w:r>
      <w:r>
        <w:rPr>
          <w:rFonts w:ascii="Century Gothic" w:hAnsi="Century Gothic" w:eastAsia="Calibri" w:cs="Arial"/>
          <w:bCs/>
          <w:color w:val="000000"/>
          <w:lang w:eastAsia="es-CO"/>
        </w:rPr>
        <w:t xml:space="preserve"> […]”</w:t>
      </w:r>
      <w:r w:rsidRPr="00131FA3">
        <w:rPr>
          <w:rFonts w:ascii="Century Gothic" w:hAnsi="Century Gothic" w:eastAsia="Calibri" w:cs="Arial"/>
          <w:bCs/>
          <w:color w:val="000000"/>
          <w:lang w:eastAsia="es-CO"/>
        </w:rPr>
        <w:t xml:space="preserve">, corresponde a cada entidad pública, en ejercicio de su competencia y previa valoración de los elementos fácticos y jurídicos, determinar la forma de </w:t>
      </w:r>
      <w:r>
        <w:rPr>
          <w:rFonts w:ascii="Century Gothic" w:hAnsi="Century Gothic" w:eastAsia="Calibri" w:cs="Arial"/>
          <w:bCs/>
          <w:color w:val="000000"/>
          <w:lang w:eastAsia="es-CO"/>
        </w:rPr>
        <w:t>adelantar su gestión contractual</w:t>
      </w:r>
      <w:r w:rsidRPr="00131FA3">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De esta manera, teniendo en cuenta de la norma citada no se desprende explícitamente una causal de contratación directa y que éstas son de interpretación estricta, deberá definir la aplicación de las modalidades competitivas y no competitivas del Decreto 092 de 2017 bajo el marco normativo general descrito </w:t>
      </w:r>
      <w:r w:rsidRPr="00DF7334">
        <w:rPr>
          <w:rFonts w:ascii="Century Gothic" w:hAnsi="Century Gothic" w:eastAsia="Calibri" w:cs="Arial"/>
          <w:bCs/>
          <w:i/>
          <w:iCs/>
          <w:color w:val="000000"/>
          <w:lang w:eastAsia="es-CO"/>
        </w:rPr>
        <w:t>ut supra</w:t>
      </w:r>
      <w:r>
        <w:rPr>
          <w:rFonts w:ascii="Century Gothic" w:hAnsi="Century Gothic" w:eastAsia="Calibri" w:cs="Arial"/>
          <w:bCs/>
          <w:color w:val="000000"/>
          <w:lang w:eastAsia="es-CO"/>
        </w:rPr>
        <w:t xml:space="preserve">. Esta definición del régimen aplicable se extiende a los Centros </w:t>
      </w:r>
      <w:r w:rsidRPr="003A66F0">
        <w:rPr>
          <w:rFonts w:ascii="Century Gothic" w:hAnsi="Century Gothic" w:eastAsia="Calibri" w:cs="Arial"/>
          <w:bCs/>
          <w:color w:val="000000"/>
          <w:lang w:eastAsia="es-CO"/>
        </w:rPr>
        <w:t>de Protección Social para el Adulto Mayor</w:t>
      </w:r>
      <w:r>
        <w:rPr>
          <w:rFonts w:ascii="Century Gothic" w:hAnsi="Century Gothic" w:eastAsia="Calibri" w:cs="Arial"/>
          <w:bCs/>
          <w:color w:val="000000"/>
          <w:lang w:eastAsia="es-CO"/>
        </w:rPr>
        <w:t xml:space="preserve"> y/o a los Centros </w:t>
      </w:r>
      <w:r w:rsidRPr="003A66F0">
        <w:rPr>
          <w:rFonts w:ascii="Century Gothic" w:hAnsi="Century Gothic" w:eastAsia="Calibri" w:cs="Arial"/>
          <w:bCs/>
          <w:color w:val="000000"/>
          <w:lang w:eastAsia="es-CO"/>
        </w:rPr>
        <w:t>de Día para Adulto Mayor</w:t>
      </w:r>
      <w:r>
        <w:rPr>
          <w:rFonts w:ascii="Century Gothic" w:hAnsi="Century Gothic" w:eastAsia="Calibri" w:cs="Arial"/>
          <w:bCs/>
          <w:color w:val="000000"/>
          <w:lang w:eastAsia="es-CO"/>
        </w:rPr>
        <w:t xml:space="preserve">, incorporados al ordenamiento jurídico a través de la Ley 1315 de 2009 y modificada por la Ley 1850 de 2007. </w:t>
      </w:r>
      <w:r w:rsidRPr="00131FA3">
        <w:rPr>
          <w:rFonts w:ascii="Century Gothic" w:hAnsi="Century Gothic" w:eastAsia="Calibri" w:cs="Arial"/>
          <w:bCs/>
          <w:color w:val="000000"/>
          <w:lang w:eastAsia="es-CO"/>
        </w:rPr>
        <w:t xml:space="preserve"> </w:t>
      </w:r>
      <w:r>
        <w:rPr>
          <w:rFonts w:ascii="Century Gothic" w:hAnsi="Century Gothic" w:eastAsia="Calibri" w:cs="Arial"/>
          <w:bCs/>
          <w:color w:val="000000"/>
          <w:lang w:eastAsia="es-CO"/>
        </w:rPr>
        <w:t xml:space="preserve"> </w:t>
      </w:r>
    </w:p>
    <w:p w:rsidR="00707041" w:rsidP="00707041" w:rsidRDefault="00707041" w14:paraId="72005A1F" w14:textId="77777777">
      <w:pPr>
        <w:spacing w:after="0" w:line="276" w:lineRule="auto"/>
        <w:ind w:firstLine="709"/>
        <w:jc w:val="both"/>
        <w:rPr>
          <w:rFonts w:ascii="Century Gothic" w:hAnsi="Century Gothic" w:cs="Arial"/>
          <w:lang w:val="es-ES"/>
        </w:rPr>
      </w:pPr>
      <w:r w:rsidRPr="00131FA3">
        <w:rPr>
          <w:rFonts w:ascii="Century Gothic" w:hAnsi="Century Gothic" w:eastAsia="Calibri" w:cs="Arial"/>
          <w:bCs/>
          <w:color w:val="000000"/>
          <w:lang w:eastAsia="es-CO"/>
        </w:rPr>
        <w:t xml:space="preserve">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131FA3">
        <w:rPr>
          <w:rFonts w:ascii="Century Gothic" w:hAnsi="Century Gothic" w:cs="Arial"/>
          <w:lang w:val="es-ES"/>
        </w:rPr>
        <w:t xml:space="preserve">Por lo anterior, previo concepto de sus órganos asesores, la solución de casos particulares corresponde </w:t>
      </w:r>
      <w:r w:rsidRPr="00131FA3">
        <w:rPr>
          <w:rFonts w:ascii="Century Gothic" w:hAnsi="Century Gothic" w:cs="Arial"/>
          <w:lang w:val="es-ES"/>
        </w:rPr>
        <w:lastRenderedPageBreak/>
        <w:t>a la entidad</w:t>
      </w:r>
      <w:r>
        <w:rPr>
          <w:rFonts w:ascii="Century Gothic" w:hAnsi="Century Gothic" w:cs="Arial"/>
          <w:lang w:val="es-ES"/>
        </w:rPr>
        <w:t xml:space="preserve"> que</w:t>
      </w:r>
      <w:r w:rsidRPr="00131FA3">
        <w:rPr>
          <w:rFonts w:ascii="Century Gothic" w:hAnsi="Century Gothic" w:cs="Arial"/>
          <w:lang w:val="es-ES"/>
        </w:rPr>
        <w:t xml:space="preserve"> de</w:t>
      </w:r>
      <w:r>
        <w:rPr>
          <w:rFonts w:ascii="Century Gothic" w:hAnsi="Century Gothic" w:cs="Arial"/>
          <w:lang w:val="es-ES"/>
        </w:rPr>
        <w:t>be</w:t>
      </w:r>
      <w:r w:rsidRPr="00131FA3">
        <w:rPr>
          <w:rFonts w:ascii="Century Gothic" w:hAnsi="Century Gothic" w:cs="Arial"/>
          <w:lang w:val="es-ES"/>
        </w:rPr>
        <w:t xml:space="preserve"> adoptar la decisión correspondiente y, en caso de conflicto, a las autoridades judiciales, fiscales y disciplinarias.</w:t>
      </w:r>
    </w:p>
    <w:p w:rsidRPr="00FE1080" w:rsidR="00707041" w:rsidP="00707041" w:rsidRDefault="00707041" w14:paraId="128E5E23" w14:textId="77777777">
      <w:pPr>
        <w:spacing w:after="0" w:line="276" w:lineRule="auto"/>
        <w:ind w:firstLine="709"/>
        <w:jc w:val="both"/>
        <w:rPr>
          <w:rFonts w:ascii="Century Gothic" w:hAnsi="Century Gothic" w:eastAsia="Calibri" w:cs="Arial"/>
          <w:bCs/>
          <w:color w:val="000000"/>
          <w:lang w:eastAsia="es-CO"/>
        </w:rPr>
      </w:pPr>
    </w:p>
    <w:p w:rsidRPr="00131FA3" w:rsidR="00707041" w:rsidP="00707041" w:rsidRDefault="00707041" w14:paraId="7ABE1664" w14:textId="77777777">
      <w:pPr>
        <w:tabs>
          <w:tab w:val="left" w:pos="0"/>
        </w:tabs>
        <w:spacing w:after="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3. Respuesta</w:t>
      </w:r>
    </w:p>
    <w:p w:rsidRPr="00131FA3" w:rsidR="00707041" w:rsidP="00707041" w:rsidRDefault="00707041" w14:paraId="696DE493" w14:textId="77777777">
      <w:pPr>
        <w:spacing w:after="0" w:line="276" w:lineRule="auto"/>
        <w:jc w:val="both"/>
        <w:rPr>
          <w:rFonts w:ascii="Century Gothic" w:hAnsi="Century Gothic" w:eastAsia="Times New Roman" w:cs="Arial"/>
          <w:lang w:eastAsia="es-CO"/>
        </w:rPr>
      </w:pPr>
    </w:p>
    <w:p w:rsidRPr="00131FA3" w:rsidR="00707041" w:rsidP="00707041" w:rsidRDefault="00707041" w14:paraId="37E6CB1F" w14:textId="77777777">
      <w:pPr>
        <w:spacing w:after="0" w:line="240" w:lineRule="auto"/>
        <w:ind w:left="709" w:right="709"/>
        <w:jc w:val="both"/>
        <w:rPr>
          <w:rFonts w:ascii="Century Gothic" w:hAnsi="Century Gothic" w:cs="Arial"/>
          <w:color w:val="000000" w:themeColor="text1"/>
          <w:sz w:val="21"/>
          <w:szCs w:val="21"/>
          <w:lang w:val="es-ES"/>
        </w:rPr>
      </w:pPr>
      <w:r w:rsidRPr="2E13CB85">
        <w:rPr>
          <w:rFonts w:ascii="Century Gothic" w:hAnsi="Century Gothic" w:cs="Arial"/>
          <w:color w:val="000000" w:themeColor="text1"/>
          <w:sz w:val="21"/>
          <w:szCs w:val="21"/>
          <w:lang w:val="es-ES"/>
        </w:rPr>
        <w:t>Usted solicita explicar si “[…] para los casos de Contratación de Servicios para el funcionamiento de Centros Vida / Centros Dia / Centros de Protección y demás concebidos en la Ley 1276 de 2009, existe una regla de CONTRATACIÓN DIRECTA a proveedor que estime la entidad pública bajo los criterios definidos por la Ley 1850 de 2017, o si por el contrario, la Ley 1850 de 2017 no estima ningún parámetro orientador para obviar la selección objetiva o procesos competitivos ESAL”.</w:t>
      </w:r>
    </w:p>
    <w:p w:rsidRPr="00131FA3" w:rsidR="00707041" w:rsidP="00707041" w:rsidRDefault="00707041" w14:paraId="2C0B376F" w14:textId="77777777">
      <w:pPr>
        <w:spacing w:after="0" w:line="276" w:lineRule="auto"/>
        <w:jc w:val="both"/>
        <w:rPr>
          <w:rFonts w:ascii="Century Gothic" w:hAnsi="Century Gothic" w:cs="Arial"/>
          <w:color w:val="000000" w:themeColor="text1"/>
          <w:lang w:val="es-ES_tradnl"/>
        </w:rPr>
      </w:pPr>
    </w:p>
    <w:p w:rsidRPr="00131FA3" w:rsidR="00707041" w:rsidP="00707041" w:rsidRDefault="00707041" w14:paraId="455A68A1" w14:textId="77777777">
      <w:pPr>
        <w:spacing w:after="120" w:line="276" w:lineRule="auto"/>
        <w:jc w:val="both"/>
        <w:rPr>
          <w:rFonts w:ascii="Century Gothic" w:hAnsi="Century Gothic" w:eastAsia="Calibri" w:cs="Arial"/>
          <w:bCs/>
          <w:lang w:val="es-ES_tradnl"/>
        </w:rPr>
      </w:pPr>
      <w:r w:rsidRPr="00131FA3">
        <w:rPr>
          <w:rFonts w:ascii="Century Gothic" w:hAnsi="Century Gothic" w:cs="Arial"/>
          <w:bCs/>
        </w:rPr>
        <w:t xml:space="preserve">Conforme a la interpretación de las reglas generales del sistema de compras públicas, </w:t>
      </w:r>
      <w:r w:rsidRPr="00131FA3">
        <w:rPr>
          <w:rFonts w:ascii="Century Gothic" w:hAnsi="Century Gothic" w:eastAsia="Calibri"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131FA3">
        <w:rPr>
          <w:rFonts w:ascii="Century Gothic" w:hAnsi="Century Gothic" w:eastAsia="Calibri" w:cs="Arial"/>
          <w:bCs/>
          <w:lang w:val="es-ES_tradnl"/>
        </w:rPr>
        <w:t>ii</w:t>
      </w:r>
      <w:proofErr w:type="spellEnd"/>
      <w:r w:rsidRPr="00131FA3">
        <w:rPr>
          <w:rFonts w:ascii="Century Gothic" w:hAnsi="Century Gothic" w:eastAsia="Calibri" w:cs="Arial"/>
          <w:bCs/>
          <w:lang w:val="es-ES_tradnl"/>
        </w:rPr>
        <w:t xml:space="preserve">) los convenios de asociación, para el desarrollo conjunto de actividades relacionadas con las funciones de las entidades estatales, en desarrollo del artículo 96 de la Ley 489 de 1998. </w:t>
      </w:r>
    </w:p>
    <w:p w:rsidRPr="00131FA3" w:rsidR="00707041" w:rsidP="00707041" w:rsidRDefault="00707041" w14:paraId="386CB105" w14:textId="77777777">
      <w:pPr>
        <w:spacing w:before="120" w:after="120" w:line="276" w:lineRule="auto"/>
        <w:ind w:firstLine="709"/>
        <w:jc w:val="both"/>
        <w:rPr>
          <w:rFonts w:ascii="Century Gothic" w:hAnsi="Century Gothic" w:eastAsia="Calibri" w:cs="Arial"/>
          <w:lang w:val="es-ES"/>
        </w:rPr>
      </w:pPr>
      <w:r w:rsidRPr="2E13CB85">
        <w:rPr>
          <w:rFonts w:ascii="Century Gothic" w:hAnsi="Century Gothic" w:eastAsia="Calibri" w:cs="Arial"/>
          <w:lang w:val="es-ES"/>
        </w:rPr>
        <w:t xml:space="preserve">Los </w:t>
      </w:r>
      <w:r w:rsidRPr="2E13CB85">
        <w:rPr>
          <w:rFonts w:ascii="Century Gothic" w:hAnsi="Century Gothic" w:eastAsia="Calibri" w:cs="Arial"/>
          <w:i/>
          <w:lang w:val="es-ES"/>
        </w:rPr>
        <w:t>contratos del artículo 355 de la Constitución Política</w:t>
      </w:r>
      <w:r w:rsidRPr="2E13CB85">
        <w:rPr>
          <w:rFonts w:ascii="Century Gothic" w:hAnsi="Century Gothic" w:eastAsia="Calibri"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De otro lado, los </w:t>
      </w:r>
      <w:r w:rsidRPr="2E13CB85">
        <w:rPr>
          <w:rFonts w:ascii="Century Gothic" w:hAnsi="Century Gothic" w:eastAsia="Calibri" w:cs="Arial"/>
          <w:i/>
          <w:lang w:val="es-ES"/>
        </w:rPr>
        <w:t>convenios de asociación</w:t>
      </w:r>
      <w:r w:rsidRPr="2E13CB85">
        <w:rPr>
          <w:rFonts w:ascii="Century Gothic" w:hAnsi="Century Gothic" w:eastAsia="Calibri" w:cs="Arial"/>
          <w:lang w:val="es-E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rsidRPr="00131FA3" w:rsidR="00707041" w:rsidP="00707041" w:rsidRDefault="00707041" w14:paraId="3CCFE010" w14:textId="77777777">
      <w:pPr>
        <w:spacing w:line="276" w:lineRule="auto"/>
        <w:ind w:firstLine="709"/>
        <w:jc w:val="both"/>
        <w:rPr>
          <w:rFonts w:ascii="Century Gothic" w:hAnsi="Century Gothic" w:eastAsia="Calibri" w:cs="Arial"/>
          <w:color w:val="000000" w:themeColor="text1"/>
        </w:rPr>
      </w:pPr>
      <w:r w:rsidRPr="00131FA3">
        <w:rPr>
          <w:rFonts w:ascii="Century Gothic" w:hAnsi="Century Gothic" w:cs="Arial"/>
          <w:color w:val="000000" w:themeColor="text1"/>
        </w:rPr>
        <w:t xml:space="preserve">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w:t>
      </w:r>
      <w:r w:rsidRPr="00131FA3">
        <w:rPr>
          <w:rFonts w:ascii="Century Gothic" w:hAnsi="Century Gothic" w:cs="Arial"/>
          <w:color w:val="000000" w:themeColor="text1"/>
        </w:rPr>
        <w:lastRenderedPageBreak/>
        <w:t xml:space="preserve">contratación a la inexistencia de oferta en el mercado de bienes y servicios; </w:t>
      </w:r>
      <w:proofErr w:type="spellStart"/>
      <w:r w:rsidRPr="00131FA3">
        <w:rPr>
          <w:rFonts w:ascii="Century Gothic" w:hAnsi="Century Gothic" w:cs="Arial"/>
          <w:color w:val="000000" w:themeColor="text1"/>
        </w:rPr>
        <w:t>ii</w:t>
      </w:r>
      <w:proofErr w:type="spellEnd"/>
      <w:r w:rsidRPr="00131FA3">
        <w:rPr>
          <w:rFonts w:ascii="Century Gothic" w:hAnsi="Century Gothic" w:cs="Arial"/>
          <w:color w:val="000000" w:themeColor="text1"/>
        </w:rPr>
        <w:t xml:space="preserve">) tampoco debe condicionarse a que la contratación con las ESAL garantice la optimización de los recursos públicos en términos de eficiencia, eficacia, economía y manejo del riesgo; </w:t>
      </w:r>
      <w:proofErr w:type="spellStart"/>
      <w:r w:rsidRPr="00131FA3">
        <w:rPr>
          <w:rFonts w:ascii="Century Gothic" w:hAnsi="Century Gothic" w:cs="Arial"/>
          <w:color w:val="000000" w:themeColor="text1"/>
        </w:rPr>
        <w:t>iii</w:t>
      </w:r>
      <w:proofErr w:type="spellEnd"/>
      <w:r w:rsidRPr="00131FA3">
        <w:rPr>
          <w:rFonts w:ascii="Century Gothic" w:hAnsi="Century Gothic" w:cs="Arial"/>
          <w:color w:val="000000" w:themeColor="text1"/>
        </w:rPr>
        <w:t xml:space="preserve">) el objeto del contrato debe estar acorde con el plan nacional o seccional de desarrollo; </w:t>
      </w:r>
      <w:proofErr w:type="spellStart"/>
      <w:r w:rsidRPr="00131FA3">
        <w:rPr>
          <w:rFonts w:ascii="Century Gothic" w:hAnsi="Century Gothic" w:cs="Arial"/>
          <w:color w:val="000000" w:themeColor="text1"/>
        </w:rPr>
        <w:t>iv</w:t>
      </w:r>
      <w:proofErr w:type="spellEnd"/>
      <w:r w:rsidRPr="00131FA3">
        <w:rPr>
          <w:rFonts w:ascii="Century Gothic" w:hAnsi="Century Gothic" w:cs="Arial"/>
          <w:color w:val="000000" w:themeColor="text1"/>
        </w:rPr>
        <w:t xml:space="preserve">) no puede condicionarse únicamente a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131FA3">
        <w:rPr>
          <w:rFonts w:ascii="Century Gothic" w:hAnsi="Century Gothic" w:cs="Arial"/>
          <w:color w:val="000000" w:themeColor="text1"/>
        </w:rPr>
        <w:t>iii</w:t>
      </w:r>
      <w:proofErr w:type="spellEnd"/>
      <w:r w:rsidRPr="00131FA3">
        <w:rPr>
          <w:rFonts w:ascii="Century Gothic" w:hAnsi="Century Gothic" w:cs="Arial"/>
          <w:color w:val="000000" w:themeColor="text1"/>
        </w:rPr>
        <w:t>); y v) el contrato no debe establecer una relación conmutativa en el cual haya una contraprestación directa a favor de la entidad, ni instrucciones precisas dadas por esta al contratista para cumplir con el objeto del contrato.</w:t>
      </w:r>
    </w:p>
    <w:p w:rsidRPr="00131FA3" w:rsidR="00707041" w:rsidP="00707041" w:rsidRDefault="00707041" w14:paraId="0DD39816" w14:textId="77777777">
      <w:pPr>
        <w:spacing w:before="120" w:line="276" w:lineRule="auto"/>
        <w:ind w:firstLine="709"/>
        <w:jc w:val="both"/>
        <w:rPr>
          <w:rFonts w:ascii="Century Gothic" w:hAnsi="Century Gothic" w:eastAsia="Calibri" w:cs="Arial"/>
          <w:color w:val="000000" w:themeColor="text1"/>
        </w:rPr>
      </w:pPr>
      <w:r w:rsidRPr="00131FA3">
        <w:rPr>
          <w:rFonts w:ascii="Century Gothic" w:hAnsi="Century Gothic" w:eastAsia="Calibri" w:cs="Arial"/>
          <w:color w:val="000000" w:themeColor="text1"/>
        </w:rPr>
        <w:t xml:space="preserve">Ahora, si se pretende realizar un </w:t>
      </w:r>
      <w:r w:rsidRPr="00131FA3">
        <w:rPr>
          <w:rFonts w:ascii="Century Gothic" w:hAnsi="Century Gothic" w:eastAsia="Calibri" w:cs="Arial"/>
          <w:i/>
          <w:iCs/>
          <w:color w:val="000000" w:themeColor="text1"/>
        </w:rPr>
        <w:t>convenio de asociación</w:t>
      </w:r>
      <w:r w:rsidRPr="00131FA3">
        <w:rPr>
          <w:rFonts w:ascii="Century Gothic" w:hAnsi="Century Gothic" w:eastAsia="Calibri" w:cs="Arial"/>
          <w:color w:val="000000" w:themeColor="text1"/>
        </w:rPr>
        <w:t xml:space="preserve"> con ESAL de reconocida idoneidad para el cumplimiento de las funciones que la ley les asigna a las entidades públicas, deberá aplicarse lo dispuesto en el artículo 5 del Decreto 092 de 2017. De esta manera, deben estar sujetos a competencia, salvo en aquellos casos en que una entidad sin ánimo de lucro comprometa recursos en dinero por un valor igual o superior al 30% del valor total del convenio, y siempre que la entidad estatal verifique previamente que no existe ninguna otra entidad sin ánimo de lucro que ofrezca aportes iguales o superiores al 30%. </w:t>
      </w:r>
      <w:r w:rsidRPr="00131FA3">
        <w:rPr>
          <w:rFonts w:ascii="Century Gothic" w:hAnsi="Century Gothic" w:eastAsia="Calibri" w:cs="Arial"/>
          <w:color w:val="000000"/>
        </w:rPr>
        <w:t>Lo anterior sin perjuicio de las restricciones previstas en el artículo 33 de la Ley de Garantías durante el periodo preelectoral de las elecciones presidenciales para los procesos no competitivos</w:t>
      </w:r>
      <w:r w:rsidRPr="00131FA3">
        <w:rPr>
          <w:rFonts w:ascii="Century Gothic" w:hAnsi="Century Gothic" w:eastAsia="Calibri" w:cs="Arial"/>
          <w:color w:val="000000" w:themeColor="text1"/>
        </w:rPr>
        <w:t>.</w:t>
      </w:r>
    </w:p>
    <w:p w:rsidR="00707041" w:rsidP="00707041" w:rsidRDefault="00707041" w14:paraId="097E4868" w14:textId="77777777">
      <w:pPr>
        <w:spacing w:after="120" w:line="276" w:lineRule="auto"/>
        <w:ind w:firstLine="709"/>
        <w:jc w:val="both"/>
        <w:rPr>
          <w:rFonts w:ascii="Century Gothic" w:hAnsi="Century Gothic" w:eastAsia="Calibri" w:cs="Arial"/>
          <w:bCs/>
          <w:color w:val="000000"/>
          <w:lang w:eastAsia="es-CO"/>
        </w:rPr>
      </w:pPr>
      <w:r>
        <w:rPr>
          <w:rFonts w:ascii="Century Gothic" w:hAnsi="Century Gothic" w:eastAsia="Calibri" w:cs="Arial"/>
          <w:bCs/>
          <w:color w:val="000000"/>
          <w:lang w:eastAsia="es-CO"/>
        </w:rPr>
        <w:t>Considerando que el artículo 8 de la Ley 1276 de 2009 dispone que “</w:t>
      </w:r>
      <w:r w:rsidRPr="00DF7334">
        <w:rPr>
          <w:rFonts w:ascii="Century Gothic" w:hAnsi="Century Gothic" w:eastAsia="Calibri" w:cs="Arial"/>
          <w:bCs/>
          <w:color w:val="000000"/>
          <w:lang w:eastAsia="es-CO"/>
        </w:rPr>
        <w:t>Los distritos y municipios podrán suscribir convenios con entidades reconocidas para el manejo de los Centros Vida</w:t>
      </w:r>
      <w:r>
        <w:rPr>
          <w:rFonts w:ascii="Century Gothic" w:hAnsi="Century Gothic" w:eastAsia="Calibri" w:cs="Arial"/>
          <w:bCs/>
          <w:color w:val="000000"/>
          <w:lang w:eastAsia="es-CO"/>
        </w:rPr>
        <w:t xml:space="preserve"> […]”</w:t>
      </w:r>
      <w:r w:rsidRPr="00131FA3">
        <w:rPr>
          <w:rFonts w:ascii="Century Gothic" w:hAnsi="Century Gothic" w:eastAsia="Calibri" w:cs="Arial"/>
          <w:bCs/>
          <w:color w:val="000000"/>
          <w:lang w:eastAsia="es-CO"/>
        </w:rPr>
        <w:t xml:space="preserve">, corresponde a cada entidad pública, en ejercicio de su competencia y previa valoración de los elementos fácticos y jurídicos, determinar la forma de </w:t>
      </w:r>
      <w:r>
        <w:rPr>
          <w:rFonts w:ascii="Century Gothic" w:hAnsi="Century Gothic" w:eastAsia="Calibri" w:cs="Arial"/>
          <w:bCs/>
          <w:color w:val="000000"/>
          <w:lang w:eastAsia="es-CO"/>
        </w:rPr>
        <w:t>adelantar su gestión contractual</w:t>
      </w:r>
      <w:r w:rsidRPr="00131FA3">
        <w:rPr>
          <w:rFonts w:ascii="Century Gothic" w:hAnsi="Century Gothic" w:eastAsia="Calibri" w:cs="Arial"/>
          <w:bCs/>
          <w:color w:val="000000"/>
          <w:lang w:eastAsia="es-CO"/>
        </w:rPr>
        <w:t>.</w:t>
      </w:r>
      <w:r>
        <w:rPr>
          <w:rFonts w:ascii="Century Gothic" w:hAnsi="Century Gothic" w:eastAsia="Calibri" w:cs="Arial"/>
          <w:bCs/>
          <w:color w:val="000000"/>
          <w:lang w:eastAsia="es-CO"/>
        </w:rPr>
        <w:t xml:space="preserve"> De esta manera, teniendo en cuenta de la norma citada no se desprende explícitamente una causal de contratación directa y que éstas son de interpretación estricta, deberá definir la aplicación de las modalidades competitivas y no competitivas del Decreto 092 de 2017 bajo el marco normativo general descrito </w:t>
      </w:r>
      <w:r w:rsidRPr="00DF7334">
        <w:rPr>
          <w:rFonts w:ascii="Century Gothic" w:hAnsi="Century Gothic" w:eastAsia="Calibri" w:cs="Arial"/>
          <w:bCs/>
          <w:i/>
          <w:iCs/>
          <w:color w:val="000000"/>
          <w:lang w:eastAsia="es-CO"/>
        </w:rPr>
        <w:t>ut supra</w:t>
      </w:r>
      <w:r>
        <w:rPr>
          <w:rFonts w:ascii="Century Gothic" w:hAnsi="Century Gothic" w:eastAsia="Calibri" w:cs="Arial"/>
          <w:bCs/>
          <w:color w:val="000000"/>
          <w:lang w:eastAsia="es-CO"/>
        </w:rPr>
        <w:t xml:space="preserve">. Esta definición del régimen aplicable se extiende a los Centros </w:t>
      </w:r>
      <w:r w:rsidRPr="003A66F0">
        <w:rPr>
          <w:rFonts w:ascii="Century Gothic" w:hAnsi="Century Gothic" w:eastAsia="Calibri" w:cs="Arial"/>
          <w:bCs/>
          <w:color w:val="000000"/>
          <w:lang w:eastAsia="es-CO"/>
        </w:rPr>
        <w:t>de Protección Social para el Adulto Mayor</w:t>
      </w:r>
      <w:r>
        <w:rPr>
          <w:rFonts w:ascii="Century Gothic" w:hAnsi="Century Gothic" w:eastAsia="Calibri" w:cs="Arial"/>
          <w:bCs/>
          <w:color w:val="000000"/>
          <w:lang w:eastAsia="es-CO"/>
        </w:rPr>
        <w:t xml:space="preserve"> y/o a los Centros </w:t>
      </w:r>
      <w:r w:rsidRPr="003A66F0">
        <w:rPr>
          <w:rFonts w:ascii="Century Gothic" w:hAnsi="Century Gothic" w:eastAsia="Calibri" w:cs="Arial"/>
          <w:bCs/>
          <w:color w:val="000000"/>
          <w:lang w:eastAsia="es-CO"/>
        </w:rPr>
        <w:t>de Día para Adulto Mayor</w:t>
      </w:r>
      <w:r>
        <w:rPr>
          <w:rFonts w:ascii="Century Gothic" w:hAnsi="Century Gothic" w:eastAsia="Calibri" w:cs="Arial"/>
          <w:bCs/>
          <w:color w:val="000000"/>
          <w:lang w:eastAsia="es-CO"/>
        </w:rPr>
        <w:t xml:space="preserve">, incorporados al ordenamiento jurídico a través de la Ley 1315 de 2009 y modificada por la Ley 1850 de 2007. </w:t>
      </w:r>
      <w:r w:rsidRPr="00131FA3">
        <w:rPr>
          <w:rFonts w:ascii="Century Gothic" w:hAnsi="Century Gothic" w:eastAsia="Calibri" w:cs="Arial"/>
          <w:bCs/>
          <w:color w:val="000000"/>
          <w:lang w:eastAsia="es-CO"/>
        </w:rPr>
        <w:t xml:space="preserve"> </w:t>
      </w:r>
    </w:p>
    <w:p w:rsidR="00707041" w:rsidP="00707041" w:rsidRDefault="00707041" w14:paraId="4CAC6B0A" w14:textId="77777777">
      <w:pPr>
        <w:spacing w:after="120" w:line="276" w:lineRule="auto"/>
        <w:ind w:firstLine="709"/>
        <w:jc w:val="both"/>
        <w:rPr>
          <w:rFonts w:ascii="Century Gothic" w:hAnsi="Century Gothic" w:cs="Arial"/>
          <w:lang w:val="es-ES"/>
        </w:rPr>
      </w:pPr>
      <w:r w:rsidRPr="00131FA3">
        <w:rPr>
          <w:rFonts w:ascii="Century Gothic" w:hAnsi="Century Gothic" w:eastAsia="Calibri" w:cs="Arial"/>
          <w:bCs/>
          <w:color w:val="000000"/>
          <w:lang w:eastAsia="es-CO"/>
        </w:rPr>
        <w:lastRenderedPageBreak/>
        <w:t xml:space="preserve">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r w:rsidRPr="00131FA3">
        <w:rPr>
          <w:rFonts w:ascii="Century Gothic" w:hAnsi="Century Gothic" w:cs="Arial"/>
          <w:lang w:val="es-ES"/>
        </w:rPr>
        <w:t xml:space="preserve">Por lo anterior, previo concepto de sus órganos asesores, la solución de casos particulares corresponde a la entidad </w:t>
      </w:r>
      <w:r>
        <w:rPr>
          <w:rFonts w:ascii="Century Gothic" w:hAnsi="Century Gothic" w:cs="Arial"/>
          <w:lang w:val="es-ES"/>
        </w:rPr>
        <w:t xml:space="preserve">que </w:t>
      </w:r>
      <w:r w:rsidRPr="00131FA3">
        <w:rPr>
          <w:rFonts w:ascii="Century Gothic" w:hAnsi="Century Gothic" w:cs="Arial"/>
          <w:lang w:val="es-ES"/>
        </w:rPr>
        <w:t>de</w:t>
      </w:r>
      <w:r>
        <w:rPr>
          <w:rFonts w:ascii="Century Gothic" w:hAnsi="Century Gothic" w:cs="Arial"/>
          <w:lang w:val="es-ES"/>
        </w:rPr>
        <w:t>be</w:t>
      </w:r>
      <w:r w:rsidRPr="00131FA3">
        <w:rPr>
          <w:rFonts w:ascii="Century Gothic" w:hAnsi="Century Gothic" w:cs="Arial"/>
          <w:lang w:val="es-ES"/>
        </w:rPr>
        <w:t xml:space="preserve"> adoptar la decisión correspondiente y, en caso de conflicto, a las autoridades judiciales, fiscales y disciplinarias.</w:t>
      </w:r>
    </w:p>
    <w:p w:rsidRPr="00131FA3" w:rsidR="00707041" w:rsidP="00707041" w:rsidRDefault="00707041" w14:paraId="0D932D63" w14:textId="77777777">
      <w:pPr>
        <w:spacing w:after="0" w:line="276" w:lineRule="auto"/>
        <w:ind w:firstLine="708"/>
        <w:jc w:val="both"/>
        <w:rPr>
          <w:rFonts w:ascii="Century Gothic" w:hAnsi="Century Gothic" w:cs="Arial"/>
          <w:color w:val="000000" w:themeColor="text1"/>
          <w:lang w:eastAsia="es-MX"/>
        </w:rPr>
      </w:pPr>
    </w:p>
    <w:p w:rsidRPr="00131FA3" w:rsidR="00707041" w:rsidP="00707041" w:rsidRDefault="00707041" w14:paraId="6240DEC4" w14:textId="0EA7F938">
      <w:pPr>
        <w:widowControl w:val="0"/>
        <w:autoSpaceDE w:val="0"/>
        <w:autoSpaceDN w:val="0"/>
        <w:spacing w:after="0" w:line="276" w:lineRule="auto"/>
        <w:jc w:val="both"/>
        <w:rPr>
          <w:rFonts w:ascii="Century Gothic" w:hAnsi="Century Gothic" w:cs="Arial"/>
          <w:color w:val="000000" w:themeColor="text1"/>
          <w:lang w:val="es-ES"/>
        </w:rPr>
      </w:pPr>
      <w:r w:rsidRPr="11905EFC">
        <w:rPr>
          <w:rFonts w:ascii="Century Gothic" w:hAnsi="Century Gothic" w:cs="Arial"/>
          <w:color w:val="000000" w:themeColor="text1"/>
          <w:lang w:val="es-ES"/>
        </w:rPr>
        <w:t>Este concepto tiene el alcance previsto en el artículo 28 del Código de Procedimiento Administrativo y de lo Contencioso Administrativo</w:t>
      </w:r>
      <w:r w:rsidRPr="11905EFC" w:rsidR="26635402">
        <w:rPr>
          <w:rFonts w:ascii="Century Gothic" w:hAnsi="Century Gothic" w:cs="Arial"/>
          <w:color w:val="000000" w:themeColor="text1"/>
          <w:lang w:val="es-ES"/>
        </w:rPr>
        <w:t xml:space="preserve"> y las expresiones aquí utilizadas con mayúscula inicial deben ser entendidas con el significado que les otorga el artículo 2.2.1.1.1.3.1. del Decreto 1082 de 2015</w:t>
      </w:r>
      <w:r w:rsidRPr="11905EFC">
        <w:rPr>
          <w:rFonts w:ascii="Century Gothic" w:hAnsi="Century Gothic" w:cs="Arial"/>
          <w:color w:val="000000" w:themeColor="text1"/>
          <w:lang w:val="es-ES"/>
        </w:rPr>
        <w:t>.</w:t>
      </w:r>
    </w:p>
    <w:p w:rsidRPr="00131FA3" w:rsidR="00707041" w:rsidP="00707041" w:rsidRDefault="00707041" w14:paraId="6DAF010F"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131FA3" w:rsidR="00707041" w:rsidP="00707041" w:rsidRDefault="00707041" w14:paraId="6DC87FF4" w14:textId="77777777">
      <w:pPr>
        <w:tabs>
          <w:tab w:val="left" w:pos="426"/>
        </w:tabs>
        <w:spacing w:line="276" w:lineRule="auto"/>
        <w:jc w:val="both"/>
        <w:rPr>
          <w:rFonts w:ascii="Century Gothic" w:hAnsi="Century Gothic" w:eastAsia="Times New Roman" w:cs="Arial"/>
          <w:color w:val="000000" w:themeColor="text1"/>
        </w:rPr>
      </w:pPr>
      <w:r w:rsidRPr="00131FA3">
        <w:rPr>
          <w:rFonts w:ascii="Century Gothic" w:hAnsi="Century Gothic" w:eastAsia="Times New Roman" w:cs="Arial"/>
          <w:color w:val="000000" w:themeColor="text1"/>
        </w:rPr>
        <w:t>Atentamente,</w:t>
      </w:r>
    </w:p>
    <w:p w:rsidRPr="00131FA3" w:rsidR="00707041" w:rsidP="00707041" w:rsidRDefault="006A7D78" w14:paraId="3FE195DF" w14:textId="1C3A5F05">
      <w:pPr>
        <w:jc w:val="center"/>
        <w:rPr>
          <w:rFonts w:ascii="Century Gothic" w:hAnsi="Century Gothic" w:eastAsia="Times New Roman" w:cs="Arial"/>
          <w:lang w:eastAsia="es-CO"/>
        </w:rPr>
      </w:pPr>
      <w:r>
        <w:rPr>
          <w:noProof/>
        </w:rPr>
        <w:drawing>
          <wp:inline distT="0" distB="0" distL="0" distR="0" wp14:anchorId="065C140B" wp14:editId="15799994">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131FA3" w:rsidR="00707041" w:rsidTr="006425DD" w14:paraId="65EFD6A5" w14:textId="77777777">
        <w:trPr>
          <w:trHeight w:val="409"/>
        </w:trPr>
        <w:tc>
          <w:tcPr>
            <w:tcW w:w="817" w:type="dxa"/>
            <w:tcBorders>
              <w:top w:val="nil"/>
              <w:left w:val="nil"/>
              <w:bottom w:val="nil"/>
              <w:right w:val="nil"/>
            </w:tcBorders>
            <w:vAlign w:val="center"/>
            <w:hideMark/>
          </w:tcPr>
          <w:p w:rsidRPr="00131FA3" w:rsidR="00707041" w:rsidP="006425DD" w:rsidRDefault="00707041" w14:paraId="4C3F6AF2"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131FA3" w:rsidR="00707041" w:rsidP="006425DD" w:rsidRDefault="00707041" w14:paraId="37F6A513"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Juan David Montoya Penagos</w:t>
            </w:r>
          </w:p>
          <w:p w:rsidRPr="00131FA3" w:rsidR="00707041" w:rsidP="006425DD" w:rsidRDefault="00707041" w14:paraId="0C27979B"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Contratista de la Subdirección de Gestión Contractual</w:t>
            </w:r>
          </w:p>
        </w:tc>
      </w:tr>
      <w:tr w:rsidRPr="00131FA3" w:rsidR="00707041" w:rsidTr="006425DD" w14:paraId="72BBBD0F" w14:textId="77777777">
        <w:trPr>
          <w:trHeight w:val="409"/>
        </w:trPr>
        <w:tc>
          <w:tcPr>
            <w:tcW w:w="817" w:type="dxa"/>
            <w:tcBorders>
              <w:top w:val="nil"/>
              <w:left w:val="nil"/>
              <w:right w:val="nil"/>
            </w:tcBorders>
            <w:vAlign w:val="center"/>
          </w:tcPr>
          <w:p w:rsidRPr="00131FA3" w:rsidR="00707041" w:rsidP="006425DD" w:rsidRDefault="00707041" w14:paraId="3D0A60C4" w14:textId="77777777">
            <w:pPr>
              <w:jc w:val="both"/>
              <w:rPr>
                <w:rFonts w:ascii="Century Gothic" w:hAnsi="Century Gothic" w:cs="Arial"/>
                <w:sz w:val="16"/>
                <w:szCs w:val="16"/>
              </w:rPr>
            </w:pPr>
            <w:r w:rsidRPr="00131FA3">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9D7ED3" w:rsidR="00707041" w:rsidP="006425DD" w:rsidRDefault="00707041" w14:paraId="522F1D76" w14:textId="77777777">
            <w:pPr>
              <w:spacing w:after="0" w:line="240" w:lineRule="auto"/>
              <w:jc w:val="both"/>
              <w:rPr>
                <w:rFonts w:ascii="Century Gothic" w:hAnsi="Century Gothic" w:cs="Arial"/>
                <w:sz w:val="16"/>
                <w:szCs w:val="16"/>
              </w:rPr>
            </w:pPr>
            <w:r w:rsidRPr="009D7ED3">
              <w:rPr>
                <w:rFonts w:ascii="Century Gothic" w:hAnsi="Century Gothic" w:cs="Arial"/>
                <w:sz w:val="16"/>
                <w:szCs w:val="16"/>
              </w:rPr>
              <w:t>Martha Alicia Romero Vargas</w:t>
            </w:r>
          </w:p>
          <w:p w:rsidRPr="00131FA3" w:rsidR="00707041" w:rsidP="006425DD" w:rsidRDefault="00707041" w14:paraId="748A2509" w14:textId="77777777">
            <w:pPr>
              <w:spacing w:after="0" w:line="240" w:lineRule="auto"/>
              <w:jc w:val="both"/>
              <w:rPr>
                <w:rFonts w:ascii="Century Gothic" w:hAnsi="Century Gothic" w:cs="Arial"/>
                <w:sz w:val="16"/>
                <w:szCs w:val="16"/>
              </w:rPr>
            </w:pPr>
            <w:r w:rsidRPr="009D7ED3">
              <w:rPr>
                <w:rFonts w:ascii="Century Gothic" w:hAnsi="Century Gothic" w:cs="Arial"/>
                <w:sz w:val="16"/>
                <w:szCs w:val="16"/>
              </w:rPr>
              <w:t xml:space="preserve">Gestor T1 </w:t>
            </w:r>
            <w:r w:rsidRPr="009D7ED3">
              <w:rPr>
                <w:rFonts w:ascii="Arial" w:hAnsi="Arial" w:cs="Arial"/>
                <w:sz w:val="16"/>
                <w:szCs w:val="16"/>
              </w:rPr>
              <w:t>‒</w:t>
            </w:r>
            <w:r w:rsidRPr="009D7ED3">
              <w:rPr>
                <w:rFonts w:ascii="Century Gothic" w:hAnsi="Century Gothic" w:cs="Arial"/>
                <w:sz w:val="16"/>
                <w:szCs w:val="16"/>
              </w:rPr>
              <w:t xml:space="preserve"> 15 de la Subdirecci</w:t>
            </w:r>
            <w:r w:rsidRPr="009D7ED3">
              <w:rPr>
                <w:rFonts w:ascii="Century Gothic" w:hAnsi="Century Gothic" w:cs="Century Gothic"/>
                <w:sz w:val="16"/>
                <w:szCs w:val="16"/>
              </w:rPr>
              <w:t>ó</w:t>
            </w:r>
            <w:r w:rsidRPr="009D7ED3">
              <w:rPr>
                <w:rFonts w:ascii="Century Gothic" w:hAnsi="Century Gothic" w:cs="Arial"/>
                <w:sz w:val="16"/>
                <w:szCs w:val="16"/>
              </w:rPr>
              <w:t>n de Gesti</w:t>
            </w:r>
            <w:r w:rsidRPr="009D7ED3">
              <w:rPr>
                <w:rFonts w:ascii="Century Gothic" w:hAnsi="Century Gothic" w:cs="Century Gothic"/>
                <w:sz w:val="16"/>
                <w:szCs w:val="16"/>
              </w:rPr>
              <w:t>ó</w:t>
            </w:r>
            <w:r w:rsidRPr="009D7ED3">
              <w:rPr>
                <w:rFonts w:ascii="Century Gothic" w:hAnsi="Century Gothic" w:cs="Arial"/>
                <w:sz w:val="16"/>
                <w:szCs w:val="16"/>
              </w:rPr>
              <w:t>n Contractual</w:t>
            </w:r>
          </w:p>
        </w:tc>
      </w:tr>
      <w:tr w:rsidRPr="00131FA3" w:rsidR="00707041" w:rsidTr="006425DD" w14:paraId="098B1D54" w14:textId="77777777">
        <w:trPr>
          <w:trHeight w:val="389"/>
        </w:trPr>
        <w:tc>
          <w:tcPr>
            <w:tcW w:w="817" w:type="dxa"/>
            <w:tcBorders>
              <w:top w:val="nil"/>
              <w:left w:val="nil"/>
              <w:bottom w:val="nil"/>
              <w:right w:val="nil"/>
            </w:tcBorders>
            <w:vAlign w:val="center"/>
            <w:hideMark/>
          </w:tcPr>
          <w:p w:rsidRPr="00131FA3" w:rsidR="00707041" w:rsidP="006425DD" w:rsidRDefault="00707041" w14:paraId="2750CCC8"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131FA3" w:rsidR="00707041" w:rsidP="006425DD" w:rsidRDefault="00707041" w14:paraId="61CCD086"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 xml:space="preserve">Nohelia del Carmen </w:t>
            </w:r>
            <w:proofErr w:type="spellStart"/>
            <w:r w:rsidRPr="00131FA3">
              <w:rPr>
                <w:rFonts w:ascii="Century Gothic" w:hAnsi="Century Gothic" w:cs="Arial"/>
                <w:sz w:val="16"/>
                <w:szCs w:val="16"/>
              </w:rPr>
              <w:t>Zawady</w:t>
            </w:r>
            <w:proofErr w:type="spellEnd"/>
            <w:r w:rsidRPr="00131FA3">
              <w:rPr>
                <w:rFonts w:ascii="Century Gothic" w:hAnsi="Century Gothic" w:cs="Arial"/>
                <w:sz w:val="16"/>
                <w:szCs w:val="16"/>
              </w:rPr>
              <w:t xml:space="preserve"> Palacio</w:t>
            </w:r>
          </w:p>
          <w:p w:rsidRPr="00131FA3" w:rsidR="00707041" w:rsidP="006425DD" w:rsidRDefault="00707041" w14:paraId="0968838B"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Subdirectora de Gestión Contractual ANCP - CCE</w:t>
            </w:r>
          </w:p>
        </w:tc>
      </w:tr>
      <w:bookmarkEnd w:id="2"/>
    </w:tbl>
    <w:p w:rsidRPr="00131FA3" w:rsidR="00707041" w:rsidP="00707041" w:rsidRDefault="00707041" w14:paraId="38F0CAFA" w14:textId="77777777">
      <w:pPr>
        <w:tabs>
          <w:tab w:val="left" w:pos="0"/>
        </w:tabs>
        <w:spacing w:line="276" w:lineRule="auto"/>
        <w:contextualSpacing/>
        <w:jc w:val="both"/>
        <w:rPr>
          <w:rFonts w:ascii="Century Gothic" w:hAnsi="Century Gothic"/>
          <w:lang w:val="es-MX"/>
        </w:rPr>
      </w:pPr>
    </w:p>
    <w:bookmarkEnd w:id="3"/>
    <w:p w:rsidRPr="00131FA3" w:rsidR="00707041" w:rsidP="00707041" w:rsidRDefault="00707041" w14:paraId="08A799C9" w14:textId="77777777">
      <w:pPr>
        <w:rPr>
          <w:rFonts w:ascii="Century Gothic" w:hAnsi="Century Gothic"/>
        </w:rPr>
      </w:pPr>
    </w:p>
    <w:p w:rsidRPr="00D76E55" w:rsidR="00127233" w:rsidP="00D76E55" w:rsidRDefault="00E245AB" w14:paraId="0F293BF4" w14:textId="4E630EB9">
      <w:r w:rsidRPr="00D76E55">
        <w:t xml:space="preserve"> </w:t>
      </w:r>
    </w:p>
    <w:sectPr w:rsidRPr="00D76E55" w:rsidR="00127233" w:rsidSect="00655548">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548" w:rsidP="004A1847" w:rsidRDefault="00655548" w14:paraId="1D26F182" w14:textId="77777777">
      <w:pPr>
        <w:spacing w:after="0" w:line="240" w:lineRule="auto"/>
      </w:pPr>
      <w:r>
        <w:separator/>
      </w:r>
    </w:p>
  </w:endnote>
  <w:endnote w:type="continuationSeparator" w:id="0">
    <w:p w:rsidR="00655548" w:rsidP="004A1847" w:rsidRDefault="00655548" w14:paraId="2E9460EB" w14:textId="77777777">
      <w:pPr>
        <w:spacing w:after="0" w:line="240" w:lineRule="auto"/>
      </w:pPr>
      <w:r>
        <w:continuationSeparator/>
      </w:r>
    </w:p>
  </w:endnote>
  <w:endnote w:type="continuationNotice" w:id="1">
    <w:p w:rsidR="00655548" w:rsidRDefault="00655548" w14:paraId="599ECB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548" w:rsidP="004A1847" w:rsidRDefault="00655548" w14:paraId="68A2FC7F" w14:textId="77777777">
      <w:pPr>
        <w:spacing w:after="0" w:line="240" w:lineRule="auto"/>
      </w:pPr>
      <w:r>
        <w:separator/>
      </w:r>
    </w:p>
  </w:footnote>
  <w:footnote w:type="continuationSeparator" w:id="0">
    <w:p w:rsidR="00655548" w:rsidP="004A1847" w:rsidRDefault="00655548" w14:paraId="3281325D" w14:textId="77777777">
      <w:pPr>
        <w:spacing w:after="0" w:line="240" w:lineRule="auto"/>
      </w:pPr>
      <w:r>
        <w:continuationSeparator/>
      </w:r>
    </w:p>
  </w:footnote>
  <w:footnote w:type="continuationNotice" w:id="1">
    <w:p w:rsidR="00655548" w:rsidRDefault="00655548" w14:paraId="41BA5935" w14:textId="77777777">
      <w:pPr>
        <w:spacing w:after="0" w:line="240" w:lineRule="auto"/>
      </w:pPr>
    </w:p>
  </w:footnote>
  <w:footnote w:id="2">
    <w:p w:rsidRPr="00F73F86" w:rsidR="00707041" w:rsidP="00707041" w:rsidRDefault="00707041" w14:paraId="6B5ABD95" w14:textId="77777777">
      <w:pPr>
        <w:pStyle w:val="Textonotapie"/>
        <w:ind w:firstLine="708"/>
        <w:jc w:val="both"/>
        <w:rPr>
          <w:rFonts w:ascii="Century Gothic" w:hAnsi="Century Gothic" w:cs="Arial"/>
          <w:sz w:val="16"/>
          <w:szCs w:val="16"/>
          <w:lang w:val="es-ES"/>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La Agencia Nacional de Contratación Pública </w:t>
      </w:r>
      <w:r w:rsidRPr="00F73F86">
        <w:rPr>
          <w:rFonts w:ascii="Arial" w:hAnsi="Arial" w:cs="Arial"/>
          <w:sz w:val="16"/>
          <w:szCs w:val="16"/>
        </w:rPr>
        <w:t>‒</w:t>
      </w:r>
      <w:r w:rsidRPr="00F73F86">
        <w:rPr>
          <w:rFonts w:ascii="Century Gothic" w:hAnsi="Century Gothic" w:cs="Arial"/>
          <w:sz w:val="16"/>
          <w:szCs w:val="16"/>
        </w:rPr>
        <w:t xml:space="preserve"> Colombia Compra Eficiente fue creada por el Decreto Ley 4170 de 2011. Su objetivo es servir como ente rector de la pol</w:t>
      </w:r>
      <w:r w:rsidRPr="00F73F86">
        <w:rPr>
          <w:rFonts w:ascii="Century Gothic" w:hAnsi="Century Gothic" w:cs="Century Gothic"/>
          <w:sz w:val="16"/>
          <w:szCs w:val="16"/>
        </w:rPr>
        <w:t>í</w:t>
      </w:r>
      <w:r w:rsidRPr="00F73F86">
        <w:rPr>
          <w:rFonts w:ascii="Century Gothic" w:hAnsi="Century Gothic" w:cs="Arial"/>
          <w:sz w:val="16"/>
          <w:szCs w:val="16"/>
        </w:rPr>
        <w:t>tica de compras y contrataci</w:t>
      </w:r>
      <w:r w:rsidRPr="00F73F86">
        <w:rPr>
          <w:rFonts w:ascii="Century Gothic" w:hAnsi="Century Gothic" w:cs="Century Gothic"/>
          <w:sz w:val="16"/>
          <w:szCs w:val="16"/>
        </w:rPr>
        <w:t>ó</w:t>
      </w:r>
      <w:r w:rsidRPr="00F73F86">
        <w:rPr>
          <w:rFonts w:ascii="Century Gothic" w:hAnsi="Century Gothic" w:cs="Arial"/>
          <w:sz w:val="16"/>
          <w:szCs w:val="16"/>
        </w:rPr>
        <w:t xml:space="preserve">n del Estado. Para tales fines, como </w:t>
      </w:r>
      <w:r w:rsidRPr="00F73F86">
        <w:rPr>
          <w:rFonts w:ascii="Century Gothic" w:hAnsi="Century Gothic" w:cs="Century Gothic"/>
          <w:sz w:val="16"/>
          <w:szCs w:val="16"/>
        </w:rPr>
        <w:t>ó</w:t>
      </w:r>
      <w:r w:rsidRPr="00F73F86">
        <w:rPr>
          <w:rFonts w:ascii="Century Gothic" w:hAnsi="Century Gothic" w:cs="Arial"/>
          <w:sz w:val="16"/>
          <w:szCs w:val="16"/>
        </w:rPr>
        <w:t>rgano t</w:t>
      </w:r>
      <w:r w:rsidRPr="00F73F86">
        <w:rPr>
          <w:rFonts w:ascii="Century Gothic" w:hAnsi="Century Gothic" w:cs="Century Gothic"/>
          <w:sz w:val="16"/>
          <w:szCs w:val="16"/>
        </w:rPr>
        <w:t>é</w:t>
      </w:r>
      <w:r w:rsidRPr="00F73F86">
        <w:rPr>
          <w:rFonts w:ascii="Century Gothic" w:hAnsi="Century Gothic" w:cs="Arial"/>
          <w:sz w:val="16"/>
          <w:szCs w:val="16"/>
        </w:rPr>
        <w:t>cnico especializado, le corresponde formular pol</w:t>
      </w:r>
      <w:r w:rsidRPr="00F73F86">
        <w:rPr>
          <w:rFonts w:ascii="Century Gothic" w:hAnsi="Century Gothic" w:cs="Century Gothic"/>
          <w:sz w:val="16"/>
          <w:szCs w:val="16"/>
        </w:rPr>
        <w:t>í</w:t>
      </w:r>
      <w:r w:rsidRPr="00F73F86">
        <w:rPr>
          <w:rFonts w:ascii="Century Gothic" w:hAnsi="Century Gothic" w:cs="Arial"/>
          <w:sz w:val="16"/>
          <w:szCs w:val="16"/>
        </w:rPr>
        <w:t>ticas p</w:t>
      </w:r>
      <w:r w:rsidRPr="00F73F86">
        <w:rPr>
          <w:rFonts w:ascii="Century Gothic" w:hAnsi="Century Gothic" w:cs="Century Gothic"/>
          <w:sz w:val="16"/>
          <w:szCs w:val="16"/>
        </w:rPr>
        <w:t>ú</w:t>
      </w:r>
      <w:r w:rsidRPr="00F73F86">
        <w:rPr>
          <w:rFonts w:ascii="Century Gothic" w:hAnsi="Century Gothic" w:cs="Arial"/>
          <w:sz w:val="16"/>
          <w:szCs w:val="16"/>
        </w:rPr>
        <w:t>blicas y normas y unificar los procesos de contrataci</w:t>
      </w:r>
      <w:r w:rsidRPr="00F73F86">
        <w:rPr>
          <w:rFonts w:ascii="Century Gothic" w:hAnsi="Century Gothic" w:cs="Century Gothic"/>
          <w:sz w:val="16"/>
          <w:szCs w:val="16"/>
        </w:rPr>
        <w:t>ó</w:t>
      </w:r>
      <w:r w:rsidRPr="00F73F86">
        <w:rPr>
          <w:rFonts w:ascii="Century Gothic" w:hAnsi="Century Gothic" w:cs="Arial"/>
          <w:sz w:val="16"/>
          <w:szCs w:val="16"/>
        </w:rPr>
        <w:t>n estatal, con el fin de lograr una mayor eficiencia, transparencia y optimizaci</w:t>
      </w:r>
      <w:r w:rsidRPr="00F73F86">
        <w:rPr>
          <w:rFonts w:ascii="Century Gothic" w:hAnsi="Century Gothic" w:cs="Century Gothic"/>
          <w:sz w:val="16"/>
          <w:szCs w:val="16"/>
        </w:rPr>
        <w:t>ó</w:t>
      </w:r>
      <w:r w:rsidRPr="00F73F86">
        <w:rPr>
          <w:rFonts w:ascii="Century Gothic" w:hAnsi="Century Gothic" w:cs="Arial"/>
          <w:sz w:val="16"/>
          <w:szCs w:val="16"/>
        </w:rPr>
        <w:t>n de los recursos del Estado. El art</w:t>
      </w:r>
      <w:r w:rsidRPr="00F73F86">
        <w:rPr>
          <w:rFonts w:ascii="Century Gothic" w:hAnsi="Century Gothic" w:cs="Century Gothic"/>
          <w:sz w:val="16"/>
          <w:szCs w:val="16"/>
        </w:rPr>
        <w:t>í</w:t>
      </w:r>
      <w:r w:rsidRPr="00F73F86">
        <w:rPr>
          <w:rFonts w:ascii="Century Gothic" w:hAnsi="Century Gothic" w:cs="Arial"/>
          <w:sz w:val="16"/>
          <w:szCs w:val="16"/>
        </w:rPr>
        <w:t xml:space="preserve">culo 3 </w:t>
      </w:r>
      <w:r w:rsidRPr="00F73F86">
        <w:rPr>
          <w:rFonts w:ascii="Century Gothic" w:hAnsi="Century Gothic" w:cs="Arial"/>
          <w:i/>
          <w:iCs/>
          <w:sz w:val="16"/>
          <w:szCs w:val="16"/>
        </w:rPr>
        <w:t xml:space="preserve">ibidem </w:t>
      </w:r>
      <w:r w:rsidRPr="00F73F86">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F73F86" w:rsidR="00707041" w:rsidP="00707041" w:rsidRDefault="00707041" w14:paraId="1327DB2B" w14:textId="77777777">
      <w:pPr>
        <w:pStyle w:val="Textonotapie"/>
        <w:ind w:firstLine="708"/>
        <w:jc w:val="both"/>
        <w:rPr>
          <w:rFonts w:ascii="Century Gothic" w:hAnsi="Century Gothic" w:cs="Arial"/>
          <w:sz w:val="16"/>
          <w:szCs w:val="16"/>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F73F86">
          <w:rPr>
            <w:rStyle w:val="Hipervnculo"/>
            <w:rFonts w:ascii="Century Gothic" w:hAnsi="Century Gothic" w:cs="Arial"/>
            <w:sz w:val="16"/>
            <w:szCs w:val="16"/>
          </w:rPr>
          <w:t>https://relatoria.colombiacompra.gov.co/busqueda/conceptos</w:t>
        </w:r>
      </w:hyperlink>
      <w:r w:rsidRPr="00F73F86">
        <w:rPr>
          <w:rStyle w:val="Hipervnculo"/>
          <w:rFonts w:ascii="Century Gothic" w:hAnsi="Century Gothic" w:cs="Arial"/>
          <w:sz w:val="16"/>
          <w:szCs w:val="16"/>
        </w:rPr>
        <w:t xml:space="preserve">. </w:t>
      </w:r>
      <w:r w:rsidRPr="00F73F86">
        <w:rPr>
          <w:rFonts w:ascii="Century Gothic" w:hAnsi="Century Gothic" w:cs="Arial"/>
          <w:sz w:val="16"/>
          <w:szCs w:val="16"/>
          <w:shd w:val="clear" w:color="auto" w:fill="E6E6E6"/>
        </w:rPr>
        <w:t xml:space="preserve"> </w:t>
      </w:r>
    </w:p>
  </w:footnote>
  <w:footnote w:id="4">
    <w:p w:rsidRPr="00F73F86" w:rsidR="00707041" w:rsidP="00707041" w:rsidRDefault="00707041" w14:paraId="7B0FB298" w14:textId="77777777">
      <w:pPr>
        <w:pStyle w:val="Textonotapie"/>
        <w:ind w:firstLine="708"/>
        <w:jc w:val="both"/>
        <w:rPr>
          <w:rFonts w:ascii="Century Gothic" w:hAnsi="Century Gothic" w:cs="Arial"/>
          <w:sz w:val="16"/>
          <w:szCs w:val="16"/>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Sobre esta norma, consultar los conceptos del 8 de octubre de 2019, con radicado No. 2201913000007532, y del 20 de diciembre de 2019, con radicado No. 4201913000008240.</w:t>
      </w:r>
    </w:p>
  </w:footnote>
  <w:footnote w:id="5">
    <w:p w:rsidRPr="00F73F86" w:rsidR="00707041" w:rsidP="00707041" w:rsidRDefault="00707041" w14:paraId="24437758" w14:textId="77777777">
      <w:pPr>
        <w:pStyle w:val="Textonotapie"/>
        <w:ind w:firstLine="708"/>
        <w:jc w:val="both"/>
        <w:rPr>
          <w:rFonts w:ascii="Century Gothic" w:hAnsi="Century Gothic" w:cs="Arial"/>
          <w:sz w:val="16"/>
          <w:szCs w:val="16"/>
        </w:rPr>
      </w:pPr>
      <w:r w:rsidRPr="00F73F86">
        <w:rPr>
          <w:rStyle w:val="Refdenotaalpie"/>
          <w:rFonts w:ascii="Century Gothic" w:hAnsi="Century Gothic"/>
          <w:sz w:val="16"/>
          <w:szCs w:val="16"/>
        </w:rPr>
        <w:footnoteRef/>
      </w:r>
      <w:r w:rsidRPr="00F73F86">
        <w:rPr>
          <w:rFonts w:ascii="Century Gothic" w:hAnsi="Century Gothic"/>
          <w:sz w:val="16"/>
          <w:szCs w:val="16"/>
        </w:rPr>
        <w:t xml:space="preserve"> </w:t>
      </w:r>
      <w:r w:rsidRPr="00F73F86">
        <w:rPr>
          <w:rFonts w:ascii="Century Gothic" w:hAnsi="Century Gothic"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F73F86" w:rsidR="00707041" w:rsidP="00707041" w:rsidRDefault="00707041" w14:paraId="4B4623D7" w14:textId="77777777">
      <w:pPr>
        <w:pStyle w:val="Textonotapie"/>
        <w:ind w:firstLine="708"/>
        <w:jc w:val="both"/>
        <w:rPr>
          <w:rFonts w:ascii="Century Gothic" w:hAnsi="Century Gothic" w:cs="Arial"/>
          <w:sz w:val="16"/>
          <w:szCs w:val="16"/>
        </w:rPr>
      </w:pPr>
      <w:r w:rsidRPr="00F73F86">
        <w:rPr>
          <w:rFonts w:ascii="Century Gothic" w:hAnsi="Century Gothic" w:cs="Arial"/>
          <w:sz w:val="16"/>
          <w:szCs w:val="16"/>
        </w:rPr>
        <w:t xml:space="preserve">Los convenios de asociación a que se refiere el presente artículo </w:t>
      </w:r>
      <w:bookmarkStart w:name="_Hlk36023315" w:id="10"/>
      <w:r w:rsidRPr="00F73F86">
        <w:rPr>
          <w:rFonts w:ascii="Century Gothic" w:hAnsi="Century Gothic" w:cs="Arial"/>
          <w:sz w:val="16"/>
          <w:szCs w:val="16"/>
        </w:rPr>
        <w:t>se celebrarán de conformidad con lo dispuesto en el artículo 355 de la Constitución Política</w:t>
      </w:r>
      <w:bookmarkEnd w:id="10"/>
      <w:r w:rsidRPr="00F73F86">
        <w:rPr>
          <w:rFonts w:ascii="Century Gothic" w:hAnsi="Century Gothic" w:cs="Arial"/>
          <w:sz w:val="16"/>
          <w:szCs w:val="16"/>
        </w:rPr>
        <w:t>, en ellos se determinará con precisión su objeto, término, obligaciones de las partes, aportes, coordinación y todos aquellos aspectos que se consideren pertinentes”.</w:t>
      </w:r>
    </w:p>
  </w:footnote>
  <w:footnote w:id="6">
    <w:p w:rsidRPr="00F73F86" w:rsidR="00707041" w:rsidP="00707041" w:rsidRDefault="00707041" w14:paraId="5CD9C3C6" w14:textId="77777777">
      <w:pPr>
        <w:pStyle w:val="Textonotapie"/>
        <w:ind w:firstLine="708"/>
        <w:jc w:val="both"/>
        <w:rPr>
          <w:rFonts w:ascii="Century Gothic" w:hAnsi="Century Gothic" w:cs="Arial"/>
          <w:sz w:val="16"/>
          <w:szCs w:val="16"/>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Concepto del 3 de septiembre de 2019, con radicado No. 2201913000006512.</w:t>
      </w:r>
    </w:p>
  </w:footnote>
  <w:footnote w:id="7">
    <w:p w:rsidRPr="00F73F86" w:rsidR="00707041" w:rsidP="00707041" w:rsidRDefault="00707041" w14:paraId="29386683" w14:textId="77777777">
      <w:pPr>
        <w:pStyle w:val="Textonotapie"/>
        <w:ind w:firstLine="708"/>
        <w:jc w:val="both"/>
        <w:rPr>
          <w:rFonts w:ascii="Century Gothic" w:hAnsi="Century Gothic" w:cs="Arial"/>
          <w:sz w:val="16"/>
          <w:szCs w:val="16"/>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Sobre la naturaleza de los convenios de asociación, se reitera lo expuesto en el concepto del 19 de noviembre de 2019, con radicado No. 2201913000008611.</w:t>
      </w:r>
    </w:p>
  </w:footnote>
  <w:footnote w:id="8">
    <w:p w:rsidRPr="00F73F86" w:rsidR="00707041" w:rsidP="00707041" w:rsidRDefault="00707041" w14:paraId="73C1726C" w14:textId="77777777">
      <w:pPr>
        <w:pStyle w:val="Textonotapie"/>
        <w:ind w:firstLine="708"/>
        <w:jc w:val="both"/>
        <w:rPr>
          <w:rFonts w:ascii="Century Gothic" w:hAnsi="Century Gothic"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Cfr. Concepto del 21 de agosto de 2019, dictado dentro del radicado No. 2201913000006047.</w:t>
      </w:r>
    </w:p>
  </w:footnote>
  <w:footnote w:id="9">
    <w:p w:rsidRPr="00F73F86" w:rsidR="00707041" w:rsidP="00707041" w:rsidRDefault="00707041" w14:paraId="5F4F9A56" w14:textId="77777777">
      <w:pPr>
        <w:pStyle w:val="Textonotapie"/>
        <w:ind w:firstLine="708"/>
        <w:jc w:val="both"/>
        <w:rPr>
          <w:rFonts w:ascii="Century Gothic" w:hAnsi="Century Gothic" w:cs="Arial"/>
          <w:color w:val="000000" w:themeColor="text1"/>
          <w:sz w:val="16"/>
          <w:szCs w:val="16"/>
          <w:lang w:val="es-ES"/>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Concepto del 24 de febrero de 2005, con radicado No. 1626, C.P. Dra. Gloria Duque Hernández</w:t>
      </w:r>
    </w:p>
  </w:footnote>
  <w:footnote w:id="10">
    <w:p w:rsidRPr="00F73F86" w:rsidR="00707041" w:rsidP="00707041" w:rsidRDefault="00707041" w14:paraId="0BE0ADE3" w14:textId="77777777">
      <w:pPr>
        <w:pStyle w:val="Textonotapie"/>
        <w:ind w:firstLine="708"/>
        <w:jc w:val="both"/>
        <w:rPr>
          <w:rFonts w:ascii="Century Gothic" w:hAnsi="Century Gothic"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11">
    <w:p w:rsidRPr="00F73F86" w:rsidR="00707041" w:rsidP="00707041" w:rsidRDefault="00707041" w14:paraId="457B8C5F" w14:textId="77777777">
      <w:pPr>
        <w:pStyle w:val="Textonotapie"/>
        <w:ind w:firstLine="708"/>
        <w:rPr>
          <w:rFonts w:ascii="Century Gothic" w:hAnsi="Century Gothic" w:cs="Arial"/>
          <w:color w:val="000000" w:themeColor="text1"/>
          <w:sz w:val="16"/>
          <w:szCs w:val="16"/>
        </w:rPr>
      </w:pPr>
      <w:r w:rsidRPr="00F73F86">
        <w:rPr>
          <w:rStyle w:val="Refdenotaalpie"/>
          <w:rFonts w:ascii="Century Gothic" w:hAnsi="Century Gothic"/>
          <w:sz w:val="16"/>
          <w:szCs w:val="16"/>
        </w:rPr>
        <w:footnoteRef/>
      </w:r>
      <w:r w:rsidRPr="00F73F86">
        <w:rPr>
          <w:rFonts w:ascii="Century Gothic" w:hAnsi="Century Gothic"/>
          <w:sz w:val="16"/>
          <w:szCs w:val="16"/>
        </w:rPr>
        <w:t xml:space="preserve"> </w:t>
      </w:r>
      <w:r w:rsidRPr="00F73F86">
        <w:rPr>
          <w:rFonts w:ascii="Century Gothic" w:hAnsi="Century Gothic" w:cs="Arial"/>
          <w:color w:val="000000" w:themeColor="text1"/>
          <w:sz w:val="16"/>
          <w:szCs w:val="16"/>
        </w:rPr>
        <w:t xml:space="preserve">CONSEJO DE ESTADO. Sala Plena. Auto del 15 de marzo de 2022. Exp. </w:t>
      </w:r>
      <w:r w:rsidRPr="00F73F86">
        <w:rPr>
          <w:rFonts w:ascii="Century Gothic" w:hAnsi="Century Gothic" w:cs="Arial"/>
          <w:color w:val="000000" w:themeColor="text1"/>
          <w:sz w:val="16"/>
          <w:szCs w:val="16"/>
        </w:rPr>
        <w:t>11001-03-26-000-2018-00113-01 (62.003). C.P. Rocío Araújo Oñate.</w:t>
      </w:r>
    </w:p>
  </w:footnote>
  <w:footnote w:id="12">
    <w:p w:rsidRPr="00F73F86" w:rsidR="00707041" w:rsidP="00707041" w:rsidRDefault="00707041" w14:paraId="2FC4E71D" w14:textId="77777777">
      <w:pPr>
        <w:pStyle w:val="Textonotapie"/>
        <w:ind w:firstLine="708"/>
        <w:jc w:val="both"/>
        <w:rPr>
          <w:rFonts w:ascii="Century Gothic" w:hAnsi="Century Gothic" w:eastAsia="Calibri"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w:t>
      </w:r>
      <w:r w:rsidRPr="00F73F86">
        <w:rPr>
          <w:rFonts w:ascii="Century Gothic" w:hAnsi="Century Gothic" w:eastAsia="Calibri" w:cs="Arial"/>
          <w:color w:val="000000" w:themeColor="text1"/>
          <w:sz w:val="16"/>
          <w:szCs w:val="16"/>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footnote>
  <w:footnote w:id="13">
    <w:p w:rsidRPr="00F73F86" w:rsidR="00707041" w:rsidP="00707041" w:rsidRDefault="00707041" w14:paraId="2FE30BC4" w14:textId="77777777">
      <w:pPr>
        <w:pStyle w:val="Textonotapie"/>
        <w:ind w:firstLine="708"/>
        <w:jc w:val="both"/>
        <w:rPr>
          <w:rFonts w:ascii="Century Gothic" w:hAnsi="Century Gothic"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w:t>
      </w:r>
      <w:r w:rsidRPr="00F73F86">
        <w:rPr>
          <w:rFonts w:ascii="Century Gothic" w:hAnsi="Century Gothic" w:eastAsia="Calibri" w:cs="Arial"/>
          <w:color w:val="000000" w:themeColor="text1"/>
          <w:sz w:val="16"/>
          <w:szCs w:val="16"/>
        </w:rPr>
        <w:t>Decreto 092 de 2017, artículo 3, inciso 2: “</w:t>
      </w:r>
      <w:r w:rsidRPr="00F73F86">
        <w:rPr>
          <w:rFonts w:ascii="Century Gothic" w:hAnsi="Century Gothic" w:cs="Arial"/>
          <w:color w:val="000000" w:themeColor="text1"/>
          <w:sz w:val="16"/>
          <w:szCs w:val="16"/>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4">
    <w:p w:rsidRPr="00F73F86" w:rsidR="00707041" w:rsidP="00707041" w:rsidRDefault="00707041" w14:paraId="34473BF1" w14:textId="77777777">
      <w:pPr>
        <w:spacing w:after="0" w:line="240" w:lineRule="auto"/>
        <w:ind w:firstLine="708"/>
        <w:jc w:val="both"/>
        <w:rPr>
          <w:rFonts w:ascii="Century Gothic" w:hAnsi="Century Gothic" w:cs="Arial"/>
          <w:color w:val="000000" w:themeColor="text1"/>
          <w:sz w:val="16"/>
          <w:szCs w:val="16"/>
        </w:rPr>
      </w:pPr>
      <w:r w:rsidRPr="00F73F86">
        <w:rPr>
          <w:rFonts w:ascii="Century Gothic" w:hAnsi="Century Gothic" w:cs="Arial"/>
          <w:color w:val="000000" w:themeColor="text1"/>
          <w:sz w:val="16"/>
          <w:szCs w:val="16"/>
          <w:vertAlign w:val="superscript"/>
        </w:rPr>
        <w:footnoteRef/>
      </w:r>
      <w:r w:rsidRPr="00F73F86">
        <w:rPr>
          <w:rFonts w:ascii="Century Gothic" w:hAnsi="Century Gothic" w:cs="Arial"/>
          <w:color w:val="000000" w:themeColor="text1"/>
          <w:sz w:val="16"/>
          <w:szCs w:val="16"/>
        </w:rPr>
        <w:t xml:space="preserve"> En el auto del 15 de marzo de 2022 se señalaron los siguientes argumentos para levantar la suspensión provisional del inciso segundo del artículo 3 del Decreto 092 de 2017: “43. En suma, lo que advierte la Sala es que para establecer si el Gobierno nacional delegó indebidamente el ejercicio de la potestad reglamentaria directa de la Constitución, es necesario realizar un estudio de fondo, que es propio de la sentencia, pues de la literalidad de las normas confrontadas no surge que 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 los reglamentos constitucionales autónomos, como lo entiende el Departamento Nacional de Planeación. </w:t>
      </w:r>
    </w:p>
    <w:p w:rsidRPr="00F73F86" w:rsidR="00707041" w:rsidP="00707041" w:rsidRDefault="00707041" w14:paraId="2BD348F2" w14:textId="77777777">
      <w:pPr>
        <w:spacing w:after="0" w:line="240" w:lineRule="auto"/>
        <w:ind w:firstLine="708"/>
        <w:jc w:val="both"/>
        <w:rPr>
          <w:rFonts w:ascii="Century Gothic" w:hAnsi="Century Gothic" w:cs="Arial"/>
          <w:color w:val="000000" w:themeColor="text1"/>
          <w:sz w:val="16"/>
          <w:szCs w:val="16"/>
        </w:rPr>
      </w:pPr>
      <w:r w:rsidRPr="00F73F86">
        <w:rPr>
          <w:rFonts w:ascii="Century Gothic" w:hAnsi="Century Gothic" w:cs="Arial"/>
          <w:color w:val="000000" w:themeColor="text1"/>
          <w:sz w:val="16"/>
          <w:szCs w:val="16"/>
        </w:rPr>
        <w:t xml:space="preserve"> 44. 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 revocará dicha medida cautelar y la negará en relación con esas disposiciones”. (CONSEJO DE ESTADO. Sala Plena. Auto del 15 de marzo de 2022. Exp. 11001-03-26-000-2018-00113-01 (62.003). C.P. Rocío Araújo Oñate).</w:t>
      </w:r>
    </w:p>
  </w:footnote>
  <w:footnote w:id="15">
    <w:p w:rsidRPr="00F73F86" w:rsidR="00707041" w:rsidP="00707041" w:rsidRDefault="00707041" w14:paraId="63A22ED3" w14:textId="77777777">
      <w:pPr>
        <w:spacing w:after="0" w:line="240" w:lineRule="auto"/>
        <w:ind w:firstLine="708"/>
        <w:jc w:val="both"/>
        <w:rPr>
          <w:rFonts w:ascii="Century Gothic" w:hAnsi="Century Gothic"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16">
    <w:p w:rsidRPr="00F73F86" w:rsidR="00707041" w:rsidP="00707041" w:rsidRDefault="00707041" w14:paraId="5FEB365B" w14:textId="77777777">
      <w:pPr>
        <w:pStyle w:val="Textonotapie"/>
        <w:ind w:firstLine="708"/>
        <w:jc w:val="both"/>
        <w:rPr>
          <w:rFonts w:ascii="Century Gothic" w:hAnsi="Century Gothic"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footnote>
  <w:footnote w:id="17">
    <w:p w:rsidRPr="00F73F86" w:rsidR="00707041" w:rsidP="00707041" w:rsidRDefault="00707041" w14:paraId="5D913BDD" w14:textId="77777777">
      <w:pPr>
        <w:pStyle w:val="Textonotapie"/>
        <w:ind w:firstLine="708"/>
        <w:jc w:val="both"/>
        <w:rPr>
          <w:rFonts w:ascii="Century Gothic" w:hAnsi="Century Gothic" w:cs="Arial"/>
          <w:color w:val="000000" w:themeColor="text1"/>
          <w:sz w:val="16"/>
          <w:szCs w:val="16"/>
          <w:lang w:val="es-ES"/>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rsidRPr="00F73F86" w:rsidR="00707041" w:rsidP="00707041" w:rsidRDefault="00707041" w14:paraId="27B28253" w14:textId="77777777">
      <w:pPr>
        <w:pStyle w:val="Textonotapie"/>
        <w:ind w:firstLine="708"/>
        <w:jc w:val="both"/>
        <w:rPr>
          <w:rFonts w:ascii="Century Gothic" w:hAnsi="Century Gothic" w:cs="Arial"/>
          <w:sz w:val="16"/>
          <w:szCs w:val="16"/>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De esta manera, agrega que “[…] 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 (Cfr. Consejo de Estado. Sala Plena. </w:t>
      </w:r>
      <w:bookmarkStart w:name="_Hlk102655636" w:id="18"/>
      <w:r w:rsidRPr="00F73F86">
        <w:rPr>
          <w:rFonts w:ascii="Century Gothic" w:hAnsi="Century Gothic" w:cs="Arial"/>
          <w:sz w:val="16"/>
          <w:szCs w:val="16"/>
        </w:rPr>
        <w:t>Auto del 15 de marzo de 2022</w:t>
      </w:r>
      <w:bookmarkEnd w:id="18"/>
      <w:r w:rsidRPr="00F73F86">
        <w:rPr>
          <w:rFonts w:ascii="Century Gothic" w:hAnsi="Century Gothic" w:cs="Arial"/>
          <w:sz w:val="16"/>
          <w:szCs w:val="16"/>
        </w:rPr>
        <w:t>. Exp. 62.003. C.P. Rocío Araújo Oñate).</w:t>
      </w:r>
    </w:p>
  </w:footnote>
  <w:footnote w:id="19">
    <w:p w:rsidRPr="00F73F86" w:rsidR="00707041" w:rsidP="00707041" w:rsidRDefault="00707041" w14:paraId="063E795B" w14:textId="77777777">
      <w:pPr>
        <w:pStyle w:val="Textonotapie"/>
        <w:ind w:firstLine="708"/>
        <w:rPr>
          <w:rFonts w:ascii="Century Gothic" w:hAnsi="Century Gothic" w:cs="Arial"/>
          <w:sz w:val="16"/>
          <w:szCs w:val="16"/>
        </w:rPr>
      </w:pPr>
      <w:r w:rsidRPr="00F73F86">
        <w:rPr>
          <w:rStyle w:val="Refdenotaalpie"/>
          <w:rFonts w:ascii="Century Gothic" w:hAnsi="Century Gothic" w:cs="Arial"/>
          <w:sz w:val="16"/>
          <w:szCs w:val="16"/>
        </w:rPr>
        <w:footnoteRef/>
      </w:r>
      <w:r w:rsidRPr="00F73F86">
        <w:rPr>
          <w:rFonts w:ascii="Century Gothic" w:hAnsi="Century Gothic" w:cs="Arial"/>
          <w:sz w:val="16"/>
          <w:szCs w:val="16"/>
        </w:rPr>
        <w:t xml:space="preserve"> </w:t>
      </w:r>
      <w:r w:rsidRPr="00F73F86">
        <w:rPr>
          <w:rFonts w:ascii="Century Gothic" w:hAnsi="Century Gothic" w:cs="Arial"/>
          <w:i/>
          <w:iCs/>
          <w:sz w:val="16"/>
          <w:szCs w:val="16"/>
        </w:rPr>
        <w:t>Ibidem</w:t>
      </w:r>
      <w:r w:rsidRPr="00F73F86">
        <w:rPr>
          <w:rFonts w:ascii="Century Gothic" w:hAnsi="Century Gothic" w:cs="Arial"/>
          <w:sz w:val="16"/>
          <w:szCs w:val="16"/>
        </w:rPr>
        <w:t>.</w:t>
      </w:r>
    </w:p>
  </w:footnote>
  <w:footnote w:id="20">
    <w:p w:rsidRPr="00F73F86" w:rsidR="00707041" w:rsidP="00707041" w:rsidRDefault="00707041" w14:paraId="25C24B50" w14:textId="77777777">
      <w:pPr>
        <w:pStyle w:val="Textonotapie"/>
        <w:ind w:firstLine="708"/>
        <w:jc w:val="both"/>
        <w:rPr>
          <w:rFonts w:ascii="Century Gothic" w:hAnsi="Century Gothic" w:cs="Arial"/>
          <w:color w:val="000000" w:themeColor="text1"/>
          <w:sz w:val="16"/>
          <w:szCs w:val="16"/>
        </w:rPr>
      </w:pPr>
      <w:r w:rsidRPr="00F73F86">
        <w:rPr>
          <w:rStyle w:val="Refdenotaalpie"/>
          <w:rFonts w:ascii="Century Gothic" w:hAnsi="Century Gothic" w:cs="Arial"/>
          <w:color w:val="000000" w:themeColor="text1"/>
          <w:sz w:val="16"/>
          <w:szCs w:val="16"/>
        </w:rPr>
        <w:footnoteRef/>
      </w:r>
      <w:r w:rsidRPr="00F73F86">
        <w:rPr>
          <w:rFonts w:ascii="Century Gothic" w:hAnsi="Century Gothic" w:cs="Arial"/>
          <w:color w:val="000000" w:themeColor="text1"/>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CA3D95" w:rsidR="005B5D8B" w:rsidP="00CA3D95" w:rsidRDefault="004A305D" w14:paraId="3DBCDD3E" w14:textId="2DEC31D6">
    <w:pPr>
      <w:spacing w:after="12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48832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F6486"/>
    <w:rsid w:val="00125105"/>
    <w:rsid w:val="00127233"/>
    <w:rsid w:val="00197050"/>
    <w:rsid w:val="001E21AC"/>
    <w:rsid w:val="001E4177"/>
    <w:rsid w:val="00291CD5"/>
    <w:rsid w:val="002951A0"/>
    <w:rsid w:val="002962BC"/>
    <w:rsid w:val="002A093D"/>
    <w:rsid w:val="002A49AC"/>
    <w:rsid w:val="002A64FD"/>
    <w:rsid w:val="002C7A84"/>
    <w:rsid w:val="003448F4"/>
    <w:rsid w:val="003652DE"/>
    <w:rsid w:val="003A779E"/>
    <w:rsid w:val="003D0F4D"/>
    <w:rsid w:val="003E0499"/>
    <w:rsid w:val="003F3941"/>
    <w:rsid w:val="00400548"/>
    <w:rsid w:val="004368BC"/>
    <w:rsid w:val="00442594"/>
    <w:rsid w:val="004A1847"/>
    <w:rsid w:val="004A305D"/>
    <w:rsid w:val="004C4346"/>
    <w:rsid w:val="004F21C4"/>
    <w:rsid w:val="004F685F"/>
    <w:rsid w:val="00533E8F"/>
    <w:rsid w:val="005566E8"/>
    <w:rsid w:val="00574867"/>
    <w:rsid w:val="005A6AA1"/>
    <w:rsid w:val="005B5D8B"/>
    <w:rsid w:val="005C5CDC"/>
    <w:rsid w:val="005D476C"/>
    <w:rsid w:val="006219F8"/>
    <w:rsid w:val="00655548"/>
    <w:rsid w:val="00665D70"/>
    <w:rsid w:val="006A7D78"/>
    <w:rsid w:val="00706C16"/>
    <w:rsid w:val="00707041"/>
    <w:rsid w:val="00727370"/>
    <w:rsid w:val="00756841"/>
    <w:rsid w:val="00763C80"/>
    <w:rsid w:val="007649AB"/>
    <w:rsid w:val="007833AC"/>
    <w:rsid w:val="007B7171"/>
    <w:rsid w:val="007C3DC2"/>
    <w:rsid w:val="007E5497"/>
    <w:rsid w:val="00806F5F"/>
    <w:rsid w:val="00820278"/>
    <w:rsid w:val="008843B6"/>
    <w:rsid w:val="00887FCA"/>
    <w:rsid w:val="00891928"/>
    <w:rsid w:val="008A446D"/>
    <w:rsid w:val="008F0EA7"/>
    <w:rsid w:val="00923EEF"/>
    <w:rsid w:val="009419F9"/>
    <w:rsid w:val="00961B09"/>
    <w:rsid w:val="00965334"/>
    <w:rsid w:val="0097093E"/>
    <w:rsid w:val="009C71FA"/>
    <w:rsid w:val="009C72E7"/>
    <w:rsid w:val="00A17F13"/>
    <w:rsid w:val="00A20739"/>
    <w:rsid w:val="00A33C78"/>
    <w:rsid w:val="00AB0ADB"/>
    <w:rsid w:val="00AD5E99"/>
    <w:rsid w:val="00B72CD3"/>
    <w:rsid w:val="00B72FFF"/>
    <w:rsid w:val="00BD15D4"/>
    <w:rsid w:val="00BD2E7A"/>
    <w:rsid w:val="00BD7F72"/>
    <w:rsid w:val="00C04FB3"/>
    <w:rsid w:val="00C330EB"/>
    <w:rsid w:val="00C754BE"/>
    <w:rsid w:val="00CA3D95"/>
    <w:rsid w:val="00CB6357"/>
    <w:rsid w:val="00CC1B26"/>
    <w:rsid w:val="00D423A2"/>
    <w:rsid w:val="00D449FD"/>
    <w:rsid w:val="00D63AC2"/>
    <w:rsid w:val="00D7383B"/>
    <w:rsid w:val="00D76E55"/>
    <w:rsid w:val="00DA231B"/>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C6F0F"/>
    <w:rsid w:val="00FF1449"/>
    <w:rsid w:val="11905EFC"/>
    <w:rsid w:val="26635402"/>
    <w:rsid w:val="2E13CB85"/>
    <w:rsid w:val="687B05C8"/>
    <w:rsid w:val="7996B875"/>
    <w:rsid w:val="7F2E6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Refdecomentario">
    <w:name w:val="annotation reference"/>
    <w:basedOn w:val="Fuentedeprrafopredeter"/>
    <w:uiPriority w:val="99"/>
    <w:semiHidden/>
    <w:unhideWhenUsed/>
    <w:rsid w:val="00FC6F0F"/>
    <w:rPr>
      <w:sz w:val="16"/>
      <w:szCs w:val="16"/>
    </w:rPr>
  </w:style>
  <w:style w:type="paragraph" w:styleId="Textocomentario">
    <w:name w:val="annotation text"/>
    <w:basedOn w:val="Normal"/>
    <w:link w:val="TextocomentarioCar"/>
    <w:uiPriority w:val="99"/>
    <w:unhideWhenUsed/>
    <w:rsid w:val="00FC6F0F"/>
    <w:pPr>
      <w:spacing w:line="240" w:lineRule="auto"/>
    </w:pPr>
    <w:rPr>
      <w:sz w:val="20"/>
      <w:szCs w:val="20"/>
    </w:rPr>
  </w:style>
  <w:style w:type="character" w:styleId="TextocomentarioCar" w:customStyle="1">
    <w:name w:val="Texto comentario Car"/>
    <w:basedOn w:val="Fuentedeprrafopredeter"/>
    <w:link w:val="Textocomentario"/>
    <w:uiPriority w:val="99"/>
    <w:rsid w:val="00FC6F0F"/>
    <w:rPr>
      <w:sz w:val="20"/>
      <w:szCs w:val="20"/>
    </w:rPr>
  </w:style>
  <w:style w:type="paragraph" w:styleId="Appelnotedebasde" w:customStyle="1">
    <w:name w:val="Appel note de bas de..."/>
    <w:basedOn w:val="Normal"/>
    <w:link w:val="Refdenotaalpie"/>
    <w:uiPriority w:val="99"/>
    <w:rsid w:val="00FC6F0F"/>
    <w:pPr>
      <w:spacing w:line="240" w:lineRule="exact"/>
    </w:pPr>
    <w:rPr>
      <w:vertAlign w:val="superscript"/>
    </w:rPr>
  </w:style>
  <w:style w:type="paragraph" w:styleId="Textoindependiente">
    <w:name w:val="Body Text"/>
    <w:basedOn w:val="Normal"/>
    <w:link w:val="TextoindependienteCar"/>
    <w:uiPriority w:val="99"/>
    <w:unhideWhenUsed/>
    <w:rsid w:val="00FC6F0F"/>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99"/>
    <w:rsid w:val="00FC6F0F"/>
    <w:rPr>
      <w:rFonts w:eastAsiaTheme="minorEastAsia"/>
      <w:lang w:eastAsia="es-CO"/>
    </w:rPr>
  </w:style>
  <w:style w:type="paragraph" w:styleId="Sinespaciado">
    <w:name w:val="No Spacing"/>
    <w:aliases w:val="No Indent"/>
    <w:uiPriority w:val="3"/>
    <w:qFormat/>
    <w:rsid w:val="00FC6F0F"/>
    <w:pPr>
      <w:spacing w:after="0" w:line="240" w:lineRule="auto"/>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FC6F0F"/>
    <w:rPr>
      <w:rFonts w:ascii="Geomanist Light" w:hAnsi="Geomanist Light"/>
      <w:lang w:val="es-ES"/>
    </w:rPr>
  </w:style>
  <w:style w:type="paragraph" w:styleId="Revisin">
    <w:name w:val="Revision"/>
    <w:hidden/>
    <w:uiPriority w:val="99"/>
    <w:semiHidden/>
    <w:rsid w:val="00365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Martha Alicia Romero Vargas</DisplayName>
        <AccountId>215</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21B16879-0FF2-45A0-BF8A-D6FC857C3996}"/>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7</revision>
  <lastPrinted>2023-01-10T21:18:00.0000000Z</lastPrinted>
  <dcterms:created xsi:type="dcterms:W3CDTF">2024-04-24T00:09:00.0000000Z</dcterms:created>
  <dcterms:modified xsi:type="dcterms:W3CDTF">2024-04-29T16:10:55.7072686Z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