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973AD" w14:textId="77777777" w:rsidR="000B76C5" w:rsidRPr="000B76C5" w:rsidRDefault="000B76C5" w:rsidP="000B76C5">
      <w:pPr>
        <w:spacing w:after="0" w:line="240" w:lineRule="auto"/>
        <w:jc w:val="right"/>
        <w:rPr>
          <w:rFonts w:ascii="Century Gothic" w:eastAsia="Century Gothic" w:hAnsi="Century Gothic" w:cs="Century Gothic"/>
          <w:b/>
          <w:bCs/>
          <w:sz w:val="20"/>
          <w:szCs w:val="20"/>
          <w:lang w:val="es-ES" w:eastAsia="es-ES_tradnl"/>
        </w:rPr>
      </w:pPr>
      <w:bookmarkStart w:id="0" w:name="_Hlk28946138"/>
      <w:bookmarkStart w:id="1" w:name="_Hlk29548183"/>
      <w:r w:rsidRPr="000B76C5">
        <w:rPr>
          <w:rFonts w:ascii="Century Gothic" w:eastAsia="Century Gothic" w:hAnsi="Century Gothic" w:cs="Century Gothic"/>
          <w:sz w:val="16"/>
          <w:szCs w:val="16"/>
          <w:lang w:val="es-ES" w:eastAsia="es-ES"/>
        </w:rPr>
        <w:t>CCE-DES-FM-17</w:t>
      </w:r>
      <w:bookmarkEnd w:id="0"/>
      <w:bookmarkEnd w:id="1"/>
    </w:p>
    <w:p w14:paraId="25B7C30A" w14:textId="77777777" w:rsidR="000B76C5" w:rsidRPr="000B76C5" w:rsidRDefault="000B76C5" w:rsidP="000B76C5">
      <w:pPr>
        <w:spacing w:after="0" w:line="240" w:lineRule="auto"/>
        <w:jc w:val="both"/>
        <w:rPr>
          <w:rFonts w:ascii="Century Gothic" w:eastAsia="Century Gothic" w:hAnsi="Century Gothic" w:cs="Century Gothic"/>
          <w:b/>
          <w:bCs/>
          <w:lang w:eastAsia="es-ES_tradnl"/>
        </w:rPr>
      </w:pPr>
    </w:p>
    <w:p w14:paraId="15C20E9B" w14:textId="77777777" w:rsidR="000B76C5" w:rsidRPr="000B76C5" w:rsidRDefault="000B76C5" w:rsidP="000B76C5">
      <w:pPr>
        <w:spacing w:after="0" w:line="240" w:lineRule="auto"/>
        <w:jc w:val="both"/>
        <w:rPr>
          <w:rFonts w:ascii="Century Gothic" w:eastAsia="Times New Roman" w:hAnsi="Century Gothic" w:cs="Arial"/>
          <w:b/>
          <w:bCs/>
          <w:color w:val="000000" w:themeColor="text1"/>
          <w:lang w:val="es-ES_tradnl" w:eastAsia="es-ES_tradnl"/>
        </w:rPr>
      </w:pPr>
      <w:r w:rsidRPr="000B76C5">
        <w:rPr>
          <w:rFonts w:ascii="Century Gothic" w:eastAsia="Times New Roman" w:hAnsi="Century Gothic" w:cs="Arial"/>
          <w:b/>
          <w:bCs/>
          <w:color w:val="000000" w:themeColor="text1"/>
          <w:lang w:val="es-ES_tradnl" w:eastAsia="es-ES_tradnl"/>
        </w:rPr>
        <w:t xml:space="preserve">CONTRATOS CON ESAL </w:t>
      </w:r>
      <w:r w:rsidRPr="000B76C5">
        <w:rPr>
          <w:rFonts w:ascii="Century Gothic" w:eastAsia="Calibri" w:hAnsi="Century Gothic" w:cs="Arial"/>
          <w:b/>
          <w:color w:val="000000" w:themeColor="text1"/>
          <w:lang w:val="es-ES_tradnl" w:eastAsia="es-ES_tradnl"/>
        </w:rPr>
        <w:t>–</w:t>
      </w:r>
      <w:r w:rsidRPr="000B76C5">
        <w:rPr>
          <w:rFonts w:ascii="Century Gothic" w:eastAsia="Times New Roman" w:hAnsi="Century Gothic" w:cs="Arial"/>
          <w:b/>
          <w:bCs/>
          <w:color w:val="000000" w:themeColor="text1"/>
          <w:lang w:val="es-ES_tradnl" w:eastAsia="es-ES_tradnl"/>
        </w:rPr>
        <w:t xml:space="preserve"> Artículo 355 </w:t>
      </w:r>
      <w:r w:rsidRPr="000B76C5">
        <w:rPr>
          <w:rFonts w:ascii="Century Gothic" w:eastAsia="Calibri" w:hAnsi="Century Gothic" w:cs="Arial"/>
          <w:b/>
          <w:color w:val="000000" w:themeColor="text1"/>
          <w:lang w:val="es-ES_tradnl" w:eastAsia="es-ES_tradnl"/>
        </w:rPr>
        <w:t>–</w:t>
      </w:r>
      <w:r w:rsidRPr="000B76C5">
        <w:rPr>
          <w:rFonts w:ascii="Century Gothic" w:eastAsia="Times New Roman" w:hAnsi="Century Gothic" w:cs="Arial"/>
          <w:b/>
          <w:bCs/>
          <w:color w:val="000000" w:themeColor="text1"/>
          <w:lang w:val="es-ES_tradnl" w:eastAsia="es-ES_tradnl"/>
        </w:rPr>
        <w:t xml:space="preserve"> Constitución </w:t>
      </w:r>
      <w:r w:rsidRPr="000B76C5">
        <w:rPr>
          <w:rFonts w:ascii="Century Gothic" w:eastAsia="Calibri" w:hAnsi="Century Gothic" w:cs="Arial"/>
          <w:b/>
          <w:color w:val="000000" w:themeColor="text1"/>
          <w:lang w:val="es-ES_tradnl" w:eastAsia="es-ES_tradnl"/>
        </w:rPr>
        <w:t>– Fundamento</w:t>
      </w:r>
    </w:p>
    <w:p w14:paraId="50B71E15" w14:textId="77777777" w:rsidR="000B76C5" w:rsidRPr="000B76C5" w:rsidRDefault="000B76C5" w:rsidP="000B76C5">
      <w:pPr>
        <w:spacing w:after="0" w:line="240" w:lineRule="auto"/>
        <w:jc w:val="both"/>
        <w:rPr>
          <w:rFonts w:ascii="Century Gothic" w:eastAsia="Times New Roman" w:hAnsi="Century Gothic" w:cs="Arial"/>
          <w:color w:val="000000" w:themeColor="text1"/>
          <w:sz w:val="20"/>
          <w:szCs w:val="20"/>
          <w:lang w:val="es-ES_tradnl" w:eastAsia="es-ES_tradnl"/>
        </w:rPr>
      </w:pPr>
    </w:p>
    <w:p w14:paraId="1C09FA4D"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r w:rsidRPr="000B76C5">
        <w:rPr>
          <w:rFonts w:ascii="Century Gothic" w:eastAsia="Calibri" w:hAnsi="Century Gothic"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45D41A50" w14:textId="77777777" w:rsidR="000B76C5" w:rsidRPr="000B76C5" w:rsidRDefault="000B76C5" w:rsidP="000B76C5">
      <w:pPr>
        <w:spacing w:after="0" w:line="240" w:lineRule="auto"/>
        <w:jc w:val="both"/>
        <w:rPr>
          <w:rFonts w:ascii="Century Gothic" w:eastAsia="Times New Roman" w:hAnsi="Century Gothic" w:cs="Arial"/>
          <w:noProof/>
          <w:color w:val="000000" w:themeColor="text1"/>
          <w:sz w:val="20"/>
          <w:szCs w:val="20"/>
          <w:lang w:val="es-ES" w:eastAsia="es-ES_tradnl"/>
        </w:rPr>
      </w:pPr>
    </w:p>
    <w:p w14:paraId="75024DB2" w14:textId="77777777" w:rsidR="000B76C5" w:rsidRPr="000B76C5" w:rsidRDefault="000B76C5" w:rsidP="000B76C5">
      <w:pPr>
        <w:spacing w:after="0" w:line="240" w:lineRule="auto"/>
        <w:jc w:val="both"/>
        <w:rPr>
          <w:rFonts w:ascii="Century Gothic" w:eastAsia="Times New Roman" w:hAnsi="Century Gothic" w:cs="Arial"/>
          <w:b/>
          <w:bCs/>
          <w:color w:val="000000" w:themeColor="text1"/>
          <w:lang w:val="es-ES_tradnl" w:eastAsia="es-ES_tradnl"/>
        </w:rPr>
      </w:pPr>
      <w:r w:rsidRPr="000B76C5">
        <w:rPr>
          <w:rFonts w:ascii="Century Gothic" w:eastAsia="Times New Roman" w:hAnsi="Century Gothic" w:cs="Arial"/>
          <w:b/>
          <w:bCs/>
          <w:color w:val="000000" w:themeColor="text1"/>
          <w:lang w:val="es-ES_tradnl" w:eastAsia="es-ES_tradnl"/>
        </w:rPr>
        <w:t xml:space="preserve">TIPOS DE CONTRATOS </w:t>
      </w:r>
      <w:r w:rsidRPr="000B76C5">
        <w:rPr>
          <w:rFonts w:ascii="Century Gothic" w:eastAsia="Calibri" w:hAnsi="Century Gothic" w:cs="Arial"/>
          <w:b/>
          <w:color w:val="000000" w:themeColor="text1"/>
          <w:lang w:val="es-ES_tradnl" w:eastAsia="es-ES_tradnl"/>
        </w:rPr>
        <w:t>–</w:t>
      </w:r>
      <w:r w:rsidRPr="000B76C5">
        <w:rPr>
          <w:rFonts w:ascii="Century Gothic" w:eastAsia="Times New Roman" w:hAnsi="Century Gothic" w:cs="Arial"/>
          <w:b/>
          <w:bCs/>
          <w:color w:val="000000" w:themeColor="text1"/>
          <w:lang w:val="es-ES_tradnl" w:eastAsia="es-ES_tradnl"/>
        </w:rPr>
        <w:t xml:space="preserve"> Artículo 355 </w:t>
      </w:r>
      <w:r w:rsidRPr="000B76C5">
        <w:rPr>
          <w:rFonts w:ascii="Century Gothic" w:eastAsia="Calibri" w:hAnsi="Century Gothic" w:cs="Arial"/>
          <w:b/>
          <w:color w:val="000000" w:themeColor="text1"/>
          <w:lang w:val="es-ES_tradnl" w:eastAsia="es-ES_tradnl"/>
        </w:rPr>
        <w:t>–</w:t>
      </w:r>
      <w:r w:rsidRPr="000B76C5">
        <w:rPr>
          <w:rFonts w:ascii="Century Gothic" w:eastAsia="Times New Roman" w:hAnsi="Century Gothic" w:cs="Arial"/>
          <w:b/>
          <w:bCs/>
          <w:color w:val="000000" w:themeColor="text1"/>
          <w:lang w:val="es-ES_tradnl" w:eastAsia="es-ES_tradnl"/>
        </w:rPr>
        <w:t xml:space="preserve"> Constitución </w:t>
      </w:r>
      <w:r w:rsidRPr="000B76C5">
        <w:rPr>
          <w:rFonts w:ascii="Century Gothic" w:eastAsia="Calibri" w:hAnsi="Century Gothic" w:cs="Arial"/>
          <w:b/>
          <w:color w:val="000000" w:themeColor="text1"/>
          <w:lang w:val="es-ES_tradnl" w:eastAsia="es-ES_tradnl"/>
        </w:rPr>
        <w:t>– ESAL</w:t>
      </w:r>
    </w:p>
    <w:p w14:paraId="746B8F4F" w14:textId="77777777" w:rsidR="000B76C5" w:rsidRPr="000B76C5" w:rsidRDefault="000B76C5" w:rsidP="000B76C5">
      <w:pPr>
        <w:spacing w:after="0" w:line="240" w:lineRule="auto"/>
        <w:jc w:val="both"/>
        <w:rPr>
          <w:rFonts w:ascii="Century Gothic" w:eastAsia="Times New Roman" w:hAnsi="Century Gothic" w:cs="Arial"/>
          <w:noProof/>
          <w:color w:val="000000" w:themeColor="text1"/>
          <w:sz w:val="20"/>
          <w:szCs w:val="20"/>
          <w:lang w:val="es-ES_tradnl" w:eastAsia="es-ES_tradnl"/>
        </w:rPr>
      </w:pPr>
    </w:p>
    <w:p w14:paraId="5D65CE65" w14:textId="77777777" w:rsidR="000B76C5" w:rsidRPr="000B76C5" w:rsidRDefault="000B76C5" w:rsidP="000B76C5">
      <w:pPr>
        <w:spacing w:after="0" w:line="240" w:lineRule="auto"/>
        <w:jc w:val="both"/>
        <w:rPr>
          <w:rFonts w:ascii="Century Gothic" w:eastAsia="Calibri" w:hAnsi="Century Gothic" w:cs="Arial"/>
          <w:color w:val="000000"/>
          <w:sz w:val="20"/>
          <w:szCs w:val="20"/>
          <w:lang w:val="es-MX" w:eastAsia="es-ES_tradnl"/>
        </w:rPr>
      </w:pPr>
      <w:r w:rsidRPr="000B76C5">
        <w:rPr>
          <w:rFonts w:ascii="Century Gothic" w:eastAsia="Calibri" w:hAnsi="Century Gothic" w:cs="Arial"/>
          <w:color w:val="000000" w:themeColor="text1"/>
          <w:sz w:val="20"/>
          <w:szCs w:val="20"/>
          <w:lang w:val="es-ES"/>
        </w:rPr>
        <w:t xml:space="preserve">El Decreto regula dos (2) eventos: i) </w:t>
      </w:r>
      <w:r w:rsidRPr="000B76C5">
        <w:rPr>
          <w:rFonts w:ascii="Century Gothic" w:eastAsia="Calibri" w:hAnsi="Century Gothic" w:cs="Arial"/>
          <w:sz w:val="20"/>
          <w:szCs w:val="20"/>
          <w:lang w:eastAsia="es-ES_tradnl"/>
        </w:rPr>
        <w:t xml:space="preserve">los </w:t>
      </w:r>
      <w:r w:rsidRPr="000B76C5">
        <w:rPr>
          <w:rFonts w:ascii="Century Gothic" w:eastAsia="Calibri" w:hAnsi="Century Gothic" w:cs="Arial"/>
          <w:i/>
          <w:iCs/>
          <w:sz w:val="20"/>
          <w:szCs w:val="20"/>
          <w:lang w:eastAsia="es-ES_tradnl"/>
        </w:rPr>
        <w:t>contratos de colaboración</w:t>
      </w:r>
      <w:r w:rsidRPr="000B76C5">
        <w:rPr>
          <w:rFonts w:ascii="Century Gothic" w:eastAsia="Calibri" w:hAnsi="Century Gothic" w:cs="Arial"/>
          <w:sz w:val="20"/>
          <w:szCs w:val="20"/>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0B76C5">
        <w:rPr>
          <w:rFonts w:ascii="Century Gothic" w:eastAsia="Calibri" w:hAnsi="Century Gothic" w:cs="Arial"/>
          <w:color w:val="000000" w:themeColor="text1"/>
          <w:sz w:val="20"/>
          <w:szCs w:val="20"/>
          <w:lang w:val="es-ES"/>
        </w:rPr>
        <w:t xml:space="preserve"> y; </w:t>
      </w:r>
      <w:proofErr w:type="spellStart"/>
      <w:r w:rsidRPr="000B76C5">
        <w:rPr>
          <w:rFonts w:ascii="Century Gothic" w:eastAsia="Calibri" w:hAnsi="Century Gothic" w:cs="Arial"/>
          <w:color w:val="000000" w:themeColor="text1"/>
          <w:sz w:val="20"/>
          <w:szCs w:val="20"/>
          <w:lang w:val="es-ES"/>
        </w:rPr>
        <w:t>ii</w:t>
      </w:r>
      <w:proofErr w:type="spellEnd"/>
      <w:r w:rsidRPr="000B76C5">
        <w:rPr>
          <w:rFonts w:ascii="Century Gothic" w:eastAsia="Calibri" w:hAnsi="Century Gothic" w:cs="Arial"/>
          <w:color w:val="000000" w:themeColor="text1"/>
          <w:sz w:val="20"/>
          <w:szCs w:val="20"/>
          <w:lang w:val="es-ES"/>
        </w:rPr>
        <w:t xml:space="preserve">) los </w:t>
      </w:r>
      <w:r w:rsidRPr="000B76C5">
        <w:rPr>
          <w:rFonts w:ascii="Century Gothic" w:eastAsia="Calibri" w:hAnsi="Century Gothic" w:cs="Arial"/>
          <w:i/>
          <w:iCs/>
          <w:color w:val="000000" w:themeColor="text1"/>
          <w:sz w:val="20"/>
          <w:szCs w:val="20"/>
          <w:lang w:val="es-ES"/>
        </w:rPr>
        <w:t>convenios de asociación</w:t>
      </w:r>
      <w:r w:rsidRPr="000B76C5">
        <w:rPr>
          <w:rFonts w:ascii="Century Gothic" w:eastAsia="Calibri" w:hAnsi="Century Gothic" w:cs="Arial"/>
          <w:color w:val="000000" w:themeColor="text1"/>
          <w:sz w:val="20"/>
          <w:szCs w:val="20"/>
          <w:lang w:val="es-ES"/>
        </w:rPr>
        <w:t xml:space="preserve">, para el desarrollo conjunto de actividades relacionadas con las funciones de las Entidades Estatales, en desarrollo del artículo 96 de la Ley 489 de 1998. </w:t>
      </w:r>
      <w:r w:rsidRPr="000B76C5">
        <w:rPr>
          <w:rFonts w:ascii="Century Gothic" w:eastAsia="Calibri" w:hAnsi="Century Gothic" w:cs="Arial"/>
          <w:color w:val="000000"/>
          <w:sz w:val="20"/>
          <w:szCs w:val="20"/>
          <w:lang w:val="es-MX" w:eastAsia="es-ES_tradnl"/>
        </w:rPr>
        <w:t xml:space="preserve">Los primeros están regulados en el artículo 2 del Decreto 092 de 2017, mientras que los segundos en los artículos 5, 6, 7 y 8 </w:t>
      </w:r>
      <w:r w:rsidRPr="000B76C5">
        <w:rPr>
          <w:rFonts w:ascii="Century Gothic" w:eastAsia="Calibri" w:hAnsi="Century Gothic" w:cs="Arial"/>
          <w:i/>
          <w:iCs/>
          <w:color w:val="000000"/>
          <w:sz w:val="20"/>
          <w:szCs w:val="20"/>
          <w:lang w:val="es-MX" w:eastAsia="es-ES_tradnl"/>
        </w:rPr>
        <w:t>ibidem</w:t>
      </w:r>
      <w:r w:rsidRPr="000B76C5">
        <w:rPr>
          <w:rFonts w:ascii="Century Gothic" w:eastAsia="Calibri" w:hAnsi="Century Gothic" w:cs="Arial"/>
          <w:color w:val="000000"/>
          <w:sz w:val="20"/>
          <w:szCs w:val="20"/>
          <w:lang w:val="es-MX" w:eastAsia="es-ES_tradnl"/>
        </w:rPr>
        <w:t xml:space="preserve">. Es posible diferenciar, pues, los </w:t>
      </w:r>
      <w:r w:rsidRPr="000B76C5">
        <w:rPr>
          <w:rFonts w:ascii="Century Gothic" w:eastAsia="Calibri" w:hAnsi="Century Gothic" w:cs="Arial"/>
          <w:i/>
          <w:iCs/>
          <w:color w:val="000000"/>
          <w:sz w:val="20"/>
          <w:szCs w:val="20"/>
          <w:lang w:val="es-MX" w:eastAsia="es-ES_tradnl"/>
        </w:rPr>
        <w:t>convenios de asociación</w:t>
      </w:r>
      <w:r w:rsidRPr="000B76C5">
        <w:rPr>
          <w:rFonts w:ascii="Century Gothic" w:eastAsia="Calibri" w:hAnsi="Century Gothic" w:cs="Arial"/>
          <w:color w:val="000000"/>
          <w:sz w:val="20"/>
          <w:szCs w:val="20"/>
          <w:lang w:val="es-MX" w:eastAsia="es-ES_tradnl"/>
        </w:rPr>
        <w:t xml:space="preserve">, regulados en el artículo 5, de los </w:t>
      </w:r>
      <w:r w:rsidRPr="000B76C5">
        <w:rPr>
          <w:rFonts w:ascii="Century Gothic" w:eastAsia="Calibri" w:hAnsi="Century Gothic" w:cs="Arial"/>
          <w:i/>
          <w:iCs/>
          <w:color w:val="000000"/>
          <w:sz w:val="20"/>
          <w:szCs w:val="20"/>
          <w:lang w:val="es-MX" w:eastAsia="es-ES_tradnl"/>
        </w:rPr>
        <w:t>contratos de colaboración</w:t>
      </w:r>
      <w:r w:rsidRPr="000B76C5">
        <w:rPr>
          <w:rFonts w:ascii="Century Gothic" w:eastAsia="Calibri" w:hAnsi="Century Gothic" w:cs="Arial"/>
          <w:color w:val="000000"/>
          <w:sz w:val="20"/>
          <w:szCs w:val="20"/>
          <w:lang w:val="es-MX" w:eastAsia="es-ES_tradnl"/>
        </w:rPr>
        <w:t>, establecidos en el artículo 2 del Decreto 092 de 2017</w:t>
      </w:r>
      <w:r w:rsidRPr="000B76C5">
        <w:rPr>
          <w:rFonts w:ascii="Century Gothic" w:eastAsia="Calibri" w:hAnsi="Century Gothic" w:cs="Arial"/>
          <w:color w:val="000000"/>
          <w:sz w:val="20"/>
          <w:szCs w:val="20"/>
          <w:vertAlign w:val="superscript"/>
          <w:lang w:val="es-MX" w:eastAsia="es-ES_tradnl"/>
        </w:rPr>
        <w:t>.</w:t>
      </w:r>
      <w:r w:rsidRPr="000B76C5">
        <w:rPr>
          <w:rFonts w:ascii="Century Gothic" w:eastAsia="Calibri" w:hAnsi="Century Gothic" w:cs="Arial"/>
          <w:color w:val="000000"/>
          <w:sz w:val="20"/>
          <w:szCs w:val="20"/>
          <w:lang w:val="es-MX" w:eastAsia="es-ES_tradnl"/>
        </w:rPr>
        <w:t xml:space="preserve"> </w:t>
      </w:r>
    </w:p>
    <w:p w14:paraId="25ABECE8"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p>
    <w:p w14:paraId="4FAC4F8E"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r w:rsidRPr="000B76C5">
        <w:rPr>
          <w:rFonts w:ascii="Century Gothic" w:eastAsia="Calibri" w:hAnsi="Century Gothic" w:cs="Arial"/>
          <w:color w:val="000000" w:themeColor="text1"/>
          <w:sz w:val="20"/>
          <w:szCs w:val="20"/>
          <w:lang w:val="es-ES"/>
        </w:rPr>
        <w:t xml:space="preserve">De un lado, los </w:t>
      </w:r>
      <w:r w:rsidRPr="000B76C5">
        <w:rPr>
          <w:rFonts w:ascii="Century Gothic" w:eastAsia="Calibri" w:hAnsi="Century Gothic" w:cs="Arial"/>
          <w:i/>
          <w:iCs/>
          <w:color w:val="000000" w:themeColor="text1"/>
          <w:sz w:val="20"/>
          <w:szCs w:val="20"/>
          <w:lang w:val="es-ES"/>
        </w:rPr>
        <w:t>contratos del artículo 355 de la Constitución Política</w:t>
      </w:r>
      <w:r w:rsidRPr="000B76C5">
        <w:rPr>
          <w:rFonts w:ascii="Century Gothic" w:eastAsia="Calibri" w:hAnsi="Century Gothic" w:cs="Arial"/>
          <w:color w:val="000000" w:themeColor="text1"/>
          <w:sz w:val="20"/>
          <w:szCs w:val="20"/>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2074DB2C"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p>
    <w:p w14:paraId="3E08DFA1"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r w:rsidRPr="000B76C5">
        <w:rPr>
          <w:rFonts w:ascii="Century Gothic" w:eastAsia="Calibri" w:hAnsi="Century Gothic" w:cs="Arial"/>
          <w:color w:val="000000" w:themeColor="text1"/>
          <w:sz w:val="20"/>
          <w:szCs w:val="20"/>
          <w:lang w:val="es-ES"/>
        </w:rPr>
        <w:t xml:space="preserve">De otro lado, los </w:t>
      </w:r>
      <w:r w:rsidRPr="000B76C5">
        <w:rPr>
          <w:rFonts w:ascii="Century Gothic" w:eastAsia="Calibri" w:hAnsi="Century Gothic" w:cs="Arial"/>
          <w:i/>
          <w:iCs/>
          <w:color w:val="000000" w:themeColor="text1"/>
          <w:sz w:val="20"/>
          <w:szCs w:val="20"/>
          <w:lang w:val="es-ES"/>
        </w:rPr>
        <w:t>convenios de asociación</w:t>
      </w:r>
      <w:r w:rsidRPr="000B76C5">
        <w:rPr>
          <w:rFonts w:ascii="Century Gothic" w:eastAsia="Calibri" w:hAnsi="Century Gothic" w:cs="Arial"/>
          <w:color w:val="000000" w:themeColor="text1"/>
          <w:sz w:val="20"/>
          <w:szCs w:val="20"/>
          <w:lang w:val="es-ES"/>
        </w:rPr>
        <w:t xml:space="preserve"> “[…] [t]</w:t>
      </w:r>
      <w:proofErr w:type="spellStart"/>
      <w:r w:rsidRPr="000B76C5">
        <w:rPr>
          <w:rFonts w:ascii="Century Gothic" w:eastAsia="Calibri" w:hAnsi="Century Gothic" w:cs="Arial"/>
          <w:color w:val="000000" w:themeColor="text1"/>
          <w:sz w:val="20"/>
          <w:szCs w:val="20"/>
          <w:lang w:val="es-ES"/>
        </w:rPr>
        <w:t>ienen</w:t>
      </w:r>
      <w:proofErr w:type="spellEnd"/>
      <w:r w:rsidRPr="000B76C5">
        <w:rPr>
          <w:rFonts w:ascii="Century Gothic" w:eastAsia="Calibri" w:hAnsi="Century Gothic" w:cs="Arial"/>
          <w:color w:val="000000" w:themeColor="text1"/>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B76C5">
        <w:rPr>
          <w:rFonts w:ascii="Century Gothic" w:hAnsi="Century Gothic" w:cs="Arial"/>
          <w:color w:val="000000" w:themeColor="text1"/>
          <w:sz w:val="20"/>
          <w:szCs w:val="20"/>
          <w:vertAlign w:val="superscript"/>
          <w:lang w:val="es-ES"/>
        </w:rPr>
        <w:t>.</w:t>
      </w:r>
    </w:p>
    <w:p w14:paraId="7578099D" w14:textId="77777777" w:rsidR="000B76C5" w:rsidRPr="000B76C5" w:rsidRDefault="000B76C5" w:rsidP="000B76C5">
      <w:pPr>
        <w:spacing w:after="0" w:line="240" w:lineRule="auto"/>
        <w:jc w:val="both"/>
        <w:rPr>
          <w:rFonts w:ascii="Century Gothic" w:eastAsia="Times New Roman" w:hAnsi="Century Gothic" w:cs="Arial"/>
          <w:b/>
          <w:bCs/>
          <w:color w:val="000000" w:themeColor="text1"/>
          <w:sz w:val="20"/>
          <w:szCs w:val="20"/>
          <w:lang w:val="es-ES_tradnl" w:eastAsia="es-ES_tradnl"/>
        </w:rPr>
      </w:pPr>
    </w:p>
    <w:p w14:paraId="1915BBFB" w14:textId="77777777" w:rsidR="000B76C5" w:rsidRPr="000B76C5" w:rsidRDefault="000B76C5" w:rsidP="000B76C5">
      <w:pPr>
        <w:spacing w:after="0" w:line="240" w:lineRule="auto"/>
        <w:jc w:val="both"/>
        <w:rPr>
          <w:rFonts w:ascii="Century Gothic" w:eastAsia="Calibri" w:hAnsi="Century Gothic" w:cs="Arial"/>
          <w:b/>
          <w:bCs/>
          <w:color w:val="000000" w:themeColor="text1"/>
          <w:lang w:eastAsia="es-ES_tradnl"/>
        </w:rPr>
      </w:pPr>
      <w:r w:rsidRPr="000B76C5">
        <w:rPr>
          <w:rFonts w:ascii="Century Gothic" w:eastAsia="Times New Roman" w:hAnsi="Century Gothic" w:cs="Arial"/>
          <w:b/>
          <w:bCs/>
          <w:color w:val="000000" w:themeColor="text1"/>
          <w:lang w:val="es-ES_tradnl" w:eastAsia="es-ES_tradnl"/>
        </w:rPr>
        <w:t xml:space="preserve">CONVENIOS DE ASOCIACIÓN </w:t>
      </w:r>
      <w:r w:rsidRPr="000B76C5">
        <w:rPr>
          <w:rFonts w:ascii="Century Gothic" w:eastAsia="Calibri" w:hAnsi="Century Gothic" w:cs="Arial"/>
          <w:b/>
          <w:color w:val="000000" w:themeColor="text1"/>
          <w:lang w:val="es-ES_tradnl" w:eastAsia="es-ES_tradnl"/>
        </w:rPr>
        <w:t>–</w:t>
      </w:r>
      <w:r w:rsidRPr="000B76C5">
        <w:rPr>
          <w:rFonts w:ascii="Century Gothic" w:eastAsia="Times New Roman" w:hAnsi="Century Gothic" w:cs="Arial"/>
          <w:b/>
          <w:bCs/>
          <w:color w:val="000000" w:themeColor="text1"/>
          <w:lang w:val="es-ES_tradnl" w:eastAsia="es-ES_tradnl"/>
        </w:rPr>
        <w:t xml:space="preserve"> </w:t>
      </w:r>
      <w:r w:rsidRPr="000B76C5">
        <w:rPr>
          <w:rFonts w:ascii="Century Gothic" w:eastAsia="Calibri" w:hAnsi="Century Gothic" w:cs="Arial"/>
          <w:b/>
          <w:color w:val="000000" w:themeColor="text1"/>
          <w:lang w:val="es-ES_tradnl" w:eastAsia="es-ES_tradnl"/>
        </w:rPr>
        <w:t xml:space="preserve">Ley 489 – Artículo 96 – </w:t>
      </w:r>
      <w:r w:rsidRPr="000B76C5">
        <w:rPr>
          <w:rFonts w:ascii="Century Gothic" w:eastAsia="Calibri" w:hAnsi="Century Gothic" w:cs="Arial"/>
          <w:b/>
          <w:bCs/>
          <w:color w:val="000000" w:themeColor="text1"/>
          <w:lang w:eastAsia="es-ES_tradnl"/>
        </w:rPr>
        <w:t xml:space="preserve">Entidad Estatal </w:t>
      </w:r>
    </w:p>
    <w:p w14:paraId="71D94E0B" w14:textId="77777777" w:rsidR="000B76C5" w:rsidRPr="000B76C5" w:rsidRDefault="000B76C5" w:rsidP="000B76C5">
      <w:pPr>
        <w:spacing w:after="0" w:line="240" w:lineRule="auto"/>
        <w:jc w:val="both"/>
        <w:rPr>
          <w:rFonts w:ascii="Century Gothic" w:eastAsia="Calibri" w:hAnsi="Century Gothic" w:cs="Arial"/>
          <w:sz w:val="20"/>
          <w:szCs w:val="20"/>
          <w:lang w:val="es-MX"/>
        </w:rPr>
      </w:pPr>
    </w:p>
    <w:p w14:paraId="3893EF3D" w14:textId="77777777" w:rsidR="000B76C5" w:rsidRPr="000B76C5" w:rsidRDefault="000B76C5" w:rsidP="000B76C5">
      <w:pPr>
        <w:spacing w:after="0" w:line="240" w:lineRule="auto"/>
        <w:jc w:val="both"/>
        <w:rPr>
          <w:rFonts w:ascii="Century Gothic" w:eastAsia="Calibri" w:hAnsi="Century Gothic" w:cs="Arial"/>
          <w:b/>
          <w:bCs/>
          <w:color w:val="000000" w:themeColor="text1"/>
          <w:sz w:val="20"/>
          <w:szCs w:val="20"/>
          <w:lang w:val="es-MX" w:eastAsia="es-ES_tradnl"/>
        </w:rPr>
      </w:pPr>
      <w:r w:rsidRPr="000B76C5">
        <w:rPr>
          <w:rFonts w:ascii="Century Gothic" w:eastAsia="Calibri" w:hAnsi="Century Gothic" w:cs="Arial"/>
          <w:sz w:val="20"/>
          <w:szCs w:val="20"/>
          <w:lang w:val="es-MX"/>
        </w:rPr>
        <w:t xml:space="preserve">[…] de conformidad con el artículo 96 de la Ley 489 de 1996, los </w:t>
      </w:r>
      <w:r w:rsidRPr="000B76C5">
        <w:rPr>
          <w:rFonts w:ascii="Century Gothic" w:eastAsia="Calibri" w:hAnsi="Century Gothic" w:cs="Arial"/>
          <w:i/>
          <w:sz w:val="20"/>
          <w:szCs w:val="20"/>
          <w:lang w:val="es-MX"/>
        </w:rPr>
        <w:t>convenios de asociación</w:t>
      </w:r>
      <w:r w:rsidRPr="000B76C5">
        <w:rPr>
          <w:rFonts w:ascii="Century Gothic" w:eastAsia="Calibri" w:hAnsi="Century Gothic" w:cs="Arial"/>
          <w:sz w:val="20"/>
          <w:szCs w:val="20"/>
          <w:lang w:val="es-MX"/>
        </w:rPr>
        <w:t xml:space="preserve"> pueden ser celebrados por cualquier Entidad Estatal “cualquiera sea su naturaleza y orden </w:t>
      </w:r>
      <w:r w:rsidRPr="000B76C5">
        <w:rPr>
          <w:rFonts w:ascii="Century Gothic" w:eastAsia="Calibri" w:hAnsi="Century Gothic" w:cs="Arial"/>
          <w:sz w:val="20"/>
          <w:szCs w:val="20"/>
          <w:lang w:val="es-MX"/>
        </w:rPr>
        <w:lastRenderedPageBreak/>
        <w:t xml:space="preserve">administrativo”. </w:t>
      </w:r>
      <w:r w:rsidRPr="000B76C5">
        <w:rPr>
          <w:rFonts w:ascii="Century Gothic" w:eastAsia="Calibri" w:hAnsi="Century Gothic" w:cs="Arial"/>
          <w:color w:val="000000" w:themeColor="text1"/>
          <w:sz w:val="20"/>
          <w:szCs w:val="20"/>
          <w:lang w:val="es-ES"/>
        </w:rPr>
        <w:t>En este sentido, serán competentes para celebrar este tipo de convenios todas las entidades enlistadas en el artículo 2° del EGCAP.</w:t>
      </w:r>
      <w:r w:rsidRPr="000B76C5">
        <w:rPr>
          <w:rFonts w:ascii="Century Gothic" w:eastAsia="Calibri" w:hAnsi="Century Gothic" w:cs="Arial"/>
          <w:b/>
          <w:bCs/>
          <w:color w:val="000000" w:themeColor="text1"/>
          <w:sz w:val="20"/>
          <w:szCs w:val="20"/>
          <w:lang w:val="es-MX" w:eastAsia="es-ES_tradnl"/>
        </w:rPr>
        <w:t xml:space="preserve"> </w:t>
      </w:r>
    </w:p>
    <w:p w14:paraId="1E4DB8BA" w14:textId="77777777" w:rsidR="000B76C5" w:rsidRPr="000B76C5" w:rsidRDefault="000B76C5" w:rsidP="000B76C5">
      <w:pPr>
        <w:spacing w:after="0" w:line="240" w:lineRule="auto"/>
        <w:jc w:val="both"/>
        <w:rPr>
          <w:rFonts w:ascii="Century Gothic" w:eastAsia="Times New Roman" w:hAnsi="Century Gothic" w:cs="Arial"/>
          <w:b/>
          <w:bCs/>
          <w:color w:val="000000" w:themeColor="text1"/>
          <w:sz w:val="20"/>
          <w:szCs w:val="20"/>
          <w:lang w:val="es-MX" w:eastAsia="es-ES_tradnl"/>
        </w:rPr>
      </w:pPr>
    </w:p>
    <w:p w14:paraId="26B46893" w14:textId="77777777" w:rsidR="000B76C5" w:rsidRPr="000B76C5" w:rsidRDefault="000B76C5" w:rsidP="000B76C5">
      <w:pPr>
        <w:spacing w:after="0" w:line="240" w:lineRule="auto"/>
        <w:jc w:val="both"/>
        <w:rPr>
          <w:rFonts w:ascii="Century Gothic" w:eastAsia="Calibri" w:hAnsi="Century Gothic" w:cs="Arial"/>
          <w:b/>
          <w:bCs/>
          <w:color w:val="000000" w:themeColor="text1"/>
          <w:lang w:val="es-MX" w:eastAsia="es-ES_tradnl"/>
        </w:rPr>
      </w:pPr>
      <w:r w:rsidRPr="000B76C5">
        <w:rPr>
          <w:rFonts w:ascii="Century Gothic" w:eastAsia="Times New Roman" w:hAnsi="Century Gothic" w:cs="Arial"/>
          <w:b/>
          <w:bCs/>
          <w:color w:val="000000" w:themeColor="text1"/>
          <w:lang w:val="es-ES_tradnl" w:eastAsia="es-ES_tradnl"/>
        </w:rPr>
        <w:t xml:space="preserve">CONVENIOS DE ASOCIACIÓN </w:t>
      </w:r>
      <w:r w:rsidRPr="000B76C5">
        <w:rPr>
          <w:rFonts w:ascii="Century Gothic" w:eastAsia="Calibri" w:hAnsi="Century Gothic" w:cs="Arial"/>
          <w:b/>
          <w:color w:val="000000" w:themeColor="text1"/>
          <w:lang w:val="es-ES_tradnl" w:eastAsia="es-ES_tradnl"/>
        </w:rPr>
        <w:t>–</w:t>
      </w:r>
      <w:r w:rsidRPr="000B76C5">
        <w:rPr>
          <w:rFonts w:ascii="Century Gothic" w:eastAsia="Times New Roman" w:hAnsi="Century Gothic" w:cs="Arial"/>
          <w:b/>
          <w:bCs/>
          <w:color w:val="000000" w:themeColor="text1"/>
          <w:lang w:val="es-ES_tradnl" w:eastAsia="es-ES_tradnl"/>
        </w:rPr>
        <w:t xml:space="preserve"> </w:t>
      </w:r>
      <w:r w:rsidRPr="000B76C5">
        <w:rPr>
          <w:rFonts w:ascii="Century Gothic" w:eastAsia="Calibri" w:hAnsi="Century Gothic" w:cs="Arial"/>
          <w:b/>
          <w:color w:val="000000" w:themeColor="text1"/>
          <w:lang w:val="es-ES_tradnl" w:eastAsia="es-ES_tradnl"/>
        </w:rPr>
        <w:t xml:space="preserve">Ley 489 – Artículo 96 – </w:t>
      </w:r>
      <w:r w:rsidRPr="000B76C5">
        <w:rPr>
          <w:rFonts w:ascii="Century Gothic" w:eastAsia="Calibri" w:hAnsi="Century Gothic" w:cs="Arial"/>
          <w:b/>
          <w:bCs/>
          <w:color w:val="000000" w:themeColor="text1"/>
          <w:lang w:eastAsia="es-ES_tradnl"/>
        </w:rPr>
        <w:t xml:space="preserve">Concejos Municipales </w:t>
      </w:r>
      <w:r w:rsidRPr="000B76C5">
        <w:rPr>
          <w:rFonts w:ascii="Century Gothic" w:eastAsia="Calibri" w:hAnsi="Century Gothic" w:cs="Arial"/>
          <w:b/>
          <w:bCs/>
          <w:color w:val="000000" w:themeColor="text1"/>
          <w:lang w:val="es-MX" w:eastAsia="es-ES_tradnl"/>
        </w:rPr>
        <w:t xml:space="preserve">– Capacidad contractual </w:t>
      </w:r>
    </w:p>
    <w:p w14:paraId="721CA14C" w14:textId="77777777" w:rsidR="000B76C5" w:rsidRPr="000B76C5" w:rsidRDefault="000B76C5" w:rsidP="000B76C5">
      <w:pPr>
        <w:spacing w:after="0" w:line="240" w:lineRule="auto"/>
        <w:jc w:val="both"/>
        <w:rPr>
          <w:rFonts w:ascii="Century Gothic" w:eastAsia="Calibri" w:hAnsi="Century Gothic" w:cs="Arial"/>
          <w:b/>
          <w:bCs/>
          <w:color w:val="000000" w:themeColor="text1"/>
          <w:sz w:val="20"/>
          <w:szCs w:val="20"/>
          <w:lang w:eastAsia="es-ES_tradnl"/>
        </w:rPr>
      </w:pPr>
    </w:p>
    <w:p w14:paraId="4F64CEE7" w14:textId="77777777" w:rsidR="000B76C5" w:rsidRPr="000B76C5" w:rsidRDefault="000B76C5" w:rsidP="000B76C5">
      <w:pPr>
        <w:spacing w:after="0" w:line="240" w:lineRule="auto"/>
        <w:jc w:val="both"/>
        <w:rPr>
          <w:rFonts w:ascii="Century Gothic" w:eastAsia="Calibri" w:hAnsi="Century Gothic" w:cs="Arial"/>
          <w:sz w:val="20"/>
          <w:szCs w:val="20"/>
          <w:lang w:val="es-ES" w:eastAsia="es-ES_tradnl"/>
        </w:rPr>
      </w:pPr>
      <w:r w:rsidRPr="000B76C5">
        <w:rPr>
          <w:rFonts w:ascii="Century Gothic" w:eastAsia="Calibri" w:hAnsi="Century Gothic" w:cs="Arial"/>
          <w:sz w:val="20"/>
          <w:szCs w:val="20"/>
          <w:lang w:val="es-ES" w:eastAsia="es-ES_tradnl"/>
        </w:rPr>
        <w:t xml:space="preserve">Del artículo 110 del Estatuto Orgánico del Presupuesto – en adelante EOP – se desprende que los concejos tienen facultad para suscribir contratos de manera independiente y, más relevante para efectos de resolver la consulta, son Entidades Estatales para el EGCAP, pues son organismos a los que la ley otorga capacidad para celebrar contratos conforme al artículo 2 de la Ley 80 de 1993. Por tanto, de su calidad de Entidades Estatales para los efectos del EGCAP, los concejos tienen los mismos derechos y obligaciones que el referido estatuto y sus normas reglamentarias establecen para las Entidades Estatales en general. En consecuencia, es posible concluir que tienen la capacidad de suscribir convenios de asociación. </w:t>
      </w:r>
    </w:p>
    <w:p w14:paraId="69625C24" w14:textId="77777777" w:rsidR="000B76C5" w:rsidRPr="000B76C5" w:rsidRDefault="000B76C5" w:rsidP="000B76C5">
      <w:pPr>
        <w:spacing w:after="0" w:line="240" w:lineRule="auto"/>
        <w:jc w:val="both"/>
        <w:rPr>
          <w:rFonts w:ascii="Century Gothic" w:eastAsia="Times New Roman" w:hAnsi="Century Gothic" w:cs="Arial"/>
          <w:b/>
          <w:bCs/>
          <w:color w:val="000000" w:themeColor="text1"/>
          <w:sz w:val="20"/>
          <w:szCs w:val="20"/>
          <w:lang w:val="es-ES" w:eastAsia="es-ES_tradnl"/>
        </w:rPr>
      </w:pPr>
    </w:p>
    <w:p w14:paraId="7D75C450" w14:textId="77777777" w:rsidR="000B76C5" w:rsidRPr="000B76C5" w:rsidRDefault="000B76C5" w:rsidP="000B76C5">
      <w:pPr>
        <w:spacing w:after="0" w:line="240" w:lineRule="auto"/>
        <w:jc w:val="both"/>
        <w:rPr>
          <w:rFonts w:ascii="Century Gothic" w:eastAsia="Calibri" w:hAnsi="Century Gothic" w:cs="Arial"/>
          <w:b/>
          <w:lang w:eastAsia="es-ES_tradnl"/>
        </w:rPr>
      </w:pPr>
      <w:r w:rsidRPr="000B76C5">
        <w:rPr>
          <w:rFonts w:ascii="Century Gothic" w:eastAsia="Calibri" w:hAnsi="Century Gothic" w:cs="Arial"/>
          <w:b/>
          <w:lang w:eastAsia="es-ES_tradnl"/>
        </w:rPr>
        <w:t>CONVENIOS DE ASOCIACIÓN – Aporte económico de la ESAL – Mecanismo de recaudo</w:t>
      </w:r>
    </w:p>
    <w:p w14:paraId="29F93F34" w14:textId="77777777" w:rsidR="000B76C5" w:rsidRPr="000B76C5" w:rsidRDefault="000B76C5" w:rsidP="000B76C5">
      <w:pPr>
        <w:spacing w:after="0" w:line="240" w:lineRule="auto"/>
        <w:jc w:val="both"/>
        <w:rPr>
          <w:rFonts w:ascii="Century Gothic" w:eastAsia="Calibri" w:hAnsi="Century Gothic" w:cs="Arial"/>
          <w:b/>
          <w:sz w:val="20"/>
          <w:szCs w:val="20"/>
          <w:lang w:eastAsia="es-ES_tradnl"/>
        </w:rPr>
      </w:pPr>
    </w:p>
    <w:p w14:paraId="59FA7765" w14:textId="77777777" w:rsidR="000B76C5" w:rsidRPr="000B76C5" w:rsidRDefault="000B76C5" w:rsidP="000B76C5">
      <w:pPr>
        <w:spacing w:after="0" w:line="240" w:lineRule="auto"/>
        <w:jc w:val="both"/>
        <w:textAlignment w:val="baseline"/>
        <w:rPr>
          <w:rFonts w:ascii="Century Gothic" w:eastAsia="Calibri" w:hAnsi="Century Gothic" w:cs="Arial"/>
          <w:sz w:val="20"/>
          <w:szCs w:val="20"/>
          <w:lang w:val="es-ES_tradnl" w:eastAsia="es-ES_tradnl"/>
        </w:rPr>
      </w:pPr>
      <w:r w:rsidRPr="000B76C5">
        <w:rPr>
          <w:rFonts w:ascii="Century Gothic" w:eastAsia="Calibri" w:hAnsi="Century Gothic" w:cs="Arial"/>
          <w:sz w:val="20"/>
          <w:szCs w:val="20"/>
          <w:lang w:val="es-ES_tradnl" w:eastAsia="es-ES_tradnl"/>
        </w:rPr>
        <w:t>[…] 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con lo prescrito en el artículo 96 de la Ley 489 de 1998.</w:t>
      </w:r>
    </w:p>
    <w:p w14:paraId="78C33ECC" w14:textId="77777777" w:rsidR="000B76C5" w:rsidRPr="000B76C5" w:rsidRDefault="000B76C5" w:rsidP="000B76C5">
      <w:pPr>
        <w:spacing w:after="0" w:line="240" w:lineRule="auto"/>
        <w:jc w:val="both"/>
        <w:rPr>
          <w:rFonts w:ascii="Century Gothic" w:eastAsia="Times New Roman" w:hAnsi="Century Gothic" w:cs="Arial"/>
          <w:b/>
          <w:bCs/>
          <w:color w:val="000000" w:themeColor="text1"/>
          <w:sz w:val="20"/>
          <w:szCs w:val="20"/>
          <w:lang w:val="es-ES_tradnl" w:eastAsia="es-ES_tradnl"/>
        </w:rPr>
      </w:pPr>
    </w:p>
    <w:p w14:paraId="754D0188" w14:textId="77777777" w:rsidR="000B76C5" w:rsidRPr="000B76C5" w:rsidRDefault="000B76C5" w:rsidP="000B76C5">
      <w:pPr>
        <w:spacing w:after="0" w:line="240" w:lineRule="auto"/>
        <w:jc w:val="both"/>
        <w:rPr>
          <w:rFonts w:ascii="Century Gothic" w:eastAsia="Times New Roman" w:hAnsi="Century Gothic" w:cs="Arial"/>
          <w:b/>
          <w:bCs/>
          <w:color w:val="000000" w:themeColor="text1"/>
          <w:lang w:val="es-ES_tradnl" w:eastAsia="es-ES_tradnl"/>
        </w:rPr>
      </w:pPr>
      <w:r w:rsidRPr="000B76C5">
        <w:rPr>
          <w:rFonts w:ascii="Century Gothic" w:eastAsia="Times New Roman" w:hAnsi="Century Gothic" w:cs="Arial"/>
          <w:b/>
          <w:bCs/>
          <w:color w:val="000000" w:themeColor="text1"/>
          <w:lang w:val="es-ES_tradnl" w:eastAsia="es-ES_tradnl"/>
        </w:rPr>
        <w:t xml:space="preserve">CONVENIOS </w:t>
      </w:r>
      <w:r w:rsidRPr="000B76C5">
        <w:rPr>
          <w:rFonts w:ascii="Century Gothic" w:eastAsia="Calibri" w:hAnsi="Century Gothic" w:cs="Arial"/>
          <w:b/>
          <w:lang w:eastAsia="es-ES_tradnl"/>
        </w:rPr>
        <w:t xml:space="preserve">DE ASOCIACIÓN </w:t>
      </w:r>
      <w:r w:rsidRPr="000B76C5">
        <w:rPr>
          <w:rFonts w:ascii="Century Gothic" w:eastAsia="Calibri" w:hAnsi="Century Gothic" w:cs="Arial"/>
          <w:b/>
          <w:color w:val="000000" w:themeColor="text1"/>
          <w:lang w:val="es-ES_tradnl" w:eastAsia="es-ES_tradnl"/>
        </w:rPr>
        <w:t>– ESAL – Régimen – Remisión – Artículo 8 – Decreto 092 de 2027</w:t>
      </w:r>
    </w:p>
    <w:p w14:paraId="2640AE20" w14:textId="77777777" w:rsidR="000B76C5" w:rsidRPr="000B76C5" w:rsidRDefault="000B76C5" w:rsidP="000B76C5">
      <w:pPr>
        <w:spacing w:after="0" w:line="240" w:lineRule="auto"/>
        <w:jc w:val="both"/>
        <w:rPr>
          <w:rFonts w:ascii="Century Gothic" w:eastAsia="Times New Roman" w:hAnsi="Century Gothic" w:cs="Arial"/>
          <w:noProof/>
          <w:color w:val="000000" w:themeColor="text1"/>
          <w:sz w:val="20"/>
          <w:szCs w:val="20"/>
          <w:lang w:val="es-ES_tradnl" w:eastAsia="es-ES_tradnl"/>
        </w:rPr>
      </w:pPr>
    </w:p>
    <w:p w14:paraId="1A64D4DF"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r w:rsidRPr="000B76C5">
        <w:rPr>
          <w:rFonts w:ascii="Century Gothic" w:eastAsia="Calibri" w:hAnsi="Century Gothic" w:cs="Arial"/>
          <w:color w:val="000000" w:themeColor="text1"/>
          <w:sz w:val="20"/>
          <w:szCs w:val="20"/>
          <w:lang w:val="es-ES"/>
        </w:rPr>
        <w:t xml:space="preserve">Como se indicó, los convenios que permite celebrar el artículo 355 de la Constitución Política </w:t>
      </w:r>
      <w:r w:rsidRPr="000B76C5">
        <w:rPr>
          <w:rFonts w:ascii="Century Gothic" w:eastAsia="Calibri" w:hAnsi="Century Gothic" w:cs="Arial"/>
          <w:i/>
          <w:iCs/>
          <w:color w:val="000000" w:themeColor="text1"/>
          <w:sz w:val="20"/>
          <w:szCs w:val="20"/>
          <w:lang w:val="es-ES"/>
        </w:rPr>
        <w:t>en principio</w:t>
      </w:r>
      <w:r w:rsidRPr="000B76C5">
        <w:rPr>
          <w:rFonts w:ascii="Century Gothic" w:eastAsia="Calibri" w:hAnsi="Century Gothic" w:cs="Arial"/>
          <w:color w:val="000000" w:themeColor="text1"/>
          <w:sz w:val="20"/>
          <w:szCs w:val="20"/>
          <w:lang w:val="es-ES"/>
        </w:rPr>
        <w:t xml:space="preserve">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al aspecto por el cual se formula la consulta – esto es el límite a la adición de los convenios – habría que preguntarse si cuenta con una regulación especial en el Decreto 092 de 2017. Si la respuesta fuera afirmativa, tendría que aplicarse tal regulación. Pero, de ser negativa, habría que aplicar también el EGCAP, así como sus normas complementarias y reglamentarias, pues, precisamente, dichos preceptos son las “normas generales aplicables a la contratación pública” a las que alude el artículo 8 del Decreto 092 de 2017. En otras palabras, el EGCAP y sus normas complementarias y reglamentarias llenan los vacíos que se presentan en el Decreto 092 de 2017 frente a la regulación de los asuntos asociados a la celebración, ejecución y liquidación de los convenios que encuentran fundamento en el artículo 355 de la </w:t>
      </w:r>
      <w:r w:rsidRPr="000B76C5">
        <w:rPr>
          <w:rFonts w:ascii="Century Gothic" w:eastAsia="Calibri" w:hAnsi="Century Gothic" w:cs="Arial"/>
          <w:color w:val="000000" w:themeColor="text1"/>
          <w:sz w:val="20"/>
          <w:szCs w:val="20"/>
          <w:lang w:val="es-ES"/>
        </w:rPr>
        <w:lastRenderedPageBreak/>
        <w:t>Constitución, incluidos en esta categoría los convenios de asociación previstos en el artículo 96 de la Ley 489 de 1998.</w:t>
      </w:r>
    </w:p>
    <w:p w14:paraId="29474149" w14:textId="77777777" w:rsidR="000B76C5" w:rsidRPr="000B76C5" w:rsidRDefault="000B76C5" w:rsidP="000B76C5">
      <w:pPr>
        <w:spacing w:after="0" w:line="240" w:lineRule="auto"/>
        <w:jc w:val="both"/>
        <w:rPr>
          <w:rFonts w:ascii="Century Gothic" w:eastAsia="Times New Roman" w:hAnsi="Century Gothic" w:cs="Arial"/>
          <w:b/>
          <w:bCs/>
          <w:color w:val="000000" w:themeColor="text1"/>
          <w:sz w:val="20"/>
          <w:szCs w:val="20"/>
          <w:lang w:val="es-ES_tradnl" w:eastAsia="es-ES_tradnl"/>
        </w:rPr>
      </w:pPr>
    </w:p>
    <w:p w14:paraId="2DA051EE" w14:textId="77777777" w:rsidR="000B76C5" w:rsidRPr="000B76C5" w:rsidRDefault="000B76C5" w:rsidP="000B76C5">
      <w:pPr>
        <w:spacing w:after="0" w:line="240" w:lineRule="auto"/>
        <w:jc w:val="both"/>
        <w:rPr>
          <w:rFonts w:ascii="Century Gothic" w:eastAsia="Times New Roman" w:hAnsi="Century Gothic" w:cs="Arial"/>
          <w:b/>
          <w:bCs/>
          <w:color w:val="000000" w:themeColor="text1"/>
          <w:lang w:val="es-ES_tradnl" w:eastAsia="es-ES_tradnl"/>
        </w:rPr>
      </w:pPr>
      <w:r w:rsidRPr="000B76C5">
        <w:rPr>
          <w:rFonts w:ascii="Century Gothic" w:eastAsia="Times New Roman" w:hAnsi="Century Gothic" w:cs="Arial"/>
          <w:b/>
          <w:bCs/>
          <w:color w:val="000000" w:themeColor="text1"/>
          <w:lang w:val="es-ES_tradnl" w:eastAsia="es-ES_tradnl"/>
        </w:rPr>
        <w:t xml:space="preserve">CONVENIOS </w:t>
      </w:r>
      <w:r w:rsidRPr="000B76C5">
        <w:rPr>
          <w:rFonts w:ascii="Century Gothic" w:eastAsia="Calibri" w:hAnsi="Century Gothic" w:cs="Arial"/>
          <w:b/>
          <w:lang w:eastAsia="es-ES_tradnl"/>
        </w:rPr>
        <w:t xml:space="preserve">DE ASOCIACIÓN </w:t>
      </w:r>
      <w:r w:rsidRPr="000B76C5">
        <w:rPr>
          <w:rFonts w:ascii="Century Gothic" w:eastAsia="Calibri" w:hAnsi="Century Gothic" w:cs="Arial"/>
          <w:b/>
          <w:color w:val="000000" w:themeColor="text1"/>
          <w:lang w:val="es-ES_tradnl" w:eastAsia="es-ES_tradnl"/>
        </w:rPr>
        <w:t>– ESAL – Régimen – Remisión – Artículo 8 – Decreto 092 de 2027 – Adición</w:t>
      </w:r>
    </w:p>
    <w:p w14:paraId="7A73EB14" w14:textId="77777777" w:rsidR="000B76C5" w:rsidRPr="000B76C5" w:rsidRDefault="000B76C5" w:rsidP="000B76C5">
      <w:pPr>
        <w:spacing w:after="0" w:line="240" w:lineRule="auto"/>
        <w:jc w:val="both"/>
        <w:rPr>
          <w:rFonts w:ascii="Century Gothic" w:eastAsia="Times New Roman" w:hAnsi="Century Gothic" w:cs="Arial"/>
          <w:noProof/>
          <w:color w:val="000000" w:themeColor="text1"/>
          <w:sz w:val="20"/>
          <w:szCs w:val="20"/>
          <w:lang w:val="es-ES_tradnl" w:eastAsia="es-ES_tradnl"/>
        </w:rPr>
      </w:pPr>
    </w:p>
    <w:p w14:paraId="4C0E5361"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r w:rsidRPr="000B76C5">
        <w:rPr>
          <w:rFonts w:ascii="Century Gothic" w:eastAsia="Calibri" w:hAnsi="Century Gothic" w:cs="Arial"/>
          <w:color w:val="000000" w:themeColor="text1"/>
          <w:sz w:val="20"/>
          <w:szCs w:val="20"/>
          <w:lang w:val="es-ES"/>
        </w:rPr>
        <w:t xml:space="preserve">Pues bien, el peticionario indaga si en los convenios consagrados en el artículo 355 de la Constitución y en el artículo 96 </w:t>
      </w:r>
      <w:r w:rsidRPr="000B76C5">
        <w:rPr>
          <w:rFonts w:ascii="Century Gothic" w:eastAsia="Calibri" w:hAnsi="Century Gothic" w:cs="Arial"/>
          <w:i/>
          <w:iCs/>
          <w:color w:val="000000" w:themeColor="text1"/>
          <w:sz w:val="20"/>
          <w:szCs w:val="20"/>
          <w:lang w:val="es-ES"/>
        </w:rPr>
        <w:t>ibidem</w:t>
      </w:r>
      <w:r w:rsidRPr="000B76C5">
        <w:rPr>
          <w:rFonts w:ascii="Century Gothic" w:eastAsia="Calibri" w:hAnsi="Century Gothic" w:cs="Arial"/>
          <w:color w:val="000000" w:themeColor="text1"/>
          <w:sz w:val="20"/>
          <w:szCs w:val="20"/>
          <w:lang w:val="es-ES"/>
        </w:rPr>
        <w:t xml:space="preserve"> rige la Ley 80 de 1993 pueden adicionarse en más del cincuenta por ciento (50%) de su valor. Siguiendo la metodología explicada, hay que señalar que esta materia – la adición – </w:t>
      </w:r>
      <w:r w:rsidRPr="000B76C5">
        <w:rPr>
          <w:rFonts w:ascii="Century Gothic" w:eastAsia="Calibri" w:hAnsi="Century Gothic" w:cs="Arial"/>
          <w:i/>
          <w:iCs/>
          <w:color w:val="000000" w:themeColor="text1"/>
          <w:sz w:val="20"/>
          <w:szCs w:val="20"/>
          <w:lang w:val="es-ES"/>
        </w:rPr>
        <w:t>no está regulada expresamente en el Decreto 092 de 2017</w:t>
      </w:r>
      <w:r w:rsidRPr="000B76C5">
        <w:rPr>
          <w:rFonts w:ascii="Century Gothic" w:eastAsia="Calibri" w:hAnsi="Century Gothic" w:cs="Arial"/>
          <w:color w:val="000000" w:themeColor="text1"/>
          <w:sz w:val="20"/>
          <w:szCs w:val="20"/>
          <w:lang w:val="es-ES"/>
        </w:rPr>
        <w:t xml:space="preserve">. Este reglamento, además, como se indicó, es el que desarrolla el artículo 96 de la Ley 489 de 1998, la cual tampoco establece normas sobre dicho tema. En consecuencia, el vacío que se presenta frente a este asunto debe llenarse con la remisión que efectúa el artículo 8 del Decreto 092 de 2017. </w:t>
      </w:r>
    </w:p>
    <w:p w14:paraId="5CA1867B"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rPr>
      </w:pPr>
    </w:p>
    <w:p w14:paraId="3BB0F925" w14:textId="77777777" w:rsidR="000B76C5" w:rsidRPr="000B76C5" w:rsidRDefault="000B76C5" w:rsidP="000B76C5">
      <w:pPr>
        <w:spacing w:after="0" w:line="240" w:lineRule="auto"/>
        <w:jc w:val="both"/>
        <w:rPr>
          <w:rFonts w:ascii="Century Gothic" w:eastAsia="Calibri" w:hAnsi="Century Gothic" w:cs="Arial"/>
          <w:color w:val="000000" w:themeColor="text1"/>
          <w:sz w:val="20"/>
          <w:szCs w:val="20"/>
          <w:lang w:val="es-ES" w:eastAsia="es-ES_tradnl"/>
        </w:rPr>
      </w:pPr>
      <w:r w:rsidRPr="000B76C5">
        <w:rPr>
          <w:rFonts w:ascii="Century Gothic" w:eastAsia="Calibri" w:hAnsi="Century Gothic" w:cs="Arial"/>
          <w:color w:val="000000" w:themeColor="text1"/>
          <w:sz w:val="20"/>
          <w:szCs w:val="20"/>
          <w:lang w:val="es-ES"/>
        </w:rPr>
        <w:t xml:space="preserve">Al respecto, el parágrafo del artículo 40 de la Ley 80 de 1993 establece un límite para las adiciones a los contratos estatales. En efecto, señala que “Los contratos no podrán adicionarse en más del cincuenta por ciento (50%) de su valor inicial, expresado éste en salarios mínimos legales mensuales”. El Decreto 092 de 2017 no prevé algo al respecto. Pero, como se ha explicado, su artículo 8 dispone que deben aplicarse las normas generales de la contratación pública en aquello que no esté reglamentado en dicho Decreto. Dentro de estas normas está, precisamente, el parágrafo del artículo 40 de la Ley 80 de 1993. Esta disposición no efectúa distinción alguna frente a los tipos de </w:t>
      </w:r>
      <w:r w:rsidRPr="000B76C5">
        <w:rPr>
          <w:rFonts w:ascii="Century Gothic" w:eastAsia="Calibri" w:hAnsi="Century Gothic" w:cs="Arial"/>
          <w:i/>
          <w:iCs/>
          <w:color w:val="000000" w:themeColor="text1"/>
          <w:sz w:val="20"/>
          <w:szCs w:val="20"/>
          <w:lang w:val="es-ES"/>
        </w:rPr>
        <w:t>contratos</w:t>
      </w:r>
      <w:r w:rsidRPr="000B76C5">
        <w:rPr>
          <w:rFonts w:ascii="Century Gothic" w:eastAsia="Calibri" w:hAnsi="Century Gothic" w:cs="Arial"/>
          <w:color w:val="000000" w:themeColor="text1"/>
          <w:sz w:val="20"/>
          <w:szCs w:val="20"/>
          <w:lang w:val="es-ES"/>
        </w:rPr>
        <w:t xml:space="preserve"> en los que aplica el límite de las adiciones. Simplemente, dice que “Los contratos no podrán adicionarse” superando el tope allí previsto. Los convenios regulados en el Decreto 092 de 2017 y en el artículo 96 de la Ley 489 de 1998 son </w:t>
      </w:r>
      <w:r w:rsidRPr="000B76C5">
        <w:rPr>
          <w:rFonts w:ascii="Century Gothic" w:eastAsia="Calibri" w:hAnsi="Century Gothic" w:cs="Arial"/>
          <w:i/>
          <w:iCs/>
          <w:color w:val="000000" w:themeColor="text1"/>
          <w:sz w:val="20"/>
          <w:szCs w:val="20"/>
          <w:lang w:val="es-ES"/>
        </w:rPr>
        <w:t>contratos</w:t>
      </w:r>
      <w:r w:rsidRPr="000B76C5">
        <w:rPr>
          <w:rFonts w:ascii="Century Gothic" w:eastAsia="Calibri" w:hAnsi="Century Gothic" w:cs="Arial"/>
          <w:color w:val="000000" w:themeColor="text1"/>
          <w:sz w:val="20"/>
          <w:szCs w:val="20"/>
          <w:lang w:val="es-ES"/>
        </w:rPr>
        <w:t xml:space="preserve">. </w:t>
      </w:r>
    </w:p>
    <w:p w14:paraId="0F52DFD4" w14:textId="77777777" w:rsidR="000B76C5" w:rsidRPr="000B76C5" w:rsidRDefault="000B76C5" w:rsidP="000B76C5">
      <w:pPr>
        <w:spacing w:after="0" w:line="240" w:lineRule="auto"/>
        <w:jc w:val="both"/>
        <w:rPr>
          <w:rFonts w:ascii="Times New Roman" w:eastAsia="Times New Roman" w:hAnsi="Times New Roman" w:cs="Times New Roman"/>
          <w:sz w:val="20"/>
          <w:szCs w:val="20"/>
          <w:lang w:val="es-ES" w:eastAsia="es-ES_tradnl"/>
        </w:rPr>
      </w:pPr>
    </w:p>
    <w:p w14:paraId="79618441" w14:textId="77777777" w:rsidR="000B76C5" w:rsidRPr="000B76C5" w:rsidRDefault="000B76C5" w:rsidP="000B76C5">
      <w:pPr>
        <w:spacing w:after="0" w:line="240" w:lineRule="auto"/>
        <w:jc w:val="both"/>
        <w:rPr>
          <w:rFonts w:ascii="Century Gothic" w:eastAsia="Times New Roman" w:hAnsi="Century Gothic" w:cs="Arial"/>
          <w:shd w:val="clear" w:color="auto" w:fill="FFFFFF"/>
          <w:lang w:eastAsia="es-ES_tradnl"/>
        </w:rPr>
      </w:pPr>
      <w:r w:rsidRPr="000B76C5">
        <w:rPr>
          <w:rFonts w:ascii="Century Gothic" w:eastAsia="Times New Roman" w:hAnsi="Century Gothic" w:cs="Arial"/>
          <w:b/>
          <w:bCs/>
          <w:color w:val="000000" w:themeColor="text1"/>
          <w:lang w:val="es-ES_tradnl" w:eastAsia="es-ES_tradnl"/>
        </w:rPr>
        <w:t xml:space="preserve">CONVENIOS </w:t>
      </w:r>
      <w:r w:rsidRPr="000B76C5">
        <w:rPr>
          <w:rFonts w:ascii="Century Gothic" w:eastAsia="Calibri" w:hAnsi="Century Gothic" w:cs="Arial"/>
          <w:b/>
          <w:lang w:eastAsia="es-ES_tradnl"/>
        </w:rPr>
        <w:t xml:space="preserve">DE ASOCIACIÓN </w:t>
      </w:r>
      <w:r w:rsidRPr="000B76C5">
        <w:rPr>
          <w:rFonts w:ascii="Century Gothic" w:eastAsia="Calibri" w:hAnsi="Century Gothic" w:cs="Arial"/>
          <w:b/>
          <w:color w:val="000000" w:themeColor="text1"/>
          <w:lang w:val="es-ES_tradnl" w:eastAsia="es-ES_tradnl"/>
        </w:rPr>
        <w:t>– ESAL – Adición – Aportes – Treinta por ciento</w:t>
      </w:r>
    </w:p>
    <w:p w14:paraId="2D1BB351" w14:textId="77777777" w:rsidR="000B76C5" w:rsidRPr="000B76C5" w:rsidRDefault="000B76C5" w:rsidP="000B76C5">
      <w:pPr>
        <w:spacing w:after="0" w:line="240" w:lineRule="auto"/>
        <w:jc w:val="both"/>
        <w:rPr>
          <w:rFonts w:ascii="Century Gothic" w:eastAsia="Times New Roman" w:hAnsi="Century Gothic" w:cs="Arial"/>
          <w:sz w:val="20"/>
          <w:szCs w:val="20"/>
          <w:shd w:val="clear" w:color="auto" w:fill="FFFFFF"/>
          <w:lang w:eastAsia="es-ES_tradnl"/>
        </w:rPr>
      </w:pPr>
    </w:p>
    <w:p w14:paraId="593E0693" w14:textId="1ABAEE17" w:rsidR="000B76C5" w:rsidRDefault="000B76C5" w:rsidP="000B76C5">
      <w:pPr>
        <w:jc w:val="both"/>
        <w:rPr>
          <w:rFonts w:ascii="Century Gothic" w:hAnsi="Century Gothic"/>
        </w:rPr>
      </w:pPr>
      <w:r w:rsidRPr="000B76C5">
        <w:rPr>
          <w:rFonts w:ascii="Century Gothic" w:eastAsia="Times New Roman" w:hAnsi="Century Gothic" w:cs="Arial"/>
          <w:sz w:val="20"/>
          <w:szCs w:val="20"/>
          <w:shd w:val="clear" w:color="auto" w:fill="FFFFFF"/>
          <w:lang w:eastAsia="es-ES_tradnl"/>
        </w:rPr>
        <w:t xml:space="preserve">Si bien, en el marco de los convenios de asociación las partes, en virtud del principio de autonomía, pueden acordar una adición al contrato – siempre y cuando se respete el límite establecido, lo cierto es que esa modificación debe sujetarse a las reglas establecidas en el Decreto 092 del 2017. En ese sentido, si el Decreto establece que la celebración de los convenios de asociación se podrá realizar de forma directa siempre y cuando una ESAL se comprometa a aportar no menos de treinta por ciento (30%) del valor total del convenio, este valor incluye el valor adicionado. </w:t>
      </w:r>
      <w:r w:rsidRPr="000B76C5">
        <w:rPr>
          <w:rFonts w:ascii="Century Gothic" w:eastAsia="Calibri" w:hAnsi="Century Gothic" w:cs="Arial"/>
          <w:sz w:val="20"/>
          <w:szCs w:val="20"/>
          <w:lang w:val="es-ES"/>
        </w:rPr>
        <w:t xml:space="preserve">Por ende, respondiendo la pregunta hecha por el peticionario, es válido concluir que, si un convenio de asociación se celebró de forma directa, </w:t>
      </w:r>
      <w:r w:rsidRPr="000B76C5">
        <w:rPr>
          <w:rFonts w:ascii="Century Gothic" w:eastAsia="Calibri" w:hAnsi="Century Gothic" w:cs="Arial"/>
          <w:sz w:val="20"/>
          <w:szCs w:val="20"/>
          <w:lang w:val="es-ES_tradnl"/>
        </w:rPr>
        <w:t xml:space="preserve">en caso de que se realice una adición al valor del convenio, la ESAL debe realizar el aporte de forma proporcional a esa modificación, cosa tal que su aporte sea equivalente el treinta por ciento (30%) del total del convenio – incluida la adición, pues solo de esta manera se estaría respetando las reglas establecidas en el Decreto 092 de 2017. </w:t>
      </w:r>
      <w:r>
        <w:rPr>
          <w:rFonts w:ascii="Century Gothic" w:hAnsi="Century Gothic"/>
        </w:rPr>
        <w:br w:type="page"/>
      </w:r>
    </w:p>
    <w:p w14:paraId="44A06B17" w14:textId="2C8DDC02" w:rsidR="005A6AA1" w:rsidRDefault="005A6AA1" w:rsidP="00400548">
      <w:pPr>
        <w:spacing w:after="0"/>
        <w:rPr>
          <w:rFonts w:ascii="Century Gothic" w:hAnsi="Century Gothic"/>
          <w:lang w:val="es-MX"/>
        </w:rPr>
      </w:pPr>
      <w:r w:rsidRPr="687B05C8">
        <w:rPr>
          <w:rFonts w:ascii="Century Gothic" w:hAnsi="Century Gothic"/>
        </w:rPr>
        <w:lastRenderedPageBreak/>
        <w:t xml:space="preserve">Bogotá D.C., </w:t>
      </w:r>
      <w:r w:rsidR="00552F1A">
        <w:rPr>
          <w:rFonts w:ascii="Century Gothic" w:hAnsi="Century Gothic"/>
        </w:rPr>
        <w:t>24 de abril de 2024</w:t>
      </w:r>
    </w:p>
    <w:p w14:paraId="10D83B28" w14:textId="6E0F0978" w:rsidR="004E1AEB" w:rsidRPr="004E1AEB" w:rsidRDefault="003E37D1" w:rsidP="003E37D1">
      <w:pPr>
        <w:spacing w:after="0" w:line="240" w:lineRule="auto"/>
        <w:jc w:val="right"/>
        <w:rPr>
          <w:rFonts w:ascii="Century Gothic" w:eastAsia="Century Gothic" w:hAnsi="Century Gothic" w:cs="Century Gothic"/>
          <w:noProof/>
          <w:lang w:val="es-ES" w:eastAsia="es-ES_tradnl"/>
        </w:rPr>
      </w:pPr>
      <w:r w:rsidRPr="003E37D1">
        <w:rPr>
          <w:rFonts w:ascii="Century Gothic" w:eastAsia="Century Gothic" w:hAnsi="Century Gothic" w:cs="Century Gothic"/>
          <w:noProof/>
          <w:lang w:val="es-ES" w:eastAsia="es-ES_tradnl"/>
        </w:rPr>
        <w:drawing>
          <wp:inline distT="0" distB="0" distL="0" distR="0" wp14:anchorId="51EB37E1" wp14:editId="47CB932C">
            <wp:extent cx="4206605" cy="1242168"/>
            <wp:effectExtent l="0" t="0" r="3810" b="0"/>
            <wp:docPr id="1247317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17036" name=""/>
                    <pic:cNvPicPr/>
                  </pic:nvPicPr>
                  <pic:blipFill>
                    <a:blip r:embed="rId10"/>
                    <a:stretch>
                      <a:fillRect/>
                    </a:stretch>
                  </pic:blipFill>
                  <pic:spPr>
                    <a:xfrm>
                      <a:off x="0" y="0"/>
                      <a:ext cx="4206605" cy="1242168"/>
                    </a:xfrm>
                    <a:prstGeom prst="rect">
                      <a:avLst/>
                    </a:prstGeom>
                  </pic:spPr>
                </pic:pic>
              </a:graphicData>
            </a:graphic>
          </wp:inline>
        </w:drawing>
      </w:r>
    </w:p>
    <w:p w14:paraId="52622C2C" w14:textId="77777777" w:rsidR="004E1AEB" w:rsidRPr="004E1AEB" w:rsidRDefault="004E1AEB" w:rsidP="004E1AEB">
      <w:pPr>
        <w:spacing w:after="0" w:line="240" w:lineRule="auto"/>
        <w:jc w:val="both"/>
        <w:rPr>
          <w:rFonts w:ascii="Century Gothic" w:eastAsia="Century Gothic" w:hAnsi="Century Gothic" w:cs="Century Gothic"/>
          <w:lang w:val="es-ES" w:eastAsia="es-ES_tradnl"/>
        </w:rPr>
      </w:pPr>
      <w:r w:rsidRPr="004E1AEB">
        <w:rPr>
          <w:rFonts w:ascii="Century Gothic" w:eastAsia="Century Gothic" w:hAnsi="Century Gothic" w:cs="Century Gothic"/>
          <w:lang w:val="es-ES" w:eastAsia="es-ES_tradnl"/>
        </w:rPr>
        <w:t>Señor</w:t>
      </w:r>
    </w:p>
    <w:p w14:paraId="1B456822" w14:textId="77777777" w:rsidR="004E1AEB" w:rsidRPr="004E1AEB" w:rsidRDefault="004E1AEB" w:rsidP="004E1AEB">
      <w:pPr>
        <w:spacing w:after="0" w:line="240" w:lineRule="auto"/>
        <w:rPr>
          <w:rFonts w:ascii="Century Gothic" w:eastAsia="Century Gothic" w:hAnsi="Century Gothic" w:cs="Century Gothic"/>
          <w:b/>
          <w:bCs/>
          <w:lang w:val="es-ES" w:eastAsia="es-ES_tradnl"/>
        </w:rPr>
      </w:pPr>
      <w:r w:rsidRPr="004E1AEB">
        <w:rPr>
          <w:rFonts w:ascii="Century Gothic" w:eastAsia="Century Gothic" w:hAnsi="Century Gothic" w:cs="Century Gothic"/>
          <w:b/>
          <w:bCs/>
          <w:lang w:val="es-ES" w:eastAsia="es-ES_tradnl"/>
        </w:rPr>
        <w:t>Marlon Alain Mosquera Tejada</w:t>
      </w:r>
    </w:p>
    <w:p w14:paraId="50B89327" w14:textId="77777777" w:rsidR="004E1AEB" w:rsidRPr="004E1AEB" w:rsidRDefault="004E1AEB" w:rsidP="004E1AEB">
      <w:pPr>
        <w:spacing w:after="0" w:line="240" w:lineRule="auto"/>
        <w:rPr>
          <w:rFonts w:ascii="Century Gothic" w:eastAsia="Century Gothic" w:hAnsi="Century Gothic" w:cs="Century Gothic"/>
          <w:lang w:val="es-ES" w:eastAsia="es-ES_tradnl"/>
        </w:rPr>
      </w:pPr>
      <w:r w:rsidRPr="004E1AEB">
        <w:rPr>
          <w:rFonts w:ascii="Century Gothic" w:eastAsia="Century Gothic" w:hAnsi="Century Gothic" w:cs="Century Gothic"/>
          <w:lang w:val="es-ES" w:eastAsia="es-ES_tradnl"/>
        </w:rPr>
        <w:t>Florencia, Caquetá</w:t>
      </w:r>
    </w:p>
    <w:p w14:paraId="53F21EDA" w14:textId="77777777" w:rsidR="004E1AEB" w:rsidRPr="004E1AEB" w:rsidRDefault="004E1AEB" w:rsidP="004E1AEB">
      <w:pPr>
        <w:spacing w:after="0" w:line="240" w:lineRule="auto"/>
        <w:rPr>
          <w:rFonts w:ascii="Century Gothic" w:eastAsia="Century Gothic" w:hAnsi="Century Gothic" w:cs="Century Gothic"/>
          <w:lang w:val="es-ES" w:eastAsia="es-ES_tradnl"/>
        </w:rPr>
      </w:pPr>
    </w:p>
    <w:p w14:paraId="0A966951" w14:textId="77777777" w:rsidR="004E1AEB" w:rsidRPr="004E1AEB" w:rsidRDefault="004E1AEB" w:rsidP="004E1AEB">
      <w:pPr>
        <w:spacing w:after="0" w:line="240" w:lineRule="auto"/>
        <w:rPr>
          <w:rFonts w:ascii="Century Gothic" w:eastAsia="Century Gothic" w:hAnsi="Century Gothic" w:cs="Century Gothic"/>
          <w:lang w:val="es-ES" w:eastAsia="es-ES_tradnl"/>
        </w:rPr>
      </w:pPr>
    </w:p>
    <w:p w14:paraId="4752ECEA" w14:textId="77777777" w:rsidR="004E1AEB" w:rsidRPr="004E1AEB" w:rsidRDefault="004E1AEB" w:rsidP="004E1AEB">
      <w:pPr>
        <w:spacing w:after="0" w:line="240" w:lineRule="auto"/>
        <w:ind w:left="2694"/>
        <w:rPr>
          <w:rFonts w:ascii="Century Gothic" w:eastAsia="Century Gothic" w:hAnsi="Century Gothic" w:cs="Century Gothic"/>
          <w:b/>
          <w:bCs/>
          <w:lang w:val="es-ES" w:eastAsia="es-ES_tradnl"/>
        </w:rPr>
      </w:pPr>
      <w:r w:rsidRPr="004E1AEB">
        <w:rPr>
          <w:rFonts w:ascii="Century Gothic" w:eastAsia="Century Gothic" w:hAnsi="Century Gothic" w:cs="Century Gothic"/>
          <w:b/>
          <w:bCs/>
          <w:lang w:val="es-ES" w:eastAsia="es-ES_tradnl"/>
        </w:rPr>
        <w:t>Concepto C-045 de 2024</w:t>
      </w:r>
    </w:p>
    <w:p w14:paraId="5357B874" w14:textId="77777777" w:rsidR="004E1AEB" w:rsidRPr="004E1AEB" w:rsidRDefault="004E1AEB" w:rsidP="004E1AEB">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4E1AEB" w:rsidRPr="004E1AEB" w14:paraId="244A88A6" w14:textId="77777777" w:rsidTr="00E7267F">
        <w:trPr>
          <w:jc w:val="right"/>
        </w:trPr>
        <w:tc>
          <w:tcPr>
            <w:tcW w:w="1838" w:type="dxa"/>
          </w:tcPr>
          <w:p w14:paraId="674C261C" w14:textId="77777777" w:rsidR="004E1AEB" w:rsidRPr="004E1AEB" w:rsidRDefault="004E1AEB" w:rsidP="004E1AEB">
            <w:pPr>
              <w:jc w:val="center"/>
              <w:rPr>
                <w:rFonts w:ascii="Century Gothic" w:eastAsia="Century Gothic" w:hAnsi="Century Gothic" w:cs="Century Gothic"/>
                <w:lang w:val="es-ES" w:eastAsia="es-ES_tradnl"/>
              </w:rPr>
            </w:pPr>
            <w:r w:rsidRPr="004E1AEB">
              <w:rPr>
                <w:rFonts w:ascii="Century Gothic" w:eastAsia="Century Gothic" w:hAnsi="Century Gothic" w:cs="Century Gothic"/>
                <w:b/>
                <w:bCs/>
                <w:lang w:val="es-ES" w:eastAsia="es-ES_tradnl"/>
              </w:rPr>
              <w:t>Temas:</w:t>
            </w:r>
          </w:p>
        </w:tc>
        <w:tc>
          <w:tcPr>
            <w:tcW w:w="6237" w:type="dxa"/>
          </w:tcPr>
          <w:p w14:paraId="6F5EF68E" w14:textId="77777777" w:rsidR="004E1AEB" w:rsidRPr="004E1AEB" w:rsidRDefault="004E1AEB" w:rsidP="004E1AEB">
            <w:pPr>
              <w:jc w:val="both"/>
              <w:rPr>
                <w:rFonts w:ascii="Century Gothic" w:eastAsia="Times New Roman" w:hAnsi="Century Gothic"/>
                <w:shd w:val="clear" w:color="auto" w:fill="FFFFFF"/>
                <w:lang w:eastAsia="es-ES_tradnl"/>
              </w:rPr>
            </w:pPr>
            <w:r w:rsidRPr="004E1AEB">
              <w:rPr>
                <w:rFonts w:ascii="Century Gothic" w:eastAsia="Times New Roman" w:hAnsi="Century Gothic"/>
                <w:color w:val="000000" w:themeColor="text1"/>
                <w:lang w:val="es-ES_tradnl" w:eastAsia="es-ES_tradnl"/>
              </w:rPr>
              <w:t xml:space="preserve">CONTRATOS CON ESAL </w:t>
            </w:r>
            <w:r w:rsidRPr="004E1AEB">
              <w:rPr>
                <w:rFonts w:ascii="Century Gothic" w:eastAsia="Calibri" w:hAnsi="Century Gothic"/>
                <w:color w:val="000000" w:themeColor="text1"/>
                <w:lang w:val="es-ES_tradnl" w:eastAsia="es-ES_tradnl"/>
              </w:rPr>
              <w:t>–</w:t>
            </w:r>
            <w:r w:rsidRPr="004E1AEB">
              <w:rPr>
                <w:rFonts w:ascii="Century Gothic" w:eastAsia="Times New Roman" w:hAnsi="Century Gothic"/>
                <w:color w:val="000000" w:themeColor="text1"/>
                <w:lang w:val="es-ES_tradnl" w:eastAsia="es-ES_tradnl"/>
              </w:rPr>
              <w:t xml:space="preserve"> Artículo 355 </w:t>
            </w:r>
            <w:r w:rsidRPr="004E1AEB">
              <w:rPr>
                <w:rFonts w:ascii="Century Gothic" w:eastAsia="Calibri" w:hAnsi="Century Gothic"/>
                <w:color w:val="000000" w:themeColor="text1"/>
                <w:lang w:val="es-ES_tradnl" w:eastAsia="es-ES_tradnl"/>
              </w:rPr>
              <w:t>–</w:t>
            </w:r>
            <w:r w:rsidRPr="004E1AEB">
              <w:rPr>
                <w:rFonts w:ascii="Century Gothic" w:eastAsia="Times New Roman" w:hAnsi="Century Gothic"/>
                <w:color w:val="000000" w:themeColor="text1"/>
                <w:lang w:val="es-ES_tradnl" w:eastAsia="es-ES_tradnl"/>
              </w:rPr>
              <w:t xml:space="preserve"> Constitución </w:t>
            </w:r>
            <w:r w:rsidRPr="004E1AEB">
              <w:rPr>
                <w:rFonts w:ascii="Century Gothic" w:eastAsia="Calibri" w:hAnsi="Century Gothic"/>
                <w:color w:val="000000" w:themeColor="text1"/>
                <w:lang w:val="es-ES_tradnl" w:eastAsia="es-ES_tradnl"/>
              </w:rPr>
              <w:t xml:space="preserve">– Fundamento / </w:t>
            </w:r>
            <w:r w:rsidRPr="004E1AEB">
              <w:rPr>
                <w:rFonts w:ascii="Century Gothic" w:eastAsia="Times New Roman" w:hAnsi="Century Gothic"/>
                <w:color w:val="000000" w:themeColor="text1"/>
                <w:lang w:val="es-ES_tradnl" w:eastAsia="es-ES_tradnl"/>
              </w:rPr>
              <w:t xml:space="preserve">TIPOS DE CONTRATOS </w:t>
            </w:r>
            <w:r w:rsidRPr="004E1AEB">
              <w:rPr>
                <w:rFonts w:ascii="Century Gothic" w:eastAsia="Calibri" w:hAnsi="Century Gothic"/>
                <w:color w:val="000000" w:themeColor="text1"/>
                <w:lang w:val="es-ES_tradnl" w:eastAsia="es-ES_tradnl"/>
              </w:rPr>
              <w:t>–</w:t>
            </w:r>
            <w:r w:rsidRPr="004E1AEB">
              <w:rPr>
                <w:rFonts w:ascii="Century Gothic" w:eastAsia="Times New Roman" w:hAnsi="Century Gothic"/>
                <w:color w:val="000000" w:themeColor="text1"/>
                <w:lang w:val="es-ES_tradnl" w:eastAsia="es-ES_tradnl"/>
              </w:rPr>
              <w:t xml:space="preserve"> Artículo 355 </w:t>
            </w:r>
            <w:r w:rsidRPr="004E1AEB">
              <w:rPr>
                <w:rFonts w:ascii="Century Gothic" w:eastAsia="Calibri" w:hAnsi="Century Gothic"/>
                <w:color w:val="000000" w:themeColor="text1"/>
                <w:lang w:val="es-ES_tradnl" w:eastAsia="es-ES_tradnl"/>
              </w:rPr>
              <w:t>–</w:t>
            </w:r>
            <w:r w:rsidRPr="004E1AEB">
              <w:rPr>
                <w:rFonts w:ascii="Century Gothic" w:eastAsia="Times New Roman" w:hAnsi="Century Gothic"/>
                <w:color w:val="000000" w:themeColor="text1"/>
                <w:lang w:val="es-ES_tradnl" w:eastAsia="es-ES_tradnl"/>
              </w:rPr>
              <w:t xml:space="preserve"> Constitución </w:t>
            </w:r>
            <w:r w:rsidRPr="004E1AEB">
              <w:rPr>
                <w:rFonts w:ascii="Century Gothic" w:eastAsia="Calibri" w:hAnsi="Century Gothic"/>
                <w:color w:val="000000" w:themeColor="text1"/>
                <w:lang w:val="es-ES_tradnl" w:eastAsia="es-ES_tradnl"/>
              </w:rPr>
              <w:t xml:space="preserve">– ESAL / </w:t>
            </w:r>
            <w:r w:rsidRPr="004E1AEB">
              <w:rPr>
                <w:rFonts w:ascii="Century Gothic" w:eastAsia="Times New Roman" w:hAnsi="Century Gothic"/>
                <w:color w:val="000000" w:themeColor="text1"/>
                <w:lang w:val="es-ES_tradnl" w:eastAsia="es-ES_tradnl"/>
              </w:rPr>
              <w:t xml:space="preserve">CONVENIOS DE ASOCIACIÓN </w:t>
            </w:r>
            <w:r w:rsidRPr="004E1AEB">
              <w:rPr>
                <w:rFonts w:ascii="Century Gothic" w:eastAsia="Calibri" w:hAnsi="Century Gothic"/>
                <w:color w:val="000000" w:themeColor="text1"/>
                <w:lang w:val="es-ES_tradnl" w:eastAsia="es-ES_tradnl"/>
              </w:rPr>
              <w:t>–</w:t>
            </w:r>
            <w:r w:rsidRPr="004E1AEB">
              <w:rPr>
                <w:rFonts w:ascii="Century Gothic" w:eastAsia="Times New Roman" w:hAnsi="Century Gothic"/>
                <w:color w:val="000000" w:themeColor="text1"/>
                <w:lang w:val="es-ES_tradnl" w:eastAsia="es-ES_tradnl"/>
              </w:rPr>
              <w:t xml:space="preserve"> </w:t>
            </w:r>
            <w:r w:rsidRPr="004E1AEB">
              <w:rPr>
                <w:rFonts w:ascii="Century Gothic" w:eastAsia="Calibri" w:hAnsi="Century Gothic"/>
                <w:color w:val="000000" w:themeColor="text1"/>
                <w:lang w:val="es-ES_tradnl" w:eastAsia="es-ES_tradnl"/>
              </w:rPr>
              <w:t xml:space="preserve">Ley 489 – Artículo 96 – </w:t>
            </w:r>
            <w:r w:rsidRPr="004E1AEB">
              <w:rPr>
                <w:rFonts w:ascii="Century Gothic" w:eastAsia="Calibri" w:hAnsi="Century Gothic"/>
                <w:color w:val="000000" w:themeColor="text1"/>
                <w:lang w:eastAsia="es-ES_tradnl"/>
              </w:rPr>
              <w:t xml:space="preserve">Entidad Estatal / </w:t>
            </w:r>
            <w:r w:rsidRPr="004E1AEB">
              <w:rPr>
                <w:rFonts w:ascii="Century Gothic" w:eastAsia="Times New Roman" w:hAnsi="Century Gothic"/>
                <w:color w:val="000000" w:themeColor="text1"/>
                <w:lang w:val="es-ES_tradnl" w:eastAsia="es-ES_tradnl"/>
              </w:rPr>
              <w:t xml:space="preserve">CONVENIOS DE ASOCIACIÓN </w:t>
            </w:r>
            <w:r w:rsidRPr="004E1AEB">
              <w:rPr>
                <w:rFonts w:ascii="Century Gothic" w:eastAsia="Calibri" w:hAnsi="Century Gothic"/>
                <w:color w:val="000000" w:themeColor="text1"/>
                <w:lang w:val="es-ES_tradnl" w:eastAsia="es-ES_tradnl"/>
              </w:rPr>
              <w:t>–</w:t>
            </w:r>
            <w:r w:rsidRPr="004E1AEB">
              <w:rPr>
                <w:rFonts w:ascii="Century Gothic" w:eastAsia="Times New Roman" w:hAnsi="Century Gothic"/>
                <w:color w:val="000000" w:themeColor="text1"/>
                <w:lang w:val="es-ES_tradnl" w:eastAsia="es-ES_tradnl"/>
              </w:rPr>
              <w:t xml:space="preserve"> </w:t>
            </w:r>
            <w:r w:rsidRPr="004E1AEB">
              <w:rPr>
                <w:rFonts w:ascii="Century Gothic" w:eastAsia="Calibri" w:hAnsi="Century Gothic"/>
                <w:color w:val="000000" w:themeColor="text1"/>
                <w:lang w:val="es-ES_tradnl" w:eastAsia="es-ES_tradnl"/>
              </w:rPr>
              <w:t xml:space="preserve">Ley 489 – Artículo 96 – </w:t>
            </w:r>
            <w:r w:rsidRPr="004E1AEB">
              <w:rPr>
                <w:rFonts w:ascii="Century Gothic" w:eastAsia="Calibri" w:hAnsi="Century Gothic"/>
                <w:color w:val="000000" w:themeColor="text1"/>
                <w:lang w:eastAsia="es-ES_tradnl"/>
              </w:rPr>
              <w:t xml:space="preserve">Concejos Municipales </w:t>
            </w:r>
            <w:r w:rsidRPr="004E1AEB">
              <w:rPr>
                <w:rFonts w:ascii="Century Gothic" w:eastAsia="Calibri" w:hAnsi="Century Gothic"/>
                <w:color w:val="000000" w:themeColor="text1"/>
                <w:lang w:val="es-MX" w:eastAsia="es-ES_tradnl"/>
              </w:rPr>
              <w:t xml:space="preserve">– Capacidad contractual / </w:t>
            </w:r>
            <w:r w:rsidRPr="004E1AEB">
              <w:rPr>
                <w:rFonts w:ascii="Century Gothic" w:eastAsia="Calibri" w:hAnsi="Century Gothic"/>
                <w:lang w:eastAsia="es-ES_tradnl"/>
              </w:rPr>
              <w:t xml:space="preserve">CONVENIOS DE ASOCIACIÓN – Aporte económico de la ESAL – Mecanismo de recaudo / </w:t>
            </w:r>
            <w:r w:rsidRPr="004E1AEB">
              <w:rPr>
                <w:rFonts w:ascii="Century Gothic" w:eastAsia="Times New Roman" w:hAnsi="Century Gothic"/>
                <w:color w:val="000000" w:themeColor="text1"/>
                <w:lang w:val="es-ES_tradnl" w:eastAsia="es-ES_tradnl"/>
              </w:rPr>
              <w:t xml:space="preserve">CONVENIOS </w:t>
            </w:r>
            <w:r w:rsidRPr="004E1AEB">
              <w:rPr>
                <w:rFonts w:ascii="Century Gothic" w:eastAsia="Calibri" w:hAnsi="Century Gothic"/>
                <w:lang w:eastAsia="es-ES_tradnl"/>
              </w:rPr>
              <w:t xml:space="preserve">DE ASOCIACIÓN </w:t>
            </w:r>
            <w:r w:rsidRPr="004E1AEB">
              <w:rPr>
                <w:rFonts w:ascii="Century Gothic" w:eastAsia="Calibri" w:hAnsi="Century Gothic"/>
                <w:color w:val="000000" w:themeColor="text1"/>
                <w:lang w:val="es-ES_tradnl" w:eastAsia="es-ES_tradnl"/>
              </w:rPr>
              <w:t xml:space="preserve">– ESAL – Régimen – Remisión – Artículo 8 – Decreto 092 de 2017 / </w:t>
            </w:r>
            <w:r w:rsidRPr="004E1AEB">
              <w:rPr>
                <w:rFonts w:ascii="Century Gothic" w:eastAsia="Times New Roman" w:hAnsi="Century Gothic"/>
                <w:color w:val="000000" w:themeColor="text1"/>
                <w:lang w:val="es-ES_tradnl" w:eastAsia="es-ES_tradnl"/>
              </w:rPr>
              <w:t xml:space="preserve">CONVENIOS </w:t>
            </w:r>
            <w:r w:rsidRPr="004E1AEB">
              <w:rPr>
                <w:rFonts w:ascii="Century Gothic" w:eastAsia="Calibri" w:hAnsi="Century Gothic"/>
                <w:lang w:eastAsia="es-ES_tradnl"/>
              </w:rPr>
              <w:t xml:space="preserve">DE ASOCIACIÓN </w:t>
            </w:r>
            <w:r w:rsidRPr="004E1AEB">
              <w:rPr>
                <w:rFonts w:ascii="Century Gothic" w:eastAsia="Calibri" w:hAnsi="Century Gothic"/>
                <w:color w:val="000000" w:themeColor="text1"/>
                <w:lang w:val="es-ES_tradnl" w:eastAsia="es-ES_tradnl"/>
              </w:rPr>
              <w:t xml:space="preserve">– ESAL – Régimen – Remisión – Artículo 8 – Decreto 092 de 2027 – Adición / </w:t>
            </w:r>
            <w:r w:rsidRPr="004E1AEB">
              <w:rPr>
                <w:rFonts w:ascii="Century Gothic" w:eastAsia="Times New Roman" w:hAnsi="Century Gothic"/>
                <w:color w:val="000000" w:themeColor="text1"/>
                <w:lang w:val="es-ES_tradnl" w:eastAsia="es-ES_tradnl"/>
              </w:rPr>
              <w:t xml:space="preserve">CONVENIOS </w:t>
            </w:r>
            <w:r w:rsidRPr="004E1AEB">
              <w:rPr>
                <w:rFonts w:ascii="Century Gothic" w:eastAsia="Calibri" w:hAnsi="Century Gothic"/>
                <w:lang w:eastAsia="es-ES_tradnl"/>
              </w:rPr>
              <w:t xml:space="preserve">DE ASOCIACIÓN </w:t>
            </w:r>
            <w:r w:rsidRPr="004E1AEB">
              <w:rPr>
                <w:rFonts w:ascii="Century Gothic" w:eastAsia="Calibri" w:hAnsi="Century Gothic"/>
                <w:color w:val="000000" w:themeColor="text1"/>
                <w:lang w:val="es-ES_tradnl" w:eastAsia="es-ES_tradnl"/>
              </w:rPr>
              <w:t>– ESAL – Adición – Aportes – Treinta por ciento</w:t>
            </w:r>
          </w:p>
          <w:p w14:paraId="2925A57E" w14:textId="77777777" w:rsidR="004E1AEB" w:rsidRPr="004E1AEB" w:rsidRDefault="004E1AEB" w:rsidP="004E1AEB">
            <w:pPr>
              <w:jc w:val="both"/>
              <w:rPr>
                <w:rFonts w:ascii="Century Gothic" w:eastAsia="Century Gothic" w:hAnsi="Century Gothic" w:cs="Century Gothic"/>
                <w:lang w:val="es-ES" w:eastAsia="es-ES_tradnl"/>
              </w:rPr>
            </w:pPr>
          </w:p>
        </w:tc>
      </w:tr>
      <w:tr w:rsidR="004E1AEB" w:rsidRPr="004E1AEB" w14:paraId="54CDE156" w14:textId="77777777" w:rsidTr="00E7267F">
        <w:trPr>
          <w:jc w:val="right"/>
        </w:trPr>
        <w:tc>
          <w:tcPr>
            <w:tcW w:w="1838" w:type="dxa"/>
          </w:tcPr>
          <w:p w14:paraId="5A6912C8" w14:textId="77777777" w:rsidR="004E1AEB" w:rsidRPr="004E1AEB" w:rsidRDefault="004E1AEB" w:rsidP="004E1AEB">
            <w:pPr>
              <w:jc w:val="center"/>
              <w:rPr>
                <w:rFonts w:ascii="Century Gothic" w:eastAsia="Century Gothic" w:hAnsi="Century Gothic" w:cs="Century Gothic"/>
                <w:b/>
                <w:bCs/>
                <w:lang w:val="es-ES" w:eastAsia="es-ES_tradnl"/>
              </w:rPr>
            </w:pPr>
            <w:r w:rsidRPr="004E1AEB">
              <w:rPr>
                <w:rFonts w:ascii="Century Gothic" w:eastAsia="Century Gothic" w:hAnsi="Century Gothic" w:cs="Century Gothic"/>
                <w:b/>
                <w:bCs/>
                <w:lang w:val="es-ES" w:eastAsia="es-ES_tradnl"/>
              </w:rPr>
              <w:t>Radicación:</w:t>
            </w:r>
          </w:p>
        </w:tc>
        <w:tc>
          <w:tcPr>
            <w:tcW w:w="6237" w:type="dxa"/>
          </w:tcPr>
          <w:p w14:paraId="0C0271A1" w14:textId="77777777" w:rsidR="004E1AEB" w:rsidRPr="004E1AEB" w:rsidRDefault="004E1AEB" w:rsidP="004E1AEB">
            <w:pPr>
              <w:jc w:val="both"/>
              <w:rPr>
                <w:rFonts w:ascii="Century Gothic" w:eastAsia="Century Gothic" w:hAnsi="Century Gothic" w:cs="Century Gothic"/>
                <w:lang w:val="es-ES" w:eastAsia="es-ES_tradnl"/>
              </w:rPr>
            </w:pPr>
            <w:r w:rsidRPr="004E1AEB">
              <w:rPr>
                <w:rFonts w:ascii="Century Gothic" w:eastAsia="Century Gothic" w:hAnsi="Century Gothic" w:cs="Century Gothic"/>
                <w:lang w:val="es-ES" w:eastAsia="es-ES_tradnl"/>
              </w:rPr>
              <w:t>Respuesta a consulta P20240312002721</w:t>
            </w:r>
          </w:p>
        </w:tc>
      </w:tr>
    </w:tbl>
    <w:p w14:paraId="794A94C1" w14:textId="77777777" w:rsidR="004E1AEB" w:rsidRPr="004E1AEB" w:rsidRDefault="004E1AEB" w:rsidP="004E1AEB">
      <w:pPr>
        <w:spacing w:after="0" w:line="240" w:lineRule="auto"/>
        <w:jc w:val="both"/>
        <w:rPr>
          <w:rFonts w:ascii="Century Gothic" w:eastAsia="Century Gothic" w:hAnsi="Century Gothic" w:cs="Century Gothic"/>
          <w:lang w:val="es-ES" w:eastAsia="es-ES_tradnl"/>
        </w:rPr>
      </w:pPr>
    </w:p>
    <w:p w14:paraId="3D399B43" w14:textId="77777777" w:rsidR="004E1AEB" w:rsidRPr="004E1AEB" w:rsidRDefault="004E1AEB" w:rsidP="004E1AEB">
      <w:pPr>
        <w:spacing w:after="0" w:line="240" w:lineRule="auto"/>
        <w:jc w:val="both"/>
        <w:rPr>
          <w:rFonts w:ascii="Century Gothic" w:eastAsia="Century Gothic" w:hAnsi="Century Gothic" w:cs="Century Gothic"/>
          <w:lang w:val="es-ES" w:eastAsia="es-ES_tradnl"/>
        </w:rPr>
      </w:pPr>
    </w:p>
    <w:p w14:paraId="66062996" w14:textId="77777777" w:rsidR="004E1AEB" w:rsidRPr="004E1AEB" w:rsidRDefault="004E1AEB" w:rsidP="004E1AEB">
      <w:pPr>
        <w:spacing w:after="0" w:line="276" w:lineRule="auto"/>
        <w:jc w:val="both"/>
        <w:rPr>
          <w:rFonts w:ascii="Century Gothic" w:eastAsia="Century Gothic" w:hAnsi="Century Gothic" w:cs="Century Gothic"/>
          <w:lang w:val="es-ES" w:eastAsia="es-ES_tradnl"/>
        </w:rPr>
      </w:pPr>
      <w:r w:rsidRPr="004E1AEB">
        <w:rPr>
          <w:rFonts w:ascii="Century Gothic" w:eastAsia="Century Gothic" w:hAnsi="Century Gothic" w:cs="Century Gothic"/>
          <w:lang w:val="es-ES" w:eastAsia="es-ES_tradnl"/>
        </w:rPr>
        <w:t>Estimado señor Mosquera Tejada:</w:t>
      </w:r>
    </w:p>
    <w:p w14:paraId="15764DF0" w14:textId="77777777" w:rsidR="004E1AEB" w:rsidRPr="004E1AEB" w:rsidRDefault="004E1AEB" w:rsidP="004E1AEB">
      <w:pPr>
        <w:spacing w:after="0" w:line="276" w:lineRule="auto"/>
        <w:jc w:val="both"/>
        <w:rPr>
          <w:rFonts w:ascii="Century Gothic" w:eastAsia="Century Gothic" w:hAnsi="Century Gothic" w:cs="Century Gothic"/>
          <w:lang w:val="es-ES" w:eastAsia="es-ES_tradnl"/>
        </w:rPr>
      </w:pPr>
    </w:p>
    <w:p w14:paraId="7698BFFC" w14:textId="77777777" w:rsidR="004E1AEB" w:rsidRPr="004E1AEB" w:rsidRDefault="004E1AEB" w:rsidP="004E1AEB">
      <w:pPr>
        <w:spacing w:after="0" w:line="276" w:lineRule="auto"/>
        <w:jc w:val="both"/>
        <w:rPr>
          <w:rFonts w:ascii="Century Gothic" w:eastAsia="Century Gothic" w:hAnsi="Century Gothic" w:cs="Century Gothic"/>
          <w:lang w:val="es-ES" w:eastAsia="es-ES_tradnl"/>
        </w:rPr>
      </w:pPr>
      <w:r w:rsidRPr="004E1AEB">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4E1AEB">
        <w:rPr>
          <w:rFonts w:ascii="Century Gothic" w:eastAsia="Century Gothic" w:hAnsi="Century Gothic" w:cs="Century Gothic"/>
          <w:lang w:eastAsia="es-ES_tradnl"/>
        </w:rPr>
        <w:t>, así como lo establecido en la Resolución 1707 de 2018 expedida por esta Entidad</w:t>
      </w:r>
      <w:r w:rsidRPr="004E1AEB">
        <w:rPr>
          <w:rFonts w:ascii="Century Gothic" w:eastAsia="Century Gothic" w:hAnsi="Century Gothic" w:cs="Century Gothic"/>
          <w:lang w:val="es-ES" w:eastAsia="es-ES_tradnl"/>
        </w:rPr>
        <w:t>, la Agencia Nacional de Contratación Pública ― Colombia Compra Eficiente responde su consulta del 11 de marzo de 2024.</w:t>
      </w:r>
    </w:p>
    <w:p w14:paraId="5D0A118B" w14:textId="77777777" w:rsidR="004E1AEB" w:rsidRPr="004E1AEB" w:rsidRDefault="004E1AEB" w:rsidP="004E1AEB">
      <w:pPr>
        <w:spacing w:after="0" w:line="276" w:lineRule="auto"/>
        <w:jc w:val="both"/>
        <w:rPr>
          <w:rFonts w:ascii="Century Gothic" w:eastAsia="Century Gothic" w:hAnsi="Century Gothic" w:cs="Century Gothic"/>
          <w:b/>
          <w:bCs/>
          <w:lang w:val="es-ES" w:eastAsia="es-ES_tradnl"/>
        </w:rPr>
      </w:pPr>
    </w:p>
    <w:p w14:paraId="664FEA05" w14:textId="77777777" w:rsidR="004E1AEB" w:rsidRPr="004E1AEB" w:rsidRDefault="004E1AEB" w:rsidP="004E1AEB">
      <w:pPr>
        <w:numPr>
          <w:ilvl w:val="0"/>
          <w:numId w:val="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4E1AEB">
        <w:rPr>
          <w:rFonts w:ascii="Century Gothic" w:eastAsia="Century Gothic" w:hAnsi="Century Gothic" w:cs="Century Gothic"/>
          <w:b/>
          <w:bCs/>
          <w:lang w:val="es-ES"/>
        </w:rPr>
        <w:t xml:space="preserve">Problema planteado </w:t>
      </w:r>
    </w:p>
    <w:p w14:paraId="22D1AA91" w14:textId="77777777" w:rsidR="004E1AEB" w:rsidRPr="004E1AEB" w:rsidRDefault="004E1AEB" w:rsidP="004E1AEB">
      <w:pPr>
        <w:spacing w:after="0" w:line="276" w:lineRule="auto"/>
        <w:jc w:val="both"/>
        <w:rPr>
          <w:rFonts w:ascii="Century Gothic" w:eastAsia="Century Gothic" w:hAnsi="Century Gothic" w:cs="Century Gothic"/>
          <w:lang w:eastAsia="es-ES_tradnl"/>
        </w:rPr>
      </w:pPr>
    </w:p>
    <w:p w14:paraId="608953F7" w14:textId="77777777" w:rsidR="004E1AEB" w:rsidRPr="004E1AEB" w:rsidRDefault="004E1AEB" w:rsidP="004E1AEB">
      <w:pPr>
        <w:spacing w:after="0" w:line="276" w:lineRule="auto"/>
        <w:jc w:val="both"/>
        <w:rPr>
          <w:rFonts w:ascii="Century Gothic" w:eastAsia="Century Gothic" w:hAnsi="Century Gothic" w:cs="Century Gothic"/>
          <w:lang w:eastAsia="es-ES_tradnl"/>
        </w:rPr>
      </w:pPr>
      <w:r w:rsidRPr="004E1AEB">
        <w:rPr>
          <w:rFonts w:ascii="Century Gothic" w:eastAsia="Century Gothic" w:hAnsi="Century Gothic" w:cs="Century Gothic"/>
          <w:lang w:eastAsia="es-ES_tradnl"/>
        </w:rPr>
        <w:lastRenderedPageBreak/>
        <w:t xml:space="preserve">Respecto del Decreto 092 de 2007, usted formula las siguientes consultas: </w:t>
      </w:r>
    </w:p>
    <w:p w14:paraId="0F671C06" w14:textId="77777777" w:rsidR="004E1AEB" w:rsidRPr="004E1AEB" w:rsidRDefault="004E1AEB" w:rsidP="004E1AEB">
      <w:pPr>
        <w:spacing w:after="0" w:line="276" w:lineRule="auto"/>
        <w:jc w:val="both"/>
        <w:rPr>
          <w:rFonts w:ascii="Century Gothic" w:eastAsia="Century Gothic" w:hAnsi="Century Gothic" w:cs="Century Gothic"/>
          <w:lang w:eastAsia="es-ES_tradnl"/>
        </w:rPr>
      </w:pPr>
    </w:p>
    <w:p w14:paraId="01AADE3C"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“De conformidad con el </w:t>
      </w:r>
      <w:proofErr w:type="spellStart"/>
      <w:r w:rsidRPr="004E1AEB">
        <w:rPr>
          <w:rFonts w:ascii="Century Gothic" w:eastAsia="Century Gothic" w:hAnsi="Century Gothic" w:cs="Century Gothic"/>
          <w:sz w:val="20"/>
          <w:szCs w:val="20"/>
          <w:lang w:eastAsia="es-ES_tradnl"/>
        </w:rPr>
        <w:t>articulo</w:t>
      </w:r>
      <w:proofErr w:type="spellEnd"/>
      <w:r w:rsidRPr="004E1AEB">
        <w:rPr>
          <w:rFonts w:ascii="Century Gothic" w:eastAsia="Century Gothic" w:hAnsi="Century Gothic" w:cs="Century Gothic"/>
          <w:sz w:val="20"/>
          <w:szCs w:val="20"/>
          <w:lang w:eastAsia="es-ES_tradnl"/>
        </w:rPr>
        <w:t xml:space="preserve"> 5° del DECRETO 092 se tiene las siguientes preguntas:</w:t>
      </w:r>
    </w:p>
    <w:p w14:paraId="131C654A"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p>
    <w:p w14:paraId="436671EC"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1. Se puede adicionar </w:t>
      </w:r>
      <w:proofErr w:type="spellStart"/>
      <w:r w:rsidRPr="004E1AEB">
        <w:rPr>
          <w:rFonts w:ascii="Century Gothic" w:eastAsia="Century Gothic" w:hAnsi="Century Gothic" w:cs="Century Gothic"/>
          <w:sz w:val="20"/>
          <w:szCs w:val="20"/>
          <w:lang w:eastAsia="es-ES_tradnl"/>
        </w:rPr>
        <w:t>mas</w:t>
      </w:r>
      <w:proofErr w:type="spellEnd"/>
      <w:r w:rsidRPr="004E1AEB">
        <w:rPr>
          <w:rFonts w:ascii="Century Gothic" w:eastAsia="Century Gothic" w:hAnsi="Century Gothic" w:cs="Century Gothic"/>
          <w:sz w:val="20"/>
          <w:szCs w:val="20"/>
          <w:lang w:eastAsia="es-ES_tradnl"/>
        </w:rPr>
        <w:t xml:space="preserve"> del 50% el valor del convenio de </w:t>
      </w:r>
      <w:proofErr w:type="gramStart"/>
      <w:r w:rsidRPr="004E1AEB">
        <w:rPr>
          <w:rFonts w:ascii="Century Gothic" w:eastAsia="Century Gothic" w:hAnsi="Century Gothic" w:cs="Century Gothic"/>
          <w:sz w:val="20"/>
          <w:szCs w:val="20"/>
          <w:lang w:eastAsia="es-ES_tradnl"/>
        </w:rPr>
        <w:t>asociación ?</w:t>
      </w:r>
      <w:proofErr w:type="gramEnd"/>
    </w:p>
    <w:p w14:paraId="4C2D3164"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p>
    <w:p w14:paraId="7CCCAE2E"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2. Si bien es cierto, el convenio se celebra de manera directa porque el cooperante aporta el 30%; Para realizar una adición el cooperante deberá aportar del 30% del valor de la adición </w:t>
      </w:r>
      <w:proofErr w:type="gramStart"/>
      <w:r w:rsidRPr="004E1AEB">
        <w:rPr>
          <w:rFonts w:ascii="Century Gothic" w:eastAsia="Century Gothic" w:hAnsi="Century Gothic" w:cs="Century Gothic"/>
          <w:sz w:val="20"/>
          <w:szCs w:val="20"/>
          <w:lang w:eastAsia="es-ES_tradnl"/>
        </w:rPr>
        <w:t>nuevamente ?</w:t>
      </w:r>
      <w:proofErr w:type="gramEnd"/>
      <w:r w:rsidRPr="004E1AEB">
        <w:rPr>
          <w:rFonts w:ascii="Century Gothic" w:eastAsia="Century Gothic" w:hAnsi="Century Gothic" w:cs="Century Gothic"/>
          <w:sz w:val="20"/>
          <w:szCs w:val="20"/>
          <w:lang w:eastAsia="es-ES_tradnl"/>
        </w:rPr>
        <w:t xml:space="preserve"> o no será necesario y dicho requisito solo es para la suscripción del convenio ?</w:t>
      </w:r>
    </w:p>
    <w:p w14:paraId="53430748"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p>
    <w:p w14:paraId="4D7B36A3"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3. Es obligatorio que el COOPERANTE demuestre el 30% del aporte a través de certificación bancaria o podrá acreditarse a través de declaración bajo juramento o cualquier otro </w:t>
      </w:r>
      <w:proofErr w:type="gramStart"/>
      <w:r w:rsidRPr="004E1AEB">
        <w:rPr>
          <w:rFonts w:ascii="Century Gothic" w:eastAsia="Century Gothic" w:hAnsi="Century Gothic" w:cs="Century Gothic"/>
          <w:sz w:val="20"/>
          <w:szCs w:val="20"/>
          <w:lang w:eastAsia="es-ES_tradnl"/>
        </w:rPr>
        <w:t>medio ?</w:t>
      </w:r>
      <w:proofErr w:type="gramEnd"/>
    </w:p>
    <w:p w14:paraId="0AEBF11F"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p>
    <w:p w14:paraId="188DE6F0"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4. El convenio del </w:t>
      </w:r>
      <w:proofErr w:type="spellStart"/>
      <w:r w:rsidRPr="004E1AEB">
        <w:rPr>
          <w:rFonts w:ascii="Century Gothic" w:eastAsia="Century Gothic" w:hAnsi="Century Gothic" w:cs="Century Gothic"/>
          <w:sz w:val="20"/>
          <w:szCs w:val="20"/>
          <w:lang w:eastAsia="es-ES_tradnl"/>
        </w:rPr>
        <w:t>articulo</w:t>
      </w:r>
      <w:proofErr w:type="spellEnd"/>
      <w:r w:rsidRPr="004E1AEB">
        <w:rPr>
          <w:rFonts w:ascii="Century Gothic" w:eastAsia="Century Gothic" w:hAnsi="Century Gothic" w:cs="Century Gothic"/>
          <w:sz w:val="20"/>
          <w:szCs w:val="20"/>
          <w:lang w:eastAsia="es-ES_tradnl"/>
        </w:rPr>
        <w:t xml:space="preserve"> 5° del DECRETO 092 lo pueden suscribir los </w:t>
      </w:r>
      <w:proofErr w:type="gramStart"/>
      <w:r w:rsidRPr="004E1AEB">
        <w:rPr>
          <w:rFonts w:ascii="Century Gothic" w:eastAsia="Century Gothic" w:hAnsi="Century Gothic" w:cs="Century Gothic"/>
          <w:sz w:val="20"/>
          <w:szCs w:val="20"/>
          <w:lang w:eastAsia="es-ES_tradnl"/>
        </w:rPr>
        <w:t>CONCEJOS  MUNICIPALES</w:t>
      </w:r>
      <w:proofErr w:type="gramEnd"/>
      <w:r w:rsidRPr="004E1AEB">
        <w:rPr>
          <w:rFonts w:ascii="Century Gothic" w:eastAsia="Century Gothic" w:hAnsi="Century Gothic" w:cs="Century Gothic"/>
          <w:sz w:val="20"/>
          <w:szCs w:val="20"/>
          <w:lang w:eastAsia="es-ES_tradnl"/>
        </w:rPr>
        <w:t>?” (SIC).</w:t>
      </w:r>
    </w:p>
    <w:p w14:paraId="16E15344" w14:textId="77777777" w:rsidR="004E1AEB" w:rsidRPr="004E1AEB" w:rsidRDefault="004E1AEB" w:rsidP="004E1AEB">
      <w:pPr>
        <w:spacing w:after="0" w:line="276" w:lineRule="auto"/>
        <w:ind w:left="709" w:right="709"/>
        <w:jc w:val="both"/>
        <w:rPr>
          <w:rFonts w:ascii="Century Gothic" w:eastAsia="Century Gothic" w:hAnsi="Century Gothic" w:cs="Century Gothic"/>
          <w:lang w:val="es-ES" w:eastAsia="es-ES_tradnl"/>
        </w:rPr>
      </w:pPr>
    </w:p>
    <w:p w14:paraId="5D441584" w14:textId="77777777" w:rsidR="004E1AEB" w:rsidRPr="004E1AEB" w:rsidRDefault="004E1AEB" w:rsidP="004E1AEB">
      <w:pPr>
        <w:numPr>
          <w:ilvl w:val="0"/>
          <w:numId w:val="6"/>
        </w:numPr>
        <w:tabs>
          <w:tab w:val="left" w:pos="284"/>
        </w:tabs>
        <w:spacing w:after="0" w:line="276" w:lineRule="auto"/>
        <w:ind w:left="0" w:firstLine="0"/>
        <w:jc w:val="both"/>
        <w:rPr>
          <w:rFonts w:ascii="Century Gothic" w:eastAsia="Century Gothic" w:hAnsi="Century Gothic" w:cs="Century Gothic"/>
          <w:b/>
          <w:bCs/>
          <w:lang w:val="es-ES"/>
        </w:rPr>
      </w:pPr>
      <w:r w:rsidRPr="004E1AEB">
        <w:rPr>
          <w:rFonts w:ascii="Century Gothic" w:eastAsia="Century Gothic" w:hAnsi="Century Gothic" w:cs="Century Gothic"/>
          <w:b/>
          <w:bCs/>
          <w:lang w:val="es-ES"/>
        </w:rPr>
        <w:t>Consideraciones</w:t>
      </w:r>
    </w:p>
    <w:p w14:paraId="17FA638A" w14:textId="77777777" w:rsidR="004E1AEB" w:rsidRPr="004E1AEB" w:rsidRDefault="004E1AEB" w:rsidP="004E1AEB">
      <w:pPr>
        <w:tabs>
          <w:tab w:val="left" w:pos="284"/>
        </w:tabs>
        <w:spacing w:after="0" w:line="276" w:lineRule="auto"/>
        <w:jc w:val="both"/>
        <w:rPr>
          <w:rFonts w:ascii="Century Gothic" w:eastAsia="Century Gothic" w:hAnsi="Century Gothic" w:cs="Century Gothic"/>
          <w:b/>
          <w:bCs/>
          <w:lang w:val="es-ES"/>
        </w:rPr>
      </w:pPr>
    </w:p>
    <w:p w14:paraId="7BC95EE6" w14:textId="77777777" w:rsidR="004E1AEB" w:rsidRPr="004E1AEB" w:rsidRDefault="004E1AEB" w:rsidP="004E1AEB">
      <w:pPr>
        <w:spacing w:after="120" w:line="276" w:lineRule="auto"/>
        <w:jc w:val="both"/>
        <w:rPr>
          <w:rFonts w:ascii="Century Gothic" w:eastAsia="Century Gothic" w:hAnsi="Century Gothic" w:cs="Century Gothic"/>
          <w:lang w:val="es-ES" w:eastAsia="es-ES_tradnl"/>
        </w:rPr>
      </w:pPr>
      <w:r w:rsidRPr="004E1AEB">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4E1AEB">
        <w:rPr>
          <w:rFonts w:ascii="Century Gothic" w:eastAsia="Century Gothic" w:hAnsi="Century Gothic" w:cs="Century Gothic"/>
          <w:lang w:eastAsia="es-ES_tradnl"/>
        </w:rPr>
        <w:t xml:space="preserve"> </w:t>
      </w:r>
      <w:r w:rsidRPr="004E1AEB">
        <w:rPr>
          <w:rFonts w:ascii="Century Gothic" w:eastAsia="Century Gothic" w:hAnsi="Century Gothic" w:cs="Century Gothic"/>
          <w:lang w:val="es-ES" w:eastAsia="es-ES_tradnl"/>
        </w:rPr>
        <w:t xml:space="preserve">Es necesario tener en cuenta que </w:t>
      </w:r>
      <w:bookmarkStart w:id="4" w:name="_Hlk61026958"/>
      <w:r w:rsidRPr="004E1AEB">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E1AEB">
        <w:rPr>
          <w:rFonts w:ascii="Century Gothic" w:eastAsia="Century Gothic" w:hAnsi="Century Gothic" w:cs="Century Gothic"/>
          <w:lang w:eastAsia="es-ES_tradnl"/>
        </w:rPr>
        <w:t xml:space="preserve"> de todos los partícipes de la contratación estatal.</w:t>
      </w:r>
    </w:p>
    <w:p w14:paraId="774A9F7A" w14:textId="77777777" w:rsidR="004E1AEB" w:rsidRPr="004E1AEB" w:rsidRDefault="004E1AEB" w:rsidP="004E1AEB">
      <w:pPr>
        <w:spacing w:after="120" w:line="276" w:lineRule="auto"/>
        <w:ind w:firstLine="708"/>
        <w:jc w:val="both"/>
        <w:rPr>
          <w:rFonts w:ascii="Century Gothic" w:eastAsia="Century Gothic" w:hAnsi="Century Gothic" w:cs="Century Gothic"/>
          <w:lang w:val="es-ES" w:eastAsia="es-ES_tradnl"/>
        </w:rPr>
      </w:pPr>
      <w:r w:rsidRPr="004E1AEB">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E1AEB">
        <w:rPr>
          <w:rFonts w:ascii="Century Gothic" w:eastAsia="Century Gothic" w:hAnsi="Century Gothic" w:cs="Century Gothic"/>
          <w:vertAlign w:val="superscript"/>
          <w:lang w:val="es-ES" w:eastAsia="es-ES_tradnl"/>
        </w:rPr>
        <w:footnoteReference w:id="2"/>
      </w:r>
      <w:r w:rsidRPr="004E1AEB">
        <w:rPr>
          <w:rFonts w:ascii="Century Gothic" w:eastAsia="Century Gothic" w:hAnsi="Century Gothic" w:cs="Century Gothic"/>
          <w:lang w:val="es-ES" w:eastAsia="es-ES_tradnl"/>
        </w:rPr>
        <w:t xml:space="preserve">. Esta competencia de interpretación de normas generales, </w:t>
      </w:r>
      <w:r w:rsidRPr="004E1AEB">
        <w:rPr>
          <w:rFonts w:ascii="Century Gothic" w:eastAsia="Century Gothic" w:hAnsi="Century Gothic" w:cs="Century Gothic"/>
          <w:lang w:val="es-ES" w:eastAsia="es-ES_tradnl"/>
        </w:rPr>
        <w:lastRenderedPageBreak/>
        <w:t>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4E1AEB">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04D50A54" w14:textId="77777777" w:rsidR="004E1AEB" w:rsidRPr="004E1AEB" w:rsidRDefault="004E1AEB" w:rsidP="004E1AEB">
      <w:pPr>
        <w:tabs>
          <w:tab w:val="left" w:pos="426"/>
        </w:tabs>
        <w:spacing w:after="120" w:line="276" w:lineRule="auto"/>
        <w:jc w:val="both"/>
        <w:rPr>
          <w:rFonts w:ascii="Century Gothic" w:eastAsia="Century Gothic" w:hAnsi="Century Gothic" w:cs="Century Gothic"/>
          <w:lang w:val="es-ES" w:eastAsia="es-ES_tradnl"/>
        </w:rPr>
      </w:pPr>
      <w:r w:rsidRPr="004E1AEB">
        <w:rPr>
          <w:rFonts w:ascii="Century Gothic" w:eastAsia="Times New Roman" w:hAnsi="Century Gothic" w:cs="Arial"/>
          <w:lang w:eastAsia="es-ES_tradnl"/>
        </w:rPr>
        <w:tab/>
      </w:r>
      <w:r w:rsidRPr="004E1AEB">
        <w:rPr>
          <w:rFonts w:ascii="Century Gothic" w:eastAsia="Times New Roman" w:hAnsi="Century Gothic" w:cs="Arial"/>
          <w:lang w:eastAsia="es-ES_tradnl"/>
        </w:rPr>
        <w:tab/>
      </w:r>
      <w:r w:rsidRPr="004E1AEB">
        <w:rPr>
          <w:rFonts w:ascii="Century Gothic" w:eastAsia="Century Gothic" w:hAnsi="Century Gothic" w:cs="Century Gothic"/>
          <w:lang w:eastAsia="es-ES_tradnl"/>
        </w:rPr>
        <w:t xml:space="preserve">En atención de lo anterior, la Subdirección de Gestión Contractual, dentro de los límites de sus atribuciones, resolverá la consulta conforme a las normas generales en materia de contratación estatal. Con este objetivo se analizarán </w:t>
      </w:r>
      <w:r w:rsidRPr="004E1AEB">
        <w:rPr>
          <w:rFonts w:ascii="Century Gothic" w:eastAsia="Century Gothic" w:hAnsi="Century Gothic" w:cs="Century Gothic"/>
          <w:lang w:val="es-ES" w:eastAsia="es-ES_tradnl"/>
        </w:rPr>
        <w:t xml:space="preserve">los siguientes temas: </w:t>
      </w:r>
      <w:r w:rsidRPr="004E1AEB">
        <w:rPr>
          <w:rFonts w:ascii="Century Gothic" w:eastAsia="Calibri" w:hAnsi="Century Gothic" w:cs="Arial"/>
          <w:color w:val="000000" w:themeColor="text1"/>
          <w:lang w:val="es-ES" w:eastAsia="es-ES_tradnl"/>
        </w:rPr>
        <w:t xml:space="preserve">i) </w:t>
      </w:r>
      <w:r w:rsidRPr="004E1AEB">
        <w:rPr>
          <w:rFonts w:ascii="Century Gothic" w:eastAsia="Calibri" w:hAnsi="Century Gothic" w:cs="Arial"/>
          <w:color w:val="000000" w:themeColor="text1"/>
          <w:lang w:val="es-ES_tradnl"/>
        </w:rPr>
        <w:t>Régimen jurídico aplicable a los convenios regulados en el artículo 355 de la Constitución Política, en el artículo 96 de la Ley 489 de 1998 y en el Decreto 092 de 2017</w:t>
      </w:r>
      <w:r w:rsidRPr="004E1AEB">
        <w:rPr>
          <w:rFonts w:ascii="Century Gothic" w:eastAsia="Calibri" w:hAnsi="Century Gothic" w:cs="Arial"/>
          <w:noProof/>
          <w:lang w:val="es-ES_tradnl" w:eastAsia="es-ES_tradnl"/>
        </w:rPr>
        <w:t>; ii) la capacidad</w:t>
      </w:r>
      <w:r w:rsidRPr="004E1AEB">
        <w:rPr>
          <w:rFonts w:ascii="Century Gothic" w:eastAsia="Calibri" w:hAnsi="Century Gothic" w:cs="Arial"/>
          <w:lang w:val="es-ES_tradnl" w:eastAsia="es-ES_tradnl"/>
        </w:rPr>
        <w:t xml:space="preserve"> de los </w:t>
      </w:r>
      <w:r w:rsidRPr="004E1AEB">
        <w:rPr>
          <w:rFonts w:ascii="Century Gothic" w:eastAsia="Times New Roman" w:hAnsi="Century Gothic" w:cs="Arial"/>
          <w:lang w:eastAsia="es-ES_tradnl"/>
        </w:rPr>
        <w:t xml:space="preserve">concejos municipales de celebrar convenios de asociación; </w:t>
      </w:r>
      <w:proofErr w:type="spellStart"/>
      <w:r w:rsidRPr="004E1AEB">
        <w:rPr>
          <w:rFonts w:ascii="Century Gothic" w:eastAsia="Times New Roman" w:hAnsi="Century Gothic" w:cs="Arial"/>
          <w:lang w:eastAsia="es-ES_tradnl"/>
        </w:rPr>
        <w:t>iii</w:t>
      </w:r>
      <w:proofErr w:type="spellEnd"/>
      <w:r w:rsidRPr="004E1AEB">
        <w:rPr>
          <w:rFonts w:ascii="Century Gothic" w:eastAsia="Times New Roman" w:hAnsi="Century Gothic" w:cs="Arial"/>
          <w:lang w:eastAsia="es-ES_tradnl"/>
        </w:rPr>
        <w:t>)</w:t>
      </w:r>
      <w:r w:rsidRPr="004E1AEB">
        <w:rPr>
          <w:rFonts w:ascii="Century Gothic" w:eastAsia="Calibri" w:hAnsi="Century Gothic" w:cs="Arial"/>
          <w:noProof/>
          <w:lang w:val="es-ES_tradnl" w:eastAsia="es-ES_tradnl"/>
        </w:rPr>
        <w:t xml:space="preserve"> los aportes en los convenios de asociación y su incidencia en la forma de selección de la ESAL y; iv) el l</w:t>
      </w:r>
      <w:r w:rsidRPr="004E1AEB">
        <w:rPr>
          <w:rFonts w:ascii="Century Gothic" w:eastAsia="Calibri" w:hAnsi="Century Gothic" w:cs="Arial"/>
          <w:szCs w:val="24"/>
          <w:lang w:val="es-ES_tradnl" w:eastAsia="es-ES_tradnl"/>
        </w:rPr>
        <w:t>imite a la adición de los convenios de asociación.</w:t>
      </w:r>
    </w:p>
    <w:p w14:paraId="7BF9E77E" w14:textId="77777777" w:rsidR="004E1AEB" w:rsidRPr="004E1AEB" w:rsidRDefault="004E1AEB" w:rsidP="004E1AEB">
      <w:pPr>
        <w:spacing w:after="0" w:line="276" w:lineRule="auto"/>
        <w:ind w:firstLine="709"/>
        <w:jc w:val="both"/>
        <w:rPr>
          <w:rFonts w:ascii="Century Gothic" w:eastAsia="Century Gothic" w:hAnsi="Century Gothic" w:cs="Century Gothic"/>
          <w:lang w:val="es-ES" w:eastAsia="es-ES_tradnl"/>
        </w:rPr>
      </w:pPr>
      <w:r w:rsidRPr="004E1AEB">
        <w:rPr>
          <w:rFonts w:ascii="Century Gothic" w:eastAsia="Calibri" w:hAnsi="Century Gothic" w:cs="Arial"/>
          <w:color w:val="000000" w:themeColor="text1"/>
          <w:lang w:val="es-ES_tradnl" w:eastAsia="es-ES_tradnl"/>
        </w:rPr>
        <w:t xml:space="preserve">La Agencia Nacional de Contratación Pública – Colombia Compra Eficiente analizó </w:t>
      </w:r>
      <w:r w:rsidRPr="004E1AEB">
        <w:rPr>
          <w:rFonts w:ascii="Century Gothic" w:eastAsia="Calibri" w:hAnsi="Century Gothic" w:cs="Arial"/>
          <w:bCs/>
          <w:color w:val="000000" w:themeColor="text1"/>
          <w:lang w:val="es-ES_tradnl" w:eastAsia="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y C-274 del 05 de mayo de 2022. Así mismo, explicó los convenios de asociación entre Entidades Públicas y particulares regulados en el </w:t>
      </w:r>
      <w:r w:rsidRPr="004E1AEB">
        <w:rPr>
          <w:rFonts w:ascii="Century Gothic" w:eastAsia="Calibri" w:hAnsi="Century Gothic" w:cs="Arial"/>
          <w:bCs/>
          <w:color w:val="000000" w:themeColor="text1"/>
          <w:lang w:val="es-ES_tradnl" w:eastAsia="es-ES_tradnl"/>
        </w:rPr>
        <w:lastRenderedPageBreak/>
        <w:t>artículo 96 de la Ley 489 de 1998, entre otros, en 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C-771 del 29 de diciembre de 2022</w:t>
      </w:r>
      <w:r w:rsidRPr="004E1AEB">
        <w:rPr>
          <w:rFonts w:ascii="Century Gothic" w:eastAsia="Century Gothic" w:hAnsi="Century Gothic" w:cs="Century Gothic"/>
          <w:vertAlign w:val="superscript"/>
          <w:lang w:val="es-ES" w:eastAsia="es-ES_tradnl"/>
        </w:rPr>
        <w:footnoteReference w:id="3"/>
      </w:r>
      <w:r w:rsidRPr="004E1AEB">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3D32C8B5" w14:textId="77777777" w:rsidR="004E1AEB" w:rsidRPr="004E1AEB" w:rsidRDefault="004E1AEB" w:rsidP="004E1AEB">
      <w:pPr>
        <w:spacing w:after="0" w:line="276" w:lineRule="auto"/>
        <w:ind w:firstLine="709"/>
        <w:jc w:val="both"/>
        <w:rPr>
          <w:rFonts w:ascii="Century Gothic" w:eastAsia="Century Gothic" w:hAnsi="Century Gothic" w:cs="Century Gothic"/>
          <w:lang w:val="es-ES" w:eastAsia="es-ES_tradnl"/>
        </w:rPr>
      </w:pPr>
    </w:p>
    <w:p w14:paraId="604A8C03" w14:textId="77777777" w:rsidR="004E1AEB" w:rsidRPr="004E1AEB" w:rsidRDefault="004E1AEB" w:rsidP="004E1AEB">
      <w:pPr>
        <w:spacing w:after="0" w:line="276" w:lineRule="auto"/>
        <w:jc w:val="both"/>
        <w:rPr>
          <w:rFonts w:ascii="Century Gothic" w:eastAsia="Calibri" w:hAnsi="Century Gothic" w:cs="Arial"/>
          <w:b/>
          <w:bCs/>
          <w:color w:val="000000" w:themeColor="text1"/>
          <w:lang w:val="es-ES_tradnl"/>
        </w:rPr>
      </w:pPr>
      <w:bookmarkStart w:id="5" w:name="_Hlk117695077"/>
      <w:r w:rsidRPr="004E1AEB">
        <w:rPr>
          <w:rFonts w:ascii="Century Gothic" w:eastAsia="Calibri" w:hAnsi="Century Gothic" w:cs="Arial"/>
          <w:b/>
          <w:bCs/>
          <w:color w:val="000000" w:themeColor="text1"/>
          <w:lang w:val="es-ES_tradnl"/>
        </w:rPr>
        <w:t xml:space="preserve">2.1. Régimen jurídico aplicable a los convenios regulados en el artículo 355 de la Constitución Política, en el artículo 96 de la Ley 489 de 1998 y en el Decreto 092 de 2017. Reiteración de línea </w:t>
      </w:r>
    </w:p>
    <w:p w14:paraId="26EA3B23" w14:textId="77777777" w:rsidR="004E1AEB" w:rsidRPr="004E1AEB" w:rsidRDefault="004E1AEB" w:rsidP="004E1AEB">
      <w:pPr>
        <w:spacing w:after="0" w:line="276" w:lineRule="auto"/>
        <w:jc w:val="both"/>
        <w:rPr>
          <w:rFonts w:ascii="Century Gothic" w:eastAsia="Calibri" w:hAnsi="Century Gothic" w:cs="Arial"/>
          <w:color w:val="000000" w:themeColor="text1"/>
          <w:lang w:val="es-ES_tradnl"/>
        </w:rPr>
      </w:pPr>
    </w:p>
    <w:p w14:paraId="02EB84B6" w14:textId="77777777" w:rsidR="004E1AEB" w:rsidRPr="004E1AEB" w:rsidRDefault="004E1AEB" w:rsidP="004E1AEB">
      <w:pPr>
        <w:spacing w:after="120" w:line="276" w:lineRule="auto"/>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w:t>
      </w:r>
      <w:r w:rsidRPr="004E1AEB">
        <w:rPr>
          <w:rFonts w:ascii="Century Gothic" w:hAnsi="Century Gothic" w:cs="Arial"/>
          <w:color w:val="000000" w:themeColor="text1"/>
          <w:vertAlign w:val="superscript"/>
          <w:lang w:val="es-ES"/>
        </w:rPr>
        <w:footnoteReference w:id="4"/>
      </w:r>
      <w:r w:rsidRPr="004E1AEB">
        <w:rPr>
          <w:rFonts w:ascii="Century Gothic" w:eastAsia="Calibri" w:hAnsi="Century Gothic" w:cs="Arial"/>
          <w:color w:val="000000" w:themeColor="text1"/>
          <w:lang w:val="es-ES"/>
        </w:rPr>
        <w:t xml:space="preserve">. </w:t>
      </w:r>
      <w:bookmarkStart w:id="6" w:name="_Hlk164688501"/>
      <w:r w:rsidRPr="004E1AEB">
        <w:rPr>
          <w:rFonts w:ascii="Century Gothic" w:eastAsia="Calibri" w:hAnsi="Century Gothic" w:cs="Arial"/>
          <w:color w:val="000000" w:themeColor="text1"/>
          <w:lang w:val="es-ES"/>
        </w:rPr>
        <w:t>Por otra parte, el artículo 96 de la Ley 489 de 1998</w:t>
      </w:r>
      <w:r w:rsidRPr="004E1AEB">
        <w:rPr>
          <w:rFonts w:ascii="Century Gothic" w:eastAsia="Calibri" w:hAnsi="Century Gothic" w:cs="Arial"/>
          <w:color w:val="000000" w:themeColor="text1"/>
          <w:vertAlign w:val="superscript"/>
          <w:lang w:val="es-ES"/>
        </w:rPr>
        <w:footnoteReference w:id="5"/>
      </w:r>
      <w:r w:rsidRPr="004E1AEB">
        <w:rPr>
          <w:rFonts w:ascii="Century Gothic" w:eastAsia="Calibri" w:hAnsi="Century Gothic" w:cs="Arial"/>
          <w:color w:val="000000" w:themeColor="text1"/>
          <w:lang w:val="es-ES"/>
        </w:rPr>
        <w:t xml:space="preserve"> permite a las </w:t>
      </w:r>
      <w:r w:rsidRPr="004E1AEB">
        <w:rPr>
          <w:rFonts w:ascii="Century Gothic" w:eastAsia="Calibri" w:hAnsi="Century Gothic" w:cs="Arial"/>
          <w:color w:val="000000" w:themeColor="text1"/>
          <w:lang w:val="es-ES"/>
        </w:rPr>
        <w:lastRenderedPageBreak/>
        <w:t>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6"/>
      <w:r w:rsidRPr="004E1AEB">
        <w:rPr>
          <w:rFonts w:ascii="Century Gothic" w:eastAsia="Calibri" w:hAnsi="Century Gothic" w:cs="Arial"/>
          <w:color w:val="000000" w:themeColor="text1"/>
          <w:lang w:val="es-ES"/>
        </w:rPr>
        <w:t>.</w:t>
      </w:r>
    </w:p>
    <w:p w14:paraId="204EE92D" w14:textId="77777777" w:rsidR="004E1AEB" w:rsidRPr="004E1AEB" w:rsidRDefault="004E1AEB" w:rsidP="004E1AEB">
      <w:pPr>
        <w:spacing w:after="120" w:line="276" w:lineRule="auto"/>
        <w:ind w:firstLine="708"/>
        <w:jc w:val="both"/>
        <w:rPr>
          <w:rFonts w:ascii="Century Gothic" w:eastAsia="Calibri" w:hAnsi="Century Gothic" w:cs="Arial"/>
          <w:color w:val="000000"/>
          <w:lang w:val="es-MX" w:eastAsia="es-ES_tradnl"/>
        </w:rPr>
      </w:pPr>
      <w:bookmarkStart w:id="8" w:name="_Hlk38819155"/>
      <w:r w:rsidRPr="004E1AEB">
        <w:rPr>
          <w:rFonts w:ascii="Century Gothic" w:hAnsi="Century Gothic" w:cs="Arial"/>
          <w:lang w:val="es-MX"/>
        </w:rPr>
        <w:t>El Gobierno Nacional, en desarrollo del artículo 355 de la Constitución Política, expidió el Decreto 092 de 2017, q</w:t>
      </w:r>
      <w:r w:rsidRPr="004E1AEB">
        <w:rPr>
          <w:rFonts w:ascii="Century Gothic" w:eastAsia="Calibri" w:hAnsi="Century Gothic" w:cs="Arial"/>
          <w:lang w:val="es-MX"/>
        </w:rPr>
        <w:t xml:space="preserve">ue dispone las reglas para las contrataciones que realicen las Entidades Estatales con las ESAL. </w:t>
      </w:r>
      <w:r w:rsidRPr="004E1AEB">
        <w:rPr>
          <w:rFonts w:ascii="Century Gothic" w:eastAsia="Calibri" w:hAnsi="Century Gothic" w:cs="Arial"/>
          <w:color w:val="000000" w:themeColor="text1"/>
          <w:lang w:val="es-ES"/>
        </w:rPr>
        <w:t xml:space="preserve">El Decreto regula dos (2) eventos: i) </w:t>
      </w:r>
      <w:r w:rsidRPr="004E1AEB">
        <w:rPr>
          <w:rFonts w:ascii="Century Gothic" w:eastAsia="Calibri" w:hAnsi="Century Gothic" w:cs="Arial"/>
          <w:lang w:eastAsia="es-ES_tradnl"/>
        </w:rPr>
        <w:t xml:space="preserve">los </w:t>
      </w:r>
      <w:r w:rsidRPr="004E1AEB">
        <w:rPr>
          <w:rFonts w:ascii="Century Gothic" w:eastAsia="Calibri" w:hAnsi="Century Gothic" w:cs="Arial"/>
          <w:i/>
          <w:iCs/>
          <w:lang w:eastAsia="es-ES_tradnl"/>
        </w:rPr>
        <w:t>contratos de colaboración</w:t>
      </w:r>
      <w:r w:rsidRPr="004E1AEB">
        <w:rPr>
          <w:rFonts w:ascii="Century Gothic" w:eastAsia="Calibri" w:hAnsi="Century Gothic"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4E1AEB">
        <w:rPr>
          <w:rFonts w:ascii="Century Gothic" w:eastAsia="Calibri" w:hAnsi="Century Gothic" w:cs="Arial"/>
          <w:color w:val="000000" w:themeColor="text1"/>
          <w:lang w:val="es-ES"/>
        </w:rPr>
        <w:t xml:space="preserve"> y; </w:t>
      </w:r>
      <w:proofErr w:type="spellStart"/>
      <w:r w:rsidRPr="004E1AEB">
        <w:rPr>
          <w:rFonts w:ascii="Century Gothic" w:eastAsia="Calibri" w:hAnsi="Century Gothic" w:cs="Arial"/>
          <w:color w:val="000000" w:themeColor="text1"/>
          <w:lang w:val="es-ES"/>
        </w:rPr>
        <w:t>ii</w:t>
      </w:r>
      <w:proofErr w:type="spellEnd"/>
      <w:r w:rsidRPr="004E1AEB">
        <w:rPr>
          <w:rFonts w:ascii="Century Gothic" w:eastAsia="Calibri" w:hAnsi="Century Gothic" w:cs="Arial"/>
          <w:color w:val="000000" w:themeColor="text1"/>
          <w:lang w:val="es-ES"/>
        </w:rPr>
        <w:t xml:space="preserve">) los </w:t>
      </w:r>
      <w:r w:rsidRPr="004E1AEB">
        <w:rPr>
          <w:rFonts w:ascii="Century Gothic" w:eastAsia="Calibri" w:hAnsi="Century Gothic" w:cs="Arial"/>
          <w:i/>
          <w:iCs/>
          <w:color w:val="000000" w:themeColor="text1"/>
          <w:lang w:val="es-ES"/>
        </w:rPr>
        <w:t>convenios de asociación</w:t>
      </w:r>
      <w:r w:rsidRPr="004E1AEB">
        <w:rPr>
          <w:rFonts w:ascii="Century Gothic" w:eastAsia="Calibri" w:hAnsi="Century Gothic" w:cs="Arial"/>
          <w:color w:val="000000" w:themeColor="text1"/>
          <w:lang w:val="es-ES"/>
        </w:rPr>
        <w:t xml:space="preserve">, para el desarrollo conjunto de actividades relacionadas con las funciones de las Entidades Estatales, en desarrollo del artículo 96 de la Ley 489 de 1998. </w:t>
      </w:r>
      <w:r w:rsidRPr="004E1AEB">
        <w:rPr>
          <w:rFonts w:ascii="Century Gothic" w:eastAsia="Calibri" w:hAnsi="Century Gothic" w:cs="Arial"/>
          <w:color w:val="000000"/>
          <w:lang w:val="es-MX" w:eastAsia="es-ES_tradnl"/>
        </w:rPr>
        <w:t xml:space="preserve">Los primeros están regulados en el artículo 2 del Decreto 092 de 2017, mientras que los segundos en los artículos 5, 6, 7 y 8 </w:t>
      </w:r>
      <w:r w:rsidRPr="004E1AEB">
        <w:rPr>
          <w:rFonts w:ascii="Century Gothic" w:eastAsia="Calibri" w:hAnsi="Century Gothic" w:cs="Arial"/>
          <w:i/>
          <w:iCs/>
          <w:color w:val="000000"/>
          <w:lang w:val="es-MX" w:eastAsia="es-ES_tradnl"/>
        </w:rPr>
        <w:t>ibidem</w:t>
      </w:r>
      <w:r w:rsidRPr="004E1AEB">
        <w:rPr>
          <w:rFonts w:ascii="Century Gothic" w:eastAsia="Calibri" w:hAnsi="Century Gothic" w:cs="Arial"/>
          <w:color w:val="000000"/>
          <w:lang w:val="es-MX" w:eastAsia="es-ES_tradnl"/>
        </w:rPr>
        <w:t xml:space="preserve">. Es posible diferenciar, pues, los </w:t>
      </w:r>
      <w:r w:rsidRPr="004E1AEB">
        <w:rPr>
          <w:rFonts w:ascii="Century Gothic" w:eastAsia="Calibri" w:hAnsi="Century Gothic" w:cs="Arial"/>
          <w:i/>
          <w:iCs/>
          <w:color w:val="000000"/>
          <w:lang w:val="es-MX" w:eastAsia="es-ES_tradnl"/>
        </w:rPr>
        <w:t>convenios de asociación</w:t>
      </w:r>
      <w:r w:rsidRPr="004E1AEB">
        <w:rPr>
          <w:rFonts w:ascii="Century Gothic" w:eastAsia="Calibri" w:hAnsi="Century Gothic" w:cs="Arial"/>
          <w:color w:val="000000"/>
          <w:lang w:val="es-MX" w:eastAsia="es-ES_tradnl"/>
        </w:rPr>
        <w:t xml:space="preserve">, regulados en el artículo 5, de los </w:t>
      </w:r>
      <w:r w:rsidRPr="004E1AEB">
        <w:rPr>
          <w:rFonts w:ascii="Century Gothic" w:eastAsia="Calibri" w:hAnsi="Century Gothic" w:cs="Arial"/>
          <w:i/>
          <w:iCs/>
          <w:color w:val="000000"/>
          <w:lang w:val="es-MX" w:eastAsia="es-ES_tradnl"/>
        </w:rPr>
        <w:t>contratos de colaboración</w:t>
      </w:r>
      <w:r w:rsidRPr="004E1AEB">
        <w:rPr>
          <w:rFonts w:ascii="Century Gothic" w:eastAsia="Calibri" w:hAnsi="Century Gothic" w:cs="Arial"/>
          <w:color w:val="000000"/>
          <w:lang w:val="es-MX" w:eastAsia="es-ES_tradnl"/>
        </w:rPr>
        <w:t>, establecidos en el artículo 2 del Decreto 092 de 2017</w:t>
      </w:r>
      <w:r w:rsidRPr="004E1AEB">
        <w:rPr>
          <w:rFonts w:ascii="Century Gothic" w:eastAsia="Calibri" w:hAnsi="Century Gothic" w:cs="Arial"/>
          <w:color w:val="000000"/>
          <w:vertAlign w:val="superscript"/>
          <w:lang w:val="es-MX" w:eastAsia="es-ES_tradnl"/>
        </w:rPr>
        <w:footnoteReference w:id="6"/>
      </w:r>
      <w:r w:rsidRPr="004E1AEB">
        <w:rPr>
          <w:rFonts w:ascii="Century Gothic" w:eastAsia="Calibri" w:hAnsi="Century Gothic" w:cs="Arial"/>
          <w:color w:val="000000"/>
          <w:lang w:val="es-MX" w:eastAsia="es-ES_tradnl"/>
        </w:rPr>
        <w:t xml:space="preserve">. </w:t>
      </w:r>
    </w:p>
    <w:bookmarkEnd w:id="8"/>
    <w:p w14:paraId="0E541987"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De un lado, los </w:t>
      </w:r>
      <w:r w:rsidRPr="004E1AEB">
        <w:rPr>
          <w:rFonts w:ascii="Century Gothic" w:eastAsia="Calibri" w:hAnsi="Century Gothic" w:cs="Arial"/>
          <w:i/>
          <w:iCs/>
          <w:color w:val="000000" w:themeColor="text1"/>
          <w:lang w:val="es-ES"/>
        </w:rPr>
        <w:t>contratos del artículo 355 de la Constitución Política</w:t>
      </w:r>
      <w:r w:rsidRPr="004E1AEB">
        <w:rPr>
          <w:rFonts w:ascii="Century Gothic" w:eastAsia="Calibri" w:hAnsi="Century Gothic" w:cs="Arial"/>
          <w:color w:val="000000" w:themeColor="text1"/>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4B6400AC"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De otro lado, los </w:t>
      </w:r>
      <w:r w:rsidRPr="004E1AEB">
        <w:rPr>
          <w:rFonts w:ascii="Century Gothic" w:eastAsia="Calibri" w:hAnsi="Century Gothic" w:cs="Arial"/>
          <w:i/>
          <w:iCs/>
          <w:color w:val="000000" w:themeColor="text1"/>
          <w:lang w:val="es-ES"/>
        </w:rPr>
        <w:t>convenios de asociación</w:t>
      </w:r>
      <w:r w:rsidRPr="004E1AEB">
        <w:rPr>
          <w:rFonts w:ascii="Century Gothic" w:eastAsia="Calibri" w:hAnsi="Century Gothic" w:cs="Arial"/>
          <w:color w:val="000000" w:themeColor="text1"/>
          <w:lang w:val="es-ES"/>
        </w:rPr>
        <w:t xml:space="preserve"> “[…] [t]</w:t>
      </w:r>
      <w:proofErr w:type="spellStart"/>
      <w:r w:rsidRPr="004E1AEB">
        <w:rPr>
          <w:rFonts w:ascii="Century Gothic" w:eastAsia="Calibri" w:hAnsi="Century Gothic" w:cs="Arial"/>
          <w:color w:val="000000" w:themeColor="text1"/>
          <w:lang w:val="es-ES"/>
        </w:rPr>
        <w:t>ienen</w:t>
      </w:r>
      <w:proofErr w:type="spellEnd"/>
      <w:r w:rsidRPr="004E1AEB">
        <w:rPr>
          <w:rFonts w:ascii="Century Gothic" w:eastAsia="Calibri" w:hAnsi="Century Gothic" w:cs="Arial"/>
          <w:color w:val="000000" w:themeColor="text1"/>
          <w:lang w:val="es-ES"/>
        </w:rPr>
        <w:t xml:space="preserve"> como finalidad que la entidad estatal, cualquiera que sea su naturaleza y orden administrativo, se asocien con personas jurídicas particulares para el desarrollo conjunto de </w:t>
      </w:r>
      <w:r w:rsidRPr="004E1AEB">
        <w:rPr>
          <w:rFonts w:ascii="Century Gothic" w:eastAsia="Calibri" w:hAnsi="Century Gothic" w:cs="Arial"/>
          <w:color w:val="000000" w:themeColor="text1"/>
          <w:lang w:val="es-ES"/>
        </w:rPr>
        <w:lastRenderedPageBreak/>
        <w:t>actividades relacionadas con los cometidos y funciones asignadas a aquellas conforme a la Constitución y a la Ley”</w:t>
      </w:r>
      <w:r w:rsidRPr="004E1AEB">
        <w:rPr>
          <w:rFonts w:ascii="Century Gothic" w:hAnsi="Century Gothic" w:cs="Arial"/>
          <w:color w:val="000000" w:themeColor="text1"/>
          <w:vertAlign w:val="superscript"/>
          <w:lang w:val="es-ES"/>
        </w:rPr>
        <w:footnoteReference w:id="7"/>
      </w:r>
      <w:r w:rsidRPr="004E1AEB">
        <w:rPr>
          <w:rFonts w:ascii="Century Gothic" w:eastAsia="Calibri" w:hAnsi="Century Gothic" w:cs="Arial"/>
          <w:color w:val="000000" w:themeColor="text1"/>
          <w:lang w:val="es-ES"/>
        </w:rPr>
        <w:t xml:space="preserve">. </w:t>
      </w:r>
    </w:p>
    <w:p w14:paraId="567A9BE7" w14:textId="77777777" w:rsidR="004E1AEB" w:rsidRPr="004E1AEB" w:rsidRDefault="004E1AEB" w:rsidP="004E1AEB">
      <w:pPr>
        <w:spacing w:after="120" w:line="276" w:lineRule="auto"/>
        <w:ind w:firstLine="708"/>
        <w:jc w:val="both"/>
        <w:rPr>
          <w:rFonts w:ascii="Century Gothic" w:eastAsia="Calibri" w:hAnsi="Century Gothic" w:cs="Arial"/>
          <w:color w:val="000000"/>
          <w:lang w:val="es-MX" w:eastAsia="es-ES_tradnl"/>
        </w:rPr>
      </w:pPr>
      <w:r w:rsidRPr="004E1AEB">
        <w:rPr>
          <w:rFonts w:ascii="Century Gothic" w:eastAsia="Calibri" w:hAnsi="Century Gothic" w:cs="Arial"/>
          <w:color w:val="000000"/>
          <w:lang w:val="es-MX"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38BBC975"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En estos convenios no existe contraprestación o pago, sino aportes, los cuales están dirigidos, exclusivamente, a lograr la ejecución del convenio no a remunerar la actividad o actuaciones del asociado. De todos modos, la entidad debe adelantar un proceso competitivo, salvo cuando la ESAL comprometa recursos en dinero para la ejecución de estas actividades, en una proporción no inferior al treinta por ciento (30%) del valor total del convenio.</w:t>
      </w:r>
    </w:p>
    <w:p w14:paraId="172C4D7F"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19A5B943" w14:textId="77777777" w:rsidR="004E1AEB" w:rsidRPr="004E1AEB" w:rsidRDefault="004E1AEB" w:rsidP="004E1AEB">
      <w:pPr>
        <w:spacing w:after="120" w:line="276" w:lineRule="auto"/>
        <w:ind w:firstLine="708"/>
        <w:jc w:val="both"/>
        <w:rPr>
          <w:rFonts w:ascii="Century Gothic" w:eastAsia="Calibri" w:hAnsi="Century Gothic" w:cs="Arial"/>
          <w:color w:val="000000"/>
          <w:lang w:val="es-MX" w:eastAsia="es-ES_tradnl"/>
        </w:rPr>
      </w:pPr>
      <w:r w:rsidRPr="004E1AEB">
        <w:rPr>
          <w:rFonts w:ascii="Century Gothic" w:eastAsia="Calibri" w:hAnsi="Century Gothic" w:cs="Arial"/>
          <w:color w:val="000000"/>
          <w:lang w:val="es-MX" w:eastAsia="es-ES_tradnl"/>
        </w:rPr>
        <w:t xml:space="preserve">La noción </w:t>
      </w:r>
      <w:r w:rsidRPr="004E1AEB">
        <w:rPr>
          <w:rFonts w:ascii="Century Gothic" w:eastAsia="Calibri" w:hAnsi="Century Gothic" w:cs="Arial"/>
          <w:i/>
          <w:iCs/>
          <w:color w:val="000000"/>
          <w:lang w:val="es-MX" w:eastAsia="es-ES_tradnl"/>
        </w:rPr>
        <w:t>“seleccionar de forma objetiva”</w:t>
      </w:r>
      <w:r w:rsidRPr="004E1AEB">
        <w:rPr>
          <w:rFonts w:ascii="Century Gothic" w:eastAsia="Calibri" w:hAnsi="Century Gothic" w:cs="Arial"/>
          <w:color w:val="000000"/>
          <w:lang w:val="es-MX" w:eastAsia="es-ES_tradnl"/>
        </w:rPr>
        <w:t xml:space="preserve">, contenida en la disposición </w:t>
      </w:r>
      <w:r w:rsidRPr="004E1AEB">
        <w:rPr>
          <w:rFonts w:ascii="Century Gothic" w:eastAsia="Calibri" w:hAnsi="Century Gothic" w:cs="Arial"/>
          <w:i/>
          <w:iCs/>
          <w:color w:val="000000"/>
          <w:lang w:val="es-MX" w:eastAsia="es-ES_tradnl"/>
        </w:rPr>
        <w:t xml:space="preserve">sub examine </w:t>
      </w:r>
      <w:r w:rsidRPr="004E1AEB">
        <w:rPr>
          <w:rFonts w:ascii="Century Gothic" w:eastAsia="Calibri" w:hAnsi="Century Gothic" w:cs="Arial"/>
          <w:color w:val="000000"/>
          <w:lang w:val="es-MX" w:eastAsia="es-ES_tradnl"/>
        </w:rPr>
        <w:t xml:space="preserve">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w:t>
      </w:r>
      <w:r w:rsidRPr="004E1AEB">
        <w:rPr>
          <w:rFonts w:ascii="Century Gothic" w:eastAsia="Calibri" w:hAnsi="Century Gothic" w:cs="Arial"/>
          <w:color w:val="000000"/>
          <w:lang w:val="es-MX" w:eastAsia="es-ES_tradnl"/>
        </w:rPr>
        <w:lastRenderedPageBreak/>
        <w:t>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05C0F4B1" w14:textId="77777777" w:rsidR="004E1AEB" w:rsidRPr="004E1AEB" w:rsidRDefault="004E1AEB" w:rsidP="004E1AEB">
      <w:pPr>
        <w:spacing w:after="120" w:line="276" w:lineRule="auto"/>
        <w:ind w:firstLine="708"/>
        <w:jc w:val="both"/>
        <w:textAlignment w:val="baseline"/>
        <w:rPr>
          <w:rFonts w:ascii="Century Gothic" w:eastAsia="Calibri" w:hAnsi="Century Gothic" w:cs="Arial"/>
          <w:color w:val="000000"/>
          <w:lang w:val="es-MX" w:eastAsia="es-ES_tradnl"/>
        </w:rPr>
      </w:pPr>
      <w:r w:rsidRPr="004E1AEB">
        <w:rPr>
          <w:rFonts w:ascii="Century Gothic" w:eastAsia="Arial" w:hAnsi="Century Gothic" w:cs="Arial"/>
          <w:color w:val="000000"/>
          <w:lang w:val="es-ES" w:eastAsia="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4E1AEB">
        <w:rPr>
          <w:rFonts w:ascii="Century Gothic" w:eastAsia="Calibri" w:hAnsi="Century Gothic" w:cs="Arial"/>
          <w:color w:val="000000"/>
          <w:lang w:val="es-MX" w:eastAsia="es-ES_tradnl"/>
        </w:rPr>
        <w:t>.</w:t>
      </w:r>
    </w:p>
    <w:p w14:paraId="5677EA5D" w14:textId="77777777" w:rsidR="004E1AEB" w:rsidRPr="004E1AEB" w:rsidRDefault="004E1AEB" w:rsidP="004E1AEB">
      <w:pPr>
        <w:spacing w:after="120" w:line="276" w:lineRule="auto"/>
        <w:ind w:firstLine="709"/>
        <w:jc w:val="both"/>
        <w:rPr>
          <w:rFonts w:ascii="Century Gothic" w:eastAsia="Calibri" w:hAnsi="Century Gothic" w:cs="Arial"/>
          <w:color w:val="000000"/>
          <w:lang w:val="es-MX" w:eastAsia="es-ES_tradnl"/>
        </w:rPr>
      </w:pPr>
      <w:r w:rsidRPr="004E1AEB">
        <w:rPr>
          <w:rFonts w:ascii="Century Gothic" w:eastAsia="Calibri" w:hAnsi="Century Gothic" w:cs="Arial"/>
          <w:color w:val="000000"/>
          <w:lang w:val="es-MX" w:eastAsia="es-ES_tradnl"/>
        </w:rPr>
        <w:t>Ahora bien, el Consejo de Estado, en el Auto del 6 de agosto de 2019 de la Sección Tercera, Subsección A –</w:t>
      </w:r>
      <w:proofErr w:type="spellStart"/>
      <w:r w:rsidRPr="004E1AEB">
        <w:rPr>
          <w:rFonts w:ascii="Century Gothic" w:eastAsia="Calibri" w:hAnsi="Century Gothic" w:cs="Arial"/>
          <w:color w:val="000000"/>
          <w:lang w:val="es-MX" w:eastAsia="es-ES_tradnl"/>
        </w:rPr>
        <w:t>Exp</w:t>
      </w:r>
      <w:proofErr w:type="spellEnd"/>
      <w:r w:rsidRPr="004E1AEB">
        <w:rPr>
          <w:rFonts w:ascii="Century Gothic" w:eastAsia="Calibri" w:hAnsi="Century Gothic" w:cs="Arial"/>
          <w:color w:val="000000"/>
          <w:lang w:val="es-MX" w:eastAsia="es-ES_tradnl"/>
        </w:rPr>
        <w:t>. 62.003–, estudió la solicitud de suspensión provisional</w:t>
      </w:r>
      <w:r w:rsidRPr="004E1AEB">
        <w:rPr>
          <w:rFonts w:ascii="Century Gothic" w:eastAsia="Calibri" w:hAnsi="Century Gothic" w:cs="Arial"/>
          <w:color w:val="000000"/>
          <w:vertAlign w:val="superscript"/>
          <w:lang w:val="es-MX" w:eastAsia="es-ES_tradnl"/>
        </w:rPr>
        <w:footnoteReference w:id="8"/>
      </w:r>
      <w:r w:rsidRPr="004E1AEB">
        <w:rPr>
          <w:rFonts w:ascii="Century Gothic" w:eastAsia="Calibri" w:hAnsi="Century Gothic" w:cs="Arial"/>
          <w:color w:val="000000"/>
          <w:lang w:val="es-MX" w:eastAsia="es-ES_tradnl"/>
        </w:rPr>
        <w:t xml:space="preserve"> del inciso 2 del artículo 1, literales a y c del artículo 2, inciso 5 del artículo 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frente a la última disposición relacionada con los convenios de asociación, reservando el análisis sobre la legalidad de dicho artículo a la sentencia de fondo. Por tanto, si se pretende realizar un </w:t>
      </w:r>
      <w:r w:rsidRPr="004E1AEB">
        <w:rPr>
          <w:rFonts w:ascii="Century Gothic" w:eastAsia="Calibri" w:hAnsi="Century Gothic" w:cs="Arial"/>
          <w:i/>
          <w:iCs/>
          <w:color w:val="000000"/>
          <w:lang w:val="es-MX" w:eastAsia="es-ES_tradnl"/>
        </w:rPr>
        <w:t>convenio de asociación</w:t>
      </w:r>
      <w:r w:rsidRPr="004E1AEB">
        <w:rPr>
          <w:rFonts w:ascii="Century Gothic" w:eastAsia="Calibri" w:hAnsi="Century Gothic" w:cs="Arial"/>
          <w:color w:val="000000"/>
          <w:lang w:val="es-MX" w:eastAsia="es-ES_tradnl"/>
        </w:rPr>
        <w:t xml:space="preserve"> con ESAL de reconocida idoneidad para el cumplimiento de las funciones que la ley les asigna a las Entidades Públicas, debe aplicarse lo dispuesto en el artículo 5 del Decreto 092 de 2017. </w:t>
      </w:r>
      <w:r w:rsidRPr="004E1AEB">
        <w:rPr>
          <w:rFonts w:ascii="Century Gothic" w:eastAsia="Calibri" w:hAnsi="Century Gothic" w:cs="Arial"/>
          <w:color w:val="000000"/>
          <w:lang w:val="es-ES_tradnl" w:eastAsia="es-ES_tradnl"/>
        </w:rPr>
        <w:t>En todo caso, conviene precisar que mediante Auto del 15 de marzo de 2022</w:t>
      </w:r>
      <w:r w:rsidRPr="004E1AEB">
        <w:rPr>
          <w:rFonts w:ascii="Century Gothic" w:eastAsia="Calibri" w:hAnsi="Century Gothic" w:cs="Arial"/>
          <w:color w:val="000000"/>
          <w:vertAlign w:val="superscript"/>
          <w:lang w:val="es-ES_tradnl" w:eastAsia="es-ES_tradnl"/>
        </w:rPr>
        <w:footnoteReference w:id="9"/>
      </w:r>
      <w:r w:rsidRPr="004E1AEB">
        <w:rPr>
          <w:rFonts w:ascii="Century Gothic" w:eastAsia="Calibri" w:hAnsi="Century Gothic" w:cs="Arial"/>
          <w:color w:val="000000"/>
          <w:lang w:val="es-ES_tradnl" w:eastAsia="es-ES_tradnl"/>
        </w:rPr>
        <w:t xml:space="preserve">, el Consejo de Estado levantó la medida cautelar de suspensión provisional respecto del inciso 2 </w:t>
      </w:r>
      <w:r w:rsidRPr="004E1AEB">
        <w:rPr>
          <w:rFonts w:ascii="Century Gothic" w:eastAsia="Calibri" w:hAnsi="Century Gothic" w:cs="Arial"/>
          <w:color w:val="000000"/>
          <w:lang w:val="es-ES_tradnl" w:eastAsia="es-ES_tradnl"/>
        </w:rPr>
        <w:lastRenderedPageBreak/>
        <w:t>del artículo 1 y el inciso 2 del artículo 3, del Decreto 092 de 2007, por lo que surten en la actualidad efectos jurídicos</w:t>
      </w:r>
      <w:r w:rsidRPr="004E1AEB">
        <w:rPr>
          <w:rFonts w:ascii="Century Gothic" w:eastAsia="Calibri" w:hAnsi="Century Gothic" w:cs="Arial"/>
          <w:color w:val="000000"/>
          <w:vertAlign w:val="superscript"/>
          <w:lang w:val="es-ES_tradnl" w:eastAsia="es-ES_tradnl"/>
        </w:rPr>
        <w:footnoteReference w:id="10"/>
      </w:r>
      <w:r w:rsidRPr="004E1AEB">
        <w:rPr>
          <w:rFonts w:ascii="Century Gothic" w:eastAsia="Calibri" w:hAnsi="Century Gothic" w:cs="Arial"/>
          <w:color w:val="000000"/>
          <w:lang w:val="es-ES_tradnl" w:eastAsia="es-ES_tradnl"/>
        </w:rPr>
        <w:t>.</w:t>
      </w:r>
    </w:p>
    <w:p w14:paraId="5166D73D" w14:textId="77777777" w:rsidR="004E1AEB" w:rsidRPr="004E1AEB" w:rsidRDefault="004E1AEB" w:rsidP="004E1AEB">
      <w:pPr>
        <w:spacing w:after="120" w:line="276" w:lineRule="auto"/>
        <w:ind w:firstLine="708"/>
        <w:jc w:val="both"/>
        <w:textAlignment w:val="baseline"/>
        <w:rPr>
          <w:rFonts w:ascii="Century Gothic" w:eastAsia="Calibri" w:hAnsi="Century Gothic" w:cs="Arial"/>
          <w:lang w:val="es-ES_tradnl" w:eastAsia="es-ES_tradnl"/>
        </w:rPr>
      </w:pPr>
      <w:r w:rsidRPr="004E1AEB">
        <w:rPr>
          <w:rFonts w:ascii="Century Gothic" w:eastAsia="Calibri" w:hAnsi="Century Gothic" w:cs="Arial"/>
          <w:color w:val="000000"/>
          <w:lang w:val="es-MX" w:eastAsia="es-ES_tradnl"/>
        </w:rPr>
        <w:t xml:space="preserve">Como se explicó, en relación con los convenios de asociación, el artículo 5 del citado Decreto establece que el proceso para la selección de la ESAL, por regla general, debe estar sujeto a competencia; salvo en aquellos casos en que </w:t>
      </w:r>
      <w:r w:rsidRPr="004E1AEB">
        <w:rPr>
          <w:rFonts w:ascii="Century Gothic" w:eastAsia="Calibri" w:hAnsi="Century Gothic" w:cs="Arial"/>
          <w:i/>
          <w:iCs/>
          <w:color w:val="000000"/>
          <w:lang w:val="es-MX" w:eastAsia="es-ES_tradnl"/>
        </w:rPr>
        <w:t>una</w:t>
      </w:r>
      <w:r w:rsidRPr="004E1AEB">
        <w:rPr>
          <w:rFonts w:ascii="Century Gothic" w:eastAsia="Calibri" w:hAnsi="Century Gothic" w:cs="Arial"/>
          <w:color w:val="000000"/>
          <w:lang w:val="es-MX" w:eastAsia="es-ES_tradnl"/>
        </w:rPr>
        <w:t xml:space="preserve"> ESAL comprometa recursos en dinero por un valor igual o superior al treinta por ciento (30%) del valor total del convenio</w:t>
      </w:r>
      <w:r w:rsidRPr="004E1AEB">
        <w:rPr>
          <w:rFonts w:ascii="Century Gothic" w:eastAsia="Calibri" w:hAnsi="Century Gothic" w:cs="Arial"/>
          <w:color w:val="000000"/>
          <w:vertAlign w:val="superscript"/>
          <w:lang w:val="es-MX" w:eastAsia="es-ES_tradnl"/>
        </w:rPr>
        <w:footnoteReference w:id="11"/>
      </w:r>
      <w:r w:rsidRPr="004E1AEB">
        <w:rPr>
          <w:rFonts w:ascii="Century Gothic" w:eastAsia="Calibri" w:hAnsi="Century Gothic" w:cs="Arial"/>
          <w:color w:val="000000"/>
          <w:lang w:val="es-MX" w:eastAsia="es-ES_tradnl"/>
        </w:rPr>
        <w:t>, y siempre que la Entidad Estatal verifique previamente que no existe ninguna otra ESAL que ofrezca aportes en dinero iguales o superiores al treinta por ciento (30%), ya que en este último evento también deberá adelantar un proceso competitivo. De hecho, en relación con la naturaleza y cuantía de los convenios, la norma anteriormente citada no prohíbe la celebración de convenios en que la ESAL aporte menos del treinta por ciento (30%) o cuando aporten recursos en especie. En efecto, solo indica que en esos casos la Entidad Estatal debe acudir al proceso competitivo para seleccionar a la ESAL con la cual celebrará el respectivo convenio.</w:t>
      </w:r>
    </w:p>
    <w:p w14:paraId="715C16C0" w14:textId="77777777" w:rsidR="004E1AEB" w:rsidRPr="004E1AEB" w:rsidRDefault="004E1AEB" w:rsidP="004E1AEB">
      <w:pPr>
        <w:spacing w:after="0" w:line="276" w:lineRule="auto"/>
        <w:ind w:firstLine="709"/>
        <w:jc w:val="both"/>
        <w:rPr>
          <w:rFonts w:ascii="Century Gothic" w:eastAsia="Calibri" w:hAnsi="Century Gothic" w:cs="Arial"/>
          <w:lang w:val="es-ES" w:eastAsia="es-ES_tradnl"/>
        </w:rPr>
      </w:pPr>
      <w:r w:rsidRPr="004E1AEB">
        <w:rPr>
          <w:rFonts w:ascii="Century Gothic" w:eastAsia="Calibri" w:hAnsi="Century Gothic" w:cs="Arial"/>
          <w:lang w:val="es-ES" w:eastAsia="es-ES"/>
        </w:rPr>
        <w:t xml:space="preserve">Finalmente, sintetizando lo expresado en relación con los </w:t>
      </w:r>
      <w:r w:rsidRPr="004E1AEB">
        <w:rPr>
          <w:rFonts w:ascii="Century Gothic" w:eastAsia="Calibri" w:hAnsi="Century Gothic" w:cs="Arial"/>
          <w:i/>
          <w:iCs/>
          <w:lang w:val="es-ES" w:eastAsia="es-ES"/>
        </w:rPr>
        <w:t>convenios de asociación</w:t>
      </w:r>
      <w:r w:rsidRPr="004E1AEB">
        <w:rPr>
          <w:rFonts w:ascii="Century Gothic" w:eastAsia="Calibri" w:hAnsi="Century Gothic" w:cs="Arial"/>
          <w:lang w:val="es-ES" w:eastAsia="es-ES"/>
        </w:rPr>
        <w:t xml:space="preserve">, la finalidad de los aportes a que se refirió en consideraciones previas está dirigidos concretamente a lograr la ejecución del convenio. </w:t>
      </w:r>
    </w:p>
    <w:p w14:paraId="74E1AA8C" w14:textId="77777777" w:rsidR="004E1AEB" w:rsidRPr="004E1AEB" w:rsidRDefault="004E1AEB" w:rsidP="004E1AEB">
      <w:pPr>
        <w:spacing w:after="0" w:line="276" w:lineRule="auto"/>
        <w:jc w:val="both"/>
        <w:textAlignment w:val="baseline"/>
        <w:rPr>
          <w:rFonts w:ascii="Century Gothic" w:eastAsia="Calibri" w:hAnsi="Century Gothic" w:cs="Arial"/>
          <w:b/>
          <w:bCs/>
          <w:lang w:val="es-ES_tradnl" w:eastAsia="es-ES_tradnl"/>
        </w:rPr>
      </w:pPr>
    </w:p>
    <w:p w14:paraId="1058C528" w14:textId="77777777" w:rsidR="004E1AEB" w:rsidRPr="004E1AEB" w:rsidRDefault="004E1AEB" w:rsidP="004E1AEB">
      <w:pPr>
        <w:spacing w:after="0" w:line="276" w:lineRule="auto"/>
        <w:jc w:val="both"/>
        <w:textAlignment w:val="baseline"/>
        <w:rPr>
          <w:rFonts w:ascii="Century Gothic" w:eastAsia="Times New Roman" w:hAnsi="Century Gothic" w:cs="Arial"/>
          <w:b/>
          <w:bCs/>
          <w:lang w:eastAsia="es-ES_tradnl"/>
        </w:rPr>
      </w:pPr>
      <w:r w:rsidRPr="004E1AEB">
        <w:rPr>
          <w:rFonts w:ascii="Century Gothic" w:eastAsia="Calibri" w:hAnsi="Century Gothic" w:cs="Arial"/>
          <w:b/>
          <w:bCs/>
          <w:lang w:val="es-ES_tradnl" w:eastAsia="es-ES_tradnl"/>
        </w:rPr>
        <w:t xml:space="preserve">2.2. Capacidad de los </w:t>
      </w:r>
      <w:r w:rsidRPr="004E1AEB">
        <w:rPr>
          <w:rFonts w:ascii="Century Gothic" w:eastAsia="Times New Roman" w:hAnsi="Century Gothic" w:cs="Arial"/>
          <w:b/>
          <w:bCs/>
          <w:lang w:eastAsia="es-ES_tradnl"/>
        </w:rPr>
        <w:t xml:space="preserve">concejos municipales de celebrar convenios de asociación </w:t>
      </w:r>
    </w:p>
    <w:p w14:paraId="38905298" w14:textId="77777777" w:rsidR="004E1AEB" w:rsidRPr="004E1AEB" w:rsidRDefault="004E1AEB" w:rsidP="004E1AEB">
      <w:pPr>
        <w:autoSpaceDE w:val="0"/>
        <w:autoSpaceDN w:val="0"/>
        <w:adjustRightInd w:val="0"/>
        <w:spacing w:after="0" w:line="276" w:lineRule="auto"/>
        <w:jc w:val="both"/>
        <w:rPr>
          <w:rFonts w:ascii="Century Gothic" w:eastAsia="Times New Roman" w:hAnsi="Century Gothic" w:cs="Arial"/>
          <w:color w:val="000000"/>
          <w:lang w:val="es-ES_tradnl" w:eastAsia="es-ES_tradnl"/>
        </w:rPr>
      </w:pPr>
    </w:p>
    <w:p w14:paraId="13BD5A80" w14:textId="77777777" w:rsidR="004E1AEB" w:rsidRPr="004E1AEB" w:rsidRDefault="004E1AEB" w:rsidP="004E1AEB">
      <w:pPr>
        <w:spacing w:after="120" w:line="276" w:lineRule="auto"/>
        <w:jc w:val="both"/>
        <w:rPr>
          <w:rFonts w:ascii="Century Gothic" w:eastAsia="Calibri" w:hAnsi="Century Gothic" w:cs="Arial"/>
          <w:lang w:val="es-ES" w:eastAsia="es-ES_tradnl"/>
        </w:rPr>
      </w:pPr>
      <w:r w:rsidRPr="004E1AEB">
        <w:rPr>
          <w:rFonts w:ascii="Century Gothic" w:eastAsia="Calibri" w:hAnsi="Century Gothic" w:cs="Arial"/>
          <w:color w:val="000000" w:themeColor="text1"/>
          <w:lang w:val="es-ES"/>
        </w:rPr>
        <w:lastRenderedPageBreak/>
        <w:t xml:space="preserve">En atención a la pregunta número 4 de su consulta, referente a si un concejo municipal puede suscribir un convenio de asociación, es menester indicar que, </w:t>
      </w:r>
      <w:r w:rsidRPr="004E1AEB">
        <w:rPr>
          <w:rFonts w:ascii="Century Gothic" w:eastAsia="Calibri" w:hAnsi="Century Gothic" w:cs="Arial"/>
          <w:lang w:val="es-MX"/>
        </w:rPr>
        <w:t xml:space="preserve">de conformidad con el artículo 96 de la Ley 489 de 1996, los </w:t>
      </w:r>
      <w:r w:rsidRPr="004E1AEB">
        <w:rPr>
          <w:rFonts w:ascii="Century Gothic" w:eastAsia="Calibri" w:hAnsi="Century Gothic" w:cs="Arial"/>
          <w:i/>
          <w:lang w:val="es-MX"/>
        </w:rPr>
        <w:t>convenios de asociación</w:t>
      </w:r>
      <w:r w:rsidRPr="004E1AEB">
        <w:rPr>
          <w:rFonts w:ascii="Century Gothic" w:eastAsia="Calibri" w:hAnsi="Century Gothic" w:cs="Arial"/>
          <w:lang w:val="es-MX"/>
        </w:rPr>
        <w:t xml:space="preserve"> pueden ser celebrados por cualquier Entidad Estatal “cualquiera sea su naturaleza y orden administrativo”. </w:t>
      </w:r>
      <w:r w:rsidRPr="004E1AEB">
        <w:rPr>
          <w:rFonts w:ascii="Century Gothic" w:eastAsia="Calibri" w:hAnsi="Century Gothic" w:cs="Arial"/>
          <w:color w:val="000000" w:themeColor="text1"/>
          <w:lang w:val="es-ES"/>
        </w:rPr>
        <w:t>En este sentido, serán competentes para celebrar este tipo de convenios todas las entidades enlistadas en el artículo 2° del EGCAP.</w:t>
      </w:r>
      <w:r w:rsidRPr="004E1AEB">
        <w:rPr>
          <w:rFonts w:ascii="Century Gothic" w:eastAsia="Calibri" w:hAnsi="Century Gothic" w:cs="Arial"/>
          <w:lang w:val="es-ES" w:eastAsia="es-ES_tradnl"/>
        </w:rPr>
        <w:t xml:space="preserve"> En consecuencia, es necesario analizar si los consejos municipales se enmarcan o no en la definición de Entidades Estatales. </w:t>
      </w:r>
    </w:p>
    <w:p w14:paraId="6245ACB3" w14:textId="77777777" w:rsidR="004E1AEB" w:rsidRPr="004E1AEB" w:rsidRDefault="004E1AEB" w:rsidP="004E1AEB">
      <w:pPr>
        <w:spacing w:after="120" w:line="276" w:lineRule="auto"/>
        <w:ind w:firstLine="709"/>
        <w:jc w:val="both"/>
        <w:rPr>
          <w:rFonts w:ascii="Century Gothic" w:eastAsia="Calibri" w:hAnsi="Century Gothic" w:cs="Arial"/>
          <w:lang w:val="es-ES" w:eastAsia="es-ES_tradnl"/>
        </w:rPr>
      </w:pPr>
      <w:r w:rsidRPr="004E1AEB">
        <w:rPr>
          <w:rFonts w:ascii="Century Gothic" w:eastAsia="Calibri" w:hAnsi="Century Gothic" w:cs="Arial"/>
          <w:lang w:val="es-ES" w:eastAsia="es-ES_tradnl"/>
        </w:rPr>
        <w:t>Aunque el numeral 1° del artículo 2 ibidem no lista expresamente a los concejos municipales, el literal b) de dicho numeral dispone que son Entidades Estatales “los organismos o dependencias del Estado a los que la ley otorgue capacidad para celebrar contratos”. De otra parte, el numeral 2° del artículo 2 de la Ley 80 de 1993 considera como servidores públicos a “b) Los miembros de las corporaciones públicas que tengan capacidad para celebrar contratos en representación de éstas”.</w:t>
      </w:r>
    </w:p>
    <w:p w14:paraId="25FF44D1" w14:textId="77777777" w:rsidR="004E1AEB" w:rsidRPr="004E1AEB" w:rsidRDefault="004E1AEB" w:rsidP="004E1AEB">
      <w:pPr>
        <w:spacing w:after="0" w:line="276" w:lineRule="auto"/>
        <w:ind w:firstLine="709"/>
        <w:jc w:val="both"/>
        <w:rPr>
          <w:rFonts w:ascii="Century Gothic" w:eastAsia="Calibri" w:hAnsi="Century Gothic" w:cs="Arial"/>
          <w:lang w:val="es-ES" w:eastAsia="es-ES_tradnl"/>
        </w:rPr>
      </w:pPr>
      <w:r w:rsidRPr="004E1AEB">
        <w:rPr>
          <w:rFonts w:ascii="Century Gothic" w:eastAsia="Calibri" w:hAnsi="Century Gothic" w:cs="Arial"/>
          <w:lang w:val="es-ES" w:eastAsia="es-ES_tradnl"/>
        </w:rPr>
        <w:t xml:space="preserve">De los apartes transcritos se desprenden dos (2) aspectos para efectos de resolver la consulta: en </w:t>
      </w:r>
      <w:r w:rsidRPr="000B5D01">
        <w:rPr>
          <w:rFonts w:ascii="Century Gothic" w:eastAsia="Calibri" w:hAnsi="Century Gothic" w:cs="Arial"/>
          <w:i/>
          <w:lang w:val="es-ES" w:eastAsia="es-ES_tradnl"/>
        </w:rPr>
        <w:t>primer lugar</w:t>
      </w:r>
      <w:r w:rsidRPr="004E1AEB">
        <w:rPr>
          <w:rFonts w:ascii="Century Gothic" w:eastAsia="Calibri" w:hAnsi="Century Gothic" w:cs="Arial"/>
          <w:lang w:val="es-ES" w:eastAsia="es-ES_tradnl"/>
        </w:rPr>
        <w:t xml:space="preserve">, se resalta que los miembros de las corporaciones públicas que tengan capacidad para celebrar contratos en representación de estas son funcionarios públicos para efectos de la Ley 80 de 1993. Con ello, el Estatuto General de Contratación de la Administración Pública -en adelante EGCAP – acepta tácitamente la capacidad de contratación de las corporaciones públicas. En </w:t>
      </w:r>
      <w:r w:rsidRPr="000B5D01">
        <w:rPr>
          <w:rFonts w:ascii="Century Gothic" w:eastAsia="Calibri" w:hAnsi="Century Gothic" w:cs="Arial"/>
          <w:i/>
          <w:lang w:val="es-ES" w:eastAsia="es-ES_tradnl"/>
        </w:rPr>
        <w:t>segundo lugar</w:t>
      </w:r>
      <w:r w:rsidRPr="004E1AEB">
        <w:rPr>
          <w:rFonts w:ascii="Century Gothic" w:eastAsia="Calibri" w:hAnsi="Century Gothic" w:cs="Arial"/>
          <w:lang w:val="es-ES" w:eastAsia="es-ES_tradnl"/>
        </w:rPr>
        <w:t xml:space="preserve">, se observa que el numeral primero literal b) no incluyó expresamente a los concejos municipales, por lo cual la calidad de Entidad Estatal que puede predicarse de estas corporaciones depende de que la ley les otorgue capacidad para celebrar contratos. Sobre este punto, el artículo 352 de la Constitución Política de 1991 prescribe: </w:t>
      </w:r>
    </w:p>
    <w:p w14:paraId="4CFFCE15" w14:textId="77777777" w:rsidR="004E1AEB" w:rsidRPr="004E1AEB" w:rsidRDefault="004E1AEB" w:rsidP="004E1AEB">
      <w:pPr>
        <w:tabs>
          <w:tab w:val="left" w:pos="426"/>
        </w:tabs>
        <w:spacing w:after="0" w:line="276" w:lineRule="auto"/>
        <w:jc w:val="both"/>
        <w:rPr>
          <w:rFonts w:ascii="Century Gothic" w:eastAsia="Calibri" w:hAnsi="Century Gothic" w:cs="Arial"/>
          <w:bCs/>
          <w:color w:val="000000" w:themeColor="text1"/>
          <w:lang w:val="es-ES" w:eastAsia="es-ES_tradnl"/>
        </w:rPr>
      </w:pPr>
    </w:p>
    <w:p w14:paraId="0C91D266" w14:textId="77777777" w:rsidR="004E1AEB" w:rsidRPr="004E1AEB" w:rsidRDefault="004E1AEB" w:rsidP="004E1AEB">
      <w:pPr>
        <w:spacing w:after="0" w:line="240" w:lineRule="auto"/>
        <w:ind w:left="709" w:right="709"/>
        <w:jc w:val="both"/>
        <w:rPr>
          <w:rFonts w:ascii="Century Gothic" w:eastAsia="Calibri" w:hAnsi="Century Gothic" w:cs="Arial"/>
          <w:bCs/>
          <w:color w:val="000000" w:themeColor="text1"/>
          <w:sz w:val="20"/>
          <w:szCs w:val="20"/>
          <w:lang w:val="es-ES" w:eastAsia="es-ES_tradnl"/>
        </w:rPr>
      </w:pPr>
      <w:r w:rsidRPr="004E1AEB">
        <w:rPr>
          <w:rFonts w:ascii="Century Gothic" w:eastAsia="Calibri" w:hAnsi="Century Gothic" w:cs="Arial"/>
          <w:bCs/>
          <w:color w:val="000000" w:themeColor="text1"/>
          <w:sz w:val="20"/>
          <w:szCs w:val="20"/>
          <w:lang w:val="es-ES" w:eastAsia="es-ES_tradnl"/>
        </w:rPr>
        <w:t>“Además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14:paraId="51415391" w14:textId="77777777" w:rsidR="004E1AEB" w:rsidRPr="004E1AEB" w:rsidRDefault="004E1AEB" w:rsidP="004E1AEB">
      <w:pPr>
        <w:tabs>
          <w:tab w:val="left" w:pos="426"/>
        </w:tabs>
        <w:spacing w:after="0" w:line="276" w:lineRule="auto"/>
        <w:jc w:val="both"/>
        <w:rPr>
          <w:rFonts w:ascii="Century Gothic" w:eastAsia="Calibri" w:hAnsi="Century Gothic" w:cs="Arial"/>
          <w:bCs/>
          <w:color w:val="000000" w:themeColor="text1"/>
          <w:lang w:val="es-ES" w:eastAsia="es-ES_tradnl"/>
        </w:rPr>
      </w:pPr>
    </w:p>
    <w:p w14:paraId="522FCA93" w14:textId="77777777" w:rsidR="004E1AEB" w:rsidRPr="004E1AEB" w:rsidRDefault="004E1AEB" w:rsidP="004E1AEB">
      <w:pPr>
        <w:tabs>
          <w:tab w:val="left" w:pos="709"/>
        </w:tabs>
        <w:spacing w:after="0" w:line="276" w:lineRule="auto"/>
        <w:ind w:firstLine="709"/>
        <w:jc w:val="both"/>
        <w:rPr>
          <w:rFonts w:ascii="Century Gothic" w:eastAsia="Calibri" w:hAnsi="Century Gothic" w:cs="Arial"/>
          <w:bCs/>
          <w:color w:val="000000" w:themeColor="text1"/>
          <w:lang w:val="es-ES" w:eastAsia="es-ES_tradnl"/>
        </w:rPr>
      </w:pPr>
      <w:r w:rsidRPr="004E1AEB">
        <w:rPr>
          <w:rFonts w:ascii="Century Gothic" w:eastAsia="Calibri" w:hAnsi="Century Gothic" w:cs="Arial"/>
          <w:bCs/>
          <w:color w:val="000000" w:themeColor="text1"/>
          <w:lang w:val="es-ES" w:eastAsia="es-ES_tradnl"/>
        </w:rPr>
        <w:t xml:space="preserve">Constitucionalmente corresponde a la Ley Orgánica del Presupuesto regular la capacidad de los organismos y Entidades Estatales para contratar. En esta medida, para entender el alcance del artículo 2, literal b) del numeral 1, de la Ley </w:t>
      </w:r>
      <w:r w:rsidRPr="004E1AEB">
        <w:rPr>
          <w:rFonts w:ascii="Century Gothic" w:eastAsia="Calibri" w:hAnsi="Century Gothic" w:cs="Arial"/>
          <w:bCs/>
          <w:color w:val="000000" w:themeColor="text1"/>
          <w:lang w:val="es-ES" w:eastAsia="es-ES_tradnl"/>
        </w:rPr>
        <w:lastRenderedPageBreak/>
        <w:t xml:space="preserve">80 de 1993 es necesario concordarlo con el artículo 110 del Decreto 111 de 1996. Esta norma, modificada </w:t>
      </w:r>
      <w:r w:rsidRPr="004E1AEB">
        <w:rPr>
          <w:rFonts w:ascii="Century Gothic" w:eastAsia="Calibri" w:hAnsi="Century Gothic" w:cs="Arial"/>
          <w:color w:val="000000" w:themeColor="text1"/>
          <w:lang w:val="es-ES" w:eastAsia="es-ES_tradnl"/>
        </w:rPr>
        <w:t xml:space="preserve">por el artículo 124 de la Ley 1957 de 2019, dispone: </w:t>
      </w:r>
    </w:p>
    <w:p w14:paraId="0E7B4EA2" w14:textId="77777777" w:rsidR="004E1AEB" w:rsidRPr="004E1AEB" w:rsidRDefault="004E1AEB" w:rsidP="004E1AEB">
      <w:pPr>
        <w:tabs>
          <w:tab w:val="left" w:pos="426"/>
        </w:tabs>
        <w:spacing w:after="0" w:line="276" w:lineRule="auto"/>
        <w:jc w:val="both"/>
        <w:rPr>
          <w:rFonts w:ascii="Century Gothic" w:eastAsia="Calibri" w:hAnsi="Century Gothic" w:cs="Arial"/>
          <w:color w:val="000000" w:themeColor="text1"/>
          <w:lang w:val="es-ES" w:eastAsia="es-ES_tradnl"/>
        </w:rPr>
      </w:pPr>
    </w:p>
    <w:p w14:paraId="2B845F8A"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color w:val="000000" w:themeColor="text1"/>
          <w:sz w:val="20"/>
          <w:szCs w:val="20"/>
          <w:lang w:eastAsia="es-ES_tradnl"/>
        </w:rPr>
        <w:t xml:space="preserve">“Los órganos que son una sección en el Presupuesto General de la Nación, </w:t>
      </w:r>
      <w:r w:rsidRPr="004E1AEB">
        <w:rPr>
          <w:rFonts w:ascii="Century Gothic" w:eastAsia="Calibri" w:hAnsi="Century Gothic" w:cs="Arial"/>
          <w:i/>
          <w:iCs/>
          <w:color w:val="000000" w:themeColor="text1"/>
          <w:sz w:val="20"/>
          <w:szCs w:val="20"/>
          <w:lang w:eastAsia="es-ES_tradnl"/>
        </w:rPr>
        <w:t>tendrán la capacidad de contratar</w:t>
      </w:r>
      <w:r w:rsidRPr="004E1AEB">
        <w:rPr>
          <w:rFonts w:ascii="Century Gothic" w:eastAsia="Calibri" w:hAnsi="Century Gothic" w:cs="Arial"/>
          <w:b/>
          <w:bCs/>
          <w:color w:val="000000" w:themeColor="text1"/>
          <w:sz w:val="20"/>
          <w:szCs w:val="20"/>
          <w:lang w:eastAsia="es-ES_tradnl"/>
        </w:rPr>
        <w:t xml:space="preserve"> </w:t>
      </w:r>
      <w:r w:rsidRPr="004E1AEB">
        <w:rPr>
          <w:rFonts w:ascii="Century Gothic" w:eastAsia="Calibri" w:hAnsi="Century Gothic" w:cs="Arial"/>
          <w:color w:val="000000" w:themeColor="text1"/>
          <w:sz w:val="20"/>
          <w:szCs w:val="20"/>
          <w:lang w:eastAsia="es-ES_tradnl"/>
        </w:rPr>
        <w:t xml:space="preserve">y comprometer a nombre de la persona jurídica de la cual hagan parte, y ordenar el gasto en desarrollo de las apropiaciones incorporadas en la respectiva sección, lo que constituye la autonomía presupuestal a que se refieren la Constitución Política y la ley. </w:t>
      </w:r>
      <w:r w:rsidRPr="004E1AEB">
        <w:rPr>
          <w:rFonts w:ascii="Century Gothic" w:eastAsia="Calibri" w:hAnsi="Century Gothic" w:cs="Arial"/>
          <w:i/>
          <w:iCs/>
          <w:color w:val="000000" w:themeColor="text1"/>
          <w:sz w:val="20"/>
          <w:szCs w:val="20"/>
          <w:lang w:eastAsia="es-ES_tradnl"/>
        </w:rPr>
        <w:t>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r w:rsidRPr="004E1AEB">
        <w:rPr>
          <w:rFonts w:ascii="Century Gothic" w:eastAsia="Calibri" w:hAnsi="Century Gothic" w:cs="Arial"/>
          <w:color w:val="000000" w:themeColor="text1"/>
          <w:sz w:val="20"/>
          <w:szCs w:val="20"/>
          <w:lang w:eastAsia="es-ES_tradnl"/>
        </w:rPr>
        <w:t>.</w:t>
      </w:r>
    </w:p>
    <w:p w14:paraId="1051FDF0"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p>
    <w:p w14:paraId="34879AA2"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color w:val="000000" w:themeColor="text1"/>
          <w:sz w:val="20"/>
          <w:szCs w:val="20"/>
          <w:lang w:eastAsia="es-ES_tradnl"/>
        </w:rPr>
        <w:t>[…]</w:t>
      </w:r>
    </w:p>
    <w:p w14:paraId="51440667"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i/>
          <w:iCs/>
          <w:color w:val="000000" w:themeColor="text1"/>
          <w:sz w:val="20"/>
          <w:szCs w:val="20"/>
          <w:lang w:eastAsia="es-ES_tradnl"/>
        </w:rPr>
      </w:pPr>
    </w:p>
    <w:p w14:paraId="39B6772F"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i/>
          <w:iCs/>
          <w:color w:val="000000" w:themeColor="text1"/>
          <w:sz w:val="20"/>
          <w:szCs w:val="20"/>
          <w:lang w:eastAsia="es-ES_tradnl"/>
        </w:rPr>
        <w:t>En los mismos términos y condiciones tendrán estas capacidades</w:t>
      </w:r>
      <w:r w:rsidRPr="004E1AEB">
        <w:rPr>
          <w:rFonts w:ascii="Century Gothic" w:eastAsia="Calibri" w:hAnsi="Century Gothic" w:cs="Arial"/>
          <w:color w:val="000000" w:themeColor="text1"/>
          <w:sz w:val="20"/>
          <w:szCs w:val="20"/>
          <w:lang w:eastAsia="es-ES_tradnl"/>
        </w:rPr>
        <w:t xml:space="preserve"> las Superintendencias, Unidades Administrativas Especiales, las Entidades Territoriales, Asambleas y </w:t>
      </w:r>
      <w:r w:rsidRPr="004E1AEB">
        <w:rPr>
          <w:rFonts w:ascii="Century Gothic" w:eastAsia="Calibri" w:hAnsi="Century Gothic" w:cs="Arial"/>
          <w:i/>
          <w:iCs/>
          <w:color w:val="000000" w:themeColor="text1"/>
          <w:sz w:val="20"/>
          <w:szCs w:val="20"/>
          <w:lang w:eastAsia="es-ES_tradnl"/>
        </w:rPr>
        <w:t>Concejos</w:t>
      </w:r>
      <w:r w:rsidRPr="004E1AEB">
        <w:rPr>
          <w:rFonts w:ascii="Century Gothic" w:eastAsia="Calibri" w:hAnsi="Century Gothic" w:cs="Arial"/>
          <w:color w:val="000000" w:themeColor="text1"/>
          <w:sz w:val="20"/>
          <w:szCs w:val="20"/>
          <w:lang w:eastAsia="es-ES_tradnl"/>
        </w:rPr>
        <w:t>, las Contralorías y Personerías Territoriales</w:t>
      </w:r>
      <w:r w:rsidRPr="004E1AEB">
        <w:rPr>
          <w:rFonts w:ascii="Century Gothic" w:eastAsia="Calibri" w:hAnsi="Century Gothic" w:cs="Arial"/>
          <w:color w:val="000000" w:themeColor="text1"/>
          <w:sz w:val="20"/>
          <w:szCs w:val="20"/>
          <w:u w:val="single"/>
          <w:lang w:eastAsia="es-ES_tradnl"/>
        </w:rPr>
        <w:t xml:space="preserve"> </w:t>
      </w:r>
      <w:r w:rsidRPr="004E1AEB">
        <w:rPr>
          <w:rFonts w:ascii="Century Gothic" w:eastAsia="Calibri" w:hAnsi="Century Gothic" w:cs="Arial"/>
          <w:color w:val="000000" w:themeColor="text1"/>
          <w:sz w:val="20"/>
          <w:szCs w:val="20"/>
          <w:lang w:eastAsia="es-ES_tradnl"/>
        </w:rPr>
        <w:t>y todos los demás órganos estatales de cualquier nivel que tengan personería jurídica.</w:t>
      </w:r>
    </w:p>
    <w:p w14:paraId="280710C8"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p>
    <w:p w14:paraId="321B7FCE"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color w:val="000000" w:themeColor="text1"/>
          <w:sz w:val="20"/>
          <w:szCs w:val="20"/>
          <w:lang w:eastAsia="es-ES_tradnl"/>
        </w:rPr>
        <w:t xml:space="preserve">En todo caso, el </w:t>
      </w:r>
      <w:proofErr w:type="gramStart"/>
      <w:r w:rsidRPr="004E1AEB">
        <w:rPr>
          <w:rFonts w:ascii="Century Gothic" w:eastAsia="Calibri" w:hAnsi="Century Gothic" w:cs="Arial"/>
          <w:color w:val="000000" w:themeColor="text1"/>
          <w:sz w:val="20"/>
          <w:szCs w:val="20"/>
          <w:lang w:eastAsia="es-ES_tradnl"/>
        </w:rPr>
        <w:t>Presidente</w:t>
      </w:r>
      <w:proofErr w:type="gramEnd"/>
      <w:r w:rsidRPr="004E1AEB">
        <w:rPr>
          <w:rFonts w:ascii="Century Gothic" w:eastAsia="Calibri" w:hAnsi="Century Gothic" w:cs="Arial"/>
          <w:color w:val="000000" w:themeColor="text1"/>
          <w:sz w:val="20"/>
          <w:szCs w:val="20"/>
          <w:lang w:eastAsia="es-ES_tradnl"/>
        </w:rPr>
        <w:t xml:space="preserve"> de la República podrá celebrar contratos a nombre de la Nación”. (Énfasis fuera de texto)</w:t>
      </w:r>
    </w:p>
    <w:p w14:paraId="6402CFAF" w14:textId="77777777" w:rsidR="004E1AEB" w:rsidRPr="004E1AEB" w:rsidRDefault="004E1AEB" w:rsidP="004E1AEB">
      <w:pPr>
        <w:spacing w:after="0" w:line="276" w:lineRule="auto"/>
        <w:jc w:val="both"/>
        <w:rPr>
          <w:rFonts w:ascii="Century Gothic" w:eastAsia="Calibri" w:hAnsi="Century Gothic" w:cs="Arial"/>
          <w:color w:val="000000" w:themeColor="text1"/>
          <w:lang w:eastAsia="es-ES_tradnl"/>
        </w:rPr>
      </w:pPr>
    </w:p>
    <w:p w14:paraId="5AE66236" w14:textId="1CC06612" w:rsidR="004E1AEB" w:rsidRPr="004E1AEB" w:rsidRDefault="004E1AEB" w:rsidP="004E1AEB">
      <w:pPr>
        <w:spacing w:after="0" w:line="276" w:lineRule="auto"/>
        <w:ind w:firstLine="709"/>
        <w:jc w:val="both"/>
        <w:rPr>
          <w:rFonts w:ascii="Century Gothic" w:eastAsia="Calibri" w:hAnsi="Century Gothic" w:cs="Arial"/>
          <w:lang w:val="es-ES" w:eastAsia="es-ES_tradnl"/>
        </w:rPr>
      </w:pPr>
      <w:r w:rsidRPr="004E1AEB">
        <w:rPr>
          <w:rFonts w:ascii="Century Gothic" w:eastAsia="Calibri" w:hAnsi="Century Gothic" w:cs="Arial"/>
          <w:lang w:val="es-ES" w:eastAsia="es-ES_tradnl"/>
        </w:rPr>
        <w:t xml:space="preserve">Del artículo 110 del Estatuto Orgánico del Presupuesto – en adelante EOP – se desprende que los concejos tienen facultad para suscribir contratos de manera independiente y, más relevante para efectos de resolver la consulta, son Entidades Estatales para el EGCAP, pues son organismos a los que la ley otorga capacidad para celebrar contratos conforme al artículo 2 de la Ley 80 de 1993. Por tanto, de su calidad de Entidades Estatales para los efectos del EGCAP, es posible concluir que tienen la capacidad de suscribir convenios de asociación. </w:t>
      </w:r>
    </w:p>
    <w:p w14:paraId="53529233" w14:textId="77777777" w:rsidR="004E1AEB" w:rsidRPr="004E1AEB" w:rsidRDefault="004E1AEB" w:rsidP="004E1AEB">
      <w:pPr>
        <w:spacing w:after="0" w:line="276" w:lineRule="auto"/>
        <w:jc w:val="both"/>
        <w:textAlignment w:val="baseline"/>
        <w:rPr>
          <w:rFonts w:ascii="Century Gothic" w:eastAsia="Calibri" w:hAnsi="Century Gothic" w:cs="Arial"/>
          <w:b/>
          <w:bCs/>
          <w:lang w:val="es-ES_tradnl" w:eastAsia="es-ES_tradnl"/>
        </w:rPr>
      </w:pPr>
    </w:p>
    <w:p w14:paraId="21BF8D8A" w14:textId="77777777" w:rsidR="004E1AEB" w:rsidRPr="004E1AEB" w:rsidRDefault="004E1AEB" w:rsidP="004E1AEB">
      <w:pPr>
        <w:spacing w:after="0" w:line="276" w:lineRule="auto"/>
        <w:jc w:val="both"/>
        <w:textAlignment w:val="baseline"/>
        <w:rPr>
          <w:rFonts w:ascii="Century Gothic" w:eastAsia="Calibri" w:hAnsi="Century Gothic" w:cs="Arial"/>
          <w:lang w:val="es-ES_tradnl" w:eastAsia="es-ES_tradnl"/>
        </w:rPr>
      </w:pPr>
      <w:r w:rsidRPr="004E1AEB">
        <w:rPr>
          <w:rFonts w:ascii="Century Gothic" w:eastAsia="Calibri" w:hAnsi="Century Gothic" w:cs="Arial"/>
          <w:b/>
          <w:bCs/>
          <w:lang w:val="es-ES_tradnl" w:eastAsia="es-ES_tradnl"/>
        </w:rPr>
        <w:t xml:space="preserve">2.3. Aportes en los </w:t>
      </w:r>
      <w:r w:rsidRPr="004E1AEB">
        <w:rPr>
          <w:rFonts w:ascii="Century Gothic" w:eastAsia="Calibri" w:hAnsi="Century Gothic" w:cs="Arial"/>
          <w:b/>
          <w:bCs/>
          <w:i/>
          <w:iCs/>
          <w:lang w:val="es-ES_tradnl" w:eastAsia="es-ES_tradnl"/>
        </w:rPr>
        <w:t xml:space="preserve">convenios de asociación </w:t>
      </w:r>
      <w:r w:rsidRPr="004E1AEB">
        <w:rPr>
          <w:rFonts w:ascii="Century Gothic" w:eastAsia="Calibri" w:hAnsi="Century Gothic" w:cs="Arial"/>
          <w:b/>
          <w:bCs/>
          <w:lang w:val="es-ES_tradnl" w:eastAsia="es-ES_tradnl"/>
        </w:rPr>
        <w:t>y su incidencia en la forma de selección de la ESAL</w:t>
      </w:r>
    </w:p>
    <w:p w14:paraId="4CA5A6E5" w14:textId="77777777" w:rsidR="004E1AEB" w:rsidRPr="004E1AEB" w:rsidRDefault="004E1AEB" w:rsidP="004E1AEB">
      <w:pPr>
        <w:spacing w:after="0" w:line="276" w:lineRule="auto"/>
        <w:jc w:val="both"/>
        <w:textAlignment w:val="baseline"/>
        <w:rPr>
          <w:rFonts w:ascii="Century Gothic" w:eastAsia="Calibri" w:hAnsi="Century Gothic" w:cs="Arial"/>
          <w:lang w:val="es-ES_tradnl" w:eastAsia="es-ES_tradnl"/>
        </w:rPr>
      </w:pPr>
    </w:p>
    <w:p w14:paraId="0A008F23" w14:textId="77777777" w:rsidR="004E1AEB" w:rsidRPr="004E1AEB" w:rsidRDefault="004E1AEB" w:rsidP="004E1AEB">
      <w:pPr>
        <w:spacing w:after="120" w:line="276" w:lineRule="auto"/>
        <w:jc w:val="both"/>
        <w:textAlignment w:val="baseline"/>
        <w:rPr>
          <w:rFonts w:ascii="Century Gothic" w:eastAsia="Calibri" w:hAnsi="Century Gothic" w:cs="Arial"/>
          <w:lang w:val="es-ES_tradnl" w:eastAsia="es-ES_tradnl"/>
        </w:rPr>
      </w:pPr>
      <w:r w:rsidRPr="004E1AEB">
        <w:rPr>
          <w:rFonts w:ascii="Century Gothic" w:eastAsia="Calibri" w:hAnsi="Century Gothic" w:cs="Arial"/>
          <w:lang w:val="es-ES_tradnl" w:eastAsia="es-ES_tradnl"/>
        </w:rPr>
        <w:t xml:space="preserve">Como se indicó, el artículo 5 del Decreto 092 de 2017 establece que, </w:t>
      </w:r>
      <w:bookmarkStart w:id="9" w:name="_Hlk77927493"/>
      <w:r w:rsidRPr="004E1AEB">
        <w:rPr>
          <w:rFonts w:ascii="Century Gothic" w:eastAsia="Calibri" w:hAnsi="Century Gothic" w:cs="Arial"/>
          <w:lang w:val="es-ES" w:eastAsia="es-ES_tradnl"/>
        </w:rPr>
        <w:t xml:space="preserve">el proceso para la escogencia de la ESAL, por regla general, debe estar sujeto a competencia. Esto, salvo en aquellos casos en los que una ESAL manifieste su compromiso de aportar recursos en dinero por un valor igual o superior al treinta por ciento (30%) del valor total del convenio, siempre y cuando no existan otras </w:t>
      </w:r>
      <w:r w:rsidRPr="004E1AEB">
        <w:rPr>
          <w:rFonts w:ascii="Century Gothic" w:eastAsia="Calibri" w:hAnsi="Century Gothic" w:cs="Arial"/>
          <w:lang w:val="es-ES" w:eastAsia="es-ES_tradnl"/>
        </w:rPr>
        <w:lastRenderedPageBreak/>
        <w:t>ESAL que ofrezcan aportes en monto igual o superior a dicho porcentaje</w:t>
      </w:r>
      <w:bookmarkEnd w:id="9"/>
      <w:r w:rsidRPr="004E1AEB">
        <w:rPr>
          <w:rFonts w:ascii="Century Gothic" w:eastAsia="Calibri" w:hAnsi="Century Gothic" w:cs="Arial"/>
          <w:lang w:val="es-ES" w:eastAsia="es-ES_tradnl"/>
        </w:rPr>
        <w:t xml:space="preserve">, pues en este evento también se tendría que realizar un proceso competitivo. </w:t>
      </w:r>
    </w:p>
    <w:p w14:paraId="527FF36D" w14:textId="77777777" w:rsidR="004E1AEB" w:rsidRPr="004E1AEB" w:rsidRDefault="004E1AEB" w:rsidP="004E1AEB">
      <w:pPr>
        <w:spacing w:after="0" w:line="276" w:lineRule="auto"/>
        <w:ind w:firstLine="709"/>
        <w:jc w:val="both"/>
        <w:textAlignment w:val="baseline"/>
        <w:rPr>
          <w:rFonts w:ascii="Century Gothic" w:eastAsia="Calibri" w:hAnsi="Century Gothic" w:cs="Arial"/>
          <w:lang w:val="es-ES_tradnl" w:eastAsia="es-ES_tradnl"/>
        </w:rPr>
      </w:pPr>
      <w:r w:rsidRPr="004E1AEB">
        <w:rPr>
          <w:rFonts w:ascii="Century Gothic" w:eastAsia="Calibri" w:hAnsi="Century Gothic" w:cs="Arial"/>
          <w:lang w:val="es-ES_tradnl" w:eastAsia="es-ES_tradnl"/>
        </w:rPr>
        <w:t>Es decir, según la normativa aplicable,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 En similar sentido, Mauricio Rodríguez Tamayo manifiesta:</w:t>
      </w:r>
    </w:p>
    <w:p w14:paraId="11AA81E7" w14:textId="77777777" w:rsidR="004E1AEB" w:rsidRPr="004E1AEB" w:rsidRDefault="004E1AEB" w:rsidP="004E1AEB">
      <w:pPr>
        <w:spacing w:after="0" w:line="276" w:lineRule="auto"/>
        <w:jc w:val="both"/>
        <w:textAlignment w:val="baseline"/>
        <w:rPr>
          <w:rFonts w:ascii="Century Gothic" w:eastAsia="Calibri" w:hAnsi="Century Gothic" w:cs="Arial"/>
          <w:lang w:val="es-ES_tradnl" w:eastAsia="es-ES_tradnl"/>
        </w:rPr>
      </w:pPr>
    </w:p>
    <w:p w14:paraId="55464492" w14:textId="77777777" w:rsidR="004E1AEB" w:rsidRPr="004E1AEB" w:rsidRDefault="004E1AEB" w:rsidP="004E1AEB">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4E1AEB">
        <w:rPr>
          <w:rFonts w:ascii="Century Gothic" w:eastAsia="Times New Roman" w:hAnsi="Century Gothic" w:cs="Arial"/>
          <w:sz w:val="20"/>
          <w:szCs w:val="20"/>
          <w:lang w:val="es-ES_tradnl" w:eastAsia="es-ES_tradnl"/>
        </w:rPr>
        <w:t>“El Decreto 092 de 2017 permite la escogencia directa de una ESAL, para la suscripción de un convenio de asociación solo cuando el privado s</w:t>
      </w:r>
      <w:r w:rsidRPr="004E1AEB">
        <w:rPr>
          <w:rFonts w:ascii="Century Gothic" w:eastAsia="Times New Roman" w:hAnsi="Century Gothic" w:cs="Arial"/>
          <w:sz w:val="20"/>
          <w:szCs w:val="20"/>
          <w:lang w:eastAsia="es-ES_tradnl"/>
        </w:rPr>
        <w:t>in ánimo de lucro aporta no menos de 30% en dinero del valor total del convenio. Por supuesto, es necesario acreditar la idoneidad necesaria de la ESAL, para que participe junto con el Estado en la atención y prestación de servicios públicos de naturaleza estatal.</w:t>
      </w:r>
    </w:p>
    <w:p w14:paraId="03C18416" w14:textId="77777777" w:rsidR="004E1AEB" w:rsidRPr="004E1AEB" w:rsidRDefault="004E1AEB" w:rsidP="004E1AEB">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p>
    <w:p w14:paraId="31F4FAD0" w14:textId="77777777" w:rsidR="004E1AEB" w:rsidRPr="004E1AEB" w:rsidRDefault="004E1AEB" w:rsidP="004E1AEB">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4E1AEB">
        <w:rPr>
          <w:rFonts w:ascii="Century Gothic" w:eastAsia="Times New Roman" w:hAnsi="Century Gothic" w:cs="Arial"/>
          <w:sz w:val="20"/>
          <w:szCs w:val="20"/>
          <w:lang w:eastAsia="es-ES_tradnl"/>
        </w:rPr>
        <w:t xml:space="preserve">Se podrá contratar directamente por esta causal siempre que esté acreditada cualquiera de las siguientes circunstancias: […] </w:t>
      </w:r>
      <w:proofErr w:type="spellStart"/>
      <w:r w:rsidRPr="004E1AEB">
        <w:rPr>
          <w:rFonts w:ascii="Century Gothic" w:eastAsia="Times New Roman" w:hAnsi="Century Gothic" w:cs="Arial"/>
          <w:sz w:val="20"/>
          <w:szCs w:val="20"/>
          <w:lang w:eastAsia="es-ES_tradnl"/>
        </w:rPr>
        <w:t>ii</w:t>
      </w:r>
      <w:proofErr w:type="spellEnd"/>
      <w:r w:rsidRPr="004E1AEB">
        <w:rPr>
          <w:rFonts w:ascii="Century Gothic" w:eastAsia="Times New Roman" w:hAnsi="Century Gothic" w:cs="Arial"/>
          <w:sz w:val="20"/>
          <w:szCs w:val="20"/>
          <w:lang w:eastAsia="es-ES_tradnl"/>
        </w:rPr>
        <w:t>) se celebran convenios de asociación a los que hace referencia el artículo 96 de la Ley 489 de 1998 y la ESAL compromete recursos en dinero en una proporción no inferior a 30% del valor total del convenio”</w:t>
      </w:r>
      <w:r w:rsidRPr="004E1AEB">
        <w:rPr>
          <w:rFonts w:ascii="Century Gothic" w:eastAsia="Times New Roman" w:hAnsi="Century Gothic" w:cs="Arial"/>
          <w:sz w:val="20"/>
          <w:szCs w:val="20"/>
          <w:vertAlign w:val="superscript"/>
          <w:lang w:eastAsia="es-ES_tradnl"/>
        </w:rPr>
        <w:footnoteReference w:id="12"/>
      </w:r>
      <w:r w:rsidRPr="004E1AEB">
        <w:rPr>
          <w:rFonts w:ascii="Century Gothic" w:eastAsia="Times New Roman" w:hAnsi="Century Gothic" w:cs="Arial"/>
          <w:sz w:val="20"/>
          <w:szCs w:val="20"/>
          <w:lang w:eastAsia="es-ES_tradnl"/>
        </w:rPr>
        <w:t>.</w:t>
      </w:r>
    </w:p>
    <w:p w14:paraId="1E46C798" w14:textId="77777777" w:rsidR="004E1AEB" w:rsidRPr="004E1AEB" w:rsidRDefault="004E1AEB" w:rsidP="004E1AEB">
      <w:pPr>
        <w:spacing w:after="0" w:line="276" w:lineRule="auto"/>
        <w:jc w:val="both"/>
        <w:textAlignment w:val="baseline"/>
        <w:rPr>
          <w:rFonts w:ascii="Century Gothic" w:eastAsia="Calibri" w:hAnsi="Century Gothic" w:cs="Arial"/>
          <w:lang w:val="es-ES_tradnl" w:eastAsia="es-ES_tradnl"/>
        </w:rPr>
      </w:pPr>
    </w:p>
    <w:p w14:paraId="1C63D761" w14:textId="77777777" w:rsidR="004E1AEB" w:rsidRPr="004E1AEB" w:rsidRDefault="004E1AEB" w:rsidP="004E1AEB">
      <w:pPr>
        <w:spacing w:after="120" w:line="276" w:lineRule="auto"/>
        <w:ind w:firstLine="709"/>
        <w:jc w:val="both"/>
        <w:textAlignment w:val="baseline"/>
        <w:rPr>
          <w:rFonts w:ascii="Century Gothic" w:eastAsia="Calibri" w:hAnsi="Century Gothic" w:cs="Arial"/>
          <w:lang w:val="es-ES_tradnl" w:eastAsia="es-ES_tradnl"/>
        </w:rPr>
      </w:pPr>
      <w:r w:rsidRPr="004E1AEB">
        <w:rPr>
          <w:rFonts w:ascii="Century Gothic" w:eastAsia="Calibri" w:hAnsi="Century Gothic" w:cs="Arial"/>
          <w:lang w:val="es-ES_tradnl" w:eastAsia="es-ES_tradnl"/>
        </w:rPr>
        <w:t xml:space="preserve">Sin embargo, según el mismo artículo 5, </w:t>
      </w:r>
      <w:r w:rsidRPr="004E1AEB">
        <w:rPr>
          <w:rFonts w:ascii="Century Gothic" w:eastAsia="Calibri" w:hAnsi="Century Gothic" w:cs="Arial"/>
          <w:i/>
          <w:iCs/>
          <w:lang w:val="es-ES_tradnl" w:eastAsia="es-ES_tradnl"/>
        </w:rPr>
        <w:t>si hay más de una ESAL</w:t>
      </w:r>
      <w:r w:rsidRPr="004E1AEB">
        <w:rPr>
          <w:rFonts w:ascii="Century Gothic" w:eastAsia="Calibri" w:hAnsi="Century Gothic" w:cs="Arial"/>
          <w:lang w:val="es-ES_tradnl" w:eastAsia="es-ES_tradnl"/>
        </w:rPr>
        <w:t xml:space="preserve"> que ofrezca su compromiso de recursos en dinero para el desarrollo conjunto de actividades relacionadas con los cometidos y funciones asignadas por ley a una Entidad Estatal, en una proporción no inferior al treinta por ciento (30%) del valor total del convenio, esta última debe 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p>
    <w:p w14:paraId="3D4A70D1" w14:textId="77777777" w:rsidR="004E1AEB" w:rsidRPr="004E1AEB" w:rsidRDefault="004E1AEB" w:rsidP="004E1AEB">
      <w:pPr>
        <w:spacing w:after="120" w:line="276" w:lineRule="auto"/>
        <w:ind w:firstLine="708"/>
        <w:jc w:val="both"/>
        <w:textAlignment w:val="baseline"/>
        <w:rPr>
          <w:rFonts w:ascii="Century Gothic" w:eastAsia="Calibri" w:hAnsi="Century Gothic" w:cs="Arial"/>
          <w:lang w:val="es-ES_tradnl" w:eastAsia="es-ES_tradnl"/>
        </w:rPr>
      </w:pPr>
      <w:r w:rsidRPr="004E1AEB">
        <w:rPr>
          <w:rFonts w:ascii="Century Gothic" w:eastAsia="Calibri" w:hAnsi="Century Gothic" w:cs="Arial"/>
          <w:lang w:val="es-ES_tradnl" w:eastAsia="es-ES_tradnl"/>
        </w:rPr>
        <w:t xml:space="preserve">Ahora bien, respecto a la pregunta número 3 de su consulta relacionada con el recaudo de los aportes, debe señalarse que la Agencia Nacional de Contratación Pública – Colombia Compra Eficiente en la “Guía para la contratación con entidades privadas sin ánimo de lucro y de reconocida </w:t>
      </w:r>
      <w:r w:rsidRPr="004E1AEB">
        <w:rPr>
          <w:rFonts w:ascii="Century Gothic" w:eastAsia="Calibri" w:hAnsi="Century Gothic" w:cs="Arial"/>
          <w:lang w:val="es-ES_tradnl" w:eastAsia="es-ES_tradnl"/>
        </w:rPr>
        <w:lastRenderedPageBreak/>
        <w:t>idoneidad”, señaló que: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con lo prescrito en el artículo 96 de la Ley 489 de 1998.</w:t>
      </w:r>
    </w:p>
    <w:p w14:paraId="6BD6CDD3" w14:textId="5871F9A3" w:rsidR="004E1AEB" w:rsidRPr="004E1AEB" w:rsidRDefault="004E1AEB" w:rsidP="004E1AEB">
      <w:pPr>
        <w:spacing w:after="120" w:line="276" w:lineRule="auto"/>
        <w:ind w:firstLine="708"/>
        <w:jc w:val="both"/>
        <w:textAlignment w:val="baseline"/>
        <w:rPr>
          <w:rFonts w:ascii="Century Gothic" w:eastAsia="Calibri" w:hAnsi="Century Gothic" w:cs="Arial"/>
          <w:lang w:val="es-ES" w:eastAsia="es-ES"/>
        </w:rPr>
      </w:pPr>
      <w:r w:rsidRPr="54420522">
        <w:rPr>
          <w:rFonts w:ascii="Century Gothic" w:eastAsia="Calibri" w:hAnsi="Century Gothic" w:cs="Arial"/>
          <w:lang w:val="es-ES" w:eastAsia="es-ES"/>
        </w:rPr>
        <w:t xml:space="preserve">En ese contexto, cuando el aporte de la ESAL al convenio de asociación, que se realizará con una </w:t>
      </w:r>
      <w:r w:rsidR="00F52379" w:rsidRPr="54420522">
        <w:rPr>
          <w:rFonts w:ascii="Century Gothic" w:eastAsia="Calibri" w:hAnsi="Century Gothic" w:cs="Arial"/>
          <w:lang w:val="es-ES" w:eastAsia="es-ES"/>
        </w:rPr>
        <w:t>Entidad Estatal</w:t>
      </w:r>
      <w:r w:rsidRPr="54420522">
        <w:rPr>
          <w:rFonts w:ascii="Century Gothic" w:eastAsia="Calibri" w:hAnsi="Century Gothic" w:cs="Arial"/>
          <w:lang w:val="es-ES" w:eastAsia="es-ES"/>
        </w:rPr>
        <w:t xml:space="preserve"> bajo los términos del artículo 5 del Decreto 092 de 2017, no sea en dinero sino en especie, esto es, con bienes tangibles e intangibles distintos al dinero o que no sean equivalentes a este, en los términos indicados en el párrafo anterior, </w:t>
      </w:r>
      <w:r w:rsidRPr="54420522">
        <w:rPr>
          <w:rFonts w:ascii="Century Gothic" w:eastAsia="Calibri" w:hAnsi="Century Gothic" w:cs="Arial"/>
          <w:i/>
          <w:lang w:val="es-ES" w:eastAsia="es-ES"/>
        </w:rPr>
        <w:t>no</w:t>
      </w:r>
      <w:r w:rsidRPr="54420522">
        <w:rPr>
          <w:rFonts w:ascii="Century Gothic" w:eastAsia="Calibri" w:hAnsi="Century Gothic" w:cs="Arial"/>
          <w:lang w:val="es-ES" w:eastAsia="es-ES"/>
        </w:rPr>
        <w:t xml:space="preserve"> se aplicará la regla que determina que si el aporte de recursos en dinero es igual o superior a un treinta por ciento (30%) del valor del convenio, este se podrá celebrar de forma directa, por lo que deberá adelantarse un proceso competitivo. No obstante, se precisa que eso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p>
    <w:p w14:paraId="2AA317EE" w14:textId="77777777" w:rsidR="004E1AEB" w:rsidRPr="004E1AEB" w:rsidRDefault="004E1AEB" w:rsidP="004E1AEB">
      <w:pPr>
        <w:spacing w:after="0" w:line="276" w:lineRule="auto"/>
        <w:ind w:firstLine="709"/>
        <w:jc w:val="both"/>
        <w:textAlignment w:val="baseline"/>
        <w:rPr>
          <w:rFonts w:ascii="Century Gothic" w:eastAsia="Calibri" w:hAnsi="Century Gothic" w:cs="Arial"/>
          <w:lang w:val="es-ES_tradnl" w:eastAsia="es-ES_tradnl"/>
        </w:rPr>
      </w:pPr>
      <w:r w:rsidRPr="004E1AEB">
        <w:rPr>
          <w:rFonts w:ascii="Century Gothic" w:eastAsia="Calibri" w:hAnsi="Century Gothic" w:cs="Arial"/>
          <w:lang w:val="es-ES_tradnl" w:eastAsia="es-ES_tradnl"/>
        </w:rPr>
        <w:t xml:space="preserve">De este modo, en los convenios de asociación la ESAL debe aportar un treinta por ciento (30%) total del convenio en dinero para que no proceda el proceso competitivo, el cual podrá tener origen en recursos propios o en recursos de cooperación internacional cuya destinación permita la ejecución y el logro de los objetivos comunes del convenio celebrado con la Entidad Estatal asociada, sin perjuicio de que haya otros aportes en especie que se pacten para la ejecución de las actividades y finalidades de este.  </w:t>
      </w:r>
    </w:p>
    <w:p w14:paraId="4DD9DE1A" w14:textId="77777777" w:rsidR="004E1AEB" w:rsidRPr="004E1AEB" w:rsidRDefault="004E1AEB" w:rsidP="004E1AEB">
      <w:pPr>
        <w:spacing w:after="0" w:line="276" w:lineRule="auto"/>
        <w:ind w:firstLine="709"/>
        <w:jc w:val="both"/>
        <w:textAlignment w:val="baseline"/>
        <w:rPr>
          <w:rFonts w:ascii="Century Gothic" w:eastAsia="Calibri" w:hAnsi="Century Gothic" w:cs="Arial"/>
          <w:lang w:val="es-ES_tradnl" w:eastAsia="es-ES_tradnl"/>
        </w:rPr>
      </w:pPr>
    </w:p>
    <w:p w14:paraId="3A2A60B7" w14:textId="77777777" w:rsidR="004E1AEB" w:rsidRPr="004E1AEB" w:rsidRDefault="004E1AEB" w:rsidP="004E1AEB">
      <w:pPr>
        <w:spacing w:after="0" w:line="276" w:lineRule="auto"/>
        <w:jc w:val="both"/>
        <w:rPr>
          <w:rFonts w:ascii="Century Gothic" w:eastAsia="Calibri" w:hAnsi="Century Gothic" w:cs="Arial"/>
          <w:b/>
          <w:bCs/>
          <w:szCs w:val="24"/>
          <w:lang w:val="es-ES_tradnl" w:eastAsia="es-ES_tradnl"/>
        </w:rPr>
      </w:pPr>
      <w:r w:rsidRPr="004E1AEB">
        <w:rPr>
          <w:rFonts w:ascii="Century Gothic" w:eastAsia="Calibri" w:hAnsi="Century Gothic" w:cs="Arial"/>
          <w:b/>
          <w:bCs/>
          <w:szCs w:val="24"/>
          <w:lang w:val="es-ES_tradnl" w:eastAsia="es-ES_tradnl"/>
        </w:rPr>
        <w:t xml:space="preserve">2.4. Alcance de las remisiones previstas en los artículos </w:t>
      </w:r>
      <w:bookmarkStart w:id="10" w:name="_Hlk38202524"/>
      <w:r w:rsidRPr="004E1AEB">
        <w:rPr>
          <w:rFonts w:ascii="Century Gothic" w:eastAsia="Calibri" w:hAnsi="Century Gothic" w:cs="Arial"/>
          <w:b/>
          <w:bCs/>
          <w:szCs w:val="24"/>
          <w:lang w:val="es-ES_tradnl" w:eastAsia="es-ES_tradnl"/>
        </w:rPr>
        <w:t xml:space="preserve">6, 7 y 8 del </w:t>
      </w:r>
      <w:bookmarkStart w:id="11" w:name="_Hlk38282442"/>
      <w:r w:rsidRPr="004E1AEB">
        <w:rPr>
          <w:rFonts w:ascii="Century Gothic" w:eastAsia="Calibri" w:hAnsi="Century Gothic" w:cs="Arial"/>
          <w:b/>
          <w:bCs/>
          <w:szCs w:val="24"/>
          <w:lang w:val="es-ES_tradnl" w:eastAsia="es-ES_tradnl"/>
        </w:rPr>
        <w:t>Decreto 092 de 2017</w:t>
      </w:r>
      <w:bookmarkEnd w:id="10"/>
      <w:bookmarkEnd w:id="11"/>
      <w:r w:rsidRPr="004E1AEB">
        <w:rPr>
          <w:rFonts w:ascii="Century Gothic" w:eastAsia="Calibri" w:hAnsi="Century Gothic" w:cs="Arial"/>
          <w:b/>
          <w:bCs/>
          <w:szCs w:val="24"/>
          <w:lang w:val="es-ES_tradnl" w:eastAsia="es-ES_tradnl"/>
        </w:rPr>
        <w:t>: Limite a la adición de los convenios de asociación</w:t>
      </w:r>
    </w:p>
    <w:p w14:paraId="06CD1B16" w14:textId="77777777" w:rsidR="004E1AEB" w:rsidRPr="004E1AEB" w:rsidRDefault="004E1AEB" w:rsidP="004E1AEB">
      <w:pPr>
        <w:spacing w:after="0" w:line="276" w:lineRule="auto"/>
        <w:jc w:val="both"/>
        <w:rPr>
          <w:rFonts w:ascii="Century Gothic" w:eastAsia="Calibri" w:hAnsi="Century Gothic" w:cs="Arial"/>
          <w:b/>
          <w:bCs/>
          <w:szCs w:val="24"/>
          <w:lang w:val="es-ES_tradnl" w:eastAsia="es-ES_tradnl"/>
        </w:rPr>
      </w:pPr>
    </w:p>
    <w:p w14:paraId="0594BCDD" w14:textId="77777777" w:rsidR="004E1AEB" w:rsidRPr="004E1AEB" w:rsidRDefault="004E1AEB" w:rsidP="004E1AEB">
      <w:pPr>
        <w:spacing w:after="120" w:line="276" w:lineRule="auto"/>
        <w:jc w:val="both"/>
        <w:rPr>
          <w:rFonts w:ascii="Century Gothic" w:eastAsia="Calibri" w:hAnsi="Century Gothic" w:cs="Arial"/>
          <w:color w:val="000000" w:themeColor="text1"/>
          <w:lang w:val="es-ES"/>
        </w:rPr>
      </w:pPr>
      <w:r w:rsidRPr="004E1AEB">
        <w:rPr>
          <w:rFonts w:ascii="Century Gothic" w:eastAsia="Calibri" w:hAnsi="Century Gothic" w:cs="Arial"/>
          <w:lang w:val="es-ES" w:eastAsia="es-ES_tradnl"/>
        </w:rPr>
        <w:t>Para resolver la pregunta número 1 de la consulta, es importante tener en cuenta que la Constitución Política de 1991 establece tres (3) regímenes de contratación</w:t>
      </w:r>
      <w:r w:rsidRPr="004E1AEB">
        <w:rPr>
          <w:rFonts w:ascii="Century Gothic" w:eastAsia="Calibri" w:hAnsi="Century Gothic" w:cs="Arial"/>
          <w:color w:val="000000" w:themeColor="text1"/>
          <w:lang w:val="es-ES"/>
        </w:rPr>
        <w:t xml:space="preserve">. El </w:t>
      </w:r>
      <w:r w:rsidRPr="001C7560">
        <w:rPr>
          <w:rFonts w:ascii="Century Gothic" w:eastAsia="Calibri" w:hAnsi="Century Gothic" w:cs="Arial"/>
          <w:i/>
          <w:color w:val="000000" w:themeColor="text1"/>
          <w:lang w:val="es-ES"/>
        </w:rPr>
        <w:t>primero</w:t>
      </w:r>
      <w:r w:rsidRPr="004E1AEB">
        <w:rPr>
          <w:rFonts w:ascii="Century Gothic" w:eastAsia="Calibri" w:hAnsi="Century Gothic" w:cs="Arial"/>
          <w:color w:val="000000" w:themeColor="text1"/>
          <w:lang w:val="es-ES"/>
        </w:rPr>
        <w:t xml:space="preserve"> se fundamenta en la competencia prevista en el inciso final del artículo 150 superior, por el cual se faculta al Congreso de la República para expedir un Estatuto General de Contratación de la Administración Pública. El </w:t>
      </w:r>
      <w:r w:rsidRPr="001C7560">
        <w:rPr>
          <w:rFonts w:ascii="Century Gothic" w:eastAsia="Calibri" w:hAnsi="Century Gothic" w:cs="Arial"/>
          <w:i/>
          <w:color w:val="000000" w:themeColor="text1"/>
          <w:lang w:val="es-ES"/>
        </w:rPr>
        <w:t>segundo</w:t>
      </w:r>
      <w:r w:rsidRPr="004E1AEB">
        <w:rPr>
          <w:rFonts w:ascii="Century Gothic" w:eastAsia="Calibri" w:hAnsi="Century Gothic" w:cs="Arial"/>
          <w:color w:val="000000" w:themeColor="text1"/>
          <w:lang w:val="es-ES"/>
        </w:rPr>
        <w:t xml:space="preserve"> se relaciona con la posibilidad de crear regímenes especiales, caso en el cual la </w:t>
      </w:r>
      <w:r w:rsidRPr="004E1AEB">
        <w:rPr>
          <w:rFonts w:ascii="Century Gothic" w:eastAsia="Calibri" w:hAnsi="Century Gothic" w:cs="Arial"/>
          <w:color w:val="000000" w:themeColor="text1"/>
          <w:lang w:val="es-ES"/>
        </w:rPr>
        <w:lastRenderedPageBreak/>
        <w:t xml:space="preserve">Constitución los exceptúa directamente, como sucede con las universidades públicas y el Banco de la República –artículos 69 y 371–, o permite que la ley defina el régimen jurídico de determinados órganos del Estado, como en el caso de las entidades descentralizadas por servicios –artículo 210– y las empresas de servicios públicos domiciliarios –artículo 365–. </w:t>
      </w:r>
      <w:r w:rsidRPr="000B2A67">
        <w:rPr>
          <w:rFonts w:ascii="Century Gothic" w:eastAsia="Calibri" w:hAnsi="Century Gothic" w:cs="Arial"/>
          <w:i/>
          <w:color w:val="000000" w:themeColor="text1"/>
          <w:lang w:val="es-ES"/>
        </w:rPr>
        <w:t>Finalmente</w:t>
      </w:r>
      <w:r w:rsidRPr="004E1AEB">
        <w:rPr>
          <w:rFonts w:ascii="Century Gothic" w:eastAsia="Calibri" w:hAnsi="Century Gothic" w:cs="Arial"/>
          <w:color w:val="000000" w:themeColor="text1"/>
          <w:lang w:val="es-ES"/>
        </w:rPr>
        <w:t xml:space="preserve">, el citado artículo 355 establece el régimen de los contratos con las ESAL, el cual –además de extenderse a los </w:t>
      </w:r>
      <w:r w:rsidRPr="004E1AEB">
        <w:rPr>
          <w:rFonts w:ascii="Century Gothic" w:eastAsia="Calibri" w:hAnsi="Century Gothic" w:cs="Arial"/>
          <w:i/>
          <w:iCs/>
          <w:color w:val="000000" w:themeColor="text1"/>
          <w:lang w:val="es-ES"/>
        </w:rPr>
        <w:t>convenios de asociación</w:t>
      </w:r>
      <w:r w:rsidRPr="004E1AEB">
        <w:rPr>
          <w:rFonts w:ascii="Century Gothic" w:eastAsia="Calibri" w:hAnsi="Century Gothic" w:cs="Arial"/>
          <w:color w:val="000000" w:themeColor="text1"/>
          <w:lang w:val="es-ES"/>
        </w:rPr>
        <w:t xml:space="preserve"> en virtud de lo dispuesto en el artículo 96 de la Ley 489 de 1998– se desarrolló a través del Decreto 092 de 2017. </w:t>
      </w:r>
    </w:p>
    <w:p w14:paraId="361E21A8" w14:textId="77777777" w:rsidR="004E1AEB" w:rsidRPr="004E1AEB" w:rsidRDefault="004E1AEB" w:rsidP="004E1AEB">
      <w:pPr>
        <w:spacing w:after="0" w:line="276" w:lineRule="auto"/>
        <w:jc w:val="both"/>
        <w:rPr>
          <w:rFonts w:ascii="Century Gothic" w:eastAsia="Calibri" w:hAnsi="Century Gothic" w:cs="Arial"/>
          <w:color w:val="000000" w:themeColor="text1"/>
          <w:lang w:val="es-ES_tradnl"/>
        </w:rPr>
      </w:pPr>
      <w:r w:rsidRPr="004E1AEB">
        <w:rPr>
          <w:rFonts w:ascii="Century Gothic" w:eastAsia="Calibri" w:hAnsi="Century Gothic" w:cs="Arial"/>
          <w:color w:val="000000" w:themeColor="text1"/>
          <w:lang w:val="es-ES_tradnl"/>
        </w:rPr>
        <w:tab/>
        <w:t xml:space="preserve">Los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Así mismo, pese a la aplicación de las normas comunes sobre obligaciones y contratos en las entidades del régimen exceptuado, deben respetar los principios de la función administrativa, de la gestión fiscal y el régimen de inhabilidades e incompatibilidades, entre otras materias –Ley 1150 de 2007, artículo 13–, en armonía con los respectivos manuales de contratación. Sin embargo, frente a la regulación sumaria de los </w:t>
      </w:r>
      <w:r w:rsidRPr="004E1AEB">
        <w:rPr>
          <w:rFonts w:ascii="Century Gothic" w:eastAsia="Calibri" w:hAnsi="Century Gothic" w:cs="Arial"/>
          <w:i/>
          <w:iCs/>
          <w:color w:val="000000" w:themeColor="text1"/>
          <w:lang w:val="es-ES_tradnl"/>
        </w:rPr>
        <w:t>contratos del artículo 355 de la Constitución</w:t>
      </w:r>
      <w:r w:rsidRPr="004E1AEB">
        <w:rPr>
          <w:rFonts w:ascii="Century Gothic" w:eastAsia="Calibri" w:hAnsi="Century Gothic" w:cs="Arial"/>
          <w:color w:val="000000" w:themeColor="text1"/>
          <w:lang w:val="es-ES_tradnl"/>
        </w:rPr>
        <w:t xml:space="preserve"> y los </w:t>
      </w:r>
      <w:r w:rsidRPr="004E1AEB">
        <w:rPr>
          <w:rFonts w:ascii="Century Gothic" w:eastAsia="Calibri" w:hAnsi="Century Gothic" w:cs="Arial"/>
          <w:i/>
          <w:iCs/>
          <w:color w:val="000000" w:themeColor="text1"/>
          <w:lang w:val="es-ES_tradnl"/>
        </w:rPr>
        <w:t>convenios de asociación</w:t>
      </w:r>
      <w:r w:rsidRPr="004E1AEB">
        <w:rPr>
          <w:rFonts w:ascii="Century Gothic" w:eastAsia="Calibri" w:hAnsi="Century Gothic" w:cs="Arial"/>
          <w:color w:val="000000" w:themeColor="text1"/>
          <w:lang w:val="es-ES_tradnl"/>
        </w:rPr>
        <w:t xml:space="preserve">, los artículos 6, 7 y 8 del </w:t>
      </w:r>
      <w:bookmarkStart w:id="12" w:name="_Hlk38214426"/>
      <w:r w:rsidRPr="004E1AEB">
        <w:rPr>
          <w:rFonts w:ascii="Century Gothic" w:eastAsia="Calibri" w:hAnsi="Century Gothic" w:cs="Arial"/>
          <w:color w:val="000000" w:themeColor="text1"/>
          <w:lang w:val="es-ES_tradnl"/>
        </w:rPr>
        <w:t>Decreto 092 de 2017</w:t>
      </w:r>
      <w:bookmarkEnd w:id="12"/>
      <w:r w:rsidRPr="004E1AEB">
        <w:rPr>
          <w:rFonts w:ascii="Century Gothic" w:eastAsia="Calibri" w:hAnsi="Century Gothic" w:cs="Arial"/>
          <w:color w:val="000000" w:themeColor="text1"/>
          <w:lang w:val="es-ES_tradnl"/>
        </w:rPr>
        <w:t xml:space="preserve"> disponen lo siguiente:</w:t>
      </w:r>
    </w:p>
    <w:p w14:paraId="3CFE0CCA" w14:textId="77777777" w:rsidR="004E1AEB" w:rsidRPr="004E1AEB" w:rsidRDefault="004E1AEB" w:rsidP="004E1AEB">
      <w:pPr>
        <w:spacing w:after="0" w:line="276" w:lineRule="auto"/>
        <w:ind w:left="709" w:right="709"/>
        <w:jc w:val="both"/>
        <w:rPr>
          <w:rFonts w:ascii="Century Gothic" w:eastAsia="Calibri" w:hAnsi="Century Gothic" w:cs="Arial"/>
          <w:color w:val="000000" w:themeColor="text1"/>
          <w:lang w:val="es-ES_tradnl"/>
        </w:rPr>
      </w:pPr>
    </w:p>
    <w:p w14:paraId="793D644A" w14:textId="77777777" w:rsidR="004E1AEB" w:rsidRPr="004E1AEB" w:rsidRDefault="004E1AEB" w:rsidP="004E1AEB">
      <w:pPr>
        <w:spacing w:after="0" w:line="240" w:lineRule="auto"/>
        <w:ind w:left="709" w:right="709"/>
        <w:jc w:val="both"/>
        <w:rPr>
          <w:rFonts w:ascii="Century Gothic" w:eastAsia="Calibri" w:hAnsi="Century Gothic" w:cs="Arial"/>
          <w:color w:val="000000" w:themeColor="text1"/>
          <w:sz w:val="20"/>
          <w:szCs w:val="20"/>
          <w:lang w:val="es-ES_tradnl"/>
        </w:rPr>
      </w:pPr>
      <w:r w:rsidRPr="004E1AEB">
        <w:rPr>
          <w:rFonts w:ascii="Century Gothic" w:eastAsia="Calibri" w:hAnsi="Century Gothic" w:cs="Arial"/>
          <w:color w:val="000000" w:themeColor="text1"/>
          <w:sz w:val="20"/>
          <w:szCs w:val="20"/>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433D72F4" w14:textId="77777777" w:rsidR="004E1AEB" w:rsidRPr="004E1AEB" w:rsidRDefault="004E1AEB" w:rsidP="004E1AEB">
      <w:pPr>
        <w:spacing w:after="0" w:line="240" w:lineRule="auto"/>
        <w:ind w:left="709" w:right="709"/>
        <w:jc w:val="both"/>
        <w:rPr>
          <w:rFonts w:ascii="Century Gothic" w:eastAsia="Calibri" w:hAnsi="Century Gothic" w:cs="Arial"/>
          <w:color w:val="000000" w:themeColor="text1"/>
          <w:sz w:val="20"/>
          <w:szCs w:val="20"/>
          <w:lang w:val="es-ES_tradnl"/>
        </w:rPr>
      </w:pPr>
    </w:p>
    <w:p w14:paraId="276FCF16" w14:textId="77777777" w:rsidR="004E1AEB" w:rsidRPr="004E1AEB" w:rsidRDefault="004E1AEB" w:rsidP="004E1AEB">
      <w:pPr>
        <w:spacing w:after="0" w:line="240" w:lineRule="auto"/>
        <w:ind w:left="709" w:right="709"/>
        <w:jc w:val="both"/>
        <w:rPr>
          <w:rFonts w:ascii="Century Gothic" w:eastAsia="Calibri" w:hAnsi="Century Gothic" w:cs="Arial"/>
          <w:color w:val="000000" w:themeColor="text1"/>
          <w:sz w:val="20"/>
          <w:szCs w:val="20"/>
          <w:lang w:val="es-ES_tradnl"/>
        </w:rPr>
      </w:pPr>
      <w:r w:rsidRPr="004E1AEB">
        <w:rPr>
          <w:rFonts w:ascii="Century Gothic" w:eastAsia="Calibri" w:hAnsi="Century Gothic" w:cs="Arial"/>
          <w:color w:val="000000" w:themeColor="text1"/>
          <w:sz w:val="20"/>
          <w:szCs w:val="20"/>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07684DAC" w14:textId="77777777" w:rsidR="004E1AEB" w:rsidRPr="004E1AEB" w:rsidRDefault="004E1AEB" w:rsidP="004E1AEB">
      <w:pPr>
        <w:spacing w:after="0" w:line="240" w:lineRule="auto"/>
        <w:ind w:left="709" w:right="709"/>
        <w:jc w:val="both"/>
        <w:rPr>
          <w:rFonts w:ascii="Century Gothic" w:eastAsia="Calibri" w:hAnsi="Century Gothic" w:cs="Arial"/>
          <w:color w:val="000000" w:themeColor="text1"/>
          <w:sz w:val="20"/>
          <w:szCs w:val="20"/>
          <w:lang w:val="es-ES_tradnl"/>
        </w:rPr>
      </w:pPr>
    </w:p>
    <w:p w14:paraId="47786852" w14:textId="77777777" w:rsidR="004E1AEB" w:rsidRPr="004E1AEB" w:rsidRDefault="004E1AEB" w:rsidP="004E1AEB">
      <w:pPr>
        <w:spacing w:after="0" w:line="240" w:lineRule="auto"/>
        <w:ind w:left="709" w:right="709"/>
        <w:jc w:val="both"/>
        <w:rPr>
          <w:rFonts w:ascii="Century Gothic" w:eastAsia="Calibri" w:hAnsi="Century Gothic" w:cs="Arial"/>
          <w:color w:val="000000" w:themeColor="text1"/>
          <w:sz w:val="20"/>
          <w:szCs w:val="20"/>
          <w:lang w:val="es-ES_tradnl"/>
        </w:rPr>
      </w:pPr>
      <w:r w:rsidRPr="004E1AEB">
        <w:rPr>
          <w:rFonts w:ascii="Century Gothic" w:eastAsia="Calibri" w:hAnsi="Century Gothic" w:cs="Arial"/>
          <w:color w:val="000000" w:themeColor="text1"/>
          <w:sz w:val="20"/>
          <w:szCs w:val="20"/>
          <w:lang w:val="es-ES_tradnl"/>
        </w:rPr>
        <w:t xml:space="preserve">Artículo 8°. Aplicación de normas generales del sistema de contratación pública. La contratación a la que hace referencia el presente decreto está sujeta </w:t>
      </w:r>
      <w:bookmarkStart w:id="13" w:name="_Hlk38206940"/>
      <w:r w:rsidRPr="004E1AEB">
        <w:rPr>
          <w:rFonts w:ascii="Century Gothic" w:eastAsia="Calibri" w:hAnsi="Century Gothic" w:cs="Arial"/>
          <w:color w:val="000000" w:themeColor="text1"/>
          <w:sz w:val="20"/>
          <w:szCs w:val="20"/>
          <w:lang w:val="es-ES_tradnl"/>
        </w:rPr>
        <w:t xml:space="preserve">a las </w:t>
      </w:r>
      <w:bookmarkStart w:id="14" w:name="_Hlk38633960"/>
      <w:r w:rsidRPr="004E1AEB">
        <w:rPr>
          <w:rFonts w:ascii="Century Gothic" w:eastAsia="Calibri" w:hAnsi="Century Gothic" w:cs="Arial"/>
          <w:color w:val="000000" w:themeColor="text1"/>
          <w:sz w:val="20"/>
          <w:szCs w:val="20"/>
          <w:lang w:val="es-ES_tradnl"/>
        </w:rPr>
        <w:t xml:space="preserve">normas generales </w:t>
      </w:r>
      <w:bookmarkStart w:id="15" w:name="_Hlk38275055"/>
      <w:r w:rsidRPr="004E1AEB">
        <w:rPr>
          <w:rFonts w:ascii="Century Gothic" w:eastAsia="Calibri" w:hAnsi="Century Gothic" w:cs="Arial"/>
          <w:color w:val="000000" w:themeColor="text1"/>
          <w:sz w:val="20"/>
          <w:szCs w:val="20"/>
          <w:lang w:val="es-ES_tradnl"/>
        </w:rPr>
        <w:t>aplicables a la contratación pública</w:t>
      </w:r>
      <w:bookmarkEnd w:id="13"/>
      <w:bookmarkEnd w:id="14"/>
      <w:r w:rsidRPr="004E1AEB">
        <w:rPr>
          <w:rFonts w:ascii="Century Gothic" w:eastAsia="Calibri" w:hAnsi="Century Gothic" w:cs="Arial"/>
          <w:color w:val="000000" w:themeColor="text1"/>
          <w:sz w:val="20"/>
          <w:szCs w:val="20"/>
          <w:lang w:val="es-ES_tradnl"/>
        </w:rPr>
        <w:t xml:space="preserve"> </w:t>
      </w:r>
      <w:bookmarkEnd w:id="15"/>
      <w:r w:rsidRPr="004E1AEB">
        <w:rPr>
          <w:rFonts w:ascii="Century Gothic" w:eastAsia="Calibri" w:hAnsi="Century Gothic" w:cs="Arial"/>
          <w:color w:val="000000" w:themeColor="text1"/>
          <w:sz w:val="20"/>
          <w:szCs w:val="20"/>
          <w:lang w:val="es-ES_tradnl"/>
        </w:rPr>
        <w:t xml:space="preserve">excepto en lo reglamentado en el presente decreto”. </w:t>
      </w:r>
    </w:p>
    <w:p w14:paraId="7146EB67" w14:textId="77777777" w:rsidR="004E1AEB" w:rsidRPr="004E1AEB" w:rsidRDefault="004E1AEB" w:rsidP="004E1AEB">
      <w:pPr>
        <w:spacing w:after="0" w:line="276" w:lineRule="auto"/>
        <w:jc w:val="both"/>
        <w:rPr>
          <w:rFonts w:ascii="Century Gothic" w:eastAsia="Calibri" w:hAnsi="Century Gothic" w:cs="Arial"/>
          <w:color w:val="000000" w:themeColor="text1"/>
          <w:lang w:val="es-ES_tradnl"/>
        </w:rPr>
      </w:pPr>
      <w:r w:rsidRPr="004E1AEB">
        <w:rPr>
          <w:rFonts w:ascii="Century Gothic" w:eastAsia="Calibri" w:hAnsi="Century Gothic" w:cs="Arial"/>
          <w:color w:val="000000" w:themeColor="text1"/>
          <w:lang w:val="es-ES_tradnl"/>
        </w:rPr>
        <w:tab/>
      </w:r>
    </w:p>
    <w:p w14:paraId="48C1B18C"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Las normas citadas integran las lagunas o vacíos normativos del reglamento autónomo, y se aplican a todo lo que no esté expresamente regulado en él. Por ello no es posible aplicar ninguna de las disposiciones anteriormente citadas en </w:t>
      </w:r>
      <w:r w:rsidRPr="004E1AEB">
        <w:rPr>
          <w:rFonts w:ascii="Century Gothic" w:eastAsia="Calibri" w:hAnsi="Century Gothic" w:cs="Arial"/>
          <w:color w:val="000000" w:themeColor="text1"/>
          <w:lang w:val="es-ES"/>
        </w:rPr>
        <w:lastRenderedPageBreak/>
        <w:t xml:space="preserve">temas como la idoneidad de las ESAL –artículo 3–, su registro en el SECOP –artículo 9– y la inaplicación del Registro Único de Proponentes –artículo 10–. </w:t>
      </w:r>
    </w:p>
    <w:p w14:paraId="49C52DB0" w14:textId="77777777" w:rsidR="004E1AEB" w:rsidRPr="004E1AEB" w:rsidRDefault="004E1AEB" w:rsidP="004E1AEB">
      <w:pPr>
        <w:spacing w:after="120" w:line="276" w:lineRule="auto"/>
        <w:ind w:firstLine="708"/>
        <w:jc w:val="both"/>
        <w:rPr>
          <w:rFonts w:ascii="Century Gothic" w:eastAsia="Calibri" w:hAnsi="Century Gothic" w:cs="Arial"/>
          <w:color w:val="000000" w:themeColor="text1"/>
          <w:lang w:val="es-ES"/>
        </w:rPr>
      </w:pPr>
      <w:bookmarkStart w:id="16" w:name="_Hlk38282653"/>
      <w:r w:rsidRPr="004E1AEB">
        <w:rPr>
          <w:rFonts w:ascii="Century Gothic" w:eastAsia="Calibri" w:hAnsi="Century Gothic" w:cs="Arial"/>
          <w:color w:val="000000" w:themeColor="text1"/>
          <w:lang w:val="es-ES"/>
        </w:rPr>
        <w:t>Ahora bien, cuando el artículo 8 del Decreto menciona a las “[…] normas generales aplicables a la contratación pública […]”, bien podrían referirse a las disposiciones comunes del EGCAP –</w:t>
      </w:r>
      <w:r w:rsidRPr="004E1AEB">
        <w:rPr>
          <w:rFonts w:ascii="Century Gothic" w:eastAsia="Calibri" w:hAnsi="Century Gothic" w:cs="Arial"/>
          <w:i/>
          <w:iCs/>
          <w:color w:val="000000" w:themeColor="text1"/>
          <w:lang w:val="es-ES"/>
        </w:rPr>
        <w:t xml:space="preserve">remisión parcial </w:t>
      </w:r>
      <w:proofErr w:type="spellStart"/>
      <w:r w:rsidRPr="004E1AEB">
        <w:rPr>
          <w:rFonts w:ascii="Century Gothic" w:eastAsia="Calibri" w:hAnsi="Century Gothic" w:cs="Arial"/>
          <w:i/>
          <w:iCs/>
          <w:color w:val="000000" w:themeColor="text1"/>
          <w:lang w:val="es-ES"/>
        </w:rPr>
        <w:t>latu</w:t>
      </w:r>
      <w:proofErr w:type="spellEnd"/>
      <w:r w:rsidRPr="004E1AEB">
        <w:rPr>
          <w:rFonts w:ascii="Century Gothic" w:eastAsia="Calibri" w:hAnsi="Century Gothic" w:cs="Arial"/>
          <w:i/>
          <w:iCs/>
          <w:color w:val="000000" w:themeColor="text1"/>
          <w:lang w:val="es-ES"/>
        </w:rPr>
        <w:t xml:space="preserve"> sensu</w:t>
      </w:r>
      <w:r w:rsidRPr="004E1AEB">
        <w:rPr>
          <w:rFonts w:ascii="Century Gothic" w:eastAsia="Calibri" w:hAnsi="Century Gothic" w:cs="Arial"/>
          <w:color w:val="000000" w:themeColor="text1"/>
          <w:lang w:val="es-ES"/>
        </w:rPr>
        <w:t>– o a la totalidad de la Ley 80 de 1993 –</w:t>
      </w:r>
      <w:r w:rsidRPr="004E1AEB">
        <w:rPr>
          <w:rFonts w:ascii="Century Gothic" w:eastAsia="Calibri" w:hAnsi="Century Gothic" w:cs="Arial"/>
          <w:i/>
          <w:iCs/>
          <w:color w:val="000000" w:themeColor="text1"/>
          <w:lang w:val="es-ES"/>
        </w:rPr>
        <w:t>remisión integral</w:t>
      </w:r>
      <w:r w:rsidRPr="004E1AEB">
        <w:rPr>
          <w:rFonts w:ascii="Century Gothic" w:eastAsia="Calibri" w:hAnsi="Century Gothic" w:cs="Arial"/>
          <w:color w:val="000000" w:themeColor="text1"/>
          <w:lang w:val="es-ES"/>
        </w:rPr>
        <w:t xml:space="preserve">–. En esta medida, determinar el alcance de la remisión del artículo 8 del Decreto 092 requiere considerar que no hay lugar a distinguir entre normas de carácter general o especial dentro del EGCAP, ya que de la competencia dispuesta en el inciso final del artículo 150 de la Constitución Política se desprende que todas estas disposiciones regulan con el mismo grado de generalidad la actividad contractual del Estado.     </w:t>
      </w:r>
    </w:p>
    <w:p w14:paraId="2C768D02" w14:textId="77777777" w:rsidR="004E1AEB" w:rsidRPr="004E1AEB" w:rsidRDefault="004E1AEB" w:rsidP="004E1AEB">
      <w:pPr>
        <w:spacing w:after="120" w:line="276" w:lineRule="auto"/>
        <w:ind w:firstLine="708"/>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Por ello, considerando que la Ley 80 de 1993 tiene el mismo grado de generalidad, esta Subdirección concluye que el artículo 8 del Decreto 092 de 2017 </w:t>
      </w:r>
      <w:r w:rsidRPr="004E1AEB">
        <w:rPr>
          <w:rFonts w:ascii="Century Gothic" w:eastAsia="Calibri" w:hAnsi="Century Gothic" w:cs="Arial"/>
          <w:i/>
          <w:iCs/>
          <w:color w:val="000000" w:themeColor="text1"/>
          <w:lang w:val="es-ES"/>
        </w:rPr>
        <w:t>remite integralmente</w:t>
      </w:r>
      <w:r w:rsidRPr="004E1AEB">
        <w:rPr>
          <w:rFonts w:ascii="Century Gothic" w:eastAsia="Calibri" w:hAnsi="Century Gothic" w:cs="Arial"/>
          <w:color w:val="000000" w:themeColor="text1"/>
          <w:lang w:val="es-ES"/>
        </w:rPr>
        <w:t xml:space="preserve"> al EGCAP.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p>
    <w:bookmarkEnd w:id="16"/>
    <w:p w14:paraId="5B0C57EC" w14:textId="77777777" w:rsidR="004E1AEB" w:rsidRPr="004E1AEB" w:rsidRDefault="004E1AEB" w:rsidP="006D1D04">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Como se indicó, los convenios que permite celebrar el artículo 355 de la Constitución Política </w:t>
      </w:r>
      <w:r w:rsidRPr="004E1AEB">
        <w:rPr>
          <w:rFonts w:ascii="Century Gothic" w:eastAsia="Calibri" w:hAnsi="Century Gothic" w:cs="Arial"/>
          <w:i/>
          <w:iCs/>
          <w:color w:val="000000" w:themeColor="text1"/>
          <w:lang w:val="es-ES"/>
        </w:rPr>
        <w:t>en principio</w:t>
      </w:r>
      <w:r w:rsidRPr="004E1AEB">
        <w:rPr>
          <w:rFonts w:ascii="Century Gothic" w:eastAsia="Calibri" w:hAnsi="Century Gothic" w:cs="Arial"/>
          <w:color w:val="000000" w:themeColor="text1"/>
          <w:lang w:val="es-ES"/>
        </w:rPr>
        <w:t xml:space="preserve">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al aspecto por el cual se formula la consulta – esto es el límite a la adición de los convenios – habría que preguntarse si cuenta con una regulación especial en el Decreto 092 de 2017. Si la respuesta fuera afirmativa, tendría que aplicarse tal regulación. Pero, de ser negativa, habría que aplicar también el EGCAP, así como sus normas complementarias y reglamentarias, pues, precisamente, dichos preceptos son las “normas generales aplicables a la contratación pública” a las que alude el artículo 8 del Decreto 092 de 2017. En otras palabras, el EGCAP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w:t>
      </w:r>
    </w:p>
    <w:p w14:paraId="0395DC8B"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lastRenderedPageBreak/>
        <w:t xml:space="preserve">Pues bien, el peticionario indaga si en los convenios consagrados en el artículo 355 de la Constitución y en el artículo 96 </w:t>
      </w:r>
      <w:r w:rsidRPr="004E1AEB">
        <w:rPr>
          <w:rFonts w:ascii="Century Gothic" w:eastAsia="Calibri" w:hAnsi="Century Gothic" w:cs="Arial"/>
          <w:i/>
          <w:iCs/>
          <w:color w:val="000000" w:themeColor="text1"/>
          <w:lang w:val="es-ES"/>
        </w:rPr>
        <w:t>ibidem</w:t>
      </w:r>
      <w:r w:rsidRPr="004E1AEB">
        <w:rPr>
          <w:rFonts w:ascii="Century Gothic" w:eastAsia="Calibri" w:hAnsi="Century Gothic" w:cs="Arial"/>
          <w:color w:val="000000" w:themeColor="text1"/>
          <w:lang w:val="es-ES"/>
        </w:rPr>
        <w:t xml:space="preserve"> rige la Ley 80 de 1993 pueden adicionarse en más del cincuenta por ciento (50%) de su valor. Siguiendo la metodología explicada, hay que señalar que esta materia – la adición – </w:t>
      </w:r>
      <w:r w:rsidRPr="004E1AEB">
        <w:rPr>
          <w:rFonts w:ascii="Century Gothic" w:eastAsia="Calibri" w:hAnsi="Century Gothic" w:cs="Arial"/>
          <w:i/>
          <w:iCs/>
          <w:color w:val="000000" w:themeColor="text1"/>
          <w:lang w:val="es-ES"/>
        </w:rPr>
        <w:t>no está regulada expresamente en el Decreto 092 de 2017</w:t>
      </w:r>
      <w:r w:rsidRPr="004E1AEB">
        <w:rPr>
          <w:rFonts w:ascii="Century Gothic" w:eastAsia="Calibri" w:hAnsi="Century Gothic" w:cs="Arial"/>
          <w:color w:val="000000" w:themeColor="text1"/>
          <w:lang w:val="es-ES"/>
        </w:rPr>
        <w:t xml:space="preserve">. Este reglamento, además, como se indicó, es el que desarrolla el artículo 96 de la Ley 489 de 1998, la cual tampoco establece normas sobre dicho tema. En consecuencia, el vacío que se presenta frente a este asunto debe llenarse con la remisión que efectúa el artículo 8 del Decreto 092 de 2017. </w:t>
      </w:r>
    </w:p>
    <w:p w14:paraId="273A71E0"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Al respecto, el parágrafo del artículo 40 de la Ley 80 de 1993 establece un límite para las adiciones a los contratos estatales. En efecto, señala que “Los contratos no podrán adicionarse en más del cincuenta por ciento (50%) de su valor inicial, expresado éste en salarios mínimos legales mensuales”. El Decreto 092 de 2017 no prevé algo al respecto. Pero, como se ha explicado, su artículo 8 dispone que deben aplicarse las normas generales de la contratación pública en aquello que no esté reglamentado en dicho Decreto. Dentro de estas normas está, precisamente, el parágrafo del artículo 40 de la Ley 80 de 1993. Esta disposición no efectúa distinción alguna frente a los tipos de </w:t>
      </w:r>
      <w:r w:rsidRPr="004E1AEB">
        <w:rPr>
          <w:rFonts w:ascii="Century Gothic" w:eastAsia="Calibri" w:hAnsi="Century Gothic" w:cs="Arial"/>
          <w:i/>
          <w:iCs/>
          <w:color w:val="000000" w:themeColor="text1"/>
          <w:lang w:val="es-ES"/>
        </w:rPr>
        <w:t>contratos</w:t>
      </w:r>
      <w:r w:rsidRPr="004E1AEB">
        <w:rPr>
          <w:rFonts w:ascii="Century Gothic" w:eastAsia="Calibri" w:hAnsi="Century Gothic" w:cs="Arial"/>
          <w:color w:val="000000" w:themeColor="text1"/>
          <w:lang w:val="es-ES"/>
        </w:rPr>
        <w:t xml:space="preserve"> en los que aplica el límite de las adiciones. Simplemente, dice que “Los contratos no podrán adicionarse” superando el tope allí previsto. Los convenios regulados en el Decreto 092 de 2017 y en el artículo 96 de la Ley 489 de 1998 son </w:t>
      </w:r>
      <w:r w:rsidRPr="004E1AEB">
        <w:rPr>
          <w:rFonts w:ascii="Century Gothic" w:eastAsia="Calibri" w:hAnsi="Century Gothic" w:cs="Arial"/>
          <w:i/>
          <w:iCs/>
          <w:color w:val="000000" w:themeColor="text1"/>
          <w:lang w:val="es-ES"/>
        </w:rPr>
        <w:t>contratos</w:t>
      </w:r>
      <w:r w:rsidRPr="004E1AEB">
        <w:rPr>
          <w:rFonts w:ascii="Century Gothic" w:eastAsia="Calibri" w:hAnsi="Century Gothic" w:cs="Arial"/>
          <w:color w:val="000000" w:themeColor="text1"/>
          <w:lang w:val="es-ES"/>
        </w:rPr>
        <w:t xml:space="preserve">. De hecho, el segundo inciso del artículo 355 de la Constitución los llama de esa manera. En otras palabras, el hecho de que usualmente se les conozca como </w:t>
      </w:r>
      <w:r w:rsidRPr="004E1AEB">
        <w:rPr>
          <w:rFonts w:ascii="Century Gothic" w:eastAsia="Calibri" w:hAnsi="Century Gothic" w:cs="Arial"/>
          <w:i/>
          <w:iCs/>
          <w:color w:val="000000" w:themeColor="text1"/>
          <w:lang w:val="es-ES"/>
        </w:rPr>
        <w:t>convenios</w:t>
      </w:r>
      <w:r w:rsidRPr="004E1AEB">
        <w:rPr>
          <w:rFonts w:ascii="Century Gothic" w:eastAsia="Calibri" w:hAnsi="Century Gothic" w:cs="Arial"/>
          <w:color w:val="000000" w:themeColor="text1"/>
          <w:lang w:val="es-ES"/>
        </w:rPr>
        <w:t xml:space="preserve"> no les quita su carácter contractual. Por tanto, respondiendo la pregunta hecha por el peticionario, es válido concluir que también deben cumplir el límite porcentual para las adiciones previsto en el parágrafo del artículo 40 de la Ley 80 de 1993</w:t>
      </w:r>
      <w:r w:rsidRPr="004E1AEB">
        <w:rPr>
          <w:rFonts w:ascii="Century Gothic" w:eastAsia="Calibri" w:hAnsi="Century Gothic" w:cs="Arial"/>
          <w:lang w:val="es-ES_tradnl" w:eastAsia="es-ES_tradnl"/>
        </w:rPr>
        <w:t xml:space="preserve">, cuyo tenor literal dispone: </w:t>
      </w:r>
      <w:r w:rsidRPr="004E1AEB">
        <w:rPr>
          <w:rFonts w:ascii="Century Gothic" w:eastAsia="Calibri" w:hAnsi="Century Gothic" w:cs="Arial"/>
          <w:lang w:eastAsia="es-ES_tradnl"/>
        </w:rPr>
        <w:t>“</w:t>
      </w:r>
      <w:r w:rsidRPr="004E1AEB">
        <w:rPr>
          <w:rFonts w:ascii="Century Gothic" w:eastAsia="Times New Roman" w:hAnsi="Century Gothic" w:cs="Arial"/>
          <w:lang w:eastAsia="es-ES_tradnl"/>
        </w:rPr>
        <w:t>Los contratos no podrán adicionarse en más del cincuenta por ciento (50%) de su valor inicial, expresado éste en salarios mínimos legales mensuales</w:t>
      </w:r>
      <w:r w:rsidRPr="004E1AEB">
        <w:rPr>
          <w:rFonts w:ascii="Century Gothic" w:eastAsia="Calibri" w:hAnsi="Century Gothic" w:cs="Arial"/>
          <w:lang w:eastAsia="es-ES_tradnl"/>
        </w:rPr>
        <w:t>”</w:t>
      </w:r>
      <w:r w:rsidRPr="004E1AEB">
        <w:rPr>
          <w:rFonts w:ascii="Century Gothic" w:eastAsia="Calibri" w:hAnsi="Century Gothic" w:cs="Arial"/>
          <w:vertAlign w:val="superscript"/>
          <w:lang w:eastAsia="es-ES_tradnl"/>
        </w:rPr>
        <w:footnoteReference w:id="13"/>
      </w:r>
      <w:r w:rsidRPr="004E1AEB">
        <w:rPr>
          <w:rFonts w:ascii="Century Gothic" w:eastAsia="Times New Roman" w:hAnsi="Century Gothic" w:cs="Arial"/>
          <w:lang w:eastAsia="es-ES_tradnl"/>
        </w:rPr>
        <w:t>.</w:t>
      </w:r>
    </w:p>
    <w:p w14:paraId="082F6CC1" w14:textId="77777777" w:rsidR="004E1AEB" w:rsidRPr="004E1AEB" w:rsidRDefault="004E1AEB" w:rsidP="004E1AEB">
      <w:pPr>
        <w:spacing w:after="0" w:line="276" w:lineRule="auto"/>
        <w:ind w:firstLine="709"/>
        <w:jc w:val="both"/>
        <w:rPr>
          <w:rFonts w:ascii="Century Gothic" w:eastAsia="Times New Roman" w:hAnsi="Century Gothic" w:cs="Arial"/>
          <w:lang w:eastAsia="es-ES_tradnl"/>
        </w:rPr>
      </w:pPr>
      <w:r w:rsidRPr="004E1AEB">
        <w:rPr>
          <w:rFonts w:ascii="Century Gothic" w:eastAsia="Times New Roman" w:hAnsi="Century Gothic" w:cs="Arial"/>
          <w:color w:val="4B4949"/>
          <w:lang w:eastAsia="es-ES_tradnl"/>
        </w:rPr>
        <w:t>E</w:t>
      </w:r>
      <w:r w:rsidRPr="004E1AEB">
        <w:rPr>
          <w:rFonts w:ascii="Century Gothic" w:eastAsia="Times New Roman" w:hAnsi="Century Gothic" w:cs="Arial"/>
          <w:lang w:eastAsia="es-ES_tradnl"/>
        </w:rPr>
        <w:t xml:space="preserve">l parágrafo del artículo 40 de la Ley 80 prohíbe que las adiciones superen el cincuenta por ciento (50%) del valor inicial, expresado en salarios mínimos mensuales legales vigentes. Por ejemplo, si el convenio de asociación, que se suscribió en el año 2021 tiene un valor de $500.000.000, que es equivalente a 550,34 salarios mínimos mensuales legales vigentes, en el año 2022, si se adiciona, no podrá </w:t>
      </w:r>
      <w:r w:rsidRPr="004E1AEB">
        <w:rPr>
          <w:rFonts w:ascii="Century Gothic" w:eastAsia="Times New Roman" w:hAnsi="Century Gothic" w:cs="Arial"/>
          <w:lang w:eastAsia="es-ES_tradnl"/>
        </w:rPr>
        <w:lastRenderedPageBreak/>
        <w:t xml:space="preserve">superar más de 275,17 salarios mínimos mensuales legales vigentes. Al respecto, la doctrina expresa: </w:t>
      </w:r>
    </w:p>
    <w:p w14:paraId="1E6BDB71" w14:textId="77777777" w:rsidR="004E1AEB" w:rsidRPr="004E1AEB" w:rsidRDefault="004E1AEB" w:rsidP="004E1AEB">
      <w:pPr>
        <w:spacing w:after="0" w:line="276" w:lineRule="auto"/>
        <w:ind w:firstLine="709"/>
        <w:jc w:val="both"/>
        <w:rPr>
          <w:rFonts w:ascii="Century Gothic" w:eastAsia="Times New Roman" w:hAnsi="Century Gothic" w:cs="Arial"/>
          <w:lang w:eastAsia="es-ES_tradnl"/>
        </w:rPr>
      </w:pPr>
    </w:p>
    <w:p w14:paraId="2ACE41CA" w14:textId="77777777" w:rsidR="004E1AEB" w:rsidRPr="004E1AEB" w:rsidRDefault="004E1AEB" w:rsidP="004E1AEB">
      <w:pPr>
        <w:spacing w:after="0" w:line="240" w:lineRule="auto"/>
        <w:ind w:left="709" w:right="709"/>
        <w:jc w:val="both"/>
        <w:rPr>
          <w:rFonts w:ascii="Century Gothic" w:eastAsia="Times New Roman" w:hAnsi="Century Gothic" w:cs="Arial"/>
          <w:sz w:val="20"/>
          <w:szCs w:val="20"/>
          <w:lang w:eastAsia="es-ES_tradnl"/>
        </w:rPr>
      </w:pPr>
      <w:r w:rsidRPr="004E1AEB">
        <w:rPr>
          <w:rFonts w:ascii="Century Gothic" w:eastAsia="Times New Roman" w:hAnsi="Century Gothic" w:cs="Arial"/>
          <w:sz w:val="20"/>
          <w:szCs w:val="20"/>
          <w:lang w:eastAsia="es-ES_tradnl"/>
        </w:rPr>
        <w:t>“El parágrafo del art. 40 es, a primera vista, aparentemente claro, porque contiene tanto una permisión como una prohibición a la posibilidad de que el contrato se adicione. De un lado –sentido negativo-, prohíbe que la adición exceda el 50% del valor inicial; pero, de otro lado –sentido positivo- e implícitamente, la autoriza, pero solo hasta el 50 %. Las dos formas de ver son válidas</w:t>
      </w:r>
      <w:r w:rsidRPr="004E1AEB">
        <w:rPr>
          <w:rFonts w:ascii="Century Gothic" w:eastAsia="Times New Roman" w:hAnsi="Century Gothic" w:cs="Arial"/>
          <w:sz w:val="20"/>
          <w:szCs w:val="20"/>
          <w:vertAlign w:val="superscript"/>
          <w:lang w:eastAsia="es-ES_tradnl"/>
        </w:rPr>
        <w:footnoteReference w:id="14"/>
      </w:r>
      <w:r w:rsidRPr="004E1AEB">
        <w:rPr>
          <w:rFonts w:ascii="Century Gothic" w:eastAsia="Times New Roman" w:hAnsi="Century Gothic" w:cs="Arial"/>
          <w:sz w:val="20"/>
          <w:szCs w:val="20"/>
          <w:lang w:eastAsia="es-ES_tradnl"/>
        </w:rPr>
        <w:t xml:space="preserve">. </w:t>
      </w:r>
    </w:p>
    <w:p w14:paraId="45BE9DA7" w14:textId="77777777" w:rsidR="004E1AEB" w:rsidRPr="004E1AEB" w:rsidRDefault="004E1AEB" w:rsidP="004E1AEB">
      <w:pPr>
        <w:spacing w:after="0" w:line="240" w:lineRule="auto"/>
        <w:jc w:val="both"/>
        <w:rPr>
          <w:rFonts w:ascii="Century Gothic" w:eastAsia="Times New Roman" w:hAnsi="Century Gothic" w:cs="Times New Roman"/>
          <w:sz w:val="24"/>
          <w:szCs w:val="24"/>
          <w:lang w:eastAsia="es-ES_tradnl"/>
        </w:rPr>
      </w:pPr>
    </w:p>
    <w:p w14:paraId="3CB2DD25" w14:textId="77777777" w:rsidR="004E1AEB" w:rsidRPr="004E1AEB" w:rsidRDefault="004E1AEB" w:rsidP="004E1AEB">
      <w:pPr>
        <w:spacing w:after="120" w:line="276" w:lineRule="auto"/>
        <w:jc w:val="both"/>
        <w:rPr>
          <w:rFonts w:ascii="Century Gothic" w:eastAsia="Calibri" w:hAnsi="Century Gothic" w:cs="Arial"/>
          <w:szCs w:val="24"/>
          <w:lang w:eastAsia="es-ES_tradnl"/>
        </w:rPr>
      </w:pPr>
      <w:r w:rsidRPr="004E1AEB">
        <w:rPr>
          <w:rFonts w:ascii="Century Gothic" w:eastAsia="Times New Roman" w:hAnsi="Century Gothic" w:cs="Times New Roman"/>
          <w:sz w:val="24"/>
          <w:szCs w:val="24"/>
          <w:lang w:eastAsia="es-ES_tradnl"/>
        </w:rPr>
        <w:tab/>
      </w:r>
      <w:r w:rsidRPr="004E1AEB">
        <w:rPr>
          <w:rFonts w:ascii="Century Gothic" w:eastAsia="Times New Roman" w:hAnsi="Century Gothic" w:cs="Arial"/>
          <w:szCs w:val="24"/>
          <w:lang w:eastAsia="es-ES_tradnl"/>
        </w:rPr>
        <w:t xml:space="preserve">De acuerdo con lo regulado, se establece la restricción para adicionar los convenios de asociación por encima del cincuenta por ciento (50%) del valor inicial expresado en salarios mínimos mensuales legales vigentes, sin que se haga distinción frente al origen de los recursos para calcular el valor inicial a efectos de determinar el tope analizado, por lo que se tendrá en cuenta el valor total inicial del convenio. De esta manera, tanto la Entidad Pública como el asociado al decidir adicionar el convenio de asociación se sujetan al límite del parágrafo del artículo 40 de la Ley 80 de 1993, de acuerdo con la remisión del artículo 8 del Decreto 092 de 2017 a las normas generales del EGCAP. </w:t>
      </w:r>
      <w:r w:rsidRPr="004E1AEB">
        <w:rPr>
          <w:rFonts w:ascii="Century Gothic" w:eastAsia="Calibri" w:hAnsi="Century Gothic" w:cs="Arial"/>
          <w:szCs w:val="24"/>
          <w:lang w:eastAsia="es-ES_tradnl"/>
        </w:rPr>
        <w:t xml:space="preserve">En todo caso, la procedencia de adicionar estos convenios de asociación deberá corresponder al análisis que realice cada Entidad Estatal respecto a su conveniencia, por lo que le corresponderá definir en cada caso la viabilidad técnica, jurídica y financiera de realizar determinada modificación del convenio.   </w:t>
      </w:r>
    </w:p>
    <w:p w14:paraId="34DAA73D" w14:textId="31F2C108" w:rsidR="004E1AEB" w:rsidRPr="004E1AEB" w:rsidRDefault="004E1AEB" w:rsidP="004E1AEB">
      <w:pPr>
        <w:spacing w:after="120" w:line="276" w:lineRule="auto"/>
        <w:ind w:firstLine="709"/>
        <w:jc w:val="both"/>
        <w:rPr>
          <w:rFonts w:ascii="Century Gothic" w:eastAsia="Times New Roman" w:hAnsi="Century Gothic" w:cs="Arial"/>
          <w:lang w:eastAsia="es-ES_tradnl"/>
        </w:rPr>
      </w:pPr>
      <w:r w:rsidRPr="004E1AEB">
        <w:rPr>
          <w:rFonts w:ascii="Century Gothic" w:eastAsia="Calibri" w:hAnsi="Century Gothic" w:cs="Arial"/>
          <w:lang w:val="es-ES_tradnl"/>
        </w:rPr>
        <w:t xml:space="preserve">Finalmente, con el fin de contestar la pregunta número 2 de la consulta, se procede a analizar si en el evento que un convenio de asociación es celebrado de </w:t>
      </w:r>
      <w:r w:rsidRPr="004E1AEB">
        <w:rPr>
          <w:rFonts w:ascii="Century Gothic" w:eastAsia="Calibri" w:hAnsi="Century Gothic" w:cs="Arial"/>
          <w:lang w:val="es-ES_tradnl"/>
        </w:rPr>
        <w:lastRenderedPageBreak/>
        <w:t xml:space="preserve">manera directa, en virtud de lo establecido en el artículo 5 del Decreto 092 de 2017 y, posteriormente, es adicionado, la ESAL debe aportar el treinta por ciento (30%) del valor de </w:t>
      </w:r>
      <w:r w:rsidR="0021086B">
        <w:rPr>
          <w:rFonts w:ascii="Century Gothic" w:eastAsia="Calibri" w:hAnsi="Century Gothic" w:cs="Arial"/>
          <w:lang w:val="es-ES_tradnl"/>
        </w:rPr>
        <w:t xml:space="preserve">la </w:t>
      </w:r>
      <w:r w:rsidRPr="004E1AEB">
        <w:rPr>
          <w:rFonts w:ascii="Century Gothic" w:eastAsia="Calibri" w:hAnsi="Century Gothic" w:cs="Arial"/>
          <w:lang w:val="es-ES_tradnl"/>
        </w:rPr>
        <w:t>adición. Al respecto, es necesario señalar que, conforme al artículo 5 ibidem “[…] l</w:t>
      </w:r>
      <w:r w:rsidRPr="004E1AEB">
        <w:rPr>
          <w:rFonts w:ascii="Century Gothic" w:eastAsia="Times New Roman" w:hAnsi="Century Gothic" w:cs="Arial"/>
          <w:lang w:eastAsia="es-ES_tradnl"/>
        </w:rPr>
        <w:t xml:space="preserve">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w:t>
      </w:r>
      <w:r w:rsidRPr="004E1AEB">
        <w:rPr>
          <w:rFonts w:ascii="Century Gothic" w:eastAsia="Times New Roman" w:hAnsi="Century Gothic" w:cs="Arial"/>
          <w:i/>
          <w:iCs/>
          <w:lang w:eastAsia="es-ES_tradnl"/>
        </w:rPr>
        <w:t>valor total del convenio”</w:t>
      </w:r>
      <w:r w:rsidRPr="004E1AEB">
        <w:rPr>
          <w:rFonts w:ascii="Century Gothic" w:eastAsia="Times New Roman" w:hAnsi="Century Gothic" w:cs="Arial"/>
          <w:lang w:eastAsia="es-ES_tradnl"/>
        </w:rPr>
        <w:t xml:space="preserve">. (Énfasis fuera del texto original). </w:t>
      </w:r>
    </w:p>
    <w:p w14:paraId="434E9DFC" w14:textId="243A214F" w:rsidR="004E1AEB" w:rsidRPr="004E1AEB" w:rsidRDefault="004E1AEB" w:rsidP="004E1AEB">
      <w:pPr>
        <w:spacing w:after="120" w:line="276" w:lineRule="auto"/>
        <w:ind w:firstLine="709"/>
        <w:jc w:val="both"/>
        <w:rPr>
          <w:rFonts w:ascii="Century Gothic" w:eastAsia="Times New Roman" w:hAnsi="Century Gothic" w:cs="Arial"/>
          <w:shd w:val="clear" w:color="auto" w:fill="FFFFFF"/>
          <w:lang w:eastAsia="es-ES_tradnl"/>
        </w:rPr>
      </w:pPr>
      <w:r w:rsidRPr="004E1AEB">
        <w:rPr>
          <w:rFonts w:ascii="Century Gothic" w:eastAsia="Times New Roman" w:hAnsi="Century Gothic" w:cs="Arial"/>
          <w:lang w:eastAsia="es-ES_tradnl"/>
        </w:rPr>
        <w:t>Así las cosas, la norma establece que la ESAL debe aporta</w:t>
      </w:r>
      <w:r w:rsidR="00B8107A">
        <w:rPr>
          <w:rFonts w:ascii="Century Gothic" w:eastAsia="Times New Roman" w:hAnsi="Century Gothic" w:cs="Arial"/>
          <w:lang w:eastAsia="es-ES_tradnl"/>
        </w:rPr>
        <w:t>r</w:t>
      </w:r>
      <w:r w:rsidRPr="004E1AEB">
        <w:rPr>
          <w:rFonts w:ascii="Century Gothic" w:eastAsia="Times New Roman" w:hAnsi="Century Gothic" w:cs="Arial"/>
          <w:lang w:eastAsia="es-ES_tradnl"/>
        </w:rPr>
        <w:t xml:space="preserve"> mínimo el treinta por ciento (30%) del valor </w:t>
      </w:r>
      <w:r w:rsidRPr="00E042F5">
        <w:rPr>
          <w:rFonts w:ascii="Century Gothic" w:eastAsia="Times New Roman" w:hAnsi="Century Gothic" w:cs="Arial"/>
          <w:i/>
          <w:lang w:eastAsia="es-ES_tradnl"/>
        </w:rPr>
        <w:t>total</w:t>
      </w:r>
      <w:r w:rsidRPr="004E1AEB">
        <w:rPr>
          <w:rFonts w:ascii="Century Gothic" w:eastAsia="Times New Roman" w:hAnsi="Century Gothic" w:cs="Arial"/>
          <w:lang w:eastAsia="es-ES_tradnl"/>
        </w:rPr>
        <w:t xml:space="preserve"> del convenio. Nótese que la norma no hace distinción alguna </w:t>
      </w:r>
      <w:r w:rsidR="00DC3EFB">
        <w:rPr>
          <w:rFonts w:ascii="Century Gothic" w:eastAsia="Times New Roman" w:hAnsi="Century Gothic" w:cs="Arial"/>
          <w:lang w:eastAsia="es-ES_tradnl"/>
        </w:rPr>
        <w:t>frente</w:t>
      </w:r>
      <w:r w:rsidRPr="004E1AEB">
        <w:rPr>
          <w:rFonts w:ascii="Century Gothic" w:eastAsia="Times New Roman" w:hAnsi="Century Gothic" w:cs="Arial"/>
          <w:lang w:eastAsia="es-ES_tradnl"/>
        </w:rPr>
        <w:t xml:space="preserve"> a que la ESAL deba aportar el </w:t>
      </w:r>
      <w:r w:rsidR="00E042F5">
        <w:rPr>
          <w:rFonts w:ascii="Century Gothic" w:eastAsia="Times New Roman" w:hAnsi="Century Gothic" w:cs="Arial"/>
          <w:lang w:eastAsia="es-ES_tradnl"/>
        </w:rPr>
        <w:t xml:space="preserve">referido porcentaje </w:t>
      </w:r>
      <w:r w:rsidR="000F1ECB">
        <w:rPr>
          <w:rFonts w:ascii="Century Gothic" w:eastAsia="Times New Roman" w:hAnsi="Century Gothic" w:cs="Arial"/>
          <w:lang w:eastAsia="es-ES_tradnl"/>
        </w:rPr>
        <w:t xml:space="preserve">respecto al </w:t>
      </w:r>
      <w:r w:rsidRPr="004E1AEB">
        <w:rPr>
          <w:rFonts w:ascii="Century Gothic" w:eastAsia="Times New Roman" w:hAnsi="Century Gothic" w:cs="Arial"/>
          <w:lang w:eastAsia="es-ES_tradnl"/>
        </w:rPr>
        <w:t>valor inicial del convenio, sino que alude al valor total del mismo. Por lo tanto, e</w:t>
      </w:r>
      <w:r w:rsidRPr="004E1AEB">
        <w:rPr>
          <w:rFonts w:ascii="Century Gothic" w:eastAsia="Times New Roman" w:hAnsi="Century Gothic" w:cs="Arial"/>
          <w:shd w:val="clear" w:color="auto" w:fill="FFFFFF"/>
          <w:lang w:eastAsia="es-ES_tradnl"/>
        </w:rPr>
        <w:t>n desarrollo del principio</w:t>
      </w:r>
      <w:r w:rsidR="00B8107A">
        <w:rPr>
          <w:rFonts w:ascii="Century Gothic" w:eastAsia="Times New Roman" w:hAnsi="Century Gothic" w:cs="Arial"/>
          <w:shd w:val="clear" w:color="auto" w:fill="FFFFFF"/>
          <w:lang w:eastAsia="es-ES_tradnl"/>
        </w:rPr>
        <w:t xml:space="preserve"> </w:t>
      </w:r>
      <w:r w:rsidRPr="004E1AEB">
        <w:rPr>
          <w:rFonts w:ascii="Century Gothic" w:eastAsia="Times New Roman" w:hAnsi="Century Gothic" w:cs="Arial"/>
          <w:shd w:val="clear" w:color="auto" w:fill="FFFFFF"/>
          <w:lang w:eastAsia="es-ES_tradnl"/>
        </w:rPr>
        <w:t>general de interpretación jurídica según el cual</w:t>
      </w:r>
      <w:r w:rsidR="00F3457F">
        <w:rPr>
          <w:rFonts w:ascii="Century Gothic" w:eastAsia="Times New Roman" w:hAnsi="Century Gothic" w:cs="Arial"/>
          <w:shd w:val="clear" w:color="auto" w:fill="FFFFFF"/>
          <w:lang w:eastAsia="es-ES_tradnl"/>
        </w:rPr>
        <w:t xml:space="preserve"> </w:t>
      </w:r>
      <w:r w:rsidRPr="004E1AEB">
        <w:rPr>
          <w:rFonts w:ascii="Century Gothic" w:eastAsia="Times New Roman" w:hAnsi="Century Gothic" w:cs="Arial"/>
          <w:i/>
          <w:iCs/>
          <w:shd w:val="clear" w:color="auto" w:fill="FFFFFF"/>
          <w:lang w:eastAsia="es-ES_tradnl"/>
        </w:rPr>
        <w:t xml:space="preserve">donde la norma no distingue, no le corresponde distinguir al intérprete, </w:t>
      </w:r>
      <w:r w:rsidRPr="004E1AEB">
        <w:rPr>
          <w:rFonts w:ascii="Century Gothic" w:eastAsia="Times New Roman" w:hAnsi="Century Gothic" w:cs="Arial"/>
          <w:shd w:val="clear" w:color="auto" w:fill="FFFFFF"/>
          <w:lang w:eastAsia="es-ES_tradnl"/>
        </w:rPr>
        <w:t>resulta viable</w:t>
      </w:r>
      <w:r w:rsidR="00F3457F">
        <w:rPr>
          <w:rFonts w:ascii="Century Gothic" w:eastAsia="Times New Roman" w:hAnsi="Century Gothic" w:cs="Arial"/>
          <w:shd w:val="clear" w:color="auto" w:fill="FFFFFF"/>
          <w:lang w:eastAsia="es-ES_tradnl"/>
        </w:rPr>
        <w:t xml:space="preserve"> </w:t>
      </w:r>
      <w:r w:rsidRPr="004E1AEB">
        <w:rPr>
          <w:rFonts w:ascii="Century Gothic" w:eastAsia="Times New Roman" w:hAnsi="Century Gothic" w:cs="Arial"/>
          <w:shd w:val="clear" w:color="auto" w:fill="FFFFFF"/>
          <w:lang w:eastAsia="es-ES_tradnl"/>
        </w:rPr>
        <w:t xml:space="preserve">concluir que, si el convenio fue objeto de adición deberá tenerse en cuenta en valor inicial más el valor de la adición para el cálculo del treinta por ciento (30%) de que trata el artículo 5 del Decreto objeto de estudio. </w:t>
      </w:r>
    </w:p>
    <w:p w14:paraId="3A0FA9AF" w14:textId="0795A0C7" w:rsidR="004E1AEB" w:rsidRPr="004E1AEB" w:rsidRDefault="004E1AEB" w:rsidP="004E1AEB">
      <w:pPr>
        <w:spacing w:after="120" w:line="276" w:lineRule="auto"/>
        <w:ind w:firstLine="709"/>
        <w:jc w:val="both"/>
        <w:rPr>
          <w:rFonts w:ascii="Century Gothic" w:eastAsia="Calibri" w:hAnsi="Century Gothic" w:cs="Arial"/>
          <w:lang w:val="es-ES_tradnl"/>
        </w:rPr>
      </w:pPr>
      <w:r w:rsidRPr="004E1AEB">
        <w:rPr>
          <w:rFonts w:ascii="Century Gothic" w:eastAsia="Times New Roman" w:hAnsi="Century Gothic" w:cs="Arial"/>
          <w:shd w:val="clear" w:color="auto" w:fill="FFFFFF"/>
          <w:lang w:eastAsia="es-ES_tradnl"/>
        </w:rPr>
        <w:t xml:space="preserve">Si bien, en el marco de los convenios de asociación las partes, en virtud del principio de autonomía, pueden acordar una adición al contrato – siempre y cuando se </w:t>
      </w:r>
      <w:r w:rsidR="00DC3EFB">
        <w:rPr>
          <w:rFonts w:ascii="Century Gothic" w:eastAsia="Times New Roman" w:hAnsi="Century Gothic" w:cs="Arial"/>
          <w:shd w:val="clear" w:color="auto" w:fill="FFFFFF"/>
          <w:lang w:eastAsia="es-ES_tradnl"/>
        </w:rPr>
        <w:t>encuentre se encuentre justificado y se</w:t>
      </w:r>
      <w:r w:rsidRPr="004E1AEB">
        <w:rPr>
          <w:rFonts w:ascii="Century Gothic" w:eastAsia="Times New Roman" w:hAnsi="Century Gothic" w:cs="Arial"/>
          <w:shd w:val="clear" w:color="auto" w:fill="FFFFFF"/>
          <w:lang w:eastAsia="es-ES_tradnl"/>
        </w:rPr>
        <w:t xml:space="preserve"> respete el límite establecido, lo cierto es que esa modificación debe sujetarse a las reglas establecidas en el Decreto 092 del 2017. En ese sentido, si el Decreto establece que la celebración de los convenios de asociación se podrá realizar de forma directa siempre y cuando una ESAL se comprometa a aportar no menos de treinta por ciento (30%) del valor total del convenio, este valor incluye el valor adicionado. </w:t>
      </w:r>
      <w:r w:rsidRPr="004E1AEB">
        <w:rPr>
          <w:rFonts w:ascii="Century Gothic" w:eastAsia="Calibri" w:hAnsi="Century Gothic" w:cs="Arial"/>
          <w:lang w:val="es-ES"/>
        </w:rPr>
        <w:t xml:space="preserve">Por ende, respondiendo la pregunta hecha por el peticionario, es válido concluir que, si un convenio de asociación se celebró de forma directa, </w:t>
      </w:r>
      <w:r w:rsidRPr="004E1AEB">
        <w:rPr>
          <w:rFonts w:ascii="Century Gothic" w:eastAsia="Calibri" w:hAnsi="Century Gothic" w:cs="Arial"/>
          <w:lang w:val="es-ES_tradnl"/>
        </w:rPr>
        <w:t xml:space="preserve">en caso de que se realice una adición al valor del convenio, la ESAL debe realizar el aporte de forma proporcional a esa modificación, cosa tal que su aporte sea equivalente el treinta por ciento (30%) del total del convenio – incluida la adición, pues solo de esta manera se estaría respetando las reglas establecidas en el Decreto 092 de 2017. </w:t>
      </w:r>
    </w:p>
    <w:p w14:paraId="05ED6FF3" w14:textId="77777777" w:rsidR="004E1AEB" w:rsidRPr="004E1AEB" w:rsidRDefault="004E1AEB" w:rsidP="004E1AEB">
      <w:pPr>
        <w:spacing w:after="0" w:line="276" w:lineRule="auto"/>
        <w:ind w:firstLine="709"/>
        <w:jc w:val="both"/>
        <w:rPr>
          <w:rFonts w:ascii="Century Gothic" w:eastAsia="Calibri" w:hAnsi="Century Gothic" w:cs="Arial"/>
          <w:lang w:val="es-ES"/>
        </w:rPr>
      </w:pPr>
      <w:r w:rsidRPr="54420522">
        <w:rPr>
          <w:rFonts w:ascii="Century Gothic" w:eastAsia="Calibri" w:hAnsi="Century Gothic" w:cs="Arial"/>
          <w:lang w:val="es-ES"/>
        </w:rPr>
        <w:t xml:space="preserve">Si bien, la autonomía permite que se modifique el convenio, en la medida que la norma establece que no estará sujeto a un proceso competitivo si la ESAL aporta el treinta por ciento (30%) del valor del contrato en dinero, lo lógico es que la ESAL contratista deba realizar el aporte conforme al valor total del convenio </w:t>
      </w:r>
      <w:r w:rsidRPr="54420522">
        <w:rPr>
          <w:rFonts w:ascii="Century Gothic" w:eastAsia="Calibri" w:hAnsi="Century Gothic" w:cs="Arial"/>
          <w:lang w:val="es-ES"/>
        </w:rPr>
        <w:lastRenderedPageBreak/>
        <w:t xml:space="preserve">resultante tras la modificación efectuada. Contrario sensu, si se aceptara una interpretación diferente, según la cual una vez celebrado el convenio con ESAL de forma directa esta solo debía cumplir con el aporte del treinta por ciento (30%) del valor inicial del contrato se estaría contrariando las reglas que rigen la selección de los contratistas. </w:t>
      </w:r>
    </w:p>
    <w:p w14:paraId="00EC7ACC" w14:textId="77777777" w:rsidR="004E1AEB" w:rsidRPr="004E1AEB" w:rsidRDefault="004E1AEB" w:rsidP="004E1AEB">
      <w:pPr>
        <w:spacing w:after="0" w:line="276" w:lineRule="auto"/>
        <w:jc w:val="both"/>
        <w:rPr>
          <w:rFonts w:ascii="Century Gothic" w:eastAsia="Century Gothic" w:hAnsi="Century Gothic" w:cs="Century Gothic"/>
          <w:b/>
          <w:bCs/>
          <w:lang w:val="es-ES_tradnl" w:eastAsia="es-ES_tradnl"/>
        </w:rPr>
      </w:pPr>
    </w:p>
    <w:p w14:paraId="0B2F9C76" w14:textId="77777777" w:rsidR="004E1AEB" w:rsidRPr="004E1AEB" w:rsidRDefault="004E1AEB" w:rsidP="004E1AEB">
      <w:pPr>
        <w:spacing w:after="0" w:line="276" w:lineRule="auto"/>
        <w:jc w:val="both"/>
        <w:rPr>
          <w:rFonts w:ascii="Century Gothic" w:eastAsia="Century Gothic" w:hAnsi="Century Gothic" w:cs="Century Gothic"/>
          <w:b/>
          <w:bCs/>
          <w:lang w:val="es-ES" w:eastAsia="es-ES_tradnl"/>
        </w:rPr>
      </w:pPr>
      <w:r w:rsidRPr="004E1AEB">
        <w:rPr>
          <w:rFonts w:ascii="Century Gothic" w:eastAsia="Century Gothic" w:hAnsi="Century Gothic" w:cs="Century Gothic"/>
          <w:b/>
          <w:bCs/>
          <w:lang w:val="es-ES" w:eastAsia="es-ES_tradnl"/>
        </w:rPr>
        <w:t>3. Respuesta</w:t>
      </w:r>
    </w:p>
    <w:p w14:paraId="3C91FEC2" w14:textId="77777777" w:rsidR="004E1AEB" w:rsidRPr="004E1AEB" w:rsidRDefault="004E1AEB" w:rsidP="004E1AEB">
      <w:pPr>
        <w:spacing w:after="0" w:line="276" w:lineRule="auto"/>
        <w:jc w:val="both"/>
        <w:rPr>
          <w:rFonts w:ascii="Century Gothic" w:eastAsia="Century Gothic" w:hAnsi="Century Gothic" w:cs="Century Gothic"/>
          <w:lang w:val="es-ES" w:eastAsia="es-ES_tradnl"/>
        </w:rPr>
      </w:pPr>
    </w:p>
    <w:p w14:paraId="47E73E0B"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“De conformidad con el </w:t>
      </w:r>
      <w:proofErr w:type="spellStart"/>
      <w:r w:rsidRPr="004E1AEB">
        <w:rPr>
          <w:rFonts w:ascii="Century Gothic" w:eastAsia="Century Gothic" w:hAnsi="Century Gothic" w:cs="Century Gothic"/>
          <w:sz w:val="20"/>
          <w:szCs w:val="20"/>
          <w:lang w:eastAsia="es-ES_tradnl"/>
        </w:rPr>
        <w:t>articulo</w:t>
      </w:r>
      <w:proofErr w:type="spellEnd"/>
      <w:r w:rsidRPr="004E1AEB">
        <w:rPr>
          <w:rFonts w:ascii="Century Gothic" w:eastAsia="Century Gothic" w:hAnsi="Century Gothic" w:cs="Century Gothic"/>
          <w:sz w:val="20"/>
          <w:szCs w:val="20"/>
          <w:lang w:eastAsia="es-ES_tradnl"/>
        </w:rPr>
        <w:t xml:space="preserve"> 5° del DECRETO 092 se tiene las siguientes preguntas:</w:t>
      </w:r>
    </w:p>
    <w:p w14:paraId="0D43FAD3"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p>
    <w:p w14:paraId="03FA276E"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1. Se puede adicionar </w:t>
      </w:r>
      <w:proofErr w:type="spellStart"/>
      <w:r w:rsidRPr="004E1AEB">
        <w:rPr>
          <w:rFonts w:ascii="Century Gothic" w:eastAsia="Century Gothic" w:hAnsi="Century Gothic" w:cs="Century Gothic"/>
          <w:sz w:val="20"/>
          <w:szCs w:val="20"/>
          <w:lang w:eastAsia="es-ES_tradnl"/>
        </w:rPr>
        <w:t>mas</w:t>
      </w:r>
      <w:proofErr w:type="spellEnd"/>
      <w:r w:rsidRPr="004E1AEB">
        <w:rPr>
          <w:rFonts w:ascii="Century Gothic" w:eastAsia="Century Gothic" w:hAnsi="Century Gothic" w:cs="Century Gothic"/>
          <w:sz w:val="20"/>
          <w:szCs w:val="20"/>
          <w:lang w:eastAsia="es-ES_tradnl"/>
        </w:rPr>
        <w:t xml:space="preserve"> del 50% el valor del convenio de </w:t>
      </w:r>
      <w:proofErr w:type="gramStart"/>
      <w:r w:rsidRPr="004E1AEB">
        <w:rPr>
          <w:rFonts w:ascii="Century Gothic" w:eastAsia="Century Gothic" w:hAnsi="Century Gothic" w:cs="Century Gothic"/>
          <w:sz w:val="20"/>
          <w:szCs w:val="20"/>
          <w:lang w:eastAsia="es-ES_tradnl"/>
        </w:rPr>
        <w:t>asociación ?”(</w:t>
      </w:r>
      <w:proofErr w:type="gramEnd"/>
      <w:r w:rsidRPr="004E1AEB">
        <w:rPr>
          <w:rFonts w:ascii="Century Gothic" w:eastAsia="Century Gothic" w:hAnsi="Century Gothic" w:cs="Century Gothic"/>
          <w:sz w:val="20"/>
          <w:szCs w:val="20"/>
          <w:lang w:eastAsia="es-ES_tradnl"/>
        </w:rPr>
        <w:t>SIC).</w:t>
      </w:r>
    </w:p>
    <w:p w14:paraId="2EC751F9" w14:textId="77777777" w:rsidR="004E1AEB" w:rsidRPr="004E1AEB" w:rsidRDefault="004E1AEB" w:rsidP="004E1AEB">
      <w:pPr>
        <w:spacing w:after="0" w:line="276" w:lineRule="auto"/>
        <w:ind w:right="709"/>
        <w:jc w:val="both"/>
        <w:rPr>
          <w:rFonts w:ascii="Century Gothic" w:eastAsia="Century Gothic" w:hAnsi="Century Gothic" w:cs="Century Gothic"/>
          <w:lang w:eastAsia="es-ES_tradnl"/>
        </w:rPr>
      </w:pPr>
    </w:p>
    <w:p w14:paraId="2FA07AF9" w14:textId="77777777" w:rsidR="004E1AEB" w:rsidRPr="004E1AEB" w:rsidRDefault="004E1AEB" w:rsidP="004E1AEB">
      <w:pPr>
        <w:spacing w:after="120" w:line="276" w:lineRule="auto"/>
        <w:ind w:firstLine="708"/>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Conforme lo expuesto, los convenios que permite celebrar el artículo 355 de la Constitución Política </w:t>
      </w:r>
      <w:r w:rsidRPr="004E1AEB">
        <w:rPr>
          <w:rFonts w:ascii="Century Gothic" w:eastAsia="Calibri" w:hAnsi="Century Gothic" w:cs="Arial"/>
          <w:i/>
          <w:iCs/>
          <w:color w:val="000000" w:themeColor="text1"/>
          <w:lang w:val="es-ES"/>
        </w:rPr>
        <w:t>en principio</w:t>
      </w:r>
      <w:r w:rsidRPr="004E1AEB">
        <w:rPr>
          <w:rFonts w:ascii="Century Gothic" w:eastAsia="Calibri" w:hAnsi="Century Gothic" w:cs="Arial"/>
          <w:color w:val="000000" w:themeColor="text1"/>
          <w:lang w:val="es-ES"/>
        </w:rPr>
        <w:t xml:space="preserve">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al aspecto por el cual se formula la consulta – esto es el límite a la adición de los convenios – habría que preguntarse si cuenta con una regulación especial en el Decreto 092 de 2017. Si la respuesta fuera afirmativa, tendría que aplicarse tal regulación. Pero, de ser negativa, habría que aplicar también el EGCAP, así como sus normas complementarias y reglamentarias, pues, precisamente, dichos preceptos son las “normas generales aplicables a la contratación pública” a las que alude el artículo 8 del Decreto 092 de 2017. En otras palabras, el EGCAP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w:t>
      </w:r>
    </w:p>
    <w:p w14:paraId="3A9A812B" w14:textId="77777777" w:rsidR="004E1AEB" w:rsidRPr="004E1AEB" w:rsidRDefault="004E1AEB" w:rsidP="004E1AEB">
      <w:pPr>
        <w:spacing w:after="120" w:line="276" w:lineRule="auto"/>
        <w:ind w:firstLine="709"/>
        <w:jc w:val="both"/>
        <w:rPr>
          <w:rFonts w:ascii="Century Gothic" w:eastAsia="Calibri" w:hAnsi="Century Gothic" w:cs="Arial"/>
          <w:color w:val="000000" w:themeColor="text1"/>
          <w:lang w:val="es-ES"/>
        </w:rPr>
      </w:pPr>
      <w:r w:rsidRPr="004E1AEB">
        <w:rPr>
          <w:rFonts w:ascii="Century Gothic" w:eastAsia="Calibri" w:hAnsi="Century Gothic" w:cs="Arial"/>
          <w:color w:val="000000" w:themeColor="text1"/>
          <w:lang w:val="es-ES"/>
        </w:rPr>
        <w:t xml:space="preserve">Pues bien, el peticionario indaga si en los convenios consagrados en el artículo 355 de la Constitución y en el artículo 96 </w:t>
      </w:r>
      <w:r w:rsidRPr="004E1AEB">
        <w:rPr>
          <w:rFonts w:ascii="Century Gothic" w:eastAsia="Calibri" w:hAnsi="Century Gothic" w:cs="Arial"/>
          <w:i/>
          <w:iCs/>
          <w:color w:val="000000" w:themeColor="text1"/>
          <w:lang w:val="es-ES"/>
        </w:rPr>
        <w:t>ibidem</w:t>
      </w:r>
      <w:r w:rsidRPr="004E1AEB">
        <w:rPr>
          <w:rFonts w:ascii="Century Gothic" w:eastAsia="Calibri" w:hAnsi="Century Gothic" w:cs="Arial"/>
          <w:color w:val="000000" w:themeColor="text1"/>
          <w:lang w:val="es-ES"/>
        </w:rPr>
        <w:t xml:space="preserve"> rige la Ley 80 de 1993 pueden adicionarse en más del cincuenta por ciento (50%) de su valor. Siguiendo la metodología explicada, hay que señalar que esta materia – la adición – </w:t>
      </w:r>
      <w:r w:rsidRPr="004E1AEB">
        <w:rPr>
          <w:rFonts w:ascii="Century Gothic" w:eastAsia="Calibri" w:hAnsi="Century Gothic" w:cs="Arial"/>
          <w:i/>
          <w:iCs/>
          <w:color w:val="000000" w:themeColor="text1"/>
          <w:lang w:val="es-ES"/>
        </w:rPr>
        <w:t>no está regulada expresamente en el Decreto 092 de 2017</w:t>
      </w:r>
      <w:r w:rsidRPr="004E1AEB">
        <w:rPr>
          <w:rFonts w:ascii="Century Gothic" w:eastAsia="Calibri" w:hAnsi="Century Gothic" w:cs="Arial"/>
          <w:color w:val="000000" w:themeColor="text1"/>
          <w:lang w:val="es-ES"/>
        </w:rPr>
        <w:t xml:space="preserve">. Este reglamento, además, como se indicó, es el que desarrolla el artículo 96 de la Ley 489 de 1998, la cual tampoco establece normas sobre dicho tema. En consecuencia, el vacío que se </w:t>
      </w:r>
      <w:r w:rsidRPr="004E1AEB">
        <w:rPr>
          <w:rFonts w:ascii="Century Gothic" w:eastAsia="Calibri" w:hAnsi="Century Gothic" w:cs="Arial"/>
          <w:color w:val="000000" w:themeColor="text1"/>
          <w:lang w:val="es-ES"/>
        </w:rPr>
        <w:lastRenderedPageBreak/>
        <w:t xml:space="preserve">presenta frente a este asunto debe llenarse con la remisión que efectúa el artículo 8 del Decreto 092 de 2017. </w:t>
      </w:r>
    </w:p>
    <w:p w14:paraId="23B9BD6E" w14:textId="77777777" w:rsidR="004E1AEB" w:rsidRPr="004E1AEB" w:rsidRDefault="004E1AEB" w:rsidP="00AF0D7A">
      <w:pPr>
        <w:spacing w:after="120" w:line="276" w:lineRule="auto"/>
        <w:ind w:firstLine="709"/>
        <w:jc w:val="both"/>
        <w:rPr>
          <w:rFonts w:ascii="Century Gothic" w:eastAsia="Times New Roman" w:hAnsi="Century Gothic" w:cs="Arial"/>
          <w:lang w:eastAsia="es-ES_tradnl"/>
        </w:rPr>
      </w:pPr>
      <w:r w:rsidRPr="004E1AEB">
        <w:rPr>
          <w:rFonts w:ascii="Century Gothic" w:eastAsia="Calibri" w:hAnsi="Century Gothic" w:cs="Arial"/>
          <w:color w:val="000000" w:themeColor="text1"/>
          <w:lang w:val="es-ES"/>
        </w:rPr>
        <w:t xml:space="preserve">Al respecto, el parágrafo del artículo 40 de la Ley 80 de 1993 establece un límite para las adiciones a los contratos estatales. En efecto, señala que “Los contratos no podrán adicionarse en más del cincuenta por ciento (50%) de su valor inicial, expresado éste en salarios mínimos legales mensuales”. El Decreto 092 de 2017 no prevé algo al respecto. Pero, como se ha explicado, su artículo 8 dispone que deben aplicarse las normas generales de la contratación pública en aquello que no esté reglamentado en dicho Decreto. Dentro de estas normas está, precisamente, el parágrafo del artículo 40 de la Ley 80 de 1993. Esta disposición no efectúa distinción alguna frente a los tipos de </w:t>
      </w:r>
      <w:r w:rsidRPr="004E1AEB">
        <w:rPr>
          <w:rFonts w:ascii="Century Gothic" w:eastAsia="Calibri" w:hAnsi="Century Gothic" w:cs="Arial"/>
          <w:i/>
          <w:iCs/>
          <w:color w:val="000000" w:themeColor="text1"/>
          <w:lang w:val="es-ES"/>
        </w:rPr>
        <w:t>contratos</w:t>
      </w:r>
      <w:r w:rsidRPr="004E1AEB">
        <w:rPr>
          <w:rFonts w:ascii="Century Gothic" w:eastAsia="Calibri" w:hAnsi="Century Gothic" w:cs="Arial"/>
          <w:color w:val="000000" w:themeColor="text1"/>
          <w:lang w:val="es-ES"/>
        </w:rPr>
        <w:t xml:space="preserve"> en los que aplica el límite de las adiciones. Simplemente, dice que “Los contratos no podrán adicionarse” superando el tope allí previsto. Los convenios regulados en el Decreto 092 de 2017 y en el artículo 96 de la Ley 489 de 1998 son </w:t>
      </w:r>
      <w:r w:rsidRPr="004E1AEB">
        <w:rPr>
          <w:rFonts w:ascii="Century Gothic" w:eastAsia="Calibri" w:hAnsi="Century Gothic" w:cs="Arial"/>
          <w:i/>
          <w:iCs/>
          <w:color w:val="000000" w:themeColor="text1"/>
          <w:lang w:val="es-ES"/>
        </w:rPr>
        <w:t>contratos</w:t>
      </w:r>
      <w:r w:rsidRPr="004E1AEB">
        <w:rPr>
          <w:rFonts w:ascii="Century Gothic" w:eastAsia="Calibri" w:hAnsi="Century Gothic" w:cs="Arial"/>
          <w:color w:val="000000" w:themeColor="text1"/>
          <w:lang w:val="es-ES"/>
        </w:rPr>
        <w:t xml:space="preserve">. De hecho, el segundo inciso del artículo 355 de la Constitución los llama de esa manera. En otras palabras, el hecho de que usualmente se les conozca como </w:t>
      </w:r>
      <w:r w:rsidRPr="004E1AEB">
        <w:rPr>
          <w:rFonts w:ascii="Century Gothic" w:eastAsia="Calibri" w:hAnsi="Century Gothic" w:cs="Arial"/>
          <w:i/>
          <w:iCs/>
          <w:color w:val="000000" w:themeColor="text1"/>
          <w:lang w:val="es-ES"/>
        </w:rPr>
        <w:t>convenios</w:t>
      </w:r>
      <w:r w:rsidRPr="004E1AEB">
        <w:rPr>
          <w:rFonts w:ascii="Century Gothic" w:eastAsia="Calibri" w:hAnsi="Century Gothic" w:cs="Arial"/>
          <w:color w:val="000000" w:themeColor="text1"/>
          <w:lang w:val="es-ES"/>
        </w:rPr>
        <w:t xml:space="preserve"> no les quita su carácter contractual. Por tanto, respondiendo la pregunta hecha por el peticionario, es válido concluir que también deben cumplir el límite porcentual para las adiciones previsto en el parágrafo del artículo 40 de la Ley 80 de 1993</w:t>
      </w:r>
      <w:r w:rsidRPr="004E1AEB">
        <w:rPr>
          <w:rFonts w:ascii="Century Gothic" w:eastAsia="Calibri" w:hAnsi="Century Gothic" w:cs="Arial"/>
          <w:lang w:val="es-ES_tradnl" w:eastAsia="es-ES_tradnl"/>
        </w:rPr>
        <w:t xml:space="preserve">, cuyo tenor literal dispone: </w:t>
      </w:r>
      <w:r w:rsidRPr="004E1AEB">
        <w:rPr>
          <w:rFonts w:ascii="Century Gothic" w:eastAsia="Calibri" w:hAnsi="Century Gothic" w:cs="Arial"/>
          <w:lang w:eastAsia="es-ES_tradnl"/>
        </w:rPr>
        <w:t>“</w:t>
      </w:r>
      <w:r w:rsidRPr="004E1AEB">
        <w:rPr>
          <w:rFonts w:ascii="Century Gothic" w:eastAsia="Times New Roman" w:hAnsi="Century Gothic" w:cs="Arial"/>
          <w:lang w:eastAsia="es-ES_tradnl"/>
        </w:rPr>
        <w:t>Los contratos no podrán adicionarse en más del cincuenta por ciento (50%) de su valor inicial, expresado éste en salarios mínimos legales mensuales</w:t>
      </w:r>
      <w:r w:rsidRPr="004E1AEB">
        <w:rPr>
          <w:rFonts w:ascii="Century Gothic" w:eastAsia="Calibri" w:hAnsi="Century Gothic" w:cs="Arial"/>
          <w:lang w:eastAsia="es-ES_tradnl"/>
        </w:rPr>
        <w:t>”</w:t>
      </w:r>
      <w:r w:rsidRPr="004E1AEB">
        <w:rPr>
          <w:rFonts w:ascii="Century Gothic" w:eastAsia="Times New Roman" w:hAnsi="Century Gothic" w:cs="Arial"/>
          <w:lang w:eastAsia="es-ES_tradnl"/>
        </w:rPr>
        <w:t>.</w:t>
      </w:r>
    </w:p>
    <w:p w14:paraId="7FDF80E3" w14:textId="4F9F0CC5" w:rsidR="00AF0D7A" w:rsidRPr="00AF0D7A" w:rsidRDefault="00AF0D7A" w:rsidP="00AF0D7A">
      <w:pPr>
        <w:spacing w:after="0" w:line="276" w:lineRule="auto"/>
        <w:ind w:firstLine="709"/>
        <w:jc w:val="both"/>
        <w:rPr>
          <w:rFonts w:ascii="Century Gothic" w:eastAsia="Times New Roman" w:hAnsi="Century Gothic" w:cs="Arial"/>
          <w:lang w:eastAsia="es-ES_tradnl"/>
        </w:rPr>
      </w:pPr>
      <w:r w:rsidRPr="004E1AEB">
        <w:rPr>
          <w:rFonts w:ascii="Century Gothic" w:eastAsia="Calibri" w:hAnsi="Century Gothic" w:cs="Arial"/>
          <w:szCs w:val="24"/>
          <w:lang w:eastAsia="es-ES_tradnl"/>
        </w:rPr>
        <w:t xml:space="preserve">En todo caso, la procedencia de adicionar estos convenios de asociación deberá corresponder al análisis que realice cada Entidad Estatal respecto a su conveniencia, por lo que le corresponderá definir en cada caso la viabilidad técnica, jurídica y financiera de realizar determinada modificación del convenio.   </w:t>
      </w:r>
    </w:p>
    <w:p w14:paraId="1F792371" w14:textId="77777777" w:rsidR="004E1AEB" w:rsidRPr="004E1AEB" w:rsidRDefault="004E1AEB" w:rsidP="004E1AEB">
      <w:pPr>
        <w:spacing w:after="0" w:line="276" w:lineRule="auto"/>
        <w:ind w:right="709"/>
        <w:jc w:val="both"/>
        <w:rPr>
          <w:rFonts w:ascii="Century Gothic" w:eastAsia="Century Gothic" w:hAnsi="Century Gothic" w:cs="Century Gothic"/>
          <w:lang w:eastAsia="es-ES_tradnl"/>
        </w:rPr>
      </w:pPr>
    </w:p>
    <w:p w14:paraId="05516645"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“2. Si bien es cierto, el convenio se celebra de manera directa porque el cooperante aporta el 30%; Para realizar una adición el cooperante deberá aportar del 30% del valor de la adición </w:t>
      </w:r>
      <w:proofErr w:type="gramStart"/>
      <w:r w:rsidRPr="004E1AEB">
        <w:rPr>
          <w:rFonts w:ascii="Century Gothic" w:eastAsia="Century Gothic" w:hAnsi="Century Gothic" w:cs="Century Gothic"/>
          <w:sz w:val="20"/>
          <w:szCs w:val="20"/>
          <w:lang w:eastAsia="es-ES_tradnl"/>
        </w:rPr>
        <w:t>nuevamente ?</w:t>
      </w:r>
      <w:proofErr w:type="gramEnd"/>
      <w:r w:rsidRPr="004E1AEB">
        <w:rPr>
          <w:rFonts w:ascii="Century Gothic" w:eastAsia="Century Gothic" w:hAnsi="Century Gothic" w:cs="Century Gothic"/>
          <w:sz w:val="20"/>
          <w:szCs w:val="20"/>
          <w:lang w:eastAsia="es-ES_tradnl"/>
        </w:rPr>
        <w:t xml:space="preserve"> o no será necesario y dicho requisito solo es para la suscripción del convenio ?” (SIC).</w:t>
      </w:r>
    </w:p>
    <w:p w14:paraId="1ECD0BBB" w14:textId="77777777" w:rsidR="004E1AEB" w:rsidRPr="004E1AEB" w:rsidRDefault="004E1AEB" w:rsidP="004E1AEB">
      <w:pPr>
        <w:spacing w:after="0" w:line="276" w:lineRule="auto"/>
        <w:ind w:right="709"/>
        <w:jc w:val="both"/>
        <w:rPr>
          <w:rFonts w:ascii="Century Gothic" w:eastAsia="Century Gothic" w:hAnsi="Century Gothic" w:cs="Century Gothic"/>
          <w:lang w:eastAsia="es-ES_tradnl"/>
        </w:rPr>
      </w:pPr>
    </w:p>
    <w:p w14:paraId="3B47D449" w14:textId="77777777" w:rsidR="004E1AEB" w:rsidRPr="004E1AEB" w:rsidRDefault="004E1AEB" w:rsidP="004E1AEB">
      <w:pPr>
        <w:spacing w:after="120" w:line="276" w:lineRule="auto"/>
        <w:ind w:firstLine="709"/>
        <w:jc w:val="both"/>
        <w:rPr>
          <w:rFonts w:ascii="Century Gothic" w:eastAsia="Times New Roman" w:hAnsi="Century Gothic" w:cs="Arial"/>
          <w:lang w:eastAsia="es-ES_tradnl"/>
        </w:rPr>
      </w:pPr>
      <w:r w:rsidRPr="004E1AEB">
        <w:rPr>
          <w:rFonts w:ascii="Century Gothic" w:eastAsia="Calibri" w:hAnsi="Century Gothic" w:cs="Arial"/>
          <w:color w:val="000000" w:themeColor="text1"/>
          <w:lang w:val="es-ES_tradnl"/>
        </w:rPr>
        <w:t xml:space="preserve">Conforme lo explicado en las consideraciones de este concepto, </w:t>
      </w:r>
      <w:r w:rsidRPr="004E1AEB">
        <w:rPr>
          <w:rFonts w:ascii="Century Gothic" w:eastAsia="Calibri" w:hAnsi="Century Gothic" w:cs="Arial"/>
          <w:lang w:val="es-ES_tradnl"/>
        </w:rPr>
        <w:t>en el evento que un convenio de asociación es celebrado de manera directa, en virtud de lo establecido en el artículo 5 del Decreto 092 de 2017 y, posteriormente, es adicionado, la ESAL debe aportar el treinta por ciento (30%) del valor de adición. Al respecto, es necesario señalar que, conforme al artículo 5 ibidem “[…] l</w:t>
      </w:r>
      <w:r w:rsidRPr="004E1AEB">
        <w:rPr>
          <w:rFonts w:ascii="Century Gothic" w:eastAsia="Times New Roman" w:hAnsi="Century Gothic" w:cs="Arial"/>
          <w:lang w:eastAsia="es-ES_tradnl"/>
        </w:rPr>
        <w:t xml:space="preserve">os convenios de asociación que celebren entidades privadas sin ánimo de lucro de reconocida idoneidad y Entidades Estatales para el desarrollo conjunto de </w:t>
      </w:r>
      <w:r w:rsidRPr="004E1AEB">
        <w:rPr>
          <w:rFonts w:ascii="Century Gothic" w:eastAsia="Times New Roman" w:hAnsi="Century Gothic" w:cs="Arial"/>
          <w:lang w:eastAsia="es-ES_tradnl"/>
        </w:rPr>
        <w:lastRenderedPageBreak/>
        <w:t xml:space="preserve">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w:t>
      </w:r>
      <w:r w:rsidRPr="004E1AEB">
        <w:rPr>
          <w:rFonts w:ascii="Century Gothic" w:eastAsia="Times New Roman" w:hAnsi="Century Gothic" w:cs="Arial"/>
          <w:i/>
          <w:iCs/>
          <w:lang w:eastAsia="es-ES_tradnl"/>
        </w:rPr>
        <w:t>valor total del convenio”</w:t>
      </w:r>
      <w:r w:rsidRPr="004E1AEB">
        <w:rPr>
          <w:rFonts w:ascii="Century Gothic" w:eastAsia="Times New Roman" w:hAnsi="Century Gothic" w:cs="Arial"/>
          <w:lang w:eastAsia="es-ES_tradnl"/>
        </w:rPr>
        <w:t xml:space="preserve">. (Énfasis fuera del texto original). </w:t>
      </w:r>
    </w:p>
    <w:p w14:paraId="4DA7B5B5" w14:textId="77777777" w:rsidR="004E1AEB" w:rsidRPr="004E1AEB" w:rsidRDefault="004E1AEB" w:rsidP="004E1AEB">
      <w:pPr>
        <w:spacing w:after="120" w:line="276" w:lineRule="auto"/>
        <w:ind w:firstLine="709"/>
        <w:jc w:val="both"/>
        <w:rPr>
          <w:rFonts w:ascii="Century Gothic" w:eastAsia="Times New Roman" w:hAnsi="Century Gothic" w:cs="Arial"/>
          <w:shd w:val="clear" w:color="auto" w:fill="FFFFFF"/>
          <w:lang w:eastAsia="es-ES_tradnl"/>
        </w:rPr>
      </w:pPr>
      <w:r w:rsidRPr="004E1AEB">
        <w:rPr>
          <w:rFonts w:ascii="Century Gothic" w:eastAsia="Times New Roman" w:hAnsi="Century Gothic" w:cs="Arial"/>
          <w:lang w:eastAsia="es-ES_tradnl"/>
        </w:rPr>
        <w:t>Así las cosas, la norma establece que la ESAL debe aportan mínimo el treinta por ciento (30%) del valor total del convenio. Nótese que la norma no hace distinción alguna respecto a que la ESAL deba aportar el valor inicial del convenio, sino que alude al valor total del mismo. Por lo tanto, e</w:t>
      </w:r>
      <w:r w:rsidRPr="004E1AEB">
        <w:rPr>
          <w:rFonts w:ascii="Century Gothic" w:eastAsia="Times New Roman" w:hAnsi="Century Gothic" w:cs="Arial"/>
          <w:shd w:val="clear" w:color="auto" w:fill="FFFFFF"/>
          <w:lang w:eastAsia="es-ES_tradnl"/>
        </w:rPr>
        <w:t>n desarrollo del principio general de interpretación jurídica según el cual </w:t>
      </w:r>
      <w:r w:rsidRPr="004E1AEB">
        <w:rPr>
          <w:rFonts w:ascii="Century Gothic" w:eastAsia="Times New Roman" w:hAnsi="Century Gothic" w:cs="Arial"/>
          <w:i/>
          <w:iCs/>
          <w:shd w:val="clear" w:color="auto" w:fill="FFFFFF"/>
          <w:lang w:eastAsia="es-ES_tradnl"/>
        </w:rPr>
        <w:t xml:space="preserve">donde la norma no distingue, no le corresponde distinguir al intérprete, </w:t>
      </w:r>
      <w:r w:rsidRPr="004E1AEB">
        <w:rPr>
          <w:rFonts w:ascii="Century Gothic" w:eastAsia="Times New Roman" w:hAnsi="Century Gothic" w:cs="Arial"/>
          <w:shd w:val="clear" w:color="auto" w:fill="FFFFFF"/>
          <w:lang w:eastAsia="es-ES_tradnl"/>
        </w:rPr>
        <w:t xml:space="preserve">resulta viable concluir que, si el convenio fue objeto de adición deberá tenerse en cuenta en valor inicial más el valor de la adición para el cálculo del treinta por ciento (30%) de que trata el artículo 5 del Decreto objeto de estudio. </w:t>
      </w:r>
    </w:p>
    <w:p w14:paraId="35F2BBA5" w14:textId="77777777" w:rsidR="004E1AEB" w:rsidRPr="004E1AEB" w:rsidRDefault="004E1AEB" w:rsidP="004E1AEB">
      <w:pPr>
        <w:spacing w:after="120" w:line="276" w:lineRule="auto"/>
        <w:ind w:firstLine="709"/>
        <w:jc w:val="both"/>
        <w:rPr>
          <w:rFonts w:ascii="Century Gothic" w:eastAsia="Calibri" w:hAnsi="Century Gothic" w:cs="Arial"/>
          <w:lang w:val="es-ES_tradnl"/>
        </w:rPr>
      </w:pPr>
      <w:r w:rsidRPr="004E1AEB">
        <w:rPr>
          <w:rFonts w:ascii="Century Gothic" w:eastAsia="Times New Roman" w:hAnsi="Century Gothic" w:cs="Arial"/>
          <w:shd w:val="clear" w:color="auto" w:fill="FFFFFF"/>
          <w:lang w:eastAsia="es-ES_tradnl"/>
        </w:rPr>
        <w:t xml:space="preserve">Si bien, en el marco de los convenios de asociación las partes, en virtud del principio de autonomía, pueden acordar una adición al contrato – siempre y cuando se respete el límite establecido, lo cierto es que esa modificación debe sujetarse a las reglas establecidas en el Decreto 092 del 2017. En ese sentido, si el Decreto establece que la celebración de los convenios de asociación se podrá realizar de forma directa siempre y cuando una ESAL se comprometa a aportar no menos de treinta por ciento (30%) del valor total del convenio, este valor incluye el valor adicionado. </w:t>
      </w:r>
      <w:r w:rsidRPr="004E1AEB">
        <w:rPr>
          <w:rFonts w:ascii="Century Gothic" w:eastAsia="Calibri" w:hAnsi="Century Gothic" w:cs="Arial"/>
          <w:lang w:val="es-ES"/>
        </w:rPr>
        <w:t xml:space="preserve">Por ende, respondiendo la pregunta hecha por el peticionario, es válido concluir que, si un convenio de asociación se celebró de forma directa, </w:t>
      </w:r>
      <w:r w:rsidRPr="004E1AEB">
        <w:rPr>
          <w:rFonts w:ascii="Century Gothic" w:eastAsia="Calibri" w:hAnsi="Century Gothic" w:cs="Arial"/>
          <w:lang w:val="es-ES_tradnl"/>
        </w:rPr>
        <w:t xml:space="preserve">en caso de que se realice una adición al valor del convenio, la ESAL debe realizar el aporte de forma proporcional a esa modificación, cosa tal que su aporte sea equivalente el treinta por ciento (30%) del total del convenio – incluida la adición, pues solo de esta manera se estaría respetando las reglas establecidas en el Decreto 092 de 2017. </w:t>
      </w:r>
    </w:p>
    <w:p w14:paraId="3C156915" w14:textId="77777777" w:rsidR="004E1AEB" w:rsidRPr="004E1AEB" w:rsidRDefault="004E1AEB" w:rsidP="004E1AEB">
      <w:pPr>
        <w:spacing w:after="0" w:line="276" w:lineRule="auto"/>
        <w:ind w:firstLine="709"/>
        <w:jc w:val="both"/>
        <w:rPr>
          <w:rFonts w:ascii="Century Gothic" w:eastAsia="Calibri" w:hAnsi="Century Gothic" w:cs="Arial"/>
          <w:lang w:val="es-ES"/>
        </w:rPr>
      </w:pPr>
      <w:r w:rsidRPr="54420522">
        <w:rPr>
          <w:rFonts w:ascii="Century Gothic" w:eastAsia="Calibri" w:hAnsi="Century Gothic" w:cs="Arial"/>
          <w:lang w:val="es-ES"/>
        </w:rPr>
        <w:t xml:space="preserve">Si bien, la autonomía permite que se modifique el convenio, en la medida que la norma establece que no estará sujeto a un proceso competitivo si la ESAL aporta el treinta por ciento (30%) del valor del contrato en dinero, lo lógico es que la ESAL contratista deba realizar el aporte conforme al valor total del convenio resultante tras la modificación efectuada. </w:t>
      </w:r>
      <w:r w:rsidRPr="0013353E">
        <w:rPr>
          <w:rFonts w:ascii="Century Gothic" w:eastAsia="Calibri" w:hAnsi="Century Gothic" w:cs="Arial"/>
          <w:i/>
          <w:lang w:val="es-ES"/>
        </w:rPr>
        <w:t>Contrario sensu</w:t>
      </w:r>
      <w:r w:rsidRPr="54420522">
        <w:rPr>
          <w:rFonts w:ascii="Century Gothic" w:eastAsia="Calibri" w:hAnsi="Century Gothic" w:cs="Arial"/>
          <w:lang w:val="es-ES"/>
        </w:rPr>
        <w:t xml:space="preserve">, si se aceptara una interpretación diferente, según la cual una vez celebrado el convenio con ESAL de forma directa esta solo debía cumplir con el aporte del treinta por ciento (30%) del valor inicial del contrato se estaría contrariando las reglas que rigen la selección de los contratistas. </w:t>
      </w:r>
    </w:p>
    <w:p w14:paraId="1C6D10B0" w14:textId="77777777" w:rsidR="004E1AEB" w:rsidRPr="004E1AEB" w:rsidRDefault="004E1AEB" w:rsidP="004E1AEB">
      <w:pPr>
        <w:spacing w:after="0" w:line="276" w:lineRule="auto"/>
        <w:ind w:firstLine="709"/>
        <w:jc w:val="both"/>
        <w:rPr>
          <w:rFonts w:ascii="Century Gothic" w:eastAsia="Century Gothic" w:hAnsi="Century Gothic" w:cs="Century Gothic"/>
          <w:lang w:val="es-ES_tradnl" w:eastAsia="es-ES_tradnl"/>
        </w:rPr>
      </w:pPr>
    </w:p>
    <w:p w14:paraId="1F260369"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“3. Es obligatorio que el COOPERANTE demuestre el 30% del aporte a través de certificación bancaria o podrá acreditarse a través de declaración bajo juramento o cualquier otro </w:t>
      </w:r>
      <w:proofErr w:type="gramStart"/>
      <w:r w:rsidRPr="004E1AEB">
        <w:rPr>
          <w:rFonts w:ascii="Century Gothic" w:eastAsia="Century Gothic" w:hAnsi="Century Gothic" w:cs="Century Gothic"/>
          <w:sz w:val="20"/>
          <w:szCs w:val="20"/>
          <w:lang w:eastAsia="es-ES_tradnl"/>
        </w:rPr>
        <w:t>medio ?</w:t>
      </w:r>
      <w:proofErr w:type="gramEnd"/>
      <w:r w:rsidRPr="004E1AEB">
        <w:rPr>
          <w:rFonts w:ascii="Century Gothic" w:eastAsia="Century Gothic" w:hAnsi="Century Gothic" w:cs="Century Gothic"/>
          <w:sz w:val="20"/>
          <w:szCs w:val="20"/>
          <w:lang w:eastAsia="es-ES_tradnl"/>
        </w:rPr>
        <w:t>” (SIC).</w:t>
      </w:r>
    </w:p>
    <w:p w14:paraId="105D93F6" w14:textId="77777777" w:rsidR="004E1AEB" w:rsidRPr="004E1AEB" w:rsidRDefault="004E1AEB" w:rsidP="004E1AEB">
      <w:pPr>
        <w:spacing w:after="0" w:line="276" w:lineRule="auto"/>
        <w:ind w:left="709" w:right="709"/>
        <w:jc w:val="both"/>
        <w:rPr>
          <w:rFonts w:ascii="Century Gothic" w:eastAsia="Century Gothic" w:hAnsi="Century Gothic" w:cs="Century Gothic"/>
          <w:lang w:eastAsia="es-ES_tradnl"/>
        </w:rPr>
      </w:pPr>
    </w:p>
    <w:p w14:paraId="52277B13" w14:textId="77777777" w:rsidR="000C586C" w:rsidRPr="004E1AEB" w:rsidRDefault="004E1AEB" w:rsidP="000C586C">
      <w:pPr>
        <w:spacing w:after="0" w:line="276" w:lineRule="auto"/>
        <w:ind w:firstLine="709"/>
        <w:jc w:val="both"/>
        <w:textAlignment w:val="baseline"/>
        <w:rPr>
          <w:rFonts w:ascii="Century Gothic" w:eastAsia="Calibri" w:hAnsi="Century Gothic" w:cs="Arial"/>
          <w:lang w:val="es-ES_tradnl" w:eastAsia="es-ES_tradnl"/>
        </w:rPr>
      </w:pPr>
      <w:r w:rsidRPr="004E1AEB">
        <w:rPr>
          <w:rFonts w:ascii="Century Gothic" w:eastAsia="Calibri" w:hAnsi="Century Gothic" w:cs="Arial"/>
          <w:lang w:eastAsia="es-ES_tradnl"/>
        </w:rPr>
        <w:t xml:space="preserve">En relación con el </w:t>
      </w:r>
      <w:r w:rsidRPr="004E1AEB">
        <w:rPr>
          <w:rFonts w:ascii="Century Gothic" w:eastAsia="Calibri" w:hAnsi="Century Gothic" w:cs="Arial"/>
          <w:lang w:val="es-ES_tradnl" w:eastAsia="es-ES_tradnl"/>
        </w:rPr>
        <w:t xml:space="preserve">recaudo de los aportes, debe señalarse que </w:t>
      </w:r>
      <w:r w:rsidR="000C586C" w:rsidRPr="004E1AEB">
        <w:rPr>
          <w:rFonts w:ascii="Century Gothic" w:eastAsia="Calibri" w:hAnsi="Century Gothic" w:cs="Arial"/>
          <w:lang w:val="es-ES_tradnl" w:eastAsia="es-ES_tradnl"/>
        </w:rPr>
        <w:t>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con lo prescrito en el artículo 96 de la Ley 489 de 1998.</w:t>
      </w:r>
    </w:p>
    <w:p w14:paraId="743D4340" w14:textId="4FA968B6" w:rsidR="004E1AEB" w:rsidRPr="000C586C" w:rsidRDefault="004E1AEB" w:rsidP="000C586C">
      <w:pPr>
        <w:spacing w:after="0" w:line="276" w:lineRule="auto"/>
        <w:jc w:val="both"/>
        <w:textAlignment w:val="baseline"/>
        <w:rPr>
          <w:rFonts w:ascii="Century Gothic" w:eastAsia="Century Gothic" w:hAnsi="Century Gothic" w:cs="Century Gothic"/>
          <w:lang w:val="es-ES_tradnl" w:eastAsia="es-ES_tradnl"/>
        </w:rPr>
      </w:pPr>
    </w:p>
    <w:p w14:paraId="6D49D8DF" w14:textId="77777777" w:rsidR="004E1AEB" w:rsidRPr="004E1AEB" w:rsidRDefault="004E1AEB" w:rsidP="004E1AEB">
      <w:pPr>
        <w:spacing w:after="0" w:line="240" w:lineRule="auto"/>
        <w:ind w:left="709" w:right="709"/>
        <w:jc w:val="both"/>
        <w:rPr>
          <w:rFonts w:ascii="Century Gothic" w:eastAsia="Century Gothic" w:hAnsi="Century Gothic" w:cs="Century Gothic"/>
          <w:sz w:val="20"/>
          <w:szCs w:val="20"/>
          <w:lang w:eastAsia="es-ES_tradnl"/>
        </w:rPr>
      </w:pPr>
      <w:r w:rsidRPr="004E1AEB">
        <w:rPr>
          <w:rFonts w:ascii="Century Gothic" w:eastAsia="Century Gothic" w:hAnsi="Century Gothic" w:cs="Century Gothic"/>
          <w:sz w:val="20"/>
          <w:szCs w:val="20"/>
          <w:lang w:eastAsia="es-ES_tradnl"/>
        </w:rPr>
        <w:t xml:space="preserve">“4. El convenio del </w:t>
      </w:r>
      <w:proofErr w:type="spellStart"/>
      <w:r w:rsidRPr="004E1AEB">
        <w:rPr>
          <w:rFonts w:ascii="Century Gothic" w:eastAsia="Century Gothic" w:hAnsi="Century Gothic" w:cs="Century Gothic"/>
          <w:sz w:val="20"/>
          <w:szCs w:val="20"/>
          <w:lang w:eastAsia="es-ES_tradnl"/>
        </w:rPr>
        <w:t>articulo</w:t>
      </w:r>
      <w:proofErr w:type="spellEnd"/>
      <w:r w:rsidRPr="004E1AEB">
        <w:rPr>
          <w:rFonts w:ascii="Century Gothic" w:eastAsia="Century Gothic" w:hAnsi="Century Gothic" w:cs="Century Gothic"/>
          <w:sz w:val="20"/>
          <w:szCs w:val="20"/>
          <w:lang w:eastAsia="es-ES_tradnl"/>
        </w:rPr>
        <w:t xml:space="preserve"> 5° del DECRETO 092 lo pueden suscribir los </w:t>
      </w:r>
      <w:proofErr w:type="gramStart"/>
      <w:r w:rsidRPr="004E1AEB">
        <w:rPr>
          <w:rFonts w:ascii="Century Gothic" w:eastAsia="Century Gothic" w:hAnsi="Century Gothic" w:cs="Century Gothic"/>
          <w:sz w:val="20"/>
          <w:szCs w:val="20"/>
          <w:lang w:eastAsia="es-ES_tradnl"/>
        </w:rPr>
        <w:t>CONCEJOS  MUNICIPALES</w:t>
      </w:r>
      <w:proofErr w:type="gramEnd"/>
      <w:r w:rsidRPr="004E1AEB">
        <w:rPr>
          <w:rFonts w:ascii="Century Gothic" w:eastAsia="Century Gothic" w:hAnsi="Century Gothic" w:cs="Century Gothic"/>
          <w:sz w:val="20"/>
          <w:szCs w:val="20"/>
          <w:lang w:eastAsia="es-ES_tradnl"/>
        </w:rPr>
        <w:t>?” (SIC).</w:t>
      </w:r>
    </w:p>
    <w:p w14:paraId="4511CF22" w14:textId="77777777" w:rsidR="004E1AEB" w:rsidRPr="000C586C" w:rsidRDefault="004E1AEB" w:rsidP="000C586C">
      <w:pPr>
        <w:spacing w:after="0" w:line="276" w:lineRule="auto"/>
        <w:ind w:left="709" w:right="709"/>
        <w:jc w:val="both"/>
        <w:rPr>
          <w:rFonts w:ascii="Century Gothic" w:eastAsia="Century Gothic" w:hAnsi="Century Gothic" w:cs="Century Gothic"/>
          <w:lang w:eastAsia="es-ES_tradnl"/>
        </w:rPr>
      </w:pPr>
    </w:p>
    <w:p w14:paraId="57442963" w14:textId="77777777" w:rsidR="004E1AEB" w:rsidRPr="004E1AEB" w:rsidRDefault="004E1AEB" w:rsidP="004E1AEB">
      <w:pPr>
        <w:spacing w:after="120" w:line="276" w:lineRule="auto"/>
        <w:jc w:val="both"/>
        <w:rPr>
          <w:rFonts w:ascii="Century Gothic" w:eastAsia="Calibri" w:hAnsi="Century Gothic" w:cs="Arial"/>
          <w:lang w:val="es-ES" w:eastAsia="es-ES_tradnl"/>
        </w:rPr>
      </w:pPr>
      <w:r w:rsidRPr="004E1AEB">
        <w:rPr>
          <w:rFonts w:ascii="Century Gothic" w:eastAsia="Calibri" w:hAnsi="Century Gothic" w:cs="Arial"/>
          <w:color w:val="000000" w:themeColor="text1"/>
          <w:lang w:val="es-ES"/>
        </w:rPr>
        <w:t xml:space="preserve">En atención a la pregunta número 4 de su consulta, referente a si un concejo municipal puede suscribir un convenio de asociación, es menester indicar que, </w:t>
      </w:r>
      <w:r w:rsidRPr="004E1AEB">
        <w:rPr>
          <w:rFonts w:ascii="Century Gothic" w:eastAsia="Calibri" w:hAnsi="Century Gothic" w:cs="Arial"/>
          <w:lang w:val="es-MX"/>
        </w:rPr>
        <w:t xml:space="preserve">de conformidad con el artículo 96 de la Ley 489 de 1996, los </w:t>
      </w:r>
      <w:r w:rsidRPr="004E1AEB">
        <w:rPr>
          <w:rFonts w:ascii="Century Gothic" w:eastAsia="Calibri" w:hAnsi="Century Gothic" w:cs="Arial"/>
          <w:i/>
          <w:lang w:val="es-MX"/>
        </w:rPr>
        <w:t>convenios de asociación</w:t>
      </w:r>
      <w:r w:rsidRPr="004E1AEB">
        <w:rPr>
          <w:rFonts w:ascii="Century Gothic" w:eastAsia="Calibri" w:hAnsi="Century Gothic" w:cs="Arial"/>
          <w:lang w:val="es-MX"/>
        </w:rPr>
        <w:t xml:space="preserve"> pueden ser celebrados por cualquier Entidad Estatal “cualquiera sea su naturaleza y orden administrativo”. </w:t>
      </w:r>
      <w:r w:rsidRPr="004E1AEB">
        <w:rPr>
          <w:rFonts w:ascii="Century Gothic" w:eastAsia="Calibri" w:hAnsi="Century Gothic" w:cs="Arial"/>
          <w:color w:val="000000" w:themeColor="text1"/>
          <w:lang w:val="es-ES"/>
        </w:rPr>
        <w:t>En este sentido, serán competentes para celebrar este tipo de convenios todas las entidades enlistadas en el artículo 2° del EGCAP.</w:t>
      </w:r>
      <w:r w:rsidRPr="004E1AEB">
        <w:rPr>
          <w:rFonts w:ascii="Century Gothic" w:eastAsia="Calibri" w:hAnsi="Century Gothic" w:cs="Arial"/>
          <w:lang w:val="es-ES" w:eastAsia="es-ES_tradnl"/>
        </w:rPr>
        <w:t xml:space="preserve"> Es consecuencia, es necesario analizar si los consejos municipales se enmarcan o no en la definición de Entidades Estatales. </w:t>
      </w:r>
    </w:p>
    <w:p w14:paraId="6CF4933A" w14:textId="77777777" w:rsidR="004E1AEB" w:rsidRPr="004E1AEB" w:rsidRDefault="004E1AEB" w:rsidP="004E1AEB">
      <w:pPr>
        <w:spacing w:after="120" w:line="276" w:lineRule="auto"/>
        <w:ind w:firstLine="709"/>
        <w:jc w:val="both"/>
        <w:rPr>
          <w:rFonts w:ascii="Century Gothic" w:eastAsia="Calibri" w:hAnsi="Century Gothic" w:cs="Arial"/>
          <w:lang w:val="es-ES" w:eastAsia="es-ES_tradnl"/>
        </w:rPr>
      </w:pPr>
      <w:r w:rsidRPr="004E1AEB">
        <w:rPr>
          <w:rFonts w:ascii="Century Gothic" w:eastAsia="Calibri" w:hAnsi="Century Gothic" w:cs="Arial"/>
          <w:lang w:val="es-ES" w:eastAsia="es-ES_tradnl"/>
        </w:rPr>
        <w:t>Aunque el numeral 1° del artículo 2 ibidem no lista expresamente a los concejos municipales, el literal b) de dicho numeral dispone que son Entidades Estatales “los organismos o dependencias del Estado a los que la ley otorgue capacidad para celebrar contratos”. De otra parte, el numeral 2 del artículo 2 de la Ley 80 de 1993 considera como servidores públicos a “b) Los miembros de las corporaciones públicas que tengan capacidad para celebrar contratos en representación de éstas”.</w:t>
      </w:r>
    </w:p>
    <w:p w14:paraId="13BF5F50" w14:textId="6671D98C" w:rsidR="004E1AEB" w:rsidRPr="004E1AEB" w:rsidRDefault="004E1AEB" w:rsidP="00E64640">
      <w:pPr>
        <w:spacing w:after="120" w:line="276" w:lineRule="auto"/>
        <w:ind w:firstLine="709"/>
        <w:jc w:val="both"/>
        <w:rPr>
          <w:rFonts w:ascii="Century Gothic" w:eastAsia="Calibri" w:hAnsi="Century Gothic" w:cs="Arial"/>
          <w:bCs/>
          <w:color w:val="000000" w:themeColor="text1"/>
          <w:sz w:val="20"/>
          <w:szCs w:val="20"/>
          <w:lang w:val="es-ES" w:eastAsia="es-ES_tradnl"/>
        </w:rPr>
      </w:pPr>
      <w:r w:rsidRPr="004E1AEB">
        <w:rPr>
          <w:rFonts w:ascii="Century Gothic" w:eastAsia="Calibri" w:hAnsi="Century Gothic" w:cs="Arial"/>
          <w:lang w:val="es-ES" w:eastAsia="es-ES_tradnl"/>
        </w:rPr>
        <w:t xml:space="preserve">De los apartes transcritos se desprenden dos (2) aspectos para efectos de resolver la consulta: en primer lugar, se resalta que los miembros de las corporaciones públicas que tengan capacidad para celebrar contratos en </w:t>
      </w:r>
      <w:r w:rsidRPr="004E1AEB">
        <w:rPr>
          <w:rFonts w:ascii="Century Gothic" w:eastAsia="Calibri" w:hAnsi="Century Gothic" w:cs="Arial"/>
          <w:lang w:val="es-ES" w:eastAsia="es-ES_tradnl"/>
        </w:rPr>
        <w:lastRenderedPageBreak/>
        <w:t xml:space="preserve">representación de estas son funcionarios públicos para efectos de la Ley 80 de 1993. Con ello, el Estatuto General de Contratación de la Administración Pública -en adelante EGCAP – acepta tácitamente la capacidad de contratación de las corporaciones públicas. En segundo lugar, se observa que el numeral primero literal b) no incluyó expresamente a los concejos municipales, por lo cual la calidad de Entidad Estatal que puede predicarse de estas corporaciones depende de que la ley les otorgue capacidad para celebrar contratos. Sobre este punto, el artículo 352 de la Constitución Política de 1991 prescribe: </w:t>
      </w:r>
      <w:r w:rsidRPr="00E64640">
        <w:rPr>
          <w:rFonts w:ascii="Century Gothic" w:eastAsia="Calibri" w:hAnsi="Century Gothic" w:cs="Arial"/>
          <w:i/>
          <w:color w:val="000000" w:themeColor="text1"/>
          <w:lang w:val="es-ES" w:eastAsia="es-ES_tradnl"/>
        </w:rPr>
        <w:t>“Además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14:paraId="4C471CA5" w14:textId="77777777" w:rsidR="004E1AEB" w:rsidRPr="004E1AEB" w:rsidRDefault="004E1AEB" w:rsidP="004E1AEB">
      <w:pPr>
        <w:tabs>
          <w:tab w:val="left" w:pos="709"/>
        </w:tabs>
        <w:spacing w:after="0" w:line="276" w:lineRule="auto"/>
        <w:ind w:firstLine="709"/>
        <w:jc w:val="both"/>
        <w:rPr>
          <w:rFonts w:ascii="Century Gothic" w:eastAsia="Calibri" w:hAnsi="Century Gothic" w:cs="Arial"/>
          <w:bCs/>
          <w:color w:val="000000" w:themeColor="text1"/>
          <w:lang w:val="es-ES" w:eastAsia="es-ES_tradnl"/>
        </w:rPr>
      </w:pPr>
      <w:r w:rsidRPr="004E1AEB">
        <w:rPr>
          <w:rFonts w:ascii="Century Gothic" w:eastAsia="Calibri" w:hAnsi="Century Gothic" w:cs="Arial"/>
          <w:bCs/>
          <w:color w:val="000000" w:themeColor="text1"/>
          <w:lang w:val="es-ES" w:eastAsia="es-ES_tradnl"/>
        </w:rPr>
        <w:t xml:space="preserve">Constitucionalmente corresponde a la Ley Orgánica del Presupuesto regular la capacidad de los organismos y Entidades Estatales para contratar. En esta medida, para entender el alcance del artículo 2, literal b) del numeral 1, de la Ley 80 de 1993 es necesario concordarlo con el artículo 110 del Decreto 111 de 1996. Esta norma, modificada </w:t>
      </w:r>
      <w:r w:rsidRPr="004E1AEB">
        <w:rPr>
          <w:rFonts w:ascii="Century Gothic" w:eastAsia="Calibri" w:hAnsi="Century Gothic" w:cs="Arial"/>
          <w:color w:val="000000" w:themeColor="text1"/>
          <w:lang w:val="es-ES" w:eastAsia="es-ES_tradnl"/>
        </w:rPr>
        <w:t xml:space="preserve">por el artículo 124 de la Ley 1957 de 2019, dispone: </w:t>
      </w:r>
    </w:p>
    <w:p w14:paraId="5F22BE94" w14:textId="77777777" w:rsidR="004E1AEB" w:rsidRPr="004E1AEB" w:rsidRDefault="004E1AEB" w:rsidP="004E1AEB">
      <w:pPr>
        <w:tabs>
          <w:tab w:val="left" w:pos="426"/>
        </w:tabs>
        <w:spacing w:after="0" w:line="276" w:lineRule="auto"/>
        <w:jc w:val="both"/>
        <w:rPr>
          <w:rFonts w:ascii="Century Gothic" w:eastAsia="Calibri" w:hAnsi="Century Gothic" w:cs="Arial"/>
          <w:color w:val="000000" w:themeColor="text1"/>
          <w:lang w:val="es-ES" w:eastAsia="es-ES_tradnl"/>
        </w:rPr>
      </w:pPr>
    </w:p>
    <w:p w14:paraId="52F62F65"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color w:val="000000" w:themeColor="text1"/>
          <w:sz w:val="20"/>
          <w:szCs w:val="20"/>
          <w:lang w:eastAsia="es-ES_tradnl"/>
        </w:rPr>
        <w:t xml:space="preserve">“Los órganos que son una sección en el Presupuesto General de la Nación, </w:t>
      </w:r>
      <w:r w:rsidRPr="004E1AEB">
        <w:rPr>
          <w:rFonts w:ascii="Century Gothic" w:eastAsia="Calibri" w:hAnsi="Century Gothic" w:cs="Arial"/>
          <w:i/>
          <w:iCs/>
          <w:color w:val="000000" w:themeColor="text1"/>
          <w:sz w:val="20"/>
          <w:szCs w:val="20"/>
          <w:lang w:eastAsia="es-ES_tradnl"/>
        </w:rPr>
        <w:t>tendrán la capacidad de contratar</w:t>
      </w:r>
      <w:r w:rsidRPr="004E1AEB">
        <w:rPr>
          <w:rFonts w:ascii="Century Gothic" w:eastAsia="Calibri" w:hAnsi="Century Gothic" w:cs="Arial"/>
          <w:b/>
          <w:bCs/>
          <w:color w:val="000000" w:themeColor="text1"/>
          <w:sz w:val="20"/>
          <w:szCs w:val="20"/>
          <w:lang w:eastAsia="es-ES_tradnl"/>
        </w:rPr>
        <w:t xml:space="preserve"> </w:t>
      </w:r>
      <w:r w:rsidRPr="004E1AEB">
        <w:rPr>
          <w:rFonts w:ascii="Century Gothic" w:eastAsia="Calibri" w:hAnsi="Century Gothic" w:cs="Arial"/>
          <w:color w:val="000000" w:themeColor="text1"/>
          <w:sz w:val="20"/>
          <w:szCs w:val="20"/>
          <w:lang w:eastAsia="es-ES_tradnl"/>
        </w:rPr>
        <w:t xml:space="preserve">y comprometer a nombre de la persona jurídica de la cual hagan parte, y ordenar el gasto en desarrollo de las apropiaciones incorporadas en la respectiva sección, lo que constituye la autonomía presupuestal a que se refieren la Constitución Política y la ley. </w:t>
      </w:r>
      <w:r w:rsidRPr="004E1AEB">
        <w:rPr>
          <w:rFonts w:ascii="Century Gothic" w:eastAsia="Calibri" w:hAnsi="Century Gothic" w:cs="Arial"/>
          <w:i/>
          <w:iCs/>
          <w:color w:val="000000" w:themeColor="text1"/>
          <w:sz w:val="20"/>
          <w:szCs w:val="20"/>
          <w:lang w:eastAsia="es-ES_tradnl"/>
        </w:rPr>
        <w:t>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r w:rsidRPr="004E1AEB">
        <w:rPr>
          <w:rFonts w:ascii="Century Gothic" w:eastAsia="Calibri" w:hAnsi="Century Gothic" w:cs="Arial"/>
          <w:color w:val="000000" w:themeColor="text1"/>
          <w:sz w:val="20"/>
          <w:szCs w:val="20"/>
          <w:lang w:eastAsia="es-ES_tradnl"/>
        </w:rPr>
        <w:t>.</w:t>
      </w:r>
    </w:p>
    <w:p w14:paraId="49852AA7"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p>
    <w:p w14:paraId="14C23744"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color w:val="000000" w:themeColor="text1"/>
          <w:sz w:val="20"/>
          <w:szCs w:val="20"/>
          <w:lang w:eastAsia="es-ES_tradnl"/>
        </w:rPr>
        <w:t>[…]</w:t>
      </w:r>
    </w:p>
    <w:p w14:paraId="79CEE312"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i/>
          <w:iCs/>
          <w:color w:val="000000" w:themeColor="text1"/>
          <w:sz w:val="20"/>
          <w:szCs w:val="20"/>
          <w:lang w:eastAsia="es-ES_tradnl"/>
        </w:rPr>
      </w:pPr>
    </w:p>
    <w:p w14:paraId="10EA32A9"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i/>
          <w:iCs/>
          <w:color w:val="000000" w:themeColor="text1"/>
          <w:sz w:val="20"/>
          <w:szCs w:val="20"/>
          <w:lang w:eastAsia="es-ES_tradnl"/>
        </w:rPr>
        <w:t>En los mismos términos y condiciones tendrán estas capacidades</w:t>
      </w:r>
      <w:r w:rsidRPr="004E1AEB">
        <w:rPr>
          <w:rFonts w:ascii="Century Gothic" w:eastAsia="Calibri" w:hAnsi="Century Gothic" w:cs="Arial"/>
          <w:color w:val="000000" w:themeColor="text1"/>
          <w:sz w:val="20"/>
          <w:szCs w:val="20"/>
          <w:lang w:eastAsia="es-ES_tradnl"/>
        </w:rPr>
        <w:t xml:space="preserve"> las Superintendencias, Unidades Administrativas Especiales, las Entidades Territoriales, Asambleas y </w:t>
      </w:r>
      <w:r w:rsidRPr="004E1AEB">
        <w:rPr>
          <w:rFonts w:ascii="Century Gothic" w:eastAsia="Calibri" w:hAnsi="Century Gothic" w:cs="Arial"/>
          <w:i/>
          <w:iCs/>
          <w:color w:val="000000" w:themeColor="text1"/>
          <w:sz w:val="20"/>
          <w:szCs w:val="20"/>
          <w:lang w:eastAsia="es-ES_tradnl"/>
        </w:rPr>
        <w:t>Concejos</w:t>
      </w:r>
      <w:r w:rsidRPr="004E1AEB">
        <w:rPr>
          <w:rFonts w:ascii="Century Gothic" w:eastAsia="Calibri" w:hAnsi="Century Gothic" w:cs="Arial"/>
          <w:color w:val="000000" w:themeColor="text1"/>
          <w:sz w:val="20"/>
          <w:szCs w:val="20"/>
          <w:lang w:eastAsia="es-ES_tradnl"/>
        </w:rPr>
        <w:t>, las Contralorías y Personerías Territoriales</w:t>
      </w:r>
      <w:r w:rsidRPr="004E1AEB">
        <w:rPr>
          <w:rFonts w:ascii="Century Gothic" w:eastAsia="Calibri" w:hAnsi="Century Gothic" w:cs="Arial"/>
          <w:color w:val="000000" w:themeColor="text1"/>
          <w:sz w:val="20"/>
          <w:szCs w:val="20"/>
          <w:u w:val="single"/>
          <w:lang w:eastAsia="es-ES_tradnl"/>
        </w:rPr>
        <w:t xml:space="preserve"> </w:t>
      </w:r>
      <w:r w:rsidRPr="004E1AEB">
        <w:rPr>
          <w:rFonts w:ascii="Century Gothic" w:eastAsia="Calibri" w:hAnsi="Century Gothic" w:cs="Arial"/>
          <w:color w:val="000000" w:themeColor="text1"/>
          <w:sz w:val="20"/>
          <w:szCs w:val="20"/>
          <w:lang w:eastAsia="es-ES_tradnl"/>
        </w:rPr>
        <w:t>y todos los demás órganos estatales de cualquier nivel que tengan personería jurídica.</w:t>
      </w:r>
    </w:p>
    <w:p w14:paraId="03A64076"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p>
    <w:p w14:paraId="1C0391C9" w14:textId="77777777" w:rsidR="004E1AEB" w:rsidRPr="004E1AEB" w:rsidRDefault="004E1AEB" w:rsidP="004E1AEB">
      <w:pPr>
        <w:tabs>
          <w:tab w:val="left" w:pos="709"/>
        </w:tabs>
        <w:spacing w:after="0" w:line="240" w:lineRule="auto"/>
        <w:ind w:left="709" w:right="709"/>
        <w:jc w:val="both"/>
        <w:rPr>
          <w:rFonts w:ascii="Century Gothic" w:eastAsia="Calibri" w:hAnsi="Century Gothic" w:cs="Arial"/>
          <w:color w:val="000000" w:themeColor="text1"/>
          <w:sz w:val="20"/>
          <w:szCs w:val="20"/>
          <w:lang w:eastAsia="es-ES_tradnl"/>
        </w:rPr>
      </w:pPr>
      <w:r w:rsidRPr="004E1AEB">
        <w:rPr>
          <w:rFonts w:ascii="Century Gothic" w:eastAsia="Calibri" w:hAnsi="Century Gothic" w:cs="Arial"/>
          <w:color w:val="000000" w:themeColor="text1"/>
          <w:sz w:val="20"/>
          <w:szCs w:val="20"/>
          <w:lang w:eastAsia="es-ES_tradnl"/>
        </w:rPr>
        <w:t xml:space="preserve">En todo caso, el </w:t>
      </w:r>
      <w:proofErr w:type="gramStart"/>
      <w:r w:rsidRPr="004E1AEB">
        <w:rPr>
          <w:rFonts w:ascii="Century Gothic" w:eastAsia="Calibri" w:hAnsi="Century Gothic" w:cs="Arial"/>
          <w:color w:val="000000" w:themeColor="text1"/>
          <w:sz w:val="20"/>
          <w:szCs w:val="20"/>
          <w:lang w:eastAsia="es-ES_tradnl"/>
        </w:rPr>
        <w:t>Presidente</w:t>
      </w:r>
      <w:proofErr w:type="gramEnd"/>
      <w:r w:rsidRPr="004E1AEB">
        <w:rPr>
          <w:rFonts w:ascii="Century Gothic" w:eastAsia="Calibri" w:hAnsi="Century Gothic" w:cs="Arial"/>
          <w:color w:val="000000" w:themeColor="text1"/>
          <w:sz w:val="20"/>
          <w:szCs w:val="20"/>
          <w:lang w:eastAsia="es-ES_tradnl"/>
        </w:rPr>
        <w:t xml:space="preserve"> de la República podrá celebrar contratos a nombre de la Nación”. (Énfasis fuera de texto)</w:t>
      </w:r>
    </w:p>
    <w:p w14:paraId="4FFC9839" w14:textId="77777777" w:rsidR="004E1AEB" w:rsidRPr="004E1AEB" w:rsidRDefault="004E1AEB" w:rsidP="004E1AEB">
      <w:pPr>
        <w:spacing w:after="0" w:line="276" w:lineRule="auto"/>
        <w:jc w:val="both"/>
        <w:rPr>
          <w:rFonts w:ascii="Century Gothic" w:eastAsia="Calibri" w:hAnsi="Century Gothic" w:cs="Arial"/>
          <w:color w:val="000000" w:themeColor="text1"/>
          <w:lang w:eastAsia="es-ES_tradnl"/>
        </w:rPr>
      </w:pPr>
    </w:p>
    <w:p w14:paraId="28689222" w14:textId="5FD6FA3B" w:rsidR="004E1AEB" w:rsidRPr="004E1AEB" w:rsidRDefault="004E1AEB" w:rsidP="004E1AEB">
      <w:pPr>
        <w:spacing w:after="0" w:line="276" w:lineRule="auto"/>
        <w:ind w:firstLine="709"/>
        <w:jc w:val="both"/>
        <w:rPr>
          <w:rFonts w:ascii="Century Gothic" w:eastAsia="Calibri" w:hAnsi="Century Gothic" w:cs="Arial"/>
          <w:lang w:val="es-ES" w:eastAsia="es-ES_tradnl"/>
        </w:rPr>
      </w:pPr>
      <w:r w:rsidRPr="004E1AEB">
        <w:rPr>
          <w:rFonts w:ascii="Century Gothic" w:eastAsia="Calibri" w:hAnsi="Century Gothic" w:cs="Arial"/>
          <w:lang w:val="es-ES" w:eastAsia="es-ES_tradnl"/>
        </w:rPr>
        <w:lastRenderedPageBreak/>
        <w:t xml:space="preserve">Del artículo 110 del Estatuto Orgánico del Presupuesto – en adelante EOP se desprende que los concejos tienen facultad para suscribir contratos de manera independiente y, más relevante para efectos de resolver la consulta, son Entidades Estatales para el EGCAP, pues son organismos a los que la ley otorga capacidad para celebrar contratos conforme al artículo 2 de la Ley 80 de 1993. Por tanto, de su calidad de Entidades Estatales para los efectos del EGCAP, es posible concluir que tienen la capacidad de suscribir convenios de asociación. </w:t>
      </w:r>
    </w:p>
    <w:p w14:paraId="4EBAEA82" w14:textId="77777777" w:rsidR="004E1AEB" w:rsidRPr="004E1AEB" w:rsidRDefault="004E1AEB" w:rsidP="004E1AEB">
      <w:pPr>
        <w:spacing w:after="0" w:line="276" w:lineRule="auto"/>
        <w:jc w:val="both"/>
        <w:rPr>
          <w:rFonts w:ascii="Century Gothic" w:eastAsia="Century Gothic" w:hAnsi="Century Gothic" w:cs="Century Gothic"/>
          <w:lang w:val="es-ES" w:eastAsia="es-ES_tradnl"/>
        </w:rPr>
      </w:pPr>
    </w:p>
    <w:p w14:paraId="73C353FE" w14:textId="77777777" w:rsidR="004E1AEB" w:rsidRPr="004E1AEB" w:rsidRDefault="004E1AEB" w:rsidP="004E1AEB">
      <w:pPr>
        <w:spacing w:after="0" w:line="276" w:lineRule="auto"/>
        <w:jc w:val="both"/>
        <w:rPr>
          <w:rFonts w:ascii="Century Gothic" w:eastAsia="Century Gothic" w:hAnsi="Century Gothic" w:cs="Century Gothic"/>
          <w:lang w:val="es-ES" w:eastAsia="es-ES_tradnl"/>
        </w:rPr>
      </w:pPr>
      <w:r w:rsidRPr="004E1AEB">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277A1E27" w14:textId="77777777" w:rsidR="004E1AEB" w:rsidRPr="004E1AEB" w:rsidRDefault="004E1AEB" w:rsidP="004E1AEB">
      <w:pPr>
        <w:spacing w:after="0" w:line="276" w:lineRule="auto"/>
        <w:jc w:val="both"/>
        <w:rPr>
          <w:rFonts w:ascii="Century Gothic" w:eastAsia="Century Gothic" w:hAnsi="Century Gothic" w:cs="Century Gothic"/>
          <w:lang w:val="es-ES" w:eastAsia="es-CO"/>
        </w:rPr>
      </w:pPr>
    </w:p>
    <w:p w14:paraId="12E380C8" w14:textId="77777777" w:rsidR="004E1AEB" w:rsidRPr="004E1AEB" w:rsidRDefault="004E1AEB" w:rsidP="004E1AEB">
      <w:pPr>
        <w:spacing w:after="0" w:line="276" w:lineRule="auto"/>
        <w:jc w:val="both"/>
        <w:rPr>
          <w:rFonts w:ascii="Century Gothic" w:eastAsia="Century Gothic" w:hAnsi="Century Gothic" w:cs="Century Gothic"/>
          <w:lang w:val="es-ES" w:eastAsia="es-CO"/>
        </w:rPr>
      </w:pPr>
      <w:r w:rsidRPr="004E1AEB">
        <w:rPr>
          <w:rFonts w:ascii="Century Gothic" w:eastAsia="Century Gothic" w:hAnsi="Century Gothic" w:cs="Century Gothic"/>
          <w:lang w:val="es-ES" w:eastAsia="es-CO"/>
        </w:rPr>
        <w:t>Atentamente,</w:t>
      </w:r>
    </w:p>
    <w:p w14:paraId="3CD03E7D" w14:textId="5CB8FF84" w:rsidR="004E1AEB" w:rsidRPr="004E1AEB" w:rsidRDefault="00C77927" w:rsidP="004E1AEB">
      <w:pPr>
        <w:spacing w:before="240" w:after="120" w:line="276" w:lineRule="auto"/>
        <w:jc w:val="center"/>
        <w:rPr>
          <w:rFonts w:ascii="Century Gothic" w:eastAsia="Century Gothic" w:hAnsi="Century Gothic" w:cs="Century Gothic"/>
          <w:sz w:val="24"/>
          <w:szCs w:val="24"/>
          <w:lang w:eastAsia="es-ES_tradnl"/>
        </w:rPr>
      </w:pPr>
      <w:r>
        <w:rPr>
          <w:noProof/>
        </w:rPr>
        <w:drawing>
          <wp:inline distT="0" distB="0" distL="0" distR="0" wp14:anchorId="402F6563" wp14:editId="75515929">
            <wp:extent cx="3155950" cy="1212850"/>
            <wp:effectExtent l="0" t="0" r="6350" b="6350"/>
            <wp:docPr id="34586833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68339"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4E1AEB" w:rsidRPr="004E1AEB" w14:paraId="253821DD" w14:textId="77777777" w:rsidTr="00E7267F">
        <w:trPr>
          <w:trHeight w:val="286"/>
        </w:trPr>
        <w:tc>
          <w:tcPr>
            <w:tcW w:w="817" w:type="dxa"/>
            <w:vAlign w:val="center"/>
          </w:tcPr>
          <w:p w14:paraId="1BFA2657" w14:textId="77777777" w:rsidR="004E1AEB" w:rsidRPr="004E1AEB" w:rsidRDefault="004E1AEB" w:rsidP="004E1AEB">
            <w:pPr>
              <w:rPr>
                <w:rFonts w:ascii="Century Gothic" w:eastAsia="Century Gothic" w:hAnsi="Century Gothic" w:cs="Century Gothic"/>
                <w:sz w:val="16"/>
                <w:szCs w:val="16"/>
                <w:lang w:eastAsia="es-ES_tradnl"/>
              </w:rPr>
            </w:pPr>
            <w:r w:rsidRPr="004E1AEB">
              <w:rPr>
                <w:rFonts w:ascii="Century Gothic" w:eastAsia="Century Gothic" w:hAnsi="Century Gothic" w:cs="Century Gothic"/>
                <w:sz w:val="16"/>
                <w:szCs w:val="16"/>
                <w:lang w:eastAsia="es-ES_tradnl"/>
              </w:rPr>
              <w:t>Elaboró:</w:t>
            </w:r>
          </w:p>
        </w:tc>
        <w:tc>
          <w:tcPr>
            <w:tcW w:w="5010" w:type="dxa"/>
            <w:tcBorders>
              <w:bottom w:val="dotted" w:sz="4" w:space="0" w:color="7F7F7F" w:themeColor="text1" w:themeTint="80"/>
            </w:tcBorders>
            <w:vAlign w:val="center"/>
          </w:tcPr>
          <w:p w14:paraId="669DA4C8" w14:textId="77777777" w:rsidR="004E1AEB" w:rsidRPr="004E1AEB" w:rsidRDefault="004E1AEB" w:rsidP="004E1AEB">
            <w:pPr>
              <w:textAlignment w:val="baseline"/>
              <w:rPr>
                <w:rFonts w:ascii="Century Gothic" w:eastAsia="Century Gothic" w:hAnsi="Century Gothic" w:cs="Century Gothic"/>
                <w:sz w:val="18"/>
                <w:szCs w:val="18"/>
                <w:lang w:eastAsia="es-CO"/>
              </w:rPr>
            </w:pPr>
            <w:r w:rsidRPr="004E1AEB">
              <w:rPr>
                <w:rFonts w:ascii="Century Gothic" w:eastAsia="Century Gothic" w:hAnsi="Century Gothic" w:cs="Century Gothic"/>
                <w:sz w:val="16"/>
                <w:szCs w:val="16"/>
                <w:lang w:eastAsia="es-CO"/>
              </w:rPr>
              <w:t>Diana Lucia Saavedra Castañeda </w:t>
            </w:r>
          </w:p>
          <w:p w14:paraId="48C769F1" w14:textId="77777777" w:rsidR="004E1AEB" w:rsidRPr="004E1AEB" w:rsidRDefault="004E1AEB" w:rsidP="004E1AEB">
            <w:pPr>
              <w:textAlignment w:val="baseline"/>
              <w:rPr>
                <w:rFonts w:ascii="Century Gothic" w:eastAsia="Century Gothic" w:hAnsi="Century Gothic" w:cs="Century Gothic"/>
                <w:sz w:val="18"/>
                <w:szCs w:val="18"/>
                <w:lang w:eastAsia="es-CO"/>
              </w:rPr>
            </w:pPr>
            <w:r w:rsidRPr="004E1AEB">
              <w:rPr>
                <w:rFonts w:ascii="Century Gothic" w:eastAsia="Century Gothic" w:hAnsi="Century Gothic" w:cs="Century Gothic"/>
                <w:sz w:val="16"/>
                <w:szCs w:val="16"/>
                <w:lang w:eastAsia="es-CO"/>
              </w:rPr>
              <w:t>Contratista de la Subdirección de Gestión Contractual </w:t>
            </w:r>
          </w:p>
        </w:tc>
      </w:tr>
      <w:tr w:rsidR="004E1AEB" w:rsidRPr="004E1AEB" w14:paraId="18F2E205" w14:textId="77777777" w:rsidTr="00E7267F">
        <w:trPr>
          <w:trHeight w:val="286"/>
        </w:trPr>
        <w:tc>
          <w:tcPr>
            <w:tcW w:w="817" w:type="dxa"/>
            <w:vAlign w:val="center"/>
          </w:tcPr>
          <w:p w14:paraId="7577D08E" w14:textId="77777777" w:rsidR="004E1AEB" w:rsidRPr="004E1AEB" w:rsidRDefault="004E1AEB" w:rsidP="004E1AEB">
            <w:pPr>
              <w:rPr>
                <w:rFonts w:ascii="Century Gothic" w:eastAsia="Century Gothic" w:hAnsi="Century Gothic" w:cs="Century Gothic"/>
                <w:sz w:val="16"/>
                <w:szCs w:val="16"/>
                <w:lang w:eastAsia="es-ES_tradnl"/>
              </w:rPr>
            </w:pPr>
            <w:r w:rsidRPr="004E1AEB">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1088DD69" w14:textId="3FA92096" w:rsidR="004E1AEB" w:rsidRPr="004E1AEB" w:rsidRDefault="00CC1870" w:rsidP="004E1AEB">
            <w:pPr>
              <w:textAlignment w:val="baseline"/>
              <w:rPr>
                <w:rFonts w:ascii="Century Gothic" w:eastAsia="Century Gothic" w:hAnsi="Century Gothic" w:cs="Century Gothic"/>
                <w:sz w:val="18"/>
                <w:szCs w:val="18"/>
                <w:lang w:eastAsia="es-CO"/>
              </w:rPr>
            </w:pPr>
            <w:r>
              <w:rPr>
                <w:rFonts w:ascii="Century Gothic" w:eastAsia="Century Gothic" w:hAnsi="Century Gothic" w:cs="Century Gothic"/>
                <w:sz w:val="16"/>
                <w:szCs w:val="16"/>
                <w:lang w:eastAsia="es-CO"/>
              </w:rPr>
              <w:t>Alejandro Sarmiento Cantillo</w:t>
            </w:r>
          </w:p>
          <w:p w14:paraId="6DA2C881" w14:textId="2FB39CA5" w:rsidR="004E1AEB" w:rsidRPr="004E1AEB" w:rsidRDefault="004E1AEB" w:rsidP="004E1AEB">
            <w:pPr>
              <w:rPr>
                <w:rFonts w:ascii="Century Gothic" w:eastAsia="Century Gothic" w:hAnsi="Century Gothic" w:cs="Century Gothic"/>
                <w:sz w:val="16"/>
                <w:szCs w:val="16"/>
                <w:lang w:eastAsia="es-ES_tradnl"/>
              </w:rPr>
            </w:pPr>
            <w:r w:rsidRPr="004E1AEB">
              <w:rPr>
                <w:rFonts w:ascii="Century Gothic" w:eastAsia="Century Gothic" w:hAnsi="Century Gothic" w:cs="Century Gothic"/>
                <w:sz w:val="16"/>
                <w:szCs w:val="16"/>
                <w:lang w:eastAsia="es-ES_tradnl"/>
              </w:rPr>
              <w:t>Gestor T1-1</w:t>
            </w:r>
            <w:r w:rsidR="00FE0BEB">
              <w:rPr>
                <w:rFonts w:ascii="Century Gothic" w:eastAsia="Century Gothic" w:hAnsi="Century Gothic" w:cs="Century Gothic"/>
                <w:sz w:val="16"/>
                <w:szCs w:val="16"/>
                <w:lang w:eastAsia="es-ES_tradnl"/>
              </w:rPr>
              <w:t>5</w:t>
            </w:r>
            <w:r w:rsidRPr="004E1AEB">
              <w:rPr>
                <w:rFonts w:ascii="Century Gothic" w:eastAsia="Century Gothic" w:hAnsi="Century Gothic" w:cs="Century Gothic"/>
                <w:sz w:val="16"/>
                <w:szCs w:val="16"/>
                <w:lang w:eastAsia="es-ES_tradnl"/>
              </w:rPr>
              <w:t xml:space="preserve"> de la Subdirección de Gestión Contractual </w:t>
            </w:r>
          </w:p>
        </w:tc>
      </w:tr>
      <w:tr w:rsidR="004E1AEB" w:rsidRPr="004E1AEB" w14:paraId="32EFACDA" w14:textId="77777777" w:rsidTr="00E7267F">
        <w:trPr>
          <w:trHeight w:val="299"/>
        </w:trPr>
        <w:tc>
          <w:tcPr>
            <w:tcW w:w="817" w:type="dxa"/>
            <w:vAlign w:val="center"/>
          </w:tcPr>
          <w:p w14:paraId="38D595AF" w14:textId="77777777" w:rsidR="004E1AEB" w:rsidRPr="004E1AEB" w:rsidRDefault="004E1AEB" w:rsidP="004E1AEB">
            <w:pPr>
              <w:rPr>
                <w:rFonts w:ascii="Century Gothic" w:eastAsia="Century Gothic" w:hAnsi="Century Gothic" w:cs="Century Gothic"/>
                <w:sz w:val="16"/>
                <w:szCs w:val="16"/>
                <w:lang w:eastAsia="es-ES_tradnl"/>
              </w:rPr>
            </w:pPr>
            <w:r w:rsidRPr="004E1AEB">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74DC396E" w14:textId="77777777" w:rsidR="004E1AEB" w:rsidRPr="004E1AEB" w:rsidRDefault="004E1AEB" w:rsidP="004E1AEB">
            <w:pPr>
              <w:rPr>
                <w:rFonts w:ascii="Century Gothic" w:eastAsia="Century Gothic" w:hAnsi="Century Gothic" w:cs="Century Gothic"/>
                <w:sz w:val="16"/>
                <w:szCs w:val="16"/>
                <w:lang w:eastAsia="es-ES_tradnl"/>
              </w:rPr>
            </w:pPr>
            <w:r w:rsidRPr="004E1AEB">
              <w:rPr>
                <w:rFonts w:ascii="Century Gothic" w:eastAsia="Century Gothic" w:hAnsi="Century Gothic" w:cs="Century Gothic"/>
                <w:sz w:val="16"/>
                <w:szCs w:val="16"/>
                <w:lang w:eastAsia="es-ES_tradnl"/>
              </w:rPr>
              <w:t>Nohelia Del Carmen Zawady Palacio</w:t>
            </w:r>
          </w:p>
          <w:p w14:paraId="3F942F84" w14:textId="77777777" w:rsidR="004E1AEB" w:rsidRPr="004E1AEB" w:rsidRDefault="004E1AEB" w:rsidP="004E1AEB">
            <w:pPr>
              <w:rPr>
                <w:rFonts w:ascii="Century Gothic" w:eastAsia="Century Gothic" w:hAnsi="Century Gothic" w:cs="Century Gothic"/>
                <w:sz w:val="16"/>
                <w:szCs w:val="16"/>
                <w:lang w:eastAsia="es-ES_tradnl"/>
              </w:rPr>
            </w:pPr>
            <w:r w:rsidRPr="004E1AEB">
              <w:rPr>
                <w:rFonts w:ascii="Century Gothic" w:eastAsia="Century Gothic" w:hAnsi="Century Gothic" w:cs="Century Gothic"/>
                <w:sz w:val="16"/>
                <w:szCs w:val="16"/>
                <w:lang w:eastAsia="es-ES_tradnl"/>
              </w:rPr>
              <w:t xml:space="preserve">Subdirectora de Gestión Contractual ANCP – CCE </w:t>
            </w:r>
          </w:p>
        </w:tc>
      </w:tr>
    </w:tbl>
    <w:p w14:paraId="2FC6EF21" w14:textId="77777777" w:rsidR="004E1AEB" w:rsidRPr="004E1AEB" w:rsidRDefault="004E1AEB" w:rsidP="004E1AEB">
      <w:pPr>
        <w:tabs>
          <w:tab w:val="left" w:pos="3795"/>
        </w:tabs>
        <w:spacing w:after="0" w:line="240" w:lineRule="auto"/>
        <w:rPr>
          <w:rFonts w:ascii="Century Gothic" w:eastAsia="Century Gothic" w:hAnsi="Century Gothic" w:cs="Century Gothic"/>
          <w:sz w:val="24"/>
          <w:szCs w:val="24"/>
          <w:lang w:val="es-ES" w:eastAsia="es-ES_tradnl"/>
        </w:rPr>
      </w:pPr>
    </w:p>
    <w:p w14:paraId="7DD086D9" w14:textId="77777777" w:rsidR="004E1AEB" w:rsidRPr="004E1AEB" w:rsidRDefault="004E1AEB" w:rsidP="004E1AEB">
      <w:pPr>
        <w:spacing w:after="0" w:line="240" w:lineRule="auto"/>
        <w:rPr>
          <w:rFonts w:ascii="Century Gothic" w:eastAsia="Century Gothic" w:hAnsi="Century Gothic" w:cs="Century Gothic"/>
          <w:sz w:val="24"/>
          <w:szCs w:val="24"/>
          <w:lang w:eastAsia="es-ES_tradnl"/>
        </w:rPr>
      </w:pPr>
    </w:p>
    <w:bookmarkEnd w:id="5"/>
    <w:p w14:paraId="43D22612" w14:textId="77777777" w:rsidR="004E1AEB" w:rsidRPr="004E1AEB" w:rsidRDefault="004E1AEB" w:rsidP="004E1AEB">
      <w:pPr>
        <w:spacing w:after="0" w:line="240" w:lineRule="auto"/>
        <w:rPr>
          <w:rFonts w:ascii="Century Gothic" w:eastAsia="Century Gothic" w:hAnsi="Century Gothic" w:cs="Century Gothic"/>
          <w:sz w:val="24"/>
          <w:szCs w:val="24"/>
          <w:lang w:eastAsia="es-ES_tradnl"/>
        </w:rPr>
      </w:pPr>
    </w:p>
    <w:p w14:paraId="6E7D2C41" w14:textId="77777777" w:rsidR="004E1AEB" w:rsidRPr="004E1AEB" w:rsidRDefault="004E1AEB" w:rsidP="00400548">
      <w:pPr>
        <w:spacing w:after="0"/>
        <w:rPr>
          <w:rFonts w:ascii="Century Gothic" w:hAnsi="Century Gothic"/>
        </w:rPr>
      </w:pPr>
    </w:p>
    <w:sectPr w:rsidR="004E1AEB" w:rsidRPr="004E1AEB"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80900" w14:textId="77777777" w:rsidR="004368BC" w:rsidRDefault="004368BC" w:rsidP="004A1847">
      <w:pPr>
        <w:spacing w:after="0" w:line="240" w:lineRule="auto"/>
      </w:pPr>
      <w:r>
        <w:separator/>
      </w:r>
    </w:p>
  </w:endnote>
  <w:endnote w:type="continuationSeparator" w:id="0">
    <w:p w14:paraId="3402D80F" w14:textId="77777777" w:rsidR="004368BC" w:rsidRDefault="004368BC" w:rsidP="004A1847">
      <w:pPr>
        <w:spacing w:after="0" w:line="240" w:lineRule="auto"/>
      </w:pPr>
      <w:r>
        <w:continuationSeparator/>
      </w:r>
    </w:p>
  </w:endnote>
  <w:endnote w:type="continuationNotice" w:id="1">
    <w:p w14:paraId="765D91EC" w14:textId="77777777" w:rsidR="00B70660" w:rsidRDefault="00B70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AE9C0" w14:textId="77777777" w:rsidR="004368BC" w:rsidRDefault="004368BC" w:rsidP="004A1847">
      <w:pPr>
        <w:spacing w:after="0" w:line="240" w:lineRule="auto"/>
      </w:pPr>
      <w:r>
        <w:separator/>
      </w:r>
    </w:p>
  </w:footnote>
  <w:footnote w:type="continuationSeparator" w:id="0">
    <w:p w14:paraId="1BC77EB3" w14:textId="77777777" w:rsidR="004368BC" w:rsidRDefault="004368BC" w:rsidP="004A1847">
      <w:pPr>
        <w:spacing w:after="0" w:line="240" w:lineRule="auto"/>
      </w:pPr>
      <w:r>
        <w:continuationSeparator/>
      </w:r>
    </w:p>
  </w:footnote>
  <w:footnote w:type="continuationNotice" w:id="1">
    <w:p w14:paraId="470F3DF8" w14:textId="77777777" w:rsidR="00B70660" w:rsidRDefault="00B70660">
      <w:pPr>
        <w:spacing w:after="0" w:line="240" w:lineRule="auto"/>
      </w:pPr>
    </w:p>
  </w:footnote>
  <w:footnote w:id="2">
    <w:p w14:paraId="7F8CE3A0" w14:textId="77777777" w:rsidR="004E1AEB" w:rsidRPr="00C77927" w:rsidRDefault="004E1AEB" w:rsidP="00C6125E">
      <w:pPr>
        <w:pStyle w:val="Textonotapie"/>
        <w:ind w:firstLine="708"/>
        <w:jc w:val="both"/>
        <w:rPr>
          <w:rFonts w:ascii="Century Gothic" w:eastAsia="Calibri" w:hAnsi="Century Gothic" w:cs="Arial"/>
          <w:sz w:val="16"/>
          <w:szCs w:val="16"/>
          <w:lang w:val="es-ES" w:eastAsia="es-ES_tradnl"/>
        </w:rPr>
      </w:pPr>
      <w:r w:rsidRPr="00C77927">
        <w:rPr>
          <w:rFonts w:ascii="Century Gothic" w:eastAsia="Calibri" w:hAnsi="Century Gothic" w:cs="Arial"/>
          <w:sz w:val="16"/>
          <w:szCs w:val="16"/>
          <w:vertAlign w:val="superscript"/>
          <w:lang w:val="es-ES" w:eastAsia="es-ES_tradnl"/>
        </w:rPr>
        <w:footnoteRef/>
      </w:r>
      <w:r w:rsidRPr="00C77927">
        <w:rPr>
          <w:rFonts w:ascii="Century Gothic" w:eastAsia="Calibri" w:hAnsi="Century Gothic" w:cs="Arial"/>
          <w:sz w:val="16"/>
          <w:szCs w:val="16"/>
          <w:lang w:val="es-ES" w:eastAsia="es-ES_tradnl"/>
        </w:rPr>
        <w:t xml:space="preserve"> La Agencia Nacional de Contratación Pública </w:t>
      </w:r>
      <w:r w:rsidRPr="00C77927">
        <w:rPr>
          <w:rFonts w:ascii="Arial" w:eastAsia="Calibri" w:hAnsi="Arial" w:cs="Arial"/>
          <w:sz w:val="16"/>
          <w:szCs w:val="16"/>
          <w:lang w:val="es-ES" w:eastAsia="es-ES_tradnl"/>
        </w:rPr>
        <w:t>‒</w:t>
      </w:r>
      <w:r w:rsidRPr="00C77927">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C77927">
        <w:rPr>
          <w:rFonts w:ascii="Century Gothic" w:eastAsia="Calibri" w:hAnsi="Century Gothic" w:cs="Century Gothic"/>
          <w:sz w:val="16"/>
          <w:szCs w:val="16"/>
          <w:lang w:val="es-ES" w:eastAsia="es-ES_tradnl"/>
        </w:rPr>
        <w:t>í</w:t>
      </w:r>
      <w:r w:rsidRPr="00C77927">
        <w:rPr>
          <w:rFonts w:ascii="Century Gothic" w:eastAsia="Calibri" w:hAnsi="Century Gothic" w:cs="Arial"/>
          <w:sz w:val="16"/>
          <w:szCs w:val="16"/>
          <w:lang w:val="es-ES" w:eastAsia="es-ES_tradnl"/>
        </w:rPr>
        <w:t>tica de compras y contrataci</w:t>
      </w:r>
      <w:r w:rsidRPr="00C77927">
        <w:rPr>
          <w:rFonts w:ascii="Century Gothic" w:eastAsia="Calibri" w:hAnsi="Century Gothic" w:cs="Century Gothic"/>
          <w:sz w:val="16"/>
          <w:szCs w:val="16"/>
          <w:lang w:val="es-ES" w:eastAsia="es-ES_tradnl"/>
        </w:rPr>
        <w:t>ó</w:t>
      </w:r>
      <w:r w:rsidRPr="00C77927">
        <w:rPr>
          <w:rFonts w:ascii="Century Gothic" w:eastAsia="Calibri" w:hAnsi="Century Gothic" w:cs="Arial"/>
          <w:sz w:val="16"/>
          <w:szCs w:val="16"/>
          <w:lang w:val="es-ES" w:eastAsia="es-ES_tradnl"/>
        </w:rPr>
        <w:t xml:space="preserve">n del Estado. Para tales fines, como </w:t>
      </w:r>
      <w:r w:rsidRPr="00C77927">
        <w:rPr>
          <w:rFonts w:ascii="Century Gothic" w:eastAsia="Calibri" w:hAnsi="Century Gothic" w:cs="Century Gothic"/>
          <w:sz w:val="16"/>
          <w:szCs w:val="16"/>
          <w:lang w:val="es-ES" w:eastAsia="es-ES_tradnl"/>
        </w:rPr>
        <w:t>ó</w:t>
      </w:r>
      <w:r w:rsidRPr="00C77927">
        <w:rPr>
          <w:rFonts w:ascii="Century Gothic" w:eastAsia="Calibri" w:hAnsi="Century Gothic" w:cs="Arial"/>
          <w:sz w:val="16"/>
          <w:szCs w:val="16"/>
          <w:lang w:val="es-ES" w:eastAsia="es-ES_tradnl"/>
        </w:rPr>
        <w:t>rgano t</w:t>
      </w:r>
      <w:r w:rsidRPr="00C77927">
        <w:rPr>
          <w:rFonts w:ascii="Century Gothic" w:eastAsia="Calibri" w:hAnsi="Century Gothic" w:cs="Century Gothic"/>
          <w:sz w:val="16"/>
          <w:szCs w:val="16"/>
          <w:lang w:val="es-ES" w:eastAsia="es-ES_tradnl"/>
        </w:rPr>
        <w:t>é</w:t>
      </w:r>
      <w:r w:rsidRPr="00C77927">
        <w:rPr>
          <w:rFonts w:ascii="Century Gothic" w:eastAsia="Calibri" w:hAnsi="Century Gothic" w:cs="Arial"/>
          <w:sz w:val="16"/>
          <w:szCs w:val="16"/>
          <w:lang w:val="es-ES" w:eastAsia="es-ES_tradnl"/>
        </w:rPr>
        <w:t>cnico especializado, le corresponde formular pol</w:t>
      </w:r>
      <w:r w:rsidRPr="00C77927">
        <w:rPr>
          <w:rFonts w:ascii="Century Gothic" w:eastAsia="Calibri" w:hAnsi="Century Gothic" w:cs="Century Gothic"/>
          <w:sz w:val="16"/>
          <w:szCs w:val="16"/>
          <w:lang w:val="es-ES" w:eastAsia="es-ES_tradnl"/>
        </w:rPr>
        <w:t>í</w:t>
      </w:r>
      <w:r w:rsidRPr="00C77927">
        <w:rPr>
          <w:rFonts w:ascii="Century Gothic" w:eastAsia="Calibri" w:hAnsi="Century Gothic" w:cs="Arial"/>
          <w:sz w:val="16"/>
          <w:szCs w:val="16"/>
          <w:lang w:val="es-ES" w:eastAsia="es-ES_tradnl"/>
        </w:rPr>
        <w:t>ticas p</w:t>
      </w:r>
      <w:r w:rsidRPr="00C77927">
        <w:rPr>
          <w:rFonts w:ascii="Century Gothic" w:eastAsia="Calibri" w:hAnsi="Century Gothic" w:cs="Century Gothic"/>
          <w:sz w:val="16"/>
          <w:szCs w:val="16"/>
          <w:lang w:val="es-ES" w:eastAsia="es-ES_tradnl"/>
        </w:rPr>
        <w:t>ú</w:t>
      </w:r>
      <w:r w:rsidRPr="00C77927">
        <w:rPr>
          <w:rFonts w:ascii="Century Gothic" w:eastAsia="Calibri" w:hAnsi="Century Gothic" w:cs="Arial"/>
          <w:sz w:val="16"/>
          <w:szCs w:val="16"/>
          <w:lang w:val="es-ES" w:eastAsia="es-ES_tradnl"/>
        </w:rPr>
        <w:t>blicas y normas y unificar los procesos de contrataci</w:t>
      </w:r>
      <w:r w:rsidRPr="00C77927">
        <w:rPr>
          <w:rFonts w:ascii="Century Gothic" w:eastAsia="Calibri" w:hAnsi="Century Gothic" w:cs="Century Gothic"/>
          <w:sz w:val="16"/>
          <w:szCs w:val="16"/>
          <w:lang w:val="es-ES" w:eastAsia="es-ES_tradnl"/>
        </w:rPr>
        <w:t>ó</w:t>
      </w:r>
      <w:r w:rsidRPr="00C77927">
        <w:rPr>
          <w:rFonts w:ascii="Century Gothic" w:eastAsia="Calibri" w:hAnsi="Century Gothic" w:cs="Arial"/>
          <w:sz w:val="16"/>
          <w:szCs w:val="16"/>
          <w:lang w:val="es-ES" w:eastAsia="es-ES_tradnl"/>
        </w:rPr>
        <w:t>n estatal, con el fin de lograr una mayor eficiencia, transparencia y optimizaci</w:t>
      </w:r>
      <w:r w:rsidRPr="00C77927">
        <w:rPr>
          <w:rFonts w:ascii="Century Gothic" w:eastAsia="Calibri" w:hAnsi="Century Gothic" w:cs="Century Gothic"/>
          <w:sz w:val="16"/>
          <w:szCs w:val="16"/>
          <w:lang w:val="es-ES" w:eastAsia="es-ES_tradnl"/>
        </w:rPr>
        <w:t>ó</w:t>
      </w:r>
      <w:r w:rsidRPr="00C77927">
        <w:rPr>
          <w:rFonts w:ascii="Century Gothic" w:eastAsia="Calibri" w:hAnsi="Century Gothic" w:cs="Arial"/>
          <w:sz w:val="16"/>
          <w:szCs w:val="16"/>
          <w:lang w:val="es-ES" w:eastAsia="es-ES_tradnl"/>
        </w:rPr>
        <w:t>n de los recursos del Estado. El art</w:t>
      </w:r>
      <w:r w:rsidRPr="00C77927">
        <w:rPr>
          <w:rFonts w:ascii="Century Gothic" w:eastAsia="Calibri" w:hAnsi="Century Gothic" w:cs="Century Gothic"/>
          <w:sz w:val="16"/>
          <w:szCs w:val="16"/>
          <w:lang w:val="es-ES" w:eastAsia="es-ES_tradnl"/>
        </w:rPr>
        <w:t>í</w:t>
      </w:r>
      <w:r w:rsidRPr="00C77927">
        <w:rPr>
          <w:rFonts w:ascii="Century Gothic" w:eastAsia="Calibri" w:hAnsi="Century Gothic" w:cs="Arial"/>
          <w:sz w:val="16"/>
          <w:szCs w:val="16"/>
          <w:lang w:val="es-ES" w:eastAsia="es-ES_tradnl"/>
        </w:rPr>
        <w:t>culo 3 ibidem se</w:t>
      </w:r>
      <w:r w:rsidRPr="00C77927">
        <w:rPr>
          <w:rFonts w:ascii="Century Gothic" w:eastAsia="Calibri" w:hAnsi="Century Gothic" w:cs="Century Gothic"/>
          <w:sz w:val="16"/>
          <w:szCs w:val="16"/>
          <w:lang w:val="es-ES" w:eastAsia="es-ES_tradnl"/>
        </w:rPr>
        <w:t>ñ</w:t>
      </w:r>
      <w:r w:rsidRPr="00C77927">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w:t>
      </w:r>
      <w:proofErr w:type="spellStart"/>
      <w:r w:rsidRPr="00C77927">
        <w:rPr>
          <w:rFonts w:ascii="Century Gothic" w:eastAsia="Calibri" w:hAnsi="Century Gothic" w:cs="Arial"/>
          <w:sz w:val="16"/>
          <w:szCs w:val="16"/>
          <w:lang w:val="es-ES" w:eastAsia="es-ES_tradnl"/>
        </w:rPr>
        <w:t>bsolver</w:t>
      </w:r>
      <w:proofErr w:type="spellEnd"/>
      <w:r w:rsidRPr="00C77927">
        <w:rPr>
          <w:rFonts w:ascii="Century Gothic" w:eastAsia="Calibri" w:hAnsi="Century Gothic"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77927">
        <w:rPr>
          <w:rFonts w:ascii="Century Gothic" w:eastAsia="Calibri" w:hAnsi="Century Gothic" w:cs="Arial"/>
          <w:sz w:val="16"/>
          <w:szCs w:val="16"/>
          <w:lang w:val="es-ES" w:eastAsia="es-ES_tradnl"/>
        </w:rPr>
        <w:t>bsolver</w:t>
      </w:r>
      <w:proofErr w:type="spellEnd"/>
      <w:r w:rsidRPr="00C77927">
        <w:rPr>
          <w:rFonts w:ascii="Century Gothic" w:eastAsia="Calibri" w:hAnsi="Century Gothic" w:cs="Arial"/>
          <w:sz w:val="16"/>
          <w:szCs w:val="16"/>
          <w:lang w:val="es-ES" w:eastAsia="es-ES_tradnl"/>
        </w:rPr>
        <w:t xml:space="preserve"> consultas sobre la aplicación de normas de carácter general”.</w:t>
      </w:r>
    </w:p>
    <w:p w14:paraId="5B056D5B" w14:textId="77777777" w:rsidR="004E1AEB" w:rsidRPr="00C77927" w:rsidRDefault="004E1AEB" w:rsidP="00C6125E">
      <w:pPr>
        <w:pStyle w:val="Textonotapie"/>
        <w:ind w:firstLine="708"/>
        <w:jc w:val="both"/>
        <w:rPr>
          <w:rFonts w:ascii="Century Gothic" w:hAnsi="Century Gothic" w:cs="Arial"/>
          <w:sz w:val="16"/>
          <w:szCs w:val="16"/>
          <w:lang w:val="es-ES"/>
        </w:rPr>
      </w:pPr>
    </w:p>
  </w:footnote>
  <w:footnote w:id="3">
    <w:p w14:paraId="7A412794" w14:textId="77777777" w:rsidR="004E1AEB" w:rsidRPr="00C77927" w:rsidRDefault="004E1AEB" w:rsidP="00C6125E">
      <w:pPr>
        <w:pStyle w:val="Textonotapie"/>
        <w:ind w:firstLine="708"/>
        <w:jc w:val="both"/>
        <w:rPr>
          <w:rFonts w:ascii="Century Gothic" w:hAnsi="Century Gothic" w:cs="Arial"/>
          <w:sz w:val="16"/>
          <w:szCs w:val="16"/>
          <w:shd w:val="clear" w:color="auto" w:fill="E6E6E6"/>
        </w:rPr>
      </w:pPr>
      <w:r w:rsidRPr="00C77927">
        <w:rPr>
          <w:rFonts w:ascii="Century Gothic" w:hAnsi="Century Gothic" w:cs="Arial"/>
          <w:sz w:val="16"/>
          <w:szCs w:val="16"/>
          <w:vertAlign w:val="superscript"/>
        </w:rPr>
        <w:footnoteRef/>
      </w:r>
      <w:r w:rsidRPr="00C77927">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C77927">
          <w:rPr>
            <w:rStyle w:val="Hipervnculo"/>
            <w:rFonts w:ascii="Century Gothic" w:hAnsi="Century Gothic" w:cs="Arial"/>
            <w:sz w:val="16"/>
            <w:szCs w:val="16"/>
          </w:rPr>
          <w:t>https://relatoria.colombiacompra.gov.co/busqueda/conceptos</w:t>
        </w:r>
      </w:hyperlink>
      <w:r w:rsidRPr="00C77927">
        <w:rPr>
          <w:rStyle w:val="Hipervnculo"/>
          <w:rFonts w:ascii="Century Gothic" w:hAnsi="Century Gothic" w:cs="Arial"/>
          <w:sz w:val="16"/>
          <w:szCs w:val="16"/>
        </w:rPr>
        <w:t xml:space="preserve"> </w:t>
      </w:r>
      <w:r w:rsidRPr="00C77927">
        <w:rPr>
          <w:rFonts w:ascii="Century Gothic" w:hAnsi="Century Gothic" w:cs="Arial"/>
          <w:sz w:val="16"/>
          <w:szCs w:val="16"/>
          <w:shd w:val="clear" w:color="auto" w:fill="E6E6E6"/>
        </w:rPr>
        <w:t xml:space="preserve"> </w:t>
      </w:r>
    </w:p>
    <w:p w14:paraId="30984BB5" w14:textId="77777777" w:rsidR="004E1AEB" w:rsidRPr="00C77927" w:rsidRDefault="004E1AEB" w:rsidP="00C6125E">
      <w:pPr>
        <w:pStyle w:val="Textonotapie"/>
        <w:ind w:firstLine="708"/>
        <w:jc w:val="both"/>
        <w:rPr>
          <w:rFonts w:ascii="Century Gothic" w:hAnsi="Century Gothic" w:cs="Arial"/>
          <w:sz w:val="16"/>
          <w:szCs w:val="16"/>
        </w:rPr>
      </w:pPr>
    </w:p>
  </w:footnote>
  <w:footnote w:id="4">
    <w:p w14:paraId="5D9D2ACE" w14:textId="77777777" w:rsidR="004E1AEB" w:rsidRPr="00C77927" w:rsidRDefault="004E1AEB" w:rsidP="00C6125E">
      <w:pPr>
        <w:pStyle w:val="Textonotapie"/>
        <w:ind w:firstLine="709"/>
        <w:jc w:val="both"/>
        <w:rPr>
          <w:rFonts w:ascii="Century Gothic" w:hAnsi="Century Gothic" w:cs="Arial"/>
          <w:color w:val="000000" w:themeColor="text1"/>
          <w:sz w:val="16"/>
          <w:szCs w:val="16"/>
        </w:rPr>
      </w:pPr>
      <w:r w:rsidRPr="00C77927">
        <w:rPr>
          <w:rStyle w:val="Refdenotaalpie"/>
          <w:rFonts w:ascii="Century Gothic" w:hAnsi="Century Gothic" w:cs="Arial"/>
          <w:color w:val="000000" w:themeColor="text1"/>
          <w:sz w:val="16"/>
          <w:szCs w:val="16"/>
        </w:rPr>
        <w:footnoteRef/>
      </w:r>
      <w:r w:rsidRPr="00C77927">
        <w:rPr>
          <w:rFonts w:ascii="Century Gothic" w:hAnsi="Century Gothic" w:cs="Arial"/>
          <w:color w:val="000000" w:themeColor="text1"/>
          <w:sz w:val="16"/>
          <w:szCs w:val="16"/>
        </w:rPr>
        <w:t xml:space="preserve"> Sobre esta norma, consultar los conceptos del 8 de octubre de 2019, con radicado No. 2201913000007532, y del 20 de diciembre de 2019, con radicado No. 4201913000008240.</w:t>
      </w:r>
    </w:p>
    <w:p w14:paraId="718008AF" w14:textId="77777777" w:rsidR="004E1AEB" w:rsidRPr="00C77927" w:rsidRDefault="004E1AEB" w:rsidP="00C6125E">
      <w:pPr>
        <w:pStyle w:val="Textonotapie"/>
        <w:ind w:firstLine="709"/>
        <w:jc w:val="both"/>
        <w:rPr>
          <w:rFonts w:ascii="Century Gothic" w:hAnsi="Century Gothic" w:cs="Arial"/>
          <w:color w:val="000000" w:themeColor="text1"/>
          <w:sz w:val="16"/>
          <w:szCs w:val="16"/>
          <w:lang w:val="es-ES"/>
        </w:rPr>
      </w:pPr>
    </w:p>
  </w:footnote>
  <w:footnote w:id="5">
    <w:p w14:paraId="57DA1856" w14:textId="38212A24" w:rsidR="004E1AEB" w:rsidRPr="00C77927" w:rsidRDefault="004E1AEB" w:rsidP="00C6125E">
      <w:pPr>
        <w:pStyle w:val="Textonotapie"/>
        <w:ind w:firstLine="709"/>
        <w:jc w:val="both"/>
        <w:rPr>
          <w:rFonts w:ascii="Century Gothic" w:hAnsi="Century Gothic" w:cs="Arial"/>
          <w:color w:val="000000" w:themeColor="text1"/>
          <w:sz w:val="16"/>
          <w:szCs w:val="16"/>
        </w:rPr>
      </w:pPr>
      <w:r w:rsidRPr="00C77927">
        <w:rPr>
          <w:rStyle w:val="Refdenotaalpie"/>
          <w:rFonts w:ascii="Century Gothic" w:hAnsi="Century Gothic" w:cs="Arial"/>
          <w:color w:val="000000" w:themeColor="text1"/>
          <w:sz w:val="16"/>
          <w:szCs w:val="16"/>
        </w:rPr>
        <w:footnoteRef/>
      </w:r>
      <w:r w:rsidRPr="00C77927">
        <w:rPr>
          <w:rFonts w:ascii="Century Gothic" w:hAnsi="Century Gothic" w:cs="Arial"/>
          <w:color w:val="000000" w:themeColor="text1"/>
          <w:sz w:val="16"/>
          <w:szCs w:val="16"/>
        </w:rPr>
        <w:t xml:space="preserve"> Al respecto, la Ley 489 de 1998 dispone que </w:t>
      </w:r>
      <w:r w:rsidR="00182D1F" w:rsidRPr="00C77927">
        <w:rPr>
          <w:rFonts w:ascii="Century Gothic" w:hAnsi="Century Gothic" w:cs="Arial"/>
          <w:color w:val="000000" w:themeColor="text1"/>
          <w:sz w:val="16"/>
          <w:szCs w:val="16"/>
        </w:rPr>
        <w:t>“</w:t>
      </w:r>
      <w:r w:rsidRPr="00C77927">
        <w:rPr>
          <w:rFonts w:ascii="Century Gothic" w:hAnsi="Century Gothic" w:cs="Arial"/>
          <w:color w:val="000000" w:themeColor="text1"/>
          <w:sz w:val="16"/>
          <w:szCs w:val="16"/>
        </w:rPr>
        <w:t>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4E47155" w14:textId="77777777" w:rsidR="004E1AEB" w:rsidRPr="00C77927" w:rsidRDefault="004E1AEB" w:rsidP="00C6125E">
      <w:pPr>
        <w:pStyle w:val="Textonotapie"/>
        <w:ind w:firstLine="709"/>
        <w:jc w:val="both"/>
        <w:rPr>
          <w:rFonts w:ascii="Century Gothic" w:hAnsi="Century Gothic" w:cs="Arial"/>
          <w:color w:val="000000" w:themeColor="text1"/>
          <w:sz w:val="16"/>
          <w:szCs w:val="16"/>
        </w:rPr>
      </w:pPr>
    </w:p>
    <w:p w14:paraId="2ADCBEC5" w14:textId="7B7F7218" w:rsidR="004E1AEB" w:rsidRPr="00C77927" w:rsidRDefault="004E1AEB" w:rsidP="00C6125E">
      <w:pPr>
        <w:pStyle w:val="Textonotapie"/>
        <w:ind w:firstLine="709"/>
        <w:jc w:val="both"/>
        <w:rPr>
          <w:rFonts w:ascii="Century Gothic" w:hAnsi="Century Gothic" w:cs="Arial"/>
          <w:color w:val="000000" w:themeColor="text1"/>
          <w:sz w:val="16"/>
          <w:szCs w:val="16"/>
        </w:rPr>
      </w:pPr>
      <w:r w:rsidRPr="00C77927">
        <w:rPr>
          <w:rFonts w:ascii="Century Gothic" w:hAnsi="Century Gothic" w:cs="Arial"/>
          <w:color w:val="000000" w:themeColor="text1"/>
          <w:sz w:val="16"/>
          <w:szCs w:val="16"/>
        </w:rPr>
        <w:t xml:space="preserve">Los convenios de asociación a que se refiere el presente artículo </w:t>
      </w:r>
      <w:bookmarkStart w:id="7" w:name="_Hlk36023315"/>
      <w:r w:rsidRPr="00C77927">
        <w:rPr>
          <w:rFonts w:ascii="Century Gothic" w:hAnsi="Century Gothic" w:cs="Arial"/>
          <w:color w:val="000000" w:themeColor="text1"/>
          <w:sz w:val="16"/>
          <w:szCs w:val="16"/>
        </w:rPr>
        <w:t>se celebrarán de conformidad con lo dispuesto en el artículo 355 de la Constitución Política</w:t>
      </w:r>
      <w:bookmarkEnd w:id="7"/>
      <w:r w:rsidRPr="00C77927">
        <w:rPr>
          <w:rFonts w:ascii="Century Gothic" w:hAnsi="Century Gothic" w:cs="Arial"/>
          <w:color w:val="000000" w:themeColor="text1"/>
          <w:sz w:val="16"/>
          <w:szCs w:val="16"/>
        </w:rPr>
        <w:t>, en ellos se determinará con precisión su objeto, término, obligaciones de las partes, aportes, coordinación y todos aquellos aspectos que se consideren pertinentes</w:t>
      </w:r>
      <w:r w:rsidR="00182D1F" w:rsidRPr="00C77927">
        <w:rPr>
          <w:rFonts w:ascii="Century Gothic" w:hAnsi="Century Gothic" w:cs="Arial"/>
          <w:color w:val="000000" w:themeColor="text1"/>
          <w:sz w:val="16"/>
          <w:szCs w:val="16"/>
        </w:rPr>
        <w:t>”</w:t>
      </w:r>
      <w:r w:rsidRPr="00C77927">
        <w:rPr>
          <w:rFonts w:ascii="Century Gothic" w:hAnsi="Century Gothic" w:cs="Arial"/>
          <w:color w:val="000000" w:themeColor="text1"/>
          <w:sz w:val="16"/>
          <w:szCs w:val="16"/>
        </w:rPr>
        <w:t>.</w:t>
      </w:r>
    </w:p>
    <w:p w14:paraId="718F4CD4" w14:textId="77777777" w:rsidR="004E1AEB" w:rsidRPr="00C77927" w:rsidRDefault="004E1AEB" w:rsidP="00C6125E">
      <w:pPr>
        <w:pStyle w:val="Textonotapie"/>
        <w:ind w:firstLine="709"/>
        <w:jc w:val="both"/>
        <w:rPr>
          <w:rFonts w:ascii="Century Gothic" w:hAnsi="Century Gothic" w:cs="Arial"/>
          <w:color w:val="000000" w:themeColor="text1"/>
          <w:sz w:val="16"/>
          <w:szCs w:val="16"/>
          <w:lang w:val="es-ES"/>
        </w:rPr>
      </w:pPr>
      <w:r w:rsidRPr="00C77927">
        <w:rPr>
          <w:rFonts w:ascii="Century Gothic" w:hAnsi="Century Gothic" w:cs="Arial"/>
          <w:color w:val="000000" w:themeColor="text1"/>
          <w:sz w:val="16"/>
          <w:szCs w:val="16"/>
        </w:rPr>
        <w:t xml:space="preserve"> </w:t>
      </w:r>
    </w:p>
  </w:footnote>
  <w:footnote w:id="6">
    <w:p w14:paraId="218342E0" w14:textId="1B255CF9" w:rsidR="004E1AEB" w:rsidRPr="00C77927" w:rsidRDefault="004E1AEB" w:rsidP="00C6125E">
      <w:pPr>
        <w:pStyle w:val="Textonotapie"/>
        <w:ind w:firstLine="708"/>
        <w:jc w:val="both"/>
        <w:rPr>
          <w:rFonts w:ascii="Century Gothic" w:hAnsi="Century Gothic" w:cs="Arial"/>
          <w:color w:val="000000"/>
          <w:sz w:val="16"/>
          <w:szCs w:val="16"/>
        </w:rPr>
      </w:pPr>
      <w:r w:rsidRPr="00C77927">
        <w:rPr>
          <w:rStyle w:val="Refdenotaalpie"/>
          <w:rFonts w:ascii="Century Gothic" w:hAnsi="Century Gothic" w:cs="Arial"/>
          <w:color w:val="000000"/>
          <w:sz w:val="16"/>
          <w:szCs w:val="16"/>
        </w:rPr>
        <w:footnoteRef/>
      </w:r>
      <w:r w:rsidRPr="00C77927">
        <w:rPr>
          <w:rFonts w:ascii="Century Gothic" w:hAnsi="Century Gothic" w:cs="Arial"/>
          <w:color w:val="000000"/>
          <w:sz w:val="16"/>
          <w:szCs w:val="16"/>
        </w:rPr>
        <w:t xml:space="preserve"> En el concepto emitido el 5 de febrero de 2019, dentro del radicado No. 2201913000000663, se dijo: </w:t>
      </w:r>
      <w:r w:rsidR="00182D1F" w:rsidRPr="00C77927">
        <w:rPr>
          <w:rFonts w:ascii="Century Gothic" w:hAnsi="Century Gothic" w:cs="Arial"/>
          <w:color w:val="000000"/>
          <w:sz w:val="16"/>
          <w:szCs w:val="16"/>
        </w:rPr>
        <w:t>“</w:t>
      </w:r>
      <w:r w:rsidRPr="00C77927">
        <w:rPr>
          <w:rFonts w:ascii="Century Gothic" w:hAnsi="Century Gothic" w:cs="Arial"/>
          <w:color w:val="000000"/>
          <w:sz w:val="16"/>
          <w:szCs w:val="16"/>
        </w:rPr>
        <w:t>[l]os convenios de asociación del artículo 5 son distintos a los contratos de colaboración del artículo 2 del Decreto 092 de 2017</w:t>
      </w:r>
      <w:r w:rsidR="00182D1F" w:rsidRPr="00C77927">
        <w:rPr>
          <w:rFonts w:ascii="Century Gothic" w:hAnsi="Century Gothic" w:cs="Arial"/>
          <w:color w:val="000000"/>
          <w:sz w:val="16"/>
          <w:szCs w:val="16"/>
        </w:rPr>
        <w:t>”</w:t>
      </w:r>
      <w:r w:rsidRPr="00C77927">
        <w:rPr>
          <w:rFonts w:ascii="Century Gothic" w:hAnsi="Century Gothic" w:cs="Arial"/>
          <w:color w:val="000000"/>
          <w:sz w:val="16"/>
          <w:szCs w:val="16"/>
        </w:rPr>
        <w:t>.</w:t>
      </w:r>
    </w:p>
    <w:p w14:paraId="004D28BA" w14:textId="77777777" w:rsidR="00182D1F" w:rsidRPr="00C77927" w:rsidRDefault="00182D1F" w:rsidP="00C6125E">
      <w:pPr>
        <w:pStyle w:val="Textonotapie"/>
        <w:ind w:firstLine="708"/>
        <w:jc w:val="both"/>
        <w:rPr>
          <w:rFonts w:ascii="Century Gothic" w:hAnsi="Century Gothic" w:cs="Arial"/>
          <w:color w:val="000000"/>
          <w:sz w:val="16"/>
          <w:szCs w:val="16"/>
        </w:rPr>
      </w:pPr>
    </w:p>
  </w:footnote>
  <w:footnote w:id="7">
    <w:p w14:paraId="43A9478B" w14:textId="77777777" w:rsidR="004E1AEB" w:rsidRPr="00C77927" w:rsidRDefault="004E1AEB" w:rsidP="00C6125E">
      <w:pPr>
        <w:pStyle w:val="Textonotapie"/>
        <w:ind w:firstLine="709"/>
        <w:jc w:val="both"/>
        <w:rPr>
          <w:rFonts w:ascii="Century Gothic" w:hAnsi="Century Gothic" w:cs="Arial"/>
          <w:color w:val="000000" w:themeColor="text1"/>
          <w:sz w:val="16"/>
          <w:szCs w:val="16"/>
        </w:rPr>
      </w:pPr>
      <w:r w:rsidRPr="00C77927">
        <w:rPr>
          <w:rStyle w:val="Refdenotaalpie"/>
          <w:rFonts w:ascii="Century Gothic" w:hAnsi="Century Gothic" w:cs="Arial"/>
          <w:color w:val="000000" w:themeColor="text1"/>
          <w:sz w:val="16"/>
          <w:szCs w:val="16"/>
        </w:rPr>
        <w:footnoteRef/>
      </w:r>
      <w:r w:rsidRPr="00C77927">
        <w:rPr>
          <w:rFonts w:ascii="Century Gothic" w:hAnsi="Century Gothic" w:cs="Arial"/>
          <w:color w:val="000000" w:themeColor="text1"/>
          <w:sz w:val="16"/>
          <w:szCs w:val="16"/>
        </w:rPr>
        <w:t xml:space="preserve"> Concepto del 3 de septiembre de 2019, con radicado No. 2201913000006512.</w:t>
      </w:r>
    </w:p>
    <w:p w14:paraId="502A73DD" w14:textId="77777777" w:rsidR="004E1AEB" w:rsidRPr="00C77927" w:rsidRDefault="004E1AEB" w:rsidP="00C6125E">
      <w:pPr>
        <w:pStyle w:val="Textonotapie"/>
        <w:ind w:firstLine="709"/>
        <w:jc w:val="both"/>
        <w:rPr>
          <w:rFonts w:ascii="Century Gothic" w:hAnsi="Century Gothic" w:cs="Arial"/>
          <w:color w:val="000000" w:themeColor="text1"/>
          <w:sz w:val="16"/>
          <w:szCs w:val="16"/>
        </w:rPr>
      </w:pPr>
    </w:p>
  </w:footnote>
  <w:footnote w:id="8">
    <w:p w14:paraId="07ABD35C" w14:textId="77777777" w:rsidR="004E1AEB" w:rsidRPr="00C77927" w:rsidRDefault="004E1AEB" w:rsidP="00C6125E">
      <w:pPr>
        <w:pStyle w:val="Textonotapie"/>
        <w:ind w:firstLine="708"/>
        <w:jc w:val="both"/>
        <w:rPr>
          <w:rFonts w:ascii="Century Gothic" w:hAnsi="Century Gothic" w:cs="Arial"/>
          <w:color w:val="000000"/>
          <w:sz w:val="16"/>
          <w:szCs w:val="16"/>
        </w:rPr>
      </w:pPr>
      <w:r w:rsidRPr="00C77927">
        <w:rPr>
          <w:rStyle w:val="Refdenotaalpie"/>
          <w:rFonts w:ascii="Century Gothic" w:hAnsi="Century Gothic" w:cs="Arial"/>
          <w:color w:val="000000"/>
          <w:sz w:val="16"/>
          <w:szCs w:val="16"/>
        </w:rPr>
        <w:footnoteRef/>
      </w:r>
      <w:r w:rsidRPr="00C77927">
        <w:rPr>
          <w:rFonts w:ascii="Century Gothic" w:hAnsi="Century Gothic" w:cs="Arial"/>
          <w:color w:val="000000"/>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71BB993E" w14:textId="77777777" w:rsidR="00182D1F" w:rsidRPr="00C77927" w:rsidRDefault="00182D1F" w:rsidP="00C6125E">
      <w:pPr>
        <w:pStyle w:val="Textonotapie"/>
        <w:ind w:firstLine="708"/>
        <w:jc w:val="both"/>
        <w:rPr>
          <w:rFonts w:ascii="Century Gothic" w:hAnsi="Century Gothic" w:cs="Arial"/>
          <w:color w:val="000000"/>
          <w:sz w:val="16"/>
          <w:szCs w:val="16"/>
        </w:rPr>
      </w:pPr>
    </w:p>
  </w:footnote>
  <w:footnote w:id="9">
    <w:p w14:paraId="65D81D60" w14:textId="6823F79B" w:rsidR="004E1AEB" w:rsidRPr="00C77927" w:rsidRDefault="004E1AEB" w:rsidP="00C6125E">
      <w:pPr>
        <w:pStyle w:val="Textonotapie"/>
        <w:ind w:firstLine="708"/>
        <w:jc w:val="both"/>
        <w:rPr>
          <w:rFonts w:ascii="Century Gothic" w:hAnsi="Century Gothic" w:cs="Arial"/>
          <w:sz w:val="16"/>
          <w:szCs w:val="16"/>
          <w:lang w:val="es-ES"/>
        </w:rPr>
      </w:pPr>
      <w:r w:rsidRPr="00C77927">
        <w:rPr>
          <w:rStyle w:val="Refdenotaalpie"/>
          <w:rFonts w:ascii="Century Gothic" w:hAnsi="Century Gothic" w:cs="Arial"/>
          <w:sz w:val="16"/>
          <w:szCs w:val="16"/>
        </w:rPr>
        <w:footnoteRef/>
      </w:r>
      <w:r w:rsidRPr="00C77927">
        <w:rPr>
          <w:rFonts w:ascii="Century Gothic" w:hAnsi="Century Gothic" w:cs="Arial"/>
          <w:sz w:val="16"/>
          <w:szCs w:val="16"/>
        </w:rPr>
        <w:t xml:space="preserve"> </w:t>
      </w:r>
      <w:r w:rsidRPr="00C77927">
        <w:rPr>
          <w:rFonts w:ascii="Century Gothic" w:hAnsi="Century Gothic" w:cs="Arial"/>
          <w:sz w:val="16"/>
          <w:szCs w:val="16"/>
          <w:lang w:val="es-ES"/>
        </w:rPr>
        <w:t xml:space="preserve">Consejo de Estado. Sala Plena. Auto del 15 de marzo de 2022. Consejera Ponente: Rocío Araujo Oñate. Expediente: 62.003. En esta decisión, en efecto, se decidió: </w:t>
      </w:r>
      <w:r w:rsidR="00182D1F" w:rsidRPr="00C77927">
        <w:rPr>
          <w:rFonts w:ascii="Century Gothic" w:hAnsi="Century Gothic" w:cs="Arial"/>
          <w:sz w:val="16"/>
          <w:szCs w:val="16"/>
          <w:lang w:val="es-ES"/>
        </w:rPr>
        <w:t>“</w:t>
      </w:r>
      <w:r w:rsidRPr="00C77927">
        <w:rPr>
          <w:rFonts w:ascii="Century Gothic" w:hAnsi="Century Gothic" w:cs="Arial"/>
          <w:sz w:val="16"/>
          <w:szCs w:val="16"/>
          <w:lang w:val="es-ES"/>
        </w:rPr>
        <w:t>REVOCAR los numerales primero y tercero de la parte resolutiva del auto proferido el 6 de agosto de 2019, que suspendieron de manera provisional los efectos del inciso segundo del artículo 1 y del inciso segundo del artículo 3 del Decreto 92 de 2017, respectivamente, y en su lugar NEGAR la medida cautelar</w:t>
      </w:r>
      <w:r w:rsidR="006C5E8B" w:rsidRPr="00C77927">
        <w:rPr>
          <w:rFonts w:ascii="Century Gothic" w:hAnsi="Century Gothic" w:cs="Arial"/>
          <w:sz w:val="16"/>
          <w:szCs w:val="16"/>
          <w:lang w:val="es-ES"/>
        </w:rPr>
        <w:t>”</w:t>
      </w:r>
      <w:r w:rsidRPr="00C77927">
        <w:rPr>
          <w:rFonts w:ascii="Century Gothic" w:hAnsi="Century Gothic" w:cs="Arial"/>
          <w:sz w:val="16"/>
          <w:szCs w:val="16"/>
          <w:lang w:val="es-ES"/>
        </w:rPr>
        <w:t xml:space="preserve">, y </w:t>
      </w:r>
      <w:r w:rsidR="006C5E8B" w:rsidRPr="00C77927">
        <w:rPr>
          <w:rFonts w:ascii="Century Gothic" w:hAnsi="Century Gothic" w:cs="Arial"/>
          <w:sz w:val="16"/>
          <w:szCs w:val="16"/>
          <w:lang w:val="es-ES"/>
        </w:rPr>
        <w:t>“</w:t>
      </w:r>
      <w:r w:rsidRPr="00C77927">
        <w:rPr>
          <w:rFonts w:ascii="Century Gothic" w:hAnsi="Century Gothic" w:cs="Arial"/>
          <w:sz w:val="16"/>
          <w:szCs w:val="16"/>
          <w:lang w:val="es-ES"/>
        </w:rPr>
        <w:t>CONFIRMAR LA SUSPENSIÓN PROVISIONAL de los literales a) y c) del artículo segundo y el inciso quinto de la misma norma, así como del inciso final del artículo 4 del Decreto 92 de 2017, por las razones expuestas</w:t>
      </w:r>
      <w:r w:rsidR="00182D1F" w:rsidRPr="00C77927">
        <w:rPr>
          <w:rFonts w:ascii="Century Gothic" w:hAnsi="Century Gothic" w:cs="Arial"/>
          <w:sz w:val="16"/>
          <w:szCs w:val="16"/>
          <w:lang w:val="es-ES"/>
        </w:rPr>
        <w:t>”</w:t>
      </w:r>
      <w:r w:rsidRPr="00C77927">
        <w:rPr>
          <w:rFonts w:ascii="Century Gothic" w:hAnsi="Century Gothic" w:cs="Arial"/>
          <w:sz w:val="16"/>
          <w:szCs w:val="16"/>
          <w:lang w:val="es-ES"/>
        </w:rPr>
        <w:t>.</w:t>
      </w:r>
    </w:p>
    <w:p w14:paraId="35160D64" w14:textId="77777777" w:rsidR="00182D1F" w:rsidRPr="00C77927" w:rsidRDefault="00182D1F" w:rsidP="00C6125E">
      <w:pPr>
        <w:pStyle w:val="Textonotapie"/>
        <w:ind w:firstLine="708"/>
        <w:jc w:val="both"/>
        <w:rPr>
          <w:rFonts w:ascii="Century Gothic" w:hAnsi="Century Gothic" w:cs="Arial"/>
          <w:sz w:val="16"/>
          <w:szCs w:val="16"/>
          <w:lang w:val="es-ES"/>
        </w:rPr>
      </w:pPr>
    </w:p>
  </w:footnote>
  <w:footnote w:id="10">
    <w:p w14:paraId="2EEBEB7B" w14:textId="6743EE8D" w:rsidR="004E1AEB" w:rsidRPr="00C77927" w:rsidRDefault="004E1AEB" w:rsidP="00C6125E">
      <w:pPr>
        <w:spacing w:after="0" w:line="240" w:lineRule="auto"/>
        <w:ind w:firstLine="708"/>
        <w:jc w:val="both"/>
        <w:textAlignment w:val="baseline"/>
        <w:rPr>
          <w:rFonts w:ascii="Century Gothic" w:eastAsia="Calibri" w:hAnsi="Century Gothic" w:cs="Arial"/>
          <w:color w:val="000000"/>
          <w:sz w:val="16"/>
          <w:szCs w:val="16"/>
          <w:lang w:val="es-MX"/>
        </w:rPr>
      </w:pPr>
      <w:r w:rsidRPr="00C77927">
        <w:rPr>
          <w:rStyle w:val="Refdenotaalpie"/>
          <w:rFonts w:ascii="Century Gothic" w:hAnsi="Century Gothic" w:cs="Arial"/>
          <w:sz w:val="16"/>
          <w:szCs w:val="16"/>
        </w:rPr>
        <w:footnoteRef/>
      </w:r>
      <w:r w:rsidRPr="00C77927">
        <w:rPr>
          <w:rFonts w:ascii="Century Gothic" w:hAnsi="Century Gothic" w:cs="Arial"/>
          <w:sz w:val="16"/>
          <w:szCs w:val="16"/>
        </w:rPr>
        <w:t xml:space="preserve"> </w:t>
      </w:r>
      <w:r w:rsidRPr="00C77927">
        <w:rPr>
          <w:rFonts w:ascii="Century Gothic" w:eastAsia="Calibri" w:hAnsi="Century Gothic" w:cs="Arial"/>
          <w:color w:val="000000"/>
          <w:sz w:val="16"/>
          <w:szCs w:val="16"/>
          <w:lang w:val="es-MX"/>
        </w:rPr>
        <w:t>E</w:t>
      </w:r>
      <w:r w:rsidRPr="00C77927">
        <w:rPr>
          <w:rFonts w:ascii="Century Gothic" w:eastAsia="Calibri" w:hAnsi="Century Gothic" w:cs="Arial"/>
          <w:sz w:val="16"/>
          <w:szCs w:val="16"/>
          <w:lang w:val="es-ES_tradnl"/>
        </w:rPr>
        <w:t xml:space="preserve">n armonía con lo anterior, las siguientes son las conclusiones que dedujo esta Agencia en relación con los </w:t>
      </w:r>
      <w:r w:rsidRPr="00C77927">
        <w:rPr>
          <w:rFonts w:ascii="Century Gothic" w:eastAsia="Calibri" w:hAnsi="Century Gothic" w:cs="Arial"/>
          <w:i/>
          <w:iCs/>
          <w:sz w:val="16"/>
          <w:szCs w:val="16"/>
          <w:lang w:val="es-ES_tradnl"/>
        </w:rPr>
        <w:t>contratos de colaboración</w:t>
      </w:r>
      <w:r w:rsidRPr="00C77927">
        <w:rPr>
          <w:rFonts w:ascii="Century Gothic" w:eastAsia="Calibri" w:hAnsi="Century Gothic" w:cs="Arial"/>
          <w:sz w:val="16"/>
          <w:szCs w:val="16"/>
          <w:lang w:val="es-ES_tradnl"/>
        </w:rPr>
        <w:t xml:space="preserve">, tal como se expresa, por ejemplo, en el concepto C-529 del 11 de agosto de 2020: </w:t>
      </w:r>
      <w:r w:rsidR="006C5E8B" w:rsidRPr="00C77927">
        <w:rPr>
          <w:rFonts w:ascii="Century Gothic" w:eastAsia="Calibri" w:hAnsi="Century Gothic" w:cs="Arial"/>
          <w:sz w:val="16"/>
          <w:szCs w:val="16"/>
          <w:lang w:val="es-ES_tradnl"/>
        </w:rPr>
        <w:t>“</w:t>
      </w:r>
      <w:r w:rsidRPr="00C77927">
        <w:rPr>
          <w:rFonts w:ascii="Century Gothic" w:eastAsia="Calibri" w:hAnsi="Century Gothic" w:cs="Arial"/>
          <w:color w:val="000000"/>
          <w:sz w:val="16"/>
          <w:szCs w:val="16"/>
          <w:lang w:val="es-MX"/>
        </w:rPr>
        <w:t xml:space="preserve">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C77927">
        <w:rPr>
          <w:rFonts w:ascii="Century Gothic" w:eastAsia="Calibri" w:hAnsi="Century Gothic" w:cs="Arial"/>
          <w:color w:val="000000"/>
          <w:sz w:val="16"/>
          <w:szCs w:val="16"/>
          <w:lang w:val="es-MX"/>
        </w:rPr>
        <w:t>ii</w:t>
      </w:r>
      <w:proofErr w:type="spellEnd"/>
      <w:r w:rsidRPr="00C77927">
        <w:rPr>
          <w:rFonts w:ascii="Century Gothic" w:eastAsia="Calibri" w:hAnsi="Century Gothic" w:cs="Arial"/>
          <w:color w:val="000000"/>
          <w:sz w:val="16"/>
          <w:szCs w:val="16"/>
          <w:lang w:val="es-MX"/>
        </w:rPr>
        <w:t xml:space="preserve">) tampoco se debe condicionar a que la contratación con las ESAL garantice la optimización de los recursos públicos en términos de eficiencia, eficacia, economía y manejo del riesgo; </w:t>
      </w:r>
      <w:proofErr w:type="spellStart"/>
      <w:r w:rsidRPr="00C77927">
        <w:rPr>
          <w:rFonts w:ascii="Century Gothic" w:eastAsia="Calibri" w:hAnsi="Century Gothic" w:cs="Arial"/>
          <w:color w:val="000000"/>
          <w:sz w:val="16"/>
          <w:szCs w:val="16"/>
          <w:lang w:val="es-MX"/>
        </w:rPr>
        <w:t>iii</w:t>
      </w:r>
      <w:proofErr w:type="spellEnd"/>
      <w:r w:rsidRPr="00C77927">
        <w:rPr>
          <w:rFonts w:ascii="Century Gothic" w:eastAsia="Calibri" w:hAnsi="Century Gothic" w:cs="Arial"/>
          <w:color w:val="000000"/>
          <w:sz w:val="16"/>
          <w:szCs w:val="16"/>
          <w:lang w:val="es-MX"/>
        </w:rPr>
        <w:t xml:space="preserve">) el objeto del contrato debe estar acorde con el plan nacional o seccional de desarrollo; </w:t>
      </w:r>
      <w:proofErr w:type="spellStart"/>
      <w:r w:rsidRPr="00C77927">
        <w:rPr>
          <w:rFonts w:ascii="Century Gothic" w:eastAsia="Calibri" w:hAnsi="Century Gothic" w:cs="Arial"/>
          <w:color w:val="000000"/>
          <w:sz w:val="16"/>
          <w:szCs w:val="16"/>
          <w:lang w:val="es-MX"/>
        </w:rPr>
        <w:t>iv</w:t>
      </w:r>
      <w:proofErr w:type="spellEnd"/>
      <w:r w:rsidRPr="00C77927">
        <w:rPr>
          <w:rFonts w:ascii="Century Gothic" w:eastAsia="Calibri" w:hAnsi="Century Gothic" w:cs="Arial"/>
          <w:color w:val="000000"/>
          <w:sz w:val="16"/>
          <w:szCs w:val="16"/>
          <w:lang w:val="es-MX"/>
        </w:rPr>
        <w:t xml:space="preserve">)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C77927">
        <w:rPr>
          <w:rFonts w:ascii="Century Gothic" w:eastAsia="Calibri" w:hAnsi="Century Gothic" w:cs="Arial"/>
          <w:color w:val="000000"/>
          <w:sz w:val="16"/>
          <w:szCs w:val="16"/>
          <w:lang w:val="es-MX"/>
        </w:rPr>
        <w:t>iii</w:t>
      </w:r>
      <w:proofErr w:type="spellEnd"/>
      <w:r w:rsidRPr="00C77927">
        <w:rPr>
          <w:rFonts w:ascii="Century Gothic" w:eastAsia="Calibri" w:hAnsi="Century Gothic" w:cs="Arial"/>
          <w:color w:val="000000"/>
          <w:sz w:val="16"/>
          <w:szCs w:val="16"/>
          <w:lang w:val="es-MX"/>
        </w:rPr>
        <w:t>); y v) el contrato no establezca una relación conmutativa en el cual haya una contraprestación directa a favor de la entidad, ni instrucciones precisas dadas por esta al contratista para cumplir con el objeto del contrato</w:t>
      </w:r>
      <w:r w:rsidR="00D963B2" w:rsidRPr="00C77927">
        <w:rPr>
          <w:rFonts w:ascii="Century Gothic" w:eastAsia="Calibri" w:hAnsi="Century Gothic" w:cs="Arial"/>
          <w:color w:val="000000"/>
          <w:sz w:val="16"/>
          <w:szCs w:val="16"/>
          <w:lang w:val="es-MX"/>
        </w:rPr>
        <w:t>”</w:t>
      </w:r>
      <w:r w:rsidRPr="00C77927">
        <w:rPr>
          <w:rFonts w:ascii="Century Gothic" w:eastAsia="Calibri" w:hAnsi="Century Gothic" w:cs="Arial"/>
          <w:color w:val="000000"/>
          <w:sz w:val="16"/>
          <w:szCs w:val="16"/>
          <w:lang w:val="es-MX"/>
        </w:rPr>
        <w:t>.</w:t>
      </w:r>
    </w:p>
    <w:p w14:paraId="08C9512A" w14:textId="77777777" w:rsidR="004E1AEB" w:rsidRPr="00C77927" w:rsidRDefault="004E1AEB" w:rsidP="00C6125E">
      <w:pPr>
        <w:spacing w:after="0" w:line="240" w:lineRule="auto"/>
        <w:ind w:firstLine="708"/>
        <w:jc w:val="both"/>
        <w:textAlignment w:val="baseline"/>
        <w:rPr>
          <w:rFonts w:ascii="Century Gothic" w:hAnsi="Century Gothic" w:cs="Arial"/>
          <w:sz w:val="16"/>
          <w:szCs w:val="16"/>
        </w:rPr>
      </w:pPr>
    </w:p>
  </w:footnote>
  <w:footnote w:id="11">
    <w:p w14:paraId="2BB58DF9" w14:textId="52D9DB28" w:rsidR="004E1AEB" w:rsidRPr="00C77927" w:rsidRDefault="004E1AEB" w:rsidP="00C6125E">
      <w:pPr>
        <w:pStyle w:val="Textonotapie"/>
        <w:ind w:firstLine="708"/>
        <w:jc w:val="both"/>
        <w:rPr>
          <w:rFonts w:ascii="Century Gothic" w:hAnsi="Century Gothic" w:cs="Arial"/>
          <w:color w:val="000000"/>
          <w:sz w:val="16"/>
          <w:szCs w:val="16"/>
        </w:rPr>
      </w:pPr>
      <w:r w:rsidRPr="00C77927">
        <w:rPr>
          <w:rStyle w:val="Refdenotaalpie"/>
          <w:rFonts w:ascii="Century Gothic" w:hAnsi="Century Gothic" w:cs="Arial"/>
          <w:color w:val="000000"/>
          <w:sz w:val="16"/>
          <w:szCs w:val="16"/>
        </w:rPr>
        <w:footnoteRef/>
      </w:r>
      <w:r w:rsidRPr="00C77927">
        <w:rPr>
          <w:rFonts w:ascii="Century Gothic" w:hAnsi="Century Gothic" w:cs="Arial"/>
          <w:color w:val="000000"/>
          <w:sz w:val="16"/>
          <w:szCs w:val="16"/>
        </w:rPr>
        <w:t xml:space="preserve"> Decreto 1082, artículo 5: </w:t>
      </w:r>
      <w:r w:rsidR="00D963B2" w:rsidRPr="00C77927">
        <w:rPr>
          <w:rFonts w:ascii="Century Gothic" w:hAnsi="Century Gothic" w:cs="Arial"/>
          <w:color w:val="000000"/>
          <w:sz w:val="16"/>
          <w:szCs w:val="16"/>
        </w:rPr>
        <w:t>“</w:t>
      </w:r>
      <w:r w:rsidRPr="00C77927">
        <w:rPr>
          <w:rFonts w:ascii="Century Gothic" w:hAnsi="Century Gothic" w:cs="Arial"/>
          <w:color w:val="000000"/>
          <w:sz w:val="16"/>
          <w:szCs w:val="16"/>
        </w:rPr>
        <w:t>[…]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sidR="00D963B2" w:rsidRPr="00C77927">
        <w:rPr>
          <w:rFonts w:ascii="Century Gothic" w:hAnsi="Century Gothic" w:cs="Arial"/>
          <w:color w:val="000000"/>
          <w:sz w:val="16"/>
          <w:szCs w:val="16"/>
        </w:rPr>
        <w:t>”</w:t>
      </w:r>
      <w:r w:rsidRPr="00C77927">
        <w:rPr>
          <w:rFonts w:ascii="Century Gothic" w:hAnsi="Century Gothic" w:cs="Arial"/>
          <w:color w:val="000000"/>
          <w:sz w:val="16"/>
          <w:szCs w:val="16"/>
        </w:rPr>
        <w:t>.</w:t>
      </w:r>
    </w:p>
    <w:p w14:paraId="276DC555" w14:textId="77777777" w:rsidR="00D963B2" w:rsidRPr="00C77927" w:rsidRDefault="00D963B2" w:rsidP="00C6125E">
      <w:pPr>
        <w:pStyle w:val="Textonotapie"/>
        <w:ind w:firstLine="708"/>
        <w:jc w:val="both"/>
        <w:rPr>
          <w:rFonts w:ascii="Century Gothic" w:hAnsi="Century Gothic" w:cs="Arial"/>
          <w:color w:val="000000"/>
          <w:sz w:val="16"/>
          <w:szCs w:val="16"/>
        </w:rPr>
      </w:pPr>
    </w:p>
  </w:footnote>
  <w:footnote w:id="12">
    <w:p w14:paraId="6F145D73" w14:textId="77777777" w:rsidR="004E1AEB" w:rsidRPr="00C77927" w:rsidRDefault="004E1AEB" w:rsidP="00C6125E">
      <w:pPr>
        <w:pStyle w:val="Textonotapie"/>
        <w:ind w:firstLine="708"/>
        <w:jc w:val="both"/>
        <w:rPr>
          <w:rFonts w:ascii="Century Gothic" w:hAnsi="Century Gothic" w:cs="Arial"/>
          <w:sz w:val="16"/>
          <w:szCs w:val="16"/>
        </w:rPr>
      </w:pPr>
      <w:r w:rsidRPr="00C77927">
        <w:rPr>
          <w:rStyle w:val="Refdenotaalpie"/>
          <w:rFonts w:ascii="Century Gothic" w:hAnsi="Century Gothic" w:cs="Arial"/>
          <w:sz w:val="16"/>
          <w:szCs w:val="16"/>
        </w:rPr>
        <w:footnoteRef/>
      </w:r>
      <w:r w:rsidRPr="00C77927">
        <w:rPr>
          <w:rFonts w:ascii="Century Gothic" w:hAnsi="Century Gothic" w:cs="Arial"/>
          <w:sz w:val="16"/>
          <w:szCs w:val="16"/>
        </w:rPr>
        <w:t xml:space="preserve"> RODRÍGUEZ TAMAYO, Mauricio. Contratación pública con Entidades sin ánimo de lucro. Bogotá: Legis Editores, 2017. p. 28. </w:t>
      </w:r>
    </w:p>
    <w:p w14:paraId="38AC42C9" w14:textId="77777777" w:rsidR="00D963B2" w:rsidRPr="00C77927" w:rsidRDefault="00D963B2" w:rsidP="00C6125E">
      <w:pPr>
        <w:pStyle w:val="Textonotapie"/>
        <w:ind w:firstLine="708"/>
        <w:jc w:val="both"/>
        <w:rPr>
          <w:rFonts w:ascii="Century Gothic" w:hAnsi="Century Gothic" w:cs="Arial"/>
          <w:sz w:val="16"/>
          <w:szCs w:val="16"/>
        </w:rPr>
      </w:pPr>
    </w:p>
  </w:footnote>
  <w:footnote w:id="13">
    <w:p w14:paraId="7B51F65E" w14:textId="77777777" w:rsidR="004E1AEB" w:rsidRPr="00C77927" w:rsidRDefault="004E1AEB" w:rsidP="00C6125E">
      <w:pPr>
        <w:pStyle w:val="Textonotapie"/>
        <w:ind w:firstLine="708"/>
        <w:jc w:val="both"/>
        <w:rPr>
          <w:rFonts w:ascii="Century Gothic" w:hAnsi="Century Gothic" w:cs="Arial"/>
          <w:sz w:val="16"/>
          <w:szCs w:val="16"/>
        </w:rPr>
      </w:pPr>
      <w:r w:rsidRPr="00C77927">
        <w:rPr>
          <w:rStyle w:val="Refdenotaalpie"/>
          <w:rFonts w:ascii="Century Gothic" w:hAnsi="Century Gothic" w:cs="Arial"/>
          <w:sz w:val="16"/>
          <w:szCs w:val="16"/>
        </w:rPr>
        <w:footnoteRef/>
      </w:r>
      <w:r w:rsidRPr="00C77927">
        <w:rPr>
          <w:rFonts w:ascii="Century Gothic" w:hAnsi="Century Gothic" w:cs="Arial"/>
          <w:sz w:val="16"/>
          <w:szCs w:val="16"/>
        </w:rPr>
        <w:t xml:space="preserve"> Esta postura también es defendida por la doctrina, por ejemplo, Cfr. RODRÍGUEZ TAMAYO, Mauricio. Contratación Pública con entidades sin ánimo de lucro. Bogotá: Legis, 2017. p. 146 y ss.</w:t>
      </w:r>
    </w:p>
    <w:p w14:paraId="12655C14" w14:textId="77777777" w:rsidR="004E1AEB" w:rsidRPr="00C77927" w:rsidRDefault="004E1AEB" w:rsidP="00C6125E">
      <w:pPr>
        <w:pStyle w:val="Textonotapie"/>
        <w:ind w:firstLine="708"/>
        <w:jc w:val="both"/>
        <w:rPr>
          <w:rFonts w:ascii="Century Gothic" w:hAnsi="Century Gothic" w:cs="Arial"/>
          <w:sz w:val="16"/>
          <w:szCs w:val="16"/>
        </w:rPr>
      </w:pPr>
    </w:p>
  </w:footnote>
  <w:footnote w:id="14">
    <w:p w14:paraId="558A1C58" w14:textId="6C253443" w:rsidR="004E1AEB" w:rsidRPr="00C77927" w:rsidRDefault="004E1AEB" w:rsidP="00C6125E">
      <w:pPr>
        <w:autoSpaceDE w:val="0"/>
        <w:autoSpaceDN w:val="0"/>
        <w:adjustRightInd w:val="0"/>
        <w:spacing w:after="0" w:line="240" w:lineRule="auto"/>
        <w:ind w:firstLine="708"/>
        <w:jc w:val="both"/>
        <w:rPr>
          <w:rFonts w:ascii="Century Gothic" w:hAnsi="Century Gothic" w:cs="Arial"/>
          <w:sz w:val="16"/>
          <w:szCs w:val="16"/>
        </w:rPr>
      </w:pPr>
      <w:r w:rsidRPr="00C77927">
        <w:rPr>
          <w:rStyle w:val="Refdenotaalpie"/>
          <w:rFonts w:ascii="Century Gothic" w:hAnsi="Century Gothic" w:cs="Arial"/>
          <w:sz w:val="16"/>
          <w:szCs w:val="16"/>
        </w:rPr>
        <w:footnoteRef/>
      </w:r>
      <w:r w:rsidRPr="00C77927">
        <w:rPr>
          <w:rFonts w:ascii="Century Gothic" w:hAnsi="Century Gothic" w:cs="Arial"/>
          <w:sz w:val="16"/>
          <w:szCs w:val="16"/>
        </w:rPr>
        <w:t xml:space="preserve"> MARÍN CORTÉS, Fabián Gonzalo. </w:t>
      </w:r>
      <w:r w:rsidRPr="00C77927">
        <w:rPr>
          <w:rFonts w:ascii="Century Gothic" w:hAnsi="Century Gothic" w:cs="Arial"/>
          <w:i/>
          <w:sz w:val="16"/>
          <w:szCs w:val="16"/>
        </w:rPr>
        <w:t>El precio</w:t>
      </w:r>
      <w:r w:rsidRPr="00C77927">
        <w:rPr>
          <w:rFonts w:ascii="Century Gothic" w:hAnsi="Century Gothic" w:cs="Arial"/>
          <w:sz w:val="16"/>
          <w:szCs w:val="16"/>
        </w:rPr>
        <w:t xml:space="preserve">. Medellín: Librería Jurídica Sánchez R Ltda. y CEDA, 2012, p. 204. Así mismo, Mauricio Rodríguez Tamayo expresa: </w:t>
      </w:r>
      <w:r w:rsidR="00D92A33" w:rsidRPr="00C77927">
        <w:rPr>
          <w:rFonts w:ascii="Century Gothic" w:eastAsia="Calibri" w:hAnsi="Century Gothic" w:cs="Arial"/>
          <w:sz w:val="16"/>
          <w:szCs w:val="16"/>
        </w:rPr>
        <w:t>“</w:t>
      </w:r>
      <w:r w:rsidRPr="00C77927">
        <w:rPr>
          <w:rFonts w:ascii="Century Gothic" w:hAnsi="Century Gothic" w:cs="Arial"/>
          <w:sz w:val="16"/>
          <w:szCs w:val="16"/>
        </w:rPr>
        <w:t>Los contratos de interés público no escapan a la necesidad de introducir modificaciones o ajustes al contrato y, ante el silencio del Decreto 092 de 2017, es preciso recurrir a las disposiciones generales de la Ley 80 de 1993, a la luz de lo previsto en el artículo 8° del precitado decreto.</w:t>
      </w:r>
    </w:p>
    <w:p w14:paraId="2E6E34D6" w14:textId="6A52EF24" w:rsidR="004E1AEB" w:rsidRPr="00C77927" w:rsidRDefault="004E1AEB" w:rsidP="00C6125E">
      <w:pPr>
        <w:autoSpaceDE w:val="0"/>
        <w:autoSpaceDN w:val="0"/>
        <w:adjustRightInd w:val="0"/>
        <w:spacing w:after="0" w:line="240" w:lineRule="auto"/>
        <w:ind w:firstLine="708"/>
        <w:jc w:val="both"/>
        <w:rPr>
          <w:rFonts w:ascii="Century Gothic" w:hAnsi="Century Gothic" w:cs="Arial"/>
          <w:sz w:val="16"/>
          <w:szCs w:val="16"/>
        </w:rPr>
      </w:pPr>
      <w:r w:rsidRPr="00C77927">
        <w:rPr>
          <w:rFonts w:ascii="Century Gothic" w:hAnsi="Century Gothic" w:cs="Arial"/>
          <w:sz w:val="16"/>
          <w:szCs w:val="16"/>
        </w:rPr>
        <w:t>Muchas situaciones pueden aconsejar e imponer la modificación de tales contratos, como sería la variación de algunas obligaciones, reducción o aumento del plazo o adición del valor del aporte, entre otras.</w:t>
      </w:r>
    </w:p>
    <w:p w14:paraId="54EDB98D" w14:textId="77777777" w:rsidR="004E1AEB" w:rsidRPr="00C77927" w:rsidRDefault="004E1AEB" w:rsidP="00C6125E">
      <w:pPr>
        <w:autoSpaceDE w:val="0"/>
        <w:autoSpaceDN w:val="0"/>
        <w:adjustRightInd w:val="0"/>
        <w:spacing w:after="0" w:line="240" w:lineRule="auto"/>
        <w:ind w:firstLine="708"/>
        <w:jc w:val="both"/>
        <w:rPr>
          <w:rFonts w:ascii="Century Gothic" w:hAnsi="Century Gothic" w:cs="Arial"/>
          <w:sz w:val="16"/>
          <w:szCs w:val="16"/>
        </w:rPr>
      </w:pPr>
      <w:r w:rsidRPr="00C77927">
        <w:rPr>
          <w:rFonts w:ascii="Century Gothic" w:hAnsi="Century Gothic" w:cs="Arial"/>
          <w:sz w:val="16"/>
          <w:szCs w:val="16"/>
        </w:rPr>
        <w:t xml:space="preserve">[…] </w:t>
      </w:r>
    </w:p>
    <w:p w14:paraId="3EF43ED3" w14:textId="0AAD1B36" w:rsidR="004E1AEB" w:rsidRPr="00C77927" w:rsidRDefault="004E1AEB" w:rsidP="00C6125E">
      <w:pPr>
        <w:autoSpaceDE w:val="0"/>
        <w:autoSpaceDN w:val="0"/>
        <w:adjustRightInd w:val="0"/>
        <w:spacing w:after="0" w:line="240" w:lineRule="auto"/>
        <w:ind w:firstLine="708"/>
        <w:jc w:val="both"/>
        <w:rPr>
          <w:rFonts w:ascii="Century Gothic" w:hAnsi="Century Gothic" w:cs="Arial"/>
          <w:sz w:val="16"/>
          <w:szCs w:val="16"/>
        </w:rPr>
      </w:pPr>
      <w:r w:rsidRPr="00C77927">
        <w:rPr>
          <w:rFonts w:ascii="Century Gothic" w:hAnsi="Century Gothic" w:cs="Arial"/>
          <w:sz w:val="16"/>
          <w:szCs w:val="16"/>
        </w:rPr>
        <w:t>El límite para modificar un contrato estatal se encuentra en su objeto y su variación es procedente siempre que las necesidades así lo aconsejen. Por lo tanto, el plazo, el precio de un contrato estatal y las obligaciones acordadas pueden ser reformados por las partes, sin que con ello se entienda que se violan los principios de la contratación estatal.</w:t>
      </w:r>
    </w:p>
    <w:p w14:paraId="3B1AEE02" w14:textId="2F16118C" w:rsidR="004E1AEB" w:rsidRPr="00C77927" w:rsidRDefault="004E1AEB" w:rsidP="00C6125E">
      <w:pPr>
        <w:autoSpaceDE w:val="0"/>
        <w:autoSpaceDN w:val="0"/>
        <w:adjustRightInd w:val="0"/>
        <w:spacing w:after="0" w:line="240" w:lineRule="auto"/>
        <w:ind w:firstLine="708"/>
        <w:jc w:val="both"/>
        <w:rPr>
          <w:rFonts w:ascii="Century Gothic" w:hAnsi="Century Gothic" w:cs="Arial"/>
          <w:sz w:val="16"/>
          <w:szCs w:val="16"/>
        </w:rPr>
      </w:pPr>
      <w:r w:rsidRPr="00C77927">
        <w:rPr>
          <w:rFonts w:ascii="Century Gothic" w:hAnsi="Century Gothic" w:cs="Arial"/>
          <w:sz w:val="16"/>
          <w:szCs w:val="16"/>
        </w:rPr>
        <w:t xml:space="preserve">Lo que </w:t>
      </w:r>
      <w:proofErr w:type="spellStart"/>
      <w:r w:rsidRPr="00C77927">
        <w:rPr>
          <w:rFonts w:ascii="Century Gothic" w:hAnsi="Century Gothic" w:cs="Arial"/>
          <w:sz w:val="16"/>
          <w:szCs w:val="16"/>
        </w:rPr>
        <w:t>si</w:t>
      </w:r>
      <w:proofErr w:type="spellEnd"/>
      <w:r w:rsidRPr="00C77927">
        <w:rPr>
          <w:rFonts w:ascii="Century Gothic" w:hAnsi="Century Gothic" w:cs="Arial"/>
          <w:sz w:val="16"/>
          <w:szCs w:val="16"/>
        </w:rPr>
        <w:t xml:space="preserve"> es claro es que la Ley 80 de 1993 no definió el documento con el que se podría modificar un contrato estatal. Sigue siendo irrelevante que se llame adición, otrosí, contrato o convenio adicional. Creemos que solo cuando se aumente el valor económico deberá llamarse adición al contrato, pues ese es el término empleado por el inciso 2° del parágrafo del artículo 40 de la Ley 80 de 1993, cuando preceptúa: Los contratos no podrán adicionarse en más del cincuenta por ciento (50%) de su valor inicial, expresado este en salarios mínimos legales mensuales. La ley se refiere a la adición al contrato y no al contrato </w:t>
      </w:r>
      <w:proofErr w:type="gramStart"/>
      <w:r w:rsidRPr="00C77927">
        <w:rPr>
          <w:rFonts w:ascii="Century Gothic" w:hAnsi="Century Gothic" w:cs="Arial"/>
          <w:sz w:val="16"/>
          <w:szCs w:val="16"/>
        </w:rPr>
        <w:t>adicional“ y</w:t>
      </w:r>
      <w:proofErr w:type="gramEnd"/>
      <w:r w:rsidRPr="00C77927">
        <w:rPr>
          <w:rFonts w:ascii="Century Gothic" w:hAnsi="Century Gothic" w:cs="Arial"/>
          <w:sz w:val="16"/>
          <w:szCs w:val="16"/>
        </w:rPr>
        <w:t>, se reitera, para aumentar su valor. Aquí la acción autorizada por el citado precepto es la de adicionar</w:t>
      </w:r>
      <w:r w:rsidR="00C6125E" w:rsidRPr="00C77927">
        <w:rPr>
          <w:rFonts w:ascii="Century Gothic" w:hAnsi="Century Gothic" w:cs="Arial"/>
          <w:sz w:val="16"/>
          <w:szCs w:val="16"/>
        </w:rPr>
        <w:t>”</w:t>
      </w:r>
      <w:r w:rsidRPr="00C77927">
        <w:rPr>
          <w:rFonts w:ascii="Century Gothic" w:eastAsia="Calibri" w:hAnsi="Century Gothic" w:cs="Arial"/>
          <w:sz w:val="16"/>
          <w:szCs w:val="16"/>
        </w:rPr>
        <w:t>.</w:t>
      </w:r>
      <w:r w:rsidRPr="00C77927">
        <w:rPr>
          <w:rFonts w:ascii="Century Gothic" w:hAnsi="Century Gothic" w:cs="Arial"/>
          <w:sz w:val="16"/>
          <w:szCs w:val="16"/>
        </w:rPr>
        <w:t xml:space="preserve"> (RODRÍGUEZ TAMAYO, Mauricio. Contratación pública con entidades sin ánimo de lucro. Bogotá: Legis editores, 2017.pp. 146-148). </w:t>
      </w:r>
    </w:p>
    <w:p w14:paraId="6B7F9C14" w14:textId="77777777" w:rsidR="00C6125E" w:rsidRPr="00C77927" w:rsidRDefault="00C6125E" w:rsidP="00C6125E">
      <w:pPr>
        <w:autoSpaceDE w:val="0"/>
        <w:autoSpaceDN w:val="0"/>
        <w:adjustRightInd w:val="0"/>
        <w:spacing w:after="0" w:line="240" w:lineRule="auto"/>
        <w:ind w:firstLine="708"/>
        <w:jc w:val="both"/>
        <w:rPr>
          <w:rFonts w:ascii="Century Gothic" w:hAnsi="Century Gothic"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4144" behindDoc="1" locked="0" layoutInCell="1" allowOverlap="1" wp14:anchorId="748FC4A6" wp14:editId="179B867F">
          <wp:simplePos x="0" y="0"/>
          <wp:positionH relativeFrom="margin">
            <wp:posOffset>3807460</wp:posOffset>
          </wp:positionH>
          <wp:positionV relativeFrom="margin">
            <wp:posOffset>-892175</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0288"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7216"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61816861" w14:textId="463637BD" w:rsidR="005B5D8B" w:rsidRPr="005B5D8B"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517E4"/>
    <w:rsid w:val="000724EF"/>
    <w:rsid w:val="000A0FFC"/>
    <w:rsid w:val="000A683E"/>
    <w:rsid w:val="000B19B9"/>
    <w:rsid w:val="000B2A67"/>
    <w:rsid w:val="000B5D01"/>
    <w:rsid w:val="000B76C5"/>
    <w:rsid w:val="000C586C"/>
    <w:rsid w:val="000D0334"/>
    <w:rsid w:val="000E4714"/>
    <w:rsid w:val="000F1ECB"/>
    <w:rsid w:val="000F6486"/>
    <w:rsid w:val="00125105"/>
    <w:rsid w:val="00127233"/>
    <w:rsid w:val="0013353E"/>
    <w:rsid w:val="00182D1F"/>
    <w:rsid w:val="001C7560"/>
    <w:rsid w:val="001E4177"/>
    <w:rsid w:val="0021086B"/>
    <w:rsid w:val="00261F8D"/>
    <w:rsid w:val="002951A0"/>
    <w:rsid w:val="002962BC"/>
    <w:rsid w:val="002A093D"/>
    <w:rsid w:val="002A49AC"/>
    <w:rsid w:val="002A64FD"/>
    <w:rsid w:val="002C7A84"/>
    <w:rsid w:val="0034220D"/>
    <w:rsid w:val="003448F4"/>
    <w:rsid w:val="003A779E"/>
    <w:rsid w:val="003D0F4D"/>
    <w:rsid w:val="003E0499"/>
    <w:rsid w:val="003E37D1"/>
    <w:rsid w:val="003F3941"/>
    <w:rsid w:val="00400548"/>
    <w:rsid w:val="004368BC"/>
    <w:rsid w:val="004A1847"/>
    <w:rsid w:val="004A305D"/>
    <w:rsid w:val="004B16B9"/>
    <w:rsid w:val="004E1AEB"/>
    <w:rsid w:val="004F21C4"/>
    <w:rsid w:val="004F685F"/>
    <w:rsid w:val="00533E8F"/>
    <w:rsid w:val="00552F1A"/>
    <w:rsid w:val="005566E8"/>
    <w:rsid w:val="00574867"/>
    <w:rsid w:val="005842F9"/>
    <w:rsid w:val="005A6AA1"/>
    <w:rsid w:val="005B5D8B"/>
    <w:rsid w:val="005C5CDC"/>
    <w:rsid w:val="005D476C"/>
    <w:rsid w:val="006219F8"/>
    <w:rsid w:val="00665D70"/>
    <w:rsid w:val="006C5E8B"/>
    <w:rsid w:val="006D1D04"/>
    <w:rsid w:val="00706C16"/>
    <w:rsid w:val="00727370"/>
    <w:rsid w:val="00756841"/>
    <w:rsid w:val="00763C80"/>
    <w:rsid w:val="007649AB"/>
    <w:rsid w:val="007833AC"/>
    <w:rsid w:val="007B7171"/>
    <w:rsid w:val="007C3DC2"/>
    <w:rsid w:val="007E5497"/>
    <w:rsid w:val="007E638D"/>
    <w:rsid w:val="00806F5F"/>
    <w:rsid w:val="00811DDD"/>
    <w:rsid w:val="0081318A"/>
    <w:rsid w:val="00820278"/>
    <w:rsid w:val="008843B6"/>
    <w:rsid w:val="00891928"/>
    <w:rsid w:val="008A446D"/>
    <w:rsid w:val="008B0033"/>
    <w:rsid w:val="008B09A4"/>
    <w:rsid w:val="008F0EA7"/>
    <w:rsid w:val="00923EEF"/>
    <w:rsid w:val="009419F9"/>
    <w:rsid w:val="00961B09"/>
    <w:rsid w:val="00965334"/>
    <w:rsid w:val="0097093E"/>
    <w:rsid w:val="009C71FA"/>
    <w:rsid w:val="009C72E7"/>
    <w:rsid w:val="00A17F13"/>
    <w:rsid w:val="00A20739"/>
    <w:rsid w:val="00A33C78"/>
    <w:rsid w:val="00AB0ADB"/>
    <w:rsid w:val="00AD5E99"/>
    <w:rsid w:val="00AF0D7A"/>
    <w:rsid w:val="00B70660"/>
    <w:rsid w:val="00B72CD3"/>
    <w:rsid w:val="00B72FFF"/>
    <w:rsid w:val="00B8107A"/>
    <w:rsid w:val="00BD15D4"/>
    <w:rsid w:val="00BD2E7A"/>
    <w:rsid w:val="00BD7F72"/>
    <w:rsid w:val="00C04FB3"/>
    <w:rsid w:val="00C330EB"/>
    <w:rsid w:val="00C6125E"/>
    <w:rsid w:val="00C754BE"/>
    <w:rsid w:val="00C77927"/>
    <w:rsid w:val="00CB6357"/>
    <w:rsid w:val="00CC1870"/>
    <w:rsid w:val="00CC1B26"/>
    <w:rsid w:val="00CE3FAA"/>
    <w:rsid w:val="00D423A2"/>
    <w:rsid w:val="00D531BF"/>
    <w:rsid w:val="00D63AC2"/>
    <w:rsid w:val="00D7383B"/>
    <w:rsid w:val="00D92A33"/>
    <w:rsid w:val="00D963B2"/>
    <w:rsid w:val="00DA231B"/>
    <w:rsid w:val="00DC3EFB"/>
    <w:rsid w:val="00DF4B16"/>
    <w:rsid w:val="00E042F5"/>
    <w:rsid w:val="00E16408"/>
    <w:rsid w:val="00E20894"/>
    <w:rsid w:val="00E245AB"/>
    <w:rsid w:val="00E50AFE"/>
    <w:rsid w:val="00E64640"/>
    <w:rsid w:val="00E771DC"/>
    <w:rsid w:val="00E80E78"/>
    <w:rsid w:val="00E8772A"/>
    <w:rsid w:val="00E90F6B"/>
    <w:rsid w:val="00E92C27"/>
    <w:rsid w:val="00EA0E3D"/>
    <w:rsid w:val="00EB635B"/>
    <w:rsid w:val="00EE1AA8"/>
    <w:rsid w:val="00F17039"/>
    <w:rsid w:val="00F204AB"/>
    <w:rsid w:val="00F31EDC"/>
    <w:rsid w:val="00F3457F"/>
    <w:rsid w:val="00F52379"/>
    <w:rsid w:val="00F5664F"/>
    <w:rsid w:val="00F613A2"/>
    <w:rsid w:val="00F76AFC"/>
    <w:rsid w:val="00FB5DD1"/>
    <w:rsid w:val="00FC2B5D"/>
    <w:rsid w:val="00FD0430"/>
    <w:rsid w:val="00FE0BEB"/>
    <w:rsid w:val="00FF1449"/>
    <w:rsid w:val="00FF2CD1"/>
    <w:rsid w:val="00FF3FCB"/>
    <w:rsid w:val="54420522"/>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customStyle="1" w:styleId="Tablaconcuadrcula1">
    <w:name w:val="Tabla con cuadrícula1"/>
    <w:basedOn w:val="Tablanormal"/>
    <w:next w:val="Tablaconcuadrcula"/>
    <w:uiPriority w:val="59"/>
    <w:rsid w:val="004E1AE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rsid w:val="004E1AEB"/>
    <w:pPr>
      <w:spacing w:line="240" w:lineRule="exact"/>
    </w:pPr>
    <w:rPr>
      <w:vertAlign w:val="superscript"/>
    </w:rPr>
  </w:style>
  <w:style w:type="paragraph" w:styleId="Revisin">
    <w:name w:val="Revision"/>
    <w:hidden/>
    <w:uiPriority w:val="99"/>
    <w:semiHidden/>
    <w:rsid w:val="00B70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Alejandro Sarmiento</DisplayName>
        <AccountId>119</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8CDA073-069F-4977-AB66-FEF98097CD28}"/>
</file>

<file path=customXml/itemProps3.xml><?xml version="1.0" encoding="utf-8"?>
<ds:datastoreItem xmlns:ds="http://schemas.openxmlformats.org/officeDocument/2006/customXml" ds:itemID="{163618BE-28CB-4D69-955E-CDA788483BED}">
  <ds:schemaRef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36c82cfe-0eda-494d-b392-a9281b89aaf0"/>
    <ds:schemaRef ds:uri="http://schemas.openxmlformats.org/package/2006/metadata/core-properties"/>
    <ds:schemaRef ds:uri="8ae15d26-076e-464e-81a7-6f76a0fb39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9528</Words>
  <Characters>52410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61815</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cp:lastPrinted>2023-01-10T21:18:00Z</cp:lastPrinted>
  <dcterms:created xsi:type="dcterms:W3CDTF">2024-04-25T02:23:00Z</dcterms:created>
  <dcterms:modified xsi:type="dcterms:W3CDTF">2024-04-25T02:23:00Z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