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64C38" w:rsidR="00031669" w:rsidP="00031669" w:rsidRDefault="00031669" w14:paraId="17103367" w14:textId="77777777">
      <w:pPr>
        <w:spacing w:after="0" w:line="240" w:lineRule="auto"/>
        <w:jc w:val="both"/>
        <w:rPr>
          <w:rFonts w:ascii="Century Gothic" w:hAnsi="Century Gothic" w:eastAsia="Calibri" w:cs="Arial"/>
          <w:b/>
          <w:color w:val="000000" w:themeColor="text1"/>
          <w:lang w:val="es-ES_tradnl"/>
        </w:rPr>
      </w:pPr>
      <w:bookmarkStart w:name="_Hlk94281581" w:id="0"/>
      <w:bookmarkStart w:name="_Hlk102489058" w:id="1"/>
      <w:bookmarkStart w:name="_Hlk34951122" w:id="2"/>
      <w:bookmarkStart w:name="_Hlk162346940" w:id="3"/>
    </w:p>
    <w:p w:rsidRPr="00064C38" w:rsidR="00031669" w:rsidP="00031669" w:rsidRDefault="00031669" w14:paraId="6390BB80" w14:textId="77777777">
      <w:pPr>
        <w:spacing w:after="0" w:line="240" w:lineRule="auto"/>
        <w:jc w:val="both"/>
        <w:rPr>
          <w:rFonts w:ascii="Century Gothic" w:hAnsi="Century Gothic" w:cs="Arial"/>
          <w:b/>
          <w:lang w:val="es-ES_tradnl" w:eastAsia="es-ES"/>
        </w:rPr>
      </w:pPr>
      <w:r w:rsidRPr="00483CF9">
        <w:rPr>
          <w:rFonts w:ascii="Century Gothic" w:hAnsi="Century Gothic" w:cs="Arial"/>
          <w:b/>
          <w:lang w:val="es-ES_tradnl" w:eastAsia="es-ES"/>
        </w:rPr>
        <w:t>GARANTÍA DE ÚNICA DE CUMPLIMIENTO</w:t>
      </w:r>
      <w:r w:rsidRPr="00064C38">
        <w:rPr>
          <w:rFonts w:ascii="Century Gothic" w:hAnsi="Century Gothic" w:cs="Arial"/>
          <w:b/>
          <w:lang w:val="es-ES_tradnl" w:eastAsia="es-ES"/>
        </w:rPr>
        <w:t xml:space="preserve"> – Definición – </w:t>
      </w:r>
      <w:r>
        <w:rPr>
          <w:rFonts w:ascii="Century Gothic" w:hAnsi="Century Gothic" w:cs="Arial"/>
          <w:b/>
          <w:lang w:val="es-ES_tradnl" w:eastAsia="es-ES"/>
        </w:rPr>
        <w:t>Fundamento normativo</w:t>
      </w:r>
      <w:r w:rsidRPr="00064C38">
        <w:rPr>
          <w:rFonts w:ascii="Century Gothic" w:hAnsi="Century Gothic" w:cs="Arial"/>
          <w:b/>
          <w:lang w:val="es-ES_tradnl" w:eastAsia="es-ES"/>
        </w:rPr>
        <w:t xml:space="preserve"> </w:t>
      </w:r>
    </w:p>
    <w:p w:rsidRPr="00064C38" w:rsidR="00031669" w:rsidP="00031669" w:rsidRDefault="00031669" w14:paraId="42760979" w14:textId="77777777">
      <w:pPr>
        <w:spacing w:after="0" w:line="240" w:lineRule="auto"/>
        <w:jc w:val="both"/>
        <w:rPr>
          <w:rFonts w:ascii="Century Gothic" w:hAnsi="Century Gothic" w:cs="Arial"/>
          <w:b/>
          <w:sz w:val="16"/>
          <w:szCs w:val="16"/>
          <w:lang w:val="es-ES_tradnl" w:eastAsia="es-ES"/>
        </w:rPr>
      </w:pPr>
    </w:p>
    <w:p w:rsidR="00031669" w:rsidP="00031669" w:rsidRDefault="00031669" w14:paraId="455636FB" w14:textId="77777777">
      <w:pPr>
        <w:spacing w:after="0" w:line="240" w:lineRule="auto"/>
        <w:jc w:val="both"/>
        <w:rPr>
          <w:rFonts w:ascii="Century Gothic" w:hAnsi="Century Gothic" w:cs="Arial"/>
          <w:sz w:val="20"/>
          <w:szCs w:val="20"/>
          <w:lang w:val="es-ES_tradnl"/>
        </w:rPr>
      </w:pPr>
      <w:r>
        <w:rPr>
          <w:rFonts w:ascii="Century Gothic" w:hAnsi="Century Gothic" w:cs="Arial"/>
          <w:sz w:val="20"/>
          <w:szCs w:val="20"/>
          <w:lang w:val="es-ES_tradnl"/>
        </w:rPr>
        <w:t xml:space="preserve">[…] </w:t>
      </w:r>
      <w:r w:rsidRPr="00483CF9">
        <w:rPr>
          <w:rFonts w:ascii="Century Gothic" w:hAnsi="Century Gothic" w:cs="Arial"/>
          <w:sz w:val="20"/>
          <w:szCs w:val="20"/>
          <w:lang w:val="es-ES_tradnl"/>
        </w:rPr>
        <w:t xml:space="preserve">mediante la </w:t>
      </w:r>
      <w:r w:rsidRPr="00483CF9">
        <w:rPr>
          <w:rFonts w:ascii="Century Gothic" w:hAnsi="Century Gothic" w:cs="Arial"/>
          <w:i/>
          <w:iCs/>
          <w:sz w:val="20"/>
          <w:szCs w:val="20"/>
          <w:lang w:val="es-ES_tradnl"/>
        </w:rPr>
        <w:t>garantía de única de cumplimiento</w:t>
      </w:r>
      <w:r w:rsidRPr="00483CF9">
        <w:rPr>
          <w:rFonts w:ascii="Century Gothic" w:hAnsi="Century Gothic" w:cs="Arial"/>
          <w:sz w:val="20"/>
          <w:szCs w:val="20"/>
          <w:lang w:val="es-ES_tradnl"/>
        </w:rPr>
        <w:t xml:space="preserve">, el contratista ampara los perjuicios que le pueda generar a la entidad el incumplimiento de las obligaciones derivadas del contrato. En esta medida, tienen como objetivo reparar los perjuicios causados por conductas atribuibles al contratista, por lo que estos últimos son un presupuesto necesario para el pago que cubre la garantía. Para estos efectos es única, ya que “[…] La prioridad […] es que no haya garantías separadas para los diferentes riesgos, aunque existan varias garantías para diferentes proporciones del interés asegurado […]”.    </w:t>
      </w:r>
    </w:p>
    <w:p w:rsidRPr="00483CF9" w:rsidR="00031669" w:rsidP="00031669" w:rsidRDefault="00031669" w14:paraId="178814BA" w14:textId="77777777">
      <w:pPr>
        <w:spacing w:after="0" w:line="240" w:lineRule="auto"/>
        <w:jc w:val="both"/>
        <w:rPr>
          <w:rFonts w:ascii="Century Gothic" w:hAnsi="Century Gothic" w:cs="Arial"/>
          <w:sz w:val="20"/>
          <w:szCs w:val="20"/>
          <w:lang w:val="es-ES_tradnl"/>
        </w:rPr>
      </w:pPr>
    </w:p>
    <w:p w:rsidRPr="00064C38" w:rsidR="00031669" w:rsidP="3C7B67D2" w:rsidRDefault="00031669" w14:paraId="5A8FD95E" w14:textId="77777777">
      <w:pPr>
        <w:spacing w:after="0" w:line="240" w:lineRule="auto"/>
        <w:jc w:val="both"/>
        <w:rPr>
          <w:rFonts w:ascii="Century Gothic" w:hAnsi="Century Gothic" w:cs="Arial"/>
          <w:sz w:val="20"/>
          <w:szCs w:val="20"/>
          <w:lang w:val="es-ES"/>
        </w:rPr>
      </w:pPr>
      <w:r w:rsidRPr="3C7B67D2" w:rsidR="00031669">
        <w:rPr>
          <w:rFonts w:ascii="Century Gothic" w:hAnsi="Century Gothic" w:cs="Arial"/>
          <w:sz w:val="20"/>
          <w:szCs w:val="20"/>
          <w:lang w:val="es-ES"/>
        </w:rPr>
        <w:t xml:space="preserve">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w:t>
      </w:r>
      <w:r w:rsidRPr="3C7B67D2" w:rsidR="00031669">
        <w:rPr>
          <w:rFonts w:ascii="Century Gothic" w:hAnsi="Century Gothic" w:cs="Arial"/>
          <w:sz w:val="20"/>
          <w:szCs w:val="20"/>
          <w:lang w:val="es-ES"/>
        </w:rPr>
        <w:t>ii</w:t>
      </w:r>
      <w:r w:rsidRPr="3C7B67D2" w:rsidR="00031669">
        <w:rPr>
          <w:rFonts w:ascii="Century Gothic" w:hAnsi="Century Gothic" w:cs="Arial"/>
          <w:sz w:val="20"/>
          <w:szCs w:val="20"/>
          <w:lang w:val="es-ES"/>
        </w:rPr>
        <w:t xml:space="preserve">) garantías bancarias o </w:t>
      </w:r>
      <w:r w:rsidRPr="3C7B67D2" w:rsidR="00031669">
        <w:rPr>
          <w:rFonts w:ascii="Century Gothic" w:hAnsi="Century Gothic" w:cs="Arial"/>
          <w:sz w:val="20"/>
          <w:szCs w:val="20"/>
          <w:lang w:val="es-ES"/>
        </w:rPr>
        <w:t>iii</w:t>
      </w:r>
      <w:r w:rsidRPr="3C7B67D2" w:rsidR="00031669">
        <w:rPr>
          <w:rFonts w:ascii="Century Gothic" w:hAnsi="Century Gothic" w:cs="Arial"/>
          <w:sz w:val="20"/>
          <w:szCs w:val="20"/>
          <w:lang w:val="es-ES"/>
        </w:rPr>
        <w:t>)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 De esta manera, las garantías previstas en la ley tienen como objetivo asegurar la solvencia del garante</w:t>
      </w:r>
      <w:r w:rsidRPr="3C7B67D2" w:rsidR="00031669">
        <w:rPr>
          <w:rFonts w:ascii="Century Gothic" w:hAnsi="Century Gothic" w:cs="Arial"/>
          <w:sz w:val="20"/>
          <w:szCs w:val="20"/>
          <w:lang w:val="es-ES"/>
        </w:rPr>
        <w:t>.</w:t>
      </w:r>
    </w:p>
    <w:p w:rsidRPr="00064C38" w:rsidR="00031669" w:rsidP="00031669" w:rsidRDefault="00031669" w14:paraId="5B92D505" w14:textId="77777777">
      <w:pPr>
        <w:spacing w:after="0" w:line="240" w:lineRule="auto"/>
        <w:jc w:val="both"/>
        <w:rPr>
          <w:rFonts w:ascii="Century Gothic" w:hAnsi="Century Gothic" w:eastAsia="Calibri" w:cs="Arial"/>
          <w:b/>
          <w:color w:val="000000" w:themeColor="text1"/>
          <w:lang w:val="es-ES_tradnl"/>
        </w:rPr>
      </w:pPr>
    </w:p>
    <w:p w:rsidRPr="00064C38" w:rsidR="00031669" w:rsidP="00031669" w:rsidRDefault="00031669" w14:paraId="2B0313E8" w14:textId="77777777">
      <w:pPr>
        <w:spacing w:after="0" w:line="240" w:lineRule="auto"/>
        <w:jc w:val="both"/>
        <w:rPr>
          <w:rFonts w:ascii="Century Gothic" w:hAnsi="Century Gothic" w:cs="Arial"/>
          <w:b/>
          <w:lang w:val="es-ES_tradnl" w:eastAsia="es-ES"/>
        </w:rPr>
      </w:pPr>
      <w:r w:rsidRPr="00064C38">
        <w:rPr>
          <w:rFonts w:ascii="Century Gothic" w:hAnsi="Century Gothic" w:cs="Arial"/>
          <w:b/>
          <w:lang w:val="es-ES_tradnl" w:eastAsia="es-ES"/>
        </w:rPr>
        <w:t xml:space="preserve">LIQUIDACIÓN DEL CONTRATO – Definición – Objetivo </w:t>
      </w:r>
    </w:p>
    <w:p w:rsidRPr="00064C38" w:rsidR="00031669" w:rsidP="00031669" w:rsidRDefault="00031669" w14:paraId="301F851F" w14:textId="77777777">
      <w:pPr>
        <w:spacing w:after="0" w:line="240" w:lineRule="auto"/>
        <w:jc w:val="both"/>
        <w:rPr>
          <w:rFonts w:ascii="Century Gothic" w:hAnsi="Century Gothic" w:cs="Arial"/>
          <w:b/>
          <w:sz w:val="16"/>
          <w:szCs w:val="16"/>
          <w:lang w:val="es-ES_tradnl" w:eastAsia="es-ES"/>
        </w:rPr>
      </w:pPr>
    </w:p>
    <w:p w:rsidRPr="00064C38" w:rsidR="00031669" w:rsidP="3C7B67D2" w:rsidRDefault="00031669" w14:paraId="4442C7EF" w14:textId="77777777">
      <w:pPr>
        <w:spacing w:after="0" w:line="240" w:lineRule="auto"/>
        <w:jc w:val="both"/>
        <w:rPr>
          <w:rFonts w:ascii="Century Gothic" w:hAnsi="Century Gothic" w:cs="Arial"/>
          <w:sz w:val="20"/>
          <w:szCs w:val="20"/>
          <w:lang w:val="es-ES"/>
        </w:rPr>
      </w:pPr>
      <w:r w:rsidRPr="3C7B67D2" w:rsidR="00031669">
        <w:rPr>
          <w:rFonts w:ascii="Century Gothic" w:hAnsi="Century Gothic" w:cs="Arial"/>
          <w:sz w:val="20"/>
          <w:szCs w:val="20"/>
          <w:lang w:val="es-ES"/>
        </w:rPr>
        <w:t>La liquidación del contrato estatal es el ajuste de cuentas en el cual se realiza un balance económico, técnico y jurídico del negocio.</w:t>
      </w:r>
      <w:r w:rsidRPr="3C7B67D2" w:rsidR="00031669">
        <w:rPr>
          <w:rFonts w:ascii="Century Gothic" w:hAnsi="Century Gothic" w:cs="Arial"/>
          <w:sz w:val="20"/>
          <w:szCs w:val="20"/>
          <w:lang w:val="es-ES"/>
        </w:rPr>
        <w:t xml:space="preserve"> Así lo manifestó el Consejo de Estado en la sentencia del 20 de octubre de 2014, en la que consideró, por un lado, que </w:t>
      </w:r>
      <w:r w:rsidRPr="3C7B67D2" w:rsidR="00031669">
        <w:rPr>
          <w:rFonts w:ascii="Century Gothic" w:hAnsi="Century Gothic" w:cs="Arial"/>
          <w:i w:val="1"/>
          <w:iCs w:val="1"/>
          <w:sz w:val="20"/>
          <w:szCs w:val="20"/>
          <w:lang w:val="es-ES"/>
        </w:rPr>
        <w:t>liquidar</w:t>
      </w:r>
      <w:r w:rsidRPr="3C7B67D2" w:rsidR="00031669">
        <w:rPr>
          <w:rFonts w:ascii="Century Gothic" w:hAnsi="Century Gothic" w:cs="Arial"/>
          <w:sz w:val="20"/>
          <w:szCs w:val="20"/>
          <w:lang w:val="es-ES"/>
        </w:rPr>
        <w:t xml:space="preserve"> supone un ajuste en relación con las cuentas y el estado de cumplimiento del contrato estatal y, por otro, que la </w:t>
      </w:r>
      <w:r w:rsidRPr="3C7B67D2" w:rsidR="00031669">
        <w:rPr>
          <w:rFonts w:ascii="Century Gothic" w:hAnsi="Century Gothic" w:cs="Arial"/>
          <w:i w:val="1"/>
          <w:iCs w:val="1"/>
          <w:sz w:val="20"/>
          <w:szCs w:val="20"/>
          <w:lang w:val="es-ES"/>
        </w:rPr>
        <w:t>liquidación</w:t>
      </w:r>
      <w:r w:rsidRPr="3C7B67D2" w:rsidR="00031669">
        <w:rPr>
          <w:rFonts w:ascii="Century Gothic" w:hAnsi="Century Gothic" w:cs="Arial"/>
          <w:sz w:val="20"/>
          <w:szCs w:val="20"/>
          <w:lang w:val="es-ES"/>
        </w:rPr>
        <w:t xml:space="preserve"> debe incluir el análisis de las condiciones de calidad y oportunidad en la entrega de los bienes, obras o servicios, así como el balance económico y el comportamiento financiero del negocio.</w:t>
      </w:r>
    </w:p>
    <w:p w:rsidRPr="00064C38" w:rsidR="00031669" w:rsidP="00031669" w:rsidRDefault="00031669" w14:paraId="50FCF537" w14:textId="77777777">
      <w:pPr>
        <w:spacing w:after="0" w:line="240" w:lineRule="auto"/>
        <w:jc w:val="both"/>
        <w:rPr>
          <w:rFonts w:ascii="Century Gothic" w:hAnsi="Century Gothic" w:cs="Arial"/>
          <w:sz w:val="20"/>
          <w:szCs w:val="20"/>
          <w:lang w:val="es-ES_tradnl" w:eastAsia="es-ES"/>
        </w:rPr>
      </w:pPr>
    </w:p>
    <w:p w:rsidRPr="00064C38" w:rsidR="00031669" w:rsidP="00031669" w:rsidRDefault="00031669" w14:paraId="13580D35" w14:textId="77777777">
      <w:pPr>
        <w:spacing w:after="0" w:line="240" w:lineRule="auto"/>
        <w:jc w:val="both"/>
        <w:rPr>
          <w:rFonts w:ascii="Century Gothic" w:hAnsi="Century Gothic" w:cs="Arial"/>
          <w:b/>
          <w:lang w:val="es-ES_tradnl" w:eastAsia="es-ES"/>
        </w:rPr>
      </w:pPr>
      <w:r w:rsidRPr="00064C38">
        <w:rPr>
          <w:rFonts w:ascii="Century Gothic" w:hAnsi="Century Gothic" w:cs="Arial"/>
          <w:b/>
          <w:lang w:val="es-ES_tradnl" w:eastAsia="es-ES"/>
        </w:rPr>
        <w:t xml:space="preserve">LIQUIDACIÓN DEL CONTRATO – Normativa </w:t>
      </w:r>
    </w:p>
    <w:p w:rsidRPr="00064C38" w:rsidR="00031669" w:rsidP="00031669" w:rsidRDefault="00031669" w14:paraId="33FF7602" w14:textId="77777777">
      <w:pPr>
        <w:spacing w:after="0" w:line="240" w:lineRule="auto"/>
        <w:jc w:val="both"/>
        <w:rPr>
          <w:rFonts w:ascii="Century Gothic" w:hAnsi="Century Gothic" w:cs="Arial"/>
          <w:sz w:val="20"/>
          <w:szCs w:val="20"/>
          <w:lang w:val="es-ES_tradnl" w:eastAsia="es-ES"/>
        </w:rPr>
      </w:pPr>
    </w:p>
    <w:p w:rsidRPr="00064C38" w:rsidR="00031669" w:rsidP="3C7B67D2" w:rsidRDefault="00031669" w14:paraId="6A5EF6B4" w14:textId="77777777">
      <w:pPr>
        <w:spacing w:after="0" w:line="240" w:lineRule="auto"/>
        <w:jc w:val="both"/>
        <w:rPr>
          <w:rFonts w:ascii="Century Gothic" w:hAnsi="Century Gothic" w:cs="Arial"/>
          <w:sz w:val="20"/>
          <w:szCs w:val="20"/>
          <w:lang w:val="es-ES" w:eastAsia="es-ES"/>
        </w:rPr>
      </w:pPr>
      <w:r w:rsidRPr="3C7B67D2" w:rsidR="00031669">
        <w:rPr>
          <w:rFonts w:ascii="Century Gothic" w:hAnsi="Century Gothic" w:cs="Arial"/>
          <w:sz w:val="20"/>
          <w:szCs w:val="20"/>
          <w:lang w:val="es-ES"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realización.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El artículo 11 de la Ley 1150 de </w:t>
      </w:r>
      <w:r w:rsidRPr="3C7B67D2" w:rsidR="00031669">
        <w:rPr>
          <w:rFonts w:ascii="Century Gothic" w:hAnsi="Century Gothic" w:cs="Arial"/>
          <w:sz w:val="20"/>
          <w:szCs w:val="20"/>
          <w:lang w:val="es-ES" w:eastAsia="es-ES"/>
        </w:rPr>
        <w:t>2007  contiene</w:t>
      </w:r>
      <w:r w:rsidRPr="3C7B67D2" w:rsidR="00031669">
        <w:rPr>
          <w:rFonts w:ascii="Century Gothic" w:hAnsi="Century Gothic" w:cs="Arial"/>
          <w:sz w:val="20"/>
          <w:szCs w:val="20"/>
          <w:lang w:val="es-ES" w:eastAsia="es-ES"/>
        </w:rPr>
        <w:t xml:space="preserve"> las reglas de tipo procedimental para liquidar los contratos estatales, […].</w:t>
      </w:r>
    </w:p>
    <w:p w:rsidRPr="00064C38" w:rsidR="00031669" w:rsidP="00031669" w:rsidRDefault="00031669" w14:paraId="582B3846" w14:textId="77777777">
      <w:pPr>
        <w:spacing w:after="0" w:line="240" w:lineRule="auto"/>
        <w:jc w:val="both"/>
        <w:rPr>
          <w:rFonts w:ascii="Century Gothic" w:hAnsi="Century Gothic" w:cs="Arial"/>
          <w:b/>
          <w:lang w:val="es-ES_tradnl" w:eastAsia="es-ES"/>
        </w:rPr>
      </w:pPr>
    </w:p>
    <w:p w:rsidRPr="00064C38" w:rsidR="00031669" w:rsidP="00031669" w:rsidRDefault="00031669" w14:paraId="0D1AA9F4" w14:textId="77777777">
      <w:pPr>
        <w:spacing w:after="0" w:line="240" w:lineRule="auto"/>
        <w:jc w:val="both"/>
        <w:rPr>
          <w:rFonts w:ascii="Century Gothic" w:hAnsi="Century Gothic" w:cs="Arial"/>
          <w:b/>
          <w:lang w:val="es-ES_tradnl" w:eastAsia="es-ES"/>
        </w:rPr>
      </w:pPr>
      <w:r w:rsidRPr="00064C38">
        <w:rPr>
          <w:rFonts w:ascii="Century Gothic" w:hAnsi="Century Gothic" w:cs="Arial"/>
          <w:b/>
          <w:lang w:val="es-ES_tradnl" w:eastAsia="es-ES"/>
        </w:rPr>
        <w:t>LIQUIDACIÓN DEL CONTRATO – Tipos – Bilateral – Unilateral – Judicial</w:t>
      </w:r>
    </w:p>
    <w:p w:rsidRPr="00064C38" w:rsidR="00031669" w:rsidP="00031669" w:rsidRDefault="00031669" w14:paraId="52F6A4EB" w14:textId="77777777">
      <w:pPr>
        <w:spacing w:after="0" w:line="240" w:lineRule="auto"/>
        <w:jc w:val="both"/>
        <w:rPr>
          <w:rFonts w:ascii="Century Gothic" w:hAnsi="Century Gothic" w:cs="Arial"/>
          <w:b/>
          <w:lang w:val="es-ES_tradnl" w:eastAsia="es-ES"/>
        </w:rPr>
      </w:pPr>
    </w:p>
    <w:p w:rsidRPr="00064C38" w:rsidR="00031669" w:rsidP="3C7B67D2" w:rsidRDefault="00031669" w14:paraId="5B21BCD0" w14:textId="77777777">
      <w:pPr>
        <w:spacing w:after="0" w:line="240" w:lineRule="auto"/>
        <w:jc w:val="both"/>
        <w:rPr>
          <w:rFonts w:ascii="Century Gothic" w:hAnsi="Century Gothic" w:cs="Arial"/>
          <w:sz w:val="20"/>
          <w:szCs w:val="20"/>
          <w:lang w:val="es-ES" w:eastAsia="es-ES"/>
        </w:rPr>
      </w:pPr>
      <w:r w:rsidRPr="3C7B67D2" w:rsidR="00031669">
        <w:rPr>
          <w:rFonts w:ascii="Century Gothic" w:hAnsi="Century Gothic" w:cs="Arial"/>
          <w:sz w:val="20"/>
          <w:szCs w:val="20"/>
          <w:lang w:val="es-ES" w:eastAsia="es-ES"/>
        </w:rPr>
        <w:t xml:space="preserve">En suma, de acuerdo con el artículo 11 de la Ley 1150 de 2007, existen tres tipos de liquidación: i) bilateral, </w:t>
      </w:r>
      <w:r w:rsidRPr="3C7B67D2" w:rsidR="00031669">
        <w:rPr>
          <w:rFonts w:ascii="Century Gothic" w:hAnsi="Century Gothic" w:cs="Arial"/>
          <w:sz w:val="20"/>
          <w:szCs w:val="20"/>
          <w:lang w:val="es-ES" w:eastAsia="es-ES"/>
        </w:rPr>
        <w:t>ii</w:t>
      </w:r>
      <w:r w:rsidRPr="3C7B67D2" w:rsidR="00031669">
        <w:rPr>
          <w:rFonts w:ascii="Century Gothic" w:hAnsi="Century Gothic" w:cs="Arial"/>
          <w:sz w:val="20"/>
          <w:szCs w:val="20"/>
          <w:lang w:val="es-ES" w:eastAsia="es-ES"/>
        </w:rPr>
        <w:t xml:space="preserve">) unilateral y </w:t>
      </w:r>
      <w:r w:rsidRPr="3C7B67D2" w:rsidR="00031669">
        <w:rPr>
          <w:rFonts w:ascii="Century Gothic" w:hAnsi="Century Gothic" w:cs="Arial"/>
          <w:sz w:val="20"/>
          <w:szCs w:val="20"/>
          <w:lang w:val="es-ES" w:eastAsia="es-ES"/>
        </w:rPr>
        <w:t>iii</w:t>
      </w:r>
      <w:r w:rsidRPr="3C7B67D2" w:rsidR="00031669">
        <w:rPr>
          <w:rFonts w:ascii="Century Gothic" w:hAnsi="Century Gothic" w:cs="Arial"/>
          <w:sz w:val="20"/>
          <w:szCs w:val="20"/>
          <w:lang w:val="es-ES" w:eastAsia="es-ES"/>
        </w:rPr>
        <w:t xml:space="preserve">)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la Jurisdicción de lo Contencioso Administrativo o un tribunal de arbitramento dentro de un proceso judicial de controversias contractuales, y puede darse con ocasión de una demanda del interesado solicitando dicha liquidación. </w:t>
      </w:r>
      <w:r w:rsidRPr="3C7B67D2" w:rsidR="00031669">
        <w:rPr>
          <w:rFonts w:ascii="Century Gothic" w:hAnsi="Century Gothic" w:cs="Arial"/>
          <w:sz w:val="20"/>
          <w:szCs w:val="20"/>
          <w:lang w:val="es-ES" w:eastAsia="es-ES"/>
        </w:rPr>
        <w:t>Para ello, existe un plazo máximo de 2 años contados a partir de los dos meses establecidos en la Ley para realizar la liquidación unilateral, de conformidad con el citado auto de unificación jurisprudencial del Consejo de Estado.</w:t>
      </w:r>
    </w:p>
    <w:p w:rsidR="00031669" w:rsidP="008A21EA" w:rsidRDefault="00031669" w14:paraId="0ABCF474" w14:textId="77777777">
      <w:pPr>
        <w:spacing w:after="0"/>
        <w:rPr>
          <w:rFonts w:ascii="Century Gothic" w:hAnsi="Century Gothic" w:eastAsia="Geomanist Light" w:cs="Arial"/>
          <w:color w:val="000000" w:themeColor="text1"/>
          <w:lang w:val="es-MX"/>
        </w:rPr>
      </w:pPr>
    </w:p>
    <w:p w:rsidR="00031669" w:rsidP="008A21EA" w:rsidRDefault="00031669" w14:paraId="678FE9FB" w14:textId="77777777">
      <w:pPr>
        <w:spacing w:after="0"/>
        <w:rPr>
          <w:rFonts w:ascii="Century Gothic" w:hAnsi="Century Gothic" w:eastAsia="Geomanist Light" w:cs="Arial"/>
          <w:color w:val="000000" w:themeColor="text1"/>
          <w:lang w:val="es-MX"/>
        </w:rPr>
      </w:pPr>
    </w:p>
    <w:p w:rsidR="00031669" w:rsidP="008A21EA" w:rsidRDefault="00031669" w14:paraId="4A73176E" w14:textId="77777777">
      <w:pPr>
        <w:spacing w:after="0"/>
        <w:rPr>
          <w:rFonts w:ascii="Century Gothic" w:hAnsi="Century Gothic" w:eastAsia="Geomanist Light" w:cs="Arial"/>
          <w:color w:val="000000" w:themeColor="text1"/>
          <w:lang w:val="es-MX"/>
        </w:rPr>
      </w:pPr>
    </w:p>
    <w:p w:rsidR="00031669" w:rsidP="008A21EA" w:rsidRDefault="00031669" w14:paraId="6390283D" w14:textId="77777777">
      <w:pPr>
        <w:spacing w:after="0"/>
        <w:rPr>
          <w:rFonts w:ascii="Century Gothic" w:hAnsi="Century Gothic" w:eastAsia="Geomanist Light" w:cs="Arial"/>
          <w:color w:val="000000" w:themeColor="text1"/>
          <w:lang w:val="es-MX"/>
        </w:rPr>
      </w:pPr>
    </w:p>
    <w:p w:rsidR="00031669" w:rsidP="008A21EA" w:rsidRDefault="00031669" w14:paraId="2B77B181" w14:textId="77777777">
      <w:pPr>
        <w:spacing w:after="0"/>
        <w:rPr>
          <w:rFonts w:ascii="Century Gothic" w:hAnsi="Century Gothic" w:eastAsia="Geomanist Light" w:cs="Arial"/>
          <w:color w:val="000000" w:themeColor="text1"/>
          <w:lang w:val="es-MX"/>
        </w:rPr>
      </w:pPr>
    </w:p>
    <w:p w:rsidR="00031669" w:rsidP="008A21EA" w:rsidRDefault="00031669" w14:paraId="483FB1FD" w14:textId="77777777">
      <w:pPr>
        <w:spacing w:after="0"/>
        <w:rPr>
          <w:rFonts w:ascii="Century Gothic" w:hAnsi="Century Gothic" w:eastAsia="Geomanist Light" w:cs="Arial"/>
          <w:color w:val="000000" w:themeColor="text1"/>
          <w:lang w:val="es-MX"/>
        </w:rPr>
      </w:pPr>
    </w:p>
    <w:p w:rsidR="00031669" w:rsidP="008A21EA" w:rsidRDefault="00031669" w14:paraId="536F509A" w14:textId="77777777">
      <w:pPr>
        <w:spacing w:after="0"/>
        <w:rPr>
          <w:rFonts w:ascii="Century Gothic" w:hAnsi="Century Gothic" w:eastAsia="Geomanist Light" w:cs="Arial"/>
          <w:color w:val="000000" w:themeColor="text1"/>
          <w:lang w:val="es-MX"/>
        </w:rPr>
      </w:pPr>
    </w:p>
    <w:p w:rsidR="00031669" w:rsidP="008A21EA" w:rsidRDefault="00031669" w14:paraId="306550F4" w14:textId="77777777">
      <w:pPr>
        <w:spacing w:after="0"/>
        <w:rPr>
          <w:rFonts w:ascii="Century Gothic" w:hAnsi="Century Gothic" w:eastAsia="Geomanist Light" w:cs="Arial"/>
          <w:color w:val="000000" w:themeColor="text1"/>
          <w:lang w:val="es-MX"/>
        </w:rPr>
      </w:pPr>
    </w:p>
    <w:p w:rsidR="00031669" w:rsidP="008A21EA" w:rsidRDefault="00031669" w14:paraId="4E4AC844" w14:textId="77777777">
      <w:pPr>
        <w:spacing w:after="0"/>
        <w:rPr>
          <w:rFonts w:ascii="Century Gothic" w:hAnsi="Century Gothic" w:eastAsia="Geomanist Light" w:cs="Arial"/>
          <w:color w:val="000000" w:themeColor="text1"/>
          <w:lang w:val="es-MX"/>
        </w:rPr>
      </w:pPr>
    </w:p>
    <w:p w:rsidR="00031669" w:rsidP="008A21EA" w:rsidRDefault="00031669" w14:paraId="47DC27D1" w14:textId="77777777">
      <w:pPr>
        <w:spacing w:after="0"/>
        <w:rPr>
          <w:rFonts w:ascii="Century Gothic" w:hAnsi="Century Gothic" w:eastAsia="Geomanist Light" w:cs="Arial"/>
          <w:color w:val="000000" w:themeColor="text1"/>
          <w:lang w:val="es-MX"/>
        </w:rPr>
      </w:pPr>
    </w:p>
    <w:p w:rsidR="00031669" w:rsidP="008A21EA" w:rsidRDefault="00031669" w14:paraId="18F50F95" w14:textId="77777777">
      <w:pPr>
        <w:spacing w:after="0"/>
        <w:rPr>
          <w:rFonts w:ascii="Century Gothic" w:hAnsi="Century Gothic" w:eastAsia="Geomanist Light" w:cs="Arial"/>
          <w:color w:val="000000" w:themeColor="text1"/>
          <w:lang w:val="es-MX"/>
        </w:rPr>
      </w:pPr>
    </w:p>
    <w:p w:rsidR="00031669" w:rsidP="008A21EA" w:rsidRDefault="00031669" w14:paraId="5F57DE7F" w14:textId="77777777">
      <w:pPr>
        <w:spacing w:after="0"/>
        <w:rPr>
          <w:rFonts w:ascii="Century Gothic" w:hAnsi="Century Gothic" w:eastAsia="Geomanist Light" w:cs="Arial"/>
          <w:color w:val="000000" w:themeColor="text1"/>
          <w:lang w:val="es-MX"/>
        </w:rPr>
      </w:pPr>
    </w:p>
    <w:p w:rsidR="00031669" w:rsidP="008A21EA" w:rsidRDefault="00031669" w14:paraId="107777D2" w14:textId="77777777">
      <w:pPr>
        <w:spacing w:after="0"/>
        <w:rPr>
          <w:rFonts w:ascii="Century Gothic" w:hAnsi="Century Gothic" w:eastAsia="Geomanist Light" w:cs="Arial"/>
          <w:color w:val="000000" w:themeColor="text1"/>
          <w:lang w:val="es-MX"/>
        </w:rPr>
      </w:pPr>
    </w:p>
    <w:p w:rsidR="00031669" w:rsidP="008A21EA" w:rsidRDefault="00031669" w14:paraId="723F3EDF" w14:textId="77777777">
      <w:pPr>
        <w:spacing w:after="0"/>
        <w:rPr>
          <w:rFonts w:ascii="Century Gothic" w:hAnsi="Century Gothic" w:eastAsia="Geomanist Light" w:cs="Arial"/>
          <w:color w:val="000000" w:themeColor="text1"/>
          <w:lang w:val="es-MX"/>
        </w:rPr>
      </w:pPr>
    </w:p>
    <w:p w:rsidR="00031669" w:rsidP="008A21EA" w:rsidRDefault="00031669" w14:paraId="05305D82" w14:textId="77777777">
      <w:pPr>
        <w:spacing w:after="0"/>
        <w:rPr>
          <w:rFonts w:ascii="Century Gothic" w:hAnsi="Century Gothic" w:eastAsia="Geomanist Light" w:cs="Arial"/>
          <w:color w:val="000000" w:themeColor="text1"/>
          <w:lang w:val="es-MX"/>
        </w:rPr>
      </w:pPr>
    </w:p>
    <w:p w:rsidR="00031669" w:rsidP="008A21EA" w:rsidRDefault="00031669" w14:paraId="66405238" w14:textId="77777777">
      <w:pPr>
        <w:spacing w:after="0"/>
        <w:rPr>
          <w:rFonts w:ascii="Century Gothic" w:hAnsi="Century Gothic" w:eastAsia="Geomanist Light" w:cs="Arial"/>
          <w:color w:val="000000" w:themeColor="text1"/>
          <w:lang w:val="es-MX"/>
        </w:rPr>
      </w:pPr>
    </w:p>
    <w:p w:rsidR="00031669" w:rsidP="008A21EA" w:rsidRDefault="00031669" w14:paraId="0C883F0F" w14:textId="77777777">
      <w:pPr>
        <w:spacing w:after="0"/>
        <w:rPr>
          <w:rFonts w:ascii="Century Gothic" w:hAnsi="Century Gothic" w:eastAsia="Geomanist Light" w:cs="Arial"/>
          <w:color w:val="000000" w:themeColor="text1"/>
          <w:lang w:val="es-MX"/>
        </w:rPr>
      </w:pPr>
    </w:p>
    <w:p w:rsidR="00031669" w:rsidP="008A21EA" w:rsidRDefault="00031669" w14:paraId="1787E571" w14:textId="77777777">
      <w:pPr>
        <w:spacing w:after="0"/>
        <w:rPr>
          <w:rFonts w:ascii="Century Gothic" w:hAnsi="Century Gothic" w:eastAsia="Geomanist Light" w:cs="Arial"/>
          <w:color w:val="000000" w:themeColor="text1"/>
          <w:lang w:val="es-MX"/>
        </w:rPr>
      </w:pPr>
    </w:p>
    <w:p w:rsidR="00031669" w:rsidP="008A21EA" w:rsidRDefault="00031669" w14:paraId="071E8C67" w14:textId="77777777">
      <w:pPr>
        <w:spacing w:after="0"/>
        <w:rPr>
          <w:rFonts w:ascii="Century Gothic" w:hAnsi="Century Gothic" w:eastAsia="Geomanist Light" w:cs="Arial"/>
          <w:color w:val="000000" w:themeColor="text1"/>
          <w:lang w:val="es-MX"/>
        </w:rPr>
      </w:pPr>
    </w:p>
    <w:p w:rsidR="00031669" w:rsidP="008A21EA" w:rsidRDefault="00031669" w14:paraId="3BB412E1" w14:textId="77777777">
      <w:pPr>
        <w:spacing w:after="0"/>
        <w:rPr>
          <w:rFonts w:ascii="Century Gothic" w:hAnsi="Century Gothic" w:eastAsia="Geomanist Light" w:cs="Arial"/>
          <w:color w:val="000000" w:themeColor="text1"/>
          <w:lang w:val="es-MX"/>
        </w:rPr>
      </w:pPr>
    </w:p>
    <w:p w:rsidR="00031669" w:rsidP="008A21EA" w:rsidRDefault="00031669" w14:paraId="22AD608C" w14:textId="77777777">
      <w:pPr>
        <w:spacing w:after="0"/>
        <w:rPr>
          <w:rFonts w:ascii="Century Gothic" w:hAnsi="Century Gothic" w:eastAsia="Geomanist Light" w:cs="Arial"/>
          <w:color w:val="000000" w:themeColor="text1"/>
          <w:lang w:val="es-MX"/>
        </w:rPr>
      </w:pPr>
    </w:p>
    <w:p w:rsidR="00031669" w:rsidP="008A21EA" w:rsidRDefault="00031669" w14:paraId="5052891A" w14:textId="77777777">
      <w:pPr>
        <w:spacing w:after="0"/>
        <w:rPr>
          <w:rFonts w:ascii="Century Gothic" w:hAnsi="Century Gothic" w:eastAsia="Geomanist Light" w:cs="Arial"/>
          <w:color w:val="000000" w:themeColor="text1"/>
          <w:lang w:val="es-MX"/>
        </w:rPr>
      </w:pPr>
    </w:p>
    <w:p w:rsidR="00031669" w:rsidP="008A21EA" w:rsidRDefault="00031669" w14:paraId="2642961F" w14:textId="77777777">
      <w:pPr>
        <w:spacing w:after="0"/>
        <w:rPr>
          <w:rFonts w:ascii="Century Gothic" w:hAnsi="Century Gothic" w:eastAsia="Geomanist Light" w:cs="Arial"/>
          <w:color w:val="000000" w:themeColor="text1"/>
          <w:lang w:val="es-MX"/>
        </w:rPr>
      </w:pPr>
    </w:p>
    <w:p w:rsidR="00031669" w:rsidP="008A21EA" w:rsidRDefault="00031669" w14:paraId="228B8B50" w14:textId="77777777">
      <w:pPr>
        <w:spacing w:after="0"/>
        <w:rPr>
          <w:rFonts w:ascii="Century Gothic" w:hAnsi="Century Gothic" w:eastAsia="Geomanist Light" w:cs="Arial"/>
          <w:color w:val="000000" w:themeColor="text1"/>
          <w:lang w:val="es-MX"/>
        </w:rPr>
      </w:pPr>
    </w:p>
    <w:p w:rsidR="00031669" w:rsidP="008A21EA" w:rsidRDefault="00031669" w14:paraId="7C64D961" w14:textId="77777777">
      <w:pPr>
        <w:spacing w:after="0"/>
        <w:rPr>
          <w:rFonts w:ascii="Century Gothic" w:hAnsi="Century Gothic" w:eastAsia="Geomanist Light" w:cs="Arial"/>
          <w:color w:val="000000" w:themeColor="text1"/>
          <w:lang w:val="es-MX"/>
        </w:rPr>
      </w:pPr>
    </w:p>
    <w:p w:rsidR="00031669" w:rsidP="008A21EA" w:rsidRDefault="00031669" w14:paraId="12871367" w14:textId="77777777">
      <w:pPr>
        <w:spacing w:after="0"/>
        <w:rPr>
          <w:rFonts w:ascii="Century Gothic" w:hAnsi="Century Gothic" w:eastAsia="Geomanist Light" w:cs="Arial"/>
          <w:color w:val="000000" w:themeColor="text1"/>
          <w:lang w:val="es-MX"/>
        </w:rPr>
      </w:pPr>
    </w:p>
    <w:p w:rsidR="00031669" w:rsidP="008A21EA" w:rsidRDefault="00031669" w14:paraId="13DBC41E" w14:textId="77777777">
      <w:pPr>
        <w:spacing w:after="0"/>
        <w:rPr>
          <w:rFonts w:ascii="Century Gothic" w:hAnsi="Century Gothic" w:eastAsia="Geomanist Light" w:cs="Arial"/>
          <w:color w:val="000000" w:themeColor="text1"/>
          <w:lang w:val="es-MX"/>
        </w:rPr>
      </w:pPr>
    </w:p>
    <w:p w:rsidR="00031669" w:rsidP="008A21EA" w:rsidRDefault="00031669" w14:paraId="104C6AF5" w14:textId="77777777">
      <w:pPr>
        <w:spacing w:after="0"/>
        <w:rPr>
          <w:rFonts w:ascii="Century Gothic" w:hAnsi="Century Gothic" w:eastAsia="Geomanist Light" w:cs="Arial"/>
          <w:color w:val="000000" w:themeColor="text1"/>
          <w:lang w:val="es-MX"/>
        </w:rPr>
      </w:pPr>
    </w:p>
    <w:p w:rsidR="00031669" w:rsidP="008A21EA" w:rsidRDefault="00031669" w14:paraId="1DE7BE2B" w14:textId="77777777">
      <w:pPr>
        <w:spacing w:after="0"/>
        <w:rPr>
          <w:rFonts w:ascii="Century Gothic" w:hAnsi="Century Gothic" w:eastAsia="Geomanist Light" w:cs="Arial"/>
          <w:color w:val="000000" w:themeColor="text1"/>
          <w:lang w:val="es-MX"/>
        </w:rPr>
      </w:pPr>
    </w:p>
    <w:p w:rsidR="008A21EA" w:rsidP="008A21EA" w:rsidRDefault="008A21EA" w14:paraId="2B3203F2" w14:textId="5EAFEB6E">
      <w:pPr>
        <w:spacing w:after="0"/>
        <w:rPr>
          <w:rFonts w:ascii="Century Gothic" w:hAnsi="Century Gothic" w:eastAsia="Geomanist Light" w:cs="Arial"/>
          <w:color w:val="201F1E"/>
          <w:lang w:val="es-MX"/>
        </w:rPr>
      </w:pPr>
      <w:r w:rsidRPr="00131FA3">
        <w:rPr>
          <w:rFonts w:ascii="Century Gothic" w:hAnsi="Century Gothic" w:eastAsia="Geomanist Light" w:cs="Arial"/>
          <w:color w:val="000000" w:themeColor="text1"/>
          <w:lang w:val="es-MX"/>
        </w:rPr>
        <w:t>Bogotá D.C., </w:t>
      </w:r>
      <w:r w:rsidRPr="004B4129" w:rsidR="004B4129">
        <w:rPr>
          <w:rFonts w:ascii="Century Gothic" w:hAnsi="Century Gothic" w:eastAsia="Geomanist Light" w:cs="Arial"/>
          <w:color w:val="201F1E"/>
          <w:lang w:val="es-MX"/>
        </w:rPr>
        <w:t>21 de Abril de 2024</w:t>
      </w:r>
    </w:p>
    <w:p w:rsidR="008A21EA" w:rsidP="008A21EA" w:rsidRDefault="008A21EA" w14:paraId="38CE131C" w14:textId="77777777">
      <w:pPr>
        <w:spacing w:after="0"/>
        <w:rPr>
          <w:rFonts w:ascii="Century Gothic" w:hAnsi="Century Gothic" w:eastAsia="Geomanist Light" w:cs="Arial"/>
          <w:color w:val="201F1E"/>
          <w:lang w:val="es-MX"/>
        </w:rPr>
      </w:pPr>
    </w:p>
    <w:p w:rsidRPr="00131FA3" w:rsidR="004B4129" w:rsidP="004B4129" w:rsidRDefault="004B4129" w14:paraId="465D3156" w14:textId="79BA66E0">
      <w:pPr>
        <w:spacing w:after="0"/>
        <w:jc w:val="right"/>
        <w:rPr>
          <w:rFonts w:ascii="Century Gothic" w:hAnsi="Century Gothic" w:eastAsia="Geomanist Light" w:cs="Arial"/>
          <w:color w:val="201F1E"/>
          <w:lang w:val="es-MX"/>
        </w:rPr>
      </w:pPr>
      <w:r>
        <w:rPr>
          <w:noProof/>
        </w:rPr>
        <w:drawing>
          <wp:inline distT="0" distB="0" distL="0" distR="0" wp14:anchorId="7F09AB0A" wp14:editId="30F38EA7">
            <wp:extent cx="3253476" cy="904813"/>
            <wp:effectExtent l="0" t="0" r="4445" b="0"/>
            <wp:docPr id="11912918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91891" name=""/>
                    <pic:cNvPicPr/>
                  </pic:nvPicPr>
                  <pic:blipFill>
                    <a:blip r:embed="rId10"/>
                    <a:stretch>
                      <a:fillRect/>
                    </a:stretch>
                  </pic:blipFill>
                  <pic:spPr>
                    <a:xfrm>
                      <a:off x="0" y="0"/>
                      <a:ext cx="3253476" cy="904813"/>
                    </a:xfrm>
                    <a:prstGeom prst="rect">
                      <a:avLst/>
                    </a:prstGeom>
                  </pic:spPr>
                </pic:pic>
              </a:graphicData>
            </a:graphic>
          </wp:inline>
        </w:drawing>
      </w:r>
    </w:p>
    <w:p w:rsidRPr="00131FA3" w:rsidR="008A21EA" w:rsidP="008A21EA" w:rsidRDefault="008A21EA" w14:paraId="54BFFBDA" w14:textId="77777777">
      <w:pPr>
        <w:spacing w:after="0"/>
        <w:contextualSpacing/>
        <w:jc w:val="both"/>
        <w:rPr>
          <w:rFonts w:ascii="Century Gothic" w:hAnsi="Century Gothic" w:eastAsia="Calibri" w:cs="Arial"/>
          <w:lang w:val="es-ES_tradnl" w:eastAsia="es-ES_tradnl"/>
        </w:rPr>
      </w:pPr>
    </w:p>
    <w:p w:rsidRPr="00131FA3" w:rsidR="008A21EA" w:rsidP="008A21EA" w:rsidRDefault="008A21EA" w14:paraId="642DBC80" w14:textId="77777777">
      <w:pPr>
        <w:contextualSpacing/>
        <w:jc w:val="both"/>
        <w:rPr>
          <w:rFonts w:ascii="Century Gothic" w:hAnsi="Century Gothic" w:eastAsia="Calibri" w:cs="Arial"/>
          <w:lang w:eastAsia="es-ES_tradnl"/>
        </w:rPr>
      </w:pPr>
      <w:r w:rsidRPr="00131FA3">
        <w:rPr>
          <w:rFonts w:ascii="Century Gothic" w:hAnsi="Century Gothic" w:eastAsia="Calibri" w:cs="Arial"/>
          <w:lang w:eastAsia="es-ES_tradnl"/>
        </w:rPr>
        <w:t>Señor</w:t>
      </w:r>
    </w:p>
    <w:p w:rsidRPr="00131FA3" w:rsidR="008A21EA" w:rsidP="008A21EA" w:rsidRDefault="008A21EA" w14:paraId="49A56054" w14:textId="77777777">
      <w:pPr>
        <w:contextualSpacing/>
        <w:jc w:val="both"/>
        <w:rPr>
          <w:rFonts w:ascii="Century Gothic" w:hAnsi="Century Gothic" w:eastAsia="Calibri" w:cs="Arial"/>
          <w:b/>
          <w:lang w:eastAsia="es-ES_tradnl"/>
        </w:rPr>
      </w:pPr>
      <w:bookmarkStart w:name="_Hlk163481280" w:id="4"/>
      <w:r w:rsidRPr="00C07D21">
        <w:rPr>
          <w:rFonts w:ascii="Century Gothic" w:hAnsi="Century Gothic" w:eastAsia="Calibri" w:cs="Arial"/>
          <w:b/>
          <w:lang w:eastAsia="es-ES_tradnl"/>
        </w:rPr>
        <w:t>Holdan Fabriany Cifuentes Forero</w:t>
      </w:r>
      <w:r w:rsidRPr="00131FA3">
        <w:rPr>
          <w:rFonts w:ascii="Century Gothic" w:hAnsi="Century Gothic" w:eastAsia="Calibri" w:cs="Arial"/>
          <w:b/>
          <w:lang w:eastAsia="es-ES_tradnl"/>
        </w:rPr>
        <w:t xml:space="preserve"> </w:t>
      </w:r>
      <w:bookmarkEnd w:id="4"/>
      <w:r w:rsidRPr="00131FA3">
        <w:rPr>
          <w:rFonts w:ascii="Century Gothic" w:hAnsi="Century Gothic" w:eastAsia="Calibri" w:cs="Arial"/>
          <w:b/>
          <w:lang w:eastAsia="es-ES_tradnl"/>
        </w:rPr>
        <w:t xml:space="preserve"> </w:t>
      </w:r>
    </w:p>
    <w:p w:rsidRPr="00131FA3" w:rsidR="008A21EA" w:rsidP="008A21EA" w:rsidRDefault="008A21EA" w14:paraId="686D4A95" w14:textId="77777777">
      <w:pPr>
        <w:contextualSpacing/>
        <w:jc w:val="both"/>
        <w:rPr>
          <w:rFonts w:ascii="Century Gothic" w:hAnsi="Century Gothic" w:eastAsia="Calibri" w:cs="Arial"/>
          <w:bCs/>
          <w:lang w:eastAsia="es-ES_tradnl"/>
        </w:rPr>
      </w:pPr>
      <w:r w:rsidRPr="00131FA3">
        <w:rPr>
          <w:rFonts w:ascii="Century Gothic" w:hAnsi="Century Gothic" w:eastAsia="Geomanist Light" w:cs="Arial"/>
          <w:color w:val="000000" w:themeColor="text1"/>
          <w:lang w:val="es-MX"/>
        </w:rPr>
        <w:t>Bogotá D.C.</w:t>
      </w:r>
    </w:p>
    <w:p w:rsidRPr="00131FA3" w:rsidR="008A21EA" w:rsidP="008A21EA" w:rsidRDefault="008A21EA" w14:paraId="43D32EB0" w14:textId="77777777">
      <w:pPr>
        <w:contextualSpacing/>
        <w:rPr>
          <w:rFonts w:ascii="Century Gothic" w:hAnsi="Century Gothic" w:eastAsia="Calibri" w:cs="Arial"/>
          <w:b/>
          <w:bCs/>
          <w:lang w:val="es-ES_tradnl" w:eastAsia="es-ES_tradnl"/>
        </w:rPr>
      </w:pPr>
    </w:p>
    <w:p w:rsidRPr="00131FA3" w:rsidR="008A21EA" w:rsidP="008A21EA" w:rsidRDefault="008A21EA" w14:paraId="17B2F9BF" w14:textId="77777777">
      <w:pPr>
        <w:contextualSpacing/>
        <w:jc w:val="both"/>
        <w:rPr>
          <w:rFonts w:ascii="Century Gothic" w:hAnsi="Century Gothic" w:eastAsia="Calibri" w:cs="Arial"/>
          <w:lang w:val="es-ES_tradnl" w:eastAsia="es-ES_tradnl"/>
        </w:rPr>
      </w:pPr>
    </w:p>
    <w:p w:rsidRPr="00131FA3" w:rsidR="008A21EA" w:rsidP="008A21EA" w:rsidRDefault="008A21EA" w14:paraId="4823C5C4" w14:textId="77777777">
      <w:pPr>
        <w:ind w:left="2124"/>
        <w:contextualSpacing/>
        <w:jc w:val="both"/>
        <w:rPr>
          <w:rFonts w:ascii="Century Gothic" w:hAnsi="Century Gothic" w:eastAsia="Calibri" w:cs="Arial"/>
          <w:b/>
          <w:bCs/>
          <w:lang w:val="es-ES_tradnl" w:eastAsia="es-ES_tradnl"/>
        </w:rPr>
      </w:pPr>
      <w:r w:rsidRPr="00131FA3">
        <w:rPr>
          <w:rFonts w:ascii="Century Gothic" w:hAnsi="Century Gothic" w:eastAsia="Calibri" w:cs="Arial"/>
          <w:b/>
          <w:bCs/>
          <w:lang w:val="es-ES_tradnl" w:eastAsia="es-ES_tradnl"/>
        </w:rPr>
        <w:t xml:space="preserve">         Concepto C – </w:t>
      </w:r>
      <w:r w:rsidRPr="009C26E0">
        <w:rPr>
          <w:rFonts w:ascii="Century Gothic" w:hAnsi="Century Gothic" w:eastAsia="Calibri" w:cs="Arial"/>
          <w:b/>
          <w:bCs/>
          <w:lang w:val="es-ES_tradnl" w:eastAsia="es-ES_tradnl"/>
        </w:rPr>
        <w:t>066</w:t>
      </w:r>
      <w:r w:rsidRPr="00131FA3">
        <w:rPr>
          <w:rFonts w:ascii="Century Gothic" w:hAnsi="Century Gothic" w:eastAsia="Calibri" w:cs="Arial"/>
          <w:b/>
          <w:bCs/>
          <w:lang w:val="es-ES_tradnl" w:eastAsia="es-ES_tradnl"/>
        </w:rPr>
        <w:t xml:space="preserve"> de 202</w:t>
      </w:r>
      <w:r>
        <w:rPr>
          <w:rFonts w:ascii="Century Gothic" w:hAnsi="Century Gothic" w:eastAsia="Calibri" w:cs="Arial"/>
          <w:b/>
          <w:bCs/>
          <w:lang w:val="es-ES_tradnl" w:eastAsia="es-ES_tradnl"/>
        </w:rPr>
        <w:t>4</w:t>
      </w:r>
    </w:p>
    <w:p w:rsidRPr="00131FA3" w:rsidR="008A21EA" w:rsidP="008A21EA" w:rsidRDefault="008A21EA" w14:paraId="1F66BE95" w14:textId="77777777">
      <w:pPr>
        <w:contextualSpacing/>
        <w:jc w:val="both"/>
        <w:rPr>
          <w:rFonts w:ascii="Century Gothic" w:hAnsi="Century Gothic" w:eastAsia="Calibri" w:cs="Arial"/>
          <w:lang w:val="es-ES_tradnl" w:eastAsia="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131FA3" w:rsidR="008A21EA" w:rsidTr="00F910F1" w14:paraId="7748F74B" w14:textId="77777777">
        <w:tc>
          <w:tcPr>
            <w:tcW w:w="2689" w:type="dxa"/>
          </w:tcPr>
          <w:p w:rsidRPr="00131FA3" w:rsidR="008A21EA" w:rsidP="00F910F1" w:rsidRDefault="008A21EA" w14:paraId="43AA0D74"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b/>
                <w:lang w:val="es-ES_tradnl" w:eastAsia="es-ES_tradnl"/>
              </w:rPr>
              <w:t>Temas:</w:t>
            </w:r>
            <w:r w:rsidRPr="00131FA3">
              <w:rPr>
                <w:rFonts w:ascii="Century Gothic" w:hAnsi="Century Gothic" w:eastAsia="Calibri" w:cs="Arial"/>
                <w:lang w:val="es-ES_tradnl" w:eastAsia="es-ES_tradnl"/>
              </w:rPr>
              <w:t xml:space="preserve">                                      </w:t>
            </w:r>
          </w:p>
        </w:tc>
        <w:tc>
          <w:tcPr>
            <w:tcW w:w="6237" w:type="dxa"/>
          </w:tcPr>
          <w:p w:rsidRPr="00131FA3" w:rsidR="008A21EA" w:rsidP="00F910F1" w:rsidRDefault="008A21EA" w14:paraId="6DD3053D" w14:textId="77777777">
            <w:pPr>
              <w:spacing w:after="120"/>
              <w:contextualSpacing/>
              <w:jc w:val="both"/>
              <w:rPr>
                <w:rFonts w:ascii="Century Gothic" w:hAnsi="Century Gothic" w:eastAsia="Calibri" w:cs="Arial"/>
                <w:bCs/>
                <w:lang w:val="es-MX" w:eastAsia="es-ES_tradnl"/>
              </w:rPr>
            </w:pPr>
            <w:r w:rsidRPr="00483CF9">
              <w:rPr>
                <w:rFonts w:ascii="Century Gothic" w:hAnsi="Century Gothic" w:eastAsia="Calibri" w:cs="Arial"/>
                <w:bCs/>
                <w:lang w:val="es-MX" w:eastAsia="es-ES_tradnl"/>
              </w:rPr>
              <w:t xml:space="preserve">GARANTÍA DE ÚNICA DE CUMPLIMIENTO – Definición – Fundamento normativo </w:t>
            </w:r>
            <w:r>
              <w:rPr>
                <w:rFonts w:ascii="Century Gothic" w:hAnsi="Century Gothic" w:eastAsia="Calibri" w:cs="Arial"/>
                <w:bCs/>
                <w:lang w:val="es-MX" w:eastAsia="es-ES_tradnl"/>
              </w:rPr>
              <w:t xml:space="preserve">/ </w:t>
            </w:r>
            <w:r w:rsidRPr="00EC0EE7">
              <w:rPr>
                <w:rFonts w:ascii="Century Gothic" w:hAnsi="Century Gothic" w:eastAsia="Calibri" w:cs="Arial"/>
                <w:bCs/>
                <w:lang w:val="es-MX" w:eastAsia="es-ES_tradnl"/>
              </w:rPr>
              <w:t>LIQUIDACIÓN DEL CONTRATO – Definición – Objetivo / LIQUIDACIÓN DEL CONTRATO – Normativa / LIQUIDACIÓN DEL CONTRATO – Tipos – Bilateral – Unilateral – Judicial</w:t>
            </w:r>
          </w:p>
          <w:p w:rsidRPr="00131FA3" w:rsidR="008A21EA" w:rsidP="00F910F1" w:rsidRDefault="008A21EA" w14:paraId="537CD6CA" w14:textId="77777777">
            <w:pPr>
              <w:spacing w:after="120"/>
              <w:contextualSpacing/>
              <w:jc w:val="both"/>
              <w:rPr>
                <w:rFonts w:ascii="Century Gothic" w:hAnsi="Century Gothic" w:eastAsia="Calibri" w:cs="Arial"/>
                <w:bCs/>
                <w:sz w:val="12"/>
                <w:szCs w:val="12"/>
                <w:lang w:val="es-ES_tradnl" w:eastAsia="es-ES_tradnl"/>
              </w:rPr>
            </w:pPr>
          </w:p>
        </w:tc>
      </w:tr>
      <w:tr w:rsidRPr="00131FA3" w:rsidR="008A21EA" w:rsidTr="00F910F1" w14:paraId="152BDC05" w14:textId="77777777">
        <w:trPr>
          <w:trHeight w:val="227"/>
        </w:trPr>
        <w:tc>
          <w:tcPr>
            <w:tcW w:w="2689" w:type="dxa"/>
          </w:tcPr>
          <w:p w:rsidRPr="00131FA3" w:rsidR="008A21EA" w:rsidP="00F910F1" w:rsidRDefault="008A21EA" w14:paraId="4543F860" w14:textId="77777777">
            <w:pPr>
              <w:contextualSpacing/>
              <w:jc w:val="both"/>
              <w:rPr>
                <w:rFonts w:ascii="Century Gothic" w:hAnsi="Century Gothic" w:eastAsia="Calibri" w:cs="Arial"/>
                <w:b/>
                <w:lang w:val="es-ES_tradnl" w:eastAsia="es-ES_tradnl"/>
              </w:rPr>
            </w:pPr>
            <w:r w:rsidRPr="00131FA3">
              <w:rPr>
                <w:rFonts w:ascii="Century Gothic" w:hAnsi="Century Gothic" w:eastAsia="Calibri" w:cs="Arial"/>
                <w:b/>
                <w:lang w:val="es-ES_tradnl" w:eastAsia="es-ES_tradnl"/>
              </w:rPr>
              <w:t>Radicación:</w:t>
            </w:r>
            <w:r w:rsidRPr="00131FA3">
              <w:rPr>
                <w:rFonts w:ascii="Century Gothic" w:hAnsi="Century Gothic" w:eastAsia="Calibri" w:cs="Arial"/>
                <w:lang w:val="es-ES_tradnl" w:eastAsia="es-ES_tradnl"/>
              </w:rPr>
              <w:t xml:space="preserve">                             </w:t>
            </w:r>
          </w:p>
        </w:tc>
        <w:tc>
          <w:tcPr>
            <w:tcW w:w="6237" w:type="dxa"/>
          </w:tcPr>
          <w:p w:rsidRPr="00131FA3" w:rsidR="008A21EA" w:rsidP="00F910F1" w:rsidRDefault="008A21EA" w14:paraId="5B9C45BA" w14:textId="77777777">
            <w:pPr>
              <w:contextualSpacing/>
              <w:jc w:val="both"/>
              <w:rPr>
                <w:rFonts w:ascii="Century Gothic" w:hAnsi="Century Gothic" w:eastAsia="Calibri" w:cs="Arial"/>
                <w:lang w:val="es-ES_tradnl" w:eastAsia="es-ES_tradnl"/>
              </w:rPr>
            </w:pPr>
            <w:r w:rsidRPr="00131FA3">
              <w:rPr>
                <w:rFonts w:ascii="Century Gothic" w:hAnsi="Century Gothic" w:eastAsia="Calibri" w:cs="Arial"/>
                <w:lang w:val="es-ES_tradnl" w:eastAsia="es-ES_tradnl"/>
              </w:rPr>
              <w:t xml:space="preserve">Respuesta a consulta </w:t>
            </w:r>
            <w:r w:rsidRPr="009C26E0">
              <w:rPr>
                <w:rFonts w:ascii="Century Gothic" w:hAnsi="Century Gothic" w:eastAsia="Calibri" w:cs="Arial"/>
                <w:lang w:val="es-ES_tradnl" w:eastAsia="es-ES_tradnl"/>
              </w:rPr>
              <w:t>P20240405003492</w:t>
            </w:r>
          </w:p>
        </w:tc>
      </w:tr>
    </w:tbl>
    <w:p w:rsidRPr="00131FA3" w:rsidR="008A21EA" w:rsidP="008A21EA" w:rsidRDefault="008A21EA" w14:paraId="4EA4716D" w14:textId="77777777">
      <w:pPr>
        <w:contextualSpacing/>
        <w:jc w:val="both"/>
        <w:rPr>
          <w:rFonts w:ascii="Century Gothic" w:hAnsi="Century Gothic" w:eastAsia="Calibri" w:cs="Arial"/>
          <w:lang w:val="es-ES_tradnl" w:eastAsia="es-ES_tradnl"/>
        </w:rPr>
      </w:pPr>
    </w:p>
    <w:p w:rsidRPr="00131FA3" w:rsidR="008A21EA" w:rsidP="008A21EA" w:rsidRDefault="008A21EA" w14:paraId="15A032A0" w14:textId="77777777">
      <w:pPr>
        <w:contextualSpacing/>
        <w:jc w:val="both"/>
        <w:rPr>
          <w:rFonts w:ascii="Century Gothic" w:hAnsi="Century Gothic" w:eastAsia="Calibri" w:cs="Arial"/>
          <w:lang w:val="es-ES_tradnl" w:eastAsia="es-ES_tradnl"/>
        </w:rPr>
      </w:pPr>
    </w:p>
    <w:p w:rsidRPr="00131FA3" w:rsidR="008A21EA" w:rsidP="008A21EA" w:rsidRDefault="008A21EA" w14:paraId="3DC2D74D" w14:textId="77777777">
      <w:pPr>
        <w:contextualSpacing/>
        <w:jc w:val="both"/>
        <w:rPr>
          <w:rFonts w:ascii="Century Gothic" w:hAnsi="Century Gothic" w:eastAsia="Calibri" w:cs="Arial"/>
          <w:lang w:val="es-ES" w:eastAsia="es-ES"/>
        </w:rPr>
      </w:pPr>
      <w:r w:rsidRPr="00131FA3">
        <w:rPr>
          <w:rFonts w:ascii="Century Gothic" w:hAnsi="Century Gothic" w:eastAsia="Calibri" w:cs="Arial"/>
          <w:lang w:val="es-ES" w:eastAsia="es-ES"/>
        </w:rPr>
        <w:t>Respetad</w:t>
      </w:r>
      <w:r>
        <w:rPr>
          <w:rFonts w:ascii="Century Gothic" w:hAnsi="Century Gothic" w:eastAsia="Calibri" w:cs="Arial"/>
          <w:lang w:val="es-ES" w:eastAsia="es-ES"/>
        </w:rPr>
        <w:t>o</w:t>
      </w:r>
      <w:r w:rsidRPr="00131FA3">
        <w:rPr>
          <w:rFonts w:ascii="Century Gothic" w:hAnsi="Century Gothic" w:eastAsia="Calibri" w:cs="Arial"/>
          <w:lang w:val="es-ES" w:eastAsia="es-ES"/>
        </w:rPr>
        <w:t xml:space="preserve"> señor </w:t>
      </w:r>
      <w:r w:rsidRPr="00C07D21">
        <w:rPr>
          <w:rFonts w:ascii="Century Gothic" w:hAnsi="Century Gothic" w:eastAsia="Calibri" w:cs="Arial"/>
          <w:lang w:val="es-ES" w:eastAsia="es-ES"/>
        </w:rPr>
        <w:t>Cifuentes Forero</w:t>
      </w:r>
      <w:r w:rsidRPr="00131FA3">
        <w:rPr>
          <w:rFonts w:ascii="Century Gothic" w:hAnsi="Century Gothic" w:eastAsia="Calibri" w:cs="Arial"/>
          <w:lang w:val="es-ES" w:eastAsia="es-ES"/>
        </w:rPr>
        <w:t xml:space="preserve">: </w:t>
      </w:r>
    </w:p>
    <w:p w:rsidRPr="00131FA3" w:rsidR="008A21EA" w:rsidP="008A21EA" w:rsidRDefault="008A21EA" w14:paraId="76CA8122" w14:textId="77777777">
      <w:pPr>
        <w:spacing w:line="276" w:lineRule="auto"/>
        <w:contextualSpacing/>
        <w:jc w:val="both"/>
        <w:rPr>
          <w:rFonts w:ascii="Century Gothic" w:hAnsi="Century Gothic" w:eastAsia="Calibri" w:cs="Arial"/>
          <w:szCs w:val="24"/>
          <w:lang w:val="es-ES_tradnl" w:eastAsia="es-ES_tradnl"/>
        </w:rPr>
      </w:pPr>
    </w:p>
    <w:bookmarkEnd w:id="0"/>
    <w:bookmarkEnd w:id="1"/>
    <w:p w:rsidRPr="00131FA3" w:rsidR="008A21EA" w:rsidP="008A21EA" w:rsidRDefault="008A21EA" w14:paraId="51C8DF39" w14:textId="7691CC3E">
      <w:pPr>
        <w:spacing w:after="0" w:line="276" w:lineRule="auto"/>
        <w:jc w:val="both"/>
        <w:rPr>
          <w:rFonts w:ascii="Century Gothic" w:hAnsi="Century Gothic" w:eastAsia="Calibri" w:cs="Arial"/>
          <w:color w:val="000000" w:themeColor="text1"/>
          <w:lang w:val="es-ES_tradnl"/>
        </w:rPr>
      </w:pPr>
      <w:r w:rsidRPr="00131FA3">
        <w:rPr>
          <w:rFonts w:ascii="Century Gothic" w:hAnsi="Century Gothic" w:eastAsia="Calibri" w:cs="Arial"/>
          <w:color w:val="000000" w:themeColor="text1"/>
          <w:lang w:val="es-ES_tradnl"/>
        </w:rPr>
        <w:t>En ejercicio de la competencia otorgada por el numeral 8 del artículo 11 y el numeral 5 del artículo 3 del Decreto Ley 4170 de 2011</w:t>
      </w:r>
      <w:bookmarkStart w:name="_Hlk99120496" w:id="5"/>
      <w:r w:rsidRPr="00131FA3">
        <w:rPr>
          <w:rFonts w:ascii="Century Gothic" w:hAnsi="Century Gothic" w:eastAsia="Arial MT" w:cs="Arial MT"/>
          <w:lang w:val="es-ES"/>
        </w:rPr>
        <w:t xml:space="preserve">, </w:t>
      </w:r>
      <w:bookmarkEnd w:id="5"/>
      <w:r w:rsidRPr="00131FA3">
        <w:rPr>
          <w:rFonts w:ascii="Century Gothic" w:hAnsi="Century Gothic" w:eastAsia="Calibri" w:cs="Arial"/>
          <w:color w:val="000000" w:themeColor="text1"/>
          <w:lang w:val="es-ES_tradnl"/>
        </w:rPr>
        <w:t xml:space="preserve">la Agencia Nacional de Contratación Pública – Colombia Compra Eficiente </w:t>
      </w:r>
      <w:r w:rsidR="00D81A2B">
        <w:rPr>
          <w:rFonts w:ascii="Century Gothic" w:hAnsi="Century Gothic" w:eastAsia="Calibri" w:cs="Arial"/>
          <w:color w:val="000000" w:themeColor="text1"/>
          <w:lang w:val="es-ES_tradnl"/>
        </w:rPr>
        <w:t xml:space="preserve">- </w:t>
      </w:r>
      <w:r w:rsidRPr="00131FA3">
        <w:rPr>
          <w:rFonts w:ascii="Century Gothic" w:hAnsi="Century Gothic" w:eastAsia="Calibri" w:cs="Arial"/>
          <w:color w:val="000000" w:themeColor="text1"/>
          <w:lang w:val="es-ES_tradnl"/>
        </w:rPr>
        <w:t xml:space="preserve">responde la consulta </w:t>
      </w:r>
      <w:r>
        <w:rPr>
          <w:rFonts w:ascii="Century Gothic" w:hAnsi="Century Gothic" w:eastAsia="Calibri" w:cs="Arial"/>
          <w:color w:val="000000" w:themeColor="text1"/>
          <w:lang w:val="es-ES_tradnl"/>
        </w:rPr>
        <w:t xml:space="preserve">radicada </w:t>
      </w:r>
      <w:r w:rsidRPr="00131FA3">
        <w:rPr>
          <w:rFonts w:ascii="Century Gothic" w:hAnsi="Century Gothic" w:eastAsia="Calibri" w:cs="Arial"/>
          <w:color w:val="000000" w:themeColor="text1"/>
          <w:lang w:val="es-ES_tradnl"/>
        </w:rPr>
        <w:t xml:space="preserve">el </w:t>
      </w:r>
      <w:r>
        <w:rPr>
          <w:rFonts w:ascii="Century Gothic" w:hAnsi="Century Gothic" w:eastAsia="Calibri" w:cs="Arial"/>
          <w:color w:val="000000" w:themeColor="text1"/>
          <w:lang w:val="es-ES_tradnl"/>
        </w:rPr>
        <w:t>5 de abril de 2024</w:t>
      </w:r>
      <w:r w:rsidRPr="00131FA3">
        <w:rPr>
          <w:rFonts w:ascii="Century Gothic" w:hAnsi="Century Gothic" w:eastAsia="Calibri" w:cs="Arial"/>
          <w:color w:val="000000" w:themeColor="text1"/>
          <w:lang w:val="es-ES_tradnl"/>
        </w:rPr>
        <w:t>.</w:t>
      </w:r>
    </w:p>
    <w:p w:rsidRPr="00131FA3" w:rsidR="008A21EA" w:rsidP="008A21EA" w:rsidRDefault="008A21EA" w14:paraId="222880E0" w14:textId="77777777">
      <w:pPr>
        <w:spacing w:after="0" w:line="276" w:lineRule="auto"/>
        <w:jc w:val="both"/>
        <w:rPr>
          <w:rFonts w:ascii="Century Gothic" w:hAnsi="Century Gothic" w:eastAsia="Calibri" w:cs="Arial"/>
          <w:b/>
          <w:color w:val="000000" w:themeColor="text1"/>
          <w:lang w:val="es-ES_tradnl"/>
        </w:rPr>
      </w:pPr>
    </w:p>
    <w:p w:rsidRPr="00131FA3" w:rsidR="008A21EA" w:rsidP="008A21EA" w:rsidRDefault="008A21EA" w14:paraId="06E4CBD3" w14:textId="77777777">
      <w:pPr>
        <w:pStyle w:val="Prrafodelista"/>
        <w:numPr>
          <w:ilvl w:val="0"/>
          <w:numId w:val="6"/>
        </w:numPr>
        <w:tabs>
          <w:tab w:val="left" w:pos="0"/>
          <w:tab w:val="left" w:pos="142"/>
          <w:tab w:val="left" w:pos="284"/>
        </w:tabs>
        <w:spacing w:after="0" w:line="276"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Problema</w:t>
      </w:r>
      <w:r>
        <w:rPr>
          <w:rFonts w:ascii="Century Gothic" w:hAnsi="Century Gothic" w:eastAsia="Calibri" w:cs="Arial"/>
          <w:b/>
          <w:color w:val="000000" w:themeColor="text1"/>
          <w:lang w:val="es-ES_tradnl"/>
        </w:rPr>
        <w:t>s</w:t>
      </w:r>
      <w:r w:rsidRPr="00131FA3">
        <w:rPr>
          <w:rFonts w:ascii="Century Gothic" w:hAnsi="Century Gothic" w:eastAsia="Calibri" w:cs="Arial"/>
          <w:b/>
          <w:color w:val="000000" w:themeColor="text1"/>
          <w:lang w:val="es-ES_tradnl"/>
        </w:rPr>
        <w:t xml:space="preserve"> planteado</w:t>
      </w:r>
      <w:r>
        <w:rPr>
          <w:rFonts w:ascii="Century Gothic" w:hAnsi="Century Gothic" w:eastAsia="Calibri" w:cs="Arial"/>
          <w:b/>
          <w:color w:val="000000" w:themeColor="text1"/>
          <w:lang w:val="es-ES_tradnl"/>
        </w:rPr>
        <w:t>s</w:t>
      </w:r>
      <w:r w:rsidRPr="00131FA3">
        <w:rPr>
          <w:rFonts w:ascii="Century Gothic" w:hAnsi="Century Gothic" w:eastAsia="Calibri" w:cs="Arial"/>
          <w:b/>
          <w:color w:val="000000" w:themeColor="text1"/>
          <w:lang w:val="es-ES_tradnl"/>
        </w:rPr>
        <w:t xml:space="preserve"> </w:t>
      </w:r>
    </w:p>
    <w:p w:rsidRPr="00131FA3" w:rsidR="008A21EA" w:rsidP="008A21EA" w:rsidRDefault="008A21EA" w14:paraId="126C04D8" w14:textId="77777777">
      <w:pPr>
        <w:tabs>
          <w:tab w:val="left" w:pos="426"/>
        </w:tabs>
        <w:spacing w:after="0" w:line="276" w:lineRule="auto"/>
        <w:jc w:val="both"/>
        <w:rPr>
          <w:rFonts w:ascii="Century Gothic" w:hAnsi="Century Gothic" w:eastAsia="Calibri" w:cs="Arial"/>
          <w:b/>
          <w:color w:val="000000" w:themeColor="text1"/>
          <w:lang w:val="es-ES_tradnl"/>
        </w:rPr>
      </w:pPr>
    </w:p>
    <w:p w:rsidR="008A21EA" w:rsidP="008A21EA" w:rsidRDefault="008A21EA" w14:paraId="550285DE" w14:textId="77777777">
      <w:pPr>
        <w:spacing w:after="0" w:line="276" w:lineRule="auto"/>
        <w:jc w:val="both"/>
        <w:rPr>
          <w:rFonts w:ascii="Century Gothic" w:hAnsi="Century Gothic" w:cs="Arial"/>
          <w:color w:val="000000" w:themeColor="text1"/>
          <w:lang w:val="es-ES_tradnl"/>
        </w:rPr>
      </w:pPr>
      <w:r>
        <w:rPr>
          <w:rFonts w:ascii="Century Gothic" w:hAnsi="Century Gothic" w:cs="Arial"/>
          <w:color w:val="000000" w:themeColor="text1"/>
          <w:lang w:val="es-ES_tradnl"/>
        </w:rPr>
        <w:t>Respecto al plazo de vigencia de los amparos de la garantía única de cumplimiento y el plazo para liquidar los contratos estatales, usted realiza las siguientes preguntas:</w:t>
      </w:r>
    </w:p>
    <w:p w:rsidR="008A21EA" w:rsidP="008A21EA" w:rsidRDefault="008A21EA" w14:paraId="5CD686B7" w14:textId="77777777">
      <w:pPr>
        <w:spacing w:after="0" w:line="276" w:lineRule="auto"/>
        <w:jc w:val="both"/>
        <w:rPr>
          <w:rFonts w:ascii="Century Gothic" w:hAnsi="Century Gothic" w:cs="Arial"/>
          <w:color w:val="000000" w:themeColor="text1"/>
          <w:lang w:val="es-ES_tradnl"/>
        </w:rPr>
      </w:pPr>
    </w:p>
    <w:p w:rsidRPr="00506BF1" w:rsidR="008A21EA" w:rsidP="008A21EA" w:rsidRDefault="008A21EA" w14:paraId="2CFAF7FE" w14:textId="77777777">
      <w:pPr>
        <w:spacing w:after="120" w:line="240" w:lineRule="auto"/>
        <w:ind w:left="709" w:right="709"/>
        <w:jc w:val="both"/>
        <w:rPr>
          <w:rFonts w:ascii="Century Gothic" w:hAnsi="Century Gothic" w:cs="Arial"/>
          <w:color w:val="000000" w:themeColor="text1"/>
          <w:sz w:val="21"/>
          <w:szCs w:val="21"/>
          <w:lang w:val="es-ES_tradnl"/>
        </w:rPr>
      </w:pPr>
      <w:bookmarkStart w:name="_Hlk164090162" w:id="6"/>
      <w:r w:rsidRPr="00506BF1">
        <w:rPr>
          <w:rFonts w:ascii="Century Gothic" w:hAnsi="Century Gothic" w:cs="Arial"/>
          <w:color w:val="000000" w:themeColor="text1"/>
          <w:sz w:val="21"/>
          <w:szCs w:val="21"/>
          <w:lang w:val="es-ES_tradnl"/>
        </w:rPr>
        <w:t xml:space="preserve">“1. Considerando las disposiciones establecidas en el artículo 60 de la Ley 80 de 1993, modificado por el artículo 217 del Decreto 019 de 2012, y el artículo 11 de la Ley 1150 de 2007, ¿cuáles son las opciones disponibles </w:t>
      </w:r>
      <w:r w:rsidRPr="00506BF1">
        <w:rPr>
          <w:rFonts w:ascii="Century Gothic" w:hAnsi="Century Gothic" w:cs="Arial"/>
          <w:color w:val="000000" w:themeColor="text1"/>
          <w:sz w:val="21"/>
          <w:szCs w:val="21"/>
          <w:lang w:val="es-ES_tradnl"/>
        </w:rPr>
        <w:t>para un contratista si la Entidad Estatal no emite el Acta de Liquidación Final dentro del plazo convenido contractualmente?</w:t>
      </w:r>
    </w:p>
    <w:p w:rsidRPr="00506BF1" w:rsidR="008A21EA" w:rsidP="008A21EA" w:rsidRDefault="008A21EA" w14:paraId="33089920" w14:textId="77777777">
      <w:pPr>
        <w:spacing w:after="120" w:line="240" w:lineRule="auto"/>
        <w:ind w:left="709" w:right="709"/>
        <w:jc w:val="both"/>
        <w:rPr>
          <w:rFonts w:ascii="Century Gothic" w:hAnsi="Century Gothic" w:cs="Arial"/>
          <w:color w:val="000000" w:themeColor="text1"/>
          <w:sz w:val="21"/>
          <w:szCs w:val="21"/>
          <w:lang w:val="es-ES"/>
        </w:rPr>
      </w:pPr>
      <w:r w:rsidRPr="73DC7492">
        <w:rPr>
          <w:rFonts w:ascii="Century Gothic" w:hAnsi="Century Gothic" w:cs="Arial"/>
          <w:color w:val="000000" w:themeColor="text1"/>
          <w:sz w:val="21"/>
          <w:szCs w:val="21"/>
          <w:lang w:val="es-ES"/>
        </w:rPr>
        <w:t>2. ¿Existen precedentes o directrices legales que sugieran qué acciones puede tomar un contratista en caso de que expire la vigencia para la liquidación del contrato y la entidad no emita la liquidación correspondiente?</w:t>
      </w:r>
    </w:p>
    <w:p w:rsidRPr="00506BF1" w:rsidR="008A21EA" w:rsidP="008A21EA" w:rsidRDefault="008A21EA" w14:paraId="6BE72FE6" w14:textId="77777777">
      <w:pPr>
        <w:spacing w:after="120" w:line="240" w:lineRule="auto"/>
        <w:ind w:left="709" w:right="709"/>
        <w:jc w:val="both"/>
        <w:rPr>
          <w:rFonts w:ascii="Century Gothic" w:hAnsi="Century Gothic" w:cs="Arial"/>
          <w:color w:val="000000" w:themeColor="text1"/>
          <w:sz w:val="21"/>
          <w:szCs w:val="21"/>
          <w:lang w:val="es-ES_tradnl"/>
        </w:rPr>
      </w:pPr>
      <w:r w:rsidRPr="00506BF1">
        <w:rPr>
          <w:rFonts w:ascii="Century Gothic" w:hAnsi="Century Gothic" w:cs="Arial"/>
          <w:color w:val="000000" w:themeColor="text1"/>
          <w:sz w:val="21"/>
          <w:szCs w:val="21"/>
          <w:lang w:val="es-ES_tradnl"/>
        </w:rPr>
        <w:t>3. Según lo dispuesto en el marco normativo mencionado, ¿qué implicaciones jurídicas se generan para el contratista si mantiene vigente la póliza durante el periodo establecido en el contrato y la Entidad Estatal no realiza la liquidación correspondiente durante este periodo? // ¿Se conocen casos anteriores en los cuales un contratista mantuvo vigente la póliza durante el periodo establecido en el contrato, pero la Entidad Estatal no realizó la liquidación del contrato durante este periodo? En caso afirmativo, ¿cómo se resolvió la situación y qué recomendaciones se derivan de ello?</w:t>
      </w:r>
    </w:p>
    <w:p w:rsidRPr="00506BF1" w:rsidR="008A21EA" w:rsidP="008A21EA" w:rsidRDefault="008A21EA" w14:paraId="1F256B24" w14:textId="77777777">
      <w:pPr>
        <w:spacing w:after="0" w:line="240" w:lineRule="auto"/>
        <w:ind w:left="709" w:right="709"/>
        <w:jc w:val="both"/>
        <w:rPr>
          <w:rFonts w:ascii="Century Gothic" w:hAnsi="Century Gothic" w:cs="Arial"/>
          <w:color w:val="000000" w:themeColor="text1"/>
          <w:sz w:val="21"/>
          <w:szCs w:val="21"/>
          <w:lang w:val="es-ES_tradnl"/>
        </w:rPr>
      </w:pPr>
      <w:r w:rsidRPr="00506BF1">
        <w:rPr>
          <w:rFonts w:ascii="Century Gothic" w:hAnsi="Century Gothic" w:cs="Arial"/>
          <w:color w:val="000000" w:themeColor="text1"/>
          <w:sz w:val="21"/>
          <w:szCs w:val="21"/>
          <w:lang w:val="es-ES_tradnl"/>
        </w:rPr>
        <w:t>4. ¿Cuál es la obligación del contratista respecto a la extensión de la póliza de cumplimiento/garantía/calidad, si pasados dos años después del término estipulado en el contrato para liquidar, la Entidad Estatal no procede con el acta de liquidación? Además, ¿qué acciones puede tomar el contratista para instar a la Entidad Estatal a expedir el acta de liquidación, conforme a lo establecido en la normativa pertinente? // ¿Se han registrado casos en los cuales, pasados dos años después del término estipulado en el contrato para liquidar, la Entidad Estatal no procedió con el acta de liquidación? De ser así, ¿cómo se trató la cuestión de la ampliación de la póliza de cumplimiento/garantía/calidad por parte del contratista y qué medidas se tomaron para resolver la situación con la Entidad Estatal?”.</w:t>
      </w:r>
      <w:bookmarkEnd w:id="6"/>
    </w:p>
    <w:p w:rsidRPr="00131FA3" w:rsidR="008A21EA" w:rsidP="008A21EA" w:rsidRDefault="008A21EA" w14:paraId="798BFCCC" w14:textId="77777777">
      <w:pPr>
        <w:spacing w:after="0" w:line="276" w:lineRule="auto"/>
        <w:jc w:val="both"/>
        <w:rPr>
          <w:rFonts w:ascii="Century Gothic" w:hAnsi="Century Gothic" w:cs="Arial"/>
          <w:color w:val="000000" w:themeColor="text1"/>
          <w:lang w:val="es-ES_tradnl"/>
        </w:rPr>
      </w:pPr>
    </w:p>
    <w:p w:rsidRPr="00131FA3" w:rsidR="008A21EA" w:rsidP="008A21EA" w:rsidRDefault="008A21EA" w14:paraId="0A6E0B35" w14:textId="77777777">
      <w:pPr>
        <w:pStyle w:val="Prrafodelista"/>
        <w:numPr>
          <w:ilvl w:val="0"/>
          <w:numId w:val="6"/>
        </w:numPr>
        <w:tabs>
          <w:tab w:val="left" w:pos="0"/>
          <w:tab w:val="left" w:pos="284"/>
        </w:tabs>
        <w:spacing w:after="0" w:line="240" w:lineRule="auto"/>
        <w:ind w:left="0" w:firstLine="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Consideraciones</w:t>
      </w:r>
    </w:p>
    <w:p w:rsidRPr="00131FA3" w:rsidR="008A21EA" w:rsidP="008A21EA" w:rsidRDefault="008A21EA" w14:paraId="3AB0B5B7" w14:textId="77777777">
      <w:pPr>
        <w:spacing w:after="0" w:line="276" w:lineRule="auto"/>
        <w:jc w:val="both"/>
        <w:rPr>
          <w:rFonts w:ascii="Century Gothic" w:hAnsi="Century Gothic" w:eastAsia="Calibri" w:cs="Arial"/>
          <w:color w:val="000000" w:themeColor="text1"/>
          <w:lang w:val="es-ES_tradnl"/>
        </w:rPr>
      </w:pPr>
    </w:p>
    <w:p w:rsidRPr="00131FA3" w:rsidR="008A21EA" w:rsidP="008A21EA" w:rsidRDefault="008A21EA" w14:paraId="2837EF92" w14:textId="77777777">
      <w:pPr>
        <w:spacing w:after="120" w:line="276" w:lineRule="auto"/>
        <w:jc w:val="both"/>
        <w:rPr>
          <w:rFonts w:ascii="Century Gothic" w:hAnsi="Century Gothic" w:cs="Arial"/>
          <w:lang w:val="es-ES"/>
        </w:rPr>
      </w:pPr>
      <w:r w:rsidRPr="00131FA3">
        <w:rPr>
          <w:rFonts w:ascii="Century Gothic" w:hAnsi="Century Gothic" w:cs="Arial"/>
          <w:bCs/>
        </w:rPr>
        <w:t xml:space="preserve">En ejercicio de las competencias establecidas en los artículos 3.5 y 11.8 del Decreto 4170 de 2011, la Agencia Nacional de Contratación Pública – Colombia Compra Eficiente resuelve consultas sobre </w:t>
      </w:r>
      <w:r w:rsidRPr="00131FA3">
        <w:rPr>
          <w:rFonts w:ascii="Century Gothic" w:hAnsi="Century Gothic"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131FA3">
        <w:rPr>
          <w:rFonts w:ascii="Century Gothic" w:hAnsi="Century Gothic" w:cs="Arial"/>
          <w:bCs/>
        </w:rPr>
        <w:t xml:space="preserve"> de todos los partícipes de la contratación estatal.</w:t>
      </w:r>
    </w:p>
    <w:p w:rsidRPr="00131FA3" w:rsidR="008A21EA" w:rsidP="008A21EA" w:rsidRDefault="008A21EA" w14:paraId="04EE6F76" w14:textId="77777777">
      <w:pPr>
        <w:spacing w:after="120" w:line="276" w:lineRule="auto"/>
        <w:ind w:firstLine="708"/>
        <w:jc w:val="both"/>
        <w:rPr>
          <w:rFonts w:ascii="Century Gothic" w:hAnsi="Century Gothic" w:cs="Arial"/>
          <w:lang w:val="es-ES"/>
        </w:rPr>
      </w:pPr>
      <w:r w:rsidRPr="00131FA3">
        <w:rPr>
          <w:rFonts w:ascii="Century Gothic" w:hAnsi="Century Gothic" w:cs="Arial"/>
          <w:lang w:val="es-ES"/>
        </w:rPr>
        <w:t xml:space="preserve">La competencia de esta entidad se fija con límites claros, con el objeto de evitar que la Agencia actúe como una instancia de validación de las actuaciones </w:t>
      </w:r>
      <w:r w:rsidRPr="00131FA3">
        <w:rPr>
          <w:rFonts w:ascii="Century Gothic" w:hAnsi="Century Gothic" w:cs="Arial"/>
          <w:lang w:val="es-ES"/>
        </w:rPr>
        <w:t>de las entidades sujetas a la Ley 80 de 1993 o de los demás participantes de la contratación pública</w:t>
      </w:r>
      <w:r w:rsidRPr="00131FA3">
        <w:rPr>
          <w:rFonts w:ascii="Century Gothic" w:hAnsi="Century Gothic" w:cs="Arial"/>
          <w:vertAlign w:val="superscript"/>
          <w:lang w:val="es-ES"/>
        </w:rPr>
        <w:footnoteReference w:id="2"/>
      </w:r>
      <w:r w:rsidRPr="00131FA3">
        <w:rPr>
          <w:rFonts w:ascii="Century Gothic" w:hAnsi="Century Gothic" w:cs="Arial"/>
          <w:lang w:val="es-ES"/>
        </w:rPr>
        <w:t>. Esta competencia de interpretación de normas generales, por definición, no puede extenderse a la resolución de controversias</w:t>
      </w:r>
      <w:r>
        <w:rPr>
          <w:rFonts w:ascii="Century Gothic" w:hAnsi="Century Gothic" w:cs="Arial"/>
          <w:lang w:val="es-ES"/>
        </w:rPr>
        <w:t xml:space="preserve"> ni</w:t>
      </w:r>
      <w:r w:rsidRPr="00131FA3">
        <w:rPr>
          <w:rFonts w:ascii="Century Gothic" w:hAnsi="Century Gothic" w:cs="Arial"/>
          <w:lang w:val="es-ES"/>
        </w:rPr>
        <w:t xml:space="preserve"> brindar asesorías sobre casos puntuales. Por lo anterior, previo concepto de sus órganos asesores, la solución de</w:t>
      </w:r>
      <w:r>
        <w:rPr>
          <w:rFonts w:ascii="Century Gothic" w:hAnsi="Century Gothic" w:cs="Arial"/>
          <w:lang w:val="es-ES"/>
        </w:rPr>
        <w:t xml:space="preserve"> situaciones</w:t>
      </w:r>
      <w:r w:rsidRPr="00131FA3">
        <w:rPr>
          <w:rFonts w:ascii="Century Gothic" w:hAnsi="Century Gothic" w:cs="Arial"/>
          <w:lang w:val="es-ES"/>
        </w:rPr>
        <w:t xml:space="preserve"> particulares corresponde a la entidad de adoptar la decisión correspondiente y, en caso de conflicto, a las autoridades judiciales, fiscales y disciplinarias. </w:t>
      </w:r>
    </w:p>
    <w:p w:rsidRPr="00131FA3" w:rsidR="008A21EA" w:rsidP="008A21EA" w:rsidRDefault="008A21EA" w14:paraId="4A36B6EB" w14:textId="77777777">
      <w:pPr>
        <w:spacing w:after="120" w:line="276" w:lineRule="auto"/>
        <w:ind w:firstLine="709"/>
        <w:jc w:val="both"/>
        <w:rPr>
          <w:rFonts w:ascii="Century Gothic" w:hAnsi="Century Gothic" w:cs="Arial"/>
          <w:bCs/>
          <w:color w:val="000000" w:themeColor="text1"/>
          <w:lang w:val="es-ES_tradnl"/>
        </w:rPr>
      </w:pPr>
      <w:r w:rsidRPr="00131FA3">
        <w:rPr>
          <w:rFonts w:ascii="Century Gothic" w:hAnsi="Century Gothic" w:eastAsia="Calibri" w:cs="Arial"/>
        </w:rPr>
        <w:t xml:space="preserve">Sin perjuicio de lo anterior, </w:t>
      </w:r>
      <w:r w:rsidRPr="00131FA3">
        <w:rPr>
          <w:rFonts w:ascii="Century Gothic" w:hAnsi="Century Gothic" w:eastAsia="Calibri" w:cs="Arial"/>
          <w:lang w:val="es-ES"/>
        </w:rPr>
        <w:t xml:space="preserve">la Agencia –dentro de los límites de sus atribuciones, es decir, </w:t>
      </w:r>
      <w:bookmarkStart w:name="_Hlk61025408" w:id="7"/>
      <w:r w:rsidRPr="00131FA3">
        <w:rPr>
          <w:rFonts w:ascii="Century Gothic" w:hAnsi="Century Gothic" w:eastAsia="Calibri" w:cs="Arial"/>
          <w:lang w:val="es-ES"/>
        </w:rPr>
        <w:t xml:space="preserve">haciendo abstracción del caso particular </w:t>
      </w:r>
      <w:bookmarkEnd w:id="7"/>
      <w:r w:rsidRPr="00131FA3">
        <w:rPr>
          <w:rFonts w:ascii="Century Gothic" w:hAnsi="Century Gothic" w:eastAsia="Calibri" w:cs="Arial"/>
          <w:lang w:val="es-ES"/>
        </w:rPr>
        <w:t>expuesto en la petición– resolverá la consulta conforme a las normas generales del sistema de compras públicas. Con este objetivo se analizarán los siguientes temas:</w:t>
      </w:r>
      <w:r w:rsidRPr="00131FA3">
        <w:rPr>
          <w:rFonts w:ascii="Century Gothic" w:hAnsi="Century Gothic" w:cs="Arial"/>
          <w:color w:val="000000" w:themeColor="text1"/>
          <w:lang w:val="es-ES_tradnl"/>
        </w:rPr>
        <w:t xml:space="preserve"> i) </w:t>
      </w:r>
      <w:r>
        <w:rPr>
          <w:rFonts w:ascii="Century Gothic" w:hAnsi="Century Gothic" w:cs="Arial"/>
          <w:bCs/>
          <w:color w:val="000000" w:themeColor="text1"/>
          <w:lang w:val="es-ES_tradnl"/>
        </w:rPr>
        <w:t>régimen de la garantía única de cumplimiento</w:t>
      </w:r>
      <w:r w:rsidRPr="00131FA3">
        <w:rPr>
          <w:rFonts w:ascii="Century Gothic" w:hAnsi="Century Gothic" w:cs="Arial"/>
          <w:bCs/>
          <w:color w:val="000000" w:themeColor="text1"/>
          <w:lang w:val="es-ES_tradnl"/>
        </w:rPr>
        <w:t xml:space="preserve"> y ii) </w:t>
      </w:r>
      <w:r>
        <w:rPr>
          <w:rFonts w:ascii="Century Gothic" w:hAnsi="Century Gothic" w:cs="Arial"/>
          <w:bCs/>
          <w:color w:val="000000" w:themeColor="text1"/>
          <w:lang w:val="es-ES_tradnl"/>
        </w:rPr>
        <w:t>liquidación del contrato estatal</w:t>
      </w:r>
      <w:r w:rsidRPr="00131FA3">
        <w:rPr>
          <w:rFonts w:ascii="Century Gothic" w:hAnsi="Century Gothic" w:cs="Arial"/>
          <w:bCs/>
          <w:color w:val="000000" w:themeColor="text1"/>
          <w:lang w:val="es-ES_tradnl"/>
        </w:rPr>
        <w:t xml:space="preserve">. </w:t>
      </w:r>
    </w:p>
    <w:p w:rsidRPr="00131FA3" w:rsidR="008A21EA" w:rsidP="008A21EA" w:rsidRDefault="008A21EA" w14:paraId="30141FED" w14:textId="77777777">
      <w:pPr>
        <w:spacing w:after="0" w:line="276" w:lineRule="auto"/>
        <w:ind w:firstLine="709"/>
        <w:jc w:val="both"/>
        <w:rPr>
          <w:rFonts w:ascii="Century Gothic" w:hAnsi="Century Gothic" w:cs="Arial"/>
        </w:rPr>
      </w:pPr>
      <w:r w:rsidRPr="002C0F3A">
        <w:rPr>
          <w:rFonts w:ascii="Century Gothic" w:hAnsi="Century Gothic" w:cs="Arial"/>
        </w:rPr>
        <w:t xml:space="preserve">La Agencia Nacional de Contratación Pública – Colombia Compra Eficiente se pronunció en términos generales de las garantías en la contratación estatal en los </w:t>
      </w:r>
      <w:r>
        <w:rPr>
          <w:rFonts w:ascii="Century Gothic" w:hAnsi="Century Gothic" w:cs="Arial"/>
        </w:rPr>
        <w:t>C</w:t>
      </w:r>
      <w:r w:rsidRPr="002C0F3A">
        <w:rPr>
          <w:rFonts w:ascii="Century Gothic" w:hAnsi="Century Gothic" w:cs="Arial"/>
        </w:rPr>
        <w:t>onceptos 2201913000009075 del 9 de diciembre de 2012</w:t>
      </w:r>
      <w:r>
        <w:rPr>
          <w:rFonts w:ascii="Century Gothic" w:hAnsi="Century Gothic" w:cs="Arial"/>
        </w:rPr>
        <w:t>,</w:t>
      </w:r>
      <w:r w:rsidRPr="002C0F3A">
        <w:rPr>
          <w:rFonts w:ascii="Century Gothic" w:hAnsi="Century Gothic" w:cs="Arial"/>
        </w:rPr>
        <w:t xml:space="preserve"> C-080 del 8 de abril de 2021, C-525 del 24 de septiembre de 2021,</w:t>
      </w:r>
      <w:r>
        <w:rPr>
          <w:rFonts w:ascii="Century Gothic" w:hAnsi="Century Gothic" w:cs="Arial"/>
        </w:rPr>
        <w:t xml:space="preserve"> C-584 del 26 de septiembre de 2022,</w:t>
      </w:r>
      <w:r w:rsidRPr="002C0F3A">
        <w:rPr>
          <w:rFonts w:ascii="Century Gothic" w:hAnsi="Century Gothic" w:cs="Arial"/>
        </w:rPr>
        <w:t xml:space="preserve"> entre otros</w:t>
      </w:r>
      <w:r>
        <w:rPr>
          <w:rFonts w:ascii="Century Gothic" w:hAnsi="Century Gothic" w:cs="Arial"/>
        </w:rPr>
        <w:t>. También</w:t>
      </w:r>
      <w:r w:rsidRPr="00483CF9">
        <w:rPr>
          <w:rFonts w:ascii="Century Gothic" w:hAnsi="Century Gothic" w:cs="Arial"/>
        </w:rPr>
        <w:t xml:space="preserve"> se ha pronunciado sobre la liquidación de los contratos estatales </w:t>
      </w:r>
      <w:r>
        <w:rPr>
          <w:rFonts w:ascii="Century Gothic" w:hAnsi="Century Gothic" w:cs="Arial"/>
        </w:rPr>
        <w:t>en los Conceptos</w:t>
      </w:r>
      <w:r w:rsidRPr="00483CF9">
        <w:rPr>
          <w:rFonts w:ascii="Century Gothic" w:hAnsi="Century Gothic" w:cs="Arial"/>
        </w:rPr>
        <w:t xml:space="preserve"> 4201912000004908 del 27 de septiembre de 2019</w:t>
      </w:r>
      <w:r>
        <w:rPr>
          <w:rFonts w:ascii="Century Gothic" w:hAnsi="Century Gothic" w:cs="Arial"/>
        </w:rPr>
        <w:t xml:space="preserve">, </w:t>
      </w:r>
      <w:r w:rsidRPr="00483CF9">
        <w:rPr>
          <w:rFonts w:ascii="Century Gothic" w:hAnsi="Century Gothic" w:cs="Arial"/>
        </w:rPr>
        <w:t>CU-028 de 25 de febrero de 2020, C-221 de 21 de abril de 2020, C-078 del 17 de marzo de 2021</w:t>
      </w:r>
      <w:r>
        <w:rPr>
          <w:rFonts w:ascii="Century Gothic" w:hAnsi="Century Gothic" w:cs="Arial"/>
        </w:rPr>
        <w:t>,</w:t>
      </w:r>
      <w:r w:rsidRPr="00483CF9">
        <w:rPr>
          <w:rFonts w:ascii="Century Gothic" w:hAnsi="Century Gothic" w:cs="Arial"/>
        </w:rPr>
        <w:t xml:space="preserve"> C-220 del 18 de mayo de 2021</w:t>
      </w:r>
      <w:r>
        <w:rPr>
          <w:rFonts w:ascii="Century Gothic" w:hAnsi="Century Gothic" w:cs="Arial"/>
        </w:rPr>
        <w:t>, C-548 del 5 de octubre de 2021 y C-739 del 29 de noviembre de 2022</w:t>
      </w:r>
      <w:r w:rsidRPr="00483CF9">
        <w:rPr>
          <w:rFonts w:ascii="Century Gothic" w:hAnsi="Century Gothic" w:cs="Arial"/>
        </w:rPr>
        <w:t xml:space="preserve">, </w:t>
      </w:r>
      <w:r>
        <w:rPr>
          <w:rFonts w:ascii="Century Gothic" w:hAnsi="Century Gothic" w:cs="Arial"/>
        </w:rPr>
        <w:t xml:space="preserve">haciendo especial énfasis </w:t>
      </w:r>
      <w:r w:rsidRPr="00483CF9">
        <w:rPr>
          <w:rFonts w:ascii="Century Gothic" w:hAnsi="Century Gothic" w:cs="Arial"/>
        </w:rPr>
        <w:t>sobre la p</w:t>
      </w:r>
      <w:r>
        <w:rPr>
          <w:rFonts w:ascii="Century Gothic" w:hAnsi="Century Gothic" w:cs="Arial"/>
        </w:rPr>
        <w:t>é</w:t>
      </w:r>
      <w:r w:rsidRPr="00483CF9">
        <w:rPr>
          <w:rFonts w:ascii="Century Gothic" w:hAnsi="Century Gothic" w:cs="Arial"/>
        </w:rPr>
        <w:t xml:space="preserve">rdida de competencia para liquidar de los contratos estatales cuando opera la caducidad de la acción de controversias contractuales en el </w:t>
      </w:r>
      <w:r>
        <w:rPr>
          <w:rFonts w:ascii="Century Gothic" w:hAnsi="Century Gothic" w:cs="Arial"/>
        </w:rPr>
        <w:t>Concepto</w:t>
      </w:r>
      <w:r w:rsidRPr="00483CF9">
        <w:rPr>
          <w:rFonts w:ascii="Century Gothic" w:hAnsi="Century Gothic" w:cs="Arial"/>
        </w:rPr>
        <w:t xml:space="preserve"> 4201913000006142 de 7 de octubre de 2019</w:t>
      </w:r>
      <w:r w:rsidRPr="00131FA3">
        <w:rPr>
          <w:rStyle w:val="Refdenotaalpie"/>
          <w:rFonts w:ascii="Century Gothic" w:hAnsi="Century Gothic" w:eastAsia="Calibri" w:cs="Arial"/>
        </w:rPr>
        <w:footnoteReference w:id="3"/>
      </w:r>
      <w:r w:rsidRPr="00131FA3">
        <w:rPr>
          <w:rFonts w:ascii="Century Gothic" w:hAnsi="Century Gothic" w:cs="Arial"/>
        </w:rPr>
        <w:t>. Las tesis propuestas en tales conceptos se reiteran a continuación y se complementan en lo pertinente.</w:t>
      </w:r>
    </w:p>
    <w:p w:rsidRPr="008F0527" w:rsidR="008A21EA" w:rsidP="008A21EA" w:rsidRDefault="008A21EA" w14:paraId="0F1996AD" w14:textId="77777777">
      <w:pPr>
        <w:spacing w:after="0" w:line="276" w:lineRule="auto"/>
        <w:ind w:firstLine="709"/>
        <w:jc w:val="both"/>
        <w:rPr>
          <w:rFonts w:ascii="Century Gothic" w:hAnsi="Century Gothic" w:cs="Arial"/>
        </w:rPr>
      </w:pPr>
    </w:p>
    <w:p w:rsidRPr="008F0527" w:rsidR="008A21EA" w:rsidP="008A21EA" w:rsidRDefault="008A21EA" w14:paraId="63B61A93" w14:textId="77777777">
      <w:pPr>
        <w:spacing w:after="0" w:line="276" w:lineRule="auto"/>
        <w:jc w:val="both"/>
        <w:rPr>
          <w:rStyle w:val="normaltextrun"/>
          <w:rFonts w:ascii="Century Gothic" w:hAnsi="Century Gothic" w:cs="Arial"/>
          <w:b/>
          <w:bCs/>
          <w:color w:val="000000"/>
          <w:shd w:val="clear" w:color="auto" w:fill="FFFFFF"/>
        </w:rPr>
      </w:pPr>
      <w:r w:rsidRPr="008F0527">
        <w:rPr>
          <w:rStyle w:val="normaltextrun"/>
          <w:rFonts w:ascii="Century Gothic" w:hAnsi="Century Gothic" w:cs="Arial"/>
          <w:b/>
          <w:bCs/>
          <w:color w:val="000000"/>
          <w:shd w:val="clear" w:color="auto" w:fill="FFFFFF"/>
        </w:rPr>
        <w:t xml:space="preserve">2.1. </w:t>
      </w:r>
      <w:bookmarkStart w:name="_Hlk143270814" w:id="8"/>
      <w:r w:rsidRPr="008F0527">
        <w:rPr>
          <w:rStyle w:val="normaltextrun"/>
          <w:rFonts w:ascii="Century Gothic" w:hAnsi="Century Gothic" w:cs="Arial"/>
          <w:b/>
          <w:bCs/>
          <w:color w:val="000000"/>
          <w:shd w:val="clear" w:color="auto" w:fill="FFFFFF"/>
        </w:rPr>
        <w:t xml:space="preserve">Régimen de las garantías en la contratación estatal </w:t>
      </w:r>
      <w:bookmarkEnd w:id="8"/>
    </w:p>
    <w:p w:rsidRPr="008F0527" w:rsidR="008A21EA" w:rsidP="008A21EA" w:rsidRDefault="008A21EA" w14:paraId="5C266E4A" w14:textId="77777777">
      <w:pPr>
        <w:spacing w:after="0" w:line="276" w:lineRule="auto"/>
        <w:jc w:val="both"/>
        <w:rPr>
          <w:rStyle w:val="normaltextrun"/>
          <w:rFonts w:ascii="Century Gothic" w:hAnsi="Century Gothic" w:cs="Arial"/>
          <w:color w:val="000000"/>
          <w:shd w:val="clear" w:color="auto" w:fill="FFFFFF"/>
        </w:rPr>
      </w:pPr>
    </w:p>
    <w:p w:rsidRPr="008F0527" w:rsidR="008A21EA" w:rsidP="008A21EA" w:rsidRDefault="008A21EA" w14:paraId="4961F482" w14:textId="77777777">
      <w:pPr>
        <w:spacing w:after="0" w:line="276" w:lineRule="auto"/>
        <w:jc w:val="both"/>
        <w:rPr>
          <w:rFonts w:ascii="Century Gothic" w:hAnsi="Century Gothic" w:eastAsia="Calibri" w:cs="Arial"/>
          <w:color w:val="000000" w:themeColor="text1"/>
          <w:lang w:val="es-ES"/>
        </w:rPr>
      </w:pPr>
      <w:r w:rsidRPr="008F0527">
        <w:rPr>
          <w:rFonts w:ascii="Century Gothic" w:hAnsi="Century Gothic" w:cs="Arial"/>
          <w:color w:val="000000"/>
          <w:shd w:val="clear" w:color="auto" w:fill="FFFFFF"/>
        </w:rPr>
        <w:t xml:space="preserve">Por regla, para seleccionar contratistas y para ejecutar contratos se requiere la constitución de garantías. </w:t>
      </w:r>
      <w:bookmarkStart w:name="_Hlk47893233" w:id="9"/>
      <w:r w:rsidRPr="008F0527">
        <w:rPr>
          <w:rFonts w:ascii="Century Gothic" w:hAnsi="Century Gothic" w:cs="Arial"/>
          <w:color w:val="000000"/>
          <w:shd w:val="clear" w:color="auto" w:fill="FFFFFF"/>
        </w:rPr>
        <w:t>Por un lado, l</w:t>
      </w:r>
      <w:r w:rsidRPr="008F0527">
        <w:rPr>
          <w:rFonts w:ascii="Century Gothic" w:hAnsi="Century Gothic" w:eastAsia="Calibri" w:cs="Arial"/>
          <w:color w:val="000000" w:themeColor="text1"/>
          <w:lang w:val="es-ES"/>
        </w:rPr>
        <w:t xml:space="preserve">a </w:t>
      </w:r>
      <w:r w:rsidRPr="008F0527">
        <w:rPr>
          <w:rFonts w:ascii="Century Gothic" w:hAnsi="Century Gothic" w:eastAsia="Calibri" w:cs="Arial"/>
          <w:i/>
          <w:iCs/>
          <w:color w:val="000000" w:themeColor="text1"/>
          <w:lang w:val="es-ES"/>
        </w:rPr>
        <w:t>garantía de seriedad</w:t>
      </w:r>
      <w:r w:rsidRPr="008F0527">
        <w:rPr>
          <w:rFonts w:ascii="Century Gothic" w:hAnsi="Century Gothic" w:eastAsia="Calibri" w:cs="Arial"/>
          <w:color w:val="000000" w:themeColor="text1"/>
          <w:lang w:val="es-ES"/>
        </w:rPr>
        <w:t xml:space="preserve"> respalda al principio de irrevocabilidad de la oferta, caso en el cual los proponentes que pierdan interés en la adjudicación resarcirán los perjuicios causados por su retiro del proceso de selección. Naturalmente, esta garantía solo la constituyen quienes presenten las propuestas,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9"/>
      <w:r w:rsidRPr="008F0527">
        <w:rPr>
          <w:rStyle w:val="Refdenotaalpie"/>
          <w:rFonts w:ascii="Century Gothic" w:hAnsi="Century Gothic" w:eastAsia="Calibri" w:cs="Arial"/>
          <w:color w:val="000000" w:themeColor="text1"/>
        </w:rPr>
        <w:footnoteReference w:id="4"/>
      </w:r>
      <w:r w:rsidRPr="008F0527">
        <w:rPr>
          <w:rFonts w:ascii="Century Gothic" w:hAnsi="Century Gothic" w:eastAsia="Calibri" w:cs="Arial"/>
          <w:color w:val="000000" w:themeColor="text1"/>
          <w:lang w:val="es-ES"/>
        </w:rPr>
        <w:t>. Sobre este aspecto, la doctrina explica que:</w:t>
      </w:r>
    </w:p>
    <w:p w:rsidRPr="008F0527" w:rsidR="008A21EA" w:rsidP="008A21EA" w:rsidRDefault="008A21EA" w14:paraId="4DEE0115" w14:textId="77777777">
      <w:pPr>
        <w:spacing w:after="0" w:line="276" w:lineRule="auto"/>
        <w:jc w:val="both"/>
        <w:rPr>
          <w:rFonts w:ascii="Century Gothic" w:hAnsi="Century Gothic" w:eastAsia="Calibri" w:cs="Arial"/>
          <w:color w:val="000000" w:themeColor="text1"/>
          <w:lang w:val="es-ES"/>
        </w:rPr>
      </w:pPr>
    </w:p>
    <w:p w:rsidRPr="008F0527" w:rsidR="008A21EA" w:rsidP="008A21EA" w:rsidRDefault="008A21EA" w14:paraId="3EAC6503" w14:textId="77777777">
      <w:pPr>
        <w:spacing w:after="0" w:line="240" w:lineRule="auto"/>
        <w:ind w:left="709" w:right="709"/>
        <w:jc w:val="both"/>
        <w:rPr>
          <w:rFonts w:ascii="Century Gothic" w:hAnsi="Century Gothic" w:eastAsia="Calibri" w:cs="Arial"/>
          <w:color w:val="000000" w:themeColor="text1"/>
          <w:sz w:val="21"/>
          <w:szCs w:val="21"/>
          <w:lang w:val="es-ES"/>
        </w:rPr>
      </w:pPr>
      <w:r w:rsidRPr="008F0527">
        <w:rPr>
          <w:rFonts w:ascii="Century Gothic" w:hAnsi="Century Gothic" w:eastAsia="Calibri" w:cs="Arial"/>
          <w:color w:val="000000" w:themeColor="text1"/>
          <w:sz w:val="21"/>
          <w:szCs w:val="21"/>
          <w:lang w:val="es-ES"/>
        </w:rPr>
        <w:t xml:space="preserve">“Las </w:t>
      </w:r>
      <w:r w:rsidRPr="008F0527">
        <w:rPr>
          <w:rFonts w:ascii="Century Gothic" w:hAnsi="Century Gothic" w:eastAsia="Calibri" w:cs="Arial"/>
          <w:i/>
          <w:iCs/>
          <w:color w:val="000000" w:themeColor="text1"/>
          <w:sz w:val="21"/>
          <w:szCs w:val="21"/>
          <w:lang w:val="es-ES"/>
        </w:rPr>
        <w:t>garantías provisionales</w:t>
      </w:r>
      <w:r w:rsidRPr="008F0527">
        <w:rPr>
          <w:rFonts w:ascii="Century Gothic" w:hAnsi="Century Gothic" w:eastAsia="Calibri" w:cs="Arial"/>
          <w:color w:val="000000" w:themeColor="text1"/>
          <w:sz w:val="21"/>
          <w:szCs w:val="21"/>
          <w:lang w:val="es-ES"/>
        </w:rPr>
        <w:t xml:space="preserve"> “avalan la solemnidad de la oferta por parte del contratista”; constituyen una seña pre-contractual destinada a </w:t>
      </w:r>
      <w:r w:rsidRPr="008F0527">
        <w:rPr>
          <w:rFonts w:ascii="Century Gothic" w:hAnsi="Century Gothic" w:eastAsia="Calibri" w:cs="Arial"/>
          <w:i/>
          <w:iCs/>
          <w:color w:val="000000" w:themeColor="text1"/>
          <w:sz w:val="21"/>
          <w:szCs w:val="21"/>
          <w:lang w:val="es-ES"/>
        </w:rPr>
        <w:t>asegurar la celebración del contrato</w:t>
      </w:r>
      <w:r w:rsidRPr="008F0527">
        <w:rPr>
          <w:rFonts w:ascii="Century Gothic" w:hAnsi="Century Gothic" w:eastAsia="Calibri" w:cs="Arial"/>
          <w:color w:val="000000" w:themeColor="text1"/>
          <w:sz w:val="21"/>
          <w:szCs w:val="21"/>
          <w:lang w:val="es-ES"/>
        </w:rPr>
        <w:t xml:space="preserve">, no su cumplimiento. La administración procede a devolver a los oferentes no adjudicatarios, y a transformar en definitiva respecto al adjudicatario, las garantías provisionales, deduciéndose entonces que las </w:t>
      </w:r>
      <w:r w:rsidRPr="008F0527">
        <w:rPr>
          <w:rFonts w:ascii="Century Gothic" w:hAnsi="Century Gothic" w:eastAsia="Calibri" w:cs="Arial"/>
          <w:i/>
          <w:iCs/>
          <w:color w:val="000000" w:themeColor="text1"/>
          <w:sz w:val="21"/>
          <w:szCs w:val="21"/>
          <w:lang w:val="es-ES"/>
        </w:rPr>
        <w:t>arras</w:t>
      </w:r>
      <w:r w:rsidRPr="008F0527">
        <w:rPr>
          <w:rFonts w:ascii="Century Gothic" w:hAnsi="Century Gothic" w:eastAsia="Calibri" w:cs="Arial"/>
          <w:color w:val="000000" w:themeColor="text1"/>
          <w:sz w:val="21"/>
          <w:szCs w:val="21"/>
          <w:lang w:val="es-ES"/>
        </w:rPr>
        <w:t xml:space="preserve"> no forman parte del precio, ni son por tanto arras confirmatorias […], sino puramente penitenciales […] como garantías y compensación del </w:t>
      </w:r>
      <w:r w:rsidRPr="008F0527">
        <w:rPr>
          <w:rFonts w:ascii="Century Gothic" w:hAnsi="Century Gothic" w:eastAsia="Calibri" w:cs="Arial"/>
          <w:i/>
          <w:iCs/>
          <w:color w:val="000000" w:themeColor="text1"/>
          <w:sz w:val="21"/>
          <w:szCs w:val="21"/>
          <w:lang w:val="es-ES"/>
        </w:rPr>
        <w:t>ius poenitendi</w:t>
      </w:r>
      <w:r w:rsidRPr="008F0527">
        <w:rPr>
          <w:rFonts w:ascii="Century Gothic" w:hAnsi="Century Gothic" w:eastAsia="Calibri" w:cs="Arial"/>
          <w:color w:val="000000" w:themeColor="text1"/>
          <w:sz w:val="21"/>
          <w:szCs w:val="21"/>
          <w:lang w:val="es-ES"/>
        </w:rPr>
        <w:t xml:space="preserve"> del licitante. Son, en consecuencia, “la medida de la responsabilidad pre-contractual del oferente”; o, más bien, la garantía de oferta representa en definitiva la medida de la responsabilidad”</w:t>
      </w:r>
      <w:r w:rsidRPr="008F0527">
        <w:rPr>
          <w:rStyle w:val="Refdenotaalpie"/>
          <w:rFonts w:ascii="Century Gothic" w:hAnsi="Century Gothic" w:eastAsia="Calibri" w:cs="Arial"/>
          <w:color w:val="000000" w:themeColor="text1"/>
          <w:sz w:val="21"/>
          <w:szCs w:val="21"/>
        </w:rPr>
        <w:footnoteReference w:id="5"/>
      </w:r>
      <w:r w:rsidRPr="008F0527">
        <w:rPr>
          <w:rFonts w:ascii="Century Gothic" w:hAnsi="Century Gothic" w:eastAsia="Calibri" w:cs="Arial"/>
          <w:color w:val="000000" w:themeColor="text1"/>
          <w:sz w:val="21"/>
          <w:szCs w:val="21"/>
          <w:lang w:val="es-ES"/>
        </w:rPr>
        <w:t xml:space="preserve">. (Cursivas dentro del texto)   </w:t>
      </w:r>
    </w:p>
    <w:p w:rsidRPr="008F0527" w:rsidR="008A21EA" w:rsidP="008A21EA" w:rsidRDefault="008A21EA" w14:paraId="76ABEA85" w14:textId="77777777">
      <w:pPr>
        <w:spacing w:after="0" w:line="276" w:lineRule="auto"/>
        <w:jc w:val="both"/>
        <w:rPr>
          <w:rFonts w:ascii="Century Gothic" w:hAnsi="Century Gothic" w:eastAsia="Calibri" w:cs="Arial"/>
          <w:color w:val="000000" w:themeColor="text1"/>
          <w:lang w:val="es-ES"/>
        </w:rPr>
      </w:pPr>
    </w:p>
    <w:p w:rsidRPr="008F0527" w:rsidR="008A21EA" w:rsidP="008A21EA" w:rsidRDefault="008A21EA" w14:paraId="3C50E6A1" w14:textId="77777777">
      <w:pPr>
        <w:spacing w:after="120" w:line="276" w:lineRule="auto"/>
        <w:ind w:firstLine="709"/>
        <w:jc w:val="both"/>
        <w:rPr>
          <w:rFonts w:ascii="Century Gothic" w:hAnsi="Century Gothic" w:eastAsia="Calibri" w:cs="Arial"/>
          <w:color w:val="000000" w:themeColor="text1"/>
          <w:lang w:val="es-ES"/>
        </w:rPr>
      </w:pPr>
      <w:r w:rsidRPr="008F0527">
        <w:rPr>
          <w:rFonts w:ascii="Century Gothic" w:hAnsi="Century Gothic" w:eastAsia="Calibri" w:cs="Arial"/>
          <w:color w:val="000000" w:themeColor="text1"/>
          <w:lang w:val="es-ES"/>
        </w:rPr>
        <w:t xml:space="preserve">En contraste, mediante la </w:t>
      </w:r>
      <w:r w:rsidRPr="008F0527">
        <w:rPr>
          <w:rFonts w:ascii="Century Gothic" w:hAnsi="Century Gothic" w:eastAsia="Calibri" w:cs="Arial"/>
          <w:i/>
          <w:iCs/>
          <w:color w:val="000000" w:themeColor="text1"/>
          <w:lang w:val="es-ES"/>
        </w:rPr>
        <w:t>garantía de única de cumplimiento</w:t>
      </w:r>
      <w:r w:rsidRPr="008F0527">
        <w:rPr>
          <w:rFonts w:ascii="Century Gothic" w:hAnsi="Century Gothic" w:eastAsia="Calibri" w:cs="Arial"/>
          <w:color w:val="000000" w:themeColor="text1"/>
          <w:lang w:val="es-ES"/>
        </w:rPr>
        <w:t>, el contratista ampara los perjuicios que le pueda generar a la entidad el incumplimiento de las obligaciones derivadas del contrato</w:t>
      </w:r>
      <w:r w:rsidRPr="008F0527">
        <w:rPr>
          <w:rStyle w:val="Refdenotaalpie"/>
          <w:rFonts w:ascii="Century Gothic" w:hAnsi="Century Gothic" w:eastAsia="Calibri" w:cs="Arial"/>
          <w:color w:val="000000" w:themeColor="text1"/>
        </w:rPr>
        <w:footnoteReference w:id="6"/>
      </w:r>
      <w:r w:rsidRPr="008F0527">
        <w:rPr>
          <w:rFonts w:ascii="Century Gothic" w:hAnsi="Century Gothic" w:eastAsia="Calibri" w:cs="Arial"/>
          <w:color w:val="000000" w:themeColor="text1"/>
          <w:lang w:val="es-ES"/>
        </w:rPr>
        <w:t xml:space="preserve">. En esta medida, tienen como objetivo reparar los perjuicios causados por conductas atribuibles al contratista, por lo que </w:t>
      </w:r>
      <w:r w:rsidRPr="008F0527">
        <w:rPr>
          <w:rFonts w:ascii="Century Gothic" w:hAnsi="Century Gothic" w:eastAsia="Calibri" w:cs="Arial"/>
          <w:color w:val="000000" w:themeColor="text1"/>
          <w:lang w:val="es-ES"/>
        </w:rPr>
        <w:t xml:space="preserve">estos últimos son un presupuesto necesario para el pago que cubre la garantía. </w:t>
      </w:r>
      <w:r w:rsidRPr="008F0527">
        <w:rPr>
          <w:rFonts w:ascii="Century Gothic" w:hAnsi="Century Gothic" w:cs="Arial"/>
          <w:color w:val="000000" w:themeColor="text1"/>
          <w:lang w:val="es-ES_tradnl"/>
        </w:rPr>
        <w:t>Para estos efectos es única, ya que “[…] La prioridad […] es que no haya garantías separadas para los diferentes riesgos, aunque existan varias garantías para diferentes proporciones del interés asegurado […]”</w:t>
      </w:r>
      <w:r w:rsidRPr="008F0527">
        <w:rPr>
          <w:rStyle w:val="Refdenotaalpie"/>
          <w:rFonts w:ascii="Century Gothic" w:hAnsi="Century Gothic" w:cs="Arial"/>
          <w:color w:val="000000" w:themeColor="text1"/>
          <w:lang w:val="es-ES_tradnl"/>
        </w:rPr>
        <w:footnoteReference w:id="7"/>
      </w:r>
      <w:r w:rsidRPr="008F0527">
        <w:rPr>
          <w:rFonts w:ascii="Century Gothic" w:hAnsi="Century Gothic" w:cs="Arial"/>
          <w:color w:val="000000" w:themeColor="text1"/>
          <w:lang w:val="es-ES_tradnl"/>
        </w:rPr>
        <w:t xml:space="preserve">.    </w:t>
      </w:r>
    </w:p>
    <w:p w:rsidRPr="008F0527" w:rsidR="008A21EA" w:rsidP="008A21EA" w:rsidRDefault="008A21EA" w14:paraId="06AC8123" w14:textId="77777777">
      <w:pPr>
        <w:spacing w:after="120" w:line="276" w:lineRule="auto"/>
        <w:ind w:firstLine="708"/>
        <w:jc w:val="both"/>
        <w:rPr>
          <w:rFonts w:ascii="Century Gothic" w:hAnsi="Century Gothic" w:cs="Arial"/>
          <w:color w:val="000000" w:themeColor="text1"/>
          <w:lang w:val="es-ES"/>
        </w:rPr>
      </w:pPr>
      <w:r w:rsidRPr="73DC7492">
        <w:rPr>
          <w:rFonts w:ascii="Century Gothic" w:hAnsi="Century Gothic" w:cs="Arial"/>
          <w:color w:val="000000" w:themeColor="text1"/>
          <w:lang w:val="es-ES"/>
        </w:rPr>
        <w:t>Desde esta perspectiva, ambas garantías constituyen una obligación de seguridad, es decir, aquella donde el interés del acreedor no consiste en una utilidad específica y tangible, sino en la tranquilidad frente a ciertos riesgos por la cobertura de sus consecuencias nocivas. Conforme al inciso segundo del artículo 7 de la Ley 1150 de 2007, pueden otorgarse a través de: i) contratos de seguro, ii) garantías bancarias o iii) los demás mecanismos de cobertura del riesgo que disponga el reglamento. Igualmente establece que “[…] tratándose de pólizas, las mismas no expirarán por falta de pago de la prima o por revocatoria unilateral […]”. Esta norma es una excepción a la terminación automática del contrato de seguro prevista en los artículos 1068 y 1071 del Código de Comercio</w:t>
      </w:r>
      <w:r w:rsidRPr="73DC7492">
        <w:rPr>
          <w:rStyle w:val="Refdenotaalpie"/>
          <w:rFonts w:ascii="Century Gothic" w:hAnsi="Century Gothic" w:cs="Arial"/>
          <w:color w:val="000000" w:themeColor="text1"/>
          <w:lang w:val="es-ES"/>
        </w:rPr>
        <w:footnoteReference w:id="8"/>
      </w:r>
      <w:r w:rsidRPr="73DC7492">
        <w:rPr>
          <w:rFonts w:ascii="Century Gothic" w:hAnsi="Century Gothic" w:cs="Arial"/>
          <w:color w:val="000000" w:themeColor="text1"/>
          <w:lang w:val="es-ES"/>
        </w:rPr>
        <w:t>. De esta manera, las garantías previstas en la ley tienen como objetivo asegurar la solvencia del garante</w:t>
      </w:r>
      <w:r w:rsidRPr="73DC7492">
        <w:rPr>
          <w:rStyle w:val="Refdenotaalpie"/>
          <w:rFonts w:ascii="Century Gothic" w:hAnsi="Century Gothic" w:cs="Arial"/>
          <w:color w:val="000000" w:themeColor="text1"/>
          <w:lang w:val="es-ES"/>
        </w:rPr>
        <w:footnoteReference w:id="9"/>
      </w:r>
      <w:r w:rsidRPr="73DC7492">
        <w:rPr>
          <w:rFonts w:ascii="Century Gothic" w:hAnsi="Century Gothic" w:cs="Arial"/>
          <w:color w:val="000000" w:themeColor="text1"/>
          <w:lang w:val="es-ES"/>
        </w:rPr>
        <w:t>.</w:t>
      </w:r>
    </w:p>
    <w:p w:rsidRPr="008F0527" w:rsidR="008A21EA" w:rsidP="008A21EA" w:rsidRDefault="008A21EA" w14:paraId="22E2DC9B" w14:textId="77777777">
      <w:pPr>
        <w:spacing w:after="120" w:line="276" w:lineRule="auto"/>
        <w:ind w:firstLine="708"/>
        <w:jc w:val="both"/>
        <w:rPr>
          <w:rFonts w:ascii="Century Gothic" w:hAnsi="Century Gothic" w:cs="Arial"/>
          <w:color w:val="000000" w:themeColor="text1"/>
        </w:rPr>
      </w:pPr>
      <w:r w:rsidRPr="008F0527">
        <w:rPr>
          <w:rFonts w:ascii="Century Gothic" w:hAnsi="Century Gothic" w:cs="Arial"/>
          <w:color w:val="000000" w:themeColor="text1"/>
        </w:rPr>
        <w:t xml:space="preserve">El Decreto 1082 de 2015 reglamenta las condiciones en que debe cumplirse esta obligación. Los artículos 2.2.1.2.3.1.1 a 2.2.1.2.3.1.19 del Decreto Único Reglamentario del sector Administrativo de Planeación Nacional regulan asuntos como las clases de garantías permitidas, </w:t>
      </w:r>
      <w:r>
        <w:rPr>
          <w:rFonts w:ascii="Century Gothic" w:hAnsi="Century Gothic" w:cs="Arial"/>
          <w:color w:val="000000" w:themeColor="text1"/>
        </w:rPr>
        <w:t>su</w:t>
      </w:r>
      <w:r w:rsidRPr="008F0527">
        <w:rPr>
          <w:rFonts w:ascii="Century Gothic" w:hAnsi="Century Gothic" w:cs="Arial"/>
          <w:color w:val="000000" w:themeColor="text1"/>
        </w:rPr>
        <w:t xml:space="preserve"> indivisibilidad, los diferentes riesgos que deben ser objeto de garantía, la vigencia y valores mínimos que deben cubrir los amparos, entre otros aspectos. </w:t>
      </w:r>
    </w:p>
    <w:p w:rsidRPr="008F0527" w:rsidR="008A21EA" w:rsidP="008A21EA" w:rsidRDefault="008A21EA" w14:paraId="7435E552" w14:textId="77777777">
      <w:pPr>
        <w:spacing w:after="120" w:line="276" w:lineRule="auto"/>
        <w:ind w:firstLine="709"/>
        <w:jc w:val="both"/>
        <w:rPr>
          <w:rFonts w:ascii="Century Gothic" w:hAnsi="Century Gothic" w:eastAsia="Times New Roman" w:cs="Arial"/>
          <w:color w:val="000000" w:themeColor="text1"/>
          <w:lang w:eastAsia="es-CO"/>
        </w:rPr>
      </w:pPr>
      <w:r w:rsidRPr="008F0527">
        <w:rPr>
          <w:rFonts w:ascii="Century Gothic" w:hAnsi="Century Gothic" w:cs="Arial"/>
          <w:color w:val="000000" w:themeColor="text1"/>
        </w:rPr>
        <w:t>El artículo 2.2.1.2.3.1.3</w:t>
      </w:r>
      <w:r>
        <w:rPr>
          <w:rFonts w:ascii="Century Gothic" w:hAnsi="Century Gothic" w:cs="Arial"/>
          <w:color w:val="000000" w:themeColor="text1"/>
        </w:rPr>
        <w:t>, por ejemplo,</w:t>
      </w:r>
      <w:r w:rsidRPr="008F0527">
        <w:rPr>
          <w:rFonts w:ascii="Century Gothic" w:hAnsi="Century Gothic" w:cs="Arial"/>
          <w:color w:val="000000" w:themeColor="text1"/>
        </w:rPr>
        <w:t xml:space="preserve"> establece que la “garantía de cobertura del Riesgo es indivisible”, además de la obligación de los contratantes de establecer en los pliegos de condiciones las garantías exigidas para cada periodo </w:t>
      </w:r>
      <w:r w:rsidRPr="008F0527">
        <w:rPr>
          <w:rFonts w:ascii="Century Gothic" w:hAnsi="Century Gothic" w:cs="Arial"/>
          <w:color w:val="000000" w:themeColor="text1"/>
        </w:rPr>
        <w:t>contractual</w:t>
      </w:r>
      <w:r w:rsidRPr="008F0527">
        <w:rPr>
          <w:rStyle w:val="Refdenotaalpie"/>
          <w:rFonts w:ascii="Century Gothic" w:hAnsi="Century Gothic" w:cs="Arial"/>
          <w:color w:val="000000" w:themeColor="text1"/>
        </w:rPr>
        <w:footnoteReference w:id="10"/>
      </w:r>
      <w:r w:rsidRPr="008F0527">
        <w:rPr>
          <w:rFonts w:ascii="Century Gothic" w:hAnsi="Century Gothic" w:cs="Arial"/>
          <w:color w:val="000000" w:themeColor="text1"/>
        </w:rPr>
        <w:t xml:space="preserve">. Por su parte, el artículo 2.2.1.3.1.7 prescribe que la garantía de cumplimiento debe cubrir: i) el buen manejo y correcta inversión del anticipo; ii) la devolución del pago anticipado; iii) el cumplimiento del contrato; iv) el pago de salarios, prestaciones sociales legales e indemnizaciones laborales; v)  la estabilidad y calidad de la obra; vi) la </w:t>
      </w:r>
      <w:r w:rsidRPr="008F0527">
        <w:rPr>
          <w:rFonts w:ascii="Century Gothic" w:hAnsi="Century Gothic" w:eastAsia="Times New Roman" w:cs="Arial"/>
          <w:color w:val="000000" w:themeColor="text1"/>
          <w:lang w:eastAsia="es-CO"/>
        </w:rPr>
        <w:t>calidad del servicio; vii) la calidad y correcto funcionamiento de los bienes; y viii) los demás incumplimientos de las obligaciones que la entidad estatal considere deben ser amparados</w:t>
      </w:r>
      <w:r w:rsidRPr="008F0527">
        <w:rPr>
          <w:rStyle w:val="Refdenotaalpie"/>
          <w:rFonts w:ascii="Century Gothic" w:hAnsi="Century Gothic" w:eastAsia="Times New Roman" w:cs="Arial"/>
          <w:color w:val="000000" w:themeColor="text1"/>
          <w:lang w:eastAsia="es-CO"/>
        </w:rPr>
        <w:footnoteReference w:id="11"/>
      </w:r>
      <w:r w:rsidRPr="008F0527">
        <w:rPr>
          <w:rFonts w:ascii="Century Gothic" w:hAnsi="Century Gothic" w:eastAsia="Times New Roman" w:cs="Arial"/>
          <w:color w:val="000000" w:themeColor="text1"/>
          <w:lang w:eastAsia="es-CO"/>
        </w:rPr>
        <w:t xml:space="preserve">. Esto además de la póliza </w:t>
      </w:r>
      <w:r w:rsidRPr="008F0527">
        <w:rPr>
          <w:rFonts w:ascii="Century Gothic" w:hAnsi="Century Gothic" w:eastAsia="Times New Roman" w:cs="Arial"/>
          <w:color w:val="000000" w:themeColor="text1"/>
          <w:lang w:eastAsia="es-CO"/>
        </w:rPr>
        <w:t xml:space="preserve">de responsabilidad civil extracontractual en los contratos de obra, así en aquellos en que por su objeto o naturaleza se considere necesario con ocasión de los riesgos previstos en el negocio, de acuerdo con el artículo 2.2.1.2.3.1.8 </w:t>
      </w:r>
      <w:r w:rsidRPr="008F0527">
        <w:rPr>
          <w:rFonts w:ascii="Century Gothic" w:hAnsi="Century Gothic" w:eastAsia="Times New Roman" w:cs="Arial"/>
          <w:i/>
          <w:iCs/>
          <w:color w:val="000000" w:themeColor="text1"/>
          <w:lang w:eastAsia="es-CO"/>
        </w:rPr>
        <w:t>ibidem</w:t>
      </w:r>
      <w:r w:rsidRPr="008F0527">
        <w:rPr>
          <w:rFonts w:ascii="Century Gothic" w:hAnsi="Century Gothic" w:eastAsia="Times New Roman" w:cs="Arial"/>
          <w:color w:val="000000" w:themeColor="text1"/>
          <w:lang w:eastAsia="es-CO"/>
        </w:rPr>
        <w:t>.</w:t>
      </w:r>
    </w:p>
    <w:p w:rsidRPr="008F0527" w:rsidR="008A21EA" w:rsidP="008A21EA" w:rsidRDefault="008A21EA" w14:paraId="52AB71C6" w14:textId="5B269B3F">
      <w:pPr>
        <w:spacing w:after="120" w:line="276" w:lineRule="auto"/>
        <w:ind w:firstLine="709"/>
        <w:jc w:val="both"/>
        <w:rPr>
          <w:rFonts w:ascii="Century Gothic" w:hAnsi="Century Gothic" w:eastAsia="Times New Roman" w:cs="Arial"/>
          <w:color w:val="000000" w:themeColor="text1"/>
          <w:lang w:eastAsia="es-CO"/>
        </w:rPr>
      </w:pPr>
      <w:r w:rsidRPr="008F0527">
        <w:rPr>
          <w:rFonts w:ascii="Century Gothic" w:hAnsi="Century Gothic" w:eastAsia="Times New Roman" w:cs="Arial"/>
          <w:color w:val="000000" w:themeColor="text1"/>
          <w:lang w:eastAsia="es-CO"/>
        </w:rPr>
        <w:t xml:space="preserve">Particularmente, los artículos 2.2.1.2.3.1.14 y 2.2.1.2.3.1.15 regulan la suficiencia de la garantía de estabilidad y calidad de la </w:t>
      </w:r>
      <w:r w:rsidRPr="008F0527" w:rsidR="00F57C57">
        <w:rPr>
          <w:rFonts w:ascii="Century Gothic" w:hAnsi="Century Gothic" w:eastAsia="Times New Roman" w:cs="Arial"/>
          <w:color w:val="000000" w:themeColor="text1"/>
          <w:lang w:eastAsia="es-CO"/>
        </w:rPr>
        <w:t>obra,</w:t>
      </w:r>
      <w:r w:rsidRPr="008F0527">
        <w:rPr>
          <w:rFonts w:ascii="Century Gothic" w:hAnsi="Century Gothic" w:eastAsia="Times New Roman" w:cs="Arial"/>
          <w:color w:val="000000" w:themeColor="text1"/>
          <w:lang w:eastAsia="es-CO"/>
        </w:rPr>
        <w:t xml:space="preserve"> así como de la garantía de calidad del servicio. Respecto a la primera, por regla general, salvo justificación técnica que permita extenderla por mínimo un (1) año, “Esta garantía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En la segunda, por su parte, “La Entidad Estatal debe determinar el 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 2011”. Como se observa, ninguno de estos amparos está sujeto a la liquidación. </w:t>
      </w:r>
    </w:p>
    <w:p w:rsidRPr="008F0527" w:rsidR="008A21EA" w:rsidP="008A21EA" w:rsidRDefault="008A21EA" w14:paraId="1638A3DB" w14:textId="77777777">
      <w:pPr>
        <w:spacing w:before="120" w:after="0" w:line="276" w:lineRule="auto"/>
        <w:ind w:firstLine="708"/>
        <w:jc w:val="both"/>
        <w:rPr>
          <w:rFonts w:ascii="Century Gothic" w:hAnsi="Century Gothic" w:eastAsia="Calibri" w:cs="Arial"/>
        </w:rPr>
      </w:pPr>
      <w:r>
        <w:rPr>
          <w:rFonts w:ascii="Century Gothic" w:hAnsi="Century Gothic" w:eastAsia="Times New Roman" w:cs="Arial"/>
          <w:color w:val="000000" w:themeColor="text1"/>
          <w:lang w:eastAsia="es-CO"/>
        </w:rPr>
        <w:t>En contraste</w:t>
      </w:r>
      <w:r w:rsidRPr="008F0527">
        <w:rPr>
          <w:rFonts w:ascii="Century Gothic" w:hAnsi="Century Gothic" w:eastAsia="Times New Roman" w:cs="Arial"/>
          <w:color w:val="000000" w:themeColor="text1"/>
          <w:lang w:eastAsia="es-CO"/>
        </w:rPr>
        <w:t>, el artículo 2.2.1.2.3.1.12 regula la suficiencia de la garantía de cumplimiento. Esta debe tener una vigencia mínima hasta la liquidación y, por regla general un valor de por lo menos el diez por ciento (10%) del total del contrato, siempre que este sea inferior a un millón (1.000.000) de smmlv</w:t>
      </w:r>
      <w:r w:rsidRPr="008F0527">
        <w:rPr>
          <w:rStyle w:val="Refdenotaalpie"/>
          <w:rFonts w:ascii="Century Gothic" w:hAnsi="Century Gothic" w:eastAsia="Times New Roman" w:cs="Arial"/>
          <w:color w:val="000000" w:themeColor="text1"/>
          <w:lang w:eastAsia="es-CO"/>
        </w:rPr>
        <w:footnoteReference w:id="12"/>
      </w:r>
      <w:r w:rsidRPr="008F0527">
        <w:rPr>
          <w:rFonts w:ascii="Century Gothic" w:hAnsi="Century Gothic" w:eastAsia="Times New Roman" w:cs="Arial"/>
          <w:color w:val="000000" w:themeColor="text1"/>
          <w:lang w:eastAsia="es-CO"/>
        </w:rPr>
        <w:t xml:space="preserve">. Conforme la norma citada, el amparo cubre tanto el </w:t>
      </w:r>
      <w:r w:rsidRPr="008F0527">
        <w:rPr>
          <w:rFonts w:ascii="Century Gothic" w:hAnsi="Century Gothic" w:eastAsia="Times New Roman" w:cs="Arial"/>
          <w:i/>
          <w:iCs/>
          <w:color w:val="000000" w:themeColor="text1"/>
          <w:lang w:eastAsia="es-CO"/>
        </w:rPr>
        <w:t>plazo de ejecución</w:t>
      </w:r>
      <w:r w:rsidRPr="008F0527">
        <w:rPr>
          <w:rFonts w:ascii="Century Gothic" w:hAnsi="Century Gothic" w:eastAsia="Times New Roman" w:cs="Arial"/>
          <w:color w:val="000000" w:themeColor="text1"/>
          <w:lang w:eastAsia="es-CO"/>
        </w:rPr>
        <w:t xml:space="preserve"> como el </w:t>
      </w:r>
      <w:r w:rsidRPr="008F0527">
        <w:rPr>
          <w:rFonts w:ascii="Century Gothic" w:hAnsi="Century Gothic" w:eastAsia="Times New Roman" w:cs="Arial"/>
          <w:i/>
          <w:iCs/>
          <w:color w:val="000000" w:themeColor="text1"/>
          <w:lang w:eastAsia="es-CO"/>
        </w:rPr>
        <w:t xml:space="preserve">plazo de </w:t>
      </w:r>
      <w:r w:rsidRPr="008F0527">
        <w:rPr>
          <w:rFonts w:ascii="Century Gothic" w:hAnsi="Century Gothic" w:eastAsia="Times New Roman" w:cs="Arial"/>
          <w:i/>
          <w:iCs/>
          <w:color w:val="000000" w:themeColor="text1"/>
          <w:lang w:eastAsia="es-CO"/>
        </w:rPr>
        <w:t>vigencia</w:t>
      </w:r>
      <w:r w:rsidRPr="008F0527">
        <w:rPr>
          <w:rFonts w:ascii="Century Gothic" w:hAnsi="Century Gothic" w:eastAsia="Times New Roman" w:cs="Arial"/>
          <w:color w:val="000000" w:themeColor="text1"/>
          <w:lang w:eastAsia="es-CO"/>
        </w:rPr>
        <w:t xml:space="preserve"> del contrato. </w:t>
      </w:r>
      <w:r w:rsidRPr="008F0527">
        <w:rPr>
          <w:rFonts w:ascii="Century Gothic" w:hAnsi="Century Gothic" w:eastAsia="Calibri" w:cs="Arial"/>
        </w:rPr>
        <w:t xml:space="preserve">Al respecto, la jurisprudencia define el </w:t>
      </w:r>
      <w:r w:rsidRPr="008F0527">
        <w:rPr>
          <w:rFonts w:ascii="Century Gothic" w:hAnsi="Century Gothic" w:eastAsia="Calibri" w:cs="Arial"/>
          <w:i/>
          <w:iCs/>
        </w:rPr>
        <w:t>plazo de ejecución</w:t>
      </w:r>
      <w:r w:rsidRPr="008F0527">
        <w:rPr>
          <w:rFonts w:ascii="Century Gothic" w:hAnsi="Century Gothic" w:eastAsia="Calibri" w:cs="Arial"/>
        </w:rPr>
        <w:t xml:space="preserve"> como el establecido para la realización de las prestaciones contractuales y, de igual forma, considera que el </w:t>
      </w:r>
      <w:r w:rsidRPr="008F0527">
        <w:rPr>
          <w:rFonts w:ascii="Century Gothic" w:hAnsi="Century Gothic" w:eastAsia="Calibri" w:cs="Arial"/>
          <w:i/>
          <w:iCs/>
        </w:rPr>
        <w:t>plazo de vigencia</w:t>
      </w:r>
      <w:r w:rsidRPr="008F0527">
        <w:rPr>
          <w:rFonts w:ascii="Century Gothic" w:hAnsi="Century Gothic" w:eastAsia="Calibri" w:cs="Arial"/>
        </w:rPr>
        <w:t xml:space="preserve"> de este no ha finalizado mientras subsista la obligación para las partes de liquidar el contrato</w:t>
      </w:r>
      <w:r w:rsidRPr="008F0527">
        <w:rPr>
          <w:rStyle w:val="Refdenotaalpie"/>
          <w:rFonts w:ascii="Century Gothic" w:hAnsi="Century Gothic" w:eastAsia="Calibri" w:cs="Arial"/>
        </w:rPr>
        <w:footnoteReference w:id="13"/>
      </w:r>
      <w:r w:rsidRPr="008F0527">
        <w:rPr>
          <w:rFonts w:ascii="Century Gothic" w:hAnsi="Century Gothic" w:eastAsia="Calibri" w:cs="Arial"/>
        </w:rPr>
        <w:t>. Por ello, explica lo siguiente:</w:t>
      </w:r>
    </w:p>
    <w:p w:rsidRPr="008F0527" w:rsidR="008A21EA" w:rsidP="008A21EA" w:rsidRDefault="008A21EA" w14:paraId="15F2C3C1" w14:textId="77777777">
      <w:pPr>
        <w:spacing w:after="0" w:line="276" w:lineRule="auto"/>
        <w:ind w:firstLine="708"/>
        <w:jc w:val="both"/>
        <w:rPr>
          <w:rFonts w:ascii="Century Gothic" w:hAnsi="Century Gothic" w:eastAsia="Calibri" w:cs="Arial"/>
        </w:rPr>
      </w:pPr>
    </w:p>
    <w:p w:rsidRPr="008F0527" w:rsidR="008A21EA" w:rsidP="008A21EA" w:rsidRDefault="008A21EA" w14:paraId="1D4C89A0" w14:textId="77777777">
      <w:pPr>
        <w:spacing w:after="0"/>
        <w:ind w:left="709" w:right="709"/>
        <w:jc w:val="both"/>
        <w:rPr>
          <w:rFonts w:ascii="Century Gothic" w:hAnsi="Century Gothic" w:eastAsia="Times New Roman" w:cs="Arial"/>
          <w:color w:val="000000" w:themeColor="text1"/>
          <w:sz w:val="21"/>
          <w:szCs w:val="21"/>
          <w:lang w:eastAsia="es-CO"/>
        </w:rPr>
      </w:pPr>
      <w:r w:rsidRPr="008F0527">
        <w:rPr>
          <w:rFonts w:ascii="Century Gothic" w:hAnsi="Century Gothic" w:eastAsia="Times New Roman" w:cs="Arial"/>
          <w:color w:val="000000" w:themeColor="text1"/>
          <w:sz w:val="21"/>
          <w:szCs w:val="21"/>
          <w:lang w:eastAsia="es-CO"/>
        </w:rPr>
        <w:t>“[…] si bien es cierto en la mayoría de los casos el plazo del contrato coincide con el de ejecución de la obra, con la entrega del suministro, con la prestación del servicio, también lo es, que este plazo no constituye propiamente hablando el periodo de ejecución del contrato porque al finalizar el plazo que se ha destinado para el cumplimiento de la obligación principal por parte del contratista las partes no quedan liberadas de pleno derecho mientras no se extingan todas las obligaciones adquiridas, lo cual se cumple necesariamente en la etapa de liquidación del contrato en la cual es donde la administración puede valorar el cumplimiento total de las obligaciones a cargo del contratista y es la que le pone término a la vinculación de las partes”</w:t>
      </w:r>
      <w:r w:rsidRPr="008F0527">
        <w:rPr>
          <w:rStyle w:val="Refdenotaalpie"/>
          <w:rFonts w:ascii="Century Gothic" w:hAnsi="Century Gothic" w:eastAsia="Times New Roman" w:cs="Arial"/>
          <w:color w:val="000000" w:themeColor="text1"/>
          <w:sz w:val="21"/>
          <w:szCs w:val="21"/>
          <w:lang w:eastAsia="es-CO"/>
        </w:rPr>
        <w:footnoteReference w:id="14"/>
      </w:r>
      <w:r w:rsidRPr="008F0527">
        <w:rPr>
          <w:rFonts w:ascii="Century Gothic" w:hAnsi="Century Gothic" w:eastAsia="Times New Roman" w:cs="Arial"/>
          <w:color w:val="000000" w:themeColor="text1"/>
          <w:sz w:val="21"/>
          <w:szCs w:val="21"/>
          <w:lang w:eastAsia="es-CO"/>
        </w:rPr>
        <w:t>.</w:t>
      </w:r>
    </w:p>
    <w:p w:rsidRPr="008F0527" w:rsidR="008A21EA" w:rsidP="008A21EA" w:rsidRDefault="008A21EA" w14:paraId="1C486FAE" w14:textId="77777777">
      <w:pPr>
        <w:spacing w:after="0" w:line="276" w:lineRule="auto"/>
        <w:jc w:val="both"/>
        <w:rPr>
          <w:rFonts w:ascii="Century Gothic" w:hAnsi="Century Gothic" w:eastAsia="Times New Roman" w:cs="Arial"/>
          <w:color w:val="000000" w:themeColor="text1"/>
          <w:lang w:eastAsia="es-CO"/>
        </w:rPr>
      </w:pPr>
    </w:p>
    <w:p w:rsidR="008A21EA" w:rsidP="008A21EA" w:rsidRDefault="008A21EA" w14:paraId="21F134AA" w14:textId="77777777">
      <w:pPr>
        <w:spacing w:after="0" w:line="276" w:lineRule="auto"/>
        <w:ind w:firstLine="709"/>
        <w:jc w:val="both"/>
        <w:rPr>
          <w:rFonts w:ascii="Century Gothic" w:hAnsi="Century Gothic" w:eastAsia="Times New Roman" w:cs="Arial"/>
          <w:color w:val="000000" w:themeColor="text1"/>
          <w:lang w:eastAsia="es-CO"/>
        </w:rPr>
      </w:pPr>
      <w:r w:rsidRPr="008F0527">
        <w:rPr>
          <w:rFonts w:ascii="Century Gothic" w:hAnsi="Century Gothic" w:eastAsia="Times New Roman" w:cs="Arial"/>
          <w:color w:val="000000" w:themeColor="text1"/>
          <w:lang w:eastAsia="es-CO"/>
        </w:rPr>
        <w:t xml:space="preserve">Así, la cobertura mínima del amparo de cumplimiento cubre el </w:t>
      </w:r>
      <w:r w:rsidRPr="008F0527">
        <w:rPr>
          <w:rFonts w:ascii="Century Gothic" w:hAnsi="Century Gothic" w:eastAsia="Times New Roman" w:cs="Arial"/>
          <w:i/>
          <w:iCs/>
          <w:color w:val="000000" w:themeColor="text1"/>
          <w:lang w:eastAsia="es-CO"/>
        </w:rPr>
        <w:t>plazo de ejecución</w:t>
      </w:r>
      <w:r w:rsidRPr="008F0527">
        <w:rPr>
          <w:rFonts w:ascii="Century Gothic" w:hAnsi="Century Gothic" w:eastAsia="Times New Roman" w:cs="Arial"/>
          <w:color w:val="000000" w:themeColor="text1"/>
          <w:lang w:eastAsia="es-CO"/>
        </w:rPr>
        <w:t xml:space="preserve"> y el </w:t>
      </w:r>
      <w:r w:rsidRPr="008F0527">
        <w:rPr>
          <w:rFonts w:ascii="Century Gothic" w:hAnsi="Century Gothic" w:eastAsia="Times New Roman" w:cs="Arial"/>
          <w:i/>
          <w:iCs/>
          <w:color w:val="000000" w:themeColor="text1"/>
          <w:lang w:eastAsia="es-CO"/>
        </w:rPr>
        <w:t>plazo de vigencia</w:t>
      </w:r>
      <w:r w:rsidRPr="008F0527">
        <w:rPr>
          <w:rFonts w:ascii="Century Gothic" w:hAnsi="Century Gothic" w:eastAsia="Times New Roman" w:cs="Arial"/>
          <w:color w:val="000000" w:themeColor="text1"/>
          <w:lang w:eastAsia="es-CO"/>
        </w:rPr>
        <w:t>, el cual finaliza con la liquidación. En palabras de la doctrina, “[…] el contratista deberá otorgarla con una vigencia igual al plazo del contrato garantizado más el plazo contractual previsto para la liquidación de aquel. En caso de no haberse convenido por las partes un término para la liquidación del contrato, la garantía deberá mantenerse vigente por el término legal previsto para este efecto […]”</w:t>
      </w:r>
      <w:r w:rsidRPr="008F0527">
        <w:rPr>
          <w:rStyle w:val="Refdenotaalpie"/>
          <w:rFonts w:ascii="Century Gothic" w:hAnsi="Century Gothic" w:eastAsia="Times New Roman" w:cs="Arial"/>
          <w:color w:val="000000" w:themeColor="text1"/>
          <w:lang w:eastAsia="es-CO"/>
        </w:rPr>
        <w:footnoteReference w:id="15"/>
      </w:r>
      <w:r w:rsidRPr="008F0527">
        <w:rPr>
          <w:rFonts w:ascii="Century Gothic" w:hAnsi="Century Gothic" w:eastAsia="Times New Roman" w:cs="Arial"/>
          <w:color w:val="000000" w:themeColor="text1"/>
          <w:lang w:eastAsia="es-CO"/>
        </w:rPr>
        <w:t>. Teniendo en cuenta lo anterior, corresponde analizar los plazos para liquidar los contratos estatales, aspecto que se abordará en el siguiente apartado.</w:t>
      </w:r>
    </w:p>
    <w:p w:rsidRPr="00975A9B" w:rsidR="008A21EA" w:rsidP="008A21EA" w:rsidRDefault="008A21EA" w14:paraId="3D7E180D" w14:textId="77777777">
      <w:pPr>
        <w:spacing w:after="0" w:line="276" w:lineRule="auto"/>
        <w:jc w:val="both"/>
        <w:rPr>
          <w:rFonts w:ascii="Century Gothic" w:hAnsi="Century Gothic" w:eastAsia="Times New Roman" w:cs="Arial"/>
          <w:color w:val="000000" w:themeColor="text1"/>
          <w:lang w:eastAsia="es-CO"/>
        </w:rPr>
      </w:pPr>
    </w:p>
    <w:p w:rsidRPr="00975A9B" w:rsidR="008A21EA" w:rsidP="008A21EA" w:rsidRDefault="008A21EA" w14:paraId="296D90B4" w14:textId="77777777">
      <w:pPr>
        <w:pStyle w:val="Prrafodelista"/>
        <w:tabs>
          <w:tab w:val="left" w:pos="284"/>
        </w:tabs>
        <w:spacing w:after="0" w:line="276" w:lineRule="auto"/>
        <w:ind w:left="0"/>
        <w:jc w:val="both"/>
        <w:rPr>
          <w:rFonts w:ascii="Century Gothic" w:hAnsi="Century Gothic" w:cs="Arial"/>
          <w:b/>
          <w:color w:val="000000" w:themeColor="text1"/>
          <w:lang w:val="es-ES_tradnl"/>
        </w:rPr>
      </w:pPr>
      <w:r w:rsidRPr="00975A9B">
        <w:rPr>
          <w:rFonts w:ascii="Century Gothic" w:hAnsi="Century Gothic" w:cs="Arial"/>
          <w:b/>
          <w:color w:val="000000" w:themeColor="text1"/>
          <w:lang w:val="es-ES_tradnl"/>
        </w:rPr>
        <w:t>2.2. Liquidación del contrato estatal</w:t>
      </w:r>
    </w:p>
    <w:p w:rsidRPr="00975A9B" w:rsidR="008A21EA" w:rsidP="008A21EA" w:rsidRDefault="008A21EA" w14:paraId="6B550508" w14:textId="77777777">
      <w:pPr>
        <w:spacing w:after="0" w:line="276" w:lineRule="auto"/>
        <w:jc w:val="both"/>
        <w:rPr>
          <w:rFonts w:ascii="Century Gothic" w:hAnsi="Century Gothic" w:cs="Arial"/>
          <w:lang w:val="es-ES_tradnl"/>
        </w:rPr>
      </w:pPr>
    </w:p>
    <w:p w:rsidRPr="00975A9B" w:rsidR="008A21EA" w:rsidP="008A21EA" w:rsidRDefault="008A21EA" w14:paraId="37AEF439" w14:textId="77777777">
      <w:pPr>
        <w:spacing w:after="0" w:line="276" w:lineRule="auto"/>
        <w:jc w:val="both"/>
        <w:rPr>
          <w:rFonts w:ascii="Century Gothic" w:hAnsi="Century Gothic" w:cs="Arial"/>
          <w:lang w:val="es-ES"/>
        </w:rPr>
      </w:pPr>
      <w:r w:rsidRPr="73DC7492">
        <w:rPr>
          <w:rFonts w:ascii="Century Gothic" w:hAnsi="Century Gothic" w:cs="Arial"/>
          <w:lang w:val="es-ES"/>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73DC7492">
        <w:rPr>
          <w:rFonts w:ascii="Century Gothic" w:hAnsi="Century Gothic" w:cs="Arial"/>
          <w:i/>
          <w:lang w:val="es-ES"/>
        </w:rPr>
        <w:t>liquidar</w:t>
      </w:r>
      <w:r w:rsidRPr="73DC7492">
        <w:rPr>
          <w:rFonts w:ascii="Century Gothic" w:hAnsi="Century Gothic" w:cs="Arial"/>
          <w:lang w:val="es-ES"/>
        </w:rPr>
        <w:t xml:space="preserve"> supone un ajuste en relación con las cuentas y el estado de </w:t>
      </w:r>
      <w:r w:rsidRPr="73DC7492">
        <w:rPr>
          <w:rFonts w:ascii="Century Gothic" w:hAnsi="Century Gothic" w:cs="Arial"/>
          <w:lang w:val="es-ES"/>
        </w:rPr>
        <w:t xml:space="preserve">cumplimiento del contrato estatal y, por otro, que la </w:t>
      </w:r>
      <w:r w:rsidRPr="73DC7492">
        <w:rPr>
          <w:rFonts w:ascii="Century Gothic" w:hAnsi="Century Gothic" w:cs="Arial"/>
          <w:i/>
          <w:lang w:val="es-ES"/>
        </w:rPr>
        <w:t>liquidación</w:t>
      </w:r>
      <w:r w:rsidRPr="73DC7492">
        <w:rPr>
          <w:rFonts w:ascii="Century Gothic" w:hAnsi="Century Gothic" w:cs="Arial"/>
          <w:lang w:val="es-ES"/>
        </w:rPr>
        <w:t xml:space="preserve"> debe incluir el análisis de las condiciones de calidad y oportunidad en la entrega de los bienes, obras o servicios, así como el balance económico y el comportamiento financiero del negocio</w:t>
      </w:r>
      <w:r w:rsidRPr="73DC7492">
        <w:rPr>
          <w:rStyle w:val="Refdenotaalpie"/>
          <w:rFonts w:ascii="Century Gothic" w:hAnsi="Century Gothic" w:cs="Arial"/>
          <w:lang w:val="es-ES"/>
        </w:rPr>
        <w:footnoteReference w:id="16"/>
      </w:r>
      <w:r w:rsidRPr="73DC7492">
        <w:rPr>
          <w:rFonts w:ascii="Century Gothic" w:hAnsi="Century Gothic" w:cs="Arial"/>
          <w:lang w:val="es-ES"/>
        </w:rPr>
        <w:t>. En tal sentido, explica:</w:t>
      </w:r>
    </w:p>
    <w:p w:rsidRPr="00975A9B" w:rsidR="008A21EA" w:rsidP="008A21EA" w:rsidRDefault="008A21EA" w14:paraId="4DDC1356" w14:textId="77777777">
      <w:pPr>
        <w:spacing w:after="0" w:line="276" w:lineRule="auto"/>
        <w:ind w:firstLine="708"/>
        <w:jc w:val="both"/>
        <w:rPr>
          <w:rFonts w:ascii="Century Gothic" w:hAnsi="Century Gothic" w:cs="Arial"/>
          <w:lang w:val="es-ES_tradnl"/>
        </w:rPr>
      </w:pPr>
    </w:p>
    <w:p w:rsidRPr="00975A9B" w:rsidR="008A21EA" w:rsidP="008A21EA" w:rsidRDefault="008A21EA" w14:paraId="0EDEA1E9" w14:textId="77777777">
      <w:pPr>
        <w:spacing w:after="0" w:line="240" w:lineRule="auto"/>
        <w:ind w:left="709" w:right="709"/>
        <w:jc w:val="both"/>
        <w:rPr>
          <w:rFonts w:ascii="Century Gothic" w:hAnsi="Century Gothic" w:cs="Arial"/>
          <w:sz w:val="21"/>
          <w:szCs w:val="21"/>
          <w:lang w:val="es-ES_tradnl"/>
        </w:rPr>
      </w:pPr>
      <w:r w:rsidRPr="00975A9B">
        <w:rPr>
          <w:rFonts w:ascii="Century Gothic" w:hAnsi="Century Gothic" w:cs="Arial"/>
          <w:sz w:val="21"/>
          <w:szCs w:val="21"/>
          <w:lang w:val="es-ES_tradnl"/>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Pr="00975A9B">
        <w:rPr>
          <w:rStyle w:val="Refdenotaalpie"/>
          <w:rFonts w:ascii="Century Gothic" w:hAnsi="Century Gothic" w:cs="Arial"/>
          <w:sz w:val="21"/>
          <w:szCs w:val="21"/>
          <w:lang w:val="es-ES_tradnl"/>
        </w:rPr>
        <w:footnoteReference w:id="17"/>
      </w:r>
      <w:r w:rsidRPr="00975A9B">
        <w:rPr>
          <w:rFonts w:ascii="Century Gothic" w:hAnsi="Century Gothic" w:cs="Arial"/>
          <w:sz w:val="21"/>
          <w:szCs w:val="21"/>
          <w:lang w:val="es-ES_tradnl"/>
        </w:rPr>
        <w:t>.</w:t>
      </w:r>
    </w:p>
    <w:p w:rsidRPr="00975A9B" w:rsidR="008A21EA" w:rsidP="008A21EA" w:rsidRDefault="008A21EA" w14:paraId="0DF62F0E" w14:textId="77777777">
      <w:pPr>
        <w:spacing w:after="0" w:line="276" w:lineRule="auto"/>
        <w:ind w:left="709" w:right="709"/>
        <w:jc w:val="both"/>
        <w:rPr>
          <w:rFonts w:ascii="Century Gothic" w:hAnsi="Century Gothic" w:cs="Arial"/>
          <w:lang w:val="es-ES_tradnl"/>
        </w:rPr>
      </w:pPr>
    </w:p>
    <w:p w:rsidRPr="00975A9B" w:rsidR="008A21EA" w:rsidP="008A21EA" w:rsidRDefault="008A21EA" w14:paraId="3877E389" w14:textId="77777777">
      <w:pPr>
        <w:pStyle w:val="Sinespaciado"/>
        <w:spacing w:after="120" w:line="276" w:lineRule="auto"/>
        <w:ind w:firstLine="708"/>
        <w:jc w:val="both"/>
        <w:rPr>
          <w:rFonts w:ascii="Century Gothic" w:hAnsi="Century Gothic" w:cs="Arial"/>
          <w:sz w:val="22"/>
          <w:lang w:val="es-ES_tradnl"/>
        </w:rPr>
      </w:pPr>
      <w:r w:rsidRPr="00975A9B">
        <w:rPr>
          <w:rFonts w:ascii="Century Gothic" w:hAnsi="Century Gothic" w:cs="Arial"/>
          <w:sz w:val="22"/>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realización.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El artículo 11 de la Ley 1150 de 2007</w:t>
      </w:r>
      <w:r w:rsidRPr="00975A9B">
        <w:rPr>
          <w:rStyle w:val="Refdenotaalpie"/>
          <w:rFonts w:ascii="Century Gothic" w:hAnsi="Century Gothic" w:cs="Arial"/>
          <w:sz w:val="22"/>
          <w:lang w:val="es-ES_tradnl"/>
        </w:rPr>
        <w:footnoteReference w:id="18"/>
      </w:r>
      <w:r w:rsidRPr="00975A9B">
        <w:rPr>
          <w:rFonts w:ascii="Century Gothic" w:hAnsi="Century Gothic" w:cs="Arial"/>
          <w:sz w:val="22"/>
          <w:lang w:val="es-ES_tradnl"/>
        </w:rPr>
        <w:t xml:space="preserve"> contiene las reglas de tipo procedimental para liquidar los contratos estatales, que se pasan a explicar. </w:t>
      </w:r>
    </w:p>
    <w:p w:rsidRPr="00975A9B" w:rsidR="008A21EA" w:rsidP="008A21EA" w:rsidRDefault="008A21EA" w14:paraId="6A60C221" w14:textId="77777777">
      <w:pPr>
        <w:spacing w:after="120" w:line="276" w:lineRule="auto"/>
        <w:ind w:firstLine="709"/>
        <w:jc w:val="both"/>
        <w:rPr>
          <w:rFonts w:ascii="Century Gothic" w:hAnsi="Century Gothic" w:cs="Arial"/>
          <w:lang w:val="es-ES"/>
        </w:rPr>
      </w:pPr>
      <w:r w:rsidRPr="73DC7492">
        <w:rPr>
          <w:rFonts w:ascii="Century Gothic" w:hAnsi="Century Gothic" w:cs="Arial"/>
          <w:lang w:val="es-ES"/>
        </w:rPr>
        <w:t xml:space="preserve">En primer lugar, en ejercicio de la autonomía de la voluntad y de conformidad con la naturaleza, el objeto y el plazo del contrato, la entidad estatal puede definir en el pliego de condiciones o el documento equivalente el plazo para efectuar la liquidación de mutuo acuerdo. Al respecto, el artículo 11 de la Ley 1150 de 2007 señala que la liquidación de mutuo acuerdo se deberá realizar dentro del plazo previsto en “los pliegos de condiciones o sus equivalentes, o dentro del que acuerden las partes para el efecto”. De otro lado, cuando el artículo 11 de la Ley 1150 de 2007 hace referencia al término que “acuerden las partes” para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w:t>
      </w:r>
    </w:p>
    <w:p w:rsidRPr="00975A9B" w:rsidR="008A21EA" w:rsidP="008A21EA" w:rsidRDefault="008A21EA" w14:paraId="1D045125" w14:textId="731EACFB">
      <w:pPr>
        <w:spacing w:after="0" w:line="276" w:lineRule="auto"/>
        <w:ind w:firstLine="709"/>
        <w:jc w:val="both"/>
        <w:rPr>
          <w:rFonts w:ascii="Century Gothic" w:hAnsi="Century Gothic" w:cs="Arial"/>
          <w:lang w:val="es-ES"/>
        </w:rPr>
      </w:pPr>
      <w:r w:rsidRPr="73DC7492">
        <w:rPr>
          <w:rFonts w:ascii="Century Gothic" w:hAnsi="Century Gothic" w:cs="Arial"/>
          <w:lang w:val="es-ES"/>
        </w:rPr>
        <w:t>En segundo lugar, en ausencia de pacto, el artículo 11 de la Ley 1150 de 2007 dispone un término supletivo de cuatro (4) meses contados desde: i) el vencimiento del plazo previsto para la ejecución del contrato, ii) la expedición del acto administrativo que ordene la terminación del contrato o iii) la fecha del acuerdo que disponga la terminación del contrato.  Ahora bien, el término de cuatro (4) meses previsto en el artículo 11 de la Ley 1150 de 2007, dado su carácter supletivo, solo resulta aplicable ante la ausencia de regulación del mismo en el pliego de condiciones –documento equivalente– y ante la falta de acuerdo entre las partes en torno al plazo de liquidación bilateral. Durante este término el contratista puede solicitar que se adelante el trámite de liquidación. Sin embargo, es responsabilidad de la entidad estatal convocarlo para adelantar la liquidación de común acuerdo o notificarlo para que se presente a la liquidación</w:t>
      </w:r>
      <w:r w:rsidRPr="73DC7492">
        <w:rPr>
          <w:rStyle w:val="Refdenotaalpie"/>
          <w:rFonts w:ascii="Century Gothic" w:hAnsi="Century Gothic" w:cs="Arial"/>
          <w:lang w:val="es-ES"/>
        </w:rPr>
        <w:footnoteReference w:id="19"/>
      </w:r>
      <w:r w:rsidRPr="73DC7492">
        <w:rPr>
          <w:rFonts w:ascii="Century Gothic" w:hAnsi="Century Gothic" w:cs="Arial"/>
          <w:lang w:val="es-ES"/>
        </w:rPr>
        <w:t xml:space="preserve">, de manera que el contrato pueda ser liquidado bilateralmente, bien sea en el plazo previsto en el pliego de condiciones, el acordado por las partes, o en los cuatro meses señalados en la Ley, según corresponda. Esta liquidación bilateral puede ser total </w:t>
      </w:r>
      <w:r w:rsidRPr="73DC7492">
        <w:rPr>
          <w:rFonts w:ascii="Century Gothic" w:hAnsi="Century Gothic" w:cs="Arial"/>
          <w:lang w:val="es-ES"/>
        </w:rPr>
        <w:t>o parcial</w:t>
      </w:r>
      <w:r w:rsidRPr="73DC7492">
        <w:rPr>
          <w:rStyle w:val="Refdenotaalpie"/>
          <w:rFonts w:ascii="Century Gothic" w:hAnsi="Century Gothic" w:cs="Arial"/>
          <w:lang w:val="es-ES"/>
        </w:rPr>
        <w:footnoteReference w:id="20"/>
      </w:r>
      <w:r w:rsidRPr="73DC7492">
        <w:rPr>
          <w:rFonts w:ascii="Century Gothic" w:hAnsi="Century Gothic" w:cs="Arial"/>
          <w:lang w:val="es-ES"/>
        </w:rPr>
        <w:t>. Si no es posible efectuar la liquidación de manera bilateral en los términos anteriormente explicados, el ordenamiento jurídico prevé una habilitación competencial, de carácter subsidiario, para que la entidad estatal realice la liquidación unilateralmente. Sobre el punto, el Consejo de Estado ha señalado:</w:t>
      </w:r>
    </w:p>
    <w:p w:rsidRPr="00975A9B" w:rsidR="008A21EA" w:rsidP="008A21EA" w:rsidRDefault="008A21EA" w14:paraId="49A9B429" w14:textId="77777777">
      <w:pPr>
        <w:pStyle w:val="Sinespaciado"/>
        <w:spacing w:line="276" w:lineRule="auto"/>
        <w:ind w:left="709" w:right="760"/>
        <w:jc w:val="both"/>
        <w:rPr>
          <w:rFonts w:ascii="Century Gothic" w:hAnsi="Century Gothic" w:cs="Arial"/>
          <w:sz w:val="22"/>
          <w:lang w:val="es-ES_tradnl"/>
        </w:rPr>
      </w:pPr>
    </w:p>
    <w:p w:rsidRPr="00975A9B" w:rsidR="008A21EA" w:rsidP="008A21EA" w:rsidRDefault="008A21EA" w14:paraId="0E7159D2" w14:textId="77777777">
      <w:pPr>
        <w:pStyle w:val="Sinespaciado"/>
        <w:ind w:left="709" w:right="709"/>
        <w:jc w:val="both"/>
        <w:rPr>
          <w:rFonts w:ascii="Century Gothic" w:hAnsi="Century Gothic" w:cs="Arial"/>
          <w:sz w:val="21"/>
          <w:szCs w:val="21"/>
          <w:lang w:val="es-ES_tradnl"/>
        </w:rPr>
      </w:pPr>
      <w:r w:rsidRPr="00975A9B">
        <w:rPr>
          <w:rFonts w:ascii="Century Gothic" w:hAnsi="Century Gothic" w:cs="Arial"/>
          <w:sz w:val="21"/>
          <w:szCs w:val="21"/>
          <w:lang w:val="es-ES_tradnl"/>
        </w:rPr>
        <w:t>“Al respecto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975A9B">
        <w:rPr>
          <w:rStyle w:val="Refdenotaalpie"/>
          <w:rFonts w:ascii="Century Gothic" w:hAnsi="Century Gothic" w:cs="Arial"/>
          <w:sz w:val="21"/>
          <w:szCs w:val="21"/>
          <w:lang w:val="es-ES_tradnl"/>
        </w:rPr>
        <w:footnoteReference w:id="21"/>
      </w:r>
      <w:r w:rsidRPr="00975A9B">
        <w:rPr>
          <w:rFonts w:ascii="Century Gothic" w:hAnsi="Century Gothic" w:cs="Arial"/>
          <w:sz w:val="21"/>
          <w:szCs w:val="21"/>
          <w:lang w:val="es-ES_tradnl"/>
        </w:rPr>
        <w:t xml:space="preserve">. </w:t>
      </w:r>
    </w:p>
    <w:p w:rsidRPr="00975A9B" w:rsidR="008A21EA" w:rsidP="008A21EA" w:rsidRDefault="008A21EA" w14:paraId="2D8F875C" w14:textId="77777777">
      <w:pPr>
        <w:pStyle w:val="Sinespaciado"/>
        <w:spacing w:line="276" w:lineRule="auto"/>
        <w:ind w:left="709" w:right="760"/>
        <w:jc w:val="both"/>
        <w:rPr>
          <w:rFonts w:ascii="Century Gothic" w:hAnsi="Century Gothic" w:cs="Arial"/>
          <w:sz w:val="22"/>
          <w:lang w:val="es-ES_tradnl"/>
        </w:rPr>
      </w:pPr>
    </w:p>
    <w:p w:rsidRPr="00975A9B" w:rsidR="008A21EA" w:rsidP="008A21EA" w:rsidRDefault="008A21EA" w14:paraId="7648A57E" w14:textId="77777777">
      <w:pPr>
        <w:pStyle w:val="Sinespaciado"/>
        <w:spacing w:line="276" w:lineRule="auto"/>
        <w:ind w:firstLine="709"/>
        <w:jc w:val="both"/>
        <w:rPr>
          <w:rFonts w:ascii="Century Gothic" w:hAnsi="Century Gothic" w:cs="Arial"/>
          <w:sz w:val="22"/>
          <w:lang w:val="es-ES"/>
        </w:rPr>
      </w:pPr>
      <w:r w:rsidRPr="73DC7492">
        <w:rPr>
          <w:rFonts w:ascii="Century Gothic" w:hAnsi="Century Gothic" w:cs="Arial"/>
          <w:sz w:val="22"/>
          <w:lang w:val="es-ES"/>
        </w:rPr>
        <w:t>Por lo tanto, si no se logra la liquidación bilateral del contrato en el término convencional o subsidiario, la entidad estatal tiene la facultad de liquidarlo unilateralmente durante el término de dos (2) meses contados a partir del vencimiento del plazo que acuerden las partes para liquidar bilateralmente, o ante el silencio de estas, del vencimiento de los cuatro (4) meses establecidos por la ley</w:t>
      </w:r>
      <w:r w:rsidRPr="73DC7492">
        <w:rPr>
          <w:rStyle w:val="Refdenotaalpie"/>
          <w:rFonts w:ascii="Century Gothic" w:hAnsi="Century Gothic" w:cs="Arial"/>
          <w:sz w:val="22"/>
          <w:lang w:val="es-ES"/>
        </w:rPr>
        <w:footnoteReference w:id="22"/>
      </w:r>
      <w:r w:rsidRPr="73DC7492">
        <w:rPr>
          <w:rFonts w:ascii="Century Gothic" w:hAnsi="Century Gothic" w:cs="Arial"/>
          <w:sz w:val="22"/>
          <w:lang w:val="es-ES"/>
        </w:rPr>
        <w:t xml:space="preserve">. Finalmente, transcurridos estos dos (2) meses, sin que se haya efectuado, la liquidación podrá realizarse en cualquier tiempo dentro de los dos años siguientes al vencimiento del término referido. Durante estos dos años la liquidación podrá hacerse de mutuo acuerdo, unilateralmente por la entidad, o podrá ser solicitada judicialmente. En este sentido, en decisión de unificación, el Consejo de Estado dijo: </w:t>
      </w:r>
    </w:p>
    <w:p w:rsidRPr="00975A9B" w:rsidR="008A21EA" w:rsidP="008A21EA" w:rsidRDefault="008A21EA" w14:paraId="5C01C124" w14:textId="77777777">
      <w:pPr>
        <w:pStyle w:val="Sinespaciado"/>
        <w:spacing w:line="276" w:lineRule="auto"/>
        <w:ind w:left="709" w:right="760"/>
        <w:jc w:val="both"/>
        <w:rPr>
          <w:rFonts w:ascii="Century Gothic" w:hAnsi="Century Gothic" w:cs="Arial"/>
          <w:sz w:val="22"/>
          <w:lang w:val="es-ES_tradnl"/>
        </w:rPr>
      </w:pPr>
    </w:p>
    <w:p w:rsidRPr="00975A9B" w:rsidR="008A21EA" w:rsidP="008A21EA" w:rsidRDefault="008A21EA" w14:paraId="4A5B7159" w14:textId="77777777">
      <w:pPr>
        <w:pStyle w:val="Sinespaciado"/>
        <w:ind w:left="709" w:right="709"/>
        <w:jc w:val="both"/>
        <w:rPr>
          <w:rFonts w:ascii="Century Gothic" w:hAnsi="Century Gothic" w:cs="Arial"/>
          <w:sz w:val="21"/>
          <w:szCs w:val="21"/>
          <w:lang w:val="es-ES"/>
        </w:rPr>
      </w:pPr>
      <w:r w:rsidRPr="73DC7492">
        <w:rPr>
          <w:rFonts w:ascii="Century Gothic" w:hAnsi="Century Gothic" w:cs="Arial"/>
          <w:sz w:val="21"/>
          <w:szCs w:val="21"/>
          <w:lang w:val="es-ES"/>
        </w:rPr>
        <w:t xml:space="preserve">“Como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w:t>
      </w:r>
      <w:r w:rsidRPr="73DC7492">
        <w:rPr>
          <w:rFonts w:ascii="Century Gothic" w:hAnsi="Century Gothic" w:cs="Arial"/>
          <w:sz w:val="21"/>
          <w:szCs w:val="21"/>
          <w:lang w:val="es-ES"/>
        </w:rPr>
        <w:t>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Pr="73DC7492">
        <w:rPr>
          <w:rStyle w:val="Refdenotaalpie"/>
          <w:rFonts w:ascii="Century Gothic" w:hAnsi="Century Gothic" w:cs="Arial"/>
          <w:sz w:val="21"/>
          <w:szCs w:val="21"/>
          <w:lang w:val="es-ES"/>
        </w:rPr>
        <w:footnoteReference w:id="23"/>
      </w:r>
      <w:r w:rsidRPr="73DC7492">
        <w:rPr>
          <w:rFonts w:ascii="Century Gothic" w:hAnsi="Century Gothic" w:cs="Arial"/>
          <w:sz w:val="21"/>
          <w:szCs w:val="21"/>
          <w:lang w:val="es-ES"/>
        </w:rPr>
        <w:t>.</w:t>
      </w:r>
    </w:p>
    <w:p w:rsidRPr="00975A9B" w:rsidR="008A21EA" w:rsidP="008A21EA" w:rsidRDefault="008A21EA" w14:paraId="3118330F" w14:textId="77777777">
      <w:pPr>
        <w:pStyle w:val="Sinespaciado"/>
        <w:spacing w:line="276" w:lineRule="auto"/>
        <w:ind w:left="709" w:right="760"/>
        <w:jc w:val="both"/>
        <w:rPr>
          <w:rFonts w:ascii="Century Gothic" w:hAnsi="Century Gothic" w:cs="Arial"/>
          <w:sz w:val="22"/>
          <w:lang w:val="es-ES_tradnl"/>
        </w:rPr>
      </w:pPr>
    </w:p>
    <w:p w:rsidRPr="00975A9B" w:rsidR="008A21EA" w:rsidP="008A21EA" w:rsidRDefault="008A21EA" w14:paraId="086B841E" w14:textId="77777777">
      <w:pPr>
        <w:spacing w:after="120" w:line="276" w:lineRule="auto"/>
        <w:jc w:val="both"/>
        <w:rPr>
          <w:rFonts w:ascii="Century Gothic" w:hAnsi="Century Gothic" w:cs="Arial"/>
          <w:lang w:val="es-ES_tradnl"/>
        </w:rPr>
      </w:pPr>
      <w:r w:rsidRPr="00975A9B">
        <w:rPr>
          <w:rFonts w:ascii="Century Gothic" w:hAnsi="Century Gothic" w:cs="Arial"/>
          <w:lang w:val="es-ES_tradnl"/>
        </w:rPr>
        <w:tab/>
      </w:r>
      <w:r w:rsidRPr="00975A9B">
        <w:rPr>
          <w:rFonts w:ascii="Century Gothic" w:hAnsi="Century Gothic" w:cs="Arial"/>
          <w:lang w:val="es-ES_tradnl"/>
        </w:rPr>
        <w:t>Así las cosas,</w:t>
      </w:r>
      <w:r w:rsidRPr="00975A9B">
        <w:rPr>
          <w:rFonts w:ascii="Century Gothic" w:hAnsi="Century Gothic" w:cs="Arial"/>
          <w:lang w:val="es-ES_tradnl"/>
        </w:rPr>
        <w:tab/>
      </w:r>
      <w:r w:rsidRPr="00975A9B">
        <w:rPr>
          <w:rFonts w:ascii="Century Gothic" w:hAnsi="Century Gothic" w:cs="Arial"/>
          <w:lang w:val="es-ES_tradnl"/>
        </w:rPr>
        <w:t>es claro que el ordenamiento jurídico vigente permite la liquidación unilateral o bilateral, una vez vencido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 el ordenamiento ha fijado para el ejercicio oportuno de la acción”</w:t>
      </w:r>
      <w:r w:rsidRPr="00975A9B">
        <w:rPr>
          <w:rStyle w:val="Refdenotaalpie"/>
          <w:rFonts w:ascii="Century Gothic" w:hAnsi="Century Gothic" w:cs="Arial"/>
          <w:lang w:val="es-ES_tradnl"/>
        </w:rPr>
        <w:footnoteReference w:id="24"/>
      </w:r>
      <w:r w:rsidRPr="00975A9B">
        <w:rPr>
          <w:rFonts w:ascii="Century Gothic" w:hAnsi="Century Gothic" w:cs="Arial"/>
          <w:lang w:val="es-ES_tradnl"/>
        </w:rPr>
        <w:t xml:space="preserve">. </w:t>
      </w:r>
    </w:p>
    <w:p w:rsidRPr="00975A9B" w:rsidR="008A21EA" w:rsidP="008A21EA" w:rsidRDefault="008A21EA" w14:paraId="1FB8392F" w14:textId="77777777">
      <w:pPr>
        <w:spacing w:line="276" w:lineRule="auto"/>
        <w:ind w:firstLine="709"/>
        <w:jc w:val="both"/>
        <w:rPr>
          <w:rFonts w:ascii="Century Gothic" w:hAnsi="Century Gothic" w:cs="Arial"/>
          <w:lang w:val="es-ES"/>
        </w:rPr>
      </w:pPr>
      <w:r w:rsidRPr="73DC7492">
        <w:rPr>
          <w:rFonts w:ascii="Century Gothic" w:hAnsi="Century Gothic" w:cs="Arial"/>
          <w:lang w:val="es-ES"/>
        </w:rPr>
        <w:t>En suma, de acuerdo con el artículo 11 de la Ley 1150 de 2007, existen tres (3) tipos de liquidación: i) bilateral, ii) unilateral y iii) judicial. En términos generales, la primera, que puede ser total o parcial, debe hacerse en el término que estipulen las partes o, en su defecto, dentro del término supletivo de cuatro (4) meses. La segunda se debe practicar dentro de los dos (2) meses siguientes al vencimiento del término que acuerden las partes, o ante el silencio de estas, luego de los cuatro (4) meses para realizar la liquidación bilateral, sin que esta se efectúe. Finalmente, la tercera la realiza la Jurisdicción de lo Contencioso Administrativo o un tribunal de arbitramento dentro de un proceso judicial de controversias contractuales, y puede darse con ocasión de una demanda del interesado solicitando dicha liquidación. Para ello, existe un plazo máximo de dos (2) años contados a partir de los dos meses establecidos en la Ley para realizar la liquidación unilateral, de conformidad con el citado auto de unificación jurisprudencial del Consejo de Estado.</w:t>
      </w:r>
    </w:p>
    <w:p w:rsidR="008A21EA" w:rsidP="008A21EA" w:rsidRDefault="008A21EA" w14:paraId="79768215" w14:textId="77777777">
      <w:pPr>
        <w:spacing w:after="0" w:line="276" w:lineRule="auto"/>
        <w:jc w:val="both"/>
        <w:rPr>
          <w:rFonts w:ascii="Century Gothic" w:hAnsi="Century Gothic" w:eastAsia="Times New Roman" w:cs="Arial"/>
          <w:color w:val="000000" w:themeColor="text1"/>
          <w:lang w:eastAsia="es-CO"/>
        </w:rPr>
      </w:pPr>
      <w:r>
        <w:rPr>
          <w:rFonts w:ascii="Century Gothic" w:hAnsi="Century Gothic" w:eastAsia="Times New Roman" w:cs="Arial"/>
          <w:color w:val="000000" w:themeColor="text1"/>
          <w:lang w:eastAsia="es-CO"/>
        </w:rPr>
        <w:tab/>
      </w:r>
      <w:r w:rsidRPr="0086054B">
        <w:rPr>
          <w:rFonts w:ascii="Century Gothic" w:hAnsi="Century Gothic" w:eastAsia="Times New Roman" w:cs="Arial"/>
          <w:color w:val="000000" w:themeColor="text1"/>
          <w:lang w:eastAsia="es-CO"/>
        </w:rPr>
        <w:t>Así las cosas, posterior a los</w:t>
      </w:r>
      <w:r>
        <w:rPr>
          <w:rFonts w:ascii="Century Gothic" w:hAnsi="Century Gothic" w:eastAsia="Times New Roman" w:cs="Arial"/>
          <w:color w:val="000000" w:themeColor="text1"/>
          <w:lang w:eastAsia="es-CO"/>
        </w:rPr>
        <w:t xml:space="preserve"> términos</w:t>
      </w:r>
      <w:r w:rsidRPr="0086054B">
        <w:rPr>
          <w:rFonts w:ascii="Century Gothic" w:hAnsi="Century Gothic" w:eastAsia="Times New Roman" w:cs="Arial"/>
          <w:color w:val="000000" w:themeColor="text1"/>
          <w:lang w:eastAsia="es-CO"/>
        </w:rPr>
        <w:t xml:space="preserve"> referenciados </w:t>
      </w:r>
      <w:r>
        <w:rPr>
          <w:rFonts w:ascii="Century Gothic" w:hAnsi="Century Gothic" w:eastAsia="Times New Roman" w:cs="Arial"/>
          <w:color w:val="000000" w:themeColor="text1"/>
          <w:lang w:eastAsia="es-CO"/>
        </w:rPr>
        <w:t>en el párrafo precedente</w:t>
      </w:r>
      <w:r w:rsidRPr="0086054B">
        <w:rPr>
          <w:rFonts w:ascii="Century Gothic" w:hAnsi="Century Gothic" w:eastAsia="Times New Roman" w:cs="Arial"/>
          <w:color w:val="000000" w:themeColor="text1"/>
          <w:lang w:eastAsia="es-CO"/>
        </w:rPr>
        <w:t xml:space="preserve"> sin que se hubiese liquidado el contrato, ést</w:t>
      </w:r>
      <w:r>
        <w:rPr>
          <w:rFonts w:ascii="Century Gothic" w:hAnsi="Century Gothic" w:eastAsia="Times New Roman" w:cs="Arial"/>
          <w:color w:val="000000" w:themeColor="text1"/>
          <w:lang w:eastAsia="es-CO"/>
        </w:rPr>
        <w:t>a no podrá adelantarse</w:t>
      </w:r>
      <w:r w:rsidRPr="0086054B">
        <w:rPr>
          <w:rFonts w:ascii="Century Gothic" w:hAnsi="Century Gothic" w:eastAsia="Times New Roman" w:cs="Arial"/>
          <w:color w:val="000000" w:themeColor="text1"/>
          <w:lang w:eastAsia="es-CO"/>
        </w:rPr>
        <w:t xml:space="preserve"> dado que </w:t>
      </w:r>
      <w:r>
        <w:rPr>
          <w:rFonts w:ascii="Century Gothic" w:hAnsi="Century Gothic" w:eastAsia="Times New Roman" w:cs="Arial"/>
          <w:color w:val="000000" w:themeColor="text1"/>
          <w:lang w:eastAsia="es-CO"/>
        </w:rPr>
        <w:t>los plazos referidos son perentorios. Esto</w:t>
      </w:r>
      <w:r w:rsidRPr="0086054B">
        <w:rPr>
          <w:rFonts w:ascii="Century Gothic" w:hAnsi="Century Gothic" w:eastAsia="Times New Roman" w:cs="Arial"/>
          <w:color w:val="000000" w:themeColor="text1"/>
          <w:lang w:eastAsia="es-CO"/>
        </w:rPr>
        <w:t xml:space="preserve"> significa que </w:t>
      </w:r>
      <w:r>
        <w:rPr>
          <w:rFonts w:ascii="Century Gothic" w:hAnsi="Century Gothic" w:eastAsia="Times New Roman" w:cs="Arial"/>
          <w:color w:val="000000" w:themeColor="text1"/>
          <w:lang w:eastAsia="es-CO"/>
        </w:rPr>
        <w:t>con su</w:t>
      </w:r>
      <w:r w:rsidRPr="0086054B">
        <w:rPr>
          <w:rFonts w:ascii="Century Gothic" w:hAnsi="Century Gothic" w:eastAsia="Times New Roman" w:cs="Arial"/>
          <w:color w:val="000000" w:themeColor="text1"/>
          <w:lang w:eastAsia="es-CO"/>
        </w:rPr>
        <w:t xml:space="preserve"> vencimiento fenec</w:t>
      </w:r>
      <w:r>
        <w:rPr>
          <w:rFonts w:ascii="Century Gothic" w:hAnsi="Century Gothic" w:eastAsia="Times New Roman" w:cs="Arial"/>
          <w:color w:val="000000" w:themeColor="text1"/>
          <w:lang w:eastAsia="es-CO"/>
        </w:rPr>
        <w:t>e</w:t>
      </w:r>
      <w:r w:rsidRPr="0086054B">
        <w:rPr>
          <w:rFonts w:ascii="Century Gothic" w:hAnsi="Century Gothic" w:eastAsia="Times New Roman" w:cs="Arial"/>
          <w:color w:val="000000" w:themeColor="text1"/>
          <w:lang w:eastAsia="es-CO"/>
        </w:rPr>
        <w:t xml:space="preserve"> la oportunidad</w:t>
      </w:r>
      <w:r>
        <w:rPr>
          <w:rFonts w:ascii="Century Gothic" w:hAnsi="Century Gothic" w:eastAsia="Times New Roman" w:cs="Arial"/>
          <w:color w:val="000000" w:themeColor="text1"/>
          <w:lang w:eastAsia="es-CO"/>
        </w:rPr>
        <w:t xml:space="preserve"> de efectuarla</w:t>
      </w:r>
      <w:r w:rsidRPr="0086054B">
        <w:rPr>
          <w:rFonts w:ascii="Century Gothic" w:hAnsi="Century Gothic" w:eastAsia="Times New Roman" w:cs="Arial"/>
          <w:color w:val="000000" w:themeColor="text1"/>
          <w:lang w:eastAsia="es-CO"/>
        </w:rPr>
        <w:t xml:space="preserve"> </w:t>
      </w:r>
      <w:r>
        <w:rPr>
          <w:rFonts w:ascii="Century Gothic" w:hAnsi="Century Gothic" w:eastAsia="Times New Roman" w:cs="Arial"/>
          <w:color w:val="000000" w:themeColor="text1"/>
          <w:lang w:eastAsia="es-CO"/>
        </w:rPr>
        <w:t>ante</w:t>
      </w:r>
      <w:r w:rsidRPr="0086054B">
        <w:rPr>
          <w:rFonts w:ascii="Century Gothic" w:hAnsi="Century Gothic" w:eastAsia="Times New Roman" w:cs="Arial"/>
          <w:color w:val="000000" w:themeColor="text1"/>
          <w:lang w:eastAsia="es-CO"/>
        </w:rPr>
        <w:t xml:space="preserve"> la pérdida de competencia de la entidad para realizar el balance final del acuerdo de voluntades pactado.</w:t>
      </w:r>
      <w:r>
        <w:rPr>
          <w:rFonts w:ascii="Century Gothic" w:hAnsi="Century Gothic" w:eastAsia="Times New Roman" w:cs="Arial"/>
          <w:color w:val="000000" w:themeColor="text1"/>
          <w:lang w:eastAsia="es-CO"/>
        </w:rPr>
        <w:t xml:space="preserve"> </w:t>
      </w:r>
      <w:r w:rsidRPr="00523125">
        <w:rPr>
          <w:rFonts w:ascii="Century Gothic" w:hAnsi="Century Gothic" w:eastAsia="Times New Roman" w:cs="Arial"/>
          <w:color w:val="000000" w:themeColor="text1"/>
          <w:lang w:eastAsia="es-CO"/>
        </w:rPr>
        <w:t xml:space="preserve">Esta Subdirección, en </w:t>
      </w:r>
      <w:r>
        <w:rPr>
          <w:rFonts w:ascii="Century Gothic" w:hAnsi="Century Gothic" w:eastAsia="Times New Roman" w:cs="Arial"/>
          <w:color w:val="000000" w:themeColor="text1"/>
          <w:lang w:eastAsia="es-CO"/>
        </w:rPr>
        <w:t xml:space="preserve">el </w:t>
      </w:r>
      <w:r w:rsidRPr="00523125">
        <w:rPr>
          <w:rFonts w:ascii="Century Gothic" w:hAnsi="Century Gothic" w:eastAsia="Times New Roman" w:cs="Arial"/>
          <w:color w:val="000000" w:themeColor="text1"/>
          <w:lang w:eastAsia="es-CO"/>
        </w:rPr>
        <w:t>Concepto</w:t>
      </w:r>
      <w:r>
        <w:rPr>
          <w:rFonts w:ascii="Century Gothic" w:hAnsi="Century Gothic" w:eastAsia="Times New Roman" w:cs="Arial"/>
          <w:color w:val="000000" w:themeColor="text1"/>
          <w:lang w:eastAsia="es-CO"/>
        </w:rPr>
        <w:t xml:space="preserve"> </w:t>
      </w:r>
      <w:r w:rsidRPr="00523125">
        <w:rPr>
          <w:rFonts w:ascii="Century Gothic" w:hAnsi="Century Gothic" w:eastAsia="Times New Roman" w:cs="Arial"/>
          <w:color w:val="000000" w:themeColor="text1"/>
          <w:lang w:eastAsia="es-CO"/>
        </w:rPr>
        <w:t xml:space="preserve">4201913000006142 de 7 de octubre de 2019, señaló que con la caducidad del medio de control de controversias contractuales las entidades </w:t>
      </w:r>
      <w:r w:rsidRPr="00523125">
        <w:rPr>
          <w:rFonts w:ascii="Century Gothic" w:hAnsi="Century Gothic" w:eastAsia="Times New Roman" w:cs="Arial"/>
          <w:color w:val="000000" w:themeColor="text1"/>
          <w:lang w:eastAsia="es-CO"/>
        </w:rPr>
        <w:t>pierden la competencia para liquidar el contrato, ya que el fenómeno procesal constituía la preclusión de la oportunidad para reclamar las sumas de dinero adeudadas por las partes</w:t>
      </w:r>
      <w:r>
        <w:rPr>
          <w:rFonts w:ascii="Century Gothic" w:hAnsi="Century Gothic" w:eastAsia="Times New Roman" w:cs="Arial"/>
          <w:color w:val="000000" w:themeColor="text1"/>
          <w:lang w:eastAsia="es-CO"/>
        </w:rPr>
        <w:t>. Asimismo, la doctrina señala que:</w:t>
      </w:r>
    </w:p>
    <w:p w:rsidR="008A21EA" w:rsidP="008A21EA" w:rsidRDefault="008A21EA" w14:paraId="526960CE" w14:textId="77777777">
      <w:pPr>
        <w:spacing w:after="0" w:line="276" w:lineRule="auto"/>
        <w:jc w:val="both"/>
        <w:rPr>
          <w:rFonts w:ascii="Century Gothic" w:hAnsi="Century Gothic" w:eastAsia="Times New Roman" w:cs="Arial"/>
          <w:color w:val="000000" w:themeColor="text1"/>
          <w:lang w:eastAsia="es-CO"/>
        </w:rPr>
      </w:pPr>
    </w:p>
    <w:p w:rsidR="008A21EA" w:rsidP="008A21EA" w:rsidRDefault="008A21EA" w14:paraId="2FB39E5F" w14:textId="77777777">
      <w:pPr>
        <w:spacing w:after="0" w:line="240" w:lineRule="auto"/>
        <w:ind w:left="709" w:right="709"/>
        <w:jc w:val="both"/>
        <w:rPr>
          <w:rFonts w:ascii="Century Gothic" w:hAnsi="Century Gothic" w:eastAsia="Times New Roman" w:cs="Arial"/>
          <w:color w:val="000000" w:themeColor="text1"/>
          <w:lang w:eastAsia="es-CO"/>
        </w:rPr>
      </w:pPr>
      <w:r w:rsidRPr="00A57082">
        <w:rPr>
          <w:rFonts w:ascii="Century Gothic" w:hAnsi="Century Gothic" w:eastAsia="Times New Roman" w:cs="Arial"/>
          <w:color w:val="000000" w:themeColor="text1"/>
          <w:sz w:val="21"/>
          <w:szCs w:val="21"/>
          <w:lang w:eastAsia="es-CO"/>
        </w:rPr>
        <w:t xml:space="preserve">“Suele argüirse, en la práctica, que es factible efectuar la liquidación del contrato, así haya operado la caducidad de la acción, con base en la existencia de una obligación natural, que fundamentaría pagarle al contratista lo que se le debe. Sin embargo, se trata de una posición equivocada, pues si bien el artículo 1527 del Código Civil establece que las obligaciones naturales son </w:t>
      </w:r>
      <w:r>
        <w:rPr>
          <w:rFonts w:ascii="Century Gothic" w:hAnsi="Century Gothic" w:eastAsia="Times New Roman" w:cs="Arial"/>
          <w:color w:val="000000" w:themeColor="text1"/>
          <w:sz w:val="21"/>
          <w:szCs w:val="21"/>
          <w:lang w:eastAsia="es-CO"/>
        </w:rPr>
        <w:t>‘</w:t>
      </w:r>
      <w:r w:rsidRPr="00A57082">
        <w:rPr>
          <w:rFonts w:ascii="Century Gothic" w:hAnsi="Century Gothic" w:eastAsia="Times New Roman" w:cs="Arial"/>
          <w:color w:val="000000" w:themeColor="text1"/>
          <w:sz w:val="21"/>
          <w:szCs w:val="21"/>
          <w:lang w:eastAsia="es-CO"/>
        </w:rPr>
        <w:t>las que no confieren derecho para exigir su cumplimiento, pero que cumplidas autorizan para retener lo que se ha dado o pagado, en razón de ellas</w:t>
      </w:r>
      <w:r>
        <w:rPr>
          <w:rFonts w:ascii="Century Gothic" w:hAnsi="Century Gothic" w:eastAsia="Times New Roman" w:cs="Arial"/>
          <w:color w:val="000000" w:themeColor="text1"/>
          <w:sz w:val="21"/>
          <w:szCs w:val="21"/>
          <w:lang w:eastAsia="es-CO"/>
        </w:rPr>
        <w:t>’</w:t>
      </w:r>
      <w:r w:rsidRPr="00A57082">
        <w:rPr>
          <w:rFonts w:ascii="Century Gothic" w:hAnsi="Century Gothic" w:eastAsia="Times New Roman" w:cs="Arial"/>
          <w:color w:val="000000" w:themeColor="text1"/>
          <w:sz w:val="21"/>
          <w:szCs w:val="21"/>
          <w:lang w:eastAsia="es-CO"/>
        </w:rPr>
        <w:t>, los servidores públicos no puede reconocer acreencias inexigibles, sino cuentan con la competencia expresa para hacerlo, pues estaría desbordando el marco de sus atribuciones constitucionales, legales y reglamentarias. Además, del concepto mismo de obligación natural no se deduce la consagración de la competencia para liquidar el contrato estatal, luego de expirado el término de caducidad del medio de control de controversias contractuales”</w:t>
      </w:r>
      <w:r w:rsidRPr="00A57082">
        <w:rPr>
          <w:rStyle w:val="Refdenotaalpie"/>
          <w:rFonts w:ascii="Century Gothic" w:hAnsi="Century Gothic" w:eastAsia="Times New Roman" w:cs="Arial"/>
          <w:color w:val="000000" w:themeColor="text1"/>
          <w:sz w:val="21"/>
          <w:szCs w:val="21"/>
          <w:lang w:eastAsia="es-CO"/>
        </w:rPr>
        <w:footnoteReference w:id="25"/>
      </w:r>
      <w:r w:rsidRPr="00A57082">
        <w:rPr>
          <w:rFonts w:ascii="Century Gothic" w:hAnsi="Century Gothic" w:eastAsia="Times New Roman" w:cs="Arial"/>
          <w:color w:val="000000" w:themeColor="text1"/>
          <w:sz w:val="21"/>
          <w:szCs w:val="21"/>
          <w:lang w:eastAsia="es-CO"/>
        </w:rPr>
        <w:t>.</w:t>
      </w:r>
      <w:r>
        <w:rPr>
          <w:rFonts w:ascii="Century Gothic" w:hAnsi="Century Gothic" w:eastAsia="Times New Roman" w:cs="Arial"/>
          <w:color w:val="000000" w:themeColor="text1"/>
          <w:lang w:eastAsia="es-CO"/>
        </w:rPr>
        <w:t xml:space="preserve">   </w:t>
      </w:r>
    </w:p>
    <w:p w:rsidR="008A21EA" w:rsidP="008A21EA" w:rsidRDefault="008A21EA" w14:paraId="18CF6CB2" w14:textId="77777777">
      <w:pPr>
        <w:spacing w:after="0" w:line="276" w:lineRule="auto"/>
        <w:jc w:val="both"/>
        <w:rPr>
          <w:rFonts w:ascii="Century Gothic" w:hAnsi="Century Gothic" w:eastAsia="Times New Roman" w:cs="Arial"/>
          <w:color w:val="000000" w:themeColor="text1"/>
          <w:lang w:eastAsia="es-CO"/>
        </w:rPr>
      </w:pPr>
    </w:p>
    <w:p w:rsidR="008A21EA" w:rsidP="008A21EA" w:rsidRDefault="008A21EA" w14:paraId="68899565" w14:textId="77777777">
      <w:pPr>
        <w:spacing w:after="0" w:line="276" w:lineRule="auto"/>
        <w:jc w:val="both"/>
        <w:rPr>
          <w:rFonts w:ascii="Century Gothic" w:hAnsi="Century Gothic" w:eastAsia="Times New Roman" w:cs="Arial"/>
          <w:color w:val="000000" w:themeColor="text1"/>
          <w:lang w:eastAsia="es-CO"/>
        </w:rPr>
      </w:pPr>
      <w:r>
        <w:rPr>
          <w:rFonts w:ascii="Century Gothic" w:hAnsi="Century Gothic" w:eastAsia="Times New Roman" w:cs="Arial"/>
          <w:color w:val="000000" w:themeColor="text1"/>
          <w:lang w:eastAsia="es-CO"/>
        </w:rPr>
        <w:tab/>
      </w:r>
      <w:r>
        <w:rPr>
          <w:rFonts w:ascii="Century Gothic" w:hAnsi="Century Gothic" w:eastAsia="Times New Roman" w:cs="Arial"/>
          <w:color w:val="000000" w:themeColor="text1"/>
          <w:lang w:eastAsia="es-CO"/>
        </w:rPr>
        <w:t>Dentro de este marco, los interesados adoptarán las medidas que estimen pertinentes respecto a la vigencia del amparo de cumplimiento después de vencer el término para liquidar. Especialmente, previa asesoría de sus representantes legales, los contratistas del Estado deberán evaluar los cursos de acción disponibles frente a la falta de liquidación oportuna. En ambos casos, a</w:t>
      </w:r>
      <w:r w:rsidRPr="00F857E4">
        <w:rPr>
          <w:rFonts w:ascii="Century Gothic" w:hAnsi="Century Gothic" w:eastAsia="Times New Roman" w:cs="Arial"/>
          <w:color w:val="000000" w:themeColor="text1"/>
          <w:lang w:eastAsia="es-CO"/>
        </w:rPr>
        <w:t>l tratarse de un análisis que debe realizarse</w:t>
      </w:r>
      <w:r>
        <w:rPr>
          <w:rFonts w:ascii="Century Gothic" w:hAnsi="Century Gothic" w:eastAsia="Times New Roman" w:cs="Arial"/>
          <w:color w:val="000000" w:themeColor="text1"/>
          <w:lang w:eastAsia="es-CO"/>
        </w:rPr>
        <w:t xml:space="preserve"> en cada</w:t>
      </w:r>
      <w:r w:rsidRPr="00F857E4">
        <w:rPr>
          <w:rFonts w:ascii="Century Gothic" w:hAnsi="Century Gothic" w:eastAsia="Times New Roman" w:cs="Arial"/>
          <w:color w:val="000000" w:themeColor="text1"/>
          <w:lang w:eastAsia="es-CO"/>
        </w:rPr>
        <w:t xml:space="preserve">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w:t>
      </w:r>
      <w:r>
        <w:rPr>
          <w:rFonts w:ascii="Century Gothic" w:hAnsi="Century Gothic" w:eastAsia="Times New Roman" w:cs="Arial"/>
          <w:color w:val="000000" w:themeColor="text1"/>
          <w:lang w:eastAsia="es-CO"/>
        </w:rPr>
        <w:t xml:space="preserve"> uno de ellos</w:t>
      </w:r>
      <w:r w:rsidRPr="00F857E4">
        <w:rPr>
          <w:rFonts w:ascii="Century Gothic" w:hAnsi="Century Gothic" w:eastAsia="Times New Roman" w:cs="Arial"/>
          <w:color w:val="000000" w:themeColor="text1"/>
          <w:lang w:eastAsia="es-CO"/>
        </w:rPr>
        <w:t xml:space="preserve"> definirá la forma de adelantar su gestión contractual, sin que sea atribución de Colombia Compra Eficiente validar </w:t>
      </w:r>
      <w:r>
        <w:rPr>
          <w:rFonts w:ascii="Century Gothic" w:hAnsi="Century Gothic" w:eastAsia="Times New Roman" w:cs="Arial"/>
          <w:color w:val="000000" w:themeColor="text1"/>
          <w:lang w:eastAsia="es-CO"/>
        </w:rPr>
        <w:t>sus actuaciones</w:t>
      </w:r>
      <w:r w:rsidRPr="00F857E4">
        <w:rPr>
          <w:rFonts w:ascii="Century Gothic" w:hAnsi="Century Gothic" w:eastAsia="Times New Roman" w:cs="Arial"/>
          <w:color w:val="000000" w:themeColor="text1"/>
          <w:lang w:eastAsia="es-CO"/>
        </w:rPr>
        <w:t xml:space="preserve">. </w:t>
      </w:r>
      <w:r>
        <w:rPr>
          <w:rFonts w:ascii="Century Gothic" w:hAnsi="Century Gothic" w:eastAsia="Times New Roman" w:cs="Arial"/>
          <w:color w:val="000000" w:themeColor="text1"/>
          <w:lang w:eastAsia="es-CO"/>
        </w:rPr>
        <w:t xml:space="preserve">Por lo demás, como la Agencia no es una instancia revisora de las entidades estatales ni tiene competencia para resolver temas litigiosos en materia contractual, no existe un registro estadístico de los casos solicitados ni de la forma en que fueron solucionados. </w:t>
      </w:r>
    </w:p>
    <w:p w:rsidRPr="00FE1080" w:rsidR="008A21EA" w:rsidP="008A21EA" w:rsidRDefault="008A21EA" w14:paraId="01352E65" w14:textId="77777777">
      <w:pPr>
        <w:spacing w:after="0" w:line="276" w:lineRule="auto"/>
        <w:ind w:firstLine="709"/>
        <w:jc w:val="both"/>
        <w:rPr>
          <w:rFonts w:ascii="Century Gothic" w:hAnsi="Century Gothic" w:eastAsia="Calibri" w:cs="Arial"/>
          <w:bCs/>
          <w:color w:val="000000"/>
          <w:lang w:eastAsia="es-CO"/>
        </w:rPr>
      </w:pPr>
    </w:p>
    <w:p w:rsidRPr="00131FA3" w:rsidR="008A21EA" w:rsidP="008A21EA" w:rsidRDefault="008A21EA" w14:paraId="70417EFA" w14:textId="77777777">
      <w:pPr>
        <w:tabs>
          <w:tab w:val="left" w:pos="0"/>
        </w:tabs>
        <w:spacing w:after="0"/>
        <w:jc w:val="both"/>
        <w:rPr>
          <w:rFonts w:ascii="Century Gothic" w:hAnsi="Century Gothic" w:eastAsia="Calibri" w:cs="Arial"/>
          <w:b/>
          <w:color w:val="000000" w:themeColor="text1"/>
          <w:lang w:val="es-ES_tradnl"/>
        </w:rPr>
      </w:pPr>
      <w:r w:rsidRPr="00131FA3">
        <w:rPr>
          <w:rFonts w:ascii="Century Gothic" w:hAnsi="Century Gothic" w:eastAsia="Calibri" w:cs="Arial"/>
          <w:b/>
          <w:color w:val="000000" w:themeColor="text1"/>
          <w:lang w:val="es-ES_tradnl"/>
        </w:rPr>
        <w:t>3. Respuesta</w:t>
      </w:r>
    </w:p>
    <w:p w:rsidRPr="00131FA3" w:rsidR="008A21EA" w:rsidP="008A21EA" w:rsidRDefault="008A21EA" w14:paraId="1BB1360F" w14:textId="77777777">
      <w:pPr>
        <w:spacing w:after="0" w:line="276" w:lineRule="auto"/>
        <w:jc w:val="both"/>
        <w:rPr>
          <w:rFonts w:ascii="Century Gothic" w:hAnsi="Century Gothic" w:eastAsia="Times New Roman" w:cs="Arial"/>
          <w:lang w:eastAsia="es-CO"/>
        </w:rPr>
      </w:pPr>
    </w:p>
    <w:p w:rsidRPr="002B5649" w:rsidR="008A21EA" w:rsidP="008A21EA" w:rsidRDefault="008A21EA" w14:paraId="7873986A" w14:textId="77777777">
      <w:pPr>
        <w:spacing w:after="120" w:line="240" w:lineRule="auto"/>
        <w:ind w:left="709" w:right="709"/>
        <w:jc w:val="both"/>
        <w:rPr>
          <w:rFonts w:ascii="Century Gothic" w:hAnsi="Century Gothic" w:cs="Arial"/>
          <w:color w:val="000000" w:themeColor="text1"/>
          <w:sz w:val="21"/>
          <w:szCs w:val="21"/>
          <w:lang w:val="es-ES_tradnl"/>
        </w:rPr>
      </w:pPr>
      <w:r w:rsidRPr="002B5649">
        <w:rPr>
          <w:rFonts w:ascii="Century Gothic" w:hAnsi="Century Gothic" w:cs="Arial"/>
          <w:color w:val="000000" w:themeColor="text1"/>
          <w:sz w:val="21"/>
          <w:szCs w:val="21"/>
          <w:lang w:val="es-ES_tradnl"/>
        </w:rPr>
        <w:t>“1. Considerando las disposiciones establecidas en el artículo 60 de la Ley 80 de 1993, modificado por el artículo 217 del Decreto 019 de 2012, y el artículo 11 de la Ley 1150 de 2007, ¿cuáles son las opciones disponibles para un contratista si la Entidad Estatal no emite el Acta de Liquidación Final dentro del plazo convenido contractualmente?</w:t>
      </w:r>
    </w:p>
    <w:p w:rsidRPr="002B5649" w:rsidR="008A21EA" w:rsidP="008A21EA" w:rsidRDefault="008A21EA" w14:paraId="05AB18D7" w14:textId="77777777">
      <w:pPr>
        <w:spacing w:after="120" w:line="240" w:lineRule="auto"/>
        <w:ind w:left="709" w:right="709"/>
        <w:jc w:val="both"/>
        <w:rPr>
          <w:rFonts w:ascii="Century Gothic" w:hAnsi="Century Gothic" w:cs="Arial"/>
          <w:color w:val="000000" w:themeColor="text1"/>
          <w:sz w:val="21"/>
          <w:szCs w:val="21"/>
          <w:lang w:val="es-ES"/>
        </w:rPr>
      </w:pPr>
      <w:r w:rsidRPr="73DC7492">
        <w:rPr>
          <w:rFonts w:ascii="Century Gothic" w:hAnsi="Century Gothic" w:cs="Arial"/>
          <w:color w:val="000000" w:themeColor="text1"/>
          <w:sz w:val="21"/>
          <w:szCs w:val="21"/>
          <w:lang w:val="es-ES"/>
        </w:rPr>
        <w:t>2. ¿Existen precedentes o directrices legales que sugieran qué acciones puede tomar un contratista en caso de que expire la vigencia para la liquidación del contrato y la entidad no emita la liquidación correspondiente?</w:t>
      </w:r>
    </w:p>
    <w:p w:rsidRPr="002B5649" w:rsidR="008A21EA" w:rsidP="008A21EA" w:rsidRDefault="008A21EA" w14:paraId="0FE4AD2D" w14:textId="77777777">
      <w:pPr>
        <w:spacing w:after="120" w:line="240" w:lineRule="auto"/>
        <w:ind w:left="709" w:right="709"/>
        <w:jc w:val="both"/>
        <w:rPr>
          <w:rFonts w:ascii="Century Gothic" w:hAnsi="Century Gothic" w:cs="Arial"/>
          <w:color w:val="000000" w:themeColor="text1"/>
          <w:sz w:val="21"/>
          <w:szCs w:val="21"/>
          <w:lang w:val="es-ES_tradnl"/>
        </w:rPr>
      </w:pPr>
      <w:r w:rsidRPr="002B5649">
        <w:rPr>
          <w:rFonts w:ascii="Century Gothic" w:hAnsi="Century Gothic" w:cs="Arial"/>
          <w:color w:val="000000" w:themeColor="text1"/>
          <w:sz w:val="21"/>
          <w:szCs w:val="21"/>
          <w:lang w:val="es-ES_tradnl"/>
        </w:rPr>
        <w:t>3. Según lo dispuesto en el marco normativo mencionado, ¿qué implicaciones jurídicas se generan para el contratista si mantiene vigente la póliza durante el periodo establecido en el contrato y la Entidad Estatal no realiza la liquidación correspondiente durante este periodo? // ¿Se conocen casos anteriores en los cuales un contratista mantuvo vigente la póliza durante el periodo establecido en el contrato, pero la Entidad Estatal no realizó la liquidación del contrato durante este periodo? En caso afirmativo, ¿cómo se resolvió la situación y qué recomendaciones se derivan de ello?</w:t>
      </w:r>
    </w:p>
    <w:p w:rsidRPr="00131FA3" w:rsidR="008A21EA" w:rsidP="008A21EA" w:rsidRDefault="008A21EA" w14:paraId="52D44C3F" w14:textId="77777777">
      <w:pPr>
        <w:spacing w:after="0" w:line="240" w:lineRule="auto"/>
        <w:ind w:left="709" w:right="709"/>
        <w:jc w:val="both"/>
        <w:rPr>
          <w:rFonts w:ascii="Century Gothic" w:hAnsi="Century Gothic" w:cs="Arial"/>
          <w:color w:val="000000" w:themeColor="text1"/>
          <w:sz w:val="21"/>
          <w:szCs w:val="21"/>
          <w:lang w:val="es-ES_tradnl"/>
        </w:rPr>
      </w:pPr>
      <w:r w:rsidRPr="002B5649">
        <w:rPr>
          <w:rFonts w:ascii="Century Gothic" w:hAnsi="Century Gothic" w:cs="Arial"/>
          <w:color w:val="000000" w:themeColor="text1"/>
          <w:sz w:val="21"/>
          <w:szCs w:val="21"/>
          <w:lang w:val="es-ES_tradnl"/>
        </w:rPr>
        <w:t>4. ¿Cuál es la obligación del contratista respecto a la extensión de la póliza de cumplimiento/garantía/calidad, si pasados dos años después del término estipulado en el contrato para liquidar, la Entidad Estatal no procede con el acta de liquidación? Además, ¿qué acciones puede tomar el contratista para instar a la Entidad Estatal a expedir el acta de liquidación, conforme a lo establecido en la normativa pertinente? // ¿Se han registrado casos en los cuales, pasados dos años después del término estipulado en el contrato para liquidar, la Entidad Estatal no procedió con el acta de liquidación? De ser así, ¿cómo se trató la cuestión de la ampliación de la póliza de cumplimiento/garantía/calidad por parte del contratista y qué medidas se tomaron para resolver la situación con la Entidad Estatal?”</w:t>
      </w:r>
      <w:r w:rsidRPr="0069739B">
        <w:rPr>
          <w:rFonts w:ascii="Century Gothic" w:hAnsi="Century Gothic" w:cs="Arial"/>
          <w:color w:val="000000" w:themeColor="text1"/>
          <w:sz w:val="21"/>
          <w:szCs w:val="21"/>
          <w:lang w:val="es-ES_tradnl"/>
        </w:rPr>
        <w:t>.</w:t>
      </w:r>
    </w:p>
    <w:p w:rsidRPr="00131FA3" w:rsidR="008A21EA" w:rsidP="008A21EA" w:rsidRDefault="008A21EA" w14:paraId="357DEFDE" w14:textId="77777777">
      <w:pPr>
        <w:spacing w:after="0" w:line="276" w:lineRule="auto"/>
        <w:jc w:val="both"/>
        <w:rPr>
          <w:rFonts w:ascii="Century Gothic" w:hAnsi="Century Gothic" w:cs="Arial"/>
          <w:color w:val="000000" w:themeColor="text1"/>
          <w:lang w:val="es-ES_tradnl"/>
        </w:rPr>
      </w:pPr>
    </w:p>
    <w:p w:rsidRPr="008F0527" w:rsidR="008A21EA" w:rsidP="008A21EA" w:rsidRDefault="008A21EA" w14:paraId="3B67EF77" w14:textId="0F93B752">
      <w:pPr>
        <w:spacing w:after="120" w:line="276" w:lineRule="auto"/>
        <w:jc w:val="both"/>
        <w:rPr>
          <w:rFonts w:ascii="Century Gothic" w:hAnsi="Century Gothic" w:eastAsia="Times New Roman" w:cs="Arial"/>
          <w:color w:val="000000" w:themeColor="text1"/>
          <w:lang w:eastAsia="es-CO"/>
        </w:rPr>
      </w:pPr>
      <w:r w:rsidRPr="00131FA3">
        <w:rPr>
          <w:rFonts w:ascii="Century Gothic" w:hAnsi="Century Gothic" w:cs="Arial"/>
          <w:bCs/>
        </w:rPr>
        <w:t xml:space="preserve">Conforme a la interpretación de las reglas generales del sistema de compras públicas, </w:t>
      </w:r>
      <w:r w:rsidRPr="008F0527">
        <w:rPr>
          <w:rFonts w:ascii="Century Gothic" w:hAnsi="Century Gothic" w:eastAsia="Times New Roman" w:cs="Arial"/>
          <w:color w:val="000000" w:themeColor="text1"/>
          <w:lang w:eastAsia="es-CO"/>
        </w:rPr>
        <w:t>los artículos 2.2.1.2.3.1.14 y 2.2.1.2.3.1.15 regulan la suficiencia de la garantía de estabilidad y calidad de la obra</w:t>
      </w:r>
      <w:r w:rsidR="00BA5EE7">
        <w:rPr>
          <w:rFonts w:ascii="Century Gothic" w:hAnsi="Century Gothic" w:eastAsia="Times New Roman" w:cs="Arial"/>
          <w:color w:val="000000" w:themeColor="text1"/>
          <w:lang w:eastAsia="es-CO"/>
        </w:rPr>
        <w:t>,</w:t>
      </w:r>
      <w:r w:rsidRPr="008F0527">
        <w:rPr>
          <w:rFonts w:ascii="Century Gothic" w:hAnsi="Century Gothic" w:eastAsia="Times New Roman" w:cs="Arial"/>
          <w:color w:val="000000" w:themeColor="text1"/>
          <w:lang w:eastAsia="es-CO"/>
        </w:rPr>
        <w:t xml:space="preserve"> así como de la garantía de calidad del servicio. Respecto a la primera, por regla general, salvo justificación técnica que permita extenderla por mínimo un (1) año, “Esta garantía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 En la segunda, por su parte, “La Entidad Estatal debe determinar el </w:t>
      </w:r>
      <w:r w:rsidRPr="008F0527">
        <w:rPr>
          <w:rFonts w:ascii="Century Gothic" w:hAnsi="Century Gothic" w:eastAsia="Times New Roman" w:cs="Arial"/>
          <w:color w:val="000000" w:themeColor="text1"/>
          <w:lang w:eastAsia="es-CO"/>
        </w:rPr>
        <w:t xml:space="preserve">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 2011”. Como se observa, ninguno de estos amparos está sujeto a la liquidación. </w:t>
      </w:r>
    </w:p>
    <w:p w:rsidR="008A21EA" w:rsidP="008A21EA" w:rsidRDefault="008A21EA" w14:paraId="1D5A7D94" w14:textId="77777777">
      <w:pPr>
        <w:spacing w:after="120" w:line="276" w:lineRule="auto"/>
        <w:ind w:firstLine="708"/>
        <w:jc w:val="both"/>
        <w:rPr>
          <w:rFonts w:ascii="Century Gothic" w:hAnsi="Century Gothic" w:eastAsia="Times New Roman" w:cs="Arial"/>
          <w:color w:val="000000" w:themeColor="text1"/>
          <w:lang w:eastAsia="es-CO"/>
        </w:rPr>
      </w:pPr>
      <w:r>
        <w:rPr>
          <w:rFonts w:ascii="Century Gothic" w:hAnsi="Century Gothic" w:eastAsia="Times New Roman" w:cs="Arial"/>
          <w:color w:val="000000" w:themeColor="text1"/>
          <w:lang w:eastAsia="es-CO"/>
        </w:rPr>
        <w:t>En contraste</w:t>
      </w:r>
      <w:r w:rsidRPr="008F0527">
        <w:rPr>
          <w:rFonts w:ascii="Century Gothic" w:hAnsi="Century Gothic" w:eastAsia="Times New Roman" w:cs="Arial"/>
          <w:color w:val="000000" w:themeColor="text1"/>
          <w:lang w:eastAsia="es-CO"/>
        </w:rPr>
        <w:t xml:space="preserve">, el artículo 2.2.1.2.3.1.12 regula la suficiencia de la garantía de cumplimiento. Esta debe tener una vigencia mínima hasta la liquidación y, por regla general un valor de por lo menos el diez por ciento (10%) del total del contrato, siempre que este sea inferior a un millón (1.000.000) de smmlv. Conforme la norma citada, el amparo cubre tanto el </w:t>
      </w:r>
      <w:r w:rsidRPr="008F0527">
        <w:rPr>
          <w:rFonts w:ascii="Century Gothic" w:hAnsi="Century Gothic" w:eastAsia="Times New Roman" w:cs="Arial"/>
          <w:i/>
          <w:iCs/>
          <w:color w:val="000000" w:themeColor="text1"/>
          <w:lang w:eastAsia="es-CO"/>
        </w:rPr>
        <w:t>plazo de ejecución</w:t>
      </w:r>
      <w:r w:rsidRPr="008F0527">
        <w:rPr>
          <w:rFonts w:ascii="Century Gothic" w:hAnsi="Century Gothic" w:eastAsia="Times New Roman" w:cs="Arial"/>
          <w:color w:val="000000" w:themeColor="text1"/>
          <w:lang w:eastAsia="es-CO"/>
        </w:rPr>
        <w:t xml:space="preserve"> como el </w:t>
      </w:r>
      <w:r w:rsidRPr="008F0527">
        <w:rPr>
          <w:rFonts w:ascii="Century Gothic" w:hAnsi="Century Gothic" w:eastAsia="Times New Roman" w:cs="Arial"/>
          <w:i/>
          <w:iCs/>
          <w:color w:val="000000" w:themeColor="text1"/>
          <w:lang w:eastAsia="es-CO"/>
        </w:rPr>
        <w:t>plazo de vigencia</w:t>
      </w:r>
      <w:r w:rsidRPr="008F0527">
        <w:rPr>
          <w:rFonts w:ascii="Century Gothic" w:hAnsi="Century Gothic" w:eastAsia="Times New Roman" w:cs="Arial"/>
          <w:color w:val="000000" w:themeColor="text1"/>
          <w:lang w:eastAsia="es-CO"/>
        </w:rPr>
        <w:t xml:space="preserve"> del contrato.</w:t>
      </w:r>
      <w:r>
        <w:rPr>
          <w:rFonts w:ascii="Century Gothic" w:hAnsi="Century Gothic" w:eastAsia="Times New Roman" w:cs="Arial"/>
          <w:color w:val="000000" w:themeColor="text1"/>
          <w:lang w:eastAsia="es-CO"/>
        </w:rPr>
        <w:t xml:space="preserve"> </w:t>
      </w:r>
      <w:r w:rsidRPr="008F0527">
        <w:rPr>
          <w:rFonts w:ascii="Century Gothic" w:hAnsi="Century Gothic" w:eastAsia="Times New Roman" w:cs="Arial"/>
          <w:color w:val="000000" w:themeColor="text1"/>
          <w:lang w:eastAsia="es-CO"/>
        </w:rPr>
        <w:t xml:space="preserve">Así, la cobertura mínima del amparo de cumplimiento cubre el </w:t>
      </w:r>
      <w:r w:rsidRPr="008F0527">
        <w:rPr>
          <w:rFonts w:ascii="Century Gothic" w:hAnsi="Century Gothic" w:eastAsia="Times New Roman" w:cs="Arial"/>
          <w:i/>
          <w:iCs/>
          <w:color w:val="000000" w:themeColor="text1"/>
          <w:lang w:eastAsia="es-CO"/>
        </w:rPr>
        <w:t>plazo de ejecución</w:t>
      </w:r>
      <w:r w:rsidRPr="008F0527">
        <w:rPr>
          <w:rFonts w:ascii="Century Gothic" w:hAnsi="Century Gothic" w:eastAsia="Times New Roman" w:cs="Arial"/>
          <w:color w:val="000000" w:themeColor="text1"/>
          <w:lang w:eastAsia="es-CO"/>
        </w:rPr>
        <w:t xml:space="preserve"> y el </w:t>
      </w:r>
      <w:r w:rsidRPr="008F0527">
        <w:rPr>
          <w:rFonts w:ascii="Century Gothic" w:hAnsi="Century Gothic" w:eastAsia="Times New Roman" w:cs="Arial"/>
          <w:i/>
          <w:iCs/>
          <w:color w:val="000000" w:themeColor="text1"/>
          <w:lang w:eastAsia="es-CO"/>
        </w:rPr>
        <w:t>plazo de vigencia</w:t>
      </w:r>
      <w:r w:rsidRPr="008F0527">
        <w:rPr>
          <w:rFonts w:ascii="Century Gothic" w:hAnsi="Century Gothic" w:eastAsia="Times New Roman" w:cs="Arial"/>
          <w:color w:val="000000" w:themeColor="text1"/>
          <w:lang w:eastAsia="es-CO"/>
        </w:rPr>
        <w:t>, el cual finaliza con la liquidación. En palabras de la doctrina, “[…] el contratista deberá otorgarla con una vigencia igual al plazo del contrato garantizado más el plazo contractual previsto para la liquidación de aquel. En caso de no haberse convenido por las partes un término para la liquidación del contrato, la garantía deberá mantenerse vigente por el término legal previsto para este efecto […]”</w:t>
      </w:r>
      <w:r>
        <w:rPr>
          <w:rFonts w:ascii="Century Gothic" w:hAnsi="Century Gothic" w:eastAsia="Times New Roman" w:cs="Arial"/>
          <w:color w:val="000000" w:themeColor="text1"/>
          <w:lang w:eastAsia="es-CO"/>
        </w:rPr>
        <w:t>.</w:t>
      </w:r>
    </w:p>
    <w:p w:rsidRPr="00975A9B" w:rsidR="008A21EA" w:rsidP="008A21EA" w:rsidRDefault="008A21EA" w14:paraId="339045F9" w14:textId="77777777">
      <w:pPr>
        <w:spacing w:line="276" w:lineRule="auto"/>
        <w:ind w:firstLine="709"/>
        <w:jc w:val="both"/>
        <w:rPr>
          <w:rFonts w:ascii="Century Gothic" w:hAnsi="Century Gothic" w:cs="Arial"/>
          <w:lang w:val="es-ES_tradnl"/>
        </w:rPr>
      </w:pPr>
      <w:r>
        <w:rPr>
          <w:rFonts w:ascii="Century Gothic" w:hAnsi="Century Gothic" w:eastAsia="Times New Roman" w:cs="Arial"/>
          <w:color w:val="000000" w:themeColor="text1"/>
          <w:lang w:eastAsia="es-CO"/>
        </w:rPr>
        <w:t xml:space="preserve">Ahora bien, </w:t>
      </w:r>
      <w:r w:rsidRPr="00975A9B">
        <w:rPr>
          <w:rFonts w:ascii="Century Gothic" w:hAnsi="Century Gothic" w:cs="Arial"/>
          <w:lang w:val="es-ES_tradnl"/>
        </w:rPr>
        <w:t>de</w:t>
      </w:r>
      <w:r w:rsidRPr="00975A9B">
        <w:rPr>
          <w:rFonts w:ascii="Century Gothic" w:hAnsi="Century Gothic" w:cs="Arial"/>
          <w:iCs/>
          <w:lang w:val="es-ES_tradnl"/>
        </w:rPr>
        <w:t xml:space="preserve"> acuerdo con el artículo 11 de la Ley 1150 de 2007, existen tres (3) tipos de liquidación: i) bilateral, ii) unilateral y iii) judicial. En términos generales, la primera, que puede ser total o parcial, debe hacerse en el término que estipulen las partes o, en su defecto, dentro del término supletivo de cuatro (4) meses. La segunda se debe practicar d</w:t>
      </w:r>
      <w:r w:rsidRPr="00975A9B">
        <w:rPr>
          <w:rFonts w:ascii="Century Gothic" w:hAnsi="Century Gothic" w:cs="Arial"/>
          <w:lang w:val="es-ES_tradnl"/>
        </w:rPr>
        <w:t>entro de los dos (2) meses siguientes al vencimiento del término que acuerden las partes, o ante el silencio de estas, luego de los cuatro (4) meses para realizar la liquidación bilateral, sin que esta se efectúe. Finalmente, la tercera la realiza la Jurisdicción de lo Contencioso Administrativo o un tribunal de arbitramento dentro de un proceso judicial de controversias contractuales, y puede darse con ocasión de una demanda del interesado solicitando dicha liquidación. Para ello, existe un plazo máximo de dos (2) años contados a partir de los dos meses establecidos en la Ley para realizar la liquidación unilateral, de conformidad con el citado auto de unificación jurisprudencial del Consejo de Estado.</w:t>
      </w:r>
    </w:p>
    <w:p w:rsidR="008A21EA" w:rsidP="008A21EA" w:rsidRDefault="008A21EA" w14:paraId="40D92591" w14:textId="77777777">
      <w:pPr>
        <w:spacing w:after="120" w:line="276" w:lineRule="auto"/>
        <w:ind w:firstLine="708"/>
        <w:jc w:val="both"/>
        <w:rPr>
          <w:rFonts w:ascii="Century Gothic" w:hAnsi="Century Gothic" w:eastAsia="Times New Roman" w:cs="Arial"/>
          <w:color w:val="000000" w:themeColor="text1"/>
          <w:lang w:eastAsia="es-CO"/>
        </w:rPr>
      </w:pPr>
      <w:r w:rsidRPr="0086054B">
        <w:rPr>
          <w:rFonts w:ascii="Century Gothic" w:hAnsi="Century Gothic" w:eastAsia="Times New Roman" w:cs="Arial"/>
          <w:color w:val="000000" w:themeColor="text1"/>
          <w:lang w:eastAsia="es-CO"/>
        </w:rPr>
        <w:t>Así las cosas, posterior a los</w:t>
      </w:r>
      <w:r>
        <w:rPr>
          <w:rFonts w:ascii="Century Gothic" w:hAnsi="Century Gothic" w:eastAsia="Times New Roman" w:cs="Arial"/>
          <w:color w:val="000000" w:themeColor="text1"/>
          <w:lang w:eastAsia="es-CO"/>
        </w:rPr>
        <w:t xml:space="preserve"> términos</w:t>
      </w:r>
      <w:r w:rsidRPr="0086054B">
        <w:rPr>
          <w:rFonts w:ascii="Century Gothic" w:hAnsi="Century Gothic" w:eastAsia="Times New Roman" w:cs="Arial"/>
          <w:color w:val="000000" w:themeColor="text1"/>
          <w:lang w:eastAsia="es-CO"/>
        </w:rPr>
        <w:t xml:space="preserve"> referenciados </w:t>
      </w:r>
      <w:r>
        <w:rPr>
          <w:rFonts w:ascii="Century Gothic" w:hAnsi="Century Gothic" w:eastAsia="Times New Roman" w:cs="Arial"/>
          <w:color w:val="000000" w:themeColor="text1"/>
          <w:lang w:eastAsia="es-CO"/>
        </w:rPr>
        <w:t>en el párrafo precedente</w:t>
      </w:r>
      <w:r w:rsidRPr="0086054B">
        <w:rPr>
          <w:rFonts w:ascii="Century Gothic" w:hAnsi="Century Gothic" w:eastAsia="Times New Roman" w:cs="Arial"/>
          <w:color w:val="000000" w:themeColor="text1"/>
          <w:lang w:eastAsia="es-CO"/>
        </w:rPr>
        <w:t xml:space="preserve"> sin que se hubiese liquidado el contrato, ést</w:t>
      </w:r>
      <w:r>
        <w:rPr>
          <w:rFonts w:ascii="Century Gothic" w:hAnsi="Century Gothic" w:eastAsia="Times New Roman" w:cs="Arial"/>
          <w:color w:val="000000" w:themeColor="text1"/>
          <w:lang w:eastAsia="es-CO"/>
        </w:rPr>
        <w:t>a no podrá adelantarse</w:t>
      </w:r>
      <w:r w:rsidRPr="0086054B">
        <w:rPr>
          <w:rFonts w:ascii="Century Gothic" w:hAnsi="Century Gothic" w:eastAsia="Times New Roman" w:cs="Arial"/>
          <w:color w:val="000000" w:themeColor="text1"/>
          <w:lang w:eastAsia="es-CO"/>
        </w:rPr>
        <w:t xml:space="preserve"> dado que </w:t>
      </w:r>
      <w:r>
        <w:rPr>
          <w:rFonts w:ascii="Century Gothic" w:hAnsi="Century Gothic" w:eastAsia="Times New Roman" w:cs="Arial"/>
          <w:color w:val="000000" w:themeColor="text1"/>
          <w:lang w:eastAsia="es-CO"/>
        </w:rPr>
        <w:t>los plazos referidos son perentorios. Esto</w:t>
      </w:r>
      <w:r w:rsidRPr="0086054B">
        <w:rPr>
          <w:rFonts w:ascii="Century Gothic" w:hAnsi="Century Gothic" w:eastAsia="Times New Roman" w:cs="Arial"/>
          <w:color w:val="000000" w:themeColor="text1"/>
          <w:lang w:eastAsia="es-CO"/>
        </w:rPr>
        <w:t xml:space="preserve"> significa que </w:t>
      </w:r>
      <w:r>
        <w:rPr>
          <w:rFonts w:ascii="Century Gothic" w:hAnsi="Century Gothic" w:eastAsia="Times New Roman" w:cs="Arial"/>
          <w:color w:val="000000" w:themeColor="text1"/>
          <w:lang w:eastAsia="es-CO"/>
        </w:rPr>
        <w:t>con su</w:t>
      </w:r>
      <w:r w:rsidRPr="0086054B">
        <w:rPr>
          <w:rFonts w:ascii="Century Gothic" w:hAnsi="Century Gothic" w:eastAsia="Times New Roman" w:cs="Arial"/>
          <w:color w:val="000000" w:themeColor="text1"/>
          <w:lang w:eastAsia="es-CO"/>
        </w:rPr>
        <w:t xml:space="preserve"> vencimiento fenec</w:t>
      </w:r>
      <w:r>
        <w:rPr>
          <w:rFonts w:ascii="Century Gothic" w:hAnsi="Century Gothic" w:eastAsia="Times New Roman" w:cs="Arial"/>
          <w:color w:val="000000" w:themeColor="text1"/>
          <w:lang w:eastAsia="es-CO"/>
        </w:rPr>
        <w:t>e</w:t>
      </w:r>
      <w:r w:rsidRPr="0086054B">
        <w:rPr>
          <w:rFonts w:ascii="Century Gothic" w:hAnsi="Century Gothic" w:eastAsia="Times New Roman" w:cs="Arial"/>
          <w:color w:val="000000" w:themeColor="text1"/>
          <w:lang w:eastAsia="es-CO"/>
        </w:rPr>
        <w:t xml:space="preserve"> la oportunidad</w:t>
      </w:r>
      <w:r>
        <w:rPr>
          <w:rFonts w:ascii="Century Gothic" w:hAnsi="Century Gothic" w:eastAsia="Times New Roman" w:cs="Arial"/>
          <w:color w:val="000000" w:themeColor="text1"/>
          <w:lang w:eastAsia="es-CO"/>
        </w:rPr>
        <w:t xml:space="preserve"> de efectuarla</w:t>
      </w:r>
      <w:r w:rsidRPr="0086054B">
        <w:rPr>
          <w:rFonts w:ascii="Century Gothic" w:hAnsi="Century Gothic" w:eastAsia="Times New Roman" w:cs="Arial"/>
          <w:color w:val="000000" w:themeColor="text1"/>
          <w:lang w:eastAsia="es-CO"/>
        </w:rPr>
        <w:t xml:space="preserve"> </w:t>
      </w:r>
      <w:r>
        <w:rPr>
          <w:rFonts w:ascii="Century Gothic" w:hAnsi="Century Gothic" w:eastAsia="Times New Roman" w:cs="Arial"/>
          <w:color w:val="000000" w:themeColor="text1"/>
          <w:lang w:eastAsia="es-CO"/>
        </w:rPr>
        <w:t>ante</w:t>
      </w:r>
      <w:r w:rsidRPr="0086054B">
        <w:rPr>
          <w:rFonts w:ascii="Century Gothic" w:hAnsi="Century Gothic" w:eastAsia="Times New Roman" w:cs="Arial"/>
          <w:color w:val="000000" w:themeColor="text1"/>
          <w:lang w:eastAsia="es-CO"/>
        </w:rPr>
        <w:t xml:space="preserve"> la pérdida de competencia de la entidad para realizar el balance final del acuerdo de voluntades pactado.</w:t>
      </w:r>
      <w:r>
        <w:rPr>
          <w:rFonts w:ascii="Century Gothic" w:hAnsi="Century Gothic" w:eastAsia="Times New Roman" w:cs="Arial"/>
          <w:color w:val="000000" w:themeColor="text1"/>
          <w:lang w:eastAsia="es-CO"/>
        </w:rPr>
        <w:t xml:space="preserve"> </w:t>
      </w:r>
      <w:r w:rsidRPr="00523125">
        <w:rPr>
          <w:rFonts w:ascii="Century Gothic" w:hAnsi="Century Gothic" w:eastAsia="Times New Roman" w:cs="Arial"/>
          <w:color w:val="000000" w:themeColor="text1"/>
          <w:lang w:eastAsia="es-CO"/>
        </w:rPr>
        <w:t xml:space="preserve">Esta Subdirección, en </w:t>
      </w:r>
      <w:r>
        <w:rPr>
          <w:rFonts w:ascii="Century Gothic" w:hAnsi="Century Gothic" w:eastAsia="Times New Roman" w:cs="Arial"/>
          <w:color w:val="000000" w:themeColor="text1"/>
          <w:lang w:eastAsia="es-CO"/>
        </w:rPr>
        <w:t xml:space="preserve">el </w:t>
      </w:r>
      <w:r w:rsidRPr="00523125">
        <w:rPr>
          <w:rFonts w:ascii="Century Gothic" w:hAnsi="Century Gothic" w:eastAsia="Times New Roman" w:cs="Arial"/>
          <w:color w:val="000000" w:themeColor="text1"/>
          <w:lang w:eastAsia="es-CO"/>
        </w:rPr>
        <w:t>Concepto</w:t>
      </w:r>
      <w:r>
        <w:rPr>
          <w:rFonts w:ascii="Century Gothic" w:hAnsi="Century Gothic" w:eastAsia="Times New Roman" w:cs="Arial"/>
          <w:color w:val="000000" w:themeColor="text1"/>
          <w:lang w:eastAsia="es-CO"/>
        </w:rPr>
        <w:t xml:space="preserve"> </w:t>
      </w:r>
      <w:r w:rsidRPr="00523125">
        <w:rPr>
          <w:rFonts w:ascii="Century Gothic" w:hAnsi="Century Gothic" w:eastAsia="Times New Roman" w:cs="Arial"/>
          <w:color w:val="000000" w:themeColor="text1"/>
          <w:lang w:eastAsia="es-CO"/>
        </w:rPr>
        <w:t>4201913000006142 de 7 de octubre de 2019, señaló que con la caducidad del medio de control de controversias contractuales las entidades pierden la competencia para liquidar el contrato, ya que el fenómeno procesal constituía la preclusión de la oportunidad para reclamar las sumas de dinero adeudadas por las partes</w:t>
      </w:r>
      <w:r>
        <w:rPr>
          <w:rFonts w:ascii="Century Gothic" w:hAnsi="Century Gothic" w:eastAsia="Times New Roman" w:cs="Arial"/>
          <w:color w:val="000000" w:themeColor="text1"/>
          <w:lang w:eastAsia="es-CO"/>
        </w:rPr>
        <w:t>.</w:t>
      </w:r>
    </w:p>
    <w:p w:rsidR="008A21EA" w:rsidP="008A21EA" w:rsidRDefault="008A21EA" w14:paraId="658309C9" w14:textId="77777777">
      <w:pPr>
        <w:spacing w:after="120" w:line="276" w:lineRule="auto"/>
        <w:ind w:firstLine="708"/>
        <w:jc w:val="both"/>
        <w:rPr>
          <w:rFonts w:ascii="Century Gothic" w:hAnsi="Century Gothic" w:cs="Arial"/>
          <w:lang w:val="es-ES"/>
        </w:rPr>
      </w:pPr>
      <w:r>
        <w:rPr>
          <w:rFonts w:ascii="Century Gothic" w:hAnsi="Century Gothic" w:eastAsia="Times New Roman" w:cs="Arial"/>
          <w:color w:val="000000" w:themeColor="text1"/>
          <w:lang w:eastAsia="es-CO"/>
        </w:rPr>
        <w:t>Dentro de este marco, los interesados adoptarán las medidas que estimen pertinentes respecto a la vigencia del amparo de cumplimiento después de vencer el término para liquidar. Especialmente, previa asesoría de sus representantes legales, los contratistas del Estado deberán evaluar los cursos de acción disponibles frente a la falta de liquidación oportuna. En ambos casos, a</w:t>
      </w:r>
      <w:r w:rsidRPr="00F857E4">
        <w:rPr>
          <w:rFonts w:ascii="Century Gothic" w:hAnsi="Century Gothic" w:eastAsia="Times New Roman" w:cs="Arial"/>
          <w:color w:val="000000" w:themeColor="text1"/>
          <w:lang w:eastAsia="es-CO"/>
        </w:rPr>
        <w:t>l tratarse de un análisis que debe realizarse</w:t>
      </w:r>
      <w:r>
        <w:rPr>
          <w:rFonts w:ascii="Century Gothic" w:hAnsi="Century Gothic" w:eastAsia="Times New Roman" w:cs="Arial"/>
          <w:color w:val="000000" w:themeColor="text1"/>
          <w:lang w:eastAsia="es-CO"/>
        </w:rPr>
        <w:t xml:space="preserve"> en cada</w:t>
      </w:r>
      <w:r w:rsidRPr="00F857E4">
        <w:rPr>
          <w:rFonts w:ascii="Century Gothic" w:hAnsi="Century Gothic" w:eastAsia="Times New Roman" w:cs="Arial"/>
          <w:color w:val="000000" w:themeColor="text1"/>
          <w:lang w:eastAsia="es-CO"/>
        </w:rPr>
        <w:t xml:space="preserve">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w:t>
      </w:r>
      <w:r>
        <w:rPr>
          <w:rFonts w:ascii="Century Gothic" w:hAnsi="Century Gothic" w:eastAsia="Times New Roman" w:cs="Arial"/>
          <w:color w:val="000000" w:themeColor="text1"/>
          <w:lang w:eastAsia="es-CO"/>
        </w:rPr>
        <w:t xml:space="preserve"> uno de ellos</w:t>
      </w:r>
      <w:r w:rsidRPr="00F857E4">
        <w:rPr>
          <w:rFonts w:ascii="Century Gothic" w:hAnsi="Century Gothic" w:eastAsia="Times New Roman" w:cs="Arial"/>
          <w:color w:val="000000" w:themeColor="text1"/>
          <w:lang w:eastAsia="es-CO"/>
        </w:rPr>
        <w:t xml:space="preserve"> definirá la forma de adelantar su gestión contractual, sin que sea atribución de Colombia Compra Eficiente validar </w:t>
      </w:r>
      <w:r>
        <w:rPr>
          <w:rFonts w:ascii="Century Gothic" w:hAnsi="Century Gothic" w:eastAsia="Times New Roman" w:cs="Arial"/>
          <w:color w:val="000000" w:themeColor="text1"/>
          <w:lang w:eastAsia="es-CO"/>
        </w:rPr>
        <w:t>sus actuaciones</w:t>
      </w:r>
      <w:r w:rsidRPr="00F857E4">
        <w:rPr>
          <w:rFonts w:ascii="Century Gothic" w:hAnsi="Century Gothic" w:eastAsia="Times New Roman" w:cs="Arial"/>
          <w:color w:val="000000" w:themeColor="text1"/>
          <w:lang w:eastAsia="es-CO"/>
        </w:rPr>
        <w:t xml:space="preserve">. </w:t>
      </w:r>
      <w:r>
        <w:rPr>
          <w:rFonts w:ascii="Century Gothic" w:hAnsi="Century Gothic" w:eastAsia="Times New Roman" w:cs="Arial"/>
          <w:color w:val="000000" w:themeColor="text1"/>
          <w:lang w:eastAsia="es-CO"/>
        </w:rPr>
        <w:t>Por lo demás, como la Agencia no es una instancia revisora de las entidades estatales ni tiene competencia para resolver temas litigiosos en materia contractual, no existe un registro estadístico de los casos solicitados ni de la forma en que fueron solucionados.</w:t>
      </w:r>
    </w:p>
    <w:p w:rsidRPr="00131FA3" w:rsidR="008A21EA" w:rsidP="008A21EA" w:rsidRDefault="008A21EA" w14:paraId="6F1B4340" w14:textId="77777777">
      <w:pPr>
        <w:spacing w:after="0" w:line="276" w:lineRule="auto"/>
        <w:ind w:firstLine="708"/>
        <w:jc w:val="both"/>
        <w:rPr>
          <w:rFonts w:ascii="Century Gothic" w:hAnsi="Century Gothic" w:cs="Arial"/>
          <w:color w:val="000000" w:themeColor="text1"/>
          <w:lang w:eastAsia="es-MX"/>
        </w:rPr>
      </w:pPr>
    </w:p>
    <w:p w:rsidRPr="00131FA3" w:rsidR="008A21EA" w:rsidP="008A21EA" w:rsidRDefault="008A21EA" w14:paraId="03EFE949" w14:textId="77777777">
      <w:pPr>
        <w:widowControl w:val="0"/>
        <w:autoSpaceDE w:val="0"/>
        <w:autoSpaceDN w:val="0"/>
        <w:spacing w:after="0" w:line="276" w:lineRule="auto"/>
        <w:jc w:val="both"/>
        <w:rPr>
          <w:rFonts w:ascii="Century Gothic" w:hAnsi="Century Gothic" w:cs="Arial"/>
          <w:color w:val="000000" w:themeColor="text1"/>
          <w:lang w:val="es-ES_tradnl" w:bidi="es-ES"/>
        </w:rPr>
      </w:pPr>
      <w:r w:rsidRPr="00131FA3">
        <w:rPr>
          <w:rFonts w:ascii="Century Gothic" w:hAnsi="Century Gothic" w:cs="Arial"/>
          <w:color w:val="000000" w:themeColor="text1"/>
          <w:lang w:val="es-ES_tradnl"/>
        </w:rPr>
        <w:t>Este concepto tiene el alcance previsto en el artículo 28 del Código de Procedimiento Administrativo y de lo Contencioso Administrativo.</w:t>
      </w:r>
    </w:p>
    <w:p w:rsidRPr="00131FA3" w:rsidR="008A21EA" w:rsidP="008A21EA" w:rsidRDefault="008A21EA" w14:paraId="25D552E3" w14:textId="77777777">
      <w:pPr>
        <w:widowControl w:val="0"/>
        <w:autoSpaceDE w:val="0"/>
        <w:autoSpaceDN w:val="0"/>
        <w:spacing w:after="0" w:line="276" w:lineRule="auto"/>
        <w:jc w:val="both"/>
        <w:rPr>
          <w:rFonts w:ascii="Century Gothic" w:hAnsi="Century Gothic" w:cs="Arial"/>
          <w:color w:val="000000" w:themeColor="text1"/>
          <w:lang w:val="es-ES_tradnl" w:bidi="es-ES"/>
        </w:rPr>
      </w:pPr>
    </w:p>
    <w:p w:rsidRPr="00131FA3" w:rsidR="008A21EA" w:rsidP="008A21EA" w:rsidRDefault="008A21EA" w14:paraId="03D99F3E" w14:textId="77777777">
      <w:pPr>
        <w:tabs>
          <w:tab w:val="left" w:pos="426"/>
        </w:tabs>
        <w:spacing w:line="276" w:lineRule="auto"/>
        <w:jc w:val="both"/>
        <w:rPr>
          <w:rFonts w:ascii="Century Gothic" w:hAnsi="Century Gothic" w:eastAsia="Times New Roman" w:cs="Arial"/>
          <w:color w:val="000000" w:themeColor="text1"/>
        </w:rPr>
      </w:pPr>
      <w:r w:rsidRPr="00131FA3">
        <w:rPr>
          <w:rFonts w:ascii="Century Gothic" w:hAnsi="Century Gothic" w:eastAsia="Times New Roman" w:cs="Arial"/>
          <w:color w:val="000000" w:themeColor="text1"/>
        </w:rPr>
        <w:t>Atentamente,</w:t>
      </w:r>
    </w:p>
    <w:p w:rsidRPr="00131FA3" w:rsidR="008A21EA" w:rsidP="008A21EA" w:rsidRDefault="005106C3" w14:paraId="4EBEB9A8" w14:textId="4F48F398">
      <w:pPr>
        <w:jc w:val="center"/>
        <w:rPr>
          <w:rFonts w:ascii="Century Gothic" w:hAnsi="Century Gothic" w:eastAsia="Times New Roman" w:cs="Arial"/>
          <w:lang w:eastAsia="es-CO"/>
        </w:rPr>
      </w:pPr>
      <w:r>
        <w:rPr>
          <w:noProof/>
        </w:rPr>
        <w:drawing>
          <wp:inline distT="0" distB="0" distL="0" distR="0" wp14:anchorId="3CB5E702" wp14:editId="296C1AEF">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w:rsidRPr="00131FA3" w:rsidR="008A21EA" w:rsidTr="00F910F1" w14:paraId="40246D89" w14:textId="77777777">
        <w:trPr>
          <w:trHeight w:val="409"/>
        </w:trPr>
        <w:tc>
          <w:tcPr>
            <w:tcW w:w="817" w:type="dxa"/>
            <w:tcBorders>
              <w:top w:val="nil"/>
              <w:left w:val="nil"/>
              <w:bottom w:val="nil"/>
              <w:right w:val="nil"/>
            </w:tcBorders>
            <w:vAlign w:val="center"/>
            <w:hideMark/>
          </w:tcPr>
          <w:p w:rsidRPr="00131FA3" w:rsidR="008A21EA" w:rsidP="00F910F1" w:rsidRDefault="008A21EA" w14:paraId="05E53B5A"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131FA3" w:rsidR="008A21EA" w:rsidP="00F910F1" w:rsidRDefault="008A21EA" w14:paraId="46228C97"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Juan David Montoya Penagos</w:t>
            </w:r>
          </w:p>
          <w:p w:rsidRPr="00131FA3" w:rsidR="008A21EA" w:rsidP="00F910F1" w:rsidRDefault="008A21EA" w14:paraId="36784CBB"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Contratista de la Subdirección de Gestión Contractual</w:t>
            </w:r>
          </w:p>
        </w:tc>
      </w:tr>
      <w:tr w:rsidRPr="00131FA3" w:rsidR="008A21EA" w:rsidTr="00F910F1" w14:paraId="2C4A2D3D" w14:textId="77777777">
        <w:trPr>
          <w:trHeight w:val="409"/>
        </w:trPr>
        <w:tc>
          <w:tcPr>
            <w:tcW w:w="817" w:type="dxa"/>
            <w:tcBorders>
              <w:top w:val="nil"/>
              <w:left w:val="nil"/>
              <w:right w:val="nil"/>
            </w:tcBorders>
            <w:vAlign w:val="center"/>
          </w:tcPr>
          <w:p w:rsidRPr="00131FA3" w:rsidR="008A21EA" w:rsidP="00F910F1" w:rsidRDefault="008A21EA" w14:paraId="508B052C" w14:textId="77777777">
            <w:pPr>
              <w:jc w:val="both"/>
              <w:rPr>
                <w:rFonts w:ascii="Century Gothic" w:hAnsi="Century Gothic" w:cs="Arial"/>
                <w:sz w:val="16"/>
                <w:szCs w:val="16"/>
              </w:rPr>
            </w:pPr>
            <w:r w:rsidRPr="00131FA3">
              <w:rPr>
                <w:rFonts w:ascii="Century Gothic" w:hAnsi="Century Gothic"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964205" w:rsidR="00964205" w:rsidP="00964205" w:rsidRDefault="00964205" w14:paraId="4DC4D6C8" w14:textId="77777777">
            <w:pPr>
              <w:spacing w:after="0" w:line="240" w:lineRule="auto"/>
              <w:jc w:val="both"/>
              <w:rPr>
                <w:rFonts w:ascii="Century Gothic" w:hAnsi="Century Gothic" w:cs="Arial"/>
                <w:sz w:val="16"/>
                <w:szCs w:val="16"/>
              </w:rPr>
            </w:pPr>
            <w:r w:rsidRPr="00964205">
              <w:rPr>
                <w:rFonts w:ascii="Century Gothic" w:hAnsi="Century Gothic" w:cs="Arial"/>
                <w:sz w:val="16"/>
                <w:szCs w:val="16"/>
              </w:rPr>
              <w:t>Martha Alicia Romero Vargas</w:t>
            </w:r>
          </w:p>
          <w:p w:rsidRPr="00131FA3" w:rsidR="008A21EA" w:rsidP="00964205" w:rsidRDefault="00964205" w14:paraId="7124CFF0" w14:textId="13709B70">
            <w:pPr>
              <w:spacing w:after="0" w:line="240" w:lineRule="auto"/>
              <w:jc w:val="both"/>
              <w:rPr>
                <w:rFonts w:ascii="Century Gothic" w:hAnsi="Century Gothic" w:cs="Arial"/>
                <w:sz w:val="16"/>
                <w:szCs w:val="16"/>
              </w:rPr>
            </w:pPr>
            <w:r w:rsidRPr="00964205">
              <w:rPr>
                <w:rFonts w:ascii="Century Gothic" w:hAnsi="Century Gothic" w:cs="Arial"/>
                <w:sz w:val="16"/>
                <w:szCs w:val="16"/>
              </w:rPr>
              <w:t xml:space="preserve">Gestor T1 </w:t>
            </w:r>
            <w:r w:rsidRPr="00964205">
              <w:rPr>
                <w:rFonts w:ascii="Arial" w:hAnsi="Arial" w:cs="Arial"/>
                <w:sz w:val="16"/>
                <w:szCs w:val="16"/>
              </w:rPr>
              <w:t>‒</w:t>
            </w:r>
            <w:r w:rsidRPr="00964205">
              <w:rPr>
                <w:rFonts w:ascii="Century Gothic" w:hAnsi="Century Gothic" w:cs="Arial"/>
                <w:sz w:val="16"/>
                <w:szCs w:val="16"/>
              </w:rPr>
              <w:t xml:space="preserve"> 15 de la Subdirecci</w:t>
            </w:r>
            <w:r w:rsidRPr="00964205">
              <w:rPr>
                <w:rFonts w:ascii="Century Gothic" w:hAnsi="Century Gothic" w:cs="Century Gothic"/>
                <w:sz w:val="16"/>
                <w:szCs w:val="16"/>
              </w:rPr>
              <w:t>ó</w:t>
            </w:r>
            <w:r w:rsidRPr="00964205">
              <w:rPr>
                <w:rFonts w:ascii="Century Gothic" w:hAnsi="Century Gothic" w:cs="Arial"/>
                <w:sz w:val="16"/>
                <w:szCs w:val="16"/>
              </w:rPr>
              <w:t>n de Gesti</w:t>
            </w:r>
            <w:r w:rsidRPr="00964205">
              <w:rPr>
                <w:rFonts w:ascii="Century Gothic" w:hAnsi="Century Gothic" w:cs="Century Gothic"/>
                <w:sz w:val="16"/>
                <w:szCs w:val="16"/>
              </w:rPr>
              <w:t>ó</w:t>
            </w:r>
            <w:r w:rsidRPr="00964205">
              <w:rPr>
                <w:rFonts w:ascii="Century Gothic" w:hAnsi="Century Gothic" w:cs="Arial"/>
                <w:sz w:val="16"/>
                <w:szCs w:val="16"/>
              </w:rPr>
              <w:t>n Contractual</w:t>
            </w:r>
          </w:p>
        </w:tc>
      </w:tr>
      <w:tr w:rsidRPr="00131FA3" w:rsidR="008A21EA" w:rsidTr="00F910F1" w14:paraId="76D7957E" w14:textId="77777777">
        <w:trPr>
          <w:trHeight w:val="389"/>
        </w:trPr>
        <w:tc>
          <w:tcPr>
            <w:tcW w:w="817" w:type="dxa"/>
            <w:tcBorders>
              <w:top w:val="nil"/>
              <w:left w:val="nil"/>
              <w:bottom w:val="nil"/>
              <w:right w:val="nil"/>
            </w:tcBorders>
            <w:vAlign w:val="center"/>
            <w:hideMark/>
          </w:tcPr>
          <w:p w:rsidRPr="00131FA3" w:rsidR="008A21EA" w:rsidP="00F910F1" w:rsidRDefault="008A21EA" w14:paraId="34B6598C"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131FA3" w:rsidR="008A21EA" w:rsidP="00F910F1" w:rsidRDefault="008A21EA" w14:paraId="52962846" w14:textId="77777777">
            <w:pPr>
              <w:spacing w:after="0" w:line="240" w:lineRule="auto"/>
              <w:jc w:val="both"/>
              <w:rPr>
                <w:rFonts w:ascii="Century Gothic" w:hAnsi="Century Gothic" w:cs="Arial"/>
                <w:sz w:val="16"/>
                <w:szCs w:val="16"/>
              </w:rPr>
            </w:pPr>
            <w:r w:rsidRPr="00131FA3">
              <w:rPr>
                <w:rFonts w:ascii="Century Gothic" w:hAnsi="Century Gothic" w:cs="Arial"/>
                <w:sz w:val="16"/>
                <w:szCs w:val="16"/>
              </w:rPr>
              <w:t>Nohelia del Carmen Zawady Palacio</w:t>
            </w:r>
          </w:p>
          <w:p w:rsidRPr="00131FA3" w:rsidR="008A21EA" w:rsidP="00F910F1" w:rsidRDefault="008A21EA" w14:paraId="6593EC28" w14:textId="67C1E644">
            <w:pPr>
              <w:spacing w:after="0" w:line="240" w:lineRule="auto"/>
              <w:jc w:val="both"/>
              <w:rPr>
                <w:rFonts w:ascii="Century Gothic" w:hAnsi="Century Gothic" w:cs="Arial"/>
                <w:sz w:val="16"/>
                <w:szCs w:val="16"/>
              </w:rPr>
            </w:pPr>
            <w:r w:rsidRPr="00131FA3">
              <w:rPr>
                <w:rFonts w:ascii="Century Gothic" w:hAnsi="Century Gothic" w:cs="Arial"/>
                <w:sz w:val="16"/>
                <w:szCs w:val="16"/>
              </w:rPr>
              <w:t xml:space="preserve">Subdirectora de Gestión Contractual ANCP </w:t>
            </w:r>
            <w:r w:rsidR="00E71505">
              <w:rPr>
                <w:rFonts w:ascii="Century Gothic" w:hAnsi="Century Gothic" w:cs="Arial"/>
                <w:sz w:val="16"/>
                <w:szCs w:val="16"/>
              </w:rPr>
              <w:t>–</w:t>
            </w:r>
            <w:r w:rsidRPr="00131FA3">
              <w:rPr>
                <w:rFonts w:ascii="Century Gothic" w:hAnsi="Century Gothic" w:cs="Arial"/>
                <w:sz w:val="16"/>
                <w:szCs w:val="16"/>
              </w:rPr>
              <w:t xml:space="preserve"> CCE</w:t>
            </w:r>
          </w:p>
        </w:tc>
      </w:tr>
      <w:bookmarkEnd w:id="2"/>
      <w:bookmarkEnd w:id="3"/>
    </w:tbl>
    <w:p w:rsidRPr="00AA6AD7" w:rsidR="00127233" w:rsidP="00AA6AD7" w:rsidRDefault="00127233" w14:paraId="0F293BF4" w14:textId="17962FC9"/>
    <w:sectPr w:rsidRPr="00AA6AD7" w:rsidR="00127233" w:rsidSect="00816398">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398" w:rsidP="004A1847" w:rsidRDefault="00816398" w14:paraId="1173971D" w14:textId="77777777">
      <w:pPr>
        <w:spacing w:after="0" w:line="240" w:lineRule="auto"/>
      </w:pPr>
      <w:r>
        <w:separator/>
      </w:r>
    </w:p>
  </w:endnote>
  <w:endnote w:type="continuationSeparator" w:id="0">
    <w:p w:rsidR="00816398" w:rsidP="004A1847" w:rsidRDefault="00816398" w14:paraId="2DDE11C2" w14:textId="77777777">
      <w:pPr>
        <w:spacing w:after="0" w:line="240" w:lineRule="auto"/>
      </w:pPr>
      <w:r>
        <w:continuationSeparator/>
      </w:r>
    </w:p>
  </w:endnote>
  <w:endnote w:type="continuationNotice" w:id="1">
    <w:p w:rsidR="00816398" w:rsidRDefault="00816398" w14:paraId="57A5C5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398" w:rsidP="004A1847" w:rsidRDefault="00816398" w14:paraId="1C4E4ED7" w14:textId="77777777">
      <w:pPr>
        <w:spacing w:after="0" w:line="240" w:lineRule="auto"/>
      </w:pPr>
      <w:r>
        <w:separator/>
      </w:r>
    </w:p>
  </w:footnote>
  <w:footnote w:type="continuationSeparator" w:id="0">
    <w:p w:rsidR="00816398" w:rsidP="004A1847" w:rsidRDefault="00816398" w14:paraId="61285A22" w14:textId="77777777">
      <w:pPr>
        <w:spacing w:after="0" w:line="240" w:lineRule="auto"/>
      </w:pPr>
      <w:r>
        <w:continuationSeparator/>
      </w:r>
    </w:p>
  </w:footnote>
  <w:footnote w:type="continuationNotice" w:id="1">
    <w:p w:rsidR="00816398" w:rsidRDefault="00816398" w14:paraId="58320019" w14:textId="77777777">
      <w:pPr>
        <w:spacing w:after="0" w:line="240" w:lineRule="auto"/>
      </w:pPr>
    </w:p>
  </w:footnote>
  <w:footnote w:id="2">
    <w:p w:rsidRPr="00411232" w:rsidR="008A21EA" w:rsidP="008A21EA" w:rsidRDefault="008A21EA" w14:paraId="6CC250C0" w14:textId="77777777">
      <w:pPr>
        <w:pStyle w:val="Textonotapie"/>
        <w:ind w:firstLine="708"/>
        <w:jc w:val="both"/>
        <w:rPr>
          <w:rFonts w:ascii="Century Gothic" w:hAnsi="Century Gothic" w:cs="Arial"/>
          <w:sz w:val="16"/>
          <w:szCs w:val="16"/>
          <w:lang w:val="es-ES"/>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La Agencia Nacional de Contratación Pública </w:t>
      </w:r>
      <w:r w:rsidRPr="00411232">
        <w:rPr>
          <w:rFonts w:ascii="Arial" w:hAnsi="Arial" w:cs="Arial"/>
          <w:sz w:val="16"/>
          <w:szCs w:val="16"/>
        </w:rPr>
        <w:t>‒</w:t>
      </w:r>
      <w:r w:rsidRPr="00411232">
        <w:rPr>
          <w:rFonts w:ascii="Century Gothic" w:hAnsi="Century Gothic" w:cs="Arial"/>
          <w:sz w:val="16"/>
          <w:szCs w:val="16"/>
        </w:rPr>
        <w:t xml:space="preserve"> Colombia Compra Eficiente fue creada por el Decreto Ley 4170 de 2011. Su objetivo es servir como ente rector de la pol</w:t>
      </w:r>
      <w:r w:rsidRPr="00411232">
        <w:rPr>
          <w:rFonts w:ascii="Century Gothic" w:hAnsi="Century Gothic" w:cs="Century Gothic"/>
          <w:sz w:val="16"/>
          <w:szCs w:val="16"/>
        </w:rPr>
        <w:t>í</w:t>
      </w:r>
      <w:r w:rsidRPr="00411232">
        <w:rPr>
          <w:rFonts w:ascii="Century Gothic" w:hAnsi="Century Gothic" w:cs="Arial"/>
          <w:sz w:val="16"/>
          <w:szCs w:val="16"/>
        </w:rPr>
        <w:t>tica de compras y contrataci</w:t>
      </w:r>
      <w:r w:rsidRPr="00411232">
        <w:rPr>
          <w:rFonts w:ascii="Century Gothic" w:hAnsi="Century Gothic" w:cs="Century Gothic"/>
          <w:sz w:val="16"/>
          <w:szCs w:val="16"/>
        </w:rPr>
        <w:t>ó</w:t>
      </w:r>
      <w:r w:rsidRPr="00411232">
        <w:rPr>
          <w:rFonts w:ascii="Century Gothic" w:hAnsi="Century Gothic" w:cs="Arial"/>
          <w:sz w:val="16"/>
          <w:szCs w:val="16"/>
        </w:rPr>
        <w:t xml:space="preserve">n del Estado. Para tales fines, como </w:t>
      </w:r>
      <w:r w:rsidRPr="00411232">
        <w:rPr>
          <w:rFonts w:ascii="Century Gothic" w:hAnsi="Century Gothic" w:cs="Century Gothic"/>
          <w:sz w:val="16"/>
          <w:szCs w:val="16"/>
        </w:rPr>
        <w:t>ó</w:t>
      </w:r>
      <w:r w:rsidRPr="00411232">
        <w:rPr>
          <w:rFonts w:ascii="Century Gothic" w:hAnsi="Century Gothic" w:cs="Arial"/>
          <w:sz w:val="16"/>
          <w:szCs w:val="16"/>
        </w:rPr>
        <w:t>rgano t</w:t>
      </w:r>
      <w:r w:rsidRPr="00411232">
        <w:rPr>
          <w:rFonts w:ascii="Century Gothic" w:hAnsi="Century Gothic" w:cs="Century Gothic"/>
          <w:sz w:val="16"/>
          <w:szCs w:val="16"/>
        </w:rPr>
        <w:t>é</w:t>
      </w:r>
      <w:r w:rsidRPr="00411232">
        <w:rPr>
          <w:rFonts w:ascii="Century Gothic" w:hAnsi="Century Gothic" w:cs="Arial"/>
          <w:sz w:val="16"/>
          <w:szCs w:val="16"/>
        </w:rPr>
        <w:t>cnico especializado, le corresponde formular pol</w:t>
      </w:r>
      <w:r w:rsidRPr="00411232">
        <w:rPr>
          <w:rFonts w:ascii="Century Gothic" w:hAnsi="Century Gothic" w:cs="Century Gothic"/>
          <w:sz w:val="16"/>
          <w:szCs w:val="16"/>
        </w:rPr>
        <w:t>í</w:t>
      </w:r>
      <w:r w:rsidRPr="00411232">
        <w:rPr>
          <w:rFonts w:ascii="Century Gothic" w:hAnsi="Century Gothic" w:cs="Arial"/>
          <w:sz w:val="16"/>
          <w:szCs w:val="16"/>
        </w:rPr>
        <w:t>ticas p</w:t>
      </w:r>
      <w:r w:rsidRPr="00411232">
        <w:rPr>
          <w:rFonts w:ascii="Century Gothic" w:hAnsi="Century Gothic" w:cs="Century Gothic"/>
          <w:sz w:val="16"/>
          <w:szCs w:val="16"/>
        </w:rPr>
        <w:t>ú</w:t>
      </w:r>
      <w:r w:rsidRPr="00411232">
        <w:rPr>
          <w:rFonts w:ascii="Century Gothic" w:hAnsi="Century Gothic" w:cs="Arial"/>
          <w:sz w:val="16"/>
          <w:szCs w:val="16"/>
        </w:rPr>
        <w:t>blicas y normas y unificar los procesos de contrataci</w:t>
      </w:r>
      <w:r w:rsidRPr="00411232">
        <w:rPr>
          <w:rFonts w:ascii="Century Gothic" w:hAnsi="Century Gothic" w:cs="Century Gothic"/>
          <w:sz w:val="16"/>
          <w:szCs w:val="16"/>
        </w:rPr>
        <w:t>ó</w:t>
      </w:r>
      <w:r w:rsidRPr="00411232">
        <w:rPr>
          <w:rFonts w:ascii="Century Gothic" w:hAnsi="Century Gothic" w:cs="Arial"/>
          <w:sz w:val="16"/>
          <w:szCs w:val="16"/>
        </w:rPr>
        <w:t>n estatal, con el fin de lograr una mayor eficiencia, transparencia y optimizaci</w:t>
      </w:r>
      <w:r w:rsidRPr="00411232">
        <w:rPr>
          <w:rFonts w:ascii="Century Gothic" w:hAnsi="Century Gothic" w:cs="Century Gothic"/>
          <w:sz w:val="16"/>
          <w:szCs w:val="16"/>
        </w:rPr>
        <w:t>ó</w:t>
      </w:r>
      <w:r w:rsidRPr="00411232">
        <w:rPr>
          <w:rFonts w:ascii="Century Gothic" w:hAnsi="Century Gothic" w:cs="Arial"/>
          <w:sz w:val="16"/>
          <w:szCs w:val="16"/>
        </w:rPr>
        <w:t>n de los recursos del Estado. El art</w:t>
      </w:r>
      <w:r w:rsidRPr="00411232">
        <w:rPr>
          <w:rFonts w:ascii="Century Gothic" w:hAnsi="Century Gothic" w:cs="Century Gothic"/>
          <w:sz w:val="16"/>
          <w:szCs w:val="16"/>
        </w:rPr>
        <w:t>í</w:t>
      </w:r>
      <w:r w:rsidRPr="00411232">
        <w:rPr>
          <w:rFonts w:ascii="Century Gothic" w:hAnsi="Century Gothic" w:cs="Arial"/>
          <w:sz w:val="16"/>
          <w:szCs w:val="16"/>
        </w:rPr>
        <w:t xml:space="preserve">culo 3 </w:t>
      </w:r>
      <w:r w:rsidRPr="00411232">
        <w:rPr>
          <w:rFonts w:ascii="Century Gothic" w:hAnsi="Century Gothic" w:cs="Arial"/>
          <w:i/>
          <w:iCs/>
          <w:sz w:val="16"/>
          <w:szCs w:val="16"/>
        </w:rPr>
        <w:t xml:space="preserve">ibidem </w:t>
      </w:r>
      <w:r w:rsidRPr="00411232">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411232" w:rsidR="008A21EA" w:rsidP="008A21EA" w:rsidRDefault="008A21EA" w14:paraId="75A0CF35" w14:textId="77777777">
      <w:pPr>
        <w:pStyle w:val="Textonotapie"/>
        <w:ind w:firstLine="708"/>
        <w:jc w:val="both"/>
        <w:rPr>
          <w:rFonts w:ascii="Century Gothic" w:hAnsi="Century Gothic" w:cs="Arial"/>
          <w:sz w:val="16"/>
          <w:szCs w:val="16"/>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411232">
          <w:rPr>
            <w:rStyle w:val="Hipervnculo"/>
            <w:rFonts w:ascii="Century Gothic" w:hAnsi="Century Gothic" w:cs="Arial"/>
            <w:sz w:val="16"/>
            <w:szCs w:val="16"/>
          </w:rPr>
          <w:t>https://relatoria.colombiacompra.gov.co/busqueda/conceptos</w:t>
        </w:r>
      </w:hyperlink>
      <w:r w:rsidRPr="00411232">
        <w:rPr>
          <w:rStyle w:val="Hipervnculo"/>
          <w:rFonts w:ascii="Century Gothic" w:hAnsi="Century Gothic" w:cs="Arial"/>
          <w:sz w:val="16"/>
          <w:szCs w:val="16"/>
        </w:rPr>
        <w:t xml:space="preserve">. </w:t>
      </w:r>
      <w:r w:rsidRPr="00411232">
        <w:rPr>
          <w:rFonts w:ascii="Century Gothic" w:hAnsi="Century Gothic" w:cs="Arial"/>
          <w:sz w:val="16"/>
          <w:szCs w:val="16"/>
          <w:shd w:val="clear" w:color="auto" w:fill="E6E6E6"/>
        </w:rPr>
        <w:t xml:space="preserve"> </w:t>
      </w:r>
    </w:p>
  </w:footnote>
  <w:footnote w:id="4">
    <w:p w:rsidRPr="00411232" w:rsidR="008A21EA" w:rsidP="008A21EA" w:rsidRDefault="008A21EA" w14:paraId="353A0F07" w14:textId="77777777">
      <w:pPr>
        <w:pStyle w:val="Textonotapie"/>
        <w:ind w:firstLine="708"/>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CORTE CONSTITUCIONAL. Sentencia C-452 de 1999. M.P. Eduardo Cifuentes Muñoz. </w:t>
      </w:r>
    </w:p>
  </w:footnote>
  <w:footnote w:id="5">
    <w:p w:rsidRPr="00411232" w:rsidR="008A21EA" w:rsidP="008A21EA" w:rsidRDefault="008A21EA" w14:paraId="0F5F533E" w14:textId="77777777">
      <w:pPr>
        <w:pStyle w:val="Textonotapie"/>
        <w:ind w:firstLine="708"/>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DROMI, José Roberto. La licitación pública. Buenos Aires: Ciudad Argentina, 1980. pp. 288-289.</w:t>
      </w:r>
    </w:p>
  </w:footnote>
  <w:footnote w:id="6">
    <w:p w:rsidRPr="00411232" w:rsidR="008A21EA" w:rsidP="008A21EA" w:rsidRDefault="008A21EA" w14:paraId="570920E1" w14:textId="77777777">
      <w:pPr>
        <w:pStyle w:val="Textonotapie"/>
        <w:ind w:firstLine="708"/>
        <w:jc w:val="both"/>
        <w:rPr>
          <w:rFonts w:ascii="Century Gothic" w:hAnsi="Century Gothic" w:cs="Arial"/>
          <w:sz w:val="16"/>
          <w:szCs w:val="16"/>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Para la jurisprudencia, “[…] los seguros de cumplimiento, específicamente, el de contratos estatales, son aquellos que garantizan al acreedor (entidad estatal) que serán resarcidos los daños que pueda provocar el incumplimiento de las obligaciones del deudor (contratista) dentro del marco de una relación contractual. Así, pues, el riesgo asegurado en esta categoría de seguros, visto de manera general, lo constituye el incumplimiento de las obligaciones contractuales a cargo del deudor (contratista), quien a su vez es el tomador de la póliza, de modo que el objeto de las obligaciones garantizadas es lo que determina o particulariza el riesgo asegurado” (CONSEJO DE ESTADO. Sección Tercera. Subsección A. Sentencia del 12 de febrero de 2015. Exp.  28278. C.P. Carlos Alberto Zambrano Barrera).</w:t>
      </w:r>
    </w:p>
  </w:footnote>
  <w:footnote w:id="7">
    <w:p w:rsidRPr="00411232" w:rsidR="008A21EA" w:rsidP="008A21EA" w:rsidRDefault="008A21EA" w14:paraId="143F29CA"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ORDÓÑEZ ORDÓÑEZ, Andrés E. Seguro de cumplimiento de los contratos estatales en Colombia. Bogotá: Universidad Externado de Colombia, 2011. p. 44.</w:t>
      </w:r>
    </w:p>
  </w:footnote>
  <w:footnote w:id="8">
    <w:p w:rsidRPr="00411232" w:rsidR="008A21EA" w:rsidP="008A21EA" w:rsidRDefault="008A21EA" w14:paraId="5632D9E3" w14:textId="77777777">
      <w:pPr>
        <w:pStyle w:val="Textonotapie"/>
        <w:ind w:firstLine="709"/>
        <w:jc w:val="both"/>
        <w:rPr>
          <w:rFonts w:ascii="Century Gothic" w:hAnsi="Century Gothic" w:cs="Arial"/>
          <w:color w:val="000000" w:themeColor="text1"/>
          <w:sz w:val="16"/>
          <w:szCs w:val="16"/>
          <w:lang w:val="es-ES"/>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Al respecto, el inciso primero del artículo 1068 del Código de Comercio dispone lo siguiente: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 </w:t>
      </w:r>
      <w:r w:rsidRPr="00411232">
        <w:rPr>
          <w:rFonts w:ascii="Century Gothic" w:hAnsi="Century Gothic" w:cs="Arial"/>
          <w:color w:val="000000" w:themeColor="text1"/>
          <w:sz w:val="16"/>
          <w:szCs w:val="16"/>
          <w:lang w:val="es-ES"/>
        </w:rPr>
        <w:t xml:space="preserve">Igualmente, el inciso primero del artículo 1071 </w:t>
      </w:r>
      <w:r w:rsidRPr="00411232">
        <w:rPr>
          <w:rFonts w:ascii="Century Gothic" w:hAnsi="Century Gothic" w:cs="Arial"/>
          <w:i/>
          <w:iCs/>
          <w:color w:val="000000" w:themeColor="text1"/>
          <w:sz w:val="16"/>
          <w:szCs w:val="16"/>
          <w:lang w:val="es-ES"/>
        </w:rPr>
        <w:t>ibidem</w:t>
      </w:r>
      <w:r w:rsidRPr="00411232">
        <w:rPr>
          <w:rFonts w:ascii="Century Gothic" w:hAnsi="Century Gothic" w:cs="Arial"/>
          <w:color w:val="000000" w:themeColor="text1"/>
          <w:sz w:val="16"/>
          <w:szCs w:val="16"/>
          <w:lang w:val="es-ES"/>
        </w:rPr>
        <w:t xml:space="preserve"> prescribe: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  </w:t>
      </w:r>
    </w:p>
  </w:footnote>
  <w:footnote w:id="9">
    <w:p w:rsidRPr="00411232" w:rsidR="008A21EA" w:rsidP="008A21EA" w:rsidRDefault="008A21EA" w14:paraId="77DDB972"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ESCOBAR GIL, Rodrigo. Teoría general de los contratos de la Administración pública. Bogotá: Legis, 2000. p. 247. Respecto a las pólizas, la doctrina explica que “En rigor, el seguro no elimina el daño sino que tolera que sus consecuencias resulten transferidas (trasladadas) por el sujeto amenazado por un evento económicamente desfavorable, a otro (asegurador) que, a esos fines, ha constituido una mutualidad especialmente ‘preparada para absorber el riesgo de indemnización’“ (Cfr. STIGLITZ, Rubén S. Derecho de seguros. Tomo I. Tercera Edición. Buenos Aires: Abeledo – Perrot, 2001. p. 21).</w:t>
      </w:r>
    </w:p>
  </w:footnote>
  <w:footnote w:id="10">
    <w:p w:rsidRPr="00411232" w:rsidR="008A21EA" w:rsidP="008A21EA" w:rsidRDefault="008A21EA" w14:paraId="10203E68" w14:textId="77777777">
      <w:pPr>
        <w:pStyle w:val="Textonotapie"/>
        <w:ind w:firstLine="708"/>
        <w:jc w:val="both"/>
        <w:rPr>
          <w:rFonts w:ascii="Century Gothic" w:hAnsi="Century Gothic" w:cs="Arial"/>
          <w:color w:val="000000" w:themeColor="text1"/>
          <w:sz w:val="16"/>
          <w:szCs w:val="16"/>
          <w:lang w:val="es-CO"/>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w:t>
      </w:r>
      <w:r w:rsidRPr="00411232">
        <w:rPr>
          <w:rFonts w:ascii="Century Gothic" w:hAnsi="Century Gothic" w:cs="Arial"/>
          <w:color w:val="000000" w:themeColor="text1"/>
          <w:sz w:val="16"/>
          <w:szCs w:val="16"/>
          <w:lang w:val="es-CO"/>
        </w:rPr>
        <w:t xml:space="preserve">“Artículo 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 contrato. </w:t>
      </w:r>
    </w:p>
    <w:p w:rsidRPr="00411232" w:rsidR="008A21EA" w:rsidP="008A21EA" w:rsidRDefault="008A21EA" w14:paraId="4006D627"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En consecuencia, la Entidad Estatal en los pliegos de condiciones para la Contratación debe indicar las garantías que exige en cada Etapa del Contrato o cada Periodo Contractual así: </w:t>
      </w:r>
    </w:p>
    <w:p w:rsidRPr="00411232" w:rsidR="008A21EA" w:rsidP="008A21EA" w:rsidRDefault="008A21EA" w14:paraId="61525CC0"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1. La Entidad Estatal debe exigir una garantía independiente para cada Etapa del Contrato o cada Periodo Contractual o cada unidad funcional en el caso de las Asociaciones Público Privadas, cuya vigencia debe ser por lo menos la misma establecida para la Etapa del Contrato o Periodo Contractual respectivo. </w:t>
      </w:r>
    </w:p>
    <w:p w:rsidRPr="00411232" w:rsidR="008A21EA" w:rsidP="008A21EA" w:rsidRDefault="008A21EA" w14:paraId="2FBD0FA3"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2. La Entidad Estatal debe calcular el valor asegurado para cada Etapa del Contrato, Periodo Contractual o unidad funcional, tomando el valor de las obligaciones del contratista para cada Etapa del Contrato, Periodo Contractual o unidad funcional y de acuerdo con las reglas de suficiencia de las garantías establecidas en el presente título. </w:t>
      </w:r>
    </w:p>
    <w:p w:rsidRPr="00411232" w:rsidR="008A21EA" w:rsidP="008A21EA" w:rsidRDefault="008A21EA" w14:paraId="030DAA8C"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3. 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 garantía. </w:t>
      </w:r>
    </w:p>
    <w:p w:rsidRPr="00411232" w:rsidR="008A21EA" w:rsidP="008A21EA" w:rsidRDefault="008A21EA" w14:paraId="3E547787"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footnote>
  <w:footnote w:id="11">
    <w:p w:rsidRPr="00411232" w:rsidR="008A21EA" w:rsidP="008A21EA" w:rsidRDefault="008A21EA" w14:paraId="497A5880" w14:textId="77777777">
      <w:pPr>
        <w:pStyle w:val="Textonotapie"/>
        <w:ind w:firstLine="708"/>
        <w:jc w:val="both"/>
        <w:rPr>
          <w:rFonts w:ascii="Century Gothic" w:hAnsi="Century Gothic" w:cs="Arial"/>
          <w:color w:val="000000" w:themeColor="text1"/>
          <w:sz w:val="16"/>
          <w:szCs w:val="16"/>
          <w:lang w:val="es-CO"/>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w:t>
      </w:r>
      <w:r w:rsidRPr="00411232">
        <w:rPr>
          <w:rFonts w:ascii="Century Gothic" w:hAnsi="Century Gothic" w:cs="Arial"/>
          <w:color w:val="000000" w:themeColor="text1"/>
          <w:sz w:val="16"/>
          <w:szCs w:val="16"/>
          <w:lang w:val="es-CO"/>
        </w:rPr>
        <w:t xml:space="preserve">“Artículo </w:t>
      </w:r>
      <w:bookmarkStart w:name="_Hlk67919994" w:id="10"/>
      <w:r w:rsidRPr="00411232">
        <w:rPr>
          <w:rFonts w:ascii="Century Gothic" w:hAnsi="Century Gothic" w:cs="Arial"/>
          <w:color w:val="000000" w:themeColor="text1"/>
          <w:sz w:val="16"/>
          <w:szCs w:val="16"/>
          <w:lang w:val="es-CO"/>
        </w:rPr>
        <w:t>2.2.1.2.3.1.7</w:t>
      </w:r>
      <w:bookmarkEnd w:id="10"/>
      <w:r w:rsidRPr="00411232">
        <w:rPr>
          <w:rFonts w:ascii="Century Gothic" w:hAnsi="Century Gothic" w:cs="Arial"/>
          <w:color w:val="000000" w:themeColor="text1"/>
          <w:sz w:val="16"/>
          <w:szCs w:val="16"/>
          <w:lang w:val="es-CO"/>
        </w:rPr>
        <w:t xml:space="preserve">. Garantía de cumplimiento. La garantía de cumplimiento del contrato debe cubrir: </w:t>
      </w:r>
    </w:p>
    <w:p w:rsidRPr="00411232" w:rsidR="008A21EA" w:rsidP="008A21EA" w:rsidRDefault="008A21EA" w14:paraId="75A20AE7" w14:textId="77777777">
      <w:pPr>
        <w:pStyle w:val="Textonotapie"/>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  </w:t>
      </w:r>
      <w:r w:rsidRPr="00411232">
        <w:rPr>
          <w:rFonts w:ascii="Century Gothic" w:hAnsi="Century Gothic" w:cs="Arial"/>
          <w:color w:val="000000" w:themeColor="text1"/>
          <w:sz w:val="16"/>
          <w:szCs w:val="16"/>
          <w:lang w:val="es-CO"/>
        </w:rPr>
        <w:tab/>
      </w:r>
      <w:r w:rsidRPr="00411232">
        <w:rPr>
          <w:rFonts w:ascii="Century Gothic" w:hAnsi="Century Gothic" w:cs="Arial"/>
          <w:color w:val="000000" w:themeColor="text1"/>
          <w:sz w:val="16"/>
          <w:szCs w:val="16"/>
          <w:lang w:val="es-CO"/>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rsidRPr="00411232" w:rsidR="008A21EA" w:rsidP="008A21EA" w:rsidRDefault="008A21EA" w14:paraId="6489290A"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2. Devolución del pago anticipado. Este amparo cubre los perjuicios sufridos por la Entidad Estatal por la no devolución total o parcial del dinero entregado al contratista a título de pago anticipado, cuando a ello hubiere lugar. </w:t>
      </w:r>
    </w:p>
    <w:p w:rsidRPr="00411232" w:rsidR="008A21EA" w:rsidP="008A21EA" w:rsidRDefault="008A21EA" w14:paraId="7CF85ED6"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3. Cumplimiento del contrato. Este amparo cubre a la Entidad Estatal de los perjuicios derivados de: </w:t>
      </w:r>
    </w:p>
    <w:p w:rsidRPr="00411232" w:rsidR="008A21EA" w:rsidP="008A21EA" w:rsidRDefault="008A21EA" w14:paraId="5F5B41C2" w14:textId="77777777">
      <w:pPr>
        <w:pStyle w:val="Textonotapie"/>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  </w:t>
      </w:r>
      <w:r w:rsidRPr="00411232">
        <w:rPr>
          <w:rFonts w:ascii="Century Gothic" w:hAnsi="Century Gothic" w:cs="Arial"/>
          <w:color w:val="000000" w:themeColor="text1"/>
          <w:sz w:val="16"/>
          <w:szCs w:val="16"/>
          <w:lang w:val="es-CO"/>
        </w:rPr>
        <w:tab/>
      </w:r>
      <w:r w:rsidRPr="00411232">
        <w:rPr>
          <w:rFonts w:ascii="Century Gothic" w:hAnsi="Century Gothic" w:cs="Arial"/>
          <w:color w:val="000000" w:themeColor="text1"/>
          <w:sz w:val="16"/>
          <w:szCs w:val="16"/>
          <w:lang w:val="es-CO"/>
        </w:rPr>
        <w:t xml:space="preserve">3.1. </w:t>
      </w:r>
      <w:bookmarkStart w:name="_Hlk67920056" w:id="11"/>
      <w:r w:rsidRPr="00411232">
        <w:rPr>
          <w:rFonts w:ascii="Century Gothic" w:hAnsi="Century Gothic" w:cs="Arial"/>
          <w:color w:val="000000" w:themeColor="text1"/>
          <w:sz w:val="16"/>
          <w:szCs w:val="16"/>
          <w:lang w:val="es-CO"/>
        </w:rPr>
        <w:t xml:space="preserve">El incumplimiento total o parcial del contrato, cuando el incumplimiento es imputable al contratista; </w:t>
      </w:r>
    </w:p>
    <w:p w:rsidRPr="00411232" w:rsidR="008A21EA" w:rsidP="008A21EA" w:rsidRDefault="008A21EA" w14:paraId="4AF69FCB" w14:textId="77777777">
      <w:pPr>
        <w:pStyle w:val="Textonotapie"/>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  </w:t>
      </w:r>
      <w:r w:rsidRPr="00411232">
        <w:rPr>
          <w:rFonts w:ascii="Century Gothic" w:hAnsi="Century Gothic" w:cs="Arial"/>
          <w:color w:val="000000" w:themeColor="text1"/>
          <w:sz w:val="16"/>
          <w:szCs w:val="16"/>
          <w:lang w:val="es-CO"/>
        </w:rPr>
        <w:tab/>
      </w:r>
      <w:r w:rsidRPr="00411232">
        <w:rPr>
          <w:rFonts w:ascii="Century Gothic" w:hAnsi="Century Gothic" w:cs="Arial"/>
          <w:color w:val="000000" w:themeColor="text1"/>
          <w:sz w:val="16"/>
          <w:szCs w:val="16"/>
          <w:lang w:val="es-CO"/>
        </w:rPr>
        <w:t xml:space="preserve">3.2. El cumplimiento tardío o defectuoso del contrato, cuando el incumplimiento es imputable al contratista; </w:t>
      </w:r>
    </w:p>
    <w:p w:rsidRPr="00411232" w:rsidR="008A21EA" w:rsidP="008A21EA" w:rsidRDefault="008A21EA" w14:paraId="725D134C"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3.3. Los daños imputables al contratista por entregas parciales de la obra, cuando el contrato no prevé entregas parciales; y </w:t>
      </w:r>
    </w:p>
    <w:bookmarkEnd w:id="11"/>
    <w:p w:rsidRPr="00411232" w:rsidR="008A21EA" w:rsidP="008A21EA" w:rsidRDefault="008A21EA" w14:paraId="77BA41AB"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3.4. El pago del valor de las multas y de la cláusula penal pecuniaria. </w:t>
      </w:r>
    </w:p>
    <w:p w:rsidRPr="00411232" w:rsidR="008A21EA" w:rsidP="008A21EA" w:rsidRDefault="008A21EA" w14:paraId="3F762F16"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 </w:t>
      </w:r>
    </w:p>
    <w:p w:rsidRPr="00411232" w:rsidR="008A21EA" w:rsidP="008A21EA" w:rsidRDefault="008A21EA" w14:paraId="33F94379"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La Entidad Estatal no debe exigir una garantía para cubrir este Riesgo en los contratos que se ejecuten fuera del territorio nacional con personal contratado bajo un régimen jurídico distinto al colombiano. </w:t>
      </w:r>
    </w:p>
    <w:p w:rsidRPr="00411232" w:rsidR="008A21EA" w:rsidP="008A21EA" w:rsidRDefault="008A21EA" w14:paraId="7C9E42AF"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5. Estabilidad y calidad de la obra. Este amparo cubre a la Entidad Estatal de los perjuicios ocasionados por cualquier tipo de daño o deterioro, imputable al contratista, sufrido por la obra entregada a satisfacción. </w:t>
      </w:r>
    </w:p>
    <w:p w:rsidRPr="00411232" w:rsidR="008A21EA" w:rsidP="008A21EA" w:rsidRDefault="008A21EA" w14:paraId="5E712996"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6. Calidad del servicio. Este amparo cubre a la Entidad Estatal por los perjuicios derivados de la deficiente calidad del servicio prestado. </w:t>
      </w:r>
    </w:p>
    <w:p w:rsidRPr="00411232" w:rsidR="008A21EA" w:rsidP="008A21EA" w:rsidRDefault="008A21EA" w14:paraId="36553CA1"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7. Calidad y correcto funcionamiento de los bienes. Este amparo debe cubrir la calidad y el correcto funcionamiento de los bienes que recibe la Entidad Estatal en cumplimiento de un contrato. </w:t>
      </w:r>
    </w:p>
    <w:p w:rsidRPr="00411232" w:rsidR="008A21EA" w:rsidP="008A21EA" w:rsidRDefault="008A21EA" w14:paraId="7F03BDDB" w14:textId="77777777">
      <w:pPr>
        <w:pStyle w:val="Textonotapie"/>
        <w:ind w:firstLine="708"/>
        <w:jc w:val="both"/>
        <w:rPr>
          <w:rFonts w:ascii="Century Gothic" w:hAnsi="Century Gothic" w:cs="Arial"/>
          <w:color w:val="000000" w:themeColor="text1"/>
          <w:sz w:val="16"/>
          <w:szCs w:val="16"/>
          <w:lang w:val="es-CO"/>
        </w:rPr>
      </w:pPr>
      <w:r w:rsidRPr="00411232">
        <w:rPr>
          <w:rFonts w:ascii="Century Gothic" w:hAnsi="Century Gothic" w:cs="Arial"/>
          <w:color w:val="000000" w:themeColor="text1"/>
          <w:sz w:val="16"/>
          <w:szCs w:val="16"/>
          <w:lang w:val="es-CO"/>
        </w:rPr>
        <w:t xml:space="preserve">8. </w:t>
      </w:r>
      <w:bookmarkStart w:name="_Hlk143267015" w:id="12"/>
      <w:r w:rsidRPr="00411232">
        <w:rPr>
          <w:rFonts w:ascii="Century Gothic" w:hAnsi="Century Gothic" w:cs="Arial"/>
          <w:color w:val="000000" w:themeColor="text1"/>
          <w:sz w:val="16"/>
          <w:szCs w:val="16"/>
          <w:lang w:val="es-CO"/>
        </w:rPr>
        <w:t>Los demás incumplimientos de obligaciones que la Entidad Estatal considere deben ser amparados de manera proporcional y acorde a la naturaleza del contrato</w:t>
      </w:r>
      <w:bookmarkEnd w:id="12"/>
      <w:r w:rsidRPr="00411232">
        <w:rPr>
          <w:rFonts w:ascii="Century Gothic" w:hAnsi="Century Gothic" w:cs="Arial"/>
          <w:color w:val="000000" w:themeColor="text1"/>
          <w:sz w:val="16"/>
          <w:szCs w:val="16"/>
          <w:lang w:val="es-CO"/>
        </w:rPr>
        <w:t>”.</w:t>
      </w:r>
    </w:p>
  </w:footnote>
  <w:footnote w:id="12">
    <w:p w:rsidRPr="00411232" w:rsidR="008A21EA" w:rsidP="008A21EA" w:rsidRDefault="008A21EA" w14:paraId="4D9784CD" w14:textId="77777777">
      <w:pPr>
        <w:pStyle w:val="Textonotapie"/>
        <w:ind w:firstLine="708"/>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“Artículo 2.2.1.2.3.1.12. Suficiencia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smmlv, caso en el cual la Entidad Estatal aplicará las siguientes reglas: </w:t>
      </w:r>
    </w:p>
    <w:p w:rsidRPr="00411232" w:rsidR="008A21EA" w:rsidP="008A21EA" w:rsidRDefault="008A21EA" w14:paraId="48CE8B42" w14:textId="77777777">
      <w:pPr>
        <w:pStyle w:val="Textonotapie"/>
        <w:ind w:firstLine="708"/>
        <w:jc w:val="both"/>
        <w:rPr>
          <w:rFonts w:ascii="Century Gothic" w:hAnsi="Century Gothic" w:cs="Arial"/>
          <w:color w:val="000000" w:themeColor="text1"/>
          <w:sz w:val="16"/>
          <w:szCs w:val="16"/>
        </w:rPr>
      </w:pPr>
      <w:r w:rsidRPr="00411232">
        <w:rPr>
          <w:rFonts w:ascii="Century Gothic" w:hAnsi="Century Gothic" w:cs="Arial"/>
          <w:color w:val="000000" w:themeColor="text1"/>
          <w:sz w:val="16"/>
          <w:szCs w:val="16"/>
        </w:rPr>
        <w:t xml:space="preserve">1. Si el valor del contrato es superior a un millón (1.000.000) de smmlv y hasta cinco millones (5.000.000) de smmlv, la Entidad Estatal puede aceptar garantías que cubran al menos el dos punto cinco por ciento (2,5%) del valor del contrato. </w:t>
      </w:r>
    </w:p>
    <w:p w:rsidRPr="00411232" w:rsidR="008A21EA" w:rsidP="008A21EA" w:rsidRDefault="008A21EA" w14:paraId="36C13433" w14:textId="77777777">
      <w:pPr>
        <w:pStyle w:val="Textonotapie"/>
        <w:ind w:firstLine="708"/>
        <w:jc w:val="both"/>
        <w:rPr>
          <w:rFonts w:ascii="Century Gothic" w:hAnsi="Century Gothic" w:cs="Arial"/>
          <w:color w:val="000000" w:themeColor="text1"/>
          <w:sz w:val="16"/>
          <w:szCs w:val="16"/>
        </w:rPr>
      </w:pPr>
      <w:r w:rsidRPr="00411232">
        <w:rPr>
          <w:rFonts w:ascii="Century Gothic" w:hAnsi="Century Gothic" w:cs="Arial"/>
          <w:color w:val="000000" w:themeColor="text1"/>
          <w:sz w:val="16"/>
          <w:szCs w:val="16"/>
        </w:rPr>
        <w:t xml:space="preserve">2. Si el valor del contrato es superior a cinco millones (5.000.000) de smmlv y hasta diez millones (10.000.000) de smmlv, la Entidad Estatal puede aceptar garantías que cubran al menos el uno por ciento (1%) del valor del contrato. </w:t>
      </w:r>
    </w:p>
    <w:p w:rsidRPr="00411232" w:rsidR="008A21EA" w:rsidP="008A21EA" w:rsidRDefault="008A21EA" w14:paraId="2CFC5E79" w14:textId="77777777">
      <w:pPr>
        <w:pStyle w:val="Textonotapie"/>
        <w:ind w:firstLine="708"/>
        <w:jc w:val="both"/>
        <w:rPr>
          <w:rFonts w:ascii="Century Gothic" w:hAnsi="Century Gothic" w:cs="Arial"/>
          <w:color w:val="000000" w:themeColor="text1"/>
          <w:sz w:val="16"/>
          <w:szCs w:val="16"/>
        </w:rPr>
      </w:pPr>
      <w:r w:rsidRPr="00411232">
        <w:rPr>
          <w:rFonts w:ascii="Century Gothic" w:hAnsi="Century Gothic" w:cs="Arial"/>
          <w:color w:val="000000" w:themeColor="text1"/>
          <w:sz w:val="16"/>
          <w:szCs w:val="16"/>
        </w:rPr>
        <w:t>3. Si el valor del contrato es superior a diez millones (10.000.000) de smmlv, la Entidad Estatal puede aceptar garantías que cubran al menos el cero punto cinco por ciento (0,5%) del valor del contrato.</w:t>
      </w:r>
    </w:p>
    <w:p w:rsidRPr="00411232" w:rsidR="008A21EA" w:rsidP="008A21EA" w:rsidRDefault="008A21EA" w14:paraId="68C1088B" w14:textId="77777777">
      <w:pPr>
        <w:pStyle w:val="Textonotapie"/>
        <w:ind w:firstLine="708"/>
        <w:jc w:val="both"/>
        <w:rPr>
          <w:rFonts w:ascii="Century Gothic" w:hAnsi="Century Gothic" w:cs="Arial"/>
          <w:color w:val="000000" w:themeColor="text1"/>
          <w:sz w:val="16"/>
          <w:szCs w:val="16"/>
        </w:rPr>
      </w:pPr>
      <w:r w:rsidRPr="00411232">
        <w:rPr>
          <w:rFonts w:ascii="Century Gothic" w:hAnsi="Century Gothic" w:cs="Arial"/>
          <w:color w:val="000000" w:themeColor="text1"/>
          <w:sz w:val="16"/>
          <w:szCs w:val="16"/>
        </w:rPr>
        <w:t>4. Colombia Compra Eficiente debe determinar el valor de la garantía única de cumplimiento del Acuerdo Marco de Precios de acuerdo con el objeto, el valor, la naturaleza y las obligaciones contenidas en este”.</w:t>
      </w:r>
    </w:p>
  </w:footnote>
  <w:footnote w:id="13">
    <w:p w:rsidRPr="00411232" w:rsidR="008A21EA" w:rsidP="008A21EA" w:rsidRDefault="008A21EA" w14:paraId="5071AC5D" w14:textId="77777777">
      <w:pPr>
        <w:pStyle w:val="Textonotapie"/>
        <w:ind w:firstLine="709"/>
        <w:jc w:val="both"/>
        <w:rPr>
          <w:rFonts w:ascii="Century Gothic" w:hAnsi="Century Gothic" w:cs="Arial"/>
          <w:sz w:val="16"/>
          <w:szCs w:val="16"/>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CONSEJO DE ESTADO. Sección Tercera. Sentencia del 29 de julio de 2015. Exp. 42.494. C.P. Jaime Orlando Santofimio Gamboa.</w:t>
      </w:r>
    </w:p>
  </w:footnote>
  <w:footnote w:id="14">
    <w:p w:rsidRPr="00411232" w:rsidR="008A21EA" w:rsidP="008A21EA" w:rsidRDefault="008A21EA" w14:paraId="33EE4CE5" w14:textId="77777777">
      <w:pPr>
        <w:pStyle w:val="Textonotapie"/>
        <w:ind w:firstLine="708"/>
        <w:jc w:val="both"/>
        <w:rPr>
          <w:rFonts w:ascii="Century Gothic" w:hAnsi="Century Gothic" w:cs="Arial"/>
          <w:sz w:val="16"/>
          <w:szCs w:val="16"/>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CONSEJO DE ESTADO. Sección Tercera. Sentencia del 13 de septiembre de 1999. Exp. 10.264. C.P. Ricardo Hoyos Duque.</w:t>
      </w:r>
    </w:p>
  </w:footnote>
  <w:footnote w:id="15">
    <w:p w:rsidRPr="00411232" w:rsidR="008A21EA" w:rsidP="008A21EA" w:rsidRDefault="008A21EA" w14:paraId="5808B040" w14:textId="77777777">
      <w:pPr>
        <w:pStyle w:val="Textonotapie"/>
        <w:ind w:firstLine="708"/>
        <w:jc w:val="both"/>
        <w:rPr>
          <w:rFonts w:ascii="Century Gothic" w:hAnsi="Century Gothic" w:cs="Arial"/>
          <w:sz w:val="16"/>
          <w:szCs w:val="16"/>
          <w:lang w:val="es-ES"/>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PALACIO HINCAPIÉ, Juan Ángel. La contratación de las entidades estatales. Octava edición. Medellín: Librería Jurídica Sánchez R. SAS, 2020. p. 659.</w:t>
      </w:r>
    </w:p>
  </w:footnote>
  <w:footnote w:id="16">
    <w:p w:rsidRPr="00411232" w:rsidR="008A21EA" w:rsidP="008A21EA" w:rsidRDefault="008A21EA" w14:paraId="605E76E4" w14:textId="77777777">
      <w:pPr>
        <w:spacing w:after="0" w:line="240" w:lineRule="auto"/>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footnote>
  <w:footnote w:id="17">
    <w:p w:rsidRPr="00411232" w:rsidR="008A21EA" w:rsidP="008A21EA" w:rsidRDefault="008A21EA" w14:paraId="2303FB65"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w:t>
      </w:r>
      <w:r w:rsidRPr="00411232">
        <w:rPr>
          <w:rFonts w:ascii="Century Gothic" w:hAnsi="Century Gothic" w:cs="Arial"/>
          <w:i/>
          <w:iCs/>
          <w:color w:val="000000" w:themeColor="text1"/>
          <w:sz w:val="16"/>
          <w:szCs w:val="16"/>
        </w:rPr>
        <w:t>Ibidem</w:t>
      </w:r>
      <w:r w:rsidRPr="00411232">
        <w:rPr>
          <w:rFonts w:ascii="Century Gothic" w:hAnsi="Century Gothic" w:cs="Arial"/>
          <w:color w:val="000000" w:themeColor="text1"/>
          <w:sz w:val="16"/>
          <w:szCs w:val="16"/>
        </w:rPr>
        <w:t>.</w:t>
      </w:r>
    </w:p>
  </w:footnote>
  <w:footnote w:id="18">
    <w:p w:rsidRPr="00411232" w:rsidR="008A21EA" w:rsidP="008A21EA" w:rsidRDefault="008A21EA" w14:paraId="6AD0211D" w14:textId="77777777">
      <w:pPr>
        <w:pStyle w:val="Textonotapie"/>
        <w:ind w:firstLine="709"/>
        <w:jc w:val="both"/>
        <w:rPr>
          <w:rFonts w:ascii="Century Gothic" w:hAnsi="Century Gothic" w:cs="Arial"/>
          <w:color w:val="000000" w:themeColor="text1"/>
          <w:sz w:val="16"/>
          <w:szCs w:val="16"/>
          <w:lang w:val="es-ES"/>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w:t>
      </w:r>
      <w:r w:rsidRPr="00411232">
        <w:rPr>
          <w:rFonts w:ascii="Century Gothic" w:hAnsi="Century Gothic" w:cs="Arial"/>
          <w:color w:val="000000" w:themeColor="text1"/>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Pr="00411232" w:rsidR="008A21EA" w:rsidP="008A21EA" w:rsidRDefault="008A21EA" w14:paraId="4D93440E" w14:textId="77777777">
      <w:pPr>
        <w:pStyle w:val="Textonotapie"/>
        <w:ind w:firstLine="709"/>
        <w:jc w:val="both"/>
        <w:rPr>
          <w:rFonts w:ascii="Century Gothic" w:hAnsi="Century Gothic" w:cs="Arial"/>
          <w:color w:val="000000" w:themeColor="text1"/>
          <w:sz w:val="16"/>
          <w:szCs w:val="16"/>
          <w:lang w:val="es-ES"/>
        </w:rPr>
      </w:pPr>
      <w:r w:rsidRPr="00411232">
        <w:rPr>
          <w:rFonts w:ascii="Century Gothic" w:hAnsi="Century Gothic" w:cs="Arial"/>
          <w:color w:val="000000" w:themeColor="text1"/>
          <w:sz w:val="16"/>
          <w:szCs w:val="16"/>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rsidRPr="00411232" w:rsidR="008A21EA" w:rsidP="008A21EA" w:rsidRDefault="008A21EA" w14:paraId="25A6A3EE" w14:textId="77777777">
      <w:pPr>
        <w:pStyle w:val="Textonotapie"/>
        <w:ind w:firstLine="709"/>
        <w:jc w:val="both"/>
        <w:rPr>
          <w:rFonts w:ascii="Century Gothic" w:hAnsi="Century Gothic" w:cs="Arial"/>
          <w:color w:val="000000" w:themeColor="text1"/>
          <w:sz w:val="16"/>
          <w:szCs w:val="16"/>
          <w:lang w:val="es-ES"/>
        </w:rPr>
      </w:pPr>
      <w:r w:rsidRPr="00411232">
        <w:rPr>
          <w:rFonts w:ascii="Century Gothic" w:hAnsi="Century Gothic" w:cs="Arial"/>
          <w:color w:val="000000" w:themeColor="text1"/>
          <w:sz w:val="16"/>
          <w:szCs w:val="16"/>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rsidRPr="00411232" w:rsidR="008A21EA" w:rsidP="008A21EA" w:rsidRDefault="008A21EA" w14:paraId="04EBA8F2" w14:textId="77777777">
      <w:pPr>
        <w:pStyle w:val="Textonotapie"/>
        <w:ind w:firstLine="709"/>
        <w:jc w:val="both"/>
        <w:rPr>
          <w:rFonts w:ascii="Century Gothic" w:hAnsi="Century Gothic" w:cs="Arial"/>
          <w:color w:val="000000" w:themeColor="text1"/>
          <w:sz w:val="16"/>
          <w:szCs w:val="16"/>
          <w:lang w:val="es-ES"/>
        </w:rPr>
      </w:pPr>
      <w:r w:rsidRPr="00411232">
        <w:rPr>
          <w:rFonts w:ascii="Century Gothic" w:hAnsi="Century Gothic" w:cs="Arial"/>
          <w:color w:val="000000" w:themeColor="text1"/>
          <w:sz w:val="16"/>
          <w:szCs w:val="16"/>
          <w:lang w:val="es-ES"/>
        </w:rPr>
        <w:t>Los contratistas tendrán derecho a efectuar salvedades a la liquidación por mutuo acuerdo, y en este evento la liquidación unilateral solo procederá en relación con los aspectos que no hayan sido objeto de acuerdo”.</w:t>
      </w:r>
    </w:p>
  </w:footnote>
  <w:footnote w:id="19">
    <w:p w:rsidRPr="00411232" w:rsidR="008A21EA" w:rsidP="008A21EA" w:rsidRDefault="008A21EA" w14:paraId="5FBD0A54" w14:textId="77777777">
      <w:pPr>
        <w:pStyle w:val="Textonotapie"/>
        <w:ind w:firstLine="709"/>
        <w:jc w:val="both"/>
        <w:rPr>
          <w:rFonts w:ascii="Century Gothic" w:hAnsi="Century Gothic" w:cs="Arial"/>
          <w:color w:val="000000" w:themeColor="text1"/>
          <w:sz w:val="16"/>
          <w:szCs w:val="16"/>
          <w:lang w:val="es-ES"/>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COLOMBIA COMPRA EFICIENTE. Guía para la Liquidación de los Procesos de Contratación. página 5, disponible en: </w:t>
      </w:r>
      <w:hyperlink w:history="1" r:id="rId2">
        <w:r w:rsidRPr="00411232">
          <w:rPr>
            <w:rStyle w:val="Hipervnculo"/>
            <w:rFonts w:ascii="Century Gothic" w:hAnsi="Century Gothic" w:cs="Arial"/>
            <w:color w:val="000000" w:themeColor="text1"/>
            <w:sz w:val="16"/>
            <w:szCs w:val="16"/>
          </w:rPr>
          <w:t>https://www.colombiacompra.gov.co/sites/cce_public/files/cce_documents/cce_guia_liquidacion_procesos.pdf</w:t>
        </w:r>
      </w:hyperlink>
      <w:r w:rsidRPr="00411232">
        <w:rPr>
          <w:rFonts w:ascii="Century Gothic" w:hAnsi="Century Gothic" w:cs="Arial"/>
          <w:color w:val="000000" w:themeColor="text1"/>
          <w:sz w:val="16"/>
          <w:szCs w:val="16"/>
        </w:rPr>
        <w:t xml:space="preserve"> </w:t>
      </w:r>
    </w:p>
  </w:footnote>
  <w:footnote w:id="20">
    <w:p w:rsidRPr="00411232" w:rsidR="008A21EA" w:rsidP="008A21EA" w:rsidRDefault="008A21EA" w14:paraId="72421E1E"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21">
    <w:p w:rsidRPr="00411232" w:rsidR="008A21EA" w:rsidP="008A21EA" w:rsidRDefault="008A21EA" w14:paraId="6D8A4A6C"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CONSEJO DE ESTADO. Sala de Consulta y Servicio Civil. Concepto de 28 de junio de 2016. Radicación: 2253. C.P. Álvaro Namén Vargas. </w:t>
      </w:r>
    </w:p>
  </w:footnote>
  <w:footnote w:id="22">
    <w:p w:rsidRPr="00411232" w:rsidR="008A21EA" w:rsidP="008A21EA" w:rsidRDefault="008A21EA" w14:paraId="6D56163B" w14:textId="77777777">
      <w:pPr>
        <w:pStyle w:val="Textonotapie"/>
        <w:ind w:firstLine="709"/>
        <w:jc w:val="both"/>
        <w:rPr>
          <w:rFonts w:ascii="Century Gothic" w:hAnsi="Century Gothic" w:cs="Arial"/>
          <w:color w:val="000000" w:themeColor="text1"/>
          <w:sz w:val="16"/>
          <w:szCs w:val="16"/>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footnote>
  <w:footnote w:id="23">
    <w:p w:rsidRPr="00411232" w:rsidR="008A21EA" w:rsidP="008A21EA" w:rsidRDefault="008A21EA" w14:paraId="1A9FBF29" w14:textId="77777777">
      <w:pPr>
        <w:pStyle w:val="Textonotapie"/>
        <w:ind w:firstLine="709"/>
        <w:jc w:val="both"/>
        <w:rPr>
          <w:rFonts w:ascii="Century Gothic" w:hAnsi="Century Gothic" w:cs="Arial"/>
          <w:color w:val="000000" w:themeColor="text1"/>
          <w:sz w:val="16"/>
          <w:szCs w:val="16"/>
          <w:lang w:val="es-ES"/>
        </w:rPr>
      </w:pPr>
      <w:r w:rsidRPr="00411232">
        <w:rPr>
          <w:rStyle w:val="Refdenotaalpie"/>
          <w:rFonts w:ascii="Century Gothic" w:hAnsi="Century Gothic" w:cs="Arial"/>
          <w:color w:val="000000" w:themeColor="text1"/>
          <w:sz w:val="16"/>
          <w:szCs w:val="16"/>
        </w:rPr>
        <w:footnoteRef/>
      </w:r>
      <w:r w:rsidRPr="00411232">
        <w:rPr>
          <w:rFonts w:ascii="Century Gothic" w:hAnsi="Century Gothic" w:cs="Arial"/>
          <w:color w:val="000000" w:themeColor="text1"/>
          <w:sz w:val="16"/>
          <w:szCs w:val="16"/>
        </w:rPr>
        <w:t xml:space="preserve"> CONSEJO DE ESTADO. Sección Tercera. Sala Plena. Auto de 1 de agosto de 2019. Exp. 62009. C.P. Jaime Enrique Rodríguez Navas. </w:t>
      </w:r>
    </w:p>
  </w:footnote>
  <w:footnote w:id="24">
    <w:p w:rsidRPr="00411232" w:rsidR="008A21EA" w:rsidP="008A21EA" w:rsidRDefault="008A21EA" w14:paraId="7D7546C2" w14:textId="77777777">
      <w:pPr>
        <w:pStyle w:val="Textonotapie"/>
        <w:ind w:firstLine="709"/>
        <w:jc w:val="both"/>
        <w:rPr>
          <w:rFonts w:ascii="Century Gothic" w:hAnsi="Century Gothic" w:cs="Arial"/>
          <w:sz w:val="16"/>
          <w:szCs w:val="16"/>
          <w:lang w:val="es-ES"/>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w:t>
      </w:r>
      <w:r w:rsidRPr="00411232">
        <w:rPr>
          <w:rFonts w:ascii="Century Gothic" w:hAnsi="Century Gothic" w:cs="Arial"/>
          <w:sz w:val="16"/>
          <w:szCs w:val="16"/>
          <w:lang w:val="es-ES"/>
        </w:rPr>
        <w:t>Ibidem.</w:t>
      </w:r>
    </w:p>
  </w:footnote>
  <w:footnote w:id="25">
    <w:p w:rsidRPr="00411232" w:rsidR="008A21EA" w:rsidP="008A21EA" w:rsidRDefault="008A21EA" w14:paraId="17286987" w14:textId="77777777">
      <w:pPr>
        <w:pStyle w:val="Textonotapie"/>
        <w:ind w:firstLine="708"/>
        <w:jc w:val="both"/>
        <w:rPr>
          <w:rFonts w:ascii="Century Gothic" w:hAnsi="Century Gothic" w:cs="Arial"/>
          <w:sz w:val="16"/>
          <w:szCs w:val="16"/>
        </w:rPr>
      </w:pPr>
      <w:r w:rsidRPr="00411232">
        <w:rPr>
          <w:rStyle w:val="Refdenotaalpie"/>
          <w:rFonts w:ascii="Century Gothic" w:hAnsi="Century Gothic" w:cs="Arial"/>
          <w:sz w:val="16"/>
          <w:szCs w:val="16"/>
        </w:rPr>
        <w:footnoteRef/>
      </w:r>
      <w:r w:rsidRPr="00411232">
        <w:rPr>
          <w:rFonts w:ascii="Century Gothic" w:hAnsi="Century Gothic" w:cs="Arial"/>
          <w:sz w:val="16"/>
          <w:szCs w:val="16"/>
        </w:rPr>
        <w:t xml:space="preserve"> DÍAZ DÍEZ, Cristian Andrés. La liquidación. Medellín: Librería Jurídica Sánchez R, LTDA – Centro de Estudios de Derecho Administrativo, 2013. pp. 255-256.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AA6AD7" w:rsidR="005B5D8B" w:rsidP="00AA6AD7" w:rsidRDefault="004A305D" w14:paraId="3DBCDD3E" w14:textId="3656D93F">
    <w:pPr>
      <w:spacing w:after="12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4883225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1669"/>
    <w:rsid w:val="000A683E"/>
    <w:rsid w:val="000B19B9"/>
    <w:rsid w:val="000D0334"/>
    <w:rsid w:val="000E4714"/>
    <w:rsid w:val="000F6486"/>
    <w:rsid w:val="00125105"/>
    <w:rsid w:val="00127233"/>
    <w:rsid w:val="001E4177"/>
    <w:rsid w:val="00211B0C"/>
    <w:rsid w:val="002951A0"/>
    <w:rsid w:val="002962BC"/>
    <w:rsid w:val="002A093D"/>
    <w:rsid w:val="002A49AC"/>
    <w:rsid w:val="002A64FD"/>
    <w:rsid w:val="002C7A84"/>
    <w:rsid w:val="003448F4"/>
    <w:rsid w:val="0035528E"/>
    <w:rsid w:val="003A779E"/>
    <w:rsid w:val="003D0F4D"/>
    <w:rsid w:val="003E0499"/>
    <w:rsid w:val="003F3941"/>
    <w:rsid w:val="00400548"/>
    <w:rsid w:val="00411232"/>
    <w:rsid w:val="004368BC"/>
    <w:rsid w:val="0043797E"/>
    <w:rsid w:val="00453289"/>
    <w:rsid w:val="004A1847"/>
    <w:rsid w:val="004A305D"/>
    <w:rsid w:val="004B4129"/>
    <w:rsid w:val="004F21C4"/>
    <w:rsid w:val="004F685F"/>
    <w:rsid w:val="005106C3"/>
    <w:rsid w:val="00533E8F"/>
    <w:rsid w:val="005566E8"/>
    <w:rsid w:val="00574867"/>
    <w:rsid w:val="005A6AA1"/>
    <w:rsid w:val="005B5D8B"/>
    <w:rsid w:val="005C5CDC"/>
    <w:rsid w:val="005D476C"/>
    <w:rsid w:val="006219F8"/>
    <w:rsid w:val="00665D70"/>
    <w:rsid w:val="00706C16"/>
    <w:rsid w:val="00727370"/>
    <w:rsid w:val="00752CA0"/>
    <w:rsid w:val="00755468"/>
    <w:rsid w:val="00756841"/>
    <w:rsid w:val="00763C80"/>
    <w:rsid w:val="007649AB"/>
    <w:rsid w:val="007833AC"/>
    <w:rsid w:val="007B7171"/>
    <w:rsid w:val="007C3DC2"/>
    <w:rsid w:val="007E5497"/>
    <w:rsid w:val="00806F5F"/>
    <w:rsid w:val="00816398"/>
    <w:rsid w:val="00820278"/>
    <w:rsid w:val="008843B6"/>
    <w:rsid w:val="00891928"/>
    <w:rsid w:val="008A21EA"/>
    <w:rsid w:val="008A446D"/>
    <w:rsid w:val="008D12C2"/>
    <w:rsid w:val="008F0EA7"/>
    <w:rsid w:val="009003A2"/>
    <w:rsid w:val="00923EEF"/>
    <w:rsid w:val="009419F9"/>
    <w:rsid w:val="00961B09"/>
    <w:rsid w:val="00964205"/>
    <w:rsid w:val="00965334"/>
    <w:rsid w:val="0097093E"/>
    <w:rsid w:val="009C233D"/>
    <w:rsid w:val="009C71FA"/>
    <w:rsid w:val="009C72E7"/>
    <w:rsid w:val="00A17F13"/>
    <w:rsid w:val="00A20739"/>
    <w:rsid w:val="00A33C78"/>
    <w:rsid w:val="00AA6AD7"/>
    <w:rsid w:val="00AB0ADB"/>
    <w:rsid w:val="00AD5E99"/>
    <w:rsid w:val="00B72CD3"/>
    <w:rsid w:val="00B72FFF"/>
    <w:rsid w:val="00BA5EE7"/>
    <w:rsid w:val="00BD15D4"/>
    <w:rsid w:val="00BD2E7A"/>
    <w:rsid w:val="00BD7F72"/>
    <w:rsid w:val="00C04FB3"/>
    <w:rsid w:val="00C330EB"/>
    <w:rsid w:val="00C754BE"/>
    <w:rsid w:val="00CB6357"/>
    <w:rsid w:val="00CC1B26"/>
    <w:rsid w:val="00D423A2"/>
    <w:rsid w:val="00D63AC2"/>
    <w:rsid w:val="00D7383B"/>
    <w:rsid w:val="00D81A2B"/>
    <w:rsid w:val="00DA231B"/>
    <w:rsid w:val="00E16408"/>
    <w:rsid w:val="00E20894"/>
    <w:rsid w:val="00E245AB"/>
    <w:rsid w:val="00E50AFE"/>
    <w:rsid w:val="00E672B2"/>
    <w:rsid w:val="00E71505"/>
    <w:rsid w:val="00E771DC"/>
    <w:rsid w:val="00E8772A"/>
    <w:rsid w:val="00E90F6B"/>
    <w:rsid w:val="00E91E8C"/>
    <w:rsid w:val="00E92C27"/>
    <w:rsid w:val="00EA0E3D"/>
    <w:rsid w:val="00EE1AA8"/>
    <w:rsid w:val="00F17039"/>
    <w:rsid w:val="00F204AB"/>
    <w:rsid w:val="00F31EDC"/>
    <w:rsid w:val="00F5664F"/>
    <w:rsid w:val="00F57C57"/>
    <w:rsid w:val="00F613A2"/>
    <w:rsid w:val="00F76AFC"/>
    <w:rsid w:val="00FB5DD1"/>
    <w:rsid w:val="00FC2B5D"/>
    <w:rsid w:val="00FF1449"/>
    <w:rsid w:val="3C7B67D2"/>
    <w:rsid w:val="687B05C8"/>
    <w:rsid w:val="73DC7492"/>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Appelnotedebasde" w:customStyle="1">
    <w:name w:val="Appel note de bas de..."/>
    <w:basedOn w:val="Normal"/>
    <w:link w:val="Refdenotaalpie"/>
    <w:uiPriority w:val="99"/>
    <w:rsid w:val="008A21EA"/>
    <w:pPr>
      <w:spacing w:line="240" w:lineRule="exact"/>
    </w:pPr>
    <w:rPr>
      <w:vertAlign w:val="superscript"/>
    </w:rPr>
  </w:style>
  <w:style w:type="paragraph" w:styleId="Sinespaciado">
    <w:name w:val="No Spacing"/>
    <w:aliases w:val="No Indent"/>
    <w:uiPriority w:val="3"/>
    <w:qFormat/>
    <w:rsid w:val="008A21EA"/>
    <w:pPr>
      <w:spacing w:after="0" w:line="240" w:lineRule="auto"/>
    </w:pPr>
    <w:rPr>
      <w:sz w:val="24"/>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A21EA"/>
    <w:rPr>
      <w:rFonts w:ascii="Geomanist Light" w:hAnsi="Geomanist Light"/>
      <w:lang w:val="es-ES"/>
    </w:rPr>
  </w:style>
  <w:style w:type="paragraph" w:styleId="Revisin">
    <w:name w:val="Revision"/>
    <w:hidden/>
    <w:uiPriority w:val="99"/>
    <w:semiHidden/>
    <w:rsid w:val="00211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liquidacion_procesos.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Martha Alicia Romero Vargas</DisplayName>
        <AccountId>215</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E510CD70-5807-429C-BC7A-16267B36E5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Paula Andrea Manrique Sarmiento</lastModifiedBy>
  <revision>6</revision>
  <lastPrinted>2023-01-10T21:18:00.0000000Z</lastPrinted>
  <dcterms:created xsi:type="dcterms:W3CDTF">2024-04-21T20:42:00.0000000Z</dcterms:created>
  <dcterms:modified xsi:type="dcterms:W3CDTF">2024-04-29T16:11:35.7200125Z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