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ABCFB" w14:textId="77777777" w:rsidR="00BA7A90" w:rsidRPr="00737A45" w:rsidRDefault="00BA7A90" w:rsidP="00BA7A90">
      <w:pPr>
        <w:spacing w:after="0" w:line="240" w:lineRule="auto"/>
        <w:jc w:val="both"/>
        <w:rPr>
          <w:rFonts w:ascii="Century Gothic" w:hAnsi="Century Gothic"/>
          <w:b/>
          <w:bCs/>
        </w:rPr>
      </w:pPr>
      <w:bookmarkStart w:id="0" w:name="_Hlk94281581"/>
      <w:bookmarkStart w:id="1" w:name="_Hlk102489058"/>
      <w:bookmarkStart w:id="2" w:name="_Hlk34951122"/>
      <w:r w:rsidRPr="00737A45">
        <w:rPr>
          <w:rFonts w:ascii="Century Gothic" w:hAnsi="Century Gothic"/>
          <w:b/>
          <w:bCs/>
        </w:rPr>
        <w:t>PLANEACIÓN CONTRACTUAL – Obligatoriedad – Elaboración de estudios previos – Etapa precontractual</w:t>
      </w:r>
    </w:p>
    <w:p w14:paraId="1420D070" w14:textId="77777777" w:rsidR="00BA7A90" w:rsidRPr="00737A45" w:rsidRDefault="00BA7A90" w:rsidP="00BA7A90">
      <w:pPr>
        <w:spacing w:after="0" w:line="240" w:lineRule="auto"/>
        <w:jc w:val="both"/>
        <w:rPr>
          <w:rFonts w:ascii="Century Gothic" w:hAnsi="Century Gothic"/>
          <w:b/>
          <w:bCs/>
        </w:rPr>
      </w:pPr>
    </w:p>
    <w:p w14:paraId="49E917B4" w14:textId="77777777" w:rsidR="00BA7A90" w:rsidRPr="00737A45" w:rsidRDefault="00BA7A90" w:rsidP="00BA7A90">
      <w:pPr>
        <w:spacing w:after="0" w:line="240" w:lineRule="auto"/>
        <w:jc w:val="both"/>
        <w:rPr>
          <w:rFonts w:ascii="Century Gothic" w:hAnsi="Century Gothic"/>
          <w:sz w:val="20"/>
          <w:szCs w:val="20"/>
        </w:rPr>
      </w:pPr>
      <w:r w:rsidRPr="00737A45">
        <w:rPr>
          <w:rFonts w:ascii="Century Gothic" w:hAnsi="Century Gothic"/>
          <w:sz w:val="20"/>
          <w:szCs w:val="20"/>
        </w:rPr>
        <w:t>El Estatuto General de Contratación de la Administración Pública, en adelante EGCAP,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su consecución. […]</w:t>
      </w:r>
    </w:p>
    <w:p w14:paraId="0E3F2504" w14:textId="77777777" w:rsidR="00BA7A90" w:rsidRPr="00737A45" w:rsidRDefault="00BA7A90" w:rsidP="00BA7A90">
      <w:pPr>
        <w:spacing w:after="0" w:line="240" w:lineRule="auto"/>
        <w:jc w:val="both"/>
        <w:rPr>
          <w:rFonts w:ascii="Century Gothic" w:hAnsi="Century Gothic"/>
          <w:sz w:val="20"/>
          <w:szCs w:val="20"/>
        </w:rPr>
      </w:pPr>
      <w:r w:rsidRPr="00737A45">
        <w:rPr>
          <w:rFonts w:ascii="Century Gothic" w:hAnsi="Century Gothic"/>
          <w:sz w:val="20"/>
          <w:szCs w:val="20"/>
        </w:rPr>
        <w:t>[…]</w:t>
      </w:r>
    </w:p>
    <w:p w14:paraId="277BCF04" w14:textId="77777777" w:rsidR="00BA7A90" w:rsidRPr="00737A45" w:rsidRDefault="00BA7A90" w:rsidP="00BA7A90">
      <w:pPr>
        <w:spacing w:after="0" w:line="240" w:lineRule="auto"/>
        <w:jc w:val="both"/>
        <w:rPr>
          <w:rFonts w:ascii="Century Gothic" w:hAnsi="Century Gothic"/>
          <w:sz w:val="20"/>
          <w:szCs w:val="20"/>
        </w:rPr>
      </w:pPr>
      <w:r w:rsidRPr="00737A45">
        <w:rPr>
          <w:rFonts w:ascii="Century Gothic" w:hAnsi="Century Gothic"/>
          <w:sz w:val="20"/>
          <w:szCs w:val="20"/>
        </w:rPr>
        <w:t>Más allá del cumplimiento de la normativa, “los estudios y documentos previos son el soporte para elaborar el proyecto de pliegos, los pliegos de condiciones, y el contrato”, por lo que deben publicarse en la etapa precontractual y sirven de motivación para los documentos expedidos unilateralmente por la Entidad Estatal tales como el acto administrativo de apertura, los pliegos de condiciones y el acto de adjudicación, entre otros. En ese sentido, los estudios y documentos previos son necesarios antes de la celebración del contrato, pues fundamentan las condiciones que la Entidad Estatal exige en sus procesos de contratación. Sin embargo, luego de la suscripción del contrato la entidad no debe actuar unilateralmente, sino que debe respetar la buena fe contractual y proceder de acuerdo con lo pactado.</w:t>
      </w:r>
    </w:p>
    <w:p w14:paraId="53C187A5" w14:textId="77777777" w:rsidR="00BA7A90" w:rsidRPr="00737A45" w:rsidRDefault="00BA7A90" w:rsidP="00BA7A90">
      <w:pPr>
        <w:spacing w:after="0" w:line="240" w:lineRule="auto"/>
        <w:jc w:val="both"/>
        <w:rPr>
          <w:rFonts w:ascii="Century Gothic" w:hAnsi="Century Gothic"/>
          <w:sz w:val="20"/>
          <w:szCs w:val="20"/>
        </w:rPr>
      </w:pPr>
      <w:r w:rsidRPr="00737A45">
        <w:rPr>
          <w:rFonts w:ascii="Century Gothic" w:hAnsi="Century Gothic"/>
          <w:sz w:val="20"/>
          <w:szCs w:val="20"/>
        </w:rPr>
        <w:t>[…]</w:t>
      </w:r>
    </w:p>
    <w:p w14:paraId="427DB1D0" w14:textId="77777777" w:rsidR="00BA7A90" w:rsidRPr="00737A45" w:rsidRDefault="00BA7A90" w:rsidP="00BA7A90">
      <w:pPr>
        <w:spacing w:after="0" w:line="240" w:lineRule="auto"/>
        <w:jc w:val="both"/>
        <w:rPr>
          <w:rFonts w:ascii="Century Gothic" w:hAnsi="Century Gothic"/>
          <w:sz w:val="20"/>
          <w:szCs w:val="20"/>
        </w:rPr>
      </w:pPr>
      <w:r w:rsidRPr="00737A45">
        <w:rPr>
          <w:rFonts w:ascii="Century Gothic" w:hAnsi="Century Gothic"/>
          <w:sz w:val="20"/>
          <w:szCs w:val="20"/>
        </w:rPr>
        <w:t>[…]el numeral 12 del artículo 25 de la Ley 80 de 1993, antes citado, establece el deber de las entidades de realizar estudios previos en dos (2) momentos específicos: i) previo a la apertura de un proceso de selección y ii) previo a la firma del contrato en el caso en que la modalidad de selección sea contratación directa.</w:t>
      </w:r>
    </w:p>
    <w:p w14:paraId="6B1B4F7A" w14:textId="77777777" w:rsidR="00BA7A90" w:rsidRPr="00737A45" w:rsidRDefault="00BA7A90" w:rsidP="00BA7A90">
      <w:pPr>
        <w:spacing w:after="0" w:line="240" w:lineRule="auto"/>
        <w:jc w:val="both"/>
        <w:rPr>
          <w:rFonts w:ascii="Century Gothic" w:hAnsi="Century Gothic"/>
          <w:b/>
          <w:bCs/>
        </w:rPr>
      </w:pPr>
    </w:p>
    <w:p w14:paraId="11C4F023" w14:textId="77777777" w:rsidR="00BA7A90" w:rsidRPr="00737A45" w:rsidRDefault="00BA7A90" w:rsidP="00BA7A90">
      <w:pPr>
        <w:spacing w:after="0" w:line="240" w:lineRule="auto"/>
        <w:jc w:val="both"/>
        <w:rPr>
          <w:rFonts w:ascii="Century Gothic" w:hAnsi="Century Gothic"/>
          <w:b/>
          <w:bCs/>
        </w:rPr>
      </w:pPr>
      <w:r w:rsidRPr="00737A45">
        <w:rPr>
          <w:rFonts w:ascii="Century Gothic" w:hAnsi="Century Gothic"/>
          <w:b/>
          <w:bCs/>
        </w:rPr>
        <w:t>ACTA DE INICIO – Noción – Requisito de ejecución convencional – Etapa contractual</w:t>
      </w:r>
    </w:p>
    <w:p w14:paraId="4B3D2915" w14:textId="77777777" w:rsidR="00BA7A90" w:rsidRPr="00737A45" w:rsidRDefault="00BA7A90" w:rsidP="00BA7A90">
      <w:pPr>
        <w:spacing w:after="0" w:line="240" w:lineRule="auto"/>
        <w:jc w:val="both"/>
        <w:rPr>
          <w:rFonts w:ascii="Century Gothic" w:hAnsi="Century Gothic"/>
          <w:b/>
          <w:bCs/>
        </w:rPr>
      </w:pPr>
    </w:p>
    <w:p w14:paraId="045DF794" w14:textId="77777777" w:rsidR="00BA7A90" w:rsidRPr="00737A45" w:rsidRDefault="00BA7A90" w:rsidP="00BA7A90">
      <w:pPr>
        <w:spacing w:after="0" w:line="240" w:lineRule="auto"/>
        <w:jc w:val="both"/>
        <w:rPr>
          <w:rFonts w:ascii="Century Gothic" w:eastAsia="Arial" w:hAnsi="Century Gothic" w:cs="Arial"/>
          <w:sz w:val="20"/>
          <w:szCs w:val="20"/>
        </w:rPr>
      </w:pPr>
      <w:r w:rsidRPr="00737A45">
        <w:rPr>
          <w:rFonts w:ascii="Century Gothic" w:eastAsia="Arial" w:hAnsi="Century Gothic" w:cs="Arial"/>
          <w:sz w:val="20"/>
          <w:szCs w:val="20"/>
        </w:rPr>
        <w:t>El acta de inicio constituye un requisito de ejecución convencional, que se pacta en la minuta del contrato o que el contratista acepta, adhiriéndose al clausulado del pliego de condiciones o documento equivalente. Sin embargo, en el lenguaje de la contratación estatal, el acta de inicio es un documento en el que se fija la fecha en la que comienza el cómputo del plazo del contrato, una vez cumplidos los requisitos legales para el inicio de la ejecución del contrato. Es por ello, que la suscripción del acta de inicio usualmente se pacta en la cláusula del plazo, estableciendo que la fecha de la firma de tal documento será el hito que determinará desde cuándo comenzarán a contabilizarse los días, meses o años que se hayan estipulado como período para el cumplimiento del objeto del contrato.</w:t>
      </w:r>
    </w:p>
    <w:p w14:paraId="23EFA04A" w14:textId="77777777" w:rsidR="00BA7A90" w:rsidRPr="00737A45" w:rsidRDefault="00BA7A90" w:rsidP="00BA7A90">
      <w:pPr>
        <w:spacing w:after="0" w:line="240" w:lineRule="auto"/>
        <w:jc w:val="both"/>
        <w:rPr>
          <w:rFonts w:ascii="Century Gothic" w:eastAsia="Arial" w:hAnsi="Century Gothic" w:cs="Arial"/>
          <w:sz w:val="20"/>
          <w:szCs w:val="20"/>
        </w:rPr>
      </w:pPr>
      <w:r w:rsidRPr="00737A45">
        <w:rPr>
          <w:rFonts w:ascii="Century Gothic" w:eastAsia="Arial" w:hAnsi="Century Gothic" w:cs="Arial"/>
          <w:sz w:val="20"/>
          <w:szCs w:val="20"/>
        </w:rPr>
        <w:t>[…]</w:t>
      </w:r>
    </w:p>
    <w:p w14:paraId="3AE50136" w14:textId="77777777" w:rsidR="00BA7A90" w:rsidRPr="00737A45" w:rsidRDefault="00BA7A90" w:rsidP="00BA7A90">
      <w:pPr>
        <w:spacing w:after="0" w:line="240" w:lineRule="auto"/>
        <w:jc w:val="both"/>
        <w:rPr>
          <w:rFonts w:ascii="Century Gothic" w:eastAsia="Arial" w:hAnsi="Century Gothic" w:cs="Arial"/>
          <w:sz w:val="20"/>
          <w:szCs w:val="20"/>
        </w:rPr>
      </w:pPr>
      <w:r w:rsidRPr="00737A45">
        <w:rPr>
          <w:rFonts w:ascii="Century Gothic" w:eastAsia="Arial" w:hAnsi="Century Gothic" w:cs="Arial"/>
          <w:sz w:val="20"/>
          <w:szCs w:val="20"/>
        </w:rPr>
        <w:t xml:space="preserve">Dicho de otra manera, el acta de inicio puede ser pactada como requisito para el comienzo del cómputo del plazo, pero la fecha que se defina en ella para iniciar la ejecución del contrato no puede ser anterior al cumplimiento de los requisitos de ejecución establecidos en la ley. Por ejemplo, si las garantías no han sido aprobadas por la Entidad Estatal, aún no se puede suscribir el acta de inicio, pues de lo contrario las partes estarían contrariando normas de orden público, que, como bien se ha señalado, son indisponibles. O, si la fecha de expedición del registro presupuestal es el día de hoy, no puede establecerse como fecha de inicio de ejecución del contrato el día de ayer, porque lo que </w:t>
      </w:r>
      <w:r w:rsidRPr="00737A45">
        <w:rPr>
          <w:rFonts w:ascii="Century Gothic" w:eastAsia="Arial" w:hAnsi="Century Gothic" w:cs="Arial"/>
          <w:sz w:val="20"/>
          <w:szCs w:val="20"/>
        </w:rPr>
        <w:lastRenderedPageBreak/>
        <w:t>eso estaría indicando es que el contrato estatal comenzó su ejecución sin la apropiación presupuestal suficiente.</w:t>
      </w:r>
    </w:p>
    <w:p w14:paraId="7E6C55A5" w14:textId="77777777" w:rsidR="00BA7A90" w:rsidRPr="00737A45" w:rsidRDefault="00BA7A90" w:rsidP="00BA7A90">
      <w:pPr>
        <w:spacing w:after="0" w:line="240" w:lineRule="auto"/>
        <w:jc w:val="both"/>
        <w:rPr>
          <w:rFonts w:ascii="Century Gothic" w:hAnsi="Century Gothic"/>
          <w:b/>
          <w:bCs/>
        </w:rPr>
      </w:pPr>
    </w:p>
    <w:p w14:paraId="1D1EA3C3" w14:textId="77777777" w:rsidR="00BA7A90" w:rsidRPr="00737A45" w:rsidRDefault="00BA7A90" w:rsidP="00BA7A90">
      <w:pPr>
        <w:spacing w:after="0" w:line="240" w:lineRule="auto"/>
        <w:jc w:val="both"/>
        <w:rPr>
          <w:rFonts w:ascii="Century Gothic" w:hAnsi="Century Gothic"/>
          <w:b/>
          <w:bCs/>
        </w:rPr>
      </w:pPr>
      <w:r w:rsidRPr="00737A45">
        <w:rPr>
          <w:rFonts w:ascii="Century Gothic" w:hAnsi="Century Gothic"/>
          <w:b/>
          <w:bCs/>
        </w:rPr>
        <w:t>VERIFICACIÓN DE LA IDENTIDAD DEL PROPONENTE – Ley 1121 de 2006 – Identificación – Persona jurídica</w:t>
      </w:r>
    </w:p>
    <w:p w14:paraId="3B7D3D64" w14:textId="77777777" w:rsidR="00BA7A90" w:rsidRPr="00737A45" w:rsidRDefault="00BA7A90" w:rsidP="00BA7A90">
      <w:pPr>
        <w:spacing w:after="0" w:line="240" w:lineRule="auto"/>
        <w:jc w:val="both"/>
        <w:rPr>
          <w:rFonts w:ascii="Century Gothic" w:hAnsi="Century Gothic"/>
          <w:b/>
          <w:bCs/>
        </w:rPr>
      </w:pPr>
    </w:p>
    <w:p w14:paraId="4EA8FF17" w14:textId="77777777" w:rsidR="00BA7A90" w:rsidRPr="00737A45" w:rsidRDefault="00BA7A90" w:rsidP="00BA7A90">
      <w:pPr>
        <w:spacing w:after="0" w:line="240" w:lineRule="auto"/>
        <w:jc w:val="both"/>
        <w:rPr>
          <w:rFonts w:ascii="Century Gothic" w:hAnsi="Century Gothic"/>
          <w:sz w:val="20"/>
          <w:szCs w:val="20"/>
        </w:rPr>
      </w:pPr>
      <w:r w:rsidRPr="00737A45">
        <w:rPr>
          <w:rFonts w:ascii="Century Gothic" w:hAnsi="Century Gothic"/>
          <w:sz w:val="20"/>
          <w:szCs w:val="20"/>
        </w:rPr>
        <w:t>A través de la Ley 1121 de 2006, el Legislador profirió una serie de disposiciones normativas encaminadas a la prevención de la financiación del terrorismo, así como su detección, investigación y sanción. Dentro de esas medidas encontramos el fortalecimiento de las funciones de la Unidad de Información y Análisis Financiero para requerir información (artículo 8), la creación del deliro de financiación del terrorismo y administración de recursos relacionados con actividades terroristas (artículo 16), la exclusión de beneficios y subrogados penales para los condenados por delitos de terrorismo (artículo 26), así como otras mediadas entre las que destacamos al incorporada en el artículo 27.</w:t>
      </w:r>
    </w:p>
    <w:p w14:paraId="444F066C" w14:textId="77777777" w:rsidR="00BA7A90" w:rsidRPr="00737A45" w:rsidRDefault="00BA7A90" w:rsidP="00BA7A90">
      <w:pPr>
        <w:spacing w:after="0" w:line="240" w:lineRule="auto"/>
        <w:jc w:val="both"/>
        <w:rPr>
          <w:rFonts w:ascii="Century Gothic" w:hAnsi="Century Gothic"/>
          <w:sz w:val="20"/>
          <w:szCs w:val="20"/>
        </w:rPr>
      </w:pPr>
      <w:r w:rsidRPr="00737A45">
        <w:rPr>
          <w:rFonts w:ascii="Century Gothic" w:hAnsi="Century Gothic"/>
          <w:sz w:val="20"/>
          <w:szCs w:val="20"/>
        </w:rPr>
        <w:t>[…]</w:t>
      </w:r>
    </w:p>
    <w:p w14:paraId="26B63ABF" w14:textId="77777777" w:rsidR="00BA7A90" w:rsidRPr="00737A45" w:rsidRDefault="00BA7A90" w:rsidP="00BA7A90">
      <w:pPr>
        <w:spacing w:after="0" w:line="240" w:lineRule="auto"/>
        <w:jc w:val="both"/>
        <w:rPr>
          <w:rFonts w:ascii="Century Gothic" w:hAnsi="Century Gothic"/>
          <w:sz w:val="20"/>
          <w:szCs w:val="20"/>
        </w:rPr>
      </w:pPr>
      <w:r w:rsidRPr="00737A45">
        <w:rPr>
          <w:rFonts w:ascii="Century Gothic" w:hAnsi="Century Gothic"/>
          <w:sz w:val="20"/>
          <w:szCs w:val="20"/>
        </w:rPr>
        <w:t>[…] las Entidades Estatales al adelantar sus procesos contractuales, para verificar la identidad de sus eventuales contratistas que ostenten la calidad de personas jurídicas, suelen exigir certificados de existencia y representación legal; sin embargo, no puede desconocerse que de conformidad con el artículo 15 del Decreto Ley 019 de 2012, las entidades públicas y privadas que cumplan funciones públicas o presten servicios públicos, pueden acceder gratuitamente a los registros públicos que lleven las entidades encargadas de expedir los certificados de existencia y representación legal de las personas jurídicas, sirviendo tal consulta, para prescindir de la solicitud de su presentación de dicho certificado a los proponentes o contratistas.</w:t>
      </w:r>
    </w:p>
    <w:p w14:paraId="4735A6C7" w14:textId="77777777" w:rsidR="00BA7A90" w:rsidRPr="00737A45" w:rsidRDefault="00BA7A90" w:rsidP="00BA7A90">
      <w:pPr>
        <w:spacing w:after="0" w:line="240" w:lineRule="auto"/>
        <w:jc w:val="both"/>
        <w:rPr>
          <w:rFonts w:ascii="Century Gothic" w:hAnsi="Century Gothic"/>
          <w:sz w:val="20"/>
          <w:szCs w:val="20"/>
        </w:rPr>
      </w:pPr>
    </w:p>
    <w:p w14:paraId="2E90FE70" w14:textId="77777777" w:rsidR="00BA7A90" w:rsidRPr="00737A45" w:rsidRDefault="00BA7A90" w:rsidP="00BA7A90">
      <w:pPr>
        <w:spacing w:after="0" w:line="240" w:lineRule="auto"/>
        <w:jc w:val="both"/>
        <w:rPr>
          <w:rFonts w:ascii="Century Gothic" w:hAnsi="Century Gothic"/>
          <w:sz w:val="20"/>
          <w:szCs w:val="20"/>
        </w:rPr>
      </w:pPr>
    </w:p>
    <w:p w14:paraId="740FC599" w14:textId="77777777" w:rsidR="00BA7A90" w:rsidRPr="00737A45" w:rsidRDefault="00BA7A90" w:rsidP="00BA7A90">
      <w:pPr>
        <w:spacing w:after="0" w:line="240" w:lineRule="auto"/>
        <w:jc w:val="both"/>
        <w:rPr>
          <w:rFonts w:ascii="Century Gothic" w:hAnsi="Century Gothic"/>
          <w:sz w:val="20"/>
          <w:szCs w:val="20"/>
        </w:rPr>
      </w:pPr>
    </w:p>
    <w:p w14:paraId="09E2D1AB" w14:textId="77777777" w:rsidR="00BA7A90" w:rsidRPr="00737A45" w:rsidRDefault="00BA7A90" w:rsidP="00BA7A90">
      <w:pPr>
        <w:spacing w:after="0" w:line="240" w:lineRule="auto"/>
        <w:jc w:val="both"/>
        <w:rPr>
          <w:rFonts w:ascii="Century Gothic" w:hAnsi="Century Gothic"/>
          <w:sz w:val="20"/>
          <w:szCs w:val="20"/>
        </w:rPr>
      </w:pPr>
    </w:p>
    <w:p w14:paraId="51B8FD3E" w14:textId="77777777" w:rsidR="00BA7A90" w:rsidRPr="00737A45" w:rsidRDefault="00BA7A90" w:rsidP="00BA7A90">
      <w:pPr>
        <w:spacing w:after="0" w:line="240" w:lineRule="auto"/>
        <w:jc w:val="both"/>
        <w:rPr>
          <w:rFonts w:ascii="Century Gothic" w:hAnsi="Century Gothic"/>
          <w:sz w:val="20"/>
          <w:szCs w:val="20"/>
        </w:rPr>
      </w:pPr>
    </w:p>
    <w:p w14:paraId="0199D458" w14:textId="77777777" w:rsidR="0043566F" w:rsidRPr="00737A45" w:rsidRDefault="0043566F" w:rsidP="00BA7A90">
      <w:pPr>
        <w:spacing w:after="0" w:line="240" w:lineRule="auto"/>
        <w:jc w:val="both"/>
        <w:rPr>
          <w:rFonts w:ascii="Century Gothic" w:hAnsi="Century Gothic"/>
          <w:sz w:val="20"/>
          <w:szCs w:val="20"/>
        </w:rPr>
      </w:pPr>
    </w:p>
    <w:p w14:paraId="4789145C" w14:textId="77777777" w:rsidR="0043566F" w:rsidRPr="00737A45" w:rsidRDefault="0043566F" w:rsidP="00BA7A90">
      <w:pPr>
        <w:spacing w:after="0" w:line="240" w:lineRule="auto"/>
        <w:jc w:val="both"/>
        <w:rPr>
          <w:rFonts w:ascii="Century Gothic" w:hAnsi="Century Gothic"/>
          <w:sz w:val="20"/>
          <w:szCs w:val="20"/>
        </w:rPr>
      </w:pPr>
    </w:p>
    <w:p w14:paraId="30F1D946" w14:textId="77777777" w:rsidR="0043566F" w:rsidRPr="00737A45" w:rsidRDefault="0043566F" w:rsidP="00BA7A90">
      <w:pPr>
        <w:spacing w:after="0" w:line="240" w:lineRule="auto"/>
        <w:jc w:val="both"/>
        <w:rPr>
          <w:rFonts w:ascii="Century Gothic" w:hAnsi="Century Gothic"/>
          <w:sz w:val="20"/>
          <w:szCs w:val="20"/>
        </w:rPr>
      </w:pPr>
    </w:p>
    <w:p w14:paraId="4BC7E269" w14:textId="77777777" w:rsidR="0043566F" w:rsidRPr="00737A45" w:rsidRDefault="0043566F" w:rsidP="00BA7A90">
      <w:pPr>
        <w:spacing w:after="0" w:line="240" w:lineRule="auto"/>
        <w:jc w:val="both"/>
        <w:rPr>
          <w:rFonts w:ascii="Century Gothic" w:hAnsi="Century Gothic"/>
          <w:sz w:val="20"/>
          <w:szCs w:val="20"/>
        </w:rPr>
      </w:pPr>
    </w:p>
    <w:p w14:paraId="62CDA499" w14:textId="77777777" w:rsidR="0043566F" w:rsidRPr="00737A45" w:rsidRDefault="0043566F" w:rsidP="00BA7A90">
      <w:pPr>
        <w:spacing w:after="0" w:line="240" w:lineRule="auto"/>
        <w:jc w:val="both"/>
        <w:rPr>
          <w:rFonts w:ascii="Century Gothic" w:hAnsi="Century Gothic"/>
          <w:sz w:val="20"/>
          <w:szCs w:val="20"/>
        </w:rPr>
      </w:pPr>
    </w:p>
    <w:p w14:paraId="08135134" w14:textId="77777777" w:rsidR="0043566F" w:rsidRPr="00737A45" w:rsidRDefault="0043566F" w:rsidP="00BA7A90">
      <w:pPr>
        <w:spacing w:after="0" w:line="240" w:lineRule="auto"/>
        <w:jc w:val="both"/>
        <w:rPr>
          <w:rFonts w:ascii="Century Gothic" w:hAnsi="Century Gothic"/>
          <w:sz w:val="20"/>
          <w:szCs w:val="20"/>
        </w:rPr>
      </w:pPr>
    </w:p>
    <w:p w14:paraId="059442B0" w14:textId="77777777" w:rsidR="0043566F" w:rsidRPr="00737A45" w:rsidRDefault="0043566F" w:rsidP="00BA7A90">
      <w:pPr>
        <w:spacing w:after="0" w:line="240" w:lineRule="auto"/>
        <w:jc w:val="both"/>
        <w:rPr>
          <w:rFonts w:ascii="Century Gothic" w:hAnsi="Century Gothic"/>
          <w:sz w:val="20"/>
          <w:szCs w:val="20"/>
        </w:rPr>
      </w:pPr>
    </w:p>
    <w:p w14:paraId="56AD4AEC" w14:textId="77777777" w:rsidR="0043566F" w:rsidRPr="00737A45" w:rsidRDefault="0043566F" w:rsidP="00BA7A90">
      <w:pPr>
        <w:spacing w:after="0" w:line="240" w:lineRule="auto"/>
        <w:jc w:val="both"/>
        <w:rPr>
          <w:rFonts w:ascii="Century Gothic" w:hAnsi="Century Gothic"/>
          <w:sz w:val="20"/>
          <w:szCs w:val="20"/>
        </w:rPr>
      </w:pPr>
    </w:p>
    <w:p w14:paraId="5B814008" w14:textId="77777777" w:rsidR="0043566F" w:rsidRPr="00737A45" w:rsidRDefault="0043566F" w:rsidP="00BA7A90">
      <w:pPr>
        <w:spacing w:after="0" w:line="240" w:lineRule="auto"/>
        <w:jc w:val="both"/>
        <w:rPr>
          <w:rFonts w:ascii="Century Gothic" w:hAnsi="Century Gothic"/>
          <w:sz w:val="20"/>
          <w:szCs w:val="20"/>
        </w:rPr>
      </w:pPr>
    </w:p>
    <w:p w14:paraId="0E111BA9" w14:textId="77777777" w:rsidR="0043566F" w:rsidRPr="00737A45" w:rsidRDefault="0043566F" w:rsidP="00BA7A90">
      <w:pPr>
        <w:spacing w:after="0" w:line="240" w:lineRule="auto"/>
        <w:jc w:val="both"/>
        <w:rPr>
          <w:rFonts w:ascii="Century Gothic" w:hAnsi="Century Gothic"/>
          <w:sz w:val="20"/>
          <w:szCs w:val="20"/>
        </w:rPr>
      </w:pPr>
    </w:p>
    <w:p w14:paraId="6DFAA0C9" w14:textId="77777777" w:rsidR="0043566F" w:rsidRPr="00737A45" w:rsidRDefault="0043566F" w:rsidP="00BA7A90">
      <w:pPr>
        <w:spacing w:after="0" w:line="240" w:lineRule="auto"/>
        <w:jc w:val="both"/>
        <w:rPr>
          <w:rFonts w:ascii="Century Gothic" w:hAnsi="Century Gothic"/>
          <w:sz w:val="20"/>
          <w:szCs w:val="20"/>
        </w:rPr>
      </w:pPr>
    </w:p>
    <w:p w14:paraId="1FC31C2B" w14:textId="77777777" w:rsidR="0043566F" w:rsidRPr="00737A45" w:rsidRDefault="0043566F" w:rsidP="00BA7A90">
      <w:pPr>
        <w:spacing w:after="0" w:line="240" w:lineRule="auto"/>
        <w:jc w:val="both"/>
        <w:rPr>
          <w:rFonts w:ascii="Century Gothic" w:hAnsi="Century Gothic"/>
          <w:sz w:val="20"/>
          <w:szCs w:val="20"/>
        </w:rPr>
      </w:pPr>
    </w:p>
    <w:p w14:paraId="2879DC97" w14:textId="77777777" w:rsidR="0043566F" w:rsidRPr="00737A45" w:rsidRDefault="0043566F" w:rsidP="00BA7A90">
      <w:pPr>
        <w:spacing w:after="0" w:line="240" w:lineRule="auto"/>
        <w:jc w:val="both"/>
        <w:rPr>
          <w:rFonts w:ascii="Century Gothic" w:hAnsi="Century Gothic"/>
          <w:sz w:val="20"/>
          <w:szCs w:val="20"/>
        </w:rPr>
      </w:pPr>
    </w:p>
    <w:p w14:paraId="1E602AEA" w14:textId="77777777" w:rsidR="0043566F" w:rsidRPr="00737A45" w:rsidRDefault="0043566F" w:rsidP="00BA7A90">
      <w:pPr>
        <w:spacing w:after="0" w:line="240" w:lineRule="auto"/>
        <w:jc w:val="both"/>
        <w:rPr>
          <w:rFonts w:ascii="Century Gothic" w:hAnsi="Century Gothic"/>
          <w:sz w:val="20"/>
          <w:szCs w:val="20"/>
        </w:rPr>
      </w:pPr>
    </w:p>
    <w:p w14:paraId="45B7BF4F" w14:textId="77777777" w:rsidR="0043566F" w:rsidRPr="00737A45" w:rsidRDefault="0043566F" w:rsidP="00BA7A90">
      <w:pPr>
        <w:spacing w:after="0" w:line="240" w:lineRule="auto"/>
        <w:jc w:val="both"/>
        <w:rPr>
          <w:rFonts w:ascii="Century Gothic" w:hAnsi="Century Gothic"/>
          <w:sz w:val="20"/>
          <w:szCs w:val="20"/>
        </w:rPr>
      </w:pPr>
    </w:p>
    <w:p w14:paraId="01569FC5" w14:textId="77777777" w:rsidR="0043566F" w:rsidRPr="00737A45" w:rsidRDefault="0043566F" w:rsidP="00BA7A90">
      <w:pPr>
        <w:spacing w:after="0" w:line="240" w:lineRule="auto"/>
        <w:jc w:val="both"/>
        <w:rPr>
          <w:rFonts w:ascii="Century Gothic" w:hAnsi="Century Gothic"/>
          <w:sz w:val="20"/>
          <w:szCs w:val="20"/>
        </w:rPr>
      </w:pPr>
    </w:p>
    <w:p w14:paraId="6697F287" w14:textId="77777777" w:rsidR="005B4D3E" w:rsidRPr="00737A45" w:rsidRDefault="005B4D3E" w:rsidP="005B4D3E">
      <w:pPr>
        <w:spacing w:after="0"/>
        <w:rPr>
          <w:rFonts w:ascii="Century Gothic" w:hAnsi="Century Gothic" w:cs="Arial"/>
          <w:shd w:val="clear" w:color="auto" w:fill="FFFFFF"/>
        </w:rPr>
      </w:pPr>
    </w:p>
    <w:p w14:paraId="6E4018A8" w14:textId="77777777" w:rsidR="005B4D3E" w:rsidRPr="00737A45" w:rsidRDefault="005B4D3E" w:rsidP="005B4D3E">
      <w:pPr>
        <w:spacing w:after="0"/>
        <w:rPr>
          <w:rFonts w:ascii="Century Gothic" w:eastAsia="Geomanist Light" w:hAnsi="Century Gothic" w:cs="Arial"/>
          <w:lang w:val="es-MX"/>
        </w:rPr>
      </w:pPr>
      <w:r w:rsidRPr="00737A45">
        <w:rPr>
          <w:rFonts w:ascii="Century Gothic" w:hAnsi="Century Gothic" w:cs="Arial"/>
          <w:shd w:val="clear" w:color="auto" w:fill="FFFFFF"/>
        </w:rPr>
        <w:lastRenderedPageBreak/>
        <w:t>Bogotá D.C., [Día] de [Mes.NombreCapitalizado] de [Año]</w:t>
      </w:r>
      <w:r w:rsidRPr="00737A45">
        <w:rPr>
          <w:rFonts w:ascii="Century Gothic" w:hAnsi="Century Gothic" w:cs="Calibri"/>
          <w:shd w:val="clear" w:color="auto" w:fill="FFFFFF"/>
        </w:rPr>
        <w:tab/>
      </w:r>
      <w:r w:rsidRPr="00737A45">
        <w:rPr>
          <w:rFonts w:ascii="Arial" w:hAnsi="Arial" w:cs="Arial"/>
          <w:shd w:val="clear" w:color="auto" w:fill="FFFFFF"/>
        </w:rPr>
        <w:t>    </w:t>
      </w:r>
      <w:r w:rsidRPr="00737A45">
        <w:rPr>
          <w:rFonts w:ascii="Century Gothic" w:hAnsi="Century Gothic" w:cs="Arial"/>
          <w:shd w:val="clear" w:color="auto" w:fill="FFFFFF"/>
        </w:rPr>
        <w:t> </w:t>
      </w:r>
      <w:r w:rsidRPr="00737A45">
        <w:rPr>
          <w:rFonts w:ascii="Arial" w:hAnsi="Arial" w:cs="Arial"/>
          <w:shd w:val="clear" w:color="auto" w:fill="FFFFFF"/>
        </w:rPr>
        <w:t> </w:t>
      </w:r>
      <w:r w:rsidRPr="00737A45">
        <w:rPr>
          <w:rFonts w:ascii="Century Gothic" w:hAnsi="Century Gothic" w:cs="Century Gothic"/>
          <w:shd w:val="clear" w:color="auto" w:fill="FFFFFF"/>
        </w:rPr>
        <w:t> </w:t>
      </w:r>
      <w:r w:rsidRPr="00737A45">
        <w:rPr>
          <w:rFonts w:ascii="Century Gothic" w:eastAsia="Geomanist Light" w:hAnsi="Century Gothic" w:cs="Arial"/>
          <w:lang w:val="es-MX"/>
        </w:rPr>
        <w:cr/>
      </w:r>
    </w:p>
    <w:p w14:paraId="4F16E0AE" w14:textId="77777777" w:rsidR="007D6E6F" w:rsidRPr="00737A45" w:rsidRDefault="007D6E6F" w:rsidP="005B4D3E">
      <w:pPr>
        <w:spacing w:after="0"/>
        <w:rPr>
          <w:rFonts w:ascii="Century Gothic" w:eastAsia="Geomanist Light" w:hAnsi="Century Gothic" w:cs="Arial"/>
          <w:lang w:val="es-MX"/>
        </w:rPr>
      </w:pPr>
    </w:p>
    <w:p w14:paraId="5E0F825D" w14:textId="05AA8917" w:rsidR="007D6E6F" w:rsidRPr="00737A45" w:rsidRDefault="009607F3" w:rsidP="007D6E6F">
      <w:pPr>
        <w:spacing w:after="0"/>
        <w:jc w:val="right"/>
        <w:rPr>
          <w:rFonts w:ascii="Century Gothic" w:eastAsia="Geomanist Light" w:hAnsi="Century Gothic" w:cs="Arial"/>
          <w:lang w:val="es-MX"/>
        </w:rPr>
      </w:pPr>
      <w:r>
        <w:rPr>
          <w:noProof/>
          <w14:ligatures w14:val="standardContextual"/>
        </w:rPr>
        <w:drawing>
          <wp:inline distT="0" distB="0" distL="0" distR="0" wp14:anchorId="7A59DB2B" wp14:editId="6439FA14">
            <wp:extent cx="3333750" cy="990600"/>
            <wp:effectExtent l="0" t="0" r="0" b="0"/>
            <wp:docPr id="815964208"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64208" name="Imagen 1" descr="Interfaz de usuario gráfica, Texto&#10;&#10;Descripción generada automáticamente"/>
                    <pic:cNvPicPr/>
                  </pic:nvPicPr>
                  <pic:blipFill>
                    <a:blip r:embed="rId10"/>
                    <a:stretch>
                      <a:fillRect/>
                    </a:stretch>
                  </pic:blipFill>
                  <pic:spPr>
                    <a:xfrm>
                      <a:off x="0" y="0"/>
                      <a:ext cx="3333750" cy="990600"/>
                    </a:xfrm>
                    <a:prstGeom prst="rect">
                      <a:avLst/>
                    </a:prstGeom>
                  </pic:spPr>
                </pic:pic>
              </a:graphicData>
            </a:graphic>
          </wp:inline>
        </w:drawing>
      </w:r>
    </w:p>
    <w:p w14:paraId="2BFEC949" w14:textId="6B37BEA6" w:rsidR="005B4D3E" w:rsidRPr="00737A45" w:rsidRDefault="005B4D3E" w:rsidP="005B4D3E">
      <w:pPr>
        <w:contextualSpacing/>
        <w:jc w:val="both"/>
        <w:rPr>
          <w:rFonts w:ascii="Century Gothic" w:eastAsia="Calibri" w:hAnsi="Century Gothic" w:cs="Arial"/>
          <w:lang w:eastAsia="es-ES_tradnl"/>
        </w:rPr>
      </w:pPr>
      <w:r w:rsidRPr="00737A45">
        <w:rPr>
          <w:rFonts w:ascii="Century Gothic" w:eastAsia="Calibri" w:hAnsi="Century Gothic" w:cs="Arial"/>
          <w:lang w:eastAsia="es-ES_tradnl"/>
        </w:rPr>
        <w:t>Señor</w:t>
      </w:r>
    </w:p>
    <w:p w14:paraId="687CD0DB" w14:textId="169B8925" w:rsidR="005B4D3E" w:rsidRPr="00737A45" w:rsidRDefault="00CA71A1" w:rsidP="005B4D3E">
      <w:pPr>
        <w:contextualSpacing/>
        <w:jc w:val="both"/>
        <w:rPr>
          <w:rFonts w:ascii="Century Gothic" w:eastAsia="Calibri" w:hAnsi="Century Gothic" w:cs="Arial"/>
          <w:b/>
          <w:lang w:eastAsia="es-ES_tradnl"/>
        </w:rPr>
      </w:pPr>
      <w:r w:rsidRPr="00737A45">
        <w:rPr>
          <w:rFonts w:ascii="Century Gothic" w:eastAsia="Calibri" w:hAnsi="Century Gothic" w:cs="Arial"/>
          <w:b/>
          <w:lang w:eastAsia="es-ES_tradnl"/>
        </w:rPr>
        <w:t>Emanu</w:t>
      </w:r>
      <w:r w:rsidR="003977D1" w:rsidRPr="00737A45">
        <w:rPr>
          <w:rFonts w:ascii="Century Gothic" w:eastAsia="Calibri" w:hAnsi="Century Gothic" w:cs="Arial"/>
          <w:b/>
          <w:lang w:eastAsia="es-ES_tradnl"/>
        </w:rPr>
        <w:t>el Rodrigo Combita Silva</w:t>
      </w:r>
    </w:p>
    <w:p w14:paraId="17654B83" w14:textId="54F70539" w:rsidR="005B4D3E" w:rsidRPr="00737A45" w:rsidRDefault="003977D1" w:rsidP="005B4D3E">
      <w:pPr>
        <w:contextualSpacing/>
        <w:jc w:val="both"/>
        <w:rPr>
          <w:rFonts w:ascii="Century Gothic" w:eastAsia="Calibri" w:hAnsi="Century Gothic" w:cs="Arial"/>
          <w:bCs/>
          <w:lang w:eastAsia="es-ES_tradnl"/>
        </w:rPr>
      </w:pPr>
      <w:r w:rsidRPr="00737A45">
        <w:rPr>
          <w:rFonts w:ascii="Century Gothic" w:hAnsi="Century Gothic"/>
        </w:rPr>
        <w:t xml:space="preserve">Puerto Santander, Norte de </w:t>
      </w:r>
      <w:r w:rsidR="00F17577" w:rsidRPr="00737A45">
        <w:rPr>
          <w:rFonts w:ascii="Century Gothic" w:hAnsi="Century Gothic"/>
        </w:rPr>
        <w:t>Santander</w:t>
      </w:r>
    </w:p>
    <w:p w14:paraId="240E8DEC" w14:textId="77777777" w:rsidR="005B4D3E" w:rsidRPr="00737A45" w:rsidRDefault="005B4D3E" w:rsidP="005B4D3E">
      <w:pPr>
        <w:contextualSpacing/>
        <w:rPr>
          <w:rFonts w:ascii="Century Gothic" w:eastAsia="Calibri" w:hAnsi="Century Gothic" w:cs="Arial"/>
          <w:b/>
          <w:bCs/>
          <w:lang w:val="es-ES_tradnl" w:eastAsia="es-ES_tradnl"/>
        </w:rPr>
      </w:pPr>
    </w:p>
    <w:p w14:paraId="12D3A6CD" w14:textId="77777777" w:rsidR="003977D1" w:rsidRPr="00737A45" w:rsidRDefault="003977D1" w:rsidP="005B4D3E">
      <w:pPr>
        <w:contextualSpacing/>
        <w:rPr>
          <w:rFonts w:ascii="Century Gothic" w:eastAsia="Calibri" w:hAnsi="Century Gothic" w:cs="Arial"/>
          <w:b/>
          <w:bCs/>
          <w:lang w:val="es-ES_tradnl" w:eastAsia="es-ES_tradnl"/>
        </w:rPr>
      </w:pPr>
    </w:p>
    <w:p w14:paraId="5D676C73" w14:textId="11FF11CE" w:rsidR="005B4D3E" w:rsidRPr="00737A45" w:rsidRDefault="005B4D3E" w:rsidP="005B4D3E">
      <w:pPr>
        <w:ind w:left="2124" w:firstLine="570"/>
        <w:contextualSpacing/>
        <w:rPr>
          <w:rFonts w:ascii="Century Gothic" w:eastAsia="Calibri" w:hAnsi="Century Gothic" w:cs="Arial"/>
          <w:b/>
          <w:bCs/>
          <w:lang w:val="es-ES_tradnl" w:eastAsia="es-ES_tradnl"/>
        </w:rPr>
      </w:pPr>
      <w:r w:rsidRPr="00737A45">
        <w:rPr>
          <w:rFonts w:ascii="Century Gothic" w:eastAsia="Calibri" w:hAnsi="Century Gothic" w:cs="Arial"/>
          <w:b/>
          <w:bCs/>
          <w:lang w:val="es-ES_tradnl" w:eastAsia="es-ES_tradnl"/>
        </w:rPr>
        <w:t>Concepto C – 0</w:t>
      </w:r>
      <w:r w:rsidR="00710D1A" w:rsidRPr="00737A45">
        <w:rPr>
          <w:rFonts w:ascii="Century Gothic" w:eastAsia="Calibri" w:hAnsi="Century Gothic" w:cs="Arial"/>
          <w:b/>
          <w:bCs/>
          <w:lang w:val="es-ES_tradnl" w:eastAsia="es-ES_tradnl"/>
        </w:rPr>
        <w:t>53</w:t>
      </w:r>
      <w:r w:rsidRPr="00737A45">
        <w:rPr>
          <w:rFonts w:ascii="Century Gothic" w:eastAsia="Calibri" w:hAnsi="Century Gothic" w:cs="Arial"/>
          <w:b/>
          <w:bCs/>
          <w:lang w:val="es-ES_tradnl" w:eastAsia="es-ES_tradnl"/>
        </w:rPr>
        <w:t xml:space="preserve"> de 2024</w:t>
      </w:r>
    </w:p>
    <w:p w14:paraId="63B8702F" w14:textId="77777777" w:rsidR="005B4D3E" w:rsidRPr="00737A45" w:rsidRDefault="005B4D3E" w:rsidP="005B4D3E">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37A45" w:rsidRPr="00737A45" w14:paraId="15BCC13E" w14:textId="77777777" w:rsidTr="001B01B8">
        <w:tc>
          <w:tcPr>
            <w:tcW w:w="2689" w:type="dxa"/>
          </w:tcPr>
          <w:p w14:paraId="35B4B74E" w14:textId="77777777" w:rsidR="005B4D3E" w:rsidRPr="00737A45" w:rsidRDefault="005B4D3E" w:rsidP="001B01B8">
            <w:pPr>
              <w:contextualSpacing/>
              <w:jc w:val="both"/>
              <w:rPr>
                <w:rFonts w:ascii="Century Gothic" w:eastAsia="Calibri" w:hAnsi="Century Gothic" w:cs="Arial"/>
                <w:lang w:val="es-ES_tradnl" w:eastAsia="es-ES_tradnl"/>
              </w:rPr>
            </w:pPr>
            <w:r w:rsidRPr="00737A45">
              <w:rPr>
                <w:rFonts w:ascii="Century Gothic" w:eastAsia="Calibri" w:hAnsi="Century Gothic" w:cs="Arial"/>
                <w:b/>
                <w:lang w:val="es-ES_tradnl" w:eastAsia="es-ES_tradnl"/>
              </w:rPr>
              <w:t>Temas:</w:t>
            </w:r>
            <w:r w:rsidRPr="00737A45">
              <w:rPr>
                <w:rFonts w:ascii="Century Gothic" w:eastAsia="Calibri" w:hAnsi="Century Gothic" w:cs="Arial"/>
                <w:lang w:val="es-ES_tradnl" w:eastAsia="es-ES_tradnl"/>
              </w:rPr>
              <w:t xml:space="preserve">                                      </w:t>
            </w:r>
          </w:p>
        </w:tc>
        <w:tc>
          <w:tcPr>
            <w:tcW w:w="6237" w:type="dxa"/>
          </w:tcPr>
          <w:p w14:paraId="70E90B51" w14:textId="5B19D0BF" w:rsidR="005B4D3E" w:rsidRPr="00737A45" w:rsidRDefault="00B864A5" w:rsidP="001B01B8">
            <w:pPr>
              <w:spacing w:after="120"/>
              <w:contextualSpacing/>
              <w:jc w:val="both"/>
              <w:rPr>
                <w:rFonts w:ascii="Century Gothic" w:eastAsia="Calibri" w:hAnsi="Century Gothic" w:cs="Arial"/>
                <w:bCs/>
                <w:lang w:val="es-ES_tradnl" w:eastAsia="es-ES_tradnl"/>
              </w:rPr>
            </w:pPr>
            <w:r w:rsidRPr="00737A45">
              <w:rPr>
                <w:rFonts w:ascii="Century Gothic" w:eastAsia="Calibri" w:hAnsi="Century Gothic" w:cs="Arial"/>
                <w:bCs/>
                <w:lang w:val="es-ES_tradnl" w:eastAsia="es-ES_tradnl"/>
              </w:rPr>
              <w:t>PLANEACIÓN CONTRACTUAL</w:t>
            </w:r>
            <w:r w:rsidR="00E430C1" w:rsidRPr="00737A45">
              <w:rPr>
                <w:rFonts w:ascii="Century Gothic" w:eastAsia="Calibri" w:hAnsi="Century Gothic" w:cs="Arial"/>
                <w:bCs/>
                <w:lang w:val="es-ES_tradnl" w:eastAsia="es-ES_tradnl"/>
              </w:rPr>
              <w:t xml:space="preserve"> – Obligatoriedad – Elaboración de estudios previos – Etapa precontractual / ACTA DE INICIO – Noción </w:t>
            </w:r>
            <w:r w:rsidR="00F17577" w:rsidRPr="00737A45">
              <w:rPr>
                <w:rFonts w:ascii="Century Gothic" w:eastAsia="Calibri" w:hAnsi="Century Gothic" w:cs="Arial"/>
                <w:bCs/>
                <w:lang w:val="es-ES_tradnl" w:eastAsia="es-ES_tradnl"/>
              </w:rPr>
              <w:t>–</w:t>
            </w:r>
            <w:r w:rsidR="00E430C1" w:rsidRPr="00737A45">
              <w:rPr>
                <w:rFonts w:ascii="Century Gothic" w:eastAsia="Calibri" w:hAnsi="Century Gothic" w:cs="Arial"/>
                <w:bCs/>
                <w:lang w:val="es-ES_tradnl" w:eastAsia="es-ES_tradnl"/>
              </w:rPr>
              <w:t xml:space="preserve"> </w:t>
            </w:r>
            <w:r w:rsidR="002B67F5" w:rsidRPr="00737A45">
              <w:rPr>
                <w:rFonts w:ascii="Century Gothic" w:eastAsia="Calibri" w:hAnsi="Century Gothic" w:cs="Arial"/>
                <w:bCs/>
                <w:lang w:val="es-ES_tradnl" w:eastAsia="es-ES_tradnl"/>
              </w:rPr>
              <w:t xml:space="preserve">Requisito de ejecución convencional - </w:t>
            </w:r>
            <w:r w:rsidR="007C7A7F" w:rsidRPr="00737A45">
              <w:rPr>
                <w:rFonts w:ascii="Century Gothic" w:eastAsia="Calibri" w:hAnsi="Century Gothic" w:cs="Arial"/>
                <w:bCs/>
                <w:lang w:val="es-ES_tradnl" w:eastAsia="es-ES_tradnl"/>
              </w:rPr>
              <w:t>Etapa contractual</w:t>
            </w:r>
            <w:r w:rsidR="00F17577" w:rsidRPr="00737A45">
              <w:rPr>
                <w:rFonts w:ascii="Century Gothic" w:eastAsia="Calibri" w:hAnsi="Century Gothic" w:cs="Arial"/>
                <w:bCs/>
                <w:lang w:val="es-ES_tradnl" w:eastAsia="es-ES_tradnl"/>
              </w:rPr>
              <w:t xml:space="preserve"> / VERIFICACIÓN DE LA IDENTIDAD DEL PROPONENTE – Ley 1121 de 2006 – Identificación – Persona jurídica</w:t>
            </w:r>
          </w:p>
          <w:p w14:paraId="3764166A" w14:textId="77777777" w:rsidR="005B4D3E" w:rsidRPr="00737A45" w:rsidRDefault="005B4D3E" w:rsidP="001B01B8">
            <w:pPr>
              <w:spacing w:after="120"/>
              <w:contextualSpacing/>
              <w:jc w:val="both"/>
              <w:rPr>
                <w:rFonts w:ascii="Century Gothic" w:eastAsia="Calibri" w:hAnsi="Century Gothic" w:cs="Arial"/>
                <w:bCs/>
                <w:sz w:val="12"/>
                <w:szCs w:val="12"/>
                <w:lang w:val="es-ES_tradnl" w:eastAsia="es-ES_tradnl"/>
              </w:rPr>
            </w:pPr>
          </w:p>
        </w:tc>
      </w:tr>
      <w:tr w:rsidR="005B4D3E" w:rsidRPr="00737A45" w14:paraId="273A39FF" w14:textId="77777777" w:rsidTr="001B01B8">
        <w:trPr>
          <w:trHeight w:val="227"/>
        </w:trPr>
        <w:tc>
          <w:tcPr>
            <w:tcW w:w="2689" w:type="dxa"/>
          </w:tcPr>
          <w:p w14:paraId="054E2E1C" w14:textId="77777777" w:rsidR="005B4D3E" w:rsidRPr="00737A45" w:rsidRDefault="005B4D3E" w:rsidP="001B01B8">
            <w:pPr>
              <w:contextualSpacing/>
              <w:jc w:val="both"/>
              <w:rPr>
                <w:rFonts w:ascii="Century Gothic" w:eastAsia="Calibri" w:hAnsi="Century Gothic" w:cs="Arial"/>
                <w:b/>
                <w:lang w:val="es-ES_tradnl" w:eastAsia="es-ES_tradnl"/>
              </w:rPr>
            </w:pPr>
            <w:r w:rsidRPr="00737A45">
              <w:rPr>
                <w:rFonts w:ascii="Century Gothic" w:eastAsia="Calibri" w:hAnsi="Century Gothic" w:cs="Arial"/>
                <w:b/>
                <w:lang w:val="es-ES_tradnl" w:eastAsia="es-ES_tradnl"/>
              </w:rPr>
              <w:t>Radicación:</w:t>
            </w:r>
            <w:r w:rsidRPr="00737A45">
              <w:rPr>
                <w:rFonts w:ascii="Century Gothic" w:eastAsia="Calibri" w:hAnsi="Century Gothic" w:cs="Arial"/>
                <w:lang w:val="es-ES_tradnl" w:eastAsia="es-ES_tradnl"/>
              </w:rPr>
              <w:t xml:space="preserve">                             </w:t>
            </w:r>
          </w:p>
        </w:tc>
        <w:tc>
          <w:tcPr>
            <w:tcW w:w="6237" w:type="dxa"/>
          </w:tcPr>
          <w:p w14:paraId="234B9FB2" w14:textId="6F9EB0F4" w:rsidR="005B4D3E" w:rsidRPr="00737A45" w:rsidRDefault="005B4D3E" w:rsidP="001B01B8">
            <w:pPr>
              <w:contextualSpacing/>
              <w:jc w:val="both"/>
              <w:rPr>
                <w:rFonts w:ascii="Century Gothic" w:eastAsia="Calibri" w:hAnsi="Century Gothic" w:cs="Arial"/>
                <w:lang w:val="es-ES_tradnl" w:eastAsia="es-ES_tradnl"/>
              </w:rPr>
            </w:pPr>
            <w:r w:rsidRPr="00737A45">
              <w:rPr>
                <w:rFonts w:ascii="Century Gothic" w:eastAsia="Calibri" w:hAnsi="Century Gothic" w:cs="Arial"/>
                <w:lang w:val="es-ES_tradnl" w:eastAsia="es-ES_tradnl"/>
              </w:rPr>
              <w:t xml:space="preserve">Respuesta a consulta No. </w:t>
            </w:r>
            <w:r w:rsidR="002B6357" w:rsidRPr="00737A45">
              <w:rPr>
                <w:rFonts w:ascii="Century Gothic" w:eastAsia="Calibri" w:hAnsi="Century Gothic" w:cs="Arial"/>
                <w:lang w:val="es-ES_tradnl" w:eastAsia="es-ES_tradnl"/>
              </w:rPr>
              <w:t>P20240320003062</w:t>
            </w:r>
            <w:r w:rsidR="0087336F" w:rsidRPr="00737A45">
              <w:rPr>
                <w:rFonts w:ascii="Century Gothic" w:eastAsia="Calibri" w:hAnsi="Century Gothic" w:cs="Arial"/>
                <w:lang w:val="es-ES_tradnl" w:eastAsia="es-ES_tradnl"/>
              </w:rPr>
              <w:tab/>
            </w:r>
            <w:r w:rsidRPr="00737A45">
              <w:rPr>
                <w:rFonts w:ascii="Century Gothic" w:eastAsia="Calibri" w:hAnsi="Century Gothic" w:cs="Arial"/>
                <w:lang w:val="es-ES_tradnl" w:eastAsia="es-ES_tradnl"/>
              </w:rPr>
              <w:tab/>
            </w:r>
          </w:p>
        </w:tc>
      </w:tr>
    </w:tbl>
    <w:p w14:paraId="7FCFA64D" w14:textId="77777777" w:rsidR="005B4D3E" w:rsidRPr="00737A45" w:rsidRDefault="005B4D3E" w:rsidP="005B4D3E">
      <w:pPr>
        <w:contextualSpacing/>
        <w:jc w:val="both"/>
        <w:rPr>
          <w:rFonts w:ascii="Century Gothic" w:eastAsia="Calibri" w:hAnsi="Century Gothic" w:cs="Arial"/>
          <w:lang w:val="es-ES_tradnl" w:eastAsia="es-ES_tradnl"/>
        </w:rPr>
      </w:pPr>
    </w:p>
    <w:p w14:paraId="5C2BE0CA" w14:textId="77777777" w:rsidR="005B4D3E" w:rsidRPr="00737A45" w:rsidRDefault="005B4D3E" w:rsidP="005B4D3E">
      <w:pPr>
        <w:contextualSpacing/>
        <w:jc w:val="both"/>
        <w:rPr>
          <w:rFonts w:ascii="Century Gothic" w:eastAsia="Calibri" w:hAnsi="Century Gothic" w:cs="Arial"/>
          <w:lang w:val="es-ES_tradnl" w:eastAsia="es-ES_tradnl"/>
        </w:rPr>
      </w:pPr>
    </w:p>
    <w:p w14:paraId="1A5B994D" w14:textId="670F1B41" w:rsidR="005B4D3E" w:rsidRPr="00737A45" w:rsidRDefault="005B4D3E" w:rsidP="005B4D3E">
      <w:pPr>
        <w:contextualSpacing/>
        <w:jc w:val="both"/>
        <w:rPr>
          <w:rFonts w:ascii="Century Gothic" w:eastAsia="Calibri" w:hAnsi="Century Gothic" w:cs="Arial"/>
          <w:lang w:val="es-ES" w:eastAsia="es-ES"/>
        </w:rPr>
      </w:pPr>
      <w:r w:rsidRPr="00737A45">
        <w:rPr>
          <w:rFonts w:ascii="Century Gothic" w:eastAsia="Calibri" w:hAnsi="Century Gothic" w:cs="Arial"/>
          <w:lang w:val="es-ES" w:eastAsia="es-ES"/>
        </w:rPr>
        <w:t>Estima</w:t>
      </w:r>
      <w:r w:rsidR="0087336F" w:rsidRPr="00737A45">
        <w:rPr>
          <w:rFonts w:ascii="Century Gothic" w:eastAsia="Calibri" w:hAnsi="Century Gothic" w:cs="Arial"/>
          <w:lang w:val="es-ES" w:eastAsia="es-ES"/>
        </w:rPr>
        <w:t>do Señor Combita</w:t>
      </w:r>
      <w:r w:rsidRPr="00737A45">
        <w:rPr>
          <w:rFonts w:ascii="Century Gothic" w:eastAsia="Calibri" w:hAnsi="Century Gothic" w:cs="Arial"/>
          <w:lang w:val="es-ES" w:eastAsia="es-ES"/>
        </w:rPr>
        <w:t>:</w:t>
      </w:r>
    </w:p>
    <w:p w14:paraId="4714D260" w14:textId="77777777" w:rsidR="005B4D3E" w:rsidRPr="00737A45" w:rsidRDefault="005B4D3E" w:rsidP="005B4D3E">
      <w:pPr>
        <w:spacing w:line="276" w:lineRule="auto"/>
        <w:contextualSpacing/>
        <w:jc w:val="both"/>
        <w:rPr>
          <w:rFonts w:ascii="Century Gothic" w:eastAsia="Calibri" w:hAnsi="Century Gothic" w:cs="Arial"/>
          <w:szCs w:val="24"/>
          <w:lang w:val="es-ES_tradnl" w:eastAsia="es-ES_tradnl"/>
        </w:rPr>
      </w:pPr>
    </w:p>
    <w:bookmarkEnd w:id="0"/>
    <w:bookmarkEnd w:id="1"/>
    <w:p w14:paraId="04D77795" w14:textId="40DB95BB" w:rsidR="005B4D3E" w:rsidRPr="00737A45" w:rsidRDefault="005B4D3E" w:rsidP="005B4D3E">
      <w:pPr>
        <w:spacing w:after="0" w:line="276" w:lineRule="auto"/>
        <w:jc w:val="both"/>
        <w:rPr>
          <w:rFonts w:ascii="Century Gothic" w:eastAsia="Calibri" w:hAnsi="Century Gothic" w:cs="Arial"/>
          <w:lang w:val="es-ES_tradnl"/>
        </w:rPr>
      </w:pPr>
      <w:r w:rsidRPr="00737A45">
        <w:rPr>
          <w:rFonts w:ascii="Century Gothic" w:eastAsia="Calibri" w:hAnsi="Century Gothic" w:cs="Arial"/>
          <w:lang w:val="es-ES_tradnl"/>
        </w:rPr>
        <w:t>En ejercicio de la competencia otorgada por el numeral 5° del artículo 3 y el numeral 8° del artículo 11 del Decreto Ley 4170 de 2011</w:t>
      </w:r>
      <w:bookmarkStart w:id="3" w:name="_Hlk99120496"/>
      <w:r w:rsidRPr="00737A45">
        <w:rPr>
          <w:rFonts w:ascii="Century Gothic" w:eastAsia="Arial MT" w:hAnsi="Century Gothic" w:cs="Arial MT"/>
          <w:lang w:val="es-ES"/>
        </w:rPr>
        <w:t xml:space="preserve">, </w:t>
      </w:r>
      <w:bookmarkEnd w:id="3"/>
      <w:r w:rsidRPr="00737A45">
        <w:rPr>
          <w:rFonts w:ascii="Century Gothic" w:eastAsia="Calibri" w:hAnsi="Century Gothic" w:cs="Arial"/>
          <w:lang w:val="es-ES_tradnl"/>
        </w:rPr>
        <w:t xml:space="preserve">la Agencia Nacional de Contratación Pública – Colombia Compra Eficiente– responde su petición recibida el </w:t>
      </w:r>
      <w:r w:rsidR="0087336F" w:rsidRPr="00737A45">
        <w:rPr>
          <w:rFonts w:ascii="Century Gothic" w:eastAsia="Calibri" w:hAnsi="Century Gothic" w:cs="Arial"/>
          <w:lang w:val="es-ES_tradnl"/>
        </w:rPr>
        <w:t>20 de marzo</w:t>
      </w:r>
      <w:r w:rsidRPr="00737A45">
        <w:rPr>
          <w:rFonts w:ascii="Century Gothic" w:eastAsia="Calibri" w:hAnsi="Century Gothic" w:cs="Arial"/>
          <w:lang w:val="es-ES_tradnl"/>
        </w:rPr>
        <w:t xml:space="preserve"> de 2024</w:t>
      </w:r>
      <w:r w:rsidR="00971A45" w:rsidRPr="00737A45">
        <w:rPr>
          <w:rFonts w:ascii="Century Gothic" w:eastAsia="Calibri" w:hAnsi="Century Gothic" w:cs="Arial"/>
          <w:lang w:val="es-ES_tradnl"/>
        </w:rPr>
        <w:t xml:space="preserve">, que fue remitida por el Departamento Administrativo de la Función Pública, mediante Oficio con Radicado No. </w:t>
      </w:r>
      <w:r w:rsidR="0068434F" w:rsidRPr="00737A45">
        <w:rPr>
          <w:rFonts w:ascii="Century Gothic" w:eastAsia="Calibri" w:hAnsi="Century Gothic" w:cs="Arial"/>
          <w:lang w:val="es-ES_tradnl"/>
        </w:rPr>
        <w:t>20249000245662 del mismo mes y año.</w:t>
      </w:r>
    </w:p>
    <w:p w14:paraId="59134646" w14:textId="77777777" w:rsidR="005B4D3E" w:rsidRPr="00737A45" w:rsidRDefault="005B4D3E" w:rsidP="005B4D3E">
      <w:pPr>
        <w:spacing w:after="0" w:line="276" w:lineRule="auto"/>
        <w:jc w:val="both"/>
        <w:rPr>
          <w:rFonts w:ascii="Century Gothic" w:eastAsia="Calibri" w:hAnsi="Century Gothic" w:cs="Arial"/>
          <w:b/>
          <w:lang w:val="es-ES_tradnl"/>
        </w:rPr>
      </w:pPr>
    </w:p>
    <w:p w14:paraId="537BDFA5" w14:textId="77777777" w:rsidR="005B4D3E" w:rsidRPr="00737A45" w:rsidRDefault="005B4D3E" w:rsidP="005B4D3E">
      <w:pPr>
        <w:numPr>
          <w:ilvl w:val="0"/>
          <w:numId w:val="1"/>
        </w:numPr>
        <w:tabs>
          <w:tab w:val="left" w:pos="0"/>
          <w:tab w:val="left" w:pos="142"/>
          <w:tab w:val="left" w:pos="284"/>
        </w:tabs>
        <w:spacing w:after="0" w:line="276" w:lineRule="auto"/>
        <w:ind w:left="0" w:firstLine="0"/>
        <w:contextualSpacing/>
        <w:jc w:val="both"/>
        <w:rPr>
          <w:rFonts w:ascii="Century Gothic" w:eastAsia="Calibri" w:hAnsi="Century Gothic" w:cs="Arial"/>
          <w:b/>
          <w:lang w:val="es-ES_tradnl"/>
        </w:rPr>
      </w:pPr>
      <w:r w:rsidRPr="00737A45">
        <w:rPr>
          <w:rFonts w:ascii="Century Gothic" w:eastAsia="Calibri" w:hAnsi="Century Gothic" w:cs="Arial"/>
          <w:b/>
          <w:lang w:val="es-ES_tradnl"/>
        </w:rPr>
        <w:t xml:space="preserve">Problemas planteados </w:t>
      </w:r>
    </w:p>
    <w:p w14:paraId="523F8C37" w14:textId="77777777" w:rsidR="005B4D3E" w:rsidRPr="00737A45" w:rsidRDefault="005B4D3E" w:rsidP="005B4D3E">
      <w:pPr>
        <w:tabs>
          <w:tab w:val="left" w:pos="0"/>
          <w:tab w:val="left" w:pos="142"/>
          <w:tab w:val="left" w:pos="284"/>
        </w:tabs>
        <w:spacing w:after="0" w:line="276" w:lineRule="auto"/>
        <w:contextualSpacing/>
        <w:jc w:val="both"/>
        <w:rPr>
          <w:rFonts w:ascii="Century Gothic" w:eastAsia="Calibri" w:hAnsi="Century Gothic" w:cs="Arial"/>
          <w:b/>
          <w:lang w:val="es-ES_tradnl"/>
        </w:rPr>
      </w:pPr>
    </w:p>
    <w:p w14:paraId="6AF2FA90" w14:textId="610DD59B" w:rsidR="005B4D3E" w:rsidRPr="00737A45" w:rsidRDefault="005B4D3E" w:rsidP="005B4D3E">
      <w:pPr>
        <w:tabs>
          <w:tab w:val="left" w:pos="0"/>
          <w:tab w:val="left" w:pos="142"/>
          <w:tab w:val="left" w:pos="284"/>
        </w:tabs>
        <w:spacing w:after="0" w:line="276" w:lineRule="auto"/>
        <w:contextualSpacing/>
        <w:jc w:val="both"/>
        <w:rPr>
          <w:rFonts w:ascii="Century Gothic" w:hAnsi="Century Gothic" w:cs="Arial"/>
          <w:sz w:val="20"/>
          <w:szCs w:val="20"/>
          <w:lang w:val="es-ES_tradnl"/>
        </w:rPr>
      </w:pPr>
      <w:r w:rsidRPr="00737A45">
        <w:rPr>
          <w:rFonts w:ascii="Century Gothic" w:eastAsia="Calibri" w:hAnsi="Century Gothic" w:cs="Arial"/>
          <w:bCs/>
          <w:lang w:val="es-ES_tradnl"/>
        </w:rPr>
        <w:t xml:space="preserve">Usted realiza </w:t>
      </w:r>
      <w:r w:rsidR="0068434F" w:rsidRPr="00737A45">
        <w:rPr>
          <w:rFonts w:ascii="Century Gothic" w:eastAsia="Calibri" w:hAnsi="Century Gothic" w:cs="Arial"/>
          <w:bCs/>
          <w:lang w:val="es-ES_tradnl"/>
        </w:rPr>
        <w:t>la siguiente consulta</w:t>
      </w:r>
      <w:r w:rsidRPr="00737A45">
        <w:rPr>
          <w:rFonts w:ascii="Century Gothic" w:eastAsia="Calibri" w:hAnsi="Century Gothic" w:cs="Arial"/>
          <w:bCs/>
          <w:lang w:val="es-ES_tradnl"/>
        </w:rPr>
        <w:t>:</w:t>
      </w:r>
    </w:p>
    <w:p w14:paraId="06834553" w14:textId="77777777" w:rsidR="005B4D3E" w:rsidRPr="00737A45" w:rsidRDefault="005B4D3E" w:rsidP="00110856">
      <w:pPr>
        <w:spacing w:after="0" w:line="240" w:lineRule="auto"/>
        <w:jc w:val="both"/>
        <w:rPr>
          <w:rFonts w:ascii="Century Gothic" w:hAnsi="Century Gothic" w:cs="Arial"/>
          <w:lang w:val="es-ES_tradnl"/>
        </w:rPr>
      </w:pPr>
    </w:p>
    <w:p w14:paraId="750740EA" w14:textId="5AC62D0A" w:rsidR="0068434F" w:rsidRPr="00737A45" w:rsidRDefault="005B4D3E" w:rsidP="00110856">
      <w:pPr>
        <w:spacing w:after="0" w:line="240" w:lineRule="auto"/>
        <w:ind w:left="709" w:right="709"/>
        <w:jc w:val="both"/>
        <w:textAlignment w:val="baseline"/>
        <w:rPr>
          <w:rFonts w:ascii="Century Gothic" w:hAnsi="Century Gothic" w:cs="Arial"/>
          <w:sz w:val="20"/>
          <w:szCs w:val="20"/>
          <w:shd w:val="clear" w:color="auto" w:fill="FFFFFF"/>
        </w:rPr>
      </w:pPr>
      <w:bookmarkStart w:id="4" w:name="_Hlk164243950"/>
      <w:r w:rsidRPr="00737A45">
        <w:rPr>
          <w:rFonts w:ascii="Century Gothic" w:hAnsi="Century Gothic" w:cs="Arial"/>
          <w:sz w:val="20"/>
          <w:szCs w:val="20"/>
          <w:shd w:val="clear" w:color="auto" w:fill="FFFFFF"/>
        </w:rPr>
        <w:t>“1. ¿</w:t>
      </w:r>
      <w:r w:rsidR="0068434F" w:rsidRPr="00737A45">
        <w:rPr>
          <w:rFonts w:ascii="Century Gothic" w:hAnsi="Century Gothic" w:cs="Arial"/>
          <w:sz w:val="20"/>
          <w:szCs w:val="20"/>
          <w:shd w:val="clear" w:color="auto" w:fill="FFFFFF"/>
        </w:rPr>
        <w:t>Los estudios previos dentro de un proceso</w:t>
      </w:r>
      <w:r w:rsidR="007471B6" w:rsidRPr="00737A45">
        <w:rPr>
          <w:rFonts w:ascii="Century Gothic" w:hAnsi="Century Gothic" w:cs="Arial"/>
          <w:sz w:val="20"/>
          <w:szCs w:val="20"/>
          <w:shd w:val="clear" w:color="auto" w:fill="FFFFFF"/>
        </w:rPr>
        <w:t xml:space="preserve"> </w:t>
      </w:r>
      <w:r w:rsidR="0068434F" w:rsidRPr="00737A45">
        <w:rPr>
          <w:rFonts w:ascii="Century Gothic" w:hAnsi="Century Gothic" w:cs="Arial"/>
          <w:sz w:val="20"/>
          <w:szCs w:val="20"/>
          <w:shd w:val="clear" w:color="auto" w:fill="FFFFFF"/>
        </w:rPr>
        <w:t>contractual debe</w:t>
      </w:r>
      <w:r w:rsidR="0020719E" w:rsidRPr="00737A45">
        <w:rPr>
          <w:rFonts w:ascii="Century Gothic" w:hAnsi="Century Gothic" w:cs="Arial"/>
          <w:sz w:val="20"/>
          <w:szCs w:val="20"/>
          <w:shd w:val="clear" w:color="auto" w:fill="FFFFFF"/>
        </w:rPr>
        <w:t>n</w:t>
      </w:r>
      <w:r w:rsidR="0068434F" w:rsidRPr="00737A45">
        <w:rPr>
          <w:rFonts w:ascii="Century Gothic" w:hAnsi="Century Gothic" w:cs="Arial"/>
          <w:sz w:val="20"/>
          <w:szCs w:val="20"/>
          <w:shd w:val="clear" w:color="auto" w:fill="FFFFFF"/>
        </w:rPr>
        <w:t xml:space="preserve"> ser fechados con anterioridad a la fecha de acta de in</w:t>
      </w:r>
      <w:r w:rsidR="0006595F" w:rsidRPr="00737A45">
        <w:rPr>
          <w:rFonts w:ascii="Century Gothic" w:hAnsi="Century Gothic" w:cs="Arial"/>
          <w:sz w:val="20"/>
          <w:szCs w:val="20"/>
          <w:shd w:val="clear" w:color="auto" w:fill="FFFFFF"/>
        </w:rPr>
        <w:t>i</w:t>
      </w:r>
      <w:r w:rsidR="0068434F" w:rsidRPr="00737A45">
        <w:rPr>
          <w:rFonts w:ascii="Century Gothic" w:hAnsi="Century Gothic" w:cs="Arial"/>
          <w:sz w:val="20"/>
          <w:szCs w:val="20"/>
          <w:shd w:val="clear" w:color="auto" w:fill="FFFFFF"/>
        </w:rPr>
        <w:t>cio?</w:t>
      </w:r>
    </w:p>
    <w:p w14:paraId="7BC745CB" w14:textId="4BE36C97" w:rsidR="0006595F" w:rsidRPr="00737A45" w:rsidRDefault="0006595F" w:rsidP="00110856">
      <w:pPr>
        <w:spacing w:before="120" w:after="0" w:line="240" w:lineRule="auto"/>
        <w:ind w:left="709" w:right="709"/>
        <w:jc w:val="both"/>
        <w:textAlignment w:val="baseline"/>
        <w:rPr>
          <w:rFonts w:ascii="Century Gothic" w:hAnsi="Century Gothic" w:cs="Arial"/>
          <w:sz w:val="20"/>
          <w:szCs w:val="20"/>
          <w:shd w:val="clear" w:color="auto" w:fill="FFFFFF"/>
        </w:rPr>
      </w:pPr>
      <w:r w:rsidRPr="00737A45">
        <w:rPr>
          <w:rFonts w:ascii="Century Gothic" w:hAnsi="Century Gothic" w:cs="Arial"/>
          <w:sz w:val="20"/>
          <w:szCs w:val="20"/>
          <w:shd w:val="clear" w:color="auto" w:fill="FFFFFF"/>
        </w:rPr>
        <w:lastRenderedPageBreak/>
        <w:t>2. ¿Puede ser de la misma fecha la elaboración de estudios previos, acta de inicio</w:t>
      </w:r>
      <w:r w:rsidR="00110856" w:rsidRPr="00737A45">
        <w:rPr>
          <w:rFonts w:ascii="Century Gothic" w:hAnsi="Century Gothic" w:cs="Arial"/>
          <w:sz w:val="20"/>
          <w:szCs w:val="20"/>
          <w:shd w:val="clear" w:color="auto" w:fill="FFFFFF"/>
        </w:rPr>
        <w:t>, certificado de inexistencia y demás etapas contractuales?</w:t>
      </w:r>
    </w:p>
    <w:p w14:paraId="0E37671F" w14:textId="37C4A227" w:rsidR="005B4D3E" w:rsidRPr="00737A45" w:rsidRDefault="00110856" w:rsidP="00110856">
      <w:pPr>
        <w:spacing w:before="120" w:after="0" w:line="240" w:lineRule="auto"/>
        <w:ind w:left="709" w:right="709"/>
        <w:jc w:val="both"/>
        <w:textAlignment w:val="baseline"/>
        <w:rPr>
          <w:rFonts w:ascii="Century Gothic" w:hAnsi="Century Gothic" w:cs="Arial"/>
          <w:sz w:val="20"/>
          <w:szCs w:val="20"/>
          <w:shd w:val="clear" w:color="auto" w:fill="FFFFFF"/>
        </w:rPr>
      </w:pPr>
      <w:r w:rsidRPr="00737A45">
        <w:rPr>
          <w:rFonts w:ascii="Century Gothic" w:hAnsi="Century Gothic" w:cs="Arial"/>
          <w:sz w:val="20"/>
          <w:szCs w:val="20"/>
          <w:shd w:val="clear" w:color="auto" w:fill="FFFFFF"/>
        </w:rPr>
        <w:t>3. ¿Puede la administración municipal consulta</w:t>
      </w:r>
      <w:r w:rsidR="00067109" w:rsidRPr="00737A45">
        <w:rPr>
          <w:rFonts w:ascii="Century Gothic" w:hAnsi="Century Gothic" w:cs="Arial"/>
          <w:sz w:val="20"/>
          <w:szCs w:val="20"/>
          <w:shd w:val="clear" w:color="auto" w:fill="FFFFFF"/>
        </w:rPr>
        <w:t>r</w:t>
      </w:r>
      <w:r w:rsidRPr="00737A45">
        <w:rPr>
          <w:rFonts w:ascii="Century Gothic" w:hAnsi="Century Gothic" w:cs="Arial"/>
          <w:sz w:val="20"/>
          <w:szCs w:val="20"/>
          <w:shd w:val="clear" w:color="auto" w:fill="FFFFFF"/>
        </w:rPr>
        <w:t xml:space="preserve"> y descargar un certificado de existencia y representación legal en un proceso de mínima cuantía para la verificación del proponente?”</w:t>
      </w:r>
      <w:r w:rsidR="005B4D3E" w:rsidRPr="00737A45">
        <w:rPr>
          <w:rFonts w:ascii="Century Gothic" w:hAnsi="Century Gothic" w:cs="Arial"/>
          <w:sz w:val="20"/>
          <w:szCs w:val="20"/>
          <w:shd w:val="clear" w:color="auto" w:fill="FFFFFF"/>
        </w:rPr>
        <w:t xml:space="preserve"> [Sic].</w:t>
      </w:r>
    </w:p>
    <w:bookmarkEnd w:id="4"/>
    <w:p w14:paraId="7E7BC409" w14:textId="77777777" w:rsidR="005B4D3E" w:rsidRPr="00737A45" w:rsidRDefault="005B4D3E" w:rsidP="005B4D3E">
      <w:pPr>
        <w:spacing w:after="0" w:line="240" w:lineRule="auto"/>
        <w:ind w:left="709" w:right="709"/>
        <w:jc w:val="both"/>
        <w:textAlignment w:val="baseline"/>
        <w:rPr>
          <w:rFonts w:ascii="Century Gothic" w:hAnsi="Century Gothic" w:cs="Arial"/>
          <w:sz w:val="21"/>
          <w:szCs w:val="21"/>
          <w:shd w:val="clear" w:color="auto" w:fill="FFFFFF"/>
        </w:rPr>
      </w:pPr>
    </w:p>
    <w:p w14:paraId="6D1C7AD0" w14:textId="77777777" w:rsidR="005B4D3E" w:rsidRPr="00737A45" w:rsidRDefault="005B4D3E" w:rsidP="005B4D3E">
      <w:pPr>
        <w:numPr>
          <w:ilvl w:val="0"/>
          <w:numId w:val="1"/>
        </w:numPr>
        <w:tabs>
          <w:tab w:val="left" w:pos="0"/>
          <w:tab w:val="left" w:pos="284"/>
        </w:tabs>
        <w:spacing w:after="0" w:line="240" w:lineRule="auto"/>
        <w:ind w:left="0" w:firstLine="0"/>
        <w:contextualSpacing/>
        <w:jc w:val="both"/>
        <w:rPr>
          <w:rFonts w:ascii="Century Gothic" w:eastAsia="Calibri" w:hAnsi="Century Gothic" w:cs="Arial"/>
          <w:b/>
          <w:lang w:val="es-ES_tradnl"/>
        </w:rPr>
      </w:pPr>
      <w:r w:rsidRPr="00737A45">
        <w:rPr>
          <w:rFonts w:ascii="Century Gothic" w:eastAsia="Calibri" w:hAnsi="Century Gothic" w:cs="Arial"/>
          <w:b/>
          <w:lang w:val="es-ES_tradnl"/>
        </w:rPr>
        <w:t>Consideraciones</w:t>
      </w:r>
    </w:p>
    <w:p w14:paraId="78A06CFA" w14:textId="77777777" w:rsidR="005B4D3E" w:rsidRPr="00737A45" w:rsidRDefault="005B4D3E" w:rsidP="005B4D3E">
      <w:pPr>
        <w:spacing w:after="0" w:line="276" w:lineRule="auto"/>
        <w:jc w:val="both"/>
        <w:rPr>
          <w:rFonts w:ascii="Century Gothic" w:eastAsia="Calibri" w:hAnsi="Century Gothic" w:cs="Arial"/>
          <w:lang w:val="es-ES"/>
        </w:rPr>
      </w:pPr>
    </w:p>
    <w:p w14:paraId="3D81B6EB" w14:textId="77777777" w:rsidR="005B4D3E" w:rsidRPr="00737A45" w:rsidRDefault="005B4D3E" w:rsidP="005B4D3E">
      <w:pPr>
        <w:spacing w:after="120" w:line="276" w:lineRule="auto"/>
        <w:jc w:val="both"/>
        <w:rPr>
          <w:rFonts w:ascii="Century Gothic" w:eastAsia="Calibri" w:hAnsi="Century Gothic" w:cs="Arial"/>
          <w:lang w:val="es-ES_tradnl"/>
        </w:rPr>
      </w:pPr>
      <w:r w:rsidRPr="00737A45">
        <w:rPr>
          <w:rFonts w:ascii="Century Gothic" w:eastAsia="Calibri" w:hAnsi="Century Gothic" w:cs="Arial"/>
          <w:lang w:val="es-ES_tradnl"/>
        </w:rPr>
        <w:t>En ejercicio de las competencias establecidas en los artículos 3, numeral 5° y 11, numeral 8° del Decreto 4170 de 2011, la Agencia Nacional de Contratación Pública – Colombia Compra Eficiente resuelve consultas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34533834" w14:textId="77777777" w:rsidR="005B4D3E" w:rsidRPr="00737A45" w:rsidRDefault="005B4D3E" w:rsidP="005B4D3E">
      <w:pPr>
        <w:spacing w:after="120" w:line="276" w:lineRule="auto"/>
        <w:ind w:firstLine="708"/>
        <w:jc w:val="both"/>
        <w:rPr>
          <w:rFonts w:ascii="Century Gothic" w:eastAsia="Calibri" w:hAnsi="Century Gothic" w:cs="Arial"/>
          <w:lang w:val="es-ES_tradnl"/>
        </w:rPr>
      </w:pPr>
      <w:r w:rsidRPr="00737A45">
        <w:rPr>
          <w:rFonts w:ascii="Century Gothic" w:eastAsia="Calibri" w:hAnsi="Century Gothic" w:cs="Arial"/>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737A45">
        <w:rPr>
          <w:rFonts w:ascii="Century Gothic" w:eastAsia="Calibri" w:hAnsi="Century Gothic" w:cs="Arial"/>
          <w:vertAlign w:val="superscript"/>
          <w:lang w:val="es-ES_tradnl"/>
        </w:rPr>
        <w:footnoteReference w:id="1"/>
      </w:r>
      <w:r w:rsidRPr="00737A45">
        <w:rPr>
          <w:rFonts w:ascii="Century Gothic" w:eastAsia="Calibri" w:hAnsi="Century Gothic" w:cs="Arial"/>
          <w:vertAlign w:val="superscript"/>
          <w:lang w:val="es-ES_tradnl"/>
        </w:rPr>
        <w:t>.</w:t>
      </w:r>
      <w:r w:rsidRPr="00737A45">
        <w:rPr>
          <w:rFonts w:ascii="Century Gothic" w:eastAsia="Calibri" w:hAnsi="Century Gothic" w:cs="Arial"/>
          <w:lang w:val="es-ES_tradnl"/>
        </w:rPr>
        <w:t xml:space="preserve"> Esta competencia de interpretación de normas generales, por definición, no puede extenderse a la resolución de controversias ni brindar asesorías sobre casos puntuales. </w:t>
      </w:r>
    </w:p>
    <w:p w14:paraId="6883C963" w14:textId="77777777" w:rsidR="0081119D" w:rsidRPr="00737A45" w:rsidRDefault="005B4D3E" w:rsidP="0081119D">
      <w:pPr>
        <w:spacing w:after="120" w:line="276" w:lineRule="auto"/>
        <w:ind w:firstLine="708"/>
        <w:jc w:val="both"/>
        <w:rPr>
          <w:rFonts w:ascii="Century Gothic" w:eastAsia="Calibri" w:hAnsi="Century Gothic" w:cs="Arial"/>
          <w:lang w:val="es-ES"/>
        </w:rPr>
      </w:pPr>
      <w:r w:rsidRPr="00737A45">
        <w:rPr>
          <w:rFonts w:ascii="Century Gothic" w:eastAsia="Calibri" w:hAnsi="Century Gothic" w:cs="Arial"/>
          <w:lang w:val="es-ES"/>
        </w:rPr>
        <w:t xml:space="preserve">En atención a lo anterior, la Subdirección de Gestión Contractual de esta Agencia, dentro de los límites de sus atribuciones –esto es, haciendo abstracción del caso particular expuesto por </w:t>
      </w:r>
      <w:r w:rsidR="008C1D18" w:rsidRPr="00737A45">
        <w:rPr>
          <w:rFonts w:ascii="Century Gothic" w:eastAsia="Calibri" w:hAnsi="Century Gothic" w:cs="Arial"/>
          <w:lang w:val="es-ES"/>
        </w:rPr>
        <w:t>el peticionario</w:t>
      </w:r>
      <w:r w:rsidRPr="00737A45">
        <w:rPr>
          <w:rFonts w:ascii="Century Gothic" w:eastAsia="Calibri" w:hAnsi="Century Gothic" w:cs="Arial"/>
          <w:lang w:val="es-ES"/>
        </w:rPr>
        <w:t xml:space="preserve">– resolverá la consulta conforme a las normas generales en materia de contratación estatal, luego de analizar los siguientes temas: i) </w:t>
      </w:r>
      <w:r w:rsidR="00435F84" w:rsidRPr="00737A45">
        <w:rPr>
          <w:rFonts w:ascii="Century Gothic" w:eastAsia="Calibri" w:hAnsi="Century Gothic" w:cs="Arial"/>
          <w:lang w:val="es-ES"/>
        </w:rPr>
        <w:t xml:space="preserve">principio de </w:t>
      </w:r>
      <w:r w:rsidR="00A21370" w:rsidRPr="00737A45">
        <w:rPr>
          <w:rFonts w:ascii="Century Gothic" w:eastAsia="Calibri" w:hAnsi="Century Gothic" w:cs="Arial"/>
          <w:lang w:val="es-ES"/>
        </w:rPr>
        <w:t>planeación y los estudios y documentos previos al contrato</w:t>
      </w:r>
      <w:r w:rsidR="00001334" w:rsidRPr="00737A45">
        <w:rPr>
          <w:rFonts w:ascii="Century Gothic" w:eastAsia="Calibri" w:hAnsi="Century Gothic" w:cs="Arial"/>
          <w:lang w:val="es-ES"/>
        </w:rPr>
        <w:t>,</w:t>
      </w:r>
      <w:r w:rsidRPr="00737A45">
        <w:rPr>
          <w:rFonts w:ascii="Century Gothic" w:eastAsia="Calibri" w:hAnsi="Century Gothic" w:cs="Arial"/>
          <w:lang w:val="es-ES"/>
        </w:rPr>
        <w:t xml:space="preserve"> ii)</w:t>
      </w:r>
      <w:r w:rsidR="00C6724B" w:rsidRPr="00737A45">
        <w:rPr>
          <w:rFonts w:ascii="Century Gothic" w:eastAsia="Calibri" w:hAnsi="Century Gothic" w:cs="Arial"/>
          <w:lang w:val="es-ES"/>
        </w:rPr>
        <w:t>Generalidades d</w:t>
      </w:r>
      <w:r w:rsidR="00237655" w:rsidRPr="00737A45">
        <w:rPr>
          <w:rFonts w:ascii="Century Gothic" w:eastAsia="Calibri" w:hAnsi="Century Gothic" w:cs="Arial"/>
          <w:lang w:val="es-ES"/>
        </w:rPr>
        <w:t xml:space="preserve">el acta de inicio </w:t>
      </w:r>
      <w:r w:rsidR="00001334" w:rsidRPr="00737A45">
        <w:rPr>
          <w:rFonts w:ascii="Century Gothic" w:eastAsia="Calibri" w:hAnsi="Century Gothic" w:cs="Arial"/>
          <w:lang w:val="es-ES"/>
        </w:rPr>
        <w:t xml:space="preserve">y iii) </w:t>
      </w:r>
      <w:r w:rsidR="0081119D" w:rsidRPr="00737A45">
        <w:rPr>
          <w:rFonts w:ascii="Century Gothic" w:eastAsia="Calibri" w:hAnsi="Century Gothic" w:cs="Arial"/>
          <w:lang w:val="es-ES"/>
        </w:rPr>
        <w:t xml:space="preserve">obligatoriedad de las Entidades Estatales de identificar a las personas naturales o jurídicas que participan de sus procesos de contratación. </w:t>
      </w:r>
    </w:p>
    <w:p w14:paraId="7D6467EE" w14:textId="26CB8396" w:rsidR="005B4D3E" w:rsidRPr="00737A45" w:rsidRDefault="005B4D3E" w:rsidP="0081119D">
      <w:pPr>
        <w:spacing w:after="120" w:line="276" w:lineRule="auto"/>
        <w:ind w:firstLine="708"/>
        <w:jc w:val="both"/>
        <w:rPr>
          <w:rFonts w:ascii="Century Gothic" w:eastAsia="Calibri" w:hAnsi="Century Gothic" w:cs="Arial"/>
          <w:lang w:val="es-ES"/>
        </w:rPr>
      </w:pPr>
      <w:r w:rsidRPr="00737A45">
        <w:rPr>
          <w:rFonts w:ascii="Century Gothic" w:eastAsia="Calibri" w:hAnsi="Century Gothic" w:cs="Arial"/>
          <w:lang w:val="es-ES"/>
        </w:rPr>
        <w:t>La Agencia Nacional de Contratación Pública – Colombia Compra Eficiente, se ha pronunciado</w:t>
      </w:r>
      <w:r w:rsidR="0012293D" w:rsidRPr="00737A45">
        <w:rPr>
          <w:rFonts w:ascii="Century Gothic" w:eastAsia="Calibri" w:hAnsi="Century Gothic" w:cs="Arial"/>
          <w:lang w:val="es-ES"/>
        </w:rPr>
        <w:t xml:space="preserve"> </w:t>
      </w:r>
      <w:r w:rsidR="008364DA" w:rsidRPr="00737A45">
        <w:rPr>
          <w:rFonts w:ascii="Century Gothic" w:eastAsia="Calibri" w:hAnsi="Century Gothic" w:cs="Arial"/>
          <w:lang w:val="es-ES"/>
        </w:rPr>
        <w:t>sobre el deber de elaborar</w:t>
      </w:r>
      <w:r w:rsidR="00B46D72" w:rsidRPr="00737A45">
        <w:rPr>
          <w:rFonts w:ascii="Century Gothic" w:eastAsia="Calibri" w:hAnsi="Century Gothic" w:cs="Arial"/>
          <w:lang w:val="es-ES"/>
        </w:rPr>
        <w:t xml:space="preserve"> el</w:t>
      </w:r>
      <w:r w:rsidR="008364DA" w:rsidRPr="00737A45">
        <w:rPr>
          <w:rFonts w:ascii="Century Gothic" w:eastAsia="Calibri" w:hAnsi="Century Gothic" w:cs="Arial"/>
          <w:lang w:val="es-ES"/>
        </w:rPr>
        <w:t xml:space="preserve"> análisis del sector frente a procesos de contratación</w:t>
      </w:r>
      <w:r w:rsidR="0012293D" w:rsidRPr="00737A45">
        <w:rPr>
          <w:rFonts w:ascii="Century Gothic" w:eastAsia="Calibri" w:hAnsi="Century Gothic" w:cs="Arial"/>
          <w:lang w:val="es-ES"/>
        </w:rPr>
        <w:t xml:space="preserve"> </w:t>
      </w:r>
      <w:r w:rsidRPr="00737A45">
        <w:rPr>
          <w:rFonts w:ascii="Century Gothic" w:eastAsia="Calibri" w:hAnsi="Century Gothic" w:cs="Arial"/>
          <w:lang w:val="es-ES"/>
        </w:rPr>
        <w:t xml:space="preserve">en los conceptos, </w:t>
      </w:r>
      <w:r w:rsidR="008364DA" w:rsidRPr="00737A45">
        <w:rPr>
          <w:rFonts w:ascii="Century Gothic" w:eastAsia="Calibri" w:hAnsi="Century Gothic" w:cs="Arial"/>
          <w:lang w:val="es-ES"/>
        </w:rPr>
        <w:t>C-</w:t>
      </w:r>
      <w:r w:rsidR="0008019D" w:rsidRPr="00737A45">
        <w:rPr>
          <w:rFonts w:ascii="Century Gothic" w:eastAsia="Calibri" w:hAnsi="Century Gothic" w:cs="Arial"/>
          <w:lang w:val="es-ES"/>
        </w:rPr>
        <w:t xml:space="preserve">519 de 13 de septiembre de 2022, </w:t>
      </w:r>
      <w:r w:rsidR="0008019D" w:rsidRPr="00737A45">
        <w:rPr>
          <w:rFonts w:ascii="Century Gothic" w:eastAsia="Calibri" w:hAnsi="Century Gothic" w:cs="Arial"/>
          <w:lang w:val="es-ES"/>
        </w:rPr>
        <w:lastRenderedPageBreak/>
        <w:t>C-716 del 15 de noviembre de 2022,</w:t>
      </w:r>
      <w:r w:rsidR="006467B3" w:rsidRPr="00737A45">
        <w:rPr>
          <w:rFonts w:ascii="Century Gothic" w:eastAsia="Calibri" w:hAnsi="Century Gothic" w:cs="Arial"/>
          <w:lang w:val="es-ES"/>
        </w:rPr>
        <w:t xml:space="preserve"> C-035 del</w:t>
      </w:r>
      <w:r w:rsidR="00A15DE6" w:rsidRPr="00737A45">
        <w:rPr>
          <w:rFonts w:ascii="Century Gothic" w:eastAsia="Calibri" w:hAnsi="Century Gothic" w:cs="Arial"/>
          <w:lang w:val="es-ES"/>
        </w:rPr>
        <w:t xml:space="preserve"> 29 de marzo de 2023,</w:t>
      </w:r>
      <w:r w:rsidR="00F173BD" w:rsidRPr="00737A45">
        <w:rPr>
          <w:rFonts w:ascii="Century Gothic" w:eastAsia="Calibri" w:hAnsi="Century Gothic" w:cs="Arial"/>
          <w:lang w:val="es-ES"/>
        </w:rPr>
        <w:t xml:space="preserve"> C-166 del 01 de junio de 2023,</w:t>
      </w:r>
      <w:r w:rsidR="0008019D" w:rsidRPr="00737A45">
        <w:rPr>
          <w:rFonts w:ascii="Century Gothic" w:eastAsia="Calibri" w:hAnsi="Century Gothic" w:cs="Arial"/>
          <w:lang w:val="es-ES"/>
        </w:rPr>
        <w:t xml:space="preserve"> C-235</w:t>
      </w:r>
      <w:r w:rsidR="00CD5B7D" w:rsidRPr="00737A45">
        <w:rPr>
          <w:rFonts w:ascii="Century Gothic" w:eastAsia="Calibri" w:hAnsi="Century Gothic" w:cs="Arial"/>
          <w:lang w:val="es-ES"/>
        </w:rPr>
        <w:t xml:space="preserve"> del 05 de julio de 2023, C-248 del 07 de </w:t>
      </w:r>
      <w:r w:rsidR="00C77168" w:rsidRPr="00737A45">
        <w:rPr>
          <w:rFonts w:ascii="Century Gothic" w:eastAsia="Calibri" w:hAnsi="Century Gothic" w:cs="Arial"/>
          <w:lang w:val="es-ES"/>
        </w:rPr>
        <w:t>julio de 2023, C</w:t>
      </w:r>
      <w:r w:rsidR="0012293D" w:rsidRPr="00737A45">
        <w:rPr>
          <w:rFonts w:ascii="Century Gothic" w:eastAsia="Calibri" w:hAnsi="Century Gothic" w:cs="Arial"/>
          <w:lang w:val="es-ES"/>
        </w:rPr>
        <w:t xml:space="preserve">-305 </w:t>
      </w:r>
      <w:r w:rsidR="0089332E" w:rsidRPr="00737A45">
        <w:rPr>
          <w:rFonts w:ascii="Century Gothic" w:eastAsia="Calibri" w:hAnsi="Century Gothic" w:cs="Arial"/>
          <w:lang w:val="es-ES"/>
        </w:rPr>
        <w:t>del 26 de julio de 2023,</w:t>
      </w:r>
      <w:r w:rsidR="0012293D" w:rsidRPr="00737A45">
        <w:rPr>
          <w:rFonts w:ascii="Century Gothic" w:eastAsia="Calibri" w:hAnsi="Century Gothic" w:cs="Arial"/>
          <w:lang w:val="es-ES"/>
        </w:rPr>
        <w:t xml:space="preserve"> entre otros</w:t>
      </w:r>
      <w:r w:rsidR="0089332E" w:rsidRPr="00737A45">
        <w:rPr>
          <w:rFonts w:ascii="Century Gothic" w:eastAsia="Calibri" w:hAnsi="Century Gothic" w:cs="Arial"/>
          <w:lang w:val="es-ES"/>
        </w:rPr>
        <w:t>. De igual forma</w:t>
      </w:r>
      <w:r w:rsidRPr="00737A45">
        <w:rPr>
          <w:rFonts w:ascii="Century Gothic" w:eastAsia="Calibri" w:hAnsi="Century Gothic" w:cs="Arial"/>
          <w:lang w:val="es-ES"/>
        </w:rPr>
        <w:t>, esta Agencia en los conceptos C-562 del 25 de octubre de 2021, C-625 del 14 de septiembre de 2022, C-927 del 29 de diciembre de 2022, C-393 del 27 de septiembre de 2023, entre otros, estudió la modalidad de selección de mínima cuantía su regulación y las características del procedimiento</w:t>
      </w:r>
      <w:r w:rsidRPr="00737A45">
        <w:rPr>
          <w:rFonts w:ascii="Century Gothic" w:eastAsia="Calibri" w:hAnsi="Century Gothic" w:cs="Arial"/>
          <w:vertAlign w:val="superscript"/>
          <w:lang w:val="es-ES"/>
        </w:rPr>
        <w:footnoteReference w:id="2"/>
      </w:r>
      <w:r w:rsidRPr="00737A45">
        <w:rPr>
          <w:rFonts w:ascii="Century Gothic" w:eastAsia="Calibri" w:hAnsi="Century Gothic" w:cs="Arial"/>
          <w:lang w:val="es-ES"/>
        </w:rPr>
        <w:t>.</w:t>
      </w:r>
      <w:r w:rsidR="005136D4" w:rsidRPr="00737A45">
        <w:rPr>
          <w:rFonts w:ascii="Century Gothic" w:eastAsia="Calibri" w:hAnsi="Century Gothic" w:cs="Arial"/>
          <w:lang w:val="es-ES"/>
        </w:rPr>
        <w:t xml:space="preserve"> </w:t>
      </w:r>
      <w:r w:rsidRPr="00737A45">
        <w:rPr>
          <w:rFonts w:ascii="Century Gothic" w:eastAsia="Calibri" w:hAnsi="Century Gothic" w:cs="Arial"/>
          <w:lang w:val="es-ES"/>
        </w:rPr>
        <w:t>Las tesis propuestas en tales conceptos se reiteran a continuación y se complementan en lo pertinente.</w:t>
      </w:r>
    </w:p>
    <w:p w14:paraId="0FF418AA" w14:textId="77777777" w:rsidR="005B4D3E" w:rsidRPr="00737A45" w:rsidRDefault="005B4D3E" w:rsidP="00827382">
      <w:pPr>
        <w:widowControl w:val="0"/>
        <w:autoSpaceDE w:val="0"/>
        <w:autoSpaceDN w:val="0"/>
        <w:spacing w:after="0" w:line="276" w:lineRule="auto"/>
        <w:ind w:firstLine="709"/>
        <w:jc w:val="both"/>
        <w:rPr>
          <w:rFonts w:ascii="Century Gothic" w:hAnsi="Century Gothic" w:cs="Arial"/>
          <w:b/>
          <w:lang w:val="es-MX"/>
        </w:rPr>
      </w:pPr>
    </w:p>
    <w:p w14:paraId="2262E755" w14:textId="5E85D7E5" w:rsidR="005B4D3E" w:rsidRPr="00737A45" w:rsidRDefault="005B4D3E" w:rsidP="0062415E">
      <w:pPr>
        <w:spacing w:after="0" w:line="276" w:lineRule="auto"/>
        <w:contextualSpacing/>
        <w:jc w:val="both"/>
        <w:rPr>
          <w:rFonts w:ascii="Century Gothic" w:eastAsia="Arial" w:hAnsi="Century Gothic" w:cs="Arial"/>
          <w:b/>
          <w:bCs/>
          <w:lang w:val="es-ES_tradnl" w:eastAsia="es-ES_tradnl"/>
        </w:rPr>
      </w:pPr>
      <w:bookmarkStart w:id="5" w:name="_Hlk73970609"/>
      <w:r w:rsidRPr="00737A45">
        <w:rPr>
          <w:rFonts w:ascii="Century Gothic" w:eastAsia="Arial" w:hAnsi="Century Gothic" w:cs="Arial"/>
          <w:b/>
          <w:bCs/>
          <w:lang w:val="es-ES_tradnl" w:eastAsia="es-ES_tradnl"/>
        </w:rPr>
        <w:t>2.1.</w:t>
      </w:r>
      <w:r w:rsidR="00957A86" w:rsidRPr="00737A45">
        <w:rPr>
          <w:rFonts w:ascii="Century Gothic" w:eastAsia="Arial" w:hAnsi="Century Gothic" w:cs="Arial"/>
          <w:b/>
          <w:bCs/>
          <w:lang w:val="es-ES_tradnl" w:eastAsia="es-ES_tradnl"/>
        </w:rPr>
        <w:t xml:space="preserve"> P</w:t>
      </w:r>
      <w:r w:rsidR="0062415E" w:rsidRPr="00737A45">
        <w:rPr>
          <w:rFonts w:ascii="Century Gothic" w:eastAsia="Arial" w:hAnsi="Century Gothic" w:cs="Arial"/>
          <w:b/>
          <w:bCs/>
          <w:lang w:val="es-ES_tradnl" w:eastAsia="es-ES_tradnl"/>
        </w:rPr>
        <w:t>rincipio de planeación y los estudios y documentos previos al contrato. Reiteración de línea</w:t>
      </w:r>
    </w:p>
    <w:p w14:paraId="47517CD9" w14:textId="77777777" w:rsidR="005B4D3E" w:rsidRPr="00737A45" w:rsidRDefault="005B4D3E" w:rsidP="005B4D3E">
      <w:pPr>
        <w:spacing w:after="0" w:line="276" w:lineRule="auto"/>
        <w:contextualSpacing/>
        <w:jc w:val="both"/>
        <w:rPr>
          <w:rFonts w:ascii="Century Gothic" w:eastAsia="Arial" w:hAnsi="Century Gothic" w:cs="Arial"/>
          <w:b/>
          <w:bCs/>
          <w:lang w:val="es-ES_tradnl" w:eastAsia="es-ES_tradnl"/>
        </w:rPr>
      </w:pPr>
    </w:p>
    <w:p w14:paraId="0468BF41" w14:textId="568BBD04" w:rsidR="00C31402" w:rsidRPr="00737A45" w:rsidRDefault="00C31402" w:rsidP="005B4D3E">
      <w:pPr>
        <w:spacing w:after="0" w:line="276" w:lineRule="auto"/>
        <w:contextualSpacing/>
        <w:jc w:val="both"/>
        <w:rPr>
          <w:rFonts w:ascii="Century Gothic" w:eastAsia="Arial" w:hAnsi="Century Gothic" w:cs="Arial"/>
          <w:lang w:val="es-ES_tradnl" w:eastAsia="es-ES_tradnl"/>
        </w:rPr>
      </w:pPr>
      <w:r w:rsidRPr="00737A45">
        <w:rPr>
          <w:rFonts w:ascii="Century Gothic" w:eastAsia="Arial" w:hAnsi="Century Gothic" w:cs="Arial"/>
          <w:lang w:val="es-ES_tradnl" w:eastAsia="es-ES_tradnl"/>
        </w:rPr>
        <w:t xml:space="preserve">De manera preliminar, </w:t>
      </w:r>
      <w:r w:rsidR="001F6B8C" w:rsidRPr="00737A45">
        <w:rPr>
          <w:rFonts w:ascii="Century Gothic" w:eastAsia="Arial" w:hAnsi="Century Gothic" w:cs="Arial"/>
          <w:lang w:val="es-ES_tradnl" w:eastAsia="es-ES_tradnl"/>
        </w:rPr>
        <w:t>debe señarse que</w:t>
      </w:r>
      <w:r w:rsidR="00360630" w:rsidRPr="00737A45">
        <w:rPr>
          <w:rFonts w:ascii="Century Gothic" w:eastAsia="Arial" w:hAnsi="Century Gothic" w:cs="Arial"/>
          <w:lang w:val="es-ES_tradnl" w:eastAsia="es-ES_tradnl"/>
        </w:rPr>
        <w:t xml:space="preserve">, </w:t>
      </w:r>
      <w:r w:rsidRPr="00737A45">
        <w:rPr>
          <w:rFonts w:ascii="Century Gothic" w:eastAsia="Arial" w:hAnsi="Century Gothic" w:cs="Arial"/>
          <w:lang w:val="es-ES_tradnl" w:eastAsia="es-ES_tradnl"/>
        </w:rPr>
        <w:t xml:space="preserve">de conformidad con en el artículo 2.2.1.1.1.3.1 del Decreto 1082 de 2015, el proceso </w:t>
      </w:r>
      <w:r w:rsidR="008757A6" w:rsidRPr="00737A45">
        <w:rPr>
          <w:rFonts w:ascii="Century Gothic" w:eastAsia="Arial" w:hAnsi="Century Gothic" w:cs="Arial"/>
          <w:lang w:val="es-ES_tradnl" w:eastAsia="es-ES_tradnl"/>
        </w:rPr>
        <w:t>de contratación es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r w:rsidR="00D80277" w:rsidRPr="00737A45">
        <w:rPr>
          <w:rFonts w:ascii="Century Gothic" w:eastAsia="Arial" w:hAnsi="Century Gothic" w:cs="Arial"/>
          <w:lang w:val="es-ES_tradnl" w:eastAsia="es-ES_tradnl"/>
        </w:rPr>
        <w:t>. En ese sentid</w:t>
      </w:r>
      <w:r w:rsidR="00C333E8" w:rsidRPr="00737A45">
        <w:rPr>
          <w:rFonts w:ascii="Century Gothic" w:eastAsia="Arial" w:hAnsi="Century Gothic" w:cs="Arial"/>
          <w:lang w:val="es-ES_tradnl" w:eastAsia="es-ES_tradnl"/>
        </w:rPr>
        <w:t>o, durante el proceso de contratación se surten diferentes etapas que van desde la planeación y el procedimiento de selección, hasta la formación del contrat</w:t>
      </w:r>
      <w:r w:rsidR="005F4DEE" w:rsidRPr="00737A45">
        <w:rPr>
          <w:rFonts w:ascii="Century Gothic" w:eastAsia="Arial" w:hAnsi="Century Gothic" w:cs="Arial"/>
          <w:lang w:val="es-ES_tradnl" w:eastAsia="es-ES_tradnl"/>
        </w:rPr>
        <w:t>o, su ejecución, terminación y liquidación.</w:t>
      </w:r>
    </w:p>
    <w:p w14:paraId="1C2F69ED" w14:textId="5AA1D2E2" w:rsidR="005B4D3E" w:rsidRPr="00737A45" w:rsidRDefault="005F4DEE" w:rsidP="004A72F8">
      <w:pPr>
        <w:spacing w:before="120" w:after="0" w:line="276" w:lineRule="auto"/>
        <w:ind w:firstLine="708"/>
        <w:jc w:val="both"/>
        <w:rPr>
          <w:rFonts w:ascii="Century Gothic" w:eastAsia="Calibri" w:hAnsi="Century Gothic" w:cs="Arial"/>
          <w:lang w:val="es-ES"/>
        </w:rPr>
      </w:pPr>
      <w:r w:rsidRPr="00737A45">
        <w:rPr>
          <w:rFonts w:ascii="Century Gothic" w:eastAsia="Calibri" w:hAnsi="Century Gothic" w:cs="Arial"/>
          <w:lang w:val="es-ES"/>
        </w:rPr>
        <w:t>En lo que respeta a l</w:t>
      </w:r>
      <w:r w:rsidR="0062415E" w:rsidRPr="00737A45">
        <w:rPr>
          <w:rFonts w:ascii="Century Gothic" w:eastAsia="Calibri" w:hAnsi="Century Gothic" w:cs="Arial"/>
          <w:lang w:val="es-ES"/>
        </w:rPr>
        <w:t>a planeación contractual</w:t>
      </w:r>
      <w:r w:rsidRPr="00737A45">
        <w:rPr>
          <w:rFonts w:ascii="Century Gothic" w:eastAsia="Calibri" w:hAnsi="Century Gothic" w:cs="Arial"/>
          <w:lang w:val="es-ES"/>
        </w:rPr>
        <w:t xml:space="preserve">, </w:t>
      </w:r>
      <w:r w:rsidR="000F09EB" w:rsidRPr="00737A45">
        <w:rPr>
          <w:rFonts w:ascii="Century Gothic" w:eastAsia="Calibri" w:hAnsi="Century Gothic" w:cs="Arial"/>
          <w:lang w:val="es-ES"/>
        </w:rPr>
        <w:t xml:space="preserve">podría indicarse que esta </w:t>
      </w:r>
      <w:r w:rsidR="0062415E" w:rsidRPr="00737A45">
        <w:rPr>
          <w:rFonts w:ascii="Century Gothic" w:eastAsia="Calibri" w:hAnsi="Century Gothic" w:cs="Arial"/>
          <w:lang w:val="es-ES"/>
        </w:rPr>
        <w:t xml:space="preserve">es </w:t>
      </w:r>
      <w:r w:rsidR="000F09EB" w:rsidRPr="00737A45">
        <w:rPr>
          <w:rFonts w:ascii="Century Gothic" w:eastAsia="Calibri" w:hAnsi="Century Gothic" w:cs="Arial"/>
          <w:lang w:val="es-ES"/>
        </w:rPr>
        <w:t>considerada como una</w:t>
      </w:r>
      <w:r w:rsidR="0062415E" w:rsidRPr="00737A45">
        <w:rPr>
          <w:rFonts w:ascii="Century Gothic" w:eastAsia="Calibri" w:hAnsi="Century Gothic" w:cs="Arial"/>
          <w:lang w:val="es-ES"/>
        </w:rPr>
        <w:t xml:space="preserve"> herramienta de ge</w:t>
      </w:r>
      <w:r w:rsidR="00957A86" w:rsidRPr="00737A45">
        <w:rPr>
          <w:rFonts w:ascii="Century Gothic" w:eastAsia="Calibri" w:hAnsi="Century Gothic" w:cs="Arial"/>
          <w:lang w:val="es-ES"/>
        </w:rPr>
        <w:t xml:space="preserve">rencia </w:t>
      </w:r>
      <w:r w:rsidR="008200FB" w:rsidRPr="00737A45">
        <w:rPr>
          <w:rFonts w:ascii="Century Gothic" w:eastAsia="Calibri" w:hAnsi="Century Gothic" w:cs="Arial"/>
          <w:lang w:val="es-ES"/>
        </w:rPr>
        <w:t>pública, que exige estructurar el proceso contractual dedicando tiempo y esfuerzos para elaborar estudios previos, con el fin de determinar la necesidad que pretende satisfacer la Entidad Estatal y cuál es la mejor manera de hacerlo, consultado el tipo de bienes y servicios que ofrece el mercado y sus características, especificaciones, precios, costos, riesgos, garantías,</w:t>
      </w:r>
      <w:r w:rsidR="002C47CE" w:rsidRPr="00737A45">
        <w:rPr>
          <w:rFonts w:ascii="Century Gothic" w:eastAsia="Calibri" w:hAnsi="Century Gothic" w:cs="Arial"/>
          <w:lang w:val="es-ES"/>
        </w:rPr>
        <w:t xml:space="preserve"> disponibilidad, oferentes, etc. Lo anterior</w:t>
      </w:r>
      <w:r w:rsidR="0012374E" w:rsidRPr="00737A45">
        <w:rPr>
          <w:rFonts w:ascii="Century Gothic" w:eastAsia="Calibri" w:hAnsi="Century Gothic" w:cs="Arial"/>
          <w:lang w:val="es-ES"/>
        </w:rPr>
        <w:t>,</w:t>
      </w:r>
      <w:r w:rsidR="002C47CE" w:rsidRPr="00737A45">
        <w:rPr>
          <w:rFonts w:ascii="Century Gothic" w:eastAsia="Calibri" w:hAnsi="Century Gothic" w:cs="Arial"/>
          <w:lang w:val="es-ES"/>
        </w:rPr>
        <w:t xml:space="preserve"> con la finalidad de realizar la escogencia diligente de la mejor oferta, para</w:t>
      </w:r>
      <w:r w:rsidR="0012374E" w:rsidRPr="00737A45">
        <w:rPr>
          <w:rFonts w:ascii="Century Gothic" w:eastAsia="Calibri" w:hAnsi="Century Gothic" w:cs="Arial"/>
          <w:lang w:val="es-ES"/>
        </w:rPr>
        <w:t xml:space="preserve"> así</w:t>
      </w:r>
      <w:r w:rsidR="002C47CE" w:rsidRPr="00737A45">
        <w:rPr>
          <w:rFonts w:ascii="Century Gothic" w:eastAsia="Calibri" w:hAnsi="Century Gothic" w:cs="Arial"/>
          <w:lang w:val="es-ES"/>
        </w:rPr>
        <w:t xml:space="preserve"> beneficiar los intereses y fines públicos inmersos en la contratación </w:t>
      </w:r>
      <w:r w:rsidR="007771BE" w:rsidRPr="00737A45">
        <w:rPr>
          <w:rFonts w:ascii="Century Gothic" w:eastAsia="Calibri" w:hAnsi="Century Gothic" w:cs="Arial"/>
          <w:lang w:val="es-ES"/>
        </w:rPr>
        <w:t>de las Entidades Estatales.</w:t>
      </w:r>
    </w:p>
    <w:p w14:paraId="2900DF03" w14:textId="599B85FA" w:rsidR="009812DB" w:rsidRPr="00737A45" w:rsidRDefault="005B4D3E" w:rsidP="009812DB">
      <w:pPr>
        <w:spacing w:before="120" w:after="0" w:line="276" w:lineRule="auto"/>
        <w:ind w:firstLine="709"/>
        <w:jc w:val="both"/>
        <w:rPr>
          <w:rFonts w:ascii="Century Gothic" w:eastAsia="Calibri" w:hAnsi="Century Gothic" w:cs="Arial"/>
          <w:bCs/>
          <w:lang w:val="es-ES" w:eastAsia="es-ES_tradnl"/>
        </w:rPr>
      </w:pPr>
      <w:r w:rsidRPr="00737A45">
        <w:rPr>
          <w:rFonts w:ascii="Century Gothic" w:eastAsia="Calibri" w:hAnsi="Century Gothic" w:cs="Arial"/>
          <w:lang w:val="es-ES"/>
        </w:rPr>
        <w:t xml:space="preserve">El </w:t>
      </w:r>
      <w:r w:rsidR="001D0866" w:rsidRPr="00737A45">
        <w:rPr>
          <w:rFonts w:ascii="Century Gothic" w:eastAsia="Calibri" w:hAnsi="Century Gothic" w:cs="Arial"/>
          <w:lang w:val="es-ES"/>
        </w:rPr>
        <w:t>Estatuto General de Contratación de la Administración Pública, en adelante EGCA</w:t>
      </w:r>
      <w:r w:rsidR="00071153" w:rsidRPr="00737A45">
        <w:rPr>
          <w:rFonts w:ascii="Century Gothic" w:eastAsia="Calibri" w:hAnsi="Century Gothic" w:cs="Arial"/>
          <w:lang w:val="es-ES"/>
        </w:rPr>
        <w:t>P, contiene disposiciones que exigen a las En</w:t>
      </w:r>
      <w:r w:rsidR="002B1D3B" w:rsidRPr="00737A45">
        <w:rPr>
          <w:rFonts w:ascii="Century Gothic" w:eastAsia="Calibri" w:hAnsi="Century Gothic" w:cs="Arial"/>
          <w:lang w:val="es-ES"/>
        </w:rPr>
        <w:t xml:space="preserve">tidades Estatales el deber de realizar planeación en la etapa </w:t>
      </w:r>
      <w:r w:rsidR="002B1D3B" w:rsidRPr="00737A45">
        <w:rPr>
          <w:rFonts w:ascii="Century Gothic" w:eastAsia="Calibri" w:hAnsi="Century Gothic" w:cs="Arial"/>
          <w:i/>
          <w:iCs/>
          <w:lang w:val="es-ES"/>
        </w:rPr>
        <w:t>precontractual</w:t>
      </w:r>
      <w:r w:rsidR="002B1D3B" w:rsidRPr="00737A45">
        <w:rPr>
          <w:rFonts w:ascii="Century Gothic" w:eastAsia="Calibri" w:hAnsi="Century Gothic" w:cs="Arial"/>
          <w:lang w:val="es-ES"/>
        </w:rPr>
        <w:t xml:space="preserve">, para que los procesos de contratación </w:t>
      </w:r>
      <w:r w:rsidR="00BE0AA5" w:rsidRPr="00737A45">
        <w:rPr>
          <w:rFonts w:ascii="Century Gothic" w:eastAsia="Calibri" w:hAnsi="Century Gothic" w:cs="Arial"/>
          <w:lang w:val="es-ES"/>
        </w:rPr>
        <w:t xml:space="preserve">satisfagan las necesidades de la Administración, cumplan </w:t>
      </w:r>
      <w:r w:rsidR="001F732E" w:rsidRPr="00737A45">
        <w:rPr>
          <w:rFonts w:ascii="Century Gothic" w:eastAsia="Calibri" w:hAnsi="Century Gothic" w:cs="Arial"/>
          <w:lang w:val="es-ES"/>
        </w:rPr>
        <w:t xml:space="preserve">sus fines, logren la continua y eficiente prestación de los servicios públicos y permitan la </w:t>
      </w:r>
      <w:r w:rsidR="001F732E" w:rsidRPr="00737A45">
        <w:rPr>
          <w:rFonts w:ascii="Century Gothic" w:eastAsia="Calibri" w:hAnsi="Century Gothic" w:cs="Arial"/>
          <w:lang w:val="es-ES"/>
        </w:rPr>
        <w:lastRenderedPageBreak/>
        <w:t>efectividad</w:t>
      </w:r>
      <w:r w:rsidR="00B91C03" w:rsidRPr="00737A45">
        <w:rPr>
          <w:rFonts w:ascii="Century Gothic" w:eastAsia="Calibri" w:hAnsi="Century Gothic" w:cs="Arial"/>
          <w:lang w:val="es-ES"/>
        </w:rPr>
        <w:t xml:space="preserve"> de los derechos e intereses de los administrados que colaboran en </w:t>
      </w:r>
      <w:r w:rsidR="0083481F" w:rsidRPr="00737A45">
        <w:rPr>
          <w:rFonts w:ascii="Century Gothic" w:eastAsia="Calibri" w:hAnsi="Century Gothic" w:cs="Arial"/>
          <w:lang w:val="es-ES"/>
        </w:rPr>
        <w:t>su</w:t>
      </w:r>
      <w:r w:rsidR="00B91C03" w:rsidRPr="00737A45">
        <w:rPr>
          <w:rFonts w:ascii="Century Gothic" w:eastAsia="Calibri" w:hAnsi="Century Gothic" w:cs="Arial"/>
          <w:lang w:val="es-ES"/>
        </w:rPr>
        <w:t xml:space="preserve"> consecución. </w:t>
      </w:r>
      <w:r w:rsidR="009812DB" w:rsidRPr="00737A45">
        <w:rPr>
          <w:rFonts w:ascii="Century Gothic" w:eastAsia="Calibri" w:hAnsi="Century Gothic" w:cs="Arial"/>
          <w:bCs/>
          <w:lang w:val="es-MX" w:eastAsia="es-ES_tradnl"/>
        </w:rPr>
        <w:t xml:space="preserve">En relación con el valor del futuro contrato y su correlativo respaldo presupuestal, se tienen, por ejemplo, las siguientes reglas derivadas de la aplicación del principio de economía previsto en el artículo 25 de la Ley 80 de 1993: </w:t>
      </w:r>
    </w:p>
    <w:p w14:paraId="217844B1" w14:textId="77777777" w:rsidR="009812DB" w:rsidRPr="00737A45" w:rsidRDefault="009812DB" w:rsidP="009812DB">
      <w:pPr>
        <w:spacing w:after="0" w:line="276" w:lineRule="auto"/>
        <w:ind w:firstLine="709"/>
        <w:jc w:val="both"/>
        <w:rPr>
          <w:rFonts w:ascii="Century Gothic" w:eastAsia="Calibri" w:hAnsi="Century Gothic" w:cs="Arial"/>
          <w:bCs/>
          <w:lang w:val="es-ES" w:eastAsia="es-ES_tradnl"/>
        </w:rPr>
      </w:pPr>
    </w:p>
    <w:p w14:paraId="1DF00289" w14:textId="77777777" w:rsidR="009812DB" w:rsidRPr="00737A45" w:rsidRDefault="009812DB" w:rsidP="009812DB">
      <w:pPr>
        <w:spacing w:after="0" w:line="240" w:lineRule="auto"/>
        <w:ind w:left="709" w:right="709"/>
        <w:contextualSpacing/>
        <w:jc w:val="both"/>
        <w:rPr>
          <w:rFonts w:ascii="Century Gothic" w:eastAsia="Calibri" w:hAnsi="Century Gothic" w:cs="Arial"/>
          <w:sz w:val="21"/>
          <w:szCs w:val="21"/>
          <w:lang w:val="es-MX" w:eastAsia="es-ES_tradnl"/>
        </w:rPr>
      </w:pPr>
      <w:r w:rsidRPr="00737A45">
        <w:rPr>
          <w:rFonts w:ascii="Century Gothic" w:eastAsia="Calibri" w:hAnsi="Century Gothic" w:cs="Arial"/>
          <w:sz w:val="21"/>
          <w:szCs w:val="21"/>
          <w:lang w:val="es-MX" w:eastAsia="es-ES_tradnl"/>
        </w:rPr>
        <w:t>“7o. La conveniencia o inconveniencia del objeto a contratar y las autorizaciones y aprobaciones para ello, se analizarán o impartirán con antelación al inicio del proceso de selección del contratista o al de la firma del contrato, según el caso.</w:t>
      </w:r>
    </w:p>
    <w:p w14:paraId="166BBCD6" w14:textId="77777777" w:rsidR="009812DB" w:rsidRPr="00737A45" w:rsidRDefault="009812DB" w:rsidP="009812DB">
      <w:pPr>
        <w:spacing w:after="0" w:line="240" w:lineRule="auto"/>
        <w:ind w:left="709" w:right="709"/>
        <w:contextualSpacing/>
        <w:jc w:val="both"/>
        <w:rPr>
          <w:rFonts w:ascii="Century Gothic" w:eastAsia="Calibri" w:hAnsi="Century Gothic" w:cs="Arial"/>
          <w:sz w:val="21"/>
          <w:szCs w:val="21"/>
          <w:lang w:val="es-MX" w:eastAsia="es-ES_tradnl"/>
        </w:rPr>
      </w:pPr>
      <w:r w:rsidRPr="00737A45">
        <w:rPr>
          <w:rFonts w:ascii="Century Gothic" w:eastAsia="Calibri" w:hAnsi="Century Gothic" w:cs="Arial"/>
          <w:sz w:val="21"/>
          <w:szCs w:val="21"/>
          <w:lang w:val="es-MX" w:eastAsia="es-ES_tradnl"/>
        </w:rPr>
        <w:t>[…]</w:t>
      </w:r>
    </w:p>
    <w:p w14:paraId="0A498861" w14:textId="77777777" w:rsidR="009812DB" w:rsidRPr="00737A45" w:rsidRDefault="009812DB" w:rsidP="009812DB">
      <w:pPr>
        <w:spacing w:after="0" w:line="240" w:lineRule="auto"/>
        <w:ind w:left="709" w:right="709"/>
        <w:contextualSpacing/>
        <w:jc w:val="both"/>
        <w:rPr>
          <w:rFonts w:ascii="Century Gothic" w:eastAsia="Calibri" w:hAnsi="Century Gothic" w:cs="Arial"/>
          <w:sz w:val="21"/>
          <w:szCs w:val="21"/>
          <w:u w:val="single"/>
          <w:lang w:val="es-MX" w:eastAsia="es-ES_tradnl"/>
        </w:rPr>
      </w:pPr>
      <w:r w:rsidRPr="00737A45">
        <w:rPr>
          <w:rFonts w:ascii="Century Gothic" w:eastAsia="Calibri" w:hAnsi="Century Gothic" w:cs="Arial"/>
          <w:sz w:val="21"/>
          <w:szCs w:val="21"/>
          <w:u w:val="single"/>
          <w:lang w:val="es-MX" w:eastAsia="es-ES_tradnl"/>
        </w:rPr>
        <w:t xml:space="preserve">12. </w:t>
      </w:r>
      <w:r w:rsidRPr="00737A45">
        <w:rPr>
          <w:rFonts w:ascii="Century Gothic" w:eastAsia="Calibri" w:hAnsi="Century Gothic" w:cs="Arial"/>
          <w:i/>
          <w:iCs/>
          <w:sz w:val="21"/>
          <w:szCs w:val="21"/>
          <w:u w:val="single"/>
          <w:lang w:val="es-MX" w:eastAsia="es-ES_tradnl"/>
        </w:rPr>
        <w:t>Previo a la apertura de un proceso de selección, o a la firma del contrato en el caso en que la modalidad de selección sea contratación directa, deberán elaborarse los estudios, diseños y proyectos requeridos, y los pliegos de condiciones, según corresponda</w:t>
      </w:r>
      <w:r w:rsidRPr="00737A45">
        <w:rPr>
          <w:rFonts w:ascii="Century Gothic" w:eastAsia="Calibri" w:hAnsi="Century Gothic" w:cs="Arial"/>
          <w:sz w:val="21"/>
          <w:szCs w:val="21"/>
          <w:u w:val="single"/>
          <w:lang w:val="es-MX" w:eastAsia="es-ES_tradnl"/>
        </w:rPr>
        <w:t>.</w:t>
      </w:r>
    </w:p>
    <w:p w14:paraId="42019F52" w14:textId="77777777" w:rsidR="009812DB" w:rsidRPr="00737A45" w:rsidRDefault="009812DB" w:rsidP="009812DB">
      <w:pPr>
        <w:spacing w:after="0" w:line="240" w:lineRule="auto"/>
        <w:ind w:left="709" w:right="709"/>
        <w:contextualSpacing/>
        <w:jc w:val="both"/>
        <w:rPr>
          <w:rFonts w:ascii="Century Gothic" w:eastAsia="Calibri" w:hAnsi="Century Gothic" w:cs="Arial"/>
          <w:sz w:val="21"/>
          <w:szCs w:val="21"/>
          <w:lang w:val="es-MX" w:eastAsia="es-ES_tradnl"/>
        </w:rPr>
      </w:pPr>
    </w:p>
    <w:p w14:paraId="5349DB77" w14:textId="77777777" w:rsidR="009812DB" w:rsidRPr="00737A45" w:rsidRDefault="009812DB" w:rsidP="009812DB">
      <w:pPr>
        <w:spacing w:after="0" w:line="240" w:lineRule="auto"/>
        <w:ind w:left="709" w:right="709"/>
        <w:contextualSpacing/>
        <w:jc w:val="both"/>
        <w:rPr>
          <w:rFonts w:ascii="Century Gothic" w:eastAsia="Calibri" w:hAnsi="Century Gothic" w:cs="Arial"/>
          <w:sz w:val="21"/>
          <w:szCs w:val="21"/>
          <w:lang w:val="es-MX" w:eastAsia="es-ES_tradnl"/>
        </w:rPr>
      </w:pPr>
      <w:r w:rsidRPr="00737A45">
        <w:rPr>
          <w:rFonts w:ascii="Century Gothic" w:eastAsia="Calibri" w:hAnsi="Century Gothic" w:cs="Arial"/>
          <w:sz w:val="21"/>
          <w:szCs w:val="21"/>
          <w:lang w:val="es-MX" w:eastAsia="es-ES_tradnl"/>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5375336E" w14:textId="77777777" w:rsidR="009812DB" w:rsidRPr="00737A45" w:rsidRDefault="009812DB" w:rsidP="009812DB">
      <w:pPr>
        <w:spacing w:after="0" w:line="240" w:lineRule="auto"/>
        <w:ind w:left="709" w:right="709"/>
        <w:contextualSpacing/>
        <w:jc w:val="both"/>
        <w:rPr>
          <w:rFonts w:ascii="Century Gothic" w:eastAsia="Calibri" w:hAnsi="Century Gothic" w:cs="Arial"/>
          <w:sz w:val="21"/>
          <w:szCs w:val="21"/>
          <w:lang w:val="es-MX" w:eastAsia="es-ES_tradnl"/>
        </w:rPr>
      </w:pPr>
    </w:p>
    <w:p w14:paraId="5242DC93" w14:textId="77777777" w:rsidR="009812DB" w:rsidRPr="00737A45" w:rsidRDefault="009812DB" w:rsidP="009812DB">
      <w:pPr>
        <w:spacing w:after="0" w:line="240" w:lineRule="auto"/>
        <w:ind w:left="709" w:right="709"/>
        <w:contextualSpacing/>
        <w:jc w:val="both"/>
        <w:rPr>
          <w:rFonts w:ascii="Century Gothic" w:eastAsia="Times New Roman" w:hAnsi="Century Gothic" w:cs="Arial"/>
          <w:sz w:val="21"/>
          <w:szCs w:val="21"/>
          <w:lang w:val="es-ES_tradnl" w:eastAsia="es-MX"/>
        </w:rPr>
      </w:pPr>
      <w:r w:rsidRPr="00737A45">
        <w:rPr>
          <w:rFonts w:ascii="Century Gothic" w:eastAsia="Times New Roman" w:hAnsi="Century Gothic" w:cs="Arial"/>
          <w:sz w:val="21"/>
          <w:szCs w:val="21"/>
          <w:lang w:val="es-ES_tradnl" w:eastAsia="es-MX"/>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6A14D688" w14:textId="77777777" w:rsidR="009812DB" w:rsidRPr="00737A45" w:rsidRDefault="009812DB" w:rsidP="009812DB">
      <w:pPr>
        <w:spacing w:after="0" w:line="240" w:lineRule="auto"/>
        <w:ind w:left="709" w:right="709"/>
        <w:contextualSpacing/>
        <w:jc w:val="both"/>
        <w:rPr>
          <w:rFonts w:ascii="Century Gothic" w:eastAsia="Times New Roman" w:hAnsi="Century Gothic" w:cs="Arial"/>
          <w:sz w:val="21"/>
          <w:szCs w:val="21"/>
          <w:lang w:val="es-ES_tradnl" w:eastAsia="es-MX"/>
        </w:rPr>
      </w:pPr>
    </w:p>
    <w:p w14:paraId="3C770529" w14:textId="133FD8D5" w:rsidR="009812DB" w:rsidRPr="00737A45" w:rsidRDefault="009812DB" w:rsidP="00661768">
      <w:pPr>
        <w:spacing w:after="0" w:line="240" w:lineRule="auto"/>
        <w:ind w:left="709" w:right="709"/>
        <w:contextualSpacing/>
        <w:jc w:val="both"/>
        <w:rPr>
          <w:rFonts w:ascii="Century Gothic" w:eastAsia="Times New Roman" w:hAnsi="Century Gothic" w:cs="Arial"/>
          <w:sz w:val="21"/>
          <w:szCs w:val="21"/>
          <w:lang w:val="es-ES_tradnl" w:eastAsia="es-MX"/>
        </w:rPr>
      </w:pPr>
      <w:r w:rsidRPr="00737A45">
        <w:rPr>
          <w:rFonts w:ascii="Century Gothic" w:eastAsia="Times New Roman" w:hAnsi="Century Gothic" w:cs="Arial"/>
          <w:sz w:val="21"/>
          <w:szCs w:val="21"/>
          <w:lang w:val="es-ES_tradnl" w:eastAsia="es-MX"/>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r w:rsidR="0039358F" w:rsidRPr="00737A45">
        <w:rPr>
          <w:rFonts w:ascii="Century Gothic" w:eastAsia="Times New Roman" w:hAnsi="Century Gothic" w:cs="Arial"/>
          <w:sz w:val="21"/>
          <w:szCs w:val="21"/>
          <w:lang w:val="es-ES_tradnl" w:eastAsia="es-MX"/>
        </w:rPr>
        <w:t xml:space="preserve"> [Énfasis fuera texto]</w:t>
      </w:r>
    </w:p>
    <w:p w14:paraId="0FB23AEB" w14:textId="3D0DC2FF" w:rsidR="00CE602F" w:rsidRPr="00737A45" w:rsidRDefault="00CE602F" w:rsidP="00661768">
      <w:pPr>
        <w:spacing w:after="0" w:line="276" w:lineRule="auto"/>
        <w:ind w:firstLine="709"/>
        <w:jc w:val="both"/>
        <w:rPr>
          <w:rFonts w:ascii="Century Gothic" w:eastAsia="Calibri" w:hAnsi="Century Gothic" w:cs="Arial"/>
          <w:lang w:val="es-ES"/>
        </w:rPr>
      </w:pPr>
    </w:p>
    <w:p w14:paraId="58A840E5" w14:textId="77777777" w:rsidR="00E6115C" w:rsidRPr="00737A45" w:rsidRDefault="00661768" w:rsidP="00E6115C">
      <w:pPr>
        <w:spacing w:after="0" w:line="276" w:lineRule="auto"/>
        <w:ind w:firstLine="709"/>
        <w:jc w:val="both"/>
        <w:rPr>
          <w:rFonts w:ascii="Century Gothic" w:eastAsia="Times New Roman" w:hAnsi="Century Gothic" w:cs="Arial"/>
          <w:lang w:val="es-ES_tradnl" w:eastAsia="es-MX"/>
        </w:rPr>
      </w:pPr>
      <w:r w:rsidRPr="00737A45">
        <w:rPr>
          <w:rFonts w:ascii="Century Gothic" w:eastAsia="Calibri" w:hAnsi="Century Gothic" w:cs="Arial"/>
          <w:lang w:val="es-ES"/>
        </w:rPr>
        <w:t>Lo anterior le permit</w:t>
      </w:r>
      <w:r w:rsidR="00367508" w:rsidRPr="00737A45">
        <w:rPr>
          <w:rFonts w:ascii="Century Gothic" w:eastAsia="Calibri" w:hAnsi="Century Gothic" w:cs="Arial"/>
          <w:lang w:val="es-ES"/>
        </w:rPr>
        <w:t xml:space="preserve">irá a la Entidad Estatal identificar desde el punto de vista técnico y financiero el objeto del contrato, las particularidades de su ejecución, los potenciales proponentes, requisitos mínimos para evaluar la idoneidad del contratista, así </w:t>
      </w:r>
      <w:r w:rsidR="00E6115C" w:rsidRPr="00737A45">
        <w:rPr>
          <w:rFonts w:ascii="Century Gothic" w:eastAsia="Times New Roman" w:hAnsi="Century Gothic" w:cs="Arial"/>
          <w:lang w:val="es-ES_tradnl" w:eastAsia="es-MX"/>
        </w:rPr>
        <w:t xml:space="preserve">como analizar 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w:t>
      </w:r>
      <w:r w:rsidR="00E6115C" w:rsidRPr="00737A45">
        <w:rPr>
          <w:rFonts w:ascii="Century Gothic" w:eastAsia="Times New Roman" w:hAnsi="Century Gothic" w:cs="Arial"/>
          <w:lang w:val="es-ES_tradnl" w:eastAsia="es-MX"/>
        </w:rPr>
        <w:lastRenderedPageBreak/>
        <w:t>disciplinarias, mayores costos o mayor permanencia de la obra y, en general, el fracaso en la ejecución de contratos estatales”</w:t>
      </w:r>
      <w:r w:rsidR="00E6115C" w:rsidRPr="00737A45">
        <w:rPr>
          <w:rFonts w:ascii="Century Gothic" w:eastAsia="Times New Roman" w:hAnsi="Century Gothic" w:cs="Arial"/>
          <w:vertAlign w:val="superscript"/>
          <w:lang w:val="es-ES_tradnl" w:eastAsia="es-MX"/>
        </w:rPr>
        <w:footnoteReference w:id="3"/>
      </w:r>
      <w:r w:rsidR="00E6115C" w:rsidRPr="00737A45">
        <w:rPr>
          <w:rFonts w:ascii="Century Gothic" w:eastAsia="Times New Roman" w:hAnsi="Century Gothic" w:cs="Arial"/>
          <w:lang w:val="es-ES_tradnl" w:eastAsia="es-MX"/>
        </w:rPr>
        <w:t>. En congruencia con el artículo 25 de la Ley 80 de 1993, el Decreto Único Reglamentario del Sector Administrativo de Planeación Nacional –Decreto 1082 de 2015–, dispone en el artículo 2.2.1.1.2.1.1 el contenido mínimo de los estudios y documentos previos:</w:t>
      </w:r>
    </w:p>
    <w:p w14:paraId="25D7FF41" w14:textId="49CE6EDA" w:rsidR="00661768" w:rsidRPr="00737A45" w:rsidRDefault="00661768" w:rsidP="00661768">
      <w:pPr>
        <w:spacing w:after="0" w:line="276" w:lineRule="auto"/>
        <w:ind w:firstLine="709"/>
        <w:jc w:val="both"/>
        <w:rPr>
          <w:rFonts w:ascii="Century Gothic" w:eastAsia="Calibri" w:hAnsi="Century Gothic" w:cs="Arial"/>
          <w:lang w:val="es-ES"/>
        </w:rPr>
      </w:pPr>
    </w:p>
    <w:p w14:paraId="501D35C0" w14:textId="77777777" w:rsidR="007A31B2" w:rsidRPr="00737A45" w:rsidRDefault="007A31B2" w:rsidP="007A31B2">
      <w:pPr>
        <w:spacing w:after="0" w:line="240" w:lineRule="auto"/>
        <w:ind w:left="709" w:right="709"/>
        <w:contextualSpacing/>
        <w:jc w:val="both"/>
        <w:rPr>
          <w:rFonts w:ascii="Century Gothic" w:eastAsia="Times New Roman" w:hAnsi="Century Gothic" w:cs="Arial"/>
          <w:sz w:val="21"/>
          <w:szCs w:val="21"/>
          <w:lang w:val="es-ES_tradnl" w:eastAsia="es-MX"/>
        </w:rPr>
      </w:pPr>
      <w:r w:rsidRPr="00737A45">
        <w:rPr>
          <w:rFonts w:ascii="Century Gothic" w:eastAsia="Times New Roman" w:hAnsi="Century Gothic" w:cs="Arial"/>
          <w:sz w:val="21"/>
          <w:szCs w:val="21"/>
          <w:lang w:val="es-ES_tradnl" w:eastAsia="es-MX"/>
        </w:rPr>
        <w:t xml:space="preserve">“Artículo 2.2.1.1.2.1.1. </w:t>
      </w:r>
      <w:r w:rsidRPr="00737A45">
        <w:rPr>
          <w:rFonts w:ascii="Century Gothic" w:eastAsia="Times New Roman" w:hAnsi="Century Gothic" w:cs="Arial"/>
          <w:i/>
          <w:iCs/>
          <w:sz w:val="21"/>
          <w:szCs w:val="21"/>
          <w:u w:val="single"/>
          <w:lang w:val="es-ES_tradnl" w:eastAsia="es-MX"/>
        </w:rPr>
        <w:t>Los estudios y documentos previos son el soporte para elaborar el proyecto de pliegos, los pliegos de condiciones y el contrato</w:t>
      </w:r>
      <w:r w:rsidRPr="00737A45">
        <w:rPr>
          <w:rFonts w:ascii="Century Gothic" w:eastAsia="Times New Roman" w:hAnsi="Century Gothic" w:cs="Arial"/>
          <w:sz w:val="21"/>
          <w:szCs w:val="21"/>
          <w:lang w:val="es-ES_tradnl" w:eastAsia="es-MX"/>
        </w:rPr>
        <w:t xml:space="preserve">. Estos deben permanecer a disposición del público durante el desarrollo del Proceso de Contratación y contener los siguientes elementos, además de los indicados para cada modalidad de selección: </w:t>
      </w:r>
    </w:p>
    <w:p w14:paraId="0BA3EE4E" w14:textId="77777777" w:rsidR="007A31B2" w:rsidRPr="00737A45" w:rsidRDefault="007A31B2" w:rsidP="007A31B2">
      <w:pPr>
        <w:spacing w:after="0" w:line="240" w:lineRule="auto"/>
        <w:ind w:left="709" w:right="709"/>
        <w:contextualSpacing/>
        <w:jc w:val="both"/>
        <w:rPr>
          <w:rFonts w:ascii="Century Gothic" w:eastAsia="Times New Roman" w:hAnsi="Century Gothic" w:cs="Arial"/>
          <w:sz w:val="21"/>
          <w:szCs w:val="21"/>
          <w:lang w:val="es-ES_tradnl" w:eastAsia="es-MX"/>
        </w:rPr>
      </w:pPr>
    </w:p>
    <w:p w14:paraId="2AF9DADD" w14:textId="77777777" w:rsidR="007A31B2" w:rsidRPr="00737A45" w:rsidRDefault="007A31B2" w:rsidP="007A31B2">
      <w:pPr>
        <w:spacing w:after="0" w:line="240" w:lineRule="auto"/>
        <w:ind w:left="709" w:right="709"/>
        <w:contextualSpacing/>
        <w:jc w:val="both"/>
        <w:rPr>
          <w:rFonts w:ascii="Century Gothic" w:eastAsia="Times New Roman" w:hAnsi="Century Gothic" w:cs="Arial"/>
          <w:sz w:val="21"/>
          <w:szCs w:val="21"/>
          <w:lang w:val="es-ES_tradnl" w:eastAsia="es-MX"/>
        </w:rPr>
      </w:pPr>
      <w:r w:rsidRPr="00737A45">
        <w:rPr>
          <w:rFonts w:ascii="Century Gothic" w:eastAsia="Times New Roman" w:hAnsi="Century Gothic" w:cs="Arial"/>
          <w:sz w:val="21"/>
          <w:szCs w:val="21"/>
          <w:lang w:val="es-ES_tradnl" w:eastAsia="es-MX"/>
        </w:rPr>
        <w:t xml:space="preserve">1. La descripción de la necesidad que la Entidad Estatal pretende satisfacer con el Proceso de Contratación. </w:t>
      </w:r>
      <w:r w:rsidRPr="00737A45">
        <w:rPr>
          <w:rFonts w:ascii="Arial" w:eastAsia="Times New Roman" w:hAnsi="Arial" w:cs="Arial"/>
          <w:sz w:val="21"/>
          <w:szCs w:val="21"/>
          <w:lang w:val="es-ES_tradnl" w:eastAsia="es-MX"/>
        </w:rPr>
        <w:t>​</w:t>
      </w:r>
    </w:p>
    <w:p w14:paraId="4E4E106C" w14:textId="77777777" w:rsidR="007A31B2" w:rsidRPr="00737A45" w:rsidRDefault="007A31B2" w:rsidP="007A31B2">
      <w:pPr>
        <w:spacing w:after="0" w:line="240" w:lineRule="auto"/>
        <w:ind w:left="709" w:right="709"/>
        <w:contextualSpacing/>
        <w:jc w:val="both"/>
        <w:rPr>
          <w:rFonts w:ascii="Century Gothic" w:eastAsia="Times New Roman" w:hAnsi="Century Gothic" w:cs="Arial"/>
          <w:sz w:val="21"/>
          <w:szCs w:val="21"/>
          <w:lang w:val="es-ES_tradnl" w:eastAsia="es-MX"/>
        </w:rPr>
      </w:pPr>
    </w:p>
    <w:p w14:paraId="23D8EBA8" w14:textId="77777777" w:rsidR="007A31B2" w:rsidRPr="00737A45" w:rsidRDefault="007A31B2" w:rsidP="007A31B2">
      <w:pPr>
        <w:spacing w:after="0" w:line="240" w:lineRule="auto"/>
        <w:ind w:left="709" w:right="709"/>
        <w:contextualSpacing/>
        <w:jc w:val="both"/>
        <w:rPr>
          <w:rFonts w:ascii="Century Gothic" w:eastAsia="Times New Roman" w:hAnsi="Century Gothic" w:cs="Arial"/>
          <w:sz w:val="21"/>
          <w:szCs w:val="21"/>
          <w:lang w:val="es-ES_tradnl" w:eastAsia="es-MX"/>
        </w:rPr>
      </w:pPr>
      <w:r w:rsidRPr="00737A45">
        <w:rPr>
          <w:rFonts w:ascii="Century Gothic" w:eastAsia="Times New Roman" w:hAnsi="Century Gothic" w:cs="Arial"/>
          <w:sz w:val="21"/>
          <w:szCs w:val="21"/>
          <w:lang w:val="es-ES_tradnl" w:eastAsia="es-MX"/>
        </w:rPr>
        <w:t xml:space="preserve">2. El objeto a contratar, con sus especificaciones, las autorizaciones, permisos y licencias requeridos para su ejecución, y cuando el contrato incluye diseño y construcción, los documentos técnicos para el desarrollo del proyecto. </w:t>
      </w:r>
    </w:p>
    <w:p w14:paraId="53D55F80" w14:textId="77777777" w:rsidR="007A31B2" w:rsidRPr="00737A45" w:rsidRDefault="007A31B2" w:rsidP="007A31B2">
      <w:pPr>
        <w:spacing w:after="0" w:line="240" w:lineRule="auto"/>
        <w:ind w:left="709" w:right="709"/>
        <w:contextualSpacing/>
        <w:jc w:val="both"/>
        <w:rPr>
          <w:rFonts w:ascii="Century Gothic" w:eastAsia="Times New Roman" w:hAnsi="Century Gothic" w:cs="Arial"/>
          <w:sz w:val="21"/>
          <w:szCs w:val="21"/>
          <w:lang w:val="es-ES_tradnl" w:eastAsia="es-MX"/>
        </w:rPr>
      </w:pPr>
    </w:p>
    <w:p w14:paraId="3BBD98AD" w14:textId="77777777" w:rsidR="007A31B2" w:rsidRPr="00737A45" w:rsidRDefault="007A31B2" w:rsidP="007A31B2">
      <w:pPr>
        <w:spacing w:after="0" w:line="240" w:lineRule="auto"/>
        <w:ind w:left="709" w:right="709"/>
        <w:contextualSpacing/>
        <w:jc w:val="both"/>
        <w:rPr>
          <w:rFonts w:ascii="Century Gothic" w:eastAsia="Times New Roman" w:hAnsi="Century Gothic" w:cs="Arial"/>
          <w:sz w:val="21"/>
          <w:szCs w:val="21"/>
          <w:lang w:val="es-ES_tradnl" w:eastAsia="es-MX"/>
        </w:rPr>
      </w:pPr>
      <w:r w:rsidRPr="00737A45">
        <w:rPr>
          <w:rFonts w:ascii="Century Gothic" w:eastAsia="Times New Roman" w:hAnsi="Century Gothic" w:cs="Arial"/>
          <w:sz w:val="21"/>
          <w:szCs w:val="21"/>
          <w:lang w:val="es-ES_tradnl" w:eastAsia="es-MX"/>
        </w:rPr>
        <w:t xml:space="preserve">3. La modalidad de selección del contratista y su justificación, incluyendo los fundamentos jurídicos. </w:t>
      </w:r>
    </w:p>
    <w:p w14:paraId="73970341" w14:textId="77777777" w:rsidR="007A31B2" w:rsidRPr="00737A45" w:rsidRDefault="007A31B2" w:rsidP="007A31B2">
      <w:pPr>
        <w:spacing w:after="0" w:line="240" w:lineRule="auto"/>
        <w:ind w:left="709" w:right="709"/>
        <w:contextualSpacing/>
        <w:jc w:val="both"/>
        <w:rPr>
          <w:rFonts w:ascii="Century Gothic" w:eastAsia="Times New Roman" w:hAnsi="Century Gothic" w:cs="Arial"/>
          <w:sz w:val="21"/>
          <w:szCs w:val="21"/>
          <w:lang w:val="es-ES_tradnl" w:eastAsia="es-MX"/>
        </w:rPr>
      </w:pPr>
    </w:p>
    <w:p w14:paraId="0364CFB9" w14:textId="77777777" w:rsidR="007A31B2" w:rsidRPr="00737A45" w:rsidRDefault="007A31B2" w:rsidP="007A31B2">
      <w:pPr>
        <w:spacing w:after="0" w:line="240" w:lineRule="auto"/>
        <w:ind w:left="709" w:right="709"/>
        <w:contextualSpacing/>
        <w:jc w:val="both"/>
        <w:rPr>
          <w:rFonts w:ascii="Century Gothic" w:eastAsia="Times New Roman" w:hAnsi="Century Gothic" w:cs="Arial"/>
          <w:sz w:val="21"/>
          <w:szCs w:val="21"/>
          <w:lang w:val="es-ES" w:eastAsia="es-MX"/>
        </w:rPr>
      </w:pPr>
      <w:r w:rsidRPr="00737A45">
        <w:rPr>
          <w:rFonts w:ascii="Century Gothic" w:eastAsia="Times New Roman" w:hAnsi="Century Gothic" w:cs="Arial"/>
          <w:sz w:val="21"/>
          <w:szCs w:val="21"/>
          <w:lang w:val="es-ES" w:eastAsia="es-MX"/>
        </w:rPr>
        <w:t xml:space="preserve">4. 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4D81B077" w14:textId="77777777" w:rsidR="007A31B2" w:rsidRPr="00737A45" w:rsidRDefault="007A31B2" w:rsidP="007A31B2">
      <w:pPr>
        <w:spacing w:after="0" w:line="240" w:lineRule="auto"/>
        <w:ind w:left="709" w:right="709"/>
        <w:contextualSpacing/>
        <w:jc w:val="both"/>
        <w:rPr>
          <w:rFonts w:ascii="Century Gothic" w:eastAsia="Times New Roman" w:hAnsi="Century Gothic" w:cs="Arial"/>
          <w:sz w:val="21"/>
          <w:szCs w:val="21"/>
          <w:lang w:val="es-ES_tradnl" w:eastAsia="es-MX"/>
        </w:rPr>
      </w:pPr>
    </w:p>
    <w:p w14:paraId="035BB148" w14:textId="77777777" w:rsidR="007A31B2" w:rsidRPr="00737A45" w:rsidRDefault="007A31B2" w:rsidP="007A31B2">
      <w:pPr>
        <w:spacing w:after="0" w:line="240" w:lineRule="auto"/>
        <w:ind w:left="709" w:right="709"/>
        <w:contextualSpacing/>
        <w:jc w:val="both"/>
        <w:rPr>
          <w:rFonts w:ascii="Century Gothic" w:eastAsia="Times New Roman" w:hAnsi="Century Gothic" w:cs="Arial"/>
          <w:sz w:val="21"/>
          <w:szCs w:val="21"/>
          <w:lang w:val="es-ES_tradnl" w:eastAsia="es-MX"/>
        </w:rPr>
      </w:pPr>
      <w:r w:rsidRPr="00737A45">
        <w:rPr>
          <w:rFonts w:ascii="Century Gothic" w:eastAsia="Times New Roman" w:hAnsi="Century Gothic" w:cs="Arial"/>
          <w:sz w:val="21"/>
          <w:szCs w:val="21"/>
          <w:lang w:val="es-ES_tradnl" w:eastAsia="es-MX"/>
        </w:rPr>
        <w:t xml:space="preserve">5. Los criterios para seleccionar la oferta más favorable. </w:t>
      </w:r>
    </w:p>
    <w:p w14:paraId="6FACC7C8" w14:textId="77777777" w:rsidR="007A31B2" w:rsidRPr="00737A45" w:rsidRDefault="007A31B2" w:rsidP="007A31B2">
      <w:pPr>
        <w:spacing w:after="0" w:line="240" w:lineRule="auto"/>
        <w:ind w:left="709" w:right="709"/>
        <w:contextualSpacing/>
        <w:jc w:val="both"/>
        <w:rPr>
          <w:rFonts w:ascii="Century Gothic" w:eastAsia="Times New Roman" w:hAnsi="Century Gothic" w:cs="Arial"/>
          <w:sz w:val="21"/>
          <w:szCs w:val="21"/>
          <w:lang w:val="es-ES_tradnl" w:eastAsia="es-MX"/>
        </w:rPr>
      </w:pPr>
    </w:p>
    <w:p w14:paraId="52793F70" w14:textId="77777777" w:rsidR="007A31B2" w:rsidRPr="00737A45" w:rsidRDefault="007A31B2" w:rsidP="007A31B2">
      <w:pPr>
        <w:spacing w:after="0" w:line="240" w:lineRule="auto"/>
        <w:ind w:left="709" w:right="709"/>
        <w:contextualSpacing/>
        <w:jc w:val="both"/>
        <w:rPr>
          <w:rFonts w:ascii="Century Gothic" w:eastAsia="Times New Roman" w:hAnsi="Century Gothic" w:cs="Arial"/>
          <w:sz w:val="21"/>
          <w:szCs w:val="21"/>
          <w:lang w:val="es-ES_tradnl" w:eastAsia="es-MX"/>
        </w:rPr>
      </w:pPr>
      <w:r w:rsidRPr="00737A45">
        <w:rPr>
          <w:rFonts w:ascii="Century Gothic" w:eastAsia="Times New Roman" w:hAnsi="Century Gothic" w:cs="Arial"/>
          <w:sz w:val="21"/>
          <w:szCs w:val="21"/>
          <w:lang w:val="es-ES_tradnl" w:eastAsia="es-MX"/>
        </w:rPr>
        <w:t xml:space="preserve">6. El análisis de Riesgo y la forma de mitigarlo. </w:t>
      </w:r>
    </w:p>
    <w:p w14:paraId="1083883A" w14:textId="77777777" w:rsidR="007A31B2" w:rsidRPr="00737A45" w:rsidRDefault="007A31B2" w:rsidP="007A31B2">
      <w:pPr>
        <w:spacing w:after="0" w:line="240" w:lineRule="auto"/>
        <w:ind w:left="709" w:right="709"/>
        <w:contextualSpacing/>
        <w:jc w:val="both"/>
        <w:rPr>
          <w:rFonts w:ascii="Century Gothic" w:eastAsia="Times New Roman" w:hAnsi="Century Gothic" w:cs="Arial"/>
          <w:sz w:val="21"/>
          <w:szCs w:val="21"/>
          <w:lang w:val="es-ES_tradnl" w:eastAsia="es-MX"/>
        </w:rPr>
      </w:pPr>
    </w:p>
    <w:p w14:paraId="210DD910" w14:textId="77777777" w:rsidR="007A31B2" w:rsidRPr="00737A45" w:rsidRDefault="007A31B2" w:rsidP="007A31B2">
      <w:pPr>
        <w:spacing w:after="0" w:line="240" w:lineRule="auto"/>
        <w:ind w:left="709" w:right="709"/>
        <w:contextualSpacing/>
        <w:jc w:val="both"/>
        <w:rPr>
          <w:rFonts w:ascii="Century Gothic" w:eastAsia="Times New Roman" w:hAnsi="Century Gothic" w:cs="Arial"/>
          <w:sz w:val="21"/>
          <w:szCs w:val="21"/>
          <w:lang w:val="es-ES_tradnl" w:eastAsia="es-MX"/>
        </w:rPr>
      </w:pPr>
      <w:r w:rsidRPr="00737A45">
        <w:rPr>
          <w:rFonts w:ascii="Century Gothic" w:eastAsia="Times New Roman" w:hAnsi="Century Gothic" w:cs="Arial"/>
          <w:sz w:val="21"/>
          <w:szCs w:val="21"/>
          <w:lang w:val="es-ES_tradnl" w:eastAsia="es-MX"/>
        </w:rPr>
        <w:t xml:space="preserve">7. Las garantías que la Entidad Estatal contempla exigir en el proceso de contratación. </w:t>
      </w:r>
    </w:p>
    <w:p w14:paraId="2B4CF2EF" w14:textId="77777777" w:rsidR="007A31B2" w:rsidRPr="00737A45" w:rsidRDefault="007A31B2" w:rsidP="007A31B2">
      <w:pPr>
        <w:spacing w:after="0" w:line="240" w:lineRule="auto"/>
        <w:ind w:left="709" w:right="709"/>
        <w:contextualSpacing/>
        <w:jc w:val="both"/>
        <w:rPr>
          <w:rFonts w:ascii="Century Gothic" w:eastAsia="Times New Roman" w:hAnsi="Century Gothic" w:cs="Arial"/>
          <w:sz w:val="21"/>
          <w:szCs w:val="21"/>
          <w:lang w:val="es-ES_tradnl" w:eastAsia="es-MX"/>
        </w:rPr>
      </w:pPr>
    </w:p>
    <w:p w14:paraId="42109689" w14:textId="77777777" w:rsidR="007A31B2" w:rsidRPr="00737A45" w:rsidRDefault="007A31B2" w:rsidP="007A31B2">
      <w:pPr>
        <w:spacing w:after="0" w:line="240" w:lineRule="auto"/>
        <w:ind w:left="709" w:right="709"/>
        <w:contextualSpacing/>
        <w:jc w:val="both"/>
        <w:rPr>
          <w:rFonts w:ascii="Century Gothic" w:eastAsia="Times New Roman" w:hAnsi="Century Gothic" w:cs="Arial"/>
          <w:sz w:val="21"/>
          <w:szCs w:val="21"/>
          <w:lang w:val="es-ES_tradnl" w:eastAsia="es-MX"/>
        </w:rPr>
      </w:pPr>
      <w:r w:rsidRPr="00737A45">
        <w:rPr>
          <w:rFonts w:ascii="Century Gothic" w:eastAsia="Times New Roman" w:hAnsi="Century Gothic" w:cs="Arial"/>
          <w:sz w:val="21"/>
          <w:szCs w:val="21"/>
          <w:lang w:val="es-ES_tradnl" w:eastAsia="es-MX"/>
        </w:rPr>
        <w:t xml:space="preserve">8. La indicación de si el proceso de contratación está cobijado por un acuerdo comercial. </w:t>
      </w:r>
    </w:p>
    <w:p w14:paraId="116BEC33" w14:textId="77777777" w:rsidR="007A31B2" w:rsidRPr="00737A45" w:rsidRDefault="007A31B2" w:rsidP="007A31B2">
      <w:pPr>
        <w:spacing w:after="0" w:line="240" w:lineRule="auto"/>
        <w:ind w:left="709" w:right="709"/>
        <w:contextualSpacing/>
        <w:jc w:val="both"/>
        <w:rPr>
          <w:rFonts w:ascii="Century Gothic" w:eastAsia="Times New Roman" w:hAnsi="Century Gothic" w:cs="Arial"/>
          <w:sz w:val="21"/>
          <w:szCs w:val="21"/>
          <w:lang w:val="es-ES_tradnl" w:eastAsia="es-MX"/>
        </w:rPr>
      </w:pPr>
    </w:p>
    <w:p w14:paraId="74511F9D" w14:textId="59695D90" w:rsidR="007A31B2" w:rsidRPr="00737A45" w:rsidRDefault="007A31B2" w:rsidP="007A31B2">
      <w:pPr>
        <w:spacing w:after="0" w:line="240" w:lineRule="auto"/>
        <w:ind w:left="709" w:right="709"/>
        <w:contextualSpacing/>
        <w:jc w:val="both"/>
        <w:rPr>
          <w:rFonts w:ascii="Century Gothic" w:eastAsia="Times New Roman" w:hAnsi="Century Gothic" w:cs="Arial"/>
          <w:sz w:val="21"/>
          <w:szCs w:val="21"/>
          <w:lang w:val="es-ES_tradnl" w:eastAsia="es-MX"/>
        </w:rPr>
      </w:pPr>
      <w:r w:rsidRPr="00737A45">
        <w:rPr>
          <w:rFonts w:ascii="Century Gothic" w:eastAsia="Times New Roman" w:hAnsi="Century Gothic" w:cs="Arial"/>
          <w:sz w:val="21"/>
          <w:szCs w:val="21"/>
          <w:lang w:val="es-ES_tradnl" w:eastAsia="es-MX"/>
        </w:rPr>
        <w:lastRenderedPageBreak/>
        <w:t>El presente artículo no es aplicable a la contratación por mínima cuantía”.</w:t>
      </w:r>
      <w:r w:rsidR="006E6AE1" w:rsidRPr="00737A45">
        <w:rPr>
          <w:rFonts w:ascii="Century Gothic" w:eastAsia="Times New Roman" w:hAnsi="Century Gothic" w:cs="Arial"/>
          <w:sz w:val="21"/>
          <w:szCs w:val="21"/>
          <w:lang w:val="es-ES_tradnl" w:eastAsia="es-MX"/>
        </w:rPr>
        <w:t xml:space="preserve"> [Énfasis fuera de texto]</w:t>
      </w:r>
    </w:p>
    <w:p w14:paraId="3B01CC8A" w14:textId="77777777" w:rsidR="00661768" w:rsidRPr="00737A45" w:rsidRDefault="00661768" w:rsidP="00661768">
      <w:pPr>
        <w:spacing w:after="0" w:line="276" w:lineRule="auto"/>
        <w:ind w:firstLine="709"/>
        <w:jc w:val="both"/>
        <w:rPr>
          <w:rFonts w:ascii="Century Gothic" w:eastAsia="Calibri" w:hAnsi="Century Gothic" w:cs="Arial"/>
          <w:lang w:val="es-ES"/>
        </w:rPr>
      </w:pPr>
    </w:p>
    <w:p w14:paraId="32D94836" w14:textId="5C5F72D3" w:rsidR="007A31B2" w:rsidRPr="00737A45" w:rsidRDefault="00BE1D80" w:rsidP="00661768">
      <w:pPr>
        <w:spacing w:after="0" w:line="276" w:lineRule="auto"/>
        <w:ind w:firstLine="709"/>
        <w:jc w:val="both"/>
        <w:rPr>
          <w:rFonts w:ascii="Century Gothic" w:eastAsia="Calibri" w:hAnsi="Century Gothic" w:cs="Arial"/>
          <w:lang w:val="es-ES"/>
        </w:rPr>
      </w:pPr>
      <w:r w:rsidRPr="00737A45">
        <w:rPr>
          <w:rFonts w:ascii="Century Gothic" w:eastAsia="Calibri" w:hAnsi="Century Gothic" w:cs="Arial"/>
          <w:lang w:val="es-ES"/>
        </w:rPr>
        <w:t>De esta manera, antes de iniciar un proce</w:t>
      </w:r>
      <w:r w:rsidR="00D37432" w:rsidRPr="00737A45">
        <w:rPr>
          <w:rFonts w:ascii="Century Gothic" w:eastAsia="Calibri" w:hAnsi="Century Gothic" w:cs="Arial"/>
          <w:lang w:val="es-ES"/>
        </w:rPr>
        <w:t xml:space="preserve">dimiento de selección, la Entidad Estatal podrá </w:t>
      </w:r>
      <w:r w:rsidR="006E6AE1" w:rsidRPr="00737A45">
        <w:rPr>
          <w:rFonts w:ascii="Century Gothic" w:eastAsia="Calibri" w:hAnsi="Century Gothic" w:cs="Arial"/>
          <w:lang w:val="es-ES"/>
        </w:rPr>
        <w:t xml:space="preserve">determinar </w:t>
      </w:r>
      <w:r w:rsidR="004D1FB1" w:rsidRPr="00737A45">
        <w:rPr>
          <w:rFonts w:ascii="Century Gothic" w:eastAsia="Calibri" w:hAnsi="Century Gothic" w:cs="Arial"/>
          <w:lang w:val="es-ES"/>
        </w:rPr>
        <w:t>con los estudios previos: i) la verdadera necesidad</w:t>
      </w:r>
      <w:r w:rsidR="00E757B1" w:rsidRPr="00737A45">
        <w:rPr>
          <w:rFonts w:ascii="Century Gothic" w:eastAsia="Calibri" w:hAnsi="Century Gothic" w:cs="Arial"/>
          <w:lang w:val="es-ES"/>
        </w:rPr>
        <w:t xml:space="preserve"> de la celebración del contrato, ii) las m</w:t>
      </w:r>
      <w:r w:rsidR="0044298A" w:rsidRPr="00737A45">
        <w:rPr>
          <w:rFonts w:ascii="Century Gothic" w:eastAsia="Calibri" w:hAnsi="Century Gothic" w:cs="Arial"/>
          <w:lang w:val="es-ES"/>
        </w:rPr>
        <w:t>odalidades de existentes</w:t>
      </w:r>
      <w:r w:rsidR="00580D28" w:rsidRPr="00737A45">
        <w:rPr>
          <w:rFonts w:ascii="Century Gothic" w:eastAsia="Calibri" w:hAnsi="Century Gothic" w:cs="Arial"/>
          <w:lang w:val="es-ES"/>
        </w:rPr>
        <w:t xml:space="preserve"> para satisfacer esa necesidad y</w:t>
      </w:r>
      <w:r w:rsidR="00F9488A" w:rsidRPr="00737A45">
        <w:rPr>
          <w:rFonts w:ascii="Century Gothic" w:eastAsia="Calibri" w:hAnsi="Century Gothic" w:cs="Arial"/>
          <w:lang w:val="es-ES"/>
        </w:rPr>
        <w:t xml:space="preserve"> las razones que justifiquen la modalidad o tipo contractual que se escoja; iii) las calidades, especificaciones, cantidades y demás características que puedan o deban reunir los bienes, las obras o los servicios cuya contratación se haya determinado necesaria, iv)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vii) los procedimientos, trámites y requisitos que deban satisfacerse, reunirse u obtenerse para llevar a cabo la selección del respectivo contratista y la celebración del contrato que se pretenda celebrar. La consideración de todos estos aspectos permite que los contratos resultantes de la planeación cuenten con el sustento técnico, económico y jurídico que incidirá en una adecuada ejecución.</w:t>
      </w:r>
    </w:p>
    <w:p w14:paraId="5E10FB0D" w14:textId="42C44A79" w:rsidR="00CE602F" w:rsidRPr="00737A45" w:rsidRDefault="007D173E" w:rsidP="00CE602F">
      <w:pPr>
        <w:spacing w:before="120" w:after="120" w:line="276" w:lineRule="auto"/>
        <w:ind w:firstLine="709"/>
        <w:jc w:val="both"/>
        <w:rPr>
          <w:rFonts w:ascii="Century Gothic" w:eastAsia="Times New Roman" w:hAnsi="Century Gothic" w:cs="Arial"/>
          <w:lang w:val="es-ES_tradnl" w:eastAsia="es-MX"/>
        </w:rPr>
      </w:pPr>
      <w:r w:rsidRPr="00737A45">
        <w:rPr>
          <w:rFonts w:ascii="Century Gothic" w:eastAsia="Calibri" w:hAnsi="Century Gothic" w:cs="Arial"/>
          <w:lang w:val="es-ES"/>
        </w:rPr>
        <w:t>Más allá d</w:t>
      </w:r>
      <w:r w:rsidR="002353E0" w:rsidRPr="00737A45">
        <w:rPr>
          <w:rFonts w:ascii="Century Gothic" w:eastAsia="Calibri" w:hAnsi="Century Gothic" w:cs="Arial"/>
          <w:lang w:val="es-ES"/>
        </w:rPr>
        <w:t>el</w:t>
      </w:r>
      <w:r w:rsidRPr="00737A45">
        <w:rPr>
          <w:rFonts w:ascii="Century Gothic" w:eastAsia="Calibri" w:hAnsi="Century Gothic" w:cs="Arial"/>
          <w:lang w:val="es-ES"/>
        </w:rPr>
        <w:t xml:space="preserve"> cumplimiento de la normativa, “</w:t>
      </w:r>
      <w:r w:rsidR="00962076" w:rsidRPr="00737A45">
        <w:rPr>
          <w:rFonts w:ascii="Century Gothic" w:eastAsia="Calibri" w:hAnsi="Century Gothic" w:cs="Arial"/>
          <w:lang w:val="es-ES"/>
        </w:rPr>
        <w:t>los estudios y documentos previos son el soporte para elaborar el proyecto de pliegos, los pliegos de condiciones, y el contrato”</w:t>
      </w:r>
      <w:r w:rsidR="00F7297A" w:rsidRPr="00737A45">
        <w:rPr>
          <w:rFonts w:ascii="Century Gothic" w:eastAsia="Times New Roman" w:hAnsi="Century Gothic" w:cs="Arial"/>
          <w:vertAlign w:val="superscript"/>
          <w:lang w:val="es-ES_tradnl" w:eastAsia="es-MX"/>
        </w:rPr>
        <w:footnoteReference w:id="4"/>
      </w:r>
      <w:r w:rsidR="00F7297A" w:rsidRPr="00737A45">
        <w:rPr>
          <w:rFonts w:ascii="Century Gothic" w:eastAsia="Times New Roman" w:hAnsi="Century Gothic" w:cs="Arial"/>
          <w:lang w:val="es-ES_tradnl" w:eastAsia="es-MX"/>
        </w:rPr>
        <w:t>,</w:t>
      </w:r>
      <w:r w:rsidR="005075B3" w:rsidRPr="00737A45">
        <w:rPr>
          <w:rFonts w:ascii="Century Gothic" w:eastAsia="Times New Roman" w:hAnsi="Century Gothic" w:cs="Arial"/>
          <w:lang w:val="es-ES_tradnl" w:eastAsia="es-MX"/>
        </w:rPr>
        <w:t xml:space="preserve"> por lo que deben publicarse en la etapa precontractual y sirven de motivación para los documentos expedidos unilateralmente por la Entidad</w:t>
      </w:r>
      <w:r w:rsidR="004932E8" w:rsidRPr="00737A45">
        <w:rPr>
          <w:rFonts w:ascii="Century Gothic" w:eastAsia="Times New Roman" w:hAnsi="Century Gothic" w:cs="Arial"/>
          <w:lang w:val="es-ES_tradnl" w:eastAsia="es-MX"/>
        </w:rPr>
        <w:t xml:space="preserve"> Estatal tales como el acto administrativo de apertura, los pliegos de condiciones</w:t>
      </w:r>
      <w:r w:rsidR="00C27B23" w:rsidRPr="00737A45">
        <w:rPr>
          <w:rFonts w:ascii="Century Gothic" w:eastAsia="Times New Roman" w:hAnsi="Century Gothic" w:cs="Arial"/>
          <w:lang w:val="es-ES_tradnl" w:eastAsia="es-MX"/>
        </w:rPr>
        <w:t xml:space="preserve"> y el acto de adjudicación, entre otros. En ese sentido, los estudios</w:t>
      </w:r>
      <w:r w:rsidR="00A136F4" w:rsidRPr="00737A45">
        <w:rPr>
          <w:rFonts w:ascii="Century Gothic" w:eastAsia="Times New Roman" w:hAnsi="Century Gothic" w:cs="Arial"/>
          <w:lang w:val="es-ES_tradnl" w:eastAsia="es-MX"/>
        </w:rPr>
        <w:t xml:space="preserve"> y documentos previos son necesarios antes de la celebración del contrato, pues fundamenta</w:t>
      </w:r>
      <w:r w:rsidR="00D27B70" w:rsidRPr="00737A45">
        <w:rPr>
          <w:rFonts w:ascii="Century Gothic" w:eastAsia="Times New Roman" w:hAnsi="Century Gothic" w:cs="Arial"/>
          <w:lang w:val="es-ES_tradnl" w:eastAsia="es-MX"/>
        </w:rPr>
        <w:t xml:space="preserve">n </w:t>
      </w:r>
      <w:r w:rsidR="00A136F4" w:rsidRPr="00737A45">
        <w:rPr>
          <w:rFonts w:ascii="Century Gothic" w:eastAsia="Times New Roman" w:hAnsi="Century Gothic" w:cs="Arial"/>
          <w:lang w:val="es-ES_tradnl" w:eastAsia="es-MX"/>
        </w:rPr>
        <w:t>las condiciones que la Entidad Estatal exige en sus procesos de contratación. Sin embar</w:t>
      </w:r>
      <w:r w:rsidR="00CF64FE" w:rsidRPr="00737A45">
        <w:rPr>
          <w:rFonts w:ascii="Century Gothic" w:eastAsia="Times New Roman" w:hAnsi="Century Gothic" w:cs="Arial"/>
          <w:lang w:val="es-ES_tradnl" w:eastAsia="es-MX"/>
        </w:rPr>
        <w:t>go, luego de la suscripción del contrato la entidad no debe actuar unilateralmente, sino que</w:t>
      </w:r>
      <w:r w:rsidR="00EC0D17" w:rsidRPr="00737A45">
        <w:rPr>
          <w:rFonts w:ascii="Century Gothic" w:eastAsia="Times New Roman" w:hAnsi="Century Gothic" w:cs="Arial"/>
          <w:lang w:val="es-ES_tradnl" w:eastAsia="es-MX"/>
        </w:rPr>
        <w:t xml:space="preserve"> debe respetar la buena fe contractual y proceder de acuerdo con lo</w:t>
      </w:r>
      <w:r w:rsidR="006D266C" w:rsidRPr="00737A45">
        <w:rPr>
          <w:rFonts w:ascii="Century Gothic" w:eastAsia="Times New Roman" w:hAnsi="Century Gothic" w:cs="Arial"/>
          <w:lang w:val="es-ES_tradnl" w:eastAsia="es-MX"/>
        </w:rPr>
        <w:t xml:space="preserve"> pactado</w:t>
      </w:r>
      <w:r w:rsidR="00D347F3" w:rsidRPr="00737A45">
        <w:rPr>
          <w:rFonts w:ascii="Century Gothic" w:eastAsia="Times New Roman" w:hAnsi="Century Gothic" w:cs="Arial"/>
          <w:vertAlign w:val="superscript"/>
          <w:lang w:val="es-ES_tradnl" w:eastAsia="es-MX"/>
        </w:rPr>
        <w:footnoteReference w:id="5"/>
      </w:r>
      <w:r w:rsidR="00D347F3" w:rsidRPr="00737A45">
        <w:rPr>
          <w:rFonts w:ascii="Century Gothic" w:eastAsia="Times New Roman" w:hAnsi="Century Gothic" w:cs="Arial"/>
          <w:lang w:val="es-ES_tradnl" w:eastAsia="es-MX"/>
        </w:rPr>
        <w:t>.</w:t>
      </w:r>
    </w:p>
    <w:p w14:paraId="3F7E4935" w14:textId="77777777" w:rsidR="00EC528D" w:rsidRPr="00737A45" w:rsidRDefault="00EC528D" w:rsidP="00EC528D">
      <w:pPr>
        <w:spacing w:after="120" w:line="276" w:lineRule="auto"/>
        <w:ind w:firstLine="709"/>
        <w:jc w:val="both"/>
        <w:rPr>
          <w:rFonts w:ascii="Century Gothic" w:eastAsia="Times New Roman" w:hAnsi="Century Gothic" w:cs="Arial"/>
          <w:lang w:val="es-ES_tradnl" w:eastAsia="es-MX"/>
        </w:rPr>
      </w:pPr>
      <w:r w:rsidRPr="00737A45">
        <w:rPr>
          <w:rFonts w:ascii="Century Gothic" w:eastAsia="Times New Roman" w:hAnsi="Century Gothic" w:cs="Arial"/>
          <w:lang w:val="es-ES_tradnl" w:eastAsia="es-MX"/>
        </w:rPr>
        <w:lastRenderedPageBreak/>
        <w:t>En cuanto a la responsabilidad de la elaboración de los estudios y documentos previos, corresponde a “la oficina, dependencia o departamento que tenga la necesidad de que se celebre el contrato”, de acuerdo con “las instrucciones y procedimientos establecidos en el Manual de Contratación de la Entidad, en el marco de la Ley y los reglamentos vigentes”</w:t>
      </w:r>
      <w:r w:rsidRPr="00737A45">
        <w:rPr>
          <w:rFonts w:ascii="Century Gothic" w:eastAsia="Times New Roman" w:hAnsi="Century Gothic" w:cs="Arial"/>
          <w:vertAlign w:val="superscript"/>
          <w:lang w:val="es-ES_tradnl" w:eastAsia="es-MX"/>
        </w:rPr>
        <w:footnoteReference w:id="6"/>
      </w:r>
      <w:r w:rsidRPr="00737A45">
        <w:rPr>
          <w:rFonts w:ascii="Century Gothic" w:eastAsia="Times New Roman" w:hAnsi="Century Gothic" w:cs="Arial"/>
          <w:lang w:val="es-ES_tradnl" w:eastAsia="es-MX"/>
        </w:rPr>
        <w:t xml:space="preserve">. De esta manera, de conformidad con la estructura interna de cada entidad, la elaboración de los estudios previos corresponderá al funcionario responsable de la dependencia </w:t>
      </w:r>
      <w:r w:rsidRPr="00737A45">
        <w:rPr>
          <w:rFonts w:ascii="Century Gothic" w:eastAsia="Times New Roman" w:hAnsi="Century Gothic" w:cs="Arial"/>
          <w:spacing w:val="2"/>
          <w:lang w:val="es-ES_tradnl" w:eastAsia="es-MX"/>
        </w:rPr>
        <w:t xml:space="preserve">con </w:t>
      </w:r>
      <w:r w:rsidRPr="00737A45">
        <w:rPr>
          <w:rFonts w:ascii="Century Gothic" w:eastAsia="Times New Roman" w:hAnsi="Century Gothic" w:cs="Arial"/>
          <w:lang w:val="es-ES_tradnl" w:eastAsia="es-MX"/>
        </w:rPr>
        <w:t>la necesidad a</w:t>
      </w:r>
      <w:r w:rsidRPr="00737A45">
        <w:rPr>
          <w:rFonts w:ascii="Century Gothic" w:eastAsia="Times New Roman" w:hAnsi="Century Gothic" w:cs="Arial"/>
          <w:spacing w:val="-4"/>
          <w:lang w:val="es-ES_tradnl" w:eastAsia="es-MX"/>
        </w:rPr>
        <w:t xml:space="preserve"> </w:t>
      </w:r>
      <w:r w:rsidRPr="00737A45">
        <w:rPr>
          <w:rFonts w:ascii="Century Gothic" w:eastAsia="Times New Roman" w:hAnsi="Century Gothic" w:cs="Arial"/>
          <w:lang w:val="es-ES_tradnl" w:eastAsia="es-MX"/>
        </w:rPr>
        <w:t>satisfacer.</w:t>
      </w:r>
    </w:p>
    <w:p w14:paraId="1C58ABA0" w14:textId="37667F4A" w:rsidR="00D347F3" w:rsidRPr="00737A45" w:rsidRDefault="0059010A" w:rsidP="2A9C2A61">
      <w:pPr>
        <w:spacing w:before="120" w:after="120" w:line="276" w:lineRule="auto"/>
        <w:ind w:firstLine="709"/>
        <w:jc w:val="both"/>
        <w:rPr>
          <w:rFonts w:ascii="Century Gothic" w:eastAsia="Times New Roman" w:hAnsi="Century Gothic" w:cs="Arial"/>
          <w:lang w:val="es-ES" w:eastAsia="es-MX"/>
        </w:rPr>
      </w:pPr>
      <w:r w:rsidRPr="2A9C2A61">
        <w:rPr>
          <w:rFonts w:ascii="Century Gothic" w:eastAsia="Times New Roman" w:hAnsi="Century Gothic" w:cs="Arial"/>
          <w:lang w:val="es-ES" w:eastAsia="es-MX"/>
        </w:rPr>
        <w:t>Ahora bien, el numeral 12 del artículo 25 de la Ley 80 de 1993, antes citado, establece el deber de las entidades de realizar estudios previos en dos (2) momentos específicos: i) previo a la apertura de un proceso de selección y ii) previo a la firma del contrato en el caso en que la modalidad de selección sea contratación directa.</w:t>
      </w:r>
    </w:p>
    <w:p w14:paraId="00F580B9" w14:textId="77777777" w:rsidR="000C2386" w:rsidRPr="00737A45" w:rsidRDefault="000C2386" w:rsidP="000C2386">
      <w:pPr>
        <w:spacing w:after="120" w:line="276" w:lineRule="auto"/>
        <w:ind w:firstLine="709"/>
        <w:jc w:val="both"/>
        <w:rPr>
          <w:rFonts w:ascii="Century Gothic" w:eastAsia="Calibri" w:hAnsi="Century Gothic" w:cs="Arial"/>
          <w:lang w:val="es-ES" w:eastAsia="es-MX"/>
        </w:rPr>
      </w:pPr>
      <w:r w:rsidRPr="00737A45">
        <w:rPr>
          <w:rFonts w:ascii="Century Gothic" w:eastAsia="Times New Roman" w:hAnsi="Century Gothic" w:cs="Arial"/>
          <w:lang w:val="es-ES" w:eastAsia="es-MX"/>
        </w:rPr>
        <w:t xml:space="preserve">Por otra parte, conforme se desprende de los numerales 2 y 4 del artículo 2.2.1.1.2.1.1 del Decreto 1082 de 2015, uno de los aspectos principales que deben abarcar los estudios previos es la determinación del objeto a contratar con sus especificaciones y el valor estimado del contrato aparejado de su respectiva justificación. </w:t>
      </w:r>
      <w:r w:rsidRPr="00737A45">
        <w:rPr>
          <w:rFonts w:ascii="Century Gothic" w:eastAsia="Calibri" w:hAnsi="Century Gothic" w:cs="Arial"/>
          <w:lang w:val="es-ES" w:eastAsia="es-MX"/>
        </w:rPr>
        <w:t xml:space="preserve">Para estos efectos resulta relevante </w:t>
      </w:r>
      <w:bookmarkStart w:id="7" w:name="_Hlk139465916"/>
      <w:r w:rsidRPr="00737A45">
        <w:rPr>
          <w:rFonts w:ascii="Century Gothic" w:eastAsia="Calibri" w:hAnsi="Century Gothic" w:cs="Arial"/>
          <w:lang w:val="es-ES" w:eastAsia="es-MX"/>
        </w:rPr>
        <w:t xml:space="preserve">la información recolectada en el marco del </w:t>
      </w:r>
      <w:r w:rsidRPr="00737A45">
        <w:rPr>
          <w:rFonts w:ascii="Century Gothic" w:eastAsia="Calibri" w:hAnsi="Century Gothic" w:cs="Arial"/>
          <w:i/>
          <w:iCs/>
          <w:lang w:val="es-ES" w:eastAsia="es-MX"/>
        </w:rPr>
        <w:t>estudio del mercado</w:t>
      </w:r>
      <w:r w:rsidRPr="00737A45">
        <w:rPr>
          <w:rFonts w:ascii="Century Gothic" w:eastAsia="Calibri" w:hAnsi="Century Gothic" w:cs="Arial"/>
          <w:lang w:val="es-ES" w:eastAsia="es-MX"/>
        </w:rPr>
        <w:t xml:space="preserve"> y el análisis del sector económico y de los potenciales oferentes, actividades de planeación previa que sirven para identificar aspectos concretos del mercado que pueden afectar el proceso de selección o las condiciones del negocio a realizar mediante el proceso de contratación. En este sentido, el análisis del sector de las perspectivas legal, comercial, financiera, organizacional, técnica, y de análisis de Riesgo, al que se refiere el artículo </w:t>
      </w:r>
      <w:bookmarkStart w:id="8" w:name="_Hlk36117416"/>
      <w:r w:rsidRPr="00737A45">
        <w:rPr>
          <w:rFonts w:ascii="Century Gothic" w:eastAsia="Calibri" w:hAnsi="Century Gothic" w:cs="Arial"/>
          <w:lang w:val="es-ES" w:eastAsia="es-MX"/>
        </w:rPr>
        <w:t>2.2.1.1.1.6.1 del Decreto 1082 de 2015</w:t>
      </w:r>
      <w:bookmarkEnd w:id="8"/>
      <w:r w:rsidRPr="00737A45">
        <w:rPr>
          <w:rFonts w:ascii="Century Gothic" w:eastAsia="Calibri" w:hAnsi="Century Gothic" w:cs="Arial"/>
          <w:lang w:val="es-ES" w:eastAsia="es-MX"/>
        </w:rPr>
        <w:t>, constituye un insumo importante para determinar factores que pudieran determinar el valor del contrato y orientar a la entidad en torno al monto de la disponibilidad presupuestal que requiere a realizar la contratación</w:t>
      </w:r>
      <w:bookmarkEnd w:id="7"/>
      <w:r w:rsidRPr="00737A45">
        <w:rPr>
          <w:rFonts w:ascii="Century Gothic" w:eastAsia="Calibri" w:hAnsi="Century Gothic" w:cs="Arial"/>
          <w:vertAlign w:val="superscript"/>
          <w:lang w:val="es-ES" w:eastAsia="es-MX"/>
        </w:rPr>
        <w:footnoteReference w:id="7"/>
      </w:r>
      <w:r w:rsidRPr="00737A45">
        <w:rPr>
          <w:rFonts w:ascii="Century Gothic" w:eastAsia="Calibri" w:hAnsi="Century Gothic" w:cs="Arial"/>
          <w:lang w:val="es-ES" w:eastAsia="es-MX"/>
        </w:rPr>
        <w:t xml:space="preserve">.  </w:t>
      </w:r>
    </w:p>
    <w:p w14:paraId="646A4841" w14:textId="5F1C328A" w:rsidR="00B94CF0" w:rsidRPr="00737A45" w:rsidRDefault="00B94CF0" w:rsidP="00B94CF0">
      <w:pPr>
        <w:spacing w:after="120" w:line="276" w:lineRule="auto"/>
        <w:ind w:firstLine="709"/>
        <w:jc w:val="both"/>
        <w:rPr>
          <w:rFonts w:ascii="Century Gothic" w:eastAsia="Calibri" w:hAnsi="Century Gothic" w:cs="Arial"/>
          <w:lang w:val="es-ES" w:eastAsia="es-MX"/>
        </w:rPr>
      </w:pPr>
      <w:r w:rsidRPr="00737A45">
        <w:rPr>
          <w:rFonts w:ascii="Century Gothic" w:eastAsia="Calibri" w:hAnsi="Century Gothic" w:cs="Arial"/>
          <w:lang w:val="es-ES" w:eastAsia="es-MX"/>
        </w:rPr>
        <w:t xml:space="preserve">De acuerdo con la norma citada, la entidad debe realizar el análisis necesario para conocer el sector relativo al objeto del </w:t>
      </w:r>
      <w:r w:rsidR="00B717DA" w:rsidRPr="00737A45">
        <w:rPr>
          <w:rFonts w:ascii="Century Gothic" w:eastAsia="Calibri" w:hAnsi="Century Gothic" w:cs="Arial"/>
          <w:lang w:val="es-ES" w:eastAsia="es-MX"/>
        </w:rPr>
        <w:t>p</w:t>
      </w:r>
      <w:r w:rsidRPr="00737A45">
        <w:rPr>
          <w:rFonts w:ascii="Century Gothic" w:eastAsia="Calibri" w:hAnsi="Century Gothic" w:cs="Arial"/>
          <w:lang w:val="es-ES" w:eastAsia="es-MX"/>
        </w:rPr>
        <w:t xml:space="preserve">roceso de </w:t>
      </w:r>
      <w:r w:rsidR="00B717DA" w:rsidRPr="00737A45">
        <w:rPr>
          <w:rFonts w:ascii="Century Gothic" w:eastAsia="Calibri" w:hAnsi="Century Gothic" w:cs="Arial"/>
          <w:lang w:val="es-ES" w:eastAsia="es-MX"/>
        </w:rPr>
        <w:t>c</w:t>
      </w:r>
      <w:r w:rsidRPr="00737A45">
        <w:rPr>
          <w:rFonts w:ascii="Century Gothic" w:eastAsia="Calibri" w:hAnsi="Century Gothic" w:cs="Arial"/>
          <w:lang w:val="es-ES" w:eastAsia="es-MX"/>
        </w:rPr>
        <w:t xml:space="preserve">ontratación, sin que sea relevante la modalidad de selección. Hacer un análisis desde la perspectiva legal implica la revisión de la regulación vigente para el mercado dentro del que se encuentra el objeto del contrato. La perspectiva comercial hace </w:t>
      </w:r>
      <w:r w:rsidRPr="00737A45">
        <w:rPr>
          <w:rFonts w:ascii="Century Gothic" w:eastAsia="Calibri" w:hAnsi="Century Gothic" w:cs="Arial"/>
          <w:lang w:val="es-ES" w:eastAsia="es-MX"/>
        </w:rPr>
        <w:lastRenderedPageBreak/>
        <w:t>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63F40788" w14:textId="38D5A166" w:rsidR="00556C08" w:rsidRPr="00737A45" w:rsidRDefault="00556C08" w:rsidP="2A9C2A61">
      <w:pPr>
        <w:spacing w:after="120" w:line="276" w:lineRule="auto"/>
        <w:ind w:firstLine="709"/>
        <w:jc w:val="both"/>
        <w:rPr>
          <w:rFonts w:ascii="Century Gothic" w:eastAsia="Calibri" w:hAnsi="Century Gothic" w:cs="Arial"/>
          <w:lang w:val="es-ES" w:eastAsia="es-MX"/>
        </w:rPr>
      </w:pPr>
      <w:r w:rsidRPr="2A9C2A61">
        <w:rPr>
          <w:rFonts w:ascii="Century Gothic" w:eastAsia="Calibri" w:hAnsi="Century Gothic" w:cs="Arial"/>
          <w:lang w:val="es-ES" w:eastAsia="es-MX"/>
        </w:rPr>
        <w:t xml:space="preserve">Si bien la normativa en materia de contratación estatal establece la obligatoriedad de realizar el análisis necesario para conocer el sector relativo al objeto del </w:t>
      </w:r>
      <w:r w:rsidR="00B717DA" w:rsidRPr="2A9C2A61">
        <w:rPr>
          <w:rFonts w:ascii="Century Gothic" w:eastAsia="Calibri" w:hAnsi="Century Gothic" w:cs="Arial"/>
          <w:lang w:val="es-ES" w:eastAsia="es-MX"/>
        </w:rPr>
        <w:t>p</w:t>
      </w:r>
      <w:r w:rsidRPr="2A9C2A61">
        <w:rPr>
          <w:rFonts w:ascii="Century Gothic" w:eastAsia="Calibri" w:hAnsi="Century Gothic" w:cs="Arial"/>
          <w:lang w:val="es-ES" w:eastAsia="es-MX"/>
        </w:rPr>
        <w:t xml:space="preserve">roceso de </w:t>
      </w:r>
      <w:r w:rsidR="00B717DA" w:rsidRPr="2A9C2A61">
        <w:rPr>
          <w:rFonts w:ascii="Century Gothic" w:eastAsia="Calibri" w:hAnsi="Century Gothic" w:cs="Arial"/>
          <w:lang w:val="es-ES" w:eastAsia="es-MX"/>
        </w:rPr>
        <w:t>c</w:t>
      </w:r>
      <w:r w:rsidRPr="2A9C2A61">
        <w:rPr>
          <w:rFonts w:ascii="Century Gothic" w:eastAsia="Calibri" w:hAnsi="Century Gothic" w:cs="Arial"/>
          <w:lang w:val="es-ES" w:eastAsia="es-MX"/>
        </w:rPr>
        <w:t xml:space="preserve">ontratación, no determinan un procedimiento específico para efectuar dicho análisis por lo que las entidades </w:t>
      </w:r>
      <w:r w:rsidRPr="2A9C2A61">
        <w:rPr>
          <w:rFonts w:ascii="Century Gothic" w:eastAsia="Times New Roman" w:hAnsi="Century Gothic" w:cs="Arial"/>
          <w:lang w:val="es-ES" w:eastAsia="es-CO"/>
        </w:rPr>
        <w:t xml:space="preserve">son autónomas para estructurarlo, </w:t>
      </w:r>
      <w:r w:rsidR="00B717DA" w:rsidRPr="2A9C2A61">
        <w:rPr>
          <w:rFonts w:ascii="Century Gothic" w:eastAsia="Times New Roman" w:hAnsi="Century Gothic" w:cs="Arial"/>
          <w:lang w:val="es-ES" w:eastAsia="es-CO"/>
        </w:rPr>
        <w:t xml:space="preserve">pero </w:t>
      </w:r>
      <w:r w:rsidRPr="2A9C2A61">
        <w:rPr>
          <w:rFonts w:ascii="Century Gothic" w:eastAsia="Times New Roman" w:hAnsi="Century Gothic" w:cs="Arial"/>
          <w:lang w:val="es-ES" w:eastAsia="es-CO"/>
        </w:rPr>
        <w:t xml:space="preserve">deberán cumplir lo dispuesto en el artículo </w:t>
      </w:r>
      <w:r w:rsidRPr="2A9C2A61">
        <w:rPr>
          <w:rFonts w:ascii="Century Gothic" w:eastAsia="Calibri" w:hAnsi="Century Gothic" w:cs="Arial"/>
          <w:lang w:val="es-ES" w:eastAsia="es-MX"/>
        </w:rPr>
        <w:t xml:space="preserve">2.2.1.1.1.6.1 del Decreto 1082 de 2015 y realizar un análisis integral de planeación que </w:t>
      </w:r>
      <w:r w:rsidRPr="2A9C2A61">
        <w:rPr>
          <w:rFonts w:ascii="Century Gothic" w:eastAsia="Times New Roman" w:hAnsi="Century Gothic" w:cs="Arial"/>
          <w:lang w:val="es-ES" w:eastAsia="es-MX"/>
        </w:rPr>
        <w:t xml:space="preserve">sirva de sustento a la decisión de realizar un </w:t>
      </w:r>
      <w:r w:rsidR="00B717DA" w:rsidRPr="2A9C2A61">
        <w:rPr>
          <w:rFonts w:ascii="Century Gothic" w:eastAsia="Times New Roman" w:hAnsi="Century Gothic" w:cs="Arial"/>
          <w:lang w:val="es-ES" w:eastAsia="es-MX"/>
        </w:rPr>
        <w:t>p</w:t>
      </w:r>
      <w:r w:rsidRPr="2A9C2A61">
        <w:rPr>
          <w:rFonts w:ascii="Century Gothic" w:eastAsia="Times New Roman" w:hAnsi="Century Gothic" w:cs="Arial"/>
          <w:lang w:val="es-ES" w:eastAsia="es-MX"/>
        </w:rPr>
        <w:t xml:space="preserve">roceso de </w:t>
      </w:r>
      <w:r w:rsidR="00B717DA" w:rsidRPr="2A9C2A61">
        <w:rPr>
          <w:rFonts w:ascii="Century Gothic" w:eastAsia="Times New Roman" w:hAnsi="Century Gothic" w:cs="Arial"/>
          <w:lang w:val="es-ES" w:eastAsia="es-MX"/>
        </w:rPr>
        <w:t>c</w:t>
      </w:r>
      <w:r w:rsidRPr="2A9C2A61">
        <w:rPr>
          <w:rFonts w:ascii="Century Gothic" w:eastAsia="Times New Roman" w:hAnsi="Century Gothic" w:cs="Arial"/>
          <w:lang w:val="es-ES" w:eastAsia="es-MX"/>
        </w:rPr>
        <w:t>ontratación.</w:t>
      </w:r>
    </w:p>
    <w:p w14:paraId="23D1D888" w14:textId="07E19750" w:rsidR="00556C08" w:rsidRPr="00737A45" w:rsidRDefault="00556C08" w:rsidP="00556C08">
      <w:pPr>
        <w:spacing w:after="120" w:line="276" w:lineRule="auto"/>
        <w:ind w:firstLine="709"/>
        <w:jc w:val="both"/>
        <w:rPr>
          <w:rFonts w:ascii="Century Gothic" w:eastAsia="Calibri" w:hAnsi="Century Gothic" w:cs="Arial"/>
          <w:bCs/>
          <w:szCs w:val="24"/>
          <w:lang w:val="es-ES" w:eastAsia="es-ES_tradnl"/>
        </w:rPr>
      </w:pPr>
      <w:bookmarkStart w:id="9" w:name="_Hlk139466113"/>
      <w:r w:rsidRPr="00737A45">
        <w:rPr>
          <w:rFonts w:ascii="Century Gothic" w:eastAsia="Calibri" w:hAnsi="Century Gothic" w:cs="Arial"/>
          <w:bCs/>
          <w:lang w:val="es-ES_tradnl" w:eastAsia="es-MX"/>
        </w:rPr>
        <w:t>La Agencia Nacional de Contratación Pública – Colombia Compra Eficiente dispone de una “Guía para la Elaboración de Estudios del Sector”</w:t>
      </w:r>
      <w:r w:rsidRPr="00737A45">
        <w:rPr>
          <w:rFonts w:ascii="Century Gothic" w:eastAsia="Times New Roman" w:hAnsi="Century Gothic" w:cs="Arial"/>
          <w:vertAlign w:val="superscript"/>
          <w:lang w:val="es-ES_tradnl" w:eastAsia="es-CO"/>
        </w:rPr>
        <w:t xml:space="preserve"> </w:t>
      </w:r>
      <w:r w:rsidRPr="00737A45">
        <w:rPr>
          <w:rFonts w:ascii="Century Gothic" w:eastAsia="Times New Roman" w:hAnsi="Century Gothic" w:cs="Arial"/>
          <w:vertAlign w:val="superscript"/>
          <w:lang w:val="es-ES_tradnl" w:eastAsia="es-CO"/>
        </w:rPr>
        <w:footnoteReference w:id="8"/>
      </w:r>
      <w:r w:rsidRPr="00737A45">
        <w:rPr>
          <w:rFonts w:ascii="Century Gothic" w:eastAsia="Calibri" w:hAnsi="Century Gothic" w:cs="Arial"/>
          <w:bCs/>
          <w:lang w:val="es-ES_tradnl" w:eastAsia="es-MX"/>
        </w:rPr>
        <w:t>,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w:t>
      </w:r>
      <w:bookmarkEnd w:id="9"/>
      <w:r w:rsidRPr="00737A45">
        <w:rPr>
          <w:rFonts w:ascii="Century Gothic" w:eastAsia="Calibri" w:hAnsi="Century Gothic" w:cs="Arial"/>
          <w:bCs/>
          <w:lang w:val="es-ES_tradnl" w:eastAsia="es-MX"/>
        </w:rPr>
        <w:t xml:space="preserve"> </w:t>
      </w:r>
      <w:r w:rsidRPr="00737A45">
        <w:rPr>
          <w:rFonts w:ascii="Century Gothic" w:eastAsia="Calibri" w:hAnsi="Century Gothic" w:cs="Arial"/>
          <w:bCs/>
          <w:szCs w:val="24"/>
          <w:lang w:val="es-ES_tradnl" w:eastAsia="es-ES_tradnl"/>
        </w:rPr>
        <w:t>Esta Guía es un insumo para realizar el estudio del sector relativo al Proceso de Contratación, ya que comprende pautas sobre los aspectos generales del mercado, el análisis de la demanda y de la oferta y constituye un instrumento de orientación, por lo que –al carecer de fuerza vinculante– su aplicación no exime a las entidades de acatar las normas vigentes. De este modo, la Guía contiene</w:t>
      </w:r>
      <w:r w:rsidRPr="00737A45">
        <w:rPr>
          <w:rFonts w:ascii="Century Gothic" w:eastAsia="Calibri" w:hAnsi="Century Gothic" w:cs="Arial"/>
          <w:bCs/>
          <w:szCs w:val="24"/>
          <w:lang w:val="es-ES" w:eastAsia="es-ES_tradnl"/>
        </w:rPr>
        <w:t xml:space="preserve"> recomendaciones generales por lo que no debe aplicarse de manera mecánica, pues la profundidad del estudio del sector depende de la complejidad y particularidades de cada Proceso de Contratación. </w:t>
      </w:r>
      <w:r w:rsidR="00196800" w:rsidRPr="00737A45">
        <w:rPr>
          <w:rFonts w:ascii="Century Gothic" w:eastAsia="Calibri" w:hAnsi="Century Gothic" w:cs="Arial"/>
          <w:bCs/>
          <w:szCs w:val="24"/>
          <w:lang w:val="es-ES" w:eastAsia="es-ES_tradnl"/>
        </w:rPr>
        <w:t>e</w:t>
      </w:r>
    </w:p>
    <w:p w14:paraId="1345B507" w14:textId="06041684" w:rsidR="00EC528D" w:rsidRPr="00737A45" w:rsidRDefault="00C95D89" w:rsidP="008C18DD">
      <w:pPr>
        <w:spacing w:after="0" w:line="276" w:lineRule="auto"/>
        <w:ind w:firstLine="709"/>
        <w:jc w:val="both"/>
        <w:rPr>
          <w:rFonts w:ascii="Century Gothic" w:eastAsia="Times New Roman" w:hAnsi="Century Gothic" w:cs="Arial"/>
          <w:lang w:val="es-ES_tradnl" w:eastAsia="es-MX"/>
        </w:rPr>
      </w:pPr>
      <w:r w:rsidRPr="00737A45">
        <w:rPr>
          <w:rFonts w:ascii="Century Gothic" w:eastAsia="Times New Roman" w:hAnsi="Century Gothic" w:cs="Arial"/>
          <w:lang w:val="es-ES_tradnl" w:eastAsia="es-MX"/>
        </w:rPr>
        <w:t>Finalmente, se concluye que</w:t>
      </w:r>
      <w:r w:rsidR="002E56D6" w:rsidRPr="00737A45">
        <w:rPr>
          <w:rFonts w:ascii="Century Gothic" w:eastAsia="Times New Roman" w:hAnsi="Century Gothic" w:cs="Arial"/>
          <w:lang w:val="es-ES_tradnl" w:eastAsia="es-MX"/>
        </w:rPr>
        <w:t xml:space="preserve"> el análisis del sector parte de un </w:t>
      </w:r>
      <w:r w:rsidR="00196800" w:rsidRPr="00737A45">
        <w:rPr>
          <w:rFonts w:ascii="Century Gothic" w:eastAsia="Times New Roman" w:hAnsi="Century Gothic" w:cs="Arial"/>
          <w:lang w:val="es-ES_tradnl" w:eastAsia="es-MX"/>
        </w:rPr>
        <w:t xml:space="preserve">estudio </w:t>
      </w:r>
      <w:r w:rsidR="002E56D6" w:rsidRPr="00737A45">
        <w:rPr>
          <w:rFonts w:ascii="Century Gothic" w:eastAsia="Times New Roman" w:hAnsi="Century Gothic" w:cs="Arial"/>
          <w:lang w:val="es-ES_tradnl" w:eastAsia="es-MX"/>
        </w:rPr>
        <w:t>des</w:t>
      </w:r>
      <w:r w:rsidR="0081458B" w:rsidRPr="00737A45">
        <w:rPr>
          <w:rFonts w:ascii="Century Gothic" w:eastAsia="Times New Roman" w:hAnsi="Century Gothic" w:cs="Arial"/>
          <w:lang w:val="es-ES_tradnl" w:eastAsia="es-MX"/>
        </w:rPr>
        <w:t>de una perspectiva multi</w:t>
      </w:r>
      <w:r w:rsidR="00196800" w:rsidRPr="00737A45">
        <w:rPr>
          <w:rFonts w:ascii="Century Gothic" w:eastAsia="Times New Roman" w:hAnsi="Century Gothic" w:cs="Arial"/>
          <w:lang w:val="es-ES_tradnl" w:eastAsia="es-MX"/>
        </w:rPr>
        <w:t xml:space="preserve">disciplinaria, que implica los aspectos generales del mercado, el análisis de la demanda y de la oferta, así como el estudio del mercado que le permite a la entidad entender el </w:t>
      </w:r>
      <w:r w:rsidR="00E849CB" w:rsidRPr="00737A45">
        <w:rPr>
          <w:rFonts w:ascii="Century Gothic" w:eastAsia="Times New Roman" w:hAnsi="Century Gothic" w:cs="Arial"/>
          <w:lang w:val="es-ES_tradnl" w:eastAsia="es-MX"/>
        </w:rPr>
        <w:t xml:space="preserve">mercado del bien, obra o servicio que pretenden </w:t>
      </w:r>
      <w:r w:rsidR="00E849CB" w:rsidRPr="00737A45">
        <w:rPr>
          <w:rFonts w:ascii="Century Gothic" w:eastAsia="Times New Roman" w:hAnsi="Century Gothic" w:cs="Arial"/>
          <w:lang w:val="es-ES_tradnl" w:eastAsia="es-MX"/>
        </w:rPr>
        <w:lastRenderedPageBreak/>
        <w:t>adquirir, así como identificar los factores que inciden en el valor del contrato, tales como  el análisis del precios, las cargas tributarias, la tasa de cambio, las garantías, los gastos de transporte, etc</w:t>
      </w:r>
      <w:r w:rsidR="00122BB0" w:rsidRPr="00737A45">
        <w:rPr>
          <w:rFonts w:ascii="Century Gothic" w:eastAsia="Times New Roman" w:hAnsi="Century Gothic" w:cs="Arial"/>
          <w:lang w:val="es-ES_tradnl" w:eastAsia="es-MX"/>
        </w:rPr>
        <w:t>. Este análisis se debe consignar en los Documentos del Proceso, bien sea en los estudios previos o en la información soporte de estos.</w:t>
      </w:r>
    </w:p>
    <w:p w14:paraId="5C884552" w14:textId="77777777" w:rsidR="00A32333" w:rsidRPr="00737A45" w:rsidRDefault="00A32333" w:rsidP="008C18DD">
      <w:pPr>
        <w:spacing w:after="0" w:line="276" w:lineRule="auto"/>
        <w:ind w:firstLine="709"/>
        <w:jc w:val="both"/>
        <w:rPr>
          <w:rFonts w:ascii="Century Gothic" w:eastAsia="Arial" w:hAnsi="Century Gothic" w:cs="Arial"/>
        </w:rPr>
      </w:pPr>
    </w:p>
    <w:p w14:paraId="10A964ED" w14:textId="6C465233" w:rsidR="00237655" w:rsidRPr="00737A45" w:rsidRDefault="005B4D3E" w:rsidP="008C18DD">
      <w:pPr>
        <w:spacing w:after="0" w:line="276" w:lineRule="auto"/>
        <w:jc w:val="both"/>
        <w:rPr>
          <w:rFonts w:ascii="Century Gothic" w:eastAsia="Arial" w:hAnsi="Century Gothic" w:cs="Arial"/>
          <w:b/>
          <w:bCs/>
        </w:rPr>
      </w:pPr>
      <w:r w:rsidRPr="00737A45">
        <w:rPr>
          <w:rFonts w:ascii="Century Gothic" w:eastAsia="Arial" w:hAnsi="Century Gothic" w:cs="Arial"/>
          <w:b/>
          <w:bCs/>
        </w:rPr>
        <w:t xml:space="preserve">2.2. </w:t>
      </w:r>
      <w:r w:rsidR="00E467A9" w:rsidRPr="00737A45">
        <w:rPr>
          <w:rFonts w:ascii="Century Gothic" w:eastAsia="Arial" w:hAnsi="Century Gothic" w:cs="Arial"/>
          <w:b/>
          <w:bCs/>
        </w:rPr>
        <w:t>Generalidades de</w:t>
      </w:r>
      <w:r w:rsidR="00237655" w:rsidRPr="00737A45">
        <w:rPr>
          <w:rFonts w:ascii="Century Gothic" w:eastAsia="Arial" w:hAnsi="Century Gothic" w:cs="Arial"/>
          <w:b/>
          <w:bCs/>
        </w:rPr>
        <w:t>l acta de inicio del contrato estatal. Reiteración de línea</w:t>
      </w:r>
    </w:p>
    <w:p w14:paraId="652586BE" w14:textId="77777777" w:rsidR="00237655" w:rsidRPr="00737A45" w:rsidRDefault="00237655" w:rsidP="008C18DD">
      <w:pPr>
        <w:spacing w:after="0" w:line="276" w:lineRule="auto"/>
        <w:jc w:val="both"/>
        <w:rPr>
          <w:rFonts w:ascii="Century Gothic" w:eastAsia="Arial" w:hAnsi="Century Gothic" w:cs="Arial"/>
          <w:b/>
          <w:bCs/>
        </w:rPr>
      </w:pPr>
    </w:p>
    <w:p w14:paraId="372AC8A5" w14:textId="09E152FE" w:rsidR="00237655" w:rsidRPr="00737A45" w:rsidRDefault="00FE7725" w:rsidP="008C18DD">
      <w:pPr>
        <w:spacing w:after="0" w:line="276" w:lineRule="auto"/>
        <w:jc w:val="both"/>
        <w:rPr>
          <w:rFonts w:ascii="Century Gothic" w:eastAsia="Arial" w:hAnsi="Century Gothic" w:cs="Arial"/>
        </w:rPr>
      </w:pPr>
      <w:r w:rsidRPr="00737A45">
        <w:rPr>
          <w:rFonts w:ascii="Century Gothic" w:eastAsia="Arial" w:hAnsi="Century Gothic" w:cs="Arial"/>
        </w:rPr>
        <w:t xml:space="preserve">El acta de inicio constituye </w:t>
      </w:r>
      <w:r w:rsidR="00DD55D2" w:rsidRPr="00737A45">
        <w:rPr>
          <w:rFonts w:ascii="Century Gothic" w:eastAsia="Arial" w:hAnsi="Century Gothic" w:cs="Arial"/>
        </w:rPr>
        <w:t xml:space="preserve">un requisito de ejecución convencional, que se pacta en </w:t>
      </w:r>
      <w:r w:rsidR="00E21A52" w:rsidRPr="00737A45">
        <w:rPr>
          <w:rFonts w:ascii="Century Gothic" w:eastAsia="Arial" w:hAnsi="Century Gothic" w:cs="Arial"/>
        </w:rPr>
        <w:t>la</w:t>
      </w:r>
      <w:r w:rsidR="00DD55D2" w:rsidRPr="00737A45">
        <w:rPr>
          <w:rFonts w:ascii="Century Gothic" w:eastAsia="Arial" w:hAnsi="Century Gothic" w:cs="Arial"/>
        </w:rPr>
        <w:t xml:space="preserve"> minuta del contrato o que el contratista acepta, </w:t>
      </w:r>
      <w:r w:rsidR="00EE3E1B" w:rsidRPr="00737A45">
        <w:rPr>
          <w:rFonts w:ascii="Century Gothic" w:eastAsia="Arial" w:hAnsi="Century Gothic" w:cs="Arial"/>
        </w:rPr>
        <w:t xml:space="preserve">adhiriéndose </w:t>
      </w:r>
      <w:r w:rsidR="00E21A52" w:rsidRPr="00737A45">
        <w:rPr>
          <w:rFonts w:ascii="Century Gothic" w:eastAsia="Arial" w:hAnsi="Century Gothic" w:cs="Arial"/>
        </w:rPr>
        <w:t>al clausulado del pliego de condiciones o documento equivalente.</w:t>
      </w:r>
      <w:r w:rsidR="00EF3F50" w:rsidRPr="00737A45">
        <w:rPr>
          <w:rFonts w:ascii="Century Gothic" w:eastAsia="Arial" w:hAnsi="Century Gothic" w:cs="Arial"/>
        </w:rPr>
        <w:t xml:space="preserve"> Sin embargo, en el </w:t>
      </w:r>
      <w:r w:rsidR="005F739B" w:rsidRPr="00737A45">
        <w:rPr>
          <w:rFonts w:ascii="Century Gothic" w:eastAsia="Arial" w:hAnsi="Century Gothic" w:cs="Arial"/>
        </w:rPr>
        <w:t>lenguaje de la contratación estatal</w:t>
      </w:r>
      <w:r w:rsidR="00004E05" w:rsidRPr="00737A45">
        <w:rPr>
          <w:rFonts w:ascii="Century Gothic" w:eastAsia="Arial" w:hAnsi="Century Gothic" w:cs="Arial"/>
        </w:rPr>
        <w:t>, el acta de inicio es un documento en el que se fija la fecha en la que comienza el cómputo del plazo del c</w:t>
      </w:r>
      <w:r w:rsidR="00854775" w:rsidRPr="00737A45">
        <w:rPr>
          <w:rFonts w:ascii="Century Gothic" w:eastAsia="Arial" w:hAnsi="Century Gothic" w:cs="Arial"/>
        </w:rPr>
        <w:t xml:space="preserve">ontrato, una vez cumplidos los requisitos legales para </w:t>
      </w:r>
      <w:r w:rsidR="00B56237" w:rsidRPr="00737A45">
        <w:rPr>
          <w:rFonts w:ascii="Century Gothic" w:eastAsia="Arial" w:hAnsi="Century Gothic" w:cs="Arial"/>
        </w:rPr>
        <w:t>el inicio</w:t>
      </w:r>
      <w:r w:rsidR="00B37901" w:rsidRPr="00737A45">
        <w:rPr>
          <w:rFonts w:ascii="Century Gothic" w:eastAsia="Arial" w:hAnsi="Century Gothic" w:cs="Arial"/>
        </w:rPr>
        <w:t xml:space="preserve"> de la ejecución del contrato. Es por ello</w:t>
      </w:r>
      <w:r w:rsidR="00B16A29" w:rsidRPr="00737A45">
        <w:rPr>
          <w:rFonts w:ascii="Century Gothic" w:eastAsia="Arial" w:hAnsi="Century Gothic" w:cs="Arial"/>
        </w:rPr>
        <w:t>,</w:t>
      </w:r>
      <w:r w:rsidR="00B37901" w:rsidRPr="00737A45">
        <w:rPr>
          <w:rFonts w:ascii="Century Gothic" w:eastAsia="Arial" w:hAnsi="Century Gothic" w:cs="Arial"/>
        </w:rPr>
        <w:t xml:space="preserve"> que la suscripción del acta de inici</w:t>
      </w:r>
      <w:r w:rsidR="00252BBB" w:rsidRPr="00737A45">
        <w:rPr>
          <w:rFonts w:ascii="Century Gothic" w:eastAsia="Arial" w:hAnsi="Century Gothic" w:cs="Arial"/>
        </w:rPr>
        <w:t xml:space="preserve">o </w:t>
      </w:r>
      <w:r w:rsidR="00162C66" w:rsidRPr="00737A45">
        <w:rPr>
          <w:rFonts w:ascii="Century Gothic" w:eastAsia="Arial" w:hAnsi="Century Gothic" w:cs="Arial"/>
        </w:rPr>
        <w:t>usualmente se pacta en la cláusula del plazo, estableciendo que la fecha de la firma de tal documento será el hito que determinará desde cuándo comenzarán a contabilizarse los días, meses o años que se hayan estipulado como período para el cumplimiento del objeto del contrato.</w:t>
      </w:r>
    </w:p>
    <w:p w14:paraId="1954C46B" w14:textId="450B3744" w:rsidR="00644D46" w:rsidRPr="00737A45" w:rsidRDefault="00644D46" w:rsidP="00644D46">
      <w:pPr>
        <w:spacing w:before="120" w:after="0" w:line="276" w:lineRule="auto"/>
        <w:jc w:val="both"/>
        <w:rPr>
          <w:rFonts w:ascii="Century Gothic" w:eastAsia="Arial" w:hAnsi="Century Gothic" w:cs="Arial"/>
        </w:rPr>
      </w:pPr>
      <w:r w:rsidRPr="00737A45">
        <w:rPr>
          <w:rFonts w:ascii="Century Gothic" w:eastAsia="Arial" w:hAnsi="Century Gothic" w:cs="Arial"/>
        </w:rPr>
        <w:tab/>
        <w:t xml:space="preserve">El fundamento legal que habilita a las partes para establecer la suscripción del acta de inicio como un requisito de ejecución </w:t>
      </w:r>
      <w:r w:rsidR="00FF5BC9" w:rsidRPr="00737A45">
        <w:rPr>
          <w:rFonts w:ascii="Century Gothic" w:eastAsia="Arial" w:hAnsi="Century Gothic" w:cs="Arial"/>
        </w:rPr>
        <w:t>convencional, se</w:t>
      </w:r>
      <w:r w:rsidRPr="00737A45">
        <w:rPr>
          <w:rFonts w:ascii="Century Gothic" w:eastAsia="Arial" w:hAnsi="Century Gothic" w:cs="Arial"/>
        </w:rPr>
        <w:t xml:space="preserve"> encuentra en el segundo inciso del artículo 40 de la Ley 80 de 1993, el cual indica que “Las entidades podrán celebrar los contratos y acuerdos que permitan la autonomía de la voluntad y requieran el cumplimiento de los fines estatales”. Sin embargo, en el ejercicio de la autonomía de la voluntad las partes del contrato deben respetar las normas de orden público. En consecuencia, a pesar de que están facultadas para acordar cláusulas accidentales en el negocio jurídico, estas no pueden ir en contra de los mandatos contenidos en el </w:t>
      </w:r>
      <w:r w:rsidR="00FB4427" w:rsidRPr="00737A45">
        <w:rPr>
          <w:rFonts w:ascii="Century Gothic" w:eastAsia="Arial" w:hAnsi="Century Gothic" w:cs="Arial"/>
        </w:rPr>
        <w:t>EGCAP</w:t>
      </w:r>
      <w:r w:rsidR="00A94EBB" w:rsidRPr="00737A45">
        <w:rPr>
          <w:rFonts w:ascii="Century Gothic" w:eastAsia="Arial" w:hAnsi="Century Gothic" w:cs="Arial"/>
        </w:rPr>
        <w:t>.</w:t>
      </w:r>
      <w:r w:rsidRPr="00737A45">
        <w:rPr>
          <w:rFonts w:ascii="Century Gothic" w:eastAsia="Arial" w:hAnsi="Century Gothic" w:cs="Arial"/>
        </w:rPr>
        <w:t xml:space="preserve"> En tal sentido, teniendo en cuenta que el artículo 41 de la Ley 80 de 1993 establece que los requisitos legales de ejecución de los contratos estatales son </w:t>
      </w:r>
      <w:r w:rsidR="008B7BEF" w:rsidRPr="00737A45">
        <w:rPr>
          <w:rFonts w:ascii="Century Gothic" w:eastAsia="Arial" w:hAnsi="Century Gothic" w:cs="Arial"/>
          <w:i/>
          <w:iCs/>
        </w:rPr>
        <w:t xml:space="preserve">i) </w:t>
      </w:r>
      <w:r w:rsidRPr="00737A45">
        <w:rPr>
          <w:rFonts w:ascii="Century Gothic" w:eastAsia="Arial" w:hAnsi="Century Gothic" w:cs="Arial"/>
        </w:rPr>
        <w:t>la aprobación de las garantías,</w:t>
      </w:r>
      <w:r w:rsidR="008B7BEF" w:rsidRPr="00737A45">
        <w:rPr>
          <w:rFonts w:ascii="Century Gothic" w:eastAsia="Arial" w:hAnsi="Century Gothic" w:cs="Arial"/>
          <w:i/>
          <w:iCs/>
        </w:rPr>
        <w:t xml:space="preserve"> ii)</w:t>
      </w:r>
      <w:r w:rsidRPr="00737A45">
        <w:rPr>
          <w:rFonts w:ascii="Century Gothic" w:eastAsia="Arial" w:hAnsi="Century Gothic" w:cs="Arial"/>
          <w:i/>
          <w:iCs/>
        </w:rPr>
        <w:t xml:space="preserve"> </w:t>
      </w:r>
      <w:r w:rsidRPr="00737A45">
        <w:rPr>
          <w:rFonts w:ascii="Century Gothic" w:eastAsia="Arial" w:hAnsi="Century Gothic" w:cs="Arial"/>
        </w:rPr>
        <w:t xml:space="preserve">la apropiación presupuestal </w:t>
      </w:r>
      <w:r w:rsidRPr="00737A45">
        <w:rPr>
          <w:rFonts w:ascii="Century Gothic" w:eastAsia="Arial" w:hAnsi="Century Gothic" w:cs="Arial"/>
          <w:i/>
          <w:iCs/>
        </w:rPr>
        <w:t>y</w:t>
      </w:r>
      <w:r w:rsidR="008B7BEF" w:rsidRPr="00737A45">
        <w:rPr>
          <w:rFonts w:ascii="Century Gothic" w:eastAsia="Arial" w:hAnsi="Century Gothic" w:cs="Arial"/>
          <w:i/>
          <w:iCs/>
        </w:rPr>
        <w:t xml:space="preserve"> iii)</w:t>
      </w:r>
      <w:r w:rsidRPr="00737A45">
        <w:rPr>
          <w:rFonts w:ascii="Century Gothic" w:eastAsia="Arial" w:hAnsi="Century Gothic" w:cs="Arial"/>
          <w:i/>
          <w:iCs/>
        </w:rPr>
        <w:t xml:space="preserve"> </w:t>
      </w:r>
      <w:r w:rsidRPr="00737A45">
        <w:rPr>
          <w:rFonts w:ascii="Century Gothic" w:eastAsia="Arial" w:hAnsi="Century Gothic" w:cs="Arial"/>
        </w:rPr>
        <w:t xml:space="preserve">la acreditación del cumplimiento de las obligaciones con el Sistema de Seguridad Social Integral, las partes no pueden establecer que el contrato estatal comenzará su ejecución cuando se firme el acta de inicio </w:t>
      </w:r>
      <w:r w:rsidR="00B13104" w:rsidRPr="00737A45">
        <w:rPr>
          <w:rFonts w:ascii="Century Gothic" w:eastAsia="Arial" w:hAnsi="Century Gothic" w:cs="Arial"/>
        </w:rPr>
        <w:t>omitiendo</w:t>
      </w:r>
      <w:r w:rsidRPr="00737A45">
        <w:rPr>
          <w:rFonts w:ascii="Century Gothic" w:eastAsia="Arial" w:hAnsi="Century Gothic" w:cs="Arial"/>
        </w:rPr>
        <w:t xml:space="preserve"> las tres exigencias legales.</w:t>
      </w:r>
    </w:p>
    <w:p w14:paraId="50D12E29" w14:textId="4325C05C" w:rsidR="00162C66" w:rsidRPr="00737A45" w:rsidRDefault="001B43AA" w:rsidP="00162C66">
      <w:pPr>
        <w:spacing w:before="120" w:after="0" w:line="276" w:lineRule="auto"/>
        <w:jc w:val="both"/>
        <w:rPr>
          <w:rFonts w:ascii="Century Gothic" w:eastAsia="Arial" w:hAnsi="Century Gothic" w:cs="Arial"/>
        </w:rPr>
      </w:pPr>
      <w:r w:rsidRPr="00737A45">
        <w:rPr>
          <w:rFonts w:ascii="Century Gothic" w:eastAsia="Arial" w:hAnsi="Century Gothic" w:cs="Arial"/>
        </w:rPr>
        <w:tab/>
      </w:r>
      <w:r w:rsidR="00357A47" w:rsidRPr="00737A45">
        <w:rPr>
          <w:rFonts w:ascii="Century Gothic" w:eastAsia="Arial" w:hAnsi="Century Gothic" w:cs="Arial"/>
        </w:rPr>
        <w:t xml:space="preserve">Dicho de otra manera, el acta de inicio puede ser pactada como requisito para el comienzo del cómputo del plazo, pero la fecha que se defina en ella para iniciar la ejecución del contrato no puede ser anterior al cumplimiento de los requisitos de ejecución establecidos en la ley. </w:t>
      </w:r>
      <w:r w:rsidR="00CB7214" w:rsidRPr="00737A45">
        <w:rPr>
          <w:rFonts w:ascii="Century Gothic" w:eastAsia="Arial" w:hAnsi="Century Gothic" w:cs="Arial"/>
        </w:rPr>
        <w:t>Por ejemplo</w:t>
      </w:r>
      <w:r w:rsidR="00357A47" w:rsidRPr="00737A45">
        <w:rPr>
          <w:rFonts w:ascii="Century Gothic" w:eastAsia="Arial" w:hAnsi="Century Gothic" w:cs="Arial"/>
        </w:rPr>
        <w:t xml:space="preserve">, si las garantías no han </w:t>
      </w:r>
      <w:r w:rsidR="00357A47" w:rsidRPr="00737A45">
        <w:rPr>
          <w:rFonts w:ascii="Century Gothic" w:eastAsia="Arial" w:hAnsi="Century Gothic" w:cs="Arial"/>
        </w:rPr>
        <w:lastRenderedPageBreak/>
        <w:t xml:space="preserve">sido aprobadas por la </w:t>
      </w:r>
      <w:r w:rsidR="0001582D" w:rsidRPr="00737A45">
        <w:rPr>
          <w:rFonts w:ascii="Century Gothic" w:eastAsia="Arial" w:hAnsi="Century Gothic" w:cs="Arial"/>
        </w:rPr>
        <w:t>E</w:t>
      </w:r>
      <w:r w:rsidR="00357A47" w:rsidRPr="00737A45">
        <w:rPr>
          <w:rFonts w:ascii="Century Gothic" w:eastAsia="Arial" w:hAnsi="Century Gothic" w:cs="Arial"/>
        </w:rPr>
        <w:t xml:space="preserve">ntidad </w:t>
      </w:r>
      <w:r w:rsidR="0001582D" w:rsidRPr="00737A45">
        <w:rPr>
          <w:rFonts w:ascii="Century Gothic" w:eastAsia="Arial" w:hAnsi="Century Gothic" w:cs="Arial"/>
        </w:rPr>
        <w:t>E</w:t>
      </w:r>
      <w:r w:rsidR="00357A47" w:rsidRPr="00737A45">
        <w:rPr>
          <w:rFonts w:ascii="Century Gothic" w:eastAsia="Arial" w:hAnsi="Century Gothic" w:cs="Arial"/>
        </w:rPr>
        <w:t>statal, aún no se puede suscribir el acta de inicio, pues de lo contrario las partes estarían contrariando normas de orden público, que, como bien se ha señalado, son indisponibles. O</w:t>
      </w:r>
      <w:r w:rsidR="0001582D" w:rsidRPr="00737A45">
        <w:rPr>
          <w:rFonts w:ascii="Century Gothic" w:eastAsia="Arial" w:hAnsi="Century Gothic" w:cs="Arial"/>
        </w:rPr>
        <w:t>,</w:t>
      </w:r>
      <w:r w:rsidR="00357A47" w:rsidRPr="00737A45">
        <w:rPr>
          <w:rFonts w:ascii="Century Gothic" w:eastAsia="Arial" w:hAnsi="Century Gothic" w:cs="Arial"/>
        </w:rPr>
        <w:t xml:space="preserve"> si la fecha de expedición del registro presupuestal es el día de hoy, no puede establecerse como fecha de inicio de ejecución del contrato el día de ayer, porque lo que eso estaría indicando es que el contrato estatal comenzó su ejecución sin la apropiación presupuestal suficiente.</w:t>
      </w:r>
    </w:p>
    <w:p w14:paraId="2817BDE7" w14:textId="296294DF" w:rsidR="00644D46" w:rsidRPr="00737A45" w:rsidRDefault="003F12F5" w:rsidP="00F07A6F">
      <w:pPr>
        <w:spacing w:before="120" w:after="0" w:line="276" w:lineRule="auto"/>
        <w:jc w:val="both"/>
        <w:rPr>
          <w:rFonts w:ascii="Century Gothic" w:eastAsia="Arial" w:hAnsi="Century Gothic" w:cs="Arial"/>
        </w:rPr>
      </w:pPr>
      <w:r w:rsidRPr="00737A45">
        <w:rPr>
          <w:rFonts w:ascii="Century Gothic" w:eastAsia="Arial" w:hAnsi="Century Gothic" w:cs="Arial"/>
        </w:rPr>
        <w:tab/>
      </w:r>
      <w:r w:rsidR="00E072B4" w:rsidRPr="00737A45">
        <w:rPr>
          <w:rFonts w:ascii="Century Gothic" w:eastAsia="Arial" w:hAnsi="Century Gothic" w:cs="Arial"/>
        </w:rPr>
        <w:t>En consecuencia</w:t>
      </w:r>
      <w:r w:rsidRPr="00737A45">
        <w:rPr>
          <w:rFonts w:ascii="Century Gothic" w:eastAsia="Arial" w:hAnsi="Century Gothic" w:cs="Arial"/>
        </w:rPr>
        <w:t xml:space="preserve">, si se cumplen los requisitos legales consagrados en el </w:t>
      </w:r>
      <w:r w:rsidR="004E5AD5" w:rsidRPr="00737A45">
        <w:rPr>
          <w:rFonts w:ascii="Century Gothic" w:eastAsia="Arial" w:hAnsi="Century Gothic" w:cs="Arial"/>
        </w:rPr>
        <w:t xml:space="preserve">artículo 41 de la Ley 80 de 1993 y se inicia la ejecución sin firmar el acta de inicio, </w:t>
      </w:r>
      <w:r w:rsidR="00D46908" w:rsidRPr="00737A45">
        <w:rPr>
          <w:rFonts w:ascii="Century Gothic" w:eastAsia="Arial" w:hAnsi="Century Gothic" w:cs="Arial"/>
        </w:rPr>
        <w:t xml:space="preserve">bajo una justa causa, nada obsta para que </w:t>
      </w:r>
      <w:r w:rsidR="00077F66" w:rsidRPr="00737A45">
        <w:rPr>
          <w:rFonts w:ascii="Century Gothic" w:eastAsia="Arial" w:hAnsi="Century Gothic" w:cs="Arial"/>
        </w:rPr>
        <w:t>l</w:t>
      </w:r>
      <w:r w:rsidR="00D46908" w:rsidRPr="00737A45">
        <w:rPr>
          <w:rFonts w:ascii="Century Gothic" w:eastAsia="Arial" w:hAnsi="Century Gothic" w:cs="Arial"/>
        </w:rPr>
        <w:t>a entidad contratante determine según sean las circunstancias del caso concreto, omitir el requisito y continuar con la ejecución. Lo anterior, en atención a que se trata de un requisito que más que exigir una condición o calidad adicional por parte del contratista, s</w:t>
      </w:r>
      <w:r w:rsidR="008C2B12" w:rsidRPr="00737A45">
        <w:rPr>
          <w:rFonts w:ascii="Century Gothic" w:eastAsia="Arial" w:hAnsi="Century Gothic" w:cs="Arial"/>
        </w:rPr>
        <w:t>ó</w:t>
      </w:r>
      <w:r w:rsidR="00D46908" w:rsidRPr="00737A45">
        <w:rPr>
          <w:rFonts w:ascii="Century Gothic" w:eastAsia="Arial" w:hAnsi="Century Gothic" w:cs="Arial"/>
        </w:rPr>
        <w:t>lo pretende dar claridad del momento en que inicia la ejecución del contrat</w:t>
      </w:r>
      <w:r w:rsidR="00124920" w:rsidRPr="00737A45">
        <w:rPr>
          <w:rFonts w:ascii="Century Gothic" w:eastAsia="Arial" w:hAnsi="Century Gothic" w:cs="Arial"/>
        </w:rPr>
        <w:t>o, esto, respecto de sus efectos jurídicos y prácticos, lo cual también cuenta con otros medios de prueba.</w:t>
      </w:r>
    </w:p>
    <w:p w14:paraId="6DA288F6" w14:textId="77777777" w:rsidR="004F5D3E" w:rsidRPr="00737A45" w:rsidRDefault="004F5D3E" w:rsidP="004F5D3E">
      <w:pPr>
        <w:spacing w:after="0" w:line="276" w:lineRule="auto"/>
        <w:jc w:val="both"/>
        <w:rPr>
          <w:rFonts w:ascii="Century Gothic" w:eastAsia="Calibri" w:hAnsi="Century Gothic" w:cs="Arial"/>
          <w:bCs/>
          <w:lang w:val="es-ES_tradnl"/>
        </w:rPr>
      </w:pPr>
    </w:p>
    <w:p w14:paraId="17B3E8A2" w14:textId="5916787B" w:rsidR="004F5D3E" w:rsidRPr="00737A45" w:rsidRDefault="004F5D3E" w:rsidP="00F52219">
      <w:pPr>
        <w:spacing w:after="0" w:line="276" w:lineRule="auto"/>
        <w:jc w:val="both"/>
        <w:rPr>
          <w:rFonts w:ascii="Century Gothic" w:eastAsia="Calibri" w:hAnsi="Century Gothic" w:cs="Arial"/>
          <w:b/>
          <w:lang w:val="es-ES_tradnl"/>
        </w:rPr>
      </w:pPr>
      <w:r w:rsidRPr="00737A45">
        <w:rPr>
          <w:rFonts w:ascii="Century Gothic" w:eastAsia="Calibri" w:hAnsi="Century Gothic" w:cs="Arial"/>
          <w:b/>
          <w:lang w:val="es-ES_tradnl"/>
        </w:rPr>
        <w:t xml:space="preserve">2.3. </w:t>
      </w:r>
      <w:r w:rsidR="006C4E5E" w:rsidRPr="00737A45">
        <w:rPr>
          <w:rFonts w:ascii="Century Gothic" w:eastAsia="Calibri" w:hAnsi="Century Gothic" w:cs="Arial"/>
          <w:b/>
          <w:lang w:val="es-ES_tradnl"/>
        </w:rPr>
        <w:t>Obligatoriedad de las Entidades Estatales de identificar a las personas naturales o jurídicas que participan de sus procesos de contratación</w:t>
      </w:r>
      <w:r w:rsidR="00680B4D" w:rsidRPr="00737A45">
        <w:rPr>
          <w:rFonts w:ascii="Century Gothic" w:eastAsia="Calibri" w:hAnsi="Century Gothic" w:cs="Arial"/>
          <w:b/>
          <w:lang w:val="es-ES_tradnl"/>
        </w:rPr>
        <w:t>. Reiteración de línea</w:t>
      </w:r>
    </w:p>
    <w:p w14:paraId="10ADCDC9" w14:textId="77777777" w:rsidR="00F52219" w:rsidRPr="00737A45" w:rsidRDefault="00F52219" w:rsidP="00F52219">
      <w:pPr>
        <w:spacing w:after="0" w:line="276" w:lineRule="auto"/>
        <w:jc w:val="both"/>
        <w:rPr>
          <w:rFonts w:ascii="Century Gothic" w:eastAsia="Calibri" w:hAnsi="Century Gothic" w:cs="Arial"/>
          <w:b/>
          <w:lang w:val="es-ES_tradnl"/>
        </w:rPr>
      </w:pPr>
    </w:p>
    <w:p w14:paraId="64F02F6B" w14:textId="2F4E0D5D" w:rsidR="006032EA" w:rsidRPr="00737A45" w:rsidRDefault="00F73D32" w:rsidP="00F52219">
      <w:pPr>
        <w:spacing w:after="0" w:line="276" w:lineRule="auto"/>
        <w:jc w:val="both"/>
        <w:rPr>
          <w:rFonts w:ascii="Century Gothic" w:eastAsia="Calibri" w:hAnsi="Century Gothic" w:cs="Arial"/>
          <w:bCs/>
          <w:lang w:val="es-ES_tradnl"/>
        </w:rPr>
      </w:pPr>
      <w:r w:rsidRPr="00737A45">
        <w:rPr>
          <w:rFonts w:ascii="Century Gothic" w:eastAsia="Calibri" w:hAnsi="Century Gothic" w:cs="Arial"/>
          <w:bCs/>
          <w:lang w:val="es-ES_tradnl"/>
        </w:rPr>
        <w:t xml:space="preserve">A través de la Ley 1121 de 2006, el Legislador profirió una serie de disposiciones normativas encaminadas a la prevención de la financiación del terrorismo, así como su detección, investigación y sanción. Dentro de esas medidas encontramos el fortalecimiento de las funciones de la Unidad de Información y Análisis Financiero para requerir información </w:t>
      </w:r>
      <w:r w:rsidR="0054595A" w:rsidRPr="00737A45">
        <w:rPr>
          <w:rFonts w:ascii="Century Gothic" w:eastAsia="Calibri" w:hAnsi="Century Gothic" w:cs="Arial"/>
          <w:bCs/>
          <w:lang w:val="es-ES_tradnl"/>
        </w:rPr>
        <w:t>(artículo 8)</w:t>
      </w:r>
      <w:r w:rsidR="00C36815" w:rsidRPr="00737A45">
        <w:rPr>
          <w:rFonts w:ascii="Century Gothic" w:eastAsia="Calibri" w:hAnsi="Century Gothic" w:cs="Arial"/>
          <w:bCs/>
          <w:lang w:val="es-ES_tradnl"/>
        </w:rPr>
        <w:t xml:space="preserve">, la creación del deliro de financiación del terrorismo y </w:t>
      </w:r>
      <w:r w:rsidR="00690A40" w:rsidRPr="00737A45">
        <w:rPr>
          <w:rFonts w:ascii="Century Gothic" w:eastAsia="Calibri" w:hAnsi="Century Gothic" w:cs="Arial"/>
          <w:bCs/>
          <w:lang w:val="es-ES_tradnl"/>
        </w:rPr>
        <w:t>administración de</w:t>
      </w:r>
      <w:r w:rsidR="00C36815" w:rsidRPr="00737A45">
        <w:rPr>
          <w:rFonts w:ascii="Century Gothic" w:eastAsia="Calibri" w:hAnsi="Century Gothic" w:cs="Arial"/>
          <w:bCs/>
          <w:lang w:val="es-ES_tradnl"/>
        </w:rPr>
        <w:t xml:space="preserve"> recursos relacionados con actividades terroristas (artículo 16), la exclusión de beneficios y subrogados penales para los condenados por delitos de terrorismo (artículo 26), así</w:t>
      </w:r>
      <w:r w:rsidR="006C7A07" w:rsidRPr="00737A45">
        <w:rPr>
          <w:rFonts w:ascii="Century Gothic" w:eastAsia="Calibri" w:hAnsi="Century Gothic" w:cs="Arial"/>
          <w:bCs/>
          <w:lang w:val="es-ES_tradnl"/>
        </w:rPr>
        <w:t xml:space="preserve"> como otras mediadas entre las que destacamos al incorporada en</w:t>
      </w:r>
      <w:r w:rsidR="00730990" w:rsidRPr="00737A45">
        <w:rPr>
          <w:rFonts w:ascii="Century Gothic" w:eastAsia="Calibri" w:hAnsi="Century Gothic" w:cs="Arial"/>
          <w:bCs/>
          <w:lang w:val="es-ES_tradnl"/>
        </w:rPr>
        <w:t xml:space="preserve"> </w:t>
      </w:r>
      <w:r w:rsidR="006C7A07" w:rsidRPr="00737A45">
        <w:rPr>
          <w:rFonts w:ascii="Century Gothic" w:eastAsia="Calibri" w:hAnsi="Century Gothic" w:cs="Arial"/>
          <w:bCs/>
          <w:lang w:val="es-ES_tradnl"/>
        </w:rPr>
        <w:t>el artículo 27.</w:t>
      </w:r>
    </w:p>
    <w:p w14:paraId="67FFA48F" w14:textId="77777777" w:rsidR="00690A40" w:rsidRPr="00737A45" w:rsidRDefault="00690A40" w:rsidP="00F52219">
      <w:pPr>
        <w:spacing w:after="0" w:line="276" w:lineRule="auto"/>
        <w:jc w:val="both"/>
        <w:rPr>
          <w:rFonts w:ascii="Century Gothic" w:eastAsia="Calibri" w:hAnsi="Century Gothic" w:cs="Arial"/>
          <w:bCs/>
          <w:lang w:val="es-ES_tradnl"/>
        </w:rPr>
      </w:pPr>
    </w:p>
    <w:p w14:paraId="477FAD85" w14:textId="6CDD2457" w:rsidR="006032EA" w:rsidRPr="00737A45" w:rsidRDefault="00690A40" w:rsidP="00690A40">
      <w:pPr>
        <w:spacing w:after="0" w:line="240" w:lineRule="auto"/>
        <w:ind w:left="709" w:right="709"/>
        <w:jc w:val="both"/>
        <w:rPr>
          <w:rFonts w:ascii="Century Gothic" w:eastAsia="Arial" w:hAnsi="Century Gothic" w:cs="Arial"/>
        </w:rPr>
      </w:pPr>
      <w:r w:rsidRPr="00737A45">
        <w:rPr>
          <w:rFonts w:ascii="Century Gothic" w:eastAsia="Calibri" w:hAnsi="Century Gothic" w:cs="Arial"/>
          <w:sz w:val="21"/>
          <w:szCs w:val="21"/>
          <w:lang w:val="es-MX"/>
        </w:rPr>
        <w:t>“Artículo 27. El Estado colombiano y las Entidades Territoriales en cualquier proceso de contratación deberán identificar plenamente a las personas naturales y a las personas jurídicas que suscriban el contrato, así como el origen de sus recursos; lo anterior con el fin de prevenir actividades delictivas”.</w:t>
      </w:r>
    </w:p>
    <w:p w14:paraId="4E105CC7" w14:textId="77777777" w:rsidR="006032EA" w:rsidRPr="00737A45" w:rsidRDefault="006032EA" w:rsidP="00386967">
      <w:pPr>
        <w:spacing w:after="0" w:line="276" w:lineRule="auto"/>
        <w:jc w:val="both"/>
        <w:rPr>
          <w:rFonts w:ascii="Century Gothic" w:eastAsia="Arial" w:hAnsi="Century Gothic" w:cs="Arial"/>
        </w:rPr>
      </w:pPr>
    </w:p>
    <w:p w14:paraId="210E1F1A" w14:textId="229DA5CB" w:rsidR="00386967" w:rsidRPr="00737A45" w:rsidRDefault="00386967" w:rsidP="00386967">
      <w:pPr>
        <w:spacing w:after="0" w:line="276" w:lineRule="auto"/>
        <w:jc w:val="both"/>
        <w:rPr>
          <w:rFonts w:ascii="Century Gothic" w:eastAsia="Arial" w:hAnsi="Century Gothic" w:cs="Arial"/>
        </w:rPr>
      </w:pPr>
      <w:r w:rsidRPr="00737A45">
        <w:rPr>
          <w:rFonts w:ascii="Century Gothic" w:eastAsia="Arial" w:hAnsi="Century Gothic" w:cs="Arial"/>
        </w:rPr>
        <w:tab/>
      </w:r>
      <w:r w:rsidR="00443640" w:rsidRPr="00737A45">
        <w:rPr>
          <w:rFonts w:ascii="Century Gothic" w:eastAsia="Arial" w:hAnsi="Century Gothic" w:cs="Arial"/>
        </w:rPr>
        <w:t xml:space="preserve">Como puede observarse, la norma </w:t>
      </w:r>
      <w:r w:rsidR="009C3C19" w:rsidRPr="00737A45">
        <w:rPr>
          <w:rFonts w:ascii="Century Gothic" w:eastAsia="Arial" w:hAnsi="Century Gothic" w:cs="Arial"/>
        </w:rPr>
        <w:t>transcrita</w:t>
      </w:r>
      <w:r w:rsidR="00443640" w:rsidRPr="00737A45">
        <w:rPr>
          <w:rFonts w:ascii="Century Gothic" w:eastAsia="Arial" w:hAnsi="Century Gothic" w:cs="Arial"/>
        </w:rPr>
        <w:t xml:space="preserve"> es clara al establecer que en cualquier proceso de contratación las Entidades Estatales tienen la obligación de </w:t>
      </w:r>
      <w:r w:rsidR="00443640" w:rsidRPr="00737A45">
        <w:rPr>
          <w:rFonts w:ascii="Century Gothic" w:eastAsia="Arial" w:hAnsi="Century Gothic" w:cs="Arial"/>
        </w:rPr>
        <w:lastRenderedPageBreak/>
        <w:t>id</w:t>
      </w:r>
      <w:r w:rsidR="00B3695B" w:rsidRPr="00737A45">
        <w:rPr>
          <w:rFonts w:ascii="Century Gothic" w:eastAsia="Arial" w:hAnsi="Century Gothic" w:cs="Arial"/>
        </w:rPr>
        <w:t>entificar plenamente a las personas naturales o jurídicas</w:t>
      </w:r>
      <w:r w:rsidR="009266D9" w:rsidRPr="00737A45">
        <w:rPr>
          <w:rFonts w:ascii="Century Gothic" w:eastAsia="Arial" w:hAnsi="Century Gothic" w:cs="Arial"/>
        </w:rPr>
        <w:t xml:space="preserve"> que suscriban el contrato</w:t>
      </w:r>
      <w:r w:rsidR="00291AC0" w:rsidRPr="00737A45">
        <w:rPr>
          <w:rFonts w:ascii="Century Gothic" w:eastAsia="Arial" w:hAnsi="Century Gothic" w:cs="Arial"/>
        </w:rPr>
        <w:t>, por lo que debe</w:t>
      </w:r>
      <w:r w:rsidR="009C3C19" w:rsidRPr="00737A45">
        <w:rPr>
          <w:rFonts w:ascii="Century Gothic" w:eastAsia="Arial" w:hAnsi="Century Gothic" w:cs="Arial"/>
        </w:rPr>
        <w:t>rá</w:t>
      </w:r>
      <w:r w:rsidR="00291AC0" w:rsidRPr="00737A45">
        <w:rPr>
          <w:rFonts w:ascii="Century Gothic" w:eastAsia="Arial" w:hAnsi="Century Gothic" w:cs="Arial"/>
        </w:rPr>
        <w:t>n recurrir a los medios establecidos por las leyes generales</w:t>
      </w:r>
      <w:r w:rsidR="009C3C19" w:rsidRPr="00737A45">
        <w:rPr>
          <w:rFonts w:ascii="Century Gothic" w:eastAsia="Arial" w:hAnsi="Century Gothic" w:cs="Arial"/>
        </w:rPr>
        <w:t>,</w:t>
      </w:r>
      <w:r w:rsidR="00291AC0" w:rsidRPr="00737A45">
        <w:rPr>
          <w:rFonts w:ascii="Century Gothic" w:eastAsia="Arial" w:hAnsi="Century Gothic" w:cs="Arial"/>
        </w:rPr>
        <w:t xml:space="preserve"> para realizar dicha identificación.</w:t>
      </w:r>
      <w:r w:rsidR="000F3C39" w:rsidRPr="00737A45">
        <w:rPr>
          <w:rFonts w:ascii="Century Gothic" w:eastAsia="Arial" w:hAnsi="Century Gothic" w:cs="Arial"/>
        </w:rPr>
        <w:t xml:space="preserve"> Estos, se analizan a continuación.</w:t>
      </w:r>
    </w:p>
    <w:p w14:paraId="689E3FF5" w14:textId="10BA0BCB" w:rsidR="00386967" w:rsidRPr="00737A45" w:rsidRDefault="009C3C19" w:rsidP="006032EA">
      <w:pPr>
        <w:spacing w:before="120" w:after="0" w:line="276" w:lineRule="auto"/>
        <w:jc w:val="both"/>
        <w:rPr>
          <w:rFonts w:ascii="Century Gothic" w:eastAsia="Arial" w:hAnsi="Century Gothic" w:cs="Arial"/>
        </w:rPr>
      </w:pPr>
      <w:r w:rsidRPr="00737A45">
        <w:rPr>
          <w:rFonts w:ascii="Century Gothic" w:eastAsia="Arial" w:hAnsi="Century Gothic" w:cs="Arial"/>
        </w:rPr>
        <w:tab/>
      </w:r>
      <w:r w:rsidR="000F3C39" w:rsidRPr="00737A45">
        <w:rPr>
          <w:rFonts w:ascii="Century Gothic" w:eastAsia="Arial" w:hAnsi="Century Gothic" w:cs="Arial"/>
          <w:i/>
          <w:iCs/>
        </w:rPr>
        <w:t>i)</w:t>
      </w:r>
      <w:r w:rsidR="000F3C39" w:rsidRPr="00737A45">
        <w:rPr>
          <w:rFonts w:ascii="Century Gothic" w:eastAsia="Arial" w:hAnsi="Century Gothic" w:cs="Arial"/>
        </w:rPr>
        <w:t xml:space="preserve"> </w:t>
      </w:r>
      <w:r w:rsidR="00023D31" w:rsidRPr="00737A45">
        <w:rPr>
          <w:rFonts w:ascii="Century Gothic" w:eastAsia="Arial" w:hAnsi="Century Gothic" w:cs="Arial"/>
        </w:rPr>
        <w:t xml:space="preserve">Tratándose de </w:t>
      </w:r>
      <w:r w:rsidR="00023D31" w:rsidRPr="00737A45">
        <w:rPr>
          <w:rFonts w:ascii="Century Gothic" w:eastAsia="Arial" w:hAnsi="Century Gothic" w:cs="Arial"/>
          <w:b/>
          <w:bCs/>
          <w:i/>
          <w:iCs/>
        </w:rPr>
        <w:t>personas naturales</w:t>
      </w:r>
      <w:r w:rsidR="00023D31" w:rsidRPr="00737A45">
        <w:rPr>
          <w:rFonts w:ascii="Century Gothic" w:eastAsia="Arial" w:hAnsi="Century Gothic" w:cs="Arial"/>
        </w:rPr>
        <w:t>, la solicitud de la cédula de ci</w:t>
      </w:r>
      <w:r w:rsidR="00BA1993" w:rsidRPr="00737A45">
        <w:rPr>
          <w:rFonts w:ascii="Century Gothic" w:eastAsia="Arial" w:hAnsi="Century Gothic" w:cs="Arial"/>
        </w:rPr>
        <w:t>udadanía es el mecanismo más común para identificar a los contratistas o proponentes. Este</w:t>
      </w:r>
      <w:r w:rsidR="00C438FD" w:rsidRPr="00737A45">
        <w:rPr>
          <w:rFonts w:ascii="Century Gothic" w:eastAsia="Arial" w:hAnsi="Century Gothic" w:cs="Arial"/>
        </w:rPr>
        <w:t>, si bien existe como un “título del elector” desde finales del siglo XIX, al ser entonces un medio utilizado para la identificación de electores, no fue sino hasta la expedición de la Ley 39 de 1961 cuando se dijo que “</w:t>
      </w:r>
      <w:r w:rsidR="00F1669E" w:rsidRPr="00737A45">
        <w:rPr>
          <w:rFonts w:ascii="Century Gothic" w:eastAsia="Arial" w:hAnsi="Century Gothic" w:cs="Arial"/>
        </w:rPr>
        <w:t>A partir del primero (1°) de enero de mil novecientes sesenta y dos (19</w:t>
      </w:r>
      <w:r w:rsidR="00993F2E" w:rsidRPr="00737A45">
        <w:rPr>
          <w:rFonts w:ascii="Century Gothic" w:eastAsia="Arial" w:hAnsi="Century Gothic" w:cs="Arial"/>
        </w:rPr>
        <w:t>62), los colombianos que hayan cumplido dieciocho (18) años solo podrán identificarse con la cedula de ciudadanía laminada, en todos los actos civiles, políticos, administrativos y judiciales”</w:t>
      </w:r>
      <w:r w:rsidR="00B74628" w:rsidRPr="00737A45">
        <w:rPr>
          <w:rStyle w:val="Refdenotaalpie"/>
          <w:rFonts w:ascii="Arial" w:hAnsi="Arial" w:cs="Arial"/>
        </w:rPr>
        <w:footnoteReference w:id="9"/>
      </w:r>
      <w:r w:rsidR="00B74628" w:rsidRPr="00737A45">
        <w:rPr>
          <w:rFonts w:ascii="Arial" w:hAnsi="Arial" w:cs="Arial"/>
        </w:rPr>
        <w:t>.</w:t>
      </w:r>
    </w:p>
    <w:p w14:paraId="52E924C7" w14:textId="1B52EF4A" w:rsidR="00386967" w:rsidRPr="00737A45" w:rsidRDefault="009625C7" w:rsidP="006032EA">
      <w:pPr>
        <w:spacing w:before="120" w:after="0" w:line="276" w:lineRule="auto"/>
        <w:jc w:val="both"/>
        <w:rPr>
          <w:rFonts w:ascii="Century Gothic" w:eastAsia="Arial" w:hAnsi="Century Gothic" w:cs="Arial"/>
        </w:rPr>
      </w:pPr>
      <w:r w:rsidRPr="00737A45">
        <w:rPr>
          <w:rFonts w:ascii="Century Gothic" w:eastAsia="Arial" w:hAnsi="Century Gothic" w:cs="Arial"/>
        </w:rPr>
        <w:tab/>
        <w:t>Sin embargo, esta finalidad identifi</w:t>
      </w:r>
      <w:r w:rsidR="0010260D" w:rsidRPr="00737A45">
        <w:rPr>
          <w:rFonts w:ascii="Century Gothic" w:eastAsia="Arial" w:hAnsi="Century Gothic" w:cs="Arial"/>
        </w:rPr>
        <w:t>catoria a pesar de importante, no es la única del re</w:t>
      </w:r>
      <w:r w:rsidR="00C137BC" w:rsidRPr="00737A45">
        <w:rPr>
          <w:rFonts w:ascii="Century Gothic" w:eastAsia="Arial" w:hAnsi="Century Gothic" w:cs="Arial"/>
        </w:rPr>
        <w:t xml:space="preserve">ferido documento, pues además de </w:t>
      </w:r>
      <w:r w:rsidR="00577EB3" w:rsidRPr="00737A45">
        <w:rPr>
          <w:rFonts w:ascii="Century Gothic" w:eastAsia="Arial" w:hAnsi="Century Gothic" w:cs="Arial"/>
        </w:rPr>
        <w:t xml:space="preserve">acreditar la ciudadanía, principal presupuesto que requieren los nacionales para elegir y ser elegidos, </w:t>
      </w:r>
      <w:r w:rsidR="00D0466B" w:rsidRPr="00737A45">
        <w:rPr>
          <w:rFonts w:ascii="Century Gothic" w:eastAsia="Arial" w:hAnsi="Century Gothic" w:cs="Arial"/>
        </w:rPr>
        <w:t>sirve para probar la mayoría de edad y con ello, la plena capacidad civil para contraer obligaciones de tal naturaleza.</w:t>
      </w:r>
      <w:r w:rsidR="006F0D3A" w:rsidRPr="00737A45">
        <w:rPr>
          <w:rFonts w:ascii="Century Gothic" w:eastAsia="Arial" w:hAnsi="Century Gothic" w:cs="Arial"/>
        </w:rPr>
        <w:t xml:space="preserve"> De esta forma, la cedula de ciudadanía, no sólo es el mecanismo idóneo por excelencia para la identificación e individualización de las personas naturales, sin o que también </w:t>
      </w:r>
      <w:r w:rsidR="00EA2356" w:rsidRPr="00737A45">
        <w:rPr>
          <w:rFonts w:ascii="Century Gothic" w:eastAsia="Arial" w:hAnsi="Century Gothic" w:cs="Arial"/>
        </w:rPr>
        <w:t>al probar la mayoría de edad de su dueño, da fe de aptitud de este para contraer obligaciones civiles y suscribir contratos, por lo que es un documento importante en las operaciones civiles y comerciales.</w:t>
      </w:r>
    </w:p>
    <w:p w14:paraId="2A86F1FD" w14:textId="5463459F" w:rsidR="009625C7" w:rsidRPr="00737A45" w:rsidRDefault="006C746C" w:rsidP="006032EA">
      <w:pPr>
        <w:spacing w:before="120" w:after="0" w:line="276" w:lineRule="auto"/>
        <w:jc w:val="both"/>
        <w:rPr>
          <w:rFonts w:ascii="Century Gothic" w:eastAsia="Arial" w:hAnsi="Century Gothic" w:cs="Arial"/>
        </w:rPr>
      </w:pPr>
      <w:r w:rsidRPr="00737A45">
        <w:rPr>
          <w:rFonts w:ascii="Century Gothic" w:eastAsia="Arial" w:hAnsi="Century Gothic" w:cs="Arial"/>
        </w:rPr>
        <w:tab/>
        <w:t>Al tener tales propósitos e importancia, dentro del conten</w:t>
      </w:r>
      <w:r w:rsidR="008E176D" w:rsidRPr="00737A45">
        <w:rPr>
          <w:rFonts w:ascii="Century Gothic" w:eastAsia="Arial" w:hAnsi="Century Gothic" w:cs="Arial"/>
        </w:rPr>
        <w:t>ido de la cedula de ciudadanía se encuentran los principales datos que sirven a la identificación de la persona, tales como nombres, apellidos, sexo, fecha de nacimiento y expedici</w:t>
      </w:r>
      <w:r w:rsidR="00243CAD" w:rsidRPr="00737A45">
        <w:rPr>
          <w:rFonts w:ascii="Century Gothic" w:eastAsia="Arial" w:hAnsi="Century Gothic" w:cs="Arial"/>
        </w:rPr>
        <w:t>ón, lugar de nacimiento, estatura, grupo y RH sanguíneo</w:t>
      </w:r>
      <w:r w:rsidR="00DB17B9" w:rsidRPr="00737A45">
        <w:rPr>
          <w:rFonts w:ascii="Century Gothic" w:eastAsia="Arial" w:hAnsi="Century Gothic" w:cs="Arial"/>
        </w:rPr>
        <w:t xml:space="preserve">, lugar de expedición del documento, </w:t>
      </w:r>
      <w:r w:rsidR="00B55EC7" w:rsidRPr="00737A45">
        <w:rPr>
          <w:rFonts w:ascii="Century Gothic" w:eastAsia="Arial" w:hAnsi="Century Gothic" w:cs="Arial"/>
        </w:rPr>
        <w:t xml:space="preserve">así como una foto del portador y una huella de su índice derecho. Estos datos a demás de </w:t>
      </w:r>
      <w:r w:rsidR="00AE68D3" w:rsidRPr="00737A45">
        <w:rPr>
          <w:rFonts w:ascii="Century Gothic" w:eastAsia="Arial" w:hAnsi="Century Gothic" w:cs="Arial"/>
        </w:rPr>
        <w:t>consistir en una identificación formal por la mera presentación del documento, facilitan</w:t>
      </w:r>
      <w:r w:rsidR="0039206A" w:rsidRPr="00737A45">
        <w:rPr>
          <w:rFonts w:ascii="Century Gothic" w:eastAsia="Arial" w:hAnsi="Century Gothic" w:cs="Arial"/>
        </w:rPr>
        <w:t xml:space="preserve"> en la generalidad de los casos</w:t>
      </w:r>
      <w:r w:rsidR="000D15AA" w:rsidRPr="00737A45">
        <w:rPr>
          <w:rFonts w:ascii="Century Gothic" w:eastAsia="Arial" w:hAnsi="Century Gothic" w:cs="Arial"/>
        </w:rPr>
        <w:t xml:space="preserve"> </w:t>
      </w:r>
      <w:r w:rsidR="0039206A" w:rsidRPr="00737A45">
        <w:rPr>
          <w:rFonts w:ascii="Century Gothic" w:eastAsia="Arial" w:hAnsi="Century Gothic" w:cs="Arial"/>
        </w:rPr>
        <w:t>la individualización física del portador, al const</w:t>
      </w:r>
      <w:r w:rsidR="000D15AA" w:rsidRPr="00737A45">
        <w:rPr>
          <w:rFonts w:ascii="Century Gothic" w:eastAsia="Arial" w:hAnsi="Century Gothic" w:cs="Arial"/>
        </w:rPr>
        <w:t>ituir información fácilmente verificable ante el ojo humano</w:t>
      </w:r>
      <w:r w:rsidR="005B1D40" w:rsidRPr="00737A45">
        <w:rPr>
          <w:rFonts w:ascii="Century Gothic" w:eastAsia="Arial" w:hAnsi="Century Gothic" w:cs="Arial"/>
        </w:rPr>
        <w:t>, o con la comparación con otros documentos.</w:t>
      </w:r>
    </w:p>
    <w:p w14:paraId="7DDB39C9" w14:textId="77777777" w:rsidR="001C2AF6" w:rsidRPr="001C2AF6" w:rsidRDefault="001C2AF6" w:rsidP="001C2AF6">
      <w:pPr>
        <w:tabs>
          <w:tab w:val="left" w:pos="426"/>
        </w:tabs>
        <w:spacing w:before="120" w:after="120" w:line="276" w:lineRule="auto"/>
        <w:ind w:firstLine="709"/>
        <w:jc w:val="both"/>
        <w:rPr>
          <w:rFonts w:ascii="Century Gothic" w:eastAsia="Calibri" w:hAnsi="Century Gothic" w:cs="Arial"/>
        </w:rPr>
      </w:pPr>
      <w:r w:rsidRPr="001C2AF6">
        <w:rPr>
          <w:rFonts w:ascii="Century Gothic" w:eastAsia="Calibri" w:hAnsi="Century Gothic" w:cs="Arial"/>
        </w:rPr>
        <w:t xml:space="preserve">Puede suceder que en el marco del ejercicio de alguna función administrativa a cargo de una entidad o un particular, tales mecanismos resulten insuficientes para esclarecer más allá de toda duda la identidad de una persona </w:t>
      </w:r>
      <w:r w:rsidRPr="001C2AF6">
        <w:rPr>
          <w:rFonts w:ascii="Century Gothic" w:eastAsia="Calibri" w:hAnsi="Century Gothic" w:cs="Arial"/>
        </w:rPr>
        <w:lastRenderedPageBreak/>
        <w:t xml:space="preserve">con base únicamente en la cédula de ciudadanía, o que las particularidades propias del ejercicio de dicha función así lo impidan, razón por la que eventualmente la verificación de la identidad de las personas naturales requerirá de información adicional a la consignada en el documento de identidad.  </w:t>
      </w:r>
    </w:p>
    <w:p w14:paraId="5E44D305" w14:textId="77777777" w:rsidR="001C2AF6" w:rsidRPr="001C2AF6" w:rsidRDefault="001C2AF6" w:rsidP="001C2AF6">
      <w:pPr>
        <w:spacing w:before="120" w:after="0" w:line="276" w:lineRule="auto"/>
        <w:jc w:val="both"/>
        <w:rPr>
          <w:rFonts w:ascii="Century Gothic" w:eastAsia="Calibri" w:hAnsi="Century Gothic" w:cs="Arial"/>
        </w:rPr>
      </w:pPr>
      <w:r w:rsidRPr="001C2AF6">
        <w:rPr>
          <w:rFonts w:ascii="Century Gothic" w:eastAsia="Calibri" w:hAnsi="Century Gothic" w:cs="Arial"/>
        </w:rPr>
        <w:tab/>
        <w:t>Ante tal situación, la huella dactilar se ofrece como uno de los mecanismos habilitados por la ley para esta verificación inmediata de identidad, sin embargo, conforme al artículo 18 del Decreto 019 de 2012 tal verificación debe llevarse a cabo por medios electrónicos, y requiere que la entidad que hace la verificación disponga de los medios tecnológicos de interoperabilidad necesarios para cotejar la identidad del titular de la huella con la base de datos de la Registraduría Nacional del Estado Civil</w:t>
      </w:r>
      <w:r w:rsidRPr="001C2AF6">
        <w:rPr>
          <w:rFonts w:ascii="Century Gothic" w:eastAsia="Calibri" w:hAnsi="Century Gothic" w:cs="Arial"/>
          <w:vertAlign w:val="superscript"/>
        </w:rPr>
        <w:footnoteReference w:id="10"/>
      </w:r>
      <w:r w:rsidRPr="001C2AF6">
        <w:rPr>
          <w:rFonts w:ascii="Century Gothic" w:eastAsia="Calibri" w:hAnsi="Century Gothic" w:cs="Arial"/>
        </w:rPr>
        <w:t>.</w:t>
      </w:r>
    </w:p>
    <w:p w14:paraId="4F9277AF" w14:textId="58754E99" w:rsidR="002A5F13" w:rsidRPr="002A5F13" w:rsidRDefault="002A5F13" w:rsidP="002A5F13">
      <w:pPr>
        <w:spacing w:before="120" w:after="0" w:line="276" w:lineRule="auto"/>
        <w:ind w:firstLine="708"/>
        <w:jc w:val="both"/>
        <w:rPr>
          <w:rFonts w:ascii="Century Gothic" w:eastAsia="Calibri" w:hAnsi="Century Gothic" w:cs="Arial"/>
          <w:lang w:val="es-MX"/>
        </w:rPr>
      </w:pPr>
      <w:r w:rsidRPr="002A5F13">
        <w:rPr>
          <w:rFonts w:ascii="Century Gothic" w:eastAsia="Times New Roman" w:hAnsi="Century Gothic" w:cs="Arial"/>
          <w:lang w:eastAsia="es-CO"/>
        </w:rPr>
        <w:t xml:space="preserve">Por otra parte, para la identificación de los extranjeros residentes en Colombia que no tengan la ciudadanía colombiana, las entidades contratantes deberán exigir la </w:t>
      </w:r>
      <w:r w:rsidRPr="002A5F13">
        <w:rPr>
          <w:rFonts w:ascii="Century Gothic" w:eastAsia="Calibri" w:hAnsi="Century Gothic" w:cs="Arial"/>
          <w:i/>
          <w:iCs/>
          <w:lang w:val="es-MX"/>
        </w:rPr>
        <w:t>cédula de extranjería</w:t>
      </w:r>
      <w:r w:rsidRPr="002A5F13">
        <w:rPr>
          <w:rFonts w:ascii="Century Gothic" w:eastAsia="Calibri" w:hAnsi="Century Gothic" w:cs="Arial"/>
          <w:lang w:val="es-MX"/>
        </w:rPr>
        <w:t xml:space="preserve">, la cual es definida por el artículo 2.2.1.11.4 del Decreto 1067 de 2017 como el </w:t>
      </w:r>
      <w:r w:rsidRPr="00737A45">
        <w:rPr>
          <w:rFonts w:ascii="Century Gothic" w:eastAsia="Calibri" w:hAnsi="Century Gothic" w:cs="Arial"/>
          <w:lang w:val="es-MX"/>
        </w:rPr>
        <w:t>“</w:t>
      </w:r>
      <w:r w:rsidRPr="002A5F13">
        <w:rPr>
          <w:rFonts w:ascii="Century Gothic" w:eastAsia="Calibri" w:hAnsi="Century Gothic" w:cs="Arial"/>
          <w:lang w:val="es-MX"/>
        </w:rPr>
        <w:t>Documento de Identificación expedido por Migración Colombia, que se otorga a los extranjeros titulares de una visa superior a 3 meses y a sus beneficiarios con base en el registro de extranjeros</w:t>
      </w:r>
      <w:r w:rsidRPr="00737A45">
        <w:rPr>
          <w:rFonts w:ascii="Century Gothic" w:eastAsia="Calibri" w:hAnsi="Century Gothic" w:cs="Arial"/>
          <w:lang w:val="es-MX"/>
        </w:rPr>
        <w:t>”</w:t>
      </w:r>
      <w:r w:rsidRPr="002A5F13">
        <w:rPr>
          <w:rFonts w:ascii="Century Gothic" w:eastAsia="Calibri" w:hAnsi="Century Gothic" w:cs="Arial"/>
          <w:lang w:val="es-MX"/>
        </w:rPr>
        <w:t xml:space="preserve">. Este documento tiene por finalidad identificar a los extranjeros que se encuentren en el territorio nacional, y su expedición se encuentra a cargo de la Unidad Administrativa Especial Migración Colombia, quien expide estos </w:t>
      </w:r>
      <w:r w:rsidRPr="00737A45">
        <w:rPr>
          <w:rFonts w:ascii="Century Gothic" w:eastAsia="Calibri" w:hAnsi="Century Gothic" w:cs="Arial"/>
          <w:lang w:val="es-MX"/>
        </w:rPr>
        <w:t>documentos acordes</w:t>
      </w:r>
      <w:r w:rsidRPr="002A5F13">
        <w:rPr>
          <w:rFonts w:ascii="Century Gothic" w:eastAsia="Calibri" w:hAnsi="Century Gothic" w:cs="Arial"/>
          <w:lang w:val="es-MX"/>
        </w:rPr>
        <w:t xml:space="preserve"> con el tipo de visa que se le ha otorgado al extranjero</w:t>
      </w:r>
      <w:r w:rsidRPr="002A5F13">
        <w:rPr>
          <w:rFonts w:ascii="Century Gothic" w:eastAsia="Calibri" w:hAnsi="Century Gothic" w:cs="Arial"/>
          <w:vertAlign w:val="superscript"/>
          <w:lang w:val="es-MX"/>
        </w:rPr>
        <w:footnoteReference w:id="11"/>
      </w:r>
      <w:r w:rsidRPr="002A5F13">
        <w:rPr>
          <w:rFonts w:ascii="Century Gothic" w:eastAsia="Calibri" w:hAnsi="Century Gothic" w:cs="Arial"/>
          <w:lang w:val="es-MX"/>
        </w:rPr>
        <w:t xml:space="preserve">, y la cual también </w:t>
      </w:r>
      <w:r w:rsidRPr="002A5F13">
        <w:rPr>
          <w:rFonts w:ascii="Century Gothic" w:eastAsia="Calibri" w:hAnsi="Century Gothic" w:cs="Arial"/>
          <w:lang w:val="es-MX"/>
        </w:rPr>
        <w:lastRenderedPageBreak/>
        <w:t>deberá exigirse por parte de las entidades, en aras de verificar que si la modalidad contractual a suscribirse es permitida por el tipo de visa con la que cuenta. Los extranjeros a los que se refiere el artículo 2.2.1.11.4.7 del Decreto 1067 de 2015, que no estén obligados a registrarse ante la Unidad Administrativa Especial Migración Colombia se identificaran con el respectivo pasaporte vigente de su país de origen.</w:t>
      </w:r>
    </w:p>
    <w:p w14:paraId="6FD32DF1" w14:textId="319DB2B4" w:rsidR="005B1D40" w:rsidRPr="00737A45" w:rsidRDefault="000F3C39" w:rsidP="00326942">
      <w:pPr>
        <w:spacing w:before="120" w:after="0" w:line="276" w:lineRule="auto"/>
        <w:ind w:firstLine="708"/>
        <w:jc w:val="both"/>
        <w:rPr>
          <w:rFonts w:ascii="Century Gothic" w:eastAsia="Arial" w:hAnsi="Century Gothic" w:cs="Arial"/>
        </w:rPr>
      </w:pPr>
      <w:r w:rsidRPr="00737A45">
        <w:rPr>
          <w:rFonts w:ascii="Century Gothic" w:eastAsia="Arial" w:hAnsi="Century Gothic" w:cs="Arial"/>
          <w:i/>
          <w:iCs/>
        </w:rPr>
        <w:t xml:space="preserve">ii) </w:t>
      </w:r>
      <w:r w:rsidRPr="00737A45">
        <w:rPr>
          <w:rFonts w:ascii="Century Gothic" w:eastAsia="Arial" w:hAnsi="Century Gothic" w:cs="Arial"/>
        </w:rPr>
        <w:t xml:space="preserve">En el caso de las </w:t>
      </w:r>
      <w:r w:rsidRPr="00737A45">
        <w:rPr>
          <w:rFonts w:ascii="Century Gothic" w:eastAsia="Arial" w:hAnsi="Century Gothic" w:cs="Arial"/>
          <w:b/>
          <w:bCs/>
          <w:i/>
          <w:iCs/>
        </w:rPr>
        <w:t>personas jurídicas</w:t>
      </w:r>
      <w:r w:rsidR="00012495" w:rsidRPr="00737A45">
        <w:rPr>
          <w:rFonts w:ascii="Century Gothic" w:eastAsia="Arial" w:hAnsi="Century Gothic" w:cs="Arial"/>
          <w:b/>
          <w:bCs/>
          <w:i/>
          <w:iCs/>
        </w:rPr>
        <w:t xml:space="preserve">, </w:t>
      </w:r>
      <w:r w:rsidR="00012495" w:rsidRPr="00737A45">
        <w:rPr>
          <w:rFonts w:ascii="Century Gothic" w:eastAsia="Arial" w:hAnsi="Century Gothic" w:cs="Arial"/>
        </w:rPr>
        <w:t>el artículo 117 del Código de Comercio establece que la existencia de la sociedad y las cláusulas del contrato se probarán mediante “certificación de la cámara de comercio del domicilio principal en la que constará el número, fecha y notaría de la escritura de constitución y de las reformas del contrato, si las hubiere”. Dicho certificado también tiene la función de probar la representación de la sociedad</w:t>
      </w:r>
      <w:r w:rsidR="000318FF" w:rsidRPr="00737A45">
        <w:rPr>
          <w:rFonts w:ascii="Century Gothic" w:eastAsia="Arial" w:hAnsi="Century Gothic" w:cs="Arial"/>
        </w:rPr>
        <w:t>, por lo que además deberá señalar los nombres de los representantes, las facultades conferidas a cada uno de ellos y las li</w:t>
      </w:r>
      <w:r w:rsidR="008F5E50" w:rsidRPr="00737A45">
        <w:rPr>
          <w:rFonts w:ascii="Century Gothic" w:eastAsia="Arial" w:hAnsi="Century Gothic" w:cs="Arial"/>
        </w:rPr>
        <w:t>mitaciones acordadas a dichas facultades</w:t>
      </w:r>
      <w:r w:rsidR="004633F1" w:rsidRPr="00737A45">
        <w:rPr>
          <w:rStyle w:val="Refdenotaalpie"/>
          <w:rFonts w:ascii="Century Gothic" w:hAnsi="Century Gothic" w:cs="Arial"/>
        </w:rPr>
        <w:footnoteReference w:id="12"/>
      </w:r>
      <w:r w:rsidR="004633F1" w:rsidRPr="00737A45">
        <w:rPr>
          <w:rFonts w:ascii="Century Gothic" w:hAnsi="Century Gothic" w:cs="Arial"/>
        </w:rPr>
        <w:t>. </w:t>
      </w:r>
    </w:p>
    <w:p w14:paraId="124ED1B2" w14:textId="47419CC9" w:rsidR="009625C7" w:rsidRPr="00737A45" w:rsidRDefault="004633F1" w:rsidP="006032EA">
      <w:pPr>
        <w:spacing w:before="120" w:after="0" w:line="276" w:lineRule="auto"/>
        <w:jc w:val="both"/>
        <w:rPr>
          <w:rFonts w:ascii="Century Gothic" w:eastAsia="Arial" w:hAnsi="Century Gothic" w:cs="Arial"/>
        </w:rPr>
      </w:pPr>
      <w:r w:rsidRPr="00737A45">
        <w:rPr>
          <w:rFonts w:ascii="Century Gothic" w:eastAsia="Arial" w:hAnsi="Century Gothic" w:cs="Arial"/>
        </w:rPr>
        <w:tab/>
        <w:t xml:space="preserve">En </w:t>
      </w:r>
      <w:r w:rsidR="00326942" w:rsidRPr="00737A45">
        <w:rPr>
          <w:rFonts w:ascii="Century Gothic" w:eastAsia="Arial" w:hAnsi="Century Gothic" w:cs="Arial"/>
        </w:rPr>
        <w:t>lo que respecta</w:t>
      </w:r>
      <w:r w:rsidRPr="00737A45">
        <w:rPr>
          <w:rFonts w:ascii="Century Gothic" w:eastAsia="Arial" w:hAnsi="Century Gothic" w:cs="Arial"/>
        </w:rPr>
        <w:t xml:space="preserve"> </w:t>
      </w:r>
      <w:r w:rsidR="00326942" w:rsidRPr="00737A45">
        <w:rPr>
          <w:rFonts w:ascii="Century Gothic" w:eastAsia="Arial" w:hAnsi="Century Gothic" w:cs="Arial"/>
        </w:rPr>
        <w:t>a</w:t>
      </w:r>
      <w:r w:rsidRPr="00737A45">
        <w:rPr>
          <w:rFonts w:ascii="Century Gothic" w:eastAsia="Arial" w:hAnsi="Century Gothic" w:cs="Arial"/>
        </w:rPr>
        <w:t xml:space="preserve"> las sociedades extranjeras con domicilio principal en el exterior, para emprender negocios permanentes en Colombia, de conformidad con los artículos 470 y 471 del Código de Comercio</w:t>
      </w:r>
      <w:r w:rsidR="00225FB3" w:rsidRPr="00737A45">
        <w:rPr>
          <w:rStyle w:val="Refdenotaalpie"/>
          <w:rFonts w:ascii="Century Gothic" w:hAnsi="Century Gothic" w:cs="Arial"/>
        </w:rPr>
        <w:footnoteReference w:id="13"/>
      </w:r>
      <w:r w:rsidR="00225FB3" w:rsidRPr="00737A45">
        <w:rPr>
          <w:rFonts w:ascii="Century Gothic" w:hAnsi="Century Gothic" w:cs="Arial"/>
        </w:rPr>
        <w:t>, deberán constituir sucursal con domicilio en el territorio nacional, para lo cual deberán protocolizar en una notará del l</w:t>
      </w:r>
      <w:r w:rsidR="00821235" w:rsidRPr="00737A45">
        <w:rPr>
          <w:rFonts w:ascii="Century Gothic" w:hAnsi="Century Gothic" w:cs="Arial"/>
        </w:rPr>
        <w:t xml:space="preserve">ugar elegido para su domicilio, copias </w:t>
      </w:r>
      <w:r w:rsidR="00E264AC" w:rsidRPr="00737A45">
        <w:rPr>
          <w:rFonts w:ascii="Century Gothic" w:hAnsi="Century Gothic" w:cs="Arial"/>
        </w:rPr>
        <w:t>auténticas del documento de su fundación, sus estatutos, el acto que acordó su establecimiento en Colombia y de los que acrediten la existencia de la sociedad y la personería de sus representantes; y obtener de la Superintendencia de Sociedades o de la Bancaria, según el caso, permiso para funcionar en el país</w:t>
      </w:r>
      <w:r w:rsidR="0099450A">
        <w:rPr>
          <w:rFonts w:ascii="Century Gothic" w:hAnsi="Century Gothic" w:cs="Arial"/>
        </w:rPr>
        <w:t>.</w:t>
      </w:r>
    </w:p>
    <w:p w14:paraId="047BFF4A" w14:textId="77777777" w:rsidR="00F507C2" w:rsidRPr="00F507C2" w:rsidRDefault="00F507C2" w:rsidP="00F507C2">
      <w:pPr>
        <w:spacing w:before="120" w:after="120" w:line="276" w:lineRule="auto"/>
        <w:ind w:firstLine="708"/>
        <w:jc w:val="both"/>
        <w:rPr>
          <w:rFonts w:ascii="Century Gothic" w:eastAsia="Calibri" w:hAnsi="Century Gothic" w:cs="Arial"/>
          <w:lang w:val="es-MX"/>
        </w:rPr>
      </w:pPr>
      <w:r w:rsidRPr="00F507C2">
        <w:rPr>
          <w:rFonts w:ascii="Century Gothic" w:eastAsia="Calibri" w:hAnsi="Century Gothic" w:cs="Arial"/>
          <w:lang w:val="es-MX"/>
        </w:rPr>
        <w:t xml:space="preserve">Por su parte, el artículo 480 indica que los documentos otorgados en el exterior deberán autenticarse por los funcionarios competentes para ello en el </w:t>
      </w:r>
      <w:r w:rsidRPr="00F507C2">
        <w:rPr>
          <w:rFonts w:ascii="Century Gothic" w:eastAsia="Calibri" w:hAnsi="Century Gothic" w:cs="Arial"/>
          <w:lang w:val="es-MX"/>
        </w:rPr>
        <w:lastRenderedPageBreak/>
        <w:t>respectivo país y la firma de tales funcionarios será, a su vez, autenticada por un cónsul colombiano o, a falta de este, por el de una Nación amiga.</w:t>
      </w:r>
    </w:p>
    <w:p w14:paraId="73A08E80" w14:textId="75FE88D5" w:rsidR="00D7476D" w:rsidRPr="00737A45" w:rsidRDefault="00F507C2" w:rsidP="00D7476D">
      <w:pPr>
        <w:spacing w:before="120" w:after="120" w:line="276" w:lineRule="auto"/>
        <w:ind w:firstLine="708"/>
        <w:jc w:val="both"/>
        <w:rPr>
          <w:rFonts w:ascii="Century Gothic" w:eastAsia="Calibri" w:hAnsi="Century Gothic" w:cs="Arial"/>
          <w:lang w:val="es-MX"/>
        </w:rPr>
      </w:pPr>
      <w:r w:rsidRPr="00737A45">
        <w:rPr>
          <w:rFonts w:ascii="Century Gothic" w:eastAsia="Arial" w:hAnsi="Century Gothic" w:cs="Arial"/>
        </w:rPr>
        <w:t xml:space="preserve">En concordancia con </w:t>
      </w:r>
      <w:r w:rsidR="00473D25" w:rsidRPr="00737A45">
        <w:rPr>
          <w:rFonts w:ascii="Century Gothic" w:eastAsia="Arial" w:hAnsi="Century Gothic" w:cs="Arial"/>
        </w:rPr>
        <w:t>estas disposiciones, el artículo 486 del Código de Comercio establece que corresponde a las Cám</w:t>
      </w:r>
      <w:r w:rsidR="006D0BBA" w:rsidRPr="00737A45">
        <w:rPr>
          <w:rFonts w:ascii="Century Gothic" w:eastAsia="Arial" w:hAnsi="Century Gothic" w:cs="Arial"/>
        </w:rPr>
        <w:t xml:space="preserve">aras de Comercio certificar la existencia de las </w:t>
      </w:r>
      <w:r w:rsidR="00D7476D" w:rsidRPr="00737A45">
        <w:rPr>
          <w:rFonts w:ascii="Century Gothic" w:eastAsia="Calibri" w:hAnsi="Century Gothic" w:cs="Arial"/>
          <w:lang w:val="es-MX"/>
        </w:rPr>
        <w:t>sociedades extranjeras con domicilio en Colombia</w:t>
      </w:r>
      <w:r w:rsidR="00D7476D" w:rsidRPr="00737A45">
        <w:rPr>
          <w:rFonts w:ascii="Century Gothic" w:eastAsia="Calibri" w:hAnsi="Century Gothic" w:cs="Arial"/>
          <w:vertAlign w:val="superscript"/>
          <w:lang w:val="es-MX"/>
        </w:rPr>
        <w:footnoteReference w:id="14"/>
      </w:r>
      <w:r w:rsidR="00D7476D" w:rsidRPr="00737A45">
        <w:rPr>
          <w:rFonts w:ascii="Century Gothic" w:eastAsia="Calibri" w:hAnsi="Century Gothic" w:cs="Arial"/>
          <w:lang w:val="es-MX"/>
        </w:rPr>
        <w:t>.En ese orden, la existencia de las sociedades comerciales debe acreditarse a través del certificado de existencia y representación emitido por la respectiva cámara de comercio, no obstante, para que sea posible su adecuada identificación este deberá completarse con el documento de identidad del respectivo representante legal, o la persona habilitada para representar a la sociedad conforme al respectivo certificado.</w:t>
      </w:r>
    </w:p>
    <w:p w14:paraId="4E9B9D96" w14:textId="0D0B2374" w:rsidR="009625C7" w:rsidRPr="00737A45" w:rsidRDefault="009B44C8" w:rsidP="006032EA">
      <w:pPr>
        <w:spacing w:before="120" w:after="0" w:line="276" w:lineRule="auto"/>
        <w:jc w:val="both"/>
        <w:rPr>
          <w:rFonts w:ascii="Century Gothic" w:eastAsia="Arial" w:hAnsi="Century Gothic" w:cs="Arial"/>
        </w:rPr>
      </w:pPr>
      <w:r w:rsidRPr="00737A45">
        <w:rPr>
          <w:rFonts w:ascii="Century Gothic" w:eastAsia="Arial" w:hAnsi="Century Gothic" w:cs="Arial"/>
        </w:rPr>
        <w:tab/>
        <w:t>Ahora bien, teniendo en cuenta el objeto de la consulta, debe aclararse que las Entidades Estatales al adelantar sus procesos contractuales, para verificar la identidad de sus eventuales contra</w:t>
      </w:r>
      <w:r w:rsidR="009218EB" w:rsidRPr="00737A45">
        <w:rPr>
          <w:rFonts w:ascii="Century Gothic" w:eastAsia="Arial" w:hAnsi="Century Gothic" w:cs="Arial"/>
        </w:rPr>
        <w:t xml:space="preserve">tistas que ostenten la calidad de personas jurídicas, suelen exigir certificados de existencia </w:t>
      </w:r>
      <w:r w:rsidR="00F93D27" w:rsidRPr="00737A45">
        <w:rPr>
          <w:rFonts w:ascii="Century Gothic" w:eastAsia="Arial" w:hAnsi="Century Gothic" w:cs="Arial"/>
        </w:rPr>
        <w:t>y representación</w:t>
      </w:r>
      <w:r w:rsidR="003F1FC6" w:rsidRPr="00737A45">
        <w:rPr>
          <w:rFonts w:ascii="Century Gothic" w:eastAsia="Arial" w:hAnsi="Century Gothic" w:cs="Arial"/>
        </w:rPr>
        <w:t xml:space="preserve"> legal</w:t>
      </w:r>
      <w:r w:rsidR="00F93D27" w:rsidRPr="00737A45">
        <w:rPr>
          <w:rFonts w:ascii="Century Gothic" w:eastAsia="Arial" w:hAnsi="Century Gothic" w:cs="Arial"/>
        </w:rPr>
        <w:t>; sin embargo,</w:t>
      </w:r>
      <w:r w:rsidR="007C19DD" w:rsidRPr="00737A45">
        <w:rPr>
          <w:rFonts w:ascii="Century Gothic" w:eastAsia="Arial" w:hAnsi="Century Gothic" w:cs="Arial"/>
        </w:rPr>
        <w:t xml:space="preserve"> no puede desconocerse que</w:t>
      </w:r>
      <w:r w:rsidR="00A55FB4" w:rsidRPr="00737A45">
        <w:rPr>
          <w:rFonts w:ascii="Century Gothic" w:eastAsia="Arial" w:hAnsi="Century Gothic" w:cs="Arial"/>
        </w:rPr>
        <w:t xml:space="preserve"> de conformidad con el artículo 15 del Decreto Ley 019 de 2012,</w:t>
      </w:r>
      <w:r w:rsidR="007C19DD" w:rsidRPr="00737A45">
        <w:rPr>
          <w:rFonts w:ascii="Century Gothic" w:eastAsia="Arial" w:hAnsi="Century Gothic" w:cs="Arial"/>
        </w:rPr>
        <w:t xml:space="preserve"> las entidades públicas y privadas que cumplan funciones públicas o presten ser</w:t>
      </w:r>
      <w:r w:rsidR="00A55FB4" w:rsidRPr="00737A45">
        <w:rPr>
          <w:rFonts w:ascii="Century Gothic" w:eastAsia="Arial" w:hAnsi="Century Gothic" w:cs="Arial"/>
        </w:rPr>
        <w:t xml:space="preserve">vicios públicos, pueden </w:t>
      </w:r>
      <w:r w:rsidR="00AA448B" w:rsidRPr="00737A45">
        <w:rPr>
          <w:rFonts w:ascii="Century Gothic" w:eastAsia="Arial" w:hAnsi="Century Gothic" w:cs="Arial"/>
        </w:rPr>
        <w:t>acceder</w:t>
      </w:r>
      <w:r w:rsidR="00A55FB4" w:rsidRPr="00737A45">
        <w:rPr>
          <w:rFonts w:ascii="Century Gothic" w:eastAsia="Arial" w:hAnsi="Century Gothic" w:cs="Arial"/>
        </w:rPr>
        <w:t xml:space="preserve"> gratuitament</w:t>
      </w:r>
      <w:r w:rsidR="00F430F7" w:rsidRPr="00737A45">
        <w:rPr>
          <w:rFonts w:ascii="Century Gothic" w:eastAsia="Arial" w:hAnsi="Century Gothic" w:cs="Arial"/>
        </w:rPr>
        <w:t>e</w:t>
      </w:r>
      <w:r w:rsidR="00AA448B" w:rsidRPr="00737A45">
        <w:rPr>
          <w:rFonts w:ascii="Century Gothic" w:eastAsia="Arial" w:hAnsi="Century Gothic" w:cs="Arial"/>
        </w:rPr>
        <w:t xml:space="preserve"> a los registros públicos que lleven las </w:t>
      </w:r>
      <w:r w:rsidR="003F1FC6" w:rsidRPr="00737A45">
        <w:rPr>
          <w:rFonts w:ascii="Century Gothic" w:eastAsia="Arial" w:hAnsi="Century Gothic" w:cs="Arial"/>
        </w:rPr>
        <w:t xml:space="preserve">entidades encargadas de expedir los certificados de existencia y representación legal de las personas jurídicas, </w:t>
      </w:r>
      <w:r w:rsidR="00C117C2" w:rsidRPr="00737A45">
        <w:rPr>
          <w:rFonts w:ascii="Century Gothic" w:hAnsi="Century Gothic"/>
        </w:rPr>
        <w:t>sirviendo tal consulta, para prescindir de la solicitud de su presentación de dicho certificado a los proponentes o contratistas</w:t>
      </w:r>
      <w:r w:rsidR="00C117C2" w:rsidRPr="00737A45">
        <w:rPr>
          <w:rStyle w:val="Refdenotaalpie"/>
          <w:rFonts w:ascii="Arial" w:hAnsi="Arial" w:cs="Arial"/>
        </w:rPr>
        <w:t xml:space="preserve"> </w:t>
      </w:r>
      <w:r w:rsidR="00EA1C81" w:rsidRPr="00737A45">
        <w:rPr>
          <w:rStyle w:val="Refdenotaalpie"/>
          <w:rFonts w:ascii="Arial" w:hAnsi="Arial" w:cs="Arial"/>
        </w:rPr>
        <w:footnoteReference w:id="15"/>
      </w:r>
      <w:r w:rsidR="00EA1C81" w:rsidRPr="00737A45">
        <w:rPr>
          <w:rFonts w:ascii="Arial" w:hAnsi="Arial" w:cs="Arial"/>
        </w:rPr>
        <w:t>.</w:t>
      </w:r>
    </w:p>
    <w:p w14:paraId="5F705D6E" w14:textId="68E4DC97" w:rsidR="00F507C2" w:rsidRPr="00737A45" w:rsidRDefault="00F91B5F" w:rsidP="006032EA">
      <w:pPr>
        <w:spacing w:before="120" w:after="0" w:line="276" w:lineRule="auto"/>
        <w:jc w:val="both"/>
        <w:rPr>
          <w:rFonts w:ascii="Century Gothic" w:eastAsia="Arial" w:hAnsi="Century Gothic" w:cs="Arial"/>
        </w:rPr>
      </w:pPr>
      <w:r w:rsidRPr="00737A45">
        <w:rPr>
          <w:rFonts w:ascii="Century Gothic" w:eastAsia="Arial" w:hAnsi="Century Gothic" w:cs="Arial"/>
        </w:rPr>
        <w:tab/>
        <w:t xml:space="preserve">Así pues, la verificación física de estos documentos y la información en ellos contenida, puede ser retroalimentada y complementada a partir de la información </w:t>
      </w:r>
      <w:r w:rsidR="0087644C" w:rsidRPr="00737A45">
        <w:rPr>
          <w:rFonts w:ascii="Century Gothic" w:eastAsia="Arial" w:hAnsi="Century Gothic" w:cs="Arial"/>
        </w:rPr>
        <w:t>que reposa en los registros y bases de datos administrados por otras autoridades, esto, a partir del intercambio de información interinstitucional</w:t>
      </w:r>
      <w:r w:rsidR="006B66FC" w:rsidRPr="00737A45">
        <w:rPr>
          <w:rFonts w:ascii="Century Gothic" w:eastAsia="Arial" w:hAnsi="Century Gothic" w:cs="Arial"/>
        </w:rPr>
        <w:t xml:space="preserve"> a través </w:t>
      </w:r>
      <w:r w:rsidR="0002714E" w:rsidRPr="00737A45">
        <w:rPr>
          <w:rFonts w:ascii="Century Gothic" w:eastAsia="Arial" w:hAnsi="Century Gothic" w:cs="Arial"/>
        </w:rPr>
        <w:t xml:space="preserve">de los medios tecnológicos </w:t>
      </w:r>
      <w:r w:rsidR="00201A16" w:rsidRPr="00737A45">
        <w:rPr>
          <w:rFonts w:ascii="Century Gothic" w:eastAsia="Calibri" w:hAnsi="Century Gothic" w:cs="Arial"/>
          <w:lang w:val="es-MX"/>
        </w:rPr>
        <w:t xml:space="preserve">que permitan la interoperabilidad de los respectivos sistemas de información, para lo cual resulta necesario que las entidades que pretendan realizar el intercambio acuerden los términos en los que es posible llevar a cabo el mismo, considerando además cual es la información que puede ser objeto de </w:t>
      </w:r>
      <w:r w:rsidR="00201A16" w:rsidRPr="00737A45">
        <w:rPr>
          <w:rFonts w:ascii="Century Gothic" w:eastAsia="Calibri" w:hAnsi="Century Gothic" w:cs="Arial"/>
          <w:lang w:val="es-MX"/>
        </w:rPr>
        <w:lastRenderedPageBreak/>
        <w:t>tratamiento de conformidad con lo dispuesto en la Ley 1581 de 2012, sobre la protección y restricciones en el tratamiento de datos personales.</w:t>
      </w:r>
    </w:p>
    <w:p w14:paraId="408B2C29" w14:textId="52948052" w:rsidR="003803D6" w:rsidRPr="00737A45" w:rsidRDefault="00381BF8" w:rsidP="00381BF8">
      <w:pPr>
        <w:spacing w:before="120" w:after="0" w:line="276" w:lineRule="auto"/>
        <w:ind w:firstLine="709"/>
        <w:jc w:val="both"/>
        <w:rPr>
          <w:rFonts w:ascii="Century Gothic" w:eastAsia="Times New Roman" w:hAnsi="Century Gothic" w:cs="Arial"/>
          <w:szCs w:val="24"/>
          <w:lang w:eastAsia="es-CO"/>
        </w:rPr>
      </w:pPr>
      <w:r w:rsidRPr="00737A45">
        <w:rPr>
          <w:rFonts w:ascii="Century Gothic" w:eastAsia="Times New Roman" w:hAnsi="Century Gothic" w:cs="Arial"/>
          <w:szCs w:val="24"/>
          <w:lang w:eastAsia="es-CO"/>
        </w:rPr>
        <w:t>En conclusión, l</w:t>
      </w:r>
      <w:r w:rsidR="009F5404" w:rsidRPr="009F5404">
        <w:rPr>
          <w:rFonts w:ascii="Century Gothic" w:eastAsia="Times New Roman" w:hAnsi="Century Gothic" w:cs="Arial"/>
          <w:szCs w:val="24"/>
          <w:lang w:eastAsia="es-CO"/>
        </w:rPr>
        <w:t>a implementación de estos mecanismos tecnológicos de intercambio de información para la verificación de la identidad de los contratistas</w:t>
      </w:r>
      <w:r w:rsidRPr="00737A45">
        <w:rPr>
          <w:rFonts w:ascii="Century Gothic" w:eastAsia="Times New Roman" w:hAnsi="Century Gothic" w:cs="Arial"/>
          <w:szCs w:val="24"/>
          <w:lang w:eastAsia="es-CO"/>
        </w:rPr>
        <w:t>,</w:t>
      </w:r>
      <w:r w:rsidR="009F5404" w:rsidRPr="009F5404">
        <w:rPr>
          <w:rFonts w:ascii="Century Gothic" w:eastAsia="Times New Roman" w:hAnsi="Century Gothic" w:cs="Arial"/>
          <w:szCs w:val="24"/>
          <w:lang w:eastAsia="es-CO"/>
        </w:rPr>
        <w:t xml:space="preserve"> es uno de los aspectos en los que encuentra aplicabilidad lo dispuesto en el artículo 227 de la Ley 1450 de 2011, al referirse a la </w:t>
      </w:r>
      <w:r w:rsidR="009F5404" w:rsidRPr="00737A45">
        <w:rPr>
          <w:rFonts w:ascii="Century Gothic" w:eastAsia="Times New Roman" w:hAnsi="Century Gothic" w:cs="Arial"/>
          <w:szCs w:val="24"/>
          <w:lang w:eastAsia="es-CO"/>
        </w:rPr>
        <w:t>“i</w:t>
      </w:r>
      <w:r w:rsidR="009F5404" w:rsidRPr="009F5404">
        <w:rPr>
          <w:rFonts w:ascii="Century Gothic" w:eastAsia="Times New Roman" w:hAnsi="Century Gothic" w:cs="Arial"/>
          <w:szCs w:val="24"/>
          <w:lang w:eastAsia="es-CO"/>
        </w:rPr>
        <w:t>ntegración de los sistemas de información para el ejercicio eficiente y adecuado de la función</w:t>
      </w:r>
      <w:r w:rsidR="009F5404" w:rsidRPr="00737A45">
        <w:rPr>
          <w:rFonts w:ascii="Century Gothic" w:eastAsia="Times New Roman" w:hAnsi="Century Gothic" w:cs="Arial"/>
          <w:szCs w:val="24"/>
          <w:lang w:eastAsia="es-CO"/>
        </w:rPr>
        <w:t>”</w:t>
      </w:r>
      <w:r w:rsidR="009F5404" w:rsidRPr="009F5404">
        <w:rPr>
          <w:rFonts w:ascii="Century Gothic" w:eastAsia="Times New Roman" w:hAnsi="Century Gothic" w:cs="Arial"/>
          <w:szCs w:val="24"/>
          <w:lang w:eastAsia="es-CO"/>
        </w:rPr>
        <w:t>, así como lo dispuesto en el artículo 15 del Decreto ley 019 de 2012, disposiciones que desarrollan mecanismos dirigidos a racionalizar trámites comunes en el normal funcionamiento de la Administración Pública, que, de implementarse a partir de medios técnicos adecuados, devendrían en un ejercicio de funciones administrativas y prestación de servicios públicos más eficiente, así como en el desarrollo de una gestión contractual en la verificación de aspectos tan importantes como la identidad de los contratistas, para que no quede únicamente supeditada a la buena fe de estos y a la verificación documental de los instrumentos que estos presentan.</w:t>
      </w:r>
    </w:p>
    <w:p w14:paraId="3BFC6DD3" w14:textId="77777777" w:rsidR="003E09A8" w:rsidRPr="00737A45" w:rsidRDefault="003E09A8" w:rsidP="003E09A8">
      <w:pPr>
        <w:spacing w:after="0" w:line="276" w:lineRule="auto"/>
        <w:ind w:firstLine="708"/>
        <w:jc w:val="both"/>
        <w:rPr>
          <w:rFonts w:ascii="Century Gothic" w:eastAsia="Times New Roman" w:hAnsi="Century Gothic" w:cs="Arial"/>
          <w:szCs w:val="24"/>
          <w:lang w:eastAsia="es-CO"/>
        </w:rPr>
      </w:pPr>
    </w:p>
    <w:bookmarkEnd w:id="5"/>
    <w:p w14:paraId="0B135539" w14:textId="77777777" w:rsidR="005B4D3E" w:rsidRPr="00737A45" w:rsidRDefault="005B4D3E" w:rsidP="005B4D3E">
      <w:pPr>
        <w:tabs>
          <w:tab w:val="left" w:pos="0"/>
        </w:tabs>
        <w:spacing w:after="0"/>
        <w:jc w:val="both"/>
        <w:rPr>
          <w:rFonts w:ascii="Century Gothic" w:eastAsia="Calibri" w:hAnsi="Century Gothic" w:cs="Arial"/>
          <w:b/>
          <w:lang w:val="es-ES_tradnl"/>
        </w:rPr>
      </w:pPr>
      <w:r w:rsidRPr="00737A45">
        <w:rPr>
          <w:rFonts w:ascii="Century Gothic" w:eastAsia="Calibri" w:hAnsi="Century Gothic" w:cs="Arial"/>
          <w:b/>
          <w:lang w:val="es-ES_tradnl"/>
        </w:rPr>
        <w:t>3. Respuestas</w:t>
      </w:r>
    </w:p>
    <w:p w14:paraId="7FB91D02" w14:textId="77777777" w:rsidR="005B4D3E" w:rsidRPr="00737A45" w:rsidRDefault="005B4D3E" w:rsidP="005B4D3E">
      <w:pPr>
        <w:spacing w:after="0" w:line="276" w:lineRule="auto"/>
        <w:jc w:val="both"/>
        <w:rPr>
          <w:rFonts w:ascii="Century Gothic" w:hAnsi="Century Gothic" w:cs="Arial"/>
          <w:lang w:val="es-ES_tradnl"/>
        </w:rPr>
      </w:pPr>
    </w:p>
    <w:p w14:paraId="78BDCAE8" w14:textId="538C3A00" w:rsidR="00381BF8" w:rsidRPr="00737A45" w:rsidRDefault="005B4D3E" w:rsidP="00381BF8">
      <w:pPr>
        <w:spacing w:after="0" w:line="240" w:lineRule="auto"/>
        <w:ind w:left="709" w:right="709"/>
        <w:jc w:val="both"/>
        <w:textAlignment w:val="baseline"/>
        <w:rPr>
          <w:rFonts w:ascii="Century Gothic" w:hAnsi="Century Gothic" w:cs="Arial"/>
          <w:sz w:val="20"/>
          <w:szCs w:val="20"/>
          <w:shd w:val="clear" w:color="auto" w:fill="FFFFFF"/>
        </w:rPr>
      </w:pPr>
      <w:r w:rsidRPr="00737A45">
        <w:rPr>
          <w:rFonts w:ascii="Century Gothic" w:hAnsi="Century Gothic" w:cs="Arial"/>
          <w:sz w:val="20"/>
          <w:szCs w:val="20"/>
          <w:shd w:val="clear" w:color="auto" w:fill="FFFFFF"/>
        </w:rPr>
        <w:t>“</w:t>
      </w:r>
      <w:r w:rsidR="00381BF8" w:rsidRPr="00737A45">
        <w:rPr>
          <w:rFonts w:ascii="Century Gothic" w:hAnsi="Century Gothic" w:cs="Arial"/>
          <w:sz w:val="20"/>
          <w:szCs w:val="20"/>
          <w:shd w:val="clear" w:color="auto" w:fill="FFFFFF"/>
        </w:rPr>
        <w:t>1. ¿Los estudios previos dentro de un proceso contractual deben ser fechados con anterioridad a la fecha de</w:t>
      </w:r>
      <w:r w:rsidR="00E866EC" w:rsidRPr="00737A45">
        <w:rPr>
          <w:rFonts w:ascii="Century Gothic" w:hAnsi="Century Gothic" w:cs="Arial"/>
          <w:sz w:val="20"/>
          <w:szCs w:val="20"/>
          <w:shd w:val="clear" w:color="auto" w:fill="FFFFFF"/>
        </w:rPr>
        <w:t>l</w:t>
      </w:r>
      <w:r w:rsidR="00381BF8" w:rsidRPr="00737A45">
        <w:rPr>
          <w:rFonts w:ascii="Century Gothic" w:hAnsi="Century Gothic" w:cs="Arial"/>
          <w:sz w:val="20"/>
          <w:szCs w:val="20"/>
          <w:shd w:val="clear" w:color="auto" w:fill="FFFFFF"/>
        </w:rPr>
        <w:t xml:space="preserve"> acta de inicio?</w:t>
      </w:r>
    </w:p>
    <w:p w14:paraId="3504A5CB" w14:textId="18626510" w:rsidR="00381BF8" w:rsidRPr="00737A45" w:rsidRDefault="00381BF8" w:rsidP="00E866EC">
      <w:pPr>
        <w:spacing w:before="120" w:after="0" w:line="240" w:lineRule="auto"/>
        <w:ind w:left="709" w:right="709"/>
        <w:jc w:val="both"/>
        <w:textAlignment w:val="baseline"/>
        <w:rPr>
          <w:rFonts w:ascii="Century Gothic" w:hAnsi="Century Gothic" w:cs="Arial"/>
          <w:sz w:val="20"/>
          <w:szCs w:val="20"/>
          <w:shd w:val="clear" w:color="auto" w:fill="FFFFFF"/>
        </w:rPr>
      </w:pPr>
      <w:r w:rsidRPr="00737A45">
        <w:rPr>
          <w:rFonts w:ascii="Century Gothic" w:hAnsi="Century Gothic" w:cs="Arial"/>
          <w:sz w:val="20"/>
          <w:szCs w:val="20"/>
          <w:shd w:val="clear" w:color="auto" w:fill="FFFFFF"/>
        </w:rPr>
        <w:t>2. ¿Puede ser de la misma fecha la elaboración de estudios previos, acta de inicio, certificado de inexistencia y demás etapas contractuales?” [Sic].</w:t>
      </w:r>
    </w:p>
    <w:p w14:paraId="7B4ABD05" w14:textId="77777777" w:rsidR="005B4D3E" w:rsidRPr="00737A45" w:rsidRDefault="005B4D3E" w:rsidP="005B4D3E">
      <w:pPr>
        <w:spacing w:after="0" w:line="276" w:lineRule="auto"/>
        <w:jc w:val="both"/>
        <w:rPr>
          <w:rFonts w:ascii="Century Gothic" w:eastAsia="Calibri" w:hAnsi="Century Gothic" w:cs="Arial"/>
          <w:lang w:val="es-ES_tradnl"/>
        </w:rPr>
      </w:pPr>
    </w:p>
    <w:p w14:paraId="1F8AEECD" w14:textId="69CC3140" w:rsidR="0064570D" w:rsidRPr="00737A45" w:rsidRDefault="0064570D" w:rsidP="00183CA0">
      <w:pPr>
        <w:spacing w:after="120"/>
        <w:jc w:val="both"/>
        <w:rPr>
          <w:rFonts w:ascii="Century Gothic" w:hAnsi="Century Gothic"/>
        </w:rPr>
      </w:pPr>
      <w:r w:rsidRPr="00737A45">
        <w:rPr>
          <w:rFonts w:ascii="Century Gothic" w:hAnsi="Century Gothic"/>
        </w:rPr>
        <w:t xml:space="preserve">De acuerdo con lo indicado en este concepto, </w:t>
      </w:r>
      <w:r w:rsidR="00183CA0" w:rsidRPr="00737A45">
        <w:rPr>
          <w:rFonts w:ascii="Century Gothic" w:hAnsi="Century Gothic"/>
        </w:rPr>
        <w:t>l</w:t>
      </w:r>
      <w:r w:rsidRPr="00737A45">
        <w:rPr>
          <w:rFonts w:ascii="Century Gothic" w:hAnsi="Century Gothic"/>
        </w:rPr>
        <w:t>os Estudios y documentos previos son necesarios antes de la celebración del contrato, pues fundamentan las condiciones que la Entidad Estatal exige en sus procesos de contratación. Sin embargo, el numeral 12 del artículo 25 de la Ley 80 de 1993, establece el deber de las entidades de realizar estudios previos en dos (2) momentos específicos: i) previo a la apertura de un proceso de selección y ii) previo a la firma del contrato</w:t>
      </w:r>
      <w:r w:rsidR="000A246F" w:rsidRPr="00737A45">
        <w:rPr>
          <w:rFonts w:ascii="Century Gothic" w:hAnsi="Century Gothic"/>
        </w:rPr>
        <w:t xml:space="preserve"> en el caso en que la modalidad de selección sea contratación directa.</w:t>
      </w:r>
    </w:p>
    <w:p w14:paraId="562DB2B9" w14:textId="5FDBF7A9" w:rsidR="0064570D" w:rsidRPr="00737A45" w:rsidRDefault="0064570D" w:rsidP="00B57857">
      <w:pPr>
        <w:spacing w:before="120" w:after="120"/>
        <w:jc w:val="both"/>
        <w:rPr>
          <w:rFonts w:ascii="Century Gothic" w:hAnsi="Century Gothic"/>
        </w:rPr>
      </w:pPr>
      <w:r w:rsidRPr="00737A45">
        <w:rPr>
          <w:rFonts w:ascii="Century Gothic" w:hAnsi="Century Gothic"/>
        </w:rPr>
        <w:tab/>
        <w:t xml:space="preserve">Ahora bien, </w:t>
      </w:r>
      <w:r w:rsidR="00E55CD2" w:rsidRPr="00737A45">
        <w:rPr>
          <w:rFonts w:ascii="Century Gothic" w:hAnsi="Century Gothic"/>
        </w:rPr>
        <w:t>como pudo evidenciarse en el considerando,</w:t>
      </w:r>
      <w:r w:rsidRPr="00737A45">
        <w:rPr>
          <w:rFonts w:ascii="Century Gothic" w:hAnsi="Century Gothic"/>
        </w:rPr>
        <w:t xml:space="preserve"> los procesos de contratación que adelantan las Entidades Estatales se desarrollan a través de etapas, es decir, precontractual, contractual y poscontractual</w:t>
      </w:r>
      <w:r w:rsidR="00256291" w:rsidRPr="00737A45">
        <w:rPr>
          <w:rFonts w:ascii="Century Gothic" w:hAnsi="Century Gothic"/>
        </w:rPr>
        <w:t>. Por ello,</w:t>
      </w:r>
      <w:r w:rsidRPr="00737A45">
        <w:rPr>
          <w:rFonts w:ascii="Century Gothic" w:hAnsi="Century Gothic"/>
        </w:rPr>
        <w:t xml:space="preserve"> debe aclararse que los documentos y actividades que las entidades desarrollen en cada una de estas, serán diferentes, </w:t>
      </w:r>
      <w:r w:rsidR="00E419E3" w:rsidRPr="00737A45">
        <w:rPr>
          <w:rFonts w:ascii="Century Gothic" w:hAnsi="Century Gothic"/>
        </w:rPr>
        <w:t>pues,</w:t>
      </w:r>
      <w:r w:rsidR="00256291" w:rsidRPr="00737A45">
        <w:rPr>
          <w:rFonts w:ascii="Century Gothic" w:hAnsi="Century Gothic"/>
        </w:rPr>
        <w:t xml:space="preserve"> aunque integra</w:t>
      </w:r>
      <w:r w:rsidR="00E419E3" w:rsidRPr="00737A45">
        <w:rPr>
          <w:rFonts w:ascii="Century Gothic" w:hAnsi="Century Gothic"/>
        </w:rPr>
        <w:t>n</w:t>
      </w:r>
      <w:r w:rsidR="00256291" w:rsidRPr="00737A45">
        <w:rPr>
          <w:rFonts w:ascii="Century Gothic" w:hAnsi="Century Gothic"/>
        </w:rPr>
        <w:t xml:space="preserve"> el proceso de contratación en sí, </w:t>
      </w:r>
      <w:r w:rsidR="00A16DF6" w:rsidRPr="00737A45">
        <w:rPr>
          <w:rFonts w:ascii="Century Gothic" w:hAnsi="Century Gothic"/>
        </w:rPr>
        <w:t xml:space="preserve">estos se efectúan </w:t>
      </w:r>
      <w:r w:rsidR="009769A6" w:rsidRPr="00737A45">
        <w:rPr>
          <w:rFonts w:ascii="Century Gothic" w:hAnsi="Century Gothic"/>
        </w:rPr>
        <w:t xml:space="preserve">con </w:t>
      </w:r>
      <w:r w:rsidR="00297358" w:rsidRPr="00737A45">
        <w:rPr>
          <w:rFonts w:ascii="Century Gothic" w:hAnsi="Century Gothic"/>
        </w:rPr>
        <w:t>finalidades específicas</w:t>
      </w:r>
      <w:r w:rsidR="009769A6" w:rsidRPr="00737A45">
        <w:rPr>
          <w:rFonts w:ascii="Century Gothic" w:hAnsi="Century Gothic"/>
        </w:rPr>
        <w:t xml:space="preserve"> y </w:t>
      </w:r>
      <w:r w:rsidR="00D47631" w:rsidRPr="00737A45">
        <w:rPr>
          <w:rFonts w:ascii="Century Gothic" w:hAnsi="Century Gothic"/>
        </w:rPr>
        <w:t xml:space="preserve">en </w:t>
      </w:r>
      <w:r w:rsidR="009769A6" w:rsidRPr="00737A45">
        <w:rPr>
          <w:rFonts w:ascii="Century Gothic" w:hAnsi="Century Gothic"/>
        </w:rPr>
        <w:t>tiempos</w:t>
      </w:r>
      <w:r w:rsidR="00A16DF6" w:rsidRPr="00737A45">
        <w:rPr>
          <w:rFonts w:ascii="Century Gothic" w:hAnsi="Century Gothic"/>
        </w:rPr>
        <w:t xml:space="preserve"> </w:t>
      </w:r>
      <w:r w:rsidR="009769A6" w:rsidRPr="00737A45">
        <w:rPr>
          <w:rFonts w:ascii="Century Gothic" w:hAnsi="Century Gothic"/>
        </w:rPr>
        <w:t>distintos</w:t>
      </w:r>
      <w:r w:rsidR="00A16DF6" w:rsidRPr="00737A45">
        <w:rPr>
          <w:rFonts w:ascii="Century Gothic" w:hAnsi="Century Gothic"/>
        </w:rPr>
        <w:t>.</w:t>
      </w:r>
      <w:r w:rsidR="00E037F9" w:rsidRPr="00737A45">
        <w:rPr>
          <w:rFonts w:ascii="Century Gothic" w:hAnsi="Century Gothic"/>
        </w:rPr>
        <w:t xml:space="preserve"> </w:t>
      </w:r>
      <w:r w:rsidR="00CA6107" w:rsidRPr="00737A45">
        <w:rPr>
          <w:rFonts w:ascii="Century Gothic" w:hAnsi="Century Gothic"/>
        </w:rPr>
        <w:t xml:space="preserve">En el caso de los estudios previos y el acta de inicio, </w:t>
      </w:r>
      <w:r w:rsidR="002865BB" w:rsidRPr="00737A45">
        <w:rPr>
          <w:rFonts w:ascii="Century Gothic" w:hAnsi="Century Gothic"/>
        </w:rPr>
        <w:t xml:space="preserve">debe señalarse que </w:t>
      </w:r>
      <w:r w:rsidR="00F95883" w:rsidRPr="00737A45">
        <w:rPr>
          <w:rFonts w:ascii="Century Gothic" w:hAnsi="Century Gothic"/>
        </w:rPr>
        <w:t>estos son</w:t>
      </w:r>
      <w:r w:rsidR="002865BB" w:rsidRPr="00737A45">
        <w:rPr>
          <w:rFonts w:ascii="Century Gothic" w:hAnsi="Century Gothic"/>
        </w:rPr>
        <w:t xml:space="preserve"> </w:t>
      </w:r>
      <w:r w:rsidR="00E72321" w:rsidRPr="00737A45">
        <w:rPr>
          <w:rFonts w:ascii="Century Gothic" w:hAnsi="Century Gothic"/>
        </w:rPr>
        <w:t xml:space="preserve">documentos </w:t>
      </w:r>
      <w:r w:rsidR="00E72321" w:rsidRPr="00737A45">
        <w:rPr>
          <w:rFonts w:ascii="Century Gothic" w:hAnsi="Century Gothic"/>
        </w:rPr>
        <w:lastRenderedPageBreak/>
        <w:t>que se expiden en etapas diferentes, pues el primero</w:t>
      </w:r>
      <w:r w:rsidR="00B57857" w:rsidRPr="00737A45">
        <w:rPr>
          <w:rFonts w:ascii="Century Gothic" w:hAnsi="Century Gothic"/>
        </w:rPr>
        <w:t xml:space="preserve"> corresponde a la etapa precontractual y el segundo a la contractual.</w:t>
      </w:r>
    </w:p>
    <w:p w14:paraId="322E4F41" w14:textId="75CBD16C" w:rsidR="0064570D" w:rsidRPr="00737A45" w:rsidRDefault="0064570D" w:rsidP="00582258">
      <w:pPr>
        <w:spacing w:after="0"/>
        <w:jc w:val="both"/>
        <w:rPr>
          <w:rFonts w:ascii="Century Gothic" w:hAnsi="Century Gothic"/>
        </w:rPr>
      </w:pPr>
      <w:r w:rsidRPr="00737A45">
        <w:rPr>
          <w:rFonts w:ascii="Century Gothic" w:hAnsi="Century Gothic"/>
        </w:rPr>
        <w:tab/>
        <w:t xml:space="preserve">Finalmente, es preciso indicar que serán las Entidades Estatales en virtud del principio de autonomía que les fue conferido por el legislador, así como </w:t>
      </w:r>
      <w:r w:rsidR="002F7D83" w:rsidRPr="00737A45">
        <w:rPr>
          <w:rFonts w:ascii="Century Gothic" w:hAnsi="Century Gothic"/>
        </w:rPr>
        <w:t>con las normas aplicables en contratación estatal</w:t>
      </w:r>
      <w:r w:rsidRPr="00737A45">
        <w:rPr>
          <w:rFonts w:ascii="Century Gothic" w:hAnsi="Century Gothic"/>
        </w:rPr>
        <w:t xml:space="preserve">, determinar la forma en la que fecharán cada uno de los documentos que expidan en el desarrollo de </w:t>
      </w:r>
      <w:r w:rsidR="00582258" w:rsidRPr="00737A45">
        <w:rPr>
          <w:rFonts w:ascii="Century Gothic" w:hAnsi="Century Gothic"/>
        </w:rPr>
        <w:t>sus</w:t>
      </w:r>
      <w:r w:rsidRPr="00737A45">
        <w:rPr>
          <w:rFonts w:ascii="Century Gothic" w:hAnsi="Century Gothic"/>
        </w:rPr>
        <w:t xml:space="preserve"> procesos contractuales</w:t>
      </w:r>
      <w:r w:rsidR="00582258" w:rsidRPr="00737A45">
        <w:rPr>
          <w:rFonts w:ascii="Century Gothic" w:hAnsi="Century Gothic"/>
        </w:rPr>
        <w:t>.</w:t>
      </w:r>
    </w:p>
    <w:p w14:paraId="6A0E5E2F" w14:textId="77777777" w:rsidR="00582258" w:rsidRPr="00737A45" w:rsidRDefault="00582258" w:rsidP="00582258">
      <w:pPr>
        <w:spacing w:after="0"/>
        <w:jc w:val="both"/>
        <w:rPr>
          <w:rFonts w:ascii="Century Gothic" w:hAnsi="Century Gothic"/>
        </w:rPr>
      </w:pPr>
    </w:p>
    <w:p w14:paraId="2C2E873B" w14:textId="6DBE6E90" w:rsidR="00582258" w:rsidRPr="00737A45" w:rsidRDefault="00F95A67" w:rsidP="00582258">
      <w:pPr>
        <w:spacing w:after="0" w:line="240" w:lineRule="auto"/>
        <w:ind w:left="709" w:right="709"/>
        <w:jc w:val="both"/>
        <w:textAlignment w:val="baseline"/>
        <w:rPr>
          <w:rFonts w:ascii="Century Gothic" w:hAnsi="Century Gothic" w:cs="Arial"/>
          <w:sz w:val="20"/>
          <w:szCs w:val="20"/>
          <w:shd w:val="clear" w:color="auto" w:fill="FFFFFF"/>
        </w:rPr>
      </w:pPr>
      <w:r w:rsidRPr="00737A45">
        <w:rPr>
          <w:rFonts w:ascii="Century Gothic" w:hAnsi="Century Gothic" w:cs="Arial"/>
          <w:sz w:val="20"/>
          <w:szCs w:val="20"/>
          <w:shd w:val="clear" w:color="auto" w:fill="FFFFFF"/>
        </w:rPr>
        <w:t>“</w:t>
      </w:r>
      <w:r w:rsidR="00582258" w:rsidRPr="00737A45">
        <w:rPr>
          <w:rFonts w:ascii="Century Gothic" w:hAnsi="Century Gothic" w:cs="Arial"/>
          <w:sz w:val="20"/>
          <w:szCs w:val="20"/>
          <w:shd w:val="clear" w:color="auto" w:fill="FFFFFF"/>
        </w:rPr>
        <w:t>3. ¿Puede la administración municipal consultar y descargar un certificado de existencia y representación legal en un proceso de mínima cuantía para la verificación del proponente?” [Sic].</w:t>
      </w:r>
    </w:p>
    <w:p w14:paraId="55156051" w14:textId="77777777" w:rsidR="005B4D3E" w:rsidRPr="00737A45" w:rsidRDefault="005B4D3E" w:rsidP="005B4D3E">
      <w:pPr>
        <w:spacing w:after="0" w:line="276" w:lineRule="auto"/>
        <w:jc w:val="both"/>
        <w:rPr>
          <w:rFonts w:ascii="Century Gothic" w:eastAsia="Calibri" w:hAnsi="Century Gothic" w:cs="Arial"/>
          <w:lang w:val="es-ES_tradnl"/>
        </w:rPr>
      </w:pPr>
    </w:p>
    <w:p w14:paraId="3CF83536" w14:textId="77777777" w:rsidR="000B1B6B" w:rsidRPr="00737A45" w:rsidRDefault="000B1B6B" w:rsidP="000B1B6B">
      <w:pPr>
        <w:spacing w:after="120"/>
        <w:jc w:val="both"/>
        <w:rPr>
          <w:rFonts w:ascii="Century Gothic" w:hAnsi="Century Gothic"/>
        </w:rPr>
      </w:pPr>
      <w:r w:rsidRPr="00737A45">
        <w:rPr>
          <w:rFonts w:ascii="Century Gothic" w:hAnsi="Century Gothic"/>
        </w:rPr>
        <w:t>El artículo 27 de la Ley 1121 de 2006, establece que en cualquier proceso de contratación las Entidades Estatales tienen la obligación de identificar plenamente a las personas naturales o jurídicas que suscriban el contrato, por lo que deberán recurrir a los medios establecidos por las leyes generales, para realizar dicha identificación.</w:t>
      </w:r>
    </w:p>
    <w:p w14:paraId="191E1A42" w14:textId="77777777" w:rsidR="000B1B6B" w:rsidRPr="00737A45" w:rsidRDefault="000B1B6B" w:rsidP="000B1B6B">
      <w:pPr>
        <w:spacing w:after="120"/>
        <w:jc w:val="both"/>
        <w:rPr>
          <w:rFonts w:ascii="Century Gothic" w:hAnsi="Century Gothic"/>
        </w:rPr>
      </w:pPr>
      <w:r w:rsidRPr="00737A45">
        <w:rPr>
          <w:rFonts w:ascii="Century Gothic" w:hAnsi="Century Gothic"/>
        </w:rPr>
        <w:tab/>
        <w:t>En consecuencia, las Entidades Estatales al adelantar sus procesos contractuales, para verificar la identidad de sus eventuales contratistas que ostenten la calidad de personas jurídicas, suelen exigir certificados de existencia y representación legal; sin embargo, no puede desconocerse que de conformidad con el artículo 15 del Decreto Ley 019 de 2012, las entidades públicas y privadas que cumplan funciones públicas o presten servicios públicos, pueden acceder gratuitamente a los registros públicos que lleven las entidades encargadas de expedir los certificados de existencia y representación legal de las personas jurídicas, sirviendo tal consulta, para prescindir de la solicitud de su presentación de dicho certificado a los proponentes o contratistas.</w:t>
      </w:r>
    </w:p>
    <w:p w14:paraId="3D00B23D" w14:textId="77777777" w:rsidR="000B1B6B" w:rsidRPr="00737A45" w:rsidRDefault="000B1B6B" w:rsidP="005B4D3E">
      <w:pPr>
        <w:widowControl w:val="0"/>
        <w:autoSpaceDE w:val="0"/>
        <w:autoSpaceDN w:val="0"/>
        <w:spacing w:after="0" w:line="276" w:lineRule="auto"/>
        <w:jc w:val="both"/>
        <w:rPr>
          <w:rFonts w:ascii="Century Gothic" w:hAnsi="Century Gothic" w:cs="Arial"/>
          <w:lang w:val="es-ES_tradnl"/>
        </w:rPr>
      </w:pPr>
    </w:p>
    <w:p w14:paraId="68DA4479" w14:textId="682A620E" w:rsidR="005B4D3E" w:rsidRPr="00737A45" w:rsidRDefault="005B4D3E" w:rsidP="005B4D3E">
      <w:pPr>
        <w:widowControl w:val="0"/>
        <w:autoSpaceDE w:val="0"/>
        <w:autoSpaceDN w:val="0"/>
        <w:spacing w:after="0" w:line="276" w:lineRule="auto"/>
        <w:jc w:val="both"/>
        <w:rPr>
          <w:rFonts w:ascii="Century Gothic" w:hAnsi="Century Gothic" w:cs="Arial"/>
          <w:lang w:val="es-ES_tradnl" w:bidi="es-ES"/>
        </w:rPr>
      </w:pPr>
      <w:r w:rsidRPr="00737A45">
        <w:rPr>
          <w:rFonts w:ascii="Century Gothic" w:hAnsi="Century Gothic" w:cs="Arial"/>
          <w:lang w:val="es-ES_tradnl"/>
        </w:rPr>
        <w:t>Este concepto tiene el alcance previsto en el artículo 28 del Código de Procedimiento Administrativo y de lo Contencioso Administrativo.</w:t>
      </w:r>
    </w:p>
    <w:p w14:paraId="1881D6C3" w14:textId="77777777" w:rsidR="005B4D3E" w:rsidRPr="00737A45" w:rsidRDefault="005B4D3E" w:rsidP="005B4D3E">
      <w:pPr>
        <w:widowControl w:val="0"/>
        <w:autoSpaceDE w:val="0"/>
        <w:autoSpaceDN w:val="0"/>
        <w:spacing w:after="0" w:line="276" w:lineRule="auto"/>
        <w:jc w:val="both"/>
        <w:rPr>
          <w:rFonts w:ascii="Century Gothic" w:hAnsi="Century Gothic" w:cs="Arial"/>
          <w:lang w:val="es-ES_tradnl" w:bidi="es-ES"/>
        </w:rPr>
      </w:pPr>
    </w:p>
    <w:p w14:paraId="4818B388" w14:textId="77777777" w:rsidR="005B4D3E" w:rsidRPr="00737A45" w:rsidRDefault="005B4D3E" w:rsidP="005B4D3E">
      <w:pPr>
        <w:tabs>
          <w:tab w:val="left" w:pos="426"/>
        </w:tabs>
        <w:spacing w:line="276" w:lineRule="auto"/>
        <w:jc w:val="both"/>
        <w:rPr>
          <w:rFonts w:ascii="Century Gothic" w:eastAsia="Times New Roman" w:hAnsi="Century Gothic" w:cs="Arial"/>
        </w:rPr>
      </w:pPr>
      <w:r w:rsidRPr="00737A45">
        <w:rPr>
          <w:rFonts w:ascii="Century Gothic" w:eastAsia="Times New Roman" w:hAnsi="Century Gothic" w:cs="Arial"/>
        </w:rPr>
        <w:t>Atentamente,</w:t>
      </w:r>
    </w:p>
    <w:p w14:paraId="76AC4730" w14:textId="28D2AC87" w:rsidR="005B4D3E" w:rsidRPr="00737A45" w:rsidRDefault="009607F3" w:rsidP="005B4D3E">
      <w:pPr>
        <w:jc w:val="center"/>
        <w:rPr>
          <w:rFonts w:ascii="Century Gothic" w:eastAsia="Times New Roman" w:hAnsi="Century Gothic" w:cs="Arial"/>
          <w:lang w:eastAsia="es-CO"/>
        </w:rPr>
      </w:pPr>
      <w:r>
        <w:rPr>
          <w:noProof/>
        </w:rPr>
        <w:lastRenderedPageBreak/>
        <w:drawing>
          <wp:inline distT="0" distB="0" distL="0" distR="0" wp14:anchorId="35317589" wp14:editId="4576CEFA">
            <wp:extent cx="2964180" cy="1135380"/>
            <wp:effectExtent l="0" t="0" r="7620" b="7620"/>
            <wp:docPr id="209853502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35022"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4180" cy="1135380"/>
                    </a:xfrm>
                    <a:prstGeom prst="rect">
                      <a:avLst/>
                    </a:prstGeom>
                    <a:noFill/>
                    <a:ln>
                      <a:noFill/>
                    </a:ln>
                  </pic:spPr>
                </pic:pic>
              </a:graphicData>
            </a:graphic>
          </wp:inline>
        </w:drawing>
      </w:r>
      <w:r w:rsidR="00710D1A" w:rsidRPr="00737A45">
        <w:rPr>
          <w:rFonts w:ascii="Calibri" w:hAnsi="Calibri" w:cs="Calibri"/>
          <w:shd w:val="clear" w:color="auto" w:fill="FFFFFF"/>
        </w:rPr>
        <w:br/>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737A45" w:rsidRPr="00737A45" w14:paraId="5675437C" w14:textId="77777777" w:rsidTr="001B01B8">
        <w:trPr>
          <w:trHeight w:val="409"/>
        </w:trPr>
        <w:tc>
          <w:tcPr>
            <w:tcW w:w="817" w:type="dxa"/>
            <w:tcBorders>
              <w:top w:val="nil"/>
              <w:left w:val="nil"/>
              <w:bottom w:val="nil"/>
              <w:right w:val="nil"/>
            </w:tcBorders>
            <w:vAlign w:val="center"/>
            <w:hideMark/>
          </w:tcPr>
          <w:p w14:paraId="4A33F406" w14:textId="77777777" w:rsidR="005B4D3E" w:rsidRPr="00737A45" w:rsidRDefault="005B4D3E" w:rsidP="001B01B8">
            <w:pPr>
              <w:spacing w:after="0" w:line="240" w:lineRule="auto"/>
              <w:jc w:val="both"/>
              <w:rPr>
                <w:rFonts w:ascii="Century Gothic" w:hAnsi="Century Gothic" w:cs="Arial"/>
                <w:sz w:val="16"/>
                <w:szCs w:val="16"/>
              </w:rPr>
            </w:pPr>
            <w:r w:rsidRPr="00737A45">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4625601F" w14:textId="77777777" w:rsidR="005B4D3E" w:rsidRPr="00737A45" w:rsidRDefault="005B4D3E" w:rsidP="001B01B8">
            <w:pPr>
              <w:spacing w:after="0" w:line="240" w:lineRule="auto"/>
              <w:jc w:val="both"/>
              <w:rPr>
                <w:rFonts w:ascii="Century Gothic" w:hAnsi="Century Gothic" w:cs="Arial"/>
                <w:sz w:val="16"/>
                <w:szCs w:val="16"/>
              </w:rPr>
            </w:pPr>
            <w:r w:rsidRPr="00737A45">
              <w:rPr>
                <w:rFonts w:ascii="Century Gothic" w:hAnsi="Century Gothic" w:cs="Arial"/>
                <w:sz w:val="16"/>
                <w:szCs w:val="16"/>
              </w:rPr>
              <w:t>Nasly Yeana Mosquera Rivas</w:t>
            </w:r>
          </w:p>
          <w:p w14:paraId="22E56C37" w14:textId="77777777" w:rsidR="005B4D3E" w:rsidRPr="00737A45" w:rsidRDefault="005B4D3E" w:rsidP="001B01B8">
            <w:pPr>
              <w:spacing w:after="0" w:line="240" w:lineRule="auto"/>
              <w:jc w:val="both"/>
              <w:rPr>
                <w:rFonts w:ascii="Century Gothic" w:hAnsi="Century Gothic" w:cs="Arial"/>
                <w:sz w:val="16"/>
                <w:szCs w:val="16"/>
              </w:rPr>
            </w:pPr>
            <w:r w:rsidRPr="00737A45">
              <w:rPr>
                <w:rFonts w:ascii="Century Gothic" w:hAnsi="Century Gothic" w:cs="Arial"/>
                <w:sz w:val="16"/>
                <w:szCs w:val="16"/>
              </w:rPr>
              <w:t>Analista T2 – 06 de la Subdirección de Gestión Contractual</w:t>
            </w:r>
          </w:p>
        </w:tc>
      </w:tr>
      <w:tr w:rsidR="00737A45" w:rsidRPr="00737A45" w14:paraId="5922B492" w14:textId="77777777" w:rsidTr="001B01B8">
        <w:trPr>
          <w:trHeight w:val="409"/>
        </w:trPr>
        <w:tc>
          <w:tcPr>
            <w:tcW w:w="817" w:type="dxa"/>
            <w:tcBorders>
              <w:top w:val="nil"/>
              <w:left w:val="nil"/>
              <w:right w:val="nil"/>
            </w:tcBorders>
            <w:vAlign w:val="center"/>
          </w:tcPr>
          <w:p w14:paraId="6BAACD27" w14:textId="77777777" w:rsidR="005B4D3E" w:rsidRPr="00737A45" w:rsidRDefault="005B4D3E" w:rsidP="001B01B8">
            <w:pPr>
              <w:jc w:val="both"/>
              <w:rPr>
                <w:rFonts w:ascii="Century Gothic" w:hAnsi="Century Gothic" w:cs="Arial"/>
                <w:sz w:val="16"/>
                <w:szCs w:val="16"/>
              </w:rPr>
            </w:pPr>
            <w:r w:rsidRPr="00737A45">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128D3A98" w14:textId="13476C57" w:rsidR="005B4D3E" w:rsidRPr="00737A45" w:rsidRDefault="000B1B6B" w:rsidP="001B01B8">
            <w:pPr>
              <w:spacing w:after="0" w:line="240" w:lineRule="auto"/>
              <w:jc w:val="both"/>
              <w:rPr>
                <w:rFonts w:ascii="Century Gothic" w:hAnsi="Century Gothic" w:cs="Arial"/>
                <w:sz w:val="16"/>
                <w:szCs w:val="16"/>
              </w:rPr>
            </w:pPr>
            <w:r w:rsidRPr="00737A45">
              <w:rPr>
                <w:rFonts w:ascii="Century Gothic" w:hAnsi="Century Gothic" w:cs="Arial"/>
                <w:sz w:val="16"/>
                <w:szCs w:val="16"/>
              </w:rPr>
              <w:t>Juan David Cárdenas Cabezas</w:t>
            </w:r>
          </w:p>
          <w:p w14:paraId="4F0DA293" w14:textId="2AED395C" w:rsidR="005B4D3E" w:rsidRPr="00737A45" w:rsidRDefault="000B1B6B" w:rsidP="001B01B8">
            <w:pPr>
              <w:spacing w:after="0" w:line="240" w:lineRule="auto"/>
              <w:jc w:val="both"/>
              <w:rPr>
                <w:rFonts w:ascii="Century Gothic" w:hAnsi="Century Gothic" w:cs="Arial"/>
                <w:sz w:val="16"/>
                <w:szCs w:val="16"/>
              </w:rPr>
            </w:pPr>
            <w:r w:rsidRPr="00737A45">
              <w:rPr>
                <w:rFonts w:ascii="Century Gothic" w:hAnsi="Century Gothic" w:cs="Arial"/>
                <w:sz w:val="16"/>
                <w:szCs w:val="16"/>
              </w:rPr>
              <w:t>Contratista</w:t>
            </w:r>
            <w:r w:rsidR="005B4D3E" w:rsidRPr="00737A45">
              <w:rPr>
                <w:rFonts w:ascii="Century Gothic" w:hAnsi="Century Gothic" w:cs="Arial"/>
                <w:sz w:val="16"/>
                <w:szCs w:val="16"/>
              </w:rPr>
              <w:t xml:space="preserve"> de la Subdirección de Gestión Contractual</w:t>
            </w:r>
          </w:p>
        </w:tc>
      </w:tr>
      <w:tr w:rsidR="005B4D3E" w:rsidRPr="00737A45" w14:paraId="67DA3E79" w14:textId="77777777" w:rsidTr="001B01B8">
        <w:trPr>
          <w:trHeight w:val="389"/>
        </w:trPr>
        <w:tc>
          <w:tcPr>
            <w:tcW w:w="817" w:type="dxa"/>
            <w:tcBorders>
              <w:top w:val="nil"/>
              <w:left w:val="nil"/>
              <w:bottom w:val="nil"/>
              <w:right w:val="nil"/>
            </w:tcBorders>
            <w:vAlign w:val="center"/>
            <w:hideMark/>
          </w:tcPr>
          <w:p w14:paraId="237636B5" w14:textId="77777777" w:rsidR="005B4D3E" w:rsidRPr="00737A45" w:rsidRDefault="005B4D3E" w:rsidP="001B01B8">
            <w:pPr>
              <w:spacing w:after="0" w:line="240" w:lineRule="auto"/>
              <w:jc w:val="both"/>
              <w:rPr>
                <w:rFonts w:ascii="Century Gothic" w:hAnsi="Century Gothic" w:cs="Arial"/>
                <w:sz w:val="16"/>
                <w:szCs w:val="16"/>
              </w:rPr>
            </w:pPr>
            <w:r w:rsidRPr="00737A45">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91D864A" w14:textId="77777777" w:rsidR="005B4D3E" w:rsidRPr="00737A45" w:rsidRDefault="005B4D3E" w:rsidP="001B01B8">
            <w:pPr>
              <w:spacing w:after="0" w:line="240" w:lineRule="auto"/>
              <w:jc w:val="both"/>
              <w:rPr>
                <w:rFonts w:ascii="Century Gothic" w:hAnsi="Century Gothic" w:cs="Arial"/>
                <w:sz w:val="16"/>
                <w:szCs w:val="16"/>
              </w:rPr>
            </w:pPr>
            <w:r w:rsidRPr="00737A45">
              <w:rPr>
                <w:rFonts w:ascii="Century Gothic" w:hAnsi="Century Gothic" w:cs="Arial"/>
                <w:sz w:val="16"/>
                <w:szCs w:val="16"/>
              </w:rPr>
              <w:t>Nohelia del Carmen Zawady Palacio</w:t>
            </w:r>
          </w:p>
          <w:p w14:paraId="4CB571C4" w14:textId="77777777" w:rsidR="005B4D3E" w:rsidRPr="00737A45" w:rsidRDefault="005B4D3E" w:rsidP="001B01B8">
            <w:pPr>
              <w:spacing w:after="0" w:line="240" w:lineRule="auto"/>
              <w:jc w:val="both"/>
              <w:rPr>
                <w:rFonts w:ascii="Century Gothic" w:hAnsi="Century Gothic" w:cs="Arial"/>
                <w:sz w:val="16"/>
                <w:szCs w:val="16"/>
              </w:rPr>
            </w:pPr>
            <w:r w:rsidRPr="00737A45">
              <w:rPr>
                <w:rFonts w:ascii="Century Gothic" w:hAnsi="Century Gothic" w:cs="Arial"/>
                <w:sz w:val="16"/>
                <w:szCs w:val="16"/>
              </w:rPr>
              <w:t>Subdirectora de Gestión Contractual ANCP - CCE</w:t>
            </w:r>
          </w:p>
        </w:tc>
      </w:tr>
      <w:bookmarkEnd w:id="2"/>
    </w:tbl>
    <w:p w14:paraId="3A9B92BB" w14:textId="77777777" w:rsidR="005B4D3E" w:rsidRPr="00737A45" w:rsidRDefault="005B4D3E" w:rsidP="005B4D3E"/>
    <w:p w14:paraId="7D58E38D" w14:textId="77777777" w:rsidR="005B4D3E" w:rsidRPr="00737A45" w:rsidRDefault="005B4D3E" w:rsidP="005B4D3E"/>
    <w:p w14:paraId="51B39F44" w14:textId="77777777" w:rsidR="008E5C2E" w:rsidRPr="00737A45" w:rsidRDefault="008E5C2E"/>
    <w:sectPr w:rsidR="008E5C2E" w:rsidRPr="00737A45" w:rsidSect="00A01994">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93AAD" w14:textId="77777777" w:rsidR="00A01994" w:rsidRDefault="00A01994" w:rsidP="005B4D3E">
      <w:pPr>
        <w:spacing w:after="0" w:line="240" w:lineRule="auto"/>
      </w:pPr>
      <w:r>
        <w:separator/>
      </w:r>
    </w:p>
  </w:endnote>
  <w:endnote w:type="continuationSeparator" w:id="0">
    <w:p w14:paraId="2880135E" w14:textId="77777777" w:rsidR="00A01994" w:rsidRDefault="00A01994" w:rsidP="005B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Geomanist Light">
    <w:altName w:val="Calibri"/>
    <w:panose1 w:val="02000503000000020004"/>
    <w:charset w:val="00"/>
    <w:family w:val="modern"/>
    <w:notTrueType/>
    <w:pitch w:val="variable"/>
    <w:sig w:usb0="A000002F" w:usb1="1000004A"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70F2D" w14:textId="77777777" w:rsidR="007D6E6F" w:rsidRDefault="007D6E6F">
    <w:pPr>
      <w:pStyle w:val="Piedepgina"/>
    </w:pPr>
    <w:r>
      <w:rPr>
        <w:noProof/>
        <w:lang w:eastAsia="es-CO"/>
      </w:rPr>
      <w:drawing>
        <wp:inline distT="0" distB="0" distL="0" distR="0" wp14:anchorId="1C84CD55" wp14:editId="2DC5F4E5">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2336" behindDoc="0" locked="0" layoutInCell="1" allowOverlap="1" wp14:anchorId="1E50C5D1" wp14:editId="1BC1A77D">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4366A000"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DCE20A7" w14:textId="77777777" w:rsidR="007D6E6F" w:rsidRPr="003F3941" w:rsidRDefault="007D6E6F" w:rsidP="006219F8">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7C78D05" w14:textId="77777777" w:rsidR="007D6E6F" w:rsidRPr="003F3941" w:rsidRDefault="007D6E6F"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D79D74D" w14:textId="77777777" w:rsidR="007D6E6F" w:rsidRPr="003F3941" w:rsidRDefault="007D6E6F"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22</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64580AF" w14:textId="77777777" w:rsidR="007D6E6F" w:rsidRPr="003F3941" w:rsidRDefault="007D6E6F"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p>
      </w:tc>
    </w:tr>
  </w:tbl>
  <w:p w14:paraId="53150574" w14:textId="77777777" w:rsidR="007D6E6F" w:rsidRDefault="007D6E6F"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E14F6" w14:textId="77777777" w:rsidR="00A01994" w:rsidRDefault="00A01994" w:rsidP="005B4D3E">
      <w:pPr>
        <w:spacing w:after="0" w:line="240" w:lineRule="auto"/>
      </w:pPr>
      <w:r>
        <w:separator/>
      </w:r>
    </w:p>
  </w:footnote>
  <w:footnote w:type="continuationSeparator" w:id="0">
    <w:p w14:paraId="55FAD3EC" w14:textId="77777777" w:rsidR="00A01994" w:rsidRDefault="00A01994" w:rsidP="005B4D3E">
      <w:pPr>
        <w:spacing w:after="0" w:line="240" w:lineRule="auto"/>
      </w:pPr>
      <w:r>
        <w:continuationSeparator/>
      </w:r>
    </w:p>
  </w:footnote>
  <w:footnote w:id="1">
    <w:p w14:paraId="24035B83" w14:textId="77777777" w:rsidR="005B4D3E" w:rsidRPr="00737A45" w:rsidRDefault="005B4D3E" w:rsidP="005B4D3E">
      <w:pPr>
        <w:pStyle w:val="Textonotapie"/>
        <w:ind w:firstLine="708"/>
        <w:jc w:val="both"/>
        <w:rPr>
          <w:rFonts w:ascii="Century Gothic" w:hAnsi="Century Gothic" w:cs="Arial"/>
          <w:sz w:val="12"/>
          <w:szCs w:val="12"/>
          <w:lang w:val="es-ES"/>
        </w:rPr>
      </w:pPr>
      <w:r w:rsidRPr="00737A45">
        <w:rPr>
          <w:rStyle w:val="Refdenotaalpie"/>
          <w:rFonts w:ascii="Century Gothic" w:hAnsi="Century Gothic" w:cs="Arial"/>
          <w:sz w:val="12"/>
          <w:szCs w:val="12"/>
        </w:rPr>
        <w:footnoteRef/>
      </w:r>
      <w:r w:rsidRPr="00737A45">
        <w:rPr>
          <w:rFonts w:ascii="Century Gothic" w:hAnsi="Century Gothic" w:cs="Arial"/>
          <w:sz w:val="12"/>
          <w:szCs w:val="12"/>
        </w:rPr>
        <w:t xml:space="preserve"> La Agencia Nacional de Contratación Pública </w:t>
      </w:r>
      <w:r w:rsidRPr="00737A45">
        <w:rPr>
          <w:rFonts w:ascii="Arial" w:hAnsi="Arial" w:cs="Arial"/>
          <w:sz w:val="12"/>
          <w:szCs w:val="12"/>
        </w:rPr>
        <w:t>‒</w:t>
      </w:r>
      <w:r w:rsidRPr="00737A45">
        <w:rPr>
          <w:rFonts w:ascii="Century Gothic" w:hAnsi="Century Gothic" w:cs="Arial"/>
          <w:sz w:val="12"/>
          <w:szCs w:val="12"/>
        </w:rPr>
        <w:t xml:space="preserve"> Colombia Compra Eficiente fue creada por el Decreto Ley 4170 de 2011. Su objetivo es servir como ente rector de la pol</w:t>
      </w:r>
      <w:r w:rsidRPr="00737A45">
        <w:rPr>
          <w:rFonts w:ascii="Century Gothic" w:hAnsi="Century Gothic" w:cs="Century Gothic"/>
          <w:sz w:val="12"/>
          <w:szCs w:val="12"/>
        </w:rPr>
        <w:t>í</w:t>
      </w:r>
      <w:r w:rsidRPr="00737A45">
        <w:rPr>
          <w:rFonts w:ascii="Century Gothic" w:hAnsi="Century Gothic" w:cs="Arial"/>
          <w:sz w:val="12"/>
          <w:szCs w:val="12"/>
        </w:rPr>
        <w:t>tica de compras y contrataci</w:t>
      </w:r>
      <w:r w:rsidRPr="00737A45">
        <w:rPr>
          <w:rFonts w:ascii="Century Gothic" w:hAnsi="Century Gothic" w:cs="Century Gothic"/>
          <w:sz w:val="12"/>
          <w:szCs w:val="12"/>
        </w:rPr>
        <w:t>ó</w:t>
      </w:r>
      <w:r w:rsidRPr="00737A45">
        <w:rPr>
          <w:rFonts w:ascii="Century Gothic" w:hAnsi="Century Gothic" w:cs="Arial"/>
          <w:sz w:val="12"/>
          <w:szCs w:val="12"/>
        </w:rPr>
        <w:t xml:space="preserve">n del Estado. Para tales fines, como </w:t>
      </w:r>
      <w:r w:rsidRPr="00737A45">
        <w:rPr>
          <w:rFonts w:ascii="Century Gothic" w:hAnsi="Century Gothic" w:cs="Century Gothic"/>
          <w:sz w:val="12"/>
          <w:szCs w:val="12"/>
        </w:rPr>
        <w:t>ó</w:t>
      </w:r>
      <w:r w:rsidRPr="00737A45">
        <w:rPr>
          <w:rFonts w:ascii="Century Gothic" w:hAnsi="Century Gothic" w:cs="Arial"/>
          <w:sz w:val="12"/>
          <w:szCs w:val="12"/>
        </w:rPr>
        <w:t>rgano t</w:t>
      </w:r>
      <w:r w:rsidRPr="00737A45">
        <w:rPr>
          <w:rFonts w:ascii="Century Gothic" w:hAnsi="Century Gothic" w:cs="Century Gothic"/>
          <w:sz w:val="12"/>
          <w:szCs w:val="12"/>
        </w:rPr>
        <w:t>é</w:t>
      </w:r>
      <w:r w:rsidRPr="00737A45">
        <w:rPr>
          <w:rFonts w:ascii="Century Gothic" w:hAnsi="Century Gothic" w:cs="Arial"/>
          <w:sz w:val="12"/>
          <w:szCs w:val="12"/>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737A45">
        <w:rPr>
          <w:rFonts w:ascii="Century Gothic" w:hAnsi="Century Gothic" w:cs="Arial"/>
          <w:i/>
          <w:iCs/>
          <w:sz w:val="12"/>
          <w:szCs w:val="12"/>
        </w:rPr>
        <w:t xml:space="preserve">ibidem </w:t>
      </w:r>
      <w:r w:rsidRPr="00737A45">
        <w:rPr>
          <w:rFonts w:ascii="Century Gothic" w:hAnsi="Century Gothic" w:cs="Arial"/>
          <w:sz w:val="12"/>
          <w:szCs w:val="12"/>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2FDA69C3" w14:textId="77777777" w:rsidR="005B4D3E" w:rsidRPr="00737A45" w:rsidRDefault="005B4D3E" w:rsidP="005B4D3E">
      <w:pPr>
        <w:pStyle w:val="Textonotapie"/>
        <w:ind w:firstLine="708"/>
        <w:jc w:val="both"/>
        <w:rPr>
          <w:rFonts w:ascii="Century Gothic" w:hAnsi="Century Gothic" w:cs="Arial"/>
          <w:sz w:val="12"/>
          <w:szCs w:val="12"/>
        </w:rPr>
      </w:pPr>
      <w:r w:rsidRPr="00737A45">
        <w:rPr>
          <w:rStyle w:val="Refdenotaalpie"/>
          <w:rFonts w:ascii="Century Gothic" w:hAnsi="Century Gothic" w:cs="Arial"/>
          <w:sz w:val="12"/>
          <w:szCs w:val="12"/>
        </w:rPr>
        <w:footnoteRef/>
      </w:r>
      <w:r w:rsidRPr="00737A45">
        <w:rPr>
          <w:rFonts w:ascii="Century Gothic" w:hAnsi="Century Gothic" w:cs="Arial"/>
          <w:sz w:val="12"/>
          <w:szCs w:val="12"/>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737A45">
          <w:rPr>
            <w:rStyle w:val="Hipervnculo"/>
            <w:rFonts w:ascii="Century Gothic" w:hAnsi="Century Gothic" w:cs="Arial"/>
            <w:sz w:val="12"/>
            <w:szCs w:val="12"/>
          </w:rPr>
          <w:t>https://relatoria.colombiacompra.gov.co/busqueda/conceptos</w:t>
        </w:r>
      </w:hyperlink>
      <w:r w:rsidRPr="00737A45">
        <w:rPr>
          <w:rStyle w:val="Hipervnculo"/>
          <w:rFonts w:ascii="Century Gothic" w:hAnsi="Century Gothic" w:cs="Arial"/>
          <w:sz w:val="12"/>
          <w:szCs w:val="12"/>
        </w:rPr>
        <w:t xml:space="preserve">. </w:t>
      </w:r>
      <w:r w:rsidRPr="00737A45">
        <w:rPr>
          <w:rFonts w:ascii="Century Gothic" w:hAnsi="Century Gothic" w:cs="Arial"/>
          <w:sz w:val="12"/>
          <w:szCs w:val="12"/>
          <w:shd w:val="clear" w:color="auto" w:fill="E6E6E6"/>
        </w:rPr>
        <w:t xml:space="preserve"> </w:t>
      </w:r>
    </w:p>
  </w:footnote>
  <w:footnote w:id="3">
    <w:p w14:paraId="0F7F7CFC" w14:textId="77777777" w:rsidR="00E6115C" w:rsidRPr="00737A45" w:rsidRDefault="00E6115C" w:rsidP="00E6115C">
      <w:pPr>
        <w:spacing w:after="0" w:line="240" w:lineRule="auto"/>
        <w:ind w:firstLine="707"/>
        <w:contextualSpacing/>
        <w:jc w:val="both"/>
        <w:rPr>
          <w:rFonts w:ascii="Century Gothic" w:hAnsi="Century Gothic" w:cs="Arial"/>
          <w:sz w:val="12"/>
          <w:szCs w:val="12"/>
        </w:rPr>
      </w:pPr>
      <w:r w:rsidRPr="00737A45">
        <w:rPr>
          <w:rStyle w:val="Refdenotaalpie"/>
          <w:rFonts w:ascii="Century Gothic" w:hAnsi="Century Gothic" w:cs="Arial"/>
          <w:sz w:val="12"/>
          <w:szCs w:val="12"/>
        </w:rPr>
        <w:footnoteRef/>
      </w:r>
      <w:r w:rsidRPr="00737A45">
        <w:rPr>
          <w:rFonts w:ascii="Century Gothic" w:hAnsi="Century Gothic" w:cs="Arial"/>
          <w:position w:val="6"/>
          <w:sz w:val="12"/>
          <w:szCs w:val="12"/>
        </w:rPr>
        <w:t xml:space="preserve"> </w:t>
      </w:r>
      <w:r w:rsidRPr="00737A45">
        <w:rPr>
          <w:rFonts w:ascii="Century Gothic" w:hAnsi="Century Gothic" w:cs="Arial"/>
          <w:sz w:val="12"/>
          <w:szCs w:val="12"/>
        </w:rPr>
        <w:t>DEIK ACOSTAMADIEDO, Carolina, Guía de Contratación Estatal: Deber de planeación y modalidades de selección, Buenos Aires, 2015, p. 59.</w:t>
      </w:r>
    </w:p>
    <w:p w14:paraId="28EA9695" w14:textId="77777777" w:rsidR="00E6115C" w:rsidRPr="00737A45" w:rsidRDefault="00E6115C" w:rsidP="00E6115C">
      <w:pPr>
        <w:pStyle w:val="Textonotapie"/>
        <w:contextualSpacing/>
        <w:jc w:val="both"/>
        <w:rPr>
          <w:rFonts w:ascii="Century Gothic" w:hAnsi="Century Gothic" w:cs="Arial"/>
          <w:sz w:val="12"/>
          <w:szCs w:val="12"/>
        </w:rPr>
      </w:pPr>
    </w:p>
  </w:footnote>
  <w:footnote w:id="4">
    <w:p w14:paraId="4362AA56" w14:textId="77777777" w:rsidR="00F7297A" w:rsidRPr="00737A45" w:rsidRDefault="00F7297A" w:rsidP="00F7297A">
      <w:pPr>
        <w:pStyle w:val="Textoindependiente"/>
        <w:spacing w:after="0" w:line="240" w:lineRule="auto"/>
        <w:ind w:firstLine="709"/>
        <w:contextualSpacing/>
        <w:jc w:val="both"/>
        <w:rPr>
          <w:rFonts w:ascii="Century Gothic" w:hAnsi="Century Gothic" w:cs="Arial"/>
          <w:sz w:val="12"/>
          <w:szCs w:val="12"/>
        </w:rPr>
      </w:pPr>
      <w:r w:rsidRPr="00737A45">
        <w:rPr>
          <w:rStyle w:val="Refdenotaalpie"/>
          <w:rFonts w:ascii="Century Gothic" w:hAnsi="Century Gothic" w:cs="Arial"/>
          <w:sz w:val="12"/>
          <w:szCs w:val="12"/>
        </w:rPr>
        <w:footnoteRef/>
      </w:r>
      <w:r w:rsidRPr="00737A45">
        <w:rPr>
          <w:rFonts w:ascii="Century Gothic" w:hAnsi="Century Gothic" w:cs="Arial"/>
          <w:sz w:val="12"/>
          <w:szCs w:val="12"/>
        </w:rPr>
        <w:t xml:space="preserve"> “Artículo </w:t>
      </w:r>
      <w:bookmarkStart w:id="6" w:name="_Hlk54173885"/>
      <w:r w:rsidRPr="00737A45">
        <w:rPr>
          <w:rFonts w:ascii="Century Gothic" w:hAnsi="Century Gothic" w:cs="Arial"/>
          <w:sz w:val="12"/>
          <w:szCs w:val="12"/>
        </w:rPr>
        <w:t>2.2.1.1.2.1.1</w:t>
      </w:r>
      <w:bookmarkEnd w:id="6"/>
      <w:r w:rsidRPr="00737A45">
        <w:rPr>
          <w:rFonts w:ascii="Century Gothic" w:hAnsi="Century Gothic" w:cs="Arial"/>
          <w:sz w:val="12"/>
          <w:szCs w:val="12"/>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14:paraId="5BF5545A" w14:textId="77777777" w:rsidR="00F7297A" w:rsidRPr="00737A45" w:rsidRDefault="00F7297A" w:rsidP="00F7297A">
      <w:pPr>
        <w:pStyle w:val="Textonotapie"/>
        <w:ind w:firstLine="709"/>
        <w:contextualSpacing/>
        <w:jc w:val="both"/>
        <w:rPr>
          <w:rFonts w:ascii="Century Gothic" w:hAnsi="Century Gothic" w:cs="Arial"/>
          <w:sz w:val="12"/>
          <w:szCs w:val="12"/>
        </w:rPr>
      </w:pPr>
    </w:p>
  </w:footnote>
  <w:footnote w:id="5">
    <w:p w14:paraId="59565FA4" w14:textId="77777777" w:rsidR="00D347F3" w:rsidRPr="00737A45" w:rsidRDefault="00D347F3" w:rsidP="00D347F3">
      <w:pPr>
        <w:pStyle w:val="Textoindependiente"/>
        <w:spacing w:after="0" w:line="240" w:lineRule="auto"/>
        <w:ind w:firstLine="709"/>
        <w:contextualSpacing/>
        <w:jc w:val="both"/>
        <w:rPr>
          <w:rFonts w:ascii="Century Gothic" w:hAnsi="Century Gothic" w:cs="Arial"/>
          <w:sz w:val="12"/>
          <w:szCs w:val="12"/>
        </w:rPr>
      </w:pPr>
      <w:r w:rsidRPr="00737A45">
        <w:rPr>
          <w:rStyle w:val="Refdenotaalpie"/>
          <w:rFonts w:ascii="Century Gothic" w:hAnsi="Century Gothic" w:cs="Arial"/>
          <w:sz w:val="12"/>
          <w:szCs w:val="12"/>
        </w:rPr>
        <w:footnoteRef/>
      </w:r>
      <w:r w:rsidRPr="00737A45">
        <w:rPr>
          <w:rFonts w:ascii="Century Gothic" w:hAnsi="Century Gothic" w:cs="Arial"/>
          <w:sz w:val="12"/>
          <w:szCs w:val="12"/>
        </w:rPr>
        <w:t xml:space="preserve"> Consejo de Estado. Sección Tercera. Subsección B. Sentencia del 31 de agosto de 2011. Exp.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p w14:paraId="619FFE80" w14:textId="77777777" w:rsidR="00D347F3" w:rsidRPr="00737A45" w:rsidRDefault="00D347F3" w:rsidP="00D347F3">
      <w:pPr>
        <w:pStyle w:val="Textonotapie"/>
        <w:contextualSpacing/>
        <w:jc w:val="both"/>
        <w:rPr>
          <w:rFonts w:ascii="Century Gothic" w:hAnsi="Century Gothic" w:cs="Arial"/>
          <w:sz w:val="12"/>
          <w:szCs w:val="12"/>
        </w:rPr>
      </w:pPr>
    </w:p>
  </w:footnote>
  <w:footnote w:id="6">
    <w:p w14:paraId="6ACB56C2" w14:textId="77777777" w:rsidR="00EC528D" w:rsidRPr="00737A45" w:rsidRDefault="00EC528D" w:rsidP="00EC528D">
      <w:pPr>
        <w:spacing w:after="0" w:line="240" w:lineRule="auto"/>
        <w:ind w:firstLine="708"/>
        <w:contextualSpacing/>
        <w:jc w:val="both"/>
        <w:rPr>
          <w:rFonts w:ascii="Century Gothic" w:hAnsi="Century Gothic" w:cs="Arial"/>
          <w:sz w:val="12"/>
          <w:szCs w:val="12"/>
        </w:rPr>
      </w:pPr>
      <w:r w:rsidRPr="00737A45">
        <w:rPr>
          <w:rStyle w:val="Refdenotaalpie"/>
          <w:rFonts w:ascii="Century Gothic" w:hAnsi="Century Gothic" w:cs="Arial"/>
          <w:sz w:val="12"/>
          <w:szCs w:val="12"/>
        </w:rPr>
        <w:footnoteRef/>
      </w:r>
      <w:r w:rsidRPr="00737A45">
        <w:rPr>
          <w:rFonts w:ascii="Century Gothic" w:hAnsi="Century Gothic" w:cs="Arial"/>
          <w:sz w:val="12"/>
          <w:szCs w:val="12"/>
        </w:rPr>
        <w:t xml:space="preserve"> </w:t>
      </w:r>
      <w:r w:rsidRPr="00737A45">
        <w:rPr>
          <w:rFonts w:ascii="Century Gothic" w:hAnsi="Century Gothic" w:cs="Arial"/>
          <w:i/>
          <w:sz w:val="12"/>
          <w:szCs w:val="12"/>
        </w:rPr>
        <w:t>Ibidem</w:t>
      </w:r>
      <w:r w:rsidRPr="00737A45">
        <w:rPr>
          <w:rFonts w:ascii="Century Gothic" w:hAnsi="Century Gothic" w:cs="Arial"/>
          <w:sz w:val="12"/>
          <w:szCs w:val="12"/>
        </w:rPr>
        <w:t>.</w:t>
      </w:r>
    </w:p>
    <w:p w14:paraId="15CC4EE2" w14:textId="77777777" w:rsidR="00EC528D" w:rsidRPr="00737A45" w:rsidRDefault="00EC528D" w:rsidP="00EC528D">
      <w:pPr>
        <w:spacing w:after="0" w:line="240" w:lineRule="auto"/>
        <w:ind w:firstLine="708"/>
        <w:contextualSpacing/>
        <w:jc w:val="both"/>
        <w:rPr>
          <w:rFonts w:ascii="Century Gothic" w:hAnsi="Century Gothic" w:cs="Arial"/>
          <w:sz w:val="12"/>
          <w:szCs w:val="12"/>
        </w:rPr>
      </w:pPr>
    </w:p>
  </w:footnote>
  <w:footnote w:id="7">
    <w:p w14:paraId="6557DC32" w14:textId="77777777" w:rsidR="000C2386" w:rsidRPr="00737A45" w:rsidRDefault="000C2386" w:rsidP="000C2386">
      <w:pPr>
        <w:pStyle w:val="Textonotapie"/>
        <w:ind w:firstLine="708"/>
        <w:contextualSpacing/>
        <w:jc w:val="both"/>
        <w:rPr>
          <w:rFonts w:ascii="Century Gothic" w:hAnsi="Century Gothic" w:cs="Arial"/>
          <w:sz w:val="12"/>
          <w:szCs w:val="12"/>
        </w:rPr>
      </w:pPr>
      <w:r w:rsidRPr="00737A45">
        <w:rPr>
          <w:rStyle w:val="Refdenotaalpie"/>
          <w:rFonts w:ascii="Century Gothic" w:hAnsi="Century Gothic" w:cs="Arial"/>
          <w:sz w:val="12"/>
          <w:szCs w:val="12"/>
        </w:rPr>
        <w:footnoteRef/>
      </w:r>
      <w:r w:rsidRPr="00737A45">
        <w:rPr>
          <w:rFonts w:ascii="Century Gothic" w:hAnsi="Century Gothic" w:cs="Arial"/>
          <w:sz w:val="12"/>
          <w:szCs w:val="12"/>
        </w:rPr>
        <w:t xml:space="preserve"> Decreto 1082 de 2015: “Artículo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footnote>
  <w:footnote w:id="8">
    <w:p w14:paraId="446C9101" w14:textId="77777777" w:rsidR="00556C08" w:rsidRPr="00737A45" w:rsidRDefault="00556C08" w:rsidP="00556C08">
      <w:pPr>
        <w:pStyle w:val="Textonotapie"/>
        <w:ind w:firstLine="708"/>
        <w:contextualSpacing/>
        <w:jc w:val="both"/>
        <w:rPr>
          <w:rFonts w:ascii="Century Gothic" w:hAnsi="Century Gothic" w:cs="Arial"/>
          <w:sz w:val="12"/>
          <w:szCs w:val="12"/>
        </w:rPr>
      </w:pPr>
      <w:r w:rsidRPr="00737A45">
        <w:rPr>
          <w:rStyle w:val="Refdenotaalpie"/>
          <w:rFonts w:ascii="Century Gothic" w:hAnsi="Century Gothic" w:cs="Arial"/>
          <w:sz w:val="12"/>
          <w:szCs w:val="12"/>
        </w:rPr>
        <w:footnoteRef/>
      </w:r>
      <w:r w:rsidRPr="00737A45">
        <w:rPr>
          <w:rFonts w:ascii="Century Gothic" w:hAnsi="Century Gothic" w:cs="Arial"/>
          <w:sz w:val="12"/>
          <w:szCs w:val="12"/>
        </w:rPr>
        <w:t xml:space="preserve"> Agencia Nacional de Contratación Pública – Colombia Compra Eficiente. </w:t>
      </w:r>
      <w:r w:rsidRPr="00737A45">
        <w:rPr>
          <w:rFonts w:ascii="Century Gothic" w:eastAsia="Calibri" w:hAnsi="Century Gothic" w:cs="Arial"/>
          <w:bCs/>
          <w:sz w:val="12"/>
          <w:szCs w:val="12"/>
          <w:lang w:val="es-ES_tradnl" w:eastAsia="es-ES_tradnl"/>
        </w:rPr>
        <w:t>Guía de Elaboración de Estudios del Sector</w:t>
      </w:r>
      <w:r w:rsidRPr="00737A45">
        <w:rPr>
          <w:rFonts w:ascii="Century Gothic" w:hAnsi="Century Gothic" w:cs="Arial"/>
          <w:sz w:val="12"/>
          <w:szCs w:val="12"/>
        </w:rPr>
        <w:t xml:space="preserve">. Disponible en: </w:t>
      </w:r>
      <w:hyperlink r:id="rId2" w:history="1">
        <w:r w:rsidRPr="00737A45">
          <w:rPr>
            <w:rStyle w:val="Hipervnculo"/>
            <w:rFonts w:ascii="Century Gothic" w:hAnsi="Century Gothic" w:cs="Arial"/>
            <w:sz w:val="12"/>
            <w:szCs w:val="12"/>
          </w:rPr>
          <w:t>https://www.colombiacompra.gov.co/manuales-guias-y-pliegos-tipo/manuales-y-guias</w:t>
        </w:r>
      </w:hyperlink>
      <w:r w:rsidRPr="00737A45">
        <w:rPr>
          <w:rFonts w:ascii="Century Gothic" w:hAnsi="Century Gothic" w:cs="Arial"/>
          <w:sz w:val="12"/>
          <w:szCs w:val="12"/>
        </w:rPr>
        <w:t xml:space="preserve">. </w:t>
      </w:r>
    </w:p>
    <w:p w14:paraId="1403A4AA" w14:textId="77777777" w:rsidR="00556C08" w:rsidRPr="00737A45" w:rsidRDefault="00556C08" w:rsidP="00556C08">
      <w:pPr>
        <w:pStyle w:val="Textonotapie"/>
        <w:ind w:firstLine="708"/>
        <w:contextualSpacing/>
        <w:jc w:val="both"/>
        <w:rPr>
          <w:rFonts w:ascii="Century Gothic" w:hAnsi="Century Gothic" w:cs="Arial"/>
          <w:sz w:val="12"/>
          <w:szCs w:val="12"/>
          <w:lang w:val="es-CO"/>
        </w:rPr>
      </w:pPr>
    </w:p>
  </w:footnote>
  <w:footnote w:id="9">
    <w:p w14:paraId="2137953D" w14:textId="77777777" w:rsidR="00B74628" w:rsidRPr="00737A45" w:rsidRDefault="00B74628" w:rsidP="00B74628">
      <w:pPr>
        <w:pStyle w:val="Textonotapie"/>
        <w:ind w:firstLine="708"/>
        <w:jc w:val="both"/>
        <w:rPr>
          <w:rFonts w:ascii="Century Gothic" w:hAnsi="Century Gothic" w:cs="Arial"/>
          <w:color w:val="000000" w:themeColor="text1"/>
          <w:sz w:val="12"/>
          <w:szCs w:val="12"/>
        </w:rPr>
      </w:pPr>
      <w:r w:rsidRPr="00737A45">
        <w:rPr>
          <w:rStyle w:val="Refdenotaalpie"/>
          <w:rFonts w:ascii="Century Gothic" w:hAnsi="Century Gothic" w:cs="Arial"/>
          <w:color w:val="000000" w:themeColor="text1"/>
          <w:sz w:val="12"/>
          <w:szCs w:val="12"/>
        </w:rPr>
        <w:footnoteRef/>
      </w:r>
      <w:r w:rsidRPr="00737A45">
        <w:rPr>
          <w:rFonts w:ascii="Century Gothic" w:hAnsi="Century Gothic" w:cs="Arial"/>
          <w:color w:val="000000" w:themeColor="text1"/>
          <w:sz w:val="12"/>
          <w:szCs w:val="12"/>
        </w:rPr>
        <w:t xml:space="preserve"> Registraduría Nacional del Estado Civil. Historia de la Cédula de Ciudadanía. Disponible en: https://www.registraduria.gov.co/-Historia-de-la-cedula-de,2468-.html </w:t>
      </w:r>
    </w:p>
  </w:footnote>
  <w:footnote w:id="10">
    <w:p w14:paraId="11606287" w14:textId="242F8DAD" w:rsidR="001C2AF6" w:rsidRPr="00737A45" w:rsidRDefault="001C2AF6" w:rsidP="001C2AF6">
      <w:pPr>
        <w:pStyle w:val="Textonotapie"/>
        <w:ind w:firstLine="708"/>
        <w:jc w:val="both"/>
        <w:rPr>
          <w:rFonts w:ascii="Century Gothic" w:hAnsi="Century Gothic" w:cs="Arial"/>
          <w:color w:val="000000"/>
          <w:sz w:val="12"/>
          <w:szCs w:val="12"/>
        </w:rPr>
      </w:pPr>
      <w:r w:rsidRPr="00737A45">
        <w:rPr>
          <w:rStyle w:val="Refdenotaalpie"/>
          <w:rFonts w:ascii="Century Gothic" w:hAnsi="Century Gothic" w:cs="Arial"/>
          <w:color w:val="000000"/>
          <w:sz w:val="12"/>
          <w:szCs w:val="12"/>
        </w:rPr>
        <w:footnoteRef/>
      </w:r>
      <w:r w:rsidRPr="00737A45">
        <w:rPr>
          <w:rFonts w:ascii="Century Gothic" w:hAnsi="Century Gothic" w:cs="Arial"/>
          <w:color w:val="000000"/>
          <w:sz w:val="12"/>
          <w:szCs w:val="12"/>
        </w:rPr>
        <w:t xml:space="preserve"> Decreto 019 de 2012 </w:t>
      </w:r>
      <w:r w:rsidR="005E2677">
        <w:rPr>
          <w:rFonts w:ascii="Century Gothic" w:hAnsi="Century Gothic" w:cs="Arial"/>
          <w:color w:val="000000"/>
          <w:sz w:val="12"/>
          <w:szCs w:val="12"/>
        </w:rPr>
        <w:t>“</w:t>
      </w:r>
      <w:r w:rsidRPr="00737A45">
        <w:rPr>
          <w:rFonts w:ascii="Century Gothic" w:hAnsi="Century Gothic" w:cs="Arial"/>
          <w:color w:val="000000"/>
          <w:sz w:val="12"/>
          <w:szCs w:val="12"/>
        </w:rPr>
        <w:t>Artículo 18. Verificación de la huella dactilar por medios electrónicos. En los trámites y actuaciones que se cumplan ante las entidades públicas y los particulares que ejerzan funciones administrativas en los que se exija la obtención de la huella dactilar como medio de identificación inmediato de la persona, ésta se hará por medios electrónicos. Las referidas entidades y particulares contarán con los medios tecnológicos de interoperabilidad necesarios para cotejar la identidad del titular de la huella con la base de datos de la Registraduría Nacional del Estado Civil</w:t>
      </w:r>
      <w:r w:rsidR="005E2677">
        <w:rPr>
          <w:rFonts w:ascii="Century Gothic" w:hAnsi="Century Gothic" w:cs="Arial"/>
          <w:color w:val="000000"/>
          <w:sz w:val="12"/>
          <w:szCs w:val="12"/>
        </w:rPr>
        <w:t>”</w:t>
      </w:r>
      <w:r w:rsidRPr="00737A45">
        <w:rPr>
          <w:rFonts w:ascii="Century Gothic" w:hAnsi="Century Gothic" w:cs="Arial"/>
          <w:color w:val="000000"/>
          <w:sz w:val="12"/>
          <w:szCs w:val="12"/>
        </w:rPr>
        <w:t>.</w:t>
      </w:r>
    </w:p>
  </w:footnote>
  <w:footnote w:id="11">
    <w:p w14:paraId="410644F9" w14:textId="77777777" w:rsidR="002A5F13" w:rsidRPr="00737A45" w:rsidRDefault="002A5F13" w:rsidP="002A5F13">
      <w:pPr>
        <w:pStyle w:val="Textonotapie"/>
        <w:jc w:val="both"/>
        <w:rPr>
          <w:rFonts w:ascii="Century Gothic" w:hAnsi="Century Gothic" w:cs="Arial"/>
          <w:color w:val="000000"/>
          <w:sz w:val="12"/>
          <w:szCs w:val="12"/>
        </w:rPr>
      </w:pPr>
    </w:p>
    <w:p w14:paraId="2890DA7A" w14:textId="12F706A5" w:rsidR="002A5F13" w:rsidRPr="00737A45" w:rsidRDefault="002A5F13" w:rsidP="002A5F13">
      <w:pPr>
        <w:pStyle w:val="NormalWeb"/>
        <w:spacing w:after="0"/>
        <w:ind w:firstLine="708"/>
        <w:jc w:val="both"/>
        <w:rPr>
          <w:rFonts w:ascii="Century Gothic" w:hAnsi="Century Gothic" w:cs="Arial"/>
          <w:color w:val="000000"/>
          <w:sz w:val="12"/>
          <w:szCs w:val="12"/>
        </w:rPr>
      </w:pPr>
      <w:r w:rsidRPr="00737A45">
        <w:rPr>
          <w:rStyle w:val="Refdenotaalpie"/>
          <w:rFonts w:ascii="Century Gothic" w:hAnsi="Century Gothic" w:cs="Arial"/>
          <w:color w:val="000000"/>
          <w:sz w:val="12"/>
          <w:szCs w:val="12"/>
        </w:rPr>
        <w:footnoteRef/>
      </w:r>
      <w:r w:rsidRPr="00737A45">
        <w:rPr>
          <w:rStyle w:val="Textoennegrita"/>
          <w:rFonts w:ascii="Century Gothic" w:hAnsi="Century Gothic" w:cs="Arial"/>
          <w:color w:val="000000"/>
          <w:sz w:val="12"/>
          <w:szCs w:val="12"/>
        </w:rPr>
        <w:t xml:space="preserve"> Decreto 1067 de 2017 </w:t>
      </w:r>
      <w:r w:rsidR="004751F1">
        <w:rPr>
          <w:rStyle w:val="Textoennegrita"/>
          <w:rFonts w:ascii="Century Gothic" w:hAnsi="Century Gothic" w:cs="Arial"/>
          <w:color w:val="000000"/>
          <w:sz w:val="12"/>
          <w:szCs w:val="12"/>
        </w:rPr>
        <w:t>“</w:t>
      </w:r>
      <w:r w:rsidRPr="00737A45">
        <w:rPr>
          <w:rStyle w:val="Textoennegrita"/>
          <w:rFonts w:ascii="Century Gothic" w:hAnsi="Century Gothic" w:cs="Arial"/>
          <w:color w:val="000000"/>
          <w:sz w:val="12"/>
          <w:szCs w:val="12"/>
        </w:rPr>
        <w:t>Artículo 2.2.1.11.4.4. Cédula de extranjería</w:t>
      </w:r>
      <w:r w:rsidRPr="00737A45">
        <w:rPr>
          <w:rFonts w:ascii="Century Gothic" w:hAnsi="Century Gothic" w:cs="Arial"/>
          <w:color w:val="000000"/>
          <w:sz w:val="12"/>
          <w:szCs w:val="12"/>
        </w:rPr>
        <w:t>. La Cédula de Extranjería cumple única y exclusivamente fines de identificación de cualquier extranjero en el territorio nacional y su utilización deberá estar acorde con la visa otorgada al extranjero.  </w:t>
      </w:r>
    </w:p>
    <w:p w14:paraId="581A41E0" w14:textId="4DA774D7" w:rsidR="002A5F13" w:rsidRPr="00737A45" w:rsidRDefault="002A5F13" w:rsidP="002A5F13">
      <w:pPr>
        <w:pStyle w:val="NormalWeb"/>
        <w:spacing w:after="0"/>
        <w:ind w:firstLine="708"/>
        <w:jc w:val="both"/>
        <w:rPr>
          <w:rFonts w:ascii="Century Gothic" w:hAnsi="Century Gothic" w:cs="Arial"/>
          <w:color w:val="000000"/>
          <w:sz w:val="12"/>
          <w:szCs w:val="12"/>
        </w:rPr>
      </w:pPr>
      <w:r w:rsidRPr="00737A45">
        <w:rPr>
          <w:rFonts w:ascii="Century Gothic" w:hAnsi="Century Gothic" w:cs="Arial"/>
          <w:color w:val="000000"/>
          <w:sz w:val="12"/>
          <w:szCs w:val="12"/>
        </w:rPr>
        <w:t>Con base en el Registro de Extranjeros, la Unidad Administrativa Especial Migración Colombia, expedirá a los extranjeros un documento de identidad, denominado Cédula de Extranjería.  </w:t>
      </w:r>
    </w:p>
    <w:p w14:paraId="025E1A20" w14:textId="29C6B3C5" w:rsidR="002A5F13" w:rsidRPr="00737A45" w:rsidRDefault="002A5F13" w:rsidP="002A5F13">
      <w:pPr>
        <w:pStyle w:val="NormalWeb"/>
        <w:spacing w:after="0"/>
        <w:ind w:firstLine="708"/>
        <w:jc w:val="both"/>
        <w:rPr>
          <w:rFonts w:ascii="Century Gothic" w:hAnsi="Century Gothic" w:cs="Arial"/>
          <w:color w:val="000000"/>
          <w:sz w:val="12"/>
          <w:szCs w:val="12"/>
        </w:rPr>
      </w:pPr>
      <w:r w:rsidRPr="00737A45">
        <w:rPr>
          <w:rFonts w:ascii="Century Gothic" w:hAnsi="Century Gothic" w:cs="Arial"/>
          <w:color w:val="000000"/>
          <w:sz w:val="12"/>
          <w:szCs w:val="12"/>
        </w:rPr>
        <w:t>La autoridad migratoria expedirá dos clases de cédulas de extranjería, así:  </w:t>
      </w:r>
    </w:p>
    <w:p w14:paraId="6F1CF8BE" w14:textId="46EB5F83" w:rsidR="002A5F13" w:rsidRPr="00737A45" w:rsidRDefault="002A5F13" w:rsidP="002A5F13">
      <w:pPr>
        <w:pStyle w:val="NormalWeb"/>
        <w:spacing w:after="0"/>
        <w:ind w:firstLine="708"/>
        <w:jc w:val="both"/>
        <w:rPr>
          <w:rFonts w:ascii="Century Gothic" w:hAnsi="Century Gothic" w:cs="Arial"/>
          <w:color w:val="000000"/>
          <w:sz w:val="12"/>
          <w:szCs w:val="12"/>
        </w:rPr>
      </w:pPr>
      <w:r w:rsidRPr="00737A45">
        <w:rPr>
          <w:rFonts w:ascii="Century Gothic" w:hAnsi="Century Gothic" w:cs="Arial"/>
          <w:color w:val="000000"/>
          <w:sz w:val="12"/>
          <w:szCs w:val="12"/>
        </w:rPr>
        <w:t>Cédula de Extranjería para mayores de edad.  </w:t>
      </w:r>
    </w:p>
    <w:p w14:paraId="457F76EE" w14:textId="4EBC015A" w:rsidR="002A5F13" w:rsidRPr="00737A45" w:rsidRDefault="002A5F13" w:rsidP="002A5F13">
      <w:pPr>
        <w:pStyle w:val="NormalWeb"/>
        <w:spacing w:after="0"/>
        <w:ind w:firstLine="708"/>
        <w:jc w:val="both"/>
        <w:rPr>
          <w:rFonts w:ascii="Century Gothic" w:hAnsi="Century Gothic" w:cs="Arial"/>
          <w:color w:val="000000"/>
          <w:sz w:val="12"/>
          <w:szCs w:val="12"/>
        </w:rPr>
      </w:pPr>
      <w:r w:rsidRPr="00737A45">
        <w:rPr>
          <w:rFonts w:ascii="Century Gothic" w:hAnsi="Century Gothic" w:cs="Arial"/>
          <w:color w:val="000000"/>
          <w:sz w:val="12"/>
          <w:szCs w:val="12"/>
        </w:rPr>
        <w:t>Cédula de Extranjería para menores de edad.  </w:t>
      </w:r>
    </w:p>
    <w:p w14:paraId="46025437" w14:textId="1D8CAE97" w:rsidR="002A5F13" w:rsidRPr="00737A45" w:rsidRDefault="002A5F13" w:rsidP="002A5F13">
      <w:pPr>
        <w:pStyle w:val="NormalWeb"/>
        <w:spacing w:after="0"/>
        <w:ind w:firstLine="708"/>
        <w:jc w:val="both"/>
        <w:rPr>
          <w:rFonts w:ascii="Century Gothic" w:hAnsi="Century Gothic" w:cs="Arial"/>
          <w:color w:val="000000"/>
          <w:sz w:val="12"/>
          <w:szCs w:val="12"/>
        </w:rPr>
      </w:pPr>
      <w:r w:rsidRPr="00737A45">
        <w:rPr>
          <w:rFonts w:ascii="Century Gothic" w:hAnsi="Century Gothic" w:cs="Arial"/>
          <w:color w:val="000000"/>
          <w:sz w:val="12"/>
          <w:szCs w:val="12"/>
        </w:rPr>
        <w:t>Los extranjeros mayores y menores de edad titulares de visas con vigencia superior a tres (3) meses, deberán tramitar ante la Unidad Administrativa Especial Migración Colombia la Cédula de Extranjería al momento de efectuar el registro de extranjeros o a más tardar dentro de los tres (3) días hábiles siguientes, si este se realizó de manera electrónica, con excepción de las visas que se establezcan para tal fin por parte del Ministerio de Relaciones Exteriores.  </w:t>
      </w:r>
    </w:p>
    <w:p w14:paraId="62658DF5" w14:textId="3912A8FA" w:rsidR="002A5F13" w:rsidRPr="00737A45" w:rsidRDefault="002A5F13" w:rsidP="002A5F13">
      <w:pPr>
        <w:pStyle w:val="NormalWeb"/>
        <w:spacing w:after="0"/>
        <w:ind w:firstLine="708"/>
        <w:jc w:val="both"/>
        <w:rPr>
          <w:rFonts w:ascii="Century Gothic" w:hAnsi="Century Gothic" w:cs="Arial"/>
          <w:color w:val="000000"/>
          <w:sz w:val="12"/>
          <w:szCs w:val="12"/>
        </w:rPr>
      </w:pPr>
      <w:r w:rsidRPr="00737A45">
        <w:rPr>
          <w:rFonts w:ascii="Century Gothic" w:hAnsi="Century Gothic" w:cs="Arial"/>
          <w:color w:val="000000"/>
          <w:sz w:val="12"/>
          <w:szCs w:val="12"/>
        </w:rPr>
        <w:t>En el caso de los menores extranjeros que cumplan la mayoría de edad, estos deberán tramitar la Cédula de Extranjería para mayores de edad, con excepción de las visas que se establezcan para tal fin por parte del Ministerio de Relaciones Exteriores. Esta obligación deberá cumplirse dentro de los quince (15) días calendarios siguientes a la ocurrencia del hecho.  </w:t>
      </w:r>
    </w:p>
    <w:p w14:paraId="6D03D0E2" w14:textId="1BE95BA9" w:rsidR="002A5F13" w:rsidRPr="00737A45" w:rsidRDefault="002A5F13" w:rsidP="002A5F13">
      <w:pPr>
        <w:pStyle w:val="NormalWeb"/>
        <w:spacing w:after="0"/>
        <w:ind w:firstLine="708"/>
        <w:jc w:val="both"/>
        <w:rPr>
          <w:rFonts w:ascii="Century Gothic" w:hAnsi="Century Gothic" w:cs="Arial"/>
          <w:color w:val="000000"/>
          <w:sz w:val="12"/>
          <w:szCs w:val="12"/>
        </w:rPr>
      </w:pPr>
      <w:r w:rsidRPr="00737A45">
        <w:rPr>
          <w:rFonts w:ascii="Century Gothic" w:hAnsi="Century Gothic" w:cs="Arial"/>
          <w:color w:val="000000"/>
          <w:sz w:val="12"/>
          <w:szCs w:val="12"/>
        </w:rPr>
        <w:t>Así mismo, la autoridad migratoria expedirá Cédula de Extranjería para menores de edad, la cual deberá ser tramitada solamente cuando el menor alcance los siete (7) años. Antes del cumplimiento de esta edad el menor deberá identificarse con el pasaporte o el documento nacional de identidad respectivo, de acuerdo con los instrumentos internacionales vigentes.  </w:t>
      </w:r>
    </w:p>
    <w:p w14:paraId="467168FC" w14:textId="626E17E4" w:rsidR="002A5F13" w:rsidRPr="00737A45" w:rsidRDefault="002A5F13" w:rsidP="002A5F13">
      <w:pPr>
        <w:pStyle w:val="NormalWeb"/>
        <w:spacing w:after="0"/>
        <w:ind w:firstLine="708"/>
        <w:jc w:val="both"/>
        <w:rPr>
          <w:rFonts w:ascii="Century Gothic" w:hAnsi="Century Gothic" w:cs="Arial"/>
          <w:color w:val="000000"/>
          <w:sz w:val="12"/>
          <w:szCs w:val="12"/>
        </w:rPr>
      </w:pPr>
      <w:r w:rsidRPr="00737A45">
        <w:rPr>
          <w:rFonts w:ascii="Century Gothic" w:hAnsi="Century Gothic" w:cs="Arial"/>
          <w:color w:val="000000"/>
          <w:sz w:val="12"/>
          <w:szCs w:val="12"/>
        </w:rPr>
        <w:t>Quienes sean titulares de visas con vigencia menor a tres (3) meses, podrán tramitar la cédula de extranjería voluntariamente, a fin de facilitar el ejercicio de los derechos que dicho documento otorga al extranjero.  </w:t>
      </w:r>
    </w:p>
    <w:p w14:paraId="07D56132" w14:textId="77777777" w:rsidR="002A5F13" w:rsidRPr="00737A45" w:rsidRDefault="002A5F13" w:rsidP="002A5F13">
      <w:pPr>
        <w:pStyle w:val="NormalWeb"/>
        <w:spacing w:after="0"/>
        <w:jc w:val="both"/>
        <w:rPr>
          <w:rFonts w:ascii="Century Gothic" w:hAnsi="Century Gothic" w:cs="Arial"/>
          <w:color w:val="000000"/>
          <w:sz w:val="12"/>
          <w:szCs w:val="12"/>
        </w:rPr>
      </w:pPr>
      <w:r w:rsidRPr="00737A45">
        <w:rPr>
          <w:rFonts w:ascii="Century Gothic" w:hAnsi="Century Gothic" w:cs="Arial"/>
          <w:color w:val="000000"/>
          <w:sz w:val="12"/>
          <w:szCs w:val="12"/>
        </w:rPr>
        <w:t>  </w:t>
      </w:r>
      <w:r w:rsidRPr="00737A45">
        <w:rPr>
          <w:rFonts w:ascii="Century Gothic" w:hAnsi="Century Gothic" w:cs="Arial"/>
          <w:color w:val="000000"/>
          <w:sz w:val="12"/>
          <w:szCs w:val="12"/>
        </w:rPr>
        <w:tab/>
        <w:t>[…]</w:t>
      </w:r>
    </w:p>
    <w:p w14:paraId="1FFE5FE2" w14:textId="34977A31" w:rsidR="002A5F13" w:rsidRPr="00737A45" w:rsidRDefault="002A5F13" w:rsidP="002A5F13">
      <w:pPr>
        <w:pStyle w:val="NormalWeb"/>
        <w:spacing w:after="0"/>
        <w:ind w:firstLine="708"/>
        <w:jc w:val="both"/>
        <w:rPr>
          <w:rFonts w:ascii="Century Gothic" w:hAnsi="Century Gothic" w:cs="Arial"/>
          <w:color w:val="000000"/>
          <w:sz w:val="12"/>
          <w:szCs w:val="12"/>
        </w:rPr>
      </w:pPr>
      <w:bookmarkStart w:id="10" w:name="ver_30105008"/>
      <w:bookmarkStart w:id="11" w:name="ver_30105009"/>
      <w:bookmarkStart w:id="12" w:name="ver_30105011"/>
      <w:bookmarkStart w:id="13" w:name="ver_30105010"/>
      <w:bookmarkEnd w:id="10"/>
      <w:bookmarkEnd w:id="11"/>
      <w:bookmarkEnd w:id="12"/>
      <w:bookmarkEnd w:id="13"/>
      <w:r w:rsidRPr="00737A45">
        <w:rPr>
          <w:rStyle w:val="Textoennegrita"/>
          <w:rFonts w:ascii="Century Gothic" w:hAnsi="Century Gothic" w:cs="Arial"/>
          <w:color w:val="000000"/>
          <w:sz w:val="12"/>
          <w:szCs w:val="12"/>
        </w:rPr>
        <w:t>Artículo 2.2.1.11.4.5. </w:t>
      </w:r>
      <w:r w:rsidRPr="00737A45">
        <w:rPr>
          <w:rStyle w:val="nfasis"/>
          <w:rFonts w:ascii="Century Gothic" w:hAnsi="Century Gothic" w:cs="Arial"/>
          <w:color w:val="000000"/>
          <w:sz w:val="12"/>
          <w:szCs w:val="12"/>
        </w:rPr>
        <w:t>Vigencia de la cédula de extranjería</w:t>
      </w:r>
      <w:r w:rsidRPr="00737A45">
        <w:rPr>
          <w:rStyle w:val="Textoennegrita"/>
          <w:rFonts w:ascii="Century Gothic" w:hAnsi="Century Gothic" w:cs="Arial"/>
          <w:i/>
          <w:iCs/>
          <w:color w:val="000000"/>
          <w:sz w:val="12"/>
          <w:szCs w:val="12"/>
        </w:rPr>
        <w:t>.</w:t>
      </w:r>
      <w:r w:rsidRPr="00737A45">
        <w:rPr>
          <w:rFonts w:ascii="Century Gothic" w:hAnsi="Century Gothic" w:cs="Arial"/>
          <w:color w:val="000000"/>
          <w:sz w:val="12"/>
          <w:szCs w:val="12"/>
        </w:rPr>
        <w:t> La Unidad Administrativa Especial Migración Colombia expedirá la Cédula de Extranjería por un término igual al de la vigencia de la visa del titular. </w:t>
      </w:r>
    </w:p>
    <w:p w14:paraId="7CB114B9" w14:textId="32378703" w:rsidR="002A5F13" w:rsidRPr="00737A45" w:rsidRDefault="002A5F13" w:rsidP="002A5F13">
      <w:pPr>
        <w:pStyle w:val="NormalWeb"/>
        <w:spacing w:after="0"/>
        <w:ind w:firstLine="708"/>
        <w:jc w:val="both"/>
        <w:rPr>
          <w:rFonts w:ascii="Century Gothic" w:hAnsi="Century Gothic" w:cs="Arial"/>
          <w:color w:val="000000"/>
          <w:sz w:val="12"/>
          <w:szCs w:val="12"/>
        </w:rPr>
      </w:pPr>
      <w:r w:rsidRPr="00737A45">
        <w:rPr>
          <w:rStyle w:val="Textoennegrita"/>
          <w:rFonts w:ascii="Century Gothic" w:hAnsi="Century Gothic" w:cs="Arial"/>
          <w:color w:val="000000"/>
          <w:sz w:val="12"/>
          <w:szCs w:val="12"/>
        </w:rPr>
        <w:t>Parágrafo 1°.</w:t>
      </w:r>
      <w:r w:rsidRPr="00737A45">
        <w:rPr>
          <w:rFonts w:ascii="Century Gothic" w:hAnsi="Century Gothic" w:cs="Arial"/>
          <w:color w:val="000000"/>
          <w:sz w:val="12"/>
          <w:szCs w:val="12"/>
        </w:rPr>
        <w:t> La Cédula de Extranjería expedida a quienes se les haya otorgado visa con término indefinido con anterioridad al día 24 de julio de 2013 deberá ser solicitada y expedida cada cinco (5) años.  </w:t>
      </w:r>
    </w:p>
    <w:p w14:paraId="3075032E" w14:textId="1743566F" w:rsidR="002A5F13" w:rsidRPr="00737A45" w:rsidRDefault="002A5F13" w:rsidP="002A5F13">
      <w:pPr>
        <w:pStyle w:val="NormalWeb"/>
        <w:spacing w:after="0"/>
        <w:jc w:val="both"/>
        <w:rPr>
          <w:rFonts w:ascii="Century Gothic" w:hAnsi="Century Gothic" w:cs="Arial"/>
          <w:color w:val="000000"/>
          <w:sz w:val="12"/>
          <w:szCs w:val="12"/>
        </w:rPr>
      </w:pPr>
      <w:r w:rsidRPr="00737A45">
        <w:rPr>
          <w:rFonts w:ascii="Century Gothic" w:hAnsi="Century Gothic" w:cs="Arial"/>
          <w:color w:val="000000"/>
          <w:sz w:val="12"/>
          <w:szCs w:val="12"/>
        </w:rPr>
        <w:t> </w:t>
      </w:r>
      <w:r w:rsidRPr="00737A45">
        <w:rPr>
          <w:rFonts w:ascii="Century Gothic" w:hAnsi="Century Gothic" w:cs="Arial"/>
          <w:color w:val="000000"/>
          <w:sz w:val="12"/>
          <w:szCs w:val="12"/>
        </w:rPr>
        <w:tab/>
      </w:r>
      <w:r w:rsidRPr="00737A45">
        <w:rPr>
          <w:rStyle w:val="Textoennegrita"/>
          <w:rFonts w:ascii="Century Gothic" w:hAnsi="Century Gothic" w:cs="Arial"/>
          <w:color w:val="000000"/>
          <w:sz w:val="12"/>
          <w:szCs w:val="12"/>
        </w:rPr>
        <w:t>Parágrafo 2°.</w:t>
      </w:r>
      <w:r w:rsidRPr="00737A45">
        <w:rPr>
          <w:rFonts w:ascii="Century Gothic" w:hAnsi="Century Gothic" w:cs="Arial"/>
          <w:color w:val="000000"/>
          <w:sz w:val="12"/>
          <w:szCs w:val="12"/>
        </w:rPr>
        <w:t> Los extranjeros a quienes a partir de la fecha se les expida Visa de Residente deben tramitar la Cédula de Extranjería ante Migración Colombia, la cual tendrá una vigencia de 5 años </w:t>
      </w:r>
    </w:p>
    <w:p w14:paraId="1407CCDC" w14:textId="0D5799B9" w:rsidR="002A5F13" w:rsidRPr="00737A45" w:rsidRDefault="002A5F13" w:rsidP="002A5F13">
      <w:pPr>
        <w:pStyle w:val="NormalWeb"/>
        <w:spacing w:after="0"/>
        <w:ind w:firstLine="708"/>
        <w:jc w:val="both"/>
        <w:rPr>
          <w:rFonts w:ascii="Century Gothic" w:hAnsi="Century Gothic" w:cs="Arial"/>
          <w:color w:val="000000"/>
          <w:sz w:val="12"/>
          <w:szCs w:val="12"/>
        </w:rPr>
      </w:pPr>
      <w:r w:rsidRPr="00737A45">
        <w:rPr>
          <w:rStyle w:val="Textoennegrita"/>
          <w:rFonts w:ascii="Century Gothic" w:hAnsi="Century Gothic" w:cs="Arial"/>
          <w:color w:val="000000"/>
          <w:sz w:val="12"/>
          <w:szCs w:val="12"/>
        </w:rPr>
        <w:t>Artículo 2.2.1.11.4.7. Documento de identidad. </w:t>
      </w:r>
      <w:r w:rsidRPr="00737A45">
        <w:rPr>
          <w:rFonts w:ascii="Century Gothic" w:hAnsi="Century Gothic" w:cs="Arial"/>
          <w:color w:val="000000"/>
          <w:sz w:val="12"/>
          <w:szCs w:val="12"/>
        </w:rPr>
        <w:t>Los titulares de las categorías de visas que deban registrarse ante la Unidad Administrativa Especial Migración Colombia, se identificarán dentro del territorio nacional con la respectiva Cédula de Extranjería en su formato físico o digital. Los demás extranjeros se identificarán con el pasaporte vigente.  </w:t>
      </w:r>
    </w:p>
    <w:p w14:paraId="0A4AE2E6" w14:textId="74B106ED" w:rsidR="002A5F13" w:rsidRPr="00737A45" w:rsidRDefault="002A5F13" w:rsidP="002A5F13">
      <w:pPr>
        <w:pStyle w:val="NormalWeb"/>
        <w:spacing w:after="0"/>
        <w:ind w:firstLine="708"/>
        <w:jc w:val="both"/>
        <w:rPr>
          <w:rFonts w:ascii="Century Gothic" w:hAnsi="Century Gothic" w:cs="Arial"/>
          <w:color w:val="000000"/>
          <w:sz w:val="12"/>
          <w:szCs w:val="12"/>
        </w:rPr>
      </w:pPr>
      <w:r w:rsidRPr="00737A45">
        <w:rPr>
          <w:rFonts w:ascii="Century Gothic" w:hAnsi="Century Gothic" w:cs="Arial"/>
          <w:color w:val="000000"/>
          <w:sz w:val="12"/>
          <w:szCs w:val="12"/>
        </w:rPr>
        <w:t>La Cédula de Extranjería vigente en calidad de Residente, será válida como documento para salir e ingresar del país, sin perjuicio de los requisitos adicionales establecidos en el presente capítulo o en acuerdos internacionales.  </w:t>
      </w:r>
    </w:p>
    <w:p w14:paraId="75EF5643" w14:textId="76DF069F" w:rsidR="002A5F13" w:rsidRPr="00737A45" w:rsidRDefault="002A5F13" w:rsidP="002A5F13">
      <w:pPr>
        <w:pStyle w:val="NormalWeb"/>
        <w:spacing w:after="0"/>
        <w:ind w:firstLine="708"/>
        <w:jc w:val="both"/>
        <w:rPr>
          <w:rFonts w:ascii="Century Gothic" w:hAnsi="Century Gothic" w:cs="Arial"/>
          <w:color w:val="000000"/>
          <w:sz w:val="12"/>
          <w:szCs w:val="12"/>
        </w:rPr>
      </w:pPr>
      <w:r w:rsidRPr="00737A45">
        <w:rPr>
          <w:rFonts w:ascii="Century Gothic" w:hAnsi="Century Gothic" w:cs="Arial"/>
          <w:color w:val="000000"/>
          <w:sz w:val="12"/>
          <w:szCs w:val="12"/>
        </w:rPr>
        <w:t>Los titulares de Visa Preferencial también se identificarán dentro del territorio nacional con la Cédula de Extranjería […].  </w:t>
      </w:r>
    </w:p>
    <w:p w14:paraId="79CD37D4" w14:textId="77777777" w:rsidR="002A5F13" w:rsidRPr="00737A45" w:rsidRDefault="002A5F13" w:rsidP="002A5F13">
      <w:pPr>
        <w:pStyle w:val="NormalWeb"/>
        <w:spacing w:after="0"/>
        <w:jc w:val="both"/>
        <w:rPr>
          <w:rFonts w:ascii="Century Gothic" w:hAnsi="Century Gothic" w:cs="Arial"/>
          <w:color w:val="000000"/>
          <w:sz w:val="12"/>
          <w:szCs w:val="12"/>
          <w:lang w:val="es-MX"/>
        </w:rPr>
      </w:pPr>
      <w:r w:rsidRPr="00737A45">
        <w:rPr>
          <w:rFonts w:ascii="Century Gothic" w:hAnsi="Century Gothic" w:cs="Arial"/>
          <w:color w:val="000000"/>
          <w:sz w:val="12"/>
          <w:szCs w:val="12"/>
        </w:rPr>
        <w:t xml:space="preserve">   </w:t>
      </w:r>
    </w:p>
  </w:footnote>
  <w:footnote w:id="12">
    <w:p w14:paraId="28955DC0" w14:textId="4357998A" w:rsidR="004633F1" w:rsidRPr="00737A45" w:rsidRDefault="004633F1" w:rsidP="004633F1">
      <w:pPr>
        <w:pStyle w:val="Textonotapie"/>
        <w:ind w:firstLine="708"/>
        <w:jc w:val="both"/>
        <w:rPr>
          <w:rFonts w:ascii="Century Gothic" w:hAnsi="Century Gothic" w:cs="Arial"/>
          <w:color w:val="000000" w:themeColor="text1"/>
          <w:sz w:val="12"/>
          <w:szCs w:val="12"/>
        </w:rPr>
      </w:pPr>
      <w:r w:rsidRPr="00737A45">
        <w:rPr>
          <w:rStyle w:val="Refdenotaalpie"/>
          <w:rFonts w:ascii="Century Gothic" w:hAnsi="Century Gothic" w:cs="Arial"/>
          <w:color w:val="000000" w:themeColor="text1"/>
          <w:sz w:val="12"/>
          <w:szCs w:val="12"/>
        </w:rPr>
        <w:footnoteRef/>
      </w:r>
      <w:r w:rsidRPr="00737A45">
        <w:rPr>
          <w:rFonts w:ascii="Century Gothic" w:hAnsi="Century Gothic" w:cs="Arial"/>
          <w:color w:val="000000" w:themeColor="text1"/>
          <w:sz w:val="12"/>
          <w:szCs w:val="12"/>
        </w:rPr>
        <w:t xml:space="preserve"> </w:t>
      </w:r>
      <w:r w:rsidR="0099450A">
        <w:rPr>
          <w:rFonts w:ascii="Century Gothic" w:hAnsi="Century Gothic" w:cs="Arial"/>
          <w:color w:val="000000" w:themeColor="text1"/>
          <w:sz w:val="12"/>
          <w:szCs w:val="12"/>
        </w:rPr>
        <w:t>“</w:t>
      </w:r>
      <w:r w:rsidRPr="00737A45">
        <w:rPr>
          <w:rFonts w:ascii="Century Gothic" w:hAnsi="Century Gothic" w:cs="Arial"/>
          <w:color w:val="000000" w:themeColor="text1"/>
          <w:sz w:val="12"/>
          <w:szCs w:val="12"/>
        </w:rPr>
        <w:t xml:space="preserve">Artículo 117. La existencia de la sociedad y las cláusulas del contrato se probarán con certificación de la cámara de comercio del domicilio principal, en la que constará el número, fecha y notaría de la escritura de constitución y de las reformas del contrato, si las hubiere; el certificado expresará, además, la fecha y el número de la providencia por la cual se le concedió permiso de funcionamiento y, en todo caso, la constancia de que la sociedad no se halla disuelta. </w:t>
      </w:r>
    </w:p>
    <w:p w14:paraId="053A5842" w14:textId="03036138" w:rsidR="004633F1" w:rsidRPr="00737A45" w:rsidRDefault="004633F1" w:rsidP="004633F1">
      <w:pPr>
        <w:pStyle w:val="Textonotapie"/>
        <w:ind w:firstLine="708"/>
        <w:jc w:val="both"/>
        <w:rPr>
          <w:rFonts w:ascii="Century Gothic" w:hAnsi="Century Gothic" w:cs="Arial"/>
          <w:color w:val="000000" w:themeColor="text1"/>
          <w:sz w:val="12"/>
          <w:szCs w:val="12"/>
        </w:rPr>
      </w:pPr>
      <w:r w:rsidRPr="00737A45">
        <w:rPr>
          <w:rFonts w:ascii="Century Gothic" w:hAnsi="Century Gothic" w:cs="Arial"/>
          <w:color w:val="000000" w:themeColor="text1"/>
          <w:sz w:val="12"/>
          <w:szCs w:val="12"/>
        </w:rPr>
        <w:t>Para probar la representación de una sociedad bastará la certificación de la cámara respectiva, con indicación del nombre de los representantes, de las facultades conferidas a cada uno de ellos en el contrato y de las limitaciones acordadas a dichas facultades, en su caso</w:t>
      </w:r>
      <w:r w:rsidR="0099450A">
        <w:rPr>
          <w:rFonts w:ascii="Century Gothic" w:hAnsi="Century Gothic" w:cs="Arial"/>
          <w:color w:val="000000" w:themeColor="text1"/>
          <w:sz w:val="12"/>
          <w:szCs w:val="12"/>
        </w:rPr>
        <w:t>”</w:t>
      </w:r>
      <w:r w:rsidRPr="00737A45">
        <w:rPr>
          <w:rFonts w:ascii="Century Gothic" w:hAnsi="Century Gothic" w:cs="Arial"/>
          <w:color w:val="000000" w:themeColor="text1"/>
          <w:sz w:val="12"/>
          <w:szCs w:val="12"/>
        </w:rPr>
        <w:t xml:space="preserve">. </w:t>
      </w:r>
    </w:p>
  </w:footnote>
  <w:footnote w:id="13">
    <w:p w14:paraId="1664D10E" w14:textId="77777777" w:rsidR="00225FB3" w:rsidRPr="00737A45" w:rsidRDefault="00225FB3" w:rsidP="00225FB3">
      <w:pPr>
        <w:pStyle w:val="Textonotapie"/>
        <w:rPr>
          <w:rFonts w:ascii="Century Gothic" w:hAnsi="Century Gothic" w:cs="Arial"/>
          <w:color w:val="000000" w:themeColor="text1"/>
          <w:sz w:val="12"/>
          <w:szCs w:val="12"/>
        </w:rPr>
      </w:pPr>
    </w:p>
    <w:p w14:paraId="34B4D1D7" w14:textId="5D2EF4F0" w:rsidR="00225FB3" w:rsidRPr="00737A45" w:rsidRDefault="00225FB3" w:rsidP="00225FB3">
      <w:pPr>
        <w:pStyle w:val="Textonotapie"/>
        <w:ind w:firstLine="708"/>
        <w:jc w:val="both"/>
        <w:rPr>
          <w:rFonts w:ascii="Century Gothic" w:hAnsi="Century Gothic" w:cs="Arial"/>
          <w:color w:val="000000" w:themeColor="text1"/>
          <w:sz w:val="12"/>
          <w:szCs w:val="12"/>
        </w:rPr>
      </w:pPr>
      <w:r w:rsidRPr="00737A45">
        <w:rPr>
          <w:rStyle w:val="Refdenotaalpie"/>
          <w:rFonts w:ascii="Century Gothic" w:hAnsi="Century Gothic" w:cs="Arial"/>
          <w:color w:val="000000" w:themeColor="text1"/>
          <w:sz w:val="12"/>
          <w:szCs w:val="12"/>
        </w:rPr>
        <w:footnoteRef/>
      </w:r>
      <w:r w:rsidRPr="00737A45">
        <w:rPr>
          <w:rFonts w:ascii="Century Gothic" w:hAnsi="Century Gothic" w:cs="Arial"/>
          <w:color w:val="000000" w:themeColor="text1"/>
          <w:sz w:val="12"/>
          <w:szCs w:val="12"/>
        </w:rPr>
        <w:t xml:space="preserve"> </w:t>
      </w:r>
      <w:r w:rsidR="0099450A">
        <w:rPr>
          <w:rFonts w:ascii="Century Gothic" w:hAnsi="Century Gothic" w:cs="Arial"/>
          <w:color w:val="000000" w:themeColor="text1"/>
          <w:sz w:val="12"/>
          <w:szCs w:val="12"/>
        </w:rPr>
        <w:t>“</w:t>
      </w:r>
      <w:r w:rsidRPr="00737A45">
        <w:rPr>
          <w:rFonts w:ascii="Century Gothic" w:hAnsi="Century Gothic" w:cs="Arial"/>
          <w:color w:val="000000" w:themeColor="text1"/>
          <w:sz w:val="12"/>
          <w:szCs w:val="12"/>
        </w:rPr>
        <w:t xml:space="preserve">Artículo 470. Todas las sucursales de sociedades extranjeras que desarrollen actividades permanentes en Colombia estarán sometidas a la vigilancia del Estado, que se ejercerá por la Superintendencia Bancaria o de Sociedades, según su objeto social. </w:t>
      </w:r>
    </w:p>
    <w:p w14:paraId="17E2F116" w14:textId="0D187992" w:rsidR="00225FB3" w:rsidRPr="00737A45" w:rsidRDefault="00225FB3" w:rsidP="00225FB3">
      <w:pPr>
        <w:pStyle w:val="Textonotapie"/>
        <w:ind w:firstLine="708"/>
        <w:jc w:val="both"/>
        <w:rPr>
          <w:rFonts w:ascii="Century Gothic" w:hAnsi="Century Gothic" w:cs="Arial"/>
          <w:color w:val="000000" w:themeColor="text1"/>
          <w:sz w:val="12"/>
          <w:szCs w:val="12"/>
        </w:rPr>
      </w:pPr>
      <w:r w:rsidRPr="00737A45">
        <w:rPr>
          <w:rFonts w:ascii="Century Gothic" w:hAnsi="Century Gothic" w:cs="Arial"/>
          <w:color w:val="000000" w:themeColor="text1"/>
          <w:sz w:val="12"/>
          <w:szCs w:val="12"/>
        </w:rPr>
        <w:t xml:space="preserve">Artículo 471. Para que una sociedad extranjera pueda emprender negocios permanentes en Colombia, establecerá una sucursal con domicilio en el territorio nacional, para lo cual cumplirá los siguientes requisitos: </w:t>
      </w:r>
    </w:p>
    <w:p w14:paraId="78479382" w14:textId="7EFC7DBF" w:rsidR="00225FB3" w:rsidRPr="00737A45" w:rsidRDefault="00225FB3" w:rsidP="00225FB3">
      <w:pPr>
        <w:pStyle w:val="Textonotapie"/>
        <w:ind w:firstLine="708"/>
        <w:jc w:val="both"/>
        <w:rPr>
          <w:rFonts w:ascii="Century Gothic" w:hAnsi="Century Gothic" w:cs="Arial"/>
          <w:color w:val="000000" w:themeColor="text1"/>
          <w:sz w:val="12"/>
          <w:szCs w:val="12"/>
        </w:rPr>
      </w:pPr>
      <w:r w:rsidRPr="00737A45">
        <w:rPr>
          <w:rFonts w:ascii="Century Gothic" w:hAnsi="Century Gothic" w:cs="Arial"/>
          <w:color w:val="000000" w:themeColor="text1"/>
          <w:sz w:val="12"/>
          <w:szCs w:val="12"/>
        </w:rPr>
        <w:t xml:space="preserve">1) Protocolizar en una notaría del lugar elegido para su domicilio en el país, copias auténticas del documento de su fundación, de sus estatutos, la resolución o acto que acordó su establecimiento en Colombia y de los que acrediten la existencia de la sociedad y la personería de sus representantes, y </w:t>
      </w:r>
    </w:p>
    <w:p w14:paraId="6CF2DD1B" w14:textId="4C4C6A2C" w:rsidR="00225FB3" w:rsidRPr="00737A45" w:rsidRDefault="00225FB3" w:rsidP="00225FB3">
      <w:pPr>
        <w:pStyle w:val="Textonotapie"/>
        <w:ind w:firstLine="708"/>
        <w:jc w:val="both"/>
        <w:rPr>
          <w:rFonts w:ascii="Century Gothic" w:hAnsi="Century Gothic" w:cs="Arial"/>
          <w:color w:val="000000" w:themeColor="text1"/>
          <w:sz w:val="12"/>
          <w:szCs w:val="12"/>
          <w:lang w:val="es-CO"/>
        </w:rPr>
      </w:pPr>
      <w:r w:rsidRPr="00737A45">
        <w:rPr>
          <w:rFonts w:ascii="Century Gothic" w:hAnsi="Century Gothic" w:cs="Arial"/>
          <w:color w:val="000000" w:themeColor="text1"/>
          <w:sz w:val="12"/>
          <w:szCs w:val="12"/>
        </w:rPr>
        <w:t>2) Obtener de la Superintendencia de Sociedades o de la Bancaria, según el caso, permiso para funcionar en el país</w:t>
      </w:r>
      <w:r w:rsidR="0080469F">
        <w:rPr>
          <w:rFonts w:ascii="Century Gothic" w:hAnsi="Century Gothic" w:cs="Arial"/>
          <w:color w:val="000000" w:themeColor="text1"/>
          <w:sz w:val="12"/>
          <w:szCs w:val="12"/>
        </w:rPr>
        <w:t>”.</w:t>
      </w:r>
      <w:r w:rsidRPr="00737A45">
        <w:rPr>
          <w:rFonts w:ascii="Century Gothic" w:hAnsi="Century Gothic" w:cs="Arial"/>
          <w:color w:val="000000" w:themeColor="text1"/>
          <w:sz w:val="12"/>
          <w:szCs w:val="12"/>
        </w:rPr>
        <w:t xml:space="preserve">  </w:t>
      </w:r>
    </w:p>
  </w:footnote>
  <w:footnote w:id="14">
    <w:p w14:paraId="7D3685BA" w14:textId="77777777" w:rsidR="00D7476D" w:rsidRPr="00737A45" w:rsidRDefault="00D7476D" w:rsidP="00D7476D">
      <w:pPr>
        <w:pStyle w:val="Textonotapie"/>
        <w:rPr>
          <w:rFonts w:ascii="Century Gothic" w:hAnsi="Century Gothic" w:cs="Arial"/>
          <w:color w:val="000000"/>
          <w:sz w:val="12"/>
          <w:szCs w:val="12"/>
        </w:rPr>
      </w:pPr>
    </w:p>
    <w:p w14:paraId="2FB534F8" w14:textId="3BF8C3D8" w:rsidR="00D7476D" w:rsidRPr="00737A45" w:rsidRDefault="00D7476D" w:rsidP="00D7476D">
      <w:pPr>
        <w:pStyle w:val="Textonotapie"/>
        <w:ind w:firstLine="708"/>
        <w:jc w:val="both"/>
        <w:rPr>
          <w:rFonts w:ascii="Century Gothic" w:hAnsi="Century Gothic" w:cs="Arial"/>
          <w:color w:val="000000"/>
          <w:sz w:val="12"/>
          <w:szCs w:val="12"/>
        </w:rPr>
      </w:pPr>
      <w:r w:rsidRPr="00737A45">
        <w:rPr>
          <w:rStyle w:val="Refdenotaalpie"/>
          <w:rFonts w:ascii="Century Gothic" w:hAnsi="Century Gothic" w:cs="Arial"/>
          <w:color w:val="000000"/>
          <w:sz w:val="12"/>
          <w:szCs w:val="12"/>
        </w:rPr>
        <w:footnoteRef/>
      </w:r>
      <w:r w:rsidRPr="00737A45">
        <w:rPr>
          <w:rFonts w:ascii="Century Gothic" w:hAnsi="Century Gothic" w:cs="Arial"/>
          <w:color w:val="000000"/>
          <w:sz w:val="12"/>
          <w:szCs w:val="12"/>
        </w:rPr>
        <w:t xml:space="preserve"> </w:t>
      </w:r>
      <w:r w:rsidR="004A6AB5">
        <w:rPr>
          <w:rFonts w:ascii="Century Gothic" w:hAnsi="Century Gothic" w:cs="Arial"/>
          <w:color w:val="000000"/>
          <w:sz w:val="12"/>
          <w:szCs w:val="12"/>
        </w:rPr>
        <w:t>“</w:t>
      </w:r>
      <w:r w:rsidRPr="00737A45">
        <w:rPr>
          <w:rStyle w:val="Textoennegrita"/>
          <w:rFonts w:ascii="Century Gothic" w:hAnsi="Century Gothic" w:cs="Arial"/>
          <w:color w:val="000000"/>
          <w:sz w:val="12"/>
          <w:szCs w:val="12"/>
        </w:rPr>
        <w:t>Artículo 486.</w:t>
      </w:r>
      <w:r w:rsidRPr="00737A45">
        <w:rPr>
          <w:rFonts w:ascii="Century Gothic" w:hAnsi="Century Gothic" w:cs="Arial"/>
          <w:color w:val="000000"/>
          <w:sz w:val="12"/>
          <w:szCs w:val="12"/>
        </w:rPr>
        <w:t xml:space="preserve"> La existencia de las sociedades domiciliadas en el exterior de que trata este Título y las cláusulas de los estatutos se probarán mediante el certificado de la cámara de comercio. De la misma manera se probará la personería de sus representantes. La existencia del </w:t>
      </w:r>
      <w:r w:rsidRPr="00737A45">
        <w:rPr>
          <w:rStyle w:val="nfasis"/>
          <w:rFonts w:ascii="Century Gothic" w:hAnsi="Century Gothic" w:cs="Arial"/>
          <w:color w:val="000000"/>
          <w:sz w:val="12"/>
          <w:szCs w:val="12"/>
        </w:rPr>
        <w:t>permiso de funcionamiento</w:t>
      </w:r>
      <w:r w:rsidRPr="00737A45">
        <w:rPr>
          <w:rFonts w:ascii="Century Gothic" w:hAnsi="Century Gothic" w:cs="Arial"/>
          <w:color w:val="000000"/>
          <w:sz w:val="12"/>
          <w:szCs w:val="12"/>
        </w:rPr>
        <w:t> se establecerá mediante certificado de la correspondiente Superintendencia</w:t>
      </w:r>
      <w:r w:rsidR="004A6AB5">
        <w:rPr>
          <w:rFonts w:ascii="Century Gothic" w:hAnsi="Century Gothic" w:cs="Arial"/>
          <w:color w:val="000000"/>
          <w:sz w:val="12"/>
          <w:szCs w:val="12"/>
        </w:rPr>
        <w:t>”.</w:t>
      </w:r>
      <w:r w:rsidRPr="00737A45">
        <w:rPr>
          <w:rFonts w:ascii="Century Gothic" w:hAnsi="Century Gothic" w:cs="Arial"/>
          <w:color w:val="000000"/>
          <w:sz w:val="12"/>
          <w:szCs w:val="12"/>
        </w:rPr>
        <w:t xml:space="preserve"> </w:t>
      </w:r>
    </w:p>
    <w:p w14:paraId="55BDE66F" w14:textId="77777777" w:rsidR="00D7476D" w:rsidRPr="00737A45" w:rsidRDefault="00D7476D" w:rsidP="00D7476D">
      <w:pPr>
        <w:pStyle w:val="Textonotapie"/>
        <w:ind w:firstLine="708"/>
        <w:jc w:val="both"/>
        <w:rPr>
          <w:rFonts w:ascii="Century Gothic" w:hAnsi="Century Gothic" w:cs="Arial"/>
          <w:color w:val="000000"/>
          <w:sz w:val="12"/>
          <w:szCs w:val="12"/>
        </w:rPr>
      </w:pPr>
    </w:p>
  </w:footnote>
  <w:footnote w:id="15">
    <w:p w14:paraId="2A7045A0" w14:textId="67D39255" w:rsidR="00EA1C81" w:rsidRPr="00737A45" w:rsidRDefault="00EA1C81" w:rsidP="00EA1C81">
      <w:pPr>
        <w:pStyle w:val="Textonotapie"/>
        <w:ind w:firstLine="708"/>
        <w:jc w:val="both"/>
        <w:rPr>
          <w:rFonts w:ascii="Century Gothic" w:hAnsi="Century Gothic" w:cs="Arial"/>
          <w:color w:val="000000" w:themeColor="text1"/>
          <w:sz w:val="12"/>
          <w:szCs w:val="12"/>
          <w:lang w:val="es-CO"/>
        </w:rPr>
      </w:pPr>
      <w:r w:rsidRPr="00737A45">
        <w:rPr>
          <w:rStyle w:val="Refdenotaalpie"/>
          <w:rFonts w:ascii="Century Gothic" w:hAnsi="Century Gothic" w:cs="Arial"/>
          <w:color w:val="000000" w:themeColor="text1"/>
          <w:sz w:val="12"/>
          <w:szCs w:val="12"/>
        </w:rPr>
        <w:footnoteRef/>
      </w:r>
      <w:r w:rsidRPr="00737A45">
        <w:rPr>
          <w:rFonts w:ascii="Century Gothic" w:hAnsi="Century Gothic" w:cs="Arial"/>
          <w:color w:val="000000" w:themeColor="text1"/>
          <w:sz w:val="12"/>
          <w:szCs w:val="12"/>
        </w:rPr>
        <w:t xml:space="preserve"> </w:t>
      </w:r>
      <w:r w:rsidR="004A6AB5">
        <w:rPr>
          <w:rFonts w:ascii="Century Gothic" w:hAnsi="Century Gothic" w:cs="Arial"/>
          <w:color w:val="000000" w:themeColor="text1"/>
          <w:sz w:val="12"/>
          <w:szCs w:val="12"/>
        </w:rPr>
        <w:t>“</w:t>
      </w:r>
      <w:r w:rsidRPr="00737A45">
        <w:rPr>
          <w:rFonts w:ascii="Century Gothic" w:hAnsi="Century Gothic" w:cs="Arial"/>
          <w:color w:val="000000" w:themeColor="text1"/>
          <w:sz w:val="12"/>
          <w:szCs w:val="12"/>
        </w:rPr>
        <w:t>Artículo 15. Acceso de las autoridades a los registros públicos. Las entidades públicas y las privadas que cumplan funciones públicas o presten servicios públicos pueden conectarse gratuitamente a los registros públicos que llevan las entidades encargadas de expedir los certificados de existencia y representación legal de las personas jurídicas, los certificados de tradición de bienes inmuebles, naves, aeronaves y vehículos y los certificados tributarios, en las condiciones y con las seguridades requeridas que establezca el reglamento La lectura de la información obviará la solicitud del certificado y servirá de prueba bajo la anotación del funcionario que efectúe la consulta</w:t>
      </w:r>
      <w:r w:rsidR="004A6AB5">
        <w:rPr>
          <w:rFonts w:ascii="Century Gothic" w:hAnsi="Century Gothic" w:cs="Arial"/>
          <w:color w:val="000000" w:themeColor="text1"/>
          <w:sz w:val="12"/>
          <w:szCs w:val="12"/>
        </w:rPr>
        <w:t>”</w:t>
      </w:r>
      <w:r w:rsidRPr="00737A45">
        <w:rPr>
          <w:rFonts w:ascii="Century Gothic" w:hAnsi="Century Gothic" w:cs="Arial"/>
          <w:color w:val="000000" w:themeColor="text1"/>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A4F5" w14:textId="77777777" w:rsidR="007D6E6F" w:rsidRDefault="007D6E6F">
    <w:pPr>
      <w:pStyle w:val="Encabezado"/>
    </w:pPr>
    <w:r>
      <w:rPr>
        <w:noProof/>
        <w:lang w:eastAsia="es-CO"/>
      </w:rPr>
      <w:drawing>
        <wp:anchor distT="0" distB="0" distL="114300" distR="114300" simplePos="0" relativeHeight="251659264" behindDoc="1" locked="0" layoutInCell="1" allowOverlap="1" wp14:anchorId="6CCB8EBC" wp14:editId="582FA43A">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lang w:eastAsia="es-CO"/>
      </w:rPr>
      <w:drawing>
        <wp:anchor distT="0" distB="0" distL="114300" distR="114300" simplePos="0" relativeHeight="251663360" behindDoc="0" locked="0" layoutInCell="1" allowOverlap="1" wp14:anchorId="36BC2E7F" wp14:editId="6C50876A">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lang w:eastAsia="es-CO"/>
      </w:rPr>
      <w:drawing>
        <wp:anchor distT="0" distB="0" distL="114300" distR="114300" simplePos="0" relativeHeight="251661312" behindDoc="0" locked="0" layoutInCell="1" allowOverlap="1" wp14:anchorId="6867E012" wp14:editId="740C0866">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0288" behindDoc="0" locked="0" layoutInCell="1" allowOverlap="1" wp14:anchorId="0CAB268C" wp14:editId="1CF2752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591D1DA6" w14:textId="77777777" w:rsidR="007D6E6F" w:rsidRDefault="007D6E6F">
    <w:pPr>
      <w:pStyle w:val="Encabezado"/>
    </w:pPr>
  </w:p>
  <w:p w14:paraId="4D07508E" w14:textId="77777777" w:rsidR="007D6E6F" w:rsidRDefault="007D6E6F">
    <w:pPr>
      <w:pStyle w:val="Encabezado"/>
    </w:pPr>
  </w:p>
  <w:p w14:paraId="2CAA3CF7" w14:textId="77777777" w:rsidR="007D6E6F" w:rsidRPr="004A305D" w:rsidRDefault="007D6E6F"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19F1A05B" w14:textId="77777777" w:rsidR="007D6E6F" w:rsidRPr="004A305D" w:rsidRDefault="007D6E6F"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17</w:t>
    </w:r>
  </w:p>
  <w:p w14:paraId="65A1879E" w14:textId="77777777" w:rsidR="007D6E6F" w:rsidRDefault="007D6E6F"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22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87885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3E"/>
    <w:rsid w:val="00001334"/>
    <w:rsid w:val="00004E05"/>
    <w:rsid w:val="00012495"/>
    <w:rsid w:val="000129C8"/>
    <w:rsid w:val="0001578C"/>
    <w:rsid w:val="0001582D"/>
    <w:rsid w:val="00023D31"/>
    <w:rsid w:val="0002714E"/>
    <w:rsid w:val="000318FF"/>
    <w:rsid w:val="00042611"/>
    <w:rsid w:val="000442FE"/>
    <w:rsid w:val="00047AC7"/>
    <w:rsid w:val="0006595F"/>
    <w:rsid w:val="00067109"/>
    <w:rsid w:val="00071153"/>
    <w:rsid w:val="00077F66"/>
    <w:rsid w:val="0008019D"/>
    <w:rsid w:val="000A246F"/>
    <w:rsid w:val="000B1B6B"/>
    <w:rsid w:val="000B6200"/>
    <w:rsid w:val="000C2386"/>
    <w:rsid w:val="000D15AA"/>
    <w:rsid w:val="000F09EB"/>
    <w:rsid w:val="000F3C39"/>
    <w:rsid w:val="00101BE8"/>
    <w:rsid w:val="0010260D"/>
    <w:rsid w:val="00110856"/>
    <w:rsid w:val="0012293D"/>
    <w:rsid w:val="00122BB0"/>
    <w:rsid w:val="0012374E"/>
    <w:rsid w:val="00124445"/>
    <w:rsid w:val="00124920"/>
    <w:rsid w:val="0015178F"/>
    <w:rsid w:val="00162C66"/>
    <w:rsid w:val="00183CA0"/>
    <w:rsid w:val="00196800"/>
    <w:rsid w:val="001B43AA"/>
    <w:rsid w:val="001C2AF6"/>
    <w:rsid w:val="001D0866"/>
    <w:rsid w:val="001F6B8C"/>
    <w:rsid w:val="001F732E"/>
    <w:rsid w:val="00201A16"/>
    <w:rsid w:val="0020719E"/>
    <w:rsid w:val="00225FB3"/>
    <w:rsid w:val="002353E0"/>
    <w:rsid w:val="00237655"/>
    <w:rsid w:val="00243CAD"/>
    <w:rsid w:val="00252BBB"/>
    <w:rsid w:val="00256291"/>
    <w:rsid w:val="002865BB"/>
    <w:rsid w:val="00291AC0"/>
    <w:rsid w:val="00297358"/>
    <w:rsid w:val="0029776D"/>
    <w:rsid w:val="002A5F13"/>
    <w:rsid w:val="002B1D3B"/>
    <w:rsid w:val="002B6357"/>
    <w:rsid w:val="002B67F5"/>
    <w:rsid w:val="002C47CE"/>
    <w:rsid w:val="002E56D6"/>
    <w:rsid w:val="002F7D83"/>
    <w:rsid w:val="00305277"/>
    <w:rsid w:val="00320985"/>
    <w:rsid w:val="00324F04"/>
    <w:rsid w:val="00326942"/>
    <w:rsid w:val="003320F6"/>
    <w:rsid w:val="00357A47"/>
    <w:rsid w:val="00360630"/>
    <w:rsid w:val="00367508"/>
    <w:rsid w:val="003803D6"/>
    <w:rsid w:val="00381BF8"/>
    <w:rsid w:val="00386967"/>
    <w:rsid w:val="0039206A"/>
    <w:rsid w:val="0039358F"/>
    <w:rsid w:val="003977D1"/>
    <w:rsid w:val="003C1854"/>
    <w:rsid w:val="003E09A8"/>
    <w:rsid w:val="003F12F5"/>
    <w:rsid w:val="003F1FC6"/>
    <w:rsid w:val="00417F74"/>
    <w:rsid w:val="0043566F"/>
    <w:rsid w:val="00435F84"/>
    <w:rsid w:val="0044298A"/>
    <w:rsid w:val="00442FF1"/>
    <w:rsid w:val="00443640"/>
    <w:rsid w:val="004633F1"/>
    <w:rsid w:val="00473D25"/>
    <w:rsid w:val="004751F1"/>
    <w:rsid w:val="004932E8"/>
    <w:rsid w:val="00497C56"/>
    <w:rsid w:val="004A6AB5"/>
    <w:rsid w:val="004A72F8"/>
    <w:rsid w:val="004C2764"/>
    <w:rsid w:val="004D1FB1"/>
    <w:rsid w:val="004E5AD5"/>
    <w:rsid w:val="004F5D3E"/>
    <w:rsid w:val="005075B3"/>
    <w:rsid w:val="005136D4"/>
    <w:rsid w:val="0054595A"/>
    <w:rsid w:val="0055044E"/>
    <w:rsid w:val="00556C08"/>
    <w:rsid w:val="005727E1"/>
    <w:rsid w:val="00577EB3"/>
    <w:rsid w:val="00580D28"/>
    <w:rsid w:val="005818E2"/>
    <w:rsid w:val="00582258"/>
    <w:rsid w:val="0059010A"/>
    <w:rsid w:val="005B1D40"/>
    <w:rsid w:val="005B38B7"/>
    <w:rsid w:val="005B4D3E"/>
    <w:rsid w:val="005C7E64"/>
    <w:rsid w:val="005E2677"/>
    <w:rsid w:val="005F4DEE"/>
    <w:rsid w:val="005F739B"/>
    <w:rsid w:val="006032EA"/>
    <w:rsid w:val="00617D94"/>
    <w:rsid w:val="0062415E"/>
    <w:rsid w:val="0062499A"/>
    <w:rsid w:val="00644D46"/>
    <w:rsid w:val="0064570D"/>
    <w:rsid w:val="006467B3"/>
    <w:rsid w:val="006541D8"/>
    <w:rsid w:val="00661768"/>
    <w:rsid w:val="00680B4D"/>
    <w:rsid w:val="0068434F"/>
    <w:rsid w:val="00690A40"/>
    <w:rsid w:val="006B66FC"/>
    <w:rsid w:val="006C4E5E"/>
    <w:rsid w:val="006C746C"/>
    <w:rsid w:val="006C7A07"/>
    <w:rsid w:val="006D0BBA"/>
    <w:rsid w:val="006D266C"/>
    <w:rsid w:val="006D492F"/>
    <w:rsid w:val="006E6675"/>
    <w:rsid w:val="006E6AE1"/>
    <w:rsid w:val="006F0D3A"/>
    <w:rsid w:val="00704B74"/>
    <w:rsid w:val="00710D1A"/>
    <w:rsid w:val="00730990"/>
    <w:rsid w:val="00737A45"/>
    <w:rsid w:val="007471B6"/>
    <w:rsid w:val="007771BE"/>
    <w:rsid w:val="007A31B2"/>
    <w:rsid w:val="007C19DD"/>
    <w:rsid w:val="007C35AC"/>
    <w:rsid w:val="007C7A7F"/>
    <w:rsid w:val="007D173E"/>
    <w:rsid w:val="007D6E6F"/>
    <w:rsid w:val="007F4339"/>
    <w:rsid w:val="0080469F"/>
    <w:rsid w:val="0081119D"/>
    <w:rsid w:val="0081458B"/>
    <w:rsid w:val="008200FB"/>
    <w:rsid w:val="00821235"/>
    <w:rsid w:val="00827382"/>
    <w:rsid w:val="0083481F"/>
    <w:rsid w:val="008364DA"/>
    <w:rsid w:val="00854775"/>
    <w:rsid w:val="0087336F"/>
    <w:rsid w:val="008757A6"/>
    <w:rsid w:val="0087644C"/>
    <w:rsid w:val="00881FCB"/>
    <w:rsid w:val="00886CA8"/>
    <w:rsid w:val="0089332E"/>
    <w:rsid w:val="008B7BEF"/>
    <w:rsid w:val="008C18DD"/>
    <w:rsid w:val="008C1D18"/>
    <w:rsid w:val="008C2B12"/>
    <w:rsid w:val="008C3AE0"/>
    <w:rsid w:val="008E176D"/>
    <w:rsid w:val="008E4A81"/>
    <w:rsid w:val="008E5C2E"/>
    <w:rsid w:val="008F5E50"/>
    <w:rsid w:val="0090360A"/>
    <w:rsid w:val="009218EB"/>
    <w:rsid w:val="009266D9"/>
    <w:rsid w:val="00957A86"/>
    <w:rsid w:val="009607F3"/>
    <w:rsid w:val="00962076"/>
    <w:rsid w:val="009625C7"/>
    <w:rsid w:val="00971A45"/>
    <w:rsid w:val="009769A6"/>
    <w:rsid w:val="009812DB"/>
    <w:rsid w:val="00982258"/>
    <w:rsid w:val="00993F2E"/>
    <w:rsid w:val="0099450A"/>
    <w:rsid w:val="009B44C8"/>
    <w:rsid w:val="009C3C19"/>
    <w:rsid w:val="009F5404"/>
    <w:rsid w:val="00A01994"/>
    <w:rsid w:val="00A136F4"/>
    <w:rsid w:val="00A15DE6"/>
    <w:rsid w:val="00A16DF6"/>
    <w:rsid w:val="00A204B3"/>
    <w:rsid w:val="00A21370"/>
    <w:rsid w:val="00A23D9F"/>
    <w:rsid w:val="00A26493"/>
    <w:rsid w:val="00A2742B"/>
    <w:rsid w:val="00A32333"/>
    <w:rsid w:val="00A55FB4"/>
    <w:rsid w:val="00A85A1C"/>
    <w:rsid w:val="00A94EBB"/>
    <w:rsid w:val="00AA448B"/>
    <w:rsid w:val="00AB43C8"/>
    <w:rsid w:val="00AD4C62"/>
    <w:rsid w:val="00AE68D3"/>
    <w:rsid w:val="00B13104"/>
    <w:rsid w:val="00B16A29"/>
    <w:rsid w:val="00B3695B"/>
    <w:rsid w:val="00B37901"/>
    <w:rsid w:val="00B425BA"/>
    <w:rsid w:val="00B46D72"/>
    <w:rsid w:val="00B47FFB"/>
    <w:rsid w:val="00B55EC7"/>
    <w:rsid w:val="00B56237"/>
    <w:rsid w:val="00B57857"/>
    <w:rsid w:val="00B66AF0"/>
    <w:rsid w:val="00B717DA"/>
    <w:rsid w:val="00B74628"/>
    <w:rsid w:val="00B864A5"/>
    <w:rsid w:val="00B91C03"/>
    <w:rsid w:val="00B94CF0"/>
    <w:rsid w:val="00BA1993"/>
    <w:rsid w:val="00BA66F0"/>
    <w:rsid w:val="00BA7A90"/>
    <w:rsid w:val="00BE0AA5"/>
    <w:rsid w:val="00BE1D80"/>
    <w:rsid w:val="00BF48F9"/>
    <w:rsid w:val="00C117C2"/>
    <w:rsid w:val="00C137BC"/>
    <w:rsid w:val="00C151F7"/>
    <w:rsid w:val="00C27B23"/>
    <w:rsid w:val="00C31402"/>
    <w:rsid w:val="00C333E8"/>
    <w:rsid w:val="00C36815"/>
    <w:rsid w:val="00C438FD"/>
    <w:rsid w:val="00C65E1E"/>
    <w:rsid w:val="00C6724B"/>
    <w:rsid w:val="00C77168"/>
    <w:rsid w:val="00C80C7E"/>
    <w:rsid w:val="00C83A69"/>
    <w:rsid w:val="00C95D89"/>
    <w:rsid w:val="00CA4681"/>
    <w:rsid w:val="00CA6107"/>
    <w:rsid w:val="00CA71A1"/>
    <w:rsid w:val="00CB7214"/>
    <w:rsid w:val="00CD5B7D"/>
    <w:rsid w:val="00CE602F"/>
    <w:rsid w:val="00CF64FE"/>
    <w:rsid w:val="00D0466B"/>
    <w:rsid w:val="00D22B41"/>
    <w:rsid w:val="00D27B70"/>
    <w:rsid w:val="00D31086"/>
    <w:rsid w:val="00D347F3"/>
    <w:rsid w:val="00D37432"/>
    <w:rsid w:val="00D46908"/>
    <w:rsid w:val="00D47631"/>
    <w:rsid w:val="00D6119B"/>
    <w:rsid w:val="00D7476D"/>
    <w:rsid w:val="00D80277"/>
    <w:rsid w:val="00DB17B9"/>
    <w:rsid w:val="00DD0D3C"/>
    <w:rsid w:val="00DD55D2"/>
    <w:rsid w:val="00E00179"/>
    <w:rsid w:val="00E037F9"/>
    <w:rsid w:val="00E072B4"/>
    <w:rsid w:val="00E21A52"/>
    <w:rsid w:val="00E264AC"/>
    <w:rsid w:val="00E30918"/>
    <w:rsid w:val="00E419E3"/>
    <w:rsid w:val="00E430C1"/>
    <w:rsid w:val="00E458AE"/>
    <w:rsid w:val="00E467A9"/>
    <w:rsid w:val="00E55CD2"/>
    <w:rsid w:val="00E6115C"/>
    <w:rsid w:val="00E72321"/>
    <w:rsid w:val="00E757B1"/>
    <w:rsid w:val="00E849CB"/>
    <w:rsid w:val="00E866EC"/>
    <w:rsid w:val="00E9142E"/>
    <w:rsid w:val="00EA1C81"/>
    <w:rsid w:val="00EA2356"/>
    <w:rsid w:val="00EC0D17"/>
    <w:rsid w:val="00EC528D"/>
    <w:rsid w:val="00EE3E1B"/>
    <w:rsid w:val="00EE61DC"/>
    <w:rsid w:val="00EF3F50"/>
    <w:rsid w:val="00EF589B"/>
    <w:rsid w:val="00F07A6F"/>
    <w:rsid w:val="00F1669E"/>
    <w:rsid w:val="00F173BD"/>
    <w:rsid w:val="00F17577"/>
    <w:rsid w:val="00F424B8"/>
    <w:rsid w:val="00F430F7"/>
    <w:rsid w:val="00F507C2"/>
    <w:rsid w:val="00F52219"/>
    <w:rsid w:val="00F7297A"/>
    <w:rsid w:val="00F73D32"/>
    <w:rsid w:val="00F91B5F"/>
    <w:rsid w:val="00F93D27"/>
    <w:rsid w:val="00F9488A"/>
    <w:rsid w:val="00F95883"/>
    <w:rsid w:val="00F95A67"/>
    <w:rsid w:val="00FB4427"/>
    <w:rsid w:val="00FE5AA3"/>
    <w:rsid w:val="00FE7725"/>
    <w:rsid w:val="00FF5BC9"/>
    <w:rsid w:val="2A9C2A61"/>
    <w:rsid w:val="4488FF7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27AC"/>
  <w15:chartTrackingRefBased/>
  <w15:docId w15:val="{3497C2B9-1EEB-4E48-8E6C-5371DAF6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BF8"/>
    <w:rPr>
      <w:kern w:val="0"/>
      <w14:ligatures w14:val="none"/>
    </w:rPr>
  </w:style>
  <w:style w:type="paragraph" w:styleId="Ttulo1">
    <w:name w:val="heading 1"/>
    <w:basedOn w:val="Normal"/>
    <w:next w:val="Normal"/>
    <w:link w:val="Ttulo1Car"/>
    <w:uiPriority w:val="9"/>
    <w:qFormat/>
    <w:rsid w:val="005B4D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B4D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B4D3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B4D3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B4D3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B4D3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4D3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4D3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4D3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4D3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B4D3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B4D3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B4D3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B4D3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B4D3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4D3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4D3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4D3E"/>
    <w:rPr>
      <w:rFonts w:eastAsiaTheme="majorEastAsia" w:cstheme="majorBidi"/>
      <w:color w:val="272727" w:themeColor="text1" w:themeTint="D8"/>
    </w:rPr>
  </w:style>
  <w:style w:type="paragraph" w:styleId="Ttulo">
    <w:name w:val="Title"/>
    <w:basedOn w:val="Normal"/>
    <w:next w:val="Normal"/>
    <w:link w:val="TtuloCar"/>
    <w:uiPriority w:val="10"/>
    <w:qFormat/>
    <w:rsid w:val="005B4D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4D3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4D3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4D3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4D3E"/>
    <w:pPr>
      <w:spacing w:before="160"/>
      <w:jc w:val="center"/>
    </w:pPr>
    <w:rPr>
      <w:i/>
      <w:iCs/>
      <w:color w:val="404040" w:themeColor="text1" w:themeTint="BF"/>
    </w:rPr>
  </w:style>
  <w:style w:type="character" w:customStyle="1" w:styleId="CitaCar">
    <w:name w:val="Cita Car"/>
    <w:basedOn w:val="Fuentedeprrafopredeter"/>
    <w:link w:val="Cita"/>
    <w:uiPriority w:val="29"/>
    <w:rsid w:val="005B4D3E"/>
    <w:rPr>
      <w:i/>
      <w:iCs/>
      <w:color w:val="404040" w:themeColor="text1" w:themeTint="BF"/>
    </w:rPr>
  </w:style>
  <w:style w:type="paragraph" w:styleId="Prrafodelista">
    <w:name w:val="List Paragraph"/>
    <w:basedOn w:val="Normal"/>
    <w:uiPriority w:val="34"/>
    <w:qFormat/>
    <w:rsid w:val="005B4D3E"/>
    <w:pPr>
      <w:ind w:left="720"/>
      <w:contextualSpacing/>
    </w:pPr>
  </w:style>
  <w:style w:type="character" w:styleId="nfasisintenso">
    <w:name w:val="Intense Emphasis"/>
    <w:basedOn w:val="Fuentedeprrafopredeter"/>
    <w:uiPriority w:val="21"/>
    <w:qFormat/>
    <w:rsid w:val="005B4D3E"/>
    <w:rPr>
      <w:i/>
      <w:iCs/>
      <w:color w:val="0F4761" w:themeColor="accent1" w:themeShade="BF"/>
    </w:rPr>
  </w:style>
  <w:style w:type="paragraph" w:styleId="Citadestacada">
    <w:name w:val="Intense Quote"/>
    <w:basedOn w:val="Normal"/>
    <w:next w:val="Normal"/>
    <w:link w:val="CitadestacadaCar"/>
    <w:uiPriority w:val="30"/>
    <w:qFormat/>
    <w:rsid w:val="005B4D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B4D3E"/>
    <w:rPr>
      <w:i/>
      <w:iCs/>
      <w:color w:val="0F4761" w:themeColor="accent1" w:themeShade="BF"/>
    </w:rPr>
  </w:style>
  <w:style w:type="character" w:styleId="Referenciaintensa">
    <w:name w:val="Intense Reference"/>
    <w:basedOn w:val="Fuentedeprrafopredeter"/>
    <w:uiPriority w:val="32"/>
    <w:qFormat/>
    <w:rsid w:val="005B4D3E"/>
    <w:rPr>
      <w:b/>
      <w:bCs/>
      <w:smallCaps/>
      <w:color w:val="0F4761" w:themeColor="accent1" w:themeShade="BF"/>
      <w:spacing w:val="5"/>
    </w:rPr>
  </w:style>
  <w:style w:type="paragraph" w:styleId="Encabezado">
    <w:name w:val="header"/>
    <w:basedOn w:val="Normal"/>
    <w:link w:val="EncabezadoCar"/>
    <w:uiPriority w:val="99"/>
    <w:unhideWhenUsed/>
    <w:rsid w:val="005B4D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4D3E"/>
    <w:rPr>
      <w:kern w:val="0"/>
      <w14:ligatures w14:val="none"/>
    </w:rPr>
  </w:style>
  <w:style w:type="paragraph" w:styleId="Piedepgina">
    <w:name w:val="footer"/>
    <w:basedOn w:val="Normal"/>
    <w:link w:val="PiedepginaCar"/>
    <w:uiPriority w:val="99"/>
    <w:unhideWhenUsed/>
    <w:rsid w:val="005B4D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4D3E"/>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B4D3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5B4D3E"/>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5B4D3E"/>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5B4D3E"/>
    <w:rPr>
      <w:vertAlign w:val="superscript"/>
    </w:rPr>
  </w:style>
  <w:style w:type="table" w:styleId="Tablaconcuadrcula">
    <w:name w:val="Table Grid"/>
    <w:basedOn w:val="Tablanormal"/>
    <w:uiPriority w:val="39"/>
    <w:rsid w:val="005B4D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B4D3E"/>
    <w:rPr>
      <w:color w:val="0000FF"/>
      <w:u w:val="single"/>
    </w:rPr>
  </w:style>
  <w:style w:type="paragraph" w:customStyle="1" w:styleId="Appelnotedebasde">
    <w:name w:val="Appel note de bas de..."/>
    <w:basedOn w:val="Normal"/>
    <w:link w:val="Refdenotaalpie"/>
    <w:uiPriority w:val="99"/>
    <w:rsid w:val="005B4D3E"/>
    <w:pPr>
      <w:spacing w:line="240" w:lineRule="exact"/>
    </w:pPr>
    <w:rPr>
      <w:kern w:val="2"/>
      <w:vertAlign w:val="superscript"/>
      <w14:ligatures w14:val="standardContextual"/>
    </w:rPr>
  </w:style>
  <w:style w:type="paragraph" w:styleId="NormalWeb">
    <w:name w:val="Normal (Web)"/>
    <w:basedOn w:val="Normal"/>
    <w:link w:val="NormalWebCar"/>
    <w:uiPriority w:val="99"/>
    <w:unhideWhenUsed/>
    <w:rsid w:val="005B4D3E"/>
    <w:rPr>
      <w:rFonts w:ascii="Times New Roman" w:hAnsi="Times New Roman" w:cs="Times New Roman"/>
      <w:sz w:val="24"/>
      <w:szCs w:val="24"/>
    </w:rPr>
  </w:style>
  <w:style w:type="character" w:customStyle="1" w:styleId="NormalWebCar">
    <w:name w:val="Normal (Web) Car"/>
    <w:link w:val="NormalWeb"/>
    <w:uiPriority w:val="99"/>
    <w:rsid w:val="005B4D3E"/>
    <w:rPr>
      <w:rFonts w:ascii="Times New Roman" w:hAnsi="Times New Roman" w:cs="Times New Roman"/>
      <w:kern w:val="0"/>
      <w:sz w:val="24"/>
      <w:szCs w:val="24"/>
      <w14:ligatures w14:val="none"/>
    </w:rPr>
  </w:style>
  <w:style w:type="character" w:customStyle="1" w:styleId="wacimagecontainer">
    <w:name w:val="wacimagecontainer"/>
    <w:basedOn w:val="Fuentedeprrafopredeter"/>
    <w:rsid w:val="007D6E6F"/>
  </w:style>
  <w:style w:type="paragraph" w:styleId="Textoindependiente">
    <w:name w:val="Body Text"/>
    <w:basedOn w:val="Normal"/>
    <w:link w:val="TextoindependienteCar"/>
    <w:uiPriority w:val="99"/>
    <w:semiHidden/>
    <w:unhideWhenUsed/>
    <w:rsid w:val="00F7297A"/>
    <w:pPr>
      <w:spacing w:after="120"/>
    </w:pPr>
  </w:style>
  <w:style w:type="character" w:customStyle="1" w:styleId="TextoindependienteCar">
    <w:name w:val="Texto independiente Car"/>
    <w:basedOn w:val="Fuentedeprrafopredeter"/>
    <w:link w:val="Textoindependiente"/>
    <w:uiPriority w:val="99"/>
    <w:semiHidden/>
    <w:rsid w:val="00F7297A"/>
    <w:rPr>
      <w:kern w:val="0"/>
      <w14:ligatures w14:val="none"/>
    </w:rPr>
  </w:style>
  <w:style w:type="character" w:styleId="Hipervnculovisitado">
    <w:name w:val="FollowedHyperlink"/>
    <w:basedOn w:val="Fuentedeprrafopredeter"/>
    <w:uiPriority w:val="99"/>
    <w:semiHidden/>
    <w:unhideWhenUsed/>
    <w:rsid w:val="007F4339"/>
    <w:rPr>
      <w:color w:val="96607D" w:themeColor="followedHyperlink"/>
      <w:u w:val="single"/>
    </w:rPr>
  </w:style>
  <w:style w:type="character" w:styleId="Textoennegrita">
    <w:name w:val="Strong"/>
    <w:basedOn w:val="Fuentedeprrafopredeter"/>
    <w:uiPriority w:val="22"/>
    <w:qFormat/>
    <w:rsid w:val="002A5F13"/>
    <w:rPr>
      <w:b/>
      <w:bCs/>
    </w:rPr>
  </w:style>
  <w:style w:type="character" w:styleId="nfasis">
    <w:name w:val="Emphasis"/>
    <w:basedOn w:val="Fuentedeprrafopredeter"/>
    <w:uiPriority w:val="20"/>
    <w:qFormat/>
    <w:rsid w:val="002A5F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manuales-guias-y-pliegos-tipo/manuales-y-guias"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06BA7A-B296-4F8E-9AE8-C61126EA1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478A6-42C1-4252-9ADE-DF758395F13E}">
  <ds:schemaRefs>
    <ds:schemaRef ds:uri="http://schemas.microsoft.com/sharepoint/v3/contenttype/forms"/>
  </ds:schemaRefs>
</ds:datastoreItem>
</file>

<file path=customXml/itemProps3.xml><?xml version="1.0" encoding="utf-8"?>
<ds:datastoreItem xmlns:ds="http://schemas.openxmlformats.org/officeDocument/2006/customXml" ds:itemID="{4391834D-28C3-423B-AF72-58C64EED989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6281</Words>
  <Characters>34549</Characters>
  <Application>Microsoft Office Word</Application>
  <DocSecurity>0</DocSecurity>
  <Lines>287</Lines>
  <Paragraphs>81</Paragraphs>
  <ScaleCrop>false</ScaleCrop>
  <Company/>
  <LinksUpToDate>false</LinksUpToDate>
  <CharactersWithSpaces>40749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Nasly Yeana Mosquera Rivas</cp:lastModifiedBy>
  <cp:revision>3</cp:revision>
  <dcterms:created xsi:type="dcterms:W3CDTF">2024-05-07T22:01:00Z</dcterms:created>
  <dcterms:modified xsi:type="dcterms:W3CDTF">2024-05-07T22:01:00Z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