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0DBE" w14:textId="6E5D2267" w:rsidR="00950DF7" w:rsidRPr="00781AC2" w:rsidRDefault="70551974" w:rsidP="3CE3460D">
      <w:pPr>
        <w:jc w:val="right"/>
        <w:rPr>
          <w:rFonts w:ascii="Century Gothic" w:eastAsia="Century Gothic" w:hAnsi="Century Gothic" w:cs="Century Gothic"/>
          <w:b/>
          <w:bCs/>
          <w:sz w:val="20"/>
          <w:szCs w:val="20"/>
          <w:lang w:val="es-ES"/>
        </w:rPr>
      </w:pPr>
      <w:bookmarkStart w:id="0" w:name="_Hlk28946138"/>
      <w:bookmarkStart w:id="1" w:name="_Hlk29548183"/>
      <w:r w:rsidRPr="3CE3460D">
        <w:rPr>
          <w:rFonts w:ascii="Century Gothic" w:eastAsia="Century Gothic" w:hAnsi="Century Gothic" w:cs="Century Gothic"/>
          <w:sz w:val="16"/>
          <w:szCs w:val="16"/>
          <w:lang w:val="es-ES" w:eastAsia="es-ES"/>
        </w:rPr>
        <w:t>CCE-DES-FM-17</w:t>
      </w:r>
      <w:bookmarkEnd w:id="0"/>
      <w:bookmarkEnd w:id="1"/>
    </w:p>
    <w:p w14:paraId="6352F336" w14:textId="77777777" w:rsidR="00950DF7" w:rsidRPr="00781AC2" w:rsidRDefault="00950DF7" w:rsidP="3CE3460D">
      <w:pPr>
        <w:jc w:val="both"/>
        <w:rPr>
          <w:rFonts w:ascii="Century Gothic" w:eastAsia="Century Gothic" w:hAnsi="Century Gothic" w:cs="Century Gothic"/>
          <w:b/>
          <w:bCs/>
          <w:sz w:val="22"/>
          <w:szCs w:val="22"/>
        </w:rPr>
      </w:pPr>
    </w:p>
    <w:p w14:paraId="714E7E4D" w14:textId="77777777" w:rsidR="00C1432C" w:rsidRPr="00C1432C" w:rsidRDefault="00C1432C" w:rsidP="00C1432C">
      <w:pPr>
        <w:spacing w:line="276" w:lineRule="auto"/>
        <w:ind w:left="1416" w:hanging="1416"/>
        <w:contextualSpacing/>
        <w:jc w:val="both"/>
        <w:rPr>
          <w:rFonts w:ascii="Century Gothic" w:eastAsia="Century Gothic" w:hAnsi="Century Gothic" w:cs="Century Gothic"/>
          <w:sz w:val="22"/>
          <w:szCs w:val="22"/>
          <w:lang w:val="es-ES"/>
        </w:rPr>
      </w:pPr>
      <w:bookmarkStart w:id="2" w:name="_Hlk159846221"/>
      <w:bookmarkEnd w:id="2"/>
    </w:p>
    <w:p w14:paraId="6B5043CF"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REQUISITOS HABILITANTES – Noción</w:t>
      </w:r>
    </w:p>
    <w:p w14:paraId="0146558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024B391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1AD8F6A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07C245A"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58B3F31"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 </w:t>
      </w:r>
    </w:p>
    <w:p w14:paraId="4A03F642"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REQUISITOS HABILITANTES – Autonomía</w:t>
      </w:r>
    </w:p>
    <w:p w14:paraId="150B0DB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64191B0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 </w:t>
      </w:r>
    </w:p>
    <w:p w14:paraId="322E2885"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FD53568"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Considerando la discrecionalidad para establecer el requisito habilitante, es necesario tener en cuenta que el artículo 44 de la Ley 1437 de 2011 –aplicable en los procedimientos contractuales en virtud del artículo 77 de la Ley 80 de 1993– </w:t>
      </w:r>
      <w:r w:rsidRPr="00C1432C">
        <w:rPr>
          <w:rFonts w:ascii="Century Gothic" w:eastAsia="Century Gothic" w:hAnsi="Century Gothic" w:cs="Century Gothic"/>
          <w:sz w:val="22"/>
          <w:szCs w:val="22"/>
          <w:lang w:val="es-ES"/>
        </w:rPr>
        <w:lastRenderedPageBreak/>
        <w:t>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w:t>
      </w:r>
    </w:p>
    <w:p w14:paraId="216EAE6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E245951"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CAPACIDAD FINANCIERA Y ORGANIZACIONAL – Definición</w:t>
      </w:r>
    </w:p>
    <w:p w14:paraId="438333F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B6E80A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79493C6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09A06504"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 </w:t>
      </w:r>
    </w:p>
    <w:p w14:paraId="694FF323"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DECRETO 1041 DE 2022 – Finalidad – Reactivación económica </w:t>
      </w:r>
    </w:p>
    <w:p w14:paraId="3B2F77C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712127D"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w:t>
      </w:r>
      <w:r w:rsidRPr="00C1432C">
        <w:rPr>
          <w:rFonts w:ascii="Century Gothic" w:eastAsia="Century Gothic" w:hAnsi="Century Gothic" w:cs="Century Gothic"/>
          <w:sz w:val="22"/>
          <w:szCs w:val="22"/>
          <w:lang w:val="es-ES"/>
        </w:rPr>
        <w:lastRenderedPageBreak/>
        <w:t>fortalecerá la reactivación económica del país, al permitir la participación en estos procedimientos de proponentes que fueron afectados negativamente por la pandemia del COVID-19”.</w:t>
      </w:r>
    </w:p>
    <w:p w14:paraId="7B5C040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4143AD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tal sentido, el artículo 4 del Decreto 399 de 2021 adicionó dos parágrafos transitorios al artículo 2.2.1.1.1.5.2. del Decreto 1082 de 2015, que a su vez fueron sustituidos por el artículo 1 del Decreto 579 del 31 de mayo de 202113 y posteriormente se adicionó un parágrafo transitorio adicional al artículo 2.2.1.1.1.5.2. del Decreto 1082 de 2015 por el artículo 1 del Decreto 1041 de 2022. 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w:t>
      </w:r>
    </w:p>
    <w:p w14:paraId="67232FE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4BF0FE1E" w14:textId="77777777" w:rsidR="00C1432C" w:rsidRPr="006A669B" w:rsidRDefault="00C1432C" w:rsidP="00C1432C">
      <w:pPr>
        <w:spacing w:line="276" w:lineRule="auto"/>
        <w:contextualSpacing/>
        <w:jc w:val="both"/>
        <w:rPr>
          <w:rFonts w:ascii="Century Gothic" w:eastAsia="Century Gothic" w:hAnsi="Century Gothic" w:cs="Century Gothic"/>
          <w:b/>
          <w:bCs/>
          <w:sz w:val="22"/>
          <w:szCs w:val="22"/>
          <w:lang w:val="es-ES"/>
        </w:rPr>
      </w:pPr>
      <w:r w:rsidRPr="006A669B">
        <w:rPr>
          <w:rFonts w:ascii="Century Gothic" w:eastAsia="Century Gothic" w:hAnsi="Century Gothic" w:cs="Century Gothic"/>
          <w:b/>
          <w:bCs/>
          <w:sz w:val="22"/>
          <w:szCs w:val="22"/>
          <w:lang w:val="es-ES"/>
        </w:rPr>
        <w:t xml:space="preserve">DECRETO 1041 DE 2022 – Información – Capacidad financiera – Capacidad organizacional </w:t>
      </w:r>
    </w:p>
    <w:p w14:paraId="775198E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063546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 (…)</w:t>
      </w:r>
    </w:p>
    <w:p w14:paraId="4DAA74C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F4F8D7A" w14:textId="77777777" w:rsidR="00C1432C" w:rsidRPr="006A669B" w:rsidRDefault="00C1432C" w:rsidP="00C1432C">
      <w:pPr>
        <w:spacing w:line="276" w:lineRule="auto"/>
        <w:contextualSpacing/>
        <w:jc w:val="both"/>
        <w:rPr>
          <w:rFonts w:ascii="Century Gothic" w:eastAsia="Century Gothic" w:hAnsi="Century Gothic" w:cs="Century Gothic"/>
          <w:b/>
          <w:bCs/>
          <w:sz w:val="22"/>
          <w:szCs w:val="22"/>
          <w:lang w:val="es-ES"/>
        </w:rPr>
      </w:pPr>
      <w:r w:rsidRPr="006A669B">
        <w:rPr>
          <w:rFonts w:ascii="Century Gothic" w:eastAsia="Century Gothic" w:hAnsi="Century Gothic" w:cs="Century Gothic"/>
          <w:b/>
          <w:bCs/>
          <w:sz w:val="22"/>
          <w:szCs w:val="22"/>
          <w:lang w:val="es-ES"/>
        </w:rPr>
        <w:t>MEJOR AÑO FISCAL – Decreto 399 de 2021– Capacidad financiera – Capacidad organizacional – Interpretación</w:t>
      </w:r>
    </w:p>
    <w:p w14:paraId="49F35337" w14:textId="77777777" w:rsidR="00C1432C" w:rsidRPr="006A669B" w:rsidRDefault="00C1432C" w:rsidP="00C1432C">
      <w:pPr>
        <w:spacing w:line="276" w:lineRule="auto"/>
        <w:contextualSpacing/>
        <w:jc w:val="both"/>
        <w:rPr>
          <w:rFonts w:ascii="Century Gothic" w:eastAsia="Century Gothic" w:hAnsi="Century Gothic" w:cs="Century Gothic"/>
          <w:b/>
          <w:bCs/>
          <w:sz w:val="22"/>
          <w:szCs w:val="22"/>
          <w:lang w:val="es-ES"/>
        </w:rPr>
      </w:pPr>
      <w:r w:rsidRPr="006A669B">
        <w:rPr>
          <w:rFonts w:ascii="Century Gothic" w:eastAsia="Century Gothic" w:hAnsi="Century Gothic" w:cs="Century Gothic"/>
          <w:b/>
          <w:bCs/>
          <w:sz w:val="22"/>
          <w:szCs w:val="22"/>
          <w:lang w:val="es-ES"/>
        </w:rPr>
        <w:t xml:space="preserve"> </w:t>
      </w:r>
    </w:p>
    <w:p w14:paraId="16CC5347"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w:t>
      </w:r>
      <w:r w:rsidRPr="00C1432C">
        <w:rPr>
          <w:rFonts w:ascii="Century Gothic" w:eastAsia="Century Gothic" w:hAnsi="Century Gothic" w:cs="Century Gothic"/>
          <w:sz w:val="22"/>
          <w:szCs w:val="22"/>
          <w:lang w:val="es-ES"/>
        </w:rPr>
        <w:lastRenderedPageBreak/>
        <w:t>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7A38CA8"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857D5E9"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NORMAS TRANSITORIAS – Pérdida de vigencia – Efectos </w:t>
      </w:r>
    </w:p>
    <w:p w14:paraId="7CB60D0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6F1FC1E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305DAEE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50AB4F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56CE6A8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47D8EF3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frete a la Cámara de Comercio conforme a las reglas de generales del </w:t>
      </w:r>
      <w:r w:rsidRPr="00C1432C">
        <w:rPr>
          <w:rFonts w:ascii="Century Gothic" w:eastAsia="Century Gothic" w:hAnsi="Century Gothic" w:cs="Century Gothic"/>
          <w:sz w:val="22"/>
          <w:szCs w:val="22"/>
          <w:lang w:val="es-ES"/>
        </w:rPr>
        <w:lastRenderedPageBreak/>
        <w:t>Decreto 1082 de 2015, es decir, con la información contable del año inmediatamente anterior –nums. 1.3 y 2.3 del artículo 2.2.1.1.1.5.2 del Decreto 1082 de 2015–.</w:t>
      </w:r>
    </w:p>
    <w:p w14:paraId="685D0F3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551D270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5A6E9839" w14:textId="77777777" w:rsidR="00C1432C" w:rsidRPr="007A28AA" w:rsidRDefault="00C1432C" w:rsidP="00C1432C">
      <w:pPr>
        <w:spacing w:line="276" w:lineRule="auto"/>
        <w:contextualSpacing/>
        <w:jc w:val="both"/>
        <w:rPr>
          <w:rFonts w:ascii="Century Gothic" w:eastAsia="Century Gothic" w:hAnsi="Century Gothic" w:cs="Century Gothic"/>
          <w:b/>
          <w:bCs/>
          <w:sz w:val="22"/>
          <w:szCs w:val="22"/>
          <w:lang w:val="es-ES"/>
        </w:rPr>
      </w:pPr>
      <w:r w:rsidRPr="007A28AA">
        <w:rPr>
          <w:rFonts w:ascii="Century Gothic" w:eastAsia="Century Gothic" w:hAnsi="Century Gothic" w:cs="Century Gothic"/>
          <w:b/>
          <w:bCs/>
          <w:sz w:val="22"/>
          <w:szCs w:val="22"/>
          <w:lang w:val="es-ES"/>
        </w:rPr>
        <w:t>DERECHOS CONSTITUCIONALES EN PROCESOS DE SELECCIÓN CONTRACTUAL – Derecho de Igualdad</w:t>
      </w:r>
    </w:p>
    <w:p w14:paraId="5FD29F6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E39B39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ese sentido, debe tenerse en cuenta que por no existir una norma que amplié a la vigencia 2024  las medidas adoptadas en los Decretos 399 y 579 de 2021 y 1041 de 2022, aquellas personas que desde el 1 de enero de 2024 realicen inscripción o renovación del RUP solo podrán reportar ante las cámaras de comercio la información contable y los estados financieros del último año fiscal, por lo cual en el hipotético caso que las entidades estatales decidieran seguir permitiendo la acreditación en los procesos de selección que se adelantan en la vigencia 2024, del mejor año fiscal de aquellos proponentes que aún tienen inscrita la información de tres años fiscales, estarían poniendo en condición de desigualdad a los primeros, contraviniendo así principios constitucionales que deben ser aplicados a los procesos de selección contractuales.</w:t>
      </w:r>
    </w:p>
    <w:p w14:paraId="76D05AE7" w14:textId="77777777" w:rsidR="00950DF7" w:rsidRPr="00C1432C" w:rsidRDefault="00950DF7" w:rsidP="3CE3460D">
      <w:pPr>
        <w:spacing w:line="276" w:lineRule="auto"/>
        <w:jc w:val="both"/>
        <w:rPr>
          <w:rFonts w:ascii="Century Gothic" w:eastAsia="Century Gothic" w:hAnsi="Century Gothic" w:cs="Century Gothic"/>
          <w:noProof/>
          <w:sz w:val="22"/>
          <w:szCs w:val="22"/>
        </w:rPr>
      </w:pPr>
    </w:p>
    <w:p w14:paraId="323C3F56" w14:textId="48625FBA" w:rsidR="00C1432C" w:rsidRDefault="00C1432C">
      <w:pPr>
        <w:spacing w:after="160" w:line="259" w:lineRule="auto"/>
        <w:rPr>
          <w:rFonts w:ascii="Century Gothic" w:eastAsia="Century Gothic" w:hAnsi="Century Gothic" w:cs="Century Gothic"/>
          <w:noProof/>
          <w:sz w:val="22"/>
          <w:szCs w:val="22"/>
          <w:lang w:val="es-ES"/>
        </w:rPr>
      </w:pPr>
      <w:r>
        <w:rPr>
          <w:rFonts w:ascii="Century Gothic" w:eastAsia="Century Gothic" w:hAnsi="Century Gothic" w:cs="Century Gothic"/>
          <w:noProof/>
          <w:sz w:val="22"/>
          <w:szCs w:val="22"/>
          <w:lang w:val="es-ES"/>
        </w:rPr>
        <w:br w:type="page"/>
      </w:r>
    </w:p>
    <w:p w14:paraId="2DCB0586" w14:textId="0DA2BCD0" w:rsidR="3A4910F9" w:rsidRDefault="3A4910F9" w:rsidP="3A4910F9">
      <w:pPr>
        <w:spacing w:line="276" w:lineRule="auto"/>
        <w:jc w:val="both"/>
        <w:rPr>
          <w:rFonts w:ascii="Century Gothic" w:eastAsia="Century Gothic" w:hAnsi="Century Gothic" w:cs="Century Gothic"/>
          <w:noProof/>
          <w:sz w:val="22"/>
          <w:szCs w:val="22"/>
          <w:lang w:val="es-ES"/>
        </w:rPr>
      </w:pPr>
    </w:p>
    <w:p w14:paraId="5FDE18C6" w14:textId="1542455F" w:rsidR="3A4910F9" w:rsidRDefault="3A4910F9" w:rsidP="3A4910F9">
      <w:pPr>
        <w:spacing w:line="276" w:lineRule="auto"/>
        <w:jc w:val="both"/>
        <w:rPr>
          <w:rFonts w:ascii="Century Gothic" w:eastAsia="Century Gothic" w:hAnsi="Century Gothic" w:cs="Century Gothic"/>
          <w:noProof/>
          <w:sz w:val="22"/>
          <w:szCs w:val="22"/>
          <w:lang w:val="es-ES"/>
        </w:rPr>
      </w:pPr>
    </w:p>
    <w:p w14:paraId="2489E6A4" w14:textId="05E15279" w:rsidR="00840E20" w:rsidRPr="004E4FED" w:rsidRDefault="71CF03C4" w:rsidP="3CE3460D">
      <w:pPr>
        <w:rPr>
          <w:rFonts w:ascii="Century Gothic" w:eastAsia="Century Gothic" w:hAnsi="Century Gothic" w:cs="Century Gothic"/>
          <w:sz w:val="22"/>
          <w:szCs w:val="22"/>
        </w:rPr>
      </w:pPr>
      <w:r w:rsidRPr="3CE3460D">
        <w:rPr>
          <w:rFonts w:ascii="Century Gothic" w:eastAsia="Century Gothic" w:hAnsi="Century Gothic" w:cs="Century Gothic"/>
          <w:sz w:val="22"/>
          <w:szCs w:val="22"/>
          <w:shd w:val="clear" w:color="auto" w:fill="E6E6E6"/>
          <w:lang w:val="es-MX" w:eastAsia="es-CO"/>
        </w:rPr>
        <w:t>Bogotá D.C., [Día] [MesNombreCapitalizado] [Año]</w:t>
      </w:r>
      <w:r w:rsidR="00840E20" w:rsidRPr="004E4FED">
        <w:rPr>
          <w:rFonts w:ascii="Arial" w:hAnsi="Arial" w:cs="Arial"/>
          <w:sz w:val="22"/>
          <w:szCs w:val="22"/>
          <w:shd w:val="clear" w:color="auto" w:fill="E6E6E6"/>
          <w:lang w:eastAsia="es-CO"/>
        </w:rPr>
        <w:tab/>
      </w:r>
    </w:p>
    <w:p w14:paraId="7F292B94" w14:textId="77777777" w:rsidR="00950DF7" w:rsidRPr="004E4FED" w:rsidRDefault="00950DF7" w:rsidP="3CE3460D">
      <w:pPr>
        <w:jc w:val="both"/>
        <w:rPr>
          <w:rFonts w:ascii="Century Gothic" w:eastAsia="Century Gothic" w:hAnsi="Century Gothic" w:cs="Century Gothic"/>
          <w:noProof/>
          <w:sz w:val="22"/>
          <w:szCs w:val="22"/>
          <w:lang w:val="es-ES"/>
        </w:rPr>
      </w:pPr>
    </w:p>
    <w:p w14:paraId="6C9B6843" w14:textId="2D12A916" w:rsidR="00950DF7" w:rsidRPr="00DB0609" w:rsidRDefault="00950DF7" w:rsidP="00C43C2B">
      <w:pPr>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Señor</w:t>
      </w:r>
    </w:p>
    <w:p w14:paraId="0F15A6E2" w14:textId="59E01D93" w:rsidR="00C1432C" w:rsidRPr="00DB0609" w:rsidRDefault="006A669B" w:rsidP="00C43C2B">
      <w:pPr>
        <w:rPr>
          <w:rFonts w:ascii="Century Gothic" w:eastAsia="Century Gothic" w:hAnsi="Century Gothic" w:cs="Century Gothic"/>
          <w:sz w:val="22"/>
          <w:szCs w:val="22"/>
          <w:lang w:val="es-ES"/>
        </w:rPr>
      </w:pPr>
      <w:r w:rsidRPr="00DB0609">
        <w:rPr>
          <w:rFonts w:ascii="Century Gothic" w:eastAsia="Century Gothic" w:hAnsi="Century Gothic" w:cs="Century Gothic"/>
          <w:b/>
          <w:bCs/>
          <w:sz w:val="22"/>
          <w:szCs w:val="22"/>
          <w:lang w:val="es-ES"/>
        </w:rPr>
        <w:t>Luis Alberto Rojas Rojas</w:t>
      </w:r>
      <w:r w:rsidRPr="00DB0609">
        <w:rPr>
          <w:rFonts w:ascii="Century Gothic" w:eastAsia="Century Gothic" w:hAnsi="Century Gothic" w:cs="Century Gothic"/>
          <w:b/>
          <w:bCs/>
          <w:sz w:val="22"/>
          <w:szCs w:val="22"/>
          <w:lang w:val="es-ES"/>
        </w:rPr>
        <w:cr/>
      </w:r>
      <w:r w:rsidRPr="00DB0609">
        <w:rPr>
          <w:rFonts w:ascii="Century Gothic" w:eastAsia="Century Gothic" w:hAnsi="Century Gothic" w:cs="Century Gothic"/>
          <w:sz w:val="22"/>
          <w:szCs w:val="22"/>
          <w:u w:val="single"/>
          <w:lang w:val="es-ES"/>
        </w:rPr>
        <w:t>luisrojasal2017@gmail.com</w:t>
      </w:r>
    </w:p>
    <w:p w14:paraId="315B8DED" w14:textId="0B7160E7" w:rsidR="00950DF7" w:rsidRPr="00DB0609" w:rsidRDefault="006A669B" w:rsidP="00C43C2B">
      <w:pPr>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Bogotá D.C</w:t>
      </w:r>
      <w:r w:rsidR="00C1432C" w:rsidRPr="00DB0609">
        <w:rPr>
          <w:rFonts w:ascii="Century Gothic" w:eastAsia="Century Gothic" w:hAnsi="Century Gothic" w:cs="Century Gothic"/>
          <w:sz w:val="22"/>
          <w:szCs w:val="22"/>
          <w:lang w:val="es-ES"/>
        </w:rPr>
        <w:t xml:space="preserve">. </w:t>
      </w:r>
    </w:p>
    <w:p w14:paraId="19F59022" w14:textId="77777777" w:rsidR="004E4FED" w:rsidRPr="00DB0609" w:rsidRDefault="004E4FED" w:rsidP="00C43C2B">
      <w:pPr>
        <w:rPr>
          <w:rFonts w:ascii="Century Gothic" w:eastAsia="Century Gothic" w:hAnsi="Century Gothic" w:cs="Century Gothic"/>
          <w:sz w:val="22"/>
          <w:szCs w:val="22"/>
          <w:lang w:val="es-ES"/>
        </w:rPr>
      </w:pPr>
    </w:p>
    <w:p w14:paraId="20607E96" w14:textId="2CD13B04" w:rsidR="00950DF7" w:rsidRPr="00DB0609" w:rsidRDefault="70551974" w:rsidP="00C43C2B">
      <w:pPr>
        <w:ind w:left="2694"/>
        <w:rPr>
          <w:rFonts w:ascii="Century Gothic" w:eastAsia="Century Gothic" w:hAnsi="Century Gothic" w:cs="Century Gothic"/>
          <w:b/>
          <w:bCs/>
          <w:sz w:val="22"/>
          <w:szCs w:val="22"/>
          <w:lang w:val="es-ES"/>
        </w:rPr>
      </w:pPr>
      <w:r w:rsidRPr="00DB0609">
        <w:rPr>
          <w:rFonts w:ascii="Century Gothic" w:eastAsia="Century Gothic" w:hAnsi="Century Gothic" w:cs="Century Gothic"/>
          <w:b/>
          <w:bCs/>
          <w:sz w:val="22"/>
          <w:szCs w:val="22"/>
          <w:lang w:val="es-ES"/>
        </w:rPr>
        <w:t>Concepto C</w:t>
      </w:r>
      <w:r w:rsidR="0DE2C546" w:rsidRPr="00DB0609">
        <w:rPr>
          <w:rFonts w:ascii="Century Gothic" w:eastAsia="Century Gothic" w:hAnsi="Century Gothic" w:cs="Century Gothic"/>
          <w:b/>
          <w:bCs/>
          <w:sz w:val="22"/>
          <w:szCs w:val="22"/>
          <w:lang w:val="es-ES"/>
        </w:rPr>
        <w:t>-</w:t>
      </w:r>
      <w:r w:rsidR="007A28AA" w:rsidRPr="00DB0609">
        <w:rPr>
          <w:rFonts w:ascii="Century Gothic" w:eastAsia="Century Gothic" w:hAnsi="Century Gothic" w:cs="Century Gothic"/>
          <w:b/>
          <w:bCs/>
          <w:sz w:val="22"/>
          <w:szCs w:val="22"/>
          <w:lang w:val="es-ES"/>
        </w:rPr>
        <w:t>02</w:t>
      </w:r>
      <w:r w:rsidR="006A669B" w:rsidRPr="00DB0609">
        <w:rPr>
          <w:rFonts w:ascii="Century Gothic" w:eastAsia="Century Gothic" w:hAnsi="Century Gothic" w:cs="Century Gothic"/>
          <w:b/>
          <w:bCs/>
          <w:sz w:val="22"/>
          <w:szCs w:val="22"/>
          <w:lang w:val="es-ES"/>
        </w:rPr>
        <w:t>9</w:t>
      </w:r>
      <w:r w:rsidR="00C54739" w:rsidRPr="00DB0609">
        <w:rPr>
          <w:rFonts w:ascii="Century Gothic" w:eastAsia="Century Gothic" w:hAnsi="Century Gothic" w:cs="Century Gothic"/>
          <w:b/>
          <w:bCs/>
          <w:sz w:val="22"/>
          <w:szCs w:val="22"/>
          <w:lang w:val="es-ES"/>
        </w:rPr>
        <w:t xml:space="preserve"> </w:t>
      </w:r>
      <w:r w:rsidRPr="00DB0609">
        <w:rPr>
          <w:rFonts w:ascii="Century Gothic" w:eastAsia="Century Gothic" w:hAnsi="Century Gothic" w:cs="Century Gothic"/>
          <w:b/>
          <w:bCs/>
          <w:sz w:val="22"/>
          <w:szCs w:val="22"/>
          <w:lang w:val="es-ES"/>
        </w:rPr>
        <w:t>de 202</w:t>
      </w:r>
      <w:r w:rsidR="006A669B" w:rsidRPr="00DB0609">
        <w:rPr>
          <w:rFonts w:ascii="Century Gothic" w:eastAsia="Century Gothic" w:hAnsi="Century Gothic" w:cs="Century Gothic"/>
          <w:b/>
          <w:bCs/>
          <w:sz w:val="22"/>
          <w:szCs w:val="22"/>
          <w:lang w:val="es-ES"/>
        </w:rPr>
        <w:t>4</w:t>
      </w:r>
    </w:p>
    <w:p w14:paraId="30E510E4" w14:textId="77777777" w:rsidR="00950DF7" w:rsidRPr="00DB0609" w:rsidRDefault="00950DF7" w:rsidP="00C43C2B">
      <w:pPr>
        <w:jc w:val="both"/>
        <w:rPr>
          <w:rFonts w:ascii="Century Gothic" w:eastAsia="Century Gothic" w:hAnsi="Century Gothic" w:cs="Century Gothic"/>
          <w:sz w:val="22"/>
          <w:szCs w:val="22"/>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DB0609" w14:paraId="57B8ADB6" w14:textId="77777777" w:rsidTr="3CE3460D">
        <w:trPr>
          <w:jc w:val="right"/>
        </w:trPr>
        <w:tc>
          <w:tcPr>
            <w:tcW w:w="1838" w:type="dxa"/>
          </w:tcPr>
          <w:p w14:paraId="5EC5D0D8" w14:textId="15341976" w:rsidR="00950DF7" w:rsidRPr="00DB0609" w:rsidRDefault="00950DF7" w:rsidP="00C43C2B">
            <w:pPr>
              <w:jc w:val="center"/>
              <w:rPr>
                <w:rFonts w:ascii="Century Gothic" w:eastAsia="Century Gothic" w:hAnsi="Century Gothic" w:cs="Century Gothic"/>
                <w:sz w:val="22"/>
                <w:szCs w:val="22"/>
                <w:lang w:val="es-ES"/>
              </w:rPr>
            </w:pPr>
            <w:r w:rsidRPr="00DB0609">
              <w:rPr>
                <w:rFonts w:ascii="Century Gothic" w:eastAsia="Century Gothic" w:hAnsi="Century Gothic" w:cs="Century Gothic"/>
                <w:b/>
                <w:bCs/>
                <w:sz w:val="22"/>
                <w:szCs w:val="22"/>
                <w:lang w:val="es-ES"/>
              </w:rPr>
              <w:t>Temas:</w:t>
            </w:r>
          </w:p>
        </w:tc>
        <w:tc>
          <w:tcPr>
            <w:tcW w:w="6237" w:type="dxa"/>
          </w:tcPr>
          <w:p w14:paraId="50CC667D" w14:textId="6A466C39" w:rsidR="00C1432C" w:rsidRPr="00DB0609" w:rsidRDefault="00C1432C" w:rsidP="00C1432C">
            <w:pPr>
              <w:spacing w:after="160"/>
              <w:jc w:val="both"/>
              <w:rPr>
                <w:rFonts w:ascii="Century Gothic" w:eastAsia="Century Gothic" w:hAnsi="Century Gothic" w:cs="Century Gothic"/>
                <w:sz w:val="22"/>
                <w:szCs w:val="22"/>
                <w:lang w:val="es-MX"/>
              </w:rPr>
            </w:pPr>
            <w:r w:rsidRPr="00DB0609">
              <w:rPr>
                <w:rFonts w:ascii="Century Gothic" w:eastAsia="Century Gothic" w:hAnsi="Century Gothic" w:cs="Century Gothic"/>
                <w:sz w:val="22"/>
                <w:szCs w:val="22"/>
                <w:lang w:val="es-MX"/>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p>
          <w:p w14:paraId="3A80DDE7" w14:textId="4C84A75F" w:rsidR="00950DF7" w:rsidRPr="00DB0609" w:rsidRDefault="00950DF7" w:rsidP="00C43C2B">
            <w:pPr>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 xml:space="preserve"> </w:t>
            </w:r>
          </w:p>
          <w:p w14:paraId="65E9DC63" w14:textId="465F190D" w:rsidR="009E525A" w:rsidRPr="00DB0609" w:rsidRDefault="009E525A" w:rsidP="00C43C2B">
            <w:pPr>
              <w:jc w:val="both"/>
              <w:rPr>
                <w:rFonts w:ascii="Century Gothic" w:eastAsia="Century Gothic" w:hAnsi="Century Gothic" w:cs="Century Gothic"/>
                <w:sz w:val="22"/>
                <w:szCs w:val="22"/>
                <w:lang w:val="es-ES"/>
              </w:rPr>
            </w:pPr>
          </w:p>
        </w:tc>
      </w:tr>
      <w:tr w:rsidR="00F304EA" w:rsidRPr="00DB0609" w14:paraId="6D8A1715" w14:textId="77777777" w:rsidTr="3CE3460D">
        <w:trPr>
          <w:jc w:val="right"/>
        </w:trPr>
        <w:tc>
          <w:tcPr>
            <w:tcW w:w="1838" w:type="dxa"/>
          </w:tcPr>
          <w:p w14:paraId="62ED0099" w14:textId="05F3F284" w:rsidR="00950DF7" w:rsidRPr="00DB0609" w:rsidRDefault="00950DF7" w:rsidP="00C43C2B">
            <w:pPr>
              <w:jc w:val="center"/>
              <w:rPr>
                <w:rFonts w:ascii="Century Gothic" w:eastAsia="Century Gothic" w:hAnsi="Century Gothic" w:cs="Century Gothic"/>
                <w:b/>
                <w:bCs/>
                <w:sz w:val="22"/>
                <w:szCs w:val="22"/>
                <w:lang w:val="es-ES"/>
              </w:rPr>
            </w:pPr>
            <w:r w:rsidRPr="00DB0609">
              <w:rPr>
                <w:rFonts w:ascii="Century Gothic" w:eastAsia="Century Gothic" w:hAnsi="Century Gothic" w:cs="Century Gothic"/>
                <w:b/>
                <w:bCs/>
                <w:sz w:val="22"/>
                <w:szCs w:val="22"/>
                <w:lang w:val="es-ES"/>
              </w:rPr>
              <w:t>Radicación:</w:t>
            </w:r>
          </w:p>
        </w:tc>
        <w:tc>
          <w:tcPr>
            <w:tcW w:w="6237" w:type="dxa"/>
          </w:tcPr>
          <w:p w14:paraId="393CD37C" w14:textId="338F3921" w:rsidR="00950DF7" w:rsidRPr="00DB0609" w:rsidRDefault="00950DF7" w:rsidP="00C43C2B">
            <w:pPr>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 xml:space="preserve">Respuesta a consulta </w:t>
            </w:r>
            <w:r w:rsidR="006A669B" w:rsidRPr="00DB0609">
              <w:rPr>
                <w:rFonts w:ascii="Century Gothic" w:eastAsia="Century Gothic" w:hAnsi="Century Gothic" w:cs="Century Gothic"/>
                <w:sz w:val="22"/>
                <w:szCs w:val="22"/>
                <w:lang w:val="es-ES"/>
              </w:rPr>
              <w:t>P20240216001687</w:t>
            </w:r>
          </w:p>
        </w:tc>
      </w:tr>
    </w:tbl>
    <w:p w14:paraId="65A47511" w14:textId="77777777" w:rsidR="00950DF7" w:rsidRPr="00DB0609" w:rsidRDefault="00950DF7" w:rsidP="00C43C2B">
      <w:pPr>
        <w:jc w:val="both"/>
        <w:rPr>
          <w:rFonts w:ascii="Century Gothic" w:eastAsia="Century Gothic" w:hAnsi="Century Gothic" w:cs="Century Gothic"/>
          <w:sz w:val="22"/>
          <w:szCs w:val="22"/>
          <w:lang w:val="es-ES"/>
        </w:rPr>
      </w:pPr>
    </w:p>
    <w:p w14:paraId="712BF181" w14:textId="77777777" w:rsidR="00950DF7" w:rsidRPr="00DB0609" w:rsidRDefault="00950DF7" w:rsidP="00C43C2B">
      <w:pPr>
        <w:jc w:val="both"/>
        <w:rPr>
          <w:rFonts w:ascii="Century Gothic" w:eastAsia="Century Gothic" w:hAnsi="Century Gothic" w:cs="Century Gothic"/>
          <w:sz w:val="22"/>
          <w:szCs w:val="22"/>
          <w:lang w:val="es-ES"/>
        </w:rPr>
      </w:pPr>
    </w:p>
    <w:p w14:paraId="3DDCC405" w14:textId="668D4F99" w:rsidR="00950DF7" w:rsidRPr="00DB0609" w:rsidRDefault="00950DF7" w:rsidP="3CE3460D">
      <w:pPr>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Estimado señor</w:t>
      </w:r>
      <w:r w:rsidR="007A28AA" w:rsidRPr="00DB0609">
        <w:rPr>
          <w:rFonts w:ascii="Century Gothic" w:eastAsia="Century Gothic" w:hAnsi="Century Gothic" w:cs="Century Gothic"/>
          <w:sz w:val="22"/>
          <w:szCs w:val="22"/>
          <w:lang w:val="es-ES"/>
        </w:rPr>
        <w:t xml:space="preserve"> </w:t>
      </w:r>
      <w:r w:rsidR="007350CD" w:rsidRPr="00DB0609">
        <w:rPr>
          <w:rFonts w:ascii="Century Gothic" w:eastAsia="Century Gothic" w:hAnsi="Century Gothic" w:cs="Century Gothic"/>
          <w:sz w:val="22"/>
          <w:szCs w:val="22"/>
          <w:lang w:val="es-ES"/>
        </w:rPr>
        <w:t>Rojas</w:t>
      </w:r>
      <w:r w:rsidRPr="00DB0609">
        <w:rPr>
          <w:rFonts w:ascii="Century Gothic" w:eastAsia="Century Gothic" w:hAnsi="Century Gothic" w:cs="Century Gothic"/>
          <w:sz w:val="22"/>
          <w:szCs w:val="22"/>
          <w:lang w:val="es-ES"/>
        </w:rPr>
        <w:t>:</w:t>
      </w:r>
    </w:p>
    <w:p w14:paraId="5958CBDB" w14:textId="77777777" w:rsidR="00950DF7" w:rsidRPr="00DB0609" w:rsidRDefault="00950DF7" w:rsidP="3CE3460D">
      <w:pPr>
        <w:jc w:val="both"/>
        <w:rPr>
          <w:rFonts w:ascii="Century Gothic" w:eastAsia="Century Gothic" w:hAnsi="Century Gothic" w:cs="Century Gothic"/>
          <w:sz w:val="22"/>
          <w:szCs w:val="22"/>
          <w:lang w:val="es-ES"/>
        </w:rPr>
      </w:pPr>
    </w:p>
    <w:p w14:paraId="3E917ACF" w14:textId="40ACF7BF" w:rsidR="00950DF7" w:rsidRPr="00DB0609" w:rsidRDefault="00950DF7" w:rsidP="3CE3460D">
      <w:pPr>
        <w:spacing w:line="276" w:lineRule="auto"/>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En ejercicio de la competencia otorgada por el numeral 8</w:t>
      </w:r>
      <w:r w:rsidR="00B910BF" w:rsidRPr="00DB0609">
        <w:rPr>
          <w:rFonts w:ascii="Century Gothic" w:eastAsia="Century Gothic" w:hAnsi="Century Gothic" w:cs="Century Gothic"/>
          <w:sz w:val="22"/>
          <w:szCs w:val="22"/>
          <w:lang w:val="es-ES"/>
        </w:rPr>
        <w:t>°</w:t>
      </w:r>
      <w:r w:rsidRPr="00DB0609">
        <w:rPr>
          <w:rFonts w:ascii="Century Gothic" w:eastAsia="Century Gothic" w:hAnsi="Century Gothic" w:cs="Century Gothic"/>
          <w:sz w:val="22"/>
          <w:szCs w:val="22"/>
          <w:lang w:val="es-ES"/>
        </w:rPr>
        <w:t xml:space="preserve"> del artículo 11 y el numeral 5</w:t>
      </w:r>
      <w:r w:rsidR="00B910BF" w:rsidRPr="00DB0609">
        <w:rPr>
          <w:rFonts w:ascii="Century Gothic" w:eastAsia="Century Gothic" w:hAnsi="Century Gothic" w:cs="Century Gothic"/>
          <w:sz w:val="22"/>
          <w:szCs w:val="22"/>
          <w:lang w:val="es-ES"/>
        </w:rPr>
        <w:t>°</w:t>
      </w:r>
      <w:r w:rsidRPr="00DB0609">
        <w:rPr>
          <w:rFonts w:ascii="Century Gothic" w:eastAsia="Century Gothic" w:hAnsi="Century Gothic" w:cs="Century Gothic"/>
          <w:sz w:val="22"/>
          <w:szCs w:val="22"/>
          <w:lang w:val="es-ES"/>
        </w:rPr>
        <w:t xml:space="preserve"> del artículo 3 del Decreto Ley 4170 de 2011</w:t>
      </w:r>
      <w:r w:rsidR="00F72B91" w:rsidRPr="00DB0609">
        <w:rPr>
          <w:rFonts w:ascii="Century Gothic" w:eastAsia="Century Gothic" w:hAnsi="Century Gothic" w:cs="Century Gothic"/>
          <w:sz w:val="22"/>
          <w:szCs w:val="22"/>
        </w:rPr>
        <w:t>, así como lo establecido en la Resolución 1707 de 2018 expedida por esta Entidad</w:t>
      </w:r>
      <w:r w:rsidRPr="00DB0609">
        <w:rPr>
          <w:rFonts w:ascii="Century Gothic" w:eastAsia="Century Gothic" w:hAnsi="Century Gothic" w:cs="Century Gothic"/>
          <w:sz w:val="22"/>
          <w:szCs w:val="22"/>
          <w:lang w:val="es-ES"/>
        </w:rPr>
        <w:t>, la Agencia Nacional de Contratación Pública ― Colombia Compra Eficiente</w:t>
      </w:r>
      <w:r w:rsidR="007A28AA" w:rsidRPr="00DB0609">
        <w:rPr>
          <w:rFonts w:ascii="Century Gothic" w:eastAsia="Century Gothic" w:hAnsi="Century Gothic" w:cs="Century Gothic"/>
          <w:sz w:val="22"/>
          <w:szCs w:val="22"/>
          <w:lang w:val="es-ES"/>
        </w:rPr>
        <w:t xml:space="preserve"> - </w:t>
      </w:r>
      <w:r w:rsidRPr="00DB0609">
        <w:rPr>
          <w:rFonts w:ascii="Century Gothic" w:eastAsia="Century Gothic" w:hAnsi="Century Gothic" w:cs="Century Gothic"/>
          <w:sz w:val="22"/>
          <w:szCs w:val="22"/>
          <w:lang w:val="es-ES"/>
        </w:rPr>
        <w:t xml:space="preserve">responde su consulta del </w:t>
      </w:r>
      <w:r w:rsidR="00C1432C" w:rsidRPr="00DB0609">
        <w:rPr>
          <w:rFonts w:ascii="Century Gothic" w:eastAsia="Century Gothic" w:hAnsi="Century Gothic" w:cs="Century Gothic"/>
          <w:sz w:val="22"/>
          <w:szCs w:val="22"/>
          <w:lang w:val="es-ES"/>
        </w:rPr>
        <w:t>1</w:t>
      </w:r>
      <w:r w:rsidR="007350CD" w:rsidRPr="00DB0609">
        <w:rPr>
          <w:rFonts w:ascii="Century Gothic" w:eastAsia="Century Gothic" w:hAnsi="Century Gothic" w:cs="Century Gothic"/>
          <w:sz w:val="22"/>
          <w:szCs w:val="22"/>
          <w:lang w:val="es-ES"/>
        </w:rPr>
        <w:t>6</w:t>
      </w:r>
      <w:r w:rsidRPr="00DB0609">
        <w:rPr>
          <w:rFonts w:ascii="Century Gothic" w:eastAsia="Century Gothic" w:hAnsi="Century Gothic" w:cs="Century Gothic"/>
          <w:sz w:val="22"/>
          <w:szCs w:val="22"/>
          <w:lang w:val="es-ES"/>
        </w:rPr>
        <w:t xml:space="preserve"> de </w:t>
      </w:r>
      <w:r w:rsidR="00C1432C" w:rsidRPr="00DB0609">
        <w:rPr>
          <w:rFonts w:ascii="Century Gothic" w:eastAsia="Century Gothic" w:hAnsi="Century Gothic" w:cs="Century Gothic"/>
          <w:sz w:val="22"/>
          <w:szCs w:val="22"/>
          <w:lang w:val="es-ES"/>
        </w:rPr>
        <w:t>febrero</w:t>
      </w:r>
      <w:r w:rsidRPr="00DB0609">
        <w:rPr>
          <w:rFonts w:ascii="Century Gothic" w:eastAsia="Century Gothic" w:hAnsi="Century Gothic" w:cs="Century Gothic"/>
          <w:sz w:val="22"/>
          <w:szCs w:val="22"/>
          <w:lang w:val="es-ES"/>
        </w:rPr>
        <w:t xml:space="preserve"> de 202</w:t>
      </w:r>
      <w:r w:rsidR="00C1432C" w:rsidRPr="00DB0609">
        <w:rPr>
          <w:rFonts w:ascii="Century Gothic" w:eastAsia="Century Gothic" w:hAnsi="Century Gothic" w:cs="Century Gothic"/>
          <w:sz w:val="22"/>
          <w:szCs w:val="22"/>
          <w:lang w:val="es-ES"/>
        </w:rPr>
        <w:t>4</w:t>
      </w:r>
      <w:r w:rsidRPr="00DB0609">
        <w:rPr>
          <w:rFonts w:ascii="Century Gothic" w:eastAsia="Century Gothic" w:hAnsi="Century Gothic" w:cs="Century Gothic"/>
          <w:sz w:val="22"/>
          <w:szCs w:val="22"/>
          <w:lang w:val="es-ES"/>
        </w:rPr>
        <w:t>.</w:t>
      </w:r>
    </w:p>
    <w:p w14:paraId="6E212067" w14:textId="77777777" w:rsidR="00950DF7" w:rsidRPr="00DB0609" w:rsidRDefault="00950DF7" w:rsidP="3CE3460D">
      <w:pPr>
        <w:spacing w:line="276" w:lineRule="auto"/>
        <w:jc w:val="both"/>
        <w:rPr>
          <w:rFonts w:ascii="Century Gothic" w:eastAsia="Century Gothic" w:hAnsi="Century Gothic" w:cs="Century Gothic"/>
          <w:b/>
          <w:bCs/>
          <w:sz w:val="22"/>
          <w:szCs w:val="22"/>
          <w:lang w:val="es-ES"/>
        </w:rPr>
      </w:pPr>
    </w:p>
    <w:p w14:paraId="65872357" w14:textId="77777777" w:rsidR="00C1432C" w:rsidRPr="00DB0609" w:rsidRDefault="00C1432C" w:rsidP="00C1432C">
      <w:pPr>
        <w:pStyle w:val="Prrafodelista"/>
        <w:numPr>
          <w:ilvl w:val="0"/>
          <w:numId w:val="2"/>
        </w:numPr>
        <w:spacing w:line="276" w:lineRule="auto"/>
        <w:jc w:val="both"/>
        <w:rPr>
          <w:rFonts w:ascii="Century Gothic" w:eastAsia="Century Gothic" w:hAnsi="Century Gothic" w:cs="Century Gothic"/>
          <w:b/>
          <w:bCs/>
          <w:color w:val="000000" w:themeColor="text1"/>
          <w:sz w:val="22"/>
        </w:rPr>
      </w:pPr>
      <w:bookmarkStart w:id="3" w:name="_Hlk117695077"/>
      <w:r w:rsidRPr="00DB0609">
        <w:rPr>
          <w:rFonts w:ascii="Century Gothic" w:eastAsia="Century Gothic" w:hAnsi="Century Gothic" w:cs="Century Gothic"/>
          <w:b/>
          <w:bCs/>
          <w:color w:val="000000" w:themeColor="text1"/>
          <w:sz w:val="22"/>
          <w:lang w:val="es-CO"/>
        </w:rPr>
        <w:t xml:space="preserve">Problemas planteados </w:t>
      </w:r>
    </w:p>
    <w:p w14:paraId="0C63A503" w14:textId="77777777" w:rsidR="00C1432C" w:rsidRPr="00DB0609" w:rsidRDefault="00C1432C" w:rsidP="00C1432C">
      <w:pPr>
        <w:tabs>
          <w:tab w:val="left" w:pos="426"/>
        </w:tabs>
        <w:spacing w:line="276" w:lineRule="auto"/>
        <w:contextualSpacing/>
        <w:rPr>
          <w:rFonts w:ascii="Century Gothic" w:eastAsia="Century Gothic" w:hAnsi="Century Gothic" w:cs="Century Gothic"/>
          <w:b/>
          <w:bCs/>
          <w:color w:val="000000" w:themeColor="text1"/>
          <w:sz w:val="22"/>
          <w:szCs w:val="22"/>
        </w:rPr>
      </w:pPr>
      <w:r w:rsidRPr="00DB0609">
        <w:rPr>
          <w:rFonts w:ascii="Century Gothic" w:eastAsia="Century Gothic" w:hAnsi="Century Gothic" w:cs="Century Gothic"/>
          <w:b/>
          <w:bCs/>
          <w:color w:val="000000" w:themeColor="text1"/>
          <w:sz w:val="22"/>
          <w:szCs w:val="22"/>
        </w:rPr>
        <w:t xml:space="preserve"> </w:t>
      </w:r>
    </w:p>
    <w:p w14:paraId="65BE26D9" w14:textId="0FD36764" w:rsidR="00C1432C" w:rsidRPr="00DB0609" w:rsidRDefault="00C1432C" w:rsidP="007350CD">
      <w:pPr>
        <w:spacing w:line="276" w:lineRule="auto"/>
        <w:contextualSpacing/>
        <w:jc w:val="both"/>
        <w:rPr>
          <w:rFonts w:ascii="Century Gothic" w:eastAsia="Century Gothic" w:hAnsi="Century Gothic" w:cs="Century Gothic"/>
          <w:color w:val="000000" w:themeColor="text1"/>
          <w:sz w:val="22"/>
          <w:szCs w:val="22"/>
        </w:rPr>
      </w:pPr>
      <w:r w:rsidRPr="00DB0609">
        <w:rPr>
          <w:rFonts w:ascii="Century Gothic" w:eastAsia="Century Gothic" w:hAnsi="Century Gothic" w:cs="Century Gothic"/>
          <w:color w:val="000000" w:themeColor="text1"/>
          <w:sz w:val="22"/>
          <w:szCs w:val="22"/>
        </w:rPr>
        <w:t xml:space="preserve">Para efectos de los requisitos e indicadores de la capacidad financiera y organizacional de que trata el literal b) del artículo 2.2.1.1.1.5.6 del Decreto 1082 de 2015, usted realiza las siguientes preguntas: i) </w:t>
      </w:r>
      <w:r w:rsidR="00B97E23" w:rsidRPr="00DB0609">
        <w:rPr>
          <w:rFonts w:ascii="Century Gothic" w:eastAsia="Century Gothic" w:hAnsi="Century Gothic" w:cs="Century Gothic"/>
          <w:color w:val="000000" w:themeColor="text1"/>
          <w:sz w:val="22"/>
          <w:szCs w:val="22"/>
        </w:rPr>
        <w:t>“</w:t>
      </w:r>
      <w:r w:rsidR="007350CD" w:rsidRPr="00DB0609">
        <w:rPr>
          <w:rFonts w:ascii="Century Gothic" w:eastAsia="Century Gothic" w:hAnsi="Century Gothic" w:cs="Century Gothic"/>
          <w:color w:val="000000" w:themeColor="text1"/>
          <w:sz w:val="22"/>
          <w:szCs w:val="22"/>
        </w:rPr>
        <w:t>[…] evaluacion Financiera y Organizacional conforme a los mejores indicadores de los últimos tres (3) años. de igual amnera el Decreto 1041 del 2022 amplia esta condicion hasta el año 2023</w:t>
      </w:r>
      <w:r w:rsidR="00B97E23" w:rsidRPr="00DB0609">
        <w:rPr>
          <w:rFonts w:ascii="Century Gothic" w:eastAsia="Century Gothic" w:hAnsi="Century Gothic" w:cs="Century Gothic"/>
          <w:color w:val="000000" w:themeColor="text1"/>
          <w:sz w:val="22"/>
          <w:szCs w:val="22"/>
        </w:rPr>
        <w:t>”</w:t>
      </w:r>
      <w:r w:rsidR="007350CD" w:rsidRPr="00DB0609">
        <w:rPr>
          <w:rFonts w:ascii="Century Gothic" w:eastAsia="Century Gothic" w:hAnsi="Century Gothic" w:cs="Century Gothic"/>
          <w:color w:val="000000" w:themeColor="text1"/>
          <w:sz w:val="22"/>
          <w:szCs w:val="22"/>
        </w:rPr>
        <w:t xml:space="preserve"> SIC </w:t>
      </w:r>
      <w:r w:rsidRPr="00DB0609">
        <w:rPr>
          <w:rFonts w:ascii="Century Gothic" w:eastAsia="Century Gothic" w:hAnsi="Century Gothic" w:cs="Century Gothic"/>
          <w:color w:val="000000" w:themeColor="text1"/>
          <w:sz w:val="22"/>
          <w:szCs w:val="22"/>
        </w:rPr>
        <w:t xml:space="preserve">ii) </w:t>
      </w:r>
      <w:r w:rsidR="007350CD" w:rsidRPr="00DB0609">
        <w:rPr>
          <w:rFonts w:ascii="Century Gothic" w:eastAsia="Century Gothic" w:hAnsi="Century Gothic" w:cs="Century Gothic"/>
          <w:color w:val="000000" w:themeColor="text1"/>
          <w:sz w:val="22"/>
          <w:szCs w:val="22"/>
        </w:rPr>
        <w:t xml:space="preserve">“[..] normatividad que nos permita continuar con plena certeza. De igual </w:t>
      </w:r>
      <w:r w:rsidR="007350CD" w:rsidRPr="00DB0609">
        <w:rPr>
          <w:rFonts w:ascii="Century Gothic" w:eastAsia="Century Gothic" w:hAnsi="Century Gothic" w:cs="Century Gothic"/>
          <w:color w:val="000000" w:themeColor="text1"/>
          <w:sz w:val="22"/>
          <w:szCs w:val="22"/>
        </w:rPr>
        <w:lastRenderedPageBreak/>
        <w:t xml:space="preserve">manera para estructurar los diferentes estudios del sector acorde a como se realizara la evaluacion para lograr coherencia.” SIC </w:t>
      </w:r>
    </w:p>
    <w:p w14:paraId="4AE54CF7" w14:textId="77777777" w:rsidR="00C1432C" w:rsidRPr="00DB0609" w:rsidRDefault="00C1432C" w:rsidP="00C1432C">
      <w:pPr>
        <w:spacing w:line="276" w:lineRule="auto"/>
        <w:ind w:right="709"/>
        <w:contextualSpacing/>
        <w:rPr>
          <w:rFonts w:ascii="Century Gothic" w:eastAsia="Century Gothic" w:hAnsi="Century Gothic" w:cs="Century Gothic"/>
          <w:color w:val="000000" w:themeColor="text1"/>
          <w:sz w:val="22"/>
          <w:szCs w:val="22"/>
        </w:rPr>
      </w:pPr>
      <w:r w:rsidRPr="00DB0609">
        <w:rPr>
          <w:rFonts w:ascii="Century Gothic" w:eastAsia="Century Gothic" w:hAnsi="Century Gothic" w:cs="Century Gothic"/>
          <w:color w:val="000000" w:themeColor="text1"/>
          <w:sz w:val="22"/>
          <w:szCs w:val="22"/>
        </w:rPr>
        <w:t xml:space="preserve"> </w:t>
      </w:r>
    </w:p>
    <w:p w14:paraId="59C67C6A" w14:textId="77777777" w:rsidR="00C1432C" w:rsidRPr="00DB0609" w:rsidRDefault="00C1432C" w:rsidP="00C1432C">
      <w:pPr>
        <w:pStyle w:val="Prrafodelista"/>
        <w:numPr>
          <w:ilvl w:val="0"/>
          <w:numId w:val="2"/>
        </w:numPr>
        <w:spacing w:line="276" w:lineRule="auto"/>
        <w:jc w:val="both"/>
        <w:rPr>
          <w:rFonts w:ascii="Century Gothic" w:eastAsia="Century Gothic" w:hAnsi="Century Gothic" w:cs="Century Gothic"/>
          <w:b/>
          <w:bCs/>
          <w:color w:val="000000" w:themeColor="text1"/>
          <w:sz w:val="22"/>
          <w:lang w:val="es-CO"/>
        </w:rPr>
      </w:pPr>
      <w:r w:rsidRPr="00DB0609">
        <w:rPr>
          <w:rFonts w:ascii="Century Gothic" w:eastAsia="Century Gothic" w:hAnsi="Century Gothic" w:cs="Century Gothic"/>
          <w:b/>
          <w:bCs/>
          <w:color w:val="000000" w:themeColor="text1"/>
          <w:sz w:val="22"/>
          <w:lang w:val="es-CO"/>
        </w:rPr>
        <w:t>Consideraciones</w:t>
      </w:r>
    </w:p>
    <w:p w14:paraId="2E9FE2CC" w14:textId="77777777" w:rsidR="00C1432C" w:rsidRPr="00DB0609" w:rsidRDefault="00C1432C" w:rsidP="00C1432C">
      <w:pPr>
        <w:spacing w:line="276" w:lineRule="auto"/>
        <w:contextualSpacing/>
        <w:rPr>
          <w:rFonts w:ascii="Century Gothic" w:eastAsia="Century Gothic" w:hAnsi="Century Gothic" w:cs="Century Gothic"/>
          <w:color w:val="000000" w:themeColor="text1"/>
          <w:sz w:val="22"/>
          <w:szCs w:val="22"/>
          <w:lang w:val="es"/>
        </w:rPr>
      </w:pPr>
      <w:r w:rsidRPr="00DB0609">
        <w:rPr>
          <w:rFonts w:ascii="Century Gothic" w:eastAsia="Century Gothic" w:hAnsi="Century Gothic" w:cs="Century Gothic"/>
          <w:color w:val="000000" w:themeColor="text1"/>
          <w:sz w:val="22"/>
          <w:szCs w:val="22"/>
          <w:lang w:val="es"/>
        </w:rPr>
        <w:t xml:space="preserve"> </w:t>
      </w:r>
    </w:p>
    <w:p w14:paraId="46CC825A" w14:textId="77777777" w:rsidR="00C1432C" w:rsidRPr="00DB0609" w:rsidRDefault="00C1432C" w:rsidP="00C1432C">
      <w:pPr>
        <w:spacing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Conforme al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97E952C" w14:textId="77777777" w:rsidR="00C1432C" w:rsidRPr="00DB0609" w:rsidRDefault="00C1432C" w:rsidP="00C1432C">
      <w:pPr>
        <w:spacing w:line="276" w:lineRule="auto"/>
        <w:contextualSpacing/>
        <w:jc w:val="both"/>
        <w:rPr>
          <w:rFonts w:ascii="Century Gothic" w:eastAsia="Century Gothic" w:hAnsi="Century Gothic" w:cs="Century Gothic"/>
          <w:sz w:val="22"/>
          <w:szCs w:val="22"/>
        </w:rPr>
      </w:pPr>
    </w:p>
    <w:p w14:paraId="2EB19329"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hyperlink r:id="rId11" w:anchor="_ftn1" w:history="1">
        <w:r w:rsidRPr="00DB0609">
          <w:rPr>
            <w:rFonts w:ascii="Century Gothic" w:eastAsia="Century Gothic" w:hAnsi="Century Gothic" w:cs="Century Gothic"/>
            <w:sz w:val="22"/>
            <w:szCs w:val="22"/>
          </w:rPr>
          <w:t>[1]</w:t>
        </w:r>
      </w:hyperlink>
      <w:r w:rsidRPr="00DB0609">
        <w:rPr>
          <w:rFonts w:ascii="Century Gothic" w:eastAsia="Century Gothic" w:hAnsi="Century Gothic" w:cs="Century Gothic"/>
          <w:sz w:val="22"/>
          <w:szCs w:val="22"/>
        </w:rPr>
        <w:t>. Esta interpretación de las normas generales, por definición, no puede extenderse a la resolución de controversias ni brindar asesorías sobre casos puntuales. Por lo anterior, previo concepto de sus órganos asesores, la solución de estos temas corresponde a la entidad de adoptar la decisión y, en caso de conflicto, a las autoridades judiciales, fiscales y disciplinarias. De esta manera, es deber de cada interesado definir la viabilidad técnica, jurídica y financiera de adelantar alguna gestión contractual en específico.</w:t>
      </w:r>
    </w:p>
    <w:p w14:paraId="3EF4EEAF"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p>
    <w:p w14:paraId="6D6744EA" w14:textId="77777777" w:rsidR="00C1432C" w:rsidRPr="00DB0609" w:rsidRDefault="00C1432C" w:rsidP="00C1432C">
      <w:pPr>
        <w:spacing w:after="160"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            En este contexto, la Subdirección –dentro de los límites de sus atribuciones– resolverá la petición conforme a las normas generales en materia de contratación estatal. Con este objetivo se abordarán los siguientes temas: i) capacidad financiera y organizacional como requisitos habilitantes; ii) efectos de la inscripción, renovación y actualización del RUP; y iii) vigencia de las modificaciones introducidas por los Decretos 399 de 2021, 579 de 2021 y 1041 de 2022 respecto a la información contenida en el RUP y su verificación dentro del “mejor año fiscal”.   </w:t>
      </w:r>
    </w:p>
    <w:p w14:paraId="756F70F4" w14:textId="77777777" w:rsidR="00C1432C" w:rsidRPr="00DB0609" w:rsidRDefault="00C1432C" w:rsidP="00C1432C">
      <w:pPr>
        <w:spacing w:after="160" w:line="276" w:lineRule="auto"/>
        <w:contextualSpacing/>
        <w:jc w:val="both"/>
        <w:rPr>
          <w:rFonts w:ascii="Century Gothic" w:eastAsia="Century Gothic" w:hAnsi="Century Gothic" w:cs="Century Gothic"/>
          <w:sz w:val="22"/>
          <w:szCs w:val="22"/>
        </w:rPr>
      </w:pPr>
    </w:p>
    <w:p w14:paraId="2DCBA79D" w14:textId="68627EA6" w:rsidR="00C1432C" w:rsidRPr="00DB0609" w:rsidRDefault="00C1432C" w:rsidP="00C1432C">
      <w:pPr>
        <w:spacing w:before="120" w:line="276" w:lineRule="auto"/>
        <w:ind w:firstLine="709"/>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La Agencia Nacional de Contratación Pública – Colombia Compra Eficiente ha impartido lineamientos sobre la acreditación de los indicadores de capacidad financiera y organizacional de los oferentes mediante el RUP en los conceptos No. </w:t>
      </w:r>
      <w:r w:rsidRPr="00DB0609">
        <w:rPr>
          <w:rFonts w:ascii="Century Gothic" w:eastAsia="Century Gothic" w:hAnsi="Century Gothic" w:cs="Century Gothic"/>
          <w:sz w:val="22"/>
          <w:szCs w:val="22"/>
        </w:rPr>
        <w:lastRenderedPageBreak/>
        <w:t>4201912000006798 del 24 de octubre de 2019, C-002 del 12 de febrero de 2020, C-089 del 4 de marzo de 2020, C-099 del 06 de abril de 2020, C-166 del 14 de abril de 2020, C-233 del 16 de abril de 2020, C-326 del 9 de junio de 2020, C-140 del 9 de abril de 202, entre otros. Respecto de la reciente reglamentación establecida en los Decretos 399 y 579 de 2021 y 1041 de 2022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w:t>
      </w:r>
      <w:r w:rsidR="007A28AA" w:rsidRPr="00DB0609">
        <w:rPr>
          <w:rFonts w:ascii="Century Gothic" w:eastAsia="Century Gothic" w:hAnsi="Century Gothic" w:cs="Century Gothic"/>
          <w:sz w:val="22"/>
          <w:szCs w:val="22"/>
        </w:rPr>
        <w:t xml:space="preserve">, </w:t>
      </w:r>
      <w:r w:rsidRPr="00DB0609">
        <w:rPr>
          <w:rFonts w:ascii="Century Gothic" w:eastAsia="Century Gothic" w:hAnsi="Century Gothic" w:cs="Century Gothic"/>
          <w:sz w:val="22"/>
          <w:szCs w:val="22"/>
        </w:rPr>
        <w:t>C-355 del 30 de agosto de 2023</w:t>
      </w:r>
      <w:r w:rsidR="007350CD" w:rsidRPr="00DB0609">
        <w:rPr>
          <w:rFonts w:ascii="Century Gothic" w:eastAsia="Century Gothic" w:hAnsi="Century Gothic" w:cs="Century Gothic"/>
          <w:sz w:val="22"/>
          <w:szCs w:val="22"/>
        </w:rPr>
        <w:t xml:space="preserve">, </w:t>
      </w:r>
      <w:r w:rsidR="007A28AA" w:rsidRPr="00DB0609">
        <w:rPr>
          <w:rFonts w:ascii="Century Gothic" w:eastAsia="Century Gothic" w:hAnsi="Century Gothic" w:cs="Century Gothic"/>
          <w:sz w:val="22"/>
          <w:szCs w:val="22"/>
        </w:rPr>
        <w:t>C-0</w:t>
      </w:r>
      <w:r w:rsidR="007350CD" w:rsidRPr="00DB0609">
        <w:rPr>
          <w:rFonts w:ascii="Century Gothic" w:eastAsia="Century Gothic" w:hAnsi="Century Gothic" w:cs="Century Gothic"/>
          <w:sz w:val="22"/>
          <w:szCs w:val="22"/>
        </w:rPr>
        <w:t>06</w:t>
      </w:r>
      <w:r w:rsidR="007A28AA" w:rsidRPr="00DB0609">
        <w:rPr>
          <w:rFonts w:ascii="Century Gothic" w:eastAsia="Century Gothic" w:hAnsi="Century Gothic" w:cs="Century Gothic"/>
          <w:sz w:val="22"/>
          <w:szCs w:val="22"/>
        </w:rPr>
        <w:t xml:space="preserve"> de marzo 2024</w:t>
      </w:r>
      <w:r w:rsidR="007350CD" w:rsidRPr="00DB0609">
        <w:rPr>
          <w:rFonts w:ascii="Century Gothic" w:eastAsia="Century Gothic" w:hAnsi="Century Gothic" w:cs="Century Gothic"/>
          <w:sz w:val="22"/>
          <w:szCs w:val="22"/>
        </w:rPr>
        <w:t xml:space="preserve"> y C-26 de 2024</w:t>
      </w:r>
      <w:r w:rsidRPr="00DB0609">
        <w:rPr>
          <w:rFonts w:ascii="Century Gothic" w:eastAsia="Century Gothic" w:hAnsi="Century Gothic" w:cs="Century Gothic"/>
          <w:sz w:val="22"/>
          <w:szCs w:val="22"/>
        </w:rPr>
        <w:t>.</w:t>
      </w:r>
    </w:p>
    <w:p w14:paraId="60841E63" w14:textId="77777777" w:rsidR="00C1432C" w:rsidRPr="00DB0609" w:rsidRDefault="00C1432C" w:rsidP="00C1432C">
      <w:pPr>
        <w:spacing w:before="120" w:line="276" w:lineRule="auto"/>
        <w:ind w:firstLine="709"/>
        <w:contextualSpacing/>
        <w:jc w:val="both"/>
        <w:rPr>
          <w:rFonts w:ascii="Century Gothic" w:eastAsia="Century Gothic" w:hAnsi="Century Gothic" w:cs="Century Gothic"/>
          <w:sz w:val="22"/>
          <w:szCs w:val="22"/>
        </w:rPr>
      </w:pPr>
    </w:p>
    <w:p w14:paraId="78EA0D5F" w14:textId="77777777" w:rsidR="00C1432C" w:rsidRPr="00DB0609" w:rsidRDefault="00C1432C" w:rsidP="00C1432C">
      <w:pPr>
        <w:spacing w:before="120" w:line="276" w:lineRule="auto"/>
        <w:ind w:firstLine="709"/>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Asimismo, se ha pronunciado sobre las problemáticas asociadas al RUP en los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C-005  del 14 de febrero de 2020, C-454 del 06 de julio de 2020 2020, C-466 del 24 de julio de 2020, C-420 del 28 de julio de 2020, C-480 del 25 de agosto de 2021, C-534 del 12 de agosto de 2020, C-553 del 24 de agosto de 2021, C-576 del 31 de agosto de 2021, C-786 de 2020 del 19 de enero de 2021, C-800 del 1 de febrero de 2021, C-703 del 11 de enero de 2022, C-328 del 22 de julio de 2022, entre otros</w:t>
      </w:r>
      <w:hyperlink r:id="rId12" w:anchor="_ftn2" w:history="1">
        <w:r w:rsidRPr="00DB0609">
          <w:rPr>
            <w:rFonts w:ascii="Century Gothic" w:eastAsia="Century Gothic" w:hAnsi="Century Gothic" w:cs="Century Gothic"/>
            <w:sz w:val="22"/>
            <w:szCs w:val="22"/>
          </w:rPr>
          <w:t>[2]</w:t>
        </w:r>
      </w:hyperlink>
      <w:r w:rsidRPr="00DB0609">
        <w:rPr>
          <w:rFonts w:ascii="Century Gothic" w:eastAsia="Century Gothic" w:hAnsi="Century Gothic" w:cs="Century Gothic"/>
          <w:sz w:val="22"/>
          <w:szCs w:val="22"/>
        </w:rPr>
        <w:t>. La tesis propuesta en estos conceptos se reitera a continuación y se complementa en lo pertinente.</w:t>
      </w:r>
    </w:p>
    <w:p w14:paraId="460FDF76" w14:textId="77777777" w:rsidR="00C1432C" w:rsidRPr="00DB0609" w:rsidRDefault="00C1432C" w:rsidP="00C1432C">
      <w:pPr>
        <w:spacing w:line="276" w:lineRule="auto"/>
        <w:contextualSpacing/>
        <w:rPr>
          <w:rFonts w:ascii="Century Gothic" w:eastAsia="Century Gothic" w:hAnsi="Century Gothic" w:cs="Century Gothic"/>
          <w:b/>
          <w:bCs/>
          <w:sz w:val="22"/>
          <w:szCs w:val="22"/>
        </w:rPr>
      </w:pPr>
      <w:r w:rsidRPr="00DB0609">
        <w:rPr>
          <w:rFonts w:ascii="Century Gothic" w:eastAsia="Century Gothic" w:hAnsi="Century Gothic" w:cs="Century Gothic"/>
          <w:b/>
          <w:bCs/>
          <w:sz w:val="22"/>
          <w:szCs w:val="22"/>
        </w:rPr>
        <w:t xml:space="preserve"> </w:t>
      </w:r>
    </w:p>
    <w:p w14:paraId="69FC85B6" w14:textId="77777777" w:rsidR="00C1432C" w:rsidRPr="00DB0609" w:rsidRDefault="00C1432C" w:rsidP="00C1432C">
      <w:pPr>
        <w:spacing w:line="276" w:lineRule="auto"/>
        <w:contextualSpacing/>
        <w:rPr>
          <w:rFonts w:ascii="Century Gothic" w:eastAsia="Century Gothic" w:hAnsi="Century Gothic" w:cs="Century Gothic"/>
          <w:b/>
          <w:bCs/>
          <w:sz w:val="22"/>
          <w:szCs w:val="22"/>
        </w:rPr>
      </w:pPr>
      <w:r w:rsidRPr="00DB0609">
        <w:rPr>
          <w:rFonts w:ascii="Century Gothic" w:eastAsia="Century Gothic" w:hAnsi="Century Gothic" w:cs="Century Gothic"/>
          <w:b/>
          <w:bCs/>
          <w:sz w:val="22"/>
          <w:szCs w:val="22"/>
        </w:rPr>
        <w:t xml:space="preserve">2.1. Los requisitos habilitantes de capacidad financiera y organizacional </w:t>
      </w:r>
    </w:p>
    <w:p w14:paraId="17A27AC6" w14:textId="77777777" w:rsidR="00C1432C" w:rsidRPr="00DB0609" w:rsidRDefault="00C1432C" w:rsidP="00C1432C">
      <w:pPr>
        <w:spacing w:line="276" w:lineRule="auto"/>
        <w:contextualSpacing/>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 </w:t>
      </w:r>
    </w:p>
    <w:p w14:paraId="4F4CC7BC" w14:textId="77777777" w:rsidR="00C1432C" w:rsidRPr="00DB0609" w:rsidRDefault="00C1432C" w:rsidP="00C1432C">
      <w:pPr>
        <w:spacing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w:t>
      </w:r>
      <w:r w:rsidRPr="00DB0609">
        <w:rPr>
          <w:rFonts w:ascii="Century Gothic" w:eastAsia="Century Gothic" w:hAnsi="Century Gothic" w:cs="Century Gothic"/>
          <w:sz w:val="22"/>
          <w:szCs w:val="22"/>
        </w:rPr>
        <w:lastRenderedPageBreak/>
        <w:t xml:space="preserve">comparación de las ofertas, y que, a partir de su ponderación, permiten establecer el orden de elegibilidad y, por ende, la propuesta ganadora. </w:t>
      </w:r>
    </w:p>
    <w:p w14:paraId="6BEE4DC7" w14:textId="77777777" w:rsidR="00C1432C" w:rsidRPr="00DB0609" w:rsidRDefault="00C1432C" w:rsidP="00C1432C">
      <w:pPr>
        <w:spacing w:line="276" w:lineRule="auto"/>
        <w:contextualSpacing/>
        <w:jc w:val="both"/>
        <w:rPr>
          <w:rFonts w:ascii="Century Gothic" w:eastAsia="Century Gothic" w:hAnsi="Century Gothic" w:cs="Century Gothic"/>
          <w:sz w:val="22"/>
          <w:szCs w:val="22"/>
        </w:rPr>
      </w:pPr>
    </w:p>
    <w:p w14:paraId="4F974DEA"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3B6C580"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p>
    <w:p w14:paraId="7A94E2F2"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 En efecto, la normativa citada prescribe lo siguiente: </w:t>
      </w:r>
    </w:p>
    <w:p w14:paraId="3CD34F0E" w14:textId="77777777" w:rsidR="00C1432C" w:rsidRPr="00A91C92" w:rsidRDefault="00C1432C" w:rsidP="00C1432C">
      <w:pPr>
        <w:spacing w:line="276" w:lineRule="auto"/>
        <w:ind w:firstLine="708"/>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118CB0B8"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 xml:space="preserve">Artículo 5. De la Selección Objetiva. </w:t>
      </w:r>
    </w:p>
    <w:p w14:paraId="5D643425"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68315D36"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w:t>
      </w:r>
    </w:p>
    <w:p w14:paraId="48D1BE6D" w14:textId="77777777" w:rsidR="00C1432C" w:rsidRPr="00A91C92" w:rsidRDefault="00C1432C" w:rsidP="00C1432C">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31834553" w14:textId="77777777" w:rsidR="00C1432C" w:rsidRPr="00A91C92" w:rsidRDefault="00C1432C" w:rsidP="00C1432C">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w:t>
      </w:r>
      <w:r w:rsidRPr="2F7B58A8">
        <w:rPr>
          <w:rFonts w:ascii="Century Gothic" w:eastAsia="Century Gothic" w:hAnsi="Century Gothic" w:cs="Century Gothic"/>
          <w:color w:val="000000" w:themeColor="text1"/>
          <w:sz w:val="21"/>
          <w:szCs w:val="21"/>
        </w:rPr>
        <w:lastRenderedPageBreak/>
        <w:t>presente ley, de acuerdo con lo cual se expedirá la respectiva certificación</w:t>
      </w: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w:t>
      </w:r>
    </w:p>
    <w:p w14:paraId="14073FF2" w14:textId="77777777" w:rsidR="00C1432C" w:rsidRPr="00A91C92" w:rsidRDefault="00C1432C" w:rsidP="00C1432C">
      <w:pPr>
        <w:spacing w:line="276" w:lineRule="auto"/>
        <w:ind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752CE2A1" w14:textId="77777777" w:rsidR="00C1432C" w:rsidRPr="00DB0609" w:rsidRDefault="00C1432C" w:rsidP="00C1432C">
      <w:pPr>
        <w:spacing w:after="160"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hyperlink r:id="rId13" w:anchor="_ftn3" w:history="1">
        <w:r w:rsidRPr="00DB0609">
          <w:rPr>
            <w:rFonts w:eastAsia="Century Gothic"/>
            <w:sz w:val="22"/>
            <w:szCs w:val="22"/>
          </w:rPr>
          <w:t>[3]</w:t>
        </w:r>
      </w:hyperlink>
      <w:r w:rsidRPr="00DB0609">
        <w:rPr>
          <w:rFonts w:ascii="Century Gothic" w:eastAsia="Century Gothic" w:hAnsi="Century Gothic" w:cs="Century Gothic"/>
          <w:sz w:val="22"/>
          <w:szCs w:val="22"/>
        </w:rPr>
        <w:t>. De la misma manera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w:t>
      </w:r>
      <w:hyperlink r:id="rId14" w:anchor="_ftn4" w:history="1">
        <w:r w:rsidRPr="00DB0609">
          <w:rPr>
            <w:rFonts w:eastAsia="Century Gothic"/>
            <w:sz w:val="22"/>
            <w:szCs w:val="22"/>
          </w:rPr>
          <w:t>[4]</w:t>
        </w:r>
      </w:hyperlink>
      <w:r w:rsidRPr="00DB0609">
        <w:rPr>
          <w:rFonts w:ascii="Century Gothic" w:eastAsia="Century Gothic" w:hAnsi="Century Gothic" w:cs="Century Gothic"/>
          <w:sz w:val="22"/>
          <w:szCs w:val="22"/>
        </w:rPr>
        <w:t>.</w:t>
      </w:r>
    </w:p>
    <w:p w14:paraId="55FF31C6" w14:textId="77777777" w:rsidR="00C1432C" w:rsidRPr="00DB0609"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w:t>
      </w:r>
      <w:hyperlink r:id="rId15" w:anchor="_ftn5" w:history="1">
        <w:r w:rsidRPr="00DB0609">
          <w:rPr>
            <w:rFonts w:eastAsia="Century Gothic"/>
            <w:sz w:val="22"/>
            <w:szCs w:val="22"/>
          </w:rPr>
          <w:t>[5]</w:t>
        </w:r>
      </w:hyperlink>
      <w:r w:rsidRPr="00DB0609">
        <w:rPr>
          <w:rFonts w:ascii="Century Gothic" w:eastAsia="Century Gothic" w:hAnsi="Century Gothic" w:cs="Century Gothic"/>
          <w:sz w:val="22"/>
          <w:szCs w:val="22"/>
        </w:rPr>
        <w:t xml:space="preserve"> y sus componentes como la identificación de riesgos, el mercado y precio del bien, obra o servicio a contratar</w:t>
      </w:r>
      <w:hyperlink r:id="rId16" w:anchor="_ftn6" w:history="1">
        <w:r w:rsidRPr="00DB0609">
          <w:rPr>
            <w:rFonts w:ascii="Century Gothic" w:eastAsia="Century Gothic" w:hAnsi="Century Gothic" w:cs="Century Gothic"/>
            <w:sz w:val="22"/>
            <w:szCs w:val="22"/>
          </w:rPr>
          <w:t>[6]</w:t>
        </w:r>
      </w:hyperlink>
      <w:r w:rsidRPr="00DB0609">
        <w:rPr>
          <w:rFonts w:ascii="Century Gothic" w:eastAsia="Century Gothic" w:hAnsi="Century Gothic" w:cs="Century Gothic"/>
          <w:sz w:val="22"/>
          <w:szCs w:val="22"/>
        </w:rPr>
        <w:t>.</w:t>
      </w:r>
    </w:p>
    <w:p w14:paraId="04A6EAE0" w14:textId="77777777" w:rsidR="007A28AA" w:rsidRPr="00DB0609"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3A25595D" w14:textId="77777777" w:rsidR="00C1432C" w:rsidRPr="00DB0609"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4E998540" w14:textId="77777777" w:rsidR="007A28AA" w:rsidRPr="00DB0609"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45E215DC" w14:textId="77777777" w:rsidR="00C1432C" w:rsidRPr="00DB0609"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Para acreditar los requisitos de la capacidad financiera, el artículo 5 de la Ley 1150 de 2007 y el artículo 2.2.1.1.1.5.3 del Decreto 1082 de 2015 indican que esto se realiza a través del RUP con los estados financieros del proponente, suscritos por el representante legal y el revisor fiscal, cuando aplique.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señalados en el artículo 2.2.1.1.1.5.3 del Decreto 1082 de 2015.</w:t>
      </w:r>
    </w:p>
    <w:p w14:paraId="0F28047F" w14:textId="77777777" w:rsidR="007A28AA" w:rsidRPr="00DB0609"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0D6D60EE" w14:textId="77777777" w:rsidR="00C1432C" w:rsidRPr="00DB0609"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w:t>
      </w:r>
    </w:p>
    <w:p w14:paraId="1ADD53EA" w14:textId="77777777" w:rsidR="007A28AA" w:rsidRPr="00DB0609"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382C534B" w14:textId="77777777" w:rsidR="00C1432C" w:rsidRPr="00DB0609"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Considerando la discrecionalidad para establecer los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   </w:t>
      </w:r>
    </w:p>
    <w:p w14:paraId="7EE676F9" w14:textId="77777777" w:rsidR="007A28AA" w:rsidRPr="00DB0609"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17842D01"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Al respecto, es importante señalar que para que la Entidad Estatal defina ciertos indicadores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w:t>
      </w:r>
      <w:r w:rsidRPr="00DB0609">
        <w:rPr>
          <w:rFonts w:ascii="Century Gothic" w:eastAsia="Century Gothic" w:hAnsi="Century Gothic" w:cs="Century Gothic"/>
          <w:sz w:val="22"/>
          <w:szCs w:val="22"/>
        </w:rPr>
        <w:lastRenderedPageBreak/>
        <w:t>contractual</w:t>
      </w:r>
      <w:hyperlink r:id="rId17" w:anchor="_ftn7" w:history="1">
        <w:r w:rsidRPr="00DB0609">
          <w:rPr>
            <w:rFonts w:ascii="Century Gothic" w:eastAsia="Century Gothic" w:hAnsi="Century Gothic" w:cs="Century Gothic"/>
            <w:sz w:val="22"/>
            <w:szCs w:val="22"/>
          </w:rPr>
          <w:t>[7]</w:t>
        </w:r>
      </w:hyperlink>
      <w:r w:rsidRPr="00DB0609">
        <w:rPr>
          <w:rFonts w:ascii="Century Gothic" w:eastAsia="Century Gothic" w:hAnsi="Century Gothic" w:cs="Century Gothic"/>
          <w:sz w:val="22"/>
          <w:szCs w:val="22"/>
        </w:rPr>
        <w:t>. Sus resultados deben interpretarse observando el riesgo que un indicador alto o bajo representa para el procedimiento. Por ende, la Entidad Estatal debe establecer unos límites dentro de los cuales se garantice que el proponente pueda cumplir el contrato en caso de celebrarlo</w:t>
      </w:r>
      <w:hyperlink r:id="rId18" w:anchor="_ftn8" w:history="1">
        <w:r w:rsidRPr="00DB0609">
          <w:rPr>
            <w:rFonts w:ascii="Century Gothic" w:eastAsia="Century Gothic" w:hAnsi="Century Gothic" w:cs="Century Gothic"/>
            <w:sz w:val="22"/>
            <w:szCs w:val="22"/>
          </w:rPr>
          <w:t>[8]</w:t>
        </w:r>
      </w:hyperlink>
      <w:r w:rsidRPr="00DB0609">
        <w:rPr>
          <w:rFonts w:ascii="Century Gothic" w:eastAsia="Century Gothic" w:hAnsi="Century Gothic" w:cs="Century Gothic"/>
          <w:sz w:val="22"/>
          <w:szCs w:val="22"/>
        </w:rPr>
        <w:t xml:space="preserve">. </w:t>
      </w:r>
    </w:p>
    <w:p w14:paraId="44BF4126" w14:textId="77777777" w:rsidR="00C1432C" w:rsidRPr="00DB0609" w:rsidRDefault="00C1432C" w:rsidP="00C1432C">
      <w:pPr>
        <w:spacing w:line="276" w:lineRule="auto"/>
        <w:contextualSpacing/>
        <w:rPr>
          <w:rFonts w:ascii="Century Gothic" w:eastAsia="Century Gothic" w:hAnsi="Century Gothic" w:cs="Century Gothic"/>
          <w:color w:val="000000" w:themeColor="text1"/>
          <w:sz w:val="22"/>
          <w:szCs w:val="22"/>
        </w:rPr>
      </w:pPr>
      <w:r w:rsidRPr="00DB0609">
        <w:rPr>
          <w:rFonts w:ascii="Century Gothic" w:eastAsia="Century Gothic" w:hAnsi="Century Gothic" w:cs="Century Gothic"/>
          <w:color w:val="000000" w:themeColor="text1"/>
          <w:sz w:val="22"/>
          <w:szCs w:val="22"/>
        </w:rPr>
        <w:t xml:space="preserve"> </w:t>
      </w:r>
    </w:p>
    <w:p w14:paraId="78333B13" w14:textId="77777777" w:rsidR="00C1432C" w:rsidRPr="00DB0609" w:rsidRDefault="00C1432C" w:rsidP="00C1432C">
      <w:pPr>
        <w:spacing w:line="276" w:lineRule="auto"/>
        <w:contextualSpacing/>
        <w:rPr>
          <w:rFonts w:ascii="Century Gothic" w:eastAsia="Century Gothic" w:hAnsi="Century Gothic" w:cs="Century Gothic"/>
          <w:b/>
          <w:bCs/>
          <w:color w:val="000000" w:themeColor="text1"/>
          <w:sz w:val="22"/>
          <w:szCs w:val="22"/>
        </w:rPr>
      </w:pPr>
      <w:r w:rsidRPr="00DB0609">
        <w:rPr>
          <w:rFonts w:ascii="Century Gothic" w:eastAsia="Century Gothic" w:hAnsi="Century Gothic" w:cs="Century Gothic"/>
          <w:b/>
          <w:bCs/>
          <w:color w:val="000000" w:themeColor="text1"/>
          <w:sz w:val="22"/>
          <w:szCs w:val="22"/>
        </w:rPr>
        <w:t>2.2. Efectos de la inscripción, renovación y actualización del RUP</w:t>
      </w:r>
    </w:p>
    <w:p w14:paraId="606E33CC" w14:textId="77777777" w:rsidR="00C1432C" w:rsidRPr="00DB0609" w:rsidRDefault="00C1432C" w:rsidP="00C1432C">
      <w:pPr>
        <w:tabs>
          <w:tab w:val="left" w:pos="0"/>
        </w:tabs>
        <w:spacing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 </w:t>
      </w:r>
    </w:p>
    <w:p w14:paraId="7EC60886" w14:textId="77777777" w:rsidR="00C1432C" w:rsidRPr="00DB0609" w:rsidRDefault="00C1432C" w:rsidP="00C1432C">
      <w:pPr>
        <w:spacing w:line="276" w:lineRule="auto"/>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DB0609">
        <w:rPr>
          <w:rFonts w:ascii="Century Gothic" w:eastAsia="Century Gothic" w:hAnsi="Century Gothic" w:cs="Century Gothic"/>
          <w:i/>
          <w:iCs/>
          <w:sz w:val="22"/>
          <w:szCs w:val="22"/>
        </w:rPr>
        <w:t>inscripción, renovación o actualización–</w:t>
      </w:r>
      <w:hyperlink r:id="rId19" w:anchor="_ftn9" w:history="1">
        <w:r w:rsidRPr="00DB0609">
          <w:rPr>
            <w:rStyle w:val="Hipervnculo"/>
            <w:rFonts w:ascii="Calibri" w:eastAsia="Calibri" w:hAnsi="Calibri" w:cs="Calibri"/>
            <w:sz w:val="22"/>
            <w:szCs w:val="22"/>
            <w:vertAlign w:val="superscript"/>
          </w:rPr>
          <w:t>[9]</w:t>
        </w:r>
      </w:hyperlink>
      <w:r w:rsidRPr="00DB0609">
        <w:rPr>
          <w:rFonts w:ascii="Century Gothic" w:eastAsia="Century Gothic" w:hAnsi="Century Gothic" w:cs="Century Gothic"/>
          <w:sz w:val="22"/>
          <w:szCs w:val="22"/>
        </w:rPr>
        <w:t>. En firme el acto administrativo que realiza la inscripción en el Registro Único de Proponentes se podrá demandar su nulidad sin que la presentación de la demanda suspenda la inscripción del RUP.</w:t>
      </w:r>
    </w:p>
    <w:p w14:paraId="44E26C36" w14:textId="77777777" w:rsidR="007A28AA" w:rsidRPr="00DB0609" w:rsidRDefault="007A28AA" w:rsidP="00C1432C">
      <w:pPr>
        <w:spacing w:line="276" w:lineRule="auto"/>
        <w:contextualSpacing/>
        <w:jc w:val="both"/>
        <w:rPr>
          <w:rFonts w:ascii="Century Gothic" w:eastAsia="Century Gothic" w:hAnsi="Century Gothic" w:cs="Century Gothic"/>
          <w:sz w:val="22"/>
          <w:szCs w:val="22"/>
        </w:rPr>
      </w:pPr>
    </w:p>
    <w:p w14:paraId="0E4200B5" w14:textId="77777777" w:rsidR="00C1432C" w:rsidRPr="00DB0609" w:rsidRDefault="00C1432C" w:rsidP="00C1432C">
      <w:pPr>
        <w:spacing w:line="276" w:lineRule="auto"/>
        <w:ind w:firstLine="708"/>
        <w:contextualSpacing/>
        <w:jc w:val="both"/>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hyperlink r:id="rId20" w:anchor="_ftn10" w:history="1">
        <w:r w:rsidRPr="00DB0609">
          <w:rPr>
            <w:rStyle w:val="Hipervnculo"/>
            <w:rFonts w:ascii="Calibri" w:eastAsia="Calibri" w:hAnsi="Calibri" w:cs="Calibri"/>
            <w:sz w:val="22"/>
            <w:szCs w:val="22"/>
            <w:vertAlign w:val="superscript"/>
          </w:rPr>
          <w:t>[10]</w:t>
        </w:r>
      </w:hyperlink>
      <w:r w:rsidRPr="00DB0609">
        <w:rPr>
          <w:rFonts w:ascii="Century Gothic" w:eastAsia="Century Gothic" w:hAnsi="Century Gothic" w:cs="Century Gothic"/>
          <w:sz w:val="22"/>
          <w:szCs w:val="22"/>
        </w:rPr>
        <w:t>. Asimismo, el Consejo de Estado en sentencia del 19 de septiembre de 2019 señaló la finalidad de la renovación del RUP y las consecuencias de no hacerlo en el término previsto:</w:t>
      </w:r>
    </w:p>
    <w:p w14:paraId="1521D555" w14:textId="77777777" w:rsidR="00C1432C" w:rsidRPr="00DB0609" w:rsidRDefault="00C1432C" w:rsidP="00C1432C">
      <w:pPr>
        <w:spacing w:line="276" w:lineRule="auto"/>
        <w:contextualSpacing/>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 </w:t>
      </w:r>
    </w:p>
    <w:p w14:paraId="4E01CC7C" w14:textId="77777777" w:rsidR="00C1432C" w:rsidRPr="00A91C92" w:rsidRDefault="00C1432C" w:rsidP="00C1432C">
      <w:pPr>
        <w:tabs>
          <w:tab w:val="left" w:pos="567"/>
        </w:tabs>
        <w:spacing w:line="276" w:lineRule="auto"/>
        <w:ind w:left="709" w:right="709"/>
        <w:contextualSpacing/>
        <w:jc w:val="both"/>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360E8A23" w14:textId="77777777" w:rsidR="00C1432C" w:rsidRPr="00A91C92" w:rsidRDefault="00C1432C" w:rsidP="00C1432C">
      <w:pPr>
        <w:tabs>
          <w:tab w:val="left" w:pos="567"/>
        </w:tabs>
        <w:spacing w:line="276" w:lineRule="auto"/>
        <w:ind w:left="709" w:right="709"/>
        <w:contextualSpacing/>
        <w:jc w:val="both"/>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 xml:space="preserve">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w:t>
      </w:r>
      <w:r w:rsidRPr="2F7B58A8">
        <w:rPr>
          <w:rFonts w:ascii="Century Gothic" w:eastAsia="Century Gothic" w:hAnsi="Century Gothic" w:cs="Century Gothic"/>
          <w:sz w:val="21"/>
          <w:szCs w:val="21"/>
        </w:rPr>
        <w:lastRenderedPageBreak/>
        <w:t>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hyperlink r:id="rId21" w:anchor="_ftn11" w:history="1">
        <w:r w:rsidRPr="2F7B58A8">
          <w:rPr>
            <w:rStyle w:val="Hipervnculo"/>
            <w:rFonts w:ascii="Calibri" w:eastAsia="Calibri" w:hAnsi="Calibri" w:cs="Calibri"/>
            <w:vertAlign w:val="superscript"/>
          </w:rPr>
          <w:t>[11]</w:t>
        </w:r>
      </w:hyperlink>
      <w:r w:rsidRPr="2F7B58A8">
        <w:rPr>
          <w:rFonts w:ascii="Century Gothic" w:eastAsia="Century Gothic" w:hAnsi="Century Gothic" w:cs="Century Gothic"/>
          <w:sz w:val="21"/>
          <w:szCs w:val="21"/>
        </w:rPr>
        <w:t xml:space="preserve">. </w:t>
      </w:r>
    </w:p>
    <w:p w14:paraId="66D6396E" w14:textId="77777777" w:rsidR="00C1432C" w:rsidRPr="00A91C92" w:rsidRDefault="00C1432C" w:rsidP="00C1432C">
      <w:pPr>
        <w:spacing w:line="276" w:lineRule="auto"/>
        <w:contextualSpacing/>
        <w:rPr>
          <w:rFonts w:ascii="Century Gothic" w:eastAsia="Century Gothic" w:hAnsi="Century Gothic" w:cs="Century Gothic"/>
        </w:rPr>
      </w:pPr>
      <w:r w:rsidRPr="2F7B58A8">
        <w:rPr>
          <w:rFonts w:ascii="Century Gothic" w:eastAsia="Century Gothic" w:hAnsi="Century Gothic" w:cs="Century Gothic"/>
        </w:rPr>
        <w:t xml:space="preserve"> </w:t>
      </w:r>
    </w:p>
    <w:p w14:paraId="43660D33"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Conforme a lo anterior, en armonía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63053C06"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3D152802"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5E529B2E"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6FAC9D54" w14:textId="77777777" w:rsidR="00C1432C" w:rsidRP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podrá acreditarse a través del medio documental expedido por la cámara de comercio correspondiente, por lo que al no existir tarifa legal que permita establecer la forma de acreditar el trámite de renovación, la entidad estatal debe validar que el documento aportado por el proponente ofrezca certeza sobre el estado del trámite, verificando que se haya presentado la información para renovar su registro antes del quinto día hábil del mes de abril de cada año.</w:t>
      </w:r>
    </w:p>
    <w:p w14:paraId="4C1CA018"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Dicho esto, la firmeza del acto de inscripción, renovación y actualización del RUP debe armonizarse con las prescripciones establecidas para la generalidad de </w:t>
      </w:r>
      <w:r w:rsidRPr="00C1432C">
        <w:rPr>
          <w:rFonts w:ascii="Century Gothic" w:eastAsia="Century Gothic" w:hAnsi="Century Gothic" w:cs="Century Gothic"/>
          <w:sz w:val="22"/>
          <w:szCs w:val="22"/>
          <w:lang w:val="es-ES"/>
        </w:rPr>
        <w:lastRenderedPageBreak/>
        <w:t>los actos administrativos, esto es, de acuerdo con el artículo 87 de la Ley 1437 de 2011</w:t>
      </w:r>
      <w:hyperlink r:id="rId22" w:anchor="_ftn12" w:history="1">
        <w:r w:rsidRPr="00C1432C">
          <w:rPr>
            <w:rFonts w:ascii="Century Gothic" w:eastAsia="Century Gothic" w:hAnsi="Century Gothic" w:cs="Century Gothic"/>
            <w:sz w:val="22"/>
            <w:szCs w:val="22"/>
            <w:lang w:val="es-ES"/>
          </w:rPr>
          <w:t>[12]</w:t>
        </w:r>
      </w:hyperlink>
      <w:r w:rsidRPr="00C1432C">
        <w:rPr>
          <w:rFonts w:ascii="Century Gothic" w:eastAsia="Century Gothic" w:hAnsi="Century Gothic" w:cs="Century Gothic"/>
          <w:sz w:val="22"/>
          <w:szCs w:val="22"/>
          <w:lang w:val="es-ES"/>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a celebrar contratos con las entidades estatales, estar inscritas en él, salvo las excepciones establecidas en la ley. </w:t>
      </w:r>
    </w:p>
    <w:p w14:paraId="10F4BE94"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013686E0"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hyperlink r:id="rId23" w:anchor="_ftn13" w:history="1">
        <w:r w:rsidRPr="00C1432C">
          <w:rPr>
            <w:rFonts w:ascii="Century Gothic" w:eastAsia="Century Gothic" w:hAnsi="Century Gothic" w:cs="Century Gothic"/>
            <w:sz w:val="22"/>
            <w:szCs w:val="22"/>
            <w:lang w:val="es-ES"/>
          </w:rPr>
          <w:t>[13]</w:t>
        </w:r>
      </w:hyperlink>
      <w:r w:rsidRPr="00C1432C">
        <w:rPr>
          <w:rFonts w:ascii="Century Gothic" w:eastAsia="Century Gothic" w:hAnsi="Century Gothic" w:cs="Century Gothic"/>
          <w:sz w:val="22"/>
          <w:szCs w:val="22"/>
          <w:lang w:val="es-ES"/>
        </w:rPr>
        <w:t xml:space="preserve">. 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6626EC3D"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23E0DDCC"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3B8EF7E7"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04A9AB36"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En dicho estudio debe aludirse también a la posibilidad de subsanar las ofertas en los procedimientos de selección. </w:t>
      </w:r>
    </w:p>
    <w:p w14:paraId="20E93FED"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7C19FC42" w14:textId="77777777" w:rsidR="00C1432C" w:rsidRP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relación con la inscripción –ya sea por primera vez o porque no se renueva a tiempo y se debe realizar el trámite como una inscripción inicial–, debe considerarse lo prescrito en el parágrafo 1 del artículo 5 de la Ley 1150 de 2007, modificado por el artículo 5 de la Ley 1882 de 2018</w:t>
      </w:r>
      <w:hyperlink r:id="rId24" w:anchor="_ftn14" w:history="1">
        <w:r w:rsidRPr="00C1432C">
          <w:rPr>
            <w:rFonts w:ascii="Century Gothic" w:eastAsia="Century Gothic" w:hAnsi="Century Gothic" w:cs="Century Gothic"/>
            <w:sz w:val="22"/>
            <w:szCs w:val="22"/>
            <w:lang w:val="es-ES"/>
          </w:rPr>
          <w:t>[14]</w:t>
        </w:r>
      </w:hyperlink>
      <w:r w:rsidRPr="00C1432C">
        <w:rPr>
          <w:rFonts w:ascii="Century Gothic" w:eastAsia="Century Gothic" w:hAnsi="Century Gothic" w:cs="Century Gothic"/>
          <w:sz w:val="22"/>
          <w:szCs w:val="22"/>
          <w:lang w:val="es-ES"/>
        </w:rPr>
        <w:t xml:space="preserve">, que establece que los </w:t>
      </w:r>
      <w:r w:rsidRPr="00C1432C">
        <w:rPr>
          <w:rFonts w:ascii="Century Gothic" w:eastAsia="Century Gothic" w:hAnsi="Century Gothic" w:cs="Century Gothic"/>
          <w:sz w:val="22"/>
          <w:szCs w:val="22"/>
          <w:lang w:val="es-ES"/>
        </w:rPr>
        <w:lastRenderedPageBreak/>
        <w:t>proponentes no pueden acreditar circunstancias ocurridas con posterioridad al cierre del proceso, unido a lo expresado por la Sala de Consulta y Servicio Civil del Consejo de Estado, quien interpretó una norma de igual contenido a la anterior</w:t>
      </w:r>
      <w:hyperlink r:id="rId25" w:anchor="_ftn15" w:history="1">
        <w:r w:rsidRPr="00C1432C">
          <w:rPr>
            <w:rFonts w:ascii="Century Gothic" w:eastAsia="Century Gothic" w:hAnsi="Century Gothic" w:cs="Century Gothic"/>
            <w:sz w:val="22"/>
            <w:szCs w:val="22"/>
            <w:lang w:val="es-ES"/>
          </w:rPr>
          <w:t>[15]</w:t>
        </w:r>
      </w:hyperlink>
      <w:r w:rsidRPr="00C1432C">
        <w:rPr>
          <w:rFonts w:ascii="Century Gothic" w:eastAsia="Century Gothic" w:hAnsi="Century Gothic" w:cs="Century Gothic"/>
          <w:sz w:val="22"/>
          <w:szCs w:val="22"/>
          <w:lang w:val="es-ES"/>
        </w:rPr>
        <w:t>,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 inscripción</w:t>
      </w:r>
      <w:hyperlink r:id="rId26" w:anchor="_ftn16" w:history="1">
        <w:r w:rsidRPr="00C1432C">
          <w:rPr>
            <w:rFonts w:ascii="Century Gothic" w:eastAsia="Century Gothic" w:hAnsi="Century Gothic" w:cs="Century Gothic"/>
            <w:sz w:val="22"/>
            <w:szCs w:val="22"/>
            <w:lang w:val="es-ES"/>
          </w:rPr>
          <w:t>[16]</w:t>
        </w:r>
      </w:hyperlink>
      <w:r w:rsidRPr="00C1432C">
        <w:rPr>
          <w:rFonts w:ascii="Century Gothic" w:eastAsia="Century Gothic" w:hAnsi="Century Gothic" w:cs="Century Gothic"/>
          <w:sz w:val="22"/>
          <w:szCs w:val="22"/>
          <w:lang w:val="es-ES"/>
        </w:rPr>
        <w:t xml:space="preserve">. </w:t>
      </w:r>
    </w:p>
    <w:p w14:paraId="0BEF7D08" w14:textId="77777777" w:rsidR="00C1432C" w:rsidRP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Por lo tanto, si la cámara de comercio expide el acto administrativo de inscripción en el RUP después del cierre del procedimiento de selección, motivado en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7D9C6050"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debe emplearse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Esto se sustenta en 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0733FB2"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7327D70B"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Ahora bien, el deber de renovación, para impedir que el RUP deje de producir efectos consiste en “presentar la información para renovar su registro antes del quinto día hábil del mes de abril de cada año”</w:t>
      </w:r>
      <w:hyperlink r:id="rId27" w:anchor="_ftn17" w:history="1">
        <w:r w:rsidRPr="00C1432C">
          <w:rPr>
            <w:rFonts w:ascii="Century Gothic" w:eastAsia="Century Gothic" w:hAnsi="Century Gothic" w:cs="Century Gothic"/>
            <w:sz w:val="22"/>
            <w:szCs w:val="22"/>
            <w:lang w:val="es-ES"/>
          </w:rPr>
          <w:t>[17]</w:t>
        </w:r>
      </w:hyperlink>
      <w:r w:rsidRPr="00C1432C">
        <w:rPr>
          <w:rFonts w:ascii="Century Gothic" w:eastAsia="Century Gothic" w:hAnsi="Century Gothic" w:cs="Century Gothic"/>
          <w:sz w:val="22"/>
          <w:szCs w:val="22"/>
          <w:lang w:val="es-ES"/>
        </w:rPr>
        <w:t>.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puede utilizarse la información del RUP que está en firme antes de iniciar el trámite de renovación, cuyos efectos no han cesado y se encuentra vigente, pudiendo utilizar dicho registro para participar en los procedimientos de selección de contratistas.</w:t>
      </w:r>
    </w:p>
    <w:p w14:paraId="74B32A50"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5A71B61C"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Finalmente, tratándose del trámite administrativo de la actualización,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esta manera el trámite de actualización 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62D782EF" w14:textId="77777777" w:rsidR="007A28AA"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6D0D9396"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5764266A" w14:textId="77777777" w:rsidR="00C1432C" w:rsidRPr="00A91C92" w:rsidRDefault="00C1432C" w:rsidP="00C1432C">
      <w:pPr>
        <w:spacing w:line="276" w:lineRule="auto"/>
        <w:ind w:firstLine="709"/>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38228CF8" w14:textId="77777777" w:rsidR="00C1432C" w:rsidRPr="00DB0609" w:rsidRDefault="00C1432C" w:rsidP="00C1432C">
      <w:pPr>
        <w:tabs>
          <w:tab w:val="left" w:pos="0"/>
        </w:tabs>
        <w:spacing w:line="276" w:lineRule="auto"/>
        <w:contextualSpacing/>
        <w:rPr>
          <w:rFonts w:ascii="Century Gothic" w:eastAsia="Century Gothic" w:hAnsi="Century Gothic" w:cs="Century Gothic"/>
          <w:b/>
          <w:bCs/>
          <w:sz w:val="22"/>
          <w:szCs w:val="22"/>
        </w:rPr>
      </w:pPr>
      <w:r w:rsidRPr="00DB0609">
        <w:rPr>
          <w:rFonts w:ascii="Century Gothic" w:eastAsia="Century Gothic" w:hAnsi="Century Gothic" w:cs="Century Gothic"/>
          <w:b/>
          <w:bCs/>
          <w:sz w:val="22"/>
          <w:szCs w:val="22"/>
        </w:rPr>
        <w:lastRenderedPageBreak/>
        <w:t>2.3. Vigencia de las modificaciones introducidas por los Decretos 399 de 2021, 579 de 2021 y 1041 de 2022 respecto a la información contenida en el RUP y su verificación dentro del “mejor año fiscal”</w:t>
      </w:r>
    </w:p>
    <w:p w14:paraId="2086E57B" w14:textId="77777777" w:rsidR="00C1432C" w:rsidRPr="00DB0609" w:rsidRDefault="00C1432C" w:rsidP="00C1432C">
      <w:pPr>
        <w:tabs>
          <w:tab w:val="left" w:pos="0"/>
        </w:tabs>
        <w:spacing w:line="276" w:lineRule="auto"/>
        <w:contextualSpacing/>
        <w:rPr>
          <w:rFonts w:ascii="Century Gothic" w:eastAsia="Century Gothic" w:hAnsi="Century Gothic" w:cs="Century Gothic"/>
          <w:sz w:val="22"/>
          <w:szCs w:val="22"/>
        </w:rPr>
      </w:pPr>
      <w:r w:rsidRPr="00DB0609">
        <w:rPr>
          <w:rFonts w:ascii="Century Gothic" w:eastAsia="Century Gothic" w:hAnsi="Century Gothic" w:cs="Century Gothic"/>
          <w:sz w:val="22"/>
          <w:szCs w:val="22"/>
        </w:rPr>
        <w:t xml:space="preserve"> </w:t>
      </w:r>
    </w:p>
    <w:p w14:paraId="721E5BEC" w14:textId="77777777" w:rsidR="00C1432C" w:rsidRPr="00DB0609" w:rsidRDefault="00C1432C" w:rsidP="00C1432C">
      <w:pPr>
        <w:spacing w:line="276" w:lineRule="auto"/>
        <w:contextualSpacing/>
        <w:jc w:val="both"/>
        <w:rPr>
          <w:rFonts w:ascii="Century Gothic" w:eastAsia="Century Gothic" w:hAnsi="Century Gothic" w:cs="Century Gothic"/>
          <w:sz w:val="22"/>
          <w:szCs w:val="22"/>
          <w:lang w:val="es-ES"/>
        </w:rPr>
      </w:pPr>
      <w:r w:rsidRPr="00DB0609">
        <w:rPr>
          <w:rFonts w:ascii="Century Gothic" w:eastAsia="Century Gothic" w:hAnsi="Century Gothic" w:cs="Century Gothic"/>
          <w:sz w:val="22"/>
          <w:szCs w:val="22"/>
          <w:lang w:val="es-ES"/>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hyperlink r:id="rId28" w:anchor="_ftn18" w:history="1">
        <w:r w:rsidRPr="00DB0609">
          <w:rPr>
            <w:rFonts w:ascii="Century Gothic" w:eastAsia="Century Gothic" w:hAnsi="Century Gothic" w:cs="Century Gothic"/>
            <w:sz w:val="22"/>
            <w:szCs w:val="22"/>
            <w:lang w:val="es-ES"/>
          </w:rPr>
          <w:t>[18]</w:t>
        </w:r>
      </w:hyperlink>
      <w:r w:rsidRPr="00DB0609">
        <w:rPr>
          <w:rFonts w:ascii="Century Gothic" w:eastAsia="Century Gothic" w:hAnsi="Century Gothic" w:cs="Century Gothic"/>
          <w:sz w:val="22"/>
          <w:szCs w:val="22"/>
          <w:lang w:val="es-ES"/>
        </w:rPr>
        <w:t xml:space="preserve">.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 </w:t>
      </w:r>
    </w:p>
    <w:p w14:paraId="0AE0C333" w14:textId="77777777" w:rsidR="007A28AA" w:rsidRPr="00C1432C" w:rsidRDefault="007A28AA" w:rsidP="00C1432C">
      <w:pPr>
        <w:spacing w:line="276" w:lineRule="auto"/>
        <w:contextualSpacing/>
        <w:jc w:val="both"/>
        <w:rPr>
          <w:rFonts w:ascii="Century Gothic" w:eastAsia="Century Gothic" w:hAnsi="Century Gothic" w:cs="Century Gothic"/>
          <w:sz w:val="22"/>
          <w:szCs w:val="22"/>
          <w:lang w:val="es-ES"/>
        </w:rPr>
      </w:pPr>
    </w:p>
    <w:p w14:paraId="11B96E70"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tal sentido, el artículo 4 del Decreto 399 de 2021 adicionó dos parágrafos transitorios al artículo 2.2.1.1.1.5.2 del Decreto 1082 de 2015, que a su vez fueron sustituidos por el artículo 1 del Decreto 579 del 31 de mayo de 2021</w:t>
      </w:r>
      <w:hyperlink r:id="rId29" w:anchor="_ftn19" w:history="1">
        <w:r w:rsidRPr="00C1432C">
          <w:rPr>
            <w:rFonts w:ascii="Century Gothic" w:eastAsia="Century Gothic" w:hAnsi="Century Gothic" w:cs="Century Gothic"/>
            <w:sz w:val="22"/>
            <w:szCs w:val="22"/>
            <w:lang w:val="es-ES"/>
          </w:rPr>
          <w:t>[19]</w:t>
        </w:r>
      </w:hyperlink>
      <w:r w:rsidRPr="00C1432C">
        <w:rPr>
          <w:rFonts w:ascii="Century Gothic" w:eastAsia="Century Gothic" w:hAnsi="Century Gothic" w:cs="Century Gothic"/>
          <w:sz w:val="22"/>
          <w:szCs w:val="22"/>
          <w:lang w:val="es-ES"/>
        </w:rPr>
        <w:t xml:space="preserve"> y posteriormente se adicionó un parágrafo transitorio adicional al artículo 2.2.1.1.1.5.2 del Decreto 1082 de 2015 por el artículo 1 del Decreto 1041 de 2022.</w:t>
      </w:r>
    </w:p>
    <w:p w14:paraId="70BCCAD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1CE825A"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C57D10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3A6B6AFF"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El parágrafo transitorio 2 señala que, en el año 2022, para la inscripción en el RUP o para su renovación, el interesado debe reportar la información contable y </w:t>
      </w:r>
      <w:r w:rsidRPr="00C1432C">
        <w:rPr>
          <w:rFonts w:ascii="Century Gothic" w:eastAsia="Century Gothic" w:hAnsi="Century Gothic" w:cs="Century Gothic"/>
          <w:sz w:val="22"/>
          <w:szCs w:val="22"/>
          <w:lang w:val="es-ES"/>
        </w:rPr>
        <w:lastRenderedPageBreak/>
        <w:t xml:space="preserve">los estados financieros de los tres últimos años fiscales. Además, reitera que, si aquel no cuenta con la información financiera de dichos años, por no tener la antigüedad suficiente, podrá aportar la información de su primer cierre fiscal. </w:t>
      </w:r>
    </w:p>
    <w:p w14:paraId="1B6CA39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5F48A3C"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 </w:t>
      </w:r>
    </w:p>
    <w:p w14:paraId="3B502F9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5167F238"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14:paraId="3B7CABC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BC420B1"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Posteriormente, el segundo parágrafo transitorio del artículo 2.2.1.1.1.5.6 del Decreto 1082 de 2015, modificado por el artículo 2 del Decreto 1041 del 21 de junio 2022 dispone que “El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 Como se observa, las normas anteriormente transcritas disponen que:</w:t>
      </w:r>
    </w:p>
    <w:p w14:paraId="15E1E2CB"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E26F1A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w:t>
      </w:r>
      <w:r w:rsidRPr="00C1432C">
        <w:rPr>
          <w:rFonts w:ascii="Century Gothic" w:eastAsia="Century Gothic" w:hAnsi="Century Gothic" w:cs="Century Gothic"/>
          <w:sz w:val="22"/>
          <w:szCs w:val="22"/>
          <w:lang w:val="es-ES"/>
        </w:rPr>
        <w:lastRenderedPageBreak/>
        <w:t>últimos tres (3) años fiscales anteriores al respectivo acto” o “desde su primer cierre fiscal”, según el caso.</w:t>
      </w:r>
    </w:p>
    <w:p w14:paraId="4428935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7126FB6"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487B41C"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954683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6525F5DA"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62FE52C"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iv) 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el mejor año fiscal que se refleje en el registro de cada proponente” (Énfasis fuera de texto). </w:t>
      </w:r>
    </w:p>
    <w:p w14:paraId="79D2A41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67789E0"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v) Dichas medidas se mantienen hasta el año 2023 en virtud de lo consagrado en el Decreto 1041 de 2022.</w:t>
      </w:r>
    </w:p>
    <w:p w14:paraId="0CFC325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2F11565"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w:t>
      </w:r>
      <w:r w:rsidRPr="00C1432C">
        <w:rPr>
          <w:rFonts w:ascii="Century Gothic" w:eastAsia="Century Gothic" w:hAnsi="Century Gothic" w:cs="Century Gothic"/>
          <w:sz w:val="22"/>
          <w:szCs w:val="22"/>
          <w:lang w:val="es-ES"/>
        </w:rPr>
        <w:lastRenderedPageBreak/>
        <w:t>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3F8755E" w14:textId="77777777" w:rsidR="007A28AA"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75CE6DF3"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48F924B0"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B5CEE35"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643C6401"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72B1317"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w:t>
      </w:r>
      <w:r w:rsidRPr="00C1432C">
        <w:rPr>
          <w:rFonts w:ascii="Century Gothic" w:eastAsia="Century Gothic" w:hAnsi="Century Gothic" w:cs="Century Gothic"/>
          <w:sz w:val="22"/>
          <w:szCs w:val="22"/>
          <w:lang w:val="es-ES"/>
        </w:rPr>
        <w:lastRenderedPageBreak/>
        <w:t>indicadores de los numerales 3 y 4 artículo 2.2.1.1.1.5.3 ibidem teniendo en cuenta el mejor año fiscal que se refleje en el registro de cada proponente.</w:t>
      </w:r>
    </w:p>
    <w:p w14:paraId="4384AF9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A8816CD"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71DF67D9"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29FE493"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1E2FD8B0" w14:textId="5587DC7F" w:rsidR="00C1432C" w:rsidRPr="00A91C92" w:rsidRDefault="00C1432C" w:rsidP="00C1432C">
      <w:pPr>
        <w:spacing w:line="276" w:lineRule="auto"/>
        <w:ind w:firstLine="708"/>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2C988DD0" w14:textId="77777777" w:rsidR="00C1432C" w:rsidRPr="00DB0609" w:rsidRDefault="00C1432C" w:rsidP="00C1432C">
      <w:pPr>
        <w:spacing w:line="276" w:lineRule="auto"/>
        <w:ind w:firstLine="708"/>
        <w:contextualSpacing/>
        <w:rPr>
          <w:rFonts w:ascii="Century Gothic" w:eastAsia="Century Gothic" w:hAnsi="Century Gothic" w:cs="Century Gothic"/>
          <w:color w:val="000000" w:themeColor="text1"/>
          <w:sz w:val="22"/>
          <w:szCs w:val="22"/>
        </w:rPr>
      </w:pPr>
      <w:r w:rsidRPr="00DB0609">
        <w:rPr>
          <w:rFonts w:ascii="Century Gothic" w:eastAsia="Century Gothic" w:hAnsi="Century Gothic" w:cs="Century Gothic"/>
          <w:color w:val="000000" w:themeColor="text1"/>
          <w:sz w:val="22"/>
          <w:szCs w:val="22"/>
        </w:rPr>
        <w:t xml:space="preserve">  </w:t>
      </w:r>
    </w:p>
    <w:p w14:paraId="73852F0A" w14:textId="77777777" w:rsidR="00C1432C" w:rsidRPr="00DB0609" w:rsidRDefault="00C1432C" w:rsidP="00C1432C">
      <w:pPr>
        <w:tabs>
          <w:tab w:val="left" w:pos="0"/>
        </w:tabs>
        <w:spacing w:line="257" w:lineRule="auto"/>
        <w:contextualSpacing/>
        <w:rPr>
          <w:rFonts w:ascii="Century Gothic" w:eastAsia="Century Gothic" w:hAnsi="Century Gothic" w:cs="Century Gothic"/>
          <w:b/>
          <w:bCs/>
          <w:color w:val="000000" w:themeColor="text1"/>
          <w:sz w:val="22"/>
          <w:szCs w:val="22"/>
        </w:rPr>
      </w:pPr>
      <w:r w:rsidRPr="00DB0609">
        <w:rPr>
          <w:rFonts w:ascii="Century Gothic" w:eastAsia="Century Gothic" w:hAnsi="Century Gothic" w:cs="Century Gothic"/>
          <w:b/>
          <w:bCs/>
          <w:color w:val="000000" w:themeColor="text1"/>
          <w:sz w:val="22"/>
          <w:szCs w:val="22"/>
        </w:rPr>
        <w:t>3. Respuesta</w:t>
      </w:r>
    </w:p>
    <w:p w14:paraId="576A819A" w14:textId="77777777" w:rsidR="00C1432C" w:rsidRPr="00A91C92" w:rsidRDefault="00C1432C" w:rsidP="00C1432C">
      <w:pPr>
        <w:spacing w:line="276" w:lineRule="auto"/>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5411A509" w14:textId="709912FD" w:rsidR="00C1432C" w:rsidRPr="00A91C92" w:rsidRDefault="007350CD" w:rsidP="007350CD">
      <w:pPr>
        <w:spacing w:line="276" w:lineRule="auto"/>
        <w:ind w:left="709" w:right="709"/>
        <w:contextualSpacing/>
        <w:jc w:val="both"/>
        <w:rPr>
          <w:rFonts w:ascii="Century Gothic" w:eastAsia="Century Gothic" w:hAnsi="Century Gothic" w:cs="Century Gothic"/>
          <w:color w:val="000000" w:themeColor="text1"/>
          <w:sz w:val="21"/>
          <w:szCs w:val="21"/>
        </w:rPr>
      </w:pPr>
      <w:r>
        <w:rPr>
          <w:rFonts w:ascii="Century Gothic" w:eastAsia="Century Gothic" w:hAnsi="Century Gothic" w:cs="Century Gothic"/>
          <w:color w:val="000000" w:themeColor="text1"/>
          <w:sz w:val="21"/>
          <w:szCs w:val="21"/>
        </w:rPr>
        <w:t>“</w:t>
      </w:r>
      <w:r w:rsidR="00984915">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se permite realizar la evaluacion Financiera y Organizacional conforme a los</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mejores indicadores de los últimos tres (3) años. de igual amnera el Decreto 1041</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del 2022 amplia esta condicion hasta el año 2023, pero a la fecha no tenemos</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certeza si esto aplica para el año 2024 o de lo contrario se sigue evaluando solo</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con el año inmediatamente anterior, solicitamos dar claridad ya que no hemos</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encontrado normatividad que nos permita continuar con plena certeza. De igual</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manera para estructurar los diferentes estudios del sector acorde a como se</w:t>
      </w:r>
      <w:r>
        <w:rPr>
          <w:rFonts w:ascii="Century Gothic" w:eastAsia="Century Gothic" w:hAnsi="Century Gothic" w:cs="Century Gothic"/>
          <w:color w:val="000000" w:themeColor="text1"/>
          <w:sz w:val="21"/>
          <w:szCs w:val="21"/>
        </w:rPr>
        <w:t xml:space="preserve"> </w:t>
      </w:r>
      <w:r w:rsidRPr="007350CD">
        <w:rPr>
          <w:rFonts w:ascii="Century Gothic" w:eastAsia="Century Gothic" w:hAnsi="Century Gothic" w:cs="Century Gothic"/>
          <w:color w:val="000000" w:themeColor="text1"/>
          <w:sz w:val="21"/>
          <w:szCs w:val="21"/>
        </w:rPr>
        <w:t>realizara la evaluacion para lograr coherencia</w:t>
      </w:r>
      <w:r w:rsidR="00984915">
        <w:rPr>
          <w:rFonts w:ascii="Century Gothic" w:eastAsia="Century Gothic" w:hAnsi="Century Gothic" w:cs="Century Gothic"/>
          <w:color w:val="000000" w:themeColor="text1"/>
          <w:sz w:val="21"/>
          <w:szCs w:val="21"/>
        </w:rPr>
        <w:t>”</w:t>
      </w:r>
    </w:p>
    <w:p w14:paraId="43F51ABE" w14:textId="77777777" w:rsidR="00C1432C" w:rsidRPr="00A91C92" w:rsidRDefault="00C1432C" w:rsidP="00C1432C">
      <w:pPr>
        <w:spacing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2D0FC80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lastRenderedPageBreak/>
        <w:t xml:space="preserve">De acuerdo con la interpretación general de las normas que conforman el sistema de compras públicas,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5178DE86"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720C6B0C"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4FDA6C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2AA9A62B"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31F4E46F"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Estas normas transitorias no perdieron su vigencia con la finalización de la emergencia sanitaria, pues el Decreto 1041 de 2022 –al prorrogar las medidas de los Decretos 399 y 579 de 2021– las extendió durante el 2023, vigencia fiscal que </w:t>
      </w:r>
      <w:r w:rsidRPr="00C1432C">
        <w:rPr>
          <w:rFonts w:ascii="Century Gothic" w:eastAsia="Century Gothic" w:hAnsi="Century Gothic" w:cs="Century Gothic"/>
          <w:sz w:val="22"/>
          <w:szCs w:val="22"/>
          <w:lang w:val="es-ES"/>
        </w:rPr>
        <w:lastRenderedPageBreak/>
        <w:t>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651E4B6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AEC47A0"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6D2C26E5" w14:textId="77777777" w:rsidR="007350CD" w:rsidRDefault="007350CD" w:rsidP="3CE3460D">
      <w:pPr>
        <w:spacing w:line="276" w:lineRule="auto"/>
        <w:jc w:val="both"/>
        <w:rPr>
          <w:rFonts w:ascii="Century Gothic" w:eastAsia="Century Gothic" w:hAnsi="Century Gothic" w:cs="Century Gothic"/>
          <w:sz w:val="22"/>
          <w:szCs w:val="22"/>
        </w:rPr>
      </w:pPr>
    </w:p>
    <w:p w14:paraId="44F680FA" w14:textId="3ECFF75F" w:rsidR="007350CD" w:rsidRDefault="007350CD" w:rsidP="007350CD">
      <w:pPr>
        <w:spacing w:line="276" w:lineRule="auto"/>
        <w:ind w:firstLine="708"/>
        <w:jc w:val="both"/>
        <w:rPr>
          <w:rFonts w:ascii="Century Gothic" w:eastAsia="Century Gothic" w:hAnsi="Century Gothic" w:cs="Century Gothic"/>
          <w:sz w:val="22"/>
          <w:szCs w:val="22"/>
          <w:lang w:val="es-ES"/>
        </w:rPr>
      </w:pPr>
      <w:r w:rsidRPr="007350CD">
        <w:rPr>
          <w:rFonts w:ascii="Century Gothic" w:eastAsia="Century Gothic" w:hAnsi="Century Gothic" w:cs="Century Gothic"/>
          <w:sz w:val="22"/>
          <w:szCs w:val="22"/>
          <w:lang w:val="es-ES"/>
        </w:rPr>
        <w:t>De igual forma, resulta valido afirmar que la posibilidad que tenían los oferentes de acreditar el mejor año fiscal de los tres últimos registrados en el RUP, finalizo el último día de la vigencia 2023, en consecuencia y en observancia del derecho a la igualdad con aquellos oferentes que en la vigencia 2024 ya se han inscrito o renovado su RUP y solo cuentan en el mismo con la información del último año fiscal, las entidades deben estructurar la solicitud de indicadores financieros para sus procesos con referencia a lo dispuesto en los numerales 1.3 y 2.3 del artículo 2.2.1.1.1.5.2 del Decreto 1082 de 2015</w:t>
      </w:r>
      <w:r>
        <w:rPr>
          <w:rFonts w:ascii="Century Gothic" w:eastAsia="Century Gothic" w:hAnsi="Century Gothic" w:cs="Century Gothic"/>
          <w:sz w:val="22"/>
          <w:szCs w:val="22"/>
          <w:lang w:val="es-ES"/>
        </w:rPr>
        <w:t>.</w:t>
      </w:r>
    </w:p>
    <w:p w14:paraId="1A5B1815" w14:textId="77777777" w:rsidR="007350CD" w:rsidRPr="007350CD" w:rsidRDefault="007350CD" w:rsidP="3CE3460D">
      <w:pPr>
        <w:spacing w:line="276" w:lineRule="auto"/>
        <w:jc w:val="both"/>
        <w:rPr>
          <w:rFonts w:ascii="Century Gothic" w:eastAsia="Century Gothic" w:hAnsi="Century Gothic" w:cs="Century Gothic"/>
          <w:sz w:val="22"/>
          <w:szCs w:val="22"/>
          <w:lang w:val="es-ES"/>
        </w:rPr>
      </w:pPr>
    </w:p>
    <w:p w14:paraId="547B8A7A" w14:textId="7AE24A00" w:rsidR="0005405C" w:rsidRPr="00781AC2" w:rsidRDefault="0005405C" w:rsidP="3CE3460D">
      <w:pPr>
        <w:spacing w:line="276" w:lineRule="auto"/>
        <w:jc w:val="both"/>
        <w:rPr>
          <w:rFonts w:ascii="Century Gothic" w:eastAsia="Century Gothic" w:hAnsi="Century Gothic" w:cs="Century Gothic"/>
          <w:sz w:val="22"/>
          <w:szCs w:val="22"/>
          <w:lang w:val="es-ES"/>
        </w:rPr>
      </w:pPr>
      <w:r w:rsidRPr="3CE3460D">
        <w:rPr>
          <w:rFonts w:ascii="Century Gothic" w:eastAsia="Century Gothic" w:hAnsi="Century Gothic" w:cs="Century Gothic"/>
          <w:sz w:val="22"/>
          <w:szCs w:val="22"/>
          <w:lang w:val="es-ES"/>
        </w:rPr>
        <w:t>Este concepto tiene el alcance previsto en el artículo 28 del Código de Procedimiento Administrativo y de lo Contencioso Administrativo</w:t>
      </w:r>
      <w:r w:rsidR="00B2709C" w:rsidRPr="3CE3460D">
        <w:rPr>
          <w:rFonts w:ascii="Century Gothic" w:eastAsia="Century Gothic" w:hAnsi="Century Gothic" w:cs="Century Gothic"/>
          <w:sz w:val="22"/>
          <w:szCs w:val="22"/>
          <w:lang w:val="es-ES"/>
        </w:rPr>
        <w:t xml:space="preserve"> y las expresiones aquí utilizadas con mayúscula inicial deben ser entendidas con el significado que les otorga el artículo 2.2.1.1.1.3.1. del Decreto 1082 de 2015</w:t>
      </w:r>
      <w:r w:rsidRPr="3CE3460D">
        <w:rPr>
          <w:rFonts w:ascii="Century Gothic" w:eastAsia="Century Gothic" w:hAnsi="Century Gothic" w:cs="Century Gothic"/>
          <w:sz w:val="22"/>
          <w:szCs w:val="22"/>
          <w:lang w:val="es-ES"/>
        </w:rPr>
        <w:t>.</w:t>
      </w:r>
    </w:p>
    <w:p w14:paraId="227C46A2" w14:textId="77777777" w:rsidR="0005405C" w:rsidRPr="00781AC2" w:rsidRDefault="0005405C"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p>
    <w:p w14:paraId="14AE864D" w14:textId="77777777" w:rsidR="0005405C" w:rsidRDefault="0005405C"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r w:rsidRPr="3CE3460D">
        <w:rPr>
          <w:rFonts w:ascii="Century Gothic" w:eastAsia="Century Gothic" w:hAnsi="Century Gothic" w:cs="Century Gothic"/>
          <w:sz w:val="22"/>
          <w:szCs w:val="22"/>
          <w:lang w:val="es-ES"/>
        </w:rPr>
        <w:t>Atentamente,</w:t>
      </w:r>
    </w:p>
    <w:p w14:paraId="397C3DE1" w14:textId="77777777" w:rsidR="00B97E23" w:rsidRPr="00781AC2" w:rsidRDefault="00B97E23"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p>
    <w:p w14:paraId="0662FC76" w14:textId="0C61C600" w:rsidR="0005405C" w:rsidRPr="007A28AA" w:rsidRDefault="004A7F98" w:rsidP="3CE3460D">
      <w:pPr>
        <w:spacing w:before="240" w:after="120" w:line="276" w:lineRule="auto"/>
        <w:jc w:val="center"/>
        <w:rPr>
          <w:rFonts w:ascii="Century Gothic" w:eastAsia="Century Gothic" w:hAnsi="Century Gothic" w:cs="Century Gothic"/>
        </w:rPr>
      </w:pPr>
      <w:r>
        <w:rPr>
          <w:rFonts w:ascii="Century Gothic" w:hAnsi="Century Gothic"/>
          <w:b/>
          <w:bCs/>
          <w:noProof/>
          <w:lang w:val="es-MX"/>
        </w:rPr>
        <w:lastRenderedPageBreak/>
        <w:drawing>
          <wp:inline distT="0" distB="0" distL="0" distR="0" wp14:anchorId="1DF5AD3E" wp14:editId="7503E2AF">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7A28AA" w:rsidRPr="007A28AA" w14:paraId="59AFB63B" w14:textId="77777777" w:rsidTr="3CE3460D">
        <w:trPr>
          <w:trHeight w:val="286"/>
        </w:trPr>
        <w:tc>
          <w:tcPr>
            <w:tcW w:w="817" w:type="dxa"/>
            <w:vAlign w:val="center"/>
          </w:tcPr>
          <w:p w14:paraId="1E7BEF18" w14:textId="77777777" w:rsidR="00F51F9C" w:rsidRPr="007A28AA" w:rsidRDefault="00F51F9C" w:rsidP="3CE3460D">
            <w:pPr>
              <w:rPr>
                <w:rFonts w:ascii="Century Gothic" w:eastAsia="Century Gothic" w:hAnsi="Century Gothic" w:cs="Century Gothic"/>
                <w:sz w:val="16"/>
                <w:szCs w:val="16"/>
              </w:rPr>
            </w:pPr>
            <w:r w:rsidRPr="007A28AA">
              <w:rPr>
                <w:rFonts w:ascii="Century Gothic" w:eastAsia="Century Gothic" w:hAnsi="Century Gothic" w:cs="Century Gothic"/>
                <w:sz w:val="16"/>
                <w:szCs w:val="16"/>
              </w:rPr>
              <w:t>Elaboró:</w:t>
            </w:r>
          </w:p>
        </w:tc>
        <w:tc>
          <w:tcPr>
            <w:tcW w:w="5010" w:type="dxa"/>
            <w:tcBorders>
              <w:bottom w:val="dotted" w:sz="4" w:space="0" w:color="7F7F7F" w:themeColor="text1" w:themeTint="80"/>
            </w:tcBorders>
            <w:vAlign w:val="center"/>
          </w:tcPr>
          <w:p w14:paraId="5E13BDDA" w14:textId="4AB1CD76" w:rsidR="00F51F9C" w:rsidRPr="007A28AA" w:rsidRDefault="00F51F9C" w:rsidP="3CE3460D">
            <w:pPr>
              <w:pStyle w:val="paragraph"/>
              <w:spacing w:before="0" w:beforeAutospacing="0" w:after="0" w:afterAutospacing="0"/>
              <w:textAlignment w:val="baseline"/>
              <w:divId w:val="853616874"/>
              <w:rPr>
                <w:rStyle w:val="normaltextrun"/>
                <w:rFonts w:eastAsia="Century Gothic"/>
                <w:sz w:val="16"/>
                <w:szCs w:val="16"/>
              </w:rPr>
            </w:pPr>
            <w:r w:rsidRPr="007A28AA">
              <w:rPr>
                <w:rStyle w:val="normaltextrun"/>
                <w:rFonts w:ascii="Century Gothic" w:eastAsia="Century Gothic" w:hAnsi="Century Gothic" w:cs="Century Gothic"/>
                <w:sz w:val="16"/>
                <w:szCs w:val="16"/>
              </w:rPr>
              <w:t xml:space="preserve">Diana </w:t>
            </w:r>
            <w:r w:rsidR="007A28AA" w:rsidRPr="007A28AA">
              <w:rPr>
                <w:rStyle w:val="normaltextrun"/>
                <w:rFonts w:ascii="Century Gothic" w:eastAsia="Century Gothic" w:hAnsi="Century Gothic" w:cs="Century Gothic"/>
                <w:sz w:val="16"/>
                <w:szCs w:val="16"/>
              </w:rPr>
              <w:t xml:space="preserve">Carolina Blanco Rodriguez </w:t>
            </w:r>
            <w:r w:rsidRPr="007A28AA">
              <w:rPr>
                <w:rStyle w:val="normaltextrun"/>
                <w:rFonts w:eastAsia="Century Gothic"/>
              </w:rPr>
              <w:t> </w:t>
            </w:r>
          </w:p>
          <w:p w14:paraId="366735E7" w14:textId="77777777" w:rsidR="00F51F9C" w:rsidRPr="007A28AA" w:rsidRDefault="00F51F9C" w:rsidP="3CE3460D">
            <w:pPr>
              <w:pStyle w:val="paragraph"/>
              <w:spacing w:before="0" w:beforeAutospacing="0" w:after="0" w:afterAutospacing="0"/>
              <w:textAlignment w:val="baseline"/>
              <w:divId w:val="454956224"/>
              <w:rPr>
                <w:rFonts w:ascii="Century Gothic" w:eastAsia="Century Gothic" w:hAnsi="Century Gothic" w:cs="Century Gothic"/>
                <w:sz w:val="18"/>
                <w:szCs w:val="18"/>
              </w:rPr>
            </w:pPr>
            <w:r w:rsidRPr="007A28AA">
              <w:rPr>
                <w:rStyle w:val="normaltextrun"/>
                <w:rFonts w:ascii="Century Gothic" w:eastAsia="Century Gothic" w:hAnsi="Century Gothic" w:cs="Century Gothic"/>
                <w:sz w:val="16"/>
                <w:szCs w:val="16"/>
              </w:rPr>
              <w:t>Contratista de la Subdirección de Gestión Contractual</w:t>
            </w:r>
            <w:r w:rsidRPr="007A28AA">
              <w:rPr>
                <w:rStyle w:val="eop"/>
                <w:rFonts w:ascii="Century Gothic" w:eastAsia="Century Gothic" w:hAnsi="Century Gothic" w:cs="Century Gothic"/>
                <w:sz w:val="16"/>
                <w:szCs w:val="16"/>
              </w:rPr>
              <w:t> </w:t>
            </w:r>
          </w:p>
          <w:p w14:paraId="7450C558" w14:textId="76091E5C" w:rsidR="00F51F9C" w:rsidRPr="007A28AA" w:rsidRDefault="00F51F9C" w:rsidP="3CE3460D">
            <w:pPr>
              <w:rPr>
                <w:rFonts w:ascii="Century Gothic" w:eastAsia="Century Gothic" w:hAnsi="Century Gothic" w:cs="Century Gothic"/>
                <w:sz w:val="16"/>
                <w:szCs w:val="16"/>
              </w:rPr>
            </w:pPr>
          </w:p>
        </w:tc>
      </w:tr>
      <w:tr w:rsidR="007A28AA" w:rsidRPr="007A28AA" w14:paraId="269B33F3" w14:textId="77777777" w:rsidTr="3CE3460D">
        <w:trPr>
          <w:trHeight w:val="286"/>
        </w:trPr>
        <w:tc>
          <w:tcPr>
            <w:tcW w:w="817" w:type="dxa"/>
            <w:vAlign w:val="center"/>
          </w:tcPr>
          <w:p w14:paraId="44EED99D" w14:textId="77777777" w:rsidR="00F51F9C" w:rsidRPr="007A28AA" w:rsidRDefault="00F51F9C" w:rsidP="3CE3460D">
            <w:pPr>
              <w:rPr>
                <w:rFonts w:ascii="Century Gothic" w:eastAsia="Century Gothic" w:hAnsi="Century Gothic" w:cs="Century Gothic"/>
                <w:sz w:val="16"/>
                <w:szCs w:val="16"/>
              </w:rPr>
            </w:pPr>
            <w:r w:rsidRPr="007A28AA">
              <w:rPr>
                <w:rFonts w:ascii="Century Gothic" w:eastAsia="Century Gothic" w:hAnsi="Century Gothic" w:cs="Century Gothic"/>
                <w:sz w:val="16"/>
                <w:szCs w:val="16"/>
              </w:rPr>
              <w:t>Revisó:</w:t>
            </w:r>
          </w:p>
        </w:tc>
        <w:tc>
          <w:tcPr>
            <w:tcW w:w="5010" w:type="dxa"/>
            <w:tcBorders>
              <w:bottom w:val="dotted" w:sz="4" w:space="0" w:color="7F7F7F" w:themeColor="text1" w:themeTint="80"/>
            </w:tcBorders>
            <w:vAlign w:val="center"/>
          </w:tcPr>
          <w:p w14:paraId="63AED8DD" w14:textId="4C4B9371" w:rsidR="00F51F9C" w:rsidRPr="007A28AA" w:rsidRDefault="007A28AA" w:rsidP="3CE3460D">
            <w:pPr>
              <w:pStyle w:val="paragraph"/>
              <w:spacing w:before="0" w:beforeAutospacing="0" w:after="0" w:afterAutospacing="0"/>
              <w:textAlignment w:val="baseline"/>
              <w:divId w:val="1856840831"/>
              <w:rPr>
                <w:rStyle w:val="normaltextrun"/>
                <w:rFonts w:ascii="Century Gothic" w:eastAsia="Century Gothic" w:hAnsi="Century Gothic" w:cs="Century Gothic"/>
                <w:sz w:val="16"/>
                <w:szCs w:val="16"/>
              </w:rPr>
            </w:pPr>
            <w:r>
              <w:rPr>
                <w:rStyle w:val="normaltextrun"/>
                <w:rFonts w:ascii="Century Gothic" w:eastAsia="Century Gothic" w:hAnsi="Century Gothic" w:cs="Century Gothic"/>
                <w:sz w:val="16"/>
                <w:szCs w:val="16"/>
              </w:rPr>
              <w:t>M</w:t>
            </w:r>
            <w:r w:rsidRPr="007A28AA">
              <w:rPr>
                <w:rStyle w:val="normaltextrun"/>
                <w:rFonts w:ascii="Century Gothic" w:eastAsia="Century Gothic" w:hAnsi="Century Gothic" w:cs="Century Gothic"/>
                <w:sz w:val="16"/>
                <w:szCs w:val="16"/>
              </w:rPr>
              <w:t xml:space="preserve">artha Alicia Romero Vargas </w:t>
            </w:r>
          </w:p>
          <w:p w14:paraId="398B0DBF" w14:textId="30A8CD06" w:rsidR="00F51F9C" w:rsidRPr="007A28AA" w:rsidRDefault="007A28AA" w:rsidP="3CE3460D">
            <w:pPr>
              <w:rPr>
                <w:rFonts w:ascii="Century Gothic" w:eastAsia="Century Gothic" w:hAnsi="Century Gothic" w:cs="Century Gothic"/>
                <w:sz w:val="16"/>
                <w:szCs w:val="16"/>
              </w:rPr>
            </w:pPr>
            <w:r>
              <w:rPr>
                <w:rStyle w:val="normaltextrun"/>
                <w:rFonts w:ascii="Century Gothic" w:eastAsia="Century Gothic" w:hAnsi="Century Gothic" w:cs="Century Gothic"/>
                <w:sz w:val="16"/>
                <w:szCs w:val="16"/>
                <w:lang w:eastAsia="es-CO"/>
              </w:rPr>
              <w:t>Gestor T1-15</w:t>
            </w:r>
            <w:r w:rsidRPr="007A28AA">
              <w:rPr>
                <w:rStyle w:val="normaltextrun"/>
                <w:rFonts w:ascii="Century Gothic" w:eastAsia="Century Gothic" w:hAnsi="Century Gothic" w:cs="Century Gothic"/>
                <w:sz w:val="16"/>
                <w:szCs w:val="16"/>
                <w:lang w:eastAsia="es-CO"/>
              </w:rPr>
              <w:t xml:space="preserve"> </w:t>
            </w:r>
            <w:r w:rsidR="00F51F9C" w:rsidRPr="007A28AA">
              <w:rPr>
                <w:rStyle w:val="normaltextrun"/>
                <w:rFonts w:ascii="Century Gothic" w:eastAsia="Century Gothic" w:hAnsi="Century Gothic" w:cs="Century Gothic"/>
                <w:sz w:val="16"/>
                <w:szCs w:val="16"/>
                <w:lang w:eastAsia="es-CO"/>
              </w:rPr>
              <w:t>de la Subdirección de Gestión Contractual</w:t>
            </w:r>
            <w:r w:rsidR="00F51F9C" w:rsidRPr="007A28AA">
              <w:rPr>
                <w:rStyle w:val="eop"/>
                <w:rFonts w:ascii="Century Gothic" w:eastAsia="Century Gothic" w:hAnsi="Century Gothic" w:cs="Century Gothic"/>
                <w:sz w:val="16"/>
                <w:szCs w:val="16"/>
              </w:rPr>
              <w:t> </w:t>
            </w:r>
          </w:p>
        </w:tc>
      </w:tr>
      <w:tr w:rsidR="00F304EA" w:rsidRPr="00F304EA" w14:paraId="02F0FF8A" w14:textId="77777777" w:rsidTr="3CE3460D">
        <w:trPr>
          <w:trHeight w:val="299"/>
        </w:trPr>
        <w:tc>
          <w:tcPr>
            <w:tcW w:w="817" w:type="dxa"/>
            <w:vAlign w:val="center"/>
          </w:tcPr>
          <w:p w14:paraId="2B24C9C5" w14:textId="77777777" w:rsidR="0005405C" w:rsidRPr="00781AC2"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Aprobó:</w:t>
            </w:r>
          </w:p>
        </w:tc>
        <w:tc>
          <w:tcPr>
            <w:tcW w:w="5010" w:type="dxa"/>
            <w:tcBorders>
              <w:top w:val="dotted" w:sz="4" w:space="0" w:color="7F7F7F" w:themeColor="text1" w:themeTint="80"/>
              <w:bottom w:val="dotted" w:sz="4" w:space="0" w:color="7F7F7F" w:themeColor="text1" w:themeTint="80"/>
            </w:tcBorders>
            <w:vAlign w:val="center"/>
          </w:tcPr>
          <w:p w14:paraId="3D5D51E6" w14:textId="77777777" w:rsidR="0005405C" w:rsidRPr="00781AC2"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Nohelia Del Carmen Zawady Palacio</w:t>
            </w:r>
          </w:p>
          <w:p w14:paraId="401BBB66" w14:textId="77777777" w:rsidR="0005405C" w:rsidRPr="00F304EA"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 xml:space="preserve">Subdirectora de Gestión Contractual ANCP – CCE </w:t>
            </w:r>
          </w:p>
        </w:tc>
      </w:tr>
    </w:tbl>
    <w:p w14:paraId="72880F8C" w14:textId="77777777" w:rsidR="0005405C" w:rsidRPr="00F304EA" w:rsidRDefault="0005405C" w:rsidP="3CE3460D">
      <w:pPr>
        <w:tabs>
          <w:tab w:val="left" w:pos="3795"/>
        </w:tabs>
        <w:rPr>
          <w:rFonts w:ascii="Century Gothic" w:eastAsia="Century Gothic" w:hAnsi="Century Gothic" w:cs="Century Gothic"/>
          <w:lang w:val="es-ES"/>
        </w:rPr>
      </w:pPr>
    </w:p>
    <w:p w14:paraId="68C95376" w14:textId="77777777" w:rsidR="0005405C" w:rsidRPr="00F304EA" w:rsidRDefault="0005405C" w:rsidP="3CE3460D">
      <w:pPr>
        <w:rPr>
          <w:rFonts w:ascii="Century Gothic" w:eastAsia="Century Gothic" w:hAnsi="Century Gothic" w:cs="Century Gothic"/>
        </w:rPr>
      </w:pPr>
    </w:p>
    <w:bookmarkEnd w:id="3"/>
    <w:p w14:paraId="605AEBAD" w14:textId="77777777" w:rsidR="00FB347B" w:rsidRDefault="00FB347B" w:rsidP="3CE3460D">
      <w:pPr>
        <w:rPr>
          <w:rFonts w:ascii="Century Gothic" w:eastAsia="Century Gothic" w:hAnsi="Century Gothic" w:cs="Century Gothic"/>
        </w:rPr>
      </w:pPr>
    </w:p>
    <w:p w14:paraId="6B802577" w14:textId="77777777" w:rsidR="007A28AA" w:rsidRDefault="007A28AA" w:rsidP="3CE3460D">
      <w:pPr>
        <w:rPr>
          <w:rFonts w:ascii="Century Gothic" w:eastAsia="Century Gothic" w:hAnsi="Century Gothic" w:cs="Century Gothic"/>
        </w:rPr>
      </w:pPr>
    </w:p>
    <w:p w14:paraId="21F4BAAA" w14:textId="77777777" w:rsidR="007A28AA" w:rsidRDefault="007A28AA" w:rsidP="3CE3460D">
      <w:pPr>
        <w:rPr>
          <w:rFonts w:ascii="Century Gothic" w:eastAsia="Century Gothic" w:hAnsi="Century Gothic" w:cs="Century Gothic"/>
        </w:rPr>
      </w:pPr>
    </w:p>
    <w:p w14:paraId="40CC3EF1" w14:textId="77777777" w:rsidR="007A28AA" w:rsidRDefault="007A28AA" w:rsidP="3CE3460D">
      <w:pPr>
        <w:rPr>
          <w:rFonts w:ascii="Century Gothic" w:eastAsia="Century Gothic" w:hAnsi="Century Gothic" w:cs="Century Gothic"/>
        </w:rPr>
      </w:pPr>
    </w:p>
    <w:p w14:paraId="2B5C2664" w14:textId="77777777" w:rsidR="007A28AA" w:rsidRDefault="007A28AA" w:rsidP="3CE3460D">
      <w:pPr>
        <w:rPr>
          <w:rFonts w:ascii="Century Gothic" w:eastAsia="Century Gothic" w:hAnsi="Century Gothic" w:cs="Century Gothic"/>
        </w:rPr>
      </w:pPr>
    </w:p>
    <w:p w14:paraId="020E664D" w14:textId="77777777" w:rsidR="007A28AA" w:rsidRDefault="007A28AA" w:rsidP="007A28AA">
      <w:pPr>
        <w:jc w:val="both"/>
        <w:rPr>
          <w:rFonts w:ascii="Century Gothic" w:eastAsia="Century Gothic" w:hAnsi="Century Gothic" w:cs="Century Gothic"/>
        </w:rPr>
      </w:pPr>
    </w:p>
    <w:p w14:paraId="7B6F2313"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31" w:anchor="_ftnref1" w:history="1">
        <w:r w:rsidR="007A28AA" w:rsidRPr="00DB0609">
          <w:rPr>
            <w:rStyle w:val="Hipervnculo"/>
            <w:rFonts w:ascii="Century Gothic" w:eastAsia="Century Gothic" w:hAnsi="Century Gothic" w:cs="Century Gothic"/>
            <w:sz w:val="14"/>
            <w:szCs w:val="14"/>
            <w:vertAlign w:val="superscript"/>
            <w:lang w:val="es-MX"/>
          </w:rPr>
          <w:t>[1]</w:t>
        </w:r>
      </w:hyperlink>
      <w:r w:rsidR="007A28AA" w:rsidRPr="00DB0609">
        <w:rPr>
          <w:rFonts w:ascii="Century Gothic" w:eastAsia="Century Gothic" w:hAnsi="Century Gothic" w:cs="Century Gothic"/>
          <w:sz w:val="14"/>
          <w:szCs w:val="14"/>
          <w:lang w:val="es-MX"/>
        </w:rPr>
        <w:t xml:space="preserve"> La Agencia Nacional de Contratación Pública </w:t>
      </w:r>
      <w:r w:rsidR="007A28AA" w:rsidRPr="00DB0609">
        <w:rPr>
          <w:sz w:val="14"/>
          <w:szCs w:val="14"/>
          <w:lang w:val="es-MX"/>
        </w:rPr>
        <w:t>‒</w:t>
      </w:r>
      <w:r w:rsidR="007A28AA" w:rsidRPr="00DB0609">
        <w:rPr>
          <w:rFonts w:ascii="Century Gothic" w:eastAsia="Century Gothic" w:hAnsi="Century Gothic" w:cs="Century Gothic"/>
          <w:sz w:val="14"/>
          <w:szCs w:val="14"/>
          <w:lang w:val="es-MX"/>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7A28AA" w:rsidRPr="00DB0609">
        <w:rPr>
          <w:rFonts w:ascii="Century Gothic" w:eastAsia="Century Gothic" w:hAnsi="Century Gothic" w:cs="Century Gothic"/>
          <w:i/>
          <w:iCs/>
          <w:sz w:val="14"/>
          <w:szCs w:val="14"/>
          <w:lang w:val="es-MX"/>
        </w:rPr>
        <w:t xml:space="preserve">ibidem </w:t>
      </w:r>
      <w:r w:rsidR="007A28AA" w:rsidRPr="00DB0609">
        <w:rPr>
          <w:rFonts w:ascii="Century Gothic" w:eastAsia="Century Gothic" w:hAnsi="Century Gothic" w:cs="Century Gothic"/>
          <w:sz w:val="14"/>
          <w:szCs w:val="14"/>
          <w:lang w:val="es-MX"/>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1A18BD5" w14:textId="77777777" w:rsidR="007A28AA" w:rsidRPr="00DB0609" w:rsidRDefault="001D044A"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32" w:anchor="_ftnref2" w:history="1">
        <w:r w:rsidR="007A28AA" w:rsidRPr="00DB0609">
          <w:rPr>
            <w:rStyle w:val="Hipervnculo"/>
            <w:rFonts w:ascii="Century Gothic" w:eastAsia="Century Gothic" w:hAnsi="Century Gothic" w:cs="Century Gothic"/>
            <w:sz w:val="14"/>
            <w:szCs w:val="14"/>
            <w:vertAlign w:val="superscript"/>
            <w:lang w:val="es-MX"/>
          </w:rPr>
          <w:t>[2]</w:t>
        </w:r>
      </w:hyperlink>
      <w:r w:rsidR="007A28AA" w:rsidRPr="00DB0609">
        <w:rPr>
          <w:rFonts w:ascii="Century Gothic" w:eastAsia="Century Gothic" w:hAnsi="Century Gothic" w:cs="Century Gothic"/>
          <w:sz w:val="14"/>
          <w:szCs w:val="14"/>
          <w:lang w:val="es-MX"/>
        </w:rPr>
        <w:t xml:space="preserve"> Los conceptos referenciados, así como otros expedidos por la Subdirección se encuentran disponibles para consulta pública en el portal de relatoría de la Agencia, al cual se puede acceder a través del siguiente enlace: </w:t>
      </w:r>
      <w:hyperlink r:id="rId33" w:history="1">
        <w:r w:rsidR="007A28AA" w:rsidRPr="00DB0609">
          <w:rPr>
            <w:rStyle w:val="Hipervnculo"/>
            <w:rFonts w:ascii="Century Gothic" w:eastAsia="Century Gothic" w:hAnsi="Century Gothic" w:cs="Century Gothic"/>
            <w:sz w:val="14"/>
            <w:szCs w:val="14"/>
            <w:lang w:val="es-MX"/>
          </w:rPr>
          <w:t>https://relatoria.colombiacompra.gov.co/busqueda/conceptos</w:t>
        </w:r>
      </w:hyperlink>
      <w:r w:rsidR="007A28AA" w:rsidRPr="00DB0609">
        <w:rPr>
          <w:rFonts w:ascii="Century Gothic" w:eastAsia="Century Gothic" w:hAnsi="Century Gothic" w:cs="Century Gothic"/>
          <w:color w:val="0000FF"/>
          <w:sz w:val="14"/>
          <w:szCs w:val="14"/>
          <w:u w:val="single"/>
          <w:lang w:val="es-MX"/>
        </w:rPr>
        <w:t xml:space="preserve">. </w:t>
      </w:r>
      <w:r w:rsidR="007A28AA" w:rsidRPr="00DB0609">
        <w:rPr>
          <w:rFonts w:ascii="Century Gothic" w:eastAsia="Century Gothic" w:hAnsi="Century Gothic" w:cs="Century Gothic"/>
          <w:color w:val="000000" w:themeColor="text1"/>
          <w:sz w:val="14"/>
          <w:szCs w:val="14"/>
          <w:lang w:val="es-MX"/>
        </w:rPr>
        <w:t xml:space="preserve"> </w:t>
      </w:r>
    </w:p>
    <w:p w14:paraId="5D7E5500" w14:textId="77777777" w:rsidR="007A28AA" w:rsidRPr="00DB0609" w:rsidRDefault="001D044A" w:rsidP="007A28AA">
      <w:pPr>
        <w:spacing w:line="257" w:lineRule="auto"/>
        <w:ind w:firstLine="708"/>
        <w:contextualSpacing/>
        <w:jc w:val="both"/>
        <w:rPr>
          <w:rFonts w:ascii="Century Gothic" w:eastAsia="Century Gothic" w:hAnsi="Century Gothic" w:cs="Century Gothic"/>
          <w:color w:val="000000" w:themeColor="text1"/>
          <w:sz w:val="14"/>
          <w:szCs w:val="14"/>
        </w:rPr>
      </w:pPr>
      <w:hyperlink r:id="rId34" w:anchor="_ftnref3" w:history="1">
        <w:r w:rsidR="007A28AA" w:rsidRPr="00DB0609">
          <w:rPr>
            <w:rStyle w:val="Hipervnculo"/>
            <w:rFonts w:ascii="Century Gothic" w:eastAsia="Century Gothic" w:hAnsi="Century Gothic" w:cs="Century Gothic"/>
            <w:sz w:val="14"/>
            <w:szCs w:val="14"/>
            <w:vertAlign w:val="superscript"/>
          </w:rPr>
          <w:t>[3]</w:t>
        </w:r>
      </w:hyperlink>
      <w:r w:rsidR="007A28AA" w:rsidRPr="00DB0609">
        <w:rPr>
          <w:rFonts w:ascii="Century Gothic" w:eastAsia="Century Gothic" w:hAnsi="Century Gothic" w:cs="Century Gothic"/>
          <w:color w:val="000000" w:themeColor="text1"/>
          <w:sz w:val="14"/>
          <w:szCs w:val="14"/>
        </w:rPr>
        <w:t xml:space="preserve"> </w:t>
      </w:r>
      <w:r w:rsidR="007A28AA" w:rsidRPr="00DB0609">
        <w:rPr>
          <w:rFonts w:ascii="Century Gothic" w:eastAsia="Century Gothic" w:hAnsi="Century Gothic" w:cs="Century Gothic"/>
          <w:color w:val="000000" w:themeColor="text1"/>
          <w:sz w:val="14"/>
          <w:szCs w:val="14"/>
          <w:lang w:val="es"/>
        </w:rPr>
        <w:t xml:space="preserve">Art 6 Ley 1150 de 2007 </w:t>
      </w:r>
      <w:r w:rsidR="007A28AA" w:rsidRPr="00DB0609">
        <w:rPr>
          <w:rFonts w:ascii="Century Gothic" w:eastAsia="Century Gothic" w:hAnsi="Century Gothic" w:cs="Century Gothic"/>
          <w:i/>
          <w:iCs/>
          <w:color w:val="000000" w:themeColor="text1"/>
          <w:sz w:val="14"/>
          <w:szCs w:val="14"/>
        </w:rPr>
        <w:t>“</w:t>
      </w:r>
      <w:r w:rsidR="007A28AA" w:rsidRPr="00DB0609">
        <w:rPr>
          <w:rFonts w:ascii="Century Gothic" w:eastAsia="Century Gothic" w:hAnsi="Century Gothic" w:cs="Century Gothic"/>
          <w:color w:val="000000" w:themeColor="text1"/>
          <w:sz w:val="14"/>
          <w:szCs w:val="14"/>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28FCD1F"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1BCFC38"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En dicho registro constará la información relacionada con la experiencia, capacidad jurídica, financiera y de organización del proponente y su clasificación</w:t>
      </w:r>
      <w:r w:rsidRPr="00DB0609">
        <w:rPr>
          <w:rFonts w:ascii="Century Gothic" w:eastAsia="Century Gothic" w:hAnsi="Century Gothic" w:cs="Century Gothic"/>
          <w:i/>
          <w:iCs/>
          <w:color w:val="000000" w:themeColor="text1"/>
          <w:sz w:val="14"/>
          <w:szCs w:val="14"/>
        </w:rPr>
        <w:t>”</w:t>
      </w:r>
      <w:r w:rsidRPr="00DB0609">
        <w:rPr>
          <w:rFonts w:ascii="Century Gothic" w:eastAsia="Century Gothic" w:hAnsi="Century Gothic" w:cs="Century Gothic"/>
          <w:color w:val="000000" w:themeColor="text1"/>
          <w:sz w:val="14"/>
          <w:szCs w:val="14"/>
        </w:rPr>
        <w:t>.</w:t>
      </w:r>
    </w:p>
    <w:p w14:paraId="7A24E800" w14:textId="77777777" w:rsidR="007A28AA" w:rsidRPr="00DB0609" w:rsidRDefault="001D044A" w:rsidP="007A28AA">
      <w:pPr>
        <w:spacing w:line="257" w:lineRule="auto"/>
        <w:ind w:firstLine="708"/>
        <w:contextualSpacing/>
        <w:jc w:val="both"/>
        <w:rPr>
          <w:rFonts w:ascii="Century Gothic" w:eastAsia="Century Gothic" w:hAnsi="Century Gothic" w:cs="Century Gothic"/>
          <w:color w:val="000000" w:themeColor="text1"/>
          <w:sz w:val="14"/>
          <w:szCs w:val="14"/>
        </w:rPr>
      </w:pPr>
      <w:hyperlink r:id="rId35" w:anchor="_ftnref4" w:history="1">
        <w:r w:rsidR="007A28AA" w:rsidRPr="00DB0609">
          <w:rPr>
            <w:rStyle w:val="Hipervnculo"/>
            <w:rFonts w:ascii="Century Gothic" w:eastAsia="Century Gothic" w:hAnsi="Century Gothic" w:cs="Century Gothic"/>
            <w:sz w:val="14"/>
            <w:szCs w:val="14"/>
            <w:vertAlign w:val="superscript"/>
          </w:rPr>
          <w:t>[4]</w:t>
        </w:r>
      </w:hyperlink>
      <w:r w:rsidR="007A28AA" w:rsidRPr="00DB0609">
        <w:rPr>
          <w:rFonts w:ascii="Century Gothic" w:eastAsia="Century Gothic" w:hAnsi="Century Gothic" w:cs="Century Gothic"/>
          <w:color w:val="000000" w:themeColor="text1"/>
          <w:sz w:val="14"/>
          <w:szCs w:val="14"/>
        </w:rPr>
        <w:t xml:space="preserve"> </w:t>
      </w:r>
      <w:r w:rsidR="007A28AA" w:rsidRPr="00DB0609">
        <w:rPr>
          <w:rFonts w:ascii="Century Gothic" w:eastAsia="Century Gothic" w:hAnsi="Century Gothic" w:cs="Century Gothic"/>
          <w:i/>
          <w:iCs/>
          <w:color w:val="000000" w:themeColor="text1"/>
          <w:sz w:val="14"/>
          <w:szCs w:val="14"/>
        </w:rPr>
        <w:t>“</w:t>
      </w:r>
      <w:r w:rsidR="007A28AA" w:rsidRPr="00DB0609">
        <w:rPr>
          <w:rFonts w:ascii="Century Gothic" w:eastAsia="Century Gothic" w:hAnsi="Century Gothic" w:cs="Century Gothic"/>
          <w:color w:val="000000" w:themeColor="text1"/>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7A28AA" w:rsidRPr="00DB0609">
        <w:rPr>
          <w:rFonts w:ascii="Century Gothic" w:eastAsia="Century Gothic" w:hAnsi="Century Gothic" w:cs="Century Gothic"/>
          <w:i/>
          <w:iCs/>
          <w:sz w:val="14"/>
          <w:szCs w:val="14"/>
        </w:rPr>
        <w:t>”</w:t>
      </w:r>
      <w:r w:rsidR="007A28AA" w:rsidRPr="00DB0609">
        <w:rPr>
          <w:rFonts w:ascii="Century Gothic" w:eastAsia="Century Gothic" w:hAnsi="Century Gothic" w:cs="Century Gothic"/>
          <w:color w:val="000000" w:themeColor="text1"/>
          <w:sz w:val="14"/>
          <w:szCs w:val="14"/>
        </w:rPr>
        <w:t xml:space="preserve">. </w:t>
      </w:r>
    </w:p>
    <w:p w14:paraId="74E54B59"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36" w:anchor="_ftnref5" w:history="1">
        <w:r w:rsidR="007A28AA" w:rsidRPr="00DB0609">
          <w:rPr>
            <w:rStyle w:val="Hipervnculo"/>
            <w:rFonts w:ascii="Century Gothic" w:eastAsia="Century Gothic" w:hAnsi="Century Gothic" w:cs="Century Gothic"/>
            <w:sz w:val="14"/>
            <w:szCs w:val="14"/>
            <w:vertAlign w:val="superscript"/>
            <w:lang w:val="es-MX"/>
          </w:rPr>
          <w:t>[5]</w:t>
        </w:r>
      </w:hyperlink>
      <w:r w:rsidR="007A28AA" w:rsidRPr="00DB0609">
        <w:rPr>
          <w:rFonts w:ascii="Century Gothic" w:eastAsia="Century Gothic" w:hAnsi="Century Gothic" w:cs="Century Gothic"/>
          <w:sz w:val="14"/>
          <w:szCs w:val="14"/>
          <w:lang w:val="es-MX"/>
        </w:rPr>
        <w:t xml:space="preserve"> Para la realización de los respectivos análisis del sector de los Procesos de Contratación, esta Agencia recomienda tener en cuenta la última modificación de la </w:t>
      </w:r>
      <w:r w:rsidR="007A28AA" w:rsidRPr="00DB0609">
        <w:rPr>
          <w:rFonts w:ascii="Century Gothic" w:eastAsia="Century Gothic" w:hAnsi="Century Gothic" w:cs="Century Gothic"/>
          <w:i/>
          <w:iCs/>
          <w:sz w:val="14"/>
          <w:szCs w:val="14"/>
          <w:lang w:val="es-MX"/>
        </w:rPr>
        <w:t>“</w:t>
      </w:r>
      <w:r w:rsidR="007A28AA" w:rsidRPr="00DB0609">
        <w:rPr>
          <w:rFonts w:ascii="Century Gothic" w:eastAsia="Century Gothic" w:hAnsi="Century Gothic" w:cs="Century Gothic"/>
          <w:sz w:val="14"/>
          <w:szCs w:val="14"/>
          <w:lang w:val="es-MX"/>
        </w:rPr>
        <w:t>Guía de Elaboración de Estudios del Sector</w:t>
      </w:r>
      <w:r w:rsidR="007A28AA" w:rsidRPr="00DB0609">
        <w:rPr>
          <w:rFonts w:ascii="Century Gothic" w:eastAsia="Century Gothic" w:hAnsi="Century Gothic" w:cs="Century Gothic"/>
          <w:i/>
          <w:iCs/>
          <w:sz w:val="14"/>
          <w:szCs w:val="14"/>
          <w:lang w:val="es-MX"/>
        </w:rPr>
        <w:t xml:space="preserve">”, </w:t>
      </w:r>
      <w:r w:rsidR="007A28AA" w:rsidRPr="00DB0609">
        <w:rPr>
          <w:rFonts w:ascii="Century Gothic" w:eastAsia="Century Gothic" w:hAnsi="Century Gothic" w:cs="Century Gothic"/>
          <w:sz w:val="14"/>
          <w:szCs w:val="14"/>
          <w:lang w:val="es-MX"/>
        </w:rPr>
        <w:t xml:space="preserve">que puede ser consultada en el siguiente link: </w:t>
      </w:r>
      <w:hyperlink r:id="rId37" w:history="1">
        <w:r w:rsidR="007A28AA" w:rsidRPr="00DB0609">
          <w:rPr>
            <w:rStyle w:val="Hipervnculo"/>
            <w:rFonts w:ascii="Century Gothic" w:eastAsia="Century Gothic" w:hAnsi="Century Gothic" w:cs="Century Gothic"/>
            <w:sz w:val="14"/>
            <w:szCs w:val="14"/>
            <w:lang w:val="es-MX"/>
          </w:rPr>
          <w:t>https://www.colombiacompra.gov.co/sites/cce_public/files/cce_documentos/cce-eicp-gi-18._gees_v.2_2.pdf</w:t>
        </w:r>
      </w:hyperlink>
      <w:r w:rsidR="007A28AA" w:rsidRPr="00DB0609">
        <w:rPr>
          <w:rFonts w:ascii="Century Gothic" w:eastAsia="Century Gothic" w:hAnsi="Century Gothic" w:cs="Century Gothic"/>
          <w:sz w:val="14"/>
          <w:szCs w:val="14"/>
          <w:lang w:val="es-MX"/>
        </w:rPr>
        <w:t xml:space="preserve"> </w:t>
      </w:r>
    </w:p>
    <w:p w14:paraId="1B887F35"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38" w:anchor="_ftnref6" w:history="1">
        <w:r w:rsidR="007A28AA" w:rsidRPr="00DB0609">
          <w:rPr>
            <w:rStyle w:val="Hipervnculo"/>
            <w:rFonts w:ascii="Century Gothic" w:eastAsia="Century Gothic" w:hAnsi="Century Gothic" w:cs="Century Gothic"/>
            <w:sz w:val="14"/>
            <w:szCs w:val="14"/>
            <w:vertAlign w:val="superscript"/>
            <w:lang w:val="es-MX"/>
          </w:rPr>
          <w:t>[6]</w:t>
        </w:r>
      </w:hyperlink>
      <w:r w:rsidR="007A28AA" w:rsidRPr="00DB0609">
        <w:rPr>
          <w:rFonts w:ascii="Century Gothic" w:eastAsia="Century Gothic" w:hAnsi="Century Gothic" w:cs="Century Gothic"/>
          <w:sz w:val="14"/>
          <w:szCs w:val="14"/>
          <w:lang w:val="es-MX"/>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E84E10E"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39" w:anchor="_ftnref7" w:history="1">
        <w:r w:rsidR="007A28AA" w:rsidRPr="00DB0609">
          <w:rPr>
            <w:rStyle w:val="Hipervnculo"/>
            <w:rFonts w:ascii="Century Gothic" w:eastAsia="Century Gothic" w:hAnsi="Century Gothic" w:cs="Century Gothic"/>
            <w:sz w:val="14"/>
            <w:szCs w:val="14"/>
            <w:vertAlign w:val="superscript"/>
            <w:lang w:val="es-MX"/>
          </w:rPr>
          <w:t>[7]</w:t>
        </w:r>
      </w:hyperlink>
      <w:r w:rsidR="007A28AA" w:rsidRPr="00DB0609">
        <w:rPr>
          <w:rFonts w:ascii="Century Gothic" w:eastAsia="Century Gothic" w:hAnsi="Century Gothic" w:cs="Century Gothic"/>
          <w:sz w:val="14"/>
          <w:szCs w:val="14"/>
          <w:lang w:val="es-MX"/>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2ABAB6E5"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MX"/>
        </w:rPr>
      </w:pPr>
      <w:r w:rsidRPr="00DB0609">
        <w:rPr>
          <w:rFonts w:ascii="Century Gothic" w:eastAsia="Century Gothic" w:hAnsi="Century Gothic" w:cs="Century Gothic"/>
          <w:sz w:val="14"/>
          <w:szCs w:val="14"/>
          <w:lang w:val="es-MX"/>
        </w:rPr>
        <w:lastRenderedPageBreak/>
        <w:t>“Las Entidades Estatales no deben limitarse a determinar y aplicar de forma mecánica fórmulas financieras para determinar los indicadores. Deben conocer cada indicador, sus fórmulas de cálculo y su interpretación”.</w:t>
      </w:r>
    </w:p>
    <w:p w14:paraId="58073CBE"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40" w:anchor="_ftnref8" w:history="1">
        <w:r w:rsidR="007A28AA" w:rsidRPr="00DB0609">
          <w:rPr>
            <w:rStyle w:val="Hipervnculo"/>
            <w:rFonts w:ascii="Century Gothic" w:eastAsia="Century Gothic" w:hAnsi="Century Gothic" w:cs="Century Gothic"/>
            <w:sz w:val="14"/>
            <w:szCs w:val="14"/>
            <w:vertAlign w:val="superscript"/>
            <w:lang w:val="es-MX"/>
          </w:rPr>
          <w:t>[8]</w:t>
        </w:r>
      </w:hyperlink>
      <w:r w:rsidR="007A28AA" w:rsidRPr="00DB0609">
        <w:rPr>
          <w:rFonts w:ascii="Century Gothic" w:eastAsia="Century Gothic" w:hAnsi="Century Gothic" w:cs="Century Gothic"/>
          <w:sz w:val="14"/>
          <w:szCs w:val="14"/>
          <w:lang w:val="es-MX"/>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p w14:paraId="28B21ECA" w14:textId="77777777" w:rsidR="007A28AA" w:rsidRPr="00DB0609" w:rsidRDefault="001D044A" w:rsidP="007A28AA">
      <w:pPr>
        <w:shd w:val="clear" w:color="auto" w:fill="FFFFFF" w:themeFill="background1"/>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1" w:anchor="_ftnref9" w:history="1">
        <w:r w:rsidR="007A28AA" w:rsidRPr="00DB0609">
          <w:rPr>
            <w:rStyle w:val="Hipervnculo"/>
            <w:rFonts w:ascii="Century Gothic" w:eastAsia="Century Gothic" w:hAnsi="Century Gothic" w:cs="Century Gothic"/>
            <w:sz w:val="14"/>
            <w:szCs w:val="14"/>
            <w:vertAlign w:val="superscript"/>
          </w:rPr>
          <w:t>[9]</w:t>
        </w:r>
      </w:hyperlink>
      <w:r w:rsidR="007A28AA" w:rsidRPr="00DB0609">
        <w:rPr>
          <w:rFonts w:ascii="Century Gothic" w:eastAsia="Century Gothic" w:hAnsi="Century Gothic" w:cs="Century Gothic"/>
          <w:color w:val="000000" w:themeColor="text1"/>
          <w:sz w:val="14"/>
          <w:szCs w:val="14"/>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5453F616" w14:textId="77777777" w:rsidR="007A28AA" w:rsidRPr="00DB0609"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34148781" w14:textId="77777777" w:rsidR="007A28AA" w:rsidRPr="00DB0609"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29F2DB8" w14:textId="77777777" w:rsidR="007A28AA" w:rsidRPr="00DB0609"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7FA994C0" w14:textId="77777777" w:rsidR="007A28AA" w:rsidRPr="00DB0609"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27BC90B3"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Las mismas sanciones previstas en el inciso anterior se predicarán en el evento en que el Juez de lo Contencioso Administrativa declare la nulidad del acto de inscripción.</w:t>
      </w:r>
    </w:p>
    <w:p w14:paraId="0807DBC0"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La información contenida en el registro es pública y su consulta será gratuita”.</w:t>
      </w:r>
    </w:p>
    <w:p w14:paraId="30861B7C" w14:textId="77777777" w:rsidR="007A28AA" w:rsidRPr="00DB0609" w:rsidRDefault="001D044A"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2" w:anchor="_ftnref10" w:history="1">
        <w:r w:rsidR="007A28AA" w:rsidRPr="00DB0609">
          <w:rPr>
            <w:rStyle w:val="Hipervnculo"/>
            <w:rFonts w:ascii="Century Gothic" w:eastAsia="Century Gothic" w:hAnsi="Century Gothic" w:cs="Century Gothic"/>
            <w:sz w:val="14"/>
            <w:szCs w:val="14"/>
            <w:vertAlign w:val="superscript"/>
            <w:lang w:val="es-MX"/>
          </w:rPr>
          <w:t>[10]</w:t>
        </w:r>
      </w:hyperlink>
      <w:r w:rsidR="007A28AA" w:rsidRPr="00DB0609">
        <w:rPr>
          <w:rFonts w:ascii="Century Gothic" w:eastAsia="Century Gothic" w:hAnsi="Century Gothic" w:cs="Century Gothic"/>
          <w:color w:val="000000" w:themeColor="text1"/>
          <w:sz w:val="14"/>
          <w:szCs w:val="14"/>
          <w:lang w:val="es-MX"/>
        </w:rPr>
        <w:t>“Artículo 2.2.1.1.1.5.1. Inscripción, renovación, actualización y cancelación del RUP.</w:t>
      </w:r>
    </w:p>
    <w:p w14:paraId="23D92982"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w:t>
      </w:r>
    </w:p>
    <w:p w14:paraId="5D1A2250"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EA338D8" w14:textId="77777777" w:rsidR="007A28AA" w:rsidRPr="00DB0609"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 xml:space="preserve"> </w:t>
      </w:r>
    </w:p>
    <w:p w14:paraId="66C891E1" w14:textId="77777777" w:rsidR="007A28AA" w:rsidRPr="00DB0609" w:rsidRDefault="001D044A"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3" w:anchor="_ftnref11" w:history="1">
        <w:r w:rsidR="007A28AA" w:rsidRPr="00DB0609">
          <w:rPr>
            <w:rStyle w:val="Hipervnculo"/>
            <w:rFonts w:ascii="Century Gothic" w:eastAsia="Century Gothic" w:hAnsi="Century Gothic" w:cs="Century Gothic"/>
            <w:sz w:val="14"/>
            <w:szCs w:val="14"/>
            <w:vertAlign w:val="superscript"/>
            <w:lang w:val="es-MX"/>
          </w:rPr>
          <w:t>[11]</w:t>
        </w:r>
      </w:hyperlink>
      <w:r w:rsidR="007A28AA" w:rsidRPr="00DB0609">
        <w:rPr>
          <w:rFonts w:ascii="Century Gothic" w:eastAsia="Century Gothic" w:hAnsi="Century Gothic" w:cs="Century Gothic"/>
          <w:color w:val="000000" w:themeColor="text1"/>
          <w:sz w:val="14"/>
          <w:szCs w:val="14"/>
          <w:lang w:val="es-MX"/>
        </w:rPr>
        <w:t xml:space="preserve"> Consejo de Estado. Sección Tercera. Subsección A. Sentencia del 19 de septiembre de 2019. Exp. 59.432. C.P. Marta Nubia Velásquez Rico.</w:t>
      </w:r>
    </w:p>
    <w:p w14:paraId="379155A8" w14:textId="77777777" w:rsidR="007A28AA" w:rsidRPr="00DB0609" w:rsidRDefault="001D044A"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4" w:anchor="_ftnref12" w:history="1">
        <w:r w:rsidR="007A28AA" w:rsidRPr="00DB0609">
          <w:rPr>
            <w:rStyle w:val="Hipervnculo"/>
            <w:rFonts w:ascii="Century Gothic" w:eastAsia="Century Gothic" w:hAnsi="Century Gothic" w:cs="Century Gothic"/>
            <w:sz w:val="14"/>
            <w:szCs w:val="14"/>
            <w:vertAlign w:val="superscript"/>
            <w:lang w:val="es-MX"/>
          </w:rPr>
          <w:t>[12]</w:t>
        </w:r>
      </w:hyperlink>
      <w:r w:rsidR="007A28AA" w:rsidRPr="00DB0609">
        <w:rPr>
          <w:rFonts w:ascii="Century Gothic" w:eastAsia="Century Gothic" w:hAnsi="Century Gothic" w:cs="Century Gothic"/>
          <w:color w:val="000000" w:themeColor="text1"/>
          <w:sz w:val="14"/>
          <w:szCs w:val="14"/>
          <w:lang w:val="es-MX"/>
        </w:rPr>
        <w:t xml:space="preserve"> </w:t>
      </w:r>
      <w:r w:rsidR="007A28AA" w:rsidRPr="00DB0609">
        <w:rPr>
          <w:rFonts w:ascii="Century Gothic" w:eastAsia="Century Gothic" w:hAnsi="Century Gothic" w:cs="Century Gothic"/>
          <w:color w:val="000000" w:themeColor="text1"/>
          <w:sz w:val="14"/>
          <w:szCs w:val="14"/>
        </w:rPr>
        <w:t xml:space="preserve">“Artículo 87. Firmeza de los actos administrativos. Los actos administrativos quedarán en firme: </w:t>
      </w:r>
    </w:p>
    <w:p w14:paraId="5D8FDD9B"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1. Cuando contra ellos no proceda ningún recurso, desde el día siguiente al de su notificación, comunicación o publicación según el caso. </w:t>
      </w:r>
    </w:p>
    <w:p w14:paraId="73355966"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2. Desde el día siguiente a la publicación, comunicación o notificación de la decisión sobre los recursos interpuestos. </w:t>
      </w:r>
    </w:p>
    <w:p w14:paraId="60B392F1"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3. Desde el día siguiente al del vencimiento del término para interponer los recursos, si estos no fueron interpuestos, o se hubiere renunciado expresamente a ellos.</w:t>
      </w:r>
    </w:p>
    <w:p w14:paraId="64190F2D"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4. Desde el día siguiente al de la notificación de la aceptación del desistimiento de los recursos. </w:t>
      </w:r>
    </w:p>
    <w:p w14:paraId="30681335"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5. Desde el día siguiente al de la protocolización a que alude el artículo 85 para el silencio administrativo positivo”.</w:t>
      </w:r>
    </w:p>
    <w:p w14:paraId="23B59446" w14:textId="77777777" w:rsidR="007A28AA" w:rsidRPr="00DB0609" w:rsidRDefault="001D044A"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5" w:anchor="_ftnref13" w:history="1">
        <w:r w:rsidR="007A28AA" w:rsidRPr="00DB0609">
          <w:rPr>
            <w:rStyle w:val="Hipervnculo"/>
            <w:rFonts w:ascii="Century Gothic" w:eastAsia="Century Gothic" w:hAnsi="Century Gothic" w:cs="Century Gothic"/>
            <w:sz w:val="14"/>
            <w:szCs w:val="14"/>
            <w:vertAlign w:val="superscript"/>
            <w:lang w:val="es-MX"/>
          </w:rPr>
          <w:t>[13]</w:t>
        </w:r>
      </w:hyperlink>
      <w:r w:rsidR="007A28AA" w:rsidRPr="00DB0609">
        <w:rPr>
          <w:rFonts w:ascii="Century Gothic" w:eastAsia="Century Gothic" w:hAnsi="Century Gothic" w:cs="Century Gothic"/>
          <w:color w:val="000000" w:themeColor="text1"/>
          <w:sz w:val="14"/>
          <w:szCs w:val="14"/>
          <w:lang w:val="es-MX"/>
        </w:rPr>
        <w:t xml:space="preserve"> </w:t>
      </w:r>
      <w:r w:rsidR="007A28AA" w:rsidRPr="00DB0609">
        <w:rPr>
          <w:rFonts w:ascii="Century Gothic" w:eastAsia="Century Gothic" w:hAnsi="Century Gothic" w:cs="Century Gothic"/>
          <w:color w:val="000000" w:themeColor="text1"/>
          <w:sz w:val="14"/>
          <w:szCs w:val="14"/>
        </w:rPr>
        <w:t>Consejo de Estado. Sección Cuarta. Sentencia del 19 de noviembre de 1999. Exp. 9.453. CP. Daniel Manrique Guzmán.</w:t>
      </w:r>
    </w:p>
    <w:p w14:paraId="080607DE" w14:textId="77777777" w:rsidR="007A28AA" w:rsidRPr="00DB0609" w:rsidRDefault="001D044A"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6" w:anchor="_ftnref14" w:history="1">
        <w:r w:rsidR="007A28AA" w:rsidRPr="00DB0609">
          <w:rPr>
            <w:rStyle w:val="Hipervnculo"/>
            <w:rFonts w:ascii="Century Gothic" w:eastAsia="Century Gothic" w:hAnsi="Century Gothic" w:cs="Century Gothic"/>
            <w:sz w:val="14"/>
            <w:szCs w:val="14"/>
            <w:vertAlign w:val="superscript"/>
          </w:rPr>
          <w:t>[14]</w:t>
        </w:r>
      </w:hyperlink>
      <w:r w:rsidR="007A28AA" w:rsidRPr="00DB0609">
        <w:rPr>
          <w:rFonts w:ascii="Century Gothic" w:eastAsia="Century Gothic" w:hAnsi="Century Gothic" w:cs="Century Gothic"/>
          <w:color w:val="000000" w:themeColor="text1"/>
          <w:sz w:val="14"/>
          <w:szCs w:val="14"/>
        </w:rPr>
        <w:t xml:space="preserve"> Ley 1882 de 2018: “Artículo 5. Modifíquese el Parágrafo 1 e inclúyanse los parágrafos 3, 4 y 5 de artículo 5° de la Ley 1150 de 2007, los cuales quedarán así: </w:t>
      </w:r>
    </w:p>
    <w:p w14:paraId="6A68793B"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 </w:t>
      </w:r>
    </w:p>
    <w:p w14:paraId="44FFC55E"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Artículo 5°. De la selección objetiva. </w:t>
      </w:r>
    </w:p>
    <w:p w14:paraId="2343876F"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 </w:t>
      </w:r>
    </w:p>
    <w:p w14:paraId="70AF7075"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color w:val="000000" w:themeColor="text1"/>
          <w:sz w:val="14"/>
          <w:szCs w:val="14"/>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57A2F1E"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DB0609">
        <w:rPr>
          <w:rFonts w:ascii="Century Gothic" w:eastAsia="Century Gothic" w:hAnsi="Century Gothic" w:cs="Century Gothic"/>
          <w:i/>
          <w:iCs/>
          <w:color w:val="000000" w:themeColor="text1"/>
          <w:sz w:val="14"/>
          <w:szCs w:val="14"/>
        </w:rPr>
        <w:t>Durante el término otorgado para subsanar las ofertas, los proponentes no podrán acreditar circunstancias ocurridas con posterioridad al cierre del proceso”</w:t>
      </w:r>
      <w:r w:rsidRPr="00DB0609">
        <w:rPr>
          <w:rFonts w:ascii="Century Gothic" w:eastAsia="Century Gothic" w:hAnsi="Century Gothic" w:cs="Century Gothic"/>
          <w:color w:val="000000" w:themeColor="text1"/>
          <w:sz w:val="14"/>
          <w:szCs w:val="14"/>
        </w:rPr>
        <w:t xml:space="preserve"> (Énfasis fuera de texto).</w:t>
      </w:r>
    </w:p>
    <w:p w14:paraId="0B6E5A0F" w14:textId="77777777" w:rsidR="007A28AA" w:rsidRPr="00DB0609" w:rsidRDefault="001D044A"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7" w:anchor="_ftnref15" w:history="1">
        <w:r w:rsidR="007A28AA" w:rsidRPr="00DB0609">
          <w:rPr>
            <w:rStyle w:val="Hipervnculo"/>
            <w:rFonts w:ascii="Century Gothic" w:eastAsia="Century Gothic" w:hAnsi="Century Gothic" w:cs="Century Gothic"/>
            <w:sz w:val="14"/>
            <w:szCs w:val="14"/>
            <w:vertAlign w:val="superscript"/>
            <w:lang w:val="es-MX"/>
          </w:rPr>
          <w:t>[15]</w:t>
        </w:r>
      </w:hyperlink>
      <w:r w:rsidR="007A28AA" w:rsidRPr="00DB0609">
        <w:rPr>
          <w:rFonts w:ascii="Century Gothic" w:eastAsia="Century Gothic" w:hAnsi="Century Gothic" w:cs="Century Gothic"/>
          <w:color w:val="000000" w:themeColor="text1"/>
          <w:sz w:val="14"/>
          <w:szCs w:val="14"/>
          <w:lang w:val="es-MX"/>
        </w:rPr>
        <w:t xml:space="preserve"> </w:t>
      </w:r>
      <w:r w:rsidR="007A28AA" w:rsidRPr="00DB0609">
        <w:rPr>
          <w:rFonts w:ascii="Century Gothic" w:eastAsia="Century Gothic" w:hAnsi="Century Gothic" w:cs="Century Gothic"/>
          <w:color w:val="000000" w:themeColor="text1"/>
          <w:sz w:val="14"/>
          <w:szCs w:val="14"/>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007A28AA" w:rsidRPr="00DB0609">
        <w:rPr>
          <w:rFonts w:ascii="Century Gothic" w:eastAsia="Century Gothic" w:hAnsi="Century Gothic" w:cs="Century Gothic"/>
          <w:i/>
          <w:iCs/>
          <w:color w:val="000000" w:themeColor="text1"/>
          <w:sz w:val="14"/>
          <w:szCs w:val="14"/>
        </w:rPr>
        <w:t>ni que se acrediten circunstancias ocurridas con posterioridad al cierre del proceso</w:t>
      </w:r>
      <w:r w:rsidR="007A28AA" w:rsidRPr="00DB0609">
        <w:rPr>
          <w:rFonts w:ascii="Century Gothic" w:eastAsia="Century Gothic" w:hAnsi="Century Gothic" w:cs="Century Gothic"/>
          <w:color w:val="000000" w:themeColor="text1"/>
          <w:sz w:val="14"/>
          <w:szCs w:val="14"/>
        </w:rPr>
        <w:t>” (Énfasis fuera de texto).</w:t>
      </w:r>
    </w:p>
    <w:p w14:paraId="2381A1DB" w14:textId="77777777" w:rsidR="007A28AA" w:rsidRPr="00DB0609"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lang w:val="es-MX"/>
        </w:rPr>
      </w:pPr>
      <w:r w:rsidRPr="00DB0609">
        <w:rPr>
          <w:rFonts w:ascii="Century Gothic" w:eastAsia="Century Gothic" w:hAnsi="Century Gothic" w:cs="Century Gothic"/>
          <w:color w:val="000000" w:themeColor="text1"/>
          <w:sz w:val="14"/>
          <w:szCs w:val="14"/>
          <w:lang w:val="es-MX"/>
        </w:rPr>
        <w:t xml:space="preserve"> </w:t>
      </w:r>
    </w:p>
    <w:p w14:paraId="3F2B0F12" w14:textId="77777777" w:rsidR="007A28AA" w:rsidRPr="00DB0609" w:rsidRDefault="001D044A"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8" w:anchor="_ftnref16" w:history="1">
        <w:r w:rsidR="007A28AA" w:rsidRPr="00DB0609">
          <w:rPr>
            <w:rStyle w:val="Hipervnculo"/>
            <w:rFonts w:ascii="Century Gothic" w:eastAsia="Century Gothic" w:hAnsi="Century Gothic" w:cs="Century Gothic"/>
            <w:sz w:val="14"/>
            <w:szCs w:val="14"/>
            <w:vertAlign w:val="superscript"/>
            <w:lang w:val="es-MX"/>
          </w:rPr>
          <w:t>[16]</w:t>
        </w:r>
      </w:hyperlink>
      <w:r w:rsidR="007A28AA" w:rsidRPr="00DB0609">
        <w:rPr>
          <w:rFonts w:ascii="Century Gothic" w:eastAsia="Century Gothic" w:hAnsi="Century Gothic" w:cs="Century Gothic"/>
          <w:color w:val="000000" w:themeColor="text1"/>
          <w:sz w:val="14"/>
          <w:szCs w:val="14"/>
          <w:lang w:val="es-MX"/>
        </w:rPr>
        <w:t xml:space="preserve"> </w:t>
      </w:r>
      <w:r w:rsidR="007A28AA" w:rsidRPr="00DB0609">
        <w:rPr>
          <w:rFonts w:ascii="Century Gothic" w:eastAsia="Century Gothic" w:hAnsi="Century Gothic" w:cs="Century Gothic"/>
          <w:color w:val="000000" w:themeColor="text1"/>
          <w:sz w:val="14"/>
          <w:szCs w:val="14"/>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71EE0E70" w14:textId="77777777" w:rsidR="007A28AA" w:rsidRPr="00DB0609" w:rsidRDefault="001D044A" w:rsidP="007A28AA">
      <w:pPr>
        <w:spacing w:line="257" w:lineRule="auto"/>
        <w:ind w:firstLine="708"/>
        <w:contextualSpacing/>
        <w:jc w:val="both"/>
        <w:rPr>
          <w:rFonts w:ascii="Century Gothic" w:eastAsia="Century Gothic" w:hAnsi="Century Gothic" w:cs="Century Gothic"/>
          <w:sz w:val="14"/>
          <w:szCs w:val="14"/>
          <w:lang w:val="es-MX"/>
        </w:rPr>
      </w:pPr>
      <w:hyperlink r:id="rId49" w:anchor="_ftnref17" w:history="1">
        <w:r w:rsidR="007A28AA" w:rsidRPr="00DB0609">
          <w:rPr>
            <w:rStyle w:val="Hipervnculo"/>
            <w:rFonts w:ascii="Century Gothic" w:eastAsia="Century Gothic" w:hAnsi="Century Gothic" w:cs="Century Gothic"/>
            <w:sz w:val="14"/>
            <w:szCs w:val="14"/>
            <w:vertAlign w:val="superscript"/>
            <w:lang w:val="es-MX"/>
          </w:rPr>
          <w:t>[17]</w:t>
        </w:r>
      </w:hyperlink>
      <w:r w:rsidR="007A28AA" w:rsidRPr="00DB0609">
        <w:rPr>
          <w:rFonts w:ascii="Century Gothic" w:eastAsia="Century Gothic" w:hAnsi="Century Gothic" w:cs="Century Gothic"/>
          <w:sz w:val="14"/>
          <w:szCs w:val="14"/>
          <w:lang w:val="es-MX"/>
        </w:rPr>
        <w:t xml:space="preserve"> Decreto 1082 de 2015, artículo 2.2.1.1.1.5.1., citado previamente.</w:t>
      </w:r>
    </w:p>
    <w:p w14:paraId="54ACC3EA" w14:textId="77777777" w:rsidR="007A28AA" w:rsidRPr="00DB0609" w:rsidRDefault="001D044A" w:rsidP="007A28AA">
      <w:pPr>
        <w:spacing w:line="257" w:lineRule="auto"/>
        <w:ind w:firstLine="709"/>
        <w:contextualSpacing/>
        <w:jc w:val="both"/>
        <w:rPr>
          <w:rFonts w:ascii="Century Gothic" w:eastAsia="Century Gothic" w:hAnsi="Century Gothic" w:cs="Century Gothic"/>
          <w:sz w:val="14"/>
          <w:szCs w:val="14"/>
          <w:lang w:val="es"/>
        </w:rPr>
      </w:pPr>
      <w:hyperlink r:id="rId50" w:anchor="_ftnref18" w:history="1">
        <w:r w:rsidR="007A28AA" w:rsidRPr="00DB0609">
          <w:rPr>
            <w:rStyle w:val="Hipervnculo"/>
            <w:rFonts w:ascii="Century Gothic" w:eastAsia="Century Gothic" w:hAnsi="Century Gothic" w:cs="Century Gothic"/>
            <w:sz w:val="14"/>
            <w:szCs w:val="14"/>
            <w:vertAlign w:val="superscript"/>
            <w:lang w:val="es-MX"/>
          </w:rPr>
          <w:t>[18]</w:t>
        </w:r>
      </w:hyperlink>
      <w:r w:rsidR="007A28AA" w:rsidRPr="00DB0609">
        <w:rPr>
          <w:rFonts w:ascii="Century Gothic" w:eastAsia="Century Gothic" w:hAnsi="Century Gothic" w:cs="Century Gothic"/>
          <w:sz w:val="14"/>
          <w:szCs w:val="14"/>
          <w:lang w:val="es-MX"/>
        </w:rPr>
        <w:t xml:space="preserve"> En efecto</w:t>
      </w:r>
      <w:r w:rsidR="007A28AA" w:rsidRPr="00DB0609">
        <w:rPr>
          <w:rFonts w:ascii="Century Gothic" w:eastAsia="Century Gothic" w:hAnsi="Century Gothic" w:cs="Century Gothic"/>
          <w:sz w:val="14"/>
          <w:szCs w:val="14"/>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007A28AA" w:rsidRPr="00DB0609">
        <w:rPr>
          <w:rFonts w:ascii="Century Gothic" w:eastAsia="Century Gothic" w:hAnsi="Century Gothic" w:cs="Century Gothic"/>
          <w:i/>
          <w:iCs/>
          <w:sz w:val="14"/>
          <w:szCs w:val="14"/>
          <w:lang w:val="es"/>
        </w:rPr>
        <w:t>julio</w:t>
      </w:r>
      <w:r w:rsidR="007A28AA" w:rsidRPr="00DB0609">
        <w:rPr>
          <w:rFonts w:ascii="Century Gothic" w:eastAsia="Century Gothic" w:hAnsi="Century Gothic" w:cs="Century Gothic"/>
          <w:sz w:val="14"/>
          <w:szCs w:val="14"/>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02E4D123" w14:textId="77777777" w:rsidR="007A28AA" w:rsidRPr="00DB0609" w:rsidRDefault="001D044A" w:rsidP="007A28AA">
      <w:pPr>
        <w:spacing w:line="257" w:lineRule="auto"/>
        <w:ind w:firstLine="709"/>
        <w:contextualSpacing/>
        <w:jc w:val="both"/>
        <w:rPr>
          <w:rFonts w:ascii="Century Gothic" w:eastAsia="Century Gothic" w:hAnsi="Century Gothic" w:cs="Century Gothic"/>
          <w:sz w:val="14"/>
          <w:szCs w:val="14"/>
          <w:lang w:val="es"/>
        </w:rPr>
      </w:pPr>
      <w:hyperlink r:id="rId51" w:anchor="_ftnref19" w:history="1">
        <w:r w:rsidR="007A28AA" w:rsidRPr="00DB0609">
          <w:rPr>
            <w:rStyle w:val="Hipervnculo"/>
            <w:rFonts w:ascii="Century Gothic" w:eastAsia="Century Gothic" w:hAnsi="Century Gothic" w:cs="Century Gothic"/>
            <w:sz w:val="14"/>
            <w:szCs w:val="14"/>
            <w:vertAlign w:val="superscript"/>
            <w:lang w:val="es-MX"/>
          </w:rPr>
          <w:t>[19]</w:t>
        </w:r>
      </w:hyperlink>
      <w:r w:rsidR="007A28AA" w:rsidRPr="00DB0609">
        <w:rPr>
          <w:rFonts w:ascii="Century Gothic" w:eastAsia="Century Gothic" w:hAnsi="Century Gothic" w:cs="Century Gothic"/>
          <w:sz w:val="14"/>
          <w:szCs w:val="14"/>
          <w:lang w:val="es-MX"/>
        </w:rPr>
        <w:t xml:space="preserve"> </w:t>
      </w:r>
      <w:r w:rsidR="007A28AA" w:rsidRPr="00DB0609">
        <w:rPr>
          <w:rFonts w:ascii="Century Gothic" w:eastAsia="Century Gothic" w:hAnsi="Century Gothic" w:cs="Century Gothic"/>
          <w:sz w:val="14"/>
          <w:szCs w:val="14"/>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1F37D920"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i/>
          <w:iCs/>
          <w:color w:val="000000" w:themeColor="text1"/>
          <w:sz w:val="14"/>
          <w:szCs w:val="14"/>
        </w:rPr>
        <w:t>“</w:t>
      </w:r>
      <w:r w:rsidRPr="00DB0609">
        <w:rPr>
          <w:rFonts w:ascii="Century Gothic" w:eastAsia="Century Gothic" w:hAnsi="Century Gothic" w:cs="Century Gothic"/>
          <w:sz w:val="14"/>
          <w:szCs w:val="14"/>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3C9156F3"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sz w:val="14"/>
          <w:szCs w:val="14"/>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EC18D35"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sz w:val="14"/>
          <w:szCs w:val="14"/>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5252F76E"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sz w:val="14"/>
          <w:szCs w:val="14"/>
          <w:lang w:val="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53EB143F" w14:textId="77777777" w:rsidR="007A28AA" w:rsidRPr="00DB0609" w:rsidRDefault="007A28AA" w:rsidP="01D88FD5">
      <w:pPr>
        <w:spacing w:line="276" w:lineRule="auto"/>
        <w:ind w:firstLine="709"/>
        <w:contextualSpacing/>
        <w:jc w:val="both"/>
        <w:rPr>
          <w:rFonts w:ascii="Century Gothic" w:eastAsia="Century Gothic" w:hAnsi="Century Gothic" w:cs="Century Gothic"/>
          <w:sz w:val="14"/>
          <w:szCs w:val="14"/>
          <w:lang w:val="es-ES"/>
        </w:rPr>
      </w:pPr>
      <w:r w:rsidRPr="01D88FD5">
        <w:rPr>
          <w:rFonts w:ascii="Century Gothic" w:eastAsia="Century Gothic" w:hAnsi="Century Gothic" w:cs="Century Gothic"/>
          <w:sz w:val="14"/>
          <w:szCs w:val="14"/>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7C749431"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sz w:val="14"/>
          <w:szCs w:val="14"/>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F661DCE" w14:textId="77777777" w:rsidR="007A28AA" w:rsidRPr="00DB0609"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DB0609">
        <w:rPr>
          <w:rFonts w:ascii="Century Gothic" w:eastAsia="Century Gothic" w:hAnsi="Century Gothic" w:cs="Century Gothic"/>
          <w:sz w:val="14"/>
          <w:szCs w:val="14"/>
          <w:lang w:val="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p w14:paraId="616BB0EB" w14:textId="77777777" w:rsidR="007A28AA" w:rsidRPr="00DB0609" w:rsidRDefault="007A28AA" w:rsidP="3CE3460D">
      <w:pPr>
        <w:rPr>
          <w:rFonts w:ascii="Century Gothic" w:eastAsia="Century Gothic" w:hAnsi="Century Gothic" w:cs="Century Gothic"/>
          <w:sz w:val="14"/>
          <w:szCs w:val="14"/>
          <w:lang w:val="es"/>
        </w:rPr>
      </w:pPr>
    </w:p>
    <w:sectPr w:rsidR="007A28AA" w:rsidRPr="00DB0609" w:rsidSect="00A53CE2">
      <w:headerReference w:type="default" r:id="rId52"/>
      <w:footerReference w:type="default" r:id="rId53"/>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2C22" w14:textId="77777777" w:rsidR="00A53CE2" w:rsidRDefault="00A53CE2" w:rsidP="00950DF7">
      <w:r>
        <w:separator/>
      </w:r>
    </w:p>
  </w:endnote>
  <w:endnote w:type="continuationSeparator" w:id="0">
    <w:p w14:paraId="4D233DF8" w14:textId="77777777" w:rsidR="00A53CE2" w:rsidRDefault="00A53CE2" w:rsidP="00950DF7">
      <w:r>
        <w:continuationSeparator/>
      </w:r>
    </w:p>
  </w:endnote>
  <w:endnote w:type="continuationNotice" w:id="1">
    <w:p w14:paraId="7ED101FE" w14:textId="77777777" w:rsidR="00A53CE2" w:rsidRDefault="00A5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2075705150" name="Imagen 207570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9164332" name="Imagen 159164332"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165B" w14:textId="77777777" w:rsidR="00A53CE2" w:rsidRDefault="00A53CE2" w:rsidP="00950DF7">
      <w:r>
        <w:separator/>
      </w:r>
    </w:p>
  </w:footnote>
  <w:footnote w:type="continuationSeparator" w:id="0">
    <w:p w14:paraId="330D613C" w14:textId="77777777" w:rsidR="00A53CE2" w:rsidRDefault="00A53CE2" w:rsidP="00950DF7">
      <w:r>
        <w:continuationSeparator/>
      </w:r>
    </w:p>
  </w:footnote>
  <w:footnote w:type="continuationNotice" w:id="1">
    <w:p w14:paraId="01A44ADA" w14:textId="77777777" w:rsidR="00A53CE2" w:rsidRDefault="00A53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1478192251" name="Imagen 147819225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462230549" name="Imagen 1462230549"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2124758134" name="Imagen 212475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106514532" name="Imagen 10651453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A0E5B1E"/>
    <w:multiLevelType w:val="hybridMultilevel"/>
    <w:tmpl w:val="39D8653E"/>
    <w:lvl w:ilvl="0" w:tplc="83F86A42">
      <w:start w:val="1"/>
      <w:numFmt w:val="decimal"/>
      <w:lvlText w:val="%1."/>
      <w:lvlJc w:val="left"/>
      <w:pPr>
        <w:ind w:left="720" w:hanging="360"/>
      </w:pPr>
    </w:lvl>
    <w:lvl w:ilvl="1" w:tplc="E1CAB21E">
      <w:start w:val="1"/>
      <w:numFmt w:val="lowerLetter"/>
      <w:lvlText w:val="%2."/>
      <w:lvlJc w:val="left"/>
      <w:pPr>
        <w:ind w:left="1440" w:hanging="360"/>
      </w:pPr>
    </w:lvl>
    <w:lvl w:ilvl="2" w:tplc="CDE2CE3A">
      <w:start w:val="1"/>
      <w:numFmt w:val="lowerRoman"/>
      <w:lvlText w:val="%3."/>
      <w:lvlJc w:val="right"/>
      <w:pPr>
        <w:ind w:left="2160" w:hanging="180"/>
      </w:pPr>
    </w:lvl>
    <w:lvl w:ilvl="3" w:tplc="24A07A0C">
      <w:start w:val="1"/>
      <w:numFmt w:val="decimal"/>
      <w:lvlText w:val="%4."/>
      <w:lvlJc w:val="left"/>
      <w:pPr>
        <w:ind w:left="2880" w:hanging="360"/>
      </w:pPr>
    </w:lvl>
    <w:lvl w:ilvl="4" w:tplc="8FB0FDEC">
      <w:start w:val="1"/>
      <w:numFmt w:val="lowerLetter"/>
      <w:lvlText w:val="%5."/>
      <w:lvlJc w:val="left"/>
      <w:pPr>
        <w:ind w:left="3600" w:hanging="360"/>
      </w:pPr>
    </w:lvl>
    <w:lvl w:ilvl="5" w:tplc="136C97DA">
      <w:start w:val="1"/>
      <w:numFmt w:val="lowerRoman"/>
      <w:lvlText w:val="%6."/>
      <w:lvlJc w:val="right"/>
      <w:pPr>
        <w:ind w:left="4320" w:hanging="180"/>
      </w:pPr>
    </w:lvl>
    <w:lvl w:ilvl="6" w:tplc="FDDA4A36">
      <w:start w:val="1"/>
      <w:numFmt w:val="decimal"/>
      <w:lvlText w:val="%7."/>
      <w:lvlJc w:val="left"/>
      <w:pPr>
        <w:ind w:left="5040" w:hanging="360"/>
      </w:pPr>
    </w:lvl>
    <w:lvl w:ilvl="7" w:tplc="58A8926E">
      <w:start w:val="1"/>
      <w:numFmt w:val="lowerLetter"/>
      <w:lvlText w:val="%8."/>
      <w:lvlJc w:val="left"/>
      <w:pPr>
        <w:ind w:left="5760" w:hanging="360"/>
      </w:pPr>
    </w:lvl>
    <w:lvl w:ilvl="8" w:tplc="27BA64CE">
      <w:start w:val="1"/>
      <w:numFmt w:val="lowerRoman"/>
      <w:lvlText w:val="%9."/>
      <w:lvlJc w:val="right"/>
      <w:pPr>
        <w:ind w:left="6480" w:hanging="180"/>
      </w:pPr>
    </w:lvl>
  </w:abstractNum>
  <w:num w:numId="1" w16cid:durableId="1645500354">
    <w:abstractNumId w:val="0"/>
  </w:num>
  <w:num w:numId="2" w16cid:durableId="80551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55AA4"/>
    <w:rsid w:val="00172302"/>
    <w:rsid w:val="00175731"/>
    <w:rsid w:val="00181A0F"/>
    <w:rsid w:val="00187C2F"/>
    <w:rsid w:val="001957A4"/>
    <w:rsid w:val="001A0BEF"/>
    <w:rsid w:val="001A5C14"/>
    <w:rsid w:val="001B561E"/>
    <w:rsid w:val="001B7D44"/>
    <w:rsid w:val="001C7A05"/>
    <w:rsid w:val="001D044A"/>
    <w:rsid w:val="001F0E5D"/>
    <w:rsid w:val="001F2B20"/>
    <w:rsid w:val="0020617F"/>
    <w:rsid w:val="00211FD1"/>
    <w:rsid w:val="00212893"/>
    <w:rsid w:val="00241891"/>
    <w:rsid w:val="0024319D"/>
    <w:rsid w:val="00246C39"/>
    <w:rsid w:val="0025058A"/>
    <w:rsid w:val="00255DF7"/>
    <w:rsid w:val="00256066"/>
    <w:rsid w:val="00264399"/>
    <w:rsid w:val="002669E5"/>
    <w:rsid w:val="00290C3D"/>
    <w:rsid w:val="00293329"/>
    <w:rsid w:val="002B3621"/>
    <w:rsid w:val="002C0664"/>
    <w:rsid w:val="002C1CE3"/>
    <w:rsid w:val="002D5C6B"/>
    <w:rsid w:val="002E5EF3"/>
    <w:rsid w:val="002F7C3F"/>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3E6501"/>
    <w:rsid w:val="004054C5"/>
    <w:rsid w:val="00414B63"/>
    <w:rsid w:val="00416A9E"/>
    <w:rsid w:val="00427B2C"/>
    <w:rsid w:val="00437115"/>
    <w:rsid w:val="00442C55"/>
    <w:rsid w:val="00444818"/>
    <w:rsid w:val="00445994"/>
    <w:rsid w:val="00445B9A"/>
    <w:rsid w:val="00445F15"/>
    <w:rsid w:val="00457114"/>
    <w:rsid w:val="00461E1C"/>
    <w:rsid w:val="00471153"/>
    <w:rsid w:val="004730E2"/>
    <w:rsid w:val="004845C5"/>
    <w:rsid w:val="004A7F98"/>
    <w:rsid w:val="004B2C2B"/>
    <w:rsid w:val="004E4FED"/>
    <w:rsid w:val="004F59CA"/>
    <w:rsid w:val="004F5B4B"/>
    <w:rsid w:val="00526B09"/>
    <w:rsid w:val="00532050"/>
    <w:rsid w:val="00534DAE"/>
    <w:rsid w:val="00535949"/>
    <w:rsid w:val="005505E3"/>
    <w:rsid w:val="0055220E"/>
    <w:rsid w:val="005709F1"/>
    <w:rsid w:val="00592023"/>
    <w:rsid w:val="005A0728"/>
    <w:rsid w:val="005A3120"/>
    <w:rsid w:val="005A3892"/>
    <w:rsid w:val="005B31EF"/>
    <w:rsid w:val="005C0C3C"/>
    <w:rsid w:val="005C1093"/>
    <w:rsid w:val="005D1256"/>
    <w:rsid w:val="005D3FDD"/>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69B"/>
    <w:rsid w:val="006A6928"/>
    <w:rsid w:val="006D319F"/>
    <w:rsid w:val="006E7609"/>
    <w:rsid w:val="006E77C5"/>
    <w:rsid w:val="006E7B77"/>
    <w:rsid w:val="00701046"/>
    <w:rsid w:val="00716AB2"/>
    <w:rsid w:val="007307A6"/>
    <w:rsid w:val="007350CD"/>
    <w:rsid w:val="00744227"/>
    <w:rsid w:val="00747FBC"/>
    <w:rsid w:val="00754E16"/>
    <w:rsid w:val="00762584"/>
    <w:rsid w:val="00763E43"/>
    <w:rsid w:val="00773849"/>
    <w:rsid w:val="00781AC2"/>
    <w:rsid w:val="0079188E"/>
    <w:rsid w:val="007969EF"/>
    <w:rsid w:val="00797A18"/>
    <w:rsid w:val="007A28AA"/>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0630"/>
    <w:rsid w:val="00983F0D"/>
    <w:rsid w:val="00984915"/>
    <w:rsid w:val="009919FC"/>
    <w:rsid w:val="009A24F7"/>
    <w:rsid w:val="009B34D3"/>
    <w:rsid w:val="009B6FA0"/>
    <w:rsid w:val="009C4859"/>
    <w:rsid w:val="009D6C30"/>
    <w:rsid w:val="009D7A03"/>
    <w:rsid w:val="009E45F6"/>
    <w:rsid w:val="009E525A"/>
    <w:rsid w:val="009E696A"/>
    <w:rsid w:val="009F0C6B"/>
    <w:rsid w:val="009F1A36"/>
    <w:rsid w:val="00A12113"/>
    <w:rsid w:val="00A1362C"/>
    <w:rsid w:val="00A16495"/>
    <w:rsid w:val="00A23285"/>
    <w:rsid w:val="00A30368"/>
    <w:rsid w:val="00A319D2"/>
    <w:rsid w:val="00A34553"/>
    <w:rsid w:val="00A35D77"/>
    <w:rsid w:val="00A40C33"/>
    <w:rsid w:val="00A53CE2"/>
    <w:rsid w:val="00A551D2"/>
    <w:rsid w:val="00A6242E"/>
    <w:rsid w:val="00A62746"/>
    <w:rsid w:val="00A62F8E"/>
    <w:rsid w:val="00A720F6"/>
    <w:rsid w:val="00A76FE8"/>
    <w:rsid w:val="00A83365"/>
    <w:rsid w:val="00AA1BA1"/>
    <w:rsid w:val="00AB126D"/>
    <w:rsid w:val="00AB2EE3"/>
    <w:rsid w:val="00AB3C82"/>
    <w:rsid w:val="00AE1316"/>
    <w:rsid w:val="00AE405B"/>
    <w:rsid w:val="00AE6492"/>
    <w:rsid w:val="00B01E4F"/>
    <w:rsid w:val="00B13910"/>
    <w:rsid w:val="00B17550"/>
    <w:rsid w:val="00B2709C"/>
    <w:rsid w:val="00B43CF0"/>
    <w:rsid w:val="00B43FFA"/>
    <w:rsid w:val="00B5194C"/>
    <w:rsid w:val="00B715F0"/>
    <w:rsid w:val="00B742E2"/>
    <w:rsid w:val="00B8410B"/>
    <w:rsid w:val="00B910BF"/>
    <w:rsid w:val="00B97E23"/>
    <w:rsid w:val="00BC55DC"/>
    <w:rsid w:val="00BD15AC"/>
    <w:rsid w:val="00BE0F40"/>
    <w:rsid w:val="00C05B77"/>
    <w:rsid w:val="00C074A7"/>
    <w:rsid w:val="00C11EE9"/>
    <w:rsid w:val="00C1432C"/>
    <w:rsid w:val="00C25A81"/>
    <w:rsid w:val="00C420A8"/>
    <w:rsid w:val="00C439CA"/>
    <w:rsid w:val="00C43C2B"/>
    <w:rsid w:val="00C44D80"/>
    <w:rsid w:val="00C54739"/>
    <w:rsid w:val="00C60F43"/>
    <w:rsid w:val="00C85A5E"/>
    <w:rsid w:val="00C87954"/>
    <w:rsid w:val="00CA6A03"/>
    <w:rsid w:val="00CB0FA9"/>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1D91"/>
    <w:rsid w:val="00D56015"/>
    <w:rsid w:val="00D706E2"/>
    <w:rsid w:val="00D74DA1"/>
    <w:rsid w:val="00D905F1"/>
    <w:rsid w:val="00D91AF3"/>
    <w:rsid w:val="00D94E36"/>
    <w:rsid w:val="00DA0FBF"/>
    <w:rsid w:val="00DB0609"/>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778CC"/>
    <w:rsid w:val="00E8794F"/>
    <w:rsid w:val="00E92452"/>
    <w:rsid w:val="00E96512"/>
    <w:rsid w:val="00E97A44"/>
    <w:rsid w:val="00EB2EFA"/>
    <w:rsid w:val="00EC1D3B"/>
    <w:rsid w:val="00EC48F7"/>
    <w:rsid w:val="00ED0108"/>
    <w:rsid w:val="00ED1561"/>
    <w:rsid w:val="00EE0CF7"/>
    <w:rsid w:val="00EE601D"/>
    <w:rsid w:val="00EF7E7B"/>
    <w:rsid w:val="00F0413A"/>
    <w:rsid w:val="00F101ED"/>
    <w:rsid w:val="00F25A79"/>
    <w:rsid w:val="00F304EA"/>
    <w:rsid w:val="00F32DE5"/>
    <w:rsid w:val="00F33DC1"/>
    <w:rsid w:val="00F3626D"/>
    <w:rsid w:val="00F43B1B"/>
    <w:rsid w:val="00F5184E"/>
    <w:rsid w:val="00F51B7C"/>
    <w:rsid w:val="00F51F9C"/>
    <w:rsid w:val="00F564C0"/>
    <w:rsid w:val="00F61653"/>
    <w:rsid w:val="00F72B91"/>
    <w:rsid w:val="00F941DB"/>
    <w:rsid w:val="00F95148"/>
    <w:rsid w:val="00F96587"/>
    <w:rsid w:val="00FB347B"/>
    <w:rsid w:val="00FC0252"/>
    <w:rsid w:val="00FC3BED"/>
    <w:rsid w:val="00FC6857"/>
    <w:rsid w:val="00FE4C7B"/>
    <w:rsid w:val="00FF6F2E"/>
    <w:rsid w:val="01BB21EC"/>
    <w:rsid w:val="01D88FD5"/>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3A4910F9"/>
    <w:rsid w:val="3CE3460D"/>
    <w:rsid w:val="3E288D53"/>
    <w:rsid w:val="448FBCB1"/>
    <w:rsid w:val="48330388"/>
    <w:rsid w:val="495EA5E0"/>
    <w:rsid w:val="4A5014EC"/>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7" Type="http://schemas.openxmlformats.org/officeDocument/2006/relationships/hyperlink" Target="https://www.colombiacompra.gov.co/sites/cce_public/files/cce_documentos/cce-eicp-gi-18._gees_v.2_2.pdf" TargetMode="External"/><Relationship Id="rId4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0" Type="http://schemas.openxmlformats.org/officeDocument/2006/relationships/image" Target="media/image1.png"/><Relationship Id="rId3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8" Type="http://schemas.openxmlformats.org/officeDocument/2006/relationships/webSettings" Target="webSettings.xml"/><Relationship Id="rId5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 Type="http://schemas.openxmlformats.org/officeDocument/2006/relationships/customXml" Target="../customXml/item3.xml"/><Relationship Id="rId1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3" Type="http://schemas.openxmlformats.org/officeDocument/2006/relationships/hyperlink" Target="https://relatoria.colombiacompra.gov.co/busqueda/conceptos%20" TargetMode="External"/><Relationship Id="rId3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2.xml><?xml version="1.0" encoding="utf-8"?>
<ds:datastoreItem xmlns:ds="http://schemas.openxmlformats.org/officeDocument/2006/customXml" ds:itemID="{C01EF365-6048-4D5A-B1E0-8766EBFF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6A34D-86C6-4FEF-9F21-278C40FAB50C}">
  <ds:schemaRefs>
    <ds:schemaRef ds:uri="http://www.w3.org/XML/1998/namespace"/>
    <ds:schemaRef ds:uri="a6cb9e4b-f1d1-4245-83ec-6cad768d538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9d85dbaf-23eb-4e57-a637-93dcacc8b1a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15311</Words>
  <Characters>84212</Characters>
  <Application>Microsoft Office Word</Application>
  <DocSecurity>0</DocSecurity>
  <Lines>701</Lines>
  <Paragraphs>198</Paragraphs>
  <ScaleCrop>false</ScaleCrop>
  <Company/>
  <LinksUpToDate>false</LinksUpToDate>
  <CharactersWithSpaces>99325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Kelmis Yimara Bruges Alvarado</cp:lastModifiedBy>
  <cp:revision>2</cp:revision>
  <dcterms:created xsi:type="dcterms:W3CDTF">2024-05-08T22:02:00Z</dcterms:created>
  <dcterms:modified xsi:type="dcterms:W3CDTF">2024-05-08T22:02:00Z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