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30DBE" w14:textId="6E5D2267" w:rsidR="00950DF7" w:rsidRPr="00781AC2" w:rsidRDefault="70551974" w:rsidP="3CE3460D">
      <w:pPr>
        <w:jc w:val="right"/>
        <w:rPr>
          <w:rFonts w:ascii="Century Gothic" w:eastAsia="Century Gothic" w:hAnsi="Century Gothic" w:cs="Century Gothic"/>
          <w:b/>
          <w:bCs/>
          <w:sz w:val="20"/>
          <w:szCs w:val="20"/>
          <w:lang w:val="es-ES"/>
        </w:rPr>
      </w:pPr>
      <w:bookmarkStart w:id="0" w:name="_Hlk28946138"/>
      <w:bookmarkStart w:id="1" w:name="_Hlk29548183"/>
      <w:r w:rsidRPr="3CE3460D">
        <w:rPr>
          <w:rFonts w:ascii="Century Gothic" w:eastAsia="Century Gothic" w:hAnsi="Century Gothic" w:cs="Century Gothic"/>
          <w:sz w:val="16"/>
          <w:szCs w:val="16"/>
          <w:lang w:val="es-ES" w:eastAsia="es-ES"/>
        </w:rPr>
        <w:t>CCE-DES-FM-17</w:t>
      </w:r>
      <w:bookmarkEnd w:id="0"/>
      <w:bookmarkEnd w:id="1"/>
    </w:p>
    <w:p w14:paraId="6352F336" w14:textId="77777777" w:rsidR="00950DF7" w:rsidRPr="00781AC2" w:rsidRDefault="00950DF7" w:rsidP="3CE3460D">
      <w:pPr>
        <w:jc w:val="both"/>
        <w:rPr>
          <w:rFonts w:ascii="Century Gothic" w:eastAsia="Century Gothic" w:hAnsi="Century Gothic" w:cs="Century Gothic"/>
          <w:b/>
          <w:bCs/>
          <w:sz w:val="22"/>
          <w:szCs w:val="22"/>
        </w:rPr>
      </w:pPr>
    </w:p>
    <w:p w14:paraId="714E7E4D" w14:textId="77777777" w:rsidR="00C1432C" w:rsidRPr="00C1432C" w:rsidRDefault="00C1432C" w:rsidP="00C1432C">
      <w:pPr>
        <w:spacing w:line="276" w:lineRule="auto"/>
        <w:ind w:left="1416" w:hanging="1416"/>
        <w:contextualSpacing/>
        <w:jc w:val="both"/>
        <w:rPr>
          <w:rFonts w:ascii="Century Gothic" w:eastAsia="Century Gothic" w:hAnsi="Century Gothic" w:cs="Century Gothic"/>
          <w:sz w:val="22"/>
          <w:szCs w:val="22"/>
          <w:lang w:val="es-ES"/>
        </w:rPr>
      </w:pPr>
      <w:bookmarkStart w:id="2" w:name="_Hlk159846221"/>
      <w:bookmarkEnd w:id="2"/>
    </w:p>
    <w:p w14:paraId="6B5043CF" w14:textId="77777777" w:rsidR="00C1432C" w:rsidRPr="00C1432C" w:rsidRDefault="00C1432C" w:rsidP="00C1432C">
      <w:pPr>
        <w:spacing w:line="276" w:lineRule="auto"/>
        <w:contextualSpacing/>
        <w:jc w:val="both"/>
        <w:rPr>
          <w:rFonts w:ascii="Century Gothic" w:eastAsia="Century Gothic" w:hAnsi="Century Gothic" w:cs="Century Gothic"/>
          <w:b/>
          <w:bCs/>
          <w:sz w:val="22"/>
          <w:szCs w:val="22"/>
          <w:lang w:val="es-ES"/>
        </w:rPr>
      </w:pPr>
      <w:r w:rsidRPr="00C1432C">
        <w:rPr>
          <w:rFonts w:ascii="Century Gothic" w:eastAsia="Century Gothic" w:hAnsi="Century Gothic" w:cs="Century Gothic"/>
          <w:b/>
          <w:bCs/>
          <w:sz w:val="22"/>
          <w:szCs w:val="22"/>
          <w:lang w:val="es-ES"/>
        </w:rPr>
        <w:t>REQUISITOS HABILITANTES – Noción</w:t>
      </w:r>
    </w:p>
    <w:p w14:paraId="01465583"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 </w:t>
      </w:r>
    </w:p>
    <w:p w14:paraId="024B3911"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Los requisitos habilitantes se definen como exigencias de participación en los procedimientos de selección, establecidos en disposiciones normativas, de carácter legal o reglamentario, o las contenidas en el acto administrativo que regula las reglas de la convocatoria, es decir, en el pliego de condiciones o el documento equivalente a este. Se diferencian de los criterios de evaluación –también conocidos como criterios de calificación– en que estos son los factores definidos por la Entidad Estatal para la asignación de puntaje en el momento de la comparación de las ofertas, y que, a partir de su ponderación, permiten establecer el orden de elegibilidad y, por ende, la propuesta ganadora. </w:t>
      </w:r>
    </w:p>
    <w:p w14:paraId="1AD8F6AE"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 </w:t>
      </w:r>
    </w:p>
    <w:p w14:paraId="107C245A"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A partir de lo dicho se deduce que los requisitos habilitantes, si bien constituyen obligaciones que los proponentes deben cumplir y acreditar para participar en el procedimiento de selección, no se valoran con un puntaje que determine el orden de escogencia, sino que se analizan como criterios previos a la evaluación en sentido estricto, de manera que quienes no los reúnan no pueden continuar en el procedimiento de selección, o sea, incurren en causal de rechazo. Esto sin perjuicio del derecho que tienen los oferentes de subsanar los defectos que se presenten en la prueba de tales requisitos, de conformidad con el artículo 5, parágrafos 1º al 4º, de la Ley 1150 de 2007.</w:t>
      </w:r>
    </w:p>
    <w:p w14:paraId="058B3F31" w14:textId="77777777" w:rsidR="00C1432C" w:rsidRPr="00C1432C" w:rsidRDefault="00C1432C" w:rsidP="00C1432C">
      <w:pPr>
        <w:spacing w:line="276" w:lineRule="auto"/>
        <w:contextualSpacing/>
        <w:jc w:val="both"/>
        <w:rPr>
          <w:rFonts w:ascii="Century Gothic" w:eastAsia="Century Gothic" w:hAnsi="Century Gothic" w:cs="Century Gothic"/>
          <w:b/>
          <w:bCs/>
          <w:sz w:val="22"/>
          <w:szCs w:val="22"/>
          <w:lang w:val="es-ES"/>
        </w:rPr>
      </w:pPr>
      <w:r w:rsidRPr="00C1432C">
        <w:rPr>
          <w:rFonts w:ascii="Century Gothic" w:eastAsia="Century Gothic" w:hAnsi="Century Gothic" w:cs="Century Gothic"/>
          <w:b/>
          <w:bCs/>
          <w:sz w:val="22"/>
          <w:szCs w:val="22"/>
          <w:lang w:val="es-ES"/>
        </w:rPr>
        <w:t xml:space="preserve"> </w:t>
      </w:r>
    </w:p>
    <w:p w14:paraId="4A03F642" w14:textId="77777777" w:rsidR="00C1432C" w:rsidRPr="00C1432C" w:rsidRDefault="00C1432C" w:rsidP="00C1432C">
      <w:pPr>
        <w:spacing w:line="276" w:lineRule="auto"/>
        <w:contextualSpacing/>
        <w:jc w:val="both"/>
        <w:rPr>
          <w:rFonts w:ascii="Century Gothic" w:eastAsia="Century Gothic" w:hAnsi="Century Gothic" w:cs="Century Gothic"/>
          <w:b/>
          <w:bCs/>
          <w:sz w:val="22"/>
          <w:szCs w:val="22"/>
          <w:lang w:val="es-ES"/>
        </w:rPr>
      </w:pPr>
      <w:r w:rsidRPr="00C1432C">
        <w:rPr>
          <w:rFonts w:ascii="Century Gothic" w:eastAsia="Century Gothic" w:hAnsi="Century Gothic" w:cs="Century Gothic"/>
          <w:b/>
          <w:bCs/>
          <w:sz w:val="22"/>
          <w:szCs w:val="22"/>
          <w:lang w:val="es-ES"/>
        </w:rPr>
        <w:t>REQUISITOS HABILITANTES – Autonomía</w:t>
      </w:r>
    </w:p>
    <w:p w14:paraId="150B0DB2"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 </w:t>
      </w:r>
    </w:p>
    <w:p w14:paraId="64191B03"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Esta Agencia puso a disposición de los interesados el “Manual para determinar y verificar los requisitos habilitantes en los procesos de contratación”. En dicho Manual se plantean definiciones para cada requisito habilitante y se indican lineamientos orientadores que la Entidad Estatal puede considerar para establecerlos, pero en todo caso, es ella quien los define, de forma proporcional a la naturaleza y al valor del contrato, por lo que para ello deberá observarse los resultados de los Estudios del Sector que se hayan realizado para el respectivo Proceso de Contratación. </w:t>
      </w:r>
    </w:p>
    <w:p w14:paraId="322E2885"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 </w:t>
      </w:r>
    </w:p>
    <w:p w14:paraId="2FD53568"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Considerando la discrecionalidad para establecer el requisito habilitante, es necesario tener en cuenta que el artículo 44 de la Ley 1437 de 2011 –aplicable en los procedimientos contractuales en virtud del artículo 77 de la Ley 80 de 1993– dispone que “En la medida en que el contenido de una decisión de carácter general o particular sea discrecional, debe ser adecuada a los fines de la norma que la autoriza, y proporcional a los hechos que le sirven de causa”. En consecuencia, para efectos de los escenarios descritos en el párrafo precedente, la inclusión o exclusión de los indicadores previstos en el artículo 2.2.1.1.1.5.3. del Decreto 1082 de 2015 está unida a la carga justificativa de la Entidad Estatal en los estudios y documentos previos del proceso de selección.</w:t>
      </w:r>
    </w:p>
    <w:p w14:paraId="216EAE60"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 </w:t>
      </w:r>
    </w:p>
    <w:p w14:paraId="2E245951" w14:textId="77777777" w:rsidR="00C1432C" w:rsidRPr="00C1432C" w:rsidRDefault="00C1432C" w:rsidP="00C1432C">
      <w:pPr>
        <w:spacing w:line="276" w:lineRule="auto"/>
        <w:contextualSpacing/>
        <w:jc w:val="both"/>
        <w:rPr>
          <w:rFonts w:ascii="Century Gothic" w:eastAsia="Century Gothic" w:hAnsi="Century Gothic" w:cs="Century Gothic"/>
          <w:b/>
          <w:bCs/>
          <w:sz w:val="22"/>
          <w:szCs w:val="22"/>
          <w:lang w:val="es-ES"/>
        </w:rPr>
      </w:pPr>
      <w:r w:rsidRPr="00C1432C">
        <w:rPr>
          <w:rFonts w:ascii="Century Gothic" w:eastAsia="Century Gothic" w:hAnsi="Century Gothic" w:cs="Century Gothic"/>
          <w:b/>
          <w:bCs/>
          <w:sz w:val="22"/>
          <w:szCs w:val="22"/>
          <w:lang w:val="es-ES"/>
        </w:rPr>
        <w:t>CAPACIDAD FINANCIERA Y ORGANIZACIONAL – Definición</w:t>
      </w:r>
    </w:p>
    <w:p w14:paraId="438333FE"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 </w:t>
      </w:r>
    </w:p>
    <w:p w14:paraId="1B6E80A0"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La capacidad financiera se deriva del comportamiento contable de la empresa, su liquidez y endeudamiento, para determinar que sus recursos y solidez financiera le permita cumplir los compromisos que adquiera. Como explica esta Agencia en el “Manual para determinar y verificar los requisitos habilitantes en los procesos de contratación”, “Los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 La capacidad organizacional, por su parte, “[…] es la aptitud de un proponente para cumplir oportuna y cabalmente el objeto del contrato en función de su organización interna. El Decreto 1082 de 2015 definió los indicadores de rentabilidad para medir la capacidad organizacional de un proponente teniendo en cuenta que está bien organizado cuando es rentable”.</w:t>
      </w:r>
    </w:p>
    <w:p w14:paraId="79493C6F"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 </w:t>
      </w:r>
    </w:p>
    <w:p w14:paraId="09A06504" w14:textId="77777777" w:rsidR="00C1432C" w:rsidRPr="00C1432C" w:rsidRDefault="00C1432C" w:rsidP="00C1432C">
      <w:pPr>
        <w:spacing w:line="276" w:lineRule="auto"/>
        <w:contextualSpacing/>
        <w:jc w:val="both"/>
        <w:rPr>
          <w:rFonts w:ascii="Century Gothic" w:eastAsia="Century Gothic" w:hAnsi="Century Gothic" w:cs="Century Gothic"/>
          <w:b/>
          <w:bCs/>
          <w:sz w:val="22"/>
          <w:szCs w:val="22"/>
          <w:lang w:val="es-ES"/>
        </w:rPr>
      </w:pPr>
      <w:r w:rsidRPr="00C1432C">
        <w:rPr>
          <w:rFonts w:ascii="Century Gothic" w:eastAsia="Century Gothic" w:hAnsi="Century Gothic" w:cs="Century Gothic"/>
          <w:b/>
          <w:bCs/>
          <w:sz w:val="22"/>
          <w:szCs w:val="22"/>
          <w:lang w:val="es-ES"/>
        </w:rPr>
        <w:t xml:space="preserve"> </w:t>
      </w:r>
    </w:p>
    <w:p w14:paraId="694FF323" w14:textId="77777777" w:rsidR="00C1432C" w:rsidRPr="00C1432C" w:rsidRDefault="00C1432C" w:rsidP="00C1432C">
      <w:pPr>
        <w:spacing w:line="276" w:lineRule="auto"/>
        <w:contextualSpacing/>
        <w:jc w:val="both"/>
        <w:rPr>
          <w:rFonts w:ascii="Century Gothic" w:eastAsia="Century Gothic" w:hAnsi="Century Gothic" w:cs="Century Gothic"/>
          <w:b/>
          <w:bCs/>
          <w:sz w:val="22"/>
          <w:szCs w:val="22"/>
          <w:lang w:val="es-ES"/>
        </w:rPr>
      </w:pPr>
      <w:r w:rsidRPr="00C1432C">
        <w:rPr>
          <w:rFonts w:ascii="Century Gothic" w:eastAsia="Century Gothic" w:hAnsi="Century Gothic" w:cs="Century Gothic"/>
          <w:b/>
          <w:bCs/>
          <w:sz w:val="22"/>
          <w:szCs w:val="22"/>
          <w:lang w:val="es-ES"/>
        </w:rPr>
        <w:t xml:space="preserve">DECRETO 1041 DE 2022 – Finalidad – Reactivación económica </w:t>
      </w:r>
    </w:p>
    <w:p w14:paraId="3B2F77C2"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 </w:t>
      </w:r>
    </w:p>
    <w:p w14:paraId="2712127D"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Para lograr la reactivación económica, ante la crisis generada por la pandemia del COVID19, el gobierno nacional expidió el Decreto 399 de 2021, mediante el cual se establecen algunas modificaciones al Decreto 1082 de 2015 frente a la regulación de la información financiera y organizacional prevista en el Registro Único de Proponentes –RUP–. En tal sentido, se indicó –con la modificación posteriormente introducida por el Decreto 579 de 2021– que, a partir del 1 de julio de 2021, las Entidades Estatales deberán tener en cuenta los datos sobre la capacidad financiera y organizacional de los últimos tres años, consignada en el RUP. Así lo justifica textualmente el reglamento mencionado, en sus consideraciones cuando manifiesta que “mediante lo anterior se propenderá por una mayor pluralidad de oferentes en los procedimientos de selección y se fortalecerá la reactivación económica del país, al permitir la participación en estos procedimientos de proponentes que fueron afectados negativamente por la pandemia del COVID-19”.</w:t>
      </w:r>
    </w:p>
    <w:p w14:paraId="7B5C040C"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 </w:t>
      </w:r>
    </w:p>
    <w:p w14:paraId="14143ADF"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En tal sentido, el artículo 4 del Decreto 399 de 2021 adicionó dos parágrafos transitorios al artículo 2.2.1.1.1.5.2. del Decreto 1082 de 2015, que a su vez fueron sustituidos por el artículo 1 del Decreto 579 del 31 de mayo de 202113 y posteriormente se adicionó un parágrafo transitorio adicional al artículo 2.2.1.1.1.5.2. del Decreto 1082 de 2015 por el artículo 1 del Decreto 1041 de 2022. En igual sentido, el parágrafo transitorio 3 incluido por el Decreto 1041 de 2022 mantuvo la anterior medida para el año 2023, permitiendo que para la inscripción en el RUP o para su renovación, el interesado pueda reportar la información contable y los estados financieros de los tres últimos años fiscales.</w:t>
      </w:r>
    </w:p>
    <w:p w14:paraId="67232FE3"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 </w:t>
      </w:r>
    </w:p>
    <w:p w14:paraId="4BF0FE1E"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DECRETO 1041 DE 2022 – Información – Capacidad financiera – Capacidad organizacional </w:t>
      </w:r>
    </w:p>
    <w:p w14:paraId="775198E4"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 </w:t>
      </w:r>
    </w:p>
    <w:p w14:paraId="1063546C"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i) A partir del 1 de julio de 2021 las Entidades Estatales “[…] establecerán y evaluarán los requisitos habilitantes de capacidad financiera y organizacional teniendo en cuenta la información que conste en el Registro Único de Proponentes”. Es decir, las Entidades Estatales debían tener en cuenta la información sobre la capacidad financiera y organizacional “correspondiente a los últimos tres (3) años fiscales anteriores al respectivo acto” o “desde su primer cierre fiscal”, según el caso. (…)</w:t>
      </w:r>
    </w:p>
    <w:p w14:paraId="4DAA74CC"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 </w:t>
      </w:r>
    </w:p>
    <w:p w14:paraId="1F4F8D7A"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MEJOR AÑO FISCAL – Decreto 399 de 2021– Capacidad financiera – Capacidad organizacional – Interpretación</w:t>
      </w:r>
    </w:p>
    <w:p w14:paraId="49F35337"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 </w:t>
      </w:r>
    </w:p>
    <w:p w14:paraId="16CC5347"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Ahora bien, teniendo en cuenta que el RUP debe contener la información financiera y organizacional del proponente correspondiente a los últimos tres años o al período transcurrido desde su primer cierre fiscal, según el caso, al momento de evaluar tales indicadores las Entidades Estatales deberán tener en cuenta “el mejor año fiscal” que refleje el registro. Por “mejor año fiscal” se interpreta la información relativa al año apreciada en su conjunto, o sea, de manera integral, que permita al proponente cumplir los requisitos habilitantes de capacidad financiera y organizacional. Dicho de otro modo, cuando el parágrafo transitorio del artículo 2.2.1.1.1.6.2, adicionado por el artículo 6 del Decreto 399 de 2021, sustituido por el artículo 3 del Decreto 579 de 2021 y reiterado por el Decreto 1041 de 2022, establece que “[…] las Entidades Estatales evaluarán estos indicadores, teniendo en cuenta el mejor año fiscal que se refleje en el registro de cada proponente”, significa que deben examinar los años certificados en el RUP y escoger para ser evaluado el que refleje mejores indicadores de capacidad financiera y organizacional, que permita al proponente cumplir los requisitos habilitantes de capacidad financiera y organizacional.</w:t>
      </w:r>
    </w:p>
    <w:p w14:paraId="37A38CA8"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 </w:t>
      </w:r>
    </w:p>
    <w:p w14:paraId="1857D5E9" w14:textId="77777777" w:rsidR="00C1432C" w:rsidRPr="00C1432C" w:rsidRDefault="00C1432C" w:rsidP="00C1432C">
      <w:pPr>
        <w:spacing w:line="276" w:lineRule="auto"/>
        <w:contextualSpacing/>
        <w:jc w:val="both"/>
        <w:rPr>
          <w:rFonts w:ascii="Century Gothic" w:eastAsia="Century Gothic" w:hAnsi="Century Gothic" w:cs="Century Gothic"/>
          <w:b/>
          <w:bCs/>
          <w:sz w:val="22"/>
          <w:szCs w:val="22"/>
          <w:lang w:val="es-ES"/>
        </w:rPr>
      </w:pPr>
      <w:r w:rsidRPr="00C1432C">
        <w:rPr>
          <w:rFonts w:ascii="Century Gothic" w:eastAsia="Century Gothic" w:hAnsi="Century Gothic" w:cs="Century Gothic"/>
          <w:b/>
          <w:bCs/>
          <w:sz w:val="22"/>
          <w:szCs w:val="22"/>
          <w:lang w:val="es-ES"/>
        </w:rPr>
        <w:t xml:space="preserve">NORMAS TRANSITORIAS – Pérdida de vigencia – Efectos </w:t>
      </w:r>
    </w:p>
    <w:p w14:paraId="7CB60D0E"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 </w:t>
      </w:r>
    </w:p>
    <w:p w14:paraId="6F1FC1E0"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tratándose de personas naturales obligadas a llevar contabilidad, deben presentar copia de la información contable del último año exigida por las normas tributarias. En contraste, las personas jurídicas deben aportar los estados financieros de la sociedad y los estados financieros consolidados del grupo empresarial, cuando la norma aplicable lo exige, auditados con sus notas y los siguientes anexos, suscritos por el representante legal y el revisor fiscal, si la persona jurídica está obligada a tenerlo, o suscritos por el representante legal y el auditor o contador si la persona jurídica no está obligada a tener revisor fiscal. En todo caso, “Si el interesado no tiene antigüedad suficiente para tener estados financieros auditados a 31 de diciembre, debe inscribirse con estados financieros de corte trimestral, suscritos por el representante legal y el auditor o contador o estados financieros de apertura”.</w:t>
      </w:r>
    </w:p>
    <w:p w14:paraId="305DAEE1"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 </w:t>
      </w:r>
    </w:p>
    <w:p w14:paraId="150AB4FF"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En este contexto, los indicadores de capacidad financiera y organizacional ya no corresponderán a los últimos tres (3) años fiscales anteriores a la inscripción o renovación. Asimismo, con la pérdida de vigencia de los parágrafos transitorios de los artículos 2.2.1.1.1.5.2 y 2.2.1.1.1.5.6 del Decreto 1082 de 2015, el parágrafo transitorio del artículo 2.2.1.1.1.6.2 ibidem –adicionados por el art. 6 del Decreto 399 de 2021 y sustituido por el art. 3 del Decreto 579 de 2021– es inaplicable por sustracción de materia. En consecuencia, cesa la posibilidad de acreditar los indicadores de los numerales 3 y 4 artículo 2.2.1.1.1.5.3 ibidem teniendo en cuenta el mejor año fiscal que se refleje en el registro de cada proponente.</w:t>
      </w:r>
    </w:p>
    <w:p w14:paraId="56CE6A82"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 </w:t>
      </w:r>
    </w:p>
    <w:p w14:paraId="47D8EF31"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Estas normas transitorias no perdieron su vigencia con la finalización de la emergencia sanitaria, pues el Decreto 1041 de 2022 –al prorrogar las medidas de los Decretos 399 y 579 de 2021– las extendió durante el 2023, vigencia fiscal que finalizó el 31 de diciembre pasado. En consecuencia, una interpretación razonable permite concluir que a partir del 1° de enero de 2024 los indicadores deben acreditarse frete a la Cámara de Comercio conforme a las reglas de generales del Decreto 1082 de 2015, es decir, con la información contable del año inmediatamente anterior –</w:t>
      </w:r>
      <w:proofErr w:type="spellStart"/>
      <w:r w:rsidRPr="00C1432C">
        <w:rPr>
          <w:rFonts w:ascii="Century Gothic" w:eastAsia="Century Gothic" w:hAnsi="Century Gothic" w:cs="Century Gothic"/>
          <w:sz w:val="22"/>
          <w:szCs w:val="22"/>
          <w:lang w:val="es-ES"/>
        </w:rPr>
        <w:t>nums</w:t>
      </w:r>
      <w:proofErr w:type="spellEnd"/>
      <w:r w:rsidRPr="00C1432C">
        <w:rPr>
          <w:rFonts w:ascii="Century Gothic" w:eastAsia="Century Gothic" w:hAnsi="Century Gothic" w:cs="Century Gothic"/>
          <w:sz w:val="22"/>
          <w:szCs w:val="22"/>
          <w:lang w:val="es-ES"/>
        </w:rPr>
        <w:t>. 1.3 y 2.3 del artículo 2.2.1.1.1.5.2 del Decreto 1082 de 2015–.</w:t>
      </w:r>
    </w:p>
    <w:p w14:paraId="685D0F34"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 </w:t>
      </w:r>
    </w:p>
    <w:p w14:paraId="551D2704"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 </w:t>
      </w:r>
    </w:p>
    <w:p w14:paraId="5A6E9839" w14:textId="77777777" w:rsidR="00C1432C" w:rsidRPr="007A28AA" w:rsidRDefault="00C1432C" w:rsidP="00C1432C">
      <w:pPr>
        <w:spacing w:line="276" w:lineRule="auto"/>
        <w:contextualSpacing/>
        <w:jc w:val="both"/>
        <w:rPr>
          <w:rFonts w:ascii="Century Gothic" w:eastAsia="Century Gothic" w:hAnsi="Century Gothic" w:cs="Century Gothic"/>
          <w:b/>
          <w:bCs/>
          <w:sz w:val="22"/>
          <w:szCs w:val="22"/>
          <w:lang w:val="es-ES"/>
        </w:rPr>
      </w:pPr>
      <w:r w:rsidRPr="007A28AA">
        <w:rPr>
          <w:rFonts w:ascii="Century Gothic" w:eastAsia="Century Gothic" w:hAnsi="Century Gothic" w:cs="Century Gothic"/>
          <w:b/>
          <w:bCs/>
          <w:sz w:val="22"/>
          <w:szCs w:val="22"/>
          <w:lang w:val="es-ES"/>
        </w:rPr>
        <w:t>DERECHOS CONSTITUCIONALES EN PROCESOS DE SELECCIÓN CONTRACTUAL – Derecho de Igualdad</w:t>
      </w:r>
    </w:p>
    <w:p w14:paraId="5FD29F64"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 </w:t>
      </w:r>
    </w:p>
    <w:p w14:paraId="2E39B39E"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En ese sentido, debe tenerse en cuenta que por no existir una norma que amplié a la vigencia 2024  las medidas adoptadas en los Decretos 399 y 579 de 2021 y 1041 de 2022, aquellas personas que desde el 1 de enero de 2024 realicen inscripción o renovación del RUP solo podrán reportar ante las cámaras de comercio la información contable y los estados financieros del último año fiscal, por lo cual en el hipotético caso que las entidades estatales decidieran seguir permitiendo la acreditación en los procesos de selección que se adelantan en la vigencia 2024, del mejor año fiscal de aquellos proponentes que aún tienen inscrita la información de tres años fiscales, estarían poniendo en condición de desigualdad a los primeros, contraviniendo así principios constitucionales que deben ser aplicados a los procesos de selección contractuales.</w:t>
      </w:r>
    </w:p>
    <w:p w14:paraId="76D05AE7" w14:textId="77777777" w:rsidR="00950DF7" w:rsidRPr="00C1432C" w:rsidRDefault="00950DF7" w:rsidP="3CE3460D">
      <w:pPr>
        <w:spacing w:line="276" w:lineRule="auto"/>
        <w:jc w:val="both"/>
        <w:rPr>
          <w:rFonts w:ascii="Century Gothic" w:eastAsia="Century Gothic" w:hAnsi="Century Gothic" w:cs="Century Gothic"/>
          <w:noProof/>
          <w:sz w:val="22"/>
          <w:szCs w:val="22"/>
        </w:rPr>
      </w:pPr>
    </w:p>
    <w:p w14:paraId="323C3F56" w14:textId="48625FBA" w:rsidR="00C1432C" w:rsidRDefault="00C1432C">
      <w:pPr>
        <w:spacing w:after="160" w:line="259" w:lineRule="auto"/>
        <w:rPr>
          <w:rFonts w:ascii="Century Gothic" w:eastAsia="Century Gothic" w:hAnsi="Century Gothic" w:cs="Century Gothic"/>
          <w:noProof/>
          <w:sz w:val="22"/>
          <w:szCs w:val="22"/>
          <w:lang w:val="es-ES"/>
        </w:rPr>
      </w:pPr>
      <w:r>
        <w:rPr>
          <w:rFonts w:ascii="Century Gothic" w:eastAsia="Century Gothic" w:hAnsi="Century Gothic" w:cs="Century Gothic"/>
          <w:noProof/>
          <w:sz w:val="22"/>
          <w:szCs w:val="22"/>
          <w:lang w:val="es-ES"/>
        </w:rPr>
        <w:br w:type="page"/>
      </w:r>
    </w:p>
    <w:p w14:paraId="2DCB0586" w14:textId="0DA2BCD0" w:rsidR="3A4910F9" w:rsidRDefault="3A4910F9" w:rsidP="3A4910F9">
      <w:pPr>
        <w:spacing w:line="276" w:lineRule="auto"/>
        <w:jc w:val="both"/>
        <w:rPr>
          <w:rFonts w:ascii="Century Gothic" w:eastAsia="Century Gothic" w:hAnsi="Century Gothic" w:cs="Century Gothic"/>
          <w:noProof/>
          <w:sz w:val="22"/>
          <w:szCs w:val="22"/>
          <w:lang w:val="es-ES"/>
        </w:rPr>
      </w:pPr>
    </w:p>
    <w:p w14:paraId="5FDE18C6" w14:textId="1542455F" w:rsidR="3A4910F9" w:rsidRDefault="3A4910F9" w:rsidP="3A4910F9">
      <w:pPr>
        <w:spacing w:line="276" w:lineRule="auto"/>
        <w:jc w:val="both"/>
        <w:rPr>
          <w:rFonts w:ascii="Century Gothic" w:eastAsia="Century Gothic" w:hAnsi="Century Gothic" w:cs="Century Gothic"/>
          <w:noProof/>
          <w:sz w:val="22"/>
          <w:szCs w:val="22"/>
          <w:lang w:val="es-ES"/>
        </w:rPr>
      </w:pPr>
    </w:p>
    <w:p w14:paraId="2489E6A4" w14:textId="05E15279" w:rsidR="00840E20" w:rsidRPr="004E4FED" w:rsidRDefault="71CF03C4" w:rsidP="3CE3460D">
      <w:pPr>
        <w:rPr>
          <w:rFonts w:ascii="Century Gothic" w:eastAsia="Century Gothic" w:hAnsi="Century Gothic" w:cs="Century Gothic"/>
          <w:sz w:val="22"/>
          <w:szCs w:val="22"/>
        </w:rPr>
      </w:pPr>
      <w:r w:rsidRPr="3CE3460D">
        <w:rPr>
          <w:rFonts w:ascii="Century Gothic" w:eastAsia="Century Gothic" w:hAnsi="Century Gothic" w:cs="Century Gothic"/>
          <w:sz w:val="22"/>
          <w:szCs w:val="22"/>
          <w:shd w:val="clear" w:color="auto" w:fill="E6E6E6"/>
          <w:lang w:val="es-MX" w:eastAsia="es-CO"/>
        </w:rPr>
        <w:t>Bogotá D.C., [Día] [</w:t>
      </w:r>
      <w:proofErr w:type="spellStart"/>
      <w:r w:rsidRPr="3CE3460D">
        <w:rPr>
          <w:rFonts w:ascii="Century Gothic" w:eastAsia="Century Gothic" w:hAnsi="Century Gothic" w:cs="Century Gothic"/>
          <w:sz w:val="22"/>
          <w:szCs w:val="22"/>
          <w:shd w:val="clear" w:color="auto" w:fill="E6E6E6"/>
          <w:lang w:val="es-MX" w:eastAsia="es-CO"/>
        </w:rPr>
        <w:t>MesNombreCapitalizado</w:t>
      </w:r>
      <w:proofErr w:type="spellEnd"/>
      <w:r w:rsidRPr="3CE3460D">
        <w:rPr>
          <w:rFonts w:ascii="Century Gothic" w:eastAsia="Century Gothic" w:hAnsi="Century Gothic" w:cs="Century Gothic"/>
          <w:sz w:val="22"/>
          <w:szCs w:val="22"/>
          <w:shd w:val="clear" w:color="auto" w:fill="E6E6E6"/>
          <w:lang w:val="es-MX" w:eastAsia="es-CO"/>
        </w:rPr>
        <w:t>] [Año]</w:t>
      </w:r>
      <w:r w:rsidR="00840E20" w:rsidRPr="004E4FED">
        <w:rPr>
          <w:rFonts w:ascii="Arial" w:hAnsi="Arial" w:cs="Arial"/>
          <w:sz w:val="22"/>
          <w:szCs w:val="22"/>
          <w:shd w:val="clear" w:color="auto" w:fill="E6E6E6"/>
          <w:lang w:eastAsia="es-CO"/>
        </w:rPr>
        <w:tab/>
      </w:r>
    </w:p>
    <w:p w14:paraId="7F292B94" w14:textId="56CE371E" w:rsidR="00950DF7" w:rsidRDefault="004438F1" w:rsidP="3CE3460D">
      <w:pPr>
        <w:jc w:val="both"/>
        <w:rPr>
          <w:rFonts w:ascii="Century Gothic" w:eastAsia="Century Gothic" w:hAnsi="Century Gothic" w:cs="Century Gothic"/>
          <w:noProof/>
          <w:sz w:val="22"/>
          <w:szCs w:val="22"/>
          <w:lang w:val="es-ES"/>
        </w:rPr>
      </w:pPr>
      <w:r w:rsidRPr="004438F1">
        <w:rPr>
          <w:rFonts w:ascii="Century Gothic" w:eastAsia="Century Gothic" w:hAnsi="Century Gothic" w:cs="Century Gothic"/>
          <w:noProof/>
          <w:sz w:val="22"/>
          <w:szCs w:val="22"/>
          <w:lang w:val="es-ES"/>
        </w:rPr>
        <w:drawing>
          <wp:anchor distT="0" distB="0" distL="114300" distR="114300" simplePos="0" relativeHeight="251658240" behindDoc="1" locked="0" layoutInCell="1" allowOverlap="1" wp14:anchorId="162A8AE5" wp14:editId="4579AB4B">
            <wp:simplePos x="0" y="0"/>
            <wp:positionH relativeFrom="column">
              <wp:posOffset>3121660</wp:posOffset>
            </wp:positionH>
            <wp:positionV relativeFrom="paragraph">
              <wp:posOffset>172085</wp:posOffset>
            </wp:positionV>
            <wp:extent cx="2489200" cy="826770"/>
            <wp:effectExtent l="0" t="0" r="6350" b="0"/>
            <wp:wrapTight wrapText="bothSides">
              <wp:wrapPolygon edited="0">
                <wp:start x="0" y="0"/>
                <wp:lineTo x="0" y="20903"/>
                <wp:lineTo x="21490" y="20903"/>
                <wp:lineTo x="21490" y="0"/>
                <wp:lineTo x="0" y="0"/>
              </wp:wrapPolygon>
            </wp:wrapTight>
            <wp:docPr id="3835105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200" cy="826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085695" w14:textId="46C0356B" w:rsidR="004438F1" w:rsidRPr="004E4FED" w:rsidRDefault="004438F1" w:rsidP="3CE3460D">
      <w:pPr>
        <w:jc w:val="both"/>
        <w:rPr>
          <w:rFonts w:ascii="Century Gothic" w:eastAsia="Century Gothic" w:hAnsi="Century Gothic" w:cs="Century Gothic"/>
          <w:noProof/>
          <w:sz w:val="22"/>
          <w:szCs w:val="22"/>
          <w:lang w:val="es-ES"/>
        </w:rPr>
      </w:pPr>
    </w:p>
    <w:p w14:paraId="6C9B6843" w14:textId="2D12A916" w:rsidR="00950DF7" w:rsidRPr="00C43C2B" w:rsidRDefault="00950DF7" w:rsidP="00C43C2B">
      <w:pPr>
        <w:jc w:val="both"/>
        <w:rPr>
          <w:rFonts w:ascii="Century Gothic" w:eastAsia="Century Gothic" w:hAnsi="Century Gothic" w:cs="Century Gothic"/>
          <w:sz w:val="22"/>
          <w:szCs w:val="22"/>
          <w:lang w:val="es-ES"/>
        </w:rPr>
      </w:pPr>
      <w:r w:rsidRPr="00C43C2B">
        <w:rPr>
          <w:rFonts w:ascii="Century Gothic" w:eastAsia="Century Gothic" w:hAnsi="Century Gothic" w:cs="Century Gothic"/>
          <w:sz w:val="22"/>
          <w:szCs w:val="22"/>
          <w:lang w:val="es-ES"/>
        </w:rPr>
        <w:t>Señor</w:t>
      </w:r>
    </w:p>
    <w:p w14:paraId="4B41F51C" w14:textId="4F1629F1" w:rsidR="00C1432C" w:rsidRDefault="00C1432C" w:rsidP="00C43C2B">
      <w:pPr>
        <w:rPr>
          <w:rFonts w:ascii="Century Gothic" w:eastAsia="Century Gothic" w:hAnsi="Century Gothic" w:cs="Century Gothic"/>
          <w:b/>
          <w:bCs/>
          <w:sz w:val="22"/>
          <w:szCs w:val="22"/>
          <w:lang w:val="es-ES"/>
        </w:rPr>
      </w:pPr>
      <w:proofErr w:type="spellStart"/>
      <w:r>
        <w:rPr>
          <w:rFonts w:ascii="Century Gothic" w:eastAsia="Century Gothic" w:hAnsi="Century Gothic" w:cs="Century Gothic"/>
          <w:b/>
          <w:bCs/>
          <w:sz w:val="22"/>
          <w:szCs w:val="22"/>
          <w:lang w:val="es-ES"/>
        </w:rPr>
        <w:t>J</w:t>
      </w:r>
      <w:r w:rsidRPr="00C1432C">
        <w:rPr>
          <w:rFonts w:ascii="Century Gothic" w:eastAsia="Century Gothic" w:hAnsi="Century Gothic" w:cs="Century Gothic"/>
          <w:b/>
          <w:bCs/>
          <w:sz w:val="22"/>
          <w:szCs w:val="22"/>
          <w:lang w:val="es-ES"/>
        </w:rPr>
        <w:t>ose</w:t>
      </w:r>
      <w:proofErr w:type="spellEnd"/>
      <w:r w:rsidRPr="00C1432C">
        <w:rPr>
          <w:rFonts w:ascii="Century Gothic" w:eastAsia="Century Gothic" w:hAnsi="Century Gothic" w:cs="Century Gothic"/>
          <w:b/>
          <w:bCs/>
          <w:sz w:val="22"/>
          <w:szCs w:val="22"/>
          <w:lang w:val="es-ES"/>
        </w:rPr>
        <w:t xml:space="preserve"> Luis Velásquez Soacha</w:t>
      </w:r>
    </w:p>
    <w:p w14:paraId="0F15A6E2" w14:textId="42EF90DD" w:rsidR="00C1432C" w:rsidRDefault="00C1432C" w:rsidP="00C43C2B">
      <w:pPr>
        <w:rPr>
          <w:rFonts w:ascii="Century Gothic" w:eastAsia="Century Gothic" w:hAnsi="Century Gothic" w:cs="Century Gothic"/>
          <w:sz w:val="22"/>
          <w:szCs w:val="22"/>
          <w:lang w:val="es-ES"/>
        </w:rPr>
      </w:pPr>
      <w:r>
        <w:rPr>
          <w:rFonts w:ascii="Century Gothic" w:eastAsia="Century Gothic" w:hAnsi="Century Gothic" w:cs="Century Gothic"/>
          <w:sz w:val="22"/>
          <w:szCs w:val="22"/>
          <w:lang w:val="es-ES"/>
        </w:rPr>
        <w:t>jlvelasquez1978@gmail.com</w:t>
      </w:r>
    </w:p>
    <w:p w14:paraId="315B8DED" w14:textId="77593941" w:rsidR="00950DF7" w:rsidRPr="00C43C2B" w:rsidRDefault="00C1432C" w:rsidP="00C43C2B">
      <w:pPr>
        <w:rPr>
          <w:rFonts w:ascii="Century Gothic" w:eastAsia="Century Gothic" w:hAnsi="Century Gothic" w:cs="Century Gothic"/>
          <w:sz w:val="22"/>
          <w:szCs w:val="22"/>
          <w:lang w:val="es-ES"/>
        </w:rPr>
      </w:pPr>
      <w:r>
        <w:rPr>
          <w:rFonts w:ascii="Century Gothic" w:eastAsia="Century Gothic" w:hAnsi="Century Gothic" w:cs="Century Gothic"/>
          <w:sz w:val="22"/>
          <w:szCs w:val="22"/>
          <w:lang w:val="es-ES"/>
        </w:rPr>
        <w:t xml:space="preserve">Acacias, Meta. </w:t>
      </w:r>
    </w:p>
    <w:p w14:paraId="19F59022" w14:textId="77777777" w:rsidR="004E4FED" w:rsidRPr="00C43C2B" w:rsidRDefault="004E4FED" w:rsidP="00C43C2B">
      <w:pPr>
        <w:rPr>
          <w:rFonts w:ascii="Century Gothic" w:eastAsia="Century Gothic" w:hAnsi="Century Gothic" w:cs="Century Gothic"/>
          <w:sz w:val="22"/>
          <w:szCs w:val="22"/>
          <w:lang w:val="es-ES"/>
        </w:rPr>
      </w:pPr>
    </w:p>
    <w:p w14:paraId="20607E96" w14:textId="44F6CFE0" w:rsidR="00950DF7" w:rsidRPr="00C43C2B" w:rsidRDefault="70551974" w:rsidP="00C43C2B">
      <w:pPr>
        <w:ind w:left="2694"/>
        <w:rPr>
          <w:rFonts w:ascii="Century Gothic" w:eastAsia="Century Gothic" w:hAnsi="Century Gothic" w:cs="Century Gothic"/>
          <w:b/>
          <w:bCs/>
          <w:sz w:val="22"/>
          <w:szCs w:val="22"/>
          <w:lang w:val="es-ES"/>
        </w:rPr>
      </w:pPr>
      <w:r w:rsidRPr="00C43C2B">
        <w:rPr>
          <w:rFonts w:ascii="Century Gothic" w:eastAsia="Century Gothic" w:hAnsi="Century Gothic" w:cs="Century Gothic"/>
          <w:b/>
          <w:bCs/>
          <w:sz w:val="22"/>
          <w:szCs w:val="22"/>
          <w:lang w:val="es-ES"/>
        </w:rPr>
        <w:t>Concepto C</w:t>
      </w:r>
      <w:r w:rsidR="0DE2C546" w:rsidRPr="007A28AA">
        <w:rPr>
          <w:rFonts w:ascii="Century Gothic" w:eastAsia="Century Gothic" w:hAnsi="Century Gothic" w:cs="Century Gothic"/>
          <w:b/>
          <w:bCs/>
          <w:sz w:val="22"/>
          <w:szCs w:val="22"/>
          <w:lang w:val="es-ES"/>
        </w:rPr>
        <w:t>-</w:t>
      </w:r>
      <w:r w:rsidR="007A28AA" w:rsidRPr="007A28AA">
        <w:rPr>
          <w:rFonts w:ascii="Century Gothic" w:eastAsia="Century Gothic" w:hAnsi="Century Gothic" w:cs="Century Gothic"/>
          <w:b/>
          <w:bCs/>
          <w:sz w:val="22"/>
          <w:szCs w:val="22"/>
          <w:lang w:val="es-ES"/>
        </w:rPr>
        <w:t>026</w:t>
      </w:r>
      <w:r w:rsidR="00C54739" w:rsidRPr="00C43C2B">
        <w:rPr>
          <w:rFonts w:ascii="Century Gothic" w:eastAsia="Century Gothic" w:hAnsi="Century Gothic" w:cs="Century Gothic"/>
          <w:b/>
          <w:bCs/>
          <w:sz w:val="22"/>
          <w:szCs w:val="22"/>
          <w:lang w:val="es-ES"/>
        </w:rPr>
        <w:t xml:space="preserve"> </w:t>
      </w:r>
      <w:r w:rsidRPr="00C43C2B">
        <w:rPr>
          <w:rFonts w:ascii="Century Gothic" w:eastAsia="Century Gothic" w:hAnsi="Century Gothic" w:cs="Century Gothic"/>
          <w:b/>
          <w:bCs/>
          <w:sz w:val="22"/>
          <w:szCs w:val="22"/>
          <w:lang w:val="es-ES"/>
        </w:rPr>
        <w:t>de 202</w:t>
      </w:r>
      <w:r w:rsidR="301249F9" w:rsidRPr="00C43C2B">
        <w:rPr>
          <w:rFonts w:ascii="Century Gothic" w:eastAsia="Century Gothic" w:hAnsi="Century Gothic" w:cs="Century Gothic"/>
          <w:b/>
          <w:bCs/>
          <w:sz w:val="22"/>
          <w:szCs w:val="22"/>
          <w:lang w:val="es-ES"/>
        </w:rPr>
        <w:t>3</w:t>
      </w:r>
    </w:p>
    <w:p w14:paraId="30E510E4" w14:textId="77777777" w:rsidR="00950DF7" w:rsidRPr="00C43C2B" w:rsidRDefault="00950DF7" w:rsidP="00C43C2B">
      <w:pPr>
        <w:jc w:val="both"/>
        <w:rPr>
          <w:rFonts w:ascii="Century Gothic" w:eastAsia="Century Gothic" w:hAnsi="Century Gothic" w:cs="Century Gothic"/>
          <w:sz w:val="22"/>
          <w:szCs w:val="22"/>
          <w:lang w:val="es-ES"/>
        </w:rPr>
      </w:pPr>
    </w:p>
    <w:tbl>
      <w:tblPr>
        <w:tblStyle w:val="TableGrid"/>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781AC2" w:rsidRPr="00C43C2B" w14:paraId="57B8ADB6" w14:textId="77777777" w:rsidTr="3CE3460D">
        <w:trPr>
          <w:jc w:val="right"/>
        </w:trPr>
        <w:tc>
          <w:tcPr>
            <w:tcW w:w="1838" w:type="dxa"/>
          </w:tcPr>
          <w:p w14:paraId="5EC5D0D8" w14:textId="15341976" w:rsidR="00950DF7" w:rsidRPr="00C43C2B" w:rsidRDefault="00950DF7" w:rsidP="00C43C2B">
            <w:pPr>
              <w:jc w:val="center"/>
              <w:rPr>
                <w:rFonts w:ascii="Century Gothic" w:eastAsia="Century Gothic" w:hAnsi="Century Gothic" w:cs="Century Gothic"/>
                <w:sz w:val="22"/>
                <w:szCs w:val="22"/>
                <w:lang w:val="es-ES"/>
              </w:rPr>
            </w:pPr>
            <w:r w:rsidRPr="00C43C2B">
              <w:rPr>
                <w:rFonts w:ascii="Century Gothic" w:eastAsia="Century Gothic" w:hAnsi="Century Gothic" w:cs="Century Gothic"/>
                <w:b/>
                <w:bCs/>
                <w:sz w:val="22"/>
                <w:szCs w:val="22"/>
                <w:lang w:val="es-ES"/>
              </w:rPr>
              <w:t>Temas:</w:t>
            </w:r>
          </w:p>
        </w:tc>
        <w:tc>
          <w:tcPr>
            <w:tcW w:w="6237" w:type="dxa"/>
          </w:tcPr>
          <w:p w14:paraId="50CC667D" w14:textId="6A466C39" w:rsidR="00C1432C" w:rsidRDefault="00C1432C" w:rsidP="00C1432C">
            <w:pPr>
              <w:spacing w:after="160"/>
              <w:jc w:val="both"/>
              <w:rPr>
                <w:rFonts w:ascii="Century Gothic" w:eastAsia="Century Gothic" w:hAnsi="Century Gothic" w:cs="Century Gothic"/>
                <w:lang w:val="es-MX"/>
              </w:rPr>
            </w:pPr>
            <w:r w:rsidRPr="2F7B58A8">
              <w:rPr>
                <w:rFonts w:ascii="Century Gothic" w:eastAsia="Century Gothic" w:hAnsi="Century Gothic" w:cs="Century Gothic"/>
                <w:lang w:val="es-MX"/>
              </w:rPr>
              <w:t>REQUISITOS HABILITANTES – Noción / REQUISITOS HABILITANTES – Autonomía / CAPACIDAD FINANCIERA Y ORGANIZACIONAL – Definición / RUP – Renovación – Efectos – Validez de la información antigua / DECRETO 1041 DE 2022 – Finalidad – Reactivación económica / DECRETO 1041 DE 2022 – Información – Capacidad financiera – Capacidad organizacional / MEJOR AÑO FISCAL – Decreto 399 de 2021– Capacidad financiera – Capacidad organizacional – Interpretación</w:t>
            </w:r>
          </w:p>
          <w:p w14:paraId="3A80DDE7" w14:textId="4C84A75F" w:rsidR="00950DF7" w:rsidRDefault="00950DF7" w:rsidP="00C43C2B">
            <w:pPr>
              <w:jc w:val="both"/>
              <w:rPr>
                <w:rFonts w:ascii="Century Gothic" w:eastAsia="Century Gothic" w:hAnsi="Century Gothic" w:cs="Century Gothic"/>
                <w:sz w:val="22"/>
                <w:szCs w:val="22"/>
                <w:lang w:val="es-ES"/>
              </w:rPr>
            </w:pPr>
            <w:r w:rsidRPr="00C43C2B">
              <w:rPr>
                <w:rFonts w:ascii="Century Gothic" w:eastAsia="Century Gothic" w:hAnsi="Century Gothic" w:cs="Century Gothic"/>
                <w:sz w:val="22"/>
                <w:szCs w:val="22"/>
                <w:lang w:val="es-ES"/>
              </w:rPr>
              <w:t xml:space="preserve"> </w:t>
            </w:r>
          </w:p>
          <w:p w14:paraId="65E9DC63" w14:textId="465F190D" w:rsidR="009E525A" w:rsidRPr="00C43C2B" w:rsidRDefault="009E525A" w:rsidP="00C43C2B">
            <w:pPr>
              <w:jc w:val="both"/>
              <w:rPr>
                <w:rFonts w:ascii="Century Gothic" w:eastAsia="Century Gothic" w:hAnsi="Century Gothic" w:cs="Century Gothic"/>
                <w:sz w:val="22"/>
                <w:szCs w:val="22"/>
                <w:lang w:val="es-ES"/>
              </w:rPr>
            </w:pPr>
          </w:p>
        </w:tc>
      </w:tr>
      <w:tr w:rsidR="00F304EA" w:rsidRPr="00C43C2B" w14:paraId="6D8A1715" w14:textId="77777777" w:rsidTr="3CE3460D">
        <w:trPr>
          <w:jc w:val="right"/>
        </w:trPr>
        <w:tc>
          <w:tcPr>
            <w:tcW w:w="1838" w:type="dxa"/>
          </w:tcPr>
          <w:p w14:paraId="62ED0099" w14:textId="05F3F284" w:rsidR="00950DF7" w:rsidRPr="00C43C2B" w:rsidRDefault="00950DF7" w:rsidP="00C43C2B">
            <w:pPr>
              <w:jc w:val="center"/>
              <w:rPr>
                <w:rFonts w:ascii="Century Gothic" w:eastAsia="Century Gothic" w:hAnsi="Century Gothic" w:cs="Century Gothic"/>
                <w:b/>
                <w:bCs/>
                <w:sz w:val="22"/>
                <w:szCs w:val="22"/>
                <w:lang w:val="es-ES"/>
              </w:rPr>
            </w:pPr>
            <w:r w:rsidRPr="00C43C2B">
              <w:rPr>
                <w:rFonts w:ascii="Century Gothic" w:eastAsia="Century Gothic" w:hAnsi="Century Gothic" w:cs="Century Gothic"/>
                <w:b/>
                <w:bCs/>
                <w:sz w:val="22"/>
                <w:szCs w:val="22"/>
                <w:lang w:val="es-ES"/>
              </w:rPr>
              <w:t>Radicación:</w:t>
            </w:r>
          </w:p>
        </w:tc>
        <w:tc>
          <w:tcPr>
            <w:tcW w:w="6237" w:type="dxa"/>
          </w:tcPr>
          <w:p w14:paraId="393CD37C" w14:textId="1ADE1FAD" w:rsidR="00950DF7" w:rsidRPr="00C43C2B" w:rsidRDefault="00950DF7" w:rsidP="00C43C2B">
            <w:pPr>
              <w:jc w:val="both"/>
              <w:rPr>
                <w:rFonts w:ascii="Century Gothic" w:eastAsia="Century Gothic" w:hAnsi="Century Gothic" w:cs="Century Gothic"/>
                <w:sz w:val="22"/>
                <w:szCs w:val="22"/>
                <w:lang w:val="es-ES"/>
              </w:rPr>
            </w:pPr>
            <w:r w:rsidRPr="00C43C2B">
              <w:rPr>
                <w:rFonts w:ascii="Century Gothic" w:eastAsia="Century Gothic" w:hAnsi="Century Gothic" w:cs="Century Gothic"/>
                <w:sz w:val="22"/>
                <w:szCs w:val="22"/>
                <w:lang w:val="es-ES"/>
              </w:rPr>
              <w:t xml:space="preserve">Respuesta a consulta </w:t>
            </w:r>
            <w:r w:rsidR="00C1432C">
              <w:rPr>
                <w:rFonts w:ascii="Century Gothic" w:eastAsia="Century Gothic" w:hAnsi="Century Gothic" w:cs="Century Gothic"/>
                <w:sz w:val="22"/>
                <w:szCs w:val="22"/>
                <w:lang w:val="es-ES"/>
              </w:rPr>
              <w:t>P</w:t>
            </w:r>
            <w:r w:rsidR="00C1432C" w:rsidRPr="00C1432C">
              <w:rPr>
                <w:rFonts w:ascii="Century Gothic" w:eastAsia="Century Gothic" w:hAnsi="Century Gothic" w:cs="Century Gothic"/>
                <w:sz w:val="22"/>
                <w:szCs w:val="22"/>
                <w:lang w:val="es-ES"/>
              </w:rPr>
              <w:t>20240217001713</w:t>
            </w:r>
          </w:p>
        </w:tc>
      </w:tr>
    </w:tbl>
    <w:p w14:paraId="65A47511" w14:textId="77777777" w:rsidR="00950DF7" w:rsidRPr="00C43C2B" w:rsidRDefault="00950DF7" w:rsidP="00C43C2B">
      <w:pPr>
        <w:jc w:val="both"/>
        <w:rPr>
          <w:rFonts w:ascii="Century Gothic" w:eastAsia="Century Gothic" w:hAnsi="Century Gothic" w:cs="Century Gothic"/>
          <w:sz w:val="22"/>
          <w:szCs w:val="22"/>
          <w:lang w:val="es-ES"/>
        </w:rPr>
      </w:pPr>
    </w:p>
    <w:p w14:paraId="712BF181" w14:textId="77777777" w:rsidR="00950DF7" w:rsidRPr="00C43C2B" w:rsidRDefault="00950DF7" w:rsidP="00C43C2B">
      <w:pPr>
        <w:jc w:val="both"/>
        <w:rPr>
          <w:rFonts w:ascii="Century Gothic" w:eastAsia="Century Gothic" w:hAnsi="Century Gothic" w:cs="Century Gothic"/>
          <w:sz w:val="22"/>
          <w:szCs w:val="22"/>
          <w:lang w:val="es-ES"/>
        </w:rPr>
      </w:pPr>
    </w:p>
    <w:p w14:paraId="3DDCC405" w14:textId="7CB23C1F" w:rsidR="00950DF7" w:rsidRPr="00084A46" w:rsidRDefault="00950DF7" w:rsidP="3CE3460D">
      <w:pPr>
        <w:jc w:val="both"/>
        <w:rPr>
          <w:rFonts w:ascii="Century Gothic" w:eastAsia="Century Gothic" w:hAnsi="Century Gothic" w:cs="Century Gothic"/>
          <w:sz w:val="22"/>
          <w:szCs w:val="22"/>
          <w:lang w:val="es-ES"/>
        </w:rPr>
      </w:pPr>
      <w:r w:rsidRPr="00084A46">
        <w:rPr>
          <w:rFonts w:ascii="Century Gothic" w:eastAsia="Century Gothic" w:hAnsi="Century Gothic" w:cs="Century Gothic"/>
          <w:sz w:val="22"/>
          <w:szCs w:val="22"/>
          <w:lang w:val="es-ES"/>
        </w:rPr>
        <w:t>Estimado señor</w:t>
      </w:r>
      <w:r w:rsidR="007A28AA" w:rsidRPr="00084A46">
        <w:rPr>
          <w:rFonts w:ascii="Century Gothic" w:eastAsia="Century Gothic" w:hAnsi="Century Gothic" w:cs="Century Gothic"/>
          <w:sz w:val="22"/>
          <w:szCs w:val="22"/>
          <w:lang w:val="es-ES"/>
        </w:rPr>
        <w:t xml:space="preserve"> Velásquez</w:t>
      </w:r>
      <w:r w:rsidRPr="00084A46">
        <w:rPr>
          <w:rFonts w:ascii="Century Gothic" w:eastAsia="Century Gothic" w:hAnsi="Century Gothic" w:cs="Century Gothic"/>
          <w:sz w:val="22"/>
          <w:szCs w:val="22"/>
          <w:lang w:val="es-ES"/>
        </w:rPr>
        <w:t>:</w:t>
      </w:r>
    </w:p>
    <w:p w14:paraId="5958CBDB" w14:textId="77777777" w:rsidR="00950DF7" w:rsidRPr="00084A46" w:rsidRDefault="00950DF7" w:rsidP="3CE3460D">
      <w:pPr>
        <w:jc w:val="both"/>
        <w:rPr>
          <w:rFonts w:ascii="Century Gothic" w:eastAsia="Century Gothic" w:hAnsi="Century Gothic" w:cs="Century Gothic"/>
          <w:sz w:val="22"/>
          <w:szCs w:val="22"/>
          <w:lang w:val="es-ES"/>
        </w:rPr>
      </w:pPr>
    </w:p>
    <w:p w14:paraId="3E917ACF" w14:textId="417CA0E8" w:rsidR="00950DF7" w:rsidRPr="00084A46" w:rsidRDefault="00950DF7" w:rsidP="3CE3460D">
      <w:pPr>
        <w:spacing w:line="276" w:lineRule="auto"/>
        <w:jc w:val="both"/>
        <w:rPr>
          <w:rFonts w:ascii="Century Gothic" w:eastAsia="Century Gothic" w:hAnsi="Century Gothic" w:cs="Century Gothic"/>
          <w:sz w:val="22"/>
          <w:szCs w:val="22"/>
          <w:lang w:val="es-ES"/>
        </w:rPr>
      </w:pPr>
      <w:r w:rsidRPr="00084A46">
        <w:rPr>
          <w:rFonts w:ascii="Century Gothic" w:eastAsia="Century Gothic" w:hAnsi="Century Gothic" w:cs="Century Gothic"/>
          <w:sz w:val="22"/>
          <w:szCs w:val="22"/>
          <w:lang w:val="es-ES"/>
        </w:rPr>
        <w:t>En ejercicio de la competencia otorgada por el numeral 8</w:t>
      </w:r>
      <w:r w:rsidR="00B910BF" w:rsidRPr="00084A46">
        <w:rPr>
          <w:rFonts w:ascii="Century Gothic" w:eastAsia="Century Gothic" w:hAnsi="Century Gothic" w:cs="Century Gothic"/>
          <w:sz w:val="22"/>
          <w:szCs w:val="22"/>
          <w:lang w:val="es-ES"/>
        </w:rPr>
        <w:t>°</w:t>
      </w:r>
      <w:r w:rsidRPr="00084A46">
        <w:rPr>
          <w:rFonts w:ascii="Century Gothic" w:eastAsia="Century Gothic" w:hAnsi="Century Gothic" w:cs="Century Gothic"/>
          <w:sz w:val="22"/>
          <w:szCs w:val="22"/>
          <w:lang w:val="es-ES"/>
        </w:rPr>
        <w:t xml:space="preserve"> del artículo 11 y el numeral 5</w:t>
      </w:r>
      <w:r w:rsidR="00B910BF" w:rsidRPr="00084A46">
        <w:rPr>
          <w:rFonts w:ascii="Century Gothic" w:eastAsia="Century Gothic" w:hAnsi="Century Gothic" w:cs="Century Gothic"/>
          <w:sz w:val="22"/>
          <w:szCs w:val="22"/>
          <w:lang w:val="es-ES"/>
        </w:rPr>
        <w:t>°</w:t>
      </w:r>
      <w:r w:rsidRPr="00084A46">
        <w:rPr>
          <w:rFonts w:ascii="Century Gothic" w:eastAsia="Century Gothic" w:hAnsi="Century Gothic" w:cs="Century Gothic"/>
          <w:sz w:val="22"/>
          <w:szCs w:val="22"/>
          <w:lang w:val="es-ES"/>
        </w:rPr>
        <w:t xml:space="preserve"> del artículo 3 del Decreto Ley 4170 de 2011</w:t>
      </w:r>
      <w:r w:rsidR="00F72B91" w:rsidRPr="00084A46">
        <w:rPr>
          <w:rFonts w:ascii="Century Gothic" w:eastAsia="Century Gothic" w:hAnsi="Century Gothic" w:cs="Century Gothic"/>
          <w:sz w:val="22"/>
          <w:szCs w:val="22"/>
        </w:rPr>
        <w:t>, así como lo establecido en la Resolución 1707 de 2018 expedida por esta Entidad</w:t>
      </w:r>
      <w:r w:rsidRPr="00084A46">
        <w:rPr>
          <w:rFonts w:ascii="Century Gothic" w:eastAsia="Century Gothic" w:hAnsi="Century Gothic" w:cs="Century Gothic"/>
          <w:sz w:val="22"/>
          <w:szCs w:val="22"/>
          <w:lang w:val="es-ES"/>
        </w:rPr>
        <w:t>, la Agencia Nacional de Contratación Pública ― Colombia Compra Eficiente</w:t>
      </w:r>
      <w:r w:rsidR="007A28AA" w:rsidRPr="00084A46">
        <w:rPr>
          <w:rFonts w:ascii="Century Gothic" w:eastAsia="Century Gothic" w:hAnsi="Century Gothic" w:cs="Century Gothic"/>
          <w:sz w:val="22"/>
          <w:szCs w:val="22"/>
          <w:lang w:val="es-ES"/>
        </w:rPr>
        <w:t xml:space="preserve"> - </w:t>
      </w:r>
      <w:r w:rsidRPr="00084A46">
        <w:rPr>
          <w:rFonts w:ascii="Century Gothic" w:eastAsia="Century Gothic" w:hAnsi="Century Gothic" w:cs="Century Gothic"/>
          <w:sz w:val="22"/>
          <w:szCs w:val="22"/>
          <w:lang w:val="es-ES"/>
        </w:rPr>
        <w:t xml:space="preserve">responde su consulta del </w:t>
      </w:r>
      <w:r w:rsidR="00C1432C" w:rsidRPr="00084A46">
        <w:rPr>
          <w:rFonts w:ascii="Century Gothic" w:eastAsia="Century Gothic" w:hAnsi="Century Gothic" w:cs="Century Gothic"/>
          <w:sz w:val="22"/>
          <w:szCs w:val="22"/>
          <w:lang w:val="es-ES"/>
        </w:rPr>
        <w:t>17</w:t>
      </w:r>
      <w:r w:rsidRPr="00084A46">
        <w:rPr>
          <w:rFonts w:ascii="Century Gothic" w:eastAsia="Century Gothic" w:hAnsi="Century Gothic" w:cs="Century Gothic"/>
          <w:sz w:val="22"/>
          <w:szCs w:val="22"/>
          <w:lang w:val="es-ES"/>
        </w:rPr>
        <w:t xml:space="preserve"> de </w:t>
      </w:r>
      <w:r w:rsidR="00C1432C" w:rsidRPr="00084A46">
        <w:rPr>
          <w:rFonts w:ascii="Century Gothic" w:eastAsia="Century Gothic" w:hAnsi="Century Gothic" w:cs="Century Gothic"/>
          <w:sz w:val="22"/>
          <w:szCs w:val="22"/>
          <w:lang w:val="es-ES"/>
        </w:rPr>
        <w:t>febrero</w:t>
      </w:r>
      <w:r w:rsidRPr="00084A46">
        <w:rPr>
          <w:rFonts w:ascii="Century Gothic" w:eastAsia="Century Gothic" w:hAnsi="Century Gothic" w:cs="Century Gothic"/>
          <w:sz w:val="22"/>
          <w:szCs w:val="22"/>
          <w:lang w:val="es-ES"/>
        </w:rPr>
        <w:t xml:space="preserve"> de 202</w:t>
      </w:r>
      <w:r w:rsidR="00C1432C" w:rsidRPr="00084A46">
        <w:rPr>
          <w:rFonts w:ascii="Century Gothic" w:eastAsia="Century Gothic" w:hAnsi="Century Gothic" w:cs="Century Gothic"/>
          <w:sz w:val="22"/>
          <w:szCs w:val="22"/>
          <w:lang w:val="es-ES"/>
        </w:rPr>
        <w:t>4</w:t>
      </w:r>
      <w:r w:rsidRPr="00084A46">
        <w:rPr>
          <w:rFonts w:ascii="Century Gothic" w:eastAsia="Century Gothic" w:hAnsi="Century Gothic" w:cs="Century Gothic"/>
          <w:sz w:val="22"/>
          <w:szCs w:val="22"/>
          <w:lang w:val="es-ES"/>
        </w:rPr>
        <w:t>.</w:t>
      </w:r>
    </w:p>
    <w:p w14:paraId="6E212067" w14:textId="77777777" w:rsidR="00950DF7" w:rsidRPr="00084A46" w:rsidRDefault="00950DF7" w:rsidP="3CE3460D">
      <w:pPr>
        <w:spacing w:line="276" w:lineRule="auto"/>
        <w:jc w:val="both"/>
        <w:rPr>
          <w:rFonts w:ascii="Century Gothic" w:eastAsia="Century Gothic" w:hAnsi="Century Gothic" w:cs="Century Gothic"/>
          <w:b/>
          <w:bCs/>
          <w:sz w:val="22"/>
          <w:szCs w:val="22"/>
          <w:lang w:val="es-ES"/>
        </w:rPr>
      </w:pPr>
    </w:p>
    <w:p w14:paraId="65872357" w14:textId="77777777" w:rsidR="00C1432C" w:rsidRPr="00084A46" w:rsidRDefault="00C1432C" w:rsidP="00C1432C">
      <w:pPr>
        <w:pStyle w:val="ListParagraph"/>
        <w:numPr>
          <w:ilvl w:val="0"/>
          <w:numId w:val="2"/>
        </w:numPr>
        <w:spacing w:line="276" w:lineRule="auto"/>
        <w:jc w:val="both"/>
        <w:rPr>
          <w:rFonts w:ascii="Century Gothic" w:eastAsia="Century Gothic" w:hAnsi="Century Gothic" w:cs="Century Gothic"/>
          <w:b/>
          <w:bCs/>
          <w:color w:val="000000" w:themeColor="text1"/>
          <w:sz w:val="22"/>
        </w:rPr>
      </w:pPr>
      <w:bookmarkStart w:id="3" w:name="_Hlk117695077"/>
      <w:r w:rsidRPr="00084A46">
        <w:rPr>
          <w:rFonts w:ascii="Century Gothic" w:eastAsia="Century Gothic" w:hAnsi="Century Gothic" w:cs="Century Gothic"/>
          <w:b/>
          <w:bCs/>
          <w:color w:val="000000" w:themeColor="text1"/>
          <w:sz w:val="22"/>
          <w:lang w:val="es-CO"/>
        </w:rPr>
        <w:t xml:space="preserve">Problemas planteados </w:t>
      </w:r>
    </w:p>
    <w:p w14:paraId="0C63A503" w14:textId="77777777" w:rsidR="00C1432C" w:rsidRPr="00084A46" w:rsidRDefault="00C1432C" w:rsidP="00C1432C">
      <w:pPr>
        <w:tabs>
          <w:tab w:val="left" w:pos="426"/>
        </w:tabs>
        <w:spacing w:line="276" w:lineRule="auto"/>
        <w:contextualSpacing/>
        <w:rPr>
          <w:rFonts w:ascii="Century Gothic" w:eastAsia="Century Gothic" w:hAnsi="Century Gothic" w:cs="Century Gothic"/>
          <w:b/>
          <w:bCs/>
          <w:color w:val="000000" w:themeColor="text1"/>
          <w:sz w:val="22"/>
          <w:szCs w:val="22"/>
        </w:rPr>
      </w:pPr>
      <w:r w:rsidRPr="00084A46">
        <w:rPr>
          <w:rFonts w:ascii="Century Gothic" w:eastAsia="Century Gothic" w:hAnsi="Century Gothic" w:cs="Century Gothic"/>
          <w:b/>
          <w:bCs/>
          <w:color w:val="000000" w:themeColor="text1"/>
          <w:sz w:val="22"/>
          <w:szCs w:val="22"/>
        </w:rPr>
        <w:t xml:space="preserve"> </w:t>
      </w:r>
    </w:p>
    <w:p w14:paraId="65BE26D9" w14:textId="3E08B3A5" w:rsidR="00C1432C" w:rsidRPr="00084A46" w:rsidRDefault="00C1432C" w:rsidP="00B97E23">
      <w:pPr>
        <w:spacing w:line="276" w:lineRule="auto"/>
        <w:contextualSpacing/>
        <w:jc w:val="both"/>
        <w:rPr>
          <w:rFonts w:ascii="Century Gothic" w:eastAsia="Century Gothic" w:hAnsi="Century Gothic" w:cs="Century Gothic"/>
          <w:color w:val="000000" w:themeColor="text1"/>
          <w:sz w:val="22"/>
          <w:szCs w:val="22"/>
        </w:rPr>
      </w:pPr>
      <w:r w:rsidRPr="00084A46">
        <w:rPr>
          <w:rFonts w:ascii="Century Gothic" w:eastAsia="Century Gothic" w:hAnsi="Century Gothic" w:cs="Century Gothic"/>
          <w:color w:val="000000" w:themeColor="text1"/>
          <w:sz w:val="22"/>
          <w:szCs w:val="22"/>
        </w:rPr>
        <w:t xml:space="preserve">Para efectos de los requisitos e indicadores de la capacidad financiera y organizacional de que trata el literal b) del artículo 2.2.1.1.1.5.6 del Decreto 1082 de 2015, usted realiza las siguientes preguntas: i) </w:t>
      </w:r>
      <w:r w:rsidR="00B97E23" w:rsidRPr="00084A46">
        <w:rPr>
          <w:rFonts w:ascii="Century Gothic" w:eastAsia="Century Gothic" w:hAnsi="Century Gothic" w:cs="Century Gothic"/>
          <w:color w:val="000000" w:themeColor="text1"/>
          <w:sz w:val="22"/>
          <w:szCs w:val="22"/>
        </w:rPr>
        <w:t>“Para el presente año 2024 es OBLIGATORIO permitirle a los oferentes la posibilidad de acreditar los indicadores</w:t>
      </w:r>
      <w:r w:rsidR="00B97E23" w:rsidRPr="00B97E23">
        <w:rPr>
          <w:rFonts w:ascii="Century Gothic" w:eastAsia="Century Gothic" w:hAnsi="Century Gothic" w:cs="Century Gothic"/>
          <w:color w:val="000000" w:themeColor="text1"/>
        </w:rPr>
        <w:t xml:space="preserve"> </w:t>
      </w:r>
      <w:r w:rsidR="00B97E23" w:rsidRPr="00084A46">
        <w:rPr>
          <w:rFonts w:ascii="Century Gothic" w:eastAsia="Century Gothic" w:hAnsi="Century Gothic" w:cs="Century Gothic"/>
          <w:color w:val="000000" w:themeColor="text1"/>
          <w:sz w:val="22"/>
          <w:szCs w:val="22"/>
        </w:rPr>
        <w:t xml:space="preserve">de capacidad financiera y organizacional tomando el mejor año de los últimos tres (3) años fiscales anteriores a las inscripciones y/o renovaciones hechas en el 2023 en el marco de lo dispuesto en el DECRETO 1041 DE 2022”  </w:t>
      </w:r>
      <w:r w:rsidRPr="00084A46">
        <w:rPr>
          <w:rFonts w:ascii="Century Gothic" w:eastAsia="Century Gothic" w:hAnsi="Century Gothic" w:cs="Century Gothic"/>
          <w:color w:val="000000" w:themeColor="text1"/>
          <w:sz w:val="22"/>
          <w:szCs w:val="22"/>
        </w:rPr>
        <w:t xml:space="preserve">ii) </w:t>
      </w:r>
      <w:r w:rsidR="00B97E23" w:rsidRPr="00084A46">
        <w:rPr>
          <w:rFonts w:ascii="Century Gothic" w:eastAsia="Century Gothic" w:hAnsi="Century Gothic" w:cs="Century Gothic"/>
          <w:color w:val="000000" w:themeColor="text1"/>
          <w:sz w:val="22"/>
          <w:szCs w:val="22"/>
        </w:rPr>
        <w:t>“Es potestativo para la entidad, establecer que solamente puedan acreditar los indicadores financieros y organizacionales con la información financiera correspondiente al año 2022?”</w:t>
      </w:r>
    </w:p>
    <w:p w14:paraId="4AE54CF7" w14:textId="77777777" w:rsidR="00C1432C" w:rsidRPr="00A91C92" w:rsidRDefault="00C1432C" w:rsidP="00C1432C">
      <w:pPr>
        <w:spacing w:line="276" w:lineRule="auto"/>
        <w:ind w:right="709"/>
        <w:contextualSpacing/>
        <w:rPr>
          <w:rFonts w:ascii="Century Gothic" w:eastAsia="Century Gothic" w:hAnsi="Century Gothic" w:cs="Century Gothic"/>
          <w:color w:val="000000" w:themeColor="text1"/>
        </w:rPr>
      </w:pPr>
      <w:r w:rsidRPr="2F7B58A8">
        <w:rPr>
          <w:rFonts w:ascii="Century Gothic" w:eastAsia="Century Gothic" w:hAnsi="Century Gothic" w:cs="Century Gothic"/>
          <w:color w:val="000000" w:themeColor="text1"/>
        </w:rPr>
        <w:t xml:space="preserve"> </w:t>
      </w:r>
    </w:p>
    <w:p w14:paraId="59C67C6A" w14:textId="77777777" w:rsidR="00C1432C" w:rsidRPr="00084A46" w:rsidRDefault="00C1432C" w:rsidP="00C1432C">
      <w:pPr>
        <w:pStyle w:val="ListParagraph"/>
        <w:numPr>
          <w:ilvl w:val="0"/>
          <w:numId w:val="2"/>
        </w:numPr>
        <w:spacing w:line="276" w:lineRule="auto"/>
        <w:jc w:val="both"/>
        <w:rPr>
          <w:rFonts w:ascii="Century Gothic" w:eastAsia="Century Gothic" w:hAnsi="Century Gothic" w:cs="Century Gothic"/>
          <w:b/>
          <w:bCs/>
          <w:color w:val="000000" w:themeColor="text1"/>
          <w:sz w:val="22"/>
          <w:lang w:val="es-CO"/>
        </w:rPr>
      </w:pPr>
      <w:r w:rsidRPr="00084A46">
        <w:rPr>
          <w:rFonts w:ascii="Century Gothic" w:eastAsia="Century Gothic" w:hAnsi="Century Gothic" w:cs="Century Gothic"/>
          <w:b/>
          <w:bCs/>
          <w:color w:val="000000" w:themeColor="text1"/>
          <w:sz w:val="22"/>
          <w:lang w:val="es-CO"/>
        </w:rPr>
        <w:t>Consideraciones</w:t>
      </w:r>
    </w:p>
    <w:p w14:paraId="2E9FE2CC" w14:textId="77777777" w:rsidR="00C1432C" w:rsidRPr="00084A46" w:rsidRDefault="00C1432C" w:rsidP="00C1432C">
      <w:pPr>
        <w:spacing w:line="276" w:lineRule="auto"/>
        <w:contextualSpacing/>
        <w:rPr>
          <w:rFonts w:ascii="Century Gothic" w:eastAsia="Century Gothic" w:hAnsi="Century Gothic" w:cs="Century Gothic"/>
          <w:color w:val="000000" w:themeColor="text1"/>
          <w:sz w:val="22"/>
          <w:szCs w:val="22"/>
          <w:lang w:val="es"/>
        </w:rPr>
      </w:pPr>
      <w:r w:rsidRPr="00084A46">
        <w:rPr>
          <w:rFonts w:ascii="Century Gothic" w:eastAsia="Century Gothic" w:hAnsi="Century Gothic" w:cs="Century Gothic"/>
          <w:color w:val="000000" w:themeColor="text1"/>
          <w:sz w:val="22"/>
          <w:szCs w:val="22"/>
          <w:lang w:val="es"/>
        </w:rPr>
        <w:t xml:space="preserve"> </w:t>
      </w:r>
    </w:p>
    <w:p w14:paraId="46CC825A" w14:textId="77777777" w:rsidR="00C1432C" w:rsidRPr="00084A46" w:rsidRDefault="00C1432C" w:rsidP="00C1432C">
      <w:pPr>
        <w:spacing w:line="276" w:lineRule="auto"/>
        <w:contextualSpacing/>
        <w:jc w:val="both"/>
        <w:rPr>
          <w:rFonts w:ascii="Century Gothic" w:eastAsia="Century Gothic" w:hAnsi="Century Gothic" w:cs="Century Gothic"/>
          <w:sz w:val="22"/>
          <w:szCs w:val="22"/>
        </w:rPr>
      </w:pPr>
      <w:r w:rsidRPr="00084A46">
        <w:rPr>
          <w:rFonts w:ascii="Century Gothic" w:eastAsia="Century Gothic" w:hAnsi="Century Gothic" w:cs="Century Gothic"/>
          <w:sz w:val="22"/>
          <w:szCs w:val="22"/>
        </w:rPr>
        <w:t>Conforme al Decreto Ley 4170 de 2011, la Agencia Nacional de Contratación Pública – Colombia Compra Eficiente resuelve las consultas sobre los asuntos de su competencia, esto es, sobre las temáticas de la contratación estatal y compras públicas relacionadas en los artículos citados. Es necesario tener en cuenta que esta entidad solo tiene competencia para responder solicitudes sobre la interpretación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 la contratación estatal.</w:t>
      </w:r>
    </w:p>
    <w:p w14:paraId="197E952C" w14:textId="77777777" w:rsidR="00C1432C" w:rsidRPr="00084A46" w:rsidRDefault="00C1432C" w:rsidP="00C1432C">
      <w:pPr>
        <w:spacing w:line="276" w:lineRule="auto"/>
        <w:contextualSpacing/>
        <w:jc w:val="both"/>
        <w:rPr>
          <w:rFonts w:ascii="Century Gothic" w:eastAsia="Century Gothic" w:hAnsi="Century Gothic" w:cs="Century Gothic"/>
          <w:sz w:val="22"/>
          <w:szCs w:val="22"/>
        </w:rPr>
      </w:pPr>
    </w:p>
    <w:p w14:paraId="2EB19329" w14:textId="77777777" w:rsidR="00C1432C" w:rsidRPr="00084A46" w:rsidRDefault="00C1432C" w:rsidP="00C1432C">
      <w:pPr>
        <w:spacing w:line="276" w:lineRule="auto"/>
        <w:ind w:firstLine="708"/>
        <w:contextualSpacing/>
        <w:jc w:val="both"/>
        <w:rPr>
          <w:rFonts w:ascii="Century Gothic" w:eastAsia="Century Gothic" w:hAnsi="Century Gothic" w:cs="Century Gothic"/>
          <w:sz w:val="22"/>
          <w:szCs w:val="22"/>
        </w:rPr>
      </w:pPr>
      <w:r w:rsidRPr="00084A46">
        <w:rPr>
          <w:rFonts w:ascii="Century Gothic" w:eastAsia="Century Gothic" w:hAnsi="Century Gothic" w:cs="Century Gothic"/>
          <w:sz w:val="22"/>
          <w:szCs w:val="22"/>
        </w:rPr>
        <w:t>La competencia de esta entidad se fija con límites claros, con el objeto de evitar que la Agencia actúe como una instancia de validación de las actuaciones de las entidades sujetas a la Ley 80 de 1993 o de los demás participantes de la contratación pública</w:t>
      </w:r>
      <w:hyperlink r:id="rId12" w:anchor="_ftn1" w:history="1">
        <w:r w:rsidRPr="00084A46">
          <w:rPr>
            <w:rFonts w:ascii="Century Gothic" w:eastAsia="Century Gothic" w:hAnsi="Century Gothic" w:cs="Century Gothic"/>
            <w:sz w:val="22"/>
            <w:szCs w:val="22"/>
          </w:rPr>
          <w:t>[1]</w:t>
        </w:r>
      </w:hyperlink>
      <w:r w:rsidRPr="00084A46">
        <w:rPr>
          <w:rFonts w:ascii="Century Gothic" w:eastAsia="Century Gothic" w:hAnsi="Century Gothic" w:cs="Century Gothic"/>
          <w:sz w:val="22"/>
          <w:szCs w:val="22"/>
        </w:rPr>
        <w:t>. Esta interpretación de las normas generales, por definición, no puede extenderse a la resolución de controversias ni brindar asesorías sobre casos puntuales. Por lo anterior, previo concepto de sus órganos asesores, la solución de estos temas corresponde a la entidad de adoptar la decisión y, en caso de conflicto, a las autoridades judiciales, fiscales y disciplinarias. De esta manera, es deber de cada interesado definir la viabilidad técnica, jurídica y financiera de adelantar alguna gestión contractual en específico.</w:t>
      </w:r>
    </w:p>
    <w:p w14:paraId="3EF4EEAF" w14:textId="77777777" w:rsidR="00C1432C" w:rsidRPr="00084A46" w:rsidRDefault="00C1432C" w:rsidP="00C1432C">
      <w:pPr>
        <w:spacing w:line="276" w:lineRule="auto"/>
        <w:ind w:firstLine="708"/>
        <w:contextualSpacing/>
        <w:jc w:val="both"/>
        <w:rPr>
          <w:rFonts w:ascii="Century Gothic" w:eastAsia="Century Gothic" w:hAnsi="Century Gothic" w:cs="Century Gothic"/>
          <w:sz w:val="22"/>
          <w:szCs w:val="22"/>
        </w:rPr>
      </w:pPr>
    </w:p>
    <w:p w14:paraId="6D6744EA" w14:textId="77777777" w:rsidR="00C1432C" w:rsidRPr="00084A46" w:rsidRDefault="00C1432C" w:rsidP="00C1432C">
      <w:pPr>
        <w:spacing w:after="160" w:line="276" w:lineRule="auto"/>
        <w:contextualSpacing/>
        <w:jc w:val="both"/>
        <w:rPr>
          <w:rFonts w:ascii="Century Gothic" w:eastAsia="Century Gothic" w:hAnsi="Century Gothic" w:cs="Century Gothic"/>
          <w:sz w:val="22"/>
          <w:szCs w:val="22"/>
        </w:rPr>
      </w:pPr>
      <w:r w:rsidRPr="00084A46">
        <w:rPr>
          <w:rFonts w:ascii="Century Gothic" w:eastAsia="Century Gothic" w:hAnsi="Century Gothic" w:cs="Century Gothic"/>
          <w:sz w:val="22"/>
          <w:szCs w:val="22"/>
        </w:rPr>
        <w:t xml:space="preserve">            En este contexto, la Subdirección –dentro de los límites de sus atribuciones– resolverá la petición conforme a las normas generales en materia de contratación estatal. Con este objetivo se abordarán los siguientes temas: i) capacidad financiera y organizacional como requisitos habilitantes; ii) efectos de la inscripción, renovación y actualización del RUP; y iii) vigencia de las modificaciones introducidas por los Decretos 399 de 2021, 579 de 2021 y 1041 de 2022 respecto a la información contenida en el RUP y su verificación dentro del “mejor año fiscal”.   </w:t>
      </w:r>
    </w:p>
    <w:p w14:paraId="756F70F4" w14:textId="77777777" w:rsidR="00C1432C" w:rsidRPr="00C1432C" w:rsidRDefault="00C1432C" w:rsidP="00C1432C">
      <w:pPr>
        <w:spacing w:after="160" w:line="276" w:lineRule="auto"/>
        <w:contextualSpacing/>
        <w:jc w:val="both"/>
        <w:rPr>
          <w:rFonts w:ascii="Century Gothic" w:eastAsia="Century Gothic" w:hAnsi="Century Gothic" w:cs="Century Gothic"/>
        </w:rPr>
      </w:pPr>
    </w:p>
    <w:p w14:paraId="2DCBA79D" w14:textId="29ED6DE6" w:rsidR="00C1432C" w:rsidRPr="00084A46" w:rsidRDefault="00C1432C" w:rsidP="00C1432C">
      <w:pPr>
        <w:spacing w:before="120" w:line="276" w:lineRule="auto"/>
        <w:ind w:firstLine="709"/>
        <w:contextualSpacing/>
        <w:jc w:val="both"/>
        <w:rPr>
          <w:rFonts w:ascii="Century Gothic" w:eastAsia="Century Gothic" w:hAnsi="Century Gothic" w:cs="Century Gothic"/>
          <w:sz w:val="22"/>
          <w:szCs w:val="22"/>
        </w:rPr>
      </w:pPr>
      <w:r w:rsidRPr="00084A46">
        <w:rPr>
          <w:rFonts w:ascii="Century Gothic" w:eastAsia="Century Gothic" w:hAnsi="Century Gothic" w:cs="Century Gothic"/>
          <w:sz w:val="22"/>
          <w:szCs w:val="22"/>
        </w:rPr>
        <w:t>La Agencia Nacional de Contratación Pública – Colombia Compra Eficiente ha impartido lineamientos sobre la acreditación de los indicadores de capacidad financiera y organizacional de los oferentes mediante el RUP en los conceptos No. 4201912000006798 del 24 de octubre de 2019, C-002 del 12 de febrero de 2020, C-089 del 4 de marzo de 2020, C-099 del 06 de abril de 2020, C-166 del 14 de abril de 2020, C-233 del 16 de abril de 2020, C-326 del 9 de junio de 2020, C-140 del 9 de abril de 202, entre otros. Respecto de la reciente reglamentación establecida en los Decretos 399 y 579 de 2021 y 1041 de 2022 se pronunció en los Conceptos C-288 de 17 de junio de 2021, C-353 del 19 de julio de 2021, C-366 del 26 de julio de 2021 y C-372 del 28 de julio de 2021, C-406 del 8 de agosto de 2021, C-407 del 25 de agosto de 2021, C-439 de 5 de julio de 2022, C-831 del 28 de noviembre del 2022, C-005 de 21 de febrero de 2023, C-050 de 22 de marzo de 2023, C-185 de 8 de junio de 2023, C-277 de 14 de julio de 2023, C-350 del 28 de agosto de 2023</w:t>
      </w:r>
      <w:r w:rsidR="007A28AA" w:rsidRPr="00084A46">
        <w:rPr>
          <w:rFonts w:ascii="Century Gothic" w:eastAsia="Century Gothic" w:hAnsi="Century Gothic" w:cs="Century Gothic"/>
          <w:sz w:val="22"/>
          <w:szCs w:val="22"/>
        </w:rPr>
        <w:t xml:space="preserve">, </w:t>
      </w:r>
      <w:r w:rsidRPr="00084A46">
        <w:rPr>
          <w:rFonts w:ascii="Century Gothic" w:eastAsia="Century Gothic" w:hAnsi="Century Gothic" w:cs="Century Gothic"/>
          <w:sz w:val="22"/>
          <w:szCs w:val="22"/>
        </w:rPr>
        <w:t>C-355 del 30 de agosto de 2023</w:t>
      </w:r>
      <w:r w:rsidR="007A28AA" w:rsidRPr="00084A46">
        <w:rPr>
          <w:rFonts w:ascii="Century Gothic" w:eastAsia="Century Gothic" w:hAnsi="Century Gothic" w:cs="Century Gothic"/>
          <w:sz w:val="22"/>
          <w:szCs w:val="22"/>
        </w:rPr>
        <w:t xml:space="preserve"> y C-020 de marzo 2024</w:t>
      </w:r>
      <w:r w:rsidRPr="00084A46">
        <w:rPr>
          <w:rFonts w:ascii="Century Gothic" w:eastAsia="Century Gothic" w:hAnsi="Century Gothic" w:cs="Century Gothic"/>
          <w:sz w:val="22"/>
          <w:szCs w:val="22"/>
        </w:rPr>
        <w:t>.</w:t>
      </w:r>
    </w:p>
    <w:p w14:paraId="60841E63" w14:textId="77777777" w:rsidR="00C1432C" w:rsidRPr="00084A46" w:rsidRDefault="00C1432C" w:rsidP="00C1432C">
      <w:pPr>
        <w:spacing w:before="120" w:line="276" w:lineRule="auto"/>
        <w:ind w:firstLine="709"/>
        <w:contextualSpacing/>
        <w:jc w:val="both"/>
        <w:rPr>
          <w:rFonts w:ascii="Century Gothic" w:eastAsia="Century Gothic" w:hAnsi="Century Gothic" w:cs="Century Gothic"/>
          <w:sz w:val="22"/>
          <w:szCs w:val="22"/>
        </w:rPr>
      </w:pPr>
    </w:p>
    <w:p w14:paraId="78EA0D5F" w14:textId="77777777" w:rsidR="00C1432C" w:rsidRPr="00084A46" w:rsidRDefault="00C1432C" w:rsidP="00C1432C">
      <w:pPr>
        <w:spacing w:before="120" w:line="276" w:lineRule="auto"/>
        <w:ind w:firstLine="709"/>
        <w:contextualSpacing/>
        <w:jc w:val="both"/>
        <w:rPr>
          <w:rFonts w:ascii="Century Gothic" w:eastAsia="Century Gothic" w:hAnsi="Century Gothic" w:cs="Century Gothic"/>
          <w:sz w:val="22"/>
          <w:szCs w:val="22"/>
        </w:rPr>
      </w:pPr>
      <w:r w:rsidRPr="00084A46">
        <w:rPr>
          <w:rFonts w:ascii="Century Gothic" w:eastAsia="Century Gothic" w:hAnsi="Century Gothic" w:cs="Century Gothic"/>
          <w:sz w:val="22"/>
          <w:szCs w:val="22"/>
        </w:rPr>
        <w:t>Asimismo, se ha pronunciado sobre las problemáticas asociadas al RUP en los Conceptos 4201713000001182 del 24 de marzo de 2017, 4201814000002165 del 23 de abril de 2017, 4201713000001647 del 27 de abril de 2017, 4201711000001879 del 11 de mayo de 2017, 4201714000002097 del 24 de mayo de 2017, 4201814000002927 del 11 de abril de 2018, 4201814000002917 del 11 de mayo de 2018, 4201813000003018 del 11 de mayo de 2018, , 4201814000004174 del 18 de mayo de 2018, 4201814000004014 del 20 de junio de 2018, 4201813000004073 del 21 de junio de 2018, 4201912000003350 del 4 de julio de 2019, 4201912000007418 del 11 de diciembre de 2019, y C-005  del 14 de febrero de 2020, C-454 del 06 de julio de 2020 2020, C-466 del 24 de julio de 2020, C-420 del 28 de julio de 2020, C-480 del 25 de agosto de 2021, C-534 del 12 de agosto de 2020, C-553 del 24 de agosto de 2021, C-576 del 31 de agosto de 2021, C-786 de 2020 del 19 de enero de 2021, C-800 del 1 de febrero de 2021, C-703 del 11 de enero de 2022, C-328 del 22 de julio de 2022, entre otros</w:t>
      </w:r>
      <w:hyperlink r:id="rId13" w:anchor="_ftn2" w:history="1">
        <w:r w:rsidRPr="00084A46">
          <w:rPr>
            <w:rFonts w:ascii="Century Gothic" w:eastAsia="Century Gothic" w:hAnsi="Century Gothic" w:cs="Century Gothic"/>
            <w:sz w:val="22"/>
            <w:szCs w:val="22"/>
          </w:rPr>
          <w:t>[2]</w:t>
        </w:r>
      </w:hyperlink>
      <w:r w:rsidRPr="00084A46">
        <w:rPr>
          <w:rFonts w:ascii="Century Gothic" w:eastAsia="Century Gothic" w:hAnsi="Century Gothic" w:cs="Century Gothic"/>
          <w:sz w:val="22"/>
          <w:szCs w:val="22"/>
        </w:rPr>
        <w:t>. La tesis propuesta en estos conceptos se reitera a continuación y se complementa en lo pertinente.</w:t>
      </w:r>
    </w:p>
    <w:p w14:paraId="460FDF76" w14:textId="77777777" w:rsidR="00C1432C" w:rsidRPr="00084A46" w:rsidRDefault="00C1432C" w:rsidP="00C1432C">
      <w:pPr>
        <w:spacing w:line="276" w:lineRule="auto"/>
        <w:contextualSpacing/>
        <w:rPr>
          <w:rFonts w:ascii="Century Gothic" w:eastAsia="Century Gothic" w:hAnsi="Century Gothic" w:cs="Century Gothic"/>
          <w:b/>
          <w:bCs/>
          <w:sz w:val="22"/>
          <w:szCs w:val="22"/>
        </w:rPr>
      </w:pPr>
      <w:r w:rsidRPr="00084A46">
        <w:rPr>
          <w:rFonts w:ascii="Century Gothic" w:eastAsia="Century Gothic" w:hAnsi="Century Gothic" w:cs="Century Gothic"/>
          <w:b/>
          <w:bCs/>
          <w:sz w:val="22"/>
          <w:szCs w:val="22"/>
        </w:rPr>
        <w:t xml:space="preserve"> </w:t>
      </w:r>
    </w:p>
    <w:p w14:paraId="69FC85B6" w14:textId="77777777" w:rsidR="00C1432C" w:rsidRPr="00084A46" w:rsidRDefault="00C1432C" w:rsidP="00C1432C">
      <w:pPr>
        <w:spacing w:line="276" w:lineRule="auto"/>
        <w:contextualSpacing/>
        <w:rPr>
          <w:rFonts w:ascii="Century Gothic" w:eastAsia="Century Gothic" w:hAnsi="Century Gothic" w:cs="Century Gothic"/>
          <w:b/>
          <w:bCs/>
          <w:sz w:val="22"/>
          <w:szCs w:val="22"/>
        </w:rPr>
      </w:pPr>
      <w:r w:rsidRPr="00084A46">
        <w:rPr>
          <w:rFonts w:ascii="Century Gothic" w:eastAsia="Century Gothic" w:hAnsi="Century Gothic" w:cs="Century Gothic"/>
          <w:b/>
          <w:bCs/>
          <w:sz w:val="22"/>
          <w:szCs w:val="22"/>
        </w:rPr>
        <w:t xml:space="preserve">2.1. Los requisitos habilitantes de capacidad financiera y organizacional </w:t>
      </w:r>
    </w:p>
    <w:p w14:paraId="17A27AC6" w14:textId="77777777" w:rsidR="00C1432C" w:rsidRPr="00084A46" w:rsidRDefault="00C1432C" w:rsidP="00C1432C">
      <w:pPr>
        <w:spacing w:line="276" w:lineRule="auto"/>
        <w:contextualSpacing/>
        <w:rPr>
          <w:rFonts w:ascii="Century Gothic" w:eastAsia="Century Gothic" w:hAnsi="Century Gothic" w:cs="Century Gothic"/>
          <w:sz w:val="22"/>
          <w:szCs w:val="22"/>
        </w:rPr>
      </w:pPr>
      <w:r w:rsidRPr="00084A46">
        <w:rPr>
          <w:rFonts w:ascii="Century Gothic" w:eastAsia="Century Gothic" w:hAnsi="Century Gothic" w:cs="Century Gothic"/>
          <w:sz w:val="22"/>
          <w:szCs w:val="22"/>
        </w:rPr>
        <w:t xml:space="preserve"> </w:t>
      </w:r>
    </w:p>
    <w:p w14:paraId="4F4CC7BC" w14:textId="77777777" w:rsidR="00C1432C" w:rsidRPr="00084A46" w:rsidRDefault="00C1432C" w:rsidP="00C1432C">
      <w:pPr>
        <w:spacing w:line="276" w:lineRule="auto"/>
        <w:contextualSpacing/>
        <w:jc w:val="both"/>
        <w:rPr>
          <w:rFonts w:ascii="Century Gothic" w:eastAsia="Century Gothic" w:hAnsi="Century Gothic" w:cs="Century Gothic"/>
          <w:sz w:val="22"/>
          <w:szCs w:val="22"/>
        </w:rPr>
      </w:pPr>
      <w:r w:rsidRPr="00084A46">
        <w:rPr>
          <w:rFonts w:ascii="Century Gothic" w:eastAsia="Century Gothic" w:hAnsi="Century Gothic" w:cs="Century Gothic"/>
          <w:sz w:val="22"/>
          <w:szCs w:val="22"/>
        </w:rPr>
        <w:t xml:space="preserve">Los requisitos habilitantes se definen como exigencias de participación en los procedimientos de selección, establecidos en disposiciones normativas, de carácter legal o reglamentario, o las contenidas en el acto administrativo que regula las reglas de la convocatoria, es decir, en el pliego de condiciones o el documento equivalente a este. Se diferencian de los criterios de evaluación –también conocidos como criterios de calificación– en que estos son los factores definidos por la Entidad Estatal para la asignación de puntaje en el momento de la comparación de las ofertas, y que, a partir de su ponderación, permiten establecer el orden de elegibilidad y, por ende, la propuesta ganadora. </w:t>
      </w:r>
    </w:p>
    <w:p w14:paraId="6BEE4DC7" w14:textId="77777777" w:rsidR="00C1432C" w:rsidRPr="00084A46" w:rsidRDefault="00C1432C" w:rsidP="00C1432C">
      <w:pPr>
        <w:spacing w:line="276" w:lineRule="auto"/>
        <w:contextualSpacing/>
        <w:jc w:val="both"/>
        <w:rPr>
          <w:rFonts w:ascii="Century Gothic" w:eastAsia="Century Gothic" w:hAnsi="Century Gothic" w:cs="Century Gothic"/>
          <w:sz w:val="22"/>
          <w:szCs w:val="22"/>
        </w:rPr>
      </w:pPr>
    </w:p>
    <w:p w14:paraId="4F974DEA" w14:textId="77777777" w:rsidR="00C1432C" w:rsidRPr="00084A46" w:rsidRDefault="00C1432C" w:rsidP="00C1432C">
      <w:pPr>
        <w:spacing w:line="276" w:lineRule="auto"/>
        <w:ind w:firstLine="708"/>
        <w:contextualSpacing/>
        <w:jc w:val="both"/>
        <w:rPr>
          <w:rFonts w:ascii="Century Gothic" w:eastAsia="Century Gothic" w:hAnsi="Century Gothic" w:cs="Century Gothic"/>
          <w:sz w:val="22"/>
          <w:szCs w:val="22"/>
        </w:rPr>
      </w:pPr>
      <w:r w:rsidRPr="00084A46">
        <w:rPr>
          <w:rFonts w:ascii="Century Gothic" w:eastAsia="Century Gothic" w:hAnsi="Century Gothic" w:cs="Century Gothic"/>
          <w:sz w:val="22"/>
          <w:szCs w:val="22"/>
        </w:rPr>
        <w:t>A partir de lo dicho se deduce que los requisitos habilitantes, si bien constituyen obligaciones que los proponentes deben cumplir y acreditar para participar en el procedimiento de selección, no se valoran con un puntaje que determine el orden de escogencia, sino que se analizan como criterios previos a la evaluación en sentido estricto, de manera que quienes no los reúnan no pueden continuar en el procedimiento de selección, o sea, incurren en causal de rechazo. Esto sin perjuicio del derecho que tienen los oferentes de subsanar los defectos que se presenten en la prueba de tales requisitos, de conformidad con el artículo 5, parágrafos 1º al 4º, de la Ley 1150 de 2007.</w:t>
      </w:r>
    </w:p>
    <w:p w14:paraId="73B6C580" w14:textId="77777777" w:rsidR="00C1432C" w:rsidRPr="00084A46" w:rsidRDefault="00C1432C" w:rsidP="00C1432C">
      <w:pPr>
        <w:spacing w:line="276" w:lineRule="auto"/>
        <w:ind w:firstLine="708"/>
        <w:contextualSpacing/>
        <w:jc w:val="both"/>
        <w:rPr>
          <w:rFonts w:ascii="Century Gothic" w:eastAsia="Century Gothic" w:hAnsi="Century Gothic" w:cs="Century Gothic"/>
          <w:sz w:val="22"/>
          <w:szCs w:val="22"/>
        </w:rPr>
      </w:pPr>
    </w:p>
    <w:p w14:paraId="7A94E2F2" w14:textId="77777777" w:rsidR="00C1432C" w:rsidRPr="00084A46" w:rsidRDefault="00C1432C" w:rsidP="00C1432C">
      <w:pPr>
        <w:spacing w:line="276" w:lineRule="auto"/>
        <w:ind w:firstLine="708"/>
        <w:contextualSpacing/>
        <w:jc w:val="both"/>
        <w:rPr>
          <w:rFonts w:ascii="Century Gothic" w:eastAsia="Century Gothic" w:hAnsi="Century Gothic" w:cs="Century Gothic"/>
          <w:sz w:val="22"/>
          <w:szCs w:val="22"/>
        </w:rPr>
      </w:pPr>
      <w:r w:rsidRPr="00084A46">
        <w:rPr>
          <w:rFonts w:ascii="Century Gothic" w:eastAsia="Century Gothic" w:hAnsi="Century Gothic" w:cs="Century Gothic"/>
          <w:sz w:val="22"/>
          <w:szCs w:val="22"/>
        </w:rPr>
        <w:t xml:space="preserve">El mencionado artículo dispone que se considera objetiva la selección en la cual la escogencia se haga al ofrecimiento más favorable a la entidad y a los fines que ella busca, sin tener en consideración factores de afecto o de interés y, en general, cualquier clase de motivación subjetiva. En ese contexto, los factores de escogencia y calificación que establezcan las Entidades en los pliegos de condiciones o en sus documentos equivalentes deberán tener en cuenta, entre otras cuestiones, los criterios establecidos en dicha disposición. Específicamente, el numeral 1º del artículo referido establece que en los procesos de selección de contratistas serán objeto de verificación, como requisitos habilitantes, entre otros, los siguientes: i) la capacidad jurídica; ii) la experiencia; iii) la capacidad financiera y </w:t>
      </w:r>
      <w:proofErr w:type="spellStart"/>
      <w:r w:rsidRPr="00084A46">
        <w:rPr>
          <w:rFonts w:ascii="Century Gothic" w:eastAsia="Century Gothic" w:hAnsi="Century Gothic" w:cs="Century Gothic"/>
          <w:sz w:val="22"/>
          <w:szCs w:val="22"/>
        </w:rPr>
        <w:t>iv</w:t>
      </w:r>
      <w:proofErr w:type="spellEnd"/>
      <w:r w:rsidRPr="00084A46">
        <w:rPr>
          <w:rFonts w:ascii="Century Gothic" w:eastAsia="Century Gothic" w:hAnsi="Century Gothic" w:cs="Century Gothic"/>
          <w:sz w:val="22"/>
          <w:szCs w:val="22"/>
        </w:rPr>
        <w:t xml:space="preserve">) la capacidad de organización. En efecto, la normativa citada prescribe lo siguiente: </w:t>
      </w:r>
    </w:p>
    <w:p w14:paraId="3CD34F0E" w14:textId="77777777" w:rsidR="00C1432C" w:rsidRPr="00A91C92" w:rsidRDefault="00C1432C" w:rsidP="00C1432C">
      <w:pPr>
        <w:spacing w:line="276" w:lineRule="auto"/>
        <w:ind w:firstLine="708"/>
        <w:contextualSpacing/>
        <w:rPr>
          <w:rFonts w:ascii="Century Gothic" w:eastAsia="Century Gothic" w:hAnsi="Century Gothic" w:cs="Century Gothic"/>
          <w:color w:val="000000" w:themeColor="text1"/>
        </w:rPr>
      </w:pPr>
      <w:r w:rsidRPr="2F7B58A8">
        <w:rPr>
          <w:rFonts w:ascii="Century Gothic" w:eastAsia="Century Gothic" w:hAnsi="Century Gothic" w:cs="Century Gothic"/>
          <w:color w:val="000000" w:themeColor="text1"/>
        </w:rPr>
        <w:t xml:space="preserve"> </w:t>
      </w:r>
    </w:p>
    <w:p w14:paraId="118CB0B8" w14:textId="77777777" w:rsidR="00C1432C" w:rsidRPr="00A91C92" w:rsidRDefault="00C1432C" w:rsidP="00C1432C">
      <w:pPr>
        <w:spacing w:line="276" w:lineRule="auto"/>
        <w:ind w:left="709" w:right="709"/>
        <w:contextualSpacing/>
        <w:jc w:val="center"/>
        <w:rPr>
          <w:rFonts w:ascii="Century Gothic" w:eastAsia="Century Gothic" w:hAnsi="Century Gothic" w:cs="Century Gothic"/>
          <w:color w:val="000000" w:themeColor="text1"/>
          <w:sz w:val="21"/>
          <w:szCs w:val="21"/>
        </w:rPr>
      </w:pPr>
      <w:r w:rsidRPr="2F7B58A8">
        <w:rPr>
          <w:rFonts w:ascii="Century Gothic" w:eastAsia="Century Gothic" w:hAnsi="Century Gothic" w:cs="Century Gothic"/>
          <w:i/>
          <w:iCs/>
          <w:color w:val="000000" w:themeColor="text1"/>
          <w:sz w:val="21"/>
          <w:szCs w:val="21"/>
        </w:rPr>
        <w:t>“</w:t>
      </w:r>
      <w:r w:rsidRPr="2F7B58A8">
        <w:rPr>
          <w:rFonts w:ascii="Century Gothic" w:eastAsia="Century Gothic" w:hAnsi="Century Gothic" w:cs="Century Gothic"/>
          <w:color w:val="000000" w:themeColor="text1"/>
          <w:sz w:val="21"/>
          <w:szCs w:val="21"/>
        </w:rPr>
        <w:t xml:space="preserve">Artículo 5. De la Selección Objetiva. </w:t>
      </w:r>
    </w:p>
    <w:p w14:paraId="5D643425" w14:textId="77777777" w:rsidR="00C1432C" w:rsidRPr="00A91C92" w:rsidRDefault="00C1432C" w:rsidP="00C1432C">
      <w:pPr>
        <w:spacing w:line="276" w:lineRule="auto"/>
        <w:ind w:left="709" w:right="709"/>
        <w:contextualSpacing/>
        <w:jc w:val="center"/>
        <w:rPr>
          <w:rFonts w:ascii="Century Gothic" w:eastAsia="Century Gothic" w:hAnsi="Century Gothic" w:cs="Century Gothic"/>
          <w:color w:val="000000" w:themeColor="text1"/>
          <w:sz w:val="21"/>
          <w:szCs w:val="21"/>
        </w:rPr>
      </w:pPr>
      <w:r w:rsidRPr="2F7B58A8">
        <w:rPr>
          <w:rFonts w:ascii="Century Gothic" w:eastAsia="Century Gothic" w:hAnsi="Century Gothic" w:cs="Century Gothic"/>
          <w:color w:val="000000" w:themeColor="text1"/>
          <w:sz w:val="21"/>
          <w:szCs w:val="21"/>
        </w:rPr>
        <w:t xml:space="preserve"> </w:t>
      </w:r>
    </w:p>
    <w:p w14:paraId="68315D36" w14:textId="77777777" w:rsidR="00C1432C" w:rsidRPr="00A91C92" w:rsidRDefault="00C1432C" w:rsidP="00C1432C">
      <w:pPr>
        <w:spacing w:line="276" w:lineRule="auto"/>
        <w:ind w:left="709" w:right="709"/>
        <w:contextualSpacing/>
        <w:jc w:val="center"/>
        <w:rPr>
          <w:rFonts w:ascii="Century Gothic" w:eastAsia="Century Gothic" w:hAnsi="Century Gothic" w:cs="Century Gothic"/>
          <w:color w:val="000000" w:themeColor="text1"/>
          <w:sz w:val="21"/>
          <w:szCs w:val="21"/>
        </w:rPr>
      </w:pPr>
      <w:r w:rsidRPr="2F7B58A8">
        <w:rPr>
          <w:rFonts w:ascii="Century Gothic" w:eastAsia="Century Gothic" w:hAnsi="Century Gothic" w:cs="Century Gothic"/>
          <w:color w:val="000000" w:themeColor="text1"/>
          <w:sz w:val="21"/>
          <w:szCs w:val="21"/>
        </w:rPr>
        <w:t>[…]</w:t>
      </w:r>
    </w:p>
    <w:p w14:paraId="48D1BE6D" w14:textId="77777777" w:rsidR="00C1432C" w:rsidRPr="00A91C92" w:rsidRDefault="00C1432C" w:rsidP="00C1432C">
      <w:pPr>
        <w:spacing w:line="276" w:lineRule="auto"/>
        <w:ind w:left="709" w:right="709"/>
        <w:contextualSpacing/>
        <w:jc w:val="both"/>
        <w:rPr>
          <w:rFonts w:ascii="Century Gothic" w:eastAsia="Century Gothic" w:hAnsi="Century Gothic" w:cs="Century Gothic"/>
          <w:color w:val="000000" w:themeColor="text1"/>
          <w:sz w:val="21"/>
          <w:szCs w:val="21"/>
        </w:rPr>
      </w:pPr>
      <w:r w:rsidRPr="2F7B58A8">
        <w:rPr>
          <w:rFonts w:ascii="Century Gothic" w:eastAsia="Century Gothic" w:hAnsi="Century Gothic" w:cs="Century Gothic"/>
          <w:color w:val="000000" w:themeColor="text1"/>
          <w:sz w:val="21"/>
          <w:szCs w:val="21"/>
        </w:rPr>
        <w:t xml:space="preserve"> </w:t>
      </w:r>
    </w:p>
    <w:p w14:paraId="31834553" w14:textId="77777777" w:rsidR="00C1432C" w:rsidRPr="00A91C92" w:rsidRDefault="00C1432C" w:rsidP="00C1432C">
      <w:pPr>
        <w:spacing w:line="276" w:lineRule="auto"/>
        <w:ind w:left="709" w:right="709"/>
        <w:contextualSpacing/>
        <w:jc w:val="both"/>
        <w:rPr>
          <w:rFonts w:ascii="Century Gothic" w:eastAsia="Century Gothic" w:hAnsi="Century Gothic" w:cs="Century Gothic"/>
          <w:color w:val="000000" w:themeColor="text1"/>
          <w:sz w:val="21"/>
          <w:szCs w:val="21"/>
        </w:rPr>
      </w:pPr>
      <w:r w:rsidRPr="2F7B58A8">
        <w:rPr>
          <w:rFonts w:ascii="Century Gothic" w:eastAsia="Century Gothic" w:hAnsi="Century Gothic" w:cs="Century Gothic"/>
          <w:color w:val="000000" w:themeColor="text1"/>
          <w:sz w:val="21"/>
          <w:szCs w:val="21"/>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 certificación</w:t>
      </w:r>
      <w:r w:rsidRPr="2F7B58A8">
        <w:rPr>
          <w:rFonts w:ascii="Century Gothic" w:eastAsia="Century Gothic" w:hAnsi="Century Gothic" w:cs="Century Gothic"/>
          <w:i/>
          <w:iCs/>
          <w:color w:val="000000" w:themeColor="text1"/>
          <w:sz w:val="21"/>
          <w:szCs w:val="21"/>
        </w:rPr>
        <w:t>”</w:t>
      </w:r>
      <w:r w:rsidRPr="2F7B58A8">
        <w:rPr>
          <w:rFonts w:ascii="Century Gothic" w:eastAsia="Century Gothic" w:hAnsi="Century Gothic" w:cs="Century Gothic"/>
          <w:color w:val="000000" w:themeColor="text1"/>
          <w:sz w:val="21"/>
          <w:szCs w:val="21"/>
        </w:rPr>
        <w:t>.</w:t>
      </w:r>
    </w:p>
    <w:p w14:paraId="14073FF2" w14:textId="77777777" w:rsidR="00C1432C" w:rsidRPr="00A91C92" w:rsidRDefault="00C1432C" w:rsidP="00C1432C">
      <w:pPr>
        <w:spacing w:line="276" w:lineRule="auto"/>
        <w:ind w:right="709"/>
        <w:contextualSpacing/>
        <w:rPr>
          <w:rFonts w:ascii="Century Gothic" w:eastAsia="Century Gothic" w:hAnsi="Century Gothic" w:cs="Century Gothic"/>
          <w:color w:val="000000" w:themeColor="text1"/>
          <w:sz w:val="21"/>
          <w:szCs w:val="21"/>
        </w:rPr>
      </w:pPr>
      <w:r w:rsidRPr="2F7B58A8">
        <w:rPr>
          <w:rFonts w:ascii="Century Gothic" w:eastAsia="Century Gothic" w:hAnsi="Century Gothic" w:cs="Century Gothic"/>
          <w:color w:val="000000" w:themeColor="text1"/>
          <w:sz w:val="21"/>
          <w:szCs w:val="21"/>
        </w:rPr>
        <w:t xml:space="preserve"> </w:t>
      </w:r>
    </w:p>
    <w:p w14:paraId="752CE2A1" w14:textId="77777777" w:rsidR="00C1432C" w:rsidRPr="00084A46" w:rsidRDefault="00C1432C" w:rsidP="00C1432C">
      <w:pPr>
        <w:spacing w:after="160" w:line="276" w:lineRule="auto"/>
        <w:contextualSpacing/>
        <w:jc w:val="both"/>
        <w:rPr>
          <w:rFonts w:ascii="Century Gothic" w:eastAsia="Century Gothic" w:hAnsi="Century Gothic" w:cs="Century Gothic"/>
          <w:sz w:val="22"/>
          <w:szCs w:val="22"/>
        </w:rPr>
      </w:pPr>
      <w:r w:rsidRPr="00084A46">
        <w:rPr>
          <w:rFonts w:ascii="Century Gothic" w:eastAsia="Century Gothic" w:hAnsi="Century Gothic" w:cs="Century Gothic"/>
          <w:sz w:val="22"/>
          <w:szCs w:val="22"/>
        </w:rPr>
        <w:t>Una vez fijados los requisitos habilitantes por la Entidad Estatal, quienes presenten ofertas deben acreditar que cumplen con los mismos, pues, en el evento contrario, las propuestas deberán ser rechazadas. El ente encargado de verificar el cumplimiento por parte de los proponentes sobre los requisitos que haya considerado la Entidad como habilitantes será la Cámara de Comercio, esto en la medida en que, mediante el Registro Único de Proponentes –RUP–, se pondrá de presente toda la información relacionada con la experiencia, capacidad jurídica, capacidad financiera y organizacional, así como la clasificación del proponente</w:t>
      </w:r>
      <w:hyperlink r:id="rId14" w:anchor="_ftn3" w:history="1">
        <w:r w:rsidRPr="00084A46">
          <w:rPr>
            <w:rFonts w:eastAsia="Century Gothic"/>
            <w:sz w:val="22"/>
            <w:szCs w:val="22"/>
          </w:rPr>
          <w:t>[3]</w:t>
        </w:r>
      </w:hyperlink>
      <w:r w:rsidRPr="00084A46">
        <w:rPr>
          <w:rFonts w:ascii="Century Gothic" w:eastAsia="Century Gothic" w:hAnsi="Century Gothic" w:cs="Century Gothic"/>
          <w:sz w:val="22"/>
          <w:szCs w:val="22"/>
        </w:rPr>
        <w:t>. De la misma manera es pertinente mencionar que existen determinados procesos en donde se excepciona el uso del mencionado registro y de la clasificación del proponente, siendo estos los siguientes: contratación directa, contratos para la prestación de servicios de salud, contratos de mínima cuantía, entre otros puestos de presente por el artículo 6 de la Ley 1150 de 2007</w:t>
      </w:r>
      <w:hyperlink r:id="rId15" w:anchor="_ftn4" w:history="1">
        <w:r w:rsidRPr="00084A46">
          <w:rPr>
            <w:rFonts w:eastAsia="Century Gothic"/>
            <w:sz w:val="22"/>
            <w:szCs w:val="22"/>
          </w:rPr>
          <w:t>[4]</w:t>
        </w:r>
      </w:hyperlink>
      <w:r w:rsidRPr="00084A46">
        <w:rPr>
          <w:rFonts w:ascii="Century Gothic" w:eastAsia="Century Gothic" w:hAnsi="Century Gothic" w:cs="Century Gothic"/>
          <w:sz w:val="22"/>
          <w:szCs w:val="22"/>
        </w:rPr>
        <w:t>.</w:t>
      </w:r>
    </w:p>
    <w:p w14:paraId="55FF31C6" w14:textId="77777777" w:rsidR="00C1432C" w:rsidRPr="00084A46" w:rsidRDefault="00C1432C" w:rsidP="00C1432C">
      <w:pPr>
        <w:spacing w:after="160" w:line="276" w:lineRule="auto"/>
        <w:ind w:firstLine="708"/>
        <w:contextualSpacing/>
        <w:jc w:val="both"/>
        <w:rPr>
          <w:rFonts w:ascii="Century Gothic" w:eastAsia="Century Gothic" w:hAnsi="Century Gothic" w:cs="Century Gothic"/>
          <w:sz w:val="22"/>
          <w:szCs w:val="22"/>
        </w:rPr>
      </w:pPr>
      <w:r w:rsidRPr="00084A46">
        <w:rPr>
          <w:rFonts w:ascii="Century Gothic" w:eastAsia="Century Gothic" w:hAnsi="Century Gothic" w:cs="Century Gothic"/>
          <w:sz w:val="22"/>
          <w:szCs w:val="22"/>
        </w:rPr>
        <w:t>Dentro de los requisitos habilitantes se destaca la capacidad financiera y organizacional. Al respecto, la Entidad Estatal, como responsable de la estructuración de su procedimiento de selección, es autónoma para requerir la capacidad necesaria de acuerdo con el objeto contractual que se pretende satisfacer. Según el artículo 2.2.1.1.1.6.2 del Decreto 1082 de 2015, la Entidad Estatal debe tener en cuenta, para la determinación de la capacidad financiera y organizacional, el estudio del sector</w:t>
      </w:r>
      <w:hyperlink r:id="rId16" w:anchor="_ftn5" w:history="1">
        <w:r w:rsidRPr="00084A46">
          <w:rPr>
            <w:rFonts w:eastAsia="Century Gothic"/>
            <w:sz w:val="22"/>
            <w:szCs w:val="22"/>
          </w:rPr>
          <w:t>[5]</w:t>
        </w:r>
      </w:hyperlink>
      <w:r w:rsidRPr="00084A46">
        <w:rPr>
          <w:rFonts w:ascii="Century Gothic" w:eastAsia="Century Gothic" w:hAnsi="Century Gothic" w:cs="Century Gothic"/>
          <w:sz w:val="22"/>
          <w:szCs w:val="22"/>
        </w:rPr>
        <w:t xml:space="preserve"> y sus componentes como la identificación de riesgos, el mercado y precio del bien, obra o servicio a contratar</w:t>
      </w:r>
      <w:hyperlink r:id="rId17" w:anchor="_ftn6" w:history="1">
        <w:r w:rsidRPr="00084A46">
          <w:rPr>
            <w:rFonts w:ascii="Century Gothic" w:eastAsia="Century Gothic" w:hAnsi="Century Gothic" w:cs="Century Gothic"/>
            <w:sz w:val="22"/>
            <w:szCs w:val="22"/>
          </w:rPr>
          <w:t>[6]</w:t>
        </w:r>
      </w:hyperlink>
      <w:r w:rsidRPr="00084A46">
        <w:rPr>
          <w:rFonts w:ascii="Century Gothic" w:eastAsia="Century Gothic" w:hAnsi="Century Gothic" w:cs="Century Gothic"/>
          <w:sz w:val="22"/>
          <w:szCs w:val="22"/>
        </w:rPr>
        <w:t>.</w:t>
      </w:r>
    </w:p>
    <w:p w14:paraId="04A6EAE0" w14:textId="77777777" w:rsidR="007A28AA" w:rsidRPr="00084A46" w:rsidRDefault="007A28AA" w:rsidP="00C1432C">
      <w:pPr>
        <w:spacing w:after="160" w:line="276" w:lineRule="auto"/>
        <w:ind w:firstLine="708"/>
        <w:contextualSpacing/>
        <w:jc w:val="both"/>
        <w:rPr>
          <w:rFonts w:ascii="Century Gothic" w:eastAsia="Century Gothic" w:hAnsi="Century Gothic" w:cs="Century Gothic"/>
          <w:sz w:val="22"/>
          <w:szCs w:val="22"/>
        </w:rPr>
      </w:pPr>
    </w:p>
    <w:p w14:paraId="3A25595D" w14:textId="77777777" w:rsidR="00C1432C" w:rsidRPr="00084A46" w:rsidRDefault="00C1432C" w:rsidP="00C1432C">
      <w:pPr>
        <w:spacing w:after="160" w:line="276" w:lineRule="auto"/>
        <w:ind w:firstLine="708"/>
        <w:contextualSpacing/>
        <w:jc w:val="both"/>
        <w:rPr>
          <w:rFonts w:ascii="Century Gothic" w:eastAsia="Century Gothic" w:hAnsi="Century Gothic" w:cs="Century Gothic"/>
          <w:sz w:val="22"/>
          <w:szCs w:val="22"/>
        </w:rPr>
      </w:pPr>
      <w:r w:rsidRPr="00084A46">
        <w:rPr>
          <w:rFonts w:ascii="Century Gothic" w:eastAsia="Century Gothic" w:hAnsi="Century Gothic" w:cs="Century Gothic"/>
          <w:sz w:val="22"/>
          <w:szCs w:val="22"/>
        </w:rPr>
        <w:t>La capacidad financiera se deriva del comportamiento contable de la empresa, su liquidez y endeudamiento, para determinar que sus recursos y solidez financiera le permita cumplir los compromisos que adquiera. Como explica esta Agencia en el “Manual para determinar y verificar los requisitos habilitantes en los procesos de contratación”, “Los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 La capacidad organizacional, por su parte, “[…] es la aptitud de un proponente para cumplir oportuna y cabalmente el objeto del contrato en función de su organización interna. El Decreto 1082 de 2015 definió los indicadores de rentabilidad para medir la capacidad organizacional de un proponente teniendo en cuenta que está bien organizado cuando es rentable”.</w:t>
      </w:r>
    </w:p>
    <w:p w14:paraId="4E998540" w14:textId="77777777" w:rsidR="007A28AA" w:rsidRPr="00084A46" w:rsidRDefault="007A28AA" w:rsidP="00C1432C">
      <w:pPr>
        <w:spacing w:after="160" w:line="276" w:lineRule="auto"/>
        <w:ind w:firstLine="708"/>
        <w:contextualSpacing/>
        <w:jc w:val="both"/>
        <w:rPr>
          <w:rFonts w:ascii="Century Gothic" w:eastAsia="Century Gothic" w:hAnsi="Century Gothic" w:cs="Century Gothic"/>
          <w:sz w:val="22"/>
          <w:szCs w:val="22"/>
        </w:rPr>
      </w:pPr>
    </w:p>
    <w:p w14:paraId="45E215DC" w14:textId="77777777" w:rsidR="00C1432C" w:rsidRPr="00084A46" w:rsidRDefault="00C1432C" w:rsidP="00C1432C">
      <w:pPr>
        <w:spacing w:after="160" w:line="276" w:lineRule="auto"/>
        <w:ind w:firstLine="708"/>
        <w:contextualSpacing/>
        <w:jc w:val="both"/>
        <w:rPr>
          <w:rFonts w:ascii="Century Gothic" w:eastAsia="Century Gothic" w:hAnsi="Century Gothic" w:cs="Century Gothic"/>
          <w:sz w:val="22"/>
          <w:szCs w:val="22"/>
        </w:rPr>
      </w:pPr>
      <w:r w:rsidRPr="00084A46">
        <w:rPr>
          <w:rFonts w:ascii="Century Gothic" w:eastAsia="Century Gothic" w:hAnsi="Century Gothic" w:cs="Century Gothic"/>
          <w:sz w:val="22"/>
          <w:szCs w:val="22"/>
        </w:rPr>
        <w:t>Para acreditar los requisitos de la capacidad financiera, el artículo 5 de la Ley 1150 de 2007 y el artículo 2.2.1.1.1.5.3 del Decreto 1082 de 2015 indican que esto se realiza a través del RUP con los estados financieros del proponente, suscritos por el representante legal y el revisor fiscal, cuando aplique. De este modo, lo que se verifica con el registro es que el proponente tenga los indicadores financieros solicitados por la Entidad, que le permitan satisfacer la necesidad que se contratará una vez desarrollado el procedimiento de selección. Por otro lado, la capacidad organizacional evalúa la rentabilidad de la empresa, que es directamente proporcional a su organización interna, y también se verifica con el RUP, de acuerdo con los indicadores señalados en el artículo 2.2.1.1.1.5.3 del Decreto 1082 de 2015.</w:t>
      </w:r>
    </w:p>
    <w:p w14:paraId="0F28047F" w14:textId="77777777" w:rsidR="007A28AA" w:rsidRPr="00084A46" w:rsidRDefault="007A28AA" w:rsidP="00C1432C">
      <w:pPr>
        <w:spacing w:after="160" w:line="276" w:lineRule="auto"/>
        <w:ind w:firstLine="708"/>
        <w:contextualSpacing/>
        <w:jc w:val="both"/>
        <w:rPr>
          <w:rFonts w:ascii="Century Gothic" w:eastAsia="Century Gothic" w:hAnsi="Century Gothic" w:cs="Century Gothic"/>
          <w:sz w:val="22"/>
          <w:szCs w:val="22"/>
        </w:rPr>
      </w:pPr>
    </w:p>
    <w:p w14:paraId="0D6D60EE" w14:textId="77777777" w:rsidR="00C1432C" w:rsidRPr="00084A46" w:rsidRDefault="00C1432C" w:rsidP="00C1432C">
      <w:pPr>
        <w:spacing w:after="160" w:line="276" w:lineRule="auto"/>
        <w:ind w:firstLine="708"/>
        <w:contextualSpacing/>
        <w:jc w:val="both"/>
        <w:rPr>
          <w:rFonts w:ascii="Century Gothic" w:eastAsia="Century Gothic" w:hAnsi="Century Gothic" w:cs="Century Gothic"/>
          <w:sz w:val="22"/>
          <w:szCs w:val="22"/>
        </w:rPr>
      </w:pPr>
      <w:r w:rsidRPr="00084A46">
        <w:rPr>
          <w:rFonts w:ascii="Century Gothic" w:eastAsia="Century Gothic" w:hAnsi="Century Gothic" w:cs="Century Gothic"/>
          <w:sz w:val="22"/>
          <w:szCs w:val="22"/>
        </w:rPr>
        <w:t>Esta Agencia puso a disposición de los interesados el “Manual para determinar y verificar los requisitos habilitantes en los procesos de contratación”. En dicho Manual se plantean definiciones para cada requisito habilitante y se indican lineamientos orientadores que la Entidad Estatal puede considerar para establecerlos, pero en todo caso, es ella quien los define, de forma proporcional a la naturaleza y al valor del contrato, por lo que para ello deberá observarse los resultados de los Estudios del Sector que se hayan realizado para el respectivo Proceso de Contratación.</w:t>
      </w:r>
    </w:p>
    <w:p w14:paraId="1ADD53EA" w14:textId="77777777" w:rsidR="007A28AA" w:rsidRPr="00084A46" w:rsidRDefault="007A28AA" w:rsidP="00C1432C">
      <w:pPr>
        <w:spacing w:after="160" w:line="276" w:lineRule="auto"/>
        <w:ind w:firstLine="708"/>
        <w:contextualSpacing/>
        <w:jc w:val="both"/>
        <w:rPr>
          <w:rFonts w:ascii="Century Gothic" w:eastAsia="Century Gothic" w:hAnsi="Century Gothic" w:cs="Century Gothic"/>
          <w:sz w:val="22"/>
          <w:szCs w:val="22"/>
        </w:rPr>
      </w:pPr>
    </w:p>
    <w:p w14:paraId="382C534B" w14:textId="77777777" w:rsidR="00C1432C" w:rsidRPr="00084A46" w:rsidRDefault="00C1432C" w:rsidP="00C1432C">
      <w:pPr>
        <w:spacing w:after="160" w:line="276" w:lineRule="auto"/>
        <w:ind w:firstLine="708"/>
        <w:contextualSpacing/>
        <w:jc w:val="both"/>
        <w:rPr>
          <w:rFonts w:ascii="Century Gothic" w:eastAsia="Century Gothic" w:hAnsi="Century Gothic" w:cs="Century Gothic"/>
          <w:sz w:val="22"/>
          <w:szCs w:val="22"/>
        </w:rPr>
      </w:pPr>
      <w:r w:rsidRPr="00084A46">
        <w:rPr>
          <w:rFonts w:ascii="Century Gothic" w:eastAsia="Century Gothic" w:hAnsi="Century Gothic" w:cs="Century Gothic"/>
          <w:sz w:val="22"/>
          <w:szCs w:val="22"/>
        </w:rPr>
        <w:t xml:space="preserve">Considerando la discrecionalidad para establecer los requisitos habilitantes, es necesario tener en cuenta que el artículo 44 de la Ley 1437 de 2011 –aplicable en los procedimientos contractuales en virtud del artículo 77 de la Ley 80 de 1993– dispone que “En la medida en que el contenido de una decisión de carácter general o particular sea discrecional, debe ser adecuada a los fines de la norma que la autoriza, y proporcional a los hechos que le sirven de causa”. En consecuencia, para efectos de los escenarios descritos en el párrafo precedente, la inclusión o exclusión de los indicadores previstos en el artículo 2.2.1.1.1.5.3 del Decreto 1082 de 2015 está unida a la carga justificativa de la Entidad Estatal en los estudios y documentos previos del proceso de selección.   </w:t>
      </w:r>
    </w:p>
    <w:p w14:paraId="7EE676F9" w14:textId="77777777" w:rsidR="007A28AA" w:rsidRPr="00084A46" w:rsidRDefault="007A28AA" w:rsidP="00C1432C">
      <w:pPr>
        <w:spacing w:after="160" w:line="276" w:lineRule="auto"/>
        <w:ind w:firstLine="708"/>
        <w:contextualSpacing/>
        <w:jc w:val="both"/>
        <w:rPr>
          <w:rFonts w:ascii="Century Gothic" w:eastAsia="Century Gothic" w:hAnsi="Century Gothic" w:cs="Century Gothic"/>
          <w:sz w:val="22"/>
          <w:szCs w:val="22"/>
        </w:rPr>
      </w:pPr>
    </w:p>
    <w:p w14:paraId="17842D01" w14:textId="77777777" w:rsidR="00C1432C" w:rsidRPr="00084A46" w:rsidRDefault="00C1432C" w:rsidP="00C1432C">
      <w:pPr>
        <w:spacing w:line="276" w:lineRule="auto"/>
        <w:ind w:firstLine="708"/>
        <w:contextualSpacing/>
        <w:jc w:val="both"/>
        <w:rPr>
          <w:rFonts w:ascii="Century Gothic" w:eastAsia="Century Gothic" w:hAnsi="Century Gothic" w:cs="Century Gothic"/>
          <w:sz w:val="22"/>
          <w:szCs w:val="22"/>
        </w:rPr>
      </w:pPr>
      <w:r w:rsidRPr="00084A46">
        <w:rPr>
          <w:rFonts w:ascii="Century Gothic" w:eastAsia="Century Gothic" w:hAnsi="Century Gothic" w:cs="Century Gothic"/>
          <w:sz w:val="22"/>
          <w:szCs w:val="22"/>
        </w:rPr>
        <w:t>Al respecto, es importante señalar que para que la Entidad Estatal defina ciertos indicadores como requisitos habilitantes, no es suficiente la aplicación mecánica de fórmulas financieras, pues deben conocer cada indicador, sus fórmulas de cálculo y su interpretación, para que así se garantice que en su aplicación se entiende el resultado y sus implicaciones para el procedimiento contractual</w:t>
      </w:r>
      <w:hyperlink r:id="rId18" w:anchor="_ftn7" w:history="1">
        <w:r w:rsidRPr="00084A46">
          <w:rPr>
            <w:rFonts w:ascii="Century Gothic" w:eastAsia="Century Gothic" w:hAnsi="Century Gothic" w:cs="Century Gothic"/>
            <w:sz w:val="22"/>
            <w:szCs w:val="22"/>
          </w:rPr>
          <w:t>[7]</w:t>
        </w:r>
      </w:hyperlink>
      <w:r w:rsidRPr="00084A46">
        <w:rPr>
          <w:rFonts w:ascii="Century Gothic" w:eastAsia="Century Gothic" w:hAnsi="Century Gothic" w:cs="Century Gothic"/>
          <w:sz w:val="22"/>
          <w:szCs w:val="22"/>
        </w:rPr>
        <w:t>. Sus resultados deben interpretarse observando el riesgo que un indicador alto o bajo representa para el procedimiento. Por ende, la Entidad Estatal debe establecer unos límites dentro de los cuales se garantice que el proponente pueda cumplir el contrato en caso de celebrarlo</w:t>
      </w:r>
      <w:hyperlink r:id="rId19" w:anchor="_ftn8" w:history="1">
        <w:r w:rsidRPr="00084A46">
          <w:rPr>
            <w:rFonts w:ascii="Century Gothic" w:eastAsia="Century Gothic" w:hAnsi="Century Gothic" w:cs="Century Gothic"/>
            <w:sz w:val="22"/>
            <w:szCs w:val="22"/>
          </w:rPr>
          <w:t>[8]</w:t>
        </w:r>
      </w:hyperlink>
      <w:r w:rsidRPr="00084A46">
        <w:rPr>
          <w:rFonts w:ascii="Century Gothic" w:eastAsia="Century Gothic" w:hAnsi="Century Gothic" w:cs="Century Gothic"/>
          <w:sz w:val="22"/>
          <w:szCs w:val="22"/>
        </w:rPr>
        <w:t xml:space="preserve">. </w:t>
      </w:r>
    </w:p>
    <w:p w14:paraId="44BF4126" w14:textId="77777777" w:rsidR="00C1432C" w:rsidRPr="00084A46" w:rsidRDefault="00C1432C" w:rsidP="00C1432C">
      <w:pPr>
        <w:spacing w:line="276" w:lineRule="auto"/>
        <w:contextualSpacing/>
        <w:rPr>
          <w:rFonts w:ascii="Century Gothic" w:eastAsia="Century Gothic" w:hAnsi="Century Gothic" w:cs="Century Gothic"/>
          <w:color w:val="000000" w:themeColor="text1"/>
          <w:sz w:val="22"/>
          <w:szCs w:val="22"/>
        </w:rPr>
      </w:pPr>
      <w:r w:rsidRPr="00084A46">
        <w:rPr>
          <w:rFonts w:ascii="Century Gothic" w:eastAsia="Century Gothic" w:hAnsi="Century Gothic" w:cs="Century Gothic"/>
          <w:color w:val="000000" w:themeColor="text1"/>
          <w:sz w:val="22"/>
          <w:szCs w:val="22"/>
        </w:rPr>
        <w:t xml:space="preserve"> </w:t>
      </w:r>
    </w:p>
    <w:p w14:paraId="78333B13" w14:textId="77777777" w:rsidR="00C1432C" w:rsidRPr="00084A46" w:rsidRDefault="00C1432C" w:rsidP="00C1432C">
      <w:pPr>
        <w:spacing w:line="276" w:lineRule="auto"/>
        <w:contextualSpacing/>
        <w:rPr>
          <w:rFonts w:ascii="Century Gothic" w:eastAsia="Century Gothic" w:hAnsi="Century Gothic" w:cs="Century Gothic"/>
          <w:b/>
          <w:bCs/>
          <w:color w:val="000000" w:themeColor="text1"/>
          <w:sz w:val="22"/>
          <w:szCs w:val="22"/>
        </w:rPr>
      </w:pPr>
      <w:r w:rsidRPr="00084A46">
        <w:rPr>
          <w:rFonts w:ascii="Century Gothic" w:eastAsia="Century Gothic" w:hAnsi="Century Gothic" w:cs="Century Gothic"/>
          <w:b/>
          <w:bCs/>
          <w:color w:val="000000" w:themeColor="text1"/>
          <w:sz w:val="22"/>
          <w:szCs w:val="22"/>
        </w:rPr>
        <w:t>2.2. Efectos de la inscripción, renovación y actualización del RUP</w:t>
      </w:r>
    </w:p>
    <w:p w14:paraId="606E33CC" w14:textId="77777777" w:rsidR="00C1432C" w:rsidRPr="00084A46" w:rsidRDefault="00C1432C" w:rsidP="00C1432C">
      <w:pPr>
        <w:tabs>
          <w:tab w:val="left" w:pos="0"/>
        </w:tabs>
        <w:spacing w:line="276" w:lineRule="auto"/>
        <w:contextualSpacing/>
        <w:jc w:val="both"/>
        <w:rPr>
          <w:rFonts w:ascii="Century Gothic" w:eastAsia="Century Gothic" w:hAnsi="Century Gothic" w:cs="Century Gothic"/>
          <w:sz w:val="22"/>
          <w:szCs w:val="22"/>
        </w:rPr>
      </w:pPr>
      <w:r w:rsidRPr="00084A46">
        <w:rPr>
          <w:rFonts w:ascii="Century Gothic" w:eastAsia="Century Gothic" w:hAnsi="Century Gothic" w:cs="Century Gothic"/>
          <w:sz w:val="22"/>
          <w:szCs w:val="22"/>
        </w:rPr>
        <w:t xml:space="preserve"> </w:t>
      </w:r>
    </w:p>
    <w:p w14:paraId="7EC60886" w14:textId="77777777" w:rsidR="00C1432C" w:rsidRPr="00084A46" w:rsidRDefault="00C1432C" w:rsidP="00C1432C">
      <w:pPr>
        <w:spacing w:line="276" w:lineRule="auto"/>
        <w:contextualSpacing/>
        <w:jc w:val="both"/>
        <w:rPr>
          <w:rFonts w:ascii="Century Gothic" w:eastAsia="Century Gothic" w:hAnsi="Century Gothic" w:cs="Century Gothic"/>
          <w:sz w:val="22"/>
          <w:szCs w:val="22"/>
        </w:rPr>
      </w:pPr>
      <w:r w:rsidRPr="00084A46">
        <w:rPr>
          <w:rFonts w:ascii="Century Gothic" w:eastAsia="Century Gothic" w:hAnsi="Century Gothic" w:cs="Century Gothic"/>
          <w:sz w:val="22"/>
          <w:szCs w:val="22"/>
        </w:rPr>
        <w:t xml:space="preserve">Las cámaras de comercio, de acuerdo con el artículo 6.1 de la Ley 1150 de 2007 y con el artículo 2.2.1.1.1.5.3 del Decreto 1082 de 2015, verificarán y certificarán los requisitos habilitantes de experiencia, capacidad jurídica, capacidad financiera y de organización. Conforme al numeral 6.3 de la Ley 1150 de 2007, la cámara de comercio, verificada la información aportada por el proponente, publicará el acto de inscripción del Registro Único de Proponentes, contra el cual cualquier persona podrá interponer recurso de reposición dentro de los diez (10) días hábiles siguientes contados a partir de su publicación –posibilidad aplicable frente a la </w:t>
      </w:r>
      <w:r w:rsidRPr="00084A46">
        <w:rPr>
          <w:rFonts w:ascii="Century Gothic" w:eastAsia="Century Gothic" w:hAnsi="Century Gothic" w:cs="Century Gothic"/>
          <w:i/>
          <w:iCs/>
          <w:sz w:val="22"/>
          <w:szCs w:val="22"/>
        </w:rPr>
        <w:t>inscripción, renovación o actualización–</w:t>
      </w:r>
      <w:hyperlink r:id="rId20" w:anchor="_ftn9" w:history="1">
        <w:r w:rsidRPr="00084A46">
          <w:rPr>
            <w:rStyle w:val="Hyperlink"/>
            <w:rFonts w:ascii="Calibri" w:eastAsia="Calibri" w:hAnsi="Calibri" w:cs="Calibri"/>
            <w:sz w:val="22"/>
            <w:szCs w:val="22"/>
            <w:vertAlign w:val="superscript"/>
          </w:rPr>
          <w:t>[9]</w:t>
        </w:r>
      </w:hyperlink>
      <w:r w:rsidRPr="00084A46">
        <w:rPr>
          <w:rFonts w:ascii="Century Gothic" w:eastAsia="Century Gothic" w:hAnsi="Century Gothic" w:cs="Century Gothic"/>
          <w:sz w:val="22"/>
          <w:szCs w:val="22"/>
        </w:rPr>
        <w:t>. En firme el acto administrativo que realiza la inscripción en el Registro Único de Proponentes se podrá demandar su nulidad sin que la presentación de la demanda suspenda la inscripción del RUP.</w:t>
      </w:r>
    </w:p>
    <w:p w14:paraId="44E26C36" w14:textId="77777777" w:rsidR="007A28AA" w:rsidRPr="00084A46" w:rsidRDefault="007A28AA" w:rsidP="00C1432C">
      <w:pPr>
        <w:spacing w:line="276" w:lineRule="auto"/>
        <w:contextualSpacing/>
        <w:jc w:val="both"/>
        <w:rPr>
          <w:rFonts w:ascii="Century Gothic" w:eastAsia="Century Gothic" w:hAnsi="Century Gothic" w:cs="Century Gothic"/>
          <w:sz w:val="22"/>
          <w:szCs w:val="22"/>
        </w:rPr>
      </w:pPr>
    </w:p>
    <w:p w14:paraId="0E4200B5" w14:textId="77777777" w:rsidR="00C1432C" w:rsidRPr="00084A46" w:rsidRDefault="00C1432C" w:rsidP="00C1432C">
      <w:pPr>
        <w:spacing w:line="276" w:lineRule="auto"/>
        <w:ind w:firstLine="708"/>
        <w:contextualSpacing/>
        <w:jc w:val="both"/>
        <w:rPr>
          <w:rFonts w:ascii="Century Gothic" w:eastAsia="Century Gothic" w:hAnsi="Century Gothic" w:cs="Century Gothic"/>
          <w:sz w:val="22"/>
          <w:szCs w:val="22"/>
        </w:rPr>
      </w:pPr>
      <w:r w:rsidRPr="00084A46">
        <w:rPr>
          <w:rFonts w:ascii="Century Gothic" w:eastAsia="Century Gothic" w:hAnsi="Century Gothic" w:cs="Century Gothic"/>
          <w:sz w:val="22"/>
          <w:szCs w:val="22"/>
        </w:rPr>
        <w:t>De otro lado, el artículo 2.2.1.1.1.5.1 del Decreto 1082 de 2015 señala que las personas inscritas en el RUP deben presentar la información para renovar su registro a más tardar el quinto día hábil del mes de abril de cada año, de lo contrario cesan los efectos del RUP</w:t>
      </w:r>
      <w:hyperlink r:id="rId21" w:anchor="_ftn10" w:history="1">
        <w:r w:rsidRPr="00084A46">
          <w:rPr>
            <w:rStyle w:val="Hyperlink"/>
            <w:rFonts w:ascii="Calibri" w:eastAsia="Calibri" w:hAnsi="Calibri" w:cs="Calibri"/>
            <w:sz w:val="22"/>
            <w:szCs w:val="22"/>
            <w:vertAlign w:val="superscript"/>
          </w:rPr>
          <w:t>[10]</w:t>
        </w:r>
      </w:hyperlink>
      <w:r w:rsidRPr="00084A46">
        <w:rPr>
          <w:rFonts w:ascii="Century Gothic" w:eastAsia="Century Gothic" w:hAnsi="Century Gothic" w:cs="Century Gothic"/>
          <w:sz w:val="22"/>
          <w:szCs w:val="22"/>
        </w:rPr>
        <w:t>. Asimismo, el Consejo de Estado en sentencia del 19 de septiembre de 2019 señaló la finalidad de la renovación del RUP y las consecuencias de no hacerlo en el término previsto:</w:t>
      </w:r>
    </w:p>
    <w:p w14:paraId="1521D555" w14:textId="77777777" w:rsidR="00C1432C" w:rsidRPr="00A91C92" w:rsidRDefault="00C1432C" w:rsidP="00C1432C">
      <w:pPr>
        <w:spacing w:line="276" w:lineRule="auto"/>
        <w:contextualSpacing/>
        <w:rPr>
          <w:rFonts w:ascii="Century Gothic" w:eastAsia="Century Gothic" w:hAnsi="Century Gothic" w:cs="Century Gothic"/>
        </w:rPr>
      </w:pPr>
      <w:r w:rsidRPr="2F7B58A8">
        <w:rPr>
          <w:rFonts w:ascii="Century Gothic" w:eastAsia="Century Gothic" w:hAnsi="Century Gothic" w:cs="Century Gothic"/>
        </w:rPr>
        <w:t xml:space="preserve"> </w:t>
      </w:r>
    </w:p>
    <w:p w14:paraId="4E01CC7C" w14:textId="77777777" w:rsidR="00C1432C" w:rsidRPr="00A91C92" w:rsidRDefault="00C1432C" w:rsidP="00C1432C">
      <w:pPr>
        <w:tabs>
          <w:tab w:val="left" w:pos="567"/>
        </w:tabs>
        <w:spacing w:line="276" w:lineRule="auto"/>
        <w:ind w:left="709" w:right="709"/>
        <w:contextualSpacing/>
        <w:jc w:val="both"/>
        <w:rPr>
          <w:rFonts w:ascii="Century Gothic" w:eastAsia="Century Gothic" w:hAnsi="Century Gothic" w:cs="Century Gothic"/>
          <w:sz w:val="21"/>
          <w:szCs w:val="21"/>
        </w:rPr>
      </w:pPr>
      <w:r w:rsidRPr="2F7B58A8">
        <w:rPr>
          <w:rFonts w:ascii="Century Gothic" w:eastAsia="Century Gothic" w:hAnsi="Century Gothic" w:cs="Century Gothic"/>
          <w:sz w:val="21"/>
          <w:szCs w:val="21"/>
        </w:rPr>
        <w:t xml:space="preserve">“Al respecto, no puede perderse de vista que la finalidad principal de la renovación del RUP, al margen de que con ese acto se nutra del registro de nueva información, es conservar su vigencia, propósito que, de acuerdo con el artículo 8 del Decreto 1510 de 2013, solo ha de cumplirse si el mismo se realiza dentro del plazo allí establecido, comprendido entre el 1 de enero hasta el quinto día hábil del mes de abril. En defecto, la disposición reglamentaria establece como consecuencia la cesación de los efectos del RUP. </w:t>
      </w:r>
    </w:p>
    <w:p w14:paraId="360E8A23" w14:textId="77777777" w:rsidR="00C1432C" w:rsidRPr="00A91C92" w:rsidRDefault="00C1432C" w:rsidP="00C1432C">
      <w:pPr>
        <w:tabs>
          <w:tab w:val="left" w:pos="567"/>
        </w:tabs>
        <w:spacing w:line="276" w:lineRule="auto"/>
        <w:ind w:left="709" w:right="709"/>
        <w:contextualSpacing/>
        <w:jc w:val="both"/>
        <w:rPr>
          <w:rFonts w:ascii="Century Gothic" w:eastAsia="Century Gothic" w:hAnsi="Century Gothic" w:cs="Century Gothic"/>
          <w:sz w:val="21"/>
          <w:szCs w:val="21"/>
        </w:rPr>
      </w:pPr>
      <w:r w:rsidRPr="2F7B58A8">
        <w:rPr>
          <w:rFonts w:ascii="Century Gothic" w:eastAsia="Century Gothic" w:hAnsi="Century Gothic" w:cs="Century Gothic"/>
          <w:sz w:val="21"/>
          <w:szCs w:val="21"/>
        </w:rPr>
        <w:t>Ante ese panorama, el incumplimiento del deber de renovar el RUP en el período trae como consecuencia la cesación de efectos respecto de la información certificada en ese documento y, por contera, la falta de vocación como plena prueba para acreditar el cumplimiento de los requisitos habilitantes del proponente, anomalía que en manera alguna se sanea o convalida por el hecho de realizar una renovación por fuera del plazo reglamentado, en tanto no resulta jurídicamente admisible extender una vigencia que por ministerio de la ley se encuentra vencida y cuyos efectos cesaron, precisamente por no haberse renovado en el término señalado”</w:t>
      </w:r>
      <w:hyperlink r:id="rId22" w:anchor="_ftn11" w:history="1">
        <w:r w:rsidRPr="2F7B58A8">
          <w:rPr>
            <w:rStyle w:val="Hyperlink"/>
            <w:rFonts w:ascii="Calibri" w:eastAsia="Calibri" w:hAnsi="Calibri" w:cs="Calibri"/>
            <w:vertAlign w:val="superscript"/>
          </w:rPr>
          <w:t>[11]</w:t>
        </w:r>
      </w:hyperlink>
      <w:r w:rsidRPr="2F7B58A8">
        <w:rPr>
          <w:rFonts w:ascii="Century Gothic" w:eastAsia="Century Gothic" w:hAnsi="Century Gothic" w:cs="Century Gothic"/>
          <w:sz w:val="21"/>
          <w:szCs w:val="21"/>
        </w:rPr>
        <w:t xml:space="preserve">. </w:t>
      </w:r>
    </w:p>
    <w:p w14:paraId="66D6396E" w14:textId="77777777" w:rsidR="00C1432C" w:rsidRPr="00A91C92" w:rsidRDefault="00C1432C" w:rsidP="00C1432C">
      <w:pPr>
        <w:spacing w:line="276" w:lineRule="auto"/>
        <w:contextualSpacing/>
        <w:rPr>
          <w:rFonts w:ascii="Century Gothic" w:eastAsia="Century Gothic" w:hAnsi="Century Gothic" w:cs="Century Gothic"/>
        </w:rPr>
      </w:pPr>
      <w:r w:rsidRPr="2F7B58A8">
        <w:rPr>
          <w:rFonts w:ascii="Century Gothic" w:eastAsia="Century Gothic" w:hAnsi="Century Gothic" w:cs="Century Gothic"/>
        </w:rPr>
        <w:t xml:space="preserve"> </w:t>
      </w:r>
    </w:p>
    <w:p w14:paraId="43660D33" w14:textId="77777777" w:rsidR="00C1432C" w:rsidRDefault="00C1432C" w:rsidP="007A28AA">
      <w:pPr>
        <w:spacing w:line="276" w:lineRule="auto"/>
        <w:ind w:firstLine="708"/>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Conforme a lo anterior, en armonía el artículo 2.2.1.1.1.5.1 del Decreto 1082 de 2015, si el proponente no presenta la información para renovar su registro antes del quinto día hábil del mes de abril de cada año, cesarán los efectos del RUP. Lo anterior implica que el proponente que no cumpla con la carga indicada no se puede presentar a los procedimientos de selección, en los casos que es necesario estar inscrito en el RUP, porque no tendría capacidad para hacerlo y, por tanto, tendría que inscribirse nuevamente, caso en el que solo se podrá presentar cuando la inscripción esté en firme. </w:t>
      </w:r>
    </w:p>
    <w:p w14:paraId="63053C06" w14:textId="77777777" w:rsidR="007A28AA" w:rsidRPr="00C1432C" w:rsidRDefault="007A28AA" w:rsidP="007A28AA">
      <w:pPr>
        <w:spacing w:line="276" w:lineRule="auto"/>
        <w:ind w:firstLine="708"/>
        <w:contextualSpacing/>
        <w:jc w:val="both"/>
        <w:rPr>
          <w:rFonts w:ascii="Century Gothic" w:eastAsia="Century Gothic" w:hAnsi="Century Gothic" w:cs="Century Gothic"/>
          <w:sz w:val="22"/>
          <w:szCs w:val="22"/>
          <w:lang w:val="es-ES"/>
        </w:rPr>
      </w:pPr>
    </w:p>
    <w:p w14:paraId="3D152802" w14:textId="77777777" w:rsidR="00C1432C" w:rsidRDefault="00C1432C" w:rsidP="007A28AA">
      <w:pPr>
        <w:spacing w:line="276" w:lineRule="auto"/>
        <w:ind w:firstLine="708"/>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Tratándose del trámite de renovación, la persona que haya presentado la información para renovar su registro a más tardar al quinto día hábil del mes de abril, cumpliendo con el requisito establecido en el artículo 2.2.1.1.1.5.1, puede participar en los procedimientos de selección, debiéndose tener en cuenta la información “antigua”. De esta manera, en el período comprendido entre el momento de la solicitud de renovación y el momento de la firmeza de la nueva información, se permite que emplee la información del RUP que está en firme antes de iniciar el trámite de renovación, cuyos efectos no han cesado por encontrarse vigente.</w:t>
      </w:r>
    </w:p>
    <w:p w14:paraId="5E529B2E" w14:textId="77777777" w:rsidR="007A28AA" w:rsidRPr="00C1432C" w:rsidRDefault="007A28AA" w:rsidP="007A28AA">
      <w:pPr>
        <w:spacing w:line="276" w:lineRule="auto"/>
        <w:ind w:firstLine="708"/>
        <w:contextualSpacing/>
        <w:jc w:val="both"/>
        <w:rPr>
          <w:rFonts w:ascii="Century Gothic" w:eastAsia="Century Gothic" w:hAnsi="Century Gothic" w:cs="Century Gothic"/>
          <w:sz w:val="22"/>
          <w:szCs w:val="22"/>
          <w:lang w:val="es-ES"/>
        </w:rPr>
      </w:pPr>
    </w:p>
    <w:p w14:paraId="6FAC9D54" w14:textId="77777777" w:rsidR="00C1432C" w:rsidRPr="00C1432C" w:rsidRDefault="00C1432C" w:rsidP="007A28AA">
      <w:pPr>
        <w:spacing w:line="276" w:lineRule="auto"/>
        <w:ind w:firstLine="708"/>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Así las cosas, para verificar que los efectos del RUP no han cesado, es necesario que el certificado contenga la anotación de que el inscrito, a más tardar el quinto día hábil de abril de cada año, radicó ante la cámara de comercio los documentos para la renovación. En todo caso, si tal circunstancia no estuviere inscrita en el certificado, podrá acreditarse a través del medio documental expedido por la cámara de comercio correspondiente, por lo que al no existir tarifa legal que permita establecer la forma de acreditar el trámite de renovación, la entidad estatal debe validar que el documento aportado por el proponente ofrezca certeza sobre el estado del trámite, verificando que se haya presentado la información para renovar su registro antes del quinto día hábil del mes de abril de cada año.</w:t>
      </w:r>
    </w:p>
    <w:p w14:paraId="4C1CA018" w14:textId="77777777" w:rsidR="00C1432C" w:rsidRDefault="00C1432C" w:rsidP="007A28AA">
      <w:pPr>
        <w:spacing w:line="276" w:lineRule="auto"/>
        <w:ind w:firstLine="709"/>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Dicho esto, la firmeza del acto de inscripción, renovación y actualización del RUP debe armonizarse con las prescripciones establecidas para la generalidad de los actos administrativos, esto es, de acuerdo con el artículo 87 de la Ley 1437 de 2011</w:t>
      </w:r>
      <w:hyperlink r:id="rId23" w:anchor="_ftn12" w:history="1">
        <w:r w:rsidRPr="00C1432C">
          <w:rPr>
            <w:rFonts w:ascii="Century Gothic" w:eastAsia="Century Gothic" w:hAnsi="Century Gothic" w:cs="Century Gothic"/>
            <w:sz w:val="22"/>
            <w:szCs w:val="22"/>
            <w:lang w:val="es-ES"/>
          </w:rPr>
          <w:t>[12]</w:t>
        </w:r>
      </w:hyperlink>
      <w:r w:rsidRPr="00C1432C">
        <w:rPr>
          <w:rFonts w:ascii="Century Gothic" w:eastAsia="Century Gothic" w:hAnsi="Century Gothic" w:cs="Century Gothic"/>
          <w:sz w:val="22"/>
          <w:szCs w:val="22"/>
          <w:lang w:val="es-ES"/>
        </w:rPr>
        <w:t xml:space="preserve">. Conforme a lo anterior, la persona natural o jurídica podrá presentarse a los procedimientos de selección cuando el acto administrativo que realiza la inscripción del RUP se encuentra en firme, porque es un requisito para las personas naturales y jurídicas, nacionales o extranjeras con domicilio en Colombia, que aspiran a celebrar contratos con las entidades estatales, estar inscritas en él, salvo las excepciones establecidas en la ley. </w:t>
      </w:r>
    </w:p>
    <w:p w14:paraId="10F4BE94" w14:textId="77777777" w:rsidR="007A28AA" w:rsidRPr="00C1432C" w:rsidRDefault="007A28AA" w:rsidP="007A28AA">
      <w:pPr>
        <w:spacing w:line="276" w:lineRule="auto"/>
        <w:ind w:firstLine="709"/>
        <w:contextualSpacing/>
        <w:jc w:val="both"/>
        <w:rPr>
          <w:rFonts w:ascii="Century Gothic" w:eastAsia="Century Gothic" w:hAnsi="Century Gothic" w:cs="Century Gothic"/>
          <w:sz w:val="22"/>
          <w:szCs w:val="22"/>
          <w:lang w:val="es-ES"/>
        </w:rPr>
      </w:pPr>
    </w:p>
    <w:p w14:paraId="013686E0" w14:textId="77777777" w:rsidR="00C1432C" w:rsidRDefault="00C1432C" w:rsidP="007A28AA">
      <w:pPr>
        <w:spacing w:line="276" w:lineRule="auto"/>
        <w:ind w:firstLine="709"/>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Así, la firmeza del RUP es una condición de ejecutoriedad, para consolidar los efectos del acto administrativo de inscripción. En palabras del Consejo de Estado, “El fenómeno procesal de la firmeza implica en principio, que la decisión se torna incuestionable en sede administrativa, lo que a su vez conlleva su ejecutoriedad”</w:t>
      </w:r>
      <w:hyperlink r:id="rId24" w:anchor="_ftn13" w:history="1">
        <w:r w:rsidRPr="00C1432C">
          <w:rPr>
            <w:rFonts w:ascii="Century Gothic" w:eastAsia="Century Gothic" w:hAnsi="Century Gothic" w:cs="Century Gothic"/>
            <w:sz w:val="22"/>
            <w:szCs w:val="22"/>
            <w:lang w:val="es-ES"/>
          </w:rPr>
          <w:t>[13]</w:t>
        </w:r>
      </w:hyperlink>
      <w:r w:rsidRPr="00C1432C">
        <w:rPr>
          <w:rFonts w:ascii="Century Gothic" w:eastAsia="Century Gothic" w:hAnsi="Century Gothic" w:cs="Century Gothic"/>
          <w:sz w:val="22"/>
          <w:szCs w:val="22"/>
          <w:lang w:val="es-ES"/>
        </w:rPr>
        <w:t xml:space="preserve">. Es importante resaltar que los distintos eventos de firmeza señalados en el artículo 87 del CPACA involucran la exigencia de la publicidad, comunicación o notificación del acto, además de incluir la necesidad de resolver los recursos administrativos interpuestos contra la decisión, como expresión del debido proceso y del derecho de defensa en sede administrativa. </w:t>
      </w:r>
    </w:p>
    <w:p w14:paraId="6626EC3D" w14:textId="77777777" w:rsidR="007A28AA" w:rsidRPr="00C1432C" w:rsidRDefault="007A28AA" w:rsidP="007A28AA">
      <w:pPr>
        <w:spacing w:line="276" w:lineRule="auto"/>
        <w:ind w:firstLine="709"/>
        <w:contextualSpacing/>
        <w:jc w:val="both"/>
        <w:rPr>
          <w:rFonts w:ascii="Century Gothic" w:eastAsia="Century Gothic" w:hAnsi="Century Gothic" w:cs="Century Gothic"/>
          <w:sz w:val="22"/>
          <w:szCs w:val="22"/>
          <w:lang w:val="es-ES"/>
        </w:rPr>
      </w:pPr>
    </w:p>
    <w:p w14:paraId="23E0DDCC" w14:textId="77777777" w:rsidR="00C1432C" w:rsidRDefault="00C1432C" w:rsidP="007A28AA">
      <w:pPr>
        <w:spacing w:line="276" w:lineRule="auto"/>
        <w:ind w:firstLine="709"/>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El artículo 6.3 de la Ley 1150 de 2007 regula la impugnación del acto de inscripción de información en el RUP, para que cualquier persona presente recurso de reposición durante los 10 días hábiles siguientes a su publicación, tiempo después del cual el acto administrativo adquiere firmeza y será oponible a terceros, adquiriendo su presunción de legalidad, siempre que durante el término indicado no se presenten recursos. Si ocurre lo último, para que el acto de inscripción o renovación quede en firme, o que la actualización de la nueva información adquiera firmeza, será necesario que se resuelvan dichos recursos. </w:t>
      </w:r>
    </w:p>
    <w:p w14:paraId="3B8EF7E7" w14:textId="77777777" w:rsidR="007A28AA" w:rsidRPr="00C1432C" w:rsidRDefault="007A28AA" w:rsidP="007A28AA">
      <w:pPr>
        <w:spacing w:line="276" w:lineRule="auto"/>
        <w:ind w:firstLine="709"/>
        <w:contextualSpacing/>
        <w:jc w:val="both"/>
        <w:rPr>
          <w:rFonts w:ascii="Century Gothic" w:eastAsia="Century Gothic" w:hAnsi="Century Gothic" w:cs="Century Gothic"/>
          <w:sz w:val="22"/>
          <w:szCs w:val="22"/>
          <w:lang w:val="es-ES"/>
        </w:rPr>
      </w:pPr>
    </w:p>
    <w:p w14:paraId="04A9AB36" w14:textId="77777777" w:rsidR="00C1432C" w:rsidRDefault="00C1432C" w:rsidP="007A28AA">
      <w:pPr>
        <w:spacing w:line="276" w:lineRule="auto"/>
        <w:ind w:firstLine="709"/>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Expuestas las reglas generales en torno a la necesidad de la firmeza de los actos de inscripción, renovación y actualización, se señalarán las consecuencias en cada supuesto de que la información incluida en el RUP esté pendiente de quedar en firme, pues en cada uno se generan efectos distintos. En dicho estudio debe aludirse también a la posibilidad de subsanar las ofertas en los procedimientos de selección. </w:t>
      </w:r>
    </w:p>
    <w:p w14:paraId="20E93FED" w14:textId="77777777" w:rsidR="007A28AA" w:rsidRPr="00C1432C" w:rsidRDefault="007A28AA" w:rsidP="007A28AA">
      <w:pPr>
        <w:spacing w:line="276" w:lineRule="auto"/>
        <w:ind w:firstLine="709"/>
        <w:contextualSpacing/>
        <w:jc w:val="both"/>
        <w:rPr>
          <w:rFonts w:ascii="Century Gothic" w:eastAsia="Century Gothic" w:hAnsi="Century Gothic" w:cs="Century Gothic"/>
          <w:sz w:val="22"/>
          <w:szCs w:val="22"/>
          <w:lang w:val="es-ES"/>
        </w:rPr>
      </w:pPr>
    </w:p>
    <w:p w14:paraId="7C19FC42" w14:textId="77777777" w:rsidR="00C1432C" w:rsidRPr="00C1432C" w:rsidRDefault="00C1432C" w:rsidP="007A28AA">
      <w:pPr>
        <w:spacing w:line="276" w:lineRule="auto"/>
        <w:ind w:firstLine="709"/>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En relación con la inscripción –ya sea por primera vez o porque no se renueva a tiempo y se debe realizar el trámite como una inscripción inicial–, debe considerarse lo prescrito en el parágrafo 1 del artículo 5 de la Ley 1150 de 2007, modificado por el artículo 5 de la Ley 1882 de 2018</w:t>
      </w:r>
      <w:hyperlink r:id="rId25" w:anchor="_ftn14" w:history="1">
        <w:r w:rsidRPr="00C1432C">
          <w:rPr>
            <w:rFonts w:ascii="Century Gothic" w:eastAsia="Century Gothic" w:hAnsi="Century Gothic" w:cs="Century Gothic"/>
            <w:sz w:val="22"/>
            <w:szCs w:val="22"/>
            <w:lang w:val="es-ES"/>
          </w:rPr>
          <w:t>[14]</w:t>
        </w:r>
      </w:hyperlink>
      <w:r w:rsidRPr="00C1432C">
        <w:rPr>
          <w:rFonts w:ascii="Century Gothic" w:eastAsia="Century Gothic" w:hAnsi="Century Gothic" w:cs="Century Gothic"/>
          <w:sz w:val="22"/>
          <w:szCs w:val="22"/>
          <w:lang w:val="es-ES"/>
        </w:rPr>
        <w:t>, que establece que los proponentes no pueden acreditar circunstancias ocurridas con posterioridad al cierre del proceso, unido a lo expresado por la Sala de Consulta y Servicio Civil del Consejo de Estado, quien interpretó una norma de igual contenido a la anterior</w:t>
      </w:r>
      <w:hyperlink r:id="rId26" w:anchor="_ftn15" w:history="1">
        <w:r w:rsidRPr="00C1432C">
          <w:rPr>
            <w:rFonts w:ascii="Century Gothic" w:eastAsia="Century Gothic" w:hAnsi="Century Gothic" w:cs="Century Gothic"/>
            <w:sz w:val="22"/>
            <w:szCs w:val="22"/>
            <w:lang w:val="es-ES"/>
          </w:rPr>
          <w:t>[15]</w:t>
        </w:r>
      </w:hyperlink>
      <w:r w:rsidRPr="00C1432C">
        <w:rPr>
          <w:rFonts w:ascii="Century Gothic" w:eastAsia="Century Gothic" w:hAnsi="Century Gothic" w:cs="Century Gothic"/>
          <w:sz w:val="22"/>
          <w:szCs w:val="22"/>
          <w:lang w:val="es-ES"/>
        </w:rPr>
        <w:t>, señalando que el proponente debe cumplir materialmente para la fecha del cierre del proceso con los requisitos que se requieren para presentar la oferta. En este sentido, para ese momento la persona natural o jurídica debe estar inscrita en el Registro Único de Proponentes, para lo cual no basta con la solicitud o radicación de los documentos para el trámite, sino que, además, el acto administrativo de inscripción debe estar en firme, pues solo así se materializa y produce efectos la inscripción</w:t>
      </w:r>
      <w:hyperlink r:id="rId27" w:anchor="_ftn16" w:history="1">
        <w:r w:rsidRPr="00C1432C">
          <w:rPr>
            <w:rFonts w:ascii="Century Gothic" w:eastAsia="Century Gothic" w:hAnsi="Century Gothic" w:cs="Century Gothic"/>
            <w:sz w:val="22"/>
            <w:szCs w:val="22"/>
            <w:lang w:val="es-ES"/>
          </w:rPr>
          <w:t>[16]</w:t>
        </w:r>
      </w:hyperlink>
      <w:r w:rsidRPr="00C1432C">
        <w:rPr>
          <w:rFonts w:ascii="Century Gothic" w:eastAsia="Century Gothic" w:hAnsi="Century Gothic" w:cs="Century Gothic"/>
          <w:sz w:val="22"/>
          <w:szCs w:val="22"/>
          <w:lang w:val="es-ES"/>
        </w:rPr>
        <w:t xml:space="preserve">. </w:t>
      </w:r>
    </w:p>
    <w:p w14:paraId="0BEF7D08" w14:textId="77777777" w:rsidR="00C1432C" w:rsidRPr="00C1432C" w:rsidRDefault="00C1432C" w:rsidP="007A28AA">
      <w:pPr>
        <w:spacing w:line="276" w:lineRule="auto"/>
        <w:ind w:firstLine="709"/>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Por lo tanto, si la cámara de comercio expide el acto administrativo de inscripción en el RUP después del cierre del procedimiento de selección, motivado en la falta de renovación a tiempo de la información contenida en él o por ser la primera inscripción, el proponente no puede aportarlo al proceso, porque al momento de presentar la oferta no tenía capacidad para contratar, y no puede acreditar circunstancias ocurridas con posterioridad al cierre del proceso, reiterando que la inscripción debe estar en firme antes del cierre, pues la inscripción solo se materializa y es oponible a terceros cuando el acto administrativo está en firme.</w:t>
      </w:r>
    </w:p>
    <w:p w14:paraId="7D9C6050" w14:textId="77777777" w:rsidR="00C1432C" w:rsidRDefault="00C1432C" w:rsidP="007A28AA">
      <w:pPr>
        <w:spacing w:line="276" w:lineRule="auto"/>
        <w:ind w:firstLine="708"/>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Tratándose del trámite de renovación, se reitera lo expresado en el sentido de que la persona que presentó la información para renovar su registro antes del quinto día hábil de abril de cada año, cumpliendo el requisito del artículo 2.2.1.1.1.5.1, y pese a que la renovación no esté en firme, es decir, mientras esté en trámite el proceso de renovación, puede participar en los procedimientos de selección, debiéndose tener en cuenta la información “antigua”. De esta manera, en el período comprendido entre el momento de la solicitud de renovación y el de su firmeza, debe emplearse la información del RUP que está en firme antes de iniciar el trámite de renovación, cuyos efectos no habrían cesado y se encontraría vigente. Incluso, en los procedimientos de selección, en caso de que el RUP con la información “antigua” se haya presentado válidamente antes del cierre del proceso y con posterioridad a este quede en firme el nuevo RUP, para la evaluación de las propuestas se deberá utilizar la información del registro presentado inicialmente. Esto se sustenta en que ninguno de los proponentes, durante el término otorgado para subsanar ofertas, podrá “acreditar circunstancias ocurridas con posterioridad al cierre del proceso”, por lo que la evaluación se realizará con la información del RUP en firme antes del cierre, independientemente de que la nueva información favorezca o perjudique al proponente.</w:t>
      </w:r>
    </w:p>
    <w:p w14:paraId="30733FB2" w14:textId="77777777" w:rsidR="007A28AA" w:rsidRPr="00C1432C" w:rsidRDefault="007A28AA" w:rsidP="007A28AA">
      <w:pPr>
        <w:spacing w:line="276" w:lineRule="auto"/>
        <w:ind w:firstLine="708"/>
        <w:contextualSpacing/>
        <w:jc w:val="both"/>
        <w:rPr>
          <w:rFonts w:ascii="Century Gothic" w:eastAsia="Century Gothic" w:hAnsi="Century Gothic" w:cs="Century Gothic"/>
          <w:sz w:val="22"/>
          <w:szCs w:val="22"/>
          <w:lang w:val="es-ES"/>
        </w:rPr>
      </w:pPr>
    </w:p>
    <w:p w14:paraId="7327D70B" w14:textId="77777777" w:rsidR="00C1432C" w:rsidRDefault="00C1432C" w:rsidP="007A28AA">
      <w:pPr>
        <w:spacing w:line="276" w:lineRule="auto"/>
        <w:ind w:firstLine="708"/>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Ahora bien, el deber de renovación, para impedir que el RUP deje de producir efectos consiste en “presentar la información para renovar su registro antes del quinto día hábil del mes de abril de cada año”</w:t>
      </w:r>
      <w:hyperlink r:id="rId28" w:anchor="_ftn17" w:history="1">
        <w:r w:rsidRPr="00C1432C">
          <w:rPr>
            <w:rFonts w:ascii="Century Gothic" w:eastAsia="Century Gothic" w:hAnsi="Century Gothic" w:cs="Century Gothic"/>
            <w:sz w:val="22"/>
            <w:szCs w:val="22"/>
            <w:lang w:val="es-ES"/>
          </w:rPr>
          <w:t>[17]</w:t>
        </w:r>
      </w:hyperlink>
      <w:r w:rsidRPr="00C1432C">
        <w:rPr>
          <w:rFonts w:ascii="Century Gothic" w:eastAsia="Century Gothic" w:hAnsi="Century Gothic" w:cs="Century Gothic"/>
          <w:sz w:val="22"/>
          <w:szCs w:val="22"/>
          <w:lang w:val="es-ES"/>
        </w:rPr>
        <w:t>. De manera que basta con la presentación de dicha información, mediante la cual se solicita a la cámara de comercio respectiva que adelante el trámite de renovación, para que se impida que el registro cese en sus efectos. Lo anterior, independientemente del término que tarde la cámara de comercio para revisar la información o de la solicitud que ésta le haga al interesado para que aporte algún documento adicional, o el término que transcurra mientras se interponen y resuelven los recursos frente al acto de inscripción –en caso de que se presenten– y del momento en que finalmente adquiera firmeza el acto de renovación. En este sentido, siempre que se cumpla con la primera actuación tendiente a la renovación del RUP este sigue produciendo efectos, por lo que, se reitera, en el período comprendido entre el momento de la solicitud de renovación y el de la firmeza de la renovación, puede utilizarse la información del RUP que está en firme antes de iniciar el trámite de renovación, cuyos efectos no han cesado y se encuentra vigente, pudiendo utilizar dicho registro para participar en los procedimientos de selección de contratistas.</w:t>
      </w:r>
    </w:p>
    <w:p w14:paraId="74B32A50" w14:textId="77777777" w:rsidR="007A28AA" w:rsidRPr="00C1432C" w:rsidRDefault="007A28AA" w:rsidP="007A28AA">
      <w:pPr>
        <w:spacing w:line="276" w:lineRule="auto"/>
        <w:ind w:firstLine="708"/>
        <w:contextualSpacing/>
        <w:jc w:val="both"/>
        <w:rPr>
          <w:rFonts w:ascii="Century Gothic" w:eastAsia="Century Gothic" w:hAnsi="Century Gothic" w:cs="Century Gothic"/>
          <w:sz w:val="22"/>
          <w:szCs w:val="22"/>
          <w:lang w:val="es-ES"/>
        </w:rPr>
      </w:pPr>
    </w:p>
    <w:p w14:paraId="5A71B61C" w14:textId="77777777" w:rsidR="00C1432C" w:rsidRDefault="00C1432C" w:rsidP="007A28AA">
      <w:pPr>
        <w:spacing w:line="276" w:lineRule="auto"/>
        <w:ind w:firstLine="709"/>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Finalmente, tratándose del trámite administrativo de la actualización, sucede algo similar con la renovación, en el sentido de que, si la actualización no estaba en firme para el momento del cierre del proceso, en la evaluación se tendrá en cuenta únicamente la información que estaba en firme para dicho momento. Lo que no deben hacer las entidades es rechazar la oferta bajo el argumento de que la actualización no está en firme –como si no hubiera una inscripción vigente en el RUP–, pues simplemente se debe evaluar la oferta prescindiendo de la nueva información incluida –que no adquirió firmeza–, pues, aunque la nueva información –actualización– esté pendiente de adquirir firmeza, para el momento del cierre del proceso el oferente tenía su inscripción vigente y en firme. De esta manera el trámite de actualización no hace que los efectos del RUP cesen momentáneamente –mientras adquiere firmeza–, sino, simplemente, que la nueva información contenida solo se podrá considerar si estaba en firme para el momento del cierre del proceso, pues no se pueden acreditar circunstancias ocurridas con posterioridad a dicho momento.</w:t>
      </w:r>
    </w:p>
    <w:p w14:paraId="62D782EF" w14:textId="77777777" w:rsidR="007A28AA" w:rsidRDefault="007A28AA" w:rsidP="007A28AA">
      <w:pPr>
        <w:spacing w:line="276" w:lineRule="auto"/>
        <w:ind w:firstLine="709"/>
        <w:contextualSpacing/>
        <w:jc w:val="both"/>
        <w:rPr>
          <w:rFonts w:ascii="Century Gothic" w:eastAsia="Century Gothic" w:hAnsi="Century Gothic" w:cs="Century Gothic"/>
          <w:sz w:val="22"/>
          <w:szCs w:val="22"/>
          <w:lang w:val="es-ES"/>
        </w:rPr>
      </w:pPr>
    </w:p>
    <w:p w14:paraId="6D0D9396" w14:textId="77777777" w:rsidR="007A28AA" w:rsidRPr="00C1432C" w:rsidRDefault="007A28AA" w:rsidP="007A28AA">
      <w:pPr>
        <w:spacing w:line="276" w:lineRule="auto"/>
        <w:ind w:firstLine="709"/>
        <w:contextualSpacing/>
        <w:jc w:val="both"/>
        <w:rPr>
          <w:rFonts w:ascii="Century Gothic" w:eastAsia="Century Gothic" w:hAnsi="Century Gothic" w:cs="Century Gothic"/>
          <w:sz w:val="22"/>
          <w:szCs w:val="22"/>
          <w:lang w:val="es-ES"/>
        </w:rPr>
      </w:pPr>
    </w:p>
    <w:p w14:paraId="5764266A" w14:textId="77777777" w:rsidR="00C1432C" w:rsidRPr="00A91C92" w:rsidRDefault="00C1432C" w:rsidP="00C1432C">
      <w:pPr>
        <w:spacing w:line="276" w:lineRule="auto"/>
        <w:ind w:firstLine="709"/>
        <w:contextualSpacing/>
        <w:rPr>
          <w:rFonts w:ascii="Century Gothic" w:eastAsia="Century Gothic" w:hAnsi="Century Gothic" w:cs="Century Gothic"/>
          <w:color w:val="000000" w:themeColor="text1"/>
        </w:rPr>
      </w:pPr>
      <w:r w:rsidRPr="2F7B58A8">
        <w:rPr>
          <w:rFonts w:ascii="Century Gothic" w:eastAsia="Century Gothic" w:hAnsi="Century Gothic" w:cs="Century Gothic"/>
          <w:color w:val="000000" w:themeColor="text1"/>
        </w:rPr>
        <w:t xml:space="preserve"> </w:t>
      </w:r>
    </w:p>
    <w:p w14:paraId="38228CF8" w14:textId="77777777" w:rsidR="00C1432C" w:rsidRPr="00084A46" w:rsidRDefault="00C1432C" w:rsidP="00C1432C">
      <w:pPr>
        <w:tabs>
          <w:tab w:val="left" w:pos="0"/>
        </w:tabs>
        <w:spacing w:line="276" w:lineRule="auto"/>
        <w:contextualSpacing/>
        <w:rPr>
          <w:rFonts w:ascii="Century Gothic" w:eastAsia="Century Gothic" w:hAnsi="Century Gothic" w:cs="Century Gothic"/>
          <w:b/>
          <w:bCs/>
          <w:sz w:val="22"/>
          <w:szCs w:val="22"/>
        </w:rPr>
      </w:pPr>
      <w:r w:rsidRPr="00084A46">
        <w:rPr>
          <w:rFonts w:ascii="Century Gothic" w:eastAsia="Century Gothic" w:hAnsi="Century Gothic" w:cs="Century Gothic"/>
          <w:b/>
          <w:bCs/>
          <w:sz w:val="22"/>
          <w:szCs w:val="22"/>
        </w:rPr>
        <w:t>2.3. Vigencia de las modificaciones introducidas por los Decretos 399 de 2021, 579 de 2021 y 1041 de 2022 respecto a la información contenida en el RUP y su verificación dentro del “mejor año fiscal”</w:t>
      </w:r>
    </w:p>
    <w:p w14:paraId="2086E57B" w14:textId="77777777" w:rsidR="00C1432C" w:rsidRPr="00084A46" w:rsidRDefault="00C1432C" w:rsidP="00C1432C">
      <w:pPr>
        <w:tabs>
          <w:tab w:val="left" w:pos="0"/>
        </w:tabs>
        <w:spacing w:line="276" w:lineRule="auto"/>
        <w:contextualSpacing/>
        <w:rPr>
          <w:rFonts w:ascii="Century Gothic" w:eastAsia="Century Gothic" w:hAnsi="Century Gothic" w:cs="Century Gothic"/>
          <w:sz w:val="22"/>
          <w:szCs w:val="22"/>
        </w:rPr>
      </w:pPr>
      <w:r w:rsidRPr="00084A46">
        <w:rPr>
          <w:rFonts w:ascii="Century Gothic" w:eastAsia="Century Gothic" w:hAnsi="Century Gothic" w:cs="Century Gothic"/>
          <w:sz w:val="22"/>
          <w:szCs w:val="22"/>
        </w:rPr>
        <w:t xml:space="preserve"> </w:t>
      </w:r>
    </w:p>
    <w:p w14:paraId="721E5BEC" w14:textId="77777777" w:rsidR="00C1432C" w:rsidRPr="00084A46" w:rsidRDefault="00C1432C" w:rsidP="00C1432C">
      <w:pPr>
        <w:spacing w:line="276" w:lineRule="auto"/>
        <w:contextualSpacing/>
        <w:jc w:val="both"/>
        <w:rPr>
          <w:rFonts w:ascii="Century Gothic" w:eastAsia="Century Gothic" w:hAnsi="Century Gothic" w:cs="Century Gothic"/>
          <w:sz w:val="22"/>
          <w:szCs w:val="22"/>
          <w:lang w:val="es-ES"/>
        </w:rPr>
      </w:pPr>
      <w:r w:rsidRPr="00084A46">
        <w:rPr>
          <w:rFonts w:ascii="Century Gothic" w:eastAsia="Century Gothic" w:hAnsi="Century Gothic" w:cs="Century Gothic"/>
          <w:sz w:val="22"/>
          <w:szCs w:val="22"/>
          <w:lang w:val="es-ES"/>
        </w:rPr>
        <w:t>Para lograr la reactivación económica, ante la crisis generada por la pandemia del COVID-19, el gobierno nacional expidió el Decreto 399 de 2021, mediante el cual se establecen algunas modificaciones al Decreto 1082 de 2015 frente a la regulación de la información financiera y organizacional prevista en el Registro Único de Proponentes –RUP–. En tal sentido, se indicó –con la modificación posteriormente introducida por el Decreto 579 de 2021– que a partir del 1 de julio de 2021 las Entidades Estatales deberán tener en cuenta los datos sobre la capacidad financiera y organizacional de los últimos tres años, consignada en el RUP</w:t>
      </w:r>
      <w:hyperlink r:id="rId29" w:anchor="_ftn18" w:history="1">
        <w:r w:rsidRPr="00084A46">
          <w:rPr>
            <w:rFonts w:ascii="Century Gothic" w:eastAsia="Century Gothic" w:hAnsi="Century Gothic" w:cs="Century Gothic"/>
            <w:sz w:val="22"/>
            <w:szCs w:val="22"/>
            <w:lang w:val="es-ES"/>
          </w:rPr>
          <w:t>[18]</w:t>
        </w:r>
      </w:hyperlink>
      <w:r w:rsidRPr="00084A46">
        <w:rPr>
          <w:rFonts w:ascii="Century Gothic" w:eastAsia="Century Gothic" w:hAnsi="Century Gothic" w:cs="Century Gothic"/>
          <w:sz w:val="22"/>
          <w:szCs w:val="22"/>
          <w:lang w:val="es-ES"/>
        </w:rPr>
        <w:t xml:space="preserve">. Así lo justifica textualmente el reglamento mencionado, en sus consideraciones cuando manifiesta que “mediante lo anterior se propenderá por una mayor pluralidad de oferentes en los procedimientos de selección y se fortalecerá la reactivación económica del país, al permitir la participación en estos procedimientos de proponentes que fueron afectados negativamente por la pandemia del COVID-19”. </w:t>
      </w:r>
    </w:p>
    <w:p w14:paraId="0AE0C333" w14:textId="77777777" w:rsidR="007A28AA" w:rsidRPr="00C1432C" w:rsidRDefault="007A28AA" w:rsidP="00C1432C">
      <w:pPr>
        <w:spacing w:line="276" w:lineRule="auto"/>
        <w:contextualSpacing/>
        <w:jc w:val="both"/>
        <w:rPr>
          <w:rFonts w:ascii="Century Gothic" w:eastAsia="Century Gothic" w:hAnsi="Century Gothic" w:cs="Century Gothic"/>
          <w:sz w:val="22"/>
          <w:szCs w:val="22"/>
          <w:lang w:val="es-ES"/>
        </w:rPr>
      </w:pPr>
    </w:p>
    <w:p w14:paraId="11B96E70" w14:textId="77777777" w:rsidR="00C1432C" w:rsidRDefault="00C1432C" w:rsidP="00C1432C">
      <w:pPr>
        <w:spacing w:line="276" w:lineRule="auto"/>
        <w:ind w:firstLine="708"/>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En tal sentido, el artículo 4 del Decreto 399 de 2021 adicionó dos parágrafos transitorios al artículo 2.2.1.1.1.5.2 del Decreto 1082 de 2015, que a su vez fueron sustituidos por el artículo 1 del Decreto 579 del 31 de mayo de 2021</w:t>
      </w:r>
      <w:hyperlink r:id="rId30" w:anchor="_ftn19" w:history="1">
        <w:r w:rsidRPr="00C1432C">
          <w:rPr>
            <w:rFonts w:ascii="Century Gothic" w:eastAsia="Century Gothic" w:hAnsi="Century Gothic" w:cs="Century Gothic"/>
            <w:sz w:val="22"/>
            <w:szCs w:val="22"/>
            <w:lang w:val="es-ES"/>
          </w:rPr>
          <w:t>[19]</w:t>
        </w:r>
      </w:hyperlink>
      <w:r w:rsidRPr="00C1432C">
        <w:rPr>
          <w:rFonts w:ascii="Century Gothic" w:eastAsia="Century Gothic" w:hAnsi="Century Gothic" w:cs="Century Gothic"/>
          <w:sz w:val="22"/>
          <w:szCs w:val="22"/>
          <w:lang w:val="es-ES"/>
        </w:rPr>
        <w:t xml:space="preserve"> y posteriormente se adicionó un parágrafo transitorio adicional al artículo 2.2.1.1.1.5.2 del Decreto 1082 de 2015 por el artículo 1 del Decreto 1041 de 2022.</w:t>
      </w:r>
    </w:p>
    <w:p w14:paraId="70BCCAD5" w14:textId="77777777" w:rsidR="007A28AA" w:rsidRPr="00C1432C" w:rsidRDefault="007A28AA" w:rsidP="00C1432C">
      <w:pPr>
        <w:spacing w:line="276" w:lineRule="auto"/>
        <w:ind w:firstLine="708"/>
        <w:contextualSpacing/>
        <w:jc w:val="both"/>
        <w:rPr>
          <w:rFonts w:ascii="Century Gothic" w:eastAsia="Century Gothic" w:hAnsi="Century Gothic" w:cs="Century Gothic"/>
          <w:sz w:val="22"/>
          <w:szCs w:val="22"/>
          <w:lang w:val="es-ES"/>
        </w:rPr>
      </w:pPr>
    </w:p>
    <w:p w14:paraId="11CE825A" w14:textId="77777777" w:rsidR="00C1432C" w:rsidRDefault="00C1432C" w:rsidP="00C1432C">
      <w:pPr>
        <w:spacing w:line="276" w:lineRule="auto"/>
        <w:ind w:firstLine="708"/>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El parágrafo transitorio 1 dispone que desde el 1 de junio de 2021 los interesados en inscribirse en el RUP deben reportar la información contable y los estados financieros de los tres últimos años fiscales. Sin embargo, si el interesado no tiene una antigüedad de tres años, podrá acreditar dicha información desde el primer cierre fiscal. Dicho parágrafo además permite que el proponente con inscripción activa y vigente en el RUP actualice la información del 2018 y/o 2019, por no contar con los datos sobre la capacidad financiera y organizacional de estos años, de manera gratuita, durante el mes de junio, por una sola vez. En todo caso, aclara que, si el proponente tiene registrada la información de dichos años en la cámara de comercio, no deberá presentar esta información.</w:t>
      </w:r>
    </w:p>
    <w:p w14:paraId="3C57D10E" w14:textId="77777777" w:rsidR="007A28AA" w:rsidRPr="00C1432C" w:rsidRDefault="007A28AA" w:rsidP="00C1432C">
      <w:pPr>
        <w:spacing w:line="276" w:lineRule="auto"/>
        <w:ind w:firstLine="708"/>
        <w:contextualSpacing/>
        <w:jc w:val="both"/>
        <w:rPr>
          <w:rFonts w:ascii="Century Gothic" w:eastAsia="Century Gothic" w:hAnsi="Century Gothic" w:cs="Century Gothic"/>
          <w:sz w:val="22"/>
          <w:szCs w:val="22"/>
          <w:lang w:val="es-ES"/>
        </w:rPr>
      </w:pPr>
    </w:p>
    <w:p w14:paraId="3A6B6AFF" w14:textId="77777777" w:rsidR="00C1432C" w:rsidRDefault="00C1432C" w:rsidP="00C1432C">
      <w:pPr>
        <w:spacing w:line="276" w:lineRule="auto"/>
        <w:ind w:firstLine="708"/>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El parágrafo transitorio 2 señala que, en el año 2022, para la inscripción en el RUP o para su renovación, el interesado debe reportar la información contable y los estados financieros de los tres últimos años fiscales. Además, reitera que, si aquel no cuenta con la información financiera de dichos años, por no tener la antigüedad suficiente, podrá aportar la información de su primer cierre fiscal. </w:t>
      </w:r>
    </w:p>
    <w:p w14:paraId="1B6CA39E" w14:textId="77777777" w:rsidR="007A28AA" w:rsidRPr="00C1432C" w:rsidRDefault="007A28AA" w:rsidP="00C1432C">
      <w:pPr>
        <w:spacing w:line="276" w:lineRule="auto"/>
        <w:ind w:firstLine="708"/>
        <w:contextualSpacing/>
        <w:jc w:val="both"/>
        <w:rPr>
          <w:rFonts w:ascii="Century Gothic" w:eastAsia="Century Gothic" w:hAnsi="Century Gothic" w:cs="Century Gothic"/>
          <w:sz w:val="22"/>
          <w:szCs w:val="22"/>
          <w:lang w:val="es-ES"/>
        </w:rPr>
      </w:pPr>
    </w:p>
    <w:p w14:paraId="45F48A3C" w14:textId="77777777" w:rsidR="00C1432C" w:rsidRDefault="00C1432C" w:rsidP="00C1432C">
      <w:pPr>
        <w:spacing w:line="276" w:lineRule="auto"/>
        <w:ind w:firstLine="708"/>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En igual sentido, el parágrafo transitorio 3 incluido por el Decreto 1041 de 2022 mantuvo la anterior medida para el año 2023, permitiendo que para la inscripción en el RUP o para su renovación, el interesado pueda reportar la información contable y los estados financieros de los tres últimos años fiscales. </w:t>
      </w:r>
    </w:p>
    <w:p w14:paraId="3B502F9F" w14:textId="77777777" w:rsidR="007A28AA" w:rsidRPr="00C1432C" w:rsidRDefault="007A28AA" w:rsidP="00C1432C">
      <w:pPr>
        <w:spacing w:line="276" w:lineRule="auto"/>
        <w:ind w:firstLine="708"/>
        <w:contextualSpacing/>
        <w:jc w:val="both"/>
        <w:rPr>
          <w:rFonts w:ascii="Century Gothic" w:eastAsia="Century Gothic" w:hAnsi="Century Gothic" w:cs="Century Gothic"/>
          <w:sz w:val="22"/>
          <w:szCs w:val="22"/>
          <w:lang w:val="es-ES"/>
        </w:rPr>
      </w:pPr>
    </w:p>
    <w:p w14:paraId="5167F238" w14:textId="77777777" w:rsidR="00C1432C" w:rsidRDefault="00C1432C" w:rsidP="00C1432C">
      <w:pPr>
        <w:spacing w:line="276" w:lineRule="auto"/>
        <w:ind w:firstLine="708"/>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Por otra parte, el artículo 5 del Decreto 399 de 2021 adicionó dos parágrafos transitorios al artículo 2.2.1.1.1.5.6 del Decreto 1082 de 2015, que regula el contenido del certificado del RUP. El primer parágrafo transitorio, que fue posteriormente sustituido por el artículo 2 del Decreto 579 de 2021, establece que “[…] 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 Para esto, las cámaras de comercio, a partir del 1 de julio de 2021, “certificarán la información de que tratan los parágrafos transitorios 1 y 2 del artículo 2.2.1.1.1.5.2. de este Decreto”. Los requisitos e indicadores de la capacidad financiera consagrados en el literal b) del artículo 2.2.1.1.1.5.6 del Decreto 1082 de 2015 son: i) el índice de liquidez, ii) el índice de endeudamiento y iii) la razón de cobertura de intereses. Los requisitos e indicadores de capacidad organizacional son: i) la rentabilidad del patrimonio y ii) la rentabilidad del activo.</w:t>
      </w:r>
    </w:p>
    <w:p w14:paraId="3B7CABC5" w14:textId="77777777" w:rsidR="007A28AA" w:rsidRPr="00C1432C" w:rsidRDefault="007A28AA" w:rsidP="00C1432C">
      <w:pPr>
        <w:spacing w:line="276" w:lineRule="auto"/>
        <w:ind w:firstLine="708"/>
        <w:contextualSpacing/>
        <w:jc w:val="both"/>
        <w:rPr>
          <w:rFonts w:ascii="Century Gothic" w:eastAsia="Century Gothic" w:hAnsi="Century Gothic" w:cs="Century Gothic"/>
          <w:sz w:val="22"/>
          <w:szCs w:val="22"/>
          <w:lang w:val="es-ES"/>
        </w:rPr>
      </w:pPr>
    </w:p>
    <w:p w14:paraId="1BC420B1" w14:textId="77777777" w:rsidR="00C1432C" w:rsidRDefault="00C1432C" w:rsidP="00C1432C">
      <w:pPr>
        <w:spacing w:line="276" w:lineRule="auto"/>
        <w:ind w:firstLine="708"/>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Posteriormente, el segundo parágrafo transitorio del artículo 2.2.1.1.1.5.6 del Decreto 1082 de 2015, modificado por el artículo 2 del Decreto 1041 del 21 de junio 2022 dispone que “El proponente que cuente con inscripción activa y vigente en el RUP, que reporte la información de la capacidad financiera y organizacional, señalada en los parágrafos transitorios 1, 2 Y 3 del artículo 2.2.1.1.1.5.2 del presente Decreto, deberá presentarla en el formato unificado que las cámaras de comercio dispongan para tal efecto”. Como se observa, las normas anteriormente transcritas disponen que:</w:t>
      </w:r>
    </w:p>
    <w:p w14:paraId="15E1E2CB" w14:textId="77777777" w:rsidR="007A28AA" w:rsidRPr="00C1432C" w:rsidRDefault="007A28AA" w:rsidP="00C1432C">
      <w:pPr>
        <w:spacing w:line="276" w:lineRule="auto"/>
        <w:ind w:firstLine="708"/>
        <w:contextualSpacing/>
        <w:jc w:val="both"/>
        <w:rPr>
          <w:rFonts w:ascii="Century Gothic" w:eastAsia="Century Gothic" w:hAnsi="Century Gothic" w:cs="Century Gothic"/>
          <w:sz w:val="22"/>
          <w:szCs w:val="22"/>
          <w:lang w:val="es-ES"/>
        </w:rPr>
      </w:pPr>
    </w:p>
    <w:p w14:paraId="4E26F1AE" w14:textId="77777777" w:rsidR="00C1432C" w:rsidRDefault="00C1432C" w:rsidP="00C1432C">
      <w:pPr>
        <w:spacing w:line="276" w:lineRule="auto"/>
        <w:ind w:firstLine="708"/>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i) A partir del 1 de julio de 2021 las Entidades Estatales “[…] establecerán y evaluarán los requisitos habilitantes de capacidad financiera y organizacional teniendo en cuenta la información que conste en el Registro Único de Proponentes”. Es decir, las Entidades Estatales debían tener en cuenta la información sobre la capacidad financiera y organizacional “correspondiente a los últimos tres (3) años fiscales anteriores al respectivo acto” o “desde su primer cierre fiscal”, según el caso.</w:t>
      </w:r>
    </w:p>
    <w:p w14:paraId="44289355" w14:textId="77777777" w:rsidR="007A28AA" w:rsidRPr="00C1432C" w:rsidRDefault="007A28AA" w:rsidP="00C1432C">
      <w:pPr>
        <w:spacing w:line="276" w:lineRule="auto"/>
        <w:ind w:firstLine="708"/>
        <w:contextualSpacing/>
        <w:jc w:val="both"/>
        <w:rPr>
          <w:rFonts w:ascii="Century Gothic" w:eastAsia="Century Gothic" w:hAnsi="Century Gothic" w:cs="Century Gothic"/>
          <w:sz w:val="22"/>
          <w:szCs w:val="22"/>
          <w:lang w:val="es-ES"/>
        </w:rPr>
      </w:pPr>
    </w:p>
    <w:p w14:paraId="47126FB6" w14:textId="77777777" w:rsidR="00C1432C" w:rsidRDefault="00C1432C" w:rsidP="00C1432C">
      <w:pPr>
        <w:spacing w:line="276" w:lineRule="auto"/>
        <w:ind w:firstLine="708"/>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ii) Las Entidades Estatales conservan su discrecionalidad administrativa para determinar los requisitos habilitantes de capacidad financiera y organizacional, pero “En todo caso, se establecerán indicadores proporcionales al procedimiento de contratación”. El principio de proporcionalidad exige que dichos indicadores sean razonables, o sea, que guarden congruencia con el objeto, alcance, valor y plazo del contrato, que sean necesarios y no restrinjan injustificadamente la libre concurrencia.</w:t>
      </w:r>
    </w:p>
    <w:p w14:paraId="6487B41C" w14:textId="77777777" w:rsidR="007A28AA" w:rsidRPr="00C1432C" w:rsidRDefault="007A28AA" w:rsidP="00C1432C">
      <w:pPr>
        <w:spacing w:line="276" w:lineRule="auto"/>
        <w:ind w:firstLine="708"/>
        <w:contextualSpacing/>
        <w:jc w:val="both"/>
        <w:rPr>
          <w:rFonts w:ascii="Century Gothic" w:eastAsia="Century Gothic" w:hAnsi="Century Gothic" w:cs="Century Gothic"/>
          <w:sz w:val="22"/>
          <w:szCs w:val="22"/>
          <w:lang w:val="es-ES"/>
        </w:rPr>
      </w:pPr>
    </w:p>
    <w:p w14:paraId="2954683E" w14:textId="77777777" w:rsidR="00C1432C" w:rsidRDefault="00C1432C" w:rsidP="00C1432C">
      <w:pPr>
        <w:spacing w:line="276" w:lineRule="auto"/>
        <w:ind w:firstLine="708"/>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iii) En los procesos de selección cuyo acto administrativo de apertura o invitación se publique a partir del 1 de julio de 2021 las Entidades Estatales deberán tener en cuenta la información financiera y organizacional que esté vigente y en firme en el RUP.</w:t>
      </w:r>
    </w:p>
    <w:p w14:paraId="6525F5DA" w14:textId="77777777" w:rsidR="007A28AA" w:rsidRPr="00C1432C" w:rsidRDefault="007A28AA" w:rsidP="00C1432C">
      <w:pPr>
        <w:spacing w:line="276" w:lineRule="auto"/>
        <w:ind w:firstLine="708"/>
        <w:contextualSpacing/>
        <w:jc w:val="both"/>
        <w:rPr>
          <w:rFonts w:ascii="Century Gothic" w:eastAsia="Century Gothic" w:hAnsi="Century Gothic" w:cs="Century Gothic"/>
          <w:sz w:val="22"/>
          <w:szCs w:val="22"/>
          <w:lang w:val="es-ES"/>
        </w:rPr>
      </w:pPr>
    </w:p>
    <w:p w14:paraId="262FE52C" w14:textId="77777777" w:rsidR="00C1432C" w:rsidRDefault="00C1432C" w:rsidP="00C1432C">
      <w:pPr>
        <w:spacing w:line="276" w:lineRule="auto"/>
        <w:ind w:firstLine="708"/>
        <w:contextualSpacing/>
        <w:jc w:val="both"/>
        <w:rPr>
          <w:rFonts w:ascii="Century Gothic" w:eastAsia="Century Gothic" w:hAnsi="Century Gothic" w:cs="Century Gothic"/>
          <w:sz w:val="22"/>
          <w:szCs w:val="22"/>
          <w:lang w:val="es-ES"/>
        </w:rPr>
      </w:pPr>
      <w:proofErr w:type="spellStart"/>
      <w:r w:rsidRPr="00C1432C">
        <w:rPr>
          <w:rFonts w:ascii="Century Gothic" w:eastAsia="Century Gothic" w:hAnsi="Century Gothic" w:cs="Century Gothic"/>
          <w:sz w:val="22"/>
          <w:szCs w:val="22"/>
          <w:lang w:val="es-ES"/>
        </w:rPr>
        <w:t>iv</w:t>
      </w:r>
      <w:proofErr w:type="spellEnd"/>
      <w:r w:rsidRPr="00C1432C">
        <w:rPr>
          <w:rFonts w:ascii="Century Gothic" w:eastAsia="Century Gothic" w:hAnsi="Century Gothic" w:cs="Century Gothic"/>
          <w:sz w:val="22"/>
          <w:szCs w:val="22"/>
          <w:lang w:val="es-ES"/>
        </w:rPr>
        <w:t xml:space="preserve">) A partir de la fecha establecida anteriormente, la evaluación de los indicadores de capacidad financiera –índice de liquidez, índice de endeudamiento y razón de cobertura de intereses– y organizacional –rentabilidad del patrimonio y rentabilidad del activo–, se deberá realizar por parte de las entidades estatales “teniendo en cuenta el mejor año fiscal que se refleje en el registro de cada proponente” (Énfasis fuera de texto). </w:t>
      </w:r>
    </w:p>
    <w:p w14:paraId="79D2A41E" w14:textId="77777777" w:rsidR="007A28AA" w:rsidRPr="00C1432C" w:rsidRDefault="007A28AA" w:rsidP="00C1432C">
      <w:pPr>
        <w:spacing w:line="276" w:lineRule="auto"/>
        <w:ind w:firstLine="708"/>
        <w:contextualSpacing/>
        <w:jc w:val="both"/>
        <w:rPr>
          <w:rFonts w:ascii="Century Gothic" w:eastAsia="Century Gothic" w:hAnsi="Century Gothic" w:cs="Century Gothic"/>
          <w:sz w:val="22"/>
          <w:szCs w:val="22"/>
          <w:lang w:val="es-ES"/>
        </w:rPr>
      </w:pPr>
    </w:p>
    <w:p w14:paraId="167789E0" w14:textId="77777777" w:rsidR="00C1432C" w:rsidRDefault="00C1432C" w:rsidP="00C1432C">
      <w:pPr>
        <w:spacing w:line="276" w:lineRule="auto"/>
        <w:ind w:firstLine="708"/>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v) Dichas medidas se mantienen hasta el año 2023 en virtud de lo consagrado en el Decreto 1041 de 2022.</w:t>
      </w:r>
    </w:p>
    <w:p w14:paraId="0CFC325F" w14:textId="77777777" w:rsidR="007A28AA" w:rsidRPr="00C1432C" w:rsidRDefault="007A28AA" w:rsidP="00C1432C">
      <w:pPr>
        <w:spacing w:line="276" w:lineRule="auto"/>
        <w:ind w:firstLine="708"/>
        <w:contextualSpacing/>
        <w:jc w:val="both"/>
        <w:rPr>
          <w:rFonts w:ascii="Century Gothic" w:eastAsia="Century Gothic" w:hAnsi="Century Gothic" w:cs="Century Gothic"/>
          <w:sz w:val="22"/>
          <w:szCs w:val="22"/>
          <w:lang w:val="es-ES"/>
        </w:rPr>
      </w:pPr>
    </w:p>
    <w:p w14:paraId="02F11565" w14:textId="77777777" w:rsidR="00C1432C" w:rsidRDefault="00C1432C" w:rsidP="00C1432C">
      <w:pPr>
        <w:spacing w:line="276" w:lineRule="auto"/>
        <w:ind w:firstLine="708"/>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Ahora bien, teniendo en cuenta que el RUP debe contener la información financiera y organizacional del proponente correspondiente a los últimos tres años o al período transcurrido desde su primer cierre fiscal, según el caso, al momento de evaluar tales indicadores las Entidades Estatales deberán tener en cuenta “el mejor año fiscal” que refleje el registro. Por “mejor año fiscal” se interpreta la información relativa al año apreciada en su conjunto, o sea, de manera integral, que permita al proponente cumplir los requisitos habilitantes de capacidad financiera y organizacional. Dicho de otro modo, cuando el parágrafo transitorio del artículo 2.2.1.1.1.6.2, adicionado por el artículo 6 del Decreto 399 de 2021, sustituido por el artículo 3 del Decreto 579 de 2021 y reiterado por el Decreto 1041 de 2022, establece que “[…] las Entidades Estatales evaluarán estos indicadores, teniendo en cuenta el mejor año fiscal que se refleje en el registro de cada proponente”, significa que deben examinar los años certificados en el RUP y escoger para ser evaluado el que refleje mejores indicadores de capacidad financiera y organizacional, que permita al proponente cumplir los requisitos habilitantes de capacidad financiera y organizacional.</w:t>
      </w:r>
    </w:p>
    <w:p w14:paraId="23F8755E" w14:textId="77777777" w:rsidR="007A28AA" w:rsidRDefault="007A28AA" w:rsidP="00C1432C">
      <w:pPr>
        <w:spacing w:line="276" w:lineRule="auto"/>
        <w:ind w:firstLine="708"/>
        <w:contextualSpacing/>
        <w:jc w:val="both"/>
        <w:rPr>
          <w:rFonts w:ascii="Century Gothic" w:eastAsia="Century Gothic" w:hAnsi="Century Gothic" w:cs="Century Gothic"/>
          <w:sz w:val="22"/>
          <w:szCs w:val="22"/>
          <w:lang w:val="es-ES"/>
        </w:rPr>
      </w:pPr>
    </w:p>
    <w:p w14:paraId="75CE6DF3" w14:textId="77777777" w:rsidR="00C1432C" w:rsidRDefault="00C1432C" w:rsidP="00C1432C">
      <w:pPr>
        <w:spacing w:line="276" w:lineRule="auto"/>
        <w:ind w:firstLine="708"/>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De la explicación anterior, se desprende que los parágrafos adicionados por los Decretos 399 de 2021, 579 de 2021 y 1041 de 2022 tienen naturaleza transitoria. Conforme a la definición del Diccionario de la RAE, por dicha expresión se entiende todos aquello que es “Pasajero, temporal” o “Caduco, perecedero, fugaz”. Es decir, el marco normativo descrito en los párrafos precedentes carece de vocación de permanencia, pues se trata de disposiciones efímeras, pasajeras, momentáneas, breves, temporales, provisionales y temporarias. Por ello, con la expiración de su vigencia y a falta de un reglamento que prorrogue las medidas adoptadas, la capacidad financiera y organizacional debe acreditarse a la Cámara de Comercio en las condiciones descritas en los numerales 1.3 y 2.3 del artículo 2.2.1.1.1.5.2 del Decreto 1082 de 2015.  </w:t>
      </w:r>
    </w:p>
    <w:p w14:paraId="48F924B0" w14:textId="77777777" w:rsidR="007A28AA" w:rsidRPr="00C1432C" w:rsidRDefault="007A28AA" w:rsidP="00C1432C">
      <w:pPr>
        <w:spacing w:line="276" w:lineRule="auto"/>
        <w:ind w:firstLine="708"/>
        <w:contextualSpacing/>
        <w:jc w:val="both"/>
        <w:rPr>
          <w:rFonts w:ascii="Century Gothic" w:eastAsia="Century Gothic" w:hAnsi="Century Gothic" w:cs="Century Gothic"/>
          <w:sz w:val="22"/>
          <w:szCs w:val="22"/>
          <w:lang w:val="es-ES"/>
        </w:rPr>
      </w:pPr>
    </w:p>
    <w:p w14:paraId="0B5CEE35" w14:textId="77777777" w:rsidR="00C1432C" w:rsidRDefault="00C1432C" w:rsidP="00C1432C">
      <w:pPr>
        <w:spacing w:line="276" w:lineRule="auto"/>
        <w:ind w:firstLine="708"/>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Así, tratándose de personas naturales obligadas a llevar contabilidad, deben presentar copia de la información contable del último año exigida por las normas tributarias. En contraste, las personas jurídicas deben aportar los estados financieros de la sociedad y los estados financieros consolidados del grupo empresarial, cuando la norma aplicable lo exige, auditados con sus notas y los siguientes anexos, suscritos por el representante legal y el revisor fiscal, si la persona jurídica está obligada a tenerlo, o suscritos por el representante legal y el auditor o contador si la persona jurídica no está obligada a tener revisor fiscal. En todo caso, “Si el interesado no tiene antigüedad suficiente para tener estados financieros auditados a 31 de diciembre, debe inscribirse con estados financieros de corte trimestral, suscritos por el representante legal y el auditor o contador o estados financieros de apertura”.</w:t>
      </w:r>
    </w:p>
    <w:p w14:paraId="643C6401" w14:textId="77777777" w:rsidR="007A28AA" w:rsidRPr="00C1432C" w:rsidRDefault="007A28AA" w:rsidP="00C1432C">
      <w:pPr>
        <w:spacing w:line="276" w:lineRule="auto"/>
        <w:ind w:firstLine="708"/>
        <w:contextualSpacing/>
        <w:jc w:val="both"/>
        <w:rPr>
          <w:rFonts w:ascii="Century Gothic" w:eastAsia="Century Gothic" w:hAnsi="Century Gothic" w:cs="Century Gothic"/>
          <w:sz w:val="22"/>
          <w:szCs w:val="22"/>
          <w:lang w:val="es-ES"/>
        </w:rPr>
      </w:pPr>
    </w:p>
    <w:p w14:paraId="072B1317" w14:textId="77777777" w:rsidR="00C1432C" w:rsidRDefault="00C1432C" w:rsidP="00C1432C">
      <w:pPr>
        <w:spacing w:line="276" w:lineRule="auto"/>
        <w:ind w:firstLine="708"/>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En este contexto, los indicadores de capacidad financiera y organizacional ya no corresponderán a los últimos tres (3) años fiscales anteriores a la inscripción o renovación. Asimismo, con la pérdida de vigencia de los parágrafos transitorios de los artículos 2.2.1.1.1.5.2 y 2.2.1.1.1.5.6 del Decreto 1082 de 2015, el parágrafo transitorio del artículo 2.2.1.1.1.6.2 ibidem –adicionados por el art. 6 del Decreto 399 de 2021 y sustituido por el art. 3 del Decreto 579 de 2021– es inaplicable por sustracción de materia. En consecuencia, cesa la posibilidad de acreditar los indicadores de los numerales 3 y 4 artículo 2.2.1.1.1.5.3 ibidem teniendo en cuenta el mejor año fiscal que se refleje en el registro de cada proponente.</w:t>
      </w:r>
    </w:p>
    <w:p w14:paraId="4384AF9F" w14:textId="77777777" w:rsidR="007A28AA" w:rsidRPr="00C1432C" w:rsidRDefault="007A28AA" w:rsidP="00C1432C">
      <w:pPr>
        <w:spacing w:line="276" w:lineRule="auto"/>
        <w:ind w:firstLine="708"/>
        <w:contextualSpacing/>
        <w:jc w:val="both"/>
        <w:rPr>
          <w:rFonts w:ascii="Century Gothic" w:eastAsia="Century Gothic" w:hAnsi="Century Gothic" w:cs="Century Gothic"/>
          <w:sz w:val="22"/>
          <w:szCs w:val="22"/>
          <w:lang w:val="es-ES"/>
        </w:rPr>
      </w:pPr>
    </w:p>
    <w:p w14:paraId="1A8816CD" w14:textId="77777777" w:rsidR="00C1432C" w:rsidRPr="00C1432C" w:rsidRDefault="00C1432C" w:rsidP="00C1432C">
      <w:pPr>
        <w:spacing w:line="276" w:lineRule="auto"/>
        <w:ind w:firstLine="708"/>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Estas normas transitorias no perdieron su vigencia con la finalización de la emergencia sanitaria, pues el Decreto 1041 de 2022 –al prorrogar las medidas de los Decretos 399 y 579 de 2021– las extendió durante el 2023, vigencia fiscal que finalizó el 31 de diciembre pasado. En consecuencia, una interpretación razonable permite concluir que a partir del 1° de enero de 2024 los indicadores deben acreditarse frente a la Cámara de Comercio conforme a las reglas de generales del Decreto 1082 de 2015, es decir, con la información contable del año inmediatamente anterior –</w:t>
      </w:r>
      <w:proofErr w:type="spellStart"/>
      <w:r w:rsidRPr="00C1432C">
        <w:rPr>
          <w:rFonts w:ascii="Century Gothic" w:eastAsia="Century Gothic" w:hAnsi="Century Gothic" w:cs="Century Gothic"/>
          <w:sz w:val="22"/>
          <w:szCs w:val="22"/>
          <w:lang w:val="es-ES"/>
        </w:rPr>
        <w:t>nums</w:t>
      </w:r>
      <w:proofErr w:type="spellEnd"/>
      <w:r w:rsidRPr="00C1432C">
        <w:rPr>
          <w:rFonts w:ascii="Century Gothic" w:eastAsia="Century Gothic" w:hAnsi="Century Gothic" w:cs="Century Gothic"/>
          <w:sz w:val="22"/>
          <w:szCs w:val="22"/>
          <w:lang w:val="es-ES"/>
        </w:rPr>
        <w:t>. 1.3 y 2.3 del artículo 2.2.1.1.1.5.2 del Decreto 1082 de 2015–.</w:t>
      </w:r>
    </w:p>
    <w:p w14:paraId="71DF67D9" w14:textId="77777777" w:rsidR="00C1432C" w:rsidRPr="00C1432C" w:rsidRDefault="00C1432C" w:rsidP="00C1432C">
      <w:pPr>
        <w:spacing w:line="276" w:lineRule="auto"/>
        <w:ind w:firstLine="708"/>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 </w:t>
      </w:r>
    </w:p>
    <w:p w14:paraId="229FE493" w14:textId="77777777" w:rsidR="00C1432C" w:rsidRPr="00C1432C" w:rsidRDefault="00C1432C" w:rsidP="00C1432C">
      <w:pPr>
        <w:spacing w:line="276" w:lineRule="auto"/>
        <w:ind w:firstLine="708"/>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En ese sentido, debe tenerse en cuenta que por no existir una norma que amplié a la vigencia 2024 las medidas adoptadas en los Decretos 399 y 579 de 2021 y Decreto 1041 de 2022, aquellas personas que partir del 1° de enero de 2024 realicen la inscripción o renovación del Registro Único de Proponentes solo podrán reportar ante las Cámaras de Comercio la información contable y los estados financieros del último año fiscal. Asimismo, es menester precisar que los proponentes que a la fecha no hayan realizado la respectiva actualización podrán acreditar la capacidad financiera dentro de un Proceso de Contratación con el RUP vigente, teniendo en cuenta que allí también reposa la información correspondiente al último año fiscal. </w:t>
      </w:r>
    </w:p>
    <w:p w14:paraId="1E2FD8B0" w14:textId="5587DC7F" w:rsidR="00C1432C" w:rsidRPr="00A91C92" w:rsidRDefault="00C1432C" w:rsidP="00C1432C">
      <w:pPr>
        <w:spacing w:line="276" w:lineRule="auto"/>
        <w:ind w:firstLine="708"/>
        <w:contextualSpacing/>
        <w:rPr>
          <w:rFonts w:ascii="Century Gothic" w:eastAsia="Century Gothic" w:hAnsi="Century Gothic" w:cs="Century Gothic"/>
          <w:color w:val="000000" w:themeColor="text1"/>
        </w:rPr>
      </w:pPr>
      <w:r w:rsidRPr="2F7B58A8">
        <w:rPr>
          <w:rFonts w:ascii="Century Gothic" w:eastAsia="Century Gothic" w:hAnsi="Century Gothic" w:cs="Century Gothic"/>
          <w:color w:val="000000" w:themeColor="text1"/>
        </w:rPr>
        <w:t xml:space="preserve"> </w:t>
      </w:r>
    </w:p>
    <w:p w14:paraId="2C988DD0" w14:textId="77777777" w:rsidR="00C1432C" w:rsidRPr="00A91C92" w:rsidRDefault="00C1432C" w:rsidP="00C1432C">
      <w:pPr>
        <w:spacing w:line="276" w:lineRule="auto"/>
        <w:ind w:firstLine="708"/>
        <w:contextualSpacing/>
        <w:rPr>
          <w:rFonts w:ascii="Century Gothic" w:eastAsia="Century Gothic" w:hAnsi="Century Gothic" w:cs="Century Gothic"/>
          <w:color w:val="000000" w:themeColor="text1"/>
        </w:rPr>
      </w:pPr>
      <w:r w:rsidRPr="2F7B58A8">
        <w:rPr>
          <w:rFonts w:ascii="Century Gothic" w:eastAsia="Century Gothic" w:hAnsi="Century Gothic" w:cs="Century Gothic"/>
          <w:color w:val="000000" w:themeColor="text1"/>
        </w:rPr>
        <w:t xml:space="preserve">  </w:t>
      </w:r>
    </w:p>
    <w:p w14:paraId="73852F0A" w14:textId="77777777" w:rsidR="00C1432C" w:rsidRPr="00A91C92" w:rsidRDefault="00C1432C" w:rsidP="00C1432C">
      <w:pPr>
        <w:tabs>
          <w:tab w:val="left" w:pos="0"/>
        </w:tabs>
        <w:spacing w:line="257" w:lineRule="auto"/>
        <w:contextualSpacing/>
        <w:rPr>
          <w:rFonts w:ascii="Century Gothic" w:eastAsia="Century Gothic" w:hAnsi="Century Gothic" w:cs="Century Gothic"/>
          <w:b/>
          <w:bCs/>
          <w:color w:val="000000" w:themeColor="text1"/>
        </w:rPr>
      </w:pPr>
      <w:r w:rsidRPr="2F7B58A8">
        <w:rPr>
          <w:rFonts w:ascii="Century Gothic" w:eastAsia="Century Gothic" w:hAnsi="Century Gothic" w:cs="Century Gothic"/>
          <w:b/>
          <w:bCs/>
          <w:color w:val="000000" w:themeColor="text1"/>
        </w:rPr>
        <w:t>3. Respuesta</w:t>
      </w:r>
    </w:p>
    <w:p w14:paraId="576A819A" w14:textId="77777777" w:rsidR="00C1432C" w:rsidRPr="00A91C92" w:rsidRDefault="00C1432C" w:rsidP="00C1432C">
      <w:pPr>
        <w:spacing w:line="276" w:lineRule="auto"/>
        <w:contextualSpacing/>
        <w:rPr>
          <w:rFonts w:ascii="Century Gothic" w:eastAsia="Century Gothic" w:hAnsi="Century Gothic" w:cs="Century Gothic"/>
          <w:color w:val="000000" w:themeColor="text1"/>
        </w:rPr>
      </w:pPr>
      <w:r w:rsidRPr="2F7B58A8">
        <w:rPr>
          <w:rFonts w:ascii="Century Gothic" w:eastAsia="Century Gothic" w:hAnsi="Century Gothic" w:cs="Century Gothic"/>
          <w:color w:val="000000" w:themeColor="text1"/>
        </w:rPr>
        <w:t xml:space="preserve"> </w:t>
      </w:r>
    </w:p>
    <w:p w14:paraId="2BFACB3C" w14:textId="77777777" w:rsidR="00C1432C" w:rsidRPr="00A91C92" w:rsidRDefault="00C1432C" w:rsidP="007A28AA">
      <w:pPr>
        <w:spacing w:line="276" w:lineRule="auto"/>
        <w:ind w:left="709" w:right="709"/>
        <w:contextualSpacing/>
        <w:jc w:val="both"/>
        <w:rPr>
          <w:rFonts w:ascii="Century Gothic" w:eastAsia="Century Gothic" w:hAnsi="Century Gothic" w:cs="Century Gothic"/>
          <w:color w:val="000000" w:themeColor="text1"/>
          <w:sz w:val="21"/>
          <w:szCs w:val="21"/>
        </w:rPr>
      </w:pPr>
      <w:r w:rsidRPr="2F7B58A8">
        <w:rPr>
          <w:rFonts w:ascii="Century Gothic" w:eastAsia="Century Gothic" w:hAnsi="Century Gothic" w:cs="Century Gothic"/>
          <w:color w:val="000000" w:themeColor="text1"/>
          <w:sz w:val="21"/>
          <w:szCs w:val="21"/>
        </w:rPr>
        <w:t>i) “¿La vigencia de los parágrafos transitorios contenidos en los artículos 4, 5, y 6 del Decreto 399 de 2021, es hasta 1 de septiembre de 2024?”.</w:t>
      </w:r>
    </w:p>
    <w:p w14:paraId="4F5391EA" w14:textId="77777777" w:rsidR="00C1432C" w:rsidRPr="00A91C92" w:rsidRDefault="00C1432C" w:rsidP="007A28AA">
      <w:pPr>
        <w:spacing w:line="276" w:lineRule="auto"/>
        <w:ind w:left="709" w:right="709"/>
        <w:contextualSpacing/>
        <w:jc w:val="both"/>
        <w:rPr>
          <w:rFonts w:ascii="Century Gothic" w:eastAsia="Century Gothic" w:hAnsi="Century Gothic" w:cs="Century Gothic"/>
          <w:color w:val="000000" w:themeColor="text1"/>
          <w:sz w:val="21"/>
          <w:szCs w:val="21"/>
        </w:rPr>
      </w:pPr>
      <w:r w:rsidRPr="2F7B58A8">
        <w:rPr>
          <w:rFonts w:ascii="Century Gothic" w:eastAsia="Century Gothic" w:hAnsi="Century Gothic" w:cs="Century Gothic"/>
          <w:color w:val="000000" w:themeColor="text1"/>
          <w:sz w:val="21"/>
          <w:szCs w:val="21"/>
        </w:rPr>
        <w:t>ii) “¿La vigencia de los parágrafos transitorios contenidos en los artículos 4, 5, y 6 del Decreto 399 de 2021, finalizó con la emergencia sanitaria?”.</w:t>
      </w:r>
    </w:p>
    <w:p w14:paraId="5411A509" w14:textId="77777777" w:rsidR="00C1432C" w:rsidRPr="00A91C92" w:rsidRDefault="00C1432C" w:rsidP="007A28AA">
      <w:pPr>
        <w:spacing w:line="276" w:lineRule="auto"/>
        <w:ind w:left="709" w:right="709"/>
        <w:contextualSpacing/>
        <w:jc w:val="both"/>
        <w:rPr>
          <w:rFonts w:ascii="Century Gothic" w:eastAsia="Century Gothic" w:hAnsi="Century Gothic" w:cs="Century Gothic"/>
          <w:color w:val="000000" w:themeColor="text1"/>
          <w:sz w:val="21"/>
          <w:szCs w:val="21"/>
        </w:rPr>
      </w:pPr>
      <w:r w:rsidRPr="2F7B58A8">
        <w:rPr>
          <w:rFonts w:ascii="Century Gothic" w:eastAsia="Century Gothic" w:hAnsi="Century Gothic" w:cs="Century Gothic"/>
          <w:color w:val="000000" w:themeColor="text1"/>
          <w:sz w:val="21"/>
          <w:szCs w:val="21"/>
        </w:rPr>
        <w:t>iii) “¿Cuál es el final de la vigencia de los parágrafos transitorios contenidos en los artículos 4,5 y 6 del Decreto 399 de 2021?”.</w:t>
      </w:r>
    </w:p>
    <w:p w14:paraId="43F51ABE" w14:textId="77777777" w:rsidR="00C1432C" w:rsidRPr="00A91C92" w:rsidRDefault="00C1432C" w:rsidP="00C1432C">
      <w:pPr>
        <w:spacing w:line="276" w:lineRule="auto"/>
        <w:ind w:left="709" w:right="709"/>
        <w:contextualSpacing/>
        <w:rPr>
          <w:rFonts w:ascii="Century Gothic" w:eastAsia="Century Gothic" w:hAnsi="Century Gothic" w:cs="Century Gothic"/>
          <w:color w:val="000000" w:themeColor="text1"/>
          <w:sz w:val="21"/>
          <w:szCs w:val="21"/>
        </w:rPr>
      </w:pPr>
      <w:r w:rsidRPr="2F7B58A8">
        <w:rPr>
          <w:rFonts w:ascii="Century Gothic" w:eastAsia="Century Gothic" w:hAnsi="Century Gothic" w:cs="Century Gothic"/>
          <w:color w:val="000000" w:themeColor="text1"/>
          <w:sz w:val="21"/>
          <w:szCs w:val="21"/>
        </w:rPr>
        <w:t xml:space="preserve"> </w:t>
      </w:r>
    </w:p>
    <w:p w14:paraId="2D0FC803" w14:textId="77777777" w:rsidR="00C1432C" w:rsidRPr="00C1432C" w:rsidRDefault="00C1432C" w:rsidP="00C1432C">
      <w:pPr>
        <w:spacing w:line="276" w:lineRule="auto"/>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De acuerdo con la interpretación general de las normas que conforman el sistema de compras públicas, los parágrafos adicionados por los Decretos 399 de 2021, 579 de 2021 y 1041 de 2022 tienen naturaleza transitoria. Conforme a la definición del Diccionario de la RAE, por dicha expresión se entiende todos aquello que es “Pasajero, temporal” o “Caduco, perecedero, fugaz”. Es decir, el marco normativo descrito en los párrafos precedentes carece de vocación de permanencia, pues se trata de disposiciones efímeras, pasajeras, momentáneas, breves, temporales, provisionales y temporarias. Por ello, con la expiración de su vigencia y a falta de un reglamento que prorrogue las medidas adoptadas, la capacidad financiera y organizacional debe acreditarse a la Cámara de Comercio en las condiciones descritas en los numerales 1.3 y 2.3 del artículo 2.2.1.1.1.5.2 del Decreto 1082 de 2015.  </w:t>
      </w:r>
    </w:p>
    <w:p w14:paraId="5178DE86" w14:textId="77777777" w:rsidR="00C1432C" w:rsidRDefault="00C1432C" w:rsidP="00C1432C">
      <w:pPr>
        <w:spacing w:line="276" w:lineRule="auto"/>
        <w:ind w:firstLine="708"/>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Así, tratándose de personas naturales obligadas a llevar contabilidad, deben presentar copia de la información contable del último año exigida por las normas tributarias. En contraste, las personas jurídicas deben aportar los estados financieros de la sociedad y los estados financieros consolidados del grupo empresarial, cuando la norma aplicable lo exige, auditados con sus notas y los siguientes anexos, suscritos por el representante legal y el revisor fiscal, si la persona jurídica está obligada a tenerlo, o suscritos por el representante legal y el auditor o contador si la persona jurídica no está obligada a tener revisor fiscal. En todo caso, “Si el interesado no tiene antigüedad suficiente para tener estados financieros auditados a 31 de diciembre, debe inscribirse con estados financieros de corte trimestral, suscritos por el representante legal y el auditor o contador o estados financieros de apertura”.</w:t>
      </w:r>
    </w:p>
    <w:p w14:paraId="720C6B0C" w14:textId="77777777" w:rsidR="007A28AA" w:rsidRPr="00C1432C" w:rsidRDefault="007A28AA" w:rsidP="00C1432C">
      <w:pPr>
        <w:spacing w:line="276" w:lineRule="auto"/>
        <w:ind w:firstLine="708"/>
        <w:contextualSpacing/>
        <w:jc w:val="both"/>
        <w:rPr>
          <w:rFonts w:ascii="Century Gothic" w:eastAsia="Century Gothic" w:hAnsi="Century Gothic" w:cs="Century Gothic"/>
          <w:sz w:val="22"/>
          <w:szCs w:val="22"/>
          <w:lang w:val="es-ES"/>
        </w:rPr>
      </w:pPr>
    </w:p>
    <w:p w14:paraId="24FDA6CE" w14:textId="77777777" w:rsidR="00C1432C" w:rsidRDefault="00C1432C" w:rsidP="00C1432C">
      <w:pPr>
        <w:spacing w:line="276" w:lineRule="auto"/>
        <w:ind w:firstLine="708"/>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En este contexto, los indicadores de capacidad financiera y organizacional ya no corresponderán a los últimos tres (3) años fiscales anteriores a la inscripción o renovación. Asimismo, con la pérdida de vigencia de los parágrafos transitorios de los artículos 2.2.1.1.1.5.2 y 2.2.1.1.1.5.6 del Decreto 1082 de 2015, el parágrafo transitorio del artículo 2.2.1.1.1.6.2 ibidem –adicionados por el art. 6 del Decreto 399 de 2021 y sustituido por el art. 3 del Decreto 579 de 2021– es inaplicable por sustracción de materia. En consecuencia, cesa la posibilidad de acreditar los indicadores de los numerales 3 y 4 artículo 2.2.1.1.1.5.3 ibidem teniendo en cuenta el mejor año fiscal que se refleje en el registro de cada proponente.</w:t>
      </w:r>
    </w:p>
    <w:p w14:paraId="2AA9A62B" w14:textId="77777777" w:rsidR="007A28AA" w:rsidRPr="00C1432C" w:rsidRDefault="007A28AA" w:rsidP="00C1432C">
      <w:pPr>
        <w:spacing w:line="276" w:lineRule="auto"/>
        <w:ind w:firstLine="708"/>
        <w:contextualSpacing/>
        <w:jc w:val="both"/>
        <w:rPr>
          <w:rFonts w:ascii="Century Gothic" w:eastAsia="Century Gothic" w:hAnsi="Century Gothic" w:cs="Century Gothic"/>
          <w:sz w:val="22"/>
          <w:szCs w:val="22"/>
          <w:lang w:val="es-ES"/>
        </w:rPr>
      </w:pPr>
    </w:p>
    <w:p w14:paraId="31F4E46F" w14:textId="77777777" w:rsidR="00C1432C" w:rsidRDefault="00C1432C" w:rsidP="00C1432C">
      <w:pPr>
        <w:spacing w:line="276" w:lineRule="auto"/>
        <w:ind w:firstLine="708"/>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Estas normas transitorias no perdieron su vigencia con la finalización de la emergencia sanitaria, pues el Decreto 1041 de 2022 –al prorrogar las medidas de los Decretos 399 y 579 de 2021– las extendió durante el 2023, vigencia fiscal que finalizó el 31 de diciembre pasado. En consecuencia, una interpretación razonable permite concluir que a partir del 1° de enero de 2024 los indicadores deben acreditarse frente a la Cámara de Comercio conforme a las reglas de generales del Decreto 1082 de 2015, es decir, con la información contable del año inmediatamente anterior –</w:t>
      </w:r>
      <w:proofErr w:type="spellStart"/>
      <w:r w:rsidRPr="00C1432C">
        <w:rPr>
          <w:rFonts w:ascii="Century Gothic" w:eastAsia="Century Gothic" w:hAnsi="Century Gothic" w:cs="Century Gothic"/>
          <w:sz w:val="22"/>
          <w:szCs w:val="22"/>
          <w:lang w:val="es-ES"/>
        </w:rPr>
        <w:t>nums</w:t>
      </w:r>
      <w:proofErr w:type="spellEnd"/>
      <w:r w:rsidRPr="00C1432C">
        <w:rPr>
          <w:rFonts w:ascii="Century Gothic" w:eastAsia="Century Gothic" w:hAnsi="Century Gothic" w:cs="Century Gothic"/>
          <w:sz w:val="22"/>
          <w:szCs w:val="22"/>
          <w:lang w:val="es-ES"/>
        </w:rPr>
        <w:t>. 1.3 y 2.3 del artículo 2.2.1.1.1.5.2 del Decreto 1082 de 2015–.</w:t>
      </w:r>
    </w:p>
    <w:p w14:paraId="651E4B65" w14:textId="77777777" w:rsidR="007A28AA" w:rsidRPr="00C1432C" w:rsidRDefault="007A28AA" w:rsidP="00C1432C">
      <w:pPr>
        <w:spacing w:line="276" w:lineRule="auto"/>
        <w:ind w:firstLine="708"/>
        <w:contextualSpacing/>
        <w:jc w:val="both"/>
        <w:rPr>
          <w:rFonts w:ascii="Century Gothic" w:eastAsia="Century Gothic" w:hAnsi="Century Gothic" w:cs="Century Gothic"/>
          <w:sz w:val="22"/>
          <w:szCs w:val="22"/>
          <w:lang w:val="es-ES"/>
        </w:rPr>
      </w:pPr>
    </w:p>
    <w:p w14:paraId="1AEC47A0" w14:textId="77777777" w:rsidR="00C1432C" w:rsidRPr="00C1432C" w:rsidRDefault="00C1432C" w:rsidP="00C1432C">
      <w:pPr>
        <w:spacing w:line="276" w:lineRule="auto"/>
        <w:ind w:firstLine="708"/>
        <w:contextualSpacing/>
        <w:jc w:val="both"/>
        <w:rPr>
          <w:rFonts w:ascii="Century Gothic" w:eastAsia="Century Gothic" w:hAnsi="Century Gothic" w:cs="Century Gothic"/>
          <w:sz w:val="22"/>
          <w:szCs w:val="22"/>
          <w:lang w:val="es-ES"/>
        </w:rPr>
      </w:pPr>
      <w:r w:rsidRPr="00C1432C">
        <w:rPr>
          <w:rFonts w:ascii="Century Gothic" w:eastAsia="Century Gothic" w:hAnsi="Century Gothic" w:cs="Century Gothic"/>
          <w:sz w:val="22"/>
          <w:szCs w:val="22"/>
          <w:lang w:val="es-ES"/>
        </w:rPr>
        <w:t xml:space="preserve">En ese sentido, debe tenerse en cuenta que por no existir una norma que amplié a la vigencia 2024 las medidas adoptadas en los Decretos 399 y 579 de 2021 y Decreto 1041 de 2022, aquellas personas que partir del 1° de enero de 2024 realicen la inscripción o renovación del Registro Único de Proponentes solo podrán reportar ante las Cámaras de Comercio la información contable y los estados financieros del último año fiscal. Asimismo, es menester precisar que los proponentes que a la fecha no hayan realizado la respectiva actualización podrán acreditar la capacidad financiera dentro de un Proceso de Contratación con el RUP vigente, teniendo en cuenta que allí también reposa la información correspondiente al último año fiscal.  </w:t>
      </w:r>
    </w:p>
    <w:p w14:paraId="1EF2678F" w14:textId="77777777" w:rsidR="0005405C" w:rsidRPr="00C1432C" w:rsidRDefault="0005405C" w:rsidP="3CE3460D">
      <w:pPr>
        <w:spacing w:line="276" w:lineRule="auto"/>
        <w:jc w:val="both"/>
        <w:rPr>
          <w:rFonts w:ascii="Century Gothic" w:eastAsia="Century Gothic" w:hAnsi="Century Gothic" w:cs="Century Gothic"/>
          <w:sz w:val="22"/>
          <w:szCs w:val="22"/>
        </w:rPr>
      </w:pPr>
    </w:p>
    <w:p w14:paraId="547B8A7A" w14:textId="7AE24A00" w:rsidR="0005405C" w:rsidRPr="00781AC2" w:rsidRDefault="0005405C" w:rsidP="3CE3460D">
      <w:pPr>
        <w:spacing w:line="276" w:lineRule="auto"/>
        <w:jc w:val="both"/>
        <w:rPr>
          <w:rFonts w:ascii="Century Gothic" w:eastAsia="Century Gothic" w:hAnsi="Century Gothic" w:cs="Century Gothic"/>
          <w:sz w:val="22"/>
          <w:szCs w:val="22"/>
          <w:lang w:val="es-ES"/>
        </w:rPr>
      </w:pPr>
      <w:r w:rsidRPr="3CE3460D">
        <w:rPr>
          <w:rFonts w:ascii="Century Gothic" w:eastAsia="Century Gothic" w:hAnsi="Century Gothic" w:cs="Century Gothic"/>
          <w:sz w:val="22"/>
          <w:szCs w:val="22"/>
          <w:lang w:val="es-ES"/>
        </w:rPr>
        <w:t>Este concepto tiene el alcance previsto en el artículo 28 del Código de Procedimiento Administrativo y de lo Contencioso Administrativo</w:t>
      </w:r>
      <w:r w:rsidR="00B2709C" w:rsidRPr="3CE3460D">
        <w:rPr>
          <w:rFonts w:ascii="Century Gothic" w:eastAsia="Century Gothic" w:hAnsi="Century Gothic" w:cs="Century Gothic"/>
          <w:sz w:val="22"/>
          <w:szCs w:val="22"/>
          <w:lang w:val="es-ES"/>
        </w:rPr>
        <w:t xml:space="preserve"> y las expresiones aquí utilizadas con mayúscula inicial deben ser entendidas con el significado que les otorga el artículo 2.2.1.1.1.3.1. del Decreto 1082 de 2015</w:t>
      </w:r>
      <w:r w:rsidRPr="3CE3460D">
        <w:rPr>
          <w:rFonts w:ascii="Century Gothic" w:eastAsia="Century Gothic" w:hAnsi="Century Gothic" w:cs="Century Gothic"/>
          <w:sz w:val="22"/>
          <w:szCs w:val="22"/>
          <w:lang w:val="es-ES"/>
        </w:rPr>
        <w:t>.</w:t>
      </w:r>
    </w:p>
    <w:p w14:paraId="227C46A2" w14:textId="77777777" w:rsidR="0005405C" w:rsidRPr="00781AC2" w:rsidRDefault="0005405C" w:rsidP="3CE3460D">
      <w:pPr>
        <w:pStyle w:val="NormalWeb"/>
        <w:spacing w:before="0" w:beforeAutospacing="0" w:after="0" w:afterAutospacing="0" w:line="276" w:lineRule="auto"/>
        <w:jc w:val="both"/>
        <w:rPr>
          <w:rFonts w:ascii="Century Gothic" w:eastAsia="Century Gothic" w:hAnsi="Century Gothic" w:cs="Century Gothic"/>
          <w:sz w:val="22"/>
          <w:szCs w:val="22"/>
          <w:lang w:val="es-ES"/>
        </w:rPr>
      </w:pPr>
    </w:p>
    <w:p w14:paraId="14AE864D" w14:textId="77777777" w:rsidR="0005405C" w:rsidRDefault="0005405C" w:rsidP="3CE3460D">
      <w:pPr>
        <w:pStyle w:val="NormalWeb"/>
        <w:spacing w:before="0" w:beforeAutospacing="0" w:after="0" w:afterAutospacing="0" w:line="276" w:lineRule="auto"/>
        <w:jc w:val="both"/>
        <w:rPr>
          <w:rFonts w:ascii="Century Gothic" w:eastAsia="Century Gothic" w:hAnsi="Century Gothic" w:cs="Century Gothic"/>
          <w:sz w:val="22"/>
          <w:szCs w:val="22"/>
          <w:lang w:val="es-ES"/>
        </w:rPr>
      </w:pPr>
      <w:r w:rsidRPr="3CE3460D">
        <w:rPr>
          <w:rFonts w:ascii="Century Gothic" w:eastAsia="Century Gothic" w:hAnsi="Century Gothic" w:cs="Century Gothic"/>
          <w:sz w:val="22"/>
          <w:szCs w:val="22"/>
          <w:lang w:val="es-ES"/>
        </w:rPr>
        <w:t>Atentamente,</w:t>
      </w:r>
    </w:p>
    <w:p w14:paraId="397C3DE1" w14:textId="77777777" w:rsidR="00B97E23" w:rsidRPr="00781AC2" w:rsidRDefault="00B97E23" w:rsidP="3CE3460D">
      <w:pPr>
        <w:pStyle w:val="NormalWeb"/>
        <w:spacing w:before="0" w:beforeAutospacing="0" w:after="0" w:afterAutospacing="0" w:line="276" w:lineRule="auto"/>
        <w:jc w:val="both"/>
        <w:rPr>
          <w:rFonts w:ascii="Century Gothic" w:eastAsia="Century Gothic" w:hAnsi="Century Gothic" w:cs="Century Gothic"/>
          <w:sz w:val="22"/>
          <w:szCs w:val="22"/>
          <w:lang w:val="es-ES"/>
        </w:rPr>
      </w:pPr>
    </w:p>
    <w:p w14:paraId="0662FC76" w14:textId="617A757F" w:rsidR="0005405C" w:rsidRPr="007A28AA" w:rsidRDefault="007B1784" w:rsidP="3CE3460D">
      <w:pPr>
        <w:spacing w:before="240" w:after="120" w:line="276" w:lineRule="auto"/>
        <w:jc w:val="center"/>
        <w:rPr>
          <w:rFonts w:ascii="Century Gothic" w:eastAsia="Century Gothic" w:hAnsi="Century Gothic" w:cs="Century Gothic"/>
        </w:rPr>
      </w:pPr>
      <w:r>
        <w:rPr>
          <w:rFonts w:ascii="Century Gothic" w:hAnsi="Century Gothic"/>
          <w:b/>
          <w:bCs/>
          <w:noProof/>
          <w:lang w:val="es-MX"/>
        </w:rPr>
        <w:drawing>
          <wp:inline distT="0" distB="0" distL="0" distR="0" wp14:anchorId="31FA6CF1" wp14:editId="6F32314A">
            <wp:extent cx="3154680" cy="1211580"/>
            <wp:effectExtent l="0" t="0" r="7620" b="7620"/>
            <wp:docPr id="2" name="Imagen 2" descr="C:\Users\Carito\AppData\Local\Microsoft\Windows\INetCache\Content.MSO\C6BE34F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ito\AppData\Local\Microsoft\Windows\INetCache\Content.MSO\C6BE34F1.tm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54680" cy="1211580"/>
                    </a:xfrm>
                    <a:prstGeom prst="rect">
                      <a:avLst/>
                    </a:prstGeom>
                    <a:noFill/>
                    <a:ln>
                      <a:noFill/>
                    </a:ln>
                  </pic:spPr>
                </pic:pic>
              </a:graphicData>
            </a:graphic>
          </wp:inline>
        </w:drawing>
      </w:r>
    </w:p>
    <w:tbl>
      <w:tblPr>
        <w:tblStyle w:val="Tablaconcuadrcula1"/>
        <w:tblpPr w:leftFromText="141" w:rightFromText="141" w:vertAnchor="text" w:horzAnchor="margin" w:tblpY="-79"/>
        <w:tblW w:w="5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5010"/>
      </w:tblGrid>
      <w:tr w:rsidR="007A28AA" w:rsidRPr="007A28AA" w14:paraId="59AFB63B" w14:textId="77777777" w:rsidTr="3CE3460D">
        <w:trPr>
          <w:trHeight w:val="286"/>
        </w:trPr>
        <w:tc>
          <w:tcPr>
            <w:tcW w:w="817" w:type="dxa"/>
            <w:vAlign w:val="center"/>
          </w:tcPr>
          <w:p w14:paraId="1E7BEF18" w14:textId="77777777" w:rsidR="00F51F9C" w:rsidRPr="007A28AA" w:rsidRDefault="00F51F9C" w:rsidP="3CE3460D">
            <w:pPr>
              <w:rPr>
                <w:rFonts w:ascii="Century Gothic" w:eastAsia="Century Gothic" w:hAnsi="Century Gothic" w:cs="Century Gothic"/>
                <w:sz w:val="16"/>
                <w:szCs w:val="16"/>
              </w:rPr>
            </w:pPr>
            <w:r w:rsidRPr="007A28AA">
              <w:rPr>
                <w:rFonts w:ascii="Century Gothic" w:eastAsia="Century Gothic" w:hAnsi="Century Gothic" w:cs="Century Gothic"/>
                <w:sz w:val="16"/>
                <w:szCs w:val="16"/>
              </w:rPr>
              <w:t>Elaboró:</w:t>
            </w:r>
          </w:p>
        </w:tc>
        <w:tc>
          <w:tcPr>
            <w:tcW w:w="5010" w:type="dxa"/>
            <w:tcBorders>
              <w:bottom w:val="dotted" w:sz="4" w:space="0" w:color="7F7F7F" w:themeColor="text1" w:themeTint="80"/>
            </w:tcBorders>
            <w:vAlign w:val="center"/>
          </w:tcPr>
          <w:p w14:paraId="5E13BDDA" w14:textId="4AB1CD76" w:rsidR="00F51F9C" w:rsidRPr="007A28AA" w:rsidRDefault="00F51F9C" w:rsidP="3CE3460D">
            <w:pPr>
              <w:pStyle w:val="paragraph"/>
              <w:spacing w:before="0" w:beforeAutospacing="0" w:after="0" w:afterAutospacing="0"/>
              <w:textAlignment w:val="baseline"/>
              <w:divId w:val="853616874"/>
              <w:rPr>
                <w:rStyle w:val="normaltextrun"/>
                <w:rFonts w:eastAsia="Century Gothic"/>
                <w:sz w:val="16"/>
                <w:szCs w:val="16"/>
              </w:rPr>
            </w:pPr>
            <w:r w:rsidRPr="007A28AA">
              <w:rPr>
                <w:rStyle w:val="normaltextrun"/>
                <w:rFonts w:ascii="Century Gothic" w:eastAsia="Century Gothic" w:hAnsi="Century Gothic" w:cs="Century Gothic"/>
                <w:sz w:val="16"/>
                <w:szCs w:val="16"/>
              </w:rPr>
              <w:t xml:space="preserve">Diana </w:t>
            </w:r>
            <w:r w:rsidR="007A28AA" w:rsidRPr="007A28AA">
              <w:rPr>
                <w:rStyle w:val="normaltextrun"/>
                <w:rFonts w:ascii="Century Gothic" w:eastAsia="Century Gothic" w:hAnsi="Century Gothic" w:cs="Century Gothic"/>
                <w:sz w:val="16"/>
                <w:szCs w:val="16"/>
              </w:rPr>
              <w:t xml:space="preserve">Carolina Blanco </w:t>
            </w:r>
            <w:proofErr w:type="spellStart"/>
            <w:r w:rsidR="007A28AA" w:rsidRPr="007A28AA">
              <w:rPr>
                <w:rStyle w:val="normaltextrun"/>
                <w:rFonts w:ascii="Century Gothic" w:eastAsia="Century Gothic" w:hAnsi="Century Gothic" w:cs="Century Gothic"/>
                <w:sz w:val="16"/>
                <w:szCs w:val="16"/>
              </w:rPr>
              <w:t>Rodriguez</w:t>
            </w:r>
            <w:proofErr w:type="spellEnd"/>
            <w:r w:rsidR="007A28AA" w:rsidRPr="007A28AA">
              <w:rPr>
                <w:rStyle w:val="normaltextrun"/>
                <w:rFonts w:ascii="Century Gothic" w:eastAsia="Century Gothic" w:hAnsi="Century Gothic" w:cs="Century Gothic"/>
                <w:sz w:val="16"/>
                <w:szCs w:val="16"/>
              </w:rPr>
              <w:t xml:space="preserve"> </w:t>
            </w:r>
            <w:r w:rsidRPr="007A28AA">
              <w:rPr>
                <w:rStyle w:val="normaltextrun"/>
                <w:rFonts w:eastAsia="Century Gothic"/>
              </w:rPr>
              <w:t> </w:t>
            </w:r>
          </w:p>
          <w:p w14:paraId="366735E7" w14:textId="77777777" w:rsidR="00F51F9C" w:rsidRPr="007A28AA" w:rsidRDefault="00F51F9C" w:rsidP="3CE3460D">
            <w:pPr>
              <w:pStyle w:val="paragraph"/>
              <w:spacing w:before="0" w:beforeAutospacing="0" w:after="0" w:afterAutospacing="0"/>
              <w:textAlignment w:val="baseline"/>
              <w:divId w:val="454956224"/>
              <w:rPr>
                <w:rFonts w:ascii="Century Gothic" w:eastAsia="Century Gothic" w:hAnsi="Century Gothic" w:cs="Century Gothic"/>
                <w:sz w:val="18"/>
                <w:szCs w:val="18"/>
              </w:rPr>
            </w:pPr>
            <w:r w:rsidRPr="007A28AA">
              <w:rPr>
                <w:rStyle w:val="normaltextrun"/>
                <w:rFonts w:ascii="Century Gothic" w:eastAsia="Century Gothic" w:hAnsi="Century Gothic" w:cs="Century Gothic"/>
                <w:sz w:val="16"/>
                <w:szCs w:val="16"/>
              </w:rPr>
              <w:t>Contratista de la Subdirección de Gestión Contractual</w:t>
            </w:r>
            <w:r w:rsidRPr="007A28AA">
              <w:rPr>
                <w:rStyle w:val="eop"/>
                <w:rFonts w:ascii="Century Gothic" w:eastAsia="Century Gothic" w:hAnsi="Century Gothic" w:cs="Century Gothic"/>
                <w:sz w:val="16"/>
                <w:szCs w:val="16"/>
              </w:rPr>
              <w:t> </w:t>
            </w:r>
          </w:p>
          <w:p w14:paraId="7450C558" w14:textId="76091E5C" w:rsidR="00F51F9C" w:rsidRPr="007A28AA" w:rsidRDefault="00F51F9C" w:rsidP="3CE3460D">
            <w:pPr>
              <w:rPr>
                <w:rFonts w:ascii="Century Gothic" w:eastAsia="Century Gothic" w:hAnsi="Century Gothic" w:cs="Century Gothic"/>
                <w:sz w:val="16"/>
                <w:szCs w:val="16"/>
              </w:rPr>
            </w:pPr>
          </w:p>
        </w:tc>
      </w:tr>
      <w:tr w:rsidR="007A28AA" w:rsidRPr="007A28AA" w14:paraId="269B33F3" w14:textId="77777777" w:rsidTr="3CE3460D">
        <w:trPr>
          <w:trHeight w:val="286"/>
        </w:trPr>
        <w:tc>
          <w:tcPr>
            <w:tcW w:w="817" w:type="dxa"/>
            <w:vAlign w:val="center"/>
          </w:tcPr>
          <w:p w14:paraId="44EED99D" w14:textId="77777777" w:rsidR="00F51F9C" w:rsidRPr="007A28AA" w:rsidRDefault="00F51F9C" w:rsidP="3CE3460D">
            <w:pPr>
              <w:rPr>
                <w:rFonts w:ascii="Century Gothic" w:eastAsia="Century Gothic" w:hAnsi="Century Gothic" w:cs="Century Gothic"/>
                <w:sz w:val="16"/>
                <w:szCs w:val="16"/>
              </w:rPr>
            </w:pPr>
            <w:r w:rsidRPr="007A28AA">
              <w:rPr>
                <w:rFonts w:ascii="Century Gothic" w:eastAsia="Century Gothic" w:hAnsi="Century Gothic" w:cs="Century Gothic"/>
                <w:sz w:val="16"/>
                <w:szCs w:val="16"/>
              </w:rPr>
              <w:t>Revisó:</w:t>
            </w:r>
          </w:p>
        </w:tc>
        <w:tc>
          <w:tcPr>
            <w:tcW w:w="5010" w:type="dxa"/>
            <w:tcBorders>
              <w:bottom w:val="dotted" w:sz="4" w:space="0" w:color="7F7F7F" w:themeColor="text1" w:themeTint="80"/>
            </w:tcBorders>
            <w:vAlign w:val="center"/>
          </w:tcPr>
          <w:p w14:paraId="63AED8DD" w14:textId="4C4B9371" w:rsidR="00F51F9C" w:rsidRPr="007A28AA" w:rsidRDefault="007A28AA" w:rsidP="3CE3460D">
            <w:pPr>
              <w:pStyle w:val="paragraph"/>
              <w:spacing w:before="0" w:beforeAutospacing="0" w:after="0" w:afterAutospacing="0"/>
              <w:textAlignment w:val="baseline"/>
              <w:divId w:val="1856840831"/>
              <w:rPr>
                <w:rStyle w:val="normaltextrun"/>
                <w:rFonts w:ascii="Century Gothic" w:eastAsia="Century Gothic" w:hAnsi="Century Gothic" w:cs="Century Gothic"/>
                <w:sz w:val="16"/>
                <w:szCs w:val="16"/>
              </w:rPr>
            </w:pPr>
            <w:r>
              <w:rPr>
                <w:rStyle w:val="normaltextrun"/>
                <w:rFonts w:ascii="Century Gothic" w:eastAsia="Century Gothic" w:hAnsi="Century Gothic" w:cs="Century Gothic"/>
                <w:sz w:val="16"/>
                <w:szCs w:val="16"/>
              </w:rPr>
              <w:t>M</w:t>
            </w:r>
            <w:r w:rsidRPr="007A28AA">
              <w:rPr>
                <w:rStyle w:val="normaltextrun"/>
                <w:rFonts w:ascii="Century Gothic" w:eastAsia="Century Gothic" w:hAnsi="Century Gothic" w:cs="Century Gothic"/>
                <w:sz w:val="16"/>
                <w:szCs w:val="16"/>
              </w:rPr>
              <w:t xml:space="preserve">artha Alicia Romero Vargas </w:t>
            </w:r>
          </w:p>
          <w:p w14:paraId="398B0DBF" w14:textId="30A8CD06" w:rsidR="00F51F9C" w:rsidRPr="007A28AA" w:rsidRDefault="007A28AA" w:rsidP="3CE3460D">
            <w:pPr>
              <w:rPr>
                <w:rFonts w:ascii="Century Gothic" w:eastAsia="Century Gothic" w:hAnsi="Century Gothic" w:cs="Century Gothic"/>
                <w:sz w:val="16"/>
                <w:szCs w:val="16"/>
              </w:rPr>
            </w:pPr>
            <w:r>
              <w:rPr>
                <w:rStyle w:val="normaltextrun"/>
                <w:rFonts w:ascii="Century Gothic" w:eastAsia="Century Gothic" w:hAnsi="Century Gothic" w:cs="Century Gothic"/>
                <w:sz w:val="16"/>
                <w:szCs w:val="16"/>
                <w:lang w:eastAsia="es-CO"/>
              </w:rPr>
              <w:t>Gestor T1-15</w:t>
            </w:r>
            <w:r w:rsidRPr="007A28AA">
              <w:rPr>
                <w:rStyle w:val="normaltextrun"/>
                <w:rFonts w:ascii="Century Gothic" w:eastAsia="Century Gothic" w:hAnsi="Century Gothic" w:cs="Century Gothic"/>
                <w:sz w:val="16"/>
                <w:szCs w:val="16"/>
                <w:lang w:eastAsia="es-CO"/>
              </w:rPr>
              <w:t xml:space="preserve"> </w:t>
            </w:r>
            <w:r w:rsidR="00F51F9C" w:rsidRPr="007A28AA">
              <w:rPr>
                <w:rStyle w:val="normaltextrun"/>
                <w:rFonts w:ascii="Century Gothic" w:eastAsia="Century Gothic" w:hAnsi="Century Gothic" w:cs="Century Gothic"/>
                <w:sz w:val="16"/>
                <w:szCs w:val="16"/>
                <w:lang w:eastAsia="es-CO"/>
              </w:rPr>
              <w:t>de la Subdirección de Gestión Contractual</w:t>
            </w:r>
            <w:r w:rsidR="00F51F9C" w:rsidRPr="007A28AA">
              <w:rPr>
                <w:rStyle w:val="eop"/>
                <w:rFonts w:ascii="Century Gothic" w:eastAsia="Century Gothic" w:hAnsi="Century Gothic" w:cs="Century Gothic"/>
                <w:sz w:val="16"/>
                <w:szCs w:val="16"/>
              </w:rPr>
              <w:t> </w:t>
            </w:r>
          </w:p>
        </w:tc>
      </w:tr>
      <w:tr w:rsidR="00F304EA" w:rsidRPr="00F304EA" w14:paraId="02F0FF8A" w14:textId="77777777" w:rsidTr="3CE3460D">
        <w:trPr>
          <w:trHeight w:val="299"/>
        </w:trPr>
        <w:tc>
          <w:tcPr>
            <w:tcW w:w="817" w:type="dxa"/>
            <w:vAlign w:val="center"/>
          </w:tcPr>
          <w:p w14:paraId="2B24C9C5" w14:textId="77777777" w:rsidR="0005405C" w:rsidRPr="00781AC2" w:rsidRDefault="0005405C" w:rsidP="3CE3460D">
            <w:pPr>
              <w:rPr>
                <w:rFonts w:ascii="Century Gothic" w:eastAsia="Century Gothic" w:hAnsi="Century Gothic" w:cs="Century Gothic"/>
                <w:sz w:val="16"/>
                <w:szCs w:val="16"/>
              </w:rPr>
            </w:pPr>
            <w:r w:rsidRPr="3CE3460D">
              <w:rPr>
                <w:rFonts w:ascii="Century Gothic" w:eastAsia="Century Gothic" w:hAnsi="Century Gothic" w:cs="Century Gothic"/>
                <w:sz w:val="16"/>
                <w:szCs w:val="16"/>
              </w:rPr>
              <w:t>Aprobó:</w:t>
            </w:r>
          </w:p>
        </w:tc>
        <w:tc>
          <w:tcPr>
            <w:tcW w:w="5010" w:type="dxa"/>
            <w:tcBorders>
              <w:top w:val="dotted" w:sz="4" w:space="0" w:color="7F7F7F" w:themeColor="text1" w:themeTint="80"/>
              <w:bottom w:val="dotted" w:sz="4" w:space="0" w:color="7F7F7F" w:themeColor="text1" w:themeTint="80"/>
            </w:tcBorders>
            <w:vAlign w:val="center"/>
          </w:tcPr>
          <w:p w14:paraId="3D5D51E6" w14:textId="77777777" w:rsidR="0005405C" w:rsidRPr="00781AC2" w:rsidRDefault="0005405C" w:rsidP="3CE3460D">
            <w:pPr>
              <w:rPr>
                <w:rFonts w:ascii="Century Gothic" w:eastAsia="Century Gothic" w:hAnsi="Century Gothic" w:cs="Century Gothic"/>
                <w:sz w:val="16"/>
                <w:szCs w:val="16"/>
              </w:rPr>
            </w:pPr>
            <w:r w:rsidRPr="3CE3460D">
              <w:rPr>
                <w:rFonts w:ascii="Century Gothic" w:eastAsia="Century Gothic" w:hAnsi="Century Gothic" w:cs="Century Gothic"/>
                <w:sz w:val="16"/>
                <w:szCs w:val="16"/>
              </w:rPr>
              <w:t>Nohelia Del Carmen Zawady Palacio</w:t>
            </w:r>
          </w:p>
          <w:p w14:paraId="401BBB66" w14:textId="77777777" w:rsidR="0005405C" w:rsidRPr="00F304EA" w:rsidRDefault="0005405C" w:rsidP="3CE3460D">
            <w:pPr>
              <w:rPr>
                <w:rFonts w:ascii="Century Gothic" w:eastAsia="Century Gothic" w:hAnsi="Century Gothic" w:cs="Century Gothic"/>
                <w:sz w:val="16"/>
                <w:szCs w:val="16"/>
              </w:rPr>
            </w:pPr>
            <w:r w:rsidRPr="3CE3460D">
              <w:rPr>
                <w:rFonts w:ascii="Century Gothic" w:eastAsia="Century Gothic" w:hAnsi="Century Gothic" w:cs="Century Gothic"/>
                <w:sz w:val="16"/>
                <w:szCs w:val="16"/>
              </w:rPr>
              <w:t xml:space="preserve">Subdirectora de Gestión Contractual ANCP – CCE </w:t>
            </w:r>
          </w:p>
        </w:tc>
      </w:tr>
    </w:tbl>
    <w:p w14:paraId="72880F8C" w14:textId="77777777" w:rsidR="0005405C" w:rsidRPr="00F304EA" w:rsidRDefault="0005405C" w:rsidP="3CE3460D">
      <w:pPr>
        <w:tabs>
          <w:tab w:val="left" w:pos="3795"/>
        </w:tabs>
        <w:rPr>
          <w:rFonts w:ascii="Century Gothic" w:eastAsia="Century Gothic" w:hAnsi="Century Gothic" w:cs="Century Gothic"/>
          <w:lang w:val="es-ES"/>
        </w:rPr>
      </w:pPr>
    </w:p>
    <w:p w14:paraId="68C95376" w14:textId="77777777" w:rsidR="0005405C" w:rsidRPr="00F304EA" w:rsidRDefault="0005405C" w:rsidP="3CE3460D">
      <w:pPr>
        <w:rPr>
          <w:rFonts w:ascii="Century Gothic" w:eastAsia="Century Gothic" w:hAnsi="Century Gothic" w:cs="Century Gothic"/>
        </w:rPr>
      </w:pPr>
    </w:p>
    <w:bookmarkEnd w:id="3"/>
    <w:p w14:paraId="605AEBAD" w14:textId="77777777" w:rsidR="00FB347B" w:rsidRDefault="00FB347B" w:rsidP="3CE3460D">
      <w:pPr>
        <w:rPr>
          <w:rFonts w:ascii="Century Gothic" w:eastAsia="Century Gothic" w:hAnsi="Century Gothic" w:cs="Century Gothic"/>
        </w:rPr>
      </w:pPr>
    </w:p>
    <w:p w14:paraId="6B802577" w14:textId="77777777" w:rsidR="007A28AA" w:rsidRDefault="007A28AA" w:rsidP="3CE3460D">
      <w:pPr>
        <w:rPr>
          <w:rFonts w:ascii="Century Gothic" w:eastAsia="Century Gothic" w:hAnsi="Century Gothic" w:cs="Century Gothic"/>
        </w:rPr>
      </w:pPr>
    </w:p>
    <w:p w14:paraId="21F4BAAA" w14:textId="77777777" w:rsidR="007A28AA" w:rsidRDefault="007A28AA" w:rsidP="3CE3460D">
      <w:pPr>
        <w:rPr>
          <w:rFonts w:ascii="Century Gothic" w:eastAsia="Century Gothic" w:hAnsi="Century Gothic" w:cs="Century Gothic"/>
        </w:rPr>
      </w:pPr>
    </w:p>
    <w:p w14:paraId="40CC3EF1" w14:textId="77777777" w:rsidR="007A28AA" w:rsidRDefault="007A28AA" w:rsidP="3CE3460D">
      <w:pPr>
        <w:rPr>
          <w:rFonts w:ascii="Century Gothic" w:eastAsia="Century Gothic" w:hAnsi="Century Gothic" w:cs="Century Gothic"/>
        </w:rPr>
      </w:pPr>
    </w:p>
    <w:p w14:paraId="2B5C2664" w14:textId="77777777" w:rsidR="007A28AA" w:rsidRDefault="007A28AA" w:rsidP="3CE3460D">
      <w:pPr>
        <w:rPr>
          <w:rFonts w:ascii="Century Gothic" w:eastAsia="Century Gothic" w:hAnsi="Century Gothic" w:cs="Century Gothic"/>
        </w:rPr>
      </w:pPr>
    </w:p>
    <w:p w14:paraId="020E664D" w14:textId="77777777" w:rsidR="007A28AA" w:rsidRPr="00084A46" w:rsidRDefault="007A28AA" w:rsidP="007A28AA">
      <w:pPr>
        <w:jc w:val="both"/>
        <w:rPr>
          <w:rFonts w:ascii="Century Gothic" w:eastAsia="Century Gothic" w:hAnsi="Century Gothic" w:cs="Century Gothic"/>
          <w:sz w:val="14"/>
          <w:szCs w:val="14"/>
        </w:rPr>
      </w:pPr>
    </w:p>
    <w:p w14:paraId="7B6F2313" w14:textId="77777777" w:rsidR="007A28AA" w:rsidRPr="00084A46" w:rsidRDefault="00B42AA8" w:rsidP="007A28AA">
      <w:pPr>
        <w:spacing w:line="257" w:lineRule="auto"/>
        <w:ind w:firstLine="708"/>
        <w:contextualSpacing/>
        <w:jc w:val="both"/>
        <w:rPr>
          <w:rFonts w:ascii="Century Gothic" w:eastAsia="Century Gothic" w:hAnsi="Century Gothic" w:cs="Century Gothic"/>
          <w:sz w:val="14"/>
          <w:szCs w:val="14"/>
          <w:lang w:val="es-MX"/>
        </w:rPr>
      </w:pPr>
      <w:hyperlink r:id="rId32" w:anchor="_ftnref1" w:history="1">
        <w:r w:rsidR="007A28AA" w:rsidRPr="00084A46">
          <w:rPr>
            <w:rStyle w:val="Hyperlink"/>
            <w:rFonts w:ascii="Century Gothic" w:eastAsia="Century Gothic" w:hAnsi="Century Gothic" w:cs="Century Gothic"/>
            <w:sz w:val="14"/>
            <w:szCs w:val="14"/>
            <w:vertAlign w:val="superscript"/>
            <w:lang w:val="es-MX"/>
          </w:rPr>
          <w:t>[1]</w:t>
        </w:r>
      </w:hyperlink>
      <w:r w:rsidR="007A28AA" w:rsidRPr="00084A46">
        <w:rPr>
          <w:rFonts w:ascii="Century Gothic" w:eastAsia="Century Gothic" w:hAnsi="Century Gothic" w:cs="Century Gothic"/>
          <w:sz w:val="14"/>
          <w:szCs w:val="14"/>
          <w:lang w:val="es-MX"/>
        </w:rPr>
        <w:t xml:space="preserve"> La Agencia Nacional de Contratación Pública </w:t>
      </w:r>
      <w:r w:rsidR="007A28AA" w:rsidRPr="00084A46">
        <w:rPr>
          <w:sz w:val="14"/>
          <w:szCs w:val="14"/>
          <w:lang w:val="es-MX"/>
        </w:rPr>
        <w:t>‒</w:t>
      </w:r>
      <w:r w:rsidR="007A28AA" w:rsidRPr="00084A46">
        <w:rPr>
          <w:rFonts w:ascii="Century Gothic" w:eastAsia="Century Gothic" w:hAnsi="Century Gothic" w:cs="Century Gothic"/>
          <w:sz w:val="14"/>
          <w:szCs w:val="14"/>
          <w:lang w:val="es-MX"/>
        </w:rPr>
        <w:t xml:space="preserve">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007A28AA" w:rsidRPr="00084A46">
        <w:rPr>
          <w:rFonts w:ascii="Century Gothic" w:eastAsia="Century Gothic" w:hAnsi="Century Gothic" w:cs="Century Gothic"/>
          <w:i/>
          <w:iCs/>
          <w:sz w:val="14"/>
          <w:szCs w:val="14"/>
          <w:lang w:val="es-MX"/>
        </w:rPr>
        <w:t xml:space="preserve">ibidem </w:t>
      </w:r>
      <w:r w:rsidR="007A28AA" w:rsidRPr="00084A46">
        <w:rPr>
          <w:rFonts w:ascii="Century Gothic" w:eastAsia="Century Gothic" w:hAnsi="Century Gothic" w:cs="Century Gothic"/>
          <w:sz w:val="14"/>
          <w:szCs w:val="14"/>
          <w:lang w:val="es-MX"/>
        </w:rPr>
        <w:t>señala, de manera precisa, las funciones de Colombia Compra Eficiente. Concretamente, el numeral 5º de este artículo establece que le corresponde a esta entidad: “[a]</w:t>
      </w:r>
      <w:proofErr w:type="spellStart"/>
      <w:r w:rsidR="007A28AA" w:rsidRPr="00084A46">
        <w:rPr>
          <w:rFonts w:ascii="Century Gothic" w:eastAsia="Century Gothic" w:hAnsi="Century Gothic" w:cs="Century Gothic"/>
          <w:sz w:val="14"/>
          <w:szCs w:val="14"/>
          <w:lang w:val="es-MX"/>
        </w:rPr>
        <w:t>bsolver</w:t>
      </w:r>
      <w:proofErr w:type="spellEnd"/>
      <w:r w:rsidR="007A28AA" w:rsidRPr="00084A46">
        <w:rPr>
          <w:rFonts w:ascii="Century Gothic" w:eastAsia="Century Gothic" w:hAnsi="Century Gothic" w:cs="Century Gothic"/>
          <w:sz w:val="14"/>
          <w:szCs w:val="14"/>
          <w:lang w:val="es-MX"/>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007A28AA" w:rsidRPr="00084A46">
        <w:rPr>
          <w:rFonts w:ascii="Century Gothic" w:eastAsia="Century Gothic" w:hAnsi="Century Gothic" w:cs="Century Gothic"/>
          <w:sz w:val="14"/>
          <w:szCs w:val="14"/>
          <w:lang w:val="es-MX"/>
        </w:rPr>
        <w:t>bsolver</w:t>
      </w:r>
      <w:proofErr w:type="spellEnd"/>
      <w:r w:rsidR="007A28AA" w:rsidRPr="00084A46">
        <w:rPr>
          <w:rFonts w:ascii="Century Gothic" w:eastAsia="Century Gothic" w:hAnsi="Century Gothic" w:cs="Century Gothic"/>
          <w:sz w:val="14"/>
          <w:szCs w:val="14"/>
          <w:lang w:val="es-MX"/>
        </w:rPr>
        <w:t xml:space="preserve"> consultas sobre la aplicación de normas de carácter general”.</w:t>
      </w:r>
    </w:p>
    <w:p w14:paraId="71A18BD5" w14:textId="77777777" w:rsidR="007A28AA" w:rsidRPr="00084A46" w:rsidRDefault="00B42AA8" w:rsidP="007A28AA">
      <w:pPr>
        <w:spacing w:line="257" w:lineRule="auto"/>
        <w:ind w:firstLine="708"/>
        <w:contextualSpacing/>
        <w:jc w:val="both"/>
        <w:rPr>
          <w:rFonts w:ascii="Century Gothic" w:eastAsia="Century Gothic" w:hAnsi="Century Gothic" w:cs="Century Gothic"/>
          <w:color w:val="000000" w:themeColor="text1"/>
          <w:sz w:val="14"/>
          <w:szCs w:val="14"/>
          <w:lang w:val="es-MX"/>
        </w:rPr>
      </w:pPr>
      <w:hyperlink r:id="rId33" w:anchor="_ftnref2" w:history="1">
        <w:r w:rsidR="007A28AA" w:rsidRPr="00084A46">
          <w:rPr>
            <w:rStyle w:val="Hyperlink"/>
            <w:rFonts w:ascii="Century Gothic" w:eastAsia="Century Gothic" w:hAnsi="Century Gothic" w:cs="Century Gothic"/>
            <w:sz w:val="14"/>
            <w:szCs w:val="14"/>
            <w:vertAlign w:val="superscript"/>
            <w:lang w:val="es-MX"/>
          </w:rPr>
          <w:t>[2]</w:t>
        </w:r>
      </w:hyperlink>
      <w:r w:rsidR="007A28AA" w:rsidRPr="00084A46">
        <w:rPr>
          <w:rFonts w:ascii="Century Gothic" w:eastAsia="Century Gothic" w:hAnsi="Century Gothic" w:cs="Century Gothic"/>
          <w:sz w:val="14"/>
          <w:szCs w:val="14"/>
          <w:lang w:val="es-MX"/>
        </w:rPr>
        <w:t xml:space="preserve"> Los conceptos referenciados, así como otros expedidos por la Subdirección se encuentran disponibles para consulta pública en el portal de relatoría de la Agencia, al cual se puede acceder a través del siguiente enlace: </w:t>
      </w:r>
      <w:hyperlink r:id="rId34" w:history="1">
        <w:r w:rsidR="007A28AA" w:rsidRPr="00084A46">
          <w:rPr>
            <w:rStyle w:val="Hyperlink"/>
            <w:rFonts w:ascii="Century Gothic" w:eastAsia="Century Gothic" w:hAnsi="Century Gothic" w:cs="Century Gothic"/>
            <w:sz w:val="14"/>
            <w:szCs w:val="14"/>
            <w:lang w:val="es-MX"/>
          </w:rPr>
          <w:t>https://relatoria.colombiacompra.gov.co/busqueda/conceptos</w:t>
        </w:r>
      </w:hyperlink>
      <w:r w:rsidR="007A28AA" w:rsidRPr="00084A46">
        <w:rPr>
          <w:rFonts w:ascii="Century Gothic" w:eastAsia="Century Gothic" w:hAnsi="Century Gothic" w:cs="Century Gothic"/>
          <w:color w:val="0000FF"/>
          <w:sz w:val="14"/>
          <w:szCs w:val="14"/>
          <w:u w:val="single"/>
          <w:lang w:val="es-MX"/>
        </w:rPr>
        <w:t xml:space="preserve">. </w:t>
      </w:r>
      <w:r w:rsidR="007A28AA" w:rsidRPr="00084A46">
        <w:rPr>
          <w:rFonts w:ascii="Century Gothic" w:eastAsia="Century Gothic" w:hAnsi="Century Gothic" w:cs="Century Gothic"/>
          <w:color w:val="000000" w:themeColor="text1"/>
          <w:sz w:val="14"/>
          <w:szCs w:val="14"/>
          <w:lang w:val="es-MX"/>
        </w:rPr>
        <w:t xml:space="preserve"> </w:t>
      </w:r>
    </w:p>
    <w:p w14:paraId="5D7E5500" w14:textId="77777777" w:rsidR="007A28AA" w:rsidRPr="00084A46" w:rsidRDefault="00B42AA8" w:rsidP="007A28AA">
      <w:pPr>
        <w:spacing w:line="257" w:lineRule="auto"/>
        <w:ind w:firstLine="708"/>
        <w:contextualSpacing/>
        <w:jc w:val="both"/>
        <w:rPr>
          <w:rFonts w:ascii="Century Gothic" w:eastAsia="Century Gothic" w:hAnsi="Century Gothic" w:cs="Century Gothic"/>
          <w:color w:val="000000" w:themeColor="text1"/>
          <w:sz w:val="14"/>
          <w:szCs w:val="14"/>
        </w:rPr>
      </w:pPr>
      <w:hyperlink r:id="rId35" w:anchor="_ftnref3" w:history="1">
        <w:r w:rsidR="007A28AA" w:rsidRPr="00084A46">
          <w:rPr>
            <w:rStyle w:val="Hyperlink"/>
            <w:rFonts w:ascii="Century Gothic" w:eastAsia="Century Gothic" w:hAnsi="Century Gothic" w:cs="Century Gothic"/>
            <w:sz w:val="14"/>
            <w:szCs w:val="14"/>
            <w:vertAlign w:val="superscript"/>
          </w:rPr>
          <w:t>[3]</w:t>
        </w:r>
      </w:hyperlink>
      <w:r w:rsidR="007A28AA" w:rsidRPr="00084A46">
        <w:rPr>
          <w:rFonts w:ascii="Century Gothic" w:eastAsia="Century Gothic" w:hAnsi="Century Gothic" w:cs="Century Gothic"/>
          <w:color w:val="000000" w:themeColor="text1"/>
          <w:sz w:val="14"/>
          <w:szCs w:val="14"/>
        </w:rPr>
        <w:t xml:space="preserve"> </w:t>
      </w:r>
      <w:r w:rsidR="007A28AA" w:rsidRPr="00084A46">
        <w:rPr>
          <w:rFonts w:ascii="Century Gothic" w:eastAsia="Century Gothic" w:hAnsi="Century Gothic" w:cs="Century Gothic"/>
          <w:color w:val="000000" w:themeColor="text1"/>
          <w:sz w:val="14"/>
          <w:szCs w:val="14"/>
          <w:lang w:val="es"/>
        </w:rPr>
        <w:t xml:space="preserve">Art 6 Ley 1150 de 2007 </w:t>
      </w:r>
      <w:r w:rsidR="007A28AA" w:rsidRPr="00084A46">
        <w:rPr>
          <w:rFonts w:ascii="Century Gothic" w:eastAsia="Century Gothic" w:hAnsi="Century Gothic" w:cs="Century Gothic"/>
          <w:i/>
          <w:iCs/>
          <w:color w:val="000000" w:themeColor="text1"/>
          <w:sz w:val="14"/>
          <w:szCs w:val="14"/>
        </w:rPr>
        <w:t>“</w:t>
      </w:r>
      <w:r w:rsidR="007A28AA" w:rsidRPr="00084A46">
        <w:rPr>
          <w:rFonts w:ascii="Century Gothic" w:eastAsia="Century Gothic" w:hAnsi="Century Gothic" w:cs="Century Gothic"/>
          <w:color w:val="000000" w:themeColor="text1"/>
          <w:sz w:val="14"/>
          <w:szCs w:val="14"/>
        </w:rPr>
        <w:t>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528FCD1F" w14:textId="77777777" w:rsidR="007A28AA" w:rsidRPr="00084A46" w:rsidRDefault="007A28AA" w:rsidP="007A28AA">
      <w:pPr>
        <w:spacing w:line="276" w:lineRule="auto"/>
        <w:ind w:firstLine="708"/>
        <w:contextualSpacing/>
        <w:jc w:val="both"/>
        <w:rPr>
          <w:rFonts w:ascii="Century Gothic" w:eastAsia="Century Gothic" w:hAnsi="Century Gothic" w:cs="Century Gothic"/>
          <w:color w:val="000000" w:themeColor="text1"/>
          <w:sz w:val="14"/>
          <w:szCs w:val="14"/>
        </w:rPr>
      </w:pPr>
      <w:r w:rsidRPr="00084A46">
        <w:rPr>
          <w:rFonts w:ascii="Century Gothic" w:eastAsia="Century Gothic" w:hAnsi="Century Gothic" w:cs="Century Gothic"/>
          <w:color w:val="000000" w:themeColor="text1"/>
          <w:sz w:val="14"/>
          <w:szCs w:val="14"/>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71BCFC38" w14:textId="77777777" w:rsidR="007A28AA" w:rsidRPr="00084A46" w:rsidRDefault="007A28AA" w:rsidP="007A28AA">
      <w:pPr>
        <w:spacing w:line="276" w:lineRule="auto"/>
        <w:ind w:firstLine="708"/>
        <w:contextualSpacing/>
        <w:jc w:val="both"/>
        <w:rPr>
          <w:rFonts w:ascii="Century Gothic" w:eastAsia="Century Gothic" w:hAnsi="Century Gothic" w:cs="Century Gothic"/>
          <w:color w:val="000000" w:themeColor="text1"/>
          <w:sz w:val="14"/>
          <w:szCs w:val="14"/>
        </w:rPr>
      </w:pPr>
      <w:r w:rsidRPr="00084A46">
        <w:rPr>
          <w:rFonts w:ascii="Century Gothic" w:eastAsia="Century Gothic" w:hAnsi="Century Gothic" w:cs="Century Gothic"/>
          <w:color w:val="000000" w:themeColor="text1"/>
          <w:sz w:val="14"/>
          <w:szCs w:val="14"/>
        </w:rPr>
        <w:t>En dicho registro constará la información relacionada con la experiencia, capacidad jurídica, financiera y de organización del proponente y su clasificación</w:t>
      </w:r>
      <w:r w:rsidRPr="00084A46">
        <w:rPr>
          <w:rFonts w:ascii="Century Gothic" w:eastAsia="Century Gothic" w:hAnsi="Century Gothic" w:cs="Century Gothic"/>
          <w:i/>
          <w:iCs/>
          <w:color w:val="000000" w:themeColor="text1"/>
          <w:sz w:val="14"/>
          <w:szCs w:val="14"/>
        </w:rPr>
        <w:t>”</w:t>
      </w:r>
      <w:r w:rsidRPr="00084A46">
        <w:rPr>
          <w:rFonts w:ascii="Century Gothic" w:eastAsia="Century Gothic" w:hAnsi="Century Gothic" w:cs="Century Gothic"/>
          <w:color w:val="000000" w:themeColor="text1"/>
          <w:sz w:val="14"/>
          <w:szCs w:val="14"/>
        </w:rPr>
        <w:t>.</w:t>
      </w:r>
    </w:p>
    <w:p w14:paraId="7A24E800" w14:textId="77777777" w:rsidR="007A28AA" w:rsidRPr="00084A46" w:rsidRDefault="00B42AA8" w:rsidP="007A28AA">
      <w:pPr>
        <w:spacing w:line="257" w:lineRule="auto"/>
        <w:ind w:firstLine="708"/>
        <w:contextualSpacing/>
        <w:jc w:val="both"/>
        <w:rPr>
          <w:rFonts w:ascii="Century Gothic" w:eastAsia="Century Gothic" w:hAnsi="Century Gothic" w:cs="Century Gothic"/>
          <w:color w:val="000000" w:themeColor="text1"/>
          <w:sz w:val="14"/>
          <w:szCs w:val="14"/>
        </w:rPr>
      </w:pPr>
      <w:hyperlink r:id="rId36" w:anchor="_ftnref4" w:history="1">
        <w:r w:rsidR="007A28AA" w:rsidRPr="00084A46">
          <w:rPr>
            <w:rStyle w:val="Hyperlink"/>
            <w:rFonts w:ascii="Century Gothic" w:eastAsia="Century Gothic" w:hAnsi="Century Gothic" w:cs="Century Gothic"/>
            <w:sz w:val="14"/>
            <w:szCs w:val="14"/>
            <w:vertAlign w:val="superscript"/>
          </w:rPr>
          <w:t>[4]</w:t>
        </w:r>
      </w:hyperlink>
      <w:r w:rsidR="007A28AA" w:rsidRPr="00084A46">
        <w:rPr>
          <w:rFonts w:ascii="Century Gothic" w:eastAsia="Century Gothic" w:hAnsi="Century Gothic" w:cs="Century Gothic"/>
          <w:color w:val="000000" w:themeColor="text1"/>
          <w:sz w:val="14"/>
          <w:szCs w:val="14"/>
        </w:rPr>
        <w:t xml:space="preserve"> </w:t>
      </w:r>
      <w:r w:rsidR="007A28AA" w:rsidRPr="00084A46">
        <w:rPr>
          <w:rFonts w:ascii="Century Gothic" w:eastAsia="Century Gothic" w:hAnsi="Century Gothic" w:cs="Century Gothic"/>
          <w:i/>
          <w:iCs/>
          <w:color w:val="000000" w:themeColor="text1"/>
          <w:sz w:val="14"/>
          <w:szCs w:val="14"/>
        </w:rPr>
        <w:t>“</w:t>
      </w:r>
      <w:r w:rsidR="007A28AA" w:rsidRPr="00084A46">
        <w:rPr>
          <w:rFonts w:ascii="Century Gothic" w:eastAsia="Century Gothic" w:hAnsi="Century Gothic" w:cs="Century Gothic"/>
          <w:color w:val="000000" w:themeColor="text1"/>
          <w:sz w:val="14"/>
          <w:szCs w:val="14"/>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r w:rsidR="007A28AA" w:rsidRPr="00084A46">
        <w:rPr>
          <w:rFonts w:ascii="Century Gothic" w:eastAsia="Century Gothic" w:hAnsi="Century Gothic" w:cs="Century Gothic"/>
          <w:i/>
          <w:iCs/>
          <w:sz w:val="14"/>
          <w:szCs w:val="14"/>
        </w:rPr>
        <w:t>”</w:t>
      </w:r>
      <w:r w:rsidR="007A28AA" w:rsidRPr="00084A46">
        <w:rPr>
          <w:rFonts w:ascii="Century Gothic" w:eastAsia="Century Gothic" w:hAnsi="Century Gothic" w:cs="Century Gothic"/>
          <w:color w:val="000000" w:themeColor="text1"/>
          <w:sz w:val="14"/>
          <w:szCs w:val="14"/>
        </w:rPr>
        <w:t xml:space="preserve">. </w:t>
      </w:r>
    </w:p>
    <w:p w14:paraId="74E54B59" w14:textId="77777777" w:rsidR="007A28AA" w:rsidRPr="00084A46" w:rsidRDefault="00B42AA8" w:rsidP="007A28AA">
      <w:pPr>
        <w:spacing w:line="257" w:lineRule="auto"/>
        <w:ind w:firstLine="708"/>
        <w:contextualSpacing/>
        <w:jc w:val="both"/>
        <w:rPr>
          <w:rFonts w:ascii="Century Gothic" w:eastAsia="Century Gothic" w:hAnsi="Century Gothic" w:cs="Century Gothic"/>
          <w:sz w:val="14"/>
          <w:szCs w:val="14"/>
          <w:lang w:val="es-MX"/>
        </w:rPr>
      </w:pPr>
      <w:hyperlink r:id="rId37" w:anchor="_ftnref5" w:history="1">
        <w:r w:rsidR="007A28AA" w:rsidRPr="00084A46">
          <w:rPr>
            <w:rStyle w:val="Hyperlink"/>
            <w:rFonts w:ascii="Century Gothic" w:eastAsia="Century Gothic" w:hAnsi="Century Gothic" w:cs="Century Gothic"/>
            <w:sz w:val="14"/>
            <w:szCs w:val="14"/>
            <w:vertAlign w:val="superscript"/>
            <w:lang w:val="es-MX"/>
          </w:rPr>
          <w:t>[5]</w:t>
        </w:r>
      </w:hyperlink>
      <w:r w:rsidR="007A28AA" w:rsidRPr="00084A46">
        <w:rPr>
          <w:rFonts w:ascii="Century Gothic" w:eastAsia="Century Gothic" w:hAnsi="Century Gothic" w:cs="Century Gothic"/>
          <w:sz w:val="14"/>
          <w:szCs w:val="14"/>
          <w:lang w:val="es-MX"/>
        </w:rPr>
        <w:t xml:space="preserve"> Para la realización de los respectivos análisis del sector de los Procesos de Contratación, esta Agencia recomienda tener en cuenta la última modificación de la </w:t>
      </w:r>
      <w:r w:rsidR="007A28AA" w:rsidRPr="00084A46">
        <w:rPr>
          <w:rFonts w:ascii="Century Gothic" w:eastAsia="Century Gothic" w:hAnsi="Century Gothic" w:cs="Century Gothic"/>
          <w:i/>
          <w:iCs/>
          <w:sz w:val="14"/>
          <w:szCs w:val="14"/>
          <w:lang w:val="es-MX"/>
        </w:rPr>
        <w:t>“</w:t>
      </w:r>
      <w:r w:rsidR="007A28AA" w:rsidRPr="00084A46">
        <w:rPr>
          <w:rFonts w:ascii="Century Gothic" w:eastAsia="Century Gothic" w:hAnsi="Century Gothic" w:cs="Century Gothic"/>
          <w:sz w:val="14"/>
          <w:szCs w:val="14"/>
          <w:lang w:val="es-MX"/>
        </w:rPr>
        <w:t>Guía de Elaboración de Estudios del Sector</w:t>
      </w:r>
      <w:r w:rsidR="007A28AA" w:rsidRPr="00084A46">
        <w:rPr>
          <w:rFonts w:ascii="Century Gothic" w:eastAsia="Century Gothic" w:hAnsi="Century Gothic" w:cs="Century Gothic"/>
          <w:i/>
          <w:iCs/>
          <w:sz w:val="14"/>
          <w:szCs w:val="14"/>
          <w:lang w:val="es-MX"/>
        </w:rPr>
        <w:t xml:space="preserve">”, </w:t>
      </w:r>
      <w:r w:rsidR="007A28AA" w:rsidRPr="00084A46">
        <w:rPr>
          <w:rFonts w:ascii="Century Gothic" w:eastAsia="Century Gothic" w:hAnsi="Century Gothic" w:cs="Century Gothic"/>
          <w:sz w:val="14"/>
          <w:szCs w:val="14"/>
          <w:lang w:val="es-MX"/>
        </w:rPr>
        <w:t xml:space="preserve">que puede ser consultada en el siguiente </w:t>
      </w:r>
      <w:proofErr w:type="gramStart"/>
      <w:r w:rsidR="007A28AA" w:rsidRPr="00084A46">
        <w:rPr>
          <w:rFonts w:ascii="Century Gothic" w:eastAsia="Century Gothic" w:hAnsi="Century Gothic" w:cs="Century Gothic"/>
          <w:sz w:val="14"/>
          <w:szCs w:val="14"/>
          <w:lang w:val="es-MX"/>
        </w:rPr>
        <w:t>link</w:t>
      </w:r>
      <w:proofErr w:type="gramEnd"/>
      <w:r w:rsidR="007A28AA" w:rsidRPr="00084A46">
        <w:rPr>
          <w:rFonts w:ascii="Century Gothic" w:eastAsia="Century Gothic" w:hAnsi="Century Gothic" w:cs="Century Gothic"/>
          <w:sz w:val="14"/>
          <w:szCs w:val="14"/>
          <w:lang w:val="es-MX"/>
        </w:rPr>
        <w:t xml:space="preserve">: </w:t>
      </w:r>
      <w:hyperlink r:id="rId38" w:history="1">
        <w:r w:rsidR="007A28AA" w:rsidRPr="00084A46">
          <w:rPr>
            <w:rStyle w:val="Hyperlink"/>
            <w:rFonts w:ascii="Century Gothic" w:eastAsia="Century Gothic" w:hAnsi="Century Gothic" w:cs="Century Gothic"/>
            <w:sz w:val="14"/>
            <w:szCs w:val="14"/>
            <w:lang w:val="es-MX"/>
          </w:rPr>
          <w:t>https://www.colombiacompra.gov.co/sites/cce_public/files/cce_documentos/cce-eicp-gi-18._gees_v.2_2.pdf</w:t>
        </w:r>
      </w:hyperlink>
      <w:r w:rsidR="007A28AA" w:rsidRPr="00084A46">
        <w:rPr>
          <w:rFonts w:ascii="Century Gothic" w:eastAsia="Century Gothic" w:hAnsi="Century Gothic" w:cs="Century Gothic"/>
          <w:sz w:val="14"/>
          <w:szCs w:val="14"/>
          <w:lang w:val="es-MX"/>
        </w:rPr>
        <w:t xml:space="preserve"> </w:t>
      </w:r>
    </w:p>
    <w:p w14:paraId="1B887F35" w14:textId="77777777" w:rsidR="007A28AA" w:rsidRPr="00084A46" w:rsidRDefault="00B42AA8" w:rsidP="007A28AA">
      <w:pPr>
        <w:spacing w:line="257" w:lineRule="auto"/>
        <w:ind w:firstLine="708"/>
        <w:contextualSpacing/>
        <w:jc w:val="both"/>
        <w:rPr>
          <w:rFonts w:ascii="Century Gothic" w:eastAsia="Century Gothic" w:hAnsi="Century Gothic" w:cs="Century Gothic"/>
          <w:sz w:val="14"/>
          <w:szCs w:val="14"/>
          <w:lang w:val="es-MX"/>
        </w:rPr>
      </w:pPr>
      <w:hyperlink r:id="rId39" w:anchor="_ftnref6" w:history="1">
        <w:r w:rsidR="007A28AA" w:rsidRPr="00084A46">
          <w:rPr>
            <w:rStyle w:val="Hyperlink"/>
            <w:rFonts w:ascii="Century Gothic" w:eastAsia="Century Gothic" w:hAnsi="Century Gothic" w:cs="Century Gothic"/>
            <w:sz w:val="14"/>
            <w:szCs w:val="14"/>
            <w:vertAlign w:val="superscript"/>
            <w:lang w:val="es-MX"/>
          </w:rPr>
          <w:t>[6]</w:t>
        </w:r>
      </w:hyperlink>
      <w:r w:rsidR="007A28AA" w:rsidRPr="00084A46">
        <w:rPr>
          <w:rFonts w:ascii="Century Gothic" w:eastAsia="Century Gothic" w:hAnsi="Century Gothic" w:cs="Century Gothic"/>
          <w:sz w:val="14"/>
          <w:szCs w:val="14"/>
          <w:lang w:val="es-MX"/>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5E84E10E" w14:textId="77777777" w:rsidR="007A28AA" w:rsidRPr="00084A46" w:rsidRDefault="00B42AA8" w:rsidP="007A28AA">
      <w:pPr>
        <w:spacing w:line="257" w:lineRule="auto"/>
        <w:ind w:firstLine="708"/>
        <w:contextualSpacing/>
        <w:jc w:val="both"/>
        <w:rPr>
          <w:rFonts w:ascii="Century Gothic" w:eastAsia="Century Gothic" w:hAnsi="Century Gothic" w:cs="Century Gothic"/>
          <w:sz w:val="14"/>
          <w:szCs w:val="14"/>
          <w:lang w:val="es-MX"/>
        </w:rPr>
      </w:pPr>
      <w:hyperlink r:id="rId40" w:anchor="_ftnref7" w:history="1">
        <w:r w:rsidR="007A28AA" w:rsidRPr="00084A46">
          <w:rPr>
            <w:rStyle w:val="Hyperlink"/>
            <w:rFonts w:ascii="Century Gothic" w:eastAsia="Century Gothic" w:hAnsi="Century Gothic" w:cs="Century Gothic"/>
            <w:sz w:val="14"/>
            <w:szCs w:val="14"/>
            <w:vertAlign w:val="superscript"/>
            <w:lang w:val="es-MX"/>
          </w:rPr>
          <w:t>[7]</w:t>
        </w:r>
      </w:hyperlink>
      <w:r w:rsidR="007A28AA" w:rsidRPr="00084A46">
        <w:rPr>
          <w:rFonts w:ascii="Century Gothic" w:eastAsia="Century Gothic" w:hAnsi="Century Gothic" w:cs="Century Gothic"/>
          <w:sz w:val="14"/>
          <w:szCs w:val="14"/>
          <w:lang w:val="es-MX"/>
        </w:rPr>
        <w:t xml:space="preserve"> Dice el Manual que: “[...] En atención a la naturaleza del contrato a suscribir y de su valor, plazo y forma de pago, la Entidad Estatal debe hacer uso de los indicadores que considere adecuados respecto al objeto del Proceso de Contratación.</w:t>
      </w:r>
    </w:p>
    <w:p w14:paraId="2ABAB6E5" w14:textId="77777777" w:rsidR="007A28AA" w:rsidRPr="00084A46" w:rsidRDefault="007A28AA" w:rsidP="007A28AA">
      <w:pPr>
        <w:spacing w:line="276" w:lineRule="auto"/>
        <w:ind w:firstLine="709"/>
        <w:contextualSpacing/>
        <w:jc w:val="both"/>
        <w:rPr>
          <w:rFonts w:ascii="Century Gothic" w:eastAsia="Century Gothic" w:hAnsi="Century Gothic" w:cs="Century Gothic"/>
          <w:sz w:val="14"/>
          <w:szCs w:val="14"/>
          <w:lang w:val="es-MX"/>
        </w:rPr>
      </w:pPr>
      <w:r w:rsidRPr="00084A46">
        <w:rPr>
          <w:rFonts w:ascii="Century Gothic" w:eastAsia="Century Gothic" w:hAnsi="Century Gothic" w:cs="Century Gothic"/>
          <w:sz w:val="14"/>
          <w:szCs w:val="14"/>
          <w:lang w:val="es-MX"/>
        </w:rPr>
        <w:t>“Las Entidades Estatales no deben limitarse a determinar y aplicar de forma mecánica fórmulas financieras para determinar los indicadores. Deben conocer cada indicador, sus fórmulas de cálculo y su interpretación”.</w:t>
      </w:r>
    </w:p>
    <w:p w14:paraId="58073CBE" w14:textId="77777777" w:rsidR="007A28AA" w:rsidRPr="00084A46" w:rsidRDefault="00B42AA8" w:rsidP="007A28AA">
      <w:pPr>
        <w:spacing w:line="257" w:lineRule="auto"/>
        <w:ind w:firstLine="708"/>
        <w:contextualSpacing/>
        <w:jc w:val="both"/>
        <w:rPr>
          <w:rFonts w:ascii="Century Gothic" w:eastAsia="Century Gothic" w:hAnsi="Century Gothic" w:cs="Century Gothic"/>
          <w:sz w:val="14"/>
          <w:szCs w:val="14"/>
          <w:lang w:val="es-MX"/>
        </w:rPr>
      </w:pPr>
      <w:hyperlink r:id="rId41" w:anchor="_ftnref8" w:history="1">
        <w:r w:rsidR="007A28AA" w:rsidRPr="00084A46">
          <w:rPr>
            <w:rStyle w:val="Hyperlink"/>
            <w:rFonts w:ascii="Century Gothic" w:eastAsia="Century Gothic" w:hAnsi="Century Gothic" w:cs="Century Gothic"/>
            <w:sz w:val="14"/>
            <w:szCs w:val="14"/>
            <w:vertAlign w:val="superscript"/>
            <w:lang w:val="es-MX"/>
          </w:rPr>
          <w:t>[8]</w:t>
        </w:r>
      </w:hyperlink>
      <w:r w:rsidR="007A28AA" w:rsidRPr="00084A46">
        <w:rPr>
          <w:rFonts w:ascii="Century Gothic" w:eastAsia="Century Gothic" w:hAnsi="Century Gothic" w:cs="Century Gothic"/>
          <w:sz w:val="14"/>
          <w:szCs w:val="14"/>
          <w:lang w:val="es-MX"/>
        </w:rPr>
        <w:t xml:space="preserve"> Al respecto, el Manual indica: “La determinación de cada requisito habilitante debe estar enmarcada en el análisis y el concepto de lo que mide el indicador. Si el indicador representa una mayor probabilidad de Riesgo a medida que su valor es mayor, la Entidad Estatal debe fijar un valor máximo para el requisito habilitante. Si el indicador representa una menor probabilidad de Riesgo a medida que su valor es mayor, la Entidad Estatal debe fijar un mínimo”.</w:t>
      </w:r>
    </w:p>
    <w:p w14:paraId="28B21ECA" w14:textId="77777777" w:rsidR="007A28AA" w:rsidRPr="00084A46" w:rsidRDefault="00B42AA8" w:rsidP="007A28AA">
      <w:pPr>
        <w:shd w:val="clear" w:color="auto" w:fill="FFFFFF" w:themeFill="background1"/>
        <w:spacing w:line="257" w:lineRule="auto"/>
        <w:ind w:firstLine="708"/>
        <w:contextualSpacing/>
        <w:jc w:val="both"/>
        <w:rPr>
          <w:rFonts w:ascii="Century Gothic" w:eastAsia="Century Gothic" w:hAnsi="Century Gothic" w:cs="Century Gothic"/>
          <w:color w:val="000000" w:themeColor="text1"/>
          <w:sz w:val="14"/>
          <w:szCs w:val="14"/>
          <w:lang w:val="es-MX"/>
        </w:rPr>
      </w:pPr>
      <w:hyperlink r:id="rId42" w:anchor="_ftnref9" w:history="1">
        <w:r w:rsidR="007A28AA" w:rsidRPr="00084A46">
          <w:rPr>
            <w:rStyle w:val="Hyperlink"/>
            <w:rFonts w:ascii="Century Gothic" w:eastAsia="Century Gothic" w:hAnsi="Century Gothic" w:cs="Century Gothic"/>
            <w:sz w:val="14"/>
            <w:szCs w:val="14"/>
            <w:vertAlign w:val="superscript"/>
          </w:rPr>
          <w:t>[9]</w:t>
        </w:r>
      </w:hyperlink>
      <w:r w:rsidR="007A28AA" w:rsidRPr="00084A46">
        <w:rPr>
          <w:rFonts w:ascii="Century Gothic" w:eastAsia="Century Gothic" w:hAnsi="Century Gothic" w:cs="Century Gothic"/>
          <w:color w:val="000000" w:themeColor="text1"/>
          <w:sz w:val="14"/>
          <w:szCs w:val="14"/>
          <w:lang w:val="es-MX"/>
        </w:rPr>
        <w:t xml:space="preserve"> “6.3. De la impugnación de la inscripción en el Registro Único de Proponentes (RUP). Realizada la verificación a que se refiere el numeral 6.1 del presente artículo, la Cámara publicará el acto de inscripción, contra el cual cualquier persona podrá interponer recurso de reposición ante la respectiva Cámara de Comercio, durante los diez (10) días hábiles siguientes a la publicación, sin que para ello requiera demostrar interés alguno. Para que la impugnación sea admisible deberá prestarse caución bancaria o de compañía de seguros para garantizar los perjuicios que se puedan causar al inscrito. Contra la decisión que resuelva el recurso de reposición, no procederá apelación.</w:t>
      </w:r>
    </w:p>
    <w:p w14:paraId="5453F616" w14:textId="77777777" w:rsidR="007A28AA" w:rsidRPr="00084A46" w:rsidRDefault="007A28AA" w:rsidP="007A28AA">
      <w:pPr>
        <w:shd w:val="clear" w:color="auto" w:fill="FFFFFF" w:themeFill="background1"/>
        <w:spacing w:line="276" w:lineRule="auto"/>
        <w:ind w:firstLine="708"/>
        <w:contextualSpacing/>
        <w:jc w:val="both"/>
        <w:rPr>
          <w:rFonts w:ascii="Century Gothic" w:eastAsia="Century Gothic" w:hAnsi="Century Gothic" w:cs="Century Gothic"/>
          <w:color w:val="000000" w:themeColor="text1"/>
          <w:sz w:val="14"/>
          <w:szCs w:val="14"/>
          <w:lang w:val="es-MX"/>
        </w:rPr>
      </w:pPr>
      <w:r w:rsidRPr="00084A46">
        <w:rPr>
          <w:rFonts w:ascii="Century Gothic" w:eastAsia="Century Gothic" w:hAnsi="Century Gothic" w:cs="Century Gothic"/>
          <w:color w:val="000000" w:themeColor="text1"/>
          <w:sz w:val="14"/>
          <w:szCs w:val="14"/>
          <w:lang w:val="es-MX"/>
        </w:rPr>
        <w:t>En firme la inscripción, cualquier persona podrá demandar su nulidad en desarrollo de la acción prevista en el Código Contencioso Administrativo. Para el efecto será competente el Juez de lo Contencioso Administrativo en única instancia.</w:t>
      </w:r>
    </w:p>
    <w:p w14:paraId="34148781" w14:textId="77777777" w:rsidR="007A28AA" w:rsidRPr="00084A46" w:rsidRDefault="007A28AA" w:rsidP="007A28AA">
      <w:pPr>
        <w:shd w:val="clear" w:color="auto" w:fill="FFFFFF" w:themeFill="background1"/>
        <w:spacing w:line="276" w:lineRule="auto"/>
        <w:ind w:firstLine="708"/>
        <w:contextualSpacing/>
        <w:jc w:val="both"/>
        <w:rPr>
          <w:rFonts w:ascii="Century Gothic" w:eastAsia="Century Gothic" w:hAnsi="Century Gothic" w:cs="Century Gothic"/>
          <w:color w:val="000000" w:themeColor="text1"/>
          <w:sz w:val="14"/>
          <w:szCs w:val="14"/>
          <w:lang w:val="es-MX"/>
        </w:rPr>
      </w:pPr>
      <w:r w:rsidRPr="00084A46">
        <w:rPr>
          <w:rFonts w:ascii="Century Gothic" w:eastAsia="Century Gothic" w:hAnsi="Century Gothic" w:cs="Century Gothic"/>
          <w:color w:val="000000" w:themeColor="text1"/>
          <w:sz w:val="14"/>
          <w:szCs w:val="14"/>
          <w:lang w:val="es-MX"/>
        </w:rPr>
        <w:t>La presentación de la demanda no suspenderá la inscripción, ni será causal de suspensión de los procesos de selección en curso en los que el proponente sea parte. El proceso se tramitará por el procedimiento ordinario a que se refiere el Código Contencioso Administrativo. Adoptada la decisión, la misma sólo tendrá efectos hacia el futuro.</w:t>
      </w:r>
    </w:p>
    <w:p w14:paraId="129F2DB8" w14:textId="77777777" w:rsidR="007A28AA" w:rsidRPr="00084A46" w:rsidRDefault="007A28AA" w:rsidP="007A28AA">
      <w:pPr>
        <w:shd w:val="clear" w:color="auto" w:fill="FFFFFF" w:themeFill="background1"/>
        <w:spacing w:line="276" w:lineRule="auto"/>
        <w:ind w:firstLine="708"/>
        <w:contextualSpacing/>
        <w:jc w:val="both"/>
        <w:rPr>
          <w:rFonts w:ascii="Century Gothic" w:eastAsia="Century Gothic" w:hAnsi="Century Gothic" w:cs="Century Gothic"/>
          <w:color w:val="000000" w:themeColor="text1"/>
          <w:sz w:val="14"/>
          <w:szCs w:val="14"/>
          <w:lang w:val="es-MX"/>
        </w:rPr>
      </w:pPr>
      <w:r w:rsidRPr="00084A46">
        <w:rPr>
          <w:rFonts w:ascii="Century Gothic" w:eastAsia="Century Gothic" w:hAnsi="Century Gothic" w:cs="Century Gothic"/>
          <w:color w:val="000000" w:themeColor="text1"/>
          <w:sz w:val="14"/>
          <w:szCs w:val="14"/>
          <w:lang w:val="es-MX"/>
        </w:rPr>
        <w:t>Cuando en desarrollo de un proceso de selección una entidad estatal advierta la existencia de posibles irregularidades en el contenido de la información del RUP, que puedan afectar el cumplimiento de los requisitos exigidos al proponente dentro del proceso de que se trate, podrá suspender el proceso de selección e impugnar ante la Cámara de Comercio la inscripción, para lo cual no estarán obligadas a prestar caución. Para el trámite y adopción de la decisión las Cámaras de Comercio tendrán un plazo de veinte (20) días. De no haberse adoptado una decisión en el término anterior, la entidad reanudará el proceso de selección de acuerdo con la información certificada en el RUP.</w:t>
      </w:r>
    </w:p>
    <w:p w14:paraId="7FA994C0" w14:textId="77777777" w:rsidR="007A28AA" w:rsidRPr="00084A46" w:rsidRDefault="007A28AA" w:rsidP="007A28AA">
      <w:pPr>
        <w:shd w:val="clear" w:color="auto" w:fill="FFFFFF" w:themeFill="background1"/>
        <w:spacing w:line="276" w:lineRule="auto"/>
        <w:ind w:firstLine="708"/>
        <w:contextualSpacing/>
        <w:jc w:val="both"/>
        <w:rPr>
          <w:rFonts w:ascii="Century Gothic" w:eastAsia="Century Gothic" w:hAnsi="Century Gothic" w:cs="Century Gothic"/>
          <w:color w:val="000000" w:themeColor="text1"/>
          <w:sz w:val="14"/>
          <w:szCs w:val="14"/>
          <w:lang w:val="es-MX"/>
        </w:rPr>
      </w:pPr>
      <w:r w:rsidRPr="00084A46">
        <w:rPr>
          <w:rFonts w:ascii="Century Gothic" w:eastAsia="Century Gothic" w:hAnsi="Century Gothic" w:cs="Century Gothic"/>
          <w:color w:val="000000" w:themeColor="text1"/>
          <w:sz w:val="14"/>
          <w:szCs w:val="14"/>
          <w:lang w:val="es-MX"/>
        </w:rPr>
        <w:t>En el evento en que la Cámara de Comercio establezca la existencia de graves inconsistencias se le cancelará la inscripción en el registro quedando en tal caso inhabilitado para contratar con las entidades estatales por el término de cinco (5) años, sin perjuicio de las acciones penales a que haya lugar. En caso de reincidencia la inhabilidad será permanente.</w:t>
      </w:r>
    </w:p>
    <w:p w14:paraId="27BC90B3" w14:textId="77777777" w:rsidR="007A28AA" w:rsidRPr="00084A46" w:rsidRDefault="007A28AA" w:rsidP="007A28AA">
      <w:pPr>
        <w:spacing w:line="276" w:lineRule="auto"/>
        <w:ind w:firstLine="708"/>
        <w:contextualSpacing/>
        <w:jc w:val="both"/>
        <w:rPr>
          <w:rFonts w:ascii="Century Gothic" w:eastAsia="Century Gothic" w:hAnsi="Century Gothic" w:cs="Century Gothic"/>
          <w:color w:val="000000" w:themeColor="text1"/>
          <w:sz w:val="14"/>
          <w:szCs w:val="14"/>
          <w:lang w:val="es-MX"/>
        </w:rPr>
      </w:pPr>
      <w:r w:rsidRPr="00084A46">
        <w:rPr>
          <w:rFonts w:ascii="Century Gothic" w:eastAsia="Century Gothic" w:hAnsi="Century Gothic" w:cs="Century Gothic"/>
          <w:color w:val="000000" w:themeColor="text1"/>
          <w:sz w:val="14"/>
          <w:szCs w:val="14"/>
          <w:lang w:val="es-MX"/>
        </w:rPr>
        <w:t>Las mismas sanciones previstas en el inciso anterior se predicarán en el evento en que el Juez de lo Contencioso Administrativa declare la nulidad del acto de inscripción.</w:t>
      </w:r>
    </w:p>
    <w:p w14:paraId="0807DBC0" w14:textId="77777777" w:rsidR="007A28AA" w:rsidRPr="00084A46" w:rsidRDefault="007A28AA" w:rsidP="007A28AA">
      <w:pPr>
        <w:spacing w:line="276" w:lineRule="auto"/>
        <w:ind w:firstLine="708"/>
        <w:contextualSpacing/>
        <w:jc w:val="both"/>
        <w:rPr>
          <w:rFonts w:ascii="Century Gothic" w:eastAsia="Century Gothic" w:hAnsi="Century Gothic" w:cs="Century Gothic"/>
          <w:color w:val="000000" w:themeColor="text1"/>
          <w:sz w:val="14"/>
          <w:szCs w:val="14"/>
          <w:lang w:val="es-MX"/>
        </w:rPr>
      </w:pPr>
      <w:r w:rsidRPr="00084A46">
        <w:rPr>
          <w:rFonts w:ascii="Century Gothic" w:eastAsia="Century Gothic" w:hAnsi="Century Gothic" w:cs="Century Gothic"/>
          <w:color w:val="000000" w:themeColor="text1"/>
          <w:sz w:val="14"/>
          <w:szCs w:val="14"/>
          <w:lang w:val="es-MX"/>
        </w:rPr>
        <w:t>La información contenida en el registro es pública y su consulta será gratuita”.</w:t>
      </w:r>
    </w:p>
    <w:p w14:paraId="30861B7C" w14:textId="77777777" w:rsidR="007A28AA" w:rsidRPr="00084A46" w:rsidRDefault="00B42AA8" w:rsidP="007A28AA">
      <w:pPr>
        <w:spacing w:line="257" w:lineRule="auto"/>
        <w:ind w:firstLine="708"/>
        <w:contextualSpacing/>
        <w:jc w:val="both"/>
        <w:rPr>
          <w:rFonts w:ascii="Century Gothic" w:eastAsia="Century Gothic" w:hAnsi="Century Gothic" w:cs="Century Gothic"/>
          <w:color w:val="000000" w:themeColor="text1"/>
          <w:sz w:val="14"/>
          <w:szCs w:val="14"/>
          <w:lang w:val="es-MX"/>
        </w:rPr>
      </w:pPr>
      <w:hyperlink r:id="rId43" w:anchor="_ftnref10" w:history="1">
        <w:r w:rsidR="007A28AA" w:rsidRPr="00084A46">
          <w:rPr>
            <w:rStyle w:val="Hyperlink"/>
            <w:rFonts w:ascii="Century Gothic" w:eastAsia="Century Gothic" w:hAnsi="Century Gothic" w:cs="Century Gothic"/>
            <w:sz w:val="14"/>
            <w:szCs w:val="14"/>
            <w:vertAlign w:val="superscript"/>
            <w:lang w:val="es-MX"/>
          </w:rPr>
          <w:t>[10]</w:t>
        </w:r>
      </w:hyperlink>
      <w:r w:rsidR="007A28AA" w:rsidRPr="00084A46">
        <w:rPr>
          <w:rFonts w:ascii="Century Gothic" w:eastAsia="Century Gothic" w:hAnsi="Century Gothic" w:cs="Century Gothic"/>
          <w:color w:val="000000" w:themeColor="text1"/>
          <w:sz w:val="14"/>
          <w:szCs w:val="14"/>
          <w:lang w:val="es-MX"/>
        </w:rPr>
        <w:t>“Artículo 2.2.1.1.1.5.1. Inscripción, renovación, actualización y cancelación del RUP.</w:t>
      </w:r>
    </w:p>
    <w:p w14:paraId="23D92982" w14:textId="77777777" w:rsidR="007A28AA" w:rsidRPr="00084A46" w:rsidRDefault="007A28AA" w:rsidP="007A28AA">
      <w:pPr>
        <w:spacing w:line="276" w:lineRule="auto"/>
        <w:ind w:firstLine="708"/>
        <w:contextualSpacing/>
        <w:jc w:val="both"/>
        <w:rPr>
          <w:rFonts w:ascii="Century Gothic" w:eastAsia="Century Gothic" w:hAnsi="Century Gothic" w:cs="Century Gothic"/>
          <w:color w:val="000000" w:themeColor="text1"/>
          <w:sz w:val="14"/>
          <w:szCs w:val="14"/>
          <w:lang w:val="es-MX"/>
        </w:rPr>
      </w:pPr>
      <w:r w:rsidRPr="00084A46">
        <w:rPr>
          <w:rFonts w:ascii="Century Gothic" w:eastAsia="Century Gothic" w:hAnsi="Century Gothic" w:cs="Century Gothic"/>
          <w:color w:val="000000" w:themeColor="text1"/>
          <w:sz w:val="14"/>
          <w:szCs w:val="14"/>
          <w:lang w:val="es-MX"/>
        </w:rPr>
        <w:t>[…]</w:t>
      </w:r>
    </w:p>
    <w:p w14:paraId="5D1A2250" w14:textId="77777777" w:rsidR="007A28AA" w:rsidRPr="00084A46" w:rsidRDefault="007A28AA" w:rsidP="007A28AA">
      <w:pPr>
        <w:spacing w:line="276" w:lineRule="auto"/>
        <w:ind w:firstLine="708"/>
        <w:contextualSpacing/>
        <w:jc w:val="both"/>
        <w:rPr>
          <w:rFonts w:ascii="Century Gothic" w:eastAsia="Century Gothic" w:hAnsi="Century Gothic" w:cs="Century Gothic"/>
          <w:color w:val="000000" w:themeColor="text1"/>
          <w:sz w:val="14"/>
          <w:szCs w:val="14"/>
          <w:lang w:val="es-MX"/>
        </w:rPr>
      </w:pPr>
      <w:r w:rsidRPr="00084A46">
        <w:rPr>
          <w:rFonts w:ascii="Century Gothic" w:eastAsia="Century Gothic" w:hAnsi="Century Gothic" w:cs="Century Gothic"/>
          <w:color w:val="000000" w:themeColor="text1"/>
          <w:sz w:val="14"/>
          <w:szCs w:val="14"/>
          <w:lang w:val="es-MX"/>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4EA338D8" w14:textId="77777777" w:rsidR="007A28AA" w:rsidRPr="00084A46" w:rsidRDefault="007A28AA" w:rsidP="007A28AA">
      <w:pPr>
        <w:spacing w:line="276" w:lineRule="auto"/>
        <w:ind w:firstLine="708"/>
        <w:contextualSpacing/>
        <w:jc w:val="both"/>
        <w:rPr>
          <w:rFonts w:ascii="Century Gothic" w:eastAsia="Century Gothic" w:hAnsi="Century Gothic" w:cs="Century Gothic"/>
          <w:color w:val="000000" w:themeColor="text1"/>
          <w:sz w:val="14"/>
          <w:szCs w:val="14"/>
          <w:lang w:val="es-MX"/>
        </w:rPr>
      </w:pPr>
      <w:r w:rsidRPr="00084A46">
        <w:rPr>
          <w:rFonts w:ascii="Century Gothic" w:eastAsia="Century Gothic" w:hAnsi="Century Gothic" w:cs="Century Gothic"/>
          <w:color w:val="000000" w:themeColor="text1"/>
          <w:sz w:val="14"/>
          <w:szCs w:val="14"/>
          <w:lang w:val="es-MX"/>
        </w:rPr>
        <w:t xml:space="preserve"> </w:t>
      </w:r>
    </w:p>
    <w:p w14:paraId="66C891E1" w14:textId="77777777" w:rsidR="007A28AA" w:rsidRPr="00084A46" w:rsidRDefault="00B42AA8" w:rsidP="007A28AA">
      <w:pPr>
        <w:spacing w:line="257" w:lineRule="auto"/>
        <w:ind w:firstLine="708"/>
        <w:contextualSpacing/>
        <w:jc w:val="both"/>
        <w:rPr>
          <w:rFonts w:ascii="Century Gothic" w:eastAsia="Century Gothic" w:hAnsi="Century Gothic" w:cs="Century Gothic"/>
          <w:color w:val="000000" w:themeColor="text1"/>
          <w:sz w:val="14"/>
          <w:szCs w:val="14"/>
          <w:lang w:val="es-MX"/>
        </w:rPr>
      </w:pPr>
      <w:hyperlink r:id="rId44" w:anchor="_ftnref11" w:history="1">
        <w:r w:rsidR="007A28AA" w:rsidRPr="00084A46">
          <w:rPr>
            <w:rStyle w:val="Hyperlink"/>
            <w:rFonts w:ascii="Century Gothic" w:eastAsia="Century Gothic" w:hAnsi="Century Gothic" w:cs="Century Gothic"/>
            <w:sz w:val="14"/>
            <w:szCs w:val="14"/>
            <w:vertAlign w:val="superscript"/>
            <w:lang w:val="es-MX"/>
          </w:rPr>
          <w:t>[11]</w:t>
        </w:r>
      </w:hyperlink>
      <w:r w:rsidR="007A28AA" w:rsidRPr="00084A46">
        <w:rPr>
          <w:rFonts w:ascii="Century Gothic" w:eastAsia="Century Gothic" w:hAnsi="Century Gothic" w:cs="Century Gothic"/>
          <w:color w:val="000000" w:themeColor="text1"/>
          <w:sz w:val="14"/>
          <w:szCs w:val="14"/>
          <w:lang w:val="es-MX"/>
        </w:rPr>
        <w:t xml:space="preserve"> Consejo de Estado. Sección Tercera. Subsección A. Sentencia del 19 de septiembre de 2019. Exp. 59.432. C.P. Marta Nubia Velásquez Rico.</w:t>
      </w:r>
    </w:p>
    <w:p w14:paraId="379155A8" w14:textId="77777777" w:rsidR="007A28AA" w:rsidRPr="00084A46" w:rsidRDefault="00B42AA8" w:rsidP="007A28AA">
      <w:pPr>
        <w:spacing w:line="257" w:lineRule="auto"/>
        <w:ind w:firstLine="709"/>
        <w:contextualSpacing/>
        <w:jc w:val="both"/>
        <w:rPr>
          <w:rFonts w:ascii="Century Gothic" w:eastAsia="Century Gothic" w:hAnsi="Century Gothic" w:cs="Century Gothic"/>
          <w:color w:val="000000" w:themeColor="text1"/>
          <w:sz w:val="14"/>
          <w:szCs w:val="14"/>
        </w:rPr>
      </w:pPr>
      <w:hyperlink r:id="rId45" w:anchor="_ftnref12" w:history="1">
        <w:r w:rsidR="007A28AA" w:rsidRPr="00084A46">
          <w:rPr>
            <w:rStyle w:val="Hyperlink"/>
            <w:rFonts w:ascii="Century Gothic" w:eastAsia="Century Gothic" w:hAnsi="Century Gothic" w:cs="Century Gothic"/>
            <w:sz w:val="14"/>
            <w:szCs w:val="14"/>
            <w:vertAlign w:val="superscript"/>
            <w:lang w:val="es-MX"/>
          </w:rPr>
          <w:t>[12]</w:t>
        </w:r>
      </w:hyperlink>
      <w:r w:rsidR="007A28AA" w:rsidRPr="00084A46">
        <w:rPr>
          <w:rFonts w:ascii="Century Gothic" w:eastAsia="Century Gothic" w:hAnsi="Century Gothic" w:cs="Century Gothic"/>
          <w:color w:val="000000" w:themeColor="text1"/>
          <w:sz w:val="14"/>
          <w:szCs w:val="14"/>
          <w:lang w:val="es-MX"/>
        </w:rPr>
        <w:t xml:space="preserve"> </w:t>
      </w:r>
      <w:r w:rsidR="007A28AA" w:rsidRPr="00084A46">
        <w:rPr>
          <w:rFonts w:ascii="Century Gothic" w:eastAsia="Century Gothic" w:hAnsi="Century Gothic" w:cs="Century Gothic"/>
          <w:color w:val="000000" w:themeColor="text1"/>
          <w:sz w:val="14"/>
          <w:szCs w:val="14"/>
        </w:rPr>
        <w:t xml:space="preserve">“Artículo 87. Firmeza de los actos administrativos. Los actos administrativos quedarán en firme: </w:t>
      </w:r>
    </w:p>
    <w:p w14:paraId="5D8FDD9B" w14:textId="77777777" w:rsidR="007A28AA" w:rsidRPr="00084A46" w:rsidRDefault="007A28AA" w:rsidP="007A28AA">
      <w:pPr>
        <w:spacing w:line="276" w:lineRule="auto"/>
        <w:ind w:firstLine="709"/>
        <w:contextualSpacing/>
        <w:jc w:val="both"/>
        <w:rPr>
          <w:rFonts w:ascii="Century Gothic" w:eastAsia="Century Gothic" w:hAnsi="Century Gothic" w:cs="Century Gothic"/>
          <w:color w:val="000000" w:themeColor="text1"/>
          <w:sz w:val="14"/>
          <w:szCs w:val="14"/>
        </w:rPr>
      </w:pPr>
      <w:r w:rsidRPr="00084A46">
        <w:rPr>
          <w:rFonts w:ascii="Century Gothic" w:eastAsia="Century Gothic" w:hAnsi="Century Gothic" w:cs="Century Gothic"/>
          <w:color w:val="000000" w:themeColor="text1"/>
          <w:sz w:val="14"/>
          <w:szCs w:val="14"/>
        </w:rPr>
        <w:t xml:space="preserve">1. Cuando contra ellos no proceda ningún recurso, desde el día siguiente al de su notificación, comunicación o publicación según el caso. </w:t>
      </w:r>
    </w:p>
    <w:p w14:paraId="73355966" w14:textId="77777777" w:rsidR="007A28AA" w:rsidRPr="00084A46" w:rsidRDefault="007A28AA" w:rsidP="007A28AA">
      <w:pPr>
        <w:spacing w:line="276" w:lineRule="auto"/>
        <w:ind w:firstLine="709"/>
        <w:contextualSpacing/>
        <w:jc w:val="both"/>
        <w:rPr>
          <w:rFonts w:ascii="Century Gothic" w:eastAsia="Century Gothic" w:hAnsi="Century Gothic" w:cs="Century Gothic"/>
          <w:color w:val="000000" w:themeColor="text1"/>
          <w:sz w:val="14"/>
          <w:szCs w:val="14"/>
        </w:rPr>
      </w:pPr>
      <w:r w:rsidRPr="00084A46">
        <w:rPr>
          <w:rFonts w:ascii="Century Gothic" w:eastAsia="Century Gothic" w:hAnsi="Century Gothic" w:cs="Century Gothic"/>
          <w:color w:val="000000" w:themeColor="text1"/>
          <w:sz w:val="14"/>
          <w:szCs w:val="14"/>
        </w:rPr>
        <w:t xml:space="preserve">2. Desde el día siguiente a la publicación, comunicación o notificación de la decisión sobre los recursos interpuestos. </w:t>
      </w:r>
    </w:p>
    <w:p w14:paraId="60B392F1" w14:textId="77777777" w:rsidR="007A28AA" w:rsidRPr="00084A46" w:rsidRDefault="007A28AA" w:rsidP="007A28AA">
      <w:pPr>
        <w:spacing w:line="276" w:lineRule="auto"/>
        <w:ind w:firstLine="709"/>
        <w:contextualSpacing/>
        <w:jc w:val="both"/>
        <w:rPr>
          <w:rFonts w:ascii="Century Gothic" w:eastAsia="Century Gothic" w:hAnsi="Century Gothic" w:cs="Century Gothic"/>
          <w:color w:val="000000" w:themeColor="text1"/>
          <w:sz w:val="14"/>
          <w:szCs w:val="14"/>
        </w:rPr>
      </w:pPr>
      <w:r w:rsidRPr="00084A46">
        <w:rPr>
          <w:rFonts w:ascii="Century Gothic" w:eastAsia="Century Gothic" w:hAnsi="Century Gothic" w:cs="Century Gothic"/>
          <w:color w:val="000000" w:themeColor="text1"/>
          <w:sz w:val="14"/>
          <w:szCs w:val="14"/>
        </w:rPr>
        <w:t>3. Desde el día siguiente al del vencimiento del término para interponer los recursos, si estos no fueron interpuestos, o se hubiere renunciado expresamente a ellos.</w:t>
      </w:r>
    </w:p>
    <w:p w14:paraId="64190F2D" w14:textId="77777777" w:rsidR="007A28AA" w:rsidRPr="00084A46" w:rsidRDefault="007A28AA" w:rsidP="007A28AA">
      <w:pPr>
        <w:spacing w:line="276" w:lineRule="auto"/>
        <w:ind w:firstLine="709"/>
        <w:contextualSpacing/>
        <w:jc w:val="both"/>
        <w:rPr>
          <w:rFonts w:ascii="Century Gothic" w:eastAsia="Century Gothic" w:hAnsi="Century Gothic" w:cs="Century Gothic"/>
          <w:color w:val="000000" w:themeColor="text1"/>
          <w:sz w:val="14"/>
          <w:szCs w:val="14"/>
        </w:rPr>
      </w:pPr>
      <w:r w:rsidRPr="00084A46">
        <w:rPr>
          <w:rFonts w:ascii="Century Gothic" w:eastAsia="Century Gothic" w:hAnsi="Century Gothic" w:cs="Century Gothic"/>
          <w:color w:val="000000" w:themeColor="text1"/>
          <w:sz w:val="14"/>
          <w:szCs w:val="14"/>
        </w:rPr>
        <w:t xml:space="preserve">4. Desde el día siguiente al de la notificación de la aceptación del desistimiento de los recursos. </w:t>
      </w:r>
    </w:p>
    <w:p w14:paraId="30681335" w14:textId="77777777" w:rsidR="007A28AA" w:rsidRPr="00084A46" w:rsidRDefault="007A28AA" w:rsidP="007A28AA">
      <w:pPr>
        <w:spacing w:line="276" w:lineRule="auto"/>
        <w:ind w:firstLine="709"/>
        <w:contextualSpacing/>
        <w:jc w:val="both"/>
        <w:rPr>
          <w:rFonts w:ascii="Century Gothic" w:eastAsia="Century Gothic" w:hAnsi="Century Gothic" w:cs="Century Gothic"/>
          <w:color w:val="000000" w:themeColor="text1"/>
          <w:sz w:val="14"/>
          <w:szCs w:val="14"/>
        </w:rPr>
      </w:pPr>
      <w:r w:rsidRPr="00084A46">
        <w:rPr>
          <w:rFonts w:ascii="Century Gothic" w:eastAsia="Century Gothic" w:hAnsi="Century Gothic" w:cs="Century Gothic"/>
          <w:color w:val="000000" w:themeColor="text1"/>
          <w:sz w:val="14"/>
          <w:szCs w:val="14"/>
        </w:rPr>
        <w:t>5. Desde el día siguiente al de la protocolización a que alude el artículo 85 para el silencio administrativo positivo”.</w:t>
      </w:r>
    </w:p>
    <w:p w14:paraId="23B59446" w14:textId="77777777" w:rsidR="007A28AA" w:rsidRPr="00084A46" w:rsidRDefault="00B42AA8" w:rsidP="007A28AA">
      <w:pPr>
        <w:spacing w:line="257" w:lineRule="auto"/>
        <w:ind w:firstLine="709"/>
        <w:contextualSpacing/>
        <w:jc w:val="both"/>
        <w:rPr>
          <w:rFonts w:ascii="Century Gothic" w:eastAsia="Century Gothic" w:hAnsi="Century Gothic" w:cs="Century Gothic"/>
          <w:color w:val="000000" w:themeColor="text1"/>
          <w:sz w:val="14"/>
          <w:szCs w:val="14"/>
        </w:rPr>
      </w:pPr>
      <w:hyperlink r:id="rId46" w:anchor="_ftnref13" w:history="1">
        <w:r w:rsidR="007A28AA" w:rsidRPr="00084A46">
          <w:rPr>
            <w:rStyle w:val="Hyperlink"/>
            <w:rFonts w:ascii="Century Gothic" w:eastAsia="Century Gothic" w:hAnsi="Century Gothic" w:cs="Century Gothic"/>
            <w:sz w:val="14"/>
            <w:szCs w:val="14"/>
            <w:vertAlign w:val="superscript"/>
            <w:lang w:val="es-MX"/>
          </w:rPr>
          <w:t>[13]</w:t>
        </w:r>
      </w:hyperlink>
      <w:r w:rsidR="007A28AA" w:rsidRPr="00084A46">
        <w:rPr>
          <w:rFonts w:ascii="Century Gothic" w:eastAsia="Century Gothic" w:hAnsi="Century Gothic" w:cs="Century Gothic"/>
          <w:color w:val="000000" w:themeColor="text1"/>
          <w:sz w:val="14"/>
          <w:szCs w:val="14"/>
          <w:lang w:val="es-MX"/>
        </w:rPr>
        <w:t xml:space="preserve"> </w:t>
      </w:r>
      <w:r w:rsidR="007A28AA" w:rsidRPr="00084A46">
        <w:rPr>
          <w:rFonts w:ascii="Century Gothic" w:eastAsia="Century Gothic" w:hAnsi="Century Gothic" w:cs="Century Gothic"/>
          <w:color w:val="000000" w:themeColor="text1"/>
          <w:sz w:val="14"/>
          <w:szCs w:val="14"/>
        </w:rPr>
        <w:t>Consejo de Estado. Sección Cuarta. Sentencia del 19 de noviembre de 1999. Exp. 9.453. CP. Daniel Manrique Guzmán.</w:t>
      </w:r>
    </w:p>
    <w:p w14:paraId="080607DE" w14:textId="77777777" w:rsidR="007A28AA" w:rsidRPr="00084A46" w:rsidRDefault="00B42AA8" w:rsidP="007A28AA">
      <w:pPr>
        <w:spacing w:line="257" w:lineRule="auto"/>
        <w:ind w:firstLine="709"/>
        <w:contextualSpacing/>
        <w:jc w:val="both"/>
        <w:rPr>
          <w:rFonts w:ascii="Century Gothic" w:eastAsia="Century Gothic" w:hAnsi="Century Gothic" w:cs="Century Gothic"/>
          <w:color w:val="000000" w:themeColor="text1"/>
          <w:sz w:val="14"/>
          <w:szCs w:val="14"/>
        </w:rPr>
      </w:pPr>
      <w:hyperlink r:id="rId47" w:anchor="_ftnref14" w:history="1">
        <w:r w:rsidR="007A28AA" w:rsidRPr="00084A46">
          <w:rPr>
            <w:rStyle w:val="Hyperlink"/>
            <w:rFonts w:ascii="Century Gothic" w:eastAsia="Century Gothic" w:hAnsi="Century Gothic" w:cs="Century Gothic"/>
            <w:sz w:val="14"/>
            <w:szCs w:val="14"/>
            <w:vertAlign w:val="superscript"/>
          </w:rPr>
          <w:t>[14]</w:t>
        </w:r>
      </w:hyperlink>
      <w:r w:rsidR="007A28AA" w:rsidRPr="00084A46">
        <w:rPr>
          <w:rFonts w:ascii="Century Gothic" w:eastAsia="Century Gothic" w:hAnsi="Century Gothic" w:cs="Century Gothic"/>
          <w:color w:val="000000" w:themeColor="text1"/>
          <w:sz w:val="14"/>
          <w:szCs w:val="14"/>
        </w:rPr>
        <w:t xml:space="preserve"> Ley 1882 de 2018: “Artículo 5. Modifíquese el Parágrafo 1 e inclúyanse los parágrafos 3, 4 y 5 de artículo 5° de la Ley 1150 de 2007, los cuales quedarán así: </w:t>
      </w:r>
    </w:p>
    <w:p w14:paraId="6A68793B" w14:textId="77777777" w:rsidR="007A28AA" w:rsidRPr="00084A46" w:rsidRDefault="007A28AA" w:rsidP="007A28AA">
      <w:pPr>
        <w:spacing w:line="276" w:lineRule="auto"/>
        <w:ind w:firstLine="709"/>
        <w:contextualSpacing/>
        <w:jc w:val="both"/>
        <w:rPr>
          <w:rFonts w:ascii="Century Gothic" w:eastAsia="Century Gothic" w:hAnsi="Century Gothic" w:cs="Century Gothic"/>
          <w:color w:val="000000" w:themeColor="text1"/>
          <w:sz w:val="14"/>
          <w:szCs w:val="14"/>
        </w:rPr>
      </w:pPr>
      <w:r w:rsidRPr="00084A46">
        <w:rPr>
          <w:rFonts w:ascii="Century Gothic" w:eastAsia="Century Gothic" w:hAnsi="Century Gothic" w:cs="Century Gothic"/>
          <w:color w:val="000000" w:themeColor="text1"/>
          <w:sz w:val="14"/>
          <w:szCs w:val="14"/>
        </w:rPr>
        <w:t xml:space="preserve">[…] </w:t>
      </w:r>
    </w:p>
    <w:p w14:paraId="44FFC55E" w14:textId="77777777" w:rsidR="007A28AA" w:rsidRPr="00084A46" w:rsidRDefault="007A28AA" w:rsidP="007A28AA">
      <w:pPr>
        <w:spacing w:line="276" w:lineRule="auto"/>
        <w:ind w:firstLine="709"/>
        <w:contextualSpacing/>
        <w:jc w:val="both"/>
        <w:rPr>
          <w:rFonts w:ascii="Century Gothic" w:eastAsia="Century Gothic" w:hAnsi="Century Gothic" w:cs="Century Gothic"/>
          <w:color w:val="000000" w:themeColor="text1"/>
          <w:sz w:val="14"/>
          <w:szCs w:val="14"/>
        </w:rPr>
      </w:pPr>
      <w:r w:rsidRPr="00084A46">
        <w:rPr>
          <w:rFonts w:ascii="Century Gothic" w:eastAsia="Century Gothic" w:hAnsi="Century Gothic" w:cs="Century Gothic"/>
          <w:color w:val="000000" w:themeColor="text1"/>
          <w:sz w:val="14"/>
          <w:szCs w:val="14"/>
        </w:rPr>
        <w:t xml:space="preserve">Artículo 5°. De la selección objetiva. </w:t>
      </w:r>
    </w:p>
    <w:p w14:paraId="2343876F" w14:textId="77777777" w:rsidR="007A28AA" w:rsidRPr="00084A46" w:rsidRDefault="007A28AA" w:rsidP="007A28AA">
      <w:pPr>
        <w:spacing w:line="276" w:lineRule="auto"/>
        <w:ind w:firstLine="709"/>
        <w:contextualSpacing/>
        <w:jc w:val="both"/>
        <w:rPr>
          <w:rFonts w:ascii="Century Gothic" w:eastAsia="Century Gothic" w:hAnsi="Century Gothic" w:cs="Century Gothic"/>
          <w:color w:val="000000" w:themeColor="text1"/>
          <w:sz w:val="14"/>
          <w:szCs w:val="14"/>
        </w:rPr>
      </w:pPr>
      <w:r w:rsidRPr="00084A46">
        <w:rPr>
          <w:rFonts w:ascii="Century Gothic" w:eastAsia="Century Gothic" w:hAnsi="Century Gothic" w:cs="Century Gothic"/>
          <w:color w:val="000000" w:themeColor="text1"/>
          <w:sz w:val="14"/>
          <w:szCs w:val="14"/>
        </w:rPr>
        <w:t xml:space="preserve">[…] </w:t>
      </w:r>
    </w:p>
    <w:p w14:paraId="70AF7075" w14:textId="77777777" w:rsidR="007A28AA" w:rsidRPr="00084A46" w:rsidRDefault="007A28AA" w:rsidP="007A28AA">
      <w:pPr>
        <w:spacing w:line="276" w:lineRule="auto"/>
        <w:ind w:firstLine="709"/>
        <w:contextualSpacing/>
        <w:jc w:val="both"/>
        <w:rPr>
          <w:rFonts w:ascii="Century Gothic" w:eastAsia="Century Gothic" w:hAnsi="Century Gothic" w:cs="Century Gothic"/>
          <w:color w:val="000000" w:themeColor="text1"/>
          <w:sz w:val="14"/>
          <w:szCs w:val="14"/>
        </w:rPr>
      </w:pPr>
      <w:r w:rsidRPr="00084A46">
        <w:rPr>
          <w:rFonts w:ascii="Century Gothic" w:eastAsia="Century Gothic" w:hAnsi="Century Gothic" w:cs="Century Gothic"/>
          <w:color w:val="000000" w:themeColor="text1"/>
          <w:sz w:val="14"/>
          <w:szCs w:val="14"/>
        </w:rPr>
        <w:t xml:space="preserve">Parágrafo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w:t>
      </w:r>
    </w:p>
    <w:p w14:paraId="157A2F1E" w14:textId="77777777" w:rsidR="007A28AA" w:rsidRPr="00084A46" w:rsidRDefault="007A28AA" w:rsidP="007A28AA">
      <w:pPr>
        <w:spacing w:line="276" w:lineRule="auto"/>
        <w:ind w:firstLine="709"/>
        <w:contextualSpacing/>
        <w:jc w:val="both"/>
        <w:rPr>
          <w:rFonts w:ascii="Century Gothic" w:eastAsia="Century Gothic" w:hAnsi="Century Gothic" w:cs="Century Gothic"/>
          <w:color w:val="000000" w:themeColor="text1"/>
          <w:sz w:val="14"/>
          <w:szCs w:val="14"/>
        </w:rPr>
      </w:pPr>
      <w:r w:rsidRPr="00084A46">
        <w:rPr>
          <w:rFonts w:ascii="Century Gothic" w:eastAsia="Century Gothic" w:hAnsi="Century Gothic" w:cs="Century Gothic"/>
          <w:i/>
          <w:iCs/>
          <w:color w:val="000000" w:themeColor="text1"/>
          <w:sz w:val="14"/>
          <w:szCs w:val="14"/>
        </w:rPr>
        <w:t>Durante el término otorgado para subsanar las ofertas, los proponentes no podrán acreditar circunstancias ocurridas con posterioridad al cierre del proceso”</w:t>
      </w:r>
      <w:r w:rsidRPr="00084A46">
        <w:rPr>
          <w:rFonts w:ascii="Century Gothic" w:eastAsia="Century Gothic" w:hAnsi="Century Gothic" w:cs="Century Gothic"/>
          <w:color w:val="000000" w:themeColor="text1"/>
          <w:sz w:val="14"/>
          <w:szCs w:val="14"/>
        </w:rPr>
        <w:t xml:space="preserve"> (Énfasis fuera de texto).</w:t>
      </w:r>
    </w:p>
    <w:p w14:paraId="0B6E5A0F" w14:textId="77777777" w:rsidR="007A28AA" w:rsidRPr="00084A46" w:rsidRDefault="00B42AA8" w:rsidP="007A28AA">
      <w:pPr>
        <w:spacing w:line="257" w:lineRule="auto"/>
        <w:ind w:firstLine="709"/>
        <w:contextualSpacing/>
        <w:jc w:val="both"/>
        <w:rPr>
          <w:rFonts w:ascii="Century Gothic" w:eastAsia="Century Gothic" w:hAnsi="Century Gothic" w:cs="Century Gothic"/>
          <w:color w:val="000000" w:themeColor="text1"/>
          <w:sz w:val="14"/>
          <w:szCs w:val="14"/>
        </w:rPr>
      </w:pPr>
      <w:hyperlink r:id="rId48" w:anchor="_ftnref15" w:history="1">
        <w:r w:rsidR="007A28AA" w:rsidRPr="00084A46">
          <w:rPr>
            <w:rStyle w:val="Hyperlink"/>
            <w:rFonts w:ascii="Century Gothic" w:eastAsia="Century Gothic" w:hAnsi="Century Gothic" w:cs="Century Gothic"/>
            <w:sz w:val="14"/>
            <w:szCs w:val="14"/>
            <w:vertAlign w:val="superscript"/>
            <w:lang w:val="es-MX"/>
          </w:rPr>
          <w:t>[15]</w:t>
        </w:r>
      </w:hyperlink>
      <w:r w:rsidR="007A28AA" w:rsidRPr="00084A46">
        <w:rPr>
          <w:rFonts w:ascii="Century Gothic" w:eastAsia="Century Gothic" w:hAnsi="Century Gothic" w:cs="Century Gothic"/>
          <w:color w:val="000000" w:themeColor="text1"/>
          <w:sz w:val="14"/>
          <w:szCs w:val="14"/>
          <w:lang w:val="es-MX"/>
        </w:rPr>
        <w:t xml:space="preserve"> </w:t>
      </w:r>
      <w:r w:rsidR="007A28AA" w:rsidRPr="00084A46">
        <w:rPr>
          <w:rFonts w:ascii="Century Gothic" w:eastAsia="Century Gothic" w:hAnsi="Century Gothic" w:cs="Century Gothic"/>
          <w:color w:val="000000" w:themeColor="text1"/>
          <w:sz w:val="14"/>
          <w:szCs w:val="14"/>
        </w:rPr>
        <w:t xml:space="preserve">Decreto 2474 de 2008, art. 10, inciso final: “En ningún caso la entidad podrá señalar taxativamente los requisitos o documentos subsanables o no subsanables en el pliego de condiciones, ni permitir que se subsane la falta de capacidad para presentar la oferta, </w:t>
      </w:r>
      <w:r w:rsidR="007A28AA" w:rsidRPr="00084A46">
        <w:rPr>
          <w:rFonts w:ascii="Century Gothic" w:eastAsia="Century Gothic" w:hAnsi="Century Gothic" w:cs="Century Gothic"/>
          <w:i/>
          <w:iCs/>
          <w:color w:val="000000" w:themeColor="text1"/>
          <w:sz w:val="14"/>
          <w:szCs w:val="14"/>
        </w:rPr>
        <w:t>ni que se acrediten circunstancias ocurridas con posterioridad al cierre del proceso</w:t>
      </w:r>
      <w:r w:rsidR="007A28AA" w:rsidRPr="00084A46">
        <w:rPr>
          <w:rFonts w:ascii="Century Gothic" w:eastAsia="Century Gothic" w:hAnsi="Century Gothic" w:cs="Century Gothic"/>
          <w:color w:val="000000" w:themeColor="text1"/>
          <w:sz w:val="14"/>
          <w:szCs w:val="14"/>
        </w:rPr>
        <w:t>” (Énfasis fuera de texto).</w:t>
      </w:r>
    </w:p>
    <w:p w14:paraId="2381A1DB" w14:textId="77777777" w:rsidR="007A28AA" w:rsidRPr="00084A46" w:rsidRDefault="007A28AA" w:rsidP="007A28AA">
      <w:pPr>
        <w:spacing w:line="276" w:lineRule="auto"/>
        <w:ind w:firstLine="709"/>
        <w:contextualSpacing/>
        <w:jc w:val="both"/>
        <w:rPr>
          <w:rFonts w:ascii="Century Gothic" w:eastAsia="Century Gothic" w:hAnsi="Century Gothic" w:cs="Century Gothic"/>
          <w:color w:val="000000" w:themeColor="text1"/>
          <w:sz w:val="14"/>
          <w:szCs w:val="14"/>
          <w:lang w:val="es-MX"/>
        </w:rPr>
      </w:pPr>
      <w:r w:rsidRPr="00084A46">
        <w:rPr>
          <w:rFonts w:ascii="Century Gothic" w:eastAsia="Century Gothic" w:hAnsi="Century Gothic" w:cs="Century Gothic"/>
          <w:color w:val="000000" w:themeColor="text1"/>
          <w:sz w:val="14"/>
          <w:szCs w:val="14"/>
          <w:lang w:val="es-MX"/>
        </w:rPr>
        <w:t xml:space="preserve"> </w:t>
      </w:r>
    </w:p>
    <w:p w14:paraId="3F2B0F12" w14:textId="77777777" w:rsidR="007A28AA" w:rsidRPr="00084A46" w:rsidRDefault="00B42AA8" w:rsidP="007A28AA">
      <w:pPr>
        <w:spacing w:line="257" w:lineRule="auto"/>
        <w:ind w:firstLine="709"/>
        <w:contextualSpacing/>
        <w:jc w:val="both"/>
        <w:rPr>
          <w:rFonts w:ascii="Century Gothic" w:eastAsia="Century Gothic" w:hAnsi="Century Gothic" w:cs="Century Gothic"/>
          <w:color w:val="000000" w:themeColor="text1"/>
          <w:sz w:val="14"/>
          <w:szCs w:val="14"/>
        </w:rPr>
      </w:pPr>
      <w:hyperlink r:id="rId49" w:anchor="_ftnref16" w:history="1">
        <w:r w:rsidR="007A28AA" w:rsidRPr="00084A46">
          <w:rPr>
            <w:rStyle w:val="Hyperlink"/>
            <w:rFonts w:ascii="Century Gothic" w:eastAsia="Century Gothic" w:hAnsi="Century Gothic" w:cs="Century Gothic"/>
            <w:sz w:val="14"/>
            <w:szCs w:val="14"/>
            <w:vertAlign w:val="superscript"/>
            <w:lang w:val="es-MX"/>
          </w:rPr>
          <w:t>[16]</w:t>
        </w:r>
      </w:hyperlink>
      <w:r w:rsidR="007A28AA" w:rsidRPr="00084A46">
        <w:rPr>
          <w:rFonts w:ascii="Century Gothic" w:eastAsia="Century Gothic" w:hAnsi="Century Gothic" w:cs="Century Gothic"/>
          <w:color w:val="000000" w:themeColor="text1"/>
          <w:sz w:val="14"/>
          <w:szCs w:val="14"/>
          <w:lang w:val="es-MX"/>
        </w:rPr>
        <w:t xml:space="preserve"> </w:t>
      </w:r>
      <w:r w:rsidR="007A28AA" w:rsidRPr="00084A46">
        <w:rPr>
          <w:rFonts w:ascii="Century Gothic" w:eastAsia="Century Gothic" w:hAnsi="Century Gothic" w:cs="Century Gothic"/>
          <w:color w:val="000000" w:themeColor="text1"/>
          <w:sz w:val="14"/>
          <w:szCs w:val="14"/>
        </w:rPr>
        <w:t>“De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(Consejo de Estado. Sala de Consulta y Servicio Civil. Concepto del 6 de noviembre de 2008. Exp. 1.927. C.P. William Zambrano Cetina).</w:t>
      </w:r>
    </w:p>
    <w:p w14:paraId="71EE0E70" w14:textId="77777777" w:rsidR="007A28AA" w:rsidRPr="00084A46" w:rsidRDefault="00B42AA8" w:rsidP="007A28AA">
      <w:pPr>
        <w:spacing w:line="257" w:lineRule="auto"/>
        <w:ind w:firstLine="708"/>
        <w:contextualSpacing/>
        <w:jc w:val="both"/>
        <w:rPr>
          <w:rFonts w:ascii="Century Gothic" w:eastAsia="Century Gothic" w:hAnsi="Century Gothic" w:cs="Century Gothic"/>
          <w:sz w:val="14"/>
          <w:szCs w:val="14"/>
          <w:lang w:val="es-MX"/>
        </w:rPr>
      </w:pPr>
      <w:hyperlink r:id="rId50" w:anchor="_ftnref17" w:history="1">
        <w:r w:rsidR="007A28AA" w:rsidRPr="00084A46">
          <w:rPr>
            <w:rStyle w:val="Hyperlink"/>
            <w:rFonts w:ascii="Century Gothic" w:eastAsia="Century Gothic" w:hAnsi="Century Gothic" w:cs="Century Gothic"/>
            <w:sz w:val="14"/>
            <w:szCs w:val="14"/>
            <w:vertAlign w:val="superscript"/>
            <w:lang w:val="es-MX"/>
          </w:rPr>
          <w:t>[17]</w:t>
        </w:r>
      </w:hyperlink>
      <w:r w:rsidR="007A28AA" w:rsidRPr="00084A46">
        <w:rPr>
          <w:rFonts w:ascii="Century Gothic" w:eastAsia="Century Gothic" w:hAnsi="Century Gothic" w:cs="Century Gothic"/>
          <w:sz w:val="14"/>
          <w:szCs w:val="14"/>
          <w:lang w:val="es-MX"/>
        </w:rPr>
        <w:t xml:space="preserve"> Decreto 1082 de 2015, artículo 2.2.1.1.1.5.1., citado previamente.</w:t>
      </w:r>
    </w:p>
    <w:p w14:paraId="54ACC3EA" w14:textId="77777777" w:rsidR="007A28AA" w:rsidRPr="00084A46" w:rsidRDefault="00B42AA8" w:rsidP="007A28AA">
      <w:pPr>
        <w:spacing w:line="257" w:lineRule="auto"/>
        <w:ind w:firstLine="709"/>
        <w:contextualSpacing/>
        <w:jc w:val="both"/>
        <w:rPr>
          <w:rFonts w:ascii="Century Gothic" w:eastAsia="Century Gothic" w:hAnsi="Century Gothic" w:cs="Century Gothic"/>
          <w:sz w:val="14"/>
          <w:szCs w:val="14"/>
          <w:lang w:val="es"/>
        </w:rPr>
      </w:pPr>
      <w:hyperlink r:id="rId51" w:anchor="_ftnref18" w:history="1">
        <w:r w:rsidR="007A28AA" w:rsidRPr="00084A46">
          <w:rPr>
            <w:rStyle w:val="Hyperlink"/>
            <w:rFonts w:ascii="Century Gothic" w:eastAsia="Century Gothic" w:hAnsi="Century Gothic" w:cs="Century Gothic"/>
            <w:sz w:val="14"/>
            <w:szCs w:val="14"/>
            <w:vertAlign w:val="superscript"/>
            <w:lang w:val="es-MX"/>
          </w:rPr>
          <w:t>[18]</w:t>
        </w:r>
      </w:hyperlink>
      <w:r w:rsidR="007A28AA" w:rsidRPr="00084A46">
        <w:rPr>
          <w:rFonts w:ascii="Century Gothic" w:eastAsia="Century Gothic" w:hAnsi="Century Gothic" w:cs="Century Gothic"/>
          <w:sz w:val="14"/>
          <w:szCs w:val="14"/>
          <w:lang w:val="es-MX"/>
        </w:rPr>
        <w:t xml:space="preserve"> En efecto</w:t>
      </w:r>
      <w:r w:rsidR="007A28AA" w:rsidRPr="00084A46">
        <w:rPr>
          <w:rFonts w:ascii="Century Gothic" w:eastAsia="Century Gothic" w:hAnsi="Century Gothic" w:cs="Century Gothic"/>
          <w:sz w:val="14"/>
          <w:szCs w:val="14"/>
          <w:lang w:val="es"/>
        </w:rPr>
        <w:t xml:space="preserve">, es importante mencionar desde este momento que mediante el Decreto 579 de 2021, expedido recientemente, el gobierno nacional anticipó estas medidas, sustituyendo algunos parágrafos transitorios que había agregado el Decreto 399 de 2021, como se explicará más adelante. Concretamente, el Decreto 579 de 2021 establece que en los procesos de selección cuyo acto administrativo de apertura o invitación se publique a partir del 1 de </w:t>
      </w:r>
      <w:r w:rsidR="007A28AA" w:rsidRPr="00084A46">
        <w:rPr>
          <w:rFonts w:ascii="Century Gothic" w:eastAsia="Century Gothic" w:hAnsi="Century Gothic" w:cs="Century Gothic"/>
          <w:i/>
          <w:iCs/>
          <w:sz w:val="14"/>
          <w:szCs w:val="14"/>
          <w:lang w:val="es"/>
        </w:rPr>
        <w:t>julio</w:t>
      </w:r>
      <w:r w:rsidR="007A28AA" w:rsidRPr="00084A46">
        <w:rPr>
          <w:rFonts w:ascii="Century Gothic" w:eastAsia="Century Gothic" w:hAnsi="Century Gothic" w:cs="Century Gothic"/>
          <w:sz w:val="14"/>
          <w:szCs w:val="14"/>
          <w:lang w:val="es"/>
        </w:rPr>
        <w:t xml:space="preserve"> de 2021 –ya no desde el 1 de septiembre, como inicialmente lo señalaba el Decreto 399 de 2021–, las entidades estatales deben evaluar los indicadores de la capacidad financiera teniendo en cuenta el mejor año fiscal que se refleje en el RUP, y con esta capacidad financiera también deberán calcular la capacidad residual.</w:t>
      </w:r>
    </w:p>
    <w:p w14:paraId="02E4D123" w14:textId="77777777" w:rsidR="007A28AA" w:rsidRPr="00084A46" w:rsidRDefault="00B42AA8" w:rsidP="007A28AA">
      <w:pPr>
        <w:spacing w:line="257" w:lineRule="auto"/>
        <w:ind w:firstLine="709"/>
        <w:contextualSpacing/>
        <w:jc w:val="both"/>
        <w:rPr>
          <w:rFonts w:ascii="Century Gothic" w:eastAsia="Century Gothic" w:hAnsi="Century Gothic" w:cs="Century Gothic"/>
          <w:sz w:val="14"/>
          <w:szCs w:val="14"/>
          <w:lang w:val="es"/>
        </w:rPr>
      </w:pPr>
      <w:hyperlink r:id="rId52" w:anchor="_ftnref19" w:history="1">
        <w:r w:rsidR="007A28AA" w:rsidRPr="00084A46">
          <w:rPr>
            <w:rStyle w:val="Hyperlink"/>
            <w:rFonts w:ascii="Century Gothic" w:eastAsia="Century Gothic" w:hAnsi="Century Gothic" w:cs="Century Gothic"/>
            <w:sz w:val="14"/>
            <w:szCs w:val="14"/>
            <w:vertAlign w:val="superscript"/>
            <w:lang w:val="es-MX"/>
          </w:rPr>
          <w:t>[19]</w:t>
        </w:r>
      </w:hyperlink>
      <w:r w:rsidR="007A28AA" w:rsidRPr="00084A46">
        <w:rPr>
          <w:rFonts w:ascii="Century Gothic" w:eastAsia="Century Gothic" w:hAnsi="Century Gothic" w:cs="Century Gothic"/>
          <w:sz w:val="14"/>
          <w:szCs w:val="14"/>
          <w:lang w:val="es-MX"/>
        </w:rPr>
        <w:t xml:space="preserve"> </w:t>
      </w:r>
      <w:r w:rsidR="007A28AA" w:rsidRPr="00084A46">
        <w:rPr>
          <w:rFonts w:ascii="Century Gothic" w:eastAsia="Century Gothic" w:hAnsi="Century Gothic" w:cs="Century Gothic"/>
          <w:sz w:val="14"/>
          <w:szCs w:val="14"/>
          <w:lang w:val="es"/>
        </w:rPr>
        <w:t>“Artículo 1. Sustitución de los parágrafos transitorios del artículo 2.2.1.1.1.5.2. del Decreto 1082 de 2015, Único Reglamentario del Sector Administrativo de Planeación Nacional. Sustitúyase los parágrafos transitorios del artículo 2.2.1.1.1.5.2. de la Subsección 5 de la Sección 1 del Capítulo 1 del Título 1 de la Parte 2 del Libro 2 del Decreto 1082 de 2015, Único Reglamentario del Sector Administrativo de Planeación Nacional, los cuales quedarán así:</w:t>
      </w:r>
    </w:p>
    <w:p w14:paraId="1F37D920" w14:textId="77777777" w:rsidR="007A28AA" w:rsidRPr="00084A46" w:rsidRDefault="007A28AA" w:rsidP="007A28AA">
      <w:pPr>
        <w:spacing w:line="276" w:lineRule="auto"/>
        <w:ind w:firstLine="709"/>
        <w:contextualSpacing/>
        <w:jc w:val="both"/>
        <w:rPr>
          <w:rFonts w:ascii="Century Gothic" w:eastAsia="Century Gothic" w:hAnsi="Century Gothic" w:cs="Century Gothic"/>
          <w:sz w:val="14"/>
          <w:szCs w:val="14"/>
          <w:lang w:val="es"/>
        </w:rPr>
      </w:pPr>
      <w:r w:rsidRPr="00084A46">
        <w:rPr>
          <w:rFonts w:ascii="Century Gothic" w:eastAsia="Century Gothic" w:hAnsi="Century Gothic" w:cs="Century Gothic"/>
          <w:i/>
          <w:iCs/>
          <w:color w:val="000000" w:themeColor="text1"/>
          <w:sz w:val="14"/>
          <w:szCs w:val="14"/>
        </w:rPr>
        <w:t>“</w:t>
      </w:r>
      <w:r w:rsidRPr="00084A46">
        <w:rPr>
          <w:rFonts w:ascii="Century Gothic" w:eastAsia="Century Gothic" w:hAnsi="Century Gothic" w:cs="Century Gothic"/>
          <w:sz w:val="14"/>
          <w:szCs w:val="14"/>
          <w:lang w:val="es"/>
        </w:rPr>
        <w:t>PARÁGRAFO TRANSITORIO 1: A partir del 1 de junio de 2021, para efectos de la inscripción en el Registro Único de Proponentes, el interesado reportará la información contable de que tratan los numerales 1.3 y 2.3 de este artículo, correspondiente a los últimos tres (3) años fiscales anteriores al respectivo acto.</w:t>
      </w:r>
    </w:p>
    <w:p w14:paraId="3C9156F3" w14:textId="77777777" w:rsidR="007A28AA" w:rsidRPr="00084A46" w:rsidRDefault="007A28AA" w:rsidP="007A28AA">
      <w:pPr>
        <w:spacing w:line="276" w:lineRule="auto"/>
        <w:ind w:firstLine="709"/>
        <w:contextualSpacing/>
        <w:jc w:val="both"/>
        <w:rPr>
          <w:rFonts w:ascii="Century Gothic" w:eastAsia="Century Gothic" w:hAnsi="Century Gothic" w:cs="Century Gothic"/>
          <w:sz w:val="14"/>
          <w:szCs w:val="14"/>
          <w:lang w:val="es"/>
        </w:rPr>
      </w:pPr>
      <w:r w:rsidRPr="00084A46">
        <w:rPr>
          <w:rFonts w:ascii="Century Gothic" w:eastAsia="Century Gothic" w:hAnsi="Century Gothic" w:cs="Century Gothic"/>
          <w:sz w:val="14"/>
          <w:szCs w:val="14"/>
          <w:lang w:val="es"/>
        </w:rPr>
        <w:t>En aquellos eventos en que el proponente no tenga la antigüedad suficiente para aportar la información financiera correspondiente a los tres (3) años descritos en el inciso anterior, podrá acreditar dicha información desde su primer cierre fiscal.</w:t>
      </w:r>
    </w:p>
    <w:p w14:paraId="2EC18D35" w14:textId="77777777" w:rsidR="007A28AA" w:rsidRPr="00084A46" w:rsidRDefault="007A28AA" w:rsidP="007A28AA">
      <w:pPr>
        <w:spacing w:line="276" w:lineRule="auto"/>
        <w:ind w:firstLine="709"/>
        <w:contextualSpacing/>
        <w:jc w:val="both"/>
        <w:rPr>
          <w:rFonts w:ascii="Century Gothic" w:eastAsia="Century Gothic" w:hAnsi="Century Gothic" w:cs="Century Gothic"/>
          <w:sz w:val="14"/>
          <w:szCs w:val="14"/>
          <w:lang w:val="es"/>
        </w:rPr>
      </w:pPr>
      <w:r w:rsidRPr="00084A46">
        <w:rPr>
          <w:rFonts w:ascii="Century Gothic" w:eastAsia="Century Gothic" w:hAnsi="Century Gothic" w:cs="Century Gothic"/>
          <w:sz w:val="14"/>
          <w:szCs w:val="14"/>
          <w:lang w:val="es"/>
        </w:rPr>
        <w:t>El proponente con inscripción activa y vigente que no tenga la información de la capacidad financiera y organizacional de los años 2018 y/o 2019 inscrita en el Registro Único de Proponentes, durante el mes de junio de 2021, podrá reportar por única vez, mediante una solicitud de actualización, únicamente la información contable correspondiente a estos años, sin costo alguno.</w:t>
      </w:r>
    </w:p>
    <w:p w14:paraId="5252F76E" w14:textId="77777777" w:rsidR="007A28AA" w:rsidRPr="00084A46" w:rsidRDefault="007A28AA" w:rsidP="007A28AA">
      <w:pPr>
        <w:spacing w:line="276" w:lineRule="auto"/>
        <w:ind w:firstLine="709"/>
        <w:contextualSpacing/>
        <w:jc w:val="both"/>
        <w:rPr>
          <w:rFonts w:ascii="Century Gothic" w:eastAsia="Century Gothic" w:hAnsi="Century Gothic" w:cs="Century Gothic"/>
          <w:sz w:val="14"/>
          <w:szCs w:val="14"/>
          <w:lang w:val="es"/>
        </w:rPr>
      </w:pPr>
      <w:r w:rsidRPr="00084A46">
        <w:rPr>
          <w:rFonts w:ascii="Century Gothic" w:eastAsia="Century Gothic" w:hAnsi="Century Gothic" w:cs="Century Gothic"/>
          <w:sz w:val="14"/>
          <w:szCs w:val="14"/>
          <w:lang w:val="es"/>
        </w:rPr>
        <w:t>El proponente que tenga inscrita en la cámara de comercio la información de la capacidad financiera y organizacional de los años 2018 y/o 2019, no deberá presentar la información que repose en la respectiva cámara de comercio, la cual conservará la firmeza para efectos de su certificación.</w:t>
      </w:r>
    </w:p>
    <w:p w14:paraId="53EB143F" w14:textId="77777777" w:rsidR="007A28AA" w:rsidRPr="00084A46" w:rsidRDefault="007A28AA" w:rsidP="60F725AE">
      <w:pPr>
        <w:spacing w:line="276" w:lineRule="auto"/>
        <w:ind w:firstLine="709"/>
        <w:contextualSpacing/>
        <w:jc w:val="both"/>
        <w:rPr>
          <w:rFonts w:ascii="Century Gothic" w:eastAsia="Century Gothic" w:hAnsi="Century Gothic" w:cs="Century Gothic"/>
          <w:sz w:val="14"/>
          <w:szCs w:val="14"/>
          <w:lang w:val="es-ES"/>
        </w:rPr>
      </w:pPr>
      <w:r w:rsidRPr="60F725AE">
        <w:rPr>
          <w:rFonts w:ascii="Century Gothic" w:eastAsia="Century Gothic" w:hAnsi="Century Gothic" w:cs="Century Gothic"/>
          <w:sz w:val="14"/>
          <w:szCs w:val="14"/>
          <w:lang w:val="es-ES"/>
        </w:rPr>
        <w:t>PARÁGRAFO TRANSITORIO 2: En el año 2022, para efectos de la inscripción o renovación del Registro Único de Proponentes, el interesado reportará la información contable de que tratan los numerales 1.3 y 2.3 de este artículo, correspondiente a los últimos tres (3) años fiscales anteriores al respectivo acto.</w:t>
      </w:r>
    </w:p>
    <w:p w14:paraId="7C749431" w14:textId="77777777" w:rsidR="007A28AA" w:rsidRPr="00084A46" w:rsidRDefault="007A28AA" w:rsidP="007A28AA">
      <w:pPr>
        <w:spacing w:line="276" w:lineRule="auto"/>
        <w:ind w:firstLine="709"/>
        <w:contextualSpacing/>
        <w:jc w:val="both"/>
        <w:rPr>
          <w:rFonts w:ascii="Century Gothic" w:eastAsia="Century Gothic" w:hAnsi="Century Gothic" w:cs="Century Gothic"/>
          <w:sz w:val="14"/>
          <w:szCs w:val="14"/>
          <w:lang w:val="es"/>
        </w:rPr>
      </w:pPr>
      <w:r w:rsidRPr="00084A46">
        <w:rPr>
          <w:rFonts w:ascii="Century Gothic" w:eastAsia="Century Gothic" w:hAnsi="Century Gothic" w:cs="Century Gothic"/>
          <w:sz w:val="14"/>
          <w:szCs w:val="14"/>
          <w:lang w:val="es"/>
        </w:rPr>
        <w:t>En aquellos eventos en que el proponente no tenga la antigüedad suficiente para aportar la información financiera correspondiente a los tres (3) años descritos en el inciso anterior, podrá acreditar dicha información desde su primer cierre fiscal.</w:t>
      </w:r>
    </w:p>
    <w:p w14:paraId="1F661DCE" w14:textId="77777777" w:rsidR="007A28AA" w:rsidRPr="00084A46" w:rsidRDefault="007A28AA" w:rsidP="007A28AA">
      <w:pPr>
        <w:spacing w:line="276" w:lineRule="auto"/>
        <w:ind w:firstLine="709"/>
        <w:contextualSpacing/>
        <w:jc w:val="both"/>
        <w:rPr>
          <w:rFonts w:ascii="Century Gothic" w:eastAsia="Century Gothic" w:hAnsi="Century Gothic" w:cs="Century Gothic"/>
          <w:sz w:val="14"/>
          <w:szCs w:val="14"/>
          <w:lang w:val="es"/>
        </w:rPr>
      </w:pPr>
      <w:r w:rsidRPr="00084A46">
        <w:rPr>
          <w:rFonts w:ascii="Century Gothic" w:eastAsia="Century Gothic" w:hAnsi="Century Gothic" w:cs="Century Gothic"/>
          <w:sz w:val="14"/>
          <w:szCs w:val="14"/>
          <w:lang w:val="es"/>
        </w:rPr>
        <w:t>El proponente que tenga inscrita en la cámara de comercio la información de la capacidad financiera y organizacional de los años 2019 y/o 2020, no deberá presentar la información que repose en la respectiva cámara de comercio, la cual conservará la firmeza para efectos de su certificación”.</w:t>
      </w:r>
    </w:p>
    <w:p w14:paraId="616BB0EB" w14:textId="77777777" w:rsidR="007A28AA" w:rsidRPr="007A28AA" w:rsidRDefault="007A28AA" w:rsidP="3CE3460D">
      <w:pPr>
        <w:rPr>
          <w:rFonts w:ascii="Century Gothic" w:eastAsia="Century Gothic" w:hAnsi="Century Gothic" w:cs="Century Gothic"/>
          <w:lang w:val="es"/>
        </w:rPr>
      </w:pPr>
    </w:p>
    <w:sectPr w:rsidR="007A28AA" w:rsidRPr="007A28AA" w:rsidSect="00A37BB1">
      <w:headerReference w:type="default" r:id="rId53"/>
      <w:footerReference w:type="default" r:id="rId54"/>
      <w:pgSz w:w="12240" w:h="15840" w:code="1"/>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AD6D8" w14:textId="77777777" w:rsidR="00A37BB1" w:rsidRDefault="00A37BB1" w:rsidP="00950DF7">
      <w:r>
        <w:separator/>
      </w:r>
    </w:p>
  </w:endnote>
  <w:endnote w:type="continuationSeparator" w:id="0">
    <w:p w14:paraId="6C61A0CF" w14:textId="77777777" w:rsidR="00A37BB1" w:rsidRDefault="00A37BB1" w:rsidP="00950DF7">
      <w:r>
        <w:continuationSeparator/>
      </w:r>
    </w:p>
  </w:endnote>
  <w:endnote w:type="continuationNotice" w:id="1">
    <w:p w14:paraId="0AFE3BDE" w14:textId="77777777" w:rsidR="00A37BB1" w:rsidRDefault="00A37B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libri"/>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643FC" w14:textId="77777777" w:rsidR="00FC0252" w:rsidRDefault="00FC0252" w:rsidP="00FC0252">
    <w:pPr>
      <w:pStyle w:val="Footer"/>
    </w:pPr>
    <w:r>
      <w:rPr>
        <w:noProof/>
      </w:rPr>
      <w:drawing>
        <wp:inline distT="0" distB="0" distL="0" distR="0" wp14:anchorId="62A5DDD2" wp14:editId="103BABFD">
          <wp:extent cx="5612130" cy="650240"/>
          <wp:effectExtent l="0" t="0" r="7620" b="0"/>
          <wp:docPr id="2075705150" name="Imagen 2075705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Cs w:val="24"/>
      </w:rPr>
      <w:drawing>
        <wp:anchor distT="0" distB="0" distL="114300" distR="114300" simplePos="0" relativeHeight="251658240" behindDoc="0" locked="0" layoutInCell="1" allowOverlap="1" wp14:anchorId="5C41D58F" wp14:editId="64AAC82E">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9164332" name="Imagen 159164332"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040523" name="Imagen 1567040523"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0252" w:rsidRPr="00080DA3" w14:paraId="6CBE64F4" w14:textId="77777777">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ACB114F" w14:textId="77777777" w:rsidR="00FC0252" w:rsidRPr="003F3941" w:rsidRDefault="00FC0252" w:rsidP="00FC0252">
          <w:pPr>
            <w:pStyle w:val="Footer"/>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3B63D9B8" w14:textId="77777777" w:rsidR="00FC0252" w:rsidRPr="003F3941" w:rsidRDefault="00FC0252" w:rsidP="00FC0252">
          <w:pPr>
            <w:pStyle w:val="Footer"/>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00A42F68" w14:textId="77777777" w:rsidR="00FC0252" w:rsidRPr="003F3941" w:rsidRDefault="00FC0252" w:rsidP="00FC0252">
          <w:pPr>
            <w:pStyle w:val="Footer"/>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15</w:t>
          </w:r>
          <w:r w:rsidRPr="003F3941">
            <w:rPr>
              <w:rFonts w:ascii="Century Gothic" w:hAnsi="Century Gothic"/>
              <w:sz w:val="16"/>
              <w:szCs w:val="16"/>
            </w:rPr>
            <w:t xml:space="preserve"> DE </w:t>
          </w:r>
          <w:r>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5BB47CD" w14:textId="77777777" w:rsidR="00FC0252" w:rsidRPr="003F3941" w:rsidRDefault="00FC0252" w:rsidP="00FC0252">
          <w:pPr>
            <w:pStyle w:val="Footer"/>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Pr>
              <w:rFonts w:ascii="Century Gothic" w:hAnsi="Century Gothic"/>
              <w:b/>
              <w:bCs/>
              <w:sz w:val="16"/>
              <w:szCs w:val="16"/>
            </w:rPr>
            <w:t>1</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Pr>
              <w:rFonts w:ascii="Century Gothic" w:hAnsi="Century Gothic"/>
              <w:b/>
              <w:bCs/>
              <w:sz w:val="16"/>
              <w:szCs w:val="16"/>
            </w:rPr>
            <w:t>2</w:t>
          </w:r>
          <w:r w:rsidRPr="003F3941">
            <w:rPr>
              <w:rFonts w:ascii="Century Gothic" w:hAnsi="Century Gothic"/>
              <w:b/>
              <w:bCs/>
              <w:sz w:val="16"/>
              <w:szCs w:val="16"/>
            </w:rPr>
            <w:fldChar w:fldCharType="end"/>
          </w:r>
        </w:p>
      </w:tc>
    </w:tr>
  </w:tbl>
  <w:p w14:paraId="4AD1B6F0" w14:textId="77777777" w:rsidR="00950DF7" w:rsidRPr="00FC0252" w:rsidRDefault="00950DF7" w:rsidP="00FC0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F04D3" w14:textId="77777777" w:rsidR="00A37BB1" w:rsidRDefault="00A37BB1" w:rsidP="00950DF7">
      <w:r>
        <w:separator/>
      </w:r>
    </w:p>
  </w:footnote>
  <w:footnote w:type="continuationSeparator" w:id="0">
    <w:p w14:paraId="6ECC4D4D" w14:textId="77777777" w:rsidR="00A37BB1" w:rsidRDefault="00A37BB1" w:rsidP="00950DF7">
      <w:r>
        <w:continuationSeparator/>
      </w:r>
    </w:p>
  </w:footnote>
  <w:footnote w:type="continuationNotice" w:id="1">
    <w:p w14:paraId="5B98FFAA" w14:textId="77777777" w:rsidR="00A37BB1" w:rsidRDefault="00A37B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3F2FF" w14:textId="77777777" w:rsidR="0020617F" w:rsidRDefault="0020617F" w:rsidP="0020617F">
    <w:pPr>
      <w:pStyle w:val="Header"/>
    </w:pPr>
    <w:r>
      <w:rPr>
        <w:noProof/>
      </w:rPr>
      <w:drawing>
        <wp:anchor distT="0" distB="0" distL="114300" distR="114300" simplePos="0" relativeHeight="251658241" behindDoc="1" locked="0" layoutInCell="1" allowOverlap="1" wp14:anchorId="5DD8D809" wp14:editId="62E4B453">
          <wp:simplePos x="0" y="0"/>
          <wp:positionH relativeFrom="margin">
            <wp:align>right</wp:align>
          </wp:positionH>
          <wp:positionV relativeFrom="margin">
            <wp:posOffset>-1135380</wp:posOffset>
          </wp:positionV>
          <wp:extent cx="1757045" cy="628650"/>
          <wp:effectExtent l="0" t="0" r="0" b="0"/>
          <wp:wrapNone/>
          <wp:docPr id="1478192251" name="Imagen 147819225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Cs w:val="24"/>
      </w:rPr>
      <w:drawing>
        <wp:anchor distT="0" distB="0" distL="114300" distR="114300" simplePos="0" relativeHeight="251658244" behindDoc="0" locked="0" layoutInCell="1" allowOverlap="1" wp14:anchorId="7AE6B2EF" wp14:editId="7F6B7268">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462230549" name="Imagen 1462230549"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356580" name="Imagen 1644356580"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Cs w:val="24"/>
      </w:rPr>
      <w:drawing>
        <wp:anchor distT="0" distB="0" distL="114300" distR="114300" simplePos="0" relativeHeight="251658243" behindDoc="0" locked="0" layoutInCell="1" allowOverlap="1" wp14:anchorId="5810FC16" wp14:editId="1EA3BF05">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2124758134" name="Imagen 2124758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0AE3F34B" wp14:editId="65F93ADE">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106514532" name="Imagen 106514532"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691DD875" w14:textId="77777777" w:rsidR="0020617F" w:rsidRDefault="0020617F" w:rsidP="0020617F">
    <w:pPr>
      <w:pStyle w:val="Header"/>
    </w:pPr>
  </w:p>
  <w:p w14:paraId="3905E6B5" w14:textId="77777777" w:rsidR="0020617F" w:rsidRDefault="0020617F" w:rsidP="0020617F">
    <w:pPr>
      <w:pStyle w:val="Header"/>
    </w:pPr>
  </w:p>
  <w:p w14:paraId="32707E4E" w14:textId="77777777" w:rsidR="0020617F" w:rsidRPr="004A305D" w:rsidRDefault="0020617F" w:rsidP="0020617F">
    <w:pPr>
      <w:rPr>
        <w:rFonts w:ascii="Century Gothic" w:hAnsi="Century Gothic"/>
        <w:color w:val="002060"/>
        <w:sz w:val="16"/>
        <w:szCs w:val="16"/>
      </w:rPr>
    </w:pPr>
    <w:r w:rsidRPr="004A305D">
      <w:rPr>
        <w:rFonts w:ascii="Century Gothic" w:hAnsi="Century Gothic"/>
        <w:color w:val="002060"/>
        <w:sz w:val="16"/>
        <w:szCs w:val="16"/>
      </w:rPr>
      <w:t>FORMATO PQRSD</w:t>
    </w:r>
  </w:p>
  <w:p w14:paraId="20AA33EE" w14:textId="77777777" w:rsidR="0020617F" w:rsidRPr="004A305D" w:rsidRDefault="0020617F" w:rsidP="0020617F">
    <w:pPr>
      <w:pBdr>
        <w:top w:val="nil"/>
        <w:left w:val="nil"/>
        <w:bottom w:val="nil"/>
        <w:right w:val="nil"/>
        <w:between w:val="nil"/>
      </w:pBdr>
      <w:tabs>
        <w:tab w:val="center" w:pos="4419"/>
        <w:tab w:val="right" w:pos="8838"/>
        <w:tab w:val="center" w:pos="5400"/>
      </w:tabs>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13</w:t>
    </w:r>
  </w:p>
  <w:p w14:paraId="3C96F0C7" w14:textId="77777777" w:rsidR="0020617F" w:rsidRDefault="0020617F" w:rsidP="0020617F">
    <w:pPr>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Pr>
        <w:rFonts w:ascii="Century Gothic" w:eastAsia="Geo" w:hAnsi="Century Gothic" w:cs="Geo"/>
        <w:sz w:val="16"/>
        <w:szCs w:val="16"/>
        <w:lang w:eastAsia="es-CO"/>
      </w:rPr>
      <w:t>3</w:t>
    </w:r>
  </w:p>
  <w:p w14:paraId="55E5DA52" w14:textId="45BF26AF" w:rsidR="00C11EE9" w:rsidRPr="0020617F" w:rsidRDefault="00C11EE9" w:rsidP="002061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A0E5B1E"/>
    <w:multiLevelType w:val="hybridMultilevel"/>
    <w:tmpl w:val="39D8653E"/>
    <w:lvl w:ilvl="0" w:tplc="83F86A42">
      <w:start w:val="1"/>
      <w:numFmt w:val="decimal"/>
      <w:lvlText w:val="%1."/>
      <w:lvlJc w:val="left"/>
      <w:pPr>
        <w:ind w:left="720" w:hanging="360"/>
      </w:pPr>
    </w:lvl>
    <w:lvl w:ilvl="1" w:tplc="E1CAB21E">
      <w:start w:val="1"/>
      <w:numFmt w:val="lowerLetter"/>
      <w:lvlText w:val="%2."/>
      <w:lvlJc w:val="left"/>
      <w:pPr>
        <w:ind w:left="1440" w:hanging="360"/>
      </w:pPr>
    </w:lvl>
    <w:lvl w:ilvl="2" w:tplc="CDE2CE3A">
      <w:start w:val="1"/>
      <w:numFmt w:val="lowerRoman"/>
      <w:lvlText w:val="%3."/>
      <w:lvlJc w:val="right"/>
      <w:pPr>
        <w:ind w:left="2160" w:hanging="180"/>
      </w:pPr>
    </w:lvl>
    <w:lvl w:ilvl="3" w:tplc="24A07A0C">
      <w:start w:val="1"/>
      <w:numFmt w:val="decimal"/>
      <w:lvlText w:val="%4."/>
      <w:lvlJc w:val="left"/>
      <w:pPr>
        <w:ind w:left="2880" w:hanging="360"/>
      </w:pPr>
    </w:lvl>
    <w:lvl w:ilvl="4" w:tplc="8FB0FDEC">
      <w:start w:val="1"/>
      <w:numFmt w:val="lowerLetter"/>
      <w:lvlText w:val="%5."/>
      <w:lvlJc w:val="left"/>
      <w:pPr>
        <w:ind w:left="3600" w:hanging="360"/>
      </w:pPr>
    </w:lvl>
    <w:lvl w:ilvl="5" w:tplc="136C97DA">
      <w:start w:val="1"/>
      <w:numFmt w:val="lowerRoman"/>
      <w:lvlText w:val="%6."/>
      <w:lvlJc w:val="right"/>
      <w:pPr>
        <w:ind w:left="4320" w:hanging="180"/>
      </w:pPr>
    </w:lvl>
    <w:lvl w:ilvl="6" w:tplc="FDDA4A36">
      <w:start w:val="1"/>
      <w:numFmt w:val="decimal"/>
      <w:lvlText w:val="%7."/>
      <w:lvlJc w:val="left"/>
      <w:pPr>
        <w:ind w:left="5040" w:hanging="360"/>
      </w:pPr>
    </w:lvl>
    <w:lvl w:ilvl="7" w:tplc="58A8926E">
      <w:start w:val="1"/>
      <w:numFmt w:val="lowerLetter"/>
      <w:lvlText w:val="%8."/>
      <w:lvlJc w:val="left"/>
      <w:pPr>
        <w:ind w:left="5760" w:hanging="360"/>
      </w:pPr>
    </w:lvl>
    <w:lvl w:ilvl="8" w:tplc="27BA64CE">
      <w:start w:val="1"/>
      <w:numFmt w:val="lowerRoman"/>
      <w:lvlText w:val="%9."/>
      <w:lvlJc w:val="right"/>
      <w:pPr>
        <w:ind w:left="6480" w:hanging="180"/>
      </w:pPr>
    </w:lvl>
  </w:abstractNum>
  <w:num w:numId="1" w16cid:durableId="1645500354">
    <w:abstractNumId w:val="0"/>
  </w:num>
  <w:num w:numId="2" w16cid:durableId="805514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F7"/>
    <w:rsid w:val="00033CA7"/>
    <w:rsid w:val="00040E76"/>
    <w:rsid w:val="00043D13"/>
    <w:rsid w:val="000460CE"/>
    <w:rsid w:val="0004698F"/>
    <w:rsid w:val="0005405C"/>
    <w:rsid w:val="000636D4"/>
    <w:rsid w:val="00084A46"/>
    <w:rsid w:val="000868A6"/>
    <w:rsid w:val="0009194C"/>
    <w:rsid w:val="00092218"/>
    <w:rsid w:val="00094407"/>
    <w:rsid w:val="000977C9"/>
    <w:rsid w:val="000A0743"/>
    <w:rsid w:val="000A5435"/>
    <w:rsid w:val="000B46EA"/>
    <w:rsid w:val="000B5520"/>
    <w:rsid w:val="000B7248"/>
    <w:rsid w:val="000C3009"/>
    <w:rsid w:val="000C5926"/>
    <w:rsid w:val="000D68A1"/>
    <w:rsid w:val="000D6D71"/>
    <w:rsid w:val="000E40F0"/>
    <w:rsid w:val="000F2799"/>
    <w:rsid w:val="000F6D56"/>
    <w:rsid w:val="00101285"/>
    <w:rsid w:val="001155BC"/>
    <w:rsid w:val="00117742"/>
    <w:rsid w:val="001235AB"/>
    <w:rsid w:val="00125FAE"/>
    <w:rsid w:val="001310BD"/>
    <w:rsid w:val="001425C6"/>
    <w:rsid w:val="00155AA4"/>
    <w:rsid w:val="00172302"/>
    <w:rsid w:val="00175731"/>
    <w:rsid w:val="00181A0F"/>
    <w:rsid w:val="00187C2F"/>
    <w:rsid w:val="001957A4"/>
    <w:rsid w:val="001A0BEF"/>
    <w:rsid w:val="001A5C14"/>
    <w:rsid w:val="001B561E"/>
    <w:rsid w:val="001B7D44"/>
    <w:rsid w:val="001C7A05"/>
    <w:rsid w:val="001F0E5D"/>
    <w:rsid w:val="001F2B20"/>
    <w:rsid w:val="0020617F"/>
    <w:rsid w:val="00211FD1"/>
    <w:rsid w:val="00212893"/>
    <w:rsid w:val="00241891"/>
    <w:rsid w:val="0024319D"/>
    <w:rsid w:val="00246C39"/>
    <w:rsid w:val="0025058A"/>
    <w:rsid w:val="00255DF7"/>
    <w:rsid w:val="00256066"/>
    <w:rsid w:val="00264399"/>
    <w:rsid w:val="002669E5"/>
    <w:rsid w:val="00290C3D"/>
    <w:rsid w:val="00293329"/>
    <w:rsid w:val="002B3621"/>
    <w:rsid w:val="002C0664"/>
    <w:rsid w:val="002C1CE3"/>
    <w:rsid w:val="002D5C6B"/>
    <w:rsid w:val="002E5EF3"/>
    <w:rsid w:val="002F7C3F"/>
    <w:rsid w:val="003168A5"/>
    <w:rsid w:val="0031762F"/>
    <w:rsid w:val="00334AF9"/>
    <w:rsid w:val="0034655E"/>
    <w:rsid w:val="00350F02"/>
    <w:rsid w:val="00351231"/>
    <w:rsid w:val="003532FE"/>
    <w:rsid w:val="0036284A"/>
    <w:rsid w:val="00362D7B"/>
    <w:rsid w:val="00370A7F"/>
    <w:rsid w:val="0037323E"/>
    <w:rsid w:val="00373C31"/>
    <w:rsid w:val="00376C51"/>
    <w:rsid w:val="003776A6"/>
    <w:rsid w:val="00397A6A"/>
    <w:rsid w:val="003A0666"/>
    <w:rsid w:val="003A0BAA"/>
    <w:rsid w:val="003A2031"/>
    <w:rsid w:val="003A5D7C"/>
    <w:rsid w:val="003A625B"/>
    <w:rsid w:val="003B145A"/>
    <w:rsid w:val="003B1E39"/>
    <w:rsid w:val="003C068D"/>
    <w:rsid w:val="003C139B"/>
    <w:rsid w:val="003C2315"/>
    <w:rsid w:val="003D3123"/>
    <w:rsid w:val="003E6501"/>
    <w:rsid w:val="004054C5"/>
    <w:rsid w:val="00414B63"/>
    <w:rsid w:val="00416A9E"/>
    <w:rsid w:val="00427B2C"/>
    <w:rsid w:val="00437115"/>
    <w:rsid w:val="00442C55"/>
    <w:rsid w:val="004438F1"/>
    <w:rsid w:val="00444818"/>
    <w:rsid w:val="00445994"/>
    <w:rsid w:val="00445B9A"/>
    <w:rsid w:val="00445F15"/>
    <w:rsid w:val="00457114"/>
    <w:rsid w:val="00461E1C"/>
    <w:rsid w:val="00471153"/>
    <w:rsid w:val="004730E2"/>
    <w:rsid w:val="004845C5"/>
    <w:rsid w:val="004B2C2B"/>
    <w:rsid w:val="004E4FED"/>
    <w:rsid w:val="004F59CA"/>
    <w:rsid w:val="004F5B4B"/>
    <w:rsid w:val="00526B09"/>
    <w:rsid w:val="00532050"/>
    <w:rsid w:val="00534DAE"/>
    <w:rsid w:val="00535949"/>
    <w:rsid w:val="005505E3"/>
    <w:rsid w:val="0055220E"/>
    <w:rsid w:val="005709F1"/>
    <w:rsid w:val="00581D20"/>
    <w:rsid w:val="00592023"/>
    <w:rsid w:val="005A0728"/>
    <w:rsid w:val="005A3120"/>
    <w:rsid w:val="005A3892"/>
    <w:rsid w:val="005B31EF"/>
    <w:rsid w:val="005C0C3C"/>
    <w:rsid w:val="005C1093"/>
    <w:rsid w:val="005D1256"/>
    <w:rsid w:val="005D3FDD"/>
    <w:rsid w:val="005D53D8"/>
    <w:rsid w:val="005E29BF"/>
    <w:rsid w:val="005F0149"/>
    <w:rsid w:val="005F5F4C"/>
    <w:rsid w:val="00603258"/>
    <w:rsid w:val="00613B8F"/>
    <w:rsid w:val="00642FAD"/>
    <w:rsid w:val="0064684E"/>
    <w:rsid w:val="00657573"/>
    <w:rsid w:val="00671C54"/>
    <w:rsid w:val="00673576"/>
    <w:rsid w:val="006737CF"/>
    <w:rsid w:val="006774A8"/>
    <w:rsid w:val="0069070E"/>
    <w:rsid w:val="00693B1C"/>
    <w:rsid w:val="00695E0C"/>
    <w:rsid w:val="00696EC8"/>
    <w:rsid w:val="006A6928"/>
    <w:rsid w:val="006D319F"/>
    <w:rsid w:val="006E7609"/>
    <w:rsid w:val="006E77C5"/>
    <w:rsid w:val="006E7B77"/>
    <w:rsid w:val="00701046"/>
    <w:rsid w:val="00716AB2"/>
    <w:rsid w:val="007307A6"/>
    <w:rsid w:val="00744227"/>
    <w:rsid w:val="00747FBC"/>
    <w:rsid w:val="00754E16"/>
    <w:rsid w:val="00762584"/>
    <w:rsid w:val="00763E43"/>
    <w:rsid w:val="00773849"/>
    <w:rsid w:val="00781AC2"/>
    <w:rsid w:val="0079188E"/>
    <w:rsid w:val="007969EF"/>
    <w:rsid w:val="00797A18"/>
    <w:rsid w:val="007A28AA"/>
    <w:rsid w:val="007A2F39"/>
    <w:rsid w:val="007A617C"/>
    <w:rsid w:val="007B0D03"/>
    <w:rsid w:val="007B1784"/>
    <w:rsid w:val="007B79FF"/>
    <w:rsid w:val="007C753D"/>
    <w:rsid w:val="007D2258"/>
    <w:rsid w:val="007D4B63"/>
    <w:rsid w:val="007D76AC"/>
    <w:rsid w:val="007F7197"/>
    <w:rsid w:val="00804297"/>
    <w:rsid w:val="00805FE9"/>
    <w:rsid w:val="008074E3"/>
    <w:rsid w:val="00815DA5"/>
    <w:rsid w:val="00825DA8"/>
    <w:rsid w:val="0083520B"/>
    <w:rsid w:val="00837844"/>
    <w:rsid w:val="00840E20"/>
    <w:rsid w:val="00860608"/>
    <w:rsid w:val="00867946"/>
    <w:rsid w:val="00890DA4"/>
    <w:rsid w:val="008A7F2B"/>
    <w:rsid w:val="0090423F"/>
    <w:rsid w:val="00912B2C"/>
    <w:rsid w:val="00941D0A"/>
    <w:rsid w:val="00947206"/>
    <w:rsid w:val="00950DF7"/>
    <w:rsid w:val="009545C2"/>
    <w:rsid w:val="009564CC"/>
    <w:rsid w:val="00963831"/>
    <w:rsid w:val="00973329"/>
    <w:rsid w:val="00980630"/>
    <w:rsid w:val="00983F0D"/>
    <w:rsid w:val="009919FC"/>
    <w:rsid w:val="009A24F7"/>
    <w:rsid w:val="009B34D3"/>
    <w:rsid w:val="009B6FA0"/>
    <w:rsid w:val="009C4859"/>
    <w:rsid w:val="009D6C30"/>
    <w:rsid w:val="009D7A03"/>
    <w:rsid w:val="009E45F6"/>
    <w:rsid w:val="009E525A"/>
    <w:rsid w:val="009E696A"/>
    <w:rsid w:val="009F0C6B"/>
    <w:rsid w:val="009F1A36"/>
    <w:rsid w:val="009F2E37"/>
    <w:rsid w:val="00A12113"/>
    <w:rsid w:val="00A1362C"/>
    <w:rsid w:val="00A16495"/>
    <w:rsid w:val="00A23285"/>
    <w:rsid w:val="00A30368"/>
    <w:rsid w:val="00A319D2"/>
    <w:rsid w:val="00A34553"/>
    <w:rsid w:val="00A35D77"/>
    <w:rsid w:val="00A37BB1"/>
    <w:rsid w:val="00A40C33"/>
    <w:rsid w:val="00A551D2"/>
    <w:rsid w:val="00A6242E"/>
    <w:rsid w:val="00A62746"/>
    <w:rsid w:val="00A62F8E"/>
    <w:rsid w:val="00A720F6"/>
    <w:rsid w:val="00A76FE8"/>
    <w:rsid w:val="00A83365"/>
    <w:rsid w:val="00AA1BA1"/>
    <w:rsid w:val="00AB126D"/>
    <w:rsid w:val="00AB2EE3"/>
    <w:rsid w:val="00AB3C82"/>
    <w:rsid w:val="00AE1316"/>
    <w:rsid w:val="00AE405B"/>
    <w:rsid w:val="00AE6492"/>
    <w:rsid w:val="00B01E4F"/>
    <w:rsid w:val="00B13910"/>
    <w:rsid w:val="00B17550"/>
    <w:rsid w:val="00B2709C"/>
    <w:rsid w:val="00B42AA8"/>
    <w:rsid w:val="00B43CF0"/>
    <w:rsid w:val="00B43FFA"/>
    <w:rsid w:val="00B5194C"/>
    <w:rsid w:val="00B715F0"/>
    <w:rsid w:val="00B742E2"/>
    <w:rsid w:val="00B8410B"/>
    <w:rsid w:val="00B910BF"/>
    <w:rsid w:val="00B97E23"/>
    <w:rsid w:val="00BC55DC"/>
    <w:rsid w:val="00BD15AC"/>
    <w:rsid w:val="00BE0F40"/>
    <w:rsid w:val="00C05B77"/>
    <w:rsid w:val="00C074A7"/>
    <w:rsid w:val="00C11EE9"/>
    <w:rsid w:val="00C1432C"/>
    <w:rsid w:val="00C25A81"/>
    <w:rsid w:val="00C420A8"/>
    <w:rsid w:val="00C439CA"/>
    <w:rsid w:val="00C43C2B"/>
    <w:rsid w:val="00C44D80"/>
    <w:rsid w:val="00C54739"/>
    <w:rsid w:val="00C60F43"/>
    <w:rsid w:val="00C85A5E"/>
    <w:rsid w:val="00C87954"/>
    <w:rsid w:val="00CA6A03"/>
    <w:rsid w:val="00CB307A"/>
    <w:rsid w:val="00CB70FF"/>
    <w:rsid w:val="00CC0496"/>
    <w:rsid w:val="00CD3735"/>
    <w:rsid w:val="00CE15DC"/>
    <w:rsid w:val="00CE3A6E"/>
    <w:rsid w:val="00CF537D"/>
    <w:rsid w:val="00D04574"/>
    <w:rsid w:val="00D11C34"/>
    <w:rsid w:val="00D26202"/>
    <w:rsid w:val="00D33F26"/>
    <w:rsid w:val="00D42ECD"/>
    <w:rsid w:val="00D47C17"/>
    <w:rsid w:val="00D51C98"/>
    <w:rsid w:val="00D51D91"/>
    <w:rsid w:val="00D56015"/>
    <w:rsid w:val="00D706E2"/>
    <w:rsid w:val="00D74DA1"/>
    <w:rsid w:val="00D905F1"/>
    <w:rsid w:val="00D94E36"/>
    <w:rsid w:val="00DA0FBF"/>
    <w:rsid w:val="00DB3131"/>
    <w:rsid w:val="00DB4A50"/>
    <w:rsid w:val="00DC4C54"/>
    <w:rsid w:val="00DD6108"/>
    <w:rsid w:val="00DE6E19"/>
    <w:rsid w:val="00DE7E5B"/>
    <w:rsid w:val="00DF0BBC"/>
    <w:rsid w:val="00DF1494"/>
    <w:rsid w:val="00DF15CC"/>
    <w:rsid w:val="00DF41C8"/>
    <w:rsid w:val="00E02EDC"/>
    <w:rsid w:val="00E06284"/>
    <w:rsid w:val="00E213CE"/>
    <w:rsid w:val="00E37348"/>
    <w:rsid w:val="00E42D0E"/>
    <w:rsid w:val="00E64259"/>
    <w:rsid w:val="00E73D76"/>
    <w:rsid w:val="00E778CC"/>
    <w:rsid w:val="00E8794F"/>
    <w:rsid w:val="00E92452"/>
    <w:rsid w:val="00E96512"/>
    <w:rsid w:val="00E97A44"/>
    <w:rsid w:val="00EB2EFA"/>
    <w:rsid w:val="00EC1D3B"/>
    <w:rsid w:val="00EC48F7"/>
    <w:rsid w:val="00ED0108"/>
    <w:rsid w:val="00ED1561"/>
    <w:rsid w:val="00EE0CF7"/>
    <w:rsid w:val="00EE601D"/>
    <w:rsid w:val="00EF7E7B"/>
    <w:rsid w:val="00F0413A"/>
    <w:rsid w:val="00F101ED"/>
    <w:rsid w:val="00F25A79"/>
    <w:rsid w:val="00F304EA"/>
    <w:rsid w:val="00F32DE5"/>
    <w:rsid w:val="00F33DC1"/>
    <w:rsid w:val="00F3626D"/>
    <w:rsid w:val="00F43B1B"/>
    <w:rsid w:val="00F5184E"/>
    <w:rsid w:val="00F51B7C"/>
    <w:rsid w:val="00F51F9C"/>
    <w:rsid w:val="00F564C0"/>
    <w:rsid w:val="00F61653"/>
    <w:rsid w:val="00F72B91"/>
    <w:rsid w:val="00F941DB"/>
    <w:rsid w:val="00F95148"/>
    <w:rsid w:val="00F96587"/>
    <w:rsid w:val="00FB347B"/>
    <w:rsid w:val="00FC0252"/>
    <w:rsid w:val="00FC3BED"/>
    <w:rsid w:val="00FC6857"/>
    <w:rsid w:val="00FE4C7B"/>
    <w:rsid w:val="00FF6F2E"/>
    <w:rsid w:val="01BB21EC"/>
    <w:rsid w:val="08404D66"/>
    <w:rsid w:val="0ACEA42A"/>
    <w:rsid w:val="0DE2C546"/>
    <w:rsid w:val="0E3FAB7A"/>
    <w:rsid w:val="0E4FEED9"/>
    <w:rsid w:val="125FD720"/>
    <w:rsid w:val="12A40309"/>
    <w:rsid w:val="134EAC7D"/>
    <w:rsid w:val="13A318D6"/>
    <w:rsid w:val="14AC2F82"/>
    <w:rsid w:val="1625EBF8"/>
    <w:rsid w:val="17B3C097"/>
    <w:rsid w:val="1A07C81B"/>
    <w:rsid w:val="1A63FB51"/>
    <w:rsid w:val="1B2CBB1E"/>
    <w:rsid w:val="1E48077F"/>
    <w:rsid w:val="207E8394"/>
    <w:rsid w:val="22BA288B"/>
    <w:rsid w:val="25AC3AE6"/>
    <w:rsid w:val="25F4966C"/>
    <w:rsid w:val="2E47398E"/>
    <w:rsid w:val="2F1C0017"/>
    <w:rsid w:val="301249F9"/>
    <w:rsid w:val="31AB405A"/>
    <w:rsid w:val="35BE760A"/>
    <w:rsid w:val="37322AF7"/>
    <w:rsid w:val="3A4910F9"/>
    <w:rsid w:val="3CE3460D"/>
    <w:rsid w:val="3E288D53"/>
    <w:rsid w:val="448FBCB1"/>
    <w:rsid w:val="48330388"/>
    <w:rsid w:val="495EA5E0"/>
    <w:rsid w:val="4A5014EC"/>
    <w:rsid w:val="4A9A233D"/>
    <w:rsid w:val="4BE22861"/>
    <w:rsid w:val="4C375E08"/>
    <w:rsid w:val="50615FFC"/>
    <w:rsid w:val="50D445F4"/>
    <w:rsid w:val="57CD4398"/>
    <w:rsid w:val="59B4B7FB"/>
    <w:rsid w:val="5AF16B15"/>
    <w:rsid w:val="5B5F60D7"/>
    <w:rsid w:val="5E707CE5"/>
    <w:rsid w:val="5F080ED7"/>
    <w:rsid w:val="603BA852"/>
    <w:rsid w:val="60F725AE"/>
    <w:rsid w:val="61C34C57"/>
    <w:rsid w:val="62BA9847"/>
    <w:rsid w:val="638CFB9A"/>
    <w:rsid w:val="63C8FCE4"/>
    <w:rsid w:val="641F31D1"/>
    <w:rsid w:val="64EF9824"/>
    <w:rsid w:val="674FC57E"/>
    <w:rsid w:val="67786F0D"/>
    <w:rsid w:val="6B26E642"/>
    <w:rsid w:val="70551974"/>
    <w:rsid w:val="71CF03C4"/>
    <w:rsid w:val="73609E08"/>
    <w:rsid w:val="76EBA3A5"/>
    <w:rsid w:val="7DC2EB50"/>
    <w:rsid w:val="7EABFD8B"/>
    <w:rsid w:val="7EB0359C"/>
    <w:rsid w:val="7FA75D5D"/>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1C2A4"/>
  <w15:docId w15:val="{A960E3AA-C064-49B8-999F-24860D939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DF7"/>
    <w:pPr>
      <w:spacing w:after="0" w:line="240" w:lineRule="auto"/>
    </w:pPr>
    <w:rPr>
      <w:rFonts w:ascii="Times New Roman" w:eastAsia="Times New Roman" w:hAnsi="Times New Roman" w:cs="Times New Roman"/>
      <w:sz w:val="24"/>
      <w:szCs w:val="24"/>
      <w:lang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DF7"/>
    <w:pPr>
      <w:tabs>
        <w:tab w:val="center" w:pos="4419"/>
        <w:tab w:val="right" w:pos="8838"/>
      </w:tabs>
    </w:pPr>
    <w:rPr>
      <w:rFonts w:asciiTheme="minorHAnsi" w:eastAsiaTheme="minorHAnsi" w:hAnsiTheme="minorHAnsi" w:cstheme="minorBidi"/>
      <w:szCs w:val="22"/>
      <w:lang w:val="es-MX" w:eastAsia="en-US"/>
    </w:rPr>
  </w:style>
  <w:style w:type="character" w:customStyle="1" w:styleId="FooterChar">
    <w:name w:val="Footer Char"/>
    <w:basedOn w:val="DefaultParagraphFont"/>
    <w:link w:val="Footer"/>
    <w:uiPriority w:val="99"/>
    <w:rsid w:val="00950DF7"/>
    <w:rPr>
      <w:sz w:val="24"/>
      <w:lang w:val="es-MX"/>
    </w:rPr>
  </w:style>
  <w:style w:type="paragraph" w:styleId="Header">
    <w:name w:val="header"/>
    <w:basedOn w:val="Normal"/>
    <w:link w:val="HeaderChar"/>
    <w:uiPriority w:val="99"/>
    <w:unhideWhenUsed/>
    <w:rsid w:val="00950DF7"/>
    <w:pPr>
      <w:tabs>
        <w:tab w:val="center" w:pos="4252"/>
        <w:tab w:val="right" w:pos="8504"/>
      </w:tabs>
    </w:pPr>
    <w:rPr>
      <w:rFonts w:asciiTheme="minorHAnsi" w:eastAsiaTheme="minorHAnsi" w:hAnsiTheme="minorHAnsi" w:cstheme="minorBidi"/>
      <w:szCs w:val="22"/>
      <w:lang w:val="es-MX" w:eastAsia="en-US"/>
    </w:rPr>
  </w:style>
  <w:style w:type="character" w:customStyle="1" w:styleId="HeaderChar">
    <w:name w:val="Header Char"/>
    <w:basedOn w:val="DefaultParagraphFont"/>
    <w:link w:val="Header"/>
    <w:uiPriority w:val="99"/>
    <w:rsid w:val="00950DF7"/>
    <w:rPr>
      <w:sz w:val="24"/>
      <w:lang w:val="es-MX"/>
    </w:rPr>
  </w:style>
  <w:style w:type="table" w:styleId="TableGrid">
    <w:name w:val="Table Grid"/>
    <w:basedOn w:val="TableNormal"/>
    <w:uiPriority w:val="39"/>
    <w:rsid w:val="00950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tografía,Párrafo de lista1,Bullet List,FooterText,numbered,Paragraphe de liste1,lp1,Scitum normal,HOJA,Bolita,Párrafo de lista4,BOLADEF,Párrafo de lista3,Párrafo de lista21,BOLA,Nivel 1 OS,Colorful List Accent 1"/>
    <w:basedOn w:val="Normal"/>
    <w:link w:val="ListParagraphChar"/>
    <w:uiPriority w:val="34"/>
    <w:qFormat/>
    <w:rsid w:val="00950DF7"/>
    <w:pPr>
      <w:ind w:left="720"/>
      <w:contextualSpacing/>
    </w:pPr>
    <w:rPr>
      <w:rFonts w:asciiTheme="minorHAnsi" w:eastAsiaTheme="minorHAnsi" w:hAnsiTheme="minorHAnsi" w:cstheme="minorBidi"/>
      <w:szCs w:val="22"/>
      <w:lang w:val="es-MX" w:eastAsia="en-US"/>
    </w:rPr>
  </w:style>
  <w:style w:type="character" w:styleId="Hyperlink">
    <w:name w:val="Hyperlink"/>
    <w:basedOn w:val="DefaultParagraphFont"/>
    <w:uiPriority w:val="99"/>
    <w:unhideWhenUsed/>
    <w:rsid w:val="00950DF7"/>
    <w:rPr>
      <w:color w:val="0563C1" w:themeColor="hyperlink"/>
      <w:u w:val="single"/>
    </w:rPr>
  </w:style>
  <w:style w:type="paragraph" w:styleId="NormalWeb">
    <w:name w:val="Normal (Web)"/>
    <w:basedOn w:val="Normal"/>
    <w:link w:val="NormalWebChar"/>
    <w:uiPriority w:val="99"/>
    <w:unhideWhenUsed/>
    <w:rsid w:val="00950DF7"/>
    <w:pPr>
      <w:spacing w:before="100" w:beforeAutospacing="1" w:after="100" w:afterAutospacing="1"/>
    </w:pPr>
    <w:rPr>
      <w:lang w:eastAsia="es-CO"/>
    </w:rPr>
  </w:style>
  <w:style w:type="paragraph" w:styleId="NoSpacing">
    <w:name w:val="No Spacing"/>
    <w:aliases w:val="No Indent"/>
    <w:uiPriority w:val="3"/>
    <w:qFormat/>
    <w:rsid w:val="00950DF7"/>
    <w:pPr>
      <w:spacing w:after="0" w:line="240" w:lineRule="auto"/>
    </w:pPr>
    <w:rPr>
      <w:sz w:val="24"/>
      <w:lang w:val="es-MX"/>
    </w:rPr>
  </w:style>
  <w:style w:type="character" w:customStyle="1" w:styleId="FootnoteTextChar">
    <w:name w:val="Footnote Text Char"/>
    <w:aliases w:val="Ref. de nota al pie1 Char,Texto de nota al pie Char,referencia nota al pie Char,Appel note de bas de page Char,Footnotes refss Char,Footnote number Char,BVI fnr Char,Footnote Text Char Char Char Char Char Char,Footnote reference Char"/>
    <w:basedOn w:val="DefaultParagraphFont"/>
    <w:link w:val="FootnoteText"/>
    <w:uiPriority w:val="99"/>
    <w:qFormat/>
    <w:locked/>
    <w:rsid w:val="00950DF7"/>
    <w:rPr>
      <w:sz w:val="20"/>
      <w:szCs w:val="20"/>
      <w:lang w:val="es-MX"/>
    </w:rPr>
  </w:style>
  <w:style w:type="paragraph" w:styleId="FootnoteText">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FootnoteTextChar"/>
    <w:uiPriority w:val="99"/>
    <w:unhideWhenUsed/>
    <w:qFormat/>
    <w:rsid w:val="00950DF7"/>
    <w:rPr>
      <w:rFonts w:asciiTheme="minorHAnsi" w:eastAsiaTheme="minorHAnsi" w:hAnsiTheme="minorHAnsi" w:cstheme="minorBidi"/>
      <w:sz w:val="20"/>
      <w:szCs w:val="20"/>
      <w:lang w:val="es-MX" w:eastAsia="en-US"/>
    </w:rPr>
  </w:style>
  <w:style w:type="character" w:customStyle="1" w:styleId="TextonotapieCar1">
    <w:name w:val="Texto nota pie Car1"/>
    <w:basedOn w:val="DefaultParagraphFont"/>
    <w:uiPriority w:val="99"/>
    <w:semiHidden/>
    <w:rsid w:val="00950DF7"/>
    <w:rPr>
      <w:rFonts w:ascii="Times New Roman" w:eastAsia="Times New Roman" w:hAnsi="Times New Roman" w:cs="Times New Roman"/>
      <w:sz w:val="20"/>
      <w:szCs w:val="20"/>
      <w:lang w:eastAsia="es-ES_tradnl"/>
    </w:rPr>
  </w:style>
  <w:style w:type="character" w:customStyle="1" w:styleId="ListParagraphChar">
    <w:name w:val="List Paragraph Char"/>
    <w:aliases w:val="Fotografía Char,Párrafo de lista1 Char,Bullet List Char,FooterText Char,numbered Char,Paragraphe de liste1 Char,lp1 Char,Scitum normal Char,HOJA Char,Bolita Char,Párrafo de lista4 Char,BOLADEF Char,Párrafo de lista3 Char,BOLA Char"/>
    <w:link w:val="ListParagraph"/>
    <w:uiPriority w:val="34"/>
    <w:qFormat/>
    <w:locked/>
    <w:rsid w:val="00950DF7"/>
    <w:rPr>
      <w:sz w:val="24"/>
      <w:lang w:val="es-MX"/>
    </w:rPr>
  </w:style>
  <w:style w:type="character" w:styleId="FootnoteReference">
    <w:name w:val="footnote reference"/>
    <w:aliases w:val="Ref. de nota al pie 2,Ref,de nota al pie,FC,Appel note de bas de p,f,4_G,16 Point,Superscript 6 Point,Texto nota al pie,Pie de Página,Texto de nota al pi,Nota de pie,Footnote Reference Char3,Texto nota pie Car2,Texto de nota al p,F,R"/>
    <w:basedOn w:val="DefaultParagraphFont"/>
    <w:link w:val="Appelnotedebasde"/>
    <w:uiPriority w:val="99"/>
    <w:unhideWhenUsed/>
    <w:qFormat/>
    <w:rsid w:val="00950DF7"/>
    <w:rPr>
      <w:vertAlign w:val="superscript"/>
    </w:rPr>
  </w:style>
  <w:style w:type="table" w:customStyle="1" w:styleId="Tablaconcuadrcula1">
    <w:name w:val="Tabla con cuadrícula1"/>
    <w:basedOn w:val="TableNormal"/>
    <w:next w:val="TableGrid"/>
    <w:uiPriority w:val="59"/>
    <w:rsid w:val="00950DF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FootnoteReference"/>
    <w:uiPriority w:val="99"/>
    <w:rsid w:val="00950DF7"/>
    <w:pPr>
      <w:spacing w:after="160" w:line="240" w:lineRule="exact"/>
    </w:pPr>
    <w:rPr>
      <w:rFonts w:asciiTheme="minorHAnsi" w:eastAsiaTheme="minorHAnsi" w:hAnsiTheme="minorHAnsi" w:cstheme="minorBidi"/>
      <w:sz w:val="22"/>
      <w:szCs w:val="22"/>
      <w:vertAlign w:val="superscript"/>
      <w:lang w:eastAsia="en-US"/>
    </w:rPr>
  </w:style>
  <w:style w:type="character" w:styleId="Strong">
    <w:name w:val="Strong"/>
    <w:basedOn w:val="DefaultParagraphFont"/>
    <w:uiPriority w:val="22"/>
    <w:qFormat/>
    <w:rsid w:val="00950DF7"/>
    <w:rPr>
      <w:b/>
      <w:bCs/>
    </w:rPr>
  </w:style>
  <w:style w:type="character" w:customStyle="1" w:styleId="NormalWebChar">
    <w:name w:val="Normal (Web) Char"/>
    <w:link w:val="NormalWeb"/>
    <w:uiPriority w:val="99"/>
    <w:rsid w:val="00950DF7"/>
    <w:rPr>
      <w:rFonts w:ascii="Times New Roman" w:eastAsia="Times New Roman" w:hAnsi="Times New Roman" w:cs="Times New Roman"/>
      <w:sz w:val="24"/>
      <w:szCs w:val="24"/>
      <w:lang w:eastAsia="es-CO"/>
    </w:rPr>
  </w:style>
  <w:style w:type="paragraph" w:styleId="Revision">
    <w:name w:val="Revision"/>
    <w:hidden/>
    <w:uiPriority w:val="99"/>
    <w:semiHidden/>
    <w:rsid w:val="00A6242E"/>
    <w:pPr>
      <w:spacing w:after="0" w:line="240" w:lineRule="auto"/>
    </w:pPr>
    <w:rPr>
      <w:rFonts w:ascii="Times New Roman" w:eastAsia="Times New Roman" w:hAnsi="Times New Roman" w:cs="Times New Roman"/>
      <w:sz w:val="24"/>
      <w:szCs w:val="24"/>
      <w:lang w:eastAsia="es-ES_tradnl"/>
    </w:rPr>
  </w:style>
  <w:style w:type="character" w:styleId="CommentReference">
    <w:name w:val="annotation reference"/>
    <w:basedOn w:val="DefaultParagraphFont"/>
    <w:uiPriority w:val="99"/>
    <w:semiHidden/>
    <w:unhideWhenUsed/>
    <w:rsid w:val="003A2031"/>
    <w:rPr>
      <w:sz w:val="16"/>
      <w:szCs w:val="16"/>
    </w:rPr>
  </w:style>
  <w:style w:type="paragraph" w:styleId="CommentText">
    <w:name w:val="annotation text"/>
    <w:basedOn w:val="Normal"/>
    <w:link w:val="CommentTextChar"/>
    <w:uiPriority w:val="99"/>
    <w:unhideWhenUsed/>
    <w:rsid w:val="003A2031"/>
    <w:rPr>
      <w:sz w:val="20"/>
      <w:szCs w:val="20"/>
    </w:rPr>
  </w:style>
  <w:style w:type="character" w:customStyle="1" w:styleId="CommentTextChar">
    <w:name w:val="Comment Text Char"/>
    <w:basedOn w:val="DefaultParagraphFont"/>
    <w:link w:val="CommentText"/>
    <w:uiPriority w:val="99"/>
    <w:rsid w:val="003A2031"/>
    <w:rPr>
      <w:rFonts w:ascii="Times New Roman" w:eastAsia="Times New Roman" w:hAnsi="Times New Roman" w:cs="Times New Roman"/>
      <w:sz w:val="20"/>
      <w:szCs w:val="20"/>
      <w:lang w:eastAsia="es-ES_tradnl"/>
    </w:rPr>
  </w:style>
  <w:style w:type="paragraph" w:styleId="CommentSubject">
    <w:name w:val="annotation subject"/>
    <w:basedOn w:val="CommentText"/>
    <w:next w:val="CommentText"/>
    <w:link w:val="CommentSubjectChar"/>
    <w:uiPriority w:val="99"/>
    <w:semiHidden/>
    <w:unhideWhenUsed/>
    <w:rsid w:val="003A2031"/>
    <w:rPr>
      <w:b/>
      <w:bCs/>
    </w:rPr>
  </w:style>
  <w:style w:type="character" w:customStyle="1" w:styleId="CommentSubjectChar">
    <w:name w:val="Comment Subject Char"/>
    <w:basedOn w:val="CommentTextChar"/>
    <w:link w:val="CommentSubject"/>
    <w:uiPriority w:val="99"/>
    <w:semiHidden/>
    <w:rsid w:val="003A2031"/>
    <w:rPr>
      <w:rFonts w:ascii="Times New Roman" w:eastAsia="Times New Roman" w:hAnsi="Times New Roman" w:cs="Times New Roman"/>
      <w:b/>
      <w:bCs/>
      <w:sz w:val="20"/>
      <w:szCs w:val="20"/>
      <w:lang w:eastAsia="es-ES_tradnl"/>
    </w:rPr>
  </w:style>
  <w:style w:type="character" w:styleId="UnresolvedMention">
    <w:name w:val="Unresolved Mention"/>
    <w:basedOn w:val="DefaultParagraphFont"/>
    <w:uiPriority w:val="99"/>
    <w:semiHidden/>
    <w:unhideWhenUsed/>
    <w:rsid w:val="004845C5"/>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05405C"/>
  </w:style>
  <w:style w:type="paragraph" w:customStyle="1" w:styleId="paragraph">
    <w:name w:val="paragraph"/>
    <w:basedOn w:val="Normal"/>
    <w:rsid w:val="00F51F9C"/>
    <w:pPr>
      <w:spacing w:before="100" w:beforeAutospacing="1" w:after="100" w:afterAutospacing="1"/>
    </w:pPr>
    <w:rPr>
      <w:lang w:eastAsia="es-CO"/>
    </w:rPr>
  </w:style>
  <w:style w:type="character" w:customStyle="1" w:styleId="eop">
    <w:name w:val="eop"/>
    <w:basedOn w:val="DefaultParagraphFont"/>
    <w:rsid w:val="00F51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903315">
      <w:bodyDiv w:val="1"/>
      <w:marLeft w:val="0"/>
      <w:marRight w:val="0"/>
      <w:marTop w:val="0"/>
      <w:marBottom w:val="0"/>
      <w:divBdr>
        <w:top w:val="none" w:sz="0" w:space="0" w:color="auto"/>
        <w:left w:val="none" w:sz="0" w:space="0" w:color="auto"/>
        <w:bottom w:val="none" w:sz="0" w:space="0" w:color="auto"/>
        <w:right w:val="none" w:sz="0" w:space="0" w:color="auto"/>
      </w:divBdr>
      <w:divsChild>
        <w:div w:id="722411169">
          <w:marLeft w:val="0"/>
          <w:marRight w:val="0"/>
          <w:marTop w:val="0"/>
          <w:marBottom w:val="0"/>
          <w:divBdr>
            <w:top w:val="none" w:sz="0" w:space="0" w:color="auto"/>
            <w:left w:val="none" w:sz="0" w:space="0" w:color="auto"/>
            <w:bottom w:val="none" w:sz="0" w:space="0" w:color="auto"/>
            <w:right w:val="none" w:sz="0" w:space="0" w:color="auto"/>
          </w:divBdr>
          <w:divsChild>
            <w:div w:id="1856840831">
              <w:marLeft w:val="0"/>
              <w:marRight w:val="0"/>
              <w:marTop w:val="0"/>
              <w:marBottom w:val="0"/>
              <w:divBdr>
                <w:top w:val="none" w:sz="0" w:space="0" w:color="auto"/>
                <w:left w:val="none" w:sz="0" w:space="0" w:color="auto"/>
                <w:bottom w:val="none" w:sz="0" w:space="0" w:color="auto"/>
                <w:right w:val="none" w:sz="0" w:space="0" w:color="auto"/>
              </w:divBdr>
            </w:div>
          </w:divsChild>
        </w:div>
        <w:div w:id="1754430499">
          <w:marLeft w:val="0"/>
          <w:marRight w:val="0"/>
          <w:marTop w:val="0"/>
          <w:marBottom w:val="0"/>
          <w:divBdr>
            <w:top w:val="none" w:sz="0" w:space="0" w:color="auto"/>
            <w:left w:val="none" w:sz="0" w:space="0" w:color="auto"/>
            <w:bottom w:val="none" w:sz="0" w:space="0" w:color="auto"/>
            <w:right w:val="none" w:sz="0" w:space="0" w:color="auto"/>
          </w:divBdr>
          <w:divsChild>
            <w:div w:id="454956224">
              <w:marLeft w:val="0"/>
              <w:marRight w:val="0"/>
              <w:marTop w:val="0"/>
              <w:marBottom w:val="0"/>
              <w:divBdr>
                <w:top w:val="none" w:sz="0" w:space="0" w:color="auto"/>
                <w:left w:val="none" w:sz="0" w:space="0" w:color="auto"/>
                <w:bottom w:val="none" w:sz="0" w:space="0" w:color="auto"/>
                <w:right w:val="none" w:sz="0" w:space="0" w:color="auto"/>
              </w:divBdr>
            </w:div>
            <w:div w:id="615646031">
              <w:marLeft w:val="0"/>
              <w:marRight w:val="0"/>
              <w:marTop w:val="0"/>
              <w:marBottom w:val="0"/>
              <w:divBdr>
                <w:top w:val="none" w:sz="0" w:space="0" w:color="auto"/>
                <w:left w:val="none" w:sz="0" w:space="0" w:color="auto"/>
                <w:bottom w:val="none" w:sz="0" w:space="0" w:color="auto"/>
                <w:right w:val="none" w:sz="0" w:space="0" w:color="auto"/>
              </w:divBdr>
            </w:div>
            <w:div w:id="85361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42481">
      <w:bodyDiv w:val="1"/>
      <w:marLeft w:val="0"/>
      <w:marRight w:val="0"/>
      <w:marTop w:val="0"/>
      <w:marBottom w:val="0"/>
      <w:divBdr>
        <w:top w:val="none" w:sz="0" w:space="0" w:color="auto"/>
        <w:left w:val="none" w:sz="0" w:space="0" w:color="auto"/>
        <w:bottom w:val="none" w:sz="0" w:space="0" w:color="auto"/>
        <w:right w:val="none" w:sz="0" w:space="0" w:color="auto"/>
      </w:divBdr>
      <w:divsChild>
        <w:div w:id="1491865052">
          <w:marLeft w:val="0"/>
          <w:marRight w:val="0"/>
          <w:marTop w:val="0"/>
          <w:marBottom w:val="0"/>
          <w:divBdr>
            <w:top w:val="none" w:sz="0" w:space="0" w:color="auto"/>
            <w:left w:val="none" w:sz="0" w:space="0" w:color="auto"/>
            <w:bottom w:val="none" w:sz="0" w:space="0" w:color="auto"/>
            <w:right w:val="none" w:sz="0" w:space="0" w:color="auto"/>
          </w:divBdr>
          <w:divsChild>
            <w:div w:id="1068841056">
              <w:marLeft w:val="0"/>
              <w:marRight w:val="0"/>
              <w:marTop w:val="0"/>
              <w:marBottom w:val="0"/>
              <w:divBdr>
                <w:top w:val="none" w:sz="0" w:space="0" w:color="auto"/>
                <w:left w:val="none" w:sz="0" w:space="0" w:color="auto"/>
                <w:bottom w:val="none" w:sz="0" w:space="0" w:color="auto"/>
                <w:right w:val="none" w:sz="0" w:space="0" w:color="auto"/>
              </w:divBdr>
            </w:div>
          </w:divsChild>
        </w:div>
        <w:div w:id="1554075155">
          <w:marLeft w:val="0"/>
          <w:marRight w:val="0"/>
          <w:marTop w:val="0"/>
          <w:marBottom w:val="0"/>
          <w:divBdr>
            <w:top w:val="none" w:sz="0" w:space="0" w:color="auto"/>
            <w:left w:val="none" w:sz="0" w:space="0" w:color="auto"/>
            <w:bottom w:val="none" w:sz="0" w:space="0" w:color="auto"/>
            <w:right w:val="none" w:sz="0" w:space="0" w:color="auto"/>
          </w:divBdr>
          <w:divsChild>
            <w:div w:id="2770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3741">
      <w:bodyDiv w:val="1"/>
      <w:marLeft w:val="0"/>
      <w:marRight w:val="0"/>
      <w:marTop w:val="0"/>
      <w:marBottom w:val="0"/>
      <w:divBdr>
        <w:top w:val="none" w:sz="0" w:space="0" w:color="auto"/>
        <w:left w:val="none" w:sz="0" w:space="0" w:color="auto"/>
        <w:bottom w:val="none" w:sz="0" w:space="0" w:color="auto"/>
        <w:right w:val="none" w:sz="0" w:space="0" w:color="auto"/>
      </w:divBdr>
    </w:div>
    <w:div w:id="1407653781">
      <w:bodyDiv w:val="1"/>
      <w:marLeft w:val="0"/>
      <w:marRight w:val="0"/>
      <w:marTop w:val="0"/>
      <w:marBottom w:val="0"/>
      <w:divBdr>
        <w:top w:val="none" w:sz="0" w:space="0" w:color="auto"/>
        <w:left w:val="none" w:sz="0" w:space="0" w:color="auto"/>
        <w:bottom w:val="none" w:sz="0" w:space="0" w:color="auto"/>
        <w:right w:val="none" w:sz="0" w:space="0" w:color="auto"/>
      </w:divBdr>
    </w:div>
    <w:div w:id="1837302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18"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26"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39"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21"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34" Type="http://schemas.openxmlformats.org/officeDocument/2006/relationships/hyperlink" Target="https://relatoria.colombiacompra.gov.co/busqueda/conceptos%20" TargetMode="External"/><Relationship Id="rId42"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47"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50"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29"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11" Type="http://schemas.openxmlformats.org/officeDocument/2006/relationships/image" Target="media/image1.emf"/><Relationship Id="rId24"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32"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37"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40"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45"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53"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31" Type="http://schemas.openxmlformats.org/officeDocument/2006/relationships/image" Target="media/image2.png"/><Relationship Id="rId44"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52"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22"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27"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30"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35"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43"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48"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3" Type="http://schemas.openxmlformats.org/officeDocument/2006/relationships/customXml" Target="../customXml/item3.xml"/><Relationship Id="rId12"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17"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25"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33"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38" Type="http://schemas.openxmlformats.org/officeDocument/2006/relationships/hyperlink" Target="https://www.colombiacompra.gov.co/sites/cce_public/files/cce_documentos/cce-eicp-gi-18._gees_v.2_2.pdf" TargetMode="External"/><Relationship Id="rId46"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20"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41"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23"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28"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36"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 Id="rId49" Type="http://schemas.openxmlformats.org/officeDocument/2006/relationships/hyperlink" Target="https://word-edit.officeapps.live.com/we/wordeditorframe.aspx?ui=es-ES&amp;rs=es-ES&amp;wopisrc=https%3A%2F%2Fcceficiente.sharepoint.com%2Fsites%2FSGDEA%2F_vti_bin%2Fwopi.ashx%2Ffiles%2F158c5e2f1df24d3ba11b33e1b07cfd7f&amp;wdenableroaming=1&amp;mscc=1&amp;hid=52CE3FF6-5D92-4E9F-9DC8-FCF7A73EEC52.0&amp;uih=sharepointcom&amp;wdlcid=es-ES&amp;jsapi=1&amp;jsapiver=v2&amp;corrid=cfb54084-52a2-b10e-5ccd-65a9023a15d0&amp;usid=cfb54084-52a2-b10e-5ccd-65a9023a15d0&amp;newsession=1&amp;sftc=1&amp;uihit=docaspx&amp;muv=1&amp;cac=1&amp;sams=1&amp;mtf=1&amp;sfp=1&amp;sdp=1&amp;hch=1&amp;hwfh=1&amp;dchat=1&amp;sc=%7B%22pmo%22%3A%22https%3A%2F%2Fcceficiente.sharepoint.com%22%2C%22pmshare%22%3Atrue%7D&amp;ctp=LeastProtected&amp;rct=Normal&amp;wdorigin=Sharing.ServerTransfer&amp;instantedit=1&amp;wopicomplete=1&amp;wdredirectionreason=Unified_SingleFlush"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8D1E-7D7B-4529-BBFD-9887172DE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56A34D-86C6-4FEF-9F21-278C40FAB50C}">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A4CA4C98-7691-4B00-93C1-1C421D46B7F6}">
  <ds:schemaRefs>
    <ds:schemaRef ds:uri="http://schemas.microsoft.com/sharepoint/v3/contenttype/forms"/>
  </ds:schemaRefs>
</ds:datastoreItem>
</file>

<file path=customXml/itemProps4.xml><?xml version="1.0" encoding="utf-8"?>
<ds:datastoreItem xmlns:ds="http://schemas.openxmlformats.org/officeDocument/2006/customXml" ds:itemID="{5B9654F0-47A5-4E73-A99F-8965E6BD2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14754</Words>
  <Characters>84100</Characters>
  <Application>Microsoft Office Word</Application>
  <DocSecurity>4</DocSecurity>
  <Lines>700</Lines>
  <Paragraphs>197</Paragraphs>
  <ScaleCrop>false</ScaleCrop>
  <Company/>
  <LinksUpToDate>false</LinksUpToDate>
  <CharactersWithSpaces>98657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Castrillon Endo</dc:creator>
  <cp:keywords/>
  <dc:description/>
  <cp:lastModifiedBy>Gustavo Hinestroza Martinez</cp:lastModifiedBy>
  <cp:revision>6</cp:revision>
  <dcterms:created xsi:type="dcterms:W3CDTF">2024-04-01T18:49:00Z</dcterms:created>
  <dcterms:modified xsi:type="dcterms:W3CDTF">2024-05-08T22:38:00Z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