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C32929" w:rsidR="00C32929" w:rsidP="00C32929" w:rsidRDefault="00C32929" w14:paraId="37A2CAFC" w14:textId="77777777">
      <w:pPr>
        <w:tabs>
          <w:tab w:val="left" w:pos="426"/>
        </w:tabs>
        <w:spacing w:line="276" w:lineRule="auto"/>
        <w:jc w:val="both"/>
        <w:rPr>
          <w:rFonts w:ascii="Century Gothic" w:hAnsi="Century Gothic" w:eastAsia="Calibri" w:cs="Arial"/>
          <w:b/>
          <w:bCs/>
          <w:sz w:val="20"/>
          <w:szCs w:val="20"/>
          <w:lang w:val="es-ES_tradnl" w:eastAsia="es-ES_tradnl"/>
        </w:rPr>
      </w:pPr>
      <w:r w:rsidRPr="00C32929">
        <w:rPr>
          <w:rFonts w:ascii="Century Gothic" w:hAnsi="Century Gothic" w:eastAsia="Calibri" w:cs="Arial"/>
          <w:b/>
          <w:bCs/>
          <w:sz w:val="20"/>
          <w:szCs w:val="20"/>
          <w:lang w:val="es-ES_tradnl" w:eastAsia="es-ES_tradnl"/>
        </w:rPr>
        <w:t xml:space="preserve">PROCEDIMIENTO SANCIONATORIO CONTRACTUAL – Citación a audiencia – Contenido – Ley 1474 de 2011 – Artículo 86 </w:t>
      </w:r>
    </w:p>
    <w:p w:rsidRPr="00C32929" w:rsidR="00C32929" w:rsidP="00C32929" w:rsidRDefault="00C32929" w14:paraId="7B51FEC8" w14:textId="77777777">
      <w:pPr>
        <w:tabs>
          <w:tab w:val="left" w:pos="426"/>
        </w:tabs>
        <w:spacing w:line="240" w:lineRule="auto"/>
        <w:jc w:val="both"/>
        <w:rPr>
          <w:rFonts w:ascii="Century Gothic" w:hAnsi="Century Gothic" w:eastAsia="Calibri" w:cs="Arial"/>
          <w:sz w:val="20"/>
          <w:szCs w:val="20"/>
          <w:lang w:val="es-ES_tradnl" w:eastAsia="es-ES_tradnl"/>
        </w:rPr>
      </w:pPr>
      <w:r w:rsidRPr="00C32929">
        <w:rPr>
          <w:rFonts w:ascii="Century Gothic" w:hAnsi="Century Gothic" w:eastAsia="Arial" w:cs="Arial"/>
          <w:sz w:val="20"/>
          <w:szCs w:val="20"/>
        </w:rPr>
        <w:t>[L]</w:t>
      </w:r>
      <w:r w:rsidRPr="00C32929">
        <w:rPr>
          <w:rFonts w:ascii="Century Gothic" w:hAnsi="Century Gothic" w:eastAsia="Calibri" w:cs="Arial"/>
          <w:sz w:val="20"/>
          <w:szCs w:val="20"/>
          <w:lang w:val="es-ES_tradnl" w:eastAsia="es-ES_tradnl"/>
        </w:rPr>
        <w:t xml:space="preserve">a citación a la audiencia debe cumplir mínimamente los siguientes aspectos: i) señalar los hechos que soportan la actuación, en particular la descripción detallada de cuáles son las actuaciones u omisiones del contratista que materializan el incumplimiento de las obligaciones. Además, se deben </w:t>
      </w:r>
      <w:proofErr w:type="spellStart"/>
      <w:r w:rsidRPr="00C32929">
        <w:rPr>
          <w:rFonts w:ascii="Century Gothic" w:hAnsi="Century Gothic" w:eastAsia="Calibri" w:cs="Arial"/>
          <w:sz w:val="20"/>
          <w:szCs w:val="20"/>
          <w:lang w:val="es-ES_tradnl" w:eastAsia="es-ES_tradnl"/>
        </w:rPr>
        <w:t>ii</w:t>
      </w:r>
      <w:proofErr w:type="spellEnd"/>
      <w:r w:rsidRPr="00C32929">
        <w:rPr>
          <w:rFonts w:ascii="Century Gothic" w:hAnsi="Century Gothic" w:eastAsia="Calibri" w:cs="Arial"/>
          <w:sz w:val="20"/>
          <w:szCs w:val="20"/>
          <w:lang w:val="es-ES_tradnl" w:eastAsia="es-ES_tradnl"/>
        </w:rPr>
        <w:t xml:space="preserve">) adjuntar los informes de supervisión o de interventoría que soportan la actuación, donde la entidad fundamenta su decisión de iniciar el procedimiento sancionatorio. Asimismo, </w:t>
      </w:r>
      <w:proofErr w:type="spellStart"/>
      <w:r w:rsidRPr="00C32929">
        <w:rPr>
          <w:rFonts w:ascii="Century Gothic" w:hAnsi="Century Gothic" w:eastAsia="Calibri" w:cs="Arial"/>
          <w:sz w:val="20"/>
          <w:szCs w:val="20"/>
          <w:lang w:val="es-ES_tradnl" w:eastAsia="es-ES_tradnl"/>
        </w:rPr>
        <w:t>iii</w:t>
      </w:r>
      <w:proofErr w:type="spellEnd"/>
      <w:r w:rsidRPr="00C32929">
        <w:rPr>
          <w:rFonts w:ascii="Century Gothic" w:hAnsi="Century Gothic" w:eastAsia="Calibri" w:cs="Arial"/>
          <w:sz w:val="20"/>
          <w:szCs w:val="20"/>
          <w:lang w:val="es-ES_tradnl" w:eastAsia="es-ES_tradnl"/>
        </w:rPr>
        <w:t xml:space="preserve">) lo anterior debe acompañarse de las pruebas adicionales con que cuente la entidad y que sirven para acreditar el incumplimiento. </w:t>
      </w:r>
      <w:proofErr w:type="spellStart"/>
      <w:r w:rsidRPr="00C32929">
        <w:rPr>
          <w:rFonts w:ascii="Century Gothic" w:hAnsi="Century Gothic" w:eastAsia="Calibri" w:cs="Arial"/>
          <w:sz w:val="20"/>
          <w:szCs w:val="20"/>
          <w:lang w:val="es-ES_tradnl" w:eastAsia="es-ES_tradnl"/>
        </w:rPr>
        <w:t>iv</w:t>
      </w:r>
      <w:proofErr w:type="spellEnd"/>
      <w:r w:rsidRPr="00C32929">
        <w:rPr>
          <w:rFonts w:ascii="Century Gothic" w:hAnsi="Century Gothic" w:eastAsia="Calibri" w:cs="Arial"/>
          <w:sz w:val="20"/>
          <w:szCs w:val="20"/>
          <w:lang w:val="es-ES_tradnl" w:eastAsia="es-ES_tradnl"/>
        </w:rPr>
        <w:t xml:space="preserve">) La citación debe contener también las normas, cláusulas u obligaciones posiblemente violadas o incumplidas por el contratista. Igualmente, v) debe indicar cuáles consecuencias podrían generarse para el contratista, verbigracia, si se pretende imponerle alguna multa, hacerse efectiva la cláusula penal o declarar la caducidad del contrato. Adicionalmente, vi) las entidades estatales podrán cuantificar los perjuicios ocasionados por el incumplimiento –inciso primero del artículo 86–, y, finalmente, </w:t>
      </w:r>
      <w:proofErr w:type="spellStart"/>
      <w:r w:rsidRPr="00C32929">
        <w:rPr>
          <w:rFonts w:ascii="Century Gothic" w:hAnsi="Century Gothic" w:eastAsia="Calibri" w:cs="Arial"/>
          <w:sz w:val="20"/>
          <w:szCs w:val="20"/>
          <w:lang w:val="es-ES_tradnl" w:eastAsia="es-ES_tradnl"/>
        </w:rPr>
        <w:t>vii</w:t>
      </w:r>
      <w:proofErr w:type="spellEnd"/>
      <w:r w:rsidRPr="00C32929">
        <w:rPr>
          <w:rFonts w:ascii="Century Gothic" w:hAnsi="Century Gothic" w:eastAsia="Calibri" w:cs="Arial"/>
          <w:sz w:val="20"/>
          <w:szCs w:val="20"/>
          <w:lang w:val="es-ES_tradnl" w:eastAsia="es-ES_tradnl"/>
        </w:rPr>
        <w:t>) deben indicar el lugar, fecha y hora para la realización de la audiencia, sin perjuicio de que esta se pueda efectuar por medios electrónicos.</w:t>
      </w:r>
    </w:p>
    <w:p w:rsidRPr="00C32929" w:rsidR="00C32929" w:rsidP="1D4A0FF4" w:rsidRDefault="00C32929" w14:paraId="13A84BAD" w14:textId="77777777" w14:noSpellErr="1">
      <w:pPr>
        <w:tabs>
          <w:tab w:val="left" w:pos="426"/>
        </w:tabs>
        <w:spacing w:line="240" w:lineRule="auto"/>
        <w:jc w:val="both"/>
        <w:rPr>
          <w:rFonts w:ascii="Century Gothic" w:hAnsi="Century Gothic" w:eastAsia="Calibri" w:cs="Arial"/>
          <w:sz w:val="20"/>
          <w:szCs w:val="20"/>
          <w:lang w:val="es-ES" w:eastAsia="es-ES"/>
        </w:rPr>
      </w:pPr>
      <w:r w:rsidRPr="1D4A0FF4" w:rsidR="00C32929">
        <w:rPr>
          <w:rFonts w:ascii="Century Gothic" w:hAnsi="Century Gothic" w:eastAsia="Calibri" w:cs="Arial"/>
          <w:sz w:val="20"/>
          <w:szCs w:val="20"/>
          <w:lang w:val="es-ES" w:eastAsia="es-ES"/>
        </w:rPr>
        <w:t xml:space="preserve">Como se observa, sobre la cuantificación de perjuicios ocasionados por el incumplimiento –inciso primero del artículo 86–, no se puede entender este como requisito obligatorio del contenido de la citación a la audiencia de que trata el artículo en cita, toda vez que, en el inciso respectivo de la Ley, no está contenido textualmente, no obstante, de la lectura de la norma se entiende que estos podrán ser agregados en la citación por parte de la Entidad Estatal, si así lo considera pertinente. </w:t>
      </w:r>
      <w:r w:rsidRPr="1D4A0FF4" w:rsidR="00C32929">
        <w:rPr>
          <w:rFonts w:ascii="Century Gothic" w:hAnsi="Century Gothic" w:eastAsia="Calibri" w:cs="Arial"/>
          <w:sz w:val="20"/>
          <w:szCs w:val="20"/>
          <w:lang w:val="es-ES" w:eastAsia="es-ES"/>
        </w:rPr>
        <w:t>Sin embargo, se aclara que para efectos de imponer las multas y sanciones y hacer efectiva la cláusula penal, es necesario dar a conocer dicha cuantificación al contratista en garantía de su derecho de defensa, contradicción, y al debido proceso que consagra el artículo 29 de la Constitución Política de 1991, pues con base en estos se determinará y verificará la proporcionalidad de las sanciones a aplicar.</w:t>
      </w:r>
    </w:p>
    <w:p w:rsidRPr="00C32929" w:rsidR="00C32929" w:rsidP="00C32929" w:rsidRDefault="00C32929" w14:paraId="3A6BD97B" w14:textId="77777777">
      <w:pPr>
        <w:tabs>
          <w:tab w:val="left" w:pos="426"/>
        </w:tabs>
        <w:spacing w:line="276" w:lineRule="auto"/>
        <w:jc w:val="both"/>
        <w:rPr>
          <w:rFonts w:ascii="Century Gothic" w:hAnsi="Century Gothic" w:eastAsia="Arial" w:cs="Arial"/>
          <w:b/>
          <w:bCs/>
          <w:sz w:val="20"/>
          <w:szCs w:val="20"/>
        </w:rPr>
      </w:pPr>
      <w:r w:rsidRPr="00C32929">
        <w:rPr>
          <w:rFonts w:ascii="Century Gothic" w:hAnsi="Century Gothic" w:eastAsia="Arial" w:cs="Arial"/>
          <w:b/>
          <w:bCs/>
          <w:sz w:val="20"/>
          <w:szCs w:val="20"/>
        </w:rPr>
        <w:t xml:space="preserve">CADUCIDAD – Facultad sancionatoria – Procesos sancionatorios contractuales </w:t>
      </w:r>
    </w:p>
    <w:p w:rsidRPr="00C32929" w:rsidR="00C32929" w:rsidP="00C32929" w:rsidRDefault="00C32929" w14:paraId="56830EE9" w14:textId="77777777">
      <w:pPr>
        <w:tabs>
          <w:tab w:val="left" w:pos="426"/>
        </w:tabs>
        <w:spacing w:line="276" w:lineRule="auto"/>
        <w:jc w:val="both"/>
        <w:rPr>
          <w:rFonts w:ascii="Century Gothic" w:hAnsi="Century Gothic" w:eastAsia="Arial" w:cs="Arial"/>
          <w:sz w:val="20"/>
          <w:szCs w:val="20"/>
        </w:rPr>
      </w:pPr>
      <w:r w:rsidRPr="00C32929">
        <w:rPr>
          <w:rFonts w:ascii="Century Gothic" w:hAnsi="Century Gothic" w:eastAsia="Arial" w:cs="Arial"/>
          <w:sz w:val="20"/>
          <w:szCs w:val="20"/>
        </w:rPr>
        <w:t>Respecto a los procedimientos administrativos sancionatorios contractuales, el parágrafo 1 del artículo 47 del CPACA expresamente dispone que estos se rigen por las normas especiales en la materia, incluido los recursos. Por tal razón, en principio la norma aplicable para ejercer las potestades sancionatorias contractuales es el artículo 86 de la Ley 1474 de 2011 que comporta un procedimiento especial, célere, eficaz y sumario, llevado a cabo en audiencia pública y que brinda las garantías mínimas al contratista para ejercer su derecho de defensa y contradicción, justificadas en el debido proceso, en los términos del artículo 17 de la Ley 1150 de 2007.</w:t>
      </w:r>
    </w:p>
    <w:p w:rsidRPr="00C32929" w:rsidR="00C32929" w:rsidP="00C32929" w:rsidRDefault="00C32929" w14:paraId="7CDFE891" w14:textId="77777777">
      <w:pPr>
        <w:tabs>
          <w:tab w:val="left" w:pos="426"/>
        </w:tabs>
        <w:spacing w:line="276" w:lineRule="auto"/>
        <w:jc w:val="both"/>
        <w:rPr>
          <w:rFonts w:ascii="Century Gothic" w:hAnsi="Century Gothic" w:eastAsia="Arial" w:cs="Arial"/>
          <w:sz w:val="20"/>
          <w:szCs w:val="20"/>
        </w:rPr>
      </w:pPr>
      <w:r w:rsidRPr="00C32929">
        <w:rPr>
          <w:rFonts w:ascii="Century Gothic" w:hAnsi="Century Gothic" w:eastAsia="Arial" w:cs="Arial"/>
          <w:sz w:val="20"/>
          <w:szCs w:val="20"/>
        </w:rPr>
        <w:t xml:space="preserve">Sin perjuicio de lo anterior, puede considerarse que, dado el carácter supletivo del procedimiento administrativo sancionatorio del CPACA, las reglas de este procedimiento </w:t>
      </w:r>
      <w:r w:rsidRPr="00C32929">
        <w:rPr>
          <w:rFonts w:ascii="Century Gothic" w:hAnsi="Century Gothic" w:eastAsia="Arial" w:cs="Arial"/>
          <w:sz w:val="20"/>
          <w:szCs w:val="20"/>
        </w:rPr>
        <w:lastRenderedPageBreak/>
        <w:t xml:space="preserve">pueden complementar los aspectos no previstos en las normas especiales que rigen el procedimiento administrativo sancionatorio contractual. La anterior conclusión se sustenta en lo siguiente: i) el primer inciso del artículo 77 de la Ley 80 de 1993 establece una remisión a las normas del CPACA que rigen los procedimientos administrativos, en lo que sea compatible con el Estatuto General de Contratación de la Administración Pública y </w:t>
      </w:r>
      <w:proofErr w:type="spellStart"/>
      <w:r w:rsidRPr="00C32929">
        <w:rPr>
          <w:rFonts w:ascii="Century Gothic" w:hAnsi="Century Gothic" w:eastAsia="Arial" w:cs="Arial"/>
          <w:sz w:val="20"/>
          <w:szCs w:val="20"/>
        </w:rPr>
        <w:t>ii</w:t>
      </w:r>
      <w:proofErr w:type="spellEnd"/>
      <w:r w:rsidRPr="00C32929">
        <w:rPr>
          <w:rFonts w:ascii="Century Gothic" w:hAnsi="Century Gothic" w:eastAsia="Arial" w:cs="Arial"/>
          <w:sz w:val="20"/>
          <w:szCs w:val="20"/>
        </w:rPr>
        <w:t>) los artículos 2 y 47 (inciso 1) del CPACA, consagran el principio de subsidiariedad, en virtud del cual las normas de la primera parte del código se deben aplicar en aquellos casos en los cuales haya vacío en las normas especiales.</w:t>
      </w:r>
    </w:p>
    <w:p w:rsidRPr="00C32929" w:rsidR="00C32929" w:rsidP="00C32929" w:rsidRDefault="00C32929" w14:paraId="34EA0068" w14:textId="77777777">
      <w:pPr>
        <w:tabs>
          <w:tab w:val="left" w:pos="426"/>
        </w:tabs>
        <w:spacing w:line="276" w:lineRule="auto"/>
        <w:jc w:val="both"/>
        <w:rPr>
          <w:rFonts w:ascii="Century Gothic" w:hAnsi="Century Gothic" w:eastAsia="Arial" w:cs="Arial"/>
          <w:b/>
          <w:bCs/>
          <w:sz w:val="20"/>
          <w:szCs w:val="20"/>
        </w:rPr>
      </w:pPr>
      <w:r w:rsidRPr="00C32929">
        <w:rPr>
          <w:rFonts w:ascii="Century Gothic" w:hAnsi="Century Gothic" w:eastAsia="Arial" w:cs="Arial"/>
          <w:b/>
          <w:bCs/>
          <w:sz w:val="20"/>
          <w:szCs w:val="20"/>
        </w:rPr>
        <w:t>CADUCIDAD – Aplicación subsidiaria del artículo 52 del CPACA</w:t>
      </w:r>
    </w:p>
    <w:p w:rsidRPr="00C32929" w:rsidR="00C32929" w:rsidP="00C32929" w:rsidRDefault="00C32929" w14:paraId="101E67AE" w14:textId="77777777">
      <w:pPr>
        <w:tabs>
          <w:tab w:val="left" w:pos="426"/>
        </w:tabs>
        <w:spacing w:line="276" w:lineRule="auto"/>
        <w:jc w:val="both"/>
        <w:rPr>
          <w:rFonts w:ascii="Century Gothic" w:hAnsi="Century Gothic" w:eastAsia="Arial" w:cs="Arial"/>
          <w:sz w:val="20"/>
          <w:szCs w:val="20"/>
        </w:rPr>
      </w:pPr>
      <w:r w:rsidRPr="00C32929">
        <w:rPr>
          <w:rFonts w:ascii="Century Gothic" w:hAnsi="Century Gothic" w:eastAsia="Arial" w:cs="Arial"/>
          <w:sz w:val="20"/>
          <w:szCs w:val="20"/>
        </w:rPr>
        <w:t>Definido lo anterior se observa que el artículo 52 del CPACA es la norma que consagra la caducidad de la facultad que tienen las autoridades administrativas para imponer sanciones, que opera luego de transcurridos tres (3) años de ocurrido el hecho, la conducta u omisión que pudiere ocasionarlas, plazo dentro del cual el acto administrativo sancionatorio debe quedar expedido y notificado. Además, estableció de manera independiente y autónoma el término de un (1) año para resolver los recursos procedentes contra el acto sancionatorio, contado a partir de la interposición de los mismos, so pena de la pérdida de competencia. Finalmente, dispuso que, si los recursos no se deciden en el término fijado, se entenderán resueltos a favor del recurrente.</w:t>
      </w:r>
    </w:p>
    <w:p w:rsidRPr="00C32929" w:rsidR="00C32929" w:rsidP="00C32929" w:rsidRDefault="00C32929" w14:paraId="797C4624" w14:textId="77777777">
      <w:pPr>
        <w:tabs>
          <w:tab w:val="left" w:pos="426"/>
        </w:tabs>
        <w:spacing w:line="276" w:lineRule="auto"/>
        <w:jc w:val="both"/>
        <w:rPr>
          <w:rFonts w:ascii="Century Gothic" w:hAnsi="Century Gothic" w:eastAsia="Arial" w:cs="Arial"/>
          <w:sz w:val="20"/>
          <w:szCs w:val="20"/>
        </w:rPr>
      </w:pPr>
      <w:r w:rsidRPr="00C32929">
        <w:rPr>
          <w:rFonts w:ascii="Century Gothic" w:hAnsi="Century Gothic" w:eastAsia="Arial" w:cs="Arial"/>
          <w:sz w:val="20"/>
          <w:szCs w:val="20"/>
        </w:rPr>
        <w:t>Ahora bien, en vista de que el artículo 86 de la Ley 1474 de 2011 no reguló este asunto de manera especial, resultaría posible aplicar el artículo 52 del CPACA, si las circunstancias de un caso concreto lo ameritan, porque no contradice la norma especial, sino que la complementa. Lo anterior aun cuando el artículo 86 de la Ley 1474 establece que el recurso de reposición debe resolverse en la misma audiencia; pero no regula la consecuencia de lo que ocurriría si la entidad contratante no lo resuelve en esa oportunidad, situación irregular que entraría a suplirse con lo dispuesto en la norma del procedimiento sancionatorio general.</w:t>
      </w:r>
    </w:p>
    <w:p w:rsidR="00C32929" w:rsidP="00C32929" w:rsidRDefault="00C32929" w14:paraId="79DCD9C4" w14:textId="77777777">
      <w:pPr>
        <w:tabs>
          <w:tab w:val="left" w:pos="426"/>
        </w:tabs>
        <w:spacing w:line="276" w:lineRule="auto"/>
        <w:jc w:val="both"/>
        <w:rPr>
          <w:rFonts w:ascii="Century Gothic" w:hAnsi="Century Gothic" w:eastAsia="Arial" w:cs="Arial"/>
          <w:sz w:val="20"/>
          <w:szCs w:val="20"/>
        </w:rPr>
      </w:pPr>
      <w:r w:rsidRPr="00C32929">
        <w:rPr>
          <w:rFonts w:ascii="Century Gothic" w:hAnsi="Century Gothic" w:eastAsia="Arial" w:cs="Arial"/>
          <w:sz w:val="20"/>
          <w:szCs w:val="20"/>
        </w:rPr>
        <w:t>[…] De cualquier modo, es necesario tener en cuenta que la garantías que amparan el cumplimiento en los contratos estatales están regidas por los términos de prescripción establecidos para el contrato de seguro en el artículo 1081 del Código de Comercio. En ese sentido, independientemente del término de caducidad de la facultad sancionatoria, también es necesario que la Entidad Estatal tenga en cuenta lo anterior, en aras de evitar que se declaren incumplimientos cuando se haya consolidado la prescripción de las acciones que derivan del contrato de seguro que ampara a la Entidad Estatal ante el incumplimiento del contratista y no sea posible siniestrar las garantías que respaldan el contrato estatal.</w:t>
      </w:r>
    </w:p>
    <w:p w:rsidRPr="00C32929" w:rsidR="005A6AA1" w:rsidP="00C32929" w:rsidRDefault="005A6AA1" w14:paraId="44A06B17" w14:textId="6009FA86">
      <w:pPr>
        <w:tabs>
          <w:tab w:val="left" w:pos="426"/>
        </w:tabs>
        <w:spacing w:line="276" w:lineRule="auto"/>
        <w:jc w:val="both"/>
        <w:rPr>
          <w:rFonts w:ascii="Century Gothic" w:hAnsi="Century Gothic" w:eastAsia="Arial" w:cs="Arial"/>
          <w:sz w:val="20"/>
          <w:szCs w:val="20"/>
        </w:rPr>
      </w:pPr>
      <w:r w:rsidRPr="2F38AC55">
        <w:rPr>
          <w:rFonts w:ascii="Century Gothic" w:hAnsi="Century Gothic"/>
          <w:lang w:val="es-ES"/>
        </w:rPr>
        <w:lastRenderedPageBreak/>
        <w:t xml:space="preserve">Bogotá D.C., </w:t>
      </w:r>
      <w:r w:rsidR="00BA7926">
        <w:rPr>
          <w:rFonts w:ascii="Century Gothic" w:hAnsi="Century Gothic"/>
          <w:lang w:val="es-ES"/>
        </w:rPr>
        <w:t>25 de abril del 2024</w:t>
      </w:r>
    </w:p>
    <w:p w:rsidR="005A6AA1" w:rsidP="00400548" w:rsidRDefault="005A6AA1" w14:paraId="7EBFAB6A" w14:textId="77777777">
      <w:pPr>
        <w:spacing w:after="0"/>
        <w:rPr>
          <w:rFonts w:ascii="Century Gothic" w:hAnsi="Century Gothic"/>
          <w:lang w:val="es-ES_tradnl"/>
        </w:rPr>
      </w:pPr>
    </w:p>
    <w:p w:rsidRPr="00F86DD3" w:rsidR="005735FA" w:rsidP="005735FA" w:rsidRDefault="005735FA" w14:paraId="2008C408" w14:textId="6360F6F7">
      <w:pPr>
        <w:spacing w:after="0"/>
        <w:jc w:val="right"/>
        <w:rPr>
          <w:rFonts w:ascii="Century Gothic" w:hAnsi="Century Gothic"/>
          <w:lang w:val="es-ES_tradnl"/>
        </w:rPr>
      </w:pPr>
      <w:r w:rsidRPr="005735FA">
        <w:rPr>
          <w:rFonts w:ascii="Century Gothic" w:hAnsi="Century Gothic"/>
          <w:lang w:val="es-ES_tradnl"/>
        </w:rPr>
        <w:drawing>
          <wp:inline distT="0" distB="0" distL="0" distR="0" wp14:anchorId="19EF5366" wp14:editId="1DBBB579">
            <wp:extent cx="3136900" cy="834390"/>
            <wp:effectExtent l="0" t="0" r="0" b="3810"/>
            <wp:docPr id="8252627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262753" name=""/>
                    <pic:cNvPicPr/>
                  </pic:nvPicPr>
                  <pic:blipFill>
                    <a:blip r:embed="rId11"/>
                    <a:stretch>
                      <a:fillRect/>
                    </a:stretch>
                  </pic:blipFill>
                  <pic:spPr>
                    <a:xfrm>
                      <a:off x="0" y="0"/>
                      <a:ext cx="3136900" cy="834390"/>
                    </a:xfrm>
                    <a:prstGeom prst="rect">
                      <a:avLst/>
                    </a:prstGeom>
                  </pic:spPr>
                </pic:pic>
              </a:graphicData>
            </a:graphic>
          </wp:inline>
        </w:drawing>
      </w:r>
    </w:p>
    <w:p w:rsidRPr="00F86DD3" w:rsidR="00DA2BDA" w:rsidP="00DA2BDA" w:rsidRDefault="002D46BC" w14:paraId="7AC7E608" w14:textId="452DA259">
      <w:pPr>
        <w:spacing w:after="0"/>
        <w:rPr>
          <w:rFonts w:ascii="Century Gothic" w:hAnsi="Century Gothic"/>
          <w:lang w:val="es-ES_tradnl"/>
        </w:rPr>
      </w:pPr>
      <w:r w:rsidRPr="00F86DD3">
        <w:rPr>
          <w:rFonts w:ascii="Century Gothic" w:hAnsi="Century Gothic" w:cs="Arial"/>
          <w:lang w:val="es-ES_tradnl"/>
        </w:rPr>
        <w:t>Señora</w:t>
      </w:r>
    </w:p>
    <w:p w:rsidRPr="00F86DD3" w:rsidR="00DA2BDA" w:rsidP="00DA2BDA" w:rsidRDefault="002D46BC" w14:paraId="61D0B93D" w14:textId="531AA82E">
      <w:pPr>
        <w:spacing w:after="0" w:line="276" w:lineRule="auto"/>
        <w:rPr>
          <w:rFonts w:ascii="Century Gothic" w:hAnsi="Century Gothic" w:cs="Arial"/>
          <w:b/>
          <w:bCs/>
          <w:lang w:val="es-ES_tradnl"/>
        </w:rPr>
      </w:pPr>
      <w:r w:rsidRPr="00F86DD3">
        <w:rPr>
          <w:rFonts w:ascii="Century Gothic" w:hAnsi="Century Gothic" w:cs="Arial"/>
          <w:b/>
          <w:bCs/>
          <w:lang w:val="es-ES_tradnl"/>
        </w:rPr>
        <w:t>Yesica del Pilar Mar</w:t>
      </w:r>
      <w:r w:rsidRPr="00F86DD3" w:rsidR="004A3790">
        <w:rPr>
          <w:rFonts w:ascii="Century Gothic" w:hAnsi="Century Gothic" w:cs="Arial"/>
          <w:b/>
          <w:bCs/>
          <w:lang w:val="es-ES_tradnl"/>
        </w:rPr>
        <w:t>í</w:t>
      </w:r>
      <w:r w:rsidRPr="00F86DD3">
        <w:rPr>
          <w:rFonts w:ascii="Century Gothic" w:hAnsi="Century Gothic" w:cs="Arial"/>
          <w:b/>
          <w:bCs/>
          <w:lang w:val="es-ES_tradnl"/>
        </w:rPr>
        <w:t xml:space="preserve">n </w:t>
      </w:r>
      <w:r w:rsidRPr="00F86DD3" w:rsidR="004A3790">
        <w:rPr>
          <w:rFonts w:ascii="Century Gothic" w:hAnsi="Century Gothic" w:cs="Arial"/>
          <w:b/>
          <w:bCs/>
          <w:lang w:val="es-ES_tradnl"/>
        </w:rPr>
        <w:t>Sánchez</w:t>
      </w:r>
      <w:r w:rsidRPr="00F86DD3">
        <w:rPr>
          <w:rFonts w:ascii="Century Gothic" w:hAnsi="Century Gothic" w:cs="Arial"/>
          <w:b/>
          <w:bCs/>
          <w:lang w:val="es-ES_tradnl"/>
        </w:rPr>
        <w:t xml:space="preserve"> </w:t>
      </w:r>
    </w:p>
    <w:p w:rsidRPr="00F86DD3" w:rsidR="001C2337" w:rsidP="00DA2BDA" w:rsidRDefault="00000000" w14:paraId="2C33C1EE" w14:textId="7C13434C">
      <w:pPr>
        <w:spacing w:after="0" w:line="276" w:lineRule="auto"/>
        <w:rPr>
          <w:rFonts w:ascii="Century Gothic" w:hAnsi="Century Gothic" w:cs="Arial"/>
          <w:lang w:val="es-ES_tradnl"/>
        </w:rPr>
      </w:pPr>
      <w:hyperlink w:history="1" r:id="rId12">
        <w:r w:rsidRPr="00F86DD3" w:rsidR="001C2337">
          <w:rPr>
            <w:rStyle w:val="Hyperlink"/>
            <w:rFonts w:ascii="Century Gothic" w:hAnsi="Century Gothic" w:cs="Arial"/>
            <w:color w:val="auto"/>
            <w:lang w:val="es-ES_tradnl"/>
          </w:rPr>
          <w:t>dyesicam21@gmail.com</w:t>
        </w:r>
      </w:hyperlink>
    </w:p>
    <w:p w:rsidRPr="00F86DD3" w:rsidR="00DA2BDA" w:rsidP="00DA2BDA" w:rsidRDefault="00DA2BDA" w14:paraId="75E5FBDB" w14:textId="6AD944DD">
      <w:pPr>
        <w:spacing w:after="0" w:line="276" w:lineRule="auto"/>
        <w:rPr>
          <w:rFonts w:ascii="Century Gothic" w:hAnsi="Century Gothic" w:cs="Arial"/>
          <w:lang w:val="es-ES_tradnl"/>
        </w:rPr>
      </w:pPr>
      <w:r w:rsidRPr="00F86DD3">
        <w:rPr>
          <w:rFonts w:ascii="Century Gothic" w:hAnsi="Century Gothic" w:cs="Arial"/>
          <w:lang w:val="es-ES_tradnl"/>
        </w:rPr>
        <w:t>Bogotá D.C.</w:t>
      </w:r>
    </w:p>
    <w:p w:rsidRPr="00F86DD3" w:rsidR="00DA2BDA" w:rsidP="00DA2BDA" w:rsidRDefault="00DA2BDA" w14:paraId="12FBE4D1" w14:textId="77777777">
      <w:pPr>
        <w:spacing w:after="0" w:line="276" w:lineRule="auto"/>
        <w:rPr>
          <w:rFonts w:ascii="Century Gothic" w:hAnsi="Century Gothic" w:cs="Arial"/>
          <w:lang w:val="es-ES_tradnl"/>
        </w:rPr>
      </w:pPr>
    </w:p>
    <w:p w:rsidRPr="00F86DD3" w:rsidR="00DA2BDA" w:rsidP="00DA2BDA" w:rsidRDefault="00DA2BDA" w14:paraId="6485DAC0" w14:textId="6A6DFED7">
      <w:pPr>
        <w:spacing w:after="0" w:line="276" w:lineRule="auto"/>
        <w:ind w:left="2832"/>
        <w:rPr>
          <w:rFonts w:ascii="Century Gothic" w:hAnsi="Century Gothic" w:eastAsia="Calibri" w:cs="Arial"/>
          <w:b/>
          <w:bCs/>
          <w:lang w:val="es-ES_tradnl"/>
        </w:rPr>
      </w:pPr>
      <w:r w:rsidRPr="00F86DD3">
        <w:rPr>
          <w:rFonts w:ascii="Century Gothic" w:hAnsi="Century Gothic" w:eastAsia="Calibri" w:cs="Arial"/>
          <w:b/>
          <w:lang w:val="es-ES_tradnl"/>
        </w:rPr>
        <w:t>Concepto C</w:t>
      </w:r>
      <w:r w:rsidRPr="00F86DD3">
        <w:rPr>
          <w:rFonts w:ascii="Century Gothic" w:hAnsi="Century Gothic" w:eastAsia="Calibri" w:cs="Arial"/>
          <w:b/>
          <w:bCs/>
          <w:lang w:val="es-ES_tradnl"/>
        </w:rPr>
        <w:t>–0</w:t>
      </w:r>
      <w:r w:rsidRPr="00F86DD3" w:rsidR="00055E15">
        <w:rPr>
          <w:rFonts w:ascii="Century Gothic" w:hAnsi="Century Gothic" w:eastAsia="Calibri" w:cs="Arial"/>
          <w:b/>
          <w:bCs/>
          <w:lang w:val="es-ES_tradnl"/>
        </w:rPr>
        <w:t>47</w:t>
      </w:r>
      <w:r w:rsidRPr="00F86DD3">
        <w:rPr>
          <w:rFonts w:ascii="Century Gothic" w:hAnsi="Century Gothic" w:eastAsia="Calibri" w:cs="Arial"/>
          <w:b/>
          <w:bCs/>
          <w:lang w:val="es-ES_tradnl"/>
        </w:rPr>
        <w:t xml:space="preserve"> </w:t>
      </w:r>
      <w:r w:rsidRPr="00F86DD3">
        <w:rPr>
          <w:rFonts w:ascii="Century Gothic" w:hAnsi="Century Gothic" w:eastAsia="Calibri" w:cs="Arial"/>
          <w:b/>
          <w:lang w:val="es-ES_tradnl"/>
        </w:rPr>
        <w:t>del 2024</w:t>
      </w:r>
    </w:p>
    <w:p w:rsidRPr="00F86DD3" w:rsidR="00DA2BDA" w:rsidP="00DA2BDA" w:rsidRDefault="00DA2BDA" w14:paraId="7E25D3C2" w14:textId="77777777">
      <w:pPr>
        <w:spacing w:after="0" w:line="276" w:lineRule="auto"/>
        <w:jc w:val="both"/>
        <w:rPr>
          <w:rFonts w:ascii="Century Gothic" w:hAnsi="Century Gothic" w:eastAsia="Calibri" w:cs="Arial"/>
          <w:lang w:val="es-ES_tradnl"/>
        </w:rPr>
      </w:pPr>
    </w:p>
    <w:tbl>
      <w:tblPr>
        <w:tblStyle w:val="TableGrid"/>
        <w:tblW w:w="807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838"/>
        <w:gridCol w:w="6237"/>
      </w:tblGrid>
      <w:tr w:rsidRPr="00F86DD3" w:rsidR="00F86DD3" w:rsidTr="00404BCE" w14:paraId="2966FB92" w14:textId="77777777">
        <w:trPr>
          <w:jc w:val="right"/>
        </w:trPr>
        <w:tc>
          <w:tcPr>
            <w:tcW w:w="1838" w:type="dxa"/>
          </w:tcPr>
          <w:p w:rsidRPr="00F86DD3" w:rsidR="003309FE" w:rsidP="003309FE" w:rsidRDefault="003309FE" w14:paraId="0C39BBC8" w14:textId="439B08D6">
            <w:pPr>
              <w:spacing w:line="276" w:lineRule="auto"/>
              <w:jc w:val="center"/>
              <w:rPr>
                <w:rFonts w:ascii="Century Gothic" w:hAnsi="Century Gothic" w:eastAsia="Calibri" w:cs="Arial"/>
                <w:lang w:val="es-ES_tradnl"/>
              </w:rPr>
            </w:pPr>
            <w:r w:rsidRPr="00F86DD3">
              <w:rPr>
                <w:rFonts w:ascii="Century Gothic" w:hAnsi="Century Gothic" w:eastAsia="Calibri" w:cs="Arial"/>
                <w:b/>
                <w:lang w:val="es-ES_tradnl"/>
              </w:rPr>
              <w:t>Temas:</w:t>
            </w:r>
          </w:p>
        </w:tc>
        <w:tc>
          <w:tcPr>
            <w:tcW w:w="6237" w:type="dxa"/>
          </w:tcPr>
          <w:p w:rsidRPr="00AD1FEC" w:rsidR="00AD1FEC" w:rsidP="00AD1FEC" w:rsidRDefault="00AD1FEC" w14:paraId="58B48ADA" w14:textId="77777777">
            <w:pPr>
              <w:spacing w:after="120"/>
              <w:contextualSpacing/>
              <w:jc w:val="both"/>
              <w:rPr>
                <w:rFonts w:ascii="Century Gothic" w:hAnsi="Century Gothic" w:eastAsia="Calibri" w:cs="Arial"/>
                <w:b/>
                <w:lang w:val="es-ES_tradnl"/>
              </w:rPr>
            </w:pPr>
            <w:r w:rsidRPr="00AD1FEC">
              <w:rPr>
                <w:rFonts w:ascii="Century Gothic" w:hAnsi="Century Gothic" w:eastAsia="Calibri" w:cs="Arial"/>
                <w:lang w:val="es-ES_tradnl"/>
              </w:rPr>
              <w:t xml:space="preserve">PROCEDIMIENTO SANCIONATORIO CONTRACTUAL – Citación a audiencia – Contenido – Ley 1474 de 2011 – Artículo 86 / </w:t>
            </w:r>
            <w:r w:rsidRPr="00AD1FEC">
              <w:rPr>
                <w:rFonts w:ascii="Century Gothic" w:hAnsi="Century Gothic" w:eastAsia="Calibri" w:cs="Arial"/>
                <w:bCs/>
                <w:lang w:val="es-ES_tradnl"/>
              </w:rPr>
              <w:t>CADUCIDAD – Facultad sancionatoria – Procesos sancionatorios contractuales / CADUCIDAD – Facultad sancionatoria – Procesos sancionatorios contractuales – Aplicación subsidiaria del artículo 52 del CPACA</w:t>
            </w:r>
          </w:p>
          <w:p w:rsidRPr="00F86DD3" w:rsidR="003309FE" w:rsidP="003309FE" w:rsidRDefault="003309FE" w14:paraId="0BC5414E" w14:textId="77777777">
            <w:pPr>
              <w:spacing w:after="120"/>
              <w:contextualSpacing/>
              <w:jc w:val="both"/>
              <w:rPr>
                <w:rFonts w:ascii="Century Gothic" w:hAnsi="Century Gothic" w:eastAsia="Calibri" w:cs="Arial"/>
                <w:bCs/>
                <w:lang w:val="es-ES_tradnl" w:eastAsia="es-ES_tradnl"/>
              </w:rPr>
            </w:pPr>
          </w:p>
        </w:tc>
      </w:tr>
      <w:tr w:rsidRPr="00F86DD3" w:rsidR="00F86DD3" w:rsidTr="00404BCE" w14:paraId="2264D18C" w14:textId="77777777">
        <w:trPr>
          <w:trHeight w:val="87"/>
          <w:jc w:val="right"/>
        </w:trPr>
        <w:tc>
          <w:tcPr>
            <w:tcW w:w="1838" w:type="dxa"/>
          </w:tcPr>
          <w:p w:rsidRPr="00F86DD3" w:rsidR="003309FE" w:rsidP="003309FE" w:rsidRDefault="003309FE" w14:paraId="6ECDC649" w14:textId="24966838">
            <w:pPr>
              <w:spacing w:line="276" w:lineRule="auto"/>
              <w:rPr>
                <w:rFonts w:ascii="Century Gothic" w:hAnsi="Century Gothic" w:eastAsia="Calibri" w:cs="Arial"/>
                <w:b/>
                <w:lang w:val="es-ES_tradnl"/>
              </w:rPr>
            </w:pPr>
            <w:r w:rsidRPr="00F86DD3">
              <w:rPr>
                <w:rFonts w:ascii="Century Gothic" w:hAnsi="Century Gothic" w:eastAsia="Calibri" w:cs="Arial"/>
                <w:b/>
                <w:lang w:val="es-ES_tradnl"/>
              </w:rPr>
              <w:t>Radicación:</w:t>
            </w:r>
          </w:p>
        </w:tc>
        <w:tc>
          <w:tcPr>
            <w:tcW w:w="6237" w:type="dxa"/>
          </w:tcPr>
          <w:p w:rsidRPr="00F86DD3" w:rsidR="00E21185" w:rsidP="00E21185" w:rsidRDefault="003309FE" w14:paraId="191ED1C9" w14:textId="5D13EA97">
            <w:pPr>
              <w:spacing w:line="276" w:lineRule="auto"/>
              <w:jc w:val="both"/>
              <w:rPr>
                <w:rFonts w:ascii="Century Gothic" w:hAnsi="Century Gothic" w:eastAsia="Calibri" w:cs="Arial"/>
                <w:lang w:val="es-ES_tradnl"/>
              </w:rPr>
            </w:pPr>
            <w:r w:rsidRPr="00F86DD3">
              <w:rPr>
                <w:rFonts w:ascii="Century Gothic" w:hAnsi="Century Gothic" w:eastAsia="Calibri" w:cs="Arial"/>
                <w:lang w:val="es-ES_tradnl"/>
              </w:rPr>
              <w:t>Respuesta a consulta con radicado No.</w:t>
            </w:r>
            <w:r w:rsidRPr="00F86DD3" w:rsidR="00E21185">
              <w:rPr>
                <w:rFonts w:ascii="Century Gothic" w:hAnsi="Century Gothic" w:eastAsia="Calibri" w:cs="Arial"/>
                <w:lang w:val="es-ES_tradnl"/>
              </w:rPr>
              <w:t xml:space="preserve"> P20240312002739</w:t>
            </w:r>
          </w:p>
          <w:p w:rsidRPr="00F86DD3" w:rsidR="003309FE" w:rsidP="003309FE" w:rsidRDefault="003309FE" w14:paraId="673CCBD6" w14:textId="1F79AFE5">
            <w:pPr>
              <w:spacing w:line="276" w:lineRule="auto"/>
              <w:jc w:val="both"/>
              <w:rPr>
                <w:rFonts w:ascii="Century Gothic" w:hAnsi="Century Gothic" w:eastAsia="Calibri" w:cs="Arial"/>
                <w:lang w:val="es-ES_tradnl"/>
              </w:rPr>
            </w:pPr>
          </w:p>
        </w:tc>
      </w:tr>
    </w:tbl>
    <w:p w:rsidRPr="00F86DD3" w:rsidR="00DA6CEE" w:rsidP="00DA2BDA" w:rsidRDefault="00DA6CEE" w14:paraId="2DBABDE3" w14:textId="77777777">
      <w:pPr>
        <w:spacing w:line="276" w:lineRule="auto"/>
        <w:jc w:val="both"/>
        <w:rPr>
          <w:rFonts w:ascii="Century Gothic" w:hAnsi="Century Gothic" w:eastAsia="Calibri" w:cs="Arial"/>
          <w:lang w:val="es-ES_tradnl"/>
        </w:rPr>
      </w:pPr>
    </w:p>
    <w:p w:rsidRPr="00F86DD3" w:rsidR="00DA2BDA" w:rsidP="00DA2BDA" w:rsidRDefault="00DA2BDA" w14:paraId="56009402" w14:textId="11BD7EEB">
      <w:pPr>
        <w:spacing w:line="276" w:lineRule="auto"/>
        <w:jc w:val="both"/>
        <w:rPr>
          <w:rFonts w:ascii="Century Gothic" w:hAnsi="Century Gothic" w:eastAsia="Calibri" w:cs="Arial"/>
          <w:lang w:val="es-ES_tradnl"/>
        </w:rPr>
      </w:pPr>
      <w:r w:rsidRPr="00F86DD3">
        <w:rPr>
          <w:rFonts w:ascii="Century Gothic" w:hAnsi="Century Gothic" w:eastAsia="Calibri" w:cs="Arial"/>
          <w:lang w:val="es-ES_tradnl"/>
        </w:rPr>
        <w:t xml:space="preserve">Estimada </w:t>
      </w:r>
      <w:r w:rsidRPr="00F86DD3" w:rsidR="006E79BC">
        <w:rPr>
          <w:rFonts w:ascii="Century Gothic" w:hAnsi="Century Gothic" w:eastAsia="Calibri" w:cs="Arial"/>
          <w:lang w:val="es-ES_tradnl"/>
        </w:rPr>
        <w:t xml:space="preserve">señora </w:t>
      </w:r>
      <w:r w:rsidRPr="00F86DD3" w:rsidR="00361797">
        <w:rPr>
          <w:rFonts w:ascii="Century Gothic" w:hAnsi="Century Gothic" w:eastAsia="Calibri" w:cs="Arial"/>
          <w:lang w:val="es-ES_tradnl"/>
        </w:rPr>
        <w:t>Mar</w:t>
      </w:r>
      <w:r w:rsidRPr="00F86DD3" w:rsidR="004A3790">
        <w:rPr>
          <w:rFonts w:ascii="Century Gothic" w:hAnsi="Century Gothic" w:eastAsia="Calibri" w:cs="Arial"/>
          <w:lang w:val="es-ES_tradnl"/>
        </w:rPr>
        <w:t>í</w:t>
      </w:r>
      <w:r w:rsidRPr="00F86DD3" w:rsidR="00361797">
        <w:rPr>
          <w:rFonts w:ascii="Century Gothic" w:hAnsi="Century Gothic" w:eastAsia="Calibri" w:cs="Arial"/>
          <w:lang w:val="es-ES_tradnl"/>
        </w:rPr>
        <w:t xml:space="preserve">n </w:t>
      </w:r>
      <w:r w:rsidRPr="00F86DD3" w:rsidR="004A3790">
        <w:rPr>
          <w:rFonts w:ascii="Century Gothic" w:hAnsi="Century Gothic" w:eastAsia="Calibri" w:cs="Arial"/>
          <w:lang w:val="es-ES_tradnl"/>
        </w:rPr>
        <w:t>Sánchez</w:t>
      </w:r>
      <w:r w:rsidRPr="00F86DD3">
        <w:rPr>
          <w:rFonts w:ascii="Century Gothic" w:hAnsi="Century Gothic" w:cs="Arial"/>
          <w:lang w:val="es-ES_tradnl"/>
        </w:rPr>
        <w:t>:</w:t>
      </w:r>
    </w:p>
    <w:p w:rsidRPr="00F86DD3" w:rsidR="00DA2BDA" w:rsidP="00DA2BDA" w:rsidRDefault="00DA2BDA" w14:paraId="6F3AE1F2" w14:textId="0A9F31BF">
      <w:pPr>
        <w:spacing w:after="0" w:line="276" w:lineRule="auto"/>
        <w:jc w:val="both"/>
        <w:rPr>
          <w:rFonts w:ascii="Century Gothic" w:hAnsi="Century Gothic" w:eastAsia="Calibri" w:cs="Arial"/>
          <w:lang w:val="es-ES_tradnl"/>
        </w:rPr>
      </w:pPr>
      <w:r w:rsidRPr="00F86DD3">
        <w:rPr>
          <w:rFonts w:ascii="Century Gothic" w:hAnsi="Century Gothic" w:eastAsia="Calibri" w:cs="Arial"/>
          <w:lang w:val="es-ES_tradnl"/>
        </w:rPr>
        <w:t xml:space="preserve">En ejercicio de la competencia otorgada por el numeral 8° del artículo 11 y el numeral 5° del artículo 3 del Decreto Ley 4170 de 2011, la Agencia Nacional de Contratación Pública ― Colombia Compra Eficiente responde su consulta del </w:t>
      </w:r>
      <w:r w:rsidRPr="00F86DD3" w:rsidR="0068530C">
        <w:rPr>
          <w:rFonts w:ascii="Century Gothic" w:hAnsi="Century Gothic" w:eastAsia="Calibri" w:cs="Arial"/>
          <w:lang w:val="es-ES_tradnl"/>
        </w:rPr>
        <w:t>1</w:t>
      </w:r>
      <w:r w:rsidR="0084062F">
        <w:rPr>
          <w:rFonts w:ascii="Century Gothic" w:hAnsi="Century Gothic" w:eastAsia="Calibri" w:cs="Arial"/>
          <w:lang w:val="es-ES_tradnl"/>
        </w:rPr>
        <w:t>2</w:t>
      </w:r>
      <w:r w:rsidRPr="00F86DD3" w:rsidR="0068530C">
        <w:rPr>
          <w:rFonts w:ascii="Century Gothic" w:hAnsi="Century Gothic" w:eastAsia="Calibri" w:cs="Arial"/>
          <w:lang w:val="es-ES_tradnl"/>
        </w:rPr>
        <w:t xml:space="preserve"> de marzo del 2024. </w:t>
      </w:r>
      <w:r w:rsidRPr="00F86DD3">
        <w:rPr>
          <w:rFonts w:ascii="Century Gothic" w:hAnsi="Century Gothic" w:eastAsia="Calibri" w:cs="Arial"/>
          <w:lang w:val="es-ES_tradnl"/>
        </w:rPr>
        <w:t xml:space="preserve"> </w:t>
      </w:r>
    </w:p>
    <w:p w:rsidRPr="00F86DD3" w:rsidR="00DA2BDA" w:rsidP="00DA2BDA" w:rsidRDefault="00DA2BDA" w14:paraId="40FAFD38" w14:textId="77777777">
      <w:pPr>
        <w:spacing w:after="0" w:line="276" w:lineRule="auto"/>
        <w:jc w:val="both"/>
        <w:rPr>
          <w:rFonts w:ascii="Century Gothic" w:hAnsi="Century Gothic" w:eastAsia="Calibri" w:cs="Arial"/>
          <w:lang w:val="es-ES_tradnl"/>
        </w:rPr>
      </w:pPr>
    </w:p>
    <w:p w:rsidRPr="00F86DD3" w:rsidR="00DA2BDA" w:rsidP="00DA2BDA" w:rsidRDefault="00DA2BDA" w14:paraId="77D1345E" w14:textId="0ED4A577">
      <w:pPr>
        <w:pStyle w:val="ListParagraph"/>
        <w:numPr>
          <w:ilvl w:val="0"/>
          <w:numId w:val="6"/>
        </w:numPr>
        <w:tabs>
          <w:tab w:val="left" w:pos="0"/>
          <w:tab w:val="left" w:pos="142"/>
          <w:tab w:val="left" w:pos="284"/>
        </w:tabs>
        <w:spacing w:after="0" w:line="276" w:lineRule="auto"/>
        <w:ind w:left="0" w:firstLine="0"/>
        <w:jc w:val="both"/>
        <w:rPr>
          <w:rFonts w:ascii="Century Gothic" w:hAnsi="Century Gothic" w:eastAsia="Calibri" w:cs="Arial"/>
          <w:b/>
          <w:lang w:val="es-ES_tradnl"/>
        </w:rPr>
      </w:pPr>
      <w:r w:rsidRPr="00F86DD3">
        <w:rPr>
          <w:rFonts w:ascii="Century Gothic" w:hAnsi="Century Gothic" w:eastAsia="Calibri" w:cs="Arial"/>
          <w:b/>
          <w:lang w:val="es-ES_tradnl"/>
        </w:rPr>
        <w:t>Problema</w:t>
      </w:r>
      <w:r w:rsidR="0084062F">
        <w:rPr>
          <w:rFonts w:ascii="Century Gothic" w:hAnsi="Century Gothic" w:eastAsia="Calibri" w:cs="Arial"/>
          <w:b/>
          <w:lang w:val="es-ES_tradnl"/>
        </w:rPr>
        <w:t>s</w:t>
      </w:r>
      <w:r w:rsidRPr="00F86DD3">
        <w:rPr>
          <w:rFonts w:ascii="Century Gothic" w:hAnsi="Century Gothic" w:eastAsia="Calibri" w:cs="Arial"/>
          <w:b/>
          <w:lang w:val="es-ES_tradnl"/>
        </w:rPr>
        <w:t xml:space="preserve"> planteado</w:t>
      </w:r>
      <w:r w:rsidR="0084062F">
        <w:rPr>
          <w:rFonts w:ascii="Century Gothic" w:hAnsi="Century Gothic" w:eastAsia="Calibri" w:cs="Arial"/>
          <w:b/>
          <w:lang w:val="es-ES_tradnl"/>
        </w:rPr>
        <w:t>s</w:t>
      </w:r>
      <w:r w:rsidRPr="00F86DD3">
        <w:rPr>
          <w:rFonts w:ascii="Century Gothic" w:hAnsi="Century Gothic" w:eastAsia="Calibri" w:cs="Arial"/>
          <w:b/>
          <w:lang w:val="es-ES_tradnl"/>
        </w:rPr>
        <w:t xml:space="preserve"> </w:t>
      </w:r>
    </w:p>
    <w:p w:rsidRPr="00F86DD3" w:rsidR="00DA2BDA" w:rsidP="00DA2BDA" w:rsidRDefault="00DA2BDA" w14:paraId="2FD2F0FC" w14:textId="77777777">
      <w:pPr>
        <w:pStyle w:val="ListParagraph"/>
        <w:tabs>
          <w:tab w:val="left" w:pos="0"/>
          <w:tab w:val="left" w:pos="142"/>
          <w:tab w:val="left" w:pos="284"/>
        </w:tabs>
        <w:spacing w:after="0" w:line="276" w:lineRule="auto"/>
        <w:ind w:left="0"/>
        <w:jc w:val="both"/>
        <w:rPr>
          <w:rFonts w:ascii="Century Gothic" w:hAnsi="Century Gothic" w:eastAsia="Calibri" w:cs="Arial"/>
          <w:b/>
          <w:lang w:val="es-ES_tradnl"/>
        </w:rPr>
      </w:pPr>
    </w:p>
    <w:p w:rsidRPr="00F86DD3" w:rsidR="00DA2BDA" w:rsidP="00DA2BDA" w:rsidRDefault="00DA2BDA" w14:paraId="4A73D088" w14:textId="7870976E">
      <w:pPr>
        <w:spacing w:after="0" w:line="276" w:lineRule="auto"/>
        <w:jc w:val="both"/>
        <w:rPr>
          <w:rFonts w:ascii="Century Gothic" w:hAnsi="Century Gothic" w:cs="Arial"/>
          <w:lang w:val="es-ES_tradnl"/>
        </w:rPr>
      </w:pPr>
      <w:r w:rsidRPr="00F86DD3">
        <w:rPr>
          <w:rFonts w:ascii="Century Gothic" w:hAnsi="Century Gothic" w:cs="Arial"/>
          <w:lang w:val="es-ES_tradnl"/>
        </w:rPr>
        <w:t xml:space="preserve">En la petición de la referencia se realiza solicitud de consulta sobre </w:t>
      </w:r>
      <w:r w:rsidRPr="00F86DD3" w:rsidR="00EF0A59">
        <w:rPr>
          <w:rFonts w:ascii="Century Gothic" w:hAnsi="Century Gothic" w:cs="Arial"/>
          <w:lang w:val="es-ES_tradnl"/>
        </w:rPr>
        <w:t>el proceso administrativo sancionatorio</w:t>
      </w:r>
      <w:r w:rsidRPr="00F86DD3">
        <w:rPr>
          <w:rFonts w:ascii="Century Gothic" w:hAnsi="Century Gothic" w:cs="Arial"/>
          <w:lang w:val="es-ES_tradnl"/>
        </w:rPr>
        <w:t xml:space="preserve">. Al respecto usted pregunta:  </w:t>
      </w:r>
    </w:p>
    <w:p w:rsidRPr="00F86DD3" w:rsidR="00DA2BDA" w:rsidP="00DA2BDA" w:rsidRDefault="00DA2BDA" w14:paraId="5813DB34" w14:textId="77777777">
      <w:pPr>
        <w:spacing w:after="0" w:line="240" w:lineRule="auto"/>
        <w:rPr>
          <w:rFonts w:ascii="Century Gothic" w:hAnsi="Century Gothic"/>
          <w:lang w:val="es-ES_tradnl"/>
        </w:rPr>
      </w:pPr>
    </w:p>
    <w:p w:rsidRPr="00F86DD3" w:rsidR="007D4429" w:rsidP="00515ACB" w:rsidRDefault="00DA2BDA" w14:paraId="4B56C7A4" w14:textId="1F25CBF7">
      <w:pPr>
        <w:spacing w:after="0" w:line="240" w:lineRule="auto"/>
        <w:ind w:left="709" w:right="709"/>
        <w:jc w:val="both"/>
        <w:rPr>
          <w:rFonts w:ascii="Century Gothic" w:hAnsi="Century Gothic"/>
          <w:sz w:val="20"/>
          <w:szCs w:val="20"/>
          <w:lang w:val="es-ES_tradnl"/>
        </w:rPr>
      </w:pPr>
      <w:r w:rsidRPr="00F86DD3">
        <w:rPr>
          <w:rFonts w:ascii="Century Gothic" w:hAnsi="Century Gothic"/>
          <w:sz w:val="20"/>
          <w:szCs w:val="20"/>
          <w:lang w:val="es-ES_tradnl"/>
        </w:rPr>
        <w:t xml:space="preserve">“[…] 1. </w:t>
      </w:r>
      <w:r w:rsidRPr="00F86DD3" w:rsidR="005228AA">
        <w:rPr>
          <w:rFonts w:ascii="Century Gothic" w:hAnsi="Century Gothic"/>
          <w:sz w:val="20"/>
          <w:szCs w:val="20"/>
          <w:lang w:val="es-ES_tradnl"/>
        </w:rPr>
        <w:t>En relación con el cómputo de los términos de prescripción del contrato de seguro, para que la Entidad Estatal pueda declarar el siniestro y afectar las pólizas que amparan los contratos, solicito se me informe si se debe empezar a contar los términos a partir de la fecha de radicación</w:t>
      </w:r>
      <w:r w:rsidRPr="00F86DD3" w:rsidR="000676AE">
        <w:rPr>
          <w:rFonts w:ascii="Century Gothic" w:hAnsi="Century Gothic"/>
          <w:sz w:val="20"/>
          <w:szCs w:val="20"/>
          <w:lang w:val="es-ES_tradnl"/>
        </w:rPr>
        <w:t xml:space="preserve"> del informe del presunto incumplimiento junto con la solicitud de inicio del proceso, o desde cuando se deben contar </w:t>
      </w:r>
      <w:r w:rsidRPr="00F86DD3" w:rsidR="007D4429">
        <w:rPr>
          <w:rFonts w:ascii="Century Gothic" w:hAnsi="Century Gothic"/>
          <w:sz w:val="20"/>
          <w:szCs w:val="20"/>
          <w:lang w:val="es-ES_tradnl"/>
        </w:rPr>
        <w:t xml:space="preserve">dichos términos, teniendo en cuenta la existencia de un informe técnico presentado por la supervisión y/o la interventoría del contrato. </w:t>
      </w:r>
    </w:p>
    <w:p w:rsidRPr="00F86DD3" w:rsidR="0060181F" w:rsidP="00515ACB" w:rsidRDefault="0060181F" w14:paraId="32998A39" w14:textId="77777777">
      <w:pPr>
        <w:spacing w:after="0" w:line="240" w:lineRule="auto"/>
        <w:ind w:left="709" w:right="709"/>
        <w:jc w:val="both"/>
        <w:rPr>
          <w:rFonts w:ascii="Century Gothic" w:hAnsi="Century Gothic"/>
          <w:sz w:val="20"/>
          <w:szCs w:val="20"/>
          <w:lang w:val="es-ES_tradnl"/>
        </w:rPr>
      </w:pPr>
    </w:p>
    <w:p w:rsidRPr="00F86DD3" w:rsidR="0060181F" w:rsidP="00515ACB" w:rsidRDefault="0060181F" w14:paraId="5BE6473A" w14:textId="2100E904">
      <w:pPr>
        <w:spacing w:after="0" w:line="240" w:lineRule="auto"/>
        <w:ind w:left="709" w:right="709"/>
        <w:jc w:val="both"/>
        <w:rPr>
          <w:rFonts w:ascii="Century Gothic" w:hAnsi="Century Gothic"/>
          <w:sz w:val="20"/>
          <w:szCs w:val="20"/>
          <w:lang w:val="es-ES_tradnl"/>
        </w:rPr>
      </w:pPr>
      <w:r w:rsidRPr="00F86DD3">
        <w:rPr>
          <w:rFonts w:ascii="Century Gothic" w:hAnsi="Century Gothic"/>
          <w:sz w:val="20"/>
          <w:szCs w:val="20"/>
          <w:lang w:val="es-ES_tradnl"/>
        </w:rPr>
        <w:t>2</w:t>
      </w:r>
      <w:r w:rsidRPr="00F86DD3" w:rsidR="00515ACB">
        <w:rPr>
          <w:rFonts w:ascii="Century Gothic" w:hAnsi="Century Gothic"/>
          <w:sz w:val="20"/>
          <w:szCs w:val="20"/>
          <w:lang w:val="es-ES_tradnl"/>
        </w:rPr>
        <w:t xml:space="preserve">. </w:t>
      </w:r>
      <w:r w:rsidRPr="00F86DD3" w:rsidR="00B37A3E">
        <w:rPr>
          <w:rFonts w:ascii="Century Gothic" w:hAnsi="Century Gothic"/>
          <w:sz w:val="20"/>
          <w:szCs w:val="20"/>
          <w:lang w:val="es-ES_tradnl"/>
        </w:rPr>
        <w:t xml:space="preserve">Se informe cual es el procedimiento adecuado para hacer efectivas las pólizas que amparan un contrato si es el artículo 86 </w:t>
      </w:r>
      <w:r w:rsidRPr="00F86DD3" w:rsidR="00515ACB">
        <w:rPr>
          <w:rFonts w:ascii="Century Gothic" w:hAnsi="Century Gothic"/>
          <w:sz w:val="20"/>
          <w:szCs w:val="20"/>
          <w:lang w:val="es-ES_tradnl"/>
        </w:rPr>
        <w:t>de la ley 1474 de 2011 o el procedimiento establecido en el Código de Procedimiento Administrativo y de lo Contencioso Administrativo. Y cuál es la diferencia de aplicar uno u otro procedimiento Administrativo. Y cuál es la diferencial de aplicar uno u otro procedimiento si en los dos procesos se debe garantizar el debido proceso.</w:t>
      </w:r>
    </w:p>
    <w:p w:rsidRPr="00F86DD3" w:rsidR="00515ACB" w:rsidP="00515ACB" w:rsidRDefault="00515ACB" w14:paraId="41DEB08A" w14:textId="77777777">
      <w:pPr>
        <w:spacing w:after="0" w:line="240" w:lineRule="auto"/>
        <w:ind w:left="709" w:right="709"/>
        <w:jc w:val="both"/>
        <w:rPr>
          <w:rFonts w:ascii="Century Gothic" w:hAnsi="Century Gothic"/>
          <w:sz w:val="20"/>
          <w:szCs w:val="20"/>
          <w:lang w:val="es-ES_tradnl"/>
        </w:rPr>
      </w:pPr>
    </w:p>
    <w:p w:rsidRPr="00F86DD3" w:rsidR="00515ACB" w:rsidP="00515ACB" w:rsidRDefault="00515ACB" w14:paraId="60495C18" w14:textId="42273288">
      <w:pPr>
        <w:spacing w:after="0" w:line="240" w:lineRule="auto"/>
        <w:ind w:left="709" w:right="709"/>
        <w:jc w:val="both"/>
        <w:rPr>
          <w:rFonts w:ascii="Century Gothic" w:hAnsi="Century Gothic"/>
          <w:sz w:val="20"/>
          <w:szCs w:val="20"/>
          <w:lang w:val="es-ES_tradnl"/>
        </w:rPr>
      </w:pPr>
      <w:r w:rsidRPr="00F86DD3">
        <w:rPr>
          <w:rFonts w:ascii="Century Gothic" w:hAnsi="Century Gothic"/>
          <w:sz w:val="20"/>
          <w:szCs w:val="20"/>
          <w:lang w:val="es-ES_tradnl"/>
        </w:rPr>
        <w:t>3</w:t>
      </w:r>
      <w:r w:rsidRPr="00F86DD3" w:rsidR="00B46754">
        <w:rPr>
          <w:rFonts w:ascii="Century Gothic" w:hAnsi="Century Gothic"/>
          <w:sz w:val="20"/>
          <w:szCs w:val="20"/>
          <w:lang w:val="es-ES_tradnl"/>
        </w:rPr>
        <w:t>. Seria</w:t>
      </w:r>
      <w:r w:rsidRPr="00F86DD3" w:rsidR="00DE3E92">
        <w:rPr>
          <w:rFonts w:ascii="Century Gothic" w:hAnsi="Century Gothic"/>
          <w:sz w:val="20"/>
          <w:szCs w:val="20"/>
          <w:lang w:val="es-ES_tradnl"/>
        </w:rPr>
        <w:t xml:space="preserve"> nulo el acto administrativo que declare el siniestro si se adelanta por lo dispuesto en el artículo 86 de la Ley 1474 de 2011 si solo se busca la afectación de las pólizas. </w:t>
      </w:r>
    </w:p>
    <w:p w:rsidRPr="00F86DD3" w:rsidR="00DE3E92" w:rsidP="00515ACB" w:rsidRDefault="00DE3E92" w14:paraId="4248AE27" w14:textId="77777777">
      <w:pPr>
        <w:spacing w:after="0" w:line="240" w:lineRule="auto"/>
        <w:ind w:left="709" w:right="709"/>
        <w:jc w:val="both"/>
        <w:rPr>
          <w:rFonts w:ascii="Century Gothic" w:hAnsi="Century Gothic"/>
          <w:sz w:val="20"/>
          <w:szCs w:val="20"/>
          <w:lang w:val="es-ES_tradnl"/>
        </w:rPr>
      </w:pPr>
    </w:p>
    <w:p w:rsidRPr="00F86DD3" w:rsidR="00801DA6" w:rsidP="00801DA6" w:rsidRDefault="00DE3E92" w14:paraId="45A4C9E9" w14:textId="77777777">
      <w:pPr>
        <w:spacing w:after="0" w:line="240" w:lineRule="auto"/>
        <w:ind w:left="709" w:right="709"/>
        <w:jc w:val="both"/>
        <w:rPr>
          <w:rFonts w:ascii="Century Gothic" w:hAnsi="Century Gothic"/>
          <w:sz w:val="20"/>
          <w:szCs w:val="20"/>
          <w:lang w:val="es-ES_tradnl"/>
        </w:rPr>
      </w:pPr>
      <w:r w:rsidRPr="00F86DD3">
        <w:rPr>
          <w:rFonts w:ascii="Century Gothic" w:hAnsi="Century Gothic"/>
          <w:sz w:val="20"/>
          <w:szCs w:val="20"/>
          <w:lang w:val="es-ES_tradnl"/>
        </w:rPr>
        <w:t xml:space="preserve">4. </w:t>
      </w:r>
      <w:r w:rsidRPr="00B46754" w:rsidR="00B46754">
        <w:rPr>
          <w:rFonts w:ascii="Century Gothic" w:hAnsi="Century Gothic"/>
          <w:sz w:val="20"/>
          <w:szCs w:val="20"/>
          <w:lang w:val="es-ES_tradnl"/>
        </w:rPr>
        <w:t>Cuál es el término de la potestad sancionadora de la entidad para declarar</w:t>
      </w:r>
      <w:r w:rsidRPr="00F86DD3" w:rsidR="00B46754">
        <w:rPr>
          <w:rFonts w:ascii="Century Gothic" w:hAnsi="Century Gothic"/>
          <w:sz w:val="20"/>
          <w:szCs w:val="20"/>
          <w:lang w:val="es-ES_tradnl"/>
        </w:rPr>
        <w:t xml:space="preserve"> </w:t>
      </w:r>
      <w:r w:rsidRPr="00B46754" w:rsidR="00B46754">
        <w:rPr>
          <w:rFonts w:ascii="Century Gothic" w:hAnsi="Century Gothic"/>
          <w:sz w:val="20"/>
          <w:szCs w:val="20"/>
          <w:lang w:val="es-ES_tradnl"/>
        </w:rPr>
        <w:t>el incumplimiento y sancionar al contratista, considerando lo dispuesto en</w:t>
      </w:r>
      <w:r w:rsidRPr="00F86DD3" w:rsidR="00B46754">
        <w:rPr>
          <w:rFonts w:ascii="Century Gothic" w:hAnsi="Century Gothic"/>
          <w:sz w:val="20"/>
          <w:szCs w:val="20"/>
          <w:lang w:val="es-ES_tradnl"/>
        </w:rPr>
        <w:t xml:space="preserve"> </w:t>
      </w:r>
      <w:r w:rsidRPr="00B46754" w:rsidR="00B46754">
        <w:rPr>
          <w:rFonts w:ascii="Century Gothic" w:hAnsi="Century Gothic"/>
          <w:sz w:val="20"/>
          <w:szCs w:val="20"/>
          <w:lang w:val="es-ES_tradnl"/>
        </w:rPr>
        <w:t>el artículo 52 de la Ley 1437 de 2011 ya que el artículo 86 de la Ley 1474</w:t>
      </w:r>
      <w:r w:rsidRPr="00F86DD3" w:rsidR="00B46754">
        <w:rPr>
          <w:rFonts w:ascii="Century Gothic" w:hAnsi="Century Gothic"/>
          <w:sz w:val="20"/>
          <w:szCs w:val="20"/>
          <w:lang w:val="es-ES_tradnl"/>
        </w:rPr>
        <w:t xml:space="preserve"> </w:t>
      </w:r>
      <w:r w:rsidRPr="00B46754" w:rsidR="00B46754">
        <w:rPr>
          <w:rFonts w:ascii="Century Gothic" w:hAnsi="Century Gothic"/>
          <w:sz w:val="20"/>
          <w:szCs w:val="20"/>
          <w:lang w:val="es-ES_tradnl"/>
        </w:rPr>
        <w:t>de 2011 no tiene establecido un término. Además, solicito clarificación</w:t>
      </w:r>
      <w:r w:rsidRPr="00F86DD3" w:rsidR="00B46754">
        <w:rPr>
          <w:rFonts w:ascii="Century Gothic" w:hAnsi="Century Gothic"/>
          <w:sz w:val="20"/>
          <w:szCs w:val="20"/>
          <w:lang w:val="es-ES_tradnl"/>
        </w:rPr>
        <w:t xml:space="preserve"> </w:t>
      </w:r>
      <w:r w:rsidRPr="00B46754" w:rsidR="00B46754">
        <w:rPr>
          <w:rFonts w:ascii="Century Gothic" w:hAnsi="Century Gothic"/>
          <w:sz w:val="20"/>
          <w:szCs w:val="20"/>
          <w:lang w:val="es-ES_tradnl"/>
        </w:rPr>
        <w:t>sobre la relación entre la caducidad de la facultad sancionatoria y la</w:t>
      </w:r>
      <w:r w:rsidRPr="00F86DD3" w:rsidR="00B46754">
        <w:rPr>
          <w:rFonts w:ascii="Century Gothic" w:hAnsi="Century Gothic"/>
          <w:sz w:val="20"/>
          <w:szCs w:val="20"/>
          <w:lang w:val="es-ES_tradnl"/>
        </w:rPr>
        <w:t xml:space="preserve"> </w:t>
      </w:r>
      <w:r w:rsidRPr="00B46754" w:rsidR="00B46754">
        <w:rPr>
          <w:rFonts w:ascii="Century Gothic" w:hAnsi="Century Gothic"/>
          <w:sz w:val="20"/>
          <w:szCs w:val="20"/>
          <w:lang w:val="es-ES_tradnl"/>
        </w:rPr>
        <w:t>liquidación de un contrato o la perdida de competencia para liquidar el</w:t>
      </w:r>
      <w:r w:rsidRPr="00F86DD3" w:rsidR="00B46754">
        <w:rPr>
          <w:rFonts w:ascii="Century Gothic" w:hAnsi="Century Gothic"/>
          <w:sz w:val="20"/>
          <w:szCs w:val="20"/>
          <w:lang w:val="es-ES_tradnl"/>
        </w:rPr>
        <w:t xml:space="preserve"> contrato.</w:t>
      </w:r>
    </w:p>
    <w:p w:rsidRPr="00F86DD3" w:rsidR="00801DA6" w:rsidP="00801DA6" w:rsidRDefault="00801DA6" w14:paraId="5F4FF79D" w14:textId="77777777">
      <w:pPr>
        <w:spacing w:after="0" w:line="240" w:lineRule="auto"/>
        <w:ind w:left="709" w:right="709"/>
        <w:jc w:val="both"/>
        <w:rPr>
          <w:rFonts w:ascii="Century Gothic" w:hAnsi="Century Gothic"/>
          <w:sz w:val="20"/>
          <w:szCs w:val="20"/>
          <w:lang w:val="es-ES_tradnl"/>
        </w:rPr>
      </w:pPr>
    </w:p>
    <w:p w:rsidRPr="00F86DD3" w:rsidR="00801DA6" w:rsidP="00C25F79" w:rsidRDefault="00801DA6" w14:paraId="5B0738D4" w14:textId="6B7086E2">
      <w:pPr>
        <w:spacing w:after="0" w:line="240" w:lineRule="auto"/>
        <w:ind w:left="709" w:right="709"/>
        <w:jc w:val="both"/>
        <w:rPr>
          <w:rFonts w:ascii="Century Gothic" w:hAnsi="Century Gothic"/>
          <w:sz w:val="20"/>
          <w:szCs w:val="20"/>
        </w:rPr>
      </w:pPr>
      <w:r w:rsidRPr="00801DA6">
        <w:rPr>
          <w:rFonts w:ascii="Century Gothic" w:hAnsi="Century Gothic"/>
          <w:sz w:val="20"/>
          <w:szCs w:val="20"/>
        </w:rPr>
        <w:t>Toda vez, que frente a la caducidad de la acción sancionatoria con que</w:t>
      </w:r>
      <w:r w:rsidRPr="00F86DD3">
        <w:rPr>
          <w:rFonts w:ascii="Century Gothic" w:hAnsi="Century Gothic"/>
          <w:sz w:val="20"/>
          <w:szCs w:val="20"/>
          <w:lang w:val="es-ES_tradnl"/>
        </w:rPr>
        <w:t xml:space="preserve"> </w:t>
      </w:r>
      <w:r w:rsidRPr="00801DA6">
        <w:rPr>
          <w:rFonts w:ascii="Century Gothic" w:hAnsi="Century Gothic"/>
          <w:sz w:val="20"/>
          <w:szCs w:val="20"/>
        </w:rPr>
        <w:t>cuenta la entidad el artículo 52 del CPACA, indica un término de tres años</w:t>
      </w:r>
      <w:r w:rsidRPr="00F86DD3">
        <w:rPr>
          <w:rFonts w:ascii="Century Gothic" w:hAnsi="Century Gothic"/>
          <w:sz w:val="20"/>
          <w:szCs w:val="20"/>
        </w:rPr>
        <w:t xml:space="preserve"> </w:t>
      </w:r>
      <w:r w:rsidRPr="00801DA6">
        <w:rPr>
          <w:rFonts w:ascii="Century Gothic" w:hAnsi="Century Gothic"/>
          <w:sz w:val="20"/>
          <w:szCs w:val="20"/>
        </w:rPr>
        <w:t>contados a partir de la ocurrencia de los hechos, sin embargo se tiene que</w:t>
      </w:r>
      <w:r w:rsidRPr="00F86DD3">
        <w:rPr>
          <w:rFonts w:ascii="Century Gothic" w:hAnsi="Century Gothic"/>
          <w:sz w:val="20"/>
          <w:szCs w:val="20"/>
          <w:lang w:val="es-ES_tradnl"/>
        </w:rPr>
        <w:t xml:space="preserve"> </w:t>
      </w:r>
      <w:r w:rsidRPr="00F86DD3">
        <w:rPr>
          <w:rFonts w:ascii="Century Gothic" w:hAnsi="Century Gothic"/>
          <w:sz w:val="20"/>
          <w:szCs w:val="20"/>
        </w:rPr>
        <w:t>una vez liquidado el contrato o perdida la competencia para liquidar el</w:t>
      </w:r>
      <w:r w:rsidRPr="00F86DD3" w:rsidR="00C25F79">
        <w:rPr>
          <w:rFonts w:ascii="Century Gothic" w:hAnsi="Century Gothic"/>
          <w:sz w:val="20"/>
          <w:szCs w:val="20"/>
        </w:rPr>
        <w:t xml:space="preserve"> contrato no es posible para una entidad sancionar a un contratista </w:t>
      </w:r>
      <w:r w:rsidRPr="00C25F79" w:rsidR="00C25F79">
        <w:rPr>
          <w:rFonts w:ascii="Century Gothic" w:hAnsi="Century Gothic"/>
          <w:sz w:val="20"/>
          <w:szCs w:val="20"/>
        </w:rPr>
        <w:t>incumplido, y revisada la norma el plazo máximo con que cuenta la</w:t>
      </w:r>
      <w:r w:rsidRPr="00F86DD3" w:rsidR="00C25F79">
        <w:rPr>
          <w:rFonts w:ascii="Century Gothic" w:hAnsi="Century Gothic"/>
          <w:sz w:val="20"/>
          <w:szCs w:val="20"/>
        </w:rPr>
        <w:t xml:space="preserve"> </w:t>
      </w:r>
      <w:r w:rsidRPr="00C25F79" w:rsidR="00C25F79">
        <w:rPr>
          <w:rFonts w:ascii="Century Gothic" w:hAnsi="Century Gothic"/>
          <w:sz w:val="20"/>
          <w:szCs w:val="20"/>
        </w:rPr>
        <w:t>entidad para liquidar un contrato son dos años so pena de la caducidad</w:t>
      </w:r>
      <w:r w:rsidRPr="00F86DD3" w:rsidR="00C25F79">
        <w:rPr>
          <w:rFonts w:ascii="Century Gothic" w:hAnsi="Century Gothic"/>
          <w:sz w:val="20"/>
          <w:szCs w:val="20"/>
        </w:rPr>
        <w:t xml:space="preserve"> de la acción. </w:t>
      </w:r>
    </w:p>
    <w:p w:rsidRPr="00F86DD3" w:rsidR="00A22CE1" w:rsidP="00C25F79" w:rsidRDefault="00A22CE1" w14:paraId="4930C1F3" w14:textId="77777777">
      <w:pPr>
        <w:spacing w:after="0" w:line="240" w:lineRule="auto"/>
        <w:ind w:left="709" w:right="709"/>
        <w:jc w:val="both"/>
        <w:rPr>
          <w:rFonts w:ascii="Century Gothic" w:hAnsi="Century Gothic"/>
          <w:sz w:val="20"/>
          <w:szCs w:val="20"/>
        </w:rPr>
      </w:pPr>
    </w:p>
    <w:p w:rsidRPr="00F86DD3" w:rsidR="00DA2BDA" w:rsidP="00A22CE1" w:rsidRDefault="00A22CE1" w14:paraId="3CC52705" w14:textId="10EDF6C2">
      <w:pPr>
        <w:spacing w:after="0" w:line="240" w:lineRule="auto"/>
        <w:ind w:left="709" w:right="709"/>
        <w:jc w:val="both"/>
        <w:rPr>
          <w:rFonts w:ascii="Century Gothic" w:hAnsi="Century Gothic"/>
          <w:sz w:val="20"/>
          <w:szCs w:val="20"/>
        </w:rPr>
      </w:pPr>
      <w:r w:rsidRPr="00F86DD3">
        <w:rPr>
          <w:rFonts w:ascii="Century Gothic" w:hAnsi="Century Gothic"/>
          <w:sz w:val="20"/>
          <w:szCs w:val="20"/>
        </w:rPr>
        <w:t xml:space="preserve">5. Por último, requiero información de cuáles son los criterios que debe tener </w:t>
      </w:r>
      <w:r w:rsidRPr="00A22CE1">
        <w:rPr>
          <w:rFonts w:ascii="Century Gothic" w:hAnsi="Century Gothic"/>
          <w:sz w:val="20"/>
          <w:szCs w:val="20"/>
        </w:rPr>
        <w:t>presente la entidad estatal en un proceso administrativo sancionatorio</w:t>
      </w:r>
      <w:r w:rsidRPr="00F86DD3">
        <w:rPr>
          <w:rFonts w:ascii="Century Gothic" w:hAnsi="Century Gothic"/>
          <w:sz w:val="20"/>
          <w:szCs w:val="20"/>
        </w:rPr>
        <w:t xml:space="preserve"> </w:t>
      </w:r>
      <w:r w:rsidRPr="00A22CE1">
        <w:rPr>
          <w:rFonts w:ascii="Century Gothic" w:hAnsi="Century Gothic"/>
          <w:sz w:val="20"/>
          <w:szCs w:val="20"/>
        </w:rPr>
        <w:t>para hacer efectiva la cláusula penal pecuniaria pactada</w:t>
      </w:r>
      <w:r w:rsidRPr="00F86DD3">
        <w:rPr>
          <w:rFonts w:ascii="Century Gothic" w:hAnsi="Century Gothic"/>
          <w:sz w:val="20"/>
          <w:szCs w:val="20"/>
        </w:rPr>
        <w:t xml:space="preserve"> </w:t>
      </w:r>
      <w:r w:rsidRPr="00A22CE1">
        <w:rPr>
          <w:rFonts w:ascii="Century Gothic" w:hAnsi="Century Gothic"/>
          <w:sz w:val="20"/>
          <w:szCs w:val="20"/>
        </w:rPr>
        <w:t>contractualmente, con el propósito de aplicarla bajo el principio de</w:t>
      </w:r>
      <w:r w:rsidRPr="00F86DD3">
        <w:rPr>
          <w:rFonts w:ascii="Century Gothic" w:hAnsi="Century Gothic"/>
          <w:sz w:val="20"/>
          <w:szCs w:val="20"/>
        </w:rPr>
        <w:t xml:space="preserve"> </w:t>
      </w:r>
      <w:r w:rsidRPr="00A22CE1">
        <w:rPr>
          <w:rFonts w:ascii="Century Gothic" w:hAnsi="Century Gothic"/>
          <w:sz w:val="20"/>
          <w:szCs w:val="20"/>
        </w:rPr>
        <w:t>proporcionalidad. En particular, solicito orientación sobre cómo</w:t>
      </w:r>
      <w:r w:rsidRPr="00F86DD3">
        <w:rPr>
          <w:rFonts w:ascii="Century Gothic" w:hAnsi="Century Gothic"/>
          <w:sz w:val="20"/>
          <w:szCs w:val="20"/>
        </w:rPr>
        <w:t xml:space="preserve"> </w:t>
      </w:r>
      <w:r w:rsidRPr="00A22CE1">
        <w:rPr>
          <w:rFonts w:ascii="Century Gothic" w:hAnsi="Century Gothic"/>
          <w:sz w:val="20"/>
          <w:szCs w:val="20"/>
        </w:rPr>
        <w:t xml:space="preserve">determinar el porcentaje a aplicar por el </w:t>
      </w:r>
      <w:r w:rsidRPr="00A22CE1">
        <w:rPr>
          <w:rFonts w:ascii="Century Gothic" w:hAnsi="Century Gothic"/>
          <w:sz w:val="20"/>
          <w:szCs w:val="20"/>
        </w:rPr>
        <w:lastRenderedPageBreak/>
        <w:t>incumplimiento del contratista</w:t>
      </w:r>
      <w:r w:rsidRPr="00F86DD3">
        <w:rPr>
          <w:rFonts w:ascii="Century Gothic" w:hAnsi="Century Gothic"/>
          <w:sz w:val="20"/>
          <w:szCs w:val="20"/>
        </w:rPr>
        <w:t xml:space="preserve"> </w:t>
      </w:r>
      <w:r w:rsidRPr="00A22CE1">
        <w:rPr>
          <w:rFonts w:ascii="Century Gothic" w:hAnsi="Century Gothic"/>
          <w:sz w:val="20"/>
          <w:szCs w:val="20"/>
        </w:rPr>
        <w:t>en aquellos contratos donde las obligaciones no tienen un porcentaje</w:t>
      </w:r>
      <w:r w:rsidRPr="00F86DD3">
        <w:rPr>
          <w:rFonts w:ascii="Century Gothic" w:hAnsi="Century Gothic"/>
          <w:sz w:val="20"/>
          <w:szCs w:val="20"/>
        </w:rPr>
        <w:t xml:space="preserve"> establecido. </w:t>
      </w:r>
      <w:r w:rsidRPr="00F86DD3" w:rsidR="00DA2BDA">
        <w:rPr>
          <w:rFonts w:ascii="Century Gothic" w:hAnsi="Century Gothic"/>
          <w:sz w:val="20"/>
          <w:szCs w:val="20"/>
          <w:lang w:val="es-ES_tradnl"/>
        </w:rPr>
        <w:t>[…]”.</w:t>
      </w:r>
    </w:p>
    <w:p w:rsidRPr="00F86DD3" w:rsidR="00DA2BDA" w:rsidP="00DA2BDA" w:rsidRDefault="00DA2BDA" w14:paraId="7276C7BA" w14:textId="77777777">
      <w:pPr>
        <w:spacing w:after="0" w:line="240" w:lineRule="auto"/>
        <w:ind w:left="709" w:right="709"/>
        <w:jc w:val="both"/>
        <w:rPr>
          <w:rFonts w:ascii="Century Gothic" w:hAnsi="Century Gothic"/>
          <w:lang w:val="es-ES_tradnl"/>
        </w:rPr>
      </w:pPr>
    </w:p>
    <w:p w:rsidRPr="00F86DD3" w:rsidR="00DA2BDA" w:rsidP="00DA2BDA" w:rsidRDefault="00DA2BDA" w14:paraId="51D90D66" w14:textId="77777777">
      <w:pPr>
        <w:pStyle w:val="ListParagraph"/>
        <w:numPr>
          <w:ilvl w:val="0"/>
          <w:numId w:val="6"/>
        </w:numPr>
        <w:tabs>
          <w:tab w:val="left" w:pos="0"/>
          <w:tab w:val="left" w:pos="284"/>
        </w:tabs>
        <w:spacing w:after="0" w:line="276" w:lineRule="auto"/>
        <w:ind w:left="360"/>
        <w:jc w:val="both"/>
        <w:rPr>
          <w:rFonts w:ascii="Century Gothic" w:hAnsi="Century Gothic" w:eastAsia="Calibri" w:cs="Arial"/>
          <w:b/>
          <w:lang w:val="es-ES_tradnl"/>
        </w:rPr>
      </w:pPr>
      <w:r w:rsidRPr="00F86DD3">
        <w:rPr>
          <w:rFonts w:ascii="Century Gothic" w:hAnsi="Century Gothic" w:eastAsia="Calibri" w:cs="Arial"/>
          <w:b/>
          <w:lang w:val="es-ES_tradnl"/>
        </w:rPr>
        <w:t>Consideraciones</w:t>
      </w:r>
    </w:p>
    <w:p w:rsidRPr="00F86DD3" w:rsidR="00DA2BDA" w:rsidP="00DA2BDA" w:rsidRDefault="00DA2BDA" w14:paraId="0EE3F260" w14:textId="77777777">
      <w:pPr>
        <w:pStyle w:val="ListParagraph"/>
        <w:tabs>
          <w:tab w:val="left" w:pos="0"/>
          <w:tab w:val="left" w:pos="284"/>
        </w:tabs>
        <w:spacing w:after="0" w:line="240" w:lineRule="auto"/>
        <w:ind w:left="360"/>
        <w:jc w:val="both"/>
        <w:rPr>
          <w:rFonts w:ascii="Century Gothic" w:hAnsi="Century Gothic" w:eastAsia="Calibri" w:cs="Arial"/>
          <w:b/>
          <w:lang w:val="es-ES_tradnl"/>
        </w:rPr>
      </w:pPr>
    </w:p>
    <w:p w:rsidRPr="00F86DD3" w:rsidR="00DA2BDA" w:rsidP="00DA2BDA" w:rsidRDefault="00DA2BDA" w14:paraId="59D60B10" w14:textId="77777777">
      <w:pPr>
        <w:spacing w:after="120" w:line="276" w:lineRule="auto"/>
        <w:jc w:val="both"/>
        <w:rPr>
          <w:rFonts w:ascii="Century Gothic" w:hAnsi="Century Gothic" w:cs="Arial"/>
          <w:lang w:val="es-ES_tradnl"/>
        </w:rPr>
      </w:pPr>
      <w:r w:rsidRPr="00F86DD3">
        <w:rPr>
          <w:rFonts w:ascii="Century Gothic" w:hAnsi="Century Gothic" w:cs="Arial"/>
          <w:lang w:val="es-ES_tradnl"/>
        </w:rPr>
        <w:t>En ejercicio de las competencias establecidas en los artículos 3, numeral 5° y 11, numeral 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name="_Hlk61701014" w:id="0"/>
      <w:bookmarkStart w:name="_Hlk62136649" w:id="1"/>
      <w:r w:rsidRPr="00F86DD3">
        <w:rPr>
          <w:rFonts w:ascii="Century Gothic" w:hAnsi="Century Gothic" w:cs="Arial"/>
          <w:lang w:val="es-ES_tradnl"/>
        </w:rPr>
        <w:t xml:space="preserve">. Es necesario tener en cuenta que </w:t>
      </w:r>
      <w:bookmarkStart w:name="_Hlk61026958" w:id="2"/>
      <w:r w:rsidRPr="00F86DD3">
        <w:rPr>
          <w:rFonts w:ascii="Century Gothic" w:hAnsi="Century Gothic" w:cs="Arial"/>
          <w:lang w:val="es-ES_tradnl"/>
        </w:rPr>
        <w:t xml:space="preserve">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 la contratación estatal. </w:t>
      </w:r>
      <w:bookmarkEnd w:id="0"/>
      <w:bookmarkEnd w:id="1"/>
      <w:bookmarkEnd w:id="2"/>
    </w:p>
    <w:p w:rsidRPr="00F86DD3" w:rsidR="00DA2BDA" w:rsidP="00DA2BDA" w:rsidRDefault="00DA2BDA" w14:paraId="03735BE1" w14:textId="77777777">
      <w:pPr>
        <w:spacing w:after="120" w:line="276" w:lineRule="auto"/>
        <w:ind w:firstLine="708"/>
        <w:jc w:val="both"/>
        <w:rPr>
          <w:rFonts w:ascii="Century Gothic" w:hAnsi="Century Gothic" w:cs="Arial"/>
          <w:lang w:val="es-ES_tradnl"/>
        </w:rPr>
      </w:pPr>
      <w:r w:rsidRPr="00F86DD3">
        <w:rPr>
          <w:rFonts w:ascii="Century Gothic" w:hAnsi="Century Gothic" w:eastAsia="Calibri" w:cs="Arial"/>
          <w:lang w:val="es-ES_tradnl"/>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F86DD3">
        <w:rPr>
          <w:rFonts w:ascii="Century Gothic" w:hAnsi="Century Gothic" w:eastAsia="Calibri" w:cs="Arial"/>
          <w:vertAlign w:val="superscript"/>
          <w:lang w:val="es-ES_tradnl"/>
        </w:rPr>
        <w:footnoteReference w:id="2"/>
      </w:r>
      <w:r w:rsidRPr="00F86DD3">
        <w:rPr>
          <w:rFonts w:ascii="Century Gothic" w:hAnsi="Century Gothic" w:eastAsia="Calibri" w:cs="Arial"/>
          <w:lang w:val="es-ES_tradnl"/>
        </w:rPr>
        <w:t xml:space="preserve">.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contractuales de donde surge la inquietud. Por lo anterior, previo concepto de sus órganos asesores, la solución de estos temas corresponde a la Entidad que suscribió el contrato y, en caso de conflicto, a las autoridades judiciales, fiscales y disciplinarias. </w:t>
      </w:r>
    </w:p>
    <w:p w:rsidRPr="00F86DD3" w:rsidR="00DA2BDA" w:rsidP="2F38AC55" w:rsidRDefault="00DA2BDA" w14:paraId="7B986BE6" w14:textId="462091C9">
      <w:pPr>
        <w:spacing w:line="276" w:lineRule="auto"/>
        <w:ind w:firstLine="708"/>
        <w:jc w:val="both"/>
        <w:rPr>
          <w:rFonts w:ascii="Century Gothic" w:hAnsi="Century Gothic" w:eastAsia="Calibri" w:cs="Arial"/>
          <w:lang w:val="es-ES"/>
        </w:rPr>
      </w:pPr>
      <w:r w:rsidRPr="2F38AC55">
        <w:rPr>
          <w:rFonts w:ascii="Century Gothic" w:hAnsi="Century Gothic" w:eastAsia="Calibri" w:cs="Arial"/>
          <w:lang w:val="es-ES"/>
        </w:rPr>
        <w:t xml:space="preserve">Sin perjuicio de lo anterior, la Subdirección de Gestión Contractual –dentro de los límites de sus atribuciones, esto es, </w:t>
      </w:r>
      <w:bookmarkStart w:name="_Hlk61025408" w:id="3"/>
      <w:r w:rsidRPr="2F38AC55">
        <w:rPr>
          <w:rFonts w:ascii="Century Gothic" w:hAnsi="Century Gothic" w:eastAsia="Calibri" w:cs="Arial"/>
          <w:lang w:val="es-ES"/>
        </w:rPr>
        <w:t xml:space="preserve">haciendo abstracción del caso particular </w:t>
      </w:r>
      <w:r w:rsidRPr="2F38AC55">
        <w:rPr>
          <w:rFonts w:ascii="Century Gothic" w:hAnsi="Century Gothic" w:eastAsia="Calibri" w:cs="Arial"/>
          <w:lang w:val="es-ES"/>
        </w:rPr>
        <w:lastRenderedPageBreak/>
        <w:t>expuesto por el peticionari</w:t>
      </w:r>
      <w:bookmarkEnd w:id="3"/>
      <w:r w:rsidRPr="2F38AC55">
        <w:rPr>
          <w:rFonts w:ascii="Century Gothic" w:hAnsi="Century Gothic" w:eastAsia="Calibri" w:cs="Arial"/>
          <w:lang w:val="es-ES"/>
        </w:rPr>
        <w:t>o– resolverá la consulta conforme a las normas generales en materia de contratación estatal</w:t>
      </w:r>
      <w:r w:rsidRPr="2F38AC55">
        <w:rPr>
          <w:rFonts w:ascii="Century Gothic" w:hAnsi="Century Gothic" w:eastAsia="Calibri" w:cs="Arial"/>
          <w:lang w:val="es-ES" w:eastAsia="es-MX"/>
        </w:rPr>
        <w:t xml:space="preserve">. Con este objetivo se analizarán los siguientes temas: </w:t>
      </w:r>
      <w:r w:rsidRPr="2F38AC55" w:rsidR="00DA3D56">
        <w:rPr>
          <w:rFonts w:ascii="Century Gothic" w:hAnsi="Century Gothic" w:eastAsia="Times New Roman" w:cs="Arial"/>
          <w:lang w:val="es-ES" w:eastAsia="es-ES"/>
          <w14:ligatures w14:val="standardContextual"/>
        </w:rPr>
        <w:t xml:space="preserve">i) régimen sancionatorio en el Estatuto General de Contratación de la Administración Pública; y </w:t>
      </w:r>
      <w:proofErr w:type="spellStart"/>
      <w:r w:rsidRPr="2F38AC55" w:rsidR="00DA3D56">
        <w:rPr>
          <w:rFonts w:ascii="Century Gothic" w:hAnsi="Century Gothic" w:eastAsia="Times New Roman" w:cs="Arial"/>
          <w:lang w:val="es-ES" w:eastAsia="es-ES"/>
          <w14:ligatures w14:val="standardContextual"/>
        </w:rPr>
        <w:t>ii</w:t>
      </w:r>
      <w:proofErr w:type="spellEnd"/>
      <w:r w:rsidRPr="2F38AC55" w:rsidR="00DA3D56">
        <w:rPr>
          <w:rFonts w:ascii="Century Gothic" w:hAnsi="Century Gothic" w:eastAsia="Times New Roman" w:cs="Arial"/>
          <w:lang w:val="es-ES" w:eastAsia="es-ES"/>
          <w14:ligatures w14:val="standardContextual"/>
        </w:rPr>
        <w:t>) caducidad de la facultad sancionatoria en procesos sancionatorios contractuales. Aplicación subsidiaria del artículo 52 del CPACA.</w:t>
      </w:r>
    </w:p>
    <w:p w:rsidRPr="00F86DD3" w:rsidR="00DA2BDA" w:rsidP="00336519" w:rsidRDefault="00DA2BDA" w14:paraId="21705A5B" w14:textId="1D8CA6D3">
      <w:pPr>
        <w:spacing w:line="276" w:lineRule="auto"/>
        <w:ind w:firstLine="708"/>
        <w:jc w:val="both"/>
        <w:rPr>
          <w:rFonts w:ascii="Century Gothic" w:hAnsi="Century Gothic" w:eastAsia="Calibri" w:cs="Arial"/>
          <w:lang w:val="es-ES_tradnl"/>
        </w:rPr>
      </w:pPr>
      <w:r w:rsidRPr="00F86DD3">
        <w:rPr>
          <w:rFonts w:ascii="Century Gothic" w:hAnsi="Century Gothic" w:eastAsia="Calibri" w:cs="Arial"/>
          <w:lang w:val="es-ES_tradnl"/>
        </w:rPr>
        <w:t>La Agencia Nacional de Contratación Pública – Colombia Compra Eficiente</w:t>
      </w:r>
      <w:r w:rsidRPr="00F86DD3" w:rsidR="00AE2D11">
        <w:rPr>
          <w:rFonts w:ascii="Century Gothic" w:hAnsi="Century Gothic" w:eastAsia="Calibri" w:cs="Arial"/>
          <w:lang w:val="es-ES_tradnl"/>
        </w:rPr>
        <w:t xml:space="preserve"> </w:t>
      </w:r>
      <w:r w:rsidRPr="00F86DD3" w:rsidR="008C2A82">
        <w:rPr>
          <w:rFonts w:ascii="Century Gothic" w:hAnsi="Century Gothic" w:eastAsia="Times New Roman" w:cs="Arial"/>
          <w:lang w:val="es-ES_tradnl" w:eastAsia="es-ES_tradnl"/>
          <w14:ligatures w14:val="standardContextual"/>
        </w:rPr>
        <w:t xml:space="preserve">estudió la potestad sancionatoria de las </w:t>
      </w:r>
      <w:r w:rsidRPr="00F86DD3" w:rsidR="00AE2D11">
        <w:rPr>
          <w:rFonts w:ascii="Century Gothic" w:hAnsi="Century Gothic" w:eastAsia="Times New Roman" w:cs="Arial"/>
          <w:lang w:val="es-ES_tradnl" w:eastAsia="es-ES_tradnl"/>
          <w14:ligatures w14:val="standardContextual"/>
        </w:rPr>
        <w:t>E</w:t>
      </w:r>
      <w:r w:rsidRPr="00F86DD3" w:rsidR="008C2A82">
        <w:rPr>
          <w:rFonts w:ascii="Century Gothic" w:hAnsi="Century Gothic" w:eastAsia="Times New Roman" w:cs="Arial"/>
          <w:lang w:val="es-ES_tradnl" w:eastAsia="es-ES_tradnl"/>
          <w14:ligatures w14:val="standardContextual"/>
        </w:rPr>
        <w:t xml:space="preserve">ntidades </w:t>
      </w:r>
      <w:r w:rsidRPr="00F86DD3" w:rsidR="00AE2D11">
        <w:rPr>
          <w:rFonts w:ascii="Century Gothic" w:hAnsi="Century Gothic" w:eastAsia="Times New Roman" w:cs="Arial"/>
          <w:lang w:val="es-ES_tradnl" w:eastAsia="es-ES_tradnl"/>
          <w14:ligatures w14:val="standardContextual"/>
        </w:rPr>
        <w:t>E</w:t>
      </w:r>
      <w:r w:rsidRPr="00F86DD3" w:rsidR="008C2A82">
        <w:rPr>
          <w:rFonts w:ascii="Century Gothic" w:hAnsi="Century Gothic" w:eastAsia="Times New Roman" w:cs="Arial"/>
          <w:lang w:val="es-ES_tradnl" w:eastAsia="es-ES_tradnl"/>
          <w14:ligatures w14:val="standardContextual"/>
        </w:rPr>
        <w:t xml:space="preserve">statales y el procedimiento administrativo que deben efectuar para declarar el incumplimiento y aplicar las sanciones correspondientes, destacando la necesidad de garantizar el debido proceso, en los conceptos C-147 del 17 de marzo de 2020, C-219 del 29 de abril de 2020, </w:t>
      </w:r>
      <w:r w:rsidRPr="00F86DD3" w:rsidR="008C2A82">
        <w:rPr>
          <w:rFonts w:ascii="Century Gothic" w:hAnsi="Century Gothic" w:eastAsia="Times New Roman" w:cs="Arial"/>
          <w:iCs/>
          <w:lang w:val="es-ES_tradnl" w:eastAsia="es-ES_tradnl"/>
          <w14:ligatures w14:val="standardContextual"/>
        </w:rPr>
        <w:t>C-434 del 29 de julio de 2020, C-569 del 31 de agosto de 2020, C-641 del 4 de noviembre de 2020, C-060 del 8 de marzo de 2021, C-528 del 5 de abril de 2021, C-420 del 25 de agosto de 2022,</w:t>
      </w:r>
      <w:r w:rsidRPr="00F86DD3" w:rsidR="008C2A82">
        <w:rPr>
          <w:rFonts w:ascii="Century Gothic" w:hAnsi="Century Gothic" w:eastAsia="Times New Roman" w:cs="Arial"/>
          <w:lang w:val="es-ES_tradnl" w:eastAsia="es-ES_tradnl"/>
          <w14:ligatures w14:val="standardContextual"/>
        </w:rPr>
        <w:t xml:space="preserve"> C- 720 del 25 de enero de 2022, </w:t>
      </w:r>
      <w:hyperlink w:tgtFrame="_blank" w:history="1" r:id="rId13">
        <w:r w:rsidRPr="00F86DD3" w:rsidR="008C2A82">
          <w:rPr>
            <w:rFonts w:ascii="Century Gothic" w:hAnsi="Century Gothic" w:eastAsia="Times New Roman" w:cs="Arial"/>
            <w:shd w:val="clear" w:color="auto" w:fill="FFFFFF"/>
            <w:lang w:val="es-ES" w:eastAsia="es-ES_tradnl"/>
            <w14:ligatures w14:val="standardContextual"/>
          </w:rPr>
          <w:t>C-085 del 29 de abril  de 2022</w:t>
        </w:r>
      </w:hyperlink>
      <w:r w:rsidRPr="00F86DD3" w:rsidR="008C2A82">
        <w:rPr>
          <w:rFonts w:ascii="Century Gothic" w:hAnsi="Century Gothic" w:eastAsia="Times New Roman" w:cs="Arial"/>
          <w:shd w:val="clear" w:color="auto" w:fill="FFFFFF"/>
          <w:lang w:val="es-ES" w:eastAsia="es-ES_tradnl"/>
          <w14:ligatures w14:val="standardContextual"/>
        </w:rPr>
        <w:t xml:space="preserve"> </w:t>
      </w:r>
      <w:hyperlink w:tgtFrame="_blank" w:history="1" r:id="rId14">
        <w:r w:rsidRPr="00F86DD3" w:rsidR="008C2A82">
          <w:rPr>
            <w:rFonts w:ascii="Century Gothic" w:hAnsi="Century Gothic" w:eastAsia="Times New Roman" w:cs="Arial"/>
            <w:shd w:val="clear" w:color="auto" w:fill="FFFFFF"/>
            <w:lang w:val="es-ES" w:eastAsia="es-ES_tradnl"/>
            <w14:ligatures w14:val="standardContextual"/>
          </w:rPr>
          <w:t>C-125 del 23 de marzo de 2022,</w:t>
        </w:r>
      </w:hyperlink>
      <w:r w:rsidRPr="00F86DD3" w:rsidR="008C2A82">
        <w:rPr>
          <w:rFonts w:ascii="Century Gothic" w:hAnsi="Century Gothic" w:eastAsia="Times New Roman" w:cs="Arial"/>
          <w:shd w:val="clear" w:color="auto" w:fill="FFFFFF"/>
          <w:lang w:val="es-ES" w:eastAsia="es-ES_tradnl"/>
          <w14:ligatures w14:val="standardContextual"/>
        </w:rPr>
        <w:t xml:space="preserve"> </w:t>
      </w:r>
      <w:hyperlink w:tgtFrame="_blank" w:history="1" r:id="rId15">
        <w:r w:rsidRPr="00F86DD3" w:rsidR="008C2A82">
          <w:rPr>
            <w:rFonts w:ascii="Century Gothic" w:hAnsi="Century Gothic" w:eastAsia="Times New Roman" w:cs="Arial"/>
            <w:shd w:val="clear" w:color="auto" w:fill="FFFFFF"/>
            <w:lang w:eastAsia="es-ES_tradnl"/>
            <w14:ligatures w14:val="standardContextual"/>
          </w:rPr>
          <w:t>C-195 del 12 de abril de 2022,</w:t>
        </w:r>
      </w:hyperlink>
      <w:r w:rsidRPr="00F86DD3" w:rsidR="008C2A82">
        <w:rPr>
          <w:rFonts w:ascii="Century Gothic" w:hAnsi="Century Gothic" w:eastAsia="Times New Roman" w:cs="Arial"/>
          <w:shd w:val="clear" w:color="auto" w:fill="FFFFFF"/>
          <w:lang w:val="es-ES" w:eastAsia="es-ES_tradnl"/>
          <w14:ligatures w14:val="standardContextual"/>
        </w:rPr>
        <w:t xml:space="preserve"> </w:t>
      </w:r>
      <w:hyperlink w:tgtFrame="_blank" w:history="1" r:id="rId16">
        <w:r w:rsidRPr="00F86DD3" w:rsidR="008C2A82">
          <w:rPr>
            <w:rFonts w:ascii="Century Gothic" w:hAnsi="Century Gothic" w:eastAsia="Times New Roman" w:cs="Arial"/>
            <w:shd w:val="clear" w:color="auto" w:fill="FFFFFF"/>
            <w:lang w:val="es-ES" w:eastAsia="es-ES_tradnl"/>
            <w14:ligatures w14:val="standardContextual"/>
          </w:rPr>
          <w:t>C-208 del 26 de abril de 2022,</w:t>
        </w:r>
      </w:hyperlink>
      <w:r w:rsidRPr="00F86DD3" w:rsidR="008C2A82">
        <w:rPr>
          <w:rFonts w:ascii="Century Gothic" w:hAnsi="Century Gothic" w:eastAsia="Times New Roman" w:cs="Arial"/>
          <w:shd w:val="clear" w:color="auto" w:fill="FFFFFF"/>
          <w:lang w:val="es-ES" w:eastAsia="es-ES_tradnl"/>
          <w14:ligatures w14:val="standardContextual"/>
        </w:rPr>
        <w:t xml:space="preserve"> </w:t>
      </w:r>
      <w:hyperlink w:tgtFrame="_blank" w:history="1" r:id="rId17">
        <w:r w:rsidRPr="00F86DD3" w:rsidR="008C2A82">
          <w:rPr>
            <w:rFonts w:ascii="Century Gothic" w:hAnsi="Century Gothic" w:eastAsia="Times New Roman" w:cs="Arial"/>
            <w:shd w:val="clear" w:color="auto" w:fill="FFFFFF"/>
            <w:lang w:eastAsia="es-ES_tradnl"/>
            <w14:ligatures w14:val="standardContextual"/>
          </w:rPr>
          <w:t>C-238 del 27 de abril de 2022,</w:t>
        </w:r>
      </w:hyperlink>
      <w:r w:rsidRPr="00F86DD3" w:rsidR="008C2A82">
        <w:rPr>
          <w:rFonts w:ascii="Century Gothic" w:hAnsi="Century Gothic" w:eastAsia="Times New Roman" w:cs="Arial"/>
          <w:shd w:val="clear" w:color="auto" w:fill="FFFFFF"/>
          <w:lang w:eastAsia="es-ES_tradnl"/>
          <w14:ligatures w14:val="standardContextual"/>
        </w:rPr>
        <w:t xml:space="preserve"> </w:t>
      </w:r>
      <w:bookmarkStart w:name="_Hlk143178132" w:id="4"/>
      <w:r w:rsidRPr="00F86DD3" w:rsidR="008C2A82">
        <w:rPr>
          <w:rFonts w:ascii="Century Gothic" w:hAnsi="Century Gothic"/>
        </w:rPr>
        <w:fldChar w:fldCharType="begin"/>
      </w:r>
      <w:r w:rsidRPr="00F86DD3" w:rsidR="008C2A82">
        <w:rPr>
          <w:rFonts w:ascii="Century Gothic" w:hAnsi="Century Gothic"/>
        </w:rPr>
        <w:instrText>HYPERLINK "https://relatoria.colombiacompra.gov.co/ficha/C-866%20de%202022" \t "_blank"</w:instrText>
      </w:r>
      <w:r w:rsidRPr="00F86DD3" w:rsidR="008C2A82">
        <w:rPr>
          <w:rFonts w:ascii="Century Gothic" w:hAnsi="Century Gothic"/>
        </w:rPr>
      </w:r>
      <w:r w:rsidRPr="00F86DD3" w:rsidR="008C2A82">
        <w:rPr>
          <w:rFonts w:ascii="Century Gothic" w:hAnsi="Century Gothic"/>
        </w:rPr>
        <w:fldChar w:fldCharType="separate"/>
      </w:r>
      <w:r w:rsidRPr="00F86DD3" w:rsidR="008C2A82">
        <w:rPr>
          <w:rFonts w:ascii="Century Gothic" w:hAnsi="Century Gothic" w:eastAsia="Times New Roman" w:cs="Arial"/>
          <w:shd w:val="clear" w:color="auto" w:fill="FFFFFF"/>
          <w:lang w:eastAsia="es-ES_tradnl"/>
          <w14:ligatures w14:val="standardContextual"/>
        </w:rPr>
        <w:t>C-866 del 20 de diciembre de 2022</w:t>
      </w:r>
      <w:r w:rsidRPr="00F86DD3" w:rsidR="008C2A82">
        <w:rPr>
          <w:rFonts w:ascii="Century Gothic" w:hAnsi="Century Gothic" w:eastAsia="Times New Roman" w:cs="Arial"/>
          <w:shd w:val="clear" w:color="auto" w:fill="FFFFFF"/>
          <w:lang w:eastAsia="es-ES_tradnl"/>
          <w14:ligatures w14:val="standardContextual"/>
        </w:rPr>
        <w:fldChar w:fldCharType="end"/>
      </w:r>
      <w:r w:rsidRPr="00F86DD3" w:rsidR="008C2A82">
        <w:rPr>
          <w:rFonts w:ascii="Century Gothic" w:hAnsi="Century Gothic" w:eastAsia="Times New Roman" w:cs="Arial"/>
          <w:shd w:val="clear" w:color="auto" w:fill="FFFFFF"/>
          <w:lang w:eastAsia="es-ES_tradnl"/>
          <w14:ligatures w14:val="standardContextual"/>
        </w:rPr>
        <w:t xml:space="preserve">, </w:t>
      </w:r>
      <w:hyperlink w:tgtFrame="_blank" w:history="1" r:id="rId18">
        <w:r w:rsidRPr="00F86DD3" w:rsidR="008C2A82">
          <w:rPr>
            <w:rFonts w:ascii="Century Gothic" w:hAnsi="Century Gothic" w:eastAsia="Times New Roman" w:cs="Arial"/>
            <w:shd w:val="clear" w:color="auto" w:fill="FFFFFF"/>
            <w:lang w:eastAsia="es-ES_tradnl"/>
            <w14:ligatures w14:val="standardContextual"/>
          </w:rPr>
          <w:t>C-034 de 09 de marzo de 2023</w:t>
        </w:r>
      </w:hyperlink>
      <w:r w:rsidRPr="00F86DD3" w:rsidR="007769ED">
        <w:rPr>
          <w:rFonts w:ascii="Century Gothic" w:hAnsi="Century Gothic" w:eastAsia="Times New Roman" w:cs="Arial"/>
          <w:lang w:eastAsia="es-ES_tradnl"/>
          <w14:ligatures w14:val="standardContextual"/>
        </w:rPr>
        <w:t xml:space="preserve">, </w:t>
      </w:r>
      <w:r w:rsidRPr="00F86DD3" w:rsidR="008C2A82">
        <w:rPr>
          <w:rFonts w:ascii="Century Gothic" w:hAnsi="Century Gothic" w:eastAsia="Times New Roman" w:cs="Arial"/>
          <w:lang w:eastAsia="es-ES_tradnl"/>
          <w14:ligatures w14:val="standardContextual"/>
        </w:rPr>
        <w:t>C-140 del 13 de junio de 2023</w:t>
      </w:r>
      <w:bookmarkEnd w:id="4"/>
      <w:r w:rsidRPr="00F86DD3" w:rsidR="007769ED">
        <w:rPr>
          <w:rFonts w:ascii="Century Gothic" w:hAnsi="Century Gothic" w:eastAsia="Times New Roman" w:cs="Arial"/>
          <w:lang w:eastAsia="es-ES_tradnl"/>
          <w14:ligatures w14:val="standardContextual"/>
        </w:rPr>
        <w:t xml:space="preserve"> y C-</w:t>
      </w:r>
      <w:r w:rsidRPr="00F86DD3" w:rsidR="005F14DE">
        <w:rPr>
          <w:rFonts w:ascii="Century Gothic" w:hAnsi="Century Gothic" w:eastAsia="Times New Roman" w:cs="Arial"/>
          <w:lang w:eastAsia="es-ES_tradnl"/>
          <w14:ligatures w14:val="standardContextual"/>
        </w:rPr>
        <w:t>227 del 07 de julio del 2023</w:t>
      </w:r>
      <w:r w:rsidRPr="00F86DD3">
        <w:rPr>
          <w:rStyle w:val="FootnoteReference"/>
          <w:rFonts w:ascii="Century Gothic" w:hAnsi="Century Gothic" w:eastAsia="Calibri" w:cs="Arial"/>
          <w:bCs/>
          <w:lang w:val="es-ES_tradnl"/>
        </w:rPr>
        <w:footnoteReference w:id="3"/>
      </w:r>
      <w:r w:rsidRPr="00F86DD3">
        <w:rPr>
          <w:rFonts w:ascii="Century Gothic" w:hAnsi="Century Gothic" w:eastAsia="Calibri" w:cs="Arial"/>
          <w:bCs/>
          <w:lang w:val="es-ES_tradnl"/>
        </w:rPr>
        <w:t>.</w:t>
      </w:r>
      <w:r w:rsidRPr="00F86DD3">
        <w:rPr>
          <w:rFonts w:ascii="Century Gothic" w:hAnsi="Century Gothic" w:eastAsia="Calibri" w:cs="Arial"/>
          <w:lang w:val="es-ES_tradnl" w:eastAsia="es-ES_tradnl"/>
        </w:rPr>
        <w:t xml:space="preserve"> Algunas de las consideraciones de estos conceptos se reiteran y se complementan en lo pertinente para dar respuesta a su consulta.</w:t>
      </w:r>
    </w:p>
    <w:p w:rsidRPr="00F86DD3" w:rsidR="0058730D" w:rsidP="0058730D" w:rsidRDefault="0058730D" w14:paraId="3EC1FAF4" w14:textId="77777777">
      <w:pPr>
        <w:spacing w:after="0" w:line="276" w:lineRule="auto"/>
        <w:contextualSpacing/>
        <w:jc w:val="both"/>
        <w:rPr>
          <w:rFonts w:ascii="Century Gothic" w:hAnsi="Century Gothic" w:eastAsia="Calibri" w:cs="Arial"/>
          <w:b/>
          <w:bCs/>
          <w:lang w:val="es-ES_tradnl" w:eastAsia="es-ES_tradnl"/>
          <w14:ligatures w14:val="standardContextual"/>
        </w:rPr>
      </w:pPr>
      <w:r w:rsidRPr="00F86DD3">
        <w:rPr>
          <w:rFonts w:ascii="Century Gothic" w:hAnsi="Century Gothic" w:eastAsia="Calibri" w:cs="Arial"/>
          <w:b/>
          <w:bCs/>
          <w:lang w:val="es-ES_tradnl" w:eastAsia="es-ES_tradnl"/>
          <w14:ligatures w14:val="standardContextual"/>
        </w:rPr>
        <w:t>2.1. Régimen sancionatorio en el Estatuto General de Contratación de la Administración Pública</w:t>
      </w:r>
    </w:p>
    <w:p w:rsidRPr="00F86DD3" w:rsidR="0058730D" w:rsidP="0058730D" w:rsidRDefault="0058730D" w14:paraId="32C52BC6" w14:textId="77777777">
      <w:pPr>
        <w:spacing w:after="0" w:line="276" w:lineRule="auto"/>
        <w:contextualSpacing/>
        <w:jc w:val="both"/>
        <w:rPr>
          <w:rFonts w:ascii="Century Gothic" w:hAnsi="Century Gothic" w:eastAsia="Calibri" w:cs="Arial"/>
          <w:b/>
          <w:bCs/>
          <w:lang w:val="es-ES_tradnl" w:eastAsia="es-ES_tradnl"/>
          <w14:ligatures w14:val="standardContextual"/>
        </w:rPr>
      </w:pPr>
    </w:p>
    <w:p w:rsidRPr="00F86DD3" w:rsidR="0058730D" w:rsidP="2F38AC55" w:rsidRDefault="0058730D" w14:paraId="512D0932" w14:textId="77777777">
      <w:pPr>
        <w:spacing w:after="120" w:line="276" w:lineRule="auto"/>
        <w:jc w:val="both"/>
        <w:rPr>
          <w:rFonts w:ascii="Century Gothic" w:hAnsi="Century Gothic" w:eastAsia="Times New Roman" w:cs="Arial"/>
          <w:lang w:val="es-ES" w:eastAsia="es-ES"/>
          <w14:ligatures w14:val="standardContextual"/>
        </w:rPr>
      </w:pPr>
      <w:r w:rsidRPr="2F38AC55">
        <w:rPr>
          <w:rFonts w:ascii="Century Gothic" w:hAnsi="Century Gothic" w:eastAsia="Times New Roman" w:cs="Arial"/>
          <w:lang w:val="es-ES" w:eastAsia="es-ES"/>
          <w14:ligatures w14:val="standardContextual"/>
        </w:rPr>
        <w:t xml:space="preserve">Durante la ejecución de los contratos, las entidades estatales sometidas al Estatuto General de Contratación de la Administración Pública – en adelante EGCAP – usualmente cuentan con distintas potestades exorbitantes o excepcionales, con base en las cuales ejercen la dirección general del contrato y realizan las actividades propias de vigilancia y control. Entre dichas potestades se encuentran: i) las cláusulas excepcionales del artículo 14 de la Ley 80 de 1993, concepto que incluye la terminación unilateral, la interpretación unilateral, la modificación unilateral, la caducidad y la reversión. Dichas prerrogativas se desarrollan en los artículos 15 a 19 </w:t>
      </w:r>
      <w:r w:rsidRPr="2F38AC55">
        <w:rPr>
          <w:rFonts w:ascii="Century Gothic" w:hAnsi="Century Gothic" w:eastAsia="Times New Roman" w:cs="Arial"/>
          <w:i/>
          <w:iCs/>
          <w:lang w:val="es-ES" w:eastAsia="es-ES"/>
          <w14:ligatures w14:val="standardContextual"/>
        </w:rPr>
        <w:t>ibidem</w:t>
      </w:r>
      <w:r w:rsidRPr="2F38AC55">
        <w:rPr>
          <w:rFonts w:ascii="Century Gothic" w:hAnsi="Century Gothic" w:eastAsia="Times New Roman" w:cs="Arial"/>
          <w:lang w:val="es-ES" w:eastAsia="es-ES"/>
          <w14:ligatures w14:val="standardContextual"/>
        </w:rPr>
        <w:t xml:space="preserve">; </w:t>
      </w:r>
      <w:proofErr w:type="spellStart"/>
      <w:r w:rsidRPr="2F38AC55">
        <w:rPr>
          <w:rFonts w:ascii="Century Gothic" w:hAnsi="Century Gothic" w:eastAsia="Times New Roman" w:cs="Arial"/>
          <w:lang w:val="es-ES" w:eastAsia="es-ES"/>
          <w14:ligatures w14:val="standardContextual"/>
        </w:rPr>
        <w:t>ii</w:t>
      </w:r>
      <w:proofErr w:type="spellEnd"/>
      <w:r w:rsidRPr="2F38AC55">
        <w:rPr>
          <w:rFonts w:ascii="Century Gothic" w:hAnsi="Century Gothic" w:eastAsia="Times New Roman" w:cs="Arial"/>
          <w:lang w:val="es-ES" w:eastAsia="es-ES"/>
          <w14:ligatures w14:val="standardContextual"/>
        </w:rPr>
        <w:t xml:space="preserve">) en algunas disposiciones también establecen otras potestades exorbitantes, como la liquidación unilateral y la declaratoria unilateral </w:t>
      </w:r>
      <w:r w:rsidRPr="2F38AC55">
        <w:rPr>
          <w:rFonts w:ascii="Century Gothic" w:hAnsi="Century Gothic" w:eastAsia="Times New Roman" w:cs="Arial"/>
          <w:lang w:val="es-ES" w:eastAsia="es-ES"/>
          <w14:ligatures w14:val="standardContextual"/>
        </w:rPr>
        <w:lastRenderedPageBreak/>
        <w:t xml:space="preserve">del siniestro –artículos 7 y 11 de la Ley 1150 de 2007–. Dentro de las potestades unilaterales también se encuentran </w:t>
      </w:r>
      <w:proofErr w:type="spellStart"/>
      <w:r w:rsidRPr="2F38AC55">
        <w:rPr>
          <w:rFonts w:ascii="Century Gothic" w:hAnsi="Century Gothic" w:eastAsia="Times New Roman" w:cs="Arial"/>
          <w:lang w:val="es-ES" w:eastAsia="es-ES"/>
          <w14:ligatures w14:val="standardContextual"/>
        </w:rPr>
        <w:t>iii</w:t>
      </w:r>
      <w:proofErr w:type="spellEnd"/>
      <w:r w:rsidRPr="2F38AC55">
        <w:rPr>
          <w:rFonts w:ascii="Century Gothic" w:hAnsi="Century Gothic" w:eastAsia="Times New Roman" w:cs="Arial"/>
          <w:lang w:val="es-ES" w:eastAsia="es-ES"/>
          <w14:ligatures w14:val="standardContextual"/>
        </w:rPr>
        <w:t xml:space="preserve">) las cláusulas excepcionales de </w:t>
      </w:r>
      <w:r w:rsidRPr="2F38AC55">
        <w:rPr>
          <w:rFonts w:ascii="Century Gothic" w:hAnsi="Century Gothic" w:eastAsia="Times New Roman" w:cs="Arial"/>
          <w:i/>
          <w:iCs/>
          <w:lang w:val="es-ES" w:eastAsia="es-ES"/>
          <w14:ligatures w14:val="standardContextual"/>
        </w:rPr>
        <w:t>imposición unilateral</w:t>
      </w:r>
      <w:r w:rsidRPr="2F38AC55">
        <w:rPr>
          <w:rFonts w:ascii="Century Gothic" w:hAnsi="Century Gothic" w:eastAsia="Times New Roman" w:cs="Arial"/>
          <w:lang w:val="es-ES" w:eastAsia="es-ES"/>
          <w14:ligatures w14:val="standardContextual"/>
        </w:rPr>
        <w:t xml:space="preserve"> de las cláusulas penales y de multas –artículo 17 de la Ley 1150 de 2007–, aclarando que su exorbitancia se refiere a su imposición unilateral, no a su pacto, que es posible en virtud de las normas civiles y comerciales.</w:t>
      </w:r>
    </w:p>
    <w:p w:rsidRPr="00F86DD3" w:rsidR="0058730D" w:rsidP="2F38AC55" w:rsidRDefault="0058730D" w14:paraId="47C69AD4" w14:textId="77777777">
      <w:pPr>
        <w:spacing w:after="120" w:line="276" w:lineRule="auto"/>
        <w:ind w:firstLine="708"/>
        <w:jc w:val="both"/>
        <w:rPr>
          <w:rFonts w:ascii="Century Gothic" w:hAnsi="Century Gothic" w:eastAsia="Times New Roman" w:cs="Arial"/>
          <w:lang w:val="es-ES" w:eastAsia="es-ES"/>
          <w14:ligatures w14:val="standardContextual"/>
        </w:rPr>
      </w:pPr>
      <w:r w:rsidRPr="2F38AC55">
        <w:rPr>
          <w:rFonts w:ascii="Century Gothic" w:hAnsi="Century Gothic" w:eastAsia="Times New Roman" w:cs="Arial"/>
          <w:lang w:val="es-ES" w:eastAsia="es-ES"/>
          <w14:ligatures w14:val="standardContextual"/>
        </w:rPr>
        <w:t xml:space="preserve">El artículo 86 de la Ley 1474 de 2011 establece las reglas de procedimiento, mediante las cuales se materializan los derechos y garantías derivadas del debido proceso, para su aplicación concreta en materia sancionatoria contractual. De conformidad con esta disposición, las “entidades sometidas al Estatuto General de Contratación de la Administración Pública podrán declarar el incumplimiento, cuantificando los perjuicios </w:t>
      </w:r>
      <w:proofErr w:type="gramStart"/>
      <w:r w:rsidRPr="2F38AC55">
        <w:rPr>
          <w:rFonts w:ascii="Century Gothic" w:hAnsi="Century Gothic" w:eastAsia="Times New Roman" w:cs="Arial"/>
          <w:lang w:val="es-ES" w:eastAsia="es-ES"/>
          <w14:ligatures w14:val="standardContextual"/>
        </w:rPr>
        <w:t>del mismo</w:t>
      </w:r>
      <w:proofErr w:type="gramEnd"/>
      <w:r w:rsidRPr="2F38AC55">
        <w:rPr>
          <w:rFonts w:ascii="Century Gothic" w:hAnsi="Century Gothic" w:eastAsia="Times New Roman" w:cs="Arial"/>
          <w:lang w:val="es-ES" w:eastAsia="es-ES"/>
          <w14:ligatures w14:val="standardContextual"/>
        </w:rPr>
        <w:t xml:space="preserve">, imponer las multas y sanciones pactadas en el contrato, y hacer efectiva la cláusula penal. Para tal efecto observarán el siguiente procedimiento: (…)”. </w:t>
      </w:r>
    </w:p>
    <w:p w:rsidRPr="00F86DD3" w:rsidR="0058730D" w:rsidP="0058730D" w:rsidRDefault="0058730D" w14:paraId="292EA4CA" w14:textId="77777777">
      <w:pPr>
        <w:spacing w:after="120" w:line="276" w:lineRule="auto"/>
        <w:ind w:firstLine="709"/>
        <w:jc w:val="both"/>
        <w:rPr>
          <w:rFonts w:ascii="Century Gothic" w:hAnsi="Century Gothic" w:eastAsia="Times New Roman" w:cs="Arial"/>
          <w:iCs/>
          <w:lang w:val="es-ES_tradnl" w:eastAsia="es-ES_tradnl"/>
          <w14:ligatures w14:val="standardContextual"/>
        </w:rPr>
      </w:pPr>
      <w:r w:rsidRPr="00F86DD3">
        <w:rPr>
          <w:rFonts w:ascii="Century Gothic" w:hAnsi="Century Gothic" w:eastAsia="Times New Roman" w:cs="Arial"/>
          <w:iCs/>
          <w:lang w:val="es-ES_tradnl" w:eastAsia="es-ES_tradnl"/>
          <w14:ligatures w14:val="standardContextual"/>
        </w:rPr>
        <w:t>Cabe destacar que esta norma no cualifica o se circunscribe a ciertos tipos de incumplimiento. En consecuencia, la declaratoria de cualquier incumplimiento, sea total o parcial, durante o posterior a la terminación del contrato e independiente de su gravedad, debe realizarse con plena observancia de las reglas procedimentales del artículo 86 de la Ley 1474 de 2011. Esto es así como consecuencia del “principio general de interpretación jurídica según el cual donde la norma no distingue, no le corresponde distinguir al intérprete”</w:t>
      </w:r>
      <w:r w:rsidRPr="00F86DD3">
        <w:rPr>
          <w:rFonts w:ascii="Century Gothic" w:hAnsi="Century Gothic" w:eastAsia="Times New Roman" w:cs="Arial"/>
          <w:vertAlign w:val="superscript"/>
          <w:lang w:eastAsia="es-ES_tradnl"/>
          <w14:ligatures w14:val="standardContextual"/>
        </w:rPr>
        <w:footnoteReference w:id="4"/>
      </w:r>
      <w:r w:rsidRPr="00F86DD3">
        <w:rPr>
          <w:rFonts w:ascii="Century Gothic" w:hAnsi="Century Gothic" w:eastAsia="Times New Roman" w:cs="Arial"/>
          <w:iCs/>
          <w:lang w:val="es-ES_tradnl" w:eastAsia="es-ES_tradnl"/>
          <w14:ligatures w14:val="standardContextual"/>
        </w:rPr>
        <w:t xml:space="preserve">. A la misma conclusión se llega si se tiene en consideración la necesidad de respetar el debido proceso en “todas las actuaciones administrativas” como lo ordena el artículo 29 superior. </w:t>
      </w:r>
    </w:p>
    <w:p w:rsidRPr="00F86DD3" w:rsidR="0058730D" w:rsidP="2F38AC55" w:rsidRDefault="0058730D" w14:paraId="7D7490D4" w14:textId="77777777">
      <w:pPr>
        <w:spacing w:after="120" w:line="276" w:lineRule="auto"/>
        <w:ind w:firstLine="709"/>
        <w:jc w:val="both"/>
        <w:rPr>
          <w:rFonts w:ascii="Century Gothic" w:hAnsi="Century Gothic" w:eastAsia="Times New Roman" w:cs="Arial"/>
          <w:lang w:val="es-ES" w:eastAsia="es-ES"/>
          <w14:ligatures w14:val="standardContextual"/>
        </w:rPr>
      </w:pPr>
      <w:r w:rsidRPr="2F38AC55">
        <w:rPr>
          <w:rFonts w:ascii="Century Gothic" w:hAnsi="Century Gothic" w:eastAsia="Times New Roman" w:cs="Arial"/>
          <w:lang w:val="es-ES" w:eastAsia="es-ES"/>
          <w14:ligatures w14:val="standardContextual"/>
        </w:rPr>
        <w:t>De conformidad con lo anterior, el artículo 86 de la Ley 1474 de 2011 establece las etapas del procedimiento que se deben seguir, las cuales se sintetizan, de forma esquemática, así: i) c</w:t>
      </w:r>
      <w:r w:rsidRPr="2F38AC55">
        <w:rPr>
          <w:rFonts w:ascii="Century Gothic" w:hAnsi="Century Gothic" w:eastAsia="Times New Roman" w:cs="Arial"/>
          <w:i/>
          <w:iCs/>
          <w:lang w:val="es-ES" w:eastAsia="es-ES"/>
          <w14:ligatures w14:val="standardContextual"/>
        </w:rPr>
        <w:t>itación a audiencia</w:t>
      </w:r>
      <w:r w:rsidRPr="2F38AC55">
        <w:rPr>
          <w:rFonts w:ascii="Century Gothic" w:hAnsi="Century Gothic" w:eastAsia="Times New Roman" w:cs="Arial"/>
          <w:lang w:val="es-ES" w:eastAsia="es-ES"/>
          <w14:ligatures w14:val="standardContextual"/>
        </w:rPr>
        <w:t xml:space="preserve">. Es necesario remitir una citación a audiencia al contratista y al garante –cuando proceda–, cuyo contenido de señalará más adelante. </w:t>
      </w:r>
      <w:proofErr w:type="spellStart"/>
      <w:r w:rsidRPr="2F38AC55">
        <w:rPr>
          <w:rFonts w:ascii="Century Gothic" w:hAnsi="Century Gothic" w:eastAsia="Times New Roman" w:cs="Arial"/>
          <w:lang w:val="es-ES" w:eastAsia="es-ES"/>
          <w14:ligatures w14:val="standardContextual"/>
        </w:rPr>
        <w:t>ii</w:t>
      </w:r>
      <w:proofErr w:type="spellEnd"/>
      <w:r w:rsidRPr="2F38AC55">
        <w:rPr>
          <w:rFonts w:ascii="Century Gothic" w:hAnsi="Century Gothic" w:eastAsia="Times New Roman" w:cs="Arial"/>
          <w:lang w:val="es-ES" w:eastAsia="es-ES"/>
          <w14:ligatures w14:val="standardContextual"/>
        </w:rPr>
        <w:t xml:space="preserve">) </w:t>
      </w:r>
      <w:r w:rsidRPr="2F38AC55">
        <w:rPr>
          <w:rFonts w:ascii="Century Gothic" w:hAnsi="Century Gothic" w:eastAsia="Times New Roman" w:cs="Arial"/>
          <w:i/>
          <w:iCs/>
          <w:lang w:val="es-ES" w:eastAsia="es-ES"/>
          <w14:ligatures w14:val="standardContextual"/>
        </w:rPr>
        <w:t>Audiencia</w:t>
      </w:r>
      <w:r w:rsidRPr="2F38AC55">
        <w:rPr>
          <w:rFonts w:ascii="Century Gothic" w:hAnsi="Century Gothic" w:eastAsia="Times New Roman" w:cs="Arial"/>
          <w:lang w:val="es-ES" w:eastAsia="es-ES"/>
          <w14:ligatures w14:val="standardContextual"/>
        </w:rPr>
        <w:t xml:space="preserve">. En la diligencia intervendrá el jefe de la entidad o su delegado y, posteriormente, se le concederá el uso de la palabra al representante legal del contratista o a quien lo represente y al garante, en caso de ser necesario, para que estos presenten sus descargos, aporten y </w:t>
      </w:r>
      <w:r w:rsidRPr="2F38AC55">
        <w:rPr>
          <w:rFonts w:ascii="Century Gothic" w:hAnsi="Century Gothic" w:eastAsia="Times New Roman" w:cs="Arial"/>
          <w:lang w:val="es-ES" w:eastAsia="es-ES"/>
          <w14:ligatures w14:val="standardContextual"/>
        </w:rPr>
        <w:lastRenderedPageBreak/>
        <w:t xml:space="preserve">controviertan pruebas y rindan las explicaciones del caso. Y </w:t>
      </w:r>
      <w:proofErr w:type="spellStart"/>
      <w:r w:rsidRPr="2F38AC55">
        <w:rPr>
          <w:rFonts w:ascii="Century Gothic" w:hAnsi="Century Gothic" w:eastAsia="Times New Roman" w:cs="Arial"/>
          <w:lang w:val="es-ES" w:eastAsia="es-ES"/>
          <w14:ligatures w14:val="standardContextual"/>
        </w:rPr>
        <w:t>iii</w:t>
      </w:r>
      <w:proofErr w:type="spellEnd"/>
      <w:r w:rsidRPr="2F38AC55">
        <w:rPr>
          <w:rFonts w:ascii="Century Gothic" w:hAnsi="Century Gothic" w:eastAsia="Times New Roman" w:cs="Arial"/>
          <w:lang w:val="es-ES" w:eastAsia="es-ES"/>
          <w14:ligatures w14:val="standardContextual"/>
        </w:rPr>
        <w:t xml:space="preserve">) </w:t>
      </w:r>
      <w:r w:rsidRPr="2F38AC55">
        <w:rPr>
          <w:rFonts w:ascii="Century Gothic" w:hAnsi="Century Gothic" w:eastAsia="Times New Roman" w:cs="Arial"/>
          <w:i/>
          <w:iCs/>
          <w:lang w:val="es-ES" w:eastAsia="es-ES"/>
          <w14:ligatures w14:val="standardContextual"/>
        </w:rPr>
        <w:t>Decisión</w:t>
      </w:r>
      <w:r w:rsidRPr="2F38AC55">
        <w:rPr>
          <w:rFonts w:ascii="Century Gothic" w:hAnsi="Century Gothic" w:eastAsia="Times New Roman" w:cs="Arial"/>
          <w:lang w:val="es-ES" w:eastAsia="es-ES"/>
          <w14:ligatures w14:val="standardContextual"/>
        </w:rPr>
        <w:t>. Debe estar contenida en resolución motivada donde se consigne, por un lado, lo ocurrido en el desarrollo de la diligencia y, por el otro, lo relativo a la imposición o no de multas y sanciones o la declaratoria de incumplimiento del contrato estatal. Contra la decisión únicamente procede el recurso de reposición que se interpondrá, sustentará y decidirá en la misma diligencia. Ambas decisiones se entenderán notificadas en audiencia. Lo anterior, por supuesto, sin perjuicio del control judicial que llegue a efectuarse.</w:t>
      </w:r>
    </w:p>
    <w:p w:rsidRPr="00F86DD3" w:rsidR="0058730D" w:rsidP="0058730D" w:rsidRDefault="0058730D" w14:paraId="7BE4FEBC" w14:textId="77777777">
      <w:pPr>
        <w:spacing w:after="0" w:line="276" w:lineRule="auto"/>
        <w:ind w:firstLine="709"/>
        <w:jc w:val="both"/>
        <w:rPr>
          <w:rFonts w:ascii="Century Gothic" w:hAnsi="Century Gothic" w:eastAsia="Calibri" w:cs="Arial"/>
          <w:lang w:val="es-ES_tradnl" w:eastAsia="es-ES_tradnl"/>
          <w14:ligatures w14:val="standardContextual"/>
        </w:rPr>
      </w:pPr>
      <w:r w:rsidRPr="00F86DD3">
        <w:rPr>
          <w:rFonts w:ascii="Century Gothic" w:hAnsi="Century Gothic" w:eastAsia="Times New Roman" w:cs="Arial"/>
          <w:iCs/>
          <w:lang w:val="es-ES_tradnl" w:eastAsia="es-ES_tradnl"/>
          <w14:ligatures w14:val="standardContextual"/>
        </w:rPr>
        <w:t>Como precisión previa, vale la pena aclarar que e</w:t>
      </w:r>
      <w:r w:rsidRPr="00F86DD3">
        <w:rPr>
          <w:rFonts w:ascii="Century Gothic" w:hAnsi="Century Gothic" w:eastAsia="Calibri" w:cs="Arial"/>
          <w:lang w:val="es-ES_tradnl" w:eastAsia="es-ES_tradnl"/>
          <w14:ligatures w14:val="standardContextual"/>
        </w:rPr>
        <w:t>l artículo 86 de la Ley 1474 de 2011 regula un procedimiento administrativo sancionatorio dirigido a sujetos específicos: las entidades sometidas al EGCAP</w:t>
      </w:r>
      <w:r w:rsidRPr="00F86DD3">
        <w:rPr>
          <w:rFonts w:ascii="Century Gothic" w:hAnsi="Century Gothic" w:eastAsia="Calibri" w:cs="Arial"/>
          <w:vertAlign w:val="superscript"/>
          <w:lang w:eastAsia="es-ES_tradnl"/>
          <w14:ligatures w14:val="standardContextual"/>
        </w:rPr>
        <w:footnoteReference w:id="5"/>
      </w:r>
      <w:r w:rsidRPr="00F86DD3">
        <w:rPr>
          <w:rFonts w:ascii="Century Gothic" w:hAnsi="Century Gothic" w:eastAsia="Calibri" w:cs="Arial"/>
          <w:lang w:val="es-ES_tradnl" w:eastAsia="es-ES_tradnl"/>
          <w14:ligatures w14:val="standardContextual"/>
        </w:rPr>
        <w:t xml:space="preserve">. De ahí que las entidades de </w:t>
      </w:r>
      <w:r w:rsidRPr="00F86DD3">
        <w:rPr>
          <w:rFonts w:ascii="Century Gothic" w:hAnsi="Century Gothic" w:eastAsia="Calibri" w:cs="Arial"/>
          <w:i/>
          <w:iCs/>
          <w:lang w:val="es-ES_tradnl" w:eastAsia="es-ES_tradnl"/>
          <w14:ligatures w14:val="standardContextual"/>
        </w:rPr>
        <w:t>régimen especial</w:t>
      </w:r>
      <w:r w:rsidRPr="00F86DD3">
        <w:rPr>
          <w:rFonts w:ascii="Century Gothic" w:hAnsi="Century Gothic" w:eastAsia="Calibri" w:cs="Arial"/>
          <w:vertAlign w:val="superscript"/>
          <w:lang w:eastAsia="es-ES_tradnl"/>
          <w14:ligatures w14:val="standardContextual"/>
        </w:rPr>
        <w:footnoteReference w:id="6"/>
      </w:r>
      <w:r w:rsidRPr="00F86DD3">
        <w:rPr>
          <w:rFonts w:ascii="Century Gothic" w:hAnsi="Century Gothic" w:eastAsia="Calibri" w:cs="Arial"/>
          <w:lang w:val="es-ES_tradnl" w:eastAsia="es-ES_tradnl"/>
          <w14:ligatures w14:val="standardContextual"/>
        </w:rPr>
        <w:t xml:space="preserve"> en materia contractual no pueden aplicar el procedimiento administrativo sancionatorio regulado en el artículo 86 de la Ley 1474 de 2011, al no ser entidades sometidas al EGCAP, sino, por el contrario, entidades exceptuadas de este</w:t>
      </w:r>
      <w:r w:rsidRPr="00F86DD3">
        <w:rPr>
          <w:rFonts w:ascii="Century Gothic" w:hAnsi="Century Gothic" w:eastAsia="Calibri" w:cs="Arial"/>
          <w:vertAlign w:val="superscript"/>
          <w:lang w:eastAsia="es-ES_tradnl"/>
          <w14:ligatures w14:val="standardContextual"/>
        </w:rPr>
        <w:footnoteReference w:id="7"/>
      </w:r>
      <w:r w:rsidRPr="00F86DD3">
        <w:rPr>
          <w:rFonts w:ascii="Century Gothic" w:hAnsi="Century Gothic" w:eastAsia="Calibri" w:cs="Arial"/>
          <w:lang w:val="es-ES_tradnl" w:eastAsia="es-ES_tradnl"/>
          <w14:ligatures w14:val="standardContextual"/>
        </w:rPr>
        <w:t>. La norma indicada desarrolla el procedimiento de la siguiente manera:</w:t>
      </w:r>
    </w:p>
    <w:p w:rsidRPr="00F86DD3" w:rsidR="0058730D" w:rsidP="0058730D" w:rsidRDefault="0058730D" w14:paraId="1B0D7DE4" w14:textId="77777777">
      <w:pPr>
        <w:spacing w:after="0" w:line="276" w:lineRule="auto"/>
        <w:ind w:right="142" w:firstLine="709"/>
        <w:jc w:val="both"/>
        <w:rPr>
          <w:rFonts w:ascii="Century Gothic" w:hAnsi="Century Gothic" w:eastAsia="Calibri" w:cs="Arial"/>
          <w:lang w:val="es-ES_tradnl" w:eastAsia="es-ES_tradnl"/>
          <w14:ligatures w14:val="standardContextual"/>
        </w:rPr>
      </w:pPr>
    </w:p>
    <w:p w:rsidRPr="00F86DD3" w:rsidR="0058730D" w:rsidP="2F38AC55" w:rsidRDefault="0058730D" w14:paraId="6FA35696" w14:textId="77777777">
      <w:pPr>
        <w:spacing w:after="0" w:line="240" w:lineRule="auto"/>
        <w:ind w:left="709" w:right="709"/>
        <w:contextualSpacing/>
        <w:jc w:val="both"/>
        <w:rPr>
          <w:rFonts w:ascii="Century Gothic" w:hAnsi="Century Gothic" w:cs="Arial"/>
          <w:sz w:val="20"/>
          <w:szCs w:val="20"/>
          <w:lang w:val="es-ES"/>
          <w14:ligatures w14:val="standardContextual"/>
        </w:rPr>
      </w:pPr>
      <w:bookmarkStart w:name="86" w:id="5"/>
      <w:r w:rsidRPr="2F38AC55">
        <w:rPr>
          <w:rFonts w:ascii="Century Gothic" w:hAnsi="Century Gothic" w:cs="Arial"/>
          <w:sz w:val="20"/>
          <w:szCs w:val="20"/>
          <w:lang w:val="es-ES"/>
          <w14:ligatures w14:val="standardContextual"/>
        </w:rPr>
        <w:t>“Artículo 86. Imposición de multas, sanciones y declaratorias de incumplimiento.</w:t>
      </w:r>
      <w:bookmarkEnd w:id="5"/>
      <w:r w:rsidRPr="2F38AC55">
        <w:rPr>
          <w:rFonts w:ascii="Century Gothic" w:hAnsi="Century Gothic" w:cs="Arial"/>
          <w:sz w:val="20"/>
          <w:szCs w:val="20"/>
          <w:lang w:val="es-ES"/>
          <w14:ligatures w14:val="standardContextual"/>
        </w:rPr>
        <w:t xml:space="preserve"> Las entidades sometidas al Estatuto General de Contratación de la Administración Pública podrán declarar el incumplimiento, cuantificando los perjuicios </w:t>
      </w:r>
      <w:proofErr w:type="gramStart"/>
      <w:r w:rsidRPr="2F38AC55">
        <w:rPr>
          <w:rFonts w:ascii="Century Gothic" w:hAnsi="Century Gothic" w:cs="Arial"/>
          <w:sz w:val="20"/>
          <w:szCs w:val="20"/>
          <w:lang w:val="es-ES"/>
          <w14:ligatures w14:val="standardContextual"/>
        </w:rPr>
        <w:t>del mismo</w:t>
      </w:r>
      <w:proofErr w:type="gramEnd"/>
      <w:r w:rsidRPr="2F38AC55">
        <w:rPr>
          <w:rFonts w:ascii="Century Gothic" w:hAnsi="Century Gothic" w:cs="Arial"/>
          <w:sz w:val="20"/>
          <w:szCs w:val="20"/>
          <w:lang w:val="es-ES"/>
          <w14:ligatures w14:val="standardContextual"/>
        </w:rPr>
        <w:t>, imponer las multas y sanciones pactadas en el contrato, y hacer efectiva la cláusula penal. Para tal efecto observarán el siguiente procedimiento:</w:t>
      </w:r>
    </w:p>
    <w:p w:rsidRPr="00F86DD3" w:rsidR="0058730D" w:rsidP="0058730D" w:rsidRDefault="0058730D" w14:paraId="683DB2A0" w14:textId="77777777">
      <w:pPr>
        <w:spacing w:after="0" w:line="240" w:lineRule="auto"/>
        <w:ind w:left="709" w:right="709"/>
        <w:contextualSpacing/>
        <w:jc w:val="both"/>
        <w:rPr>
          <w:rFonts w:ascii="Century Gothic" w:hAnsi="Century Gothic" w:cs="Arial"/>
          <w:iCs/>
          <w:sz w:val="20"/>
          <w:szCs w:val="20"/>
          <w:lang w:val="es-ES_tradnl"/>
          <w14:ligatures w14:val="standardContextual"/>
        </w:rPr>
      </w:pPr>
    </w:p>
    <w:p w:rsidRPr="00F86DD3" w:rsidR="0058730D" w:rsidP="2F38AC55" w:rsidRDefault="0058730D" w14:paraId="21FA80D0" w14:textId="77777777">
      <w:pPr>
        <w:spacing w:after="0" w:line="240" w:lineRule="auto"/>
        <w:ind w:left="709" w:right="709"/>
        <w:contextualSpacing/>
        <w:jc w:val="both"/>
        <w:rPr>
          <w:rFonts w:ascii="Century Gothic" w:hAnsi="Century Gothic" w:cs="Arial"/>
          <w:sz w:val="20"/>
          <w:szCs w:val="20"/>
          <w:lang w:val="es-ES"/>
          <w14:ligatures w14:val="standardContextual"/>
        </w:rPr>
      </w:pPr>
      <w:r w:rsidRPr="2F38AC55">
        <w:rPr>
          <w:rFonts w:ascii="Century Gothic" w:hAnsi="Century Gothic" w:cs="Arial"/>
          <w:sz w:val="20"/>
          <w:szCs w:val="20"/>
          <w:lang w:val="es-ES"/>
          <w14:ligatures w14:val="standardContextual"/>
        </w:rPr>
        <w:t xml:space="preserve">a) Evidenciado un posible incumplimiento de las obligaciones a cargo del contratista, la entidad pública lo citará a audiencia para debatir lo ocurrido. En la citación, hará mención expresa y detallada de los hechos que la soportan, acompañando el informe de interventoría o de supervisión en el que se sustente la actuación y enunciará las normas o cláusulas </w:t>
      </w:r>
      <w:r w:rsidRPr="2F38AC55">
        <w:rPr>
          <w:rFonts w:ascii="Century Gothic" w:hAnsi="Century Gothic" w:cs="Arial"/>
          <w:sz w:val="20"/>
          <w:szCs w:val="20"/>
          <w:lang w:val="es-ES"/>
          <w14:ligatures w14:val="standardContextual"/>
        </w:rPr>
        <w:lastRenderedPageBreak/>
        <w:t>posiblemente violadas y las consecuencias que podrían derivarse para el contratista en desarrollo de la actuación. En la misma se establecerá el lugar, fecha y hora para la realización de la audiencia, la que podrá tener lugar a la mayor brevedad posible, atendida la naturaleza del contrato y la periodicidad establecida para el cumplimiento de las obligaciones contractuales. En el evento en que la garantía de cumplimiento consista en póliza de seguros, el garante será citado de la misma manera;</w:t>
      </w:r>
    </w:p>
    <w:p w:rsidRPr="00F86DD3" w:rsidR="0058730D" w:rsidP="0058730D" w:rsidRDefault="0058730D" w14:paraId="222C797D" w14:textId="77777777">
      <w:pPr>
        <w:spacing w:after="0" w:line="240" w:lineRule="auto"/>
        <w:ind w:left="709" w:right="709"/>
        <w:contextualSpacing/>
        <w:jc w:val="both"/>
        <w:rPr>
          <w:rFonts w:ascii="Century Gothic" w:hAnsi="Century Gothic" w:cs="Arial"/>
          <w:sz w:val="20"/>
          <w:szCs w:val="20"/>
          <w:lang w:val="es-ES_tradnl"/>
          <w14:ligatures w14:val="standardContextual"/>
        </w:rPr>
      </w:pPr>
    </w:p>
    <w:p w:rsidRPr="00F86DD3" w:rsidR="0058730D" w:rsidP="2F38AC55" w:rsidRDefault="0058730D" w14:paraId="1F3D86A8" w14:textId="77777777">
      <w:pPr>
        <w:spacing w:after="0" w:line="240" w:lineRule="auto"/>
        <w:ind w:left="709" w:right="709"/>
        <w:contextualSpacing/>
        <w:jc w:val="both"/>
        <w:rPr>
          <w:rFonts w:ascii="Century Gothic" w:hAnsi="Century Gothic" w:cs="Arial"/>
          <w:sz w:val="20"/>
          <w:szCs w:val="20"/>
          <w:lang w:val="es-ES"/>
          <w14:ligatures w14:val="standardContextual"/>
        </w:rPr>
      </w:pPr>
      <w:r w:rsidRPr="2F38AC55">
        <w:rPr>
          <w:rFonts w:ascii="Century Gothic" w:hAnsi="Century Gothic" w:cs="Arial"/>
          <w:sz w:val="20"/>
          <w:szCs w:val="20"/>
          <w:lang w:val="es-ES"/>
          <w14:ligatures w14:val="standardContextual"/>
        </w:rPr>
        <w:t xml:space="preserve">b) En desarrollo de la audiencia, el jefe de la entidad o su </w:t>
      </w:r>
      <w:proofErr w:type="gramStart"/>
      <w:r w:rsidRPr="2F38AC55">
        <w:rPr>
          <w:rFonts w:ascii="Century Gothic" w:hAnsi="Century Gothic" w:cs="Arial"/>
          <w:sz w:val="20"/>
          <w:szCs w:val="20"/>
          <w:lang w:val="es-ES"/>
          <w14:ligatures w14:val="standardContextual"/>
        </w:rPr>
        <w:t>delegado,</w:t>
      </w:r>
      <w:proofErr w:type="gramEnd"/>
      <w:r w:rsidRPr="2F38AC55">
        <w:rPr>
          <w:rFonts w:ascii="Century Gothic" w:hAnsi="Century Gothic" w:cs="Arial"/>
          <w:sz w:val="20"/>
          <w:szCs w:val="20"/>
          <w:lang w:val="es-ES"/>
          <w14:ligatures w14:val="standardContextual"/>
        </w:rPr>
        <w:t xml:space="preserve"> presentará las circunstancias de hecho que motivan la actuación, enunciará las posibles normas o cláusulas posiblemente violadas y las consecuencias que podrían derivarse para el contratista en desarrollo de la actuación. Acto seguido se concederá el uso de la palabra al representante legal del contratista o a quien lo represente, y al garante, para que presenten sus descargos, en desarrollo de lo cual podrá rendir las explicaciones del caso, aportar pruebas y controvertir las presentadas por la entidad;</w:t>
      </w:r>
    </w:p>
    <w:p w:rsidRPr="00F86DD3" w:rsidR="0058730D" w:rsidP="0058730D" w:rsidRDefault="0058730D" w14:paraId="16639122" w14:textId="77777777">
      <w:pPr>
        <w:spacing w:after="0" w:line="240" w:lineRule="auto"/>
        <w:ind w:left="709" w:right="709"/>
        <w:contextualSpacing/>
        <w:jc w:val="both"/>
        <w:rPr>
          <w:rFonts w:ascii="Century Gothic" w:hAnsi="Century Gothic" w:cs="Arial"/>
          <w:iCs/>
          <w:sz w:val="20"/>
          <w:szCs w:val="20"/>
          <w:lang w:val="es-ES_tradnl"/>
          <w14:ligatures w14:val="standardContextual"/>
        </w:rPr>
      </w:pPr>
    </w:p>
    <w:p w:rsidRPr="00F86DD3" w:rsidR="0058730D" w:rsidP="2F38AC55" w:rsidRDefault="0058730D" w14:paraId="04C37E60" w14:textId="77777777">
      <w:pPr>
        <w:spacing w:after="0" w:line="240" w:lineRule="auto"/>
        <w:ind w:left="709" w:right="709"/>
        <w:contextualSpacing/>
        <w:jc w:val="both"/>
        <w:rPr>
          <w:rFonts w:ascii="Century Gothic" w:hAnsi="Century Gothic" w:cs="Arial"/>
          <w:sz w:val="20"/>
          <w:szCs w:val="20"/>
          <w:lang w:val="es-ES"/>
          <w14:ligatures w14:val="standardContextual"/>
        </w:rPr>
      </w:pPr>
      <w:r w:rsidRPr="2F38AC55">
        <w:rPr>
          <w:rFonts w:ascii="Century Gothic" w:hAnsi="Century Gothic" w:cs="Arial"/>
          <w:sz w:val="20"/>
          <w:szCs w:val="20"/>
          <w:lang w:val="es-ES"/>
          <w14:ligatures w14:val="standardContextual"/>
        </w:rPr>
        <w:t>c) Hecho lo precedente, mediante resolución motivada en la que se consigne lo ocurrido en desarrollo de la audiencia y la cual se entenderá notificada en dicho acto público, la entidad procederá a decidir sobre la imposición o no de la multa, sanción o declaratoria de incumplimiento. Contra la decisión así proferida sólo procede el recurso de reposición que se interpondrá, sustentará y decidirá en la misma audiencia. La decisión sobre el recurso se entenderá notificada en la misma audiencia;</w:t>
      </w:r>
    </w:p>
    <w:p w:rsidRPr="00F86DD3" w:rsidR="0058730D" w:rsidP="0058730D" w:rsidRDefault="0058730D" w14:paraId="5AD3E51E" w14:textId="77777777">
      <w:pPr>
        <w:spacing w:after="0" w:line="240" w:lineRule="auto"/>
        <w:ind w:left="709" w:right="709"/>
        <w:contextualSpacing/>
        <w:jc w:val="both"/>
        <w:rPr>
          <w:rFonts w:ascii="Century Gothic" w:hAnsi="Century Gothic" w:cs="Arial"/>
          <w:iCs/>
          <w:sz w:val="20"/>
          <w:szCs w:val="20"/>
          <w:lang w:val="es-ES_tradnl"/>
          <w14:ligatures w14:val="standardContextual"/>
        </w:rPr>
      </w:pPr>
    </w:p>
    <w:p w:rsidRPr="00F86DD3" w:rsidR="0058730D" w:rsidP="2F38AC55" w:rsidRDefault="0058730D" w14:paraId="0E098B3D" w14:textId="77777777">
      <w:pPr>
        <w:spacing w:after="0" w:line="240" w:lineRule="auto"/>
        <w:ind w:left="709" w:right="709"/>
        <w:contextualSpacing/>
        <w:jc w:val="both"/>
        <w:rPr>
          <w:rFonts w:ascii="Century Gothic" w:hAnsi="Century Gothic" w:cs="Arial"/>
          <w:sz w:val="20"/>
          <w:szCs w:val="20"/>
          <w:lang w:val="es-ES"/>
          <w14:ligatures w14:val="standardContextual"/>
        </w:rPr>
      </w:pPr>
      <w:r w:rsidRPr="2F38AC55">
        <w:rPr>
          <w:rFonts w:ascii="Century Gothic" w:hAnsi="Century Gothic" w:cs="Arial"/>
          <w:sz w:val="20"/>
          <w:szCs w:val="20"/>
          <w:lang w:val="es-ES"/>
          <w14:ligatures w14:val="standardContextual"/>
        </w:rPr>
        <w:t xml:space="preserve">d) En cualquier momento del desarrollo de la audiencia, el jefe de la entidad o su </w:t>
      </w:r>
      <w:proofErr w:type="gramStart"/>
      <w:r w:rsidRPr="2F38AC55">
        <w:rPr>
          <w:rFonts w:ascii="Century Gothic" w:hAnsi="Century Gothic" w:cs="Arial"/>
          <w:sz w:val="20"/>
          <w:szCs w:val="20"/>
          <w:lang w:val="es-ES"/>
          <w14:ligatures w14:val="standardContextual"/>
        </w:rPr>
        <w:t>delegado,</w:t>
      </w:r>
      <w:proofErr w:type="gramEnd"/>
      <w:r w:rsidRPr="2F38AC55">
        <w:rPr>
          <w:rFonts w:ascii="Century Gothic" w:hAnsi="Century Gothic" w:cs="Arial"/>
          <w:sz w:val="20"/>
          <w:szCs w:val="20"/>
          <w:lang w:val="es-ES"/>
          <w14:ligatures w14:val="standardContextual"/>
        </w:rPr>
        <w:t xml:space="preserve"> podrá suspender la audiencia cuando de oficio o a petición de parte, ello resulte en su criterio necesario para allegar o practicar pruebas que estime conducentes y pertinentes, o cuando por cualquier otra razón debidamente sustentada, ello resulte necesario para el correcto desarrollo de la actuación administrativa. En todo caso, al adoptar la decisión, se señalará fecha y hora para reanudar la audiencia. La entidad podrá dar por terminado el procedimiento en cualquier momento, si por algún medio tiene conocimiento de la cesación de situación de incumplimiento”.</w:t>
      </w:r>
    </w:p>
    <w:p w:rsidRPr="00F86DD3" w:rsidR="0058730D" w:rsidP="0058730D" w:rsidRDefault="0058730D" w14:paraId="1F2F66BF" w14:textId="77777777">
      <w:pPr>
        <w:spacing w:after="0" w:line="276" w:lineRule="auto"/>
        <w:ind w:right="142"/>
        <w:contextualSpacing/>
        <w:jc w:val="both"/>
        <w:rPr>
          <w:rFonts w:ascii="Century Gothic" w:hAnsi="Century Gothic" w:eastAsia="Calibri" w:cs="Arial"/>
          <w:szCs w:val="24"/>
          <w:lang w:val="es-ES_tradnl" w:eastAsia="es-ES_tradnl"/>
          <w14:ligatures w14:val="standardContextual"/>
        </w:rPr>
      </w:pPr>
    </w:p>
    <w:p w:rsidRPr="00F86DD3" w:rsidR="0058730D" w:rsidP="0058730D" w:rsidRDefault="0058730D" w14:paraId="78858114" w14:textId="77777777">
      <w:pPr>
        <w:spacing w:after="120" w:line="276" w:lineRule="auto"/>
        <w:ind w:firstLine="709"/>
        <w:jc w:val="both"/>
        <w:rPr>
          <w:rFonts w:ascii="Century Gothic" w:hAnsi="Century Gothic" w:eastAsia="Calibri" w:cs="Arial"/>
          <w:lang w:val="es-ES_tradnl" w:eastAsia="es-ES_tradnl"/>
          <w14:ligatures w14:val="standardContextual"/>
        </w:rPr>
      </w:pPr>
      <w:r w:rsidRPr="00F86DD3">
        <w:rPr>
          <w:rFonts w:ascii="Century Gothic" w:hAnsi="Century Gothic" w:eastAsia="Calibri" w:cs="Arial"/>
          <w:lang w:val="es-ES_tradnl" w:eastAsia="es-ES_tradnl"/>
          <w14:ligatures w14:val="standardContextual"/>
        </w:rPr>
        <w:t xml:space="preserve">Como se observa, la citación a la audiencia debe cumplir </w:t>
      </w:r>
      <w:r w:rsidRPr="00F86DD3">
        <w:rPr>
          <w:rFonts w:ascii="Century Gothic" w:hAnsi="Century Gothic" w:eastAsia="Calibri" w:cs="Arial"/>
          <w:i/>
          <w:iCs/>
          <w:lang w:val="es-ES_tradnl" w:eastAsia="es-ES_tradnl"/>
          <w14:ligatures w14:val="standardContextual"/>
        </w:rPr>
        <w:t>mínimamente</w:t>
      </w:r>
      <w:r w:rsidRPr="00F86DD3">
        <w:rPr>
          <w:rFonts w:ascii="Century Gothic" w:hAnsi="Century Gothic" w:eastAsia="Calibri" w:cs="Arial"/>
          <w:lang w:val="es-ES_tradnl" w:eastAsia="es-ES_tradnl"/>
          <w14:ligatures w14:val="standardContextual"/>
        </w:rPr>
        <w:t xml:space="preserve"> los siguientes aspectos: i) señalar los </w:t>
      </w:r>
      <w:r w:rsidRPr="00F86DD3">
        <w:rPr>
          <w:rFonts w:ascii="Century Gothic" w:hAnsi="Century Gothic" w:eastAsia="Calibri" w:cs="Arial"/>
          <w:i/>
          <w:iCs/>
          <w:lang w:val="es-ES_tradnl" w:eastAsia="es-ES_tradnl"/>
          <w14:ligatures w14:val="standardContextual"/>
        </w:rPr>
        <w:t>hechos</w:t>
      </w:r>
      <w:r w:rsidRPr="00F86DD3">
        <w:rPr>
          <w:rFonts w:ascii="Century Gothic" w:hAnsi="Century Gothic" w:eastAsia="Calibri" w:cs="Arial"/>
          <w:lang w:val="es-ES_tradnl" w:eastAsia="es-ES_tradnl"/>
          <w14:ligatures w14:val="standardContextual"/>
        </w:rPr>
        <w:t xml:space="preserve"> que soportan la actuación, en particular la descripción detallada de cuáles son las actuaciones u omisiones del contratista que materializan el incumplimiento de las obligaciones. Además, se deben </w:t>
      </w:r>
      <w:proofErr w:type="spellStart"/>
      <w:r w:rsidRPr="00F86DD3">
        <w:rPr>
          <w:rFonts w:ascii="Century Gothic" w:hAnsi="Century Gothic" w:eastAsia="Calibri" w:cs="Arial"/>
          <w:lang w:val="es-ES_tradnl" w:eastAsia="es-ES_tradnl"/>
          <w14:ligatures w14:val="standardContextual"/>
        </w:rPr>
        <w:t>ii</w:t>
      </w:r>
      <w:proofErr w:type="spellEnd"/>
      <w:r w:rsidRPr="00F86DD3">
        <w:rPr>
          <w:rFonts w:ascii="Century Gothic" w:hAnsi="Century Gothic" w:eastAsia="Calibri" w:cs="Arial"/>
          <w:lang w:val="es-ES_tradnl" w:eastAsia="es-ES_tradnl"/>
          <w14:ligatures w14:val="standardContextual"/>
        </w:rPr>
        <w:t xml:space="preserve">) adjuntar los </w:t>
      </w:r>
      <w:r w:rsidRPr="00F86DD3">
        <w:rPr>
          <w:rFonts w:ascii="Century Gothic" w:hAnsi="Century Gothic" w:eastAsia="Calibri" w:cs="Arial"/>
          <w:i/>
          <w:iCs/>
          <w:lang w:val="es-ES_tradnl" w:eastAsia="es-ES_tradnl"/>
          <w14:ligatures w14:val="standardContextual"/>
        </w:rPr>
        <w:t>informes de supervisión o de interventoría</w:t>
      </w:r>
      <w:r w:rsidRPr="00F86DD3">
        <w:rPr>
          <w:rFonts w:ascii="Century Gothic" w:hAnsi="Century Gothic" w:eastAsia="Calibri" w:cs="Arial"/>
          <w:lang w:val="es-ES_tradnl" w:eastAsia="es-ES_tradnl"/>
          <w14:ligatures w14:val="standardContextual"/>
        </w:rPr>
        <w:t xml:space="preserve"> que soportan la actuación, donde la entidad fundamenta su decisión de iniciar el procedimiento sancionatorio. Asimismo, </w:t>
      </w:r>
      <w:proofErr w:type="spellStart"/>
      <w:r w:rsidRPr="00F86DD3">
        <w:rPr>
          <w:rFonts w:ascii="Century Gothic" w:hAnsi="Century Gothic" w:eastAsia="Calibri" w:cs="Arial"/>
          <w:lang w:val="es-ES_tradnl" w:eastAsia="es-ES_tradnl"/>
          <w14:ligatures w14:val="standardContextual"/>
        </w:rPr>
        <w:t>iii</w:t>
      </w:r>
      <w:proofErr w:type="spellEnd"/>
      <w:r w:rsidRPr="00F86DD3">
        <w:rPr>
          <w:rFonts w:ascii="Century Gothic" w:hAnsi="Century Gothic" w:eastAsia="Calibri" w:cs="Arial"/>
          <w:lang w:val="es-ES_tradnl" w:eastAsia="es-ES_tradnl"/>
          <w14:ligatures w14:val="standardContextual"/>
        </w:rPr>
        <w:t xml:space="preserve">) lo anterior debe acompañarse de las </w:t>
      </w:r>
      <w:r w:rsidRPr="00F86DD3">
        <w:rPr>
          <w:rFonts w:ascii="Century Gothic" w:hAnsi="Century Gothic" w:eastAsia="Calibri" w:cs="Arial"/>
          <w:i/>
          <w:iCs/>
          <w:lang w:val="es-ES_tradnl" w:eastAsia="es-ES_tradnl"/>
          <w14:ligatures w14:val="standardContextual"/>
        </w:rPr>
        <w:t xml:space="preserve">pruebas </w:t>
      </w:r>
      <w:r w:rsidRPr="00F86DD3">
        <w:rPr>
          <w:rFonts w:ascii="Century Gothic" w:hAnsi="Century Gothic" w:eastAsia="Calibri" w:cs="Arial"/>
          <w:i/>
          <w:iCs/>
          <w:lang w:val="es-ES_tradnl" w:eastAsia="es-ES_tradnl"/>
          <w14:ligatures w14:val="standardContextual"/>
        </w:rPr>
        <w:lastRenderedPageBreak/>
        <w:t>adicionales</w:t>
      </w:r>
      <w:r w:rsidRPr="00F86DD3">
        <w:rPr>
          <w:rFonts w:ascii="Century Gothic" w:hAnsi="Century Gothic" w:eastAsia="Calibri" w:cs="Arial"/>
          <w:lang w:val="es-ES_tradnl" w:eastAsia="es-ES_tradnl"/>
          <w14:ligatures w14:val="standardContextual"/>
        </w:rPr>
        <w:t xml:space="preserve"> con que cuente la entidad y que sirven para acreditar el incumplimiento. </w:t>
      </w:r>
      <w:proofErr w:type="spellStart"/>
      <w:r w:rsidRPr="00F86DD3">
        <w:rPr>
          <w:rFonts w:ascii="Century Gothic" w:hAnsi="Century Gothic" w:eastAsia="Calibri" w:cs="Arial"/>
          <w:lang w:val="es-ES_tradnl" w:eastAsia="es-ES_tradnl"/>
          <w14:ligatures w14:val="standardContextual"/>
        </w:rPr>
        <w:t>iv</w:t>
      </w:r>
      <w:proofErr w:type="spellEnd"/>
      <w:r w:rsidRPr="00F86DD3">
        <w:rPr>
          <w:rFonts w:ascii="Century Gothic" w:hAnsi="Century Gothic" w:eastAsia="Calibri" w:cs="Arial"/>
          <w:lang w:val="es-ES_tradnl" w:eastAsia="es-ES_tradnl"/>
          <w14:ligatures w14:val="standardContextual"/>
        </w:rPr>
        <w:t xml:space="preserve">) La citación debe contener también las normas, cláusulas u obligaciones posiblemente violadas o incumplidas por el contratista. Igualmente, v) debe indicar cuáles consecuencias podrían generarse para el contratista, verbigracia, si se pretende imponerle alguna multa, hacerse efectiva la cláusula penal o declarar la caducidad del contrato. Adicionalmente, vi) las entidades estatales podrán cuantificar los perjuicios ocasionados por el incumplimiento –inciso primero del artículo 86–, y, finalmente, </w:t>
      </w:r>
      <w:proofErr w:type="spellStart"/>
      <w:r w:rsidRPr="00F86DD3">
        <w:rPr>
          <w:rFonts w:ascii="Century Gothic" w:hAnsi="Century Gothic" w:eastAsia="Calibri" w:cs="Arial"/>
          <w:lang w:val="es-ES_tradnl" w:eastAsia="es-ES_tradnl"/>
          <w14:ligatures w14:val="standardContextual"/>
        </w:rPr>
        <w:t>vii</w:t>
      </w:r>
      <w:proofErr w:type="spellEnd"/>
      <w:r w:rsidRPr="00F86DD3">
        <w:rPr>
          <w:rFonts w:ascii="Century Gothic" w:hAnsi="Century Gothic" w:eastAsia="Calibri" w:cs="Arial"/>
          <w:lang w:val="es-ES_tradnl" w:eastAsia="es-ES_tradnl"/>
          <w14:ligatures w14:val="standardContextual"/>
        </w:rPr>
        <w:t>) deben indicar el lugar, fecha y hora para la realización de la audiencia, sin perjuicio de que esta se pueda efectuar por medios electrónicos</w:t>
      </w:r>
      <w:r w:rsidRPr="00F86DD3">
        <w:rPr>
          <w:rFonts w:ascii="Century Gothic" w:hAnsi="Century Gothic" w:eastAsia="Calibri" w:cs="Arial"/>
          <w:vertAlign w:val="superscript"/>
          <w:lang w:eastAsia="es-ES_tradnl"/>
          <w14:ligatures w14:val="standardContextual"/>
        </w:rPr>
        <w:footnoteReference w:id="8"/>
      </w:r>
      <w:r w:rsidRPr="00F86DD3">
        <w:rPr>
          <w:rFonts w:ascii="Century Gothic" w:hAnsi="Century Gothic" w:eastAsia="Calibri" w:cs="Arial"/>
          <w:lang w:val="es-ES_tradnl" w:eastAsia="es-ES_tradnl"/>
          <w14:ligatures w14:val="standardContextual"/>
        </w:rPr>
        <w:t xml:space="preserve">. </w:t>
      </w:r>
    </w:p>
    <w:p w:rsidRPr="00F86DD3" w:rsidR="0058730D" w:rsidP="0058730D" w:rsidRDefault="0058730D" w14:paraId="34B5D859" w14:textId="77777777">
      <w:pPr>
        <w:spacing w:before="240" w:line="276" w:lineRule="auto"/>
        <w:ind w:firstLine="709"/>
        <w:jc w:val="both"/>
        <w:rPr>
          <w:rFonts w:ascii="Century Gothic" w:hAnsi="Century Gothic"/>
        </w:rPr>
      </w:pPr>
      <w:r w:rsidRPr="00F86DD3">
        <w:rPr>
          <w:rFonts w:ascii="Century Gothic" w:hAnsi="Century Gothic" w:eastAsia="Calibri" w:cs="Arial"/>
          <w:lang w:val="es-ES" w:eastAsia="es-ES"/>
        </w:rPr>
        <w:t xml:space="preserve">Como se observa, sobre la cuantificación de perjuicios </w:t>
      </w:r>
      <w:r w:rsidRPr="00F86DD3">
        <w:rPr>
          <w:rFonts w:ascii="Century Gothic" w:hAnsi="Century Gothic" w:eastAsia="Arial" w:cs="Arial"/>
        </w:rPr>
        <w:t xml:space="preserve">ocasionados por el incumplimiento –inciso primero del artículo 86–, no se puede entender este como requisito obligatorio del contenido de la citación a la audiencia de que trata el artículo en cita, toda vez que, en el inciso respectivo de la Ley, no está contenido textualmente, no obstante, de la lectura de la norma se entiende que estos podrán ser agregados en la citación por parte de la Entidad Estatal, si así lo considera pertinente. Sin embargo, se aclara que para efectos de imponer las multas y sanciones y hacer efectiva la cláusula penal, es necesario dar a conocer dicha cuantificación al contratista en garantía de su derecho de defensa, contradicción, y al debido proceso que consagra el artículo 29 de la Constitución Política de 1991, </w:t>
      </w:r>
      <w:r w:rsidRPr="00F86DD3">
        <w:rPr>
          <w:rFonts w:ascii="Century Gothic" w:hAnsi="Century Gothic" w:eastAsia="Arial" w:cs="Arial"/>
        </w:rPr>
        <w:lastRenderedPageBreak/>
        <w:t>pues con base en estos se determinará y verificará la proporcionalidad de las sanciones a aplicar.</w:t>
      </w:r>
    </w:p>
    <w:p w:rsidRPr="00F86DD3" w:rsidR="0058730D" w:rsidP="0058730D" w:rsidRDefault="0058730D" w14:paraId="3F39A061" w14:textId="77777777">
      <w:pPr>
        <w:spacing w:line="276" w:lineRule="auto"/>
        <w:ind w:firstLine="708"/>
        <w:jc w:val="both"/>
        <w:rPr>
          <w:rFonts w:ascii="Century Gothic" w:hAnsi="Century Gothic" w:eastAsia="Times New Roman" w:cs="Arial"/>
          <w:lang w:eastAsia="es-ES_tradnl"/>
        </w:rPr>
      </w:pPr>
      <w:r w:rsidRPr="00F86DD3">
        <w:rPr>
          <w:rFonts w:ascii="Century Gothic" w:hAnsi="Century Gothic" w:eastAsia="Times New Roman" w:cs="Arial"/>
          <w:lang w:eastAsia="es-ES_tradnl"/>
        </w:rPr>
        <w:t xml:space="preserve">Al respecto, es importante indicar que el artículo 17 de la Ley 1150 de 2007 dispuso el debido proceso como principio rector de la potestad sancionatoria de la administración en contratación estatal, y el artículo 86 de la Ley 1474 de 2011, como ya lo vimos, reglamentó su procedimiento. De la lectura de dichos artículos se observa el querer, por parte del legislador, de que el contratista cuente con un procedimiento sancionatorio contractual que tenga plena garantía al debido proceso. </w:t>
      </w:r>
    </w:p>
    <w:p w:rsidRPr="00F86DD3" w:rsidR="0058730D" w:rsidP="0058730D" w:rsidRDefault="0058730D" w14:paraId="20CA7F1C" w14:textId="77777777">
      <w:pPr>
        <w:spacing w:line="276" w:lineRule="auto"/>
        <w:ind w:firstLine="709"/>
        <w:jc w:val="both"/>
        <w:rPr>
          <w:rFonts w:ascii="Century Gothic" w:hAnsi="Century Gothic" w:eastAsia="Times New Roman" w:cs="Arial"/>
          <w:lang w:eastAsia="es-ES_tradnl"/>
        </w:rPr>
      </w:pPr>
      <w:r w:rsidRPr="00F86DD3">
        <w:rPr>
          <w:rFonts w:ascii="Century Gothic" w:hAnsi="Century Gothic" w:eastAsia="Times New Roman" w:cs="Arial"/>
          <w:lang w:eastAsia="es-ES_tradnl"/>
        </w:rPr>
        <w:t>La Corte Constitucional en sentencia SU 339 del 4 de mayo de 2011</w:t>
      </w:r>
      <w:r w:rsidRPr="00F86DD3">
        <w:rPr>
          <w:rStyle w:val="FootnoteReference"/>
          <w:rFonts w:ascii="Century Gothic" w:hAnsi="Century Gothic" w:eastAsia="Times New Roman" w:cs="Arial"/>
          <w:lang w:eastAsia="es-ES_tradnl"/>
        </w:rPr>
        <w:footnoteReference w:id="9"/>
      </w:r>
      <w:r w:rsidRPr="00F86DD3">
        <w:rPr>
          <w:rFonts w:ascii="Century Gothic" w:hAnsi="Century Gothic" w:eastAsia="Times New Roman" w:cs="Arial"/>
          <w:lang w:eastAsia="es-ES_tradnl"/>
        </w:rPr>
        <w:t xml:space="preserve">, indicó que el derecho al debido proceso, en ciertos casos tiene un </w:t>
      </w:r>
      <w:r w:rsidRPr="00F86DD3">
        <w:rPr>
          <w:rFonts w:ascii="Century Gothic" w:hAnsi="Century Gothic" w:eastAsia="Times New Roman" w:cs="Arial"/>
          <w:iCs/>
          <w:lang w:val="es-ES_tradnl" w:eastAsia="es-ES_tradnl"/>
        </w:rPr>
        <w:t xml:space="preserve">“carácter instrumental” pues el estricto cumplimiento de “las garantías constitutivas del debido proceso administrativo y de las regulaciones legales que determinan la actuación del poder público, </w:t>
      </w:r>
      <w:r w:rsidRPr="00F86DD3">
        <w:rPr>
          <w:rFonts w:ascii="Century Gothic" w:hAnsi="Century Gothic" w:eastAsia="Times New Roman" w:cs="Arial"/>
          <w:i/>
          <w:lang w:val="es-ES_tradnl" w:eastAsia="es-ES_tradnl"/>
        </w:rPr>
        <w:t>se deriva la salvaguarda de otros derechos fundamentales</w:t>
      </w:r>
      <w:r w:rsidRPr="00F86DD3">
        <w:rPr>
          <w:rFonts w:ascii="Century Gothic" w:hAnsi="Century Gothic" w:eastAsia="Times New Roman" w:cs="Arial"/>
          <w:iCs/>
          <w:lang w:val="es-ES_tradnl" w:eastAsia="es-ES_tradnl"/>
        </w:rPr>
        <w:t xml:space="preserve">”. </w:t>
      </w:r>
      <w:r w:rsidRPr="00F86DD3">
        <w:rPr>
          <w:rFonts w:ascii="Century Gothic" w:hAnsi="Century Gothic" w:eastAsia="Times New Roman" w:cs="Arial"/>
          <w:lang w:eastAsia="es-ES_tradnl"/>
        </w:rPr>
        <w:t xml:space="preserve">En virtud a ello, el contratista contra quien se adelanta esta clase de procedimiento administrativo sancionatorio cuenta, entre otros, con los siguientes derechos: i) a un procedimiento público; </w:t>
      </w:r>
      <w:proofErr w:type="spellStart"/>
      <w:r w:rsidRPr="00F86DD3">
        <w:rPr>
          <w:rFonts w:ascii="Century Gothic" w:hAnsi="Century Gothic" w:eastAsia="Times New Roman" w:cs="Arial"/>
          <w:lang w:eastAsia="es-ES_tradnl"/>
        </w:rPr>
        <w:t>ii</w:t>
      </w:r>
      <w:proofErr w:type="spellEnd"/>
      <w:r w:rsidRPr="00F86DD3">
        <w:rPr>
          <w:rFonts w:ascii="Century Gothic" w:hAnsi="Century Gothic" w:eastAsia="Times New Roman" w:cs="Arial"/>
          <w:lang w:eastAsia="es-ES_tradnl"/>
        </w:rPr>
        <w:t xml:space="preserve">) el ser oído antes de la decisión; </w:t>
      </w:r>
      <w:proofErr w:type="spellStart"/>
      <w:r w:rsidRPr="00F86DD3">
        <w:rPr>
          <w:rFonts w:ascii="Century Gothic" w:hAnsi="Century Gothic" w:eastAsia="Times New Roman" w:cs="Arial"/>
          <w:lang w:eastAsia="es-ES_tradnl"/>
        </w:rPr>
        <w:t>iii</w:t>
      </w:r>
      <w:proofErr w:type="spellEnd"/>
      <w:r w:rsidRPr="00F86DD3">
        <w:rPr>
          <w:rFonts w:ascii="Century Gothic" w:hAnsi="Century Gothic" w:eastAsia="Times New Roman" w:cs="Arial"/>
          <w:lang w:eastAsia="es-ES_tradnl"/>
        </w:rPr>
        <w:t xml:space="preserve">) a la defensa y contradicción; </w:t>
      </w:r>
      <w:proofErr w:type="spellStart"/>
      <w:r w:rsidRPr="00F86DD3">
        <w:rPr>
          <w:rFonts w:ascii="Century Gothic" w:hAnsi="Century Gothic" w:eastAsia="Times New Roman" w:cs="Arial"/>
          <w:lang w:eastAsia="es-ES_tradnl"/>
        </w:rPr>
        <w:t>iv</w:t>
      </w:r>
      <w:proofErr w:type="spellEnd"/>
      <w:r w:rsidRPr="00F86DD3">
        <w:rPr>
          <w:rFonts w:ascii="Century Gothic" w:hAnsi="Century Gothic" w:eastAsia="Times New Roman" w:cs="Arial"/>
          <w:lang w:eastAsia="es-ES_tradnl"/>
        </w:rPr>
        <w:t xml:space="preserve">) a aportar pruebas y a contradecir las que se alleguen en su contra; </w:t>
      </w:r>
      <w:proofErr w:type="spellStart"/>
      <w:r w:rsidRPr="00F86DD3">
        <w:rPr>
          <w:rFonts w:ascii="Century Gothic" w:hAnsi="Century Gothic" w:eastAsia="Times New Roman" w:cs="Arial"/>
          <w:lang w:eastAsia="es-ES_tradnl"/>
        </w:rPr>
        <w:t>iv</w:t>
      </w:r>
      <w:proofErr w:type="spellEnd"/>
      <w:r w:rsidRPr="00F86DD3">
        <w:rPr>
          <w:rFonts w:ascii="Century Gothic" w:hAnsi="Century Gothic" w:eastAsia="Times New Roman" w:cs="Arial"/>
          <w:lang w:eastAsia="es-ES_tradnl"/>
        </w:rPr>
        <w:t xml:space="preserve">) que el procedimiento se adelante ante la autoridad competente para conocer del asunto; v) a que se le otorgue un tratamiento igual que el dado a otros particulares; vi)  a que el procedimiento se adelante en un término razonable; y, </w:t>
      </w:r>
      <w:proofErr w:type="spellStart"/>
      <w:r w:rsidRPr="00F86DD3">
        <w:rPr>
          <w:rFonts w:ascii="Century Gothic" w:hAnsi="Century Gothic" w:eastAsia="Times New Roman" w:cs="Arial"/>
          <w:lang w:eastAsia="es-ES_tradnl"/>
        </w:rPr>
        <w:t>vii</w:t>
      </w:r>
      <w:proofErr w:type="spellEnd"/>
      <w:r w:rsidRPr="00F86DD3">
        <w:rPr>
          <w:rFonts w:ascii="Century Gothic" w:hAnsi="Century Gothic" w:eastAsia="Times New Roman" w:cs="Arial"/>
          <w:lang w:eastAsia="es-ES_tradnl"/>
        </w:rPr>
        <w:t>) a que las decisiones sean motivadas, debidamente notificadas y a impugnar las mismas.</w:t>
      </w:r>
    </w:p>
    <w:p w:rsidRPr="00F86DD3" w:rsidR="0058730D" w:rsidP="0058730D" w:rsidRDefault="0058730D" w14:paraId="137B0ECB" w14:textId="77777777">
      <w:pPr>
        <w:spacing w:line="276" w:lineRule="auto"/>
        <w:ind w:firstLine="708"/>
        <w:jc w:val="both"/>
        <w:rPr>
          <w:rFonts w:ascii="Century Gothic" w:hAnsi="Century Gothic" w:eastAsia="Times New Roman" w:cs="Arial"/>
          <w:iCs/>
          <w:sz w:val="21"/>
          <w:szCs w:val="21"/>
          <w:lang w:val="es-ES_tradnl" w:eastAsia="es-ES_tradnl"/>
        </w:rPr>
      </w:pPr>
      <w:r w:rsidRPr="00F86DD3">
        <w:rPr>
          <w:rFonts w:ascii="Century Gothic" w:hAnsi="Century Gothic" w:eastAsia="Times New Roman" w:cs="Arial"/>
          <w:lang w:eastAsia="es-ES_tradnl"/>
        </w:rPr>
        <w:t xml:space="preserve"> En fin, el principio al debido proceso busca en materia de contratación estatal </w:t>
      </w:r>
      <w:r w:rsidRPr="00F86DD3">
        <w:rPr>
          <w:rFonts w:ascii="Century Gothic" w:hAnsi="Century Gothic" w:eastAsia="Times New Roman" w:cs="Arial"/>
          <w:iCs/>
          <w:sz w:val="21"/>
          <w:szCs w:val="21"/>
          <w:lang w:val="es-ES_tradnl" w:eastAsia="es-ES_tradnl"/>
        </w:rPr>
        <w:t>“</w:t>
      </w:r>
      <w:r w:rsidRPr="00F86DD3">
        <w:rPr>
          <w:rFonts w:ascii="Century Gothic" w:hAnsi="Century Gothic" w:eastAsia="Times New Roman" w:cs="Arial"/>
          <w:i/>
          <w:iCs/>
          <w:lang w:eastAsia="es-ES_tradnl"/>
        </w:rPr>
        <w:t>en su interrelación obtener una actuación administrativa coherente a las necedades públicas sin lesionar los intereses individuales en juego</w:t>
      </w:r>
      <w:r w:rsidRPr="00F86DD3">
        <w:rPr>
          <w:rFonts w:ascii="Century Gothic" w:hAnsi="Century Gothic" w:eastAsia="Times New Roman" w:cs="Arial"/>
          <w:iCs/>
          <w:sz w:val="21"/>
          <w:szCs w:val="21"/>
          <w:lang w:val="es-ES_tradnl" w:eastAsia="es-ES_tradnl"/>
        </w:rPr>
        <w:t>”</w:t>
      </w:r>
      <w:r w:rsidRPr="00F86DD3">
        <w:rPr>
          <w:rStyle w:val="FootnoteReference"/>
          <w:rFonts w:ascii="Century Gothic" w:hAnsi="Century Gothic" w:eastAsia="Times New Roman" w:cs="Arial"/>
          <w:iCs/>
          <w:sz w:val="21"/>
          <w:szCs w:val="21"/>
          <w:lang w:val="es-ES_tradnl" w:eastAsia="es-ES_tradnl"/>
        </w:rPr>
        <w:footnoteReference w:id="10"/>
      </w:r>
      <w:r w:rsidRPr="00F86DD3">
        <w:rPr>
          <w:rFonts w:ascii="Century Gothic" w:hAnsi="Century Gothic" w:eastAsia="Times New Roman" w:cs="Arial"/>
          <w:iCs/>
          <w:sz w:val="21"/>
          <w:szCs w:val="21"/>
          <w:lang w:val="es-ES_tradnl" w:eastAsia="es-ES_tradnl"/>
        </w:rPr>
        <w:t>.</w:t>
      </w:r>
      <w:r w:rsidRPr="00F86DD3">
        <w:rPr>
          <w:rFonts w:ascii="Century Gothic" w:hAnsi="Century Gothic" w:eastAsia="Times New Roman" w:cs="Arial"/>
          <w:i/>
          <w:iCs/>
          <w:lang w:eastAsia="es-ES_tradnl"/>
        </w:rPr>
        <w:t xml:space="preserve"> </w:t>
      </w:r>
      <w:r w:rsidRPr="00F86DD3">
        <w:rPr>
          <w:rFonts w:ascii="Century Gothic" w:hAnsi="Century Gothic" w:eastAsia="Times New Roman" w:cs="Arial"/>
          <w:lang w:eastAsia="es-ES_tradnl"/>
        </w:rPr>
        <w:t xml:space="preserve">Al respecto la </w:t>
      </w:r>
      <w:r w:rsidRPr="00F86DD3">
        <w:rPr>
          <w:rFonts w:ascii="Century Gothic" w:hAnsi="Century Gothic" w:eastAsia="Times New Roman" w:cs="Arial"/>
          <w:lang w:eastAsia="es-ES_tradnl"/>
        </w:rPr>
        <w:lastRenderedPageBreak/>
        <w:t>Corte Constitucional en sentencia T-722 de 2010</w:t>
      </w:r>
      <w:r w:rsidRPr="00F86DD3">
        <w:rPr>
          <w:rStyle w:val="FootnoteReference"/>
          <w:rFonts w:ascii="Century Gothic" w:hAnsi="Century Gothic" w:eastAsia="Times New Roman" w:cs="Arial"/>
          <w:lang w:eastAsia="es-ES_tradnl"/>
        </w:rPr>
        <w:footnoteReference w:id="11"/>
      </w:r>
      <w:r w:rsidRPr="00F86DD3">
        <w:rPr>
          <w:rFonts w:ascii="Century Gothic" w:hAnsi="Century Gothic" w:eastAsia="Times New Roman" w:cs="Arial"/>
          <w:lang w:eastAsia="es-ES_tradnl"/>
        </w:rPr>
        <w:t xml:space="preserve"> recordó que el derecho al debido proceso administrativo como la garantía a todas las personas de acceder a un proceso justo y adecuado, permite que </w:t>
      </w:r>
      <w:r w:rsidRPr="00F86DD3">
        <w:rPr>
          <w:rFonts w:ascii="Century Gothic" w:hAnsi="Century Gothic" w:eastAsia="Times New Roman" w:cs="Arial"/>
          <w:iCs/>
          <w:sz w:val="21"/>
          <w:szCs w:val="21"/>
          <w:lang w:val="es-ES_tradnl" w:eastAsia="es-ES_tradnl"/>
        </w:rPr>
        <w:t>“</w:t>
      </w:r>
      <w:r w:rsidRPr="00F86DD3">
        <w:rPr>
          <w:rFonts w:ascii="Century Gothic" w:hAnsi="Century Gothic" w:eastAsia="Times New Roman" w:cs="Arial"/>
          <w:i/>
          <w:iCs/>
          <w:lang w:eastAsia="es-ES_tradnl"/>
        </w:rPr>
        <w:t>la afectación o la privación de ciertos bienes jurídicos por parte del Estado, no pueda hacerse con detrimento de sus derechos fundamentales</w:t>
      </w:r>
      <w:r w:rsidRPr="00F86DD3">
        <w:rPr>
          <w:rFonts w:ascii="Century Gothic" w:hAnsi="Century Gothic" w:eastAsia="Times New Roman" w:cs="Arial"/>
          <w:iCs/>
          <w:sz w:val="21"/>
          <w:szCs w:val="21"/>
          <w:lang w:val="es-ES_tradnl" w:eastAsia="es-ES_tradnl"/>
        </w:rPr>
        <w:t>”.</w:t>
      </w:r>
    </w:p>
    <w:p w:rsidRPr="00F86DD3" w:rsidR="0058730D" w:rsidP="0058730D" w:rsidRDefault="0058730D" w14:paraId="72F34F5E" w14:textId="77777777">
      <w:pPr>
        <w:spacing w:after="120" w:line="276" w:lineRule="auto"/>
        <w:ind w:firstLine="708"/>
        <w:jc w:val="both"/>
        <w:rPr>
          <w:rFonts w:ascii="Century Gothic" w:hAnsi="Century Gothic" w:eastAsia="Times New Roman" w:cs="Arial"/>
          <w:iCs/>
          <w:lang w:val="es-ES_tradnl" w:eastAsia="es-ES_tradnl"/>
          <w14:ligatures w14:val="standardContextual"/>
        </w:rPr>
      </w:pPr>
      <w:r w:rsidRPr="00F86DD3">
        <w:rPr>
          <w:rFonts w:ascii="Century Gothic" w:hAnsi="Century Gothic" w:eastAsia="Calibri" w:cs="Arial"/>
          <w:lang w:val="es-ES_tradnl" w:eastAsia="es-ES_tradnl"/>
          <w14:ligatures w14:val="standardContextual"/>
        </w:rPr>
        <w:t xml:space="preserve">Conforme lo expuesto, es importante que la entidad acompañe la citación de la audiencia, con las pruebas que dan a lugar al reproche sancionatorio, adicionales a los informes de supervisión o de interventoría que sirven para acreditar el incumplimiento de obligaciones contractuales. </w:t>
      </w:r>
      <w:r w:rsidRPr="00F86DD3">
        <w:rPr>
          <w:rFonts w:ascii="Century Gothic" w:hAnsi="Century Gothic" w:eastAsia="Arial" w:cs="Arial"/>
          <w:lang w:eastAsia="es-ES_tradnl"/>
          <w14:ligatures w14:val="standardContextual"/>
        </w:rPr>
        <w:t xml:space="preserve">Por otro lado, </w:t>
      </w:r>
      <w:r w:rsidRPr="00F86DD3">
        <w:rPr>
          <w:rFonts w:ascii="Century Gothic" w:hAnsi="Century Gothic" w:eastAsia="Calibri" w:cs="Arial"/>
          <w:lang w:val="es-ES_tradnl" w:eastAsia="es-ES_tradnl"/>
          <w14:ligatures w14:val="standardContextual"/>
        </w:rPr>
        <w:t xml:space="preserve">debe señalarse que el literal d) del artículo 86 dispone que, en </w:t>
      </w:r>
      <w:r w:rsidRPr="00F86DD3">
        <w:rPr>
          <w:rFonts w:ascii="Century Gothic" w:hAnsi="Century Gothic" w:eastAsia="Times New Roman" w:cs="Arial"/>
          <w:iCs/>
          <w:lang w:val="es-ES_tradnl" w:eastAsia="es-ES_tradnl"/>
          <w14:ligatures w14:val="standardContextual"/>
        </w:rPr>
        <w:t xml:space="preserve">cualquier momento del desarrollo de la audiencia, el jefe de la entidad o su delegado podrá suspender la audiencia cuando de oficio o a petición de parte, ello resulte en su criterio necesario para allegar o practicar pruebas que estime conducentes y pertinentes, o cuando por cualquier otra razón debidamente sustentada, ello resulte necesario para el correcto desarrollo de la actuación administrativa. En todo caso, al adoptar la decisión, se señalará fecha y hora para reanudar la audiencia. </w:t>
      </w:r>
    </w:p>
    <w:p w:rsidR="0058730D" w:rsidP="0058730D" w:rsidRDefault="0058730D" w14:paraId="7B38D03E" w14:textId="37E8A992">
      <w:pPr>
        <w:spacing w:after="120" w:line="276" w:lineRule="auto"/>
        <w:ind w:firstLine="708"/>
        <w:jc w:val="both"/>
        <w:rPr>
          <w:rFonts w:ascii="Century Gothic" w:hAnsi="Century Gothic" w:eastAsia="Times New Roman" w:cs="Arial"/>
          <w:lang w:eastAsia="es-ES"/>
          <w14:ligatures w14:val="standardContextual"/>
        </w:rPr>
      </w:pPr>
      <w:r w:rsidRPr="00F86DD3">
        <w:rPr>
          <w:rFonts w:ascii="Century Gothic" w:hAnsi="Century Gothic" w:eastAsia="Arial" w:cs="Arial"/>
          <w:lang w:eastAsia="es-ES_tradnl"/>
          <w14:ligatures w14:val="standardContextual"/>
        </w:rPr>
        <w:t xml:space="preserve">Se aclara que, </w:t>
      </w:r>
      <w:r w:rsidRPr="00F86DD3">
        <w:rPr>
          <w:rFonts w:ascii="Century Gothic" w:hAnsi="Century Gothic" w:eastAsia="Times New Roman" w:cs="Arial"/>
          <w:lang w:val="es-ES" w:eastAsia="es-ES"/>
          <w14:ligatures w14:val="standardContextual"/>
        </w:rPr>
        <w:t>previa a la imposición por parte de la entidad estatal de multas y sanciones pactadas en el contrato como también para hacer efectiva la cláusula penal</w:t>
      </w:r>
      <w:r w:rsidRPr="00F86DD3">
        <w:rPr>
          <w:rFonts w:ascii="Century Gothic" w:hAnsi="Century Gothic" w:eastAsia="Arial" w:cs="Arial"/>
          <w:lang w:eastAsia="es-ES_tradnl"/>
          <w14:ligatures w14:val="standardContextual"/>
        </w:rPr>
        <w:t>, es necesario dar a conocer dichas pruebas</w:t>
      </w:r>
      <w:r w:rsidRPr="00F86DD3">
        <w:rPr>
          <w:rFonts w:ascii="Century Gothic" w:hAnsi="Century Gothic" w:eastAsia="Times New Roman" w:cs="Arial"/>
          <w:lang w:val="es-ES" w:eastAsia="es-ES"/>
          <w14:ligatures w14:val="standardContextual"/>
        </w:rPr>
        <w:t>, pues estas soportan la cuantificación de los perjuicios ocasionados a la entidad estatal, con base en lo cual se determinará, en virtud del principio de proporcionalidad, el valor o porcentaje de la sanción por el cual posteriormente se siniestrará las garantías contractuales que respaldan el respectivo contrato. En todo caso, se concluye que tanto las pruebas que se acompañan con la citación y las adicionales que se practiquen, como también la</w:t>
      </w:r>
      <w:r w:rsidRPr="00F86DD3">
        <w:rPr>
          <w:rFonts w:ascii="Century Gothic" w:hAnsi="Century Gothic" w:eastAsia="Times New Roman" w:cs="Arial"/>
          <w:lang w:eastAsia="es-ES"/>
          <w14:ligatures w14:val="standardContextual"/>
        </w:rPr>
        <w:t xml:space="preserve"> tasación de perjuicio, estará sujetos a contradicción por parte del contratista, para lo cual podrá aportar pruebas y argumentos de defensa.</w:t>
      </w:r>
    </w:p>
    <w:p w:rsidRPr="00F86DD3" w:rsidR="00FB77A2" w:rsidP="0058730D" w:rsidRDefault="00FB77A2" w14:paraId="3CA219D0" w14:textId="77777777">
      <w:pPr>
        <w:spacing w:after="120" w:line="276" w:lineRule="auto"/>
        <w:ind w:firstLine="708"/>
        <w:jc w:val="both"/>
        <w:rPr>
          <w:rFonts w:ascii="Century Gothic" w:hAnsi="Century Gothic" w:eastAsia="Times New Roman" w:cs="Arial"/>
          <w:lang w:val="es-ES" w:eastAsia="es-ES"/>
          <w14:ligatures w14:val="standardContextual"/>
        </w:rPr>
      </w:pPr>
    </w:p>
    <w:p w:rsidRPr="00F86DD3" w:rsidR="0058730D" w:rsidP="0058730D" w:rsidRDefault="0058730D" w14:paraId="4D99C78B" w14:textId="73BE135D">
      <w:pPr>
        <w:tabs>
          <w:tab w:val="left" w:pos="426"/>
        </w:tabs>
        <w:spacing w:after="0" w:line="276" w:lineRule="auto"/>
        <w:jc w:val="both"/>
        <w:rPr>
          <w:rFonts w:ascii="Century Gothic" w:hAnsi="Century Gothic" w:eastAsia="Arial" w:cs="Arial"/>
          <w:b/>
        </w:rPr>
      </w:pPr>
      <w:r w:rsidRPr="00F86DD3">
        <w:rPr>
          <w:rFonts w:ascii="Century Gothic" w:hAnsi="Century Gothic" w:eastAsia="Arial" w:cs="Arial"/>
          <w:b/>
        </w:rPr>
        <w:t>2.2. Caducidad de la facultad sancionatoria en procesos sancionatorios contractuales. Aplicación subsidiaria del artículo 52 del CPACA</w:t>
      </w:r>
    </w:p>
    <w:p w:rsidRPr="00F86DD3" w:rsidR="0058730D" w:rsidP="0058730D" w:rsidRDefault="0058730D" w14:paraId="1F89046D" w14:textId="77777777">
      <w:pPr>
        <w:tabs>
          <w:tab w:val="left" w:pos="426"/>
        </w:tabs>
        <w:spacing w:after="0" w:line="276" w:lineRule="auto"/>
        <w:jc w:val="both"/>
        <w:rPr>
          <w:rFonts w:ascii="Century Gothic" w:hAnsi="Century Gothic" w:eastAsia="Arial" w:cs="Arial"/>
          <w:b/>
        </w:rPr>
      </w:pPr>
    </w:p>
    <w:p w:rsidRPr="00F86DD3" w:rsidR="0058730D" w:rsidP="0058730D" w:rsidRDefault="0058730D" w14:paraId="667B96C6" w14:textId="77777777">
      <w:pPr>
        <w:tabs>
          <w:tab w:val="left" w:pos="426"/>
        </w:tabs>
        <w:spacing w:after="120" w:line="276" w:lineRule="auto"/>
        <w:jc w:val="both"/>
        <w:rPr>
          <w:rFonts w:ascii="Century Gothic" w:hAnsi="Century Gothic" w:eastAsia="Arial" w:cs="Arial"/>
        </w:rPr>
      </w:pPr>
      <w:r w:rsidRPr="00F86DD3">
        <w:rPr>
          <w:rFonts w:ascii="Century Gothic" w:hAnsi="Century Gothic" w:eastAsia="Arial" w:cs="Arial"/>
        </w:rPr>
        <w:lastRenderedPageBreak/>
        <w:t xml:space="preserve">El desarrollo del procedimiento establecido en el artículo 86 de la Ley 1474 de 2011 supone la aplicación previa y concomitante de un marco normativo regido por el derecho fundamental al debido proceso previsto en el artículo 29 de la Constitución Política. Este derecho fundamental rige en todas las actuaciones judiciales y administrativas, inclusive en el procedimiento administrativo general, tal y como lo dispone el numeral 1 del artículo 3  de la Ley 1437 de 2011, que, con similar propósito, prescribe: “En virtud del principio del debido proceso, las actuaciones administrativas se adelantarán de conformidad con las normas de procedimiento y competencia establecidas en la Constitución y la ley, con plena garantía de los derechos de representación, defensa y contradicción […]”. </w:t>
      </w:r>
    </w:p>
    <w:p w:rsidRPr="00F86DD3" w:rsidR="0058730D" w:rsidP="0058730D" w:rsidRDefault="0058730D" w14:paraId="2E540738" w14:textId="77777777">
      <w:pPr>
        <w:spacing w:after="120" w:line="276" w:lineRule="auto"/>
        <w:ind w:firstLine="708"/>
        <w:jc w:val="both"/>
        <w:rPr>
          <w:rFonts w:ascii="Century Gothic" w:hAnsi="Century Gothic" w:eastAsia="Arial" w:cs="Arial"/>
        </w:rPr>
      </w:pPr>
      <w:r w:rsidRPr="00F86DD3">
        <w:rPr>
          <w:rFonts w:ascii="Century Gothic" w:hAnsi="Century Gothic" w:eastAsia="Arial" w:cs="Arial"/>
        </w:rPr>
        <w:t xml:space="preserve">En este sentido, debe considerarse que las actuaciones contractuales de las entidades estatales sometidas al EGCAP se complementan con la regulación general de las actuaciones administrativas, pues ese es el sentido del artículo 77 de la Ley 80 de 1993 que establece que en cuanto sean compatibles con la finalidad y los principios de esa ley, las normas que rigen los procedimientos y actuaciones en la función administrativa serán aplicables en las actuaciones contractuales. A falta de estas, regirán las disposiciones del Código de Procedimiento Civil. Asimismo, establece que “los actos administrativos que se produzcan con motivo u ocasión de la actividad contractual sólo serán susceptibles de recurso de reposición y del ejercicio de la acción contractual, de acuerdo con las reglas del Código Contencioso Administrativo”, siendo posible acudir a la aplicación normativa complementaria y concordante del CPACA, sin perjuicio de la primacía de la norma especial. </w:t>
      </w:r>
    </w:p>
    <w:p w:rsidRPr="00F86DD3" w:rsidR="0058730D" w:rsidP="0058730D" w:rsidRDefault="0058730D" w14:paraId="68A5A849" w14:textId="77777777">
      <w:pPr>
        <w:spacing w:before="120" w:after="0" w:line="276" w:lineRule="auto"/>
        <w:ind w:firstLine="709"/>
        <w:jc w:val="both"/>
        <w:rPr>
          <w:rFonts w:ascii="Century Gothic" w:hAnsi="Century Gothic" w:eastAsia="Arial" w:cs="Arial"/>
        </w:rPr>
      </w:pPr>
      <w:r w:rsidRPr="00F86DD3">
        <w:rPr>
          <w:rFonts w:ascii="Century Gothic" w:hAnsi="Century Gothic" w:eastAsia="Arial" w:cs="Arial"/>
        </w:rPr>
        <w:t xml:space="preserve">A su turno, los artículos 47 a 52 de la Ley 1437 de 2011 - CPACA consagran unas normas y garantías mínimas del procedimiento administrativo sancionatorio general, cuya aplicación es de carácter supletorio, tal y como se dispone en el primer artículo mencionado, cuyo texto relevante es el siguiente:  </w:t>
      </w:r>
    </w:p>
    <w:p w:rsidRPr="00F86DD3" w:rsidR="0058730D" w:rsidP="0058730D" w:rsidRDefault="0058730D" w14:paraId="3635FA85" w14:textId="77777777">
      <w:pPr>
        <w:spacing w:after="0" w:line="240" w:lineRule="auto"/>
        <w:jc w:val="both"/>
        <w:rPr>
          <w:rFonts w:ascii="Century Gothic" w:hAnsi="Century Gothic" w:eastAsia="Arial" w:cs="Arial"/>
        </w:rPr>
      </w:pPr>
    </w:p>
    <w:p w:rsidRPr="00F86DD3" w:rsidR="0058730D" w:rsidP="0058730D" w:rsidRDefault="0058730D" w14:paraId="4FD89FC6" w14:textId="77777777">
      <w:pPr>
        <w:spacing w:after="0" w:line="240" w:lineRule="auto"/>
        <w:ind w:left="709" w:right="709"/>
        <w:jc w:val="both"/>
        <w:rPr>
          <w:rFonts w:ascii="Century Gothic" w:hAnsi="Century Gothic" w:eastAsia="Arial" w:cs="Arial"/>
          <w:sz w:val="21"/>
        </w:rPr>
      </w:pPr>
      <w:r w:rsidRPr="00F86DD3">
        <w:rPr>
          <w:rFonts w:ascii="Century Gothic" w:hAnsi="Century Gothic" w:eastAsia="Arial" w:cs="Arial"/>
          <w:sz w:val="21"/>
        </w:rPr>
        <w:t xml:space="preserve">“Artículo 47. Procedimiento administrativo sancionatorio. Los procedimientos administrativos de carácter sancionatorio no regulados por leyes especiales o por el Código Disciplinario Único se sujetarán a las disposiciones de esta Parte Primera del Código. Los preceptos de este Código se aplicarán también en lo no previsto por dichas leyes. </w:t>
      </w:r>
    </w:p>
    <w:p w:rsidRPr="00F86DD3" w:rsidR="0058730D" w:rsidP="0058730D" w:rsidRDefault="0058730D" w14:paraId="44765881" w14:textId="77777777">
      <w:pPr>
        <w:spacing w:after="0" w:line="240" w:lineRule="auto"/>
        <w:ind w:left="709" w:right="709"/>
        <w:jc w:val="both"/>
        <w:rPr>
          <w:rFonts w:ascii="Century Gothic" w:hAnsi="Century Gothic" w:eastAsia="Arial" w:cs="Arial"/>
          <w:sz w:val="21"/>
        </w:rPr>
      </w:pPr>
      <w:r w:rsidRPr="00F86DD3">
        <w:rPr>
          <w:rFonts w:ascii="Century Gothic" w:hAnsi="Century Gothic" w:eastAsia="Arial" w:cs="Arial"/>
          <w:sz w:val="21"/>
        </w:rPr>
        <w:t>[…]</w:t>
      </w:r>
    </w:p>
    <w:p w:rsidRPr="00F86DD3" w:rsidR="0058730D" w:rsidP="0058730D" w:rsidRDefault="0058730D" w14:paraId="0B2E2415" w14:textId="77777777">
      <w:pPr>
        <w:spacing w:after="0" w:line="240" w:lineRule="auto"/>
        <w:ind w:left="709" w:right="709"/>
        <w:jc w:val="both"/>
        <w:rPr>
          <w:rFonts w:ascii="Century Gothic" w:hAnsi="Century Gothic" w:eastAsia="Arial" w:cs="Arial"/>
          <w:sz w:val="21"/>
        </w:rPr>
      </w:pPr>
      <w:r w:rsidRPr="00F86DD3">
        <w:rPr>
          <w:rFonts w:ascii="Century Gothic" w:hAnsi="Century Gothic" w:eastAsia="Arial" w:cs="Arial"/>
          <w:sz w:val="21"/>
        </w:rPr>
        <w:lastRenderedPageBreak/>
        <w:t>PARÁGRAFO 1. Las actuaciones administrativas contractuales sancionatorias, incluyendo los recursos, se regirán por lo dispuesto en las normas especiales sobre la materia.</w:t>
      </w:r>
    </w:p>
    <w:p w:rsidRPr="00F86DD3" w:rsidR="0058730D" w:rsidP="0058730D" w:rsidRDefault="0058730D" w14:paraId="042AFD98" w14:textId="77777777">
      <w:pPr>
        <w:spacing w:after="0" w:line="240" w:lineRule="auto"/>
        <w:ind w:left="709" w:right="709"/>
        <w:jc w:val="both"/>
        <w:rPr>
          <w:rFonts w:ascii="Century Gothic" w:hAnsi="Century Gothic" w:eastAsia="Arial" w:cs="Arial"/>
          <w:sz w:val="21"/>
        </w:rPr>
      </w:pPr>
    </w:p>
    <w:p w:rsidRPr="00F86DD3" w:rsidR="0058730D" w:rsidP="0058730D" w:rsidRDefault="0058730D" w14:paraId="004F5A08" w14:textId="77777777">
      <w:pPr>
        <w:spacing w:after="0" w:line="240" w:lineRule="auto"/>
        <w:ind w:left="709" w:right="709"/>
        <w:jc w:val="both"/>
        <w:rPr>
          <w:rFonts w:ascii="Century Gothic" w:hAnsi="Century Gothic" w:eastAsia="Arial" w:cs="Arial"/>
        </w:rPr>
      </w:pPr>
      <w:r w:rsidRPr="00F86DD3">
        <w:rPr>
          <w:rFonts w:ascii="Century Gothic" w:hAnsi="Century Gothic" w:eastAsia="Arial" w:cs="Arial"/>
          <w:sz w:val="21"/>
        </w:rPr>
        <w:t>PARÁGRAFO 2. En los procedimientos administrativos sancionatorios fiscales el término para presentar descargos y solicitar o aportar pruebas será de cinco (5) días”</w:t>
      </w:r>
      <w:r w:rsidRPr="00F86DD3">
        <w:rPr>
          <w:rFonts w:ascii="Century Gothic" w:hAnsi="Century Gothic" w:eastAsia="Arial" w:cs="Arial"/>
        </w:rPr>
        <w:t>.</w:t>
      </w:r>
    </w:p>
    <w:p w:rsidRPr="00F86DD3" w:rsidR="0058730D" w:rsidP="0058730D" w:rsidRDefault="0058730D" w14:paraId="7F3DA604" w14:textId="77777777">
      <w:pPr>
        <w:spacing w:after="0" w:line="240" w:lineRule="auto"/>
        <w:ind w:left="709" w:right="709"/>
        <w:jc w:val="both"/>
        <w:rPr>
          <w:rFonts w:ascii="Century Gothic" w:hAnsi="Century Gothic" w:eastAsia="Arial" w:cs="Arial"/>
        </w:rPr>
      </w:pPr>
    </w:p>
    <w:p w:rsidRPr="00F86DD3" w:rsidR="0058730D" w:rsidP="0058730D" w:rsidRDefault="0058730D" w14:paraId="7B16E1BC" w14:textId="77777777">
      <w:pPr>
        <w:spacing w:after="120" w:line="276" w:lineRule="auto"/>
        <w:ind w:firstLine="709"/>
        <w:jc w:val="both"/>
        <w:rPr>
          <w:rFonts w:ascii="Century Gothic" w:hAnsi="Century Gothic" w:eastAsia="Arial" w:cs="Arial"/>
        </w:rPr>
      </w:pPr>
      <w:r w:rsidRPr="00F86DD3">
        <w:rPr>
          <w:rFonts w:ascii="Century Gothic" w:hAnsi="Century Gothic" w:eastAsia="Arial" w:cs="Arial"/>
        </w:rPr>
        <w:t>Como puede verse, la norma somete la aplicación del procedimiento administrativo sancionatorio general del CPACA para asuntos que no estén regulados por normas especiales que rijan la materia, en armonía con el artículo 34 del mismo cuerpo normativo que dispone que las actuaciones administrativas se sujetarán al procedimiento administrativo común y principal que establece el CPACA, sin perjuicio de los procedimientos administrativos regulados por leyes especiales, consagrando la primacía de la aplicabilidad de las normas especiales en materia administrativa sancionatoria.</w:t>
      </w:r>
    </w:p>
    <w:p w:rsidRPr="00F86DD3" w:rsidR="0058730D" w:rsidP="0058730D" w:rsidRDefault="0058730D" w14:paraId="37DEE24F" w14:textId="44B18EFB">
      <w:pPr>
        <w:spacing w:after="120" w:line="276" w:lineRule="auto"/>
        <w:ind w:firstLine="709"/>
        <w:jc w:val="both"/>
        <w:rPr>
          <w:rFonts w:ascii="Century Gothic" w:hAnsi="Century Gothic" w:eastAsia="Arial" w:cs="Arial"/>
        </w:rPr>
      </w:pPr>
      <w:r w:rsidRPr="00F86DD3">
        <w:rPr>
          <w:rFonts w:ascii="Century Gothic" w:hAnsi="Century Gothic" w:eastAsia="Arial" w:cs="Arial"/>
        </w:rPr>
        <w:t>Respecto a los procedimientos administrativos sancionatorios contractuales, el parágrafo 1 del artículo 47 del CPACA expresamente dispone que estos se rigen por las normas especiales en la materia, incluido</w:t>
      </w:r>
      <w:r w:rsidR="00235AA5">
        <w:rPr>
          <w:rFonts w:ascii="Century Gothic" w:hAnsi="Century Gothic" w:eastAsia="Arial" w:cs="Arial"/>
        </w:rPr>
        <w:t>s</w:t>
      </w:r>
      <w:r w:rsidRPr="00F86DD3">
        <w:rPr>
          <w:rFonts w:ascii="Century Gothic" w:hAnsi="Century Gothic" w:eastAsia="Arial" w:cs="Arial"/>
        </w:rPr>
        <w:t xml:space="preserve"> los recursos. Por tal razón, en principio la norma aplicable para ejercer las potestades sancionatorias contractuales es el artículo 86 de la Ley 1474 de 2011 que comporta un procedimiento especial, célere, eficaz y sumario, llevado a cabo en audiencia pública y que brinda las garantías mínimas al contratista para ejercer su derecho de defensa y contradicción, justificadas en el debido proceso, en los términos del artículo 17 de la Ley 1150 de 2007. </w:t>
      </w:r>
    </w:p>
    <w:p w:rsidRPr="00F86DD3" w:rsidR="0058730D" w:rsidP="0058730D" w:rsidRDefault="0058730D" w14:paraId="7C9CB1A9" w14:textId="77777777">
      <w:pPr>
        <w:spacing w:after="120" w:line="276" w:lineRule="auto"/>
        <w:ind w:firstLine="709"/>
        <w:jc w:val="both"/>
        <w:rPr>
          <w:rFonts w:ascii="Century Gothic" w:hAnsi="Century Gothic" w:eastAsia="Arial" w:cs="Arial"/>
        </w:rPr>
      </w:pPr>
      <w:r w:rsidRPr="00F86DD3">
        <w:rPr>
          <w:rFonts w:ascii="Century Gothic" w:hAnsi="Century Gothic" w:eastAsia="Arial" w:cs="Arial"/>
        </w:rPr>
        <w:t xml:space="preserve">Sin perjuicio de lo anterior, puede considerarse que, dado el carácter supletivo del procedimiento administrativo sancionatorio del CPACA, las reglas de este procedimiento pueden complementar los aspectos no previstos en las normas especiales que rigen el procedimiento administrativo sancionatorio contractual. La anterior conclusión se sustenta en lo siguiente: i) el primer inciso del artículo 77 de la Ley 80 de 1993 establece una remisión a las normas del CPACA que rigen los procedimientos administrativos, en lo que sea compatible con el Estatuto General de Contratación de la Administración Pública y </w:t>
      </w:r>
      <w:proofErr w:type="spellStart"/>
      <w:r w:rsidRPr="00F86DD3">
        <w:rPr>
          <w:rFonts w:ascii="Century Gothic" w:hAnsi="Century Gothic" w:eastAsia="Arial" w:cs="Arial"/>
        </w:rPr>
        <w:t>ii</w:t>
      </w:r>
      <w:proofErr w:type="spellEnd"/>
      <w:r w:rsidRPr="00F86DD3">
        <w:rPr>
          <w:rFonts w:ascii="Century Gothic" w:hAnsi="Century Gothic" w:eastAsia="Arial" w:cs="Arial"/>
        </w:rPr>
        <w:t xml:space="preserve">) los artículos 2 y 47 (inciso 1) del CPACA, consagran el principio de subsidiariedad, en virtud del cual las normas de </w:t>
      </w:r>
      <w:r w:rsidRPr="00F86DD3">
        <w:rPr>
          <w:rFonts w:ascii="Century Gothic" w:hAnsi="Century Gothic" w:eastAsia="Arial" w:cs="Arial"/>
        </w:rPr>
        <w:lastRenderedPageBreak/>
        <w:t>la primera parte del código se deben aplicar en aquellos casos en los cuales haya vacío en las normas especiales.</w:t>
      </w:r>
    </w:p>
    <w:p w:rsidRPr="00F86DD3" w:rsidR="0058730D" w:rsidP="0058730D" w:rsidRDefault="0058730D" w14:paraId="22588CBE" w14:textId="5DF9C202">
      <w:pPr>
        <w:spacing w:after="120" w:line="276" w:lineRule="auto"/>
        <w:ind w:firstLine="709"/>
        <w:jc w:val="both"/>
        <w:rPr>
          <w:rFonts w:ascii="Century Gothic" w:hAnsi="Century Gothic" w:eastAsia="Arial" w:cs="Arial"/>
        </w:rPr>
      </w:pPr>
      <w:r w:rsidRPr="00F86DD3">
        <w:rPr>
          <w:rFonts w:ascii="Century Gothic" w:hAnsi="Century Gothic" w:eastAsia="Arial" w:cs="Arial"/>
        </w:rPr>
        <w:t xml:space="preserve">Definido lo anterior se observa que el artículo 52 del CPACA es la norma que consagra la caducidad de la facultad que tienen las autoridades administrativas para imponer sanciones, que opera luego de transcurridos tres (3) años de ocurrido el hecho, la conducta u omisión que pudiere ocasionarlas, plazo dentro del cual el acto administrativo sancionatorio debe quedar expedido y notificado. Además, estableció de manera independiente y autónoma el término de un (1) año para resolver los recursos procedentes contra el acto sancionatorio, contado a partir de la interposición de los mismos, so pena de la pérdida de competencia. Finalmente, dispuso </w:t>
      </w:r>
      <w:r w:rsidRPr="00F86DD3" w:rsidR="00625C88">
        <w:rPr>
          <w:rFonts w:ascii="Century Gothic" w:hAnsi="Century Gothic" w:eastAsia="Arial" w:cs="Arial"/>
        </w:rPr>
        <w:t>que,</w:t>
      </w:r>
      <w:r w:rsidRPr="00F86DD3">
        <w:rPr>
          <w:rFonts w:ascii="Century Gothic" w:hAnsi="Century Gothic" w:eastAsia="Arial" w:cs="Arial"/>
        </w:rPr>
        <w:t xml:space="preserve"> si los recursos no se deciden en el término fijado, se entenderán resueltos a favor del recurrente.</w:t>
      </w:r>
    </w:p>
    <w:p w:rsidRPr="00F86DD3" w:rsidR="0058730D" w:rsidP="0058730D" w:rsidRDefault="0058730D" w14:paraId="3A1C2187" w14:textId="51949DDE">
      <w:pPr>
        <w:spacing w:after="120" w:line="276" w:lineRule="auto"/>
        <w:ind w:firstLine="709"/>
        <w:jc w:val="both"/>
        <w:rPr>
          <w:rFonts w:ascii="Century Gothic" w:hAnsi="Century Gothic" w:eastAsia="Arial" w:cs="Arial"/>
        </w:rPr>
      </w:pPr>
      <w:r w:rsidRPr="00F86DD3">
        <w:rPr>
          <w:rFonts w:ascii="Century Gothic" w:hAnsi="Century Gothic" w:eastAsia="Arial" w:cs="Arial"/>
        </w:rPr>
        <w:t xml:space="preserve">Ahora bien, en vista de que el artículo 86 de la Ley 1474 de 2011 no reguló este asunto de manera especial, resultaría posible aplicar el artículo 52 del CPACA, si las circunstancias de un caso concreto lo ameritan, porque no contradice la norma especial, sino que la complementa. Lo anterior aun cuando el artículo 86 de la Ley 1474 establece que el recurso de reposición debe resolverse en la misma audiencia; pero no regula la consecuencia de lo que ocurriría si la entidad contratante no lo resuelve en esa oportunidad, situación irregular que entraría a suplirse con lo dispuesto en la norma del procedimiento sancionatorio general.  </w:t>
      </w:r>
    </w:p>
    <w:p w:rsidRPr="00F86DD3" w:rsidR="0058730D" w:rsidP="0058730D" w:rsidRDefault="0058730D" w14:paraId="643EFCFA" w14:textId="77777777">
      <w:pPr>
        <w:spacing w:after="120" w:line="276" w:lineRule="auto"/>
        <w:ind w:firstLine="709"/>
        <w:jc w:val="both"/>
        <w:rPr>
          <w:rFonts w:ascii="Century Gothic" w:hAnsi="Century Gothic" w:eastAsia="Arial" w:cs="Arial"/>
        </w:rPr>
      </w:pPr>
      <w:r w:rsidRPr="00F86DD3">
        <w:rPr>
          <w:rFonts w:ascii="Century Gothic" w:hAnsi="Century Gothic" w:eastAsia="Arial" w:cs="Arial"/>
        </w:rPr>
        <w:t xml:space="preserve">La anterior interpretación guarda armonía con lo establecido en el artículo 17 de la Ley 1150 de 2007, frente al respeto por el debido proceso en las actuaciones administrativas sancionatorias. En efecto, por virtud de este derecho fundamental y de los principios de eficacia, eficiencia y legalidad de las actuaciones administrativas, aplicables a la contratación estatal, conforme al artículo 23 de la Ley 80 de 1993, no podrían aceptarse dilaciones injustificadas e inobservancia de las formas propias del procedimiento sancionatorio contractual, reglas que no permiten dejar sin definición la situación jurídica del contratista que ha sido vinculado a un procedimiento para ser sujeto pasivo de la potestad sancionatoria del Estado.  </w:t>
      </w:r>
    </w:p>
    <w:p w:rsidRPr="00F86DD3" w:rsidR="0058730D" w:rsidP="0058730D" w:rsidRDefault="0058730D" w14:paraId="5F7BE0DB" w14:textId="42C0DF9F">
      <w:pPr>
        <w:spacing w:before="120" w:after="0" w:line="276" w:lineRule="auto"/>
        <w:ind w:firstLine="709"/>
        <w:jc w:val="both"/>
        <w:rPr>
          <w:rFonts w:ascii="Century Gothic" w:hAnsi="Century Gothic" w:eastAsia="Arial" w:cs="Arial"/>
        </w:rPr>
      </w:pPr>
      <w:r w:rsidRPr="00F86DD3">
        <w:rPr>
          <w:rFonts w:ascii="Century Gothic" w:hAnsi="Century Gothic" w:eastAsia="Arial" w:cs="Arial"/>
        </w:rPr>
        <w:t xml:space="preserve">De cualquier modo, es necesario tener en cuenta que la garantías que amparan el cumplimiento en los contratos estatales están regidas por los términos de prescripción establecidos para el contrato de seguro en el artículo 1081 del </w:t>
      </w:r>
      <w:r w:rsidRPr="00F86DD3">
        <w:rPr>
          <w:rFonts w:ascii="Century Gothic" w:hAnsi="Century Gothic" w:eastAsia="Arial" w:cs="Arial"/>
        </w:rPr>
        <w:lastRenderedPageBreak/>
        <w:t>Código de Comercio</w:t>
      </w:r>
      <w:r w:rsidRPr="00F86DD3">
        <w:rPr>
          <w:rStyle w:val="FootnoteReference"/>
          <w:rFonts w:ascii="Century Gothic" w:hAnsi="Century Gothic" w:eastAsia="Arial" w:cs="Arial"/>
        </w:rPr>
        <w:footnoteReference w:id="12"/>
      </w:r>
      <w:r w:rsidRPr="00F86DD3">
        <w:rPr>
          <w:rFonts w:ascii="Century Gothic" w:hAnsi="Century Gothic" w:eastAsia="Arial" w:cs="Arial"/>
        </w:rPr>
        <w:t>. En ese sentido, independientemente del término de caducidad de la facultad sancionatoria, también es necesario que la Entidad Estatal tenga en cuenta lo anterior, en aras de evitar que se declaren incumplimientos cuando se haya consolidado la prescripción de las acciones que derivan del contrato de seguro que ampara a la Entidad Estatal ante el incumplimiento del contratista</w:t>
      </w:r>
      <w:r w:rsidR="00713DE0">
        <w:rPr>
          <w:rFonts w:ascii="Century Gothic" w:hAnsi="Century Gothic" w:eastAsia="Arial" w:cs="Arial"/>
        </w:rPr>
        <w:t>,</w:t>
      </w:r>
      <w:r w:rsidRPr="00F86DD3">
        <w:rPr>
          <w:rFonts w:ascii="Century Gothic" w:hAnsi="Century Gothic" w:eastAsia="Arial" w:cs="Arial"/>
        </w:rPr>
        <w:t xml:space="preserve"> y no sea posible siniestrar las garantías que respaldan el contrato estatal. </w:t>
      </w:r>
    </w:p>
    <w:p w:rsidRPr="00F86DD3" w:rsidR="0058730D" w:rsidP="0058730D" w:rsidRDefault="0058730D" w14:paraId="2E6E09D3" w14:textId="77777777">
      <w:pPr>
        <w:spacing w:after="0" w:line="276" w:lineRule="auto"/>
        <w:ind w:firstLine="709"/>
        <w:contextualSpacing/>
        <w:jc w:val="both"/>
        <w:rPr>
          <w:rFonts w:ascii="Century Gothic" w:hAnsi="Century Gothic" w:eastAsia="Calibri" w:cs="Arial"/>
          <w:szCs w:val="24"/>
          <w:lang w:val="es-ES_tradnl" w:eastAsia="es-ES_tradnl"/>
          <w14:ligatures w14:val="standardContextual"/>
        </w:rPr>
      </w:pPr>
    </w:p>
    <w:p w:rsidRPr="00F86DD3" w:rsidR="0058730D" w:rsidP="0058730D" w:rsidRDefault="0058730D" w14:paraId="4E7BBC71" w14:textId="77777777">
      <w:pPr>
        <w:tabs>
          <w:tab w:val="left" w:pos="0"/>
        </w:tabs>
        <w:spacing w:after="0" w:line="276" w:lineRule="auto"/>
        <w:contextualSpacing/>
        <w:jc w:val="both"/>
        <w:rPr>
          <w:rFonts w:ascii="Century Gothic" w:hAnsi="Century Gothic" w:eastAsia="Calibri" w:cs="Arial"/>
          <w:b/>
          <w:szCs w:val="24"/>
          <w:lang w:val="es-ES_tradnl" w:eastAsia="es-ES_tradnl"/>
          <w14:ligatures w14:val="standardContextual"/>
        </w:rPr>
      </w:pPr>
      <w:r w:rsidRPr="00F86DD3">
        <w:rPr>
          <w:rFonts w:ascii="Century Gothic" w:hAnsi="Century Gothic" w:eastAsia="Calibri" w:cs="Arial"/>
          <w:b/>
          <w:szCs w:val="24"/>
          <w:lang w:val="es-ES_tradnl" w:eastAsia="es-ES_tradnl"/>
          <w14:ligatures w14:val="standardContextual"/>
        </w:rPr>
        <w:t>3. Respuesta</w:t>
      </w:r>
    </w:p>
    <w:p w:rsidRPr="00F86DD3" w:rsidR="0058730D" w:rsidP="0058730D" w:rsidRDefault="0058730D" w14:paraId="7BF91E41" w14:textId="77777777">
      <w:pPr>
        <w:autoSpaceDE w:val="0"/>
        <w:autoSpaceDN w:val="0"/>
        <w:adjustRightInd w:val="0"/>
        <w:spacing w:after="0" w:line="276" w:lineRule="auto"/>
        <w:ind w:left="709" w:right="709"/>
        <w:contextualSpacing/>
        <w:jc w:val="both"/>
        <w:rPr>
          <w:rFonts w:ascii="Century Gothic" w:hAnsi="Century Gothic" w:cs="Arial"/>
          <w:sz w:val="21"/>
          <w:szCs w:val="21"/>
          <w:lang w:val="es-ES"/>
          <w14:ligatures w14:val="standardContextual"/>
        </w:rPr>
      </w:pPr>
    </w:p>
    <w:p w:rsidRPr="00F86DD3" w:rsidR="00606854" w:rsidP="00606854" w:rsidRDefault="00606854" w14:paraId="14E09DB6" w14:textId="77777777">
      <w:pPr>
        <w:spacing w:after="0" w:line="240" w:lineRule="auto"/>
        <w:ind w:left="709" w:right="709"/>
        <w:jc w:val="both"/>
        <w:rPr>
          <w:rFonts w:ascii="Century Gothic" w:hAnsi="Century Gothic"/>
          <w:sz w:val="20"/>
          <w:szCs w:val="20"/>
          <w:lang w:val="es-ES_tradnl"/>
        </w:rPr>
      </w:pPr>
      <w:r w:rsidRPr="00F86DD3">
        <w:rPr>
          <w:rFonts w:ascii="Century Gothic" w:hAnsi="Century Gothic"/>
          <w:sz w:val="20"/>
          <w:szCs w:val="20"/>
          <w:lang w:val="es-ES_tradnl"/>
        </w:rPr>
        <w:t xml:space="preserve">“[…] 1. En relación con el cómputo de los términos de prescripción del contrato de seguro, para que la Entidad Estatal pueda declarar el siniestro y afectar las pólizas que amparan los contratos, solicito se me informe si se debe empezar a contar los términos a partir de la fecha de radicación del informe del presunto incumplimiento junto con la solicitud de inicio del proceso, o desde cuando se deben contar dichos términos, teniendo en cuenta la existencia de un informe técnico presentado por la supervisión y/o la interventoría del contrato. </w:t>
      </w:r>
    </w:p>
    <w:p w:rsidRPr="00F86DD3" w:rsidR="00606854" w:rsidP="00606854" w:rsidRDefault="00606854" w14:paraId="080F1E52" w14:textId="77777777">
      <w:pPr>
        <w:spacing w:after="0" w:line="240" w:lineRule="auto"/>
        <w:ind w:left="709" w:right="709"/>
        <w:jc w:val="both"/>
        <w:rPr>
          <w:rFonts w:ascii="Century Gothic" w:hAnsi="Century Gothic"/>
          <w:sz w:val="20"/>
          <w:szCs w:val="20"/>
          <w:lang w:val="es-ES_tradnl"/>
        </w:rPr>
      </w:pPr>
    </w:p>
    <w:p w:rsidRPr="00F86DD3" w:rsidR="00336ECB" w:rsidP="2F38AC55" w:rsidRDefault="00A5087E" w14:paraId="57174887" w14:textId="77777777">
      <w:pPr>
        <w:spacing w:line="276" w:lineRule="auto"/>
        <w:jc w:val="both"/>
        <w:rPr>
          <w:rFonts w:ascii="Century Gothic" w:hAnsi="Century Gothic"/>
          <w:lang w:val="es-ES"/>
        </w:rPr>
      </w:pPr>
      <w:r w:rsidRPr="2F38AC55">
        <w:rPr>
          <w:rFonts w:ascii="Century Gothic" w:hAnsi="Century Gothic"/>
          <w:lang w:val="es-ES"/>
        </w:rPr>
        <w:t>Frente a su primera inquietud debe tener en cuenta que e</w:t>
      </w:r>
      <w:r w:rsidRPr="2F38AC55" w:rsidR="00814D07">
        <w:rPr>
          <w:rFonts w:ascii="Century Gothic" w:hAnsi="Century Gothic"/>
          <w:lang w:val="es-ES"/>
        </w:rPr>
        <w:t>l acto administrativo que declara incumplimiento debe estar en firme antes del término de prescripción de la acción del contrato de seguro. La prescripción es ordinaria o extraordinaria. La ordinaria es de dos (2) años y se cuenta a partir del momento en que la Entidad Estatal tiene o debe tener conocimiento del hecho. La extraordinaria es de cinco (5) años, que se cuentan desde la ocurrencia del siniestro</w:t>
      </w:r>
      <w:r w:rsidRPr="2F38AC55" w:rsidR="00336ECB">
        <w:rPr>
          <w:rFonts w:ascii="Century Gothic" w:hAnsi="Century Gothic"/>
          <w:lang w:val="es-ES"/>
        </w:rPr>
        <w:t>.</w:t>
      </w:r>
    </w:p>
    <w:p w:rsidRPr="00F86DD3" w:rsidR="008955A9" w:rsidP="008955A9" w:rsidRDefault="008955A9" w14:paraId="5B0A28D0" w14:textId="77777777">
      <w:pPr>
        <w:spacing w:line="276" w:lineRule="auto"/>
        <w:ind w:firstLine="708"/>
        <w:jc w:val="both"/>
        <w:rPr>
          <w:rFonts w:ascii="Century Gothic" w:hAnsi="Century Gothic"/>
          <w:lang w:val="es-ES_tradnl"/>
        </w:rPr>
      </w:pPr>
      <w:r w:rsidRPr="00F86DD3">
        <w:rPr>
          <w:rFonts w:ascii="Century Gothic" w:hAnsi="Century Gothic"/>
          <w:lang w:val="es-ES_tradnl"/>
        </w:rPr>
        <w:t>De acuerdo con el Decreto 1082 de 2015 las garantías que respaldan el cumplimiento de un contrato pueden hacerse efectivas cuando se presenta un incumplimiento atribuible al contratista en las obligaciones pactadas que dan lugar a la declaratoria de incumplimiento, la caducidad del contrato, la imposición de multas y la efectividad de la cláusula penal.</w:t>
      </w:r>
    </w:p>
    <w:p w:rsidRPr="00F86DD3" w:rsidR="008955A9" w:rsidP="008955A9" w:rsidRDefault="008955A9" w14:paraId="2A1AA3C9" w14:textId="1D36FCA9">
      <w:pPr>
        <w:spacing w:line="276" w:lineRule="auto"/>
        <w:ind w:firstLine="708"/>
        <w:jc w:val="both"/>
        <w:rPr>
          <w:rFonts w:ascii="Century Gothic" w:hAnsi="Century Gothic"/>
          <w:lang w:val="es-ES_tradnl"/>
        </w:rPr>
      </w:pPr>
      <w:r w:rsidRPr="00F86DD3">
        <w:rPr>
          <w:rFonts w:ascii="Century Gothic" w:hAnsi="Century Gothic"/>
          <w:lang w:val="es-ES_tradnl"/>
        </w:rPr>
        <w:lastRenderedPageBreak/>
        <w:t xml:space="preserve">Si existe incumplimiento, la Entidad Estatal debe expedir un acto administrativo que lo declare. En los procedimientos administrativos sancionatorios o conminatorios la Entidad Estatal debe vincular al contratista y al asegurador del contrato. </w:t>
      </w:r>
    </w:p>
    <w:p w:rsidRPr="00F86DD3" w:rsidR="00606854" w:rsidP="00606854" w:rsidRDefault="00606854" w14:paraId="470AE30A" w14:textId="77777777">
      <w:pPr>
        <w:spacing w:after="0" w:line="240" w:lineRule="auto"/>
        <w:ind w:left="709" w:right="709"/>
        <w:jc w:val="both"/>
        <w:rPr>
          <w:rFonts w:ascii="Century Gothic" w:hAnsi="Century Gothic"/>
          <w:sz w:val="20"/>
          <w:szCs w:val="20"/>
          <w:lang w:val="es-ES_tradnl"/>
        </w:rPr>
      </w:pPr>
      <w:r w:rsidRPr="00F86DD3">
        <w:rPr>
          <w:rFonts w:ascii="Century Gothic" w:hAnsi="Century Gothic"/>
          <w:sz w:val="20"/>
          <w:szCs w:val="20"/>
          <w:lang w:val="es-ES_tradnl"/>
        </w:rPr>
        <w:t>2. Se informe cual es el procedimiento adecuado para hacer efectivas las pólizas que amparan un contrato si es el artículo 86 de la ley 1474 de 2011 o el procedimiento establecido en el Código de Procedimiento Administrativo y de lo Contencioso Administrativo. Y cuál es la diferencia de aplicar uno u otro procedimiento Administrativo. Y cuál es la diferencial de aplicar uno u otro procedimiento si en los dos procesos se debe garantizar el debido proceso.</w:t>
      </w:r>
    </w:p>
    <w:p w:rsidRPr="00F86DD3" w:rsidR="00606854" w:rsidP="00606854" w:rsidRDefault="00606854" w14:paraId="07B4D9C4" w14:textId="77777777">
      <w:pPr>
        <w:spacing w:after="0" w:line="240" w:lineRule="auto"/>
        <w:ind w:left="709" w:right="709"/>
        <w:jc w:val="both"/>
        <w:rPr>
          <w:rFonts w:ascii="Century Gothic" w:hAnsi="Century Gothic"/>
          <w:sz w:val="20"/>
          <w:szCs w:val="20"/>
          <w:lang w:val="es-ES_tradnl"/>
        </w:rPr>
      </w:pPr>
    </w:p>
    <w:p w:rsidRPr="007C7BF9" w:rsidR="00C50953" w:rsidP="007C7BF9" w:rsidRDefault="0074005B" w14:paraId="36161D95" w14:textId="47488F8A">
      <w:pPr>
        <w:spacing w:line="276" w:lineRule="auto"/>
        <w:ind w:firstLine="708"/>
        <w:jc w:val="both"/>
        <w:rPr>
          <w:rFonts w:ascii="Century Gothic" w:hAnsi="Century Gothic" w:eastAsia="Times New Roman" w:cs="Arial"/>
          <w:iCs/>
          <w:lang w:val="es-ES_tradnl" w:eastAsia="es-ES_tradnl"/>
        </w:rPr>
      </w:pPr>
      <w:r w:rsidRPr="00F86DD3">
        <w:rPr>
          <w:rFonts w:ascii="Century Gothic" w:hAnsi="Century Gothic"/>
          <w:lang w:val="es-ES_tradnl"/>
        </w:rPr>
        <w:t xml:space="preserve">Ahora bien, </w:t>
      </w:r>
      <w:r w:rsidRPr="00F86DD3">
        <w:rPr>
          <w:rFonts w:ascii="Century Gothic" w:hAnsi="Century Gothic" w:eastAsia="Times New Roman" w:cs="Arial"/>
          <w:iCs/>
          <w:lang w:val="es-ES_tradnl" w:eastAsia="es-ES_tradnl"/>
        </w:rPr>
        <w:t xml:space="preserve">en lo que respecta al </w:t>
      </w:r>
      <w:r w:rsidR="007B2B76">
        <w:rPr>
          <w:rFonts w:ascii="Century Gothic" w:hAnsi="Century Gothic" w:eastAsia="Times New Roman" w:cs="Arial"/>
          <w:iCs/>
          <w:lang w:val="es-ES_tradnl" w:eastAsia="es-ES_tradnl"/>
        </w:rPr>
        <w:t>proceso adecuado para hacer efectivas las pólizas</w:t>
      </w:r>
      <w:r w:rsidR="001C5630">
        <w:rPr>
          <w:rFonts w:ascii="Century Gothic" w:hAnsi="Century Gothic" w:eastAsia="Times New Roman" w:cs="Arial"/>
          <w:iCs/>
          <w:lang w:val="es-ES_tradnl" w:eastAsia="es-ES_tradnl"/>
        </w:rPr>
        <w:t xml:space="preserve">, de lo expuesto en el presente concepto resulta </w:t>
      </w:r>
      <w:r w:rsidR="0043424C">
        <w:rPr>
          <w:rFonts w:ascii="Century Gothic" w:hAnsi="Century Gothic" w:eastAsia="Times New Roman" w:cs="Arial"/>
          <w:iCs/>
          <w:lang w:val="es-ES_tradnl" w:eastAsia="es-ES_tradnl"/>
        </w:rPr>
        <w:t xml:space="preserve">viable afirmar que </w:t>
      </w:r>
      <w:r w:rsidR="00047E06">
        <w:rPr>
          <w:rFonts w:ascii="Century Gothic" w:hAnsi="Century Gothic" w:eastAsia="Times New Roman" w:cs="Arial"/>
          <w:iCs/>
          <w:lang w:val="es-ES_tradnl" w:eastAsia="es-ES_tradnl"/>
        </w:rPr>
        <w:t>el proceso adecuado es el contemplado en el artículo 86 de la ley 1474</w:t>
      </w:r>
      <w:r w:rsidR="009647DF">
        <w:rPr>
          <w:rFonts w:ascii="Century Gothic" w:hAnsi="Century Gothic" w:eastAsia="Times New Roman" w:cs="Arial"/>
          <w:iCs/>
          <w:lang w:val="es-ES_tradnl" w:eastAsia="es-ES_tradnl"/>
        </w:rPr>
        <w:t xml:space="preserve">, sin que ello signifique que </w:t>
      </w:r>
      <w:r w:rsidR="0063795B">
        <w:rPr>
          <w:rFonts w:ascii="Century Gothic" w:hAnsi="Century Gothic" w:eastAsia="Times New Roman" w:cs="Arial"/>
          <w:iCs/>
          <w:lang w:val="es-ES_tradnl" w:eastAsia="es-ES_tradnl"/>
        </w:rPr>
        <w:t xml:space="preserve">no </w:t>
      </w:r>
      <w:r w:rsidR="009647DF">
        <w:rPr>
          <w:rFonts w:ascii="Century Gothic" w:hAnsi="Century Gothic" w:eastAsia="Times New Roman" w:cs="Arial"/>
          <w:iCs/>
          <w:lang w:val="es-ES_tradnl" w:eastAsia="es-ES_tradnl"/>
        </w:rPr>
        <w:t xml:space="preserve">puedan aplicarse las disposiciones </w:t>
      </w:r>
      <w:r w:rsidR="00C65593">
        <w:rPr>
          <w:rFonts w:ascii="Century Gothic" w:hAnsi="Century Gothic" w:eastAsia="Times New Roman" w:cs="Arial"/>
          <w:iCs/>
          <w:lang w:val="es-ES_tradnl" w:eastAsia="es-ES_tradnl"/>
        </w:rPr>
        <w:t>consagradas</w:t>
      </w:r>
      <w:r w:rsidR="007C7BF9">
        <w:rPr>
          <w:rFonts w:ascii="Century Gothic" w:hAnsi="Century Gothic" w:eastAsia="Times New Roman" w:cs="Arial"/>
          <w:iCs/>
          <w:lang w:val="es-ES_tradnl" w:eastAsia="es-ES_tradnl"/>
        </w:rPr>
        <w:t xml:space="preserve"> en el </w:t>
      </w:r>
      <w:r w:rsidRPr="00F86DD3" w:rsidR="007C7BF9">
        <w:rPr>
          <w:rFonts w:ascii="Century Gothic" w:hAnsi="Century Gothic" w:eastAsia="Arial" w:cs="Arial"/>
          <w:lang w:val="es-ES_tradnl"/>
        </w:rPr>
        <w:t>CPACA</w:t>
      </w:r>
      <w:r w:rsidR="007C7BF9">
        <w:rPr>
          <w:rFonts w:ascii="Century Gothic" w:hAnsi="Century Gothic" w:eastAsia="Arial" w:cs="Arial"/>
          <w:lang w:val="es-ES_tradnl"/>
        </w:rPr>
        <w:t>. Sobre el particular se reitera que</w:t>
      </w:r>
      <w:r w:rsidR="007C7BF9">
        <w:rPr>
          <w:rFonts w:ascii="Century Gothic" w:hAnsi="Century Gothic" w:eastAsia="Times New Roman" w:cs="Arial"/>
          <w:iCs/>
          <w:lang w:val="es-ES_tradnl" w:eastAsia="es-ES_tradnl"/>
        </w:rPr>
        <w:t xml:space="preserve"> </w:t>
      </w:r>
      <w:r w:rsidRPr="00F86DD3">
        <w:rPr>
          <w:rFonts w:ascii="Century Gothic" w:hAnsi="Century Gothic" w:eastAsia="Arial" w:cs="Arial"/>
        </w:rPr>
        <w:t xml:space="preserve">las actuaciones contractuales de las </w:t>
      </w:r>
      <w:r w:rsidRPr="00F86DD3" w:rsidR="00503FD8">
        <w:rPr>
          <w:rFonts w:ascii="Century Gothic" w:hAnsi="Century Gothic" w:eastAsia="Arial" w:cs="Arial"/>
        </w:rPr>
        <w:t>E</w:t>
      </w:r>
      <w:r w:rsidRPr="00F86DD3">
        <w:rPr>
          <w:rFonts w:ascii="Century Gothic" w:hAnsi="Century Gothic" w:eastAsia="Arial" w:cs="Arial"/>
        </w:rPr>
        <w:t xml:space="preserve">ntidades </w:t>
      </w:r>
      <w:r w:rsidRPr="00F86DD3" w:rsidR="00503FD8">
        <w:rPr>
          <w:rFonts w:ascii="Century Gothic" w:hAnsi="Century Gothic" w:eastAsia="Arial" w:cs="Arial"/>
        </w:rPr>
        <w:t>E</w:t>
      </w:r>
      <w:r w:rsidRPr="00F86DD3">
        <w:rPr>
          <w:rFonts w:ascii="Century Gothic" w:hAnsi="Century Gothic" w:eastAsia="Arial" w:cs="Arial"/>
        </w:rPr>
        <w:t xml:space="preserve">statales sometidas al EGCAP se complementan con la regulación general de las actuaciones administrativas, </w:t>
      </w:r>
      <w:r w:rsidRPr="00F86DD3" w:rsidR="00765DDC">
        <w:rPr>
          <w:rFonts w:ascii="Century Gothic" w:hAnsi="Century Gothic" w:eastAsia="Arial" w:cs="Arial"/>
        </w:rPr>
        <w:t xml:space="preserve">sobre el particular el </w:t>
      </w:r>
      <w:r w:rsidRPr="00F86DD3">
        <w:rPr>
          <w:rFonts w:ascii="Century Gothic" w:hAnsi="Century Gothic" w:eastAsia="Arial" w:cs="Arial"/>
        </w:rPr>
        <w:t>artículo 77 de la Ley 80 de 1993 establece que en cuanto sean compatibles con la finalidad y los principios de esa ley, las normas que rigen los procedimientos y actuaciones en la función administrativa serán aplicables en las actuaciones contractuales.</w:t>
      </w:r>
      <w:r w:rsidRPr="00F86DD3" w:rsidR="007764A7">
        <w:rPr>
          <w:rFonts w:ascii="Century Gothic" w:hAnsi="Century Gothic" w:eastAsia="Arial" w:cs="Arial"/>
        </w:rPr>
        <w:t xml:space="preserve"> Lo anterior significa que las disposiciones contempladas en el </w:t>
      </w:r>
      <w:r w:rsidRPr="00F86DD3" w:rsidR="007764A7">
        <w:rPr>
          <w:rFonts w:ascii="Century Gothic" w:hAnsi="Century Gothic" w:eastAsia="Arial" w:cs="Arial"/>
          <w:lang w:val="es-ES_tradnl"/>
        </w:rPr>
        <w:t>artículo 86 de la ley 1474 de 2011 pueden complementarse con las del CPACA.</w:t>
      </w:r>
    </w:p>
    <w:p w:rsidRPr="00F86DD3" w:rsidR="00606854" w:rsidP="00606854" w:rsidRDefault="00606854" w14:paraId="4012F398" w14:textId="77777777">
      <w:pPr>
        <w:spacing w:after="0" w:line="240" w:lineRule="auto"/>
        <w:ind w:left="709" w:right="709"/>
        <w:jc w:val="both"/>
        <w:rPr>
          <w:rFonts w:ascii="Century Gothic" w:hAnsi="Century Gothic"/>
          <w:sz w:val="20"/>
          <w:szCs w:val="20"/>
          <w:lang w:val="es-ES_tradnl"/>
        </w:rPr>
      </w:pPr>
      <w:r w:rsidRPr="00F86DD3">
        <w:rPr>
          <w:rFonts w:ascii="Century Gothic" w:hAnsi="Century Gothic"/>
          <w:sz w:val="20"/>
          <w:szCs w:val="20"/>
          <w:lang w:val="es-ES_tradnl"/>
        </w:rPr>
        <w:t xml:space="preserve">3. Seria nulo el acto administrativo que declare el siniestro si se adelanta por lo dispuesto en el artículo 86 de la Ley 1474 de 2011 si solo se busca la afectación de las pólizas. </w:t>
      </w:r>
    </w:p>
    <w:p w:rsidRPr="00F86DD3" w:rsidR="00116CC8" w:rsidP="00606854" w:rsidRDefault="00116CC8" w14:paraId="7F5B9727" w14:textId="77777777">
      <w:pPr>
        <w:spacing w:after="0" w:line="240" w:lineRule="auto"/>
        <w:ind w:left="709" w:right="709"/>
        <w:jc w:val="both"/>
        <w:rPr>
          <w:rFonts w:ascii="Century Gothic" w:hAnsi="Century Gothic"/>
          <w:sz w:val="20"/>
          <w:szCs w:val="20"/>
          <w:lang w:val="es-ES_tradnl"/>
        </w:rPr>
      </w:pPr>
    </w:p>
    <w:p w:rsidRPr="00F86DD3" w:rsidR="00545F1D" w:rsidP="00857BA2" w:rsidRDefault="00821A75" w14:paraId="3CF8C8D3" w14:textId="21C527FA">
      <w:pPr>
        <w:spacing w:line="276" w:lineRule="auto"/>
        <w:ind w:firstLine="708"/>
        <w:jc w:val="both"/>
        <w:rPr>
          <w:rFonts w:ascii="Century Gothic" w:hAnsi="Century Gothic"/>
          <w:bCs/>
          <w:lang w:val="es-ES"/>
        </w:rPr>
      </w:pPr>
      <w:r w:rsidRPr="00F86DD3">
        <w:rPr>
          <w:rFonts w:ascii="Century Gothic" w:hAnsi="Century Gothic"/>
          <w:lang w:val="es-ES_tradnl"/>
        </w:rPr>
        <w:t>En cuant</w:t>
      </w:r>
      <w:r w:rsidRPr="00F86DD3" w:rsidR="00AD67EB">
        <w:rPr>
          <w:rFonts w:ascii="Century Gothic" w:hAnsi="Century Gothic"/>
          <w:lang w:val="es-ES_tradnl"/>
        </w:rPr>
        <w:t>o</w:t>
      </w:r>
      <w:r w:rsidRPr="00F86DD3">
        <w:rPr>
          <w:rFonts w:ascii="Century Gothic" w:hAnsi="Century Gothic"/>
          <w:lang w:val="es-ES_tradnl"/>
        </w:rPr>
        <w:t xml:space="preserve"> a la nulidad del acto administrativo es necesario indicar </w:t>
      </w:r>
      <w:r w:rsidRPr="00F86DD3" w:rsidR="00607D66">
        <w:rPr>
          <w:rFonts w:ascii="Century Gothic" w:hAnsi="Century Gothic"/>
          <w:bCs/>
          <w:lang w:val="es-ES"/>
        </w:rPr>
        <w:t xml:space="preserve">que las causales de nulidad están establecidas en el artículo 137, inciso 2 de la Ley 1437 de 2011. </w:t>
      </w:r>
      <w:r w:rsidRPr="00F86DD3" w:rsidR="00545F1D">
        <w:rPr>
          <w:rFonts w:ascii="Century Gothic" w:hAnsi="Century Gothic"/>
          <w:bCs/>
          <w:lang w:val="es-ES"/>
        </w:rPr>
        <w:t>En este sentido p</w:t>
      </w:r>
      <w:r w:rsidRPr="00F86DD3" w:rsidR="00607D66">
        <w:rPr>
          <w:rFonts w:ascii="Century Gothic" w:hAnsi="Century Gothic"/>
          <w:bCs/>
          <w:lang w:val="es-ES"/>
        </w:rPr>
        <w:t>ara determinar la nulidad de un acto administrativo, se deberá remitir con rigurosa observancia a los supuestos establecidos en el Código de Procedimiento Administrativo y de lo Contencioso Administrativo.</w:t>
      </w:r>
      <w:r w:rsidRPr="00F86DD3" w:rsidR="00545F1D">
        <w:rPr>
          <w:rFonts w:ascii="Century Gothic" w:hAnsi="Century Gothic"/>
          <w:bCs/>
          <w:lang w:val="es-ES"/>
        </w:rPr>
        <w:t xml:space="preserve"> </w:t>
      </w:r>
      <w:r w:rsidRPr="00F86DD3" w:rsidR="00607D66">
        <w:rPr>
          <w:rFonts w:ascii="Century Gothic" w:hAnsi="Century Gothic"/>
          <w:bCs/>
          <w:lang w:val="es-ES"/>
        </w:rPr>
        <w:t xml:space="preserve">Por lo tanto, </w:t>
      </w:r>
      <w:r w:rsidRPr="00F86DD3" w:rsidR="00857BA2">
        <w:rPr>
          <w:rFonts w:ascii="Century Gothic" w:hAnsi="Century Gothic"/>
          <w:bCs/>
          <w:lang w:val="es-ES"/>
        </w:rPr>
        <w:t xml:space="preserve">para declarar la nulidad de un acto administrativo, se </w:t>
      </w:r>
      <w:r w:rsidRPr="00F86DD3" w:rsidR="00607D66">
        <w:rPr>
          <w:rFonts w:ascii="Century Gothic" w:hAnsi="Century Gothic"/>
          <w:bCs/>
          <w:lang w:val="es-ES"/>
        </w:rPr>
        <w:t>debe demostrar en el concepto de violación, la configuración de vicios, bien sean de carácter formal o material, de acuerdo con lo dispuesto en el artículo 137 de la ley 1437 de 2011</w:t>
      </w:r>
      <w:r w:rsidRPr="00F86DD3" w:rsidR="00545F1D">
        <w:rPr>
          <w:rFonts w:ascii="Century Gothic" w:hAnsi="Century Gothic"/>
          <w:bCs/>
          <w:lang w:val="es-ES"/>
        </w:rPr>
        <w:t>.</w:t>
      </w:r>
    </w:p>
    <w:p w:rsidRPr="00F86DD3" w:rsidR="00350A67" w:rsidP="00350A67" w:rsidRDefault="00350A67" w14:paraId="505A9ADB" w14:textId="7F58373E">
      <w:pPr>
        <w:spacing w:line="276" w:lineRule="auto"/>
        <w:ind w:firstLine="708"/>
        <w:jc w:val="both"/>
        <w:rPr>
          <w:rFonts w:ascii="Century Gothic" w:hAnsi="Century Gothic"/>
          <w:bCs/>
          <w:lang w:val="es-ES"/>
        </w:rPr>
      </w:pPr>
      <w:r w:rsidRPr="00F86DD3">
        <w:rPr>
          <w:rFonts w:ascii="Century Gothic" w:hAnsi="Century Gothic"/>
          <w:bCs/>
          <w:lang w:val="es-ES"/>
        </w:rPr>
        <w:lastRenderedPageBreak/>
        <w:t xml:space="preserve">Así, </w:t>
      </w:r>
      <w:r w:rsidRPr="00F86DD3" w:rsidR="0066425E">
        <w:rPr>
          <w:rFonts w:ascii="Century Gothic" w:hAnsi="Century Gothic"/>
          <w:bCs/>
          <w:lang w:val="es-ES"/>
        </w:rPr>
        <w:t>es viable indicar</w:t>
      </w:r>
      <w:r w:rsidRPr="00F86DD3">
        <w:rPr>
          <w:rFonts w:ascii="Century Gothic" w:hAnsi="Century Gothic"/>
          <w:bCs/>
          <w:lang w:val="es-ES"/>
        </w:rPr>
        <w:t xml:space="preserve"> que si el acto administrativo que declar</w:t>
      </w:r>
      <w:r w:rsidRPr="00F86DD3" w:rsidR="005E04CD">
        <w:rPr>
          <w:rFonts w:ascii="Century Gothic" w:hAnsi="Century Gothic"/>
          <w:bCs/>
          <w:lang w:val="es-ES"/>
        </w:rPr>
        <w:t>ó</w:t>
      </w:r>
      <w:r w:rsidRPr="00F86DD3">
        <w:rPr>
          <w:rFonts w:ascii="Century Gothic" w:hAnsi="Century Gothic"/>
          <w:bCs/>
          <w:lang w:val="es-ES"/>
        </w:rPr>
        <w:t xml:space="preserve"> el siniestro se encuentra ajustado a las disposiciones legales y procedimentales establecidas para su expedición no habrá lugar a declarar </w:t>
      </w:r>
      <w:r w:rsidRPr="00F86DD3" w:rsidR="005E04CD">
        <w:rPr>
          <w:rFonts w:ascii="Century Gothic" w:hAnsi="Century Gothic"/>
          <w:bCs/>
          <w:lang w:val="es-ES"/>
        </w:rPr>
        <w:t>su</w:t>
      </w:r>
      <w:r w:rsidRPr="00F86DD3">
        <w:rPr>
          <w:rFonts w:ascii="Century Gothic" w:hAnsi="Century Gothic"/>
          <w:bCs/>
          <w:lang w:val="es-ES"/>
        </w:rPr>
        <w:t xml:space="preserve"> nulidad</w:t>
      </w:r>
      <w:r w:rsidRPr="00F86DD3" w:rsidR="005E04CD">
        <w:rPr>
          <w:rFonts w:ascii="Century Gothic" w:hAnsi="Century Gothic"/>
          <w:bCs/>
          <w:lang w:val="es-ES"/>
        </w:rPr>
        <w:t>.</w:t>
      </w:r>
    </w:p>
    <w:p w:rsidRPr="00F86DD3" w:rsidR="00606854" w:rsidP="00606854" w:rsidRDefault="00606854" w14:paraId="5845AF1B" w14:textId="77777777">
      <w:pPr>
        <w:spacing w:after="0" w:line="240" w:lineRule="auto"/>
        <w:ind w:left="709" w:right="709"/>
        <w:jc w:val="both"/>
        <w:rPr>
          <w:rFonts w:ascii="Century Gothic" w:hAnsi="Century Gothic"/>
          <w:sz w:val="20"/>
          <w:szCs w:val="20"/>
          <w:lang w:val="es-ES_tradnl"/>
        </w:rPr>
      </w:pPr>
      <w:r w:rsidRPr="00F86DD3">
        <w:rPr>
          <w:rFonts w:ascii="Century Gothic" w:hAnsi="Century Gothic"/>
          <w:sz w:val="20"/>
          <w:szCs w:val="20"/>
          <w:lang w:val="es-ES_tradnl"/>
        </w:rPr>
        <w:t xml:space="preserve">4. </w:t>
      </w:r>
      <w:r w:rsidRPr="00B46754">
        <w:rPr>
          <w:rFonts w:ascii="Century Gothic" w:hAnsi="Century Gothic"/>
          <w:sz w:val="20"/>
          <w:szCs w:val="20"/>
          <w:lang w:val="es-ES_tradnl"/>
        </w:rPr>
        <w:t>Cuál es el término de la potestad sancionadora de la entidad para declarar</w:t>
      </w:r>
      <w:r w:rsidRPr="00F86DD3">
        <w:rPr>
          <w:rFonts w:ascii="Century Gothic" w:hAnsi="Century Gothic"/>
          <w:sz w:val="20"/>
          <w:szCs w:val="20"/>
          <w:lang w:val="es-ES_tradnl"/>
        </w:rPr>
        <w:t xml:space="preserve"> </w:t>
      </w:r>
      <w:r w:rsidRPr="00B46754">
        <w:rPr>
          <w:rFonts w:ascii="Century Gothic" w:hAnsi="Century Gothic"/>
          <w:sz w:val="20"/>
          <w:szCs w:val="20"/>
          <w:lang w:val="es-ES_tradnl"/>
        </w:rPr>
        <w:t>el incumplimiento y sancionar al contratista, considerando lo dispuesto en</w:t>
      </w:r>
      <w:r w:rsidRPr="00F86DD3">
        <w:rPr>
          <w:rFonts w:ascii="Century Gothic" w:hAnsi="Century Gothic"/>
          <w:sz w:val="20"/>
          <w:szCs w:val="20"/>
          <w:lang w:val="es-ES_tradnl"/>
        </w:rPr>
        <w:t xml:space="preserve"> </w:t>
      </w:r>
      <w:r w:rsidRPr="00B46754">
        <w:rPr>
          <w:rFonts w:ascii="Century Gothic" w:hAnsi="Century Gothic"/>
          <w:sz w:val="20"/>
          <w:szCs w:val="20"/>
          <w:lang w:val="es-ES_tradnl"/>
        </w:rPr>
        <w:t>el artículo 52 de la Ley 1437 de 2011 ya que el artículo 86 de la Ley 1474</w:t>
      </w:r>
      <w:r w:rsidRPr="00F86DD3">
        <w:rPr>
          <w:rFonts w:ascii="Century Gothic" w:hAnsi="Century Gothic"/>
          <w:sz w:val="20"/>
          <w:szCs w:val="20"/>
          <w:lang w:val="es-ES_tradnl"/>
        </w:rPr>
        <w:t xml:space="preserve"> </w:t>
      </w:r>
      <w:r w:rsidRPr="00B46754">
        <w:rPr>
          <w:rFonts w:ascii="Century Gothic" w:hAnsi="Century Gothic"/>
          <w:sz w:val="20"/>
          <w:szCs w:val="20"/>
          <w:lang w:val="es-ES_tradnl"/>
        </w:rPr>
        <w:t>de 2011 no tiene establecido un término. Además, solicito clarificación</w:t>
      </w:r>
      <w:r w:rsidRPr="00F86DD3">
        <w:rPr>
          <w:rFonts w:ascii="Century Gothic" w:hAnsi="Century Gothic"/>
          <w:sz w:val="20"/>
          <w:szCs w:val="20"/>
          <w:lang w:val="es-ES_tradnl"/>
        </w:rPr>
        <w:t xml:space="preserve"> </w:t>
      </w:r>
      <w:r w:rsidRPr="00B46754">
        <w:rPr>
          <w:rFonts w:ascii="Century Gothic" w:hAnsi="Century Gothic"/>
          <w:sz w:val="20"/>
          <w:szCs w:val="20"/>
          <w:lang w:val="es-ES_tradnl"/>
        </w:rPr>
        <w:t>sobre la relación entre la caducidad de la facultad sancionatoria y la</w:t>
      </w:r>
      <w:r w:rsidRPr="00F86DD3">
        <w:rPr>
          <w:rFonts w:ascii="Century Gothic" w:hAnsi="Century Gothic"/>
          <w:sz w:val="20"/>
          <w:szCs w:val="20"/>
          <w:lang w:val="es-ES_tradnl"/>
        </w:rPr>
        <w:t xml:space="preserve"> </w:t>
      </w:r>
      <w:r w:rsidRPr="00B46754">
        <w:rPr>
          <w:rFonts w:ascii="Century Gothic" w:hAnsi="Century Gothic"/>
          <w:sz w:val="20"/>
          <w:szCs w:val="20"/>
          <w:lang w:val="es-ES_tradnl"/>
        </w:rPr>
        <w:t>liquidación de un contrato o la perdida de competencia para liquidar el</w:t>
      </w:r>
      <w:r w:rsidRPr="00F86DD3">
        <w:rPr>
          <w:rFonts w:ascii="Century Gothic" w:hAnsi="Century Gothic"/>
          <w:sz w:val="20"/>
          <w:szCs w:val="20"/>
          <w:lang w:val="es-ES_tradnl"/>
        </w:rPr>
        <w:t xml:space="preserve"> contrato.</w:t>
      </w:r>
    </w:p>
    <w:p w:rsidRPr="00F86DD3" w:rsidR="00606854" w:rsidP="00606854" w:rsidRDefault="00606854" w14:paraId="045B823E" w14:textId="77777777">
      <w:pPr>
        <w:spacing w:after="0" w:line="240" w:lineRule="auto"/>
        <w:ind w:left="709" w:right="709"/>
        <w:jc w:val="both"/>
        <w:rPr>
          <w:rFonts w:ascii="Century Gothic" w:hAnsi="Century Gothic"/>
          <w:sz w:val="20"/>
          <w:szCs w:val="20"/>
          <w:lang w:val="es-ES_tradnl"/>
        </w:rPr>
      </w:pPr>
    </w:p>
    <w:p w:rsidRPr="00F86DD3" w:rsidR="00606854" w:rsidP="00606854" w:rsidRDefault="00606854" w14:paraId="45A0396C" w14:textId="77777777">
      <w:pPr>
        <w:spacing w:after="0" w:line="240" w:lineRule="auto"/>
        <w:ind w:left="709" w:right="709"/>
        <w:jc w:val="both"/>
        <w:rPr>
          <w:rFonts w:ascii="Century Gothic" w:hAnsi="Century Gothic"/>
          <w:sz w:val="20"/>
          <w:szCs w:val="20"/>
        </w:rPr>
      </w:pPr>
      <w:r w:rsidRPr="00801DA6">
        <w:rPr>
          <w:rFonts w:ascii="Century Gothic" w:hAnsi="Century Gothic"/>
          <w:sz w:val="20"/>
          <w:szCs w:val="20"/>
        </w:rPr>
        <w:t>Toda vez, que frente a la caducidad de la acción sancionatoria con que</w:t>
      </w:r>
      <w:r w:rsidRPr="00F86DD3">
        <w:rPr>
          <w:rFonts w:ascii="Century Gothic" w:hAnsi="Century Gothic"/>
          <w:sz w:val="20"/>
          <w:szCs w:val="20"/>
          <w:lang w:val="es-ES_tradnl"/>
        </w:rPr>
        <w:t xml:space="preserve"> </w:t>
      </w:r>
      <w:r w:rsidRPr="00801DA6">
        <w:rPr>
          <w:rFonts w:ascii="Century Gothic" w:hAnsi="Century Gothic"/>
          <w:sz w:val="20"/>
          <w:szCs w:val="20"/>
        </w:rPr>
        <w:t>cuenta la entidad el artículo 52 del CPACA, indica un término de tres años</w:t>
      </w:r>
      <w:r w:rsidRPr="00F86DD3">
        <w:rPr>
          <w:rFonts w:ascii="Century Gothic" w:hAnsi="Century Gothic"/>
          <w:sz w:val="20"/>
          <w:szCs w:val="20"/>
        </w:rPr>
        <w:t xml:space="preserve"> </w:t>
      </w:r>
      <w:r w:rsidRPr="00801DA6">
        <w:rPr>
          <w:rFonts w:ascii="Century Gothic" w:hAnsi="Century Gothic"/>
          <w:sz w:val="20"/>
          <w:szCs w:val="20"/>
        </w:rPr>
        <w:t>contados a partir de la ocurrencia de los hechos, sin embargo se tiene que</w:t>
      </w:r>
      <w:r w:rsidRPr="00F86DD3">
        <w:rPr>
          <w:rFonts w:ascii="Century Gothic" w:hAnsi="Century Gothic"/>
          <w:sz w:val="20"/>
          <w:szCs w:val="20"/>
          <w:lang w:val="es-ES_tradnl"/>
        </w:rPr>
        <w:t xml:space="preserve"> </w:t>
      </w:r>
      <w:r w:rsidRPr="00F86DD3">
        <w:rPr>
          <w:rFonts w:ascii="Century Gothic" w:hAnsi="Century Gothic"/>
          <w:sz w:val="20"/>
          <w:szCs w:val="20"/>
        </w:rPr>
        <w:t xml:space="preserve">una vez liquidado el contrato o perdida la competencia para liquidar el contrato no es posible para una entidad sancionar a un contratista </w:t>
      </w:r>
      <w:r w:rsidRPr="00C25F79">
        <w:rPr>
          <w:rFonts w:ascii="Century Gothic" w:hAnsi="Century Gothic"/>
          <w:sz w:val="20"/>
          <w:szCs w:val="20"/>
        </w:rPr>
        <w:t>incumplido, y revisada la norma el plazo máximo con que cuenta la</w:t>
      </w:r>
      <w:r w:rsidRPr="00F86DD3">
        <w:rPr>
          <w:rFonts w:ascii="Century Gothic" w:hAnsi="Century Gothic"/>
          <w:sz w:val="20"/>
          <w:szCs w:val="20"/>
        </w:rPr>
        <w:t xml:space="preserve"> </w:t>
      </w:r>
      <w:r w:rsidRPr="00C25F79">
        <w:rPr>
          <w:rFonts w:ascii="Century Gothic" w:hAnsi="Century Gothic"/>
          <w:sz w:val="20"/>
          <w:szCs w:val="20"/>
        </w:rPr>
        <w:t>entidad para liquidar un contrato son dos años so pena de la caducidad</w:t>
      </w:r>
      <w:r w:rsidRPr="00F86DD3">
        <w:rPr>
          <w:rFonts w:ascii="Century Gothic" w:hAnsi="Century Gothic"/>
          <w:sz w:val="20"/>
          <w:szCs w:val="20"/>
        </w:rPr>
        <w:t xml:space="preserve"> de la acción. </w:t>
      </w:r>
    </w:p>
    <w:p w:rsidRPr="00F86DD3" w:rsidR="00606854" w:rsidP="00606854" w:rsidRDefault="00606854" w14:paraId="2EC7C737" w14:textId="77777777">
      <w:pPr>
        <w:spacing w:after="0" w:line="240" w:lineRule="auto"/>
        <w:ind w:left="709" w:right="709"/>
        <w:jc w:val="both"/>
        <w:rPr>
          <w:rFonts w:ascii="Century Gothic" w:hAnsi="Century Gothic"/>
          <w:sz w:val="20"/>
          <w:szCs w:val="20"/>
        </w:rPr>
      </w:pPr>
    </w:p>
    <w:p w:rsidR="00FE6371" w:rsidP="00FE6371" w:rsidRDefault="00D13C1F" w14:paraId="11F7819A" w14:textId="77777777">
      <w:pPr>
        <w:spacing w:line="276" w:lineRule="auto"/>
        <w:ind w:firstLine="708"/>
        <w:jc w:val="both"/>
        <w:rPr>
          <w:rFonts w:ascii="Century Gothic" w:hAnsi="Century Gothic" w:eastAsia="Arial" w:cs="Arial"/>
        </w:rPr>
      </w:pPr>
      <w:r w:rsidRPr="00193299">
        <w:rPr>
          <w:rFonts w:ascii="Century Gothic" w:hAnsi="Century Gothic"/>
          <w:lang w:val="es-ES_tradnl"/>
        </w:rPr>
        <w:t>En relación con el</w:t>
      </w:r>
      <w:r w:rsidRPr="00193299" w:rsidR="001262B9">
        <w:rPr>
          <w:rFonts w:ascii="Century Gothic" w:hAnsi="Century Gothic"/>
          <w:lang w:val="es-ES_tradnl"/>
        </w:rPr>
        <w:t xml:space="preserve"> interrogante cuarto de la consulta, ha de precisarse que</w:t>
      </w:r>
      <w:r w:rsidRPr="00193299" w:rsidR="00494D22">
        <w:rPr>
          <w:rFonts w:ascii="Century Gothic" w:hAnsi="Century Gothic"/>
          <w:lang w:val="es-ES_tradnl"/>
        </w:rPr>
        <w:t xml:space="preserve"> </w:t>
      </w:r>
      <w:r w:rsidRPr="00193299" w:rsidR="00494D22">
        <w:rPr>
          <w:rFonts w:ascii="Century Gothic" w:hAnsi="Century Gothic" w:eastAsia="Arial" w:cs="Arial"/>
        </w:rPr>
        <w:t>el artículo 52 del CPACA es la norma que consagra la caducidad de la facultad que tienen las autoridades administrativas para imponer sanciones, que opera luego de transcurridos tres (3) años de ocurrido el hecho, la conducta u omisión que pudiere ocasionarlas, plazo dentro del cual el acto administrativo sancionatorio debe quedar expedido y notificado. Además, estableció de manera independiente y autónoma el término de un (1) año para resolver los recursos procedentes contra el acto sancionatorio, contado a partir de la interposición de los mismos, so pena de la pérdida de competencia. Finalmente, dispuso que si los recursos no se deciden en el término fijado, se entenderán resueltos a favor del recurrente.</w:t>
      </w:r>
    </w:p>
    <w:p w:rsidRPr="00DD12B4" w:rsidR="003D42DD" w:rsidP="00DD12B4" w:rsidRDefault="00C274C4" w14:paraId="75829C4B" w14:textId="5BD15F15">
      <w:pPr>
        <w:spacing w:line="276" w:lineRule="auto"/>
        <w:ind w:firstLine="708"/>
        <w:jc w:val="both"/>
        <w:rPr>
          <w:rFonts w:ascii="Century Gothic" w:hAnsi="Century Gothic"/>
          <w:lang w:val="es-ES_tradnl"/>
        </w:rPr>
      </w:pPr>
      <w:r w:rsidRPr="003E0714">
        <w:rPr>
          <w:rFonts w:ascii="Century Gothic" w:hAnsi="Century Gothic" w:eastAsia="Arial" w:cs="Arial"/>
          <w:lang w:val="es-ES_tradnl"/>
        </w:rPr>
        <w:t>En cuanto</w:t>
      </w:r>
      <w:r w:rsidRPr="003E0714" w:rsidR="0009306C">
        <w:rPr>
          <w:rFonts w:ascii="Century Gothic" w:hAnsi="Century Gothic" w:eastAsia="Arial" w:cs="Arial"/>
          <w:lang w:val="es-ES_tradnl"/>
        </w:rPr>
        <w:t xml:space="preserve"> a </w:t>
      </w:r>
      <w:r w:rsidRPr="003E0714" w:rsidR="00F43808">
        <w:rPr>
          <w:rFonts w:ascii="Century Gothic" w:hAnsi="Century Gothic" w:eastAsia="Arial" w:cs="Arial"/>
          <w:lang w:val="es-ES_tradnl"/>
        </w:rPr>
        <w:t xml:space="preserve">la relación entre </w:t>
      </w:r>
      <w:r w:rsidRPr="003E0714" w:rsidR="00E81F1D">
        <w:rPr>
          <w:rFonts w:ascii="Century Gothic" w:hAnsi="Century Gothic" w:eastAsia="Arial" w:cs="Arial"/>
          <w:lang w:val="es-ES_tradnl"/>
        </w:rPr>
        <w:t>l</w:t>
      </w:r>
      <w:r w:rsidRPr="003E0714" w:rsidR="009A6A53">
        <w:rPr>
          <w:rFonts w:ascii="Century Gothic" w:hAnsi="Century Gothic" w:eastAsia="Arial" w:cs="Arial"/>
          <w:lang w:val="es-ES_tradnl"/>
        </w:rPr>
        <w:t xml:space="preserve">a </w:t>
      </w:r>
      <w:r w:rsidRPr="003E0714" w:rsidR="00E81F1D">
        <w:rPr>
          <w:rFonts w:ascii="Century Gothic" w:hAnsi="Century Gothic"/>
          <w:lang w:val="es-ES_tradnl"/>
        </w:rPr>
        <w:t>facultad sancionatoria y la liquidación</w:t>
      </w:r>
      <w:r w:rsidR="001B091B">
        <w:rPr>
          <w:rFonts w:ascii="Century Gothic" w:hAnsi="Century Gothic"/>
          <w:lang w:val="es-ES_tradnl"/>
        </w:rPr>
        <w:t xml:space="preserve"> de los contratos</w:t>
      </w:r>
      <w:r w:rsidRPr="003E0714" w:rsidR="00E81F1D">
        <w:rPr>
          <w:rFonts w:ascii="Century Gothic" w:hAnsi="Century Gothic"/>
          <w:lang w:val="es-ES_tradnl"/>
        </w:rPr>
        <w:t xml:space="preserve">, es menester </w:t>
      </w:r>
      <w:r w:rsidR="001B091B">
        <w:rPr>
          <w:rFonts w:ascii="Century Gothic" w:hAnsi="Century Gothic"/>
          <w:lang w:val="es-ES_tradnl"/>
        </w:rPr>
        <w:t>indicar</w:t>
      </w:r>
      <w:r w:rsidRPr="003E0714" w:rsidR="00193299">
        <w:rPr>
          <w:rFonts w:ascii="Century Gothic" w:hAnsi="Century Gothic"/>
          <w:lang w:val="es-ES_tradnl"/>
        </w:rPr>
        <w:t xml:space="preserve"> </w:t>
      </w:r>
      <w:r w:rsidRPr="003E0714" w:rsidR="003E0714">
        <w:rPr>
          <w:rFonts w:ascii="Century Gothic" w:hAnsi="Century Gothic"/>
          <w:lang w:val="es-ES_tradnl"/>
        </w:rPr>
        <w:t>que,</w:t>
      </w:r>
      <w:r w:rsidRPr="003E0714" w:rsidR="002E29F3">
        <w:rPr>
          <w:rFonts w:ascii="Century Gothic" w:hAnsi="Century Gothic"/>
          <w:lang w:val="es-ES_tradnl"/>
        </w:rPr>
        <w:t xml:space="preserve"> si bien pueden tener como elemento en común la evaluación del cumplimiento de las obligaciones contractuales, lo cierto es que </w:t>
      </w:r>
      <w:r w:rsidR="00C734B2">
        <w:rPr>
          <w:rFonts w:ascii="Century Gothic" w:hAnsi="Century Gothic"/>
          <w:lang w:val="es-ES_tradnl"/>
        </w:rPr>
        <w:t xml:space="preserve">tienen </w:t>
      </w:r>
      <w:r w:rsidRPr="003E0714" w:rsidR="002E29F3">
        <w:rPr>
          <w:rFonts w:ascii="Century Gothic" w:hAnsi="Century Gothic"/>
          <w:lang w:val="es-ES_tradnl"/>
        </w:rPr>
        <w:t xml:space="preserve">consecuencias </w:t>
      </w:r>
      <w:r w:rsidR="00C734B2">
        <w:rPr>
          <w:rFonts w:ascii="Century Gothic" w:hAnsi="Century Gothic"/>
          <w:lang w:val="es-ES_tradnl"/>
        </w:rPr>
        <w:t xml:space="preserve">jurídicas </w:t>
      </w:r>
      <w:r w:rsidRPr="003E0714" w:rsidR="002E29F3">
        <w:rPr>
          <w:rFonts w:ascii="Century Gothic" w:hAnsi="Century Gothic"/>
          <w:lang w:val="es-ES_tradnl"/>
        </w:rPr>
        <w:t>diferentes</w:t>
      </w:r>
      <w:r w:rsidR="008A19E6">
        <w:rPr>
          <w:rFonts w:ascii="Century Gothic" w:hAnsi="Century Gothic"/>
          <w:lang w:val="es-ES_tradnl"/>
        </w:rPr>
        <w:t xml:space="preserve">. </w:t>
      </w:r>
      <w:r w:rsidR="003E0714">
        <w:rPr>
          <w:rFonts w:ascii="Century Gothic" w:hAnsi="Century Gothic"/>
          <w:lang w:val="es-ES_tradnl"/>
        </w:rPr>
        <w:t xml:space="preserve"> </w:t>
      </w:r>
      <w:r w:rsidR="00DD12B4">
        <w:rPr>
          <w:rFonts w:ascii="Century Gothic" w:hAnsi="Century Gothic"/>
          <w:lang w:val="es-ES_tradnl"/>
        </w:rPr>
        <w:t xml:space="preserve">Por otro lado, y ya en lo </w:t>
      </w:r>
      <w:r w:rsidR="003E0714">
        <w:rPr>
          <w:rFonts w:ascii="Century Gothic" w:hAnsi="Century Gothic"/>
          <w:lang w:val="es-ES_tradnl"/>
        </w:rPr>
        <w:t xml:space="preserve">que respecta a los términos de la </w:t>
      </w:r>
      <w:r w:rsidRPr="00FE6371" w:rsidR="00FE6371">
        <w:rPr>
          <w:rFonts w:ascii="Century Gothic" w:hAnsi="Century Gothic"/>
          <w:lang w:val="es-ES_tradnl"/>
        </w:rPr>
        <w:t xml:space="preserve">caducidad de la facultad sancionatoria y la liquidación de </w:t>
      </w:r>
      <w:r w:rsidR="003435FF">
        <w:rPr>
          <w:rFonts w:ascii="Century Gothic" w:hAnsi="Century Gothic"/>
          <w:lang w:val="es-ES_tradnl"/>
        </w:rPr>
        <w:t>los</w:t>
      </w:r>
      <w:r w:rsidRPr="00FE6371" w:rsidR="00FE6371">
        <w:rPr>
          <w:rFonts w:ascii="Century Gothic" w:hAnsi="Century Gothic"/>
          <w:lang w:val="es-ES_tradnl"/>
        </w:rPr>
        <w:t xml:space="preserve"> contrato</w:t>
      </w:r>
      <w:r w:rsidR="003435FF">
        <w:rPr>
          <w:rFonts w:ascii="Century Gothic" w:hAnsi="Century Gothic"/>
          <w:lang w:val="es-ES_tradnl"/>
        </w:rPr>
        <w:t>s</w:t>
      </w:r>
      <w:r w:rsidR="001A0ED6">
        <w:rPr>
          <w:rFonts w:ascii="Century Gothic" w:hAnsi="Century Gothic"/>
          <w:lang w:val="es-ES_tradnl"/>
        </w:rPr>
        <w:t xml:space="preserve">, </w:t>
      </w:r>
      <w:r w:rsidR="00B31DBE">
        <w:rPr>
          <w:rFonts w:ascii="Century Gothic" w:hAnsi="Century Gothic"/>
          <w:lang w:val="es-ES_tradnl"/>
        </w:rPr>
        <w:t xml:space="preserve">se advierte que </w:t>
      </w:r>
      <w:r w:rsidR="00750609">
        <w:rPr>
          <w:rFonts w:ascii="Century Gothic" w:hAnsi="Century Gothic"/>
          <w:lang w:val="es-ES_tradnl"/>
        </w:rPr>
        <w:t>los términos de esta última noción cuentan</w:t>
      </w:r>
      <w:r w:rsidR="00B31DBE">
        <w:rPr>
          <w:rFonts w:ascii="Century Gothic" w:hAnsi="Century Gothic"/>
          <w:lang w:val="es-ES_tradnl"/>
        </w:rPr>
        <w:t xml:space="preserve"> con </w:t>
      </w:r>
      <w:r w:rsidR="00B31DBE">
        <w:rPr>
          <w:rFonts w:ascii="Century Gothic" w:hAnsi="Century Gothic"/>
          <w:lang w:val="es-ES_tradnl"/>
        </w:rPr>
        <w:lastRenderedPageBreak/>
        <w:t xml:space="preserve">desarrollo taxativo en el artículo 11 de la ley 1150 de 2007 y en tal sentido </w:t>
      </w:r>
      <w:r w:rsidR="00980308">
        <w:rPr>
          <w:rFonts w:ascii="Century Gothic" w:hAnsi="Century Gothic"/>
          <w:lang w:val="es-ES_tradnl"/>
        </w:rPr>
        <w:t xml:space="preserve">el inicio de un proceso sancionatorio no congela </w:t>
      </w:r>
      <w:r w:rsidR="00DF4040">
        <w:rPr>
          <w:rFonts w:ascii="Century Gothic" w:hAnsi="Century Gothic"/>
          <w:lang w:val="es-ES_tradnl"/>
        </w:rPr>
        <w:t>o detiene los términos establecidos</w:t>
      </w:r>
      <w:r w:rsidR="00935E98">
        <w:rPr>
          <w:rFonts w:ascii="Century Gothic" w:hAnsi="Century Gothic"/>
          <w:lang w:val="es-ES_tradnl"/>
        </w:rPr>
        <w:t xml:space="preserve"> para la liquidación. </w:t>
      </w:r>
    </w:p>
    <w:p w:rsidRPr="00F86DD3" w:rsidR="00606854" w:rsidP="00606854" w:rsidRDefault="00606854" w14:paraId="413260CC" w14:textId="77777777">
      <w:pPr>
        <w:spacing w:after="0" w:line="240" w:lineRule="auto"/>
        <w:ind w:left="709" w:right="709"/>
        <w:jc w:val="both"/>
        <w:rPr>
          <w:rFonts w:ascii="Century Gothic" w:hAnsi="Century Gothic"/>
          <w:sz w:val="20"/>
          <w:szCs w:val="20"/>
          <w:lang w:val="es-ES_tradnl"/>
        </w:rPr>
      </w:pPr>
      <w:r w:rsidRPr="00F86DD3">
        <w:rPr>
          <w:rFonts w:ascii="Century Gothic" w:hAnsi="Century Gothic"/>
          <w:sz w:val="20"/>
          <w:szCs w:val="20"/>
        </w:rPr>
        <w:t xml:space="preserve">5. Por último, requiero información de cuáles son los criterios que debe tener </w:t>
      </w:r>
      <w:r w:rsidRPr="00A22CE1">
        <w:rPr>
          <w:rFonts w:ascii="Century Gothic" w:hAnsi="Century Gothic"/>
          <w:sz w:val="20"/>
          <w:szCs w:val="20"/>
        </w:rPr>
        <w:t>presente la entidad estatal en un proceso administrativo sancionatorio</w:t>
      </w:r>
      <w:r w:rsidRPr="00F86DD3">
        <w:rPr>
          <w:rFonts w:ascii="Century Gothic" w:hAnsi="Century Gothic"/>
          <w:sz w:val="20"/>
          <w:szCs w:val="20"/>
        </w:rPr>
        <w:t xml:space="preserve"> </w:t>
      </w:r>
      <w:r w:rsidRPr="00A22CE1">
        <w:rPr>
          <w:rFonts w:ascii="Century Gothic" w:hAnsi="Century Gothic"/>
          <w:sz w:val="20"/>
          <w:szCs w:val="20"/>
        </w:rPr>
        <w:t>para hacer efectiva la cláusula penal pecuniaria pactada</w:t>
      </w:r>
      <w:r w:rsidRPr="00F86DD3">
        <w:rPr>
          <w:rFonts w:ascii="Century Gothic" w:hAnsi="Century Gothic"/>
          <w:sz w:val="20"/>
          <w:szCs w:val="20"/>
        </w:rPr>
        <w:t xml:space="preserve"> </w:t>
      </w:r>
      <w:r w:rsidRPr="00A22CE1">
        <w:rPr>
          <w:rFonts w:ascii="Century Gothic" w:hAnsi="Century Gothic"/>
          <w:sz w:val="20"/>
          <w:szCs w:val="20"/>
        </w:rPr>
        <w:t>contractualmente, con el propósito de aplicarla bajo el principio de</w:t>
      </w:r>
      <w:r w:rsidRPr="00F86DD3">
        <w:rPr>
          <w:rFonts w:ascii="Century Gothic" w:hAnsi="Century Gothic"/>
          <w:sz w:val="20"/>
          <w:szCs w:val="20"/>
        </w:rPr>
        <w:t xml:space="preserve"> </w:t>
      </w:r>
      <w:r w:rsidRPr="00A22CE1">
        <w:rPr>
          <w:rFonts w:ascii="Century Gothic" w:hAnsi="Century Gothic"/>
          <w:sz w:val="20"/>
          <w:szCs w:val="20"/>
        </w:rPr>
        <w:t>proporcionalidad. En particular, solicito orientación sobre cómo</w:t>
      </w:r>
      <w:r w:rsidRPr="00F86DD3">
        <w:rPr>
          <w:rFonts w:ascii="Century Gothic" w:hAnsi="Century Gothic"/>
          <w:sz w:val="20"/>
          <w:szCs w:val="20"/>
        </w:rPr>
        <w:t xml:space="preserve"> </w:t>
      </w:r>
      <w:r w:rsidRPr="00A22CE1">
        <w:rPr>
          <w:rFonts w:ascii="Century Gothic" w:hAnsi="Century Gothic"/>
          <w:sz w:val="20"/>
          <w:szCs w:val="20"/>
        </w:rPr>
        <w:t>determinar el porcentaje a aplicar por el incumplimiento del contratista</w:t>
      </w:r>
      <w:r w:rsidRPr="00F86DD3">
        <w:rPr>
          <w:rFonts w:ascii="Century Gothic" w:hAnsi="Century Gothic"/>
          <w:sz w:val="20"/>
          <w:szCs w:val="20"/>
        </w:rPr>
        <w:t xml:space="preserve"> </w:t>
      </w:r>
      <w:r w:rsidRPr="00A22CE1">
        <w:rPr>
          <w:rFonts w:ascii="Century Gothic" w:hAnsi="Century Gothic"/>
          <w:sz w:val="20"/>
          <w:szCs w:val="20"/>
        </w:rPr>
        <w:t>en aquellos contratos donde las obligaciones no tienen un porcentaje</w:t>
      </w:r>
      <w:r w:rsidRPr="00F86DD3">
        <w:rPr>
          <w:rFonts w:ascii="Century Gothic" w:hAnsi="Century Gothic"/>
          <w:sz w:val="20"/>
          <w:szCs w:val="20"/>
        </w:rPr>
        <w:t xml:space="preserve"> establecido. </w:t>
      </w:r>
      <w:r w:rsidRPr="00F86DD3">
        <w:rPr>
          <w:rFonts w:ascii="Century Gothic" w:hAnsi="Century Gothic"/>
          <w:sz w:val="20"/>
          <w:szCs w:val="20"/>
          <w:lang w:val="es-ES_tradnl"/>
        </w:rPr>
        <w:t>[…]”.</w:t>
      </w:r>
    </w:p>
    <w:p w:rsidRPr="00F86DD3" w:rsidR="00D13C1F" w:rsidP="00606854" w:rsidRDefault="00D13C1F" w14:paraId="3838FAF3" w14:textId="77777777">
      <w:pPr>
        <w:spacing w:after="0" w:line="240" w:lineRule="auto"/>
        <w:ind w:left="709" w:right="709"/>
        <w:jc w:val="both"/>
        <w:rPr>
          <w:rFonts w:ascii="Century Gothic" w:hAnsi="Century Gothic"/>
          <w:sz w:val="20"/>
          <w:szCs w:val="20"/>
        </w:rPr>
      </w:pPr>
    </w:p>
    <w:p w:rsidRPr="00F86DD3" w:rsidR="007F3AA9" w:rsidP="2F38AC55" w:rsidRDefault="009F672A" w14:paraId="286FF308" w14:textId="28DCEEE3">
      <w:pPr>
        <w:spacing w:after="0" w:line="276" w:lineRule="auto"/>
        <w:ind w:firstLine="708"/>
        <w:jc w:val="both"/>
        <w:rPr>
          <w:rFonts w:ascii="Century Gothic" w:hAnsi="Century Gothic"/>
          <w:lang w:val="es-ES"/>
        </w:rPr>
      </w:pPr>
      <w:r w:rsidRPr="2F38AC55">
        <w:rPr>
          <w:rFonts w:ascii="Century Gothic" w:hAnsi="Century Gothic" w:eastAsia="Times New Roman" w:cs="Arial"/>
          <w:lang w:val="es-ES" w:eastAsia="es-ES"/>
          <w14:ligatures w14:val="standardContextual"/>
        </w:rPr>
        <w:t xml:space="preserve">Finalmente y en lo que respecta a la cláusula penal, para fijar su monto debe tenerse en cuenta i) El porcentaje de avance efectivamente ejecutado por el contratista, y </w:t>
      </w:r>
      <w:proofErr w:type="spellStart"/>
      <w:r w:rsidRPr="2F38AC55">
        <w:rPr>
          <w:rFonts w:ascii="Century Gothic" w:hAnsi="Century Gothic" w:eastAsia="Times New Roman" w:cs="Arial"/>
          <w:lang w:val="es-ES" w:eastAsia="es-ES"/>
          <w14:ligatures w14:val="standardContextual"/>
        </w:rPr>
        <w:t>ii</w:t>
      </w:r>
      <w:proofErr w:type="spellEnd"/>
      <w:r w:rsidRPr="2F38AC55">
        <w:rPr>
          <w:rFonts w:ascii="Century Gothic" w:hAnsi="Century Gothic" w:eastAsia="Times New Roman" w:cs="Arial"/>
          <w:lang w:val="es-ES" w:eastAsia="es-ES"/>
          <w14:ligatures w14:val="standardContextual"/>
        </w:rPr>
        <w:t>) si la entidad pública contratante recibió esa ejecución del objeto contractual, esto con la finalidad de aplicar de manera razonada la cláusula penal pecuniaria, atendiendo a referentes objetivos claros y criterios que le sirvan de apoyo para tasar la proporción de la cláusula penal, de acuerdo con las pruebas, los hechos, y la valoración del incumplimiento (que puede ser total o parcial) por parte del contratista.</w:t>
      </w:r>
    </w:p>
    <w:p w:rsidRPr="00F86DD3" w:rsidR="009F672A" w:rsidP="00400548" w:rsidRDefault="009F672A" w14:paraId="523F254A" w14:textId="77777777">
      <w:pPr>
        <w:spacing w:after="0"/>
        <w:rPr>
          <w:rFonts w:ascii="Century Gothic" w:hAnsi="Century Gothic"/>
          <w:lang w:val="es-ES_tradnl"/>
        </w:rPr>
      </w:pPr>
    </w:p>
    <w:p w:rsidRPr="00F86DD3" w:rsidR="002D4FC0" w:rsidP="002D4FC0" w:rsidRDefault="002D4FC0" w14:paraId="15D409E2" w14:textId="08A6BE10">
      <w:pPr>
        <w:widowControl w:val="0"/>
        <w:autoSpaceDE w:val="0"/>
        <w:autoSpaceDN w:val="0"/>
        <w:spacing w:after="0" w:line="276" w:lineRule="auto"/>
        <w:jc w:val="both"/>
        <w:rPr>
          <w:rFonts w:ascii="Century Gothic" w:hAnsi="Century Gothic" w:eastAsia="Times New Roman" w:cs="Arial"/>
          <w:lang w:val="es-ES_tradnl" w:eastAsia="es-ES_tradnl"/>
          <w14:ligatures w14:val="standardContextual"/>
        </w:rPr>
      </w:pPr>
      <w:r w:rsidRPr="00F86DD3">
        <w:rPr>
          <w:rFonts w:ascii="Century Gothic" w:hAnsi="Century Gothic" w:eastAsia="Times New Roman" w:cs="Arial"/>
          <w:lang w:eastAsia="es-ES_tradnl"/>
          <w14:ligatures w14:val="standardContextual"/>
        </w:rPr>
        <w:t xml:space="preserve">Este concepto tiene el alcance previsto en el artículo 28 del Código de Procedimiento Administrativo y de lo Contencioso Administrativo </w:t>
      </w:r>
      <w:r w:rsidRPr="00F86DD3">
        <w:rPr>
          <w:rFonts w:ascii="Century Gothic" w:hAnsi="Century Gothic" w:eastAsia="Times New Roman" w:cs="Arial"/>
          <w:lang w:val="es-ES_tradnl" w:eastAsia="es-ES_tradnl"/>
          <w14:ligatures w14:val="standardContextual"/>
        </w:rPr>
        <w:t>y las expresiones aquí utilizadas con mayúscula inicial deben ser entendidas con el significado que les otorga el artículo 2.2.1.1.1.3.1. del Decreto 1082 de 2015.</w:t>
      </w:r>
      <w:r w:rsidRPr="00F86DD3" w:rsidR="009F672A">
        <w:rPr>
          <w:rFonts w:ascii="Century Gothic" w:hAnsi="Century Gothic" w:eastAsia="Times New Roman" w:cs="Arial"/>
          <w:lang w:val="es-ES_tradnl" w:eastAsia="es-ES_tradnl"/>
          <w14:ligatures w14:val="standardContextual"/>
        </w:rPr>
        <w:t xml:space="preserve"> </w:t>
      </w:r>
    </w:p>
    <w:p w:rsidRPr="00F86DD3" w:rsidR="002D4FC0" w:rsidP="002D4FC0" w:rsidRDefault="002D4FC0" w14:paraId="028BF201" w14:textId="77777777">
      <w:pPr>
        <w:pStyle w:val="NormalWeb"/>
        <w:spacing w:after="0" w:line="276" w:lineRule="auto"/>
        <w:rPr>
          <w:rFonts w:ascii="Century Gothic" w:hAnsi="Century Gothic" w:cs="Arial"/>
          <w:sz w:val="22"/>
          <w:szCs w:val="22"/>
          <w:lang w:val="es-ES_tradnl"/>
        </w:rPr>
      </w:pPr>
    </w:p>
    <w:p w:rsidRPr="00F86DD3" w:rsidR="002D4FC0" w:rsidP="002D4FC0" w:rsidRDefault="002D4FC0" w14:paraId="3822AF10" w14:textId="2880C767">
      <w:pPr>
        <w:pStyle w:val="NormalWeb"/>
        <w:spacing w:after="0" w:line="276" w:lineRule="auto"/>
        <w:rPr>
          <w:rFonts w:ascii="Century Gothic" w:hAnsi="Century Gothic" w:cs="Arial"/>
          <w:sz w:val="22"/>
          <w:szCs w:val="22"/>
          <w:lang w:val="es-ES_tradnl"/>
        </w:rPr>
      </w:pPr>
      <w:r w:rsidRPr="00F86DD3">
        <w:rPr>
          <w:rFonts w:ascii="Century Gothic" w:hAnsi="Century Gothic" w:cs="Arial"/>
          <w:sz w:val="22"/>
          <w:szCs w:val="22"/>
          <w:lang w:val="es-ES_tradnl"/>
        </w:rPr>
        <w:t>Atentamente,</w:t>
      </w:r>
    </w:p>
    <w:p w:rsidRPr="00F86DD3" w:rsidR="002D4FC0" w:rsidP="002D4FC0" w:rsidRDefault="00282C54" w14:paraId="25A2CDB5" w14:textId="3260EBCD">
      <w:pPr>
        <w:pStyle w:val="NormalWeb"/>
        <w:spacing w:after="0" w:line="276" w:lineRule="auto"/>
        <w:jc w:val="center"/>
        <w:rPr>
          <w:rFonts w:ascii="Century Gothic" w:hAnsi="Century Gothic" w:cs="Arial"/>
          <w:sz w:val="22"/>
          <w:szCs w:val="22"/>
          <w:lang w:val="es-ES_tradnl"/>
        </w:rPr>
      </w:pPr>
      <w:r>
        <w:rPr>
          <w:noProof/>
        </w:rPr>
        <w:drawing>
          <wp:inline distT="0" distB="0" distL="0" distR="0" wp14:anchorId="4B42E3C0" wp14:editId="60281324">
            <wp:extent cx="2964180" cy="1135380"/>
            <wp:effectExtent l="0" t="0" r="7620" b="7620"/>
            <wp:docPr id="2098535022"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535022" name="Imagen 1" descr="Texto&#10;&#10;Descripción generada automáticamente"/>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64180" cy="1135380"/>
                    </a:xfrm>
                    <a:prstGeom prst="rect">
                      <a:avLst/>
                    </a:prstGeom>
                    <a:noFill/>
                    <a:ln>
                      <a:noFill/>
                    </a:ln>
                  </pic:spPr>
                </pic:pic>
              </a:graphicData>
            </a:graphic>
          </wp:inline>
        </w:drawing>
      </w:r>
    </w:p>
    <w:p w:rsidRPr="00F86DD3" w:rsidR="002D4FC0" w:rsidP="002D4FC0" w:rsidRDefault="002D4FC0" w14:paraId="71BA6ADF" w14:textId="77777777">
      <w:pPr>
        <w:pStyle w:val="NormalWeb"/>
        <w:spacing w:after="0" w:line="276" w:lineRule="auto"/>
        <w:rPr>
          <w:rFonts w:ascii="Century Gothic" w:hAnsi="Century Gothic" w:cs="Arial"/>
          <w:sz w:val="14"/>
          <w:szCs w:val="14"/>
          <w:lang w:val="es-ES_tradnl"/>
        </w:rPr>
      </w:pPr>
    </w:p>
    <w:tbl>
      <w:tblPr>
        <w:tblStyle w:val="Tablaconcuadrcula11"/>
        <w:tblpPr w:leftFromText="141" w:rightFromText="141" w:vertAnchor="text" w:horzAnchor="margin" w:tblpY="-19"/>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66"/>
        <w:gridCol w:w="5276"/>
      </w:tblGrid>
      <w:tr w:rsidRPr="00F86DD3" w:rsidR="00F86DD3" w:rsidTr="00404BCE" w14:paraId="2036C7AE" w14:textId="77777777">
        <w:trPr>
          <w:trHeight w:val="291"/>
        </w:trPr>
        <w:tc>
          <w:tcPr>
            <w:tcW w:w="1266" w:type="dxa"/>
            <w:vAlign w:val="center"/>
            <w:hideMark/>
          </w:tcPr>
          <w:p w:rsidRPr="00F86DD3" w:rsidR="002D4FC0" w:rsidP="00DA76DE" w:rsidRDefault="002D4FC0" w14:paraId="17A2F037" w14:textId="77777777">
            <w:pPr>
              <w:rPr>
                <w:rFonts w:ascii="Century Gothic" w:hAnsi="Century Gothic" w:eastAsia="Times New Roman" w:cs="Arial"/>
                <w:sz w:val="14"/>
                <w:szCs w:val="14"/>
                <w:lang w:eastAsia="es-ES"/>
              </w:rPr>
            </w:pPr>
            <w:r w:rsidRPr="00F86DD3">
              <w:rPr>
                <w:rFonts w:ascii="Century Gothic" w:hAnsi="Century Gothic" w:eastAsia="Times New Roman" w:cs="Arial"/>
                <w:sz w:val="14"/>
                <w:szCs w:val="14"/>
                <w:lang w:eastAsia="es-ES"/>
              </w:rPr>
              <w:t>Elaboró:</w:t>
            </w:r>
          </w:p>
        </w:tc>
        <w:tc>
          <w:tcPr>
            <w:tcW w:w="5276" w:type="dxa"/>
            <w:tcBorders>
              <w:top w:val="nil"/>
              <w:left w:val="nil"/>
              <w:bottom w:val="dotted" w:color="7F7F7F" w:sz="4" w:space="0"/>
              <w:right w:val="nil"/>
            </w:tcBorders>
            <w:vAlign w:val="center"/>
            <w:hideMark/>
          </w:tcPr>
          <w:p w:rsidRPr="00F86DD3" w:rsidR="002D4FC0" w:rsidP="00DA76DE" w:rsidRDefault="002D4FC0" w14:paraId="60E6238D" w14:textId="340CC5BD">
            <w:pPr>
              <w:rPr>
                <w:rFonts w:ascii="Century Gothic" w:hAnsi="Century Gothic" w:eastAsia="Times New Roman" w:cs="Arial"/>
                <w:sz w:val="14"/>
                <w:szCs w:val="14"/>
                <w:lang w:eastAsia="es-ES"/>
              </w:rPr>
            </w:pPr>
            <w:r w:rsidRPr="00F86DD3">
              <w:rPr>
                <w:rFonts w:ascii="Century Gothic" w:hAnsi="Century Gothic" w:eastAsia="Times New Roman" w:cs="Arial"/>
                <w:sz w:val="14"/>
                <w:szCs w:val="14"/>
                <w:lang w:eastAsia="es-ES"/>
              </w:rPr>
              <w:t>Ana María Ortiz Ballesteros</w:t>
            </w:r>
          </w:p>
          <w:p w:rsidRPr="00F86DD3" w:rsidR="002D4FC0" w:rsidP="00DA76DE" w:rsidRDefault="002D4FC0" w14:paraId="77EED38D" w14:textId="77777777">
            <w:pPr>
              <w:rPr>
                <w:rFonts w:ascii="Century Gothic" w:hAnsi="Century Gothic" w:eastAsia="Times New Roman" w:cs="Arial"/>
                <w:sz w:val="14"/>
                <w:szCs w:val="14"/>
                <w:lang w:eastAsia="es-ES"/>
              </w:rPr>
            </w:pPr>
            <w:r w:rsidRPr="00F86DD3">
              <w:rPr>
                <w:rFonts w:ascii="Century Gothic" w:hAnsi="Century Gothic" w:eastAsia="Times New Roman" w:cs="Arial"/>
                <w:sz w:val="14"/>
                <w:szCs w:val="14"/>
                <w:lang w:eastAsia="es-ES"/>
              </w:rPr>
              <w:t>Contratista de la Subdirección de Gestión Contractual</w:t>
            </w:r>
          </w:p>
        </w:tc>
      </w:tr>
      <w:tr w:rsidRPr="00F86DD3" w:rsidR="00F86DD3" w:rsidTr="00404BCE" w14:paraId="34D5B146" w14:textId="77777777">
        <w:trPr>
          <w:trHeight w:val="304"/>
        </w:trPr>
        <w:tc>
          <w:tcPr>
            <w:tcW w:w="1266" w:type="dxa"/>
            <w:vAlign w:val="center"/>
          </w:tcPr>
          <w:p w:rsidRPr="00F86DD3" w:rsidR="002D4FC0" w:rsidP="00DA76DE" w:rsidRDefault="002D4FC0" w14:paraId="709710A3" w14:textId="77777777">
            <w:pPr>
              <w:rPr>
                <w:rFonts w:ascii="Century Gothic" w:hAnsi="Century Gothic" w:eastAsia="Times New Roman" w:cs="Arial"/>
                <w:sz w:val="14"/>
                <w:szCs w:val="14"/>
                <w:lang w:eastAsia="es-ES"/>
              </w:rPr>
            </w:pPr>
            <w:r w:rsidRPr="00F86DD3">
              <w:rPr>
                <w:rFonts w:ascii="Century Gothic" w:hAnsi="Century Gothic" w:eastAsia="Times New Roman" w:cs="Arial"/>
                <w:sz w:val="14"/>
                <w:szCs w:val="14"/>
                <w:lang w:eastAsia="es-ES"/>
              </w:rPr>
              <w:t>Revisó:</w:t>
            </w:r>
          </w:p>
        </w:tc>
        <w:tc>
          <w:tcPr>
            <w:tcW w:w="5276" w:type="dxa"/>
            <w:tcBorders>
              <w:top w:val="dotted" w:color="7F7F7F" w:sz="4" w:space="0"/>
              <w:left w:val="nil"/>
              <w:bottom w:val="dotted" w:color="7F7F7F" w:sz="4" w:space="0"/>
              <w:right w:val="nil"/>
            </w:tcBorders>
            <w:vAlign w:val="center"/>
          </w:tcPr>
          <w:p w:rsidRPr="00DA76DE" w:rsidR="00DA76DE" w:rsidP="00DA76DE" w:rsidRDefault="00DA76DE" w14:paraId="144FFFCD" w14:textId="77777777">
            <w:pPr>
              <w:rPr>
                <w:rFonts w:ascii="Century Gothic" w:hAnsi="Century Gothic" w:cs="Arial"/>
                <w:sz w:val="14"/>
                <w:szCs w:val="14"/>
                <w:lang w:val="es-ES_tradnl" w:eastAsia="es-ES"/>
              </w:rPr>
            </w:pPr>
            <w:r w:rsidRPr="00DA76DE">
              <w:rPr>
                <w:rFonts w:ascii="Century Gothic" w:hAnsi="Century Gothic" w:cs="Arial"/>
                <w:sz w:val="14"/>
                <w:szCs w:val="14"/>
                <w:lang w:val="es-ES_tradnl" w:eastAsia="es-ES"/>
              </w:rPr>
              <w:t>Ximena Ríos López</w:t>
            </w:r>
          </w:p>
          <w:p w:rsidRPr="00F86DD3" w:rsidR="002D4FC0" w:rsidP="00DA76DE" w:rsidRDefault="00DA76DE" w14:paraId="5EF69597" w14:textId="5C151145">
            <w:pPr>
              <w:rPr>
                <w:rFonts w:ascii="Century Gothic" w:hAnsi="Century Gothic" w:eastAsia="Times New Roman" w:cs="Arial"/>
                <w:sz w:val="14"/>
                <w:szCs w:val="14"/>
                <w:lang w:eastAsia="es-ES"/>
              </w:rPr>
            </w:pPr>
            <w:r w:rsidRPr="00F86DD3">
              <w:rPr>
                <w:rFonts w:ascii="Century Gothic" w:hAnsi="Century Gothic" w:cs="Arial"/>
                <w:sz w:val="14"/>
                <w:szCs w:val="14"/>
                <w:lang w:val="es-ES_tradnl" w:eastAsia="es-ES"/>
              </w:rPr>
              <w:t xml:space="preserve">Gestor código T1 Grado 11 </w:t>
            </w:r>
            <w:r w:rsidRPr="00F86DD3">
              <w:rPr>
                <w:rFonts w:ascii="Century Gothic" w:hAnsi="Century Gothic" w:cs="Arial"/>
                <w:sz w:val="14"/>
                <w:szCs w:val="14"/>
                <w:lang w:val="es-MX" w:eastAsia="es-ES"/>
              </w:rPr>
              <w:t xml:space="preserve">de la </w:t>
            </w:r>
            <w:r w:rsidRPr="00F86DD3">
              <w:rPr>
                <w:rFonts w:ascii="Century Gothic" w:hAnsi="Century Gothic" w:cs="Arial"/>
                <w:sz w:val="14"/>
                <w:szCs w:val="14"/>
                <w:lang w:eastAsia="es-ES"/>
              </w:rPr>
              <w:t>Subdirección de Gestión Contractual</w:t>
            </w:r>
          </w:p>
        </w:tc>
      </w:tr>
      <w:tr w:rsidRPr="00F86DD3" w:rsidR="00F86DD3" w:rsidTr="00404BCE" w14:paraId="288F534A" w14:textId="77777777">
        <w:trPr>
          <w:trHeight w:val="277"/>
        </w:trPr>
        <w:tc>
          <w:tcPr>
            <w:tcW w:w="1266" w:type="dxa"/>
            <w:vAlign w:val="center"/>
            <w:hideMark/>
          </w:tcPr>
          <w:p w:rsidRPr="00F86DD3" w:rsidR="002D4FC0" w:rsidP="00DA76DE" w:rsidRDefault="002D4FC0" w14:paraId="04FEA818" w14:textId="77777777">
            <w:pPr>
              <w:rPr>
                <w:rFonts w:ascii="Century Gothic" w:hAnsi="Century Gothic" w:eastAsia="Times New Roman" w:cs="Arial"/>
                <w:sz w:val="14"/>
                <w:szCs w:val="14"/>
                <w:lang w:eastAsia="es-ES"/>
              </w:rPr>
            </w:pPr>
            <w:r w:rsidRPr="00F86DD3">
              <w:rPr>
                <w:rFonts w:ascii="Century Gothic" w:hAnsi="Century Gothic" w:eastAsia="Times New Roman" w:cs="Arial"/>
                <w:sz w:val="14"/>
                <w:szCs w:val="14"/>
                <w:lang w:eastAsia="es-ES"/>
              </w:rPr>
              <w:t>Aprobó:</w:t>
            </w:r>
          </w:p>
        </w:tc>
        <w:tc>
          <w:tcPr>
            <w:tcW w:w="5276" w:type="dxa"/>
            <w:tcBorders>
              <w:top w:val="dotted" w:color="7F7F7F" w:sz="4" w:space="0"/>
              <w:left w:val="nil"/>
              <w:bottom w:val="dotted" w:color="7F7F7F" w:sz="4" w:space="0"/>
              <w:right w:val="nil"/>
            </w:tcBorders>
            <w:vAlign w:val="center"/>
            <w:hideMark/>
          </w:tcPr>
          <w:p w:rsidRPr="00F86DD3" w:rsidR="002D4FC0" w:rsidP="00DA76DE" w:rsidRDefault="002D4FC0" w14:paraId="38835625" w14:textId="77777777">
            <w:pPr>
              <w:rPr>
                <w:rFonts w:ascii="Century Gothic" w:hAnsi="Century Gothic" w:eastAsia="Times New Roman" w:cs="Arial"/>
                <w:sz w:val="14"/>
                <w:szCs w:val="14"/>
                <w:lang w:eastAsia="es-ES"/>
              </w:rPr>
            </w:pPr>
            <w:r w:rsidRPr="00F86DD3">
              <w:rPr>
                <w:rFonts w:ascii="Century Gothic" w:hAnsi="Century Gothic" w:eastAsia="Times New Roman" w:cs="Arial"/>
                <w:sz w:val="14"/>
                <w:szCs w:val="14"/>
                <w:lang w:eastAsia="es-ES"/>
              </w:rPr>
              <w:t xml:space="preserve">Nohelia del Carmen </w:t>
            </w:r>
            <w:proofErr w:type="spellStart"/>
            <w:r w:rsidRPr="00F86DD3">
              <w:rPr>
                <w:rFonts w:ascii="Century Gothic" w:hAnsi="Century Gothic" w:eastAsia="Times New Roman" w:cs="Arial"/>
                <w:sz w:val="14"/>
                <w:szCs w:val="14"/>
                <w:lang w:eastAsia="es-ES"/>
              </w:rPr>
              <w:t>Zawady</w:t>
            </w:r>
            <w:proofErr w:type="spellEnd"/>
            <w:r w:rsidRPr="00F86DD3">
              <w:rPr>
                <w:rFonts w:ascii="Century Gothic" w:hAnsi="Century Gothic" w:eastAsia="Times New Roman" w:cs="Arial"/>
                <w:sz w:val="14"/>
                <w:szCs w:val="14"/>
                <w:lang w:eastAsia="es-ES"/>
              </w:rPr>
              <w:t xml:space="preserve"> Palacio</w:t>
            </w:r>
          </w:p>
          <w:p w:rsidRPr="00F86DD3" w:rsidR="002D4FC0" w:rsidP="00DA76DE" w:rsidRDefault="002D4FC0" w14:paraId="218C907A" w14:textId="77777777">
            <w:pPr>
              <w:rPr>
                <w:rFonts w:ascii="Century Gothic" w:hAnsi="Century Gothic" w:eastAsia="Times New Roman" w:cs="Arial"/>
                <w:sz w:val="14"/>
                <w:szCs w:val="14"/>
                <w:lang w:eastAsia="es-ES"/>
              </w:rPr>
            </w:pPr>
            <w:r w:rsidRPr="00F86DD3">
              <w:rPr>
                <w:rFonts w:ascii="Century Gothic" w:hAnsi="Century Gothic" w:eastAsia="Times New Roman" w:cs="Arial"/>
                <w:sz w:val="14"/>
                <w:szCs w:val="14"/>
                <w:lang w:eastAsia="es-ES"/>
              </w:rPr>
              <w:t>Subdirectora de Gestión Contractual ANCP – CCE</w:t>
            </w:r>
          </w:p>
        </w:tc>
      </w:tr>
    </w:tbl>
    <w:p w:rsidRPr="00F86DD3" w:rsidR="002D4FC0" w:rsidP="00DA76DE" w:rsidRDefault="002D4FC0" w14:paraId="1D7B15DA" w14:textId="77777777">
      <w:pPr>
        <w:spacing w:after="0" w:line="240" w:lineRule="auto"/>
        <w:rPr>
          <w:rFonts w:ascii="Century Gothic" w:hAnsi="Century Gothic" w:cs="Arial"/>
          <w:sz w:val="14"/>
          <w:szCs w:val="14"/>
        </w:rPr>
      </w:pPr>
    </w:p>
    <w:p w:rsidRPr="00F86DD3" w:rsidR="002D4FC0" w:rsidP="00DA76DE" w:rsidRDefault="002D4FC0" w14:paraId="1602091D" w14:textId="77777777">
      <w:pPr>
        <w:spacing w:after="0" w:line="240" w:lineRule="auto"/>
        <w:rPr>
          <w:rFonts w:ascii="Century Gothic" w:hAnsi="Century Gothic" w:cs="Arial"/>
          <w:b/>
          <w:sz w:val="14"/>
          <w:szCs w:val="14"/>
        </w:rPr>
      </w:pPr>
    </w:p>
    <w:p w:rsidRPr="00F86DD3" w:rsidR="002D4FC0" w:rsidP="00DA76DE" w:rsidRDefault="002D4FC0" w14:paraId="67246ADC" w14:textId="77777777">
      <w:pPr>
        <w:spacing w:after="0" w:line="240" w:lineRule="auto"/>
        <w:rPr>
          <w:rFonts w:ascii="Century Gothic" w:hAnsi="Century Gothic" w:cs="Arial"/>
          <w:b/>
          <w:sz w:val="14"/>
          <w:szCs w:val="14"/>
          <w:lang w:val="es-ES"/>
        </w:rPr>
      </w:pPr>
    </w:p>
    <w:p w:rsidRPr="00F86DD3" w:rsidR="002D4FC0" w:rsidP="00DA76DE" w:rsidRDefault="002D4FC0" w14:paraId="7B246524" w14:textId="77777777">
      <w:pPr>
        <w:spacing w:after="0" w:line="240" w:lineRule="auto"/>
        <w:rPr>
          <w:rFonts w:ascii="Century Gothic" w:hAnsi="Century Gothic" w:cs="Arial"/>
          <w:b/>
          <w:sz w:val="14"/>
          <w:szCs w:val="14"/>
          <w:lang w:val="es-ES"/>
        </w:rPr>
      </w:pPr>
    </w:p>
    <w:p w:rsidRPr="00F86DD3" w:rsidR="002D4FC0" w:rsidP="00DA76DE" w:rsidRDefault="002D4FC0" w14:paraId="3E491382" w14:textId="77777777">
      <w:pPr>
        <w:spacing w:after="0" w:line="240" w:lineRule="auto"/>
        <w:rPr>
          <w:rFonts w:ascii="Century Gothic" w:hAnsi="Century Gothic"/>
          <w:b/>
          <w:sz w:val="14"/>
          <w:szCs w:val="14"/>
          <w:lang w:val="es-ES"/>
        </w:rPr>
      </w:pPr>
    </w:p>
    <w:p w:rsidRPr="00F86DD3" w:rsidR="002D4FC0" w:rsidP="00DA76DE" w:rsidRDefault="002D4FC0" w14:paraId="2AB5A6FD" w14:textId="77777777">
      <w:pPr>
        <w:spacing w:after="0" w:line="240" w:lineRule="auto"/>
        <w:rPr>
          <w:rFonts w:ascii="Century Gothic" w:hAnsi="Century Gothic"/>
          <w:sz w:val="14"/>
          <w:szCs w:val="14"/>
          <w:lang w:val="es-ES"/>
        </w:rPr>
      </w:pPr>
    </w:p>
    <w:sectPr w:rsidRPr="00F86DD3" w:rsidR="002D4FC0" w:rsidSect="00C96106">
      <w:headerReference w:type="default" r:id="rId20"/>
      <w:footerReference w:type="default" r:id="rId21"/>
      <w:pgSz w:w="12240" w:h="15840" w:orient="portrait"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96106" w:rsidP="004A1847" w:rsidRDefault="00C96106" w14:paraId="29F7552E" w14:textId="77777777">
      <w:pPr>
        <w:spacing w:after="0" w:line="240" w:lineRule="auto"/>
      </w:pPr>
      <w:r>
        <w:separator/>
      </w:r>
    </w:p>
  </w:endnote>
  <w:endnote w:type="continuationSeparator" w:id="0">
    <w:p w:rsidR="00C96106" w:rsidP="004A1847" w:rsidRDefault="00C96106" w14:paraId="52786F50" w14:textId="77777777">
      <w:pPr>
        <w:spacing w:after="0" w:line="240" w:lineRule="auto"/>
      </w:pPr>
      <w:r>
        <w:continuationSeparator/>
      </w:r>
    </w:p>
  </w:endnote>
  <w:endnote w:type="continuationNotice" w:id="1">
    <w:p w:rsidR="00C96106" w:rsidRDefault="00C96106" w14:paraId="2269675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B0604020202020204"/>
    <w:charset w:val="00"/>
    <w:family w:val="modern"/>
    <w:notTrueType/>
    <w:pitch w:val="variable"/>
    <w:sig w:usb0="A000002F" w:usb1="1000004A" w:usb2="00000000" w:usb3="00000000" w:csb0="00000193" w:csb1="00000000"/>
  </w:font>
  <w:font w:name="Geomanist">
    <w:altName w:val="Calibri"/>
    <w:panose1 w:val="020B0604020202020204"/>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Geomanist Bold">
    <w:altName w:val="Calibri"/>
    <w:panose1 w:val="020B0604020202020204"/>
    <w:charset w:val="00"/>
    <w:family w:val="modern"/>
    <w:notTrueType/>
    <w:pitch w:val="variable"/>
    <w:sig w:usb0="A000002F" w:usb1="1000004A" w:usb2="00000000" w:usb3="00000000" w:csb0="00000193" w:csb1="00000000"/>
  </w:font>
  <w:font w:name="Geo">
    <w:altName w:val="Calibri"/>
    <w:panose1 w:val="020B0604020202020204"/>
    <w:charset w:val="00"/>
    <w:family w:val="auto"/>
    <w:pitch w:val="variable"/>
    <w:sig w:usb0="8000002F" w:usb1="40000048" w:usb2="00000000" w:usb3="00000000" w:csb0="00000001" w:csb1="00000000"/>
  </w:font>
  <w:font w:name="Arial Nova">
    <w:panose1 w:val="020B0504020202020204"/>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A1847" w:rsidRDefault="009419F9" w14:paraId="18911A32" w14:textId="3BA5BB2D">
    <w:pPr>
      <w:pStyle w:val="Footer"/>
    </w:pPr>
    <w:r>
      <w:rPr>
        <w:noProof/>
        <w:lang w:eastAsia="es-CO"/>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lang w:eastAsia="es-CO"/>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89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271"/>
      <w:gridCol w:w="2693"/>
      <w:gridCol w:w="2699"/>
      <w:gridCol w:w="2268"/>
    </w:tblGrid>
    <w:tr w:rsidRPr="00080DA3" w:rsidR="00FC2B5D" w:rsidTr="00B72CD3" w14:paraId="0534DA7F" w14:textId="77777777">
      <w:trPr>
        <w:trHeight w:val="229"/>
        <w:jc w:val="center"/>
      </w:trPr>
      <w:tc>
        <w:tcPr>
          <w:tcW w:w="1271"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6219F8" w:rsidRDefault="003F3941" w14:paraId="171D456F" w14:textId="2A942425">
          <w:pPr>
            <w:pStyle w:val="Footer"/>
            <w:jc w:val="center"/>
            <w:rPr>
              <w:rFonts w:ascii="Century Gothic" w:hAnsi="Century Gothic"/>
              <w:sz w:val="16"/>
              <w:szCs w:val="16"/>
            </w:rPr>
          </w:pPr>
          <w:r w:rsidRPr="003F3941">
            <w:rPr>
              <w:rFonts w:ascii="Century Gothic" w:hAnsi="Century Gothic"/>
              <w:sz w:val="16"/>
              <w:szCs w:val="16"/>
            </w:rPr>
            <w:t>VERSIÓN: 0</w:t>
          </w:r>
          <w:r w:rsidR="00F613A2">
            <w:rPr>
              <w:rFonts w:ascii="Century Gothic" w:hAnsi="Century Gothic"/>
              <w:sz w:val="16"/>
              <w:szCs w:val="16"/>
            </w:rPr>
            <w:t>2</w:t>
          </w:r>
        </w:p>
      </w:tc>
      <w:tc>
        <w:tcPr>
          <w:tcW w:w="2693"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6219F8" w:rsidRDefault="003F3941" w14:paraId="10C74553" w14:textId="52F9643A">
          <w:pPr>
            <w:pStyle w:val="Footer"/>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hAnsi="Century Gothic" w:eastAsia="Geo" w:cs="Geo"/>
              <w:b/>
              <w:color w:val="000000"/>
              <w:sz w:val="16"/>
              <w:szCs w:val="16"/>
              <w:lang w:eastAsia="es-CO"/>
            </w:rPr>
            <w:t>CCE-</w:t>
          </w:r>
          <w:r w:rsidR="00B72CD3">
            <w:rPr>
              <w:rFonts w:ascii="Century Gothic" w:hAnsi="Century Gothic" w:eastAsia="Geo" w:cs="Geo"/>
              <w:b/>
              <w:color w:val="000000"/>
              <w:sz w:val="16"/>
              <w:szCs w:val="16"/>
              <w:lang w:eastAsia="es-CO"/>
            </w:rPr>
            <w:t>REC</w:t>
          </w:r>
          <w:r w:rsidRPr="003F3941">
            <w:rPr>
              <w:rFonts w:ascii="Century Gothic" w:hAnsi="Century Gothic" w:eastAsia="Geo" w:cs="Geo"/>
              <w:b/>
              <w:color w:val="000000"/>
              <w:sz w:val="16"/>
              <w:szCs w:val="16"/>
              <w:lang w:eastAsia="es-CO"/>
            </w:rPr>
            <w:t>-FM-</w:t>
          </w:r>
          <w:r w:rsidR="00CB6357">
            <w:rPr>
              <w:rFonts w:ascii="Century Gothic" w:hAnsi="Century Gothic" w:eastAsia="Geo" w:cs="Geo"/>
              <w:b/>
              <w:color w:val="000000"/>
              <w:sz w:val="16"/>
              <w:szCs w:val="16"/>
              <w:lang w:eastAsia="es-CO"/>
            </w:rPr>
            <w:t>1</w:t>
          </w:r>
          <w:r w:rsidR="00F613A2">
            <w:rPr>
              <w:rFonts w:ascii="Century Gothic" w:hAnsi="Century Gothic" w:eastAsia="Geo" w:cs="Geo"/>
              <w:b/>
              <w:color w:val="000000"/>
              <w:sz w:val="16"/>
              <w:szCs w:val="16"/>
              <w:lang w:eastAsia="es-CO"/>
            </w:rPr>
            <w:t>7</w:t>
          </w:r>
        </w:p>
      </w:tc>
      <w:tc>
        <w:tcPr>
          <w:tcW w:w="2699"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FC2B5D" w:rsidRDefault="003F3941" w14:paraId="5B51611F" w14:textId="3EF9ACCC">
          <w:pPr>
            <w:pStyle w:val="Footer"/>
            <w:rPr>
              <w:rFonts w:ascii="Century Gothic" w:hAnsi="Century Gothic"/>
              <w:sz w:val="16"/>
              <w:szCs w:val="16"/>
            </w:rPr>
          </w:pPr>
          <w:r w:rsidRPr="003F3941">
            <w:rPr>
              <w:rFonts w:ascii="Century Gothic" w:hAnsi="Century Gothic"/>
              <w:sz w:val="16"/>
              <w:szCs w:val="16"/>
            </w:rPr>
            <w:t xml:space="preserve">FECHA: </w:t>
          </w:r>
          <w:r w:rsidR="00F613A2">
            <w:rPr>
              <w:rFonts w:ascii="Century Gothic" w:hAnsi="Century Gothic"/>
              <w:sz w:val="16"/>
              <w:szCs w:val="16"/>
            </w:rPr>
            <w:t>22</w:t>
          </w:r>
          <w:r w:rsidRPr="003F3941">
            <w:rPr>
              <w:rFonts w:ascii="Century Gothic" w:hAnsi="Century Gothic"/>
              <w:sz w:val="16"/>
              <w:szCs w:val="16"/>
            </w:rPr>
            <w:t xml:space="preserve"> DE </w:t>
          </w:r>
          <w:r w:rsidR="00F613A2">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color="808080" w:themeColor="background1" w:themeShade="80" w:sz="4" w:space="0"/>
            <w:left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tcPr>
        <w:p w:rsidRPr="003F3941" w:rsidR="00FC2B5D" w:rsidP="00820278" w:rsidRDefault="003F3941" w14:paraId="6C25E7A7" w14:textId="27B7F278">
          <w:pPr>
            <w:pStyle w:val="Footer"/>
            <w:rPr>
              <w:rFonts w:ascii="Century Gothic" w:hAnsi="Century Gothic"/>
              <w:sz w:val="16"/>
              <w:szCs w:val="16"/>
            </w:rPr>
          </w:pPr>
          <w:r w:rsidRPr="003F3941">
            <w:rPr>
              <w:rFonts w:ascii="Century Gothic" w:hAnsi="Century Gothic"/>
              <w:sz w:val="16"/>
              <w:szCs w:val="16"/>
            </w:rPr>
            <w:t xml:space="preserve">  PÁGINA </w:t>
          </w:r>
          <w:r w:rsidRPr="003F3941" w:rsidR="00FC2B5D">
            <w:rPr>
              <w:rFonts w:ascii="Century Gothic" w:hAnsi="Century Gothic"/>
              <w:b/>
              <w:bCs/>
              <w:sz w:val="16"/>
              <w:szCs w:val="16"/>
            </w:rPr>
            <w:fldChar w:fldCharType="begin"/>
          </w:r>
          <w:r w:rsidRPr="003F3941" w:rsidR="00FC2B5D">
            <w:rPr>
              <w:rFonts w:ascii="Century Gothic" w:hAnsi="Century Gothic"/>
              <w:b/>
              <w:bCs/>
              <w:sz w:val="16"/>
              <w:szCs w:val="16"/>
            </w:rPr>
            <w:instrText>PAGE  \* Arabic  \* MERGEFORMAT</w:instrText>
          </w:r>
          <w:r w:rsidRPr="003F3941" w:rsidR="00FC2B5D">
            <w:rPr>
              <w:rFonts w:ascii="Century Gothic" w:hAnsi="Century Gothic"/>
              <w:b/>
              <w:bCs/>
              <w:sz w:val="16"/>
              <w:szCs w:val="16"/>
            </w:rPr>
            <w:fldChar w:fldCharType="separate"/>
          </w:r>
          <w:r w:rsidR="00BD15D4">
            <w:rPr>
              <w:rFonts w:ascii="Century Gothic" w:hAnsi="Century Gothic"/>
              <w:b/>
              <w:bCs/>
              <w:noProof/>
              <w:sz w:val="16"/>
              <w:szCs w:val="16"/>
            </w:rPr>
            <w:t>2</w:t>
          </w:r>
          <w:r w:rsidRPr="003F3941" w:rsidR="00FC2B5D">
            <w:rPr>
              <w:rFonts w:ascii="Century Gothic" w:hAnsi="Century Gothic"/>
              <w:b/>
              <w:bCs/>
              <w:sz w:val="16"/>
              <w:szCs w:val="16"/>
            </w:rPr>
            <w:fldChar w:fldCharType="end"/>
          </w:r>
          <w:r w:rsidRPr="003F3941">
            <w:rPr>
              <w:rFonts w:ascii="Century Gothic" w:hAnsi="Century Gothic"/>
              <w:sz w:val="16"/>
              <w:szCs w:val="16"/>
            </w:rPr>
            <w:t xml:space="preserve"> DE </w:t>
          </w:r>
          <w:r w:rsidRPr="003F3941" w:rsidR="00FC2B5D">
            <w:rPr>
              <w:rFonts w:ascii="Century Gothic" w:hAnsi="Century Gothic"/>
              <w:b/>
              <w:bCs/>
              <w:sz w:val="16"/>
              <w:szCs w:val="16"/>
            </w:rPr>
            <w:fldChar w:fldCharType="begin"/>
          </w:r>
          <w:r w:rsidRPr="003F3941" w:rsidR="00FC2B5D">
            <w:rPr>
              <w:rFonts w:ascii="Century Gothic" w:hAnsi="Century Gothic"/>
              <w:b/>
              <w:bCs/>
              <w:sz w:val="16"/>
              <w:szCs w:val="16"/>
            </w:rPr>
            <w:instrText>NUMPAGES  \* Arabic  \* MERGEFORMAT</w:instrText>
          </w:r>
          <w:r w:rsidRPr="003F3941" w:rsidR="00FC2B5D">
            <w:rPr>
              <w:rFonts w:ascii="Century Gothic" w:hAnsi="Century Gothic"/>
              <w:b/>
              <w:bCs/>
              <w:sz w:val="16"/>
              <w:szCs w:val="16"/>
            </w:rPr>
            <w:fldChar w:fldCharType="separate"/>
          </w:r>
          <w:r w:rsidR="00BD15D4">
            <w:rPr>
              <w:rFonts w:ascii="Century Gothic" w:hAnsi="Century Gothic"/>
              <w:b/>
              <w:bCs/>
              <w:noProof/>
              <w:sz w:val="16"/>
              <w:szCs w:val="16"/>
            </w:rPr>
            <w:t>2</w:t>
          </w:r>
          <w:r w:rsidRPr="003F3941" w:rsidR="00FC2B5D">
            <w:rPr>
              <w:rFonts w:ascii="Century Gothic" w:hAnsi="Century Gothic"/>
              <w:b/>
              <w:bCs/>
              <w:sz w:val="16"/>
              <w:szCs w:val="16"/>
            </w:rPr>
            <w:fldChar w:fldCharType="end"/>
          </w:r>
        </w:p>
      </w:tc>
    </w:tr>
  </w:tbl>
  <w:p w:rsidR="006219F8" w:rsidP="003E0499" w:rsidRDefault="006219F8" w14:paraId="744661F5" w14:textId="3FCEAD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96106" w:rsidP="004A1847" w:rsidRDefault="00C96106" w14:paraId="7F6CDF66" w14:textId="77777777">
      <w:pPr>
        <w:spacing w:after="0" w:line="240" w:lineRule="auto"/>
      </w:pPr>
      <w:r>
        <w:separator/>
      </w:r>
    </w:p>
  </w:footnote>
  <w:footnote w:type="continuationSeparator" w:id="0">
    <w:p w:rsidR="00C96106" w:rsidP="004A1847" w:rsidRDefault="00C96106" w14:paraId="725D53A9" w14:textId="77777777">
      <w:pPr>
        <w:spacing w:after="0" w:line="240" w:lineRule="auto"/>
      </w:pPr>
      <w:r>
        <w:continuationSeparator/>
      </w:r>
    </w:p>
  </w:footnote>
  <w:footnote w:type="continuationNotice" w:id="1">
    <w:p w:rsidR="00C96106" w:rsidRDefault="00C96106" w14:paraId="4290E390" w14:textId="77777777">
      <w:pPr>
        <w:spacing w:after="0" w:line="240" w:lineRule="auto"/>
      </w:pPr>
    </w:p>
  </w:footnote>
  <w:footnote w:id="2">
    <w:p w:rsidRPr="00EB5A4F" w:rsidR="00DA2BDA" w:rsidP="00DA2BDA" w:rsidRDefault="00DA2BDA" w14:paraId="6E471C03" w14:textId="77777777">
      <w:pPr>
        <w:pStyle w:val="FootnoteText"/>
        <w:ind w:firstLine="708"/>
        <w:jc w:val="both"/>
        <w:rPr>
          <w:rFonts w:ascii="Century Gothic" w:hAnsi="Century Gothic" w:cs="Arial"/>
          <w:sz w:val="12"/>
          <w:szCs w:val="12"/>
        </w:rPr>
      </w:pPr>
      <w:r w:rsidRPr="00EB5A4F">
        <w:rPr>
          <w:rStyle w:val="FootnoteReference"/>
          <w:rFonts w:ascii="Century Gothic" w:hAnsi="Century Gothic" w:cs="Arial"/>
          <w:sz w:val="12"/>
          <w:szCs w:val="12"/>
        </w:rPr>
        <w:footnoteRef/>
      </w:r>
      <w:r w:rsidRPr="00EB5A4F">
        <w:rPr>
          <w:rFonts w:ascii="Century Gothic" w:hAnsi="Century Gothic" w:cs="Arial"/>
          <w:sz w:val="12"/>
          <w:szCs w:val="12"/>
        </w:rPr>
        <w:t xml:space="preserve"> La Agencia Nacional de Contratación Pública </w:t>
      </w:r>
      <w:r w:rsidRPr="00EB5A4F">
        <w:rPr>
          <w:rFonts w:ascii="Arial" w:hAnsi="Arial" w:cs="Arial"/>
          <w:sz w:val="12"/>
          <w:szCs w:val="12"/>
        </w:rPr>
        <w:t>‒</w:t>
      </w:r>
      <w:r w:rsidRPr="00EB5A4F">
        <w:rPr>
          <w:rFonts w:ascii="Century Gothic" w:hAnsi="Century Gothic" w:cs="Arial"/>
          <w:sz w:val="12"/>
          <w:szCs w:val="12"/>
        </w:rPr>
        <w:t xml:space="preserve"> Colombia Compra Eficiente fue creada por el Decreto Ley 4170 de 2011. Su objetivo es servir como ente rector de la pol</w:t>
      </w:r>
      <w:r w:rsidRPr="00EB5A4F">
        <w:rPr>
          <w:rFonts w:ascii="Century Gothic" w:hAnsi="Century Gothic" w:cs="Century Gothic"/>
          <w:sz w:val="12"/>
          <w:szCs w:val="12"/>
        </w:rPr>
        <w:t>í</w:t>
      </w:r>
      <w:r w:rsidRPr="00EB5A4F">
        <w:rPr>
          <w:rFonts w:ascii="Century Gothic" w:hAnsi="Century Gothic" w:cs="Arial"/>
          <w:sz w:val="12"/>
          <w:szCs w:val="12"/>
        </w:rPr>
        <w:t>tica de compras y contrataci</w:t>
      </w:r>
      <w:r w:rsidRPr="00EB5A4F">
        <w:rPr>
          <w:rFonts w:ascii="Century Gothic" w:hAnsi="Century Gothic" w:cs="Century Gothic"/>
          <w:sz w:val="12"/>
          <w:szCs w:val="12"/>
        </w:rPr>
        <w:t>ó</w:t>
      </w:r>
      <w:r w:rsidRPr="00EB5A4F">
        <w:rPr>
          <w:rFonts w:ascii="Century Gothic" w:hAnsi="Century Gothic" w:cs="Arial"/>
          <w:sz w:val="12"/>
          <w:szCs w:val="12"/>
        </w:rPr>
        <w:t xml:space="preserve">n del Estado. Para tales fines, como </w:t>
      </w:r>
      <w:r w:rsidRPr="00EB5A4F">
        <w:rPr>
          <w:rFonts w:ascii="Century Gothic" w:hAnsi="Century Gothic" w:cs="Century Gothic"/>
          <w:sz w:val="12"/>
          <w:szCs w:val="12"/>
        </w:rPr>
        <w:t>ó</w:t>
      </w:r>
      <w:r w:rsidRPr="00EB5A4F">
        <w:rPr>
          <w:rFonts w:ascii="Century Gothic" w:hAnsi="Century Gothic" w:cs="Arial"/>
          <w:sz w:val="12"/>
          <w:szCs w:val="12"/>
        </w:rPr>
        <w:t>rgano t</w:t>
      </w:r>
      <w:r w:rsidRPr="00EB5A4F">
        <w:rPr>
          <w:rFonts w:ascii="Century Gothic" w:hAnsi="Century Gothic" w:cs="Century Gothic"/>
          <w:sz w:val="12"/>
          <w:szCs w:val="12"/>
        </w:rPr>
        <w:t>é</w:t>
      </w:r>
      <w:r w:rsidRPr="00EB5A4F">
        <w:rPr>
          <w:rFonts w:ascii="Century Gothic" w:hAnsi="Century Gothic" w:cs="Arial"/>
          <w:sz w:val="12"/>
          <w:szCs w:val="12"/>
        </w:rPr>
        <w:t>cnico especializado, le corresponde formular pol</w:t>
      </w:r>
      <w:r w:rsidRPr="00EB5A4F">
        <w:rPr>
          <w:rFonts w:ascii="Century Gothic" w:hAnsi="Century Gothic" w:cs="Century Gothic"/>
          <w:sz w:val="12"/>
          <w:szCs w:val="12"/>
        </w:rPr>
        <w:t>í</w:t>
      </w:r>
      <w:r w:rsidRPr="00EB5A4F">
        <w:rPr>
          <w:rFonts w:ascii="Century Gothic" w:hAnsi="Century Gothic" w:cs="Arial"/>
          <w:sz w:val="12"/>
          <w:szCs w:val="12"/>
        </w:rPr>
        <w:t>ticas p</w:t>
      </w:r>
      <w:r w:rsidRPr="00EB5A4F">
        <w:rPr>
          <w:rFonts w:ascii="Century Gothic" w:hAnsi="Century Gothic" w:cs="Century Gothic"/>
          <w:sz w:val="12"/>
          <w:szCs w:val="12"/>
        </w:rPr>
        <w:t>ú</w:t>
      </w:r>
      <w:r w:rsidRPr="00EB5A4F">
        <w:rPr>
          <w:rFonts w:ascii="Century Gothic" w:hAnsi="Century Gothic" w:cs="Arial"/>
          <w:sz w:val="12"/>
          <w:szCs w:val="12"/>
        </w:rPr>
        <w:t>blicas y normas y unificar los procesos de contrataci</w:t>
      </w:r>
      <w:r w:rsidRPr="00EB5A4F">
        <w:rPr>
          <w:rFonts w:ascii="Century Gothic" w:hAnsi="Century Gothic" w:cs="Century Gothic"/>
          <w:sz w:val="12"/>
          <w:szCs w:val="12"/>
        </w:rPr>
        <w:t>ó</w:t>
      </w:r>
      <w:r w:rsidRPr="00EB5A4F">
        <w:rPr>
          <w:rFonts w:ascii="Century Gothic" w:hAnsi="Century Gothic" w:cs="Arial"/>
          <w:sz w:val="12"/>
          <w:szCs w:val="12"/>
        </w:rPr>
        <w:t>n estatal, con el fin de lograr una mayor eficiencia, transparencia y optimizaci</w:t>
      </w:r>
      <w:r w:rsidRPr="00EB5A4F">
        <w:rPr>
          <w:rFonts w:ascii="Century Gothic" w:hAnsi="Century Gothic" w:cs="Century Gothic"/>
          <w:sz w:val="12"/>
          <w:szCs w:val="12"/>
        </w:rPr>
        <w:t>ó</w:t>
      </w:r>
      <w:r w:rsidRPr="00EB5A4F">
        <w:rPr>
          <w:rFonts w:ascii="Century Gothic" w:hAnsi="Century Gothic" w:cs="Arial"/>
          <w:sz w:val="12"/>
          <w:szCs w:val="12"/>
        </w:rPr>
        <w:t>n de los recursos del Estado. El art</w:t>
      </w:r>
      <w:r w:rsidRPr="00EB5A4F">
        <w:rPr>
          <w:rFonts w:ascii="Century Gothic" w:hAnsi="Century Gothic" w:cs="Century Gothic"/>
          <w:sz w:val="12"/>
          <w:szCs w:val="12"/>
        </w:rPr>
        <w:t>í</w:t>
      </w:r>
      <w:r w:rsidRPr="00EB5A4F">
        <w:rPr>
          <w:rFonts w:ascii="Century Gothic" w:hAnsi="Century Gothic" w:cs="Arial"/>
          <w:sz w:val="12"/>
          <w:szCs w:val="12"/>
        </w:rPr>
        <w:t xml:space="preserve">culo 3 </w:t>
      </w:r>
      <w:r w:rsidRPr="00EB5A4F">
        <w:rPr>
          <w:rFonts w:ascii="Century Gothic" w:hAnsi="Century Gothic" w:cs="Arial"/>
          <w:i/>
          <w:iCs/>
          <w:sz w:val="12"/>
          <w:szCs w:val="12"/>
        </w:rPr>
        <w:t xml:space="preserve">ibidem </w:t>
      </w:r>
      <w:r w:rsidRPr="00EB5A4F">
        <w:rPr>
          <w:rFonts w:ascii="Century Gothic" w:hAnsi="Century Gothic" w:cs="Arial"/>
          <w:sz w:val="12"/>
          <w:szCs w:val="12"/>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p w:rsidRPr="00EB5A4F" w:rsidR="00DA2BDA" w:rsidP="00DA2BDA" w:rsidRDefault="00DA2BDA" w14:paraId="390A9FD1" w14:textId="77777777">
      <w:pPr>
        <w:pStyle w:val="FootnoteText"/>
        <w:ind w:firstLine="708"/>
        <w:jc w:val="both"/>
        <w:rPr>
          <w:rFonts w:ascii="Century Gothic" w:hAnsi="Century Gothic" w:cs="Arial"/>
          <w:sz w:val="12"/>
          <w:szCs w:val="12"/>
        </w:rPr>
      </w:pPr>
    </w:p>
  </w:footnote>
  <w:footnote w:id="3">
    <w:p w:rsidRPr="00EB5A4F" w:rsidR="00DA2BDA" w:rsidP="00DA2BDA" w:rsidRDefault="00DA2BDA" w14:paraId="67A1F103" w14:textId="77777777">
      <w:pPr>
        <w:pStyle w:val="FootnoteText"/>
        <w:ind w:firstLine="708"/>
        <w:jc w:val="both"/>
        <w:rPr>
          <w:rFonts w:ascii="Century Gothic" w:hAnsi="Century Gothic" w:cs="Arial"/>
          <w:sz w:val="12"/>
          <w:szCs w:val="12"/>
          <w:shd w:val="clear" w:color="auto" w:fill="E6E6E6"/>
        </w:rPr>
      </w:pPr>
      <w:r w:rsidRPr="00EB5A4F">
        <w:rPr>
          <w:rStyle w:val="FootnoteReference"/>
          <w:rFonts w:ascii="Century Gothic" w:hAnsi="Century Gothic" w:cs="Arial"/>
          <w:sz w:val="12"/>
          <w:szCs w:val="12"/>
        </w:rPr>
        <w:footnoteRef/>
      </w:r>
      <w:r w:rsidRPr="00EB5A4F">
        <w:rPr>
          <w:rFonts w:ascii="Century Gothic" w:hAnsi="Century Gothic" w:cs="Arial"/>
          <w:sz w:val="12"/>
          <w:szCs w:val="12"/>
        </w:rPr>
        <w:t xml:space="preserve"> </w:t>
      </w:r>
      <w:r w:rsidRPr="00EB5A4F">
        <w:rPr>
          <w:rFonts w:ascii="Century Gothic" w:hAnsi="Century Gothic" w:cs="Arial"/>
          <w:sz w:val="12"/>
          <w:szCs w:val="12"/>
        </w:rPr>
        <w:t xml:space="preserve">Los conceptos referenciados, así como otros expedidos por la Subdirección se encuentran disponibles para consulta pública en el portal de relatoría de la Agencia, al cual se puede acceder a través del siguiente </w:t>
      </w:r>
      <w:r w:rsidRPr="00EB5A4F">
        <w:rPr>
          <w:rFonts w:ascii="Century Gothic" w:hAnsi="Century Gothic" w:cs="Arial"/>
          <w:sz w:val="12"/>
          <w:szCs w:val="12"/>
        </w:rPr>
        <w:t xml:space="preserve">enlace: </w:t>
      </w:r>
      <w:r w:rsidR="00D1061C">
        <w:fldChar w:fldCharType="begin"/>
      </w:r>
      <w:r w:rsidR="00D1061C">
        <w:instrText>HYPERLINK "https://relatoria.colombiacompra.gov.co/busqueda/conceptos%20"</w:instrText>
      </w:r>
      <w:r w:rsidR="00D1061C">
        <w:fldChar w:fldCharType="separate"/>
      </w:r>
      <w:r w:rsidRPr="00EB5A4F">
        <w:rPr>
          <w:rStyle w:val="Hyperlink"/>
          <w:rFonts w:ascii="Century Gothic" w:hAnsi="Century Gothic" w:cs="Arial"/>
          <w:color w:val="auto"/>
          <w:sz w:val="12"/>
          <w:szCs w:val="12"/>
        </w:rPr>
        <w:t>https://relatoria.colombiacompra.gov.co/busqueda/conceptos</w:t>
      </w:r>
      <w:r w:rsidR="00D1061C">
        <w:rPr>
          <w:rStyle w:val="Hyperlink"/>
          <w:rFonts w:ascii="Century Gothic" w:hAnsi="Century Gothic" w:cs="Arial"/>
          <w:color w:val="auto"/>
          <w:sz w:val="12"/>
          <w:szCs w:val="12"/>
        </w:rPr>
        <w:fldChar w:fldCharType="end"/>
      </w:r>
      <w:r w:rsidRPr="00EB5A4F">
        <w:rPr>
          <w:rStyle w:val="Hyperlink"/>
          <w:rFonts w:ascii="Century Gothic" w:hAnsi="Century Gothic" w:cs="Arial"/>
          <w:color w:val="auto"/>
          <w:sz w:val="12"/>
          <w:szCs w:val="12"/>
        </w:rPr>
        <w:t xml:space="preserve">. </w:t>
      </w:r>
      <w:r w:rsidRPr="00EB5A4F">
        <w:rPr>
          <w:rFonts w:ascii="Century Gothic" w:hAnsi="Century Gothic" w:cs="Arial"/>
          <w:sz w:val="12"/>
          <w:szCs w:val="12"/>
          <w:shd w:val="clear" w:color="auto" w:fill="E6E6E6"/>
        </w:rPr>
        <w:t xml:space="preserve">  </w:t>
      </w:r>
    </w:p>
    <w:p w:rsidRPr="00EB5A4F" w:rsidR="00DA2BDA" w:rsidP="00DA2BDA" w:rsidRDefault="00DA2BDA" w14:paraId="4AA7E2FF" w14:textId="77777777">
      <w:pPr>
        <w:pStyle w:val="FootnoteText"/>
        <w:ind w:firstLine="708"/>
        <w:jc w:val="both"/>
        <w:rPr>
          <w:rFonts w:ascii="Century Gothic" w:hAnsi="Century Gothic" w:cs="Arial"/>
          <w:sz w:val="12"/>
          <w:szCs w:val="12"/>
          <w:shd w:val="clear" w:color="auto" w:fill="E6E6E6"/>
        </w:rPr>
      </w:pPr>
    </w:p>
  </w:footnote>
  <w:footnote w:id="4">
    <w:p w:rsidRPr="00341251" w:rsidR="0058730D" w:rsidP="0058730D" w:rsidRDefault="0058730D" w14:paraId="1F0A9056" w14:textId="77777777">
      <w:pPr>
        <w:pStyle w:val="FootnoteText"/>
        <w:ind w:firstLine="709"/>
        <w:contextualSpacing/>
        <w:jc w:val="both"/>
        <w:rPr>
          <w:rFonts w:ascii="Century Gothic" w:hAnsi="Century Gothic" w:cs="Arial"/>
          <w:color w:val="000000" w:themeColor="text1"/>
          <w:sz w:val="18"/>
          <w:szCs w:val="18"/>
        </w:rPr>
      </w:pPr>
      <w:r w:rsidRPr="00341251">
        <w:rPr>
          <w:rStyle w:val="FootnoteReference"/>
          <w:rFonts w:ascii="Century Gothic" w:hAnsi="Century Gothic" w:cs="Arial"/>
          <w:color w:val="000000" w:themeColor="text1"/>
          <w:sz w:val="18"/>
          <w:szCs w:val="18"/>
        </w:rPr>
        <w:footnoteRef/>
      </w:r>
      <w:r w:rsidRPr="00341251">
        <w:rPr>
          <w:rFonts w:ascii="Century Gothic" w:hAnsi="Century Gothic" w:cs="Arial"/>
          <w:color w:val="000000" w:themeColor="text1"/>
          <w:sz w:val="18"/>
          <w:szCs w:val="18"/>
        </w:rPr>
        <w:t xml:space="preserve"> </w:t>
      </w:r>
      <w:r w:rsidRPr="00341251">
        <w:rPr>
          <w:rFonts w:ascii="Century Gothic" w:hAnsi="Century Gothic" w:cs="Arial"/>
          <w:color w:val="000000" w:themeColor="text1"/>
          <w:sz w:val="18"/>
          <w:szCs w:val="18"/>
        </w:rPr>
        <w:t xml:space="preserve">Corte Constitucional. Sentencia C-317 de 2012. M.P. María Victoria Calle Correa. </w:t>
      </w:r>
    </w:p>
    <w:p w:rsidRPr="00341251" w:rsidR="0058730D" w:rsidP="0058730D" w:rsidRDefault="0058730D" w14:paraId="734FFC4B" w14:textId="77777777">
      <w:pPr>
        <w:pStyle w:val="FootnoteText"/>
        <w:ind w:firstLine="709"/>
        <w:contextualSpacing/>
        <w:jc w:val="both"/>
        <w:rPr>
          <w:rFonts w:ascii="Century Gothic" w:hAnsi="Century Gothic" w:cs="Arial"/>
          <w:color w:val="000000" w:themeColor="text1"/>
          <w:sz w:val="18"/>
          <w:szCs w:val="18"/>
        </w:rPr>
      </w:pPr>
    </w:p>
  </w:footnote>
  <w:footnote w:id="5">
    <w:p w:rsidRPr="00341251" w:rsidR="0058730D" w:rsidP="0058730D" w:rsidRDefault="0058730D" w14:paraId="5E8ECD45" w14:textId="77777777">
      <w:pPr>
        <w:pStyle w:val="FootnoteText"/>
        <w:ind w:firstLine="709"/>
        <w:contextualSpacing/>
        <w:jc w:val="both"/>
        <w:rPr>
          <w:rFonts w:ascii="Century Gothic" w:hAnsi="Century Gothic" w:cs="Arial"/>
          <w:color w:val="000000" w:themeColor="text1"/>
          <w:sz w:val="18"/>
          <w:szCs w:val="18"/>
        </w:rPr>
      </w:pPr>
      <w:r w:rsidRPr="00341251">
        <w:rPr>
          <w:rStyle w:val="FootnoteReference"/>
          <w:rFonts w:ascii="Century Gothic" w:hAnsi="Century Gothic" w:cs="Arial"/>
          <w:color w:val="000000" w:themeColor="text1"/>
          <w:sz w:val="18"/>
          <w:szCs w:val="18"/>
        </w:rPr>
        <w:footnoteRef/>
      </w:r>
      <w:r w:rsidRPr="00341251">
        <w:rPr>
          <w:rFonts w:ascii="Century Gothic" w:hAnsi="Century Gothic" w:cs="Arial"/>
          <w:color w:val="000000" w:themeColor="text1"/>
          <w:sz w:val="18"/>
          <w:szCs w:val="18"/>
        </w:rPr>
        <w:t xml:space="preserve"> </w:t>
      </w:r>
      <w:r w:rsidRPr="00341251">
        <w:rPr>
          <w:rFonts w:ascii="Century Gothic" w:hAnsi="Century Gothic" w:cs="Arial"/>
          <w:color w:val="000000" w:themeColor="text1"/>
          <w:sz w:val="18"/>
          <w:szCs w:val="18"/>
        </w:rPr>
        <w:t>Así se desprende del primer inciso de aquel artículo, que dice: “Las entidades sometidas al Estatuto General de Contratación de la Administración Pública podrán declarar el incumplimiento, cuantificando los perjuicios del mismo, imponer las multas y sanciones pactadas en el contrato, y hacer efectiva la cláusula penal. Para tal efecto observarán el siguiente procedimiento […]”.</w:t>
      </w:r>
    </w:p>
    <w:p w:rsidRPr="00341251" w:rsidR="0058730D" w:rsidP="0058730D" w:rsidRDefault="0058730D" w14:paraId="2765ABDB" w14:textId="77777777">
      <w:pPr>
        <w:pStyle w:val="FootnoteText"/>
        <w:ind w:firstLine="709"/>
        <w:contextualSpacing/>
        <w:jc w:val="both"/>
        <w:rPr>
          <w:rFonts w:ascii="Century Gothic" w:hAnsi="Century Gothic" w:cs="Arial"/>
          <w:color w:val="000000" w:themeColor="text1"/>
          <w:sz w:val="18"/>
          <w:szCs w:val="18"/>
        </w:rPr>
      </w:pPr>
    </w:p>
  </w:footnote>
  <w:footnote w:id="6">
    <w:p w:rsidRPr="00341251" w:rsidR="0058730D" w:rsidP="0058730D" w:rsidRDefault="0058730D" w14:paraId="027EB798" w14:textId="77777777">
      <w:pPr>
        <w:pStyle w:val="FootnoteText"/>
        <w:ind w:firstLine="709"/>
        <w:contextualSpacing/>
        <w:jc w:val="both"/>
        <w:rPr>
          <w:rFonts w:ascii="Century Gothic" w:hAnsi="Century Gothic" w:cs="Arial"/>
          <w:color w:val="000000" w:themeColor="text1"/>
          <w:sz w:val="18"/>
          <w:szCs w:val="18"/>
        </w:rPr>
      </w:pPr>
      <w:r w:rsidRPr="00341251">
        <w:rPr>
          <w:rStyle w:val="FootnoteReference"/>
          <w:rFonts w:ascii="Century Gothic" w:hAnsi="Century Gothic" w:cs="Arial"/>
          <w:color w:val="000000" w:themeColor="text1"/>
          <w:sz w:val="18"/>
          <w:szCs w:val="18"/>
        </w:rPr>
        <w:footnoteRef/>
      </w:r>
      <w:r w:rsidRPr="00341251">
        <w:rPr>
          <w:rFonts w:ascii="Century Gothic" w:hAnsi="Century Gothic" w:cs="Arial"/>
          <w:color w:val="000000" w:themeColor="text1"/>
          <w:sz w:val="18"/>
          <w:szCs w:val="18"/>
        </w:rPr>
        <w:t xml:space="preserve"> </w:t>
      </w:r>
      <w:r w:rsidRPr="00341251">
        <w:rPr>
          <w:rFonts w:ascii="Century Gothic" w:hAnsi="Century Gothic" w:cs="Arial"/>
          <w:color w:val="000000" w:themeColor="text1"/>
          <w:sz w:val="18"/>
          <w:szCs w:val="18"/>
        </w:rPr>
        <w:t xml:space="preserve">Se entiende por entidades de </w:t>
      </w:r>
      <w:r w:rsidRPr="00341251">
        <w:rPr>
          <w:rFonts w:ascii="Century Gothic" w:hAnsi="Century Gothic" w:cs="Arial"/>
          <w:i/>
          <w:iCs/>
          <w:color w:val="000000" w:themeColor="text1"/>
          <w:sz w:val="18"/>
          <w:szCs w:val="18"/>
        </w:rPr>
        <w:t xml:space="preserve">régimen especial </w:t>
      </w:r>
      <w:r w:rsidRPr="00341251">
        <w:rPr>
          <w:rFonts w:ascii="Century Gothic" w:hAnsi="Century Gothic" w:cs="Arial"/>
          <w:color w:val="000000" w:themeColor="text1"/>
          <w:sz w:val="18"/>
          <w:szCs w:val="18"/>
        </w:rPr>
        <w:t>aquellas que tienen un régimen contractual distinto al Estatuto General de Contratación de la Administración Pública, y que por regla general se rigen por el derecho privado.</w:t>
      </w:r>
    </w:p>
    <w:p w:rsidRPr="00341251" w:rsidR="0058730D" w:rsidP="0058730D" w:rsidRDefault="0058730D" w14:paraId="5255FD30" w14:textId="77777777">
      <w:pPr>
        <w:pStyle w:val="FootnoteText"/>
        <w:ind w:firstLine="709"/>
        <w:contextualSpacing/>
        <w:jc w:val="both"/>
        <w:rPr>
          <w:rFonts w:ascii="Century Gothic" w:hAnsi="Century Gothic" w:cs="Arial"/>
          <w:color w:val="000000" w:themeColor="text1"/>
          <w:sz w:val="18"/>
          <w:szCs w:val="18"/>
          <w:lang w:val="es-CO"/>
        </w:rPr>
      </w:pPr>
    </w:p>
  </w:footnote>
  <w:footnote w:id="7">
    <w:p w:rsidRPr="00341251" w:rsidR="0058730D" w:rsidP="0058730D" w:rsidRDefault="0058730D" w14:paraId="47DEF268" w14:textId="77777777">
      <w:pPr>
        <w:pStyle w:val="FootnoteText"/>
        <w:ind w:firstLine="709"/>
        <w:contextualSpacing/>
        <w:jc w:val="both"/>
        <w:rPr>
          <w:rFonts w:ascii="Century Gothic" w:hAnsi="Century Gothic" w:cs="Arial"/>
          <w:color w:val="000000" w:themeColor="text1"/>
          <w:sz w:val="18"/>
          <w:szCs w:val="18"/>
          <w:lang w:val="es-CO"/>
        </w:rPr>
      </w:pPr>
      <w:r w:rsidRPr="00341251">
        <w:rPr>
          <w:rStyle w:val="FootnoteReference"/>
          <w:rFonts w:ascii="Century Gothic" w:hAnsi="Century Gothic" w:cs="Arial"/>
          <w:color w:val="000000" w:themeColor="text1"/>
          <w:sz w:val="18"/>
          <w:szCs w:val="18"/>
        </w:rPr>
        <w:footnoteRef/>
      </w:r>
      <w:r w:rsidRPr="00341251">
        <w:rPr>
          <w:rFonts w:ascii="Century Gothic" w:hAnsi="Century Gothic" w:cs="Arial"/>
          <w:color w:val="000000" w:themeColor="text1"/>
          <w:sz w:val="18"/>
          <w:szCs w:val="18"/>
        </w:rPr>
        <w:t xml:space="preserve"> </w:t>
      </w:r>
      <w:r w:rsidRPr="00341251">
        <w:rPr>
          <w:rFonts w:ascii="Century Gothic" w:hAnsi="Century Gothic" w:cs="Arial"/>
          <w:color w:val="000000" w:themeColor="text1"/>
          <w:sz w:val="18"/>
          <w:szCs w:val="18"/>
        </w:rPr>
        <w:t>Esto se ha señalado en distintos conceptos de esta Subdirección, como el C-219 del 29 de abril de 2020, el C-280 del 6 de julio de 2020 y el C–434 del 29 de julio de 2020.</w:t>
      </w:r>
    </w:p>
  </w:footnote>
  <w:footnote w:id="8">
    <w:p w:rsidRPr="00341251" w:rsidR="0058730D" w:rsidP="0058730D" w:rsidRDefault="0058730D" w14:paraId="4F0653B3" w14:textId="77777777">
      <w:pPr>
        <w:pStyle w:val="FootnoteText"/>
        <w:ind w:firstLine="709"/>
        <w:contextualSpacing/>
        <w:jc w:val="both"/>
        <w:rPr>
          <w:rFonts w:ascii="Century Gothic" w:hAnsi="Century Gothic" w:cs="Arial"/>
          <w:color w:val="000000" w:themeColor="text1"/>
          <w:sz w:val="18"/>
          <w:szCs w:val="18"/>
        </w:rPr>
      </w:pPr>
      <w:r w:rsidRPr="00341251">
        <w:rPr>
          <w:rStyle w:val="FootnoteReference"/>
          <w:rFonts w:ascii="Century Gothic" w:hAnsi="Century Gothic" w:cs="Arial"/>
          <w:color w:val="000000" w:themeColor="text1"/>
          <w:sz w:val="18"/>
          <w:szCs w:val="18"/>
        </w:rPr>
        <w:footnoteRef/>
      </w:r>
      <w:r w:rsidRPr="00341251">
        <w:rPr>
          <w:rFonts w:ascii="Century Gothic" w:hAnsi="Century Gothic" w:cs="Arial"/>
          <w:color w:val="000000" w:themeColor="text1"/>
          <w:sz w:val="18"/>
          <w:szCs w:val="18"/>
        </w:rPr>
        <w:t xml:space="preserve"> </w:t>
      </w:r>
      <w:r w:rsidRPr="00341251">
        <w:rPr>
          <w:rFonts w:ascii="Century Gothic" w:hAnsi="Century Gothic" w:cs="Arial"/>
          <w:color w:val="000000" w:themeColor="text1"/>
          <w:sz w:val="18"/>
          <w:szCs w:val="18"/>
        </w:rPr>
        <w:t>La posibilidad de realizar la audiencia por medios electrónicos cuenta con un fundamento adicional actual, en el Decreto Legislativo 537 de 2020, que establece lo siguiente: “Artículo 2. Adiciónese los siguientes incisos al artículo 86 de la Ley 1474 de 2011, así:</w:t>
      </w:r>
    </w:p>
    <w:p w:rsidRPr="00341251" w:rsidR="0058730D" w:rsidP="0058730D" w:rsidRDefault="0058730D" w14:paraId="40C5E4A7" w14:textId="77777777">
      <w:pPr>
        <w:pStyle w:val="FootnoteText"/>
        <w:ind w:firstLine="709"/>
        <w:contextualSpacing/>
        <w:jc w:val="both"/>
        <w:rPr>
          <w:rFonts w:ascii="Century Gothic" w:hAnsi="Century Gothic" w:cs="Arial"/>
          <w:color w:val="000000" w:themeColor="text1"/>
          <w:sz w:val="18"/>
          <w:szCs w:val="18"/>
        </w:rPr>
      </w:pPr>
    </w:p>
    <w:p w:rsidRPr="00341251" w:rsidR="0058730D" w:rsidP="0058730D" w:rsidRDefault="0058730D" w14:paraId="02E1A05B" w14:textId="77777777">
      <w:pPr>
        <w:pStyle w:val="FootnoteText"/>
        <w:ind w:firstLine="709"/>
        <w:contextualSpacing/>
        <w:jc w:val="both"/>
        <w:rPr>
          <w:rFonts w:ascii="Century Gothic" w:hAnsi="Century Gothic" w:cs="Arial"/>
          <w:color w:val="000000" w:themeColor="text1"/>
          <w:sz w:val="18"/>
          <w:szCs w:val="18"/>
        </w:rPr>
      </w:pPr>
      <w:r w:rsidRPr="00341251">
        <w:rPr>
          <w:rFonts w:ascii="Century Gothic" w:hAnsi="Century Gothic" w:cs="Arial"/>
          <w:color w:val="000000" w:themeColor="text1"/>
          <w:sz w:val="18"/>
          <w:szCs w:val="18"/>
        </w:rPr>
        <w:t>Procedimientos sancionatorios. Durante la vigencia de la Emergencia Sanitaria declarada por el Ministerio de Salud y Protección Social, con ocasión de la pandemia derivada del Coronavirus COVID-19, las audiencias programadas de conformidad con el procedimiento establecido en el presente artículo se podrán realizar a través de medios electrónicos, los cuales deberán garantizar el acceso de los contratistas y de quienes hayan expedido la garantía.</w:t>
      </w:r>
    </w:p>
    <w:p w:rsidRPr="00341251" w:rsidR="0058730D" w:rsidP="0058730D" w:rsidRDefault="0058730D" w14:paraId="24D173B0" w14:textId="77777777">
      <w:pPr>
        <w:pStyle w:val="FootnoteText"/>
        <w:ind w:firstLine="709"/>
        <w:contextualSpacing/>
        <w:jc w:val="both"/>
        <w:rPr>
          <w:rFonts w:ascii="Century Gothic" w:hAnsi="Century Gothic" w:cs="Arial"/>
          <w:color w:val="000000" w:themeColor="text1"/>
          <w:sz w:val="18"/>
          <w:szCs w:val="18"/>
        </w:rPr>
      </w:pPr>
    </w:p>
    <w:p w:rsidRPr="00341251" w:rsidR="0058730D" w:rsidP="0058730D" w:rsidRDefault="0058730D" w14:paraId="124FFC5C" w14:textId="77777777">
      <w:pPr>
        <w:pStyle w:val="FootnoteText"/>
        <w:ind w:firstLine="709"/>
        <w:contextualSpacing/>
        <w:jc w:val="both"/>
        <w:rPr>
          <w:rFonts w:ascii="Century Gothic" w:hAnsi="Century Gothic" w:cs="Arial"/>
          <w:color w:val="000000" w:themeColor="text1"/>
          <w:sz w:val="18"/>
          <w:szCs w:val="18"/>
        </w:rPr>
      </w:pPr>
      <w:r w:rsidRPr="00341251">
        <w:rPr>
          <w:rFonts w:ascii="Century Gothic" w:hAnsi="Century Gothic" w:cs="Arial"/>
          <w:color w:val="000000" w:themeColor="text1"/>
          <w:sz w:val="18"/>
          <w:szCs w:val="18"/>
        </w:rPr>
        <w:t>La entidad estatal debe elegir y garantizar los medios electrónicos y de comunicación que utilizará, así como los mecanismos para el registro de la Información generada.</w:t>
      </w:r>
    </w:p>
    <w:p w:rsidRPr="00341251" w:rsidR="0058730D" w:rsidP="0058730D" w:rsidRDefault="0058730D" w14:paraId="2191229A" w14:textId="77777777">
      <w:pPr>
        <w:pStyle w:val="FootnoteText"/>
        <w:ind w:firstLine="709"/>
        <w:contextualSpacing/>
        <w:jc w:val="both"/>
        <w:rPr>
          <w:rFonts w:ascii="Century Gothic" w:hAnsi="Century Gothic" w:cs="Arial"/>
          <w:color w:val="000000" w:themeColor="text1"/>
          <w:sz w:val="18"/>
          <w:szCs w:val="18"/>
        </w:rPr>
      </w:pPr>
    </w:p>
    <w:p w:rsidRPr="00341251" w:rsidR="0058730D" w:rsidP="0058730D" w:rsidRDefault="0058730D" w14:paraId="57E924DE" w14:textId="77777777">
      <w:pPr>
        <w:pStyle w:val="FootnoteText"/>
        <w:ind w:firstLine="709"/>
        <w:contextualSpacing/>
        <w:jc w:val="both"/>
        <w:rPr>
          <w:rFonts w:ascii="Century Gothic" w:hAnsi="Century Gothic" w:cs="Arial"/>
          <w:color w:val="000000" w:themeColor="text1"/>
          <w:sz w:val="18"/>
          <w:szCs w:val="18"/>
        </w:rPr>
      </w:pPr>
      <w:r w:rsidRPr="00341251">
        <w:rPr>
          <w:rFonts w:ascii="Century Gothic" w:hAnsi="Century Gothic" w:cs="Arial"/>
          <w:color w:val="000000" w:themeColor="text1"/>
          <w:sz w:val="18"/>
          <w:szCs w:val="18"/>
        </w:rPr>
        <w:t>Sin perjuicio de lo anterior, el ordenador del gasto o funcionario competente podrá decretar la suspensión de términos, inclusive los iniciados con anterioridad a la vigencia de este Decreto”.</w:t>
      </w:r>
    </w:p>
    <w:p w:rsidRPr="00341251" w:rsidR="0058730D" w:rsidP="0058730D" w:rsidRDefault="0058730D" w14:paraId="263837F6" w14:textId="77777777">
      <w:pPr>
        <w:pStyle w:val="FootnoteText"/>
        <w:ind w:firstLine="709"/>
        <w:contextualSpacing/>
        <w:jc w:val="both"/>
        <w:rPr>
          <w:rFonts w:ascii="Century Gothic" w:hAnsi="Century Gothic" w:cs="Arial"/>
          <w:color w:val="000000" w:themeColor="text1"/>
          <w:sz w:val="18"/>
          <w:szCs w:val="18"/>
          <w:lang w:val="es-CO"/>
        </w:rPr>
      </w:pPr>
      <w:r w:rsidRPr="00341251">
        <w:rPr>
          <w:rFonts w:ascii="Century Gothic" w:hAnsi="Century Gothic" w:cs="Arial"/>
          <w:color w:val="000000" w:themeColor="text1"/>
          <w:sz w:val="18"/>
          <w:szCs w:val="18"/>
        </w:rPr>
        <w:t xml:space="preserve"> </w:t>
      </w:r>
    </w:p>
  </w:footnote>
  <w:footnote w:id="9">
    <w:p w:rsidRPr="00341251" w:rsidR="0058730D" w:rsidP="0058730D" w:rsidRDefault="0058730D" w14:paraId="55C78DA4" w14:textId="77777777">
      <w:pPr>
        <w:pStyle w:val="FootnoteText"/>
        <w:ind w:firstLine="708"/>
        <w:jc w:val="both"/>
        <w:rPr>
          <w:rFonts w:ascii="Century Gothic" w:hAnsi="Century Gothic" w:cs="Arial"/>
          <w:sz w:val="18"/>
          <w:szCs w:val="18"/>
          <w:lang w:val="es-CO"/>
        </w:rPr>
      </w:pPr>
      <w:r w:rsidRPr="00341251">
        <w:rPr>
          <w:rStyle w:val="FootnoteReference"/>
          <w:rFonts w:ascii="Century Gothic" w:hAnsi="Century Gothic" w:cs="Arial"/>
          <w:sz w:val="18"/>
          <w:szCs w:val="18"/>
        </w:rPr>
        <w:footnoteRef/>
      </w:r>
      <w:r w:rsidRPr="00341251">
        <w:rPr>
          <w:rFonts w:ascii="Century Gothic" w:hAnsi="Century Gothic" w:cs="Arial"/>
          <w:sz w:val="18"/>
          <w:szCs w:val="18"/>
        </w:rPr>
        <w:t xml:space="preserve"> </w:t>
      </w:r>
      <w:r w:rsidRPr="00341251">
        <w:rPr>
          <w:rFonts w:ascii="Century Gothic" w:hAnsi="Century Gothic" w:cs="Arial"/>
          <w:sz w:val="18"/>
          <w:szCs w:val="18"/>
          <w:lang w:val="es-CO"/>
        </w:rPr>
        <w:t xml:space="preserve">Corte Constitucional, sentencia de Unificación Jurisprudencial SU 339 del 4 de mayo de 2011. Magistrado ponente: Humberto Antonio Sierra Porto. </w:t>
      </w:r>
      <w:proofErr w:type="spellStart"/>
      <w:r w:rsidRPr="00341251">
        <w:rPr>
          <w:rFonts w:ascii="Century Gothic" w:hAnsi="Century Gothic" w:cs="Arial"/>
          <w:sz w:val="18"/>
          <w:szCs w:val="18"/>
          <w:lang w:val="es-CO"/>
        </w:rPr>
        <w:t>Exp</w:t>
      </w:r>
      <w:proofErr w:type="spellEnd"/>
      <w:r w:rsidRPr="00341251">
        <w:rPr>
          <w:rFonts w:ascii="Century Gothic" w:hAnsi="Century Gothic" w:cs="Arial"/>
          <w:sz w:val="18"/>
          <w:szCs w:val="18"/>
          <w:lang w:val="es-CO"/>
        </w:rPr>
        <w:t>. T-2.735.401</w:t>
      </w:r>
    </w:p>
    <w:p w:rsidRPr="00341251" w:rsidR="0058730D" w:rsidP="0058730D" w:rsidRDefault="0058730D" w14:paraId="6391AC09" w14:textId="77777777">
      <w:pPr>
        <w:pStyle w:val="FootnoteText"/>
        <w:ind w:firstLine="708"/>
        <w:jc w:val="both"/>
        <w:rPr>
          <w:rFonts w:ascii="Century Gothic" w:hAnsi="Century Gothic" w:cs="Arial"/>
          <w:sz w:val="18"/>
          <w:szCs w:val="18"/>
          <w:lang w:val="es-CO"/>
        </w:rPr>
      </w:pPr>
    </w:p>
  </w:footnote>
  <w:footnote w:id="10">
    <w:p w:rsidRPr="00341251" w:rsidR="0058730D" w:rsidP="0058730D" w:rsidRDefault="0058730D" w14:paraId="6681BED7" w14:textId="77777777">
      <w:pPr>
        <w:pStyle w:val="FootnoteText"/>
        <w:ind w:firstLine="708"/>
        <w:jc w:val="both"/>
        <w:rPr>
          <w:rFonts w:ascii="Century Gothic" w:hAnsi="Century Gothic" w:cs="Arial"/>
          <w:sz w:val="18"/>
          <w:szCs w:val="18"/>
          <w:lang w:val="es-CO"/>
        </w:rPr>
      </w:pPr>
      <w:r w:rsidRPr="00341251">
        <w:rPr>
          <w:rStyle w:val="FootnoteReference"/>
          <w:rFonts w:ascii="Century Gothic" w:hAnsi="Century Gothic" w:cs="Arial"/>
          <w:sz w:val="18"/>
          <w:szCs w:val="18"/>
        </w:rPr>
        <w:footnoteRef/>
      </w:r>
      <w:r w:rsidRPr="00341251">
        <w:rPr>
          <w:rFonts w:ascii="Century Gothic" w:hAnsi="Century Gothic" w:cs="Arial"/>
          <w:sz w:val="18"/>
          <w:szCs w:val="18"/>
        </w:rPr>
        <w:t xml:space="preserve"> </w:t>
      </w:r>
      <w:r w:rsidRPr="00341251">
        <w:rPr>
          <w:rFonts w:ascii="Century Gothic" w:hAnsi="Century Gothic" w:cs="Arial"/>
          <w:sz w:val="18"/>
          <w:szCs w:val="18"/>
          <w:lang w:val="es-CO"/>
        </w:rPr>
        <w:t xml:space="preserve">Santofimio Gamboa, Jaime Orlando (2017). “Potestad sancionatoria de la administración en materia de contratación estatal”. Montaña Plata, Alberto y Rincón Córdoba, Jorge (Ed.) </w:t>
      </w:r>
      <w:r w:rsidRPr="00341251">
        <w:rPr>
          <w:rFonts w:ascii="Century Gothic" w:hAnsi="Century Gothic" w:cs="Arial"/>
          <w:i/>
          <w:sz w:val="18"/>
          <w:szCs w:val="18"/>
          <w:lang w:val="es-CO"/>
        </w:rPr>
        <w:t xml:space="preserve">“Contratos Públicos: problemas, perspectiva y prospectivas”- </w:t>
      </w:r>
      <w:r w:rsidRPr="00341251">
        <w:rPr>
          <w:rFonts w:ascii="Century Gothic" w:hAnsi="Century Gothic" w:cs="Arial"/>
          <w:sz w:val="18"/>
          <w:szCs w:val="18"/>
          <w:lang w:val="es-CO"/>
        </w:rPr>
        <w:t>Bogotá: Universidad Externado de Colombia. 2017</w:t>
      </w:r>
    </w:p>
    <w:p w:rsidRPr="00341251" w:rsidR="0058730D" w:rsidP="0058730D" w:rsidRDefault="0058730D" w14:paraId="1A833BB0" w14:textId="77777777">
      <w:pPr>
        <w:pStyle w:val="FootnoteText"/>
        <w:ind w:firstLine="708"/>
        <w:jc w:val="both"/>
        <w:rPr>
          <w:rFonts w:ascii="Century Gothic" w:hAnsi="Century Gothic" w:cs="Arial"/>
          <w:i/>
          <w:sz w:val="18"/>
          <w:szCs w:val="18"/>
          <w:lang w:val="es-CO"/>
        </w:rPr>
      </w:pPr>
    </w:p>
  </w:footnote>
  <w:footnote w:id="11">
    <w:p w:rsidRPr="00341251" w:rsidR="0058730D" w:rsidP="0058730D" w:rsidRDefault="0058730D" w14:paraId="379592E6" w14:textId="77777777">
      <w:pPr>
        <w:pStyle w:val="FootnoteText"/>
        <w:ind w:firstLine="708"/>
        <w:jc w:val="both"/>
        <w:rPr>
          <w:rFonts w:ascii="Century Gothic" w:hAnsi="Century Gothic" w:cs="Arial"/>
          <w:sz w:val="18"/>
          <w:szCs w:val="18"/>
          <w:lang w:val="es-CO"/>
        </w:rPr>
      </w:pPr>
      <w:r w:rsidRPr="00341251">
        <w:rPr>
          <w:rStyle w:val="FootnoteReference"/>
          <w:rFonts w:ascii="Century Gothic" w:hAnsi="Century Gothic" w:cs="Arial"/>
          <w:sz w:val="18"/>
          <w:szCs w:val="18"/>
        </w:rPr>
        <w:footnoteRef/>
      </w:r>
      <w:r w:rsidRPr="00341251">
        <w:rPr>
          <w:rFonts w:ascii="Century Gothic" w:hAnsi="Century Gothic" w:cs="Arial"/>
          <w:sz w:val="18"/>
          <w:szCs w:val="18"/>
        </w:rPr>
        <w:t xml:space="preserve"> Corte Constitucional, sentencia de acción de tutela del 13 de septiembre de 2010. Magistrado Ponente: Jorge Ignacio Pretelt.</w:t>
      </w:r>
    </w:p>
  </w:footnote>
  <w:footnote w:id="12">
    <w:p w:rsidRPr="00341251" w:rsidR="0058730D" w:rsidP="0058730D" w:rsidRDefault="0058730D" w14:paraId="003151BB" w14:textId="77777777">
      <w:pPr>
        <w:pStyle w:val="FootnoteText"/>
        <w:ind w:firstLine="708"/>
        <w:contextualSpacing/>
        <w:jc w:val="both"/>
        <w:rPr>
          <w:rFonts w:ascii="Century Gothic" w:hAnsi="Century Gothic" w:cs="Arial"/>
          <w:sz w:val="18"/>
          <w:szCs w:val="18"/>
        </w:rPr>
      </w:pPr>
      <w:r w:rsidRPr="00341251">
        <w:rPr>
          <w:rStyle w:val="FootnoteReference"/>
          <w:rFonts w:ascii="Century Gothic" w:hAnsi="Century Gothic" w:cs="Arial"/>
          <w:sz w:val="18"/>
          <w:szCs w:val="18"/>
        </w:rPr>
        <w:footnoteRef/>
      </w:r>
      <w:r w:rsidRPr="00341251">
        <w:rPr>
          <w:rFonts w:ascii="Century Gothic" w:hAnsi="Century Gothic" w:cs="Arial"/>
          <w:sz w:val="18"/>
          <w:szCs w:val="18"/>
        </w:rPr>
        <w:t xml:space="preserve"> Código de Comercio: “Artículo 1081. La prescripción de las acciones que se derivan del contrato de seguro o de las disposiciones que lo rigen podrá ser ordinaria o extraordinaria.</w:t>
      </w:r>
    </w:p>
    <w:p w:rsidRPr="00341251" w:rsidR="0058730D" w:rsidP="0058730D" w:rsidRDefault="0058730D" w14:paraId="7F19340B" w14:textId="77777777">
      <w:pPr>
        <w:pStyle w:val="FootnoteText"/>
        <w:ind w:firstLine="708"/>
        <w:contextualSpacing/>
        <w:jc w:val="both"/>
        <w:rPr>
          <w:rFonts w:ascii="Century Gothic" w:hAnsi="Century Gothic" w:cs="Arial"/>
          <w:sz w:val="18"/>
          <w:szCs w:val="18"/>
        </w:rPr>
      </w:pPr>
      <w:r w:rsidRPr="00341251">
        <w:rPr>
          <w:rFonts w:ascii="Century Gothic" w:hAnsi="Century Gothic" w:cs="Arial"/>
          <w:sz w:val="18"/>
          <w:szCs w:val="18"/>
        </w:rPr>
        <w:t>La prescripción ordinaria será de dos años y empezará a correr desde el momento en que el interesado haya tenido o debido tener conocimiento del hecho que da base a la acción.</w:t>
      </w:r>
    </w:p>
    <w:p w:rsidRPr="00341251" w:rsidR="0058730D" w:rsidP="0058730D" w:rsidRDefault="0058730D" w14:paraId="04EE8449" w14:textId="77777777">
      <w:pPr>
        <w:pStyle w:val="FootnoteText"/>
        <w:ind w:firstLine="708"/>
        <w:contextualSpacing/>
        <w:jc w:val="both"/>
        <w:rPr>
          <w:rFonts w:ascii="Century Gothic" w:hAnsi="Century Gothic" w:cs="Arial"/>
          <w:sz w:val="18"/>
          <w:szCs w:val="18"/>
        </w:rPr>
      </w:pPr>
      <w:r w:rsidRPr="00341251">
        <w:rPr>
          <w:rFonts w:ascii="Century Gothic" w:hAnsi="Century Gothic" w:cs="Arial"/>
          <w:sz w:val="18"/>
          <w:szCs w:val="18"/>
        </w:rPr>
        <w:t>La prescripción extraordinaria será de cinco años, correrá contra toda clase de personas y empezará a contarse desde el momento en que nace el respectivo derecho.</w:t>
      </w:r>
    </w:p>
    <w:p w:rsidRPr="00341251" w:rsidR="0058730D" w:rsidP="0058730D" w:rsidRDefault="0058730D" w14:paraId="4D5590CD" w14:textId="77777777">
      <w:pPr>
        <w:pStyle w:val="FootnoteText"/>
        <w:ind w:firstLine="708"/>
        <w:contextualSpacing/>
        <w:jc w:val="both"/>
        <w:rPr>
          <w:rFonts w:ascii="Century Gothic" w:hAnsi="Century Gothic" w:cs="Arial"/>
          <w:sz w:val="18"/>
          <w:szCs w:val="18"/>
        </w:rPr>
      </w:pPr>
      <w:r w:rsidRPr="00341251">
        <w:rPr>
          <w:rFonts w:ascii="Century Gothic" w:hAnsi="Century Gothic" w:cs="Arial"/>
          <w:sz w:val="18"/>
          <w:szCs w:val="18"/>
        </w:rPr>
        <w:t xml:space="preserve">Estos términos no pueden ser modificados por las partes”.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56841" w:rsidRDefault="00BD15D4" w14:paraId="6ED12154" w14:textId="5D0C20C7">
    <w:pPr>
      <w:pStyle w:val="Header"/>
    </w:pPr>
    <w:r>
      <w:rPr>
        <w:noProof/>
        <w:lang w:eastAsia="es-CO"/>
      </w:rPr>
      <w:drawing>
        <wp:anchor distT="0" distB="0" distL="114300" distR="114300" simplePos="0" relativeHeight="251658240" behindDoc="1" locked="0" layoutInCell="1" allowOverlap="1" wp14:anchorId="748FC4A6" wp14:editId="19FCB529">
          <wp:simplePos x="0" y="0"/>
          <wp:positionH relativeFrom="margin">
            <wp:posOffset>3808040</wp:posOffset>
          </wp:positionH>
          <wp:positionV relativeFrom="margin">
            <wp:posOffset>-1521184</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sidR="002962BC">
      <w:rPr>
        <w:rFonts w:ascii="Geomanist Bold" w:hAnsi="Geomanist Bold"/>
        <w:b/>
        <w:bCs/>
        <w:noProof/>
        <w:color w:val="46589C"/>
        <w:sz w:val="24"/>
        <w:szCs w:val="24"/>
        <w:lang w:eastAsia="es-CO"/>
      </w:rPr>
      <w:drawing>
        <wp:anchor distT="0" distB="0" distL="114300" distR="114300" simplePos="0" relativeHeight="251658244" behindDoc="0" locked="0" layoutInCell="1" allowOverlap="1" wp14:anchorId="7E9042C1" wp14:editId="08BF0B10">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lang w:eastAsia="es-CO"/>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lang w:eastAsia="es-CO"/>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rsidR="00756841" w:rsidRDefault="00756841" w14:paraId="435F4D03" w14:textId="56BAF314">
    <w:pPr>
      <w:pStyle w:val="Header"/>
    </w:pPr>
  </w:p>
  <w:p w:rsidR="00756841" w:rsidRDefault="00756841" w14:paraId="1BE2B9AE" w14:textId="4B94DB3B">
    <w:pPr>
      <w:pStyle w:val="Header"/>
    </w:pPr>
  </w:p>
  <w:p w:rsidRPr="004A305D" w:rsidR="004A305D" w:rsidP="004A305D" w:rsidRDefault="004A305D" w14:paraId="7FE1230C" w14:textId="77777777">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rsidRPr="004A305D" w:rsidR="004A305D" w:rsidP="00BD15D4" w:rsidRDefault="004A305D" w14:paraId="7B0A8834" w14:textId="3B0E5F1B">
    <w:pPr>
      <w:pBdr>
        <w:top w:val="nil"/>
        <w:left w:val="nil"/>
        <w:bottom w:val="nil"/>
        <w:right w:val="nil"/>
        <w:between w:val="nil"/>
      </w:pBdr>
      <w:tabs>
        <w:tab w:val="center" w:pos="4419"/>
        <w:tab w:val="right" w:pos="8838"/>
        <w:tab w:val="center" w:pos="5400"/>
      </w:tabs>
      <w:spacing w:after="0"/>
      <w:rPr>
        <w:rFonts w:ascii="Century Gothic" w:hAnsi="Century Gothic" w:eastAsia="Geo" w:cs="Geo"/>
        <w:b/>
        <w:color w:val="002060"/>
        <w:sz w:val="16"/>
        <w:szCs w:val="16"/>
        <w:lang w:eastAsia="es-CO"/>
      </w:rPr>
    </w:pPr>
    <w:r w:rsidRPr="004A305D">
      <w:rPr>
        <w:rFonts w:ascii="Century Gothic" w:hAnsi="Century Gothic" w:eastAsia="Geo" w:cs="Geo"/>
        <w:b/>
        <w:color w:val="000000"/>
        <w:sz w:val="16"/>
        <w:szCs w:val="16"/>
        <w:lang w:eastAsia="es-CO"/>
      </w:rPr>
      <w:t xml:space="preserve">Código: </w:t>
    </w:r>
    <w:r w:rsidRPr="004A305D">
      <w:rPr>
        <w:rFonts w:ascii="Century Gothic" w:hAnsi="Century Gothic" w:eastAsia="Geo" w:cs="Geo"/>
        <w:bCs/>
        <w:color w:val="000000"/>
        <w:sz w:val="16"/>
        <w:szCs w:val="16"/>
        <w:lang w:eastAsia="es-CO"/>
      </w:rPr>
      <w:t>CCE-</w:t>
    </w:r>
    <w:r w:rsidR="00CB6357">
      <w:rPr>
        <w:rFonts w:ascii="Century Gothic" w:hAnsi="Century Gothic" w:eastAsia="Geo" w:cs="Geo"/>
        <w:bCs/>
        <w:color w:val="000000"/>
        <w:sz w:val="16"/>
        <w:szCs w:val="16"/>
        <w:lang w:eastAsia="es-CO"/>
      </w:rPr>
      <w:t>REC</w:t>
    </w:r>
    <w:r w:rsidRPr="004A305D">
      <w:rPr>
        <w:rFonts w:ascii="Century Gothic" w:hAnsi="Century Gothic" w:eastAsia="Geo" w:cs="Geo"/>
        <w:bCs/>
        <w:color w:val="000000"/>
        <w:sz w:val="16"/>
        <w:szCs w:val="16"/>
        <w:lang w:eastAsia="es-CO"/>
      </w:rPr>
      <w:t>-FM-</w:t>
    </w:r>
    <w:r w:rsidR="00CB6357">
      <w:rPr>
        <w:rFonts w:ascii="Century Gothic" w:hAnsi="Century Gothic" w:eastAsia="Geo" w:cs="Geo"/>
        <w:bCs/>
        <w:color w:val="000000"/>
        <w:sz w:val="16"/>
        <w:szCs w:val="16"/>
        <w:lang w:eastAsia="es-CO"/>
      </w:rPr>
      <w:t>1</w:t>
    </w:r>
    <w:r w:rsidR="005B5D8B">
      <w:rPr>
        <w:rFonts w:ascii="Century Gothic" w:hAnsi="Century Gothic" w:eastAsia="Geo" w:cs="Geo"/>
        <w:bCs/>
        <w:color w:val="000000"/>
        <w:sz w:val="16"/>
        <w:szCs w:val="16"/>
        <w:lang w:eastAsia="es-CO"/>
      </w:rPr>
      <w:t>7</w:t>
    </w:r>
  </w:p>
  <w:p w:rsidR="008A446D" w:rsidP="005B5D8B" w:rsidRDefault="004A305D" w14:paraId="1FD1C243" w14:textId="4F629FA9">
    <w:pPr>
      <w:spacing w:after="0"/>
      <w:rPr>
        <w:rFonts w:ascii="Century Gothic" w:hAnsi="Century Gothic" w:eastAsia="Geo" w:cs="Geo"/>
        <w:sz w:val="16"/>
        <w:szCs w:val="16"/>
        <w:lang w:eastAsia="es-CO"/>
      </w:rPr>
    </w:pPr>
    <w:r w:rsidRPr="004A305D">
      <w:rPr>
        <w:rFonts w:ascii="Century Gothic" w:hAnsi="Century Gothic" w:eastAsia="Geo" w:cs="Geo"/>
        <w:b/>
        <w:color w:val="000000"/>
        <w:sz w:val="16"/>
        <w:szCs w:val="16"/>
        <w:lang w:eastAsia="es-CO"/>
      </w:rPr>
      <w:t>Versión</w:t>
    </w:r>
    <w:r w:rsidRPr="004A305D">
      <w:rPr>
        <w:rFonts w:ascii="Century Gothic" w:hAnsi="Century Gothic" w:eastAsia="Arial Nova" w:cs="Arial Nova"/>
        <w:b/>
        <w:color w:val="000000"/>
        <w:sz w:val="16"/>
        <w:szCs w:val="16"/>
        <w:lang w:eastAsia="es-CO"/>
      </w:rPr>
      <w:t xml:space="preserve">: </w:t>
    </w:r>
    <w:r w:rsidRPr="004A305D" w:rsidR="005B5D8B">
      <w:rPr>
        <w:rFonts w:ascii="Century Gothic" w:hAnsi="Century Gothic" w:eastAsia="Geo" w:cs="Geo"/>
        <w:sz w:val="16"/>
        <w:szCs w:val="16"/>
        <w:lang w:eastAsia="es-CO"/>
      </w:rPr>
      <w:t>0</w:t>
    </w:r>
    <w:r w:rsidR="005B5D8B">
      <w:rPr>
        <w:rFonts w:ascii="Century Gothic" w:hAnsi="Century Gothic" w:eastAsia="Geo" w:cs="Geo"/>
        <w:sz w:val="16"/>
        <w:szCs w:val="16"/>
        <w:lang w:eastAsia="es-CO"/>
      </w:rPr>
      <w:t>2</w:t>
    </w:r>
    <w:r w:rsidRPr="004A305D" w:rsidR="005B5D8B">
      <w:rPr>
        <w:rFonts w:ascii="Century Gothic" w:hAnsi="Century Gothic" w:eastAsia="Geo" w:cs="Geo"/>
        <w:sz w:val="16"/>
        <w:szCs w:val="16"/>
        <w:lang w:eastAsia="es-CO"/>
      </w:rPr>
      <w:t xml:space="preserve"> DEL </w:t>
    </w:r>
    <w:r w:rsidR="005B5D8B">
      <w:rPr>
        <w:rFonts w:ascii="Century Gothic" w:hAnsi="Century Gothic" w:eastAsia="Geo" w:cs="Geo"/>
        <w:sz w:val="16"/>
        <w:szCs w:val="16"/>
        <w:lang w:eastAsia="es-CO"/>
      </w:rPr>
      <w:t xml:space="preserve">22 </w:t>
    </w:r>
    <w:r w:rsidRPr="004A305D" w:rsidR="005B5D8B">
      <w:rPr>
        <w:rFonts w:ascii="Century Gothic" w:hAnsi="Century Gothic" w:eastAsia="Geo" w:cs="Geo"/>
        <w:sz w:val="16"/>
        <w:szCs w:val="16"/>
        <w:lang w:eastAsia="es-CO"/>
      </w:rPr>
      <w:t xml:space="preserve">DE </w:t>
    </w:r>
    <w:r w:rsidR="005B5D8B">
      <w:rPr>
        <w:rFonts w:ascii="Century Gothic" w:hAnsi="Century Gothic" w:eastAsia="Geo" w:cs="Geo"/>
        <w:sz w:val="16"/>
        <w:szCs w:val="16"/>
        <w:lang w:eastAsia="es-CO"/>
      </w:rPr>
      <w:t>AGOSTO</w:t>
    </w:r>
    <w:r w:rsidRPr="004A305D" w:rsidR="005B5D8B">
      <w:rPr>
        <w:rFonts w:ascii="Century Gothic" w:hAnsi="Century Gothic" w:eastAsia="Geo" w:cs="Geo"/>
        <w:sz w:val="16"/>
        <w:szCs w:val="16"/>
        <w:lang w:eastAsia="es-CO"/>
      </w:rPr>
      <w:t xml:space="preserve"> DE 202</w:t>
    </w:r>
    <w:r w:rsidR="005B5D8B">
      <w:rPr>
        <w:rFonts w:ascii="Century Gothic" w:hAnsi="Century Gothic" w:eastAsia="Geo" w:cs="Geo"/>
        <w:sz w:val="16"/>
        <w:szCs w:val="16"/>
        <w:lang w:eastAsia="es-CO"/>
      </w:rPr>
      <w:t>3</w:t>
    </w:r>
  </w:p>
  <w:p w:rsidR="00BD15D4" w:rsidP="005B5D8B" w:rsidRDefault="00BD15D4" w14:paraId="1593FC60" w14:textId="7702D566">
    <w:pPr>
      <w:spacing w:after="0"/>
      <w:rPr>
        <w:rFonts w:ascii="Century Gothic" w:hAnsi="Century Gothic" w:eastAsia="Geo" w:cs="Geo"/>
        <w:sz w:val="16"/>
        <w:szCs w:val="16"/>
        <w:lang w:eastAsia="es-CO"/>
      </w:rPr>
    </w:pPr>
  </w:p>
  <w:p w:rsidRPr="00C330EB" w:rsidR="00BD15D4" w:rsidP="00BD15D4" w:rsidRDefault="00BD15D4" w14:paraId="313E28CD" w14:textId="0EAE12F4">
    <w:pPr>
      <w:spacing w:after="0"/>
      <w:rPr>
        <w:rFonts w:ascii="Century Gothic" w:hAnsi="Century Gothic"/>
      </w:rPr>
    </w:pPr>
    <w:r>
      <w:tab/>
    </w:r>
  </w:p>
  <w:p w:rsidR="00BD15D4" w:rsidP="005B5D8B" w:rsidRDefault="00BD15D4" w14:paraId="42C1A9F5" w14:textId="77777777">
    <w:pPr>
      <w:spacing w:after="0"/>
      <w:rPr>
        <w:rFonts w:ascii="Century Gothic" w:hAnsi="Century Gothic" w:eastAsia="Geo" w:cs="Geo"/>
        <w:sz w:val="16"/>
        <w:szCs w:val="16"/>
        <w:lang w:eastAsia="es-CO"/>
      </w:rPr>
    </w:pPr>
  </w:p>
  <w:p w:rsidRPr="005B5D8B" w:rsidR="005B5D8B" w:rsidP="005B5D8B" w:rsidRDefault="005B5D8B" w14:paraId="3DBCDD3E" w14:textId="77777777">
    <w:pPr>
      <w:spacing w:after="0"/>
      <w:rPr>
        <w:rFonts w:ascii="Century Gothic" w:hAnsi="Century Gothic" w:eastAsia="Geo" w:cs="Geo"/>
        <w:sz w:val="16"/>
        <w:szCs w:val="16"/>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hint="default" w:ascii="Arial" w:hAnsi="Arial" w:eastAsia="Times New Roman" w:cs="Arial"/>
        <w:b/>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2"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981954">
    <w:abstractNumId w:val="3"/>
  </w:num>
  <w:num w:numId="2" w16cid:durableId="486676265">
    <w:abstractNumId w:val="1"/>
  </w:num>
  <w:num w:numId="3" w16cid:durableId="608313202">
    <w:abstractNumId w:val="2"/>
  </w:num>
  <w:num w:numId="4" w16cid:durableId="2667437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6877461">
    <w:abstractNumId w:val="1"/>
  </w:num>
  <w:num w:numId="6" w16cid:durableId="1200699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dirty"/>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47"/>
    <w:rsid w:val="00004600"/>
    <w:rsid w:val="00047E06"/>
    <w:rsid w:val="00055E15"/>
    <w:rsid w:val="00063C2C"/>
    <w:rsid w:val="000676AE"/>
    <w:rsid w:val="000845E1"/>
    <w:rsid w:val="0009306C"/>
    <w:rsid w:val="000A683E"/>
    <w:rsid w:val="000B19B9"/>
    <w:rsid w:val="000D0334"/>
    <w:rsid w:val="000E4714"/>
    <w:rsid w:val="000F0041"/>
    <w:rsid w:val="000F6486"/>
    <w:rsid w:val="00116CC8"/>
    <w:rsid w:val="00122DEC"/>
    <w:rsid w:val="00125105"/>
    <w:rsid w:val="001262B9"/>
    <w:rsid w:val="00127233"/>
    <w:rsid w:val="00130414"/>
    <w:rsid w:val="00143B19"/>
    <w:rsid w:val="0016328B"/>
    <w:rsid w:val="00166A10"/>
    <w:rsid w:val="00181717"/>
    <w:rsid w:val="00187C47"/>
    <w:rsid w:val="00193299"/>
    <w:rsid w:val="001A0ED6"/>
    <w:rsid w:val="001B091B"/>
    <w:rsid w:val="001C2337"/>
    <w:rsid w:val="001C5630"/>
    <w:rsid w:val="001D7858"/>
    <w:rsid w:val="001E4177"/>
    <w:rsid w:val="001F43ED"/>
    <w:rsid w:val="002254E8"/>
    <w:rsid w:val="002306DC"/>
    <w:rsid w:val="00235AA5"/>
    <w:rsid w:val="00236F2A"/>
    <w:rsid w:val="00282C54"/>
    <w:rsid w:val="00294666"/>
    <w:rsid w:val="002951A0"/>
    <w:rsid w:val="002962BC"/>
    <w:rsid w:val="002A093D"/>
    <w:rsid w:val="002A386C"/>
    <w:rsid w:val="002A49AC"/>
    <w:rsid w:val="002A64FD"/>
    <w:rsid w:val="002B5ED7"/>
    <w:rsid w:val="002B7C77"/>
    <w:rsid w:val="002C42C7"/>
    <w:rsid w:val="002C7A84"/>
    <w:rsid w:val="002D46BC"/>
    <w:rsid w:val="002D4FC0"/>
    <w:rsid w:val="002E29F3"/>
    <w:rsid w:val="00321CCD"/>
    <w:rsid w:val="00330841"/>
    <w:rsid w:val="003309FE"/>
    <w:rsid w:val="00336519"/>
    <w:rsid w:val="00336ECB"/>
    <w:rsid w:val="003435FF"/>
    <w:rsid w:val="003448F4"/>
    <w:rsid w:val="00350A67"/>
    <w:rsid w:val="00360EFA"/>
    <w:rsid w:val="00361797"/>
    <w:rsid w:val="003838EC"/>
    <w:rsid w:val="00395D82"/>
    <w:rsid w:val="003A779E"/>
    <w:rsid w:val="003D0F4D"/>
    <w:rsid w:val="003D42DD"/>
    <w:rsid w:val="003E0499"/>
    <w:rsid w:val="003E0714"/>
    <w:rsid w:val="003F3941"/>
    <w:rsid w:val="00400548"/>
    <w:rsid w:val="00431FA3"/>
    <w:rsid w:val="0043424C"/>
    <w:rsid w:val="004368BC"/>
    <w:rsid w:val="00445F0E"/>
    <w:rsid w:val="00451032"/>
    <w:rsid w:val="00453D5C"/>
    <w:rsid w:val="00470F11"/>
    <w:rsid w:val="00474F0B"/>
    <w:rsid w:val="00494D22"/>
    <w:rsid w:val="004A1847"/>
    <w:rsid w:val="004A305D"/>
    <w:rsid w:val="004A3790"/>
    <w:rsid w:val="004F21C4"/>
    <w:rsid w:val="004F2923"/>
    <w:rsid w:val="004F685F"/>
    <w:rsid w:val="00502FA0"/>
    <w:rsid w:val="00503FD8"/>
    <w:rsid w:val="00515ACB"/>
    <w:rsid w:val="005228AA"/>
    <w:rsid w:val="00533E8F"/>
    <w:rsid w:val="00540ACD"/>
    <w:rsid w:val="00545F1D"/>
    <w:rsid w:val="005566E8"/>
    <w:rsid w:val="005735FA"/>
    <w:rsid w:val="00574867"/>
    <w:rsid w:val="0058730D"/>
    <w:rsid w:val="005A6AA1"/>
    <w:rsid w:val="005B5D8B"/>
    <w:rsid w:val="005C5CDC"/>
    <w:rsid w:val="005D476C"/>
    <w:rsid w:val="005D79A3"/>
    <w:rsid w:val="005E04CD"/>
    <w:rsid w:val="005F14DE"/>
    <w:rsid w:val="0060181F"/>
    <w:rsid w:val="00606854"/>
    <w:rsid w:val="00607D66"/>
    <w:rsid w:val="00616356"/>
    <w:rsid w:val="006219F8"/>
    <w:rsid w:val="00625C88"/>
    <w:rsid w:val="0063795B"/>
    <w:rsid w:val="00657A45"/>
    <w:rsid w:val="0066425E"/>
    <w:rsid w:val="00665D70"/>
    <w:rsid w:val="0068530C"/>
    <w:rsid w:val="0068773D"/>
    <w:rsid w:val="006E79BC"/>
    <w:rsid w:val="00706C16"/>
    <w:rsid w:val="00713DE0"/>
    <w:rsid w:val="00727370"/>
    <w:rsid w:val="0074005B"/>
    <w:rsid w:val="00750609"/>
    <w:rsid w:val="00756841"/>
    <w:rsid w:val="00763C80"/>
    <w:rsid w:val="007649AB"/>
    <w:rsid w:val="00765DDC"/>
    <w:rsid w:val="007764A7"/>
    <w:rsid w:val="007769ED"/>
    <w:rsid w:val="007833AC"/>
    <w:rsid w:val="007B2B76"/>
    <w:rsid w:val="007B7171"/>
    <w:rsid w:val="007C3DC2"/>
    <w:rsid w:val="007C7BF9"/>
    <w:rsid w:val="007D4429"/>
    <w:rsid w:val="007D48EC"/>
    <w:rsid w:val="007E4B93"/>
    <w:rsid w:val="007E5497"/>
    <w:rsid w:val="007E61D7"/>
    <w:rsid w:val="007F3AA9"/>
    <w:rsid w:val="00801DA6"/>
    <w:rsid w:val="00806F5F"/>
    <w:rsid w:val="00814D07"/>
    <w:rsid w:val="00820278"/>
    <w:rsid w:val="00821A75"/>
    <w:rsid w:val="0084062F"/>
    <w:rsid w:val="008472CA"/>
    <w:rsid w:val="00851612"/>
    <w:rsid w:val="00857BA2"/>
    <w:rsid w:val="008843B6"/>
    <w:rsid w:val="00891928"/>
    <w:rsid w:val="008955A9"/>
    <w:rsid w:val="008A153B"/>
    <w:rsid w:val="008A19E6"/>
    <w:rsid w:val="008A446D"/>
    <w:rsid w:val="008C2A82"/>
    <w:rsid w:val="008F0EA7"/>
    <w:rsid w:val="00923EEF"/>
    <w:rsid w:val="00935E98"/>
    <w:rsid w:val="009419F9"/>
    <w:rsid w:val="00943540"/>
    <w:rsid w:val="0094553A"/>
    <w:rsid w:val="00961B09"/>
    <w:rsid w:val="009647DF"/>
    <w:rsid w:val="00965334"/>
    <w:rsid w:val="009664CC"/>
    <w:rsid w:val="0097093E"/>
    <w:rsid w:val="00980308"/>
    <w:rsid w:val="00984CDC"/>
    <w:rsid w:val="009A50A8"/>
    <w:rsid w:val="009A5200"/>
    <w:rsid w:val="009A6A53"/>
    <w:rsid w:val="009C71FA"/>
    <w:rsid w:val="009C72E7"/>
    <w:rsid w:val="009F672A"/>
    <w:rsid w:val="00A1311D"/>
    <w:rsid w:val="00A1737D"/>
    <w:rsid w:val="00A17F13"/>
    <w:rsid w:val="00A20739"/>
    <w:rsid w:val="00A22CE1"/>
    <w:rsid w:val="00A33C78"/>
    <w:rsid w:val="00A4188A"/>
    <w:rsid w:val="00A47375"/>
    <w:rsid w:val="00A5087E"/>
    <w:rsid w:val="00A5510D"/>
    <w:rsid w:val="00A6586B"/>
    <w:rsid w:val="00A8154E"/>
    <w:rsid w:val="00AB0ADB"/>
    <w:rsid w:val="00AD1FEC"/>
    <w:rsid w:val="00AD5E99"/>
    <w:rsid w:val="00AD67EB"/>
    <w:rsid w:val="00AE2D11"/>
    <w:rsid w:val="00AF0549"/>
    <w:rsid w:val="00AF4B8E"/>
    <w:rsid w:val="00B02734"/>
    <w:rsid w:val="00B077E7"/>
    <w:rsid w:val="00B31DBE"/>
    <w:rsid w:val="00B37A3E"/>
    <w:rsid w:val="00B46754"/>
    <w:rsid w:val="00B72CD3"/>
    <w:rsid w:val="00B72FFF"/>
    <w:rsid w:val="00B8216D"/>
    <w:rsid w:val="00B96D43"/>
    <w:rsid w:val="00BA7926"/>
    <w:rsid w:val="00BD15D4"/>
    <w:rsid w:val="00BD2E7A"/>
    <w:rsid w:val="00BD6136"/>
    <w:rsid w:val="00BD7F72"/>
    <w:rsid w:val="00C04FB3"/>
    <w:rsid w:val="00C134D4"/>
    <w:rsid w:val="00C25F79"/>
    <w:rsid w:val="00C274C4"/>
    <w:rsid w:val="00C32929"/>
    <w:rsid w:val="00C330EB"/>
    <w:rsid w:val="00C36A93"/>
    <w:rsid w:val="00C41D02"/>
    <w:rsid w:val="00C50953"/>
    <w:rsid w:val="00C65593"/>
    <w:rsid w:val="00C734B2"/>
    <w:rsid w:val="00C754BE"/>
    <w:rsid w:val="00C766D3"/>
    <w:rsid w:val="00C96106"/>
    <w:rsid w:val="00CB6357"/>
    <w:rsid w:val="00CB79D8"/>
    <w:rsid w:val="00CC1B26"/>
    <w:rsid w:val="00CF074B"/>
    <w:rsid w:val="00D1061C"/>
    <w:rsid w:val="00D13C1F"/>
    <w:rsid w:val="00D2266C"/>
    <w:rsid w:val="00D423A2"/>
    <w:rsid w:val="00D6065E"/>
    <w:rsid w:val="00D63AC2"/>
    <w:rsid w:val="00D7383B"/>
    <w:rsid w:val="00D83588"/>
    <w:rsid w:val="00D95463"/>
    <w:rsid w:val="00DA231B"/>
    <w:rsid w:val="00DA2BDA"/>
    <w:rsid w:val="00DA3D56"/>
    <w:rsid w:val="00DA6CEE"/>
    <w:rsid w:val="00DA76DE"/>
    <w:rsid w:val="00DD12B4"/>
    <w:rsid w:val="00DD1D6F"/>
    <w:rsid w:val="00DE3E92"/>
    <w:rsid w:val="00DF4040"/>
    <w:rsid w:val="00E14EFA"/>
    <w:rsid w:val="00E16408"/>
    <w:rsid w:val="00E20894"/>
    <w:rsid w:val="00E21185"/>
    <w:rsid w:val="00E245AB"/>
    <w:rsid w:val="00E50AFE"/>
    <w:rsid w:val="00E771DC"/>
    <w:rsid w:val="00E77BE8"/>
    <w:rsid w:val="00E81F1D"/>
    <w:rsid w:val="00E8772A"/>
    <w:rsid w:val="00E90F6B"/>
    <w:rsid w:val="00E92C27"/>
    <w:rsid w:val="00EA0E3D"/>
    <w:rsid w:val="00EB4C92"/>
    <w:rsid w:val="00EE1AA8"/>
    <w:rsid w:val="00EF0A59"/>
    <w:rsid w:val="00F07F09"/>
    <w:rsid w:val="00F11637"/>
    <w:rsid w:val="00F17039"/>
    <w:rsid w:val="00F204AB"/>
    <w:rsid w:val="00F31EDC"/>
    <w:rsid w:val="00F333C9"/>
    <w:rsid w:val="00F37DB0"/>
    <w:rsid w:val="00F43808"/>
    <w:rsid w:val="00F5664F"/>
    <w:rsid w:val="00F613A2"/>
    <w:rsid w:val="00F76AFC"/>
    <w:rsid w:val="00F86DD3"/>
    <w:rsid w:val="00FB5DD1"/>
    <w:rsid w:val="00FB77A2"/>
    <w:rsid w:val="00FC2B5D"/>
    <w:rsid w:val="00FE6371"/>
    <w:rsid w:val="00FF1449"/>
    <w:rsid w:val="1D4A0FF4"/>
    <w:rsid w:val="2F38AC55"/>
    <w:rsid w:val="5F596041"/>
    <w:rsid w:val="687B05C8"/>
    <w:rsid w:val="7996B8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245AB"/>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A1847"/>
    <w:pPr>
      <w:tabs>
        <w:tab w:val="center" w:pos="4419"/>
        <w:tab w:val="right" w:pos="8838"/>
      </w:tabs>
      <w:spacing w:after="0" w:line="240" w:lineRule="auto"/>
    </w:pPr>
  </w:style>
  <w:style w:type="character" w:styleId="HeaderChar" w:customStyle="1">
    <w:name w:val="Header Char"/>
    <w:basedOn w:val="DefaultParagraphFont"/>
    <w:link w:val="Header"/>
    <w:uiPriority w:val="99"/>
    <w:rsid w:val="004A1847"/>
  </w:style>
  <w:style w:type="paragraph" w:styleId="Footer">
    <w:name w:val="footer"/>
    <w:basedOn w:val="Normal"/>
    <w:link w:val="FooterChar"/>
    <w:uiPriority w:val="99"/>
    <w:unhideWhenUsed/>
    <w:rsid w:val="004A1847"/>
    <w:pPr>
      <w:tabs>
        <w:tab w:val="center" w:pos="4419"/>
        <w:tab w:val="right" w:pos="8838"/>
      </w:tabs>
      <w:spacing w:after="0" w:line="240" w:lineRule="auto"/>
    </w:pPr>
  </w:style>
  <w:style w:type="character" w:styleId="FooterChar" w:customStyle="1">
    <w:name w:val="Footer Char"/>
    <w:basedOn w:val="DefaultParagraphFont"/>
    <w:link w:val="Footer"/>
    <w:uiPriority w:val="99"/>
    <w:rsid w:val="004A1847"/>
  </w:style>
  <w:style w:type="paragraph" w:styleId="Default" w:customStyle="1">
    <w:name w:val="Default"/>
    <w:rsid w:val="006219F8"/>
    <w:pPr>
      <w:autoSpaceDE w:val="0"/>
      <w:autoSpaceDN w:val="0"/>
      <w:adjustRightInd w:val="0"/>
      <w:spacing w:after="0" w:line="240" w:lineRule="auto"/>
    </w:pPr>
    <w:rPr>
      <w:rFonts w:ascii="Arial" w:hAnsi="Arial" w:cs="Arial"/>
      <w:color w:val="000000"/>
      <w:sz w:val="24"/>
      <w:szCs w:val="24"/>
    </w:rPr>
  </w:style>
  <w:style w:type="character" w:styleId="FootnoteTextChar" w:customStyle="1">
    <w:name w:val="Footnote Text Char"/>
    <w:aliases w:val="Ref. de nota al pie1 Char,Texto de nota al pie Char,referencia nota al pie Char,Appel note de bas de page Char,Footnotes refss Char,Footnote number Char,BVI fnr Char,Footnote Text Char Char Char Char Char Char,Footnote reference Char"/>
    <w:basedOn w:val="DefaultParagraphFont"/>
    <w:link w:val="FootnoteText"/>
    <w:uiPriority w:val="99"/>
    <w:qFormat/>
    <w:locked/>
    <w:rsid w:val="006219F8"/>
    <w:rPr>
      <w:sz w:val="20"/>
      <w:szCs w:val="20"/>
      <w:lang w:val="es-MX"/>
    </w:rPr>
  </w:style>
  <w:style w:type="paragraph" w:styleId="FootnoteText">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FootnoteTextChar"/>
    <w:uiPriority w:val="99"/>
    <w:unhideWhenUsed/>
    <w:qFormat/>
    <w:rsid w:val="006219F8"/>
    <w:pPr>
      <w:spacing w:after="0" w:line="240" w:lineRule="auto"/>
    </w:pPr>
    <w:rPr>
      <w:sz w:val="20"/>
      <w:szCs w:val="20"/>
      <w:lang w:val="es-MX"/>
    </w:rPr>
  </w:style>
  <w:style w:type="character" w:styleId="TextonotapieCar1" w:customStyle="1">
    <w:name w:val="Texto nota pie Car1"/>
    <w:basedOn w:val="DefaultParagraphFont"/>
    <w:uiPriority w:val="99"/>
    <w:semiHidden/>
    <w:rsid w:val="006219F8"/>
    <w:rPr>
      <w:sz w:val="20"/>
      <w:szCs w:val="20"/>
    </w:rPr>
  </w:style>
  <w:style w:type="character" w:styleId="FootnoteReference">
    <w:name w:val="footnote reference"/>
    <w:aliases w:val="Ref. de nota al pie 2,Ref,de nota al pie,FC,Appel note de bas de p,f,4_G,16 Point,Superscript 6 Point,Texto nota al pie,Pie de Página,Texto de nota al pi,Nota de pie,Texto de nota al p,Footnote Reference Char3,Texto nota pie Car2,F,R"/>
    <w:basedOn w:val="DefaultParagraphFont"/>
    <w:link w:val="Appelnotedebasde"/>
    <w:uiPriority w:val="99"/>
    <w:unhideWhenUsed/>
    <w:qFormat/>
    <w:rsid w:val="006219F8"/>
    <w:rPr>
      <w:vertAlign w:val="superscript"/>
    </w:rPr>
  </w:style>
  <w:style w:type="character" w:styleId="normaltextrun" w:customStyle="1">
    <w:name w:val="normaltextrun"/>
    <w:basedOn w:val="DefaultParagraphFont"/>
    <w:rsid w:val="006219F8"/>
  </w:style>
  <w:style w:type="table" w:styleId="TableGrid">
    <w:name w:val="Table Grid"/>
    <w:basedOn w:val="TableNormal"/>
    <w:uiPriority w:val="39"/>
    <w:rsid w:val="006219F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aliases w:val="Fotografía,Párrafo de lista1,Bullet List,FooterText,numbered,Paragraphe de liste1,lp1,Scitum normal,HOJA,Bolita,Párrafo de lista4,BOLADEF,Párrafo de lista3,Párrafo de lista21,BOLA,Nivel 1 OS,Colorful List Accent 1"/>
    <w:basedOn w:val="Normal"/>
    <w:link w:val="ListParagraphChar"/>
    <w:uiPriority w:val="1"/>
    <w:qFormat/>
    <w:rsid w:val="005566E8"/>
    <w:pPr>
      <w:ind w:left="720"/>
      <w:contextualSpacing/>
    </w:pPr>
    <w:rPr>
      <w:rFonts w:ascii="Geomanist Light" w:hAnsi="Geomanist Light"/>
      <w:lang w:val="es-ES"/>
    </w:rPr>
  </w:style>
  <w:style w:type="paragraph" w:styleId="Title">
    <w:name w:val="Title"/>
    <w:basedOn w:val="Normal"/>
    <w:next w:val="Normal"/>
    <w:link w:val="TitleChar"/>
    <w:uiPriority w:val="10"/>
    <w:qFormat/>
    <w:rsid w:val="005566E8"/>
    <w:pPr>
      <w:spacing w:after="0" w:line="240" w:lineRule="auto"/>
      <w:contextualSpacing/>
    </w:pPr>
    <w:rPr>
      <w:rFonts w:ascii="Geomanist" w:hAnsi="Geomanist" w:eastAsiaTheme="majorEastAsia" w:cstheme="majorBidi"/>
      <w:spacing w:val="-10"/>
      <w:kern w:val="28"/>
      <w:szCs w:val="56"/>
      <w:lang w:val="es-ES"/>
    </w:rPr>
  </w:style>
  <w:style w:type="character" w:styleId="TitleChar" w:customStyle="1">
    <w:name w:val="Title Char"/>
    <w:basedOn w:val="DefaultParagraphFont"/>
    <w:link w:val="Title"/>
    <w:uiPriority w:val="10"/>
    <w:rsid w:val="005566E8"/>
    <w:rPr>
      <w:rFonts w:ascii="Geomanist" w:hAnsi="Geomanist" w:eastAsiaTheme="majorEastAsia" w:cstheme="majorBidi"/>
      <w:spacing w:val="-10"/>
      <w:kern w:val="28"/>
      <w:szCs w:val="56"/>
      <w:lang w:val="es-ES"/>
    </w:rPr>
  </w:style>
  <w:style w:type="character" w:styleId="ui-provider" w:customStyle="1">
    <w:name w:val="ui-provider"/>
    <w:basedOn w:val="DefaultParagraphFont"/>
    <w:rsid w:val="00DA231B"/>
  </w:style>
  <w:style w:type="character" w:styleId="Hyperlink">
    <w:name w:val="Hyperlink"/>
    <w:basedOn w:val="DefaultParagraphFont"/>
    <w:uiPriority w:val="99"/>
    <w:unhideWhenUsed/>
    <w:rsid w:val="00125105"/>
    <w:rPr>
      <w:color w:val="0000FF"/>
      <w:u w:val="single"/>
    </w:rPr>
  </w:style>
  <w:style w:type="character" w:styleId="FollowedHyperlink">
    <w:name w:val="FollowedHyperlink"/>
    <w:basedOn w:val="DefaultParagraphFont"/>
    <w:uiPriority w:val="99"/>
    <w:semiHidden/>
    <w:unhideWhenUsed/>
    <w:rsid w:val="00125105"/>
    <w:rPr>
      <w:color w:val="954F72" w:themeColor="followedHyperlink"/>
      <w:u w:val="single"/>
    </w:rPr>
  </w:style>
  <w:style w:type="character" w:styleId="ListParagraphChar" w:customStyle="1">
    <w:name w:val="List Paragraph Char"/>
    <w:aliases w:val="Fotografía Char,Párrafo de lista1 Char,Bullet List Char,FooterText Char,numbered Char,Paragraphe de liste1 Char,lp1 Char,Scitum normal Char,HOJA Char,Bolita Char,Párrafo de lista4 Char,BOLADEF Char,Párrafo de lista3 Char,BOLA Char"/>
    <w:link w:val="ListParagraph"/>
    <w:uiPriority w:val="1"/>
    <w:qFormat/>
    <w:locked/>
    <w:rsid w:val="00DA2BDA"/>
    <w:rPr>
      <w:rFonts w:ascii="Geomanist Light" w:hAnsi="Geomanist Light"/>
      <w:lang w:val="es-ES"/>
    </w:rPr>
  </w:style>
  <w:style w:type="paragraph" w:styleId="Appelnotedebasde" w:customStyle="1">
    <w:name w:val="Appel note de bas de..."/>
    <w:basedOn w:val="Normal"/>
    <w:link w:val="FootnoteReference"/>
    <w:rsid w:val="00DA2BDA"/>
    <w:pPr>
      <w:spacing w:line="240" w:lineRule="exact"/>
    </w:pPr>
    <w:rPr>
      <w:vertAlign w:val="superscript"/>
    </w:rPr>
  </w:style>
  <w:style w:type="character" w:styleId="UnresolvedMention">
    <w:name w:val="Unresolved Mention"/>
    <w:basedOn w:val="DefaultParagraphFont"/>
    <w:uiPriority w:val="99"/>
    <w:semiHidden/>
    <w:unhideWhenUsed/>
    <w:rsid w:val="001C2337"/>
    <w:rPr>
      <w:color w:val="605E5C"/>
      <w:shd w:val="clear" w:color="auto" w:fill="E1DFDD"/>
    </w:rPr>
  </w:style>
  <w:style w:type="paragraph" w:styleId="NormalWeb">
    <w:name w:val="Normal (Web)"/>
    <w:basedOn w:val="Normal"/>
    <w:link w:val="NormalWebChar"/>
    <w:uiPriority w:val="99"/>
    <w:unhideWhenUsed/>
    <w:rsid w:val="002D4FC0"/>
    <w:pPr>
      <w:spacing w:line="256" w:lineRule="auto"/>
    </w:pPr>
    <w:rPr>
      <w:rFonts w:ascii="Times New Roman" w:hAnsi="Times New Roman" w:cs="Times New Roman"/>
      <w:sz w:val="24"/>
      <w:szCs w:val="24"/>
    </w:rPr>
  </w:style>
  <w:style w:type="character" w:styleId="NormalWebChar" w:customStyle="1">
    <w:name w:val="Normal (Web) Char"/>
    <w:link w:val="NormalWeb"/>
    <w:uiPriority w:val="99"/>
    <w:rsid w:val="002D4FC0"/>
    <w:rPr>
      <w:rFonts w:ascii="Times New Roman" w:hAnsi="Times New Roman" w:cs="Times New Roman"/>
      <w:sz w:val="24"/>
      <w:szCs w:val="24"/>
    </w:rPr>
  </w:style>
  <w:style w:type="table" w:styleId="Tablaconcuadrcula11" w:customStyle="1">
    <w:name w:val="Tabla con cuadrícula11"/>
    <w:basedOn w:val="TableNormal"/>
    <w:next w:val="TableGrid"/>
    <w:uiPriority w:val="59"/>
    <w:rsid w:val="002D4FC0"/>
    <w:pPr>
      <w:spacing w:after="0" w:line="24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502FA0"/>
    <w:pPr>
      <w:spacing w:after="0" w:line="240" w:lineRule="auto"/>
    </w:pPr>
  </w:style>
  <w:style w:type="character" w:styleId="CommentReference">
    <w:name w:val="annotation reference"/>
    <w:basedOn w:val="DefaultParagraphFont"/>
    <w:uiPriority w:val="99"/>
    <w:semiHidden/>
    <w:unhideWhenUsed/>
    <w:rsid w:val="00236F2A"/>
    <w:rPr>
      <w:sz w:val="16"/>
      <w:szCs w:val="16"/>
    </w:rPr>
  </w:style>
  <w:style w:type="paragraph" w:styleId="CommentText">
    <w:name w:val="annotation text"/>
    <w:basedOn w:val="Normal"/>
    <w:link w:val="CommentTextChar"/>
    <w:uiPriority w:val="99"/>
    <w:unhideWhenUsed/>
    <w:rsid w:val="00236F2A"/>
    <w:pPr>
      <w:spacing w:line="240" w:lineRule="auto"/>
    </w:pPr>
    <w:rPr>
      <w:sz w:val="20"/>
      <w:szCs w:val="20"/>
    </w:rPr>
  </w:style>
  <w:style w:type="character" w:styleId="CommentTextChar" w:customStyle="1">
    <w:name w:val="Comment Text Char"/>
    <w:basedOn w:val="DefaultParagraphFont"/>
    <w:link w:val="CommentText"/>
    <w:uiPriority w:val="99"/>
    <w:rsid w:val="00236F2A"/>
    <w:rPr>
      <w:sz w:val="20"/>
      <w:szCs w:val="20"/>
    </w:rPr>
  </w:style>
  <w:style w:type="paragraph" w:styleId="CommentSubject">
    <w:name w:val="annotation subject"/>
    <w:basedOn w:val="CommentText"/>
    <w:next w:val="CommentText"/>
    <w:link w:val="CommentSubjectChar"/>
    <w:uiPriority w:val="99"/>
    <w:semiHidden/>
    <w:unhideWhenUsed/>
    <w:rsid w:val="00236F2A"/>
    <w:rPr>
      <w:b/>
      <w:bCs/>
    </w:rPr>
  </w:style>
  <w:style w:type="character" w:styleId="CommentSubjectChar" w:customStyle="1">
    <w:name w:val="Comment Subject Char"/>
    <w:basedOn w:val="CommentTextChar"/>
    <w:link w:val="CommentSubject"/>
    <w:uiPriority w:val="99"/>
    <w:semiHidden/>
    <w:rsid w:val="00236F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29376">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95266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relatoria.colombiacompra.gov.co/ficha/C-085%20de%202022" TargetMode="External" Id="rId13" /><Relationship Type="http://schemas.openxmlformats.org/officeDocument/2006/relationships/hyperlink" Target="https://relatoria.colombiacompra.gov.co/ficha/C-034%20de%202023" TargetMode="External"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hyperlink" Target="mailto:dyesicam21@gmail.com" TargetMode="External" Id="rId12" /><Relationship Type="http://schemas.openxmlformats.org/officeDocument/2006/relationships/hyperlink" Target="https://relatoria.colombiacompra.gov.co/ficha/C%20-%20238%20de%202022" TargetMode="External" Id="rId17" /><Relationship Type="http://schemas.openxmlformats.org/officeDocument/2006/relationships/customXml" Target="../customXml/item2.xml" Id="rId2" /><Relationship Type="http://schemas.openxmlformats.org/officeDocument/2006/relationships/hyperlink" Target="https://relatoria.colombiacompra.gov.co/ficha/C-208%20de%202022"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relatoria.colombiacompra.gov.co/ficha/C-195%20de%202022"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image" Target="media/image2.png"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relatoria.colombiacompra.gov.co/ficha/C-125%20de%202022" TargetMode="External" Id="rId14" /><Relationship Type="http://schemas.openxmlformats.org/officeDocument/2006/relationships/fontTable" Target="fontTable.xml" Id="rId22" /></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UserInfo>
        <DisplayName>UsrMemex02</DisplayName>
        <AccountId>180</AccountId>
        <AccountType/>
      </UserInfo>
      <UserInfo>
        <DisplayName>Hernán Camilo Lozano Ochoa</DisplayName>
        <AccountId>287</AccountId>
        <AccountType/>
      </UserInfo>
      <UserInfo>
        <DisplayName>Ana Maria Ortiz Ballesteros</DisplayName>
        <AccountId>645</AccountId>
        <AccountType/>
      </UserInfo>
      <UserInfo>
        <DisplayName>Ximena Ríos López</DisplayName>
        <AccountId>48</AccountId>
        <AccountType/>
      </UserInfo>
      <UserInfo>
        <DisplayName>Nohelia Del Carmen Zawady Palacio</DisplayName>
        <AccountId>289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3.xml><?xml version="1.0" encoding="utf-8"?>
<ds:datastoreItem xmlns:ds="http://schemas.openxmlformats.org/officeDocument/2006/customXml" ds:itemID="{1C1F8C0A-73CE-9347-95FE-30D2A0D6A45F}">
  <ds:schemaRefs>
    <ds:schemaRef ds:uri="http://schemas.openxmlformats.org/officeDocument/2006/bibliography"/>
  </ds:schemaRefs>
</ds:datastoreItem>
</file>

<file path=customXml/itemProps4.xml><?xml version="1.0" encoding="utf-8"?>
<ds:datastoreItem xmlns:ds="http://schemas.openxmlformats.org/officeDocument/2006/customXml" ds:itemID="{B9642415-6BC9-4213-AC2E-91DB6C55418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Paula Andrea Manrique Sarmiento</cp:lastModifiedBy>
  <cp:revision>52</cp:revision>
  <cp:lastPrinted>2023-01-10T21:18:00Z</cp:lastPrinted>
  <dcterms:created xsi:type="dcterms:W3CDTF">2024-04-24T22:06:00Z</dcterms:created>
  <dcterms:modified xsi:type="dcterms:W3CDTF">2024-04-29T16:08:02Z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