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4E0D16" w:rsidR="00076E1D" w:rsidP="129D2879" w:rsidRDefault="00076E1D" w14:paraId="20147A3B" w14:textId="77777777" w14:noSpellErr="1">
      <w:pPr>
        <w:spacing w:after="0" w:afterAutospacing="off" w:line="240" w:lineRule="auto"/>
        <w:ind w:left="301"/>
        <w:jc w:val="both"/>
        <w:rPr>
          <w:b w:val="1"/>
          <w:bCs w:val="1"/>
          <w:color w:val="000000" w:themeColor="text1"/>
          <w:sz w:val="22"/>
          <w:szCs w:val="22"/>
          <w:lang w:val="es-MX"/>
        </w:rPr>
      </w:pPr>
    </w:p>
    <w:p w:rsidR="003704F5" w:rsidP="129D2879" w:rsidRDefault="003704F5" w14:paraId="0A4B0DC9" w14:textId="117B286D">
      <w:pPr>
        <w:pStyle w:val="Normal"/>
        <w:bidi w:val="0"/>
        <w:spacing w:before="0" w:beforeAutospacing="off" w:after="0" w:afterAutospacing="off" w:line="240" w:lineRule="auto"/>
        <w:ind w:left="300" w:right="300"/>
        <w:jc w:val="both"/>
        <w:rPr>
          <w:b w:val="1"/>
          <w:bCs w:val="1"/>
          <w:color w:val="000000" w:themeColor="text1" w:themeTint="FF" w:themeShade="FF"/>
          <w:sz w:val="22"/>
          <w:szCs w:val="22"/>
          <w:lang w:val="es-MX"/>
        </w:rPr>
      </w:pPr>
      <w:r w:rsidRPr="129D2879" w:rsidR="003704F5">
        <w:rPr>
          <w:b w:val="1"/>
          <w:bCs w:val="1"/>
          <w:color w:val="000000" w:themeColor="text1" w:themeTint="FF" w:themeShade="FF"/>
          <w:sz w:val="22"/>
          <w:szCs w:val="22"/>
          <w:lang w:val="es-MX"/>
        </w:rPr>
        <w:t xml:space="preserve">PLIEGO DE CONDICIONES – </w:t>
      </w:r>
      <w:r w:rsidRPr="129D2879" w:rsidR="63139620">
        <w:rPr>
          <w:b w:val="1"/>
          <w:bCs w:val="1"/>
          <w:color w:val="000000" w:themeColor="text1" w:themeTint="FF" w:themeShade="FF"/>
          <w:sz w:val="22"/>
          <w:szCs w:val="22"/>
          <w:lang w:val="es-MX"/>
        </w:rPr>
        <w:t>Contenido mínimo</w:t>
      </w:r>
    </w:p>
    <w:p w:rsidRPr="004E0D16" w:rsidR="00076E1D" w:rsidP="129D2879" w:rsidRDefault="00076E1D" w14:paraId="0CBD6407" w14:textId="77777777" w14:noSpellErr="1">
      <w:pPr>
        <w:spacing w:after="0" w:afterAutospacing="off" w:line="240" w:lineRule="auto"/>
        <w:ind w:left="300" w:right="300"/>
        <w:jc w:val="both"/>
        <w:rPr>
          <w:b w:val="1"/>
          <w:bCs w:val="1"/>
          <w:color w:val="000000" w:themeColor="text1"/>
          <w:sz w:val="22"/>
          <w:szCs w:val="22"/>
          <w:lang w:val="es-MX"/>
        </w:rPr>
      </w:pPr>
    </w:p>
    <w:p w:rsidRPr="004E0D16" w:rsidR="00B81AC1" w:rsidP="129D2879" w:rsidRDefault="003704F5" w14:paraId="5C4A41D6" w14:textId="7687E7AA" w14:noSpellErr="1">
      <w:pPr>
        <w:spacing w:after="0" w:afterAutospacing="off" w:line="240" w:lineRule="auto"/>
        <w:ind w:left="300" w:right="300"/>
        <w:jc w:val="both"/>
        <w:rPr>
          <w:color w:val="000000" w:themeColor="text1"/>
          <w:sz w:val="22"/>
          <w:szCs w:val="22"/>
          <w:lang w:val="es-MX"/>
        </w:rPr>
      </w:pPr>
      <w:r w:rsidRPr="129D2879" w:rsidR="003704F5">
        <w:rPr>
          <w:color w:val="000000" w:themeColor="text1" w:themeTint="FF" w:themeShade="FF"/>
          <w:sz w:val="22"/>
          <w:szCs w:val="22"/>
          <w:lang w:val="es-MX"/>
        </w:rPr>
        <w:t>El artículo 2.2.1.1.2.1.3. del Decreto 1082 de 2015 establece el contenido mínimo del pliego de condiciones, de acuerdo con lo que la entidad adquirirá para satisfacer sus necesidades de bienes, obras o servicios, y debe tener la información desagregada, principalmente en los siguientes ítems: i) identificación detallada del objeto contractual y con el clasificador de bienes y servicios, ii) modalidad y criterios de selección, iii) valoración económica del bien, obra o servicio, iv) reglas de la presentación y manejo de las ofertas, v) riesgos y garantías, entre otros aspectos del contrato</w:t>
      </w:r>
      <w:r w:rsidRPr="129D2879" w:rsidR="00076E1D">
        <w:rPr>
          <w:color w:val="000000" w:themeColor="text1" w:themeTint="FF" w:themeShade="FF"/>
          <w:sz w:val="22"/>
          <w:szCs w:val="22"/>
          <w:lang w:val="es-MX"/>
        </w:rPr>
        <w:t>.</w:t>
      </w:r>
    </w:p>
    <w:p w:rsidRPr="004E0D16" w:rsidR="00076E1D" w:rsidP="129D2879" w:rsidRDefault="00076E1D" w14:paraId="70012225" w14:textId="77777777" w14:noSpellErr="1">
      <w:pPr>
        <w:spacing w:after="0" w:afterAutospacing="off" w:line="240" w:lineRule="auto"/>
        <w:ind w:left="300" w:right="300"/>
        <w:jc w:val="both"/>
        <w:rPr>
          <w:b w:val="1"/>
          <w:bCs w:val="1"/>
          <w:color w:val="000000" w:themeColor="text1"/>
          <w:sz w:val="22"/>
          <w:szCs w:val="22"/>
          <w:lang w:val="es-MX"/>
        </w:rPr>
      </w:pPr>
    </w:p>
    <w:p w:rsidRPr="004E0D16" w:rsidR="00B81AC1" w:rsidP="129D2879" w:rsidRDefault="003704F5" w14:paraId="27CC9F23" w14:textId="57040D07">
      <w:pPr>
        <w:pStyle w:val="Normal"/>
        <w:spacing w:after="0" w:afterAutospacing="off" w:line="240" w:lineRule="auto"/>
        <w:ind w:left="300" w:right="300"/>
        <w:jc w:val="both"/>
        <w:rPr>
          <w:rFonts w:ascii="Arial" w:hAnsi="Arial" w:eastAsia="Arial" w:cs="Arial"/>
          <w:b w:val="1"/>
          <w:bCs w:val="1"/>
          <w:noProof w:val="0"/>
          <w:sz w:val="22"/>
          <w:szCs w:val="22"/>
          <w:lang w:val="es-MX"/>
        </w:rPr>
      </w:pPr>
      <w:r w:rsidRPr="129D2879" w:rsidR="003704F5">
        <w:rPr>
          <w:b w:val="1"/>
          <w:bCs w:val="1"/>
          <w:color w:val="000000" w:themeColor="text1" w:themeTint="FF" w:themeShade="FF"/>
          <w:sz w:val="22"/>
          <w:szCs w:val="22"/>
          <w:lang w:val="es-MX"/>
        </w:rPr>
        <w:t>CRITERIOS DE PO</w:t>
      </w:r>
      <w:r w:rsidRPr="129D2879" w:rsidR="00B81AC1">
        <w:rPr>
          <w:b w:val="1"/>
          <w:bCs w:val="1"/>
          <w:color w:val="000000" w:themeColor="text1" w:themeTint="FF" w:themeShade="FF"/>
          <w:sz w:val="22"/>
          <w:szCs w:val="22"/>
          <w:lang w:val="es-MX"/>
        </w:rPr>
        <w:t>NDERACI</w:t>
      </w:r>
      <w:r w:rsidRPr="129D2879" w:rsidR="2D2927DA">
        <w:rPr>
          <w:b w:val="1"/>
          <w:bCs w:val="1"/>
          <w:color w:val="000000" w:themeColor="text1" w:themeTint="FF" w:themeShade="FF"/>
          <w:sz w:val="22"/>
          <w:szCs w:val="22"/>
          <w:lang w:val="es-MX"/>
        </w:rPr>
        <w:t>Ó</w:t>
      </w:r>
      <w:r w:rsidRPr="129D2879" w:rsidR="00B81AC1">
        <w:rPr>
          <w:b w:val="1"/>
          <w:bCs w:val="1"/>
          <w:color w:val="000000" w:themeColor="text1" w:themeTint="FF" w:themeShade="FF"/>
          <w:sz w:val="22"/>
          <w:szCs w:val="22"/>
          <w:lang w:val="es-MX"/>
        </w:rPr>
        <w:t>N –</w:t>
      </w:r>
      <w:r w:rsidRPr="129D2879" w:rsidR="0D5C5A0E">
        <w:rPr>
          <w:b w:val="1"/>
          <w:bCs w:val="1"/>
          <w:color w:val="000000" w:themeColor="text1" w:themeTint="FF" w:themeShade="FF"/>
          <w:sz w:val="22"/>
          <w:szCs w:val="22"/>
          <w:lang w:val="es-MX"/>
        </w:rPr>
        <w:t xml:space="preserve"> </w:t>
      </w:r>
      <w:r w:rsidRPr="129D2879" w:rsidR="57B7FF3F">
        <w:rPr>
          <w:b w:val="1"/>
          <w:bCs w:val="1"/>
          <w:color w:val="000000" w:themeColor="text1" w:themeTint="FF" w:themeShade="FF"/>
          <w:sz w:val="22"/>
          <w:szCs w:val="22"/>
          <w:lang w:val="es-MX"/>
        </w:rPr>
        <w:t>Q</w:t>
      </w:r>
      <w:r w:rsidRPr="129D2879" w:rsidR="41E55951">
        <w:rPr>
          <w:b w:val="1"/>
          <w:bCs w:val="1"/>
          <w:color w:val="000000" w:themeColor="text1" w:themeTint="FF" w:themeShade="FF"/>
          <w:sz w:val="22"/>
          <w:szCs w:val="22"/>
          <w:lang w:val="es-MX"/>
        </w:rPr>
        <w:t>u</w:t>
      </w:r>
      <w:r w:rsidRPr="129D2879" w:rsidR="00B81AC1">
        <w:rPr>
          <w:b w:val="1"/>
          <w:bCs w:val="1"/>
          <w:color w:val="000000" w:themeColor="text1" w:themeTint="FF" w:themeShade="FF"/>
          <w:sz w:val="22"/>
          <w:szCs w:val="22"/>
          <w:lang w:val="es-MX"/>
        </w:rPr>
        <w:t>eja</w:t>
      </w:r>
      <w:r w:rsidRPr="129D2879" w:rsidR="4BD1F776">
        <w:rPr>
          <w:b w:val="1"/>
          <w:bCs w:val="1"/>
          <w:color w:val="000000" w:themeColor="text1" w:themeTint="FF" w:themeShade="FF"/>
          <w:sz w:val="22"/>
          <w:szCs w:val="22"/>
          <w:lang w:val="es-MX"/>
        </w:rPr>
        <w:t xml:space="preserve"> </w:t>
      </w:r>
      <w:r w:rsidRPr="129D2879" w:rsidR="66919E93">
        <w:rPr>
          <w:rFonts w:ascii="Arial" w:hAnsi="Arial" w:eastAsia="Arial" w:cs="Arial"/>
          <w:b w:val="1"/>
          <w:bCs w:val="1"/>
          <w:noProof w:val="0"/>
          <w:sz w:val="22"/>
          <w:szCs w:val="22"/>
          <w:lang w:val="es-MX"/>
        </w:rPr>
        <w:t>– Oferente – Proceso contratación precedente –</w:t>
      </w:r>
      <w:r w:rsidRPr="129D2879" w:rsidR="74EC4228">
        <w:rPr>
          <w:rFonts w:ascii="Arial" w:hAnsi="Arial" w:eastAsia="Arial" w:cs="Arial"/>
          <w:b w:val="1"/>
          <w:bCs w:val="1"/>
          <w:noProof w:val="0"/>
          <w:sz w:val="22"/>
          <w:szCs w:val="22"/>
          <w:lang w:val="es-MX"/>
        </w:rPr>
        <w:t xml:space="preserve"> Alcance </w:t>
      </w:r>
    </w:p>
    <w:p w:rsidRPr="004E0D16" w:rsidR="00076E1D" w:rsidP="129D2879" w:rsidRDefault="00076E1D" w14:paraId="568AB8D2" w14:textId="77777777" w14:noSpellErr="1">
      <w:pPr>
        <w:spacing w:after="0" w:afterAutospacing="off" w:line="240" w:lineRule="auto"/>
        <w:ind w:left="300" w:right="300"/>
        <w:jc w:val="both"/>
        <w:rPr>
          <w:b w:val="1"/>
          <w:bCs w:val="1"/>
          <w:color w:val="000000" w:themeColor="text1"/>
          <w:sz w:val="22"/>
          <w:szCs w:val="22"/>
          <w:lang w:val="es-MX"/>
        </w:rPr>
      </w:pPr>
    </w:p>
    <w:p w:rsidRPr="004E0D16" w:rsidR="00B81AC1" w:rsidP="129D2879" w:rsidRDefault="0027193C" w14:paraId="324A183B" w14:textId="15D16395">
      <w:pPr>
        <w:spacing w:after="0" w:afterAutospacing="off" w:line="240" w:lineRule="auto"/>
        <w:ind w:left="300" w:right="300"/>
        <w:jc w:val="both"/>
        <w:rPr>
          <w:color w:val="000000" w:themeColor="text1" w:themeTint="FF" w:themeShade="FF"/>
          <w:sz w:val="22"/>
          <w:szCs w:val="22"/>
          <w:lang w:val="es-MX"/>
        </w:rPr>
      </w:pPr>
      <w:r w:rsidRPr="129D2879" w:rsidR="003704F5">
        <w:rPr>
          <w:color w:val="000000" w:themeColor="text1" w:themeTint="FF" w:themeShade="FF"/>
          <w:sz w:val="22"/>
          <w:szCs w:val="22"/>
          <w:lang w:val="es-MX"/>
        </w:rPr>
        <w:t>Las quejas que haya recibido un oferente en otro proceso de contratación no están relacionadas con ningún requisito habilitante, teniendo en cuenta que en el caso de su consulta a dicho criteri</w:t>
      </w:r>
      <w:r w:rsidRPr="129D2879" w:rsidR="0027193C">
        <w:rPr>
          <w:color w:val="000000" w:themeColor="text1" w:themeTint="FF" w:themeShade="FF"/>
          <w:sz w:val="22"/>
          <w:szCs w:val="22"/>
          <w:lang w:val="es-MX"/>
        </w:rPr>
        <w:t>o se le asignó un puntaje</w:t>
      </w:r>
      <w:r w:rsidRPr="129D2879" w:rsidR="00076E1D">
        <w:rPr>
          <w:color w:val="000000" w:themeColor="text1" w:themeTint="FF" w:themeShade="FF"/>
          <w:sz w:val="22"/>
          <w:szCs w:val="22"/>
          <w:lang w:val="es-MX"/>
        </w:rPr>
        <w:t>.</w:t>
      </w:r>
    </w:p>
    <w:p w:rsidRPr="004E0D16" w:rsidR="00B81AC1" w:rsidP="129D2879" w:rsidRDefault="0027193C" w14:paraId="0F374BF4" w14:textId="6DD6C247">
      <w:pPr>
        <w:spacing w:after="0" w:afterAutospacing="off" w:line="240" w:lineRule="auto"/>
        <w:ind w:left="300" w:right="300"/>
        <w:jc w:val="both"/>
        <w:rPr>
          <w:color w:val="000000" w:themeColor="text1"/>
          <w:sz w:val="22"/>
          <w:szCs w:val="22"/>
          <w:lang w:val="es-MX"/>
        </w:rPr>
      </w:pPr>
      <w:r w:rsidRPr="129D2879" w:rsidR="0027193C">
        <w:rPr>
          <w:color w:val="000000" w:themeColor="text1" w:themeTint="FF" w:themeShade="FF"/>
          <w:sz w:val="22"/>
          <w:szCs w:val="22"/>
          <w:lang w:val="es-MX"/>
        </w:rPr>
        <w:t>La</w:t>
      </w:r>
      <w:r w:rsidRPr="129D2879" w:rsidR="003704F5">
        <w:rPr>
          <w:color w:val="000000" w:themeColor="text1" w:themeTint="FF" w:themeShade="FF"/>
          <w:sz w:val="22"/>
          <w:szCs w:val="22"/>
          <w:lang w:val="es-MX"/>
        </w:rPr>
        <w:t>s quejas recibidas hacen parte de la ejecución del proceso de contratación y no de las aptitudes del proponente para cumplir un contrato, esto es, que independientemente de la oferta, quien la presenta tiene la capacidad necesaria para aportar lo ofrecido por su conocimiento y organización tanto interna como económica, lo cual no está relacionado con lo que otros contratantes evalúan y manifiestan sobre el cumplimiento de un contrato anterior ejecutado por el contratista</w:t>
      </w:r>
      <w:r w:rsidRPr="129D2879" w:rsidR="00076E1D">
        <w:rPr>
          <w:color w:val="000000" w:themeColor="text1" w:themeTint="FF" w:themeShade="FF"/>
          <w:sz w:val="22"/>
          <w:szCs w:val="22"/>
          <w:lang w:val="es-MX"/>
        </w:rPr>
        <w:t>.</w:t>
      </w:r>
    </w:p>
    <w:p w:rsidRPr="004E0D16" w:rsidR="00076E1D" w:rsidP="129D2879" w:rsidRDefault="00076E1D" w14:paraId="659088FD" w14:textId="77777777" w14:noSpellErr="1">
      <w:pPr>
        <w:spacing w:after="0" w:afterAutospacing="off" w:line="240" w:lineRule="auto"/>
        <w:ind w:left="300" w:right="300"/>
        <w:jc w:val="both"/>
        <w:rPr>
          <w:color w:val="000000" w:themeColor="text1"/>
          <w:sz w:val="22"/>
          <w:szCs w:val="22"/>
          <w:lang w:val="es-MX"/>
        </w:rPr>
      </w:pPr>
    </w:p>
    <w:p w:rsidRPr="004E0D16" w:rsidR="00B81AC1" w:rsidP="129D2879" w:rsidRDefault="003704F5" w14:paraId="57699BB1" w14:textId="001CEB47">
      <w:pPr>
        <w:spacing w:after="0" w:afterAutospacing="off" w:line="240" w:lineRule="auto"/>
        <w:ind w:left="300" w:right="300"/>
        <w:jc w:val="both"/>
        <w:rPr>
          <w:b w:val="1"/>
          <w:bCs w:val="1"/>
          <w:color w:val="000000" w:themeColor="text1"/>
          <w:sz w:val="22"/>
          <w:szCs w:val="22"/>
          <w:lang w:val="es-MX"/>
        </w:rPr>
      </w:pPr>
      <w:r w:rsidRPr="129D2879" w:rsidR="003704F5">
        <w:rPr>
          <w:b w:val="1"/>
          <w:bCs w:val="1"/>
          <w:color w:val="000000" w:themeColor="text1" w:themeTint="FF" w:themeShade="FF"/>
          <w:sz w:val="22"/>
          <w:szCs w:val="22"/>
          <w:lang w:val="es-MX"/>
        </w:rPr>
        <w:t>OFERTA M</w:t>
      </w:r>
      <w:r w:rsidRPr="129D2879" w:rsidR="37F03DA9">
        <w:rPr>
          <w:b w:val="1"/>
          <w:bCs w:val="1"/>
          <w:color w:val="000000" w:themeColor="text1" w:themeTint="FF" w:themeShade="FF"/>
          <w:sz w:val="22"/>
          <w:szCs w:val="22"/>
          <w:lang w:val="es-MX"/>
        </w:rPr>
        <w:t>Á</w:t>
      </w:r>
      <w:r w:rsidRPr="129D2879" w:rsidR="003704F5">
        <w:rPr>
          <w:b w:val="1"/>
          <w:bCs w:val="1"/>
          <w:color w:val="000000" w:themeColor="text1" w:themeTint="FF" w:themeShade="FF"/>
          <w:sz w:val="22"/>
          <w:szCs w:val="22"/>
          <w:lang w:val="es-MX"/>
        </w:rPr>
        <w:t>S FAVORABLE – Normativa</w:t>
      </w:r>
    </w:p>
    <w:p w:rsidRPr="004E0D16" w:rsidR="00076E1D" w:rsidP="129D2879" w:rsidRDefault="00076E1D" w14:paraId="71B407CE" w14:textId="77777777" w14:noSpellErr="1">
      <w:pPr>
        <w:spacing w:after="0" w:afterAutospacing="off" w:line="240" w:lineRule="auto"/>
        <w:ind w:left="300" w:right="300"/>
        <w:jc w:val="both"/>
        <w:rPr>
          <w:b w:val="1"/>
          <w:bCs w:val="1"/>
          <w:color w:val="000000" w:themeColor="text1"/>
          <w:sz w:val="22"/>
          <w:szCs w:val="22"/>
          <w:lang w:val="es-MX"/>
        </w:rPr>
      </w:pPr>
    </w:p>
    <w:p w:rsidRPr="004E0D16" w:rsidR="0027193C" w:rsidP="129D2879" w:rsidRDefault="003704F5" w14:paraId="0986BD28" w14:textId="77777777" w14:noSpellErr="1">
      <w:pPr>
        <w:spacing w:after="0" w:afterAutospacing="off" w:line="240" w:lineRule="auto"/>
        <w:ind w:left="300" w:right="300"/>
        <w:jc w:val="both"/>
        <w:rPr>
          <w:color w:val="000000" w:themeColor="text1"/>
          <w:sz w:val="22"/>
          <w:szCs w:val="22"/>
          <w:lang w:val="es-MX"/>
        </w:rPr>
      </w:pPr>
      <w:r w:rsidRPr="129D2879" w:rsidR="003704F5">
        <w:rPr>
          <w:color w:val="000000" w:themeColor="text1" w:themeTint="FF" w:themeShade="FF"/>
          <w:sz w:val="22"/>
          <w:szCs w:val="22"/>
          <w:lang w:val="es-MX"/>
        </w:rPr>
        <w:t xml:space="preserve">El artículo 5 de la Ley 1150 de 2007 dispone como regla el concepto de oferta más favorable para indicarle a las entidades lo que deben tener en cuenta </w:t>
      </w:r>
      <w:r w:rsidRPr="129D2879" w:rsidR="0027193C">
        <w:rPr>
          <w:color w:val="000000" w:themeColor="text1" w:themeTint="FF" w:themeShade="FF"/>
          <w:sz w:val="22"/>
          <w:szCs w:val="22"/>
          <w:lang w:val="es-MX"/>
        </w:rPr>
        <w:t xml:space="preserve">para seleccionar la oferta. </w:t>
      </w:r>
    </w:p>
    <w:p w:rsidRPr="004E0D16" w:rsidR="00B81AC1" w:rsidP="129D2879" w:rsidRDefault="003704F5" w14:paraId="11135192" w14:textId="0915AD30" w14:noSpellErr="1">
      <w:pPr>
        <w:spacing w:after="0" w:afterAutospacing="off" w:line="240" w:lineRule="auto"/>
        <w:ind w:left="300" w:right="300"/>
        <w:jc w:val="both"/>
        <w:rPr>
          <w:color w:val="000000" w:themeColor="text1"/>
          <w:sz w:val="22"/>
          <w:szCs w:val="22"/>
          <w:lang w:val="es-MX"/>
        </w:rPr>
      </w:pPr>
      <w:r w:rsidRPr="129D2879" w:rsidR="003704F5">
        <w:rPr>
          <w:color w:val="000000" w:themeColor="text1" w:themeTint="FF" w:themeShade="FF"/>
          <w:sz w:val="22"/>
          <w:szCs w:val="22"/>
          <w:lang w:val="es-MX"/>
        </w:rPr>
        <w:t>Esta norma fue complementada por el art</w:t>
      </w:r>
      <w:r w:rsidRPr="129D2879" w:rsidR="001E4798">
        <w:rPr>
          <w:color w:val="000000" w:themeColor="text1" w:themeTint="FF" w:themeShade="FF"/>
          <w:sz w:val="22"/>
          <w:szCs w:val="22"/>
          <w:lang w:val="es-MX"/>
        </w:rPr>
        <w:t>ículo 88 de la Ley 1474 de 2011</w:t>
      </w:r>
      <w:r w:rsidRPr="129D2879" w:rsidR="003704F5">
        <w:rPr>
          <w:color w:val="000000" w:themeColor="text1" w:themeTint="FF" w:themeShade="FF"/>
          <w:sz w:val="22"/>
          <w:szCs w:val="22"/>
          <w:lang w:val="es-MX"/>
        </w:rPr>
        <w:t>, y reglamentada por el Decreto 1082 de 2015, estableciendo que la oferta más favorable debe seleccionarse de acuerdo con las normas de cada modalidad de selección</w:t>
      </w:r>
      <w:r w:rsidRPr="129D2879" w:rsidR="00076E1D">
        <w:rPr>
          <w:color w:val="000000" w:themeColor="text1" w:themeTint="FF" w:themeShade="FF"/>
          <w:sz w:val="22"/>
          <w:szCs w:val="22"/>
          <w:lang w:val="es-MX"/>
        </w:rPr>
        <w:t>.</w:t>
      </w:r>
    </w:p>
    <w:p w:rsidRPr="004E0D16" w:rsidR="00076E1D" w:rsidP="129D2879" w:rsidRDefault="00076E1D" w14:paraId="07C2574B" w14:noSpellErr="1" w14:textId="1DC126AF">
      <w:pPr>
        <w:pStyle w:val="Normal"/>
        <w:ind w:left="300" w:right="300"/>
        <w:jc w:val="both"/>
        <w:rPr>
          <w:color w:val="000000" w:themeColor="text1"/>
          <w:sz w:val="20"/>
          <w:szCs w:val="20"/>
          <w:lang w:val="es-MX"/>
        </w:rPr>
      </w:pPr>
    </w:p>
    <w:p w:rsidRPr="004E0D16" w:rsidR="00B81AC1" w:rsidP="00076E1D" w:rsidRDefault="00B81AC1" w14:paraId="45BE1917" w14:textId="77777777">
      <w:pPr>
        <w:ind w:left="301"/>
        <w:rPr>
          <w:color w:val="000000" w:themeColor="text1"/>
        </w:rPr>
      </w:pPr>
    </w:p>
    <w:p w:rsidRPr="004E0D16" w:rsidR="004819DD" w:rsidP="00076E1D" w:rsidRDefault="00B50F83" w14:paraId="28D568D7" w14:textId="77777777">
      <w:pPr>
        <w:ind w:left="301"/>
        <w:rPr>
          <w:b/>
          <w:color w:val="000000" w:themeColor="text1"/>
        </w:rPr>
      </w:pPr>
      <w:r w:rsidRPr="004E0D16">
        <w:rPr>
          <w:color w:val="000000" w:themeColor="text1"/>
        </w:rPr>
        <w:t xml:space="preserve">Bogotá D.C., </w:t>
      </w:r>
      <w:r w:rsidRPr="004E0D16">
        <w:rPr>
          <w:b/>
          <w:color w:val="000000" w:themeColor="text1"/>
        </w:rPr>
        <w:t>22/11/2019 Hora 12:56:49s</w:t>
      </w:r>
    </w:p>
    <w:p w:rsidRPr="004E0D16" w:rsidR="004819DD" w:rsidRDefault="00B50F83" w14:paraId="1E23BFA6" w14:textId="77777777">
      <w:pPr>
        <w:pStyle w:val="Ttulo1"/>
        <w:spacing w:before="37"/>
        <w:ind w:left="5839" w:firstLine="0"/>
        <w:rPr>
          <w:color w:val="000000" w:themeColor="text1"/>
        </w:rPr>
      </w:pPr>
      <w:r w:rsidRPr="004E0D16">
        <w:rPr>
          <w:color w:val="000000" w:themeColor="text1"/>
        </w:rPr>
        <w:t>N° Radicado: 2201913000008678</w:t>
      </w:r>
    </w:p>
    <w:p w:rsidRPr="004E0D16" w:rsidR="004819DD" w:rsidRDefault="004819DD" w14:paraId="5C7BF7FA" w14:textId="77777777">
      <w:pPr>
        <w:pStyle w:val="Textoindependiente"/>
        <w:spacing w:before="7"/>
        <w:rPr>
          <w:b/>
          <w:color w:val="000000" w:themeColor="text1"/>
          <w:sz w:val="20"/>
        </w:rPr>
      </w:pPr>
    </w:p>
    <w:p w:rsidRPr="004E0D16" w:rsidR="004819DD" w:rsidRDefault="00B50F83" w14:paraId="1AE52643" w14:textId="77777777">
      <w:pPr>
        <w:pStyle w:val="Textoindependiente"/>
        <w:spacing w:before="93"/>
        <w:ind w:left="300"/>
        <w:rPr>
          <w:color w:val="000000" w:themeColor="text1"/>
        </w:rPr>
      </w:pPr>
      <w:r w:rsidRPr="004E0D16">
        <w:rPr>
          <w:color w:val="000000" w:themeColor="text1"/>
        </w:rPr>
        <w:t>Señor</w:t>
      </w:r>
    </w:p>
    <w:p w:rsidRPr="004E0D16" w:rsidR="004819DD" w:rsidRDefault="00B50F83" w14:paraId="63F99627" w14:textId="77777777">
      <w:pPr>
        <w:pStyle w:val="Ttulo1"/>
        <w:spacing w:before="37"/>
        <w:ind w:left="300" w:firstLine="0"/>
        <w:rPr>
          <w:color w:val="000000" w:themeColor="text1"/>
        </w:rPr>
      </w:pPr>
      <w:r w:rsidRPr="004E0D16">
        <w:rPr>
          <w:color w:val="000000" w:themeColor="text1"/>
        </w:rPr>
        <w:t xml:space="preserve">Juan Carlos </w:t>
      </w:r>
      <w:proofErr w:type="spellStart"/>
      <w:r w:rsidRPr="004E0D16">
        <w:rPr>
          <w:color w:val="000000" w:themeColor="text1"/>
        </w:rPr>
        <w:t>Alvarez</w:t>
      </w:r>
      <w:proofErr w:type="spellEnd"/>
      <w:r w:rsidRPr="004E0D16">
        <w:rPr>
          <w:color w:val="000000" w:themeColor="text1"/>
        </w:rPr>
        <w:t xml:space="preserve"> Jaramillo</w:t>
      </w:r>
    </w:p>
    <w:p w:rsidRPr="004E0D16" w:rsidR="004819DD" w:rsidRDefault="00B50F83" w14:paraId="790250BF" w14:textId="77777777">
      <w:pPr>
        <w:pStyle w:val="Textoindependiente"/>
        <w:spacing w:before="39"/>
        <w:ind w:left="300"/>
        <w:rPr>
          <w:color w:val="000000" w:themeColor="text1"/>
        </w:rPr>
      </w:pPr>
      <w:r w:rsidRPr="004E0D16">
        <w:rPr>
          <w:color w:val="000000" w:themeColor="text1"/>
        </w:rPr>
        <w:t>Ciudad</w:t>
      </w:r>
    </w:p>
    <w:p w:rsidRPr="004E0D16" w:rsidR="004819DD" w:rsidRDefault="004819DD" w14:paraId="68E0B5E1" w14:textId="77777777">
      <w:pPr>
        <w:pStyle w:val="Textoindependiente"/>
        <w:rPr>
          <w:color w:val="000000" w:themeColor="text1"/>
          <w:sz w:val="20"/>
        </w:rPr>
      </w:pPr>
    </w:p>
    <w:p w:rsidRPr="004E0D16" w:rsidR="004819DD" w:rsidRDefault="004819DD" w14:paraId="0FAE7ABE" w14:textId="77777777">
      <w:pPr>
        <w:pStyle w:val="Textoindependiente"/>
        <w:rPr>
          <w:color w:val="000000" w:themeColor="text1"/>
          <w:sz w:val="20"/>
        </w:rPr>
      </w:pPr>
    </w:p>
    <w:p w:rsidRPr="004E0D16" w:rsidR="004819DD" w:rsidRDefault="004819DD" w14:paraId="33A7841F" w14:textId="77777777">
      <w:pPr>
        <w:pStyle w:val="Textoindependiente"/>
        <w:spacing w:before="6"/>
        <w:rPr>
          <w:color w:val="000000" w:themeColor="text1"/>
          <w:sz w:val="14"/>
        </w:rPr>
      </w:pPr>
    </w:p>
    <w:tbl>
      <w:tblPr>
        <w:tblStyle w:val="TableNormal"/>
        <w:tblW w:w="0" w:type="auto"/>
        <w:tblInd w:w="108" w:type="dxa"/>
        <w:tblLayout w:type="fixed"/>
        <w:tblLook w:val="01E0" w:firstRow="1" w:lastRow="1" w:firstColumn="1" w:lastColumn="1" w:noHBand="0" w:noVBand="0"/>
      </w:tblPr>
      <w:tblGrid>
        <w:gridCol w:w="2328"/>
        <w:gridCol w:w="7000"/>
      </w:tblGrid>
      <w:tr w:rsidRPr="004E0D16" w:rsidR="004E0D16" w14:paraId="6E22334E" w14:textId="77777777">
        <w:trPr>
          <w:trHeight w:val="267"/>
        </w:trPr>
        <w:tc>
          <w:tcPr>
            <w:tcW w:w="2328" w:type="dxa"/>
          </w:tcPr>
          <w:p w:rsidRPr="004E0D16" w:rsidR="004819DD" w:rsidRDefault="00B50F83" w14:paraId="3C845C79" w14:textId="77777777">
            <w:pPr>
              <w:pStyle w:val="TableParagraph"/>
              <w:spacing w:line="246" w:lineRule="exact"/>
              <w:ind w:left="200"/>
              <w:rPr>
                <w:b/>
                <w:color w:val="000000" w:themeColor="text1"/>
              </w:rPr>
            </w:pPr>
            <w:r w:rsidRPr="004E0D16">
              <w:rPr>
                <w:b/>
                <w:color w:val="000000" w:themeColor="text1"/>
              </w:rPr>
              <w:t>Radicación:</w:t>
            </w:r>
          </w:p>
        </w:tc>
        <w:tc>
          <w:tcPr>
            <w:tcW w:w="7000" w:type="dxa"/>
          </w:tcPr>
          <w:p w:rsidRPr="004E0D16" w:rsidR="004819DD" w:rsidRDefault="00B50F83" w14:paraId="3CDC652D" w14:textId="77777777">
            <w:pPr>
              <w:pStyle w:val="TableParagraph"/>
              <w:spacing w:line="246" w:lineRule="exact"/>
              <w:rPr>
                <w:color w:val="000000" w:themeColor="text1"/>
              </w:rPr>
            </w:pPr>
            <w:r w:rsidRPr="004E0D16">
              <w:rPr>
                <w:color w:val="000000" w:themeColor="text1"/>
              </w:rPr>
              <w:t>Respuesta a consulta # 4201911000006932</w:t>
            </w:r>
          </w:p>
        </w:tc>
      </w:tr>
      <w:tr w:rsidRPr="004E0D16" w:rsidR="004E0D16" w14:paraId="60DB8AEB" w14:textId="77777777">
        <w:trPr>
          <w:trHeight w:val="581"/>
        </w:trPr>
        <w:tc>
          <w:tcPr>
            <w:tcW w:w="2328" w:type="dxa"/>
          </w:tcPr>
          <w:p w:rsidRPr="004E0D16" w:rsidR="004819DD" w:rsidRDefault="00B50F83" w14:paraId="31172DE0" w14:textId="77777777">
            <w:pPr>
              <w:pStyle w:val="TableParagraph"/>
              <w:spacing w:before="15"/>
              <w:ind w:left="200"/>
              <w:rPr>
                <w:b/>
                <w:color w:val="000000" w:themeColor="text1"/>
              </w:rPr>
            </w:pPr>
            <w:r w:rsidRPr="004E0D16">
              <w:rPr>
                <w:b/>
                <w:color w:val="000000" w:themeColor="text1"/>
              </w:rPr>
              <w:t>Temas:</w:t>
            </w:r>
          </w:p>
        </w:tc>
        <w:tc>
          <w:tcPr>
            <w:tcW w:w="7000" w:type="dxa"/>
          </w:tcPr>
          <w:p w:rsidRPr="004E0D16" w:rsidR="004819DD" w:rsidRDefault="00B50F83" w14:paraId="6147ABA3" w14:textId="77777777">
            <w:pPr>
              <w:pStyle w:val="TableParagraph"/>
              <w:spacing w:before="15"/>
              <w:rPr>
                <w:color w:val="000000" w:themeColor="text1"/>
              </w:rPr>
            </w:pPr>
            <w:r w:rsidRPr="004E0D16">
              <w:rPr>
                <w:color w:val="000000" w:themeColor="text1"/>
              </w:rPr>
              <w:t>Criterios de evaluación, Colombia Compra Eficiente,</w:t>
            </w:r>
            <w:r w:rsidRPr="004E0D16">
              <w:rPr>
                <w:color w:val="000000" w:themeColor="text1"/>
                <w:spacing w:val="56"/>
              </w:rPr>
              <w:t xml:space="preserve"> </w:t>
            </w:r>
            <w:r w:rsidRPr="004E0D16">
              <w:rPr>
                <w:color w:val="000000" w:themeColor="text1"/>
              </w:rPr>
              <w:t>Acuerdos</w:t>
            </w:r>
          </w:p>
          <w:p w:rsidRPr="004E0D16" w:rsidR="004819DD" w:rsidRDefault="00B50F83" w14:paraId="15906E13" w14:textId="77777777">
            <w:pPr>
              <w:pStyle w:val="TableParagraph"/>
              <w:spacing w:before="37"/>
              <w:rPr>
                <w:color w:val="000000" w:themeColor="text1"/>
              </w:rPr>
            </w:pPr>
            <w:r w:rsidRPr="004E0D16">
              <w:rPr>
                <w:color w:val="000000" w:themeColor="text1"/>
              </w:rPr>
              <w:t>Marco de Precios</w:t>
            </w:r>
          </w:p>
        </w:tc>
      </w:tr>
      <w:tr w:rsidRPr="004E0D16" w:rsidR="004819DD" w14:paraId="0D3EAEF5" w14:textId="77777777">
        <w:trPr>
          <w:trHeight w:val="851"/>
        </w:trPr>
        <w:tc>
          <w:tcPr>
            <w:tcW w:w="2328" w:type="dxa"/>
          </w:tcPr>
          <w:p w:rsidRPr="004E0D16" w:rsidR="004819DD" w:rsidRDefault="00B50F83" w14:paraId="616D462A" w14:textId="77777777">
            <w:pPr>
              <w:pStyle w:val="TableParagraph"/>
              <w:spacing w:before="16" w:line="276" w:lineRule="auto"/>
              <w:ind w:left="200" w:right="543"/>
              <w:rPr>
                <w:b/>
                <w:color w:val="000000" w:themeColor="text1"/>
              </w:rPr>
            </w:pPr>
            <w:r w:rsidRPr="004E0D16">
              <w:rPr>
                <w:b/>
                <w:color w:val="000000" w:themeColor="text1"/>
              </w:rPr>
              <w:t>Tipo de asunto consultado:</w:t>
            </w:r>
          </w:p>
        </w:tc>
        <w:tc>
          <w:tcPr>
            <w:tcW w:w="7000" w:type="dxa"/>
          </w:tcPr>
          <w:p w:rsidRPr="004E0D16" w:rsidR="004819DD" w:rsidRDefault="00B50F83" w14:paraId="3829AF92" w14:textId="77777777">
            <w:pPr>
              <w:pStyle w:val="TableParagraph"/>
              <w:spacing w:before="16" w:line="276" w:lineRule="auto"/>
              <w:ind w:right="73"/>
              <w:rPr>
                <w:color w:val="000000" w:themeColor="text1"/>
              </w:rPr>
            </w:pPr>
            <w:r w:rsidRPr="004E0D16">
              <w:rPr>
                <w:color w:val="000000" w:themeColor="text1"/>
              </w:rPr>
              <w:t>Legalidad de un criterio de evaluación establecido en un pliego de condiciones y tratamiento de las quejas en el Acuerdo</w:t>
            </w:r>
          </w:p>
          <w:p w:rsidRPr="004E0D16" w:rsidR="004819DD" w:rsidRDefault="00B50F83" w14:paraId="3241469C" w14:textId="77777777">
            <w:pPr>
              <w:pStyle w:val="TableParagraph"/>
              <w:spacing w:line="233" w:lineRule="exact"/>
              <w:rPr>
                <w:color w:val="000000" w:themeColor="text1"/>
              </w:rPr>
            </w:pPr>
            <w:r w:rsidRPr="004E0D16">
              <w:rPr>
                <w:color w:val="000000" w:themeColor="text1"/>
              </w:rPr>
              <w:t>Marco de Precios de intermediarios de seguros</w:t>
            </w:r>
          </w:p>
        </w:tc>
      </w:tr>
    </w:tbl>
    <w:p w:rsidRPr="004E0D16" w:rsidR="004819DD" w:rsidRDefault="004819DD" w14:paraId="38CAB024" w14:textId="77777777">
      <w:pPr>
        <w:pStyle w:val="Textoindependiente"/>
        <w:rPr>
          <w:color w:val="000000" w:themeColor="text1"/>
          <w:sz w:val="20"/>
        </w:rPr>
      </w:pPr>
    </w:p>
    <w:p w:rsidRPr="004E0D16" w:rsidR="004819DD" w:rsidRDefault="004819DD" w14:paraId="52D42553" w14:textId="77777777">
      <w:pPr>
        <w:pStyle w:val="Textoindependiente"/>
        <w:spacing w:before="9"/>
        <w:rPr>
          <w:color w:val="000000" w:themeColor="text1"/>
          <w:sz w:val="25"/>
        </w:rPr>
      </w:pPr>
    </w:p>
    <w:p w:rsidRPr="004E0D16" w:rsidR="004819DD" w:rsidRDefault="00B50F83" w14:paraId="2FA8CF99" w14:textId="77777777">
      <w:pPr>
        <w:pStyle w:val="Textoindependiente"/>
        <w:spacing w:before="93"/>
        <w:ind w:left="300"/>
        <w:jc w:val="both"/>
        <w:rPr>
          <w:color w:val="000000" w:themeColor="text1"/>
        </w:rPr>
      </w:pPr>
      <w:r w:rsidRPr="004E0D16">
        <w:rPr>
          <w:color w:val="000000" w:themeColor="text1"/>
        </w:rPr>
        <w:t xml:space="preserve">Estimado señor </w:t>
      </w:r>
      <w:proofErr w:type="spellStart"/>
      <w:r w:rsidRPr="004E0D16">
        <w:rPr>
          <w:color w:val="000000" w:themeColor="text1"/>
        </w:rPr>
        <w:t>Alvarez</w:t>
      </w:r>
      <w:proofErr w:type="spellEnd"/>
      <w:r w:rsidRPr="004E0D16">
        <w:rPr>
          <w:color w:val="000000" w:themeColor="text1"/>
        </w:rPr>
        <w:t>,</w:t>
      </w:r>
    </w:p>
    <w:p w:rsidRPr="004E0D16" w:rsidR="004819DD" w:rsidRDefault="004819DD" w14:paraId="7A30F061" w14:textId="77777777">
      <w:pPr>
        <w:pStyle w:val="Textoindependiente"/>
        <w:spacing w:before="5"/>
        <w:rPr>
          <w:color w:val="000000" w:themeColor="text1"/>
          <w:sz w:val="28"/>
        </w:rPr>
      </w:pPr>
    </w:p>
    <w:p w:rsidRPr="004E0D16" w:rsidR="004819DD" w:rsidRDefault="00B50F83" w14:paraId="4282A43C" w14:textId="77777777">
      <w:pPr>
        <w:pStyle w:val="Textoindependiente"/>
        <w:spacing w:before="1" w:line="276" w:lineRule="auto"/>
        <w:ind w:left="300" w:right="307"/>
        <w:jc w:val="both"/>
        <w:rPr>
          <w:color w:val="000000" w:themeColor="text1"/>
        </w:rPr>
      </w:pPr>
      <w:r w:rsidRPr="004E0D16">
        <w:rPr>
          <w:color w:val="000000" w:themeColor="text1"/>
        </w:rPr>
        <w:t>La Agencia Nacional de Contratación Pública - Colombia Compra Eficiente responde su consulta del 8 de octubre de 2019, en ejercicio de la competencia otorgada por el numeral 8 del artículo 11 y el numeral 5 del artículo 3 del Decreto Ley 4170 de</w:t>
      </w:r>
      <w:r w:rsidRPr="004E0D16">
        <w:rPr>
          <w:color w:val="000000" w:themeColor="text1"/>
          <w:spacing w:val="-25"/>
        </w:rPr>
        <w:t xml:space="preserve"> </w:t>
      </w:r>
      <w:r w:rsidRPr="004E0D16">
        <w:rPr>
          <w:color w:val="000000" w:themeColor="text1"/>
        </w:rPr>
        <w:t>2011.</w:t>
      </w:r>
    </w:p>
    <w:p w:rsidRPr="004E0D16" w:rsidR="004819DD" w:rsidRDefault="004819DD" w14:paraId="28E37A53" w14:textId="77777777">
      <w:pPr>
        <w:pStyle w:val="Textoindependiente"/>
        <w:spacing w:before="4"/>
        <w:rPr>
          <w:color w:val="000000" w:themeColor="text1"/>
          <w:sz w:val="25"/>
        </w:rPr>
      </w:pPr>
    </w:p>
    <w:p w:rsidRPr="004E0D16" w:rsidR="004819DD" w:rsidRDefault="00B50F83" w14:paraId="39D8848A" w14:textId="77777777">
      <w:pPr>
        <w:pStyle w:val="Ttulo1"/>
        <w:numPr>
          <w:ilvl w:val="0"/>
          <w:numId w:val="2"/>
        </w:numPr>
        <w:tabs>
          <w:tab w:val="left" w:pos="544"/>
        </w:tabs>
        <w:ind w:hanging="244"/>
        <w:jc w:val="both"/>
        <w:rPr>
          <w:color w:val="000000" w:themeColor="text1"/>
        </w:rPr>
      </w:pPr>
      <w:r w:rsidRPr="004E0D16">
        <w:rPr>
          <w:color w:val="000000" w:themeColor="text1"/>
        </w:rPr>
        <w:t>Problema</w:t>
      </w:r>
      <w:r w:rsidRPr="004E0D16">
        <w:rPr>
          <w:color w:val="000000" w:themeColor="text1"/>
          <w:spacing w:val="-2"/>
        </w:rPr>
        <w:t xml:space="preserve"> </w:t>
      </w:r>
      <w:r w:rsidRPr="004E0D16">
        <w:rPr>
          <w:color w:val="000000" w:themeColor="text1"/>
        </w:rPr>
        <w:t>planteado</w:t>
      </w:r>
    </w:p>
    <w:p w:rsidRPr="004E0D16" w:rsidR="004819DD" w:rsidRDefault="004819DD" w14:paraId="4261796D" w14:textId="77777777">
      <w:pPr>
        <w:pStyle w:val="Textoindependiente"/>
        <w:spacing w:before="8"/>
        <w:rPr>
          <w:b/>
          <w:color w:val="000000" w:themeColor="text1"/>
          <w:sz w:val="28"/>
        </w:rPr>
      </w:pPr>
    </w:p>
    <w:p w:rsidRPr="004E0D16" w:rsidR="004819DD" w:rsidRDefault="00B50F83" w14:paraId="307C1587" w14:textId="77777777">
      <w:pPr>
        <w:pStyle w:val="Prrafodelista"/>
        <w:numPr>
          <w:ilvl w:val="1"/>
          <w:numId w:val="2"/>
        </w:numPr>
        <w:tabs>
          <w:tab w:val="left" w:pos="728"/>
        </w:tabs>
        <w:spacing w:line="276" w:lineRule="auto"/>
        <w:ind w:right="303" w:firstLine="0"/>
        <w:jc w:val="both"/>
        <w:rPr>
          <w:color w:val="000000" w:themeColor="text1"/>
        </w:rPr>
      </w:pPr>
      <w:r w:rsidRPr="004E0D16">
        <w:rPr>
          <w:color w:val="000000" w:themeColor="text1"/>
        </w:rPr>
        <w:t>El peticionario planea las siguientes preguntas: i) “¿Es legítimo, en el marco del Estatuto General de Contratación que una entidad pública establezca como criterio de ponderación a través del Pliego de Condiciones la Ausencia de quejas u observaciones elevadas ante Colombia Compra Eficiente por deficiente prestación del servicio de intermediación de Seguros a entidades estatales que adquirieron dicho servicio en vigencia del Acuerdo Marco de intermediarios de Seguros?, y ii) “¿Cuáles son las disposiciones de las Leyes 80 de 1993, 1150 de 2007 y 1474 de 2011 que podrían considerarse vulneradas por una disposición de dicha</w:t>
      </w:r>
      <w:r w:rsidRPr="004E0D16">
        <w:rPr>
          <w:color w:val="000000" w:themeColor="text1"/>
          <w:spacing w:val="-7"/>
        </w:rPr>
        <w:t xml:space="preserve"> </w:t>
      </w:r>
      <w:r w:rsidRPr="004E0D16">
        <w:rPr>
          <w:color w:val="000000" w:themeColor="text1"/>
        </w:rPr>
        <w:t>naturaleza?”.</w:t>
      </w:r>
    </w:p>
    <w:p w:rsidRPr="004E0D16" w:rsidR="004819DD" w:rsidRDefault="004819DD" w14:paraId="2352A819" w14:textId="77777777">
      <w:pPr>
        <w:pStyle w:val="Textoindependiente"/>
        <w:spacing w:before="3"/>
        <w:rPr>
          <w:color w:val="000000" w:themeColor="text1"/>
          <w:sz w:val="25"/>
        </w:rPr>
      </w:pPr>
    </w:p>
    <w:p w:rsidRPr="004E0D16" w:rsidR="004819DD" w:rsidRDefault="00B50F83" w14:paraId="35078892" w14:textId="77777777">
      <w:pPr>
        <w:pStyle w:val="Prrafodelista"/>
        <w:numPr>
          <w:ilvl w:val="1"/>
          <w:numId w:val="2"/>
        </w:numPr>
        <w:tabs>
          <w:tab w:val="left" w:pos="701"/>
        </w:tabs>
        <w:spacing w:line="276" w:lineRule="auto"/>
        <w:ind w:right="304" w:firstLine="0"/>
        <w:jc w:val="both"/>
        <w:rPr>
          <w:color w:val="000000" w:themeColor="text1"/>
        </w:rPr>
      </w:pPr>
      <w:r w:rsidRPr="004E0D16">
        <w:rPr>
          <w:color w:val="000000" w:themeColor="text1"/>
        </w:rPr>
        <w:t>“¿Cuál es el tratamiento (y su fundamento contractual o normativo) que brindaba la Agencia Nacional de Contratación Pública - Colombia Compra Eficiente a las quejas u observaciones efectuadas a los suscriptores del Acuerdo Marco de intermediarios de Seguros por parte de las entidades</w:t>
      </w:r>
      <w:r w:rsidRPr="004E0D16">
        <w:rPr>
          <w:color w:val="000000" w:themeColor="text1"/>
          <w:spacing w:val="-7"/>
        </w:rPr>
        <w:t xml:space="preserve"> </w:t>
      </w:r>
      <w:r w:rsidRPr="004E0D16">
        <w:rPr>
          <w:color w:val="000000" w:themeColor="text1"/>
        </w:rPr>
        <w:t>estatales?”.</w:t>
      </w:r>
    </w:p>
    <w:p w:rsidRPr="004E0D16" w:rsidR="004819DD" w:rsidRDefault="004819DD" w14:paraId="7D0F196F" w14:textId="77777777">
      <w:pPr>
        <w:pStyle w:val="Textoindependiente"/>
        <w:rPr>
          <w:color w:val="000000" w:themeColor="text1"/>
          <w:sz w:val="20"/>
        </w:rPr>
      </w:pPr>
    </w:p>
    <w:p w:rsidRPr="004E0D16" w:rsidR="004819DD" w:rsidRDefault="004819DD" w14:paraId="474FB3B4" w14:textId="77777777">
      <w:pPr>
        <w:pStyle w:val="Textoindependiente"/>
        <w:spacing w:before="5"/>
        <w:rPr>
          <w:color w:val="000000" w:themeColor="text1"/>
          <w:sz w:val="16"/>
        </w:rPr>
      </w:pPr>
    </w:p>
    <w:p w:rsidRPr="004E0D16" w:rsidR="004819DD" w:rsidRDefault="00B50F83" w14:paraId="57ADEE4F" w14:textId="77777777">
      <w:pPr>
        <w:pStyle w:val="Ttulo1"/>
        <w:numPr>
          <w:ilvl w:val="0"/>
          <w:numId w:val="2"/>
        </w:numPr>
        <w:tabs>
          <w:tab w:val="left" w:pos="544"/>
        </w:tabs>
        <w:spacing w:before="93"/>
        <w:ind w:hanging="244"/>
        <w:rPr>
          <w:color w:val="000000" w:themeColor="text1"/>
        </w:rPr>
      </w:pPr>
      <w:r w:rsidRPr="004E0D16">
        <w:rPr>
          <w:color w:val="000000" w:themeColor="text1"/>
        </w:rPr>
        <w:t>Consideraciones</w:t>
      </w:r>
    </w:p>
    <w:p w:rsidRPr="004E0D16" w:rsidR="004819DD" w:rsidRDefault="004819DD" w14:paraId="469C3872" w14:textId="77777777">
      <w:pPr>
        <w:pStyle w:val="Textoindependiente"/>
        <w:spacing w:before="8"/>
        <w:rPr>
          <w:b/>
          <w:color w:val="000000" w:themeColor="text1"/>
          <w:sz w:val="28"/>
        </w:rPr>
      </w:pPr>
    </w:p>
    <w:p w:rsidRPr="004E0D16" w:rsidR="004819DD" w:rsidRDefault="00B50F83" w14:paraId="722E4EE5" w14:textId="77777777">
      <w:pPr>
        <w:pStyle w:val="Prrafodelista"/>
        <w:numPr>
          <w:ilvl w:val="1"/>
          <w:numId w:val="2"/>
        </w:numPr>
        <w:tabs>
          <w:tab w:val="left" w:pos="666"/>
        </w:tabs>
        <w:ind w:left="665" w:hanging="366"/>
        <w:rPr>
          <w:b/>
          <w:color w:val="000000" w:themeColor="text1"/>
        </w:rPr>
      </w:pPr>
      <w:r w:rsidRPr="004E0D16">
        <w:rPr>
          <w:b/>
          <w:color w:val="000000" w:themeColor="text1"/>
        </w:rPr>
        <w:t>Introducción</w:t>
      </w:r>
    </w:p>
    <w:p w:rsidRPr="004E0D16" w:rsidR="004819DD" w:rsidRDefault="004819DD" w14:paraId="75958D17" w14:textId="77777777">
      <w:pPr>
        <w:pStyle w:val="Textoindependiente"/>
        <w:spacing w:before="7"/>
        <w:rPr>
          <w:b/>
          <w:color w:val="000000" w:themeColor="text1"/>
          <w:sz w:val="28"/>
        </w:rPr>
      </w:pPr>
    </w:p>
    <w:p w:rsidRPr="004E0D16" w:rsidR="004819DD" w:rsidRDefault="00B50F83" w14:paraId="0552ACC3" w14:textId="77777777">
      <w:pPr>
        <w:pStyle w:val="Textoindependiente"/>
        <w:spacing w:line="276" w:lineRule="auto"/>
        <w:ind w:left="300" w:right="307"/>
        <w:jc w:val="both"/>
        <w:rPr>
          <w:color w:val="000000" w:themeColor="text1"/>
        </w:rPr>
      </w:pPr>
      <w:r w:rsidRPr="004E0D16">
        <w:rPr>
          <w:color w:val="000000" w:themeColor="text1"/>
        </w:rPr>
        <w:t xml:space="preserve">La contratación pública involucra, entre otras relaciones, la interacción entre la Administración Pública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del Sistema de Compra Pública, con el fin de procurar un equilibrio y el cumplimiento de los principios de la contratación pública, </w:t>
      </w:r>
      <w:r w:rsidRPr="004E0D16">
        <w:rPr>
          <w:color w:val="000000" w:themeColor="text1"/>
        </w:rPr>
        <w:lastRenderedPageBreak/>
        <w:t>entre otros</w:t>
      </w:r>
      <w:r w:rsidRPr="004E0D16">
        <w:rPr>
          <w:color w:val="000000" w:themeColor="text1"/>
          <w:spacing w:val="-8"/>
        </w:rPr>
        <w:t xml:space="preserve"> </w:t>
      </w:r>
      <w:r w:rsidRPr="004E0D16">
        <w:rPr>
          <w:color w:val="000000" w:themeColor="text1"/>
        </w:rPr>
        <w:t>objetivos.</w:t>
      </w:r>
    </w:p>
    <w:p w:rsidRPr="004E0D16" w:rsidR="004819DD" w:rsidRDefault="004819DD" w14:paraId="4FBA5CA0" w14:textId="77777777">
      <w:pPr>
        <w:pStyle w:val="Textoindependiente"/>
        <w:spacing w:before="4"/>
        <w:rPr>
          <w:color w:val="000000" w:themeColor="text1"/>
          <w:sz w:val="25"/>
        </w:rPr>
      </w:pPr>
    </w:p>
    <w:p w:rsidRPr="004E0D16" w:rsidR="004819DD" w:rsidRDefault="00B50F83" w14:paraId="3B805146" w14:textId="77777777">
      <w:pPr>
        <w:pStyle w:val="Textoindependiente"/>
        <w:spacing w:before="1" w:line="276" w:lineRule="auto"/>
        <w:ind w:left="300" w:right="304"/>
        <w:jc w:val="both"/>
        <w:rPr>
          <w:color w:val="000000" w:themeColor="text1"/>
        </w:rPr>
      </w:pPr>
      <w:r w:rsidRPr="004E0D16">
        <w:rPr>
          <w:color w:val="000000" w:themeColor="text1"/>
        </w:rPr>
        <w:t>Por consiguiente, la normativa del Sistema de Compra Pública contiene disposiciones que le indican a la entidad las actividades y documentos que debe desarrollar en sus procesos contractuales, y con base en ello los proveedores pueden conocer los aspectos del objeto de la contratación para presentar sus ofertas, teniendo en cuenta los parámetros que define la entidad en la etapa de planeación del proceso, de acuerdo con las normas relacionadas con la adquisición de que se</w:t>
      </w:r>
      <w:r w:rsidRPr="004E0D16">
        <w:rPr>
          <w:color w:val="000000" w:themeColor="text1"/>
          <w:spacing w:val="-10"/>
        </w:rPr>
        <w:t xml:space="preserve"> </w:t>
      </w:r>
      <w:r w:rsidRPr="004E0D16">
        <w:rPr>
          <w:color w:val="000000" w:themeColor="text1"/>
        </w:rPr>
        <w:t>trate.</w:t>
      </w:r>
    </w:p>
    <w:p w:rsidRPr="004E0D16" w:rsidR="004819DD" w:rsidRDefault="004819DD" w14:paraId="44BABA87" w14:textId="77777777">
      <w:pPr>
        <w:pStyle w:val="Textoindependiente"/>
        <w:spacing w:before="1"/>
        <w:rPr>
          <w:color w:val="000000" w:themeColor="text1"/>
          <w:sz w:val="25"/>
        </w:rPr>
      </w:pPr>
    </w:p>
    <w:p w:rsidRPr="004E0D16" w:rsidR="004819DD" w:rsidRDefault="00B50F83" w14:paraId="4A92AD8D" w14:textId="05C9E6EB">
      <w:pPr>
        <w:pStyle w:val="Textoindependiente"/>
        <w:spacing w:line="276" w:lineRule="auto"/>
        <w:ind w:left="300" w:right="309"/>
        <w:jc w:val="both"/>
        <w:rPr>
          <w:color w:val="000000" w:themeColor="text1"/>
        </w:rPr>
      </w:pPr>
      <w:r w:rsidRPr="004E0D16">
        <w:rPr>
          <w:color w:val="000000" w:themeColor="text1"/>
        </w:rPr>
        <w:t>En todo caso, es indiscutible que el documento que concreta el punto de partida para que los interesados en proveerle al Estado lo que requiere, de acuerdo con sus funciones, y conozcan las reglas de la presentación de las ofertas, es el pliego de condiciones, como documento del proceso</w:t>
      </w:r>
      <w:r w:rsidRPr="004E0D16" w:rsidR="00076E1D">
        <w:rPr>
          <w:rStyle w:val="Refdenotaalpie"/>
          <w:color w:val="000000" w:themeColor="text1"/>
        </w:rPr>
        <w:footnoteReference w:id="1"/>
      </w:r>
      <w:r w:rsidRPr="004E0D16">
        <w:rPr>
          <w:color w:val="000000" w:themeColor="text1"/>
        </w:rPr>
        <w:t xml:space="preserve"> que resulta de planear el proceso de contratación, de tal manera que se logre identificar todo aquello que le informe al público el objeto contractual y cómo será satisfecho.</w:t>
      </w:r>
    </w:p>
    <w:p w:rsidRPr="004E0D16" w:rsidR="004819DD" w:rsidRDefault="004819DD" w14:paraId="7818D243" w14:textId="77777777">
      <w:pPr>
        <w:pStyle w:val="Textoindependiente"/>
        <w:spacing w:before="5"/>
        <w:rPr>
          <w:color w:val="000000" w:themeColor="text1"/>
          <w:sz w:val="25"/>
        </w:rPr>
      </w:pPr>
    </w:p>
    <w:p w:rsidRPr="004E0D16" w:rsidR="004819DD" w:rsidP="00076E1D" w:rsidRDefault="00B50F83" w14:paraId="2988FACD" w14:textId="4CA03811">
      <w:pPr>
        <w:pStyle w:val="Textoindependiente"/>
        <w:spacing w:line="276" w:lineRule="auto"/>
        <w:ind w:left="300" w:right="305"/>
        <w:jc w:val="both"/>
        <w:rPr>
          <w:color w:val="000000" w:themeColor="text1"/>
        </w:rPr>
      </w:pPr>
      <w:r w:rsidRPr="004E0D16">
        <w:rPr>
          <w:color w:val="000000" w:themeColor="text1"/>
        </w:rPr>
        <w:t>Por tanto, para resolver su consulta, relacionada con los criterios de ponderación de un proceso contractual: i) en primer lugar se citará el marco normativo y las reglas aplicables al contenido del pliego de condiciones; ii) después se explicará la norma relacionada con los</w:t>
      </w:r>
      <w:r w:rsidRPr="004E0D16">
        <w:rPr>
          <w:color w:val="000000" w:themeColor="text1"/>
          <w:spacing w:val="34"/>
        </w:rPr>
        <w:t xml:space="preserve"> </w:t>
      </w:r>
      <w:r w:rsidRPr="004E0D16">
        <w:rPr>
          <w:color w:val="000000" w:themeColor="text1"/>
        </w:rPr>
        <w:t>criterios</w:t>
      </w:r>
      <w:r w:rsidRPr="004E0D16">
        <w:rPr>
          <w:color w:val="000000" w:themeColor="text1"/>
          <w:spacing w:val="34"/>
        </w:rPr>
        <w:t xml:space="preserve"> </w:t>
      </w:r>
      <w:r w:rsidRPr="004E0D16">
        <w:rPr>
          <w:color w:val="000000" w:themeColor="text1"/>
        </w:rPr>
        <w:t>de</w:t>
      </w:r>
      <w:r w:rsidRPr="004E0D16">
        <w:rPr>
          <w:color w:val="000000" w:themeColor="text1"/>
          <w:spacing w:val="35"/>
        </w:rPr>
        <w:t xml:space="preserve"> </w:t>
      </w:r>
      <w:r w:rsidRPr="004E0D16">
        <w:rPr>
          <w:color w:val="000000" w:themeColor="text1"/>
        </w:rPr>
        <w:t>ponderación;</w:t>
      </w:r>
      <w:r w:rsidRPr="004E0D16">
        <w:rPr>
          <w:color w:val="000000" w:themeColor="text1"/>
          <w:spacing w:val="33"/>
        </w:rPr>
        <w:t xml:space="preserve"> </w:t>
      </w:r>
      <w:r w:rsidRPr="004E0D16">
        <w:rPr>
          <w:color w:val="000000" w:themeColor="text1"/>
        </w:rPr>
        <w:t>y</w:t>
      </w:r>
      <w:r w:rsidRPr="004E0D16">
        <w:rPr>
          <w:color w:val="000000" w:themeColor="text1"/>
          <w:spacing w:val="33"/>
        </w:rPr>
        <w:t xml:space="preserve"> </w:t>
      </w:r>
      <w:r w:rsidRPr="004E0D16">
        <w:rPr>
          <w:color w:val="000000" w:themeColor="text1"/>
        </w:rPr>
        <w:t>finalmente</w:t>
      </w:r>
      <w:r w:rsidRPr="004E0D16">
        <w:rPr>
          <w:color w:val="000000" w:themeColor="text1"/>
          <w:spacing w:val="34"/>
        </w:rPr>
        <w:t xml:space="preserve"> </w:t>
      </w:r>
      <w:r w:rsidRPr="004E0D16">
        <w:rPr>
          <w:color w:val="000000" w:themeColor="text1"/>
        </w:rPr>
        <w:t>iii)</w:t>
      </w:r>
      <w:r w:rsidRPr="004E0D16">
        <w:rPr>
          <w:color w:val="000000" w:themeColor="text1"/>
          <w:spacing w:val="34"/>
        </w:rPr>
        <w:t xml:space="preserve"> </w:t>
      </w:r>
      <w:r w:rsidRPr="004E0D16">
        <w:rPr>
          <w:color w:val="000000" w:themeColor="text1"/>
        </w:rPr>
        <w:t>se</w:t>
      </w:r>
      <w:r w:rsidRPr="004E0D16">
        <w:rPr>
          <w:color w:val="000000" w:themeColor="text1"/>
          <w:spacing w:val="34"/>
        </w:rPr>
        <w:t xml:space="preserve"> </w:t>
      </w:r>
      <w:r w:rsidRPr="004E0D16">
        <w:rPr>
          <w:color w:val="000000" w:themeColor="text1"/>
        </w:rPr>
        <w:t>analizará</w:t>
      </w:r>
      <w:r w:rsidRPr="004E0D16">
        <w:rPr>
          <w:color w:val="000000" w:themeColor="text1"/>
          <w:spacing w:val="35"/>
        </w:rPr>
        <w:t xml:space="preserve"> </w:t>
      </w:r>
      <w:r w:rsidRPr="004E0D16">
        <w:rPr>
          <w:color w:val="000000" w:themeColor="text1"/>
        </w:rPr>
        <w:t>la</w:t>
      </w:r>
      <w:r w:rsidRPr="004E0D16">
        <w:rPr>
          <w:color w:val="000000" w:themeColor="text1"/>
          <w:spacing w:val="34"/>
        </w:rPr>
        <w:t xml:space="preserve"> </w:t>
      </w:r>
      <w:r w:rsidRPr="004E0D16">
        <w:rPr>
          <w:color w:val="000000" w:themeColor="text1"/>
        </w:rPr>
        <w:t>viabilidad</w:t>
      </w:r>
      <w:r w:rsidRPr="004E0D16">
        <w:rPr>
          <w:color w:val="000000" w:themeColor="text1"/>
          <w:spacing w:val="36"/>
        </w:rPr>
        <w:t xml:space="preserve"> </w:t>
      </w:r>
      <w:r w:rsidRPr="004E0D16">
        <w:rPr>
          <w:color w:val="000000" w:themeColor="text1"/>
        </w:rPr>
        <w:t>de</w:t>
      </w:r>
      <w:r w:rsidRPr="004E0D16">
        <w:rPr>
          <w:color w:val="000000" w:themeColor="text1"/>
          <w:spacing w:val="32"/>
        </w:rPr>
        <w:t xml:space="preserve"> </w:t>
      </w:r>
      <w:r w:rsidRPr="004E0D16">
        <w:rPr>
          <w:color w:val="000000" w:themeColor="text1"/>
        </w:rPr>
        <w:t>establecer</w:t>
      </w:r>
      <w:r w:rsidRPr="004E0D16">
        <w:rPr>
          <w:color w:val="000000" w:themeColor="text1"/>
          <w:spacing w:val="35"/>
        </w:rPr>
        <w:t xml:space="preserve"> </w:t>
      </w:r>
      <w:r w:rsidRPr="004E0D16">
        <w:rPr>
          <w:color w:val="000000" w:themeColor="text1"/>
        </w:rPr>
        <w:t>un</w:t>
      </w:r>
      <w:r w:rsidRPr="004E0D16" w:rsidR="00076E1D">
        <w:rPr>
          <w:color w:val="000000" w:themeColor="text1"/>
        </w:rPr>
        <w:t xml:space="preserve"> </w:t>
      </w:r>
      <w:r w:rsidRPr="004E0D16">
        <w:rPr>
          <w:color w:val="000000" w:themeColor="text1"/>
        </w:rPr>
        <w:t>criterio de ponderación basado en las quejas que haya recibido un oferente en otro proceso.</w:t>
      </w:r>
    </w:p>
    <w:p w:rsidRPr="004E0D16" w:rsidR="004819DD" w:rsidRDefault="004819DD" w14:paraId="070A4957" w14:textId="77777777">
      <w:pPr>
        <w:pStyle w:val="Textoindependiente"/>
        <w:spacing w:before="1"/>
        <w:rPr>
          <w:color w:val="000000" w:themeColor="text1"/>
          <w:sz w:val="25"/>
        </w:rPr>
      </w:pPr>
    </w:p>
    <w:p w:rsidRPr="004E0D16" w:rsidR="004819DD" w:rsidRDefault="00B50F83" w14:paraId="30AC514B" w14:textId="77777777">
      <w:pPr>
        <w:pStyle w:val="Ttulo1"/>
        <w:numPr>
          <w:ilvl w:val="1"/>
          <w:numId w:val="2"/>
        </w:numPr>
        <w:tabs>
          <w:tab w:val="left" w:pos="666"/>
        </w:tabs>
        <w:ind w:left="665" w:hanging="366"/>
        <w:rPr>
          <w:color w:val="000000" w:themeColor="text1"/>
        </w:rPr>
      </w:pPr>
      <w:r w:rsidRPr="004E0D16">
        <w:rPr>
          <w:color w:val="000000" w:themeColor="text1"/>
        </w:rPr>
        <w:t>Pliegos de</w:t>
      </w:r>
      <w:r w:rsidRPr="004E0D16">
        <w:rPr>
          <w:color w:val="000000" w:themeColor="text1"/>
          <w:spacing w:val="-3"/>
        </w:rPr>
        <w:t xml:space="preserve"> </w:t>
      </w:r>
      <w:r w:rsidRPr="004E0D16">
        <w:rPr>
          <w:color w:val="000000" w:themeColor="text1"/>
        </w:rPr>
        <w:t>condiciones</w:t>
      </w:r>
    </w:p>
    <w:p w:rsidRPr="004E0D16" w:rsidR="004819DD" w:rsidRDefault="004819DD" w14:paraId="5DB7770C" w14:textId="77777777">
      <w:pPr>
        <w:pStyle w:val="Textoindependiente"/>
        <w:spacing w:before="5"/>
        <w:rPr>
          <w:b/>
          <w:color w:val="000000" w:themeColor="text1"/>
          <w:sz w:val="28"/>
        </w:rPr>
      </w:pPr>
    </w:p>
    <w:p w:rsidRPr="004E0D16" w:rsidR="004819DD" w:rsidRDefault="00B50F83" w14:paraId="625EE82A" w14:textId="77777777">
      <w:pPr>
        <w:pStyle w:val="Textoindependiente"/>
        <w:spacing w:line="278" w:lineRule="auto"/>
        <w:ind w:left="300" w:right="303"/>
        <w:jc w:val="both"/>
        <w:rPr>
          <w:color w:val="000000" w:themeColor="text1"/>
        </w:rPr>
      </w:pPr>
      <w:r w:rsidRPr="004E0D16">
        <w:rPr>
          <w:color w:val="000000" w:themeColor="text1"/>
        </w:rPr>
        <w:t>La Ley 80 de 1993, en el artículo 24, regula el principio de transparencia e indica las reglas para el contenido del pliego de condiciones:</w:t>
      </w:r>
    </w:p>
    <w:p w:rsidRPr="004E0D16" w:rsidR="004819DD" w:rsidRDefault="004819DD" w14:paraId="6DFD872B" w14:textId="77777777">
      <w:pPr>
        <w:pStyle w:val="Textoindependiente"/>
        <w:rPr>
          <w:color w:val="000000" w:themeColor="text1"/>
          <w:sz w:val="25"/>
        </w:rPr>
      </w:pPr>
    </w:p>
    <w:p w:rsidRPr="004E0D16" w:rsidR="004819DD" w:rsidRDefault="00B50F83" w14:paraId="32377CC0" w14:textId="77777777">
      <w:pPr>
        <w:ind w:left="1008"/>
        <w:rPr>
          <w:color w:val="000000" w:themeColor="text1"/>
          <w:sz w:val="21"/>
        </w:rPr>
      </w:pPr>
      <w:r w:rsidRPr="004E0D16">
        <w:rPr>
          <w:color w:val="000000" w:themeColor="text1"/>
          <w:sz w:val="21"/>
        </w:rPr>
        <w:t>(...)</w:t>
      </w:r>
    </w:p>
    <w:p w:rsidRPr="004E0D16" w:rsidR="004819DD" w:rsidRDefault="00B50F83" w14:paraId="15B99C9B" w14:textId="77777777">
      <w:pPr>
        <w:spacing w:before="37"/>
        <w:ind w:left="1008"/>
        <w:rPr>
          <w:color w:val="000000" w:themeColor="text1"/>
          <w:sz w:val="21"/>
        </w:rPr>
      </w:pPr>
      <w:r w:rsidRPr="004E0D16">
        <w:rPr>
          <w:color w:val="000000" w:themeColor="text1"/>
          <w:sz w:val="21"/>
        </w:rPr>
        <w:t>5o. En los pliegos de condiciones:</w:t>
      </w:r>
    </w:p>
    <w:p w:rsidRPr="004E0D16" w:rsidR="004819DD" w:rsidRDefault="004819DD" w14:paraId="0CB9AB65" w14:textId="77777777">
      <w:pPr>
        <w:pStyle w:val="Textoindependiente"/>
        <w:spacing w:before="5"/>
        <w:rPr>
          <w:color w:val="000000" w:themeColor="text1"/>
          <w:sz w:val="27"/>
        </w:rPr>
      </w:pPr>
    </w:p>
    <w:p w:rsidRPr="004E0D16" w:rsidR="004819DD" w:rsidRDefault="00B50F83" w14:paraId="49F1074D" w14:textId="77777777">
      <w:pPr>
        <w:pStyle w:val="Prrafodelista"/>
        <w:numPr>
          <w:ilvl w:val="2"/>
          <w:numId w:val="2"/>
        </w:numPr>
        <w:tabs>
          <w:tab w:val="left" w:pos="1716"/>
        </w:tabs>
        <w:spacing w:line="276" w:lineRule="auto"/>
        <w:ind w:right="991" w:firstLine="0"/>
        <w:jc w:val="both"/>
        <w:rPr>
          <w:color w:val="000000" w:themeColor="text1"/>
          <w:sz w:val="21"/>
        </w:rPr>
      </w:pPr>
      <w:r w:rsidRPr="004E0D16">
        <w:rPr>
          <w:color w:val="000000" w:themeColor="text1"/>
          <w:sz w:val="21"/>
        </w:rPr>
        <w:t xml:space="preserve">Se indicarán los requisitos objetivos necesarios para participar en el </w:t>
      </w:r>
      <w:r w:rsidRPr="004E0D16">
        <w:rPr>
          <w:color w:val="000000" w:themeColor="text1"/>
          <w:sz w:val="21"/>
        </w:rPr>
        <w:lastRenderedPageBreak/>
        <w:t>correspondiente proceso de</w:t>
      </w:r>
      <w:r w:rsidRPr="004E0D16">
        <w:rPr>
          <w:color w:val="000000" w:themeColor="text1"/>
          <w:spacing w:val="-4"/>
          <w:sz w:val="21"/>
        </w:rPr>
        <w:t xml:space="preserve"> </w:t>
      </w:r>
      <w:r w:rsidRPr="004E0D16">
        <w:rPr>
          <w:color w:val="000000" w:themeColor="text1"/>
          <w:sz w:val="21"/>
        </w:rPr>
        <w:t>selección.</w:t>
      </w:r>
    </w:p>
    <w:p w:rsidRPr="004E0D16" w:rsidR="004819DD" w:rsidRDefault="004819DD" w14:paraId="3EB1E4FF" w14:textId="77777777">
      <w:pPr>
        <w:pStyle w:val="Textoindependiente"/>
        <w:spacing w:before="1"/>
        <w:rPr>
          <w:color w:val="000000" w:themeColor="text1"/>
          <w:sz w:val="24"/>
        </w:rPr>
      </w:pPr>
    </w:p>
    <w:p w:rsidRPr="004E0D16" w:rsidR="004819DD" w:rsidRDefault="00B50F83" w14:paraId="49AAE42D" w14:textId="77777777">
      <w:pPr>
        <w:pStyle w:val="Prrafodelista"/>
        <w:numPr>
          <w:ilvl w:val="2"/>
          <w:numId w:val="2"/>
        </w:numPr>
        <w:tabs>
          <w:tab w:val="left" w:pos="1311"/>
        </w:tabs>
        <w:spacing w:line="276" w:lineRule="auto"/>
        <w:ind w:right="986" w:firstLine="0"/>
        <w:jc w:val="both"/>
        <w:rPr>
          <w:color w:val="000000" w:themeColor="text1"/>
          <w:sz w:val="21"/>
        </w:rPr>
      </w:pPr>
      <w:r w:rsidRPr="004E0D16">
        <w:rPr>
          <w:color w:val="000000" w:themeColor="text1"/>
          <w:sz w:val="21"/>
        </w:rPr>
        <w:t>Se definirán reglas objetivas, justas, claras y completas que permitan la confección de ofrecimientos de la misma índole, aseguren una escogencia objetiva y eviten la declaratoria de desierta de la</w:t>
      </w:r>
      <w:r w:rsidRPr="004E0D16">
        <w:rPr>
          <w:color w:val="000000" w:themeColor="text1"/>
          <w:spacing w:val="-16"/>
          <w:sz w:val="21"/>
        </w:rPr>
        <w:t xml:space="preserve"> </w:t>
      </w:r>
      <w:r w:rsidRPr="004E0D16">
        <w:rPr>
          <w:color w:val="000000" w:themeColor="text1"/>
          <w:sz w:val="21"/>
        </w:rPr>
        <w:t>licitación.</w:t>
      </w:r>
    </w:p>
    <w:p w:rsidRPr="004E0D16" w:rsidR="004819DD" w:rsidRDefault="00B50F83" w14:paraId="3C006E83" w14:textId="77777777">
      <w:pPr>
        <w:spacing w:line="241" w:lineRule="exact"/>
        <w:ind w:left="1008"/>
        <w:rPr>
          <w:color w:val="000000" w:themeColor="text1"/>
          <w:sz w:val="21"/>
        </w:rPr>
      </w:pPr>
      <w:r w:rsidRPr="004E0D16">
        <w:rPr>
          <w:color w:val="000000" w:themeColor="text1"/>
          <w:sz w:val="21"/>
        </w:rPr>
        <w:t>(...)</w:t>
      </w:r>
    </w:p>
    <w:p w:rsidRPr="004E0D16" w:rsidR="004819DD" w:rsidRDefault="004819DD" w14:paraId="779C5B19" w14:textId="77777777">
      <w:pPr>
        <w:pStyle w:val="Textoindependiente"/>
        <w:spacing w:before="3"/>
        <w:rPr>
          <w:color w:val="000000" w:themeColor="text1"/>
          <w:sz w:val="27"/>
        </w:rPr>
      </w:pPr>
    </w:p>
    <w:p w:rsidRPr="004E0D16" w:rsidR="004819DD" w:rsidRDefault="00B50F83" w14:paraId="445FC12C" w14:textId="77777777">
      <w:pPr>
        <w:pStyle w:val="Prrafodelista"/>
        <w:numPr>
          <w:ilvl w:val="0"/>
          <w:numId w:val="1"/>
        </w:numPr>
        <w:tabs>
          <w:tab w:val="left" w:pos="1326"/>
        </w:tabs>
        <w:spacing w:line="276" w:lineRule="auto"/>
        <w:ind w:right="992" w:firstLine="0"/>
        <w:jc w:val="both"/>
        <w:rPr>
          <w:color w:val="000000" w:themeColor="text1"/>
          <w:sz w:val="21"/>
        </w:rPr>
      </w:pPr>
      <w:r w:rsidRPr="004E0D16">
        <w:rPr>
          <w:color w:val="000000" w:themeColor="text1"/>
          <w:sz w:val="21"/>
        </w:rPr>
        <w:t>No se incluirán condiciones y exigencias de imposible cumplimiento, ni exenciones de la responsabilidad derivada de los datos, informes y documentos que se</w:t>
      </w:r>
      <w:r w:rsidRPr="004E0D16">
        <w:rPr>
          <w:color w:val="000000" w:themeColor="text1"/>
          <w:spacing w:val="-3"/>
          <w:sz w:val="21"/>
        </w:rPr>
        <w:t xml:space="preserve"> </w:t>
      </w:r>
      <w:r w:rsidRPr="004E0D16">
        <w:rPr>
          <w:color w:val="000000" w:themeColor="text1"/>
          <w:sz w:val="21"/>
        </w:rPr>
        <w:t>suministren.</w:t>
      </w:r>
    </w:p>
    <w:p w:rsidRPr="004E0D16" w:rsidR="004819DD" w:rsidRDefault="004819DD" w14:paraId="28828ED3" w14:textId="77777777">
      <w:pPr>
        <w:pStyle w:val="Textoindependiente"/>
        <w:spacing w:before="4"/>
        <w:rPr>
          <w:color w:val="000000" w:themeColor="text1"/>
          <w:sz w:val="24"/>
        </w:rPr>
      </w:pPr>
    </w:p>
    <w:p w:rsidRPr="004E0D16" w:rsidR="004819DD" w:rsidRDefault="00B50F83" w14:paraId="33AE0653" w14:textId="77777777">
      <w:pPr>
        <w:pStyle w:val="Prrafodelista"/>
        <w:numPr>
          <w:ilvl w:val="0"/>
          <w:numId w:val="1"/>
        </w:numPr>
        <w:tabs>
          <w:tab w:val="left" w:pos="1261"/>
        </w:tabs>
        <w:spacing w:line="276" w:lineRule="auto"/>
        <w:ind w:right="991" w:firstLine="0"/>
        <w:jc w:val="both"/>
        <w:rPr>
          <w:color w:val="000000" w:themeColor="text1"/>
          <w:sz w:val="21"/>
        </w:rPr>
      </w:pPr>
      <w:r w:rsidRPr="004E0D16">
        <w:rPr>
          <w:color w:val="000000" w:themeColor="text1"/>
          <w:sz w:val="21"/>
        </w:rPr>
        <w:t>Se definirán reglas que no induzcan a error a los proponentes y contratistas y que impidan la formulación de ofrecimientos de extensión ilimitada o que dependan de la voluntad exclusiva de la</w:t>
      </w:r>
      <w:r w:rsidRPr="004E0D16">
        <w:rPr>
          <w:color w:val="000000" w:themeColor="text1"/>
          <w:spacing w:val="-9"/>
          <w:sz w:val="21"/>
        </w:rPr>
        <w:t xml:space="preserve"> </w:t>
      </w:r>
      <w:r w:rsidRPr="004E0D16">
        <w:rPr>
          <w:color w:val="000000" w:themeColor="text1"/>
          <w:sz w:val="21"/>
        </w:rPr>
        <w:t>entidad.</w:t>
      </w:r>
    </w:p>
    <w:p w:rsidRPr="004E0D16" w:rsidR="004819DD" w:rsidRDefault="00B50F83" w14:paraId="3635778B" w14:textId="77777777">
      <w:pPr>
        <w:spacing w:line="241" w:lineRule="exact"/>
        <w:ind w:left="1008"/>
        <w:rPr>
          <w:color w:val="000000" w:themeColor="text1"/>
          <w:sz w:val="21"/>
        </w:rPr>
      </w:pPr>
      <w:r w:rsidRPr="004E0D16">
        <w:rPr>
          <w:color w:val="000000" w:themeColor="text1"/>
          <w:sz w:val="21"/>
        </w:rPr>
        <w:t>(...)</w:t>
      </w:r>
    </w:p>
    <w:p w:rsidRPr="004E0D16" w:rsidR="004819DD" w:rsidRDefault="004819DD" w14:paraId="3C37DDB9" w14:textId="77777777">
      <w:pPr>
        <w:pStyle w:val="Textoindependiente"/>
        <w:spacing w:before="2"/>
        <w:rPr>
          <w:color w:val="000000" w:themeColor="text1"/>
          <w:sz w:val="28"/>
        </w:rPr>
      </w:pPr>
    </w:p>
    <w:p w:rsidRPr="004E0D16" w:rsidR="004819DD" w:rsidRDefault="00B50F83" w14:paraId="4641CDF6" w14:textId="77777777">
      <w:pPr>
        <w:pStyle w:val="Textoindependiente"/>
        <w:spacing w:line="276" w:lineRule="auto"/>
        <w:ind w:left="300" w:right="305"/>
        <w:jc w:val="both"/>
        <w:rPr>
          <w:color w:val="000000" w:themeColor="text1"/>
        </w:rPr>
      </w:pPr>
      <w:r w:rsidRPr="004E0D16">
        <w:rPr>
          <w:color w:val="000000" w:themeColor="text1"/>
        </w:rPr>
        <w:t>El Consejo de Estado, Sección Tercera, radicado No. 17.366, del 11 de noviembre de 2009, Consejero Ponente Mauricio Fajardo Gomez, considera que la autonomía que tienen las entidades estatales frente a la configuración de los pliegos de condiciones y los criterios de selección de los procesos de contratación no es absoluta, y debe tener relación con los fines de la contratación</w:t>
      </w:r>
      <w:r w:rsidRPr="004E0D16">
        <w:rPr>
          <w:color w:val="000000" w:themeColor="text1"/>
          <w:spacing w:val="-5"/>
        </w:rPr>
        <w:t xml:space="preserve"> </w:t>
      </w:r>
      <w:r w:rsidRPr="004E0D16">
        <w:rPr>
          <w:color w:val="000000" w:themeColor="text1"/>
        </w:rPr>
        <w:t>estatal:</w:t>
      </w:r>
    </w:p>
    <w:p w:rsidRPr="004E0D16" w:rsidR="004819DD" w:rsidRDefault="004819DD" w14:paraId="65872258" w14:textId="77777777">
      <w:pPr>
        <w:pStyle w:val="Textoindependiente"/>
        <w:spacing w:before="5"/>
        <w:rPr>
          <w:color w:val="000000" w:themeColor="text1"/>
          <w:sz w:val="25"/>
        </w:rPr>
      </w:pPr>
    </w:p>
    <w:p w:rsidRPr="004E0D16" w:rsidR="004819DD" w:rsidP="00076E1D" w:rsidRDefault="00B50F83" w14:paraId="0A0A2862" w14:textId="43447379">
      <w:pPr>
        <w:spacing w:before="1" w:line="276" w:lineRule="auto"/>
        <w:ind w:left="1008" w:right="989"/>
        <w:jc w:val="both"/>
        <w:rPr>
          <w:color w:val="000000" w:themeColor="text1"/>
          <w:sz w:val="21"/>
        </w:rPr>
      </w:pPr>
      <w:r w:rsidRPr="004E0D16">
        <w:rPr>
          <w:color w:val="000000" w:themeColor="text1"/>
          <w:sz w:val="21"/>
        </w:rPr>
        <w:t>Si bien la Administración goza de una amplia facultad de configuración en relación con los requisitos, las exigencias y, en general, con las reglas que se adopten mediante los pliegos de condiciones, de acuerdo con sus particulares necesidades, no es menos cierto que esa facultad de configuración está enmarcada por y para los fines de la contratación estatal y, por consiguiente, los criterios de selección susceptibles de calificación deben ser congruentes con ellos y comprender los elementos necesarios para llevar a cabo el contrato en</w:t>
      </w:r>
      <w:r w:rsidRPr="004E0D16" w:rsidR="00076E1D">
        <w:rPr>
          <w:color w:val="000000" w:themeColor="text1"/>
          <w:sz w:val="21"/>
        </w:rPr>
        <w:t xml:space="preserve"> </w:t>
      </w:r>
      <w:r w:rsidRPr="004E0D16">
        <w:rPr>
          <w:color w:val="000000" w:themeColor="text1"/>
          <w:sz w:val="21"/>
        </w:rPr>
        <w:t>las condiciones de modo, tiempo y lugar requeridas por ella. La objetividad que impone y reclama la Ley 80 en la contratación estatal, en varias de sus disposiciones, sólo se cumple a condición de que existan en los pliegos de condiciones o términos de referencia reglas necesarias, claras, objetivas y precisas de cara a la finalidad del contrato.</w:t>
      </w:r>
    </w:p>
    <w:p w:rsidRPr="004E0D16" w:rsidR="004819DD" w:rsidRDefault="004819DD" w14:paraId="42BBF0D9" w14:textId="77777777">
      <w:pPr>
        <w:pStyle w:val="Textoindependiente"/>
        <w:spacing w:before="2"/>
        <w:rPr>
          <w:color w:val="000000" w:themeColor="text1"/>
          <w:sz w:val="25"/>
        </w:rPr>
      </w:pPr>
    </w:p>
    <w:p w:rsidRPr="004E0D16" w:rsidR="004819DD" w:rsidRDefault="00B50F83" w14:paraId="3F1385FB" w14:textId="77777777">
      <w:pPr>
        <w:pStyle w:val="Textoindependiente"/>
        <w:spacing w:line="276" w:lineRule="auto"/>
        <w:ind w:left="300" w:right="305"/>
        <w:jc w:val="both"/>
        <w:rPr>
          <w:color w:val="000000" w:themeColor="text1"/>
        </w:rPr>
      </w:pPr>
      <w:r w:rsidRPr="004E0D16">
        <w:rPr>
          <w:color w:val="000000" w:themeColor="text1"/>
        </w:rPr>
        <w:t>A su vez, el Consejo de Estado, Sección Tercera, radicado No. 25.642, del 24 de julio de 2013, Consejero Ponente Enrique Gil Botero, determina que el pliego de condiciones es ley para las partes, y en él se debe establecer todo el reglamento del proceso de contratación, conforme a la ley, garantizando la selección objetiva del contratista. Por lo tanto, el pliego de condiciones:</w:t>
      </w:r>
    </w:p>
    <w:p w:rsidRPr="004E0D16" w:rsidR="004819DD" w:rsidRDefault="004819DD" w14:paraId="6B07BD28" w14:textId="77777777">
      <w:pPr>
        <w:pStyle w:val="Textoindependiente"/>
        <w:spacing w:before="5"/>
        <w:rPr>
          <w:color w:val="000000" w:themeColor="text1"/>
          <w:sz w:val="25"/>
        </w:rPr>
      </w:pPr>
    </w:p>
    <w:p w:rsidRPr="004E0D16" w:rsidR="004819DD" w:rsidRDefault="00B50F83" w14:paraId="22F0929B" w14:textId="77777777">
      <w:pPr>
        <w:spacing w:before="1" w:line="276" w:lineRule="auto"/>
        <w:ind w:left="1008" w:right="986"/>
        <w:jc w:val="both"/>
        <w:rPr>
          <w:color w:val="000000" w:themeColor="text1"/>
          <w:sz w:val="21"/>
        </w:rPr>
      </w:pPr>
      <w:r w:rsidRPr="004E0D16">
        <w:rPr>
          <w:color w:val="000000" w:themeColor="text1"/>
          <w:sz w:val="21"/>
        </w:rPr>
        <w:t xml:space="preserve">Concreta o materializa los principios de planeación contractual y de trasparencia, comoquiera que su adecuada formulación permite o garantiza la selección </w:t>
      </w:r>
      <w:r w:rsidRPr="004E0D16">
        <w:rPr>
          <w:color w:val="000000" w:themeColor="text1"/>
          <w:sz w:val="21"/>
        </w:rPr>
        <w:lastRenderedPageBreak/>
        <w:t xml:space="preserve">objetiva del contratista de acuerdo con los parámetros de calificación correspondientes para cada tipo de procedimiento (v.gr. licitación pública, selección abreviada, concurso de méritos, etc.), de acuerdo con el marco establecido en la ley (art. 29 de la ley </w:t>
      </w:r>
      <w:r w:rsidRPr="004E0D16">
        <w:rPr>
          <w:color w:val="000000" w:themeColor="text1"/>
          <w:spacing w:val="3"/>
          <w:sz w:val="21"/>
        </w:rPr>
        <w:t xml:space="preserve">80 </w:t>
      </w:r>
      <w:r w:rsidRPr="004E0D16">
        <w:rPr>
          <w:color w:val="000000" w:themeColor="text1"/>
          <w:sz w:val="21"/>
        </w:rPr>
        <w:t>de 1993, derogado por el artículo 32 de la ley 1150 de 2007, y este último, modificado por el artículo 88 de la ley 1474 de 2011 (Estatuto Anticorrupción). En esa perspectiva, el pliego de condiciones constituye la ley tanto del procedimiento administrativo de selección del contratista, como del contrato a</w:t>
      </w:r>
      <w:r w:rsidRPr="004E0D16">
        <w:rPr>
          <w:color w:val="000000" w:themeColor="text1"/>
          <w:spacing w:val="-7"/>
          <w:sz w:val="21"/>
        </w:rPr>
        <w:t xml:space="preserve"> </w:t>
      </w:r>
      <w:r w:rsidRPr="004E0D16">
        <w:rPr>
          <w:color w:val="000000" w:themeColor="text1"/>
          <w:sz w:val="21"/>
        </w:rPr>
        <w:t>celebrar.</w:t>
      </w:r>
    </w:p>
    <w:p w:rsidRPr="004E0D16" w:rsidR="004819DD" w:rsidRDefault="004819DD" w14:paraId="02350D85" w14:textId="77777777">
      <w:pPr>
        <w:pStyle w:val="Textoindependiente"/>
        <w:rPr>
          <w:color w:val="000000" w:themeColor="text1"/>
          <w:sz w:val="24"/>
        </w:rPr>
      </w:pPr>
    </w:p>
    <w:p w:rsidRPr="004E0D16" w:rsidR="004819DD" w:rsidP="00076E1D" w:rsidRDefault="00B50F83" w14:paraId="1BFD6D0C" w14:textId="577C79A0">
      <w:pPr>
        <w:pStyle w:val="Textoindependiente"/>
        <w:spacing w:line="276" w:lineRule="auto"/>
        <w:ind w:left="300" w:right="304"/>
        <w:jc w:val="both"/>
        <w:rPr>
          <w:color w:val="000000" w:themeColor="text1"/>
          <w:sz w:val="20"/>
        </w:rPr>
      </w:pPr>
      <w:r w:rsidRPr="004E0D16">
        <w:rPr>
          <w:color w:val="000000" w:themeColor="text1"/>
        </w:rPr>
        <w:t>El artículo 2.2.1.1.2.1.3. del Decreto 1082 de 2015 establece el contenido mínimo del pliego de condiciones, de acuerdo con lo que la entidad adquirirá para satisfacer sus necesidades de bienes, obras o servicios, y debe tener la información desagregada, principalmente en los siguientes ítems: i) identificación detallada del objeto contractual y con el clasificador de bienes y servicios, ii) modalidad y criterios de selección, iii) valoración económica</w:t>
      </w:r>
      <w:r w:rsidRPr="004E0D16">
        <w:rPr>
          <w:color w:val="000000" w:themeColor="text1"/>
          <w:spacing w:val="10"/>
        </w:rPr>
        <w:t xml:space="preserve"> </w:t>
      </w:r>
      <w:r w:rsidRPr="004E0D16">
        <w:rPr>
          <w:color w:val="000000" w:themeColor="text1"/>
        </w:rPr>
        <w:t>del</w:t>
      </w:r>
      <w:r w:rsidRPr="004E0D16">
        <w:rPr>
          <w:color w:val="000000" w:themeColor="text1"/>
          <w:spacing w:val="11"/>
        </w:rPr>
        <w:t xml:space="preserve"> </w:t>
      </w:r>
      <w:r w:rsidRPr="004E0D16">
        <w:rPr>
          <w:color w:val="000000" w:themeColor="text1"/>
        </w:rPr>
        <w:t>bien,</w:t>
      </w:r>
      <w:r w:rsidRPr="004E0D16">
        <w:rPr>
          <w:color w:val="000000" w:themeColor="text1"/>
          <w:spacing w:val="10"/>
        </w:rPr>
        <w:t xml:space="preserve"> </w:t>
      </w:r>
      <w:r w:rsidRPr="004E0D16">
        <w:rPr>
          <w:color w:val="000000" w:themeColor="text1"/>
        </w:rPr>
        <w:t>obra</w:t>
      </w:r>
      <w:r w:rsidRPr="004E0D16">
        <w:rPr>
          <w:color w:val="000000" w:themeColor="text1"/>
          <w:spacing w:val="8"/>
        </w:rPr>
        <w:t xml:space="preserve"> </w:t>
      </w:r>
      <w:r w:rsidRPr="004E0D16">
        <w:rPr>
          <w:color w:val="000000" w:themeColor="text1"/>
        </w:rPr>
        <w:t>o</w:t>
      </w:r>
      <w:r w:rsidRPr="004E0D16">
        <w:rPr>
          <w:color w:val="000000" w:themeColor="text1"/>
          <w:spacing w:val="11"/>
        </w:rPr>
        <w:t xml:space="preserve"> </w:t>
      </w:r>
      <w:r w:rsidRPr="004E0D16">
        <w:rPr>
          <w:color w:val="000000" w:themeColor="text1"/>
        </w:rPr>
        <w:t>servicio,</w:t>
      </w:r>
      <w:r w:rsidRPr="004E0D16">
        <w:rPr>
          <w:color w:val="000000" w:themeColor="text1"/>
          <w:spacing w:val="13"/>
        </w:rPr>
        <w:t xml:space="preserve"> </w:t>
      </w:r>
      <w:r w:rsidRPr="004E0D16">
        <w:rPr>
          <w:color w:val="000000" w:themeColor="text1"/>
        </w:rPr>
        <w:t>iv)</w:t>
      </w:r>
      <w:r w:rsidRPr="004E0D16">
        <w:rPr>
          <w:color w:val="000000" w:themeColor="text1"/>
          <w:spacing w:val="10"/>
        </w:rPr>
        <w:t xml:space="preserve"> </w:t>
      </w:r>
      <w:r w:rsidRPr="004E0D16">
        <w:rPr>
          <w:color w:val="000000" w:themeColor="text1"/>
        </w:rPr>
        <w:t>reglas</w:t>
      </w:r>
      <w:r w:rsidRPr="004E0D16">
        <w:rPr>
          <w:color w:val="000000" w:themeColor="text1"/>
          <w:spacing w:val="11"/>
        </w:rPr>
        <w:t xml:space="preserve"> </w:t>
      </w:r>
      <w:r w:rsidRPr="004E0D16">
        <w:rPr>
          <w:color w:val="000000" w:themeColor="text1"/>
        </w:rPr>
        <w:t>de</w:t>
      </w:r>
      <w:r w:rsidRPr="004E0D16">
        <w:rPr>
          <w:color w:val="000000" w:themeColor="text1"/>
          <w:spacing w:val="11"/>
        </w:rPr>
        <w:t xml:space="preserve"> </w:t>
      </w:r>
      <w:r w:rsidRPr="004E0D16">
        <w:rPr>
          <w:color w:val="000000" w:themeColor="text1"/>
        </w:rPr>
        <w:t>la</w:t>
      </w:r>
      <w:r w:rsidRPr="004E0D16">
        <w:rPr>
          <w:color w:val="000000" w:themeColor="text1"/>
          <w:spacing w:val="11"/>
        </w:rPr>
        <w:t xml:space="preserve"> </w:t>
      </w:r>
      <w:r w:rsidRPr="004E0D16">
        <w:rPr>
          <w:color w:val="000000" w:themeColor="text1"/>
        </w:rPr>
        <w:t>presentación</w:t>
      </w:r>
      <w:r w:rsidRPr="004E0D16">
        <w:rPr>
          <w:color w:val="000000" w:themeColor="text1"/>
          <w:spacing w:val="11"/>
        </w:rPr>
        <w:t xml:space="preserve"> </w:t>
      </w:r>
      <w:r w:rsidRPr="004E0D16">
        <w:rPr>
          <w:color w:val="000000" w:themeColor="text1"/>
        </w:rPr>
        <w:t>y</w:t>
      </w:r>
      <w:r w:rsidRPr="004E0D16">
        <w:rPr>
          <w:color w:val="000000" w:themeColor="text1"/>
          <w:spacing w:val="8"/>
        </w:rPr>
        <w:t xml:space="preserve"> </w:t>
      </w:r>
      <w:r w:rsidRPr="004E0D16">
        <w:rPr>
          <w:color w:val="000000" w:themeColor="text1"/>
        </w:rPr>
        <w:t>manejo</w:t>
      </w:r>
      <w:r w:rsidRPr="004E0D16">
        <w:rPr>
          <w:color w:val="000000" w:themeColor="text1"/>
          <w:spacing w:val="11"/>
        </w:rPr>
        <w:t xml:space="preserve"> </w:t>
      </w:r>
      <w:r w:rsidRPr="004E0D16">
        <w:rPr>
          <w:color w:val="000000" w:themeColor="text1"/>
        </w:rPr>
        <w:t>de</w:t>
      </w:r>
      <w:r w:rsidRPr="004E0D16">
        <w:rPr>
          <w:color w:val="000000" w:themeColor="text1"/>
          <w:spacing w:val="11"/>
        </w:rPr>
        <w:t xml:space="preserve"> </w:t>
      </w:r>
      <w:r w:rsidRPr="004E0D16">
        <w:rPr>
          <w:color w:val="000000" w:themeColor="text1"/>
        </w:rPr>
        <w:t>las</w:t>
      </w:r>
      <w:r w:rsidRPr="004E0D16">
        <w:rPr>
          <w:color w:val="000000" w:themeColor="text1"/>
          <w:spacing w:val="11"/>
        </w:rPr>
        <w:t xml:space="preserve"> </w:t>
      </w:r>
      <w:r w:rsidRPr="004E0D16">
        <w:rPr>
          <w:color w:val="000000" w:themeColor="text1"/>
        </w:rPr>
        <w:t>ofertas,</w:t>
      </w:r>
      <w:r w:rsidRPr="004E0D16" w:rsidR="00AF58BA">
        <w:rPr>
          <w:color w:val="000000" w:themeColor="text1"/>
        </w:rPr>
        <w:t xml:space="preserve"> </w:t>
      </w:r>
      <w:r w:rsidRPr="004E0D16">
        <w:rPr>
          <w:color w:val="000000" w:themeColor="text1"/>
        </w:rPr>
        <w:t>v) riesgos y garantías, entre otros aspectos del contrato</w:t>
      </w:r>
      <w:r w:rsidRPr="004E0D16" w:rsidR="00076E1D">
        <w:rPr>
          <w:rStyle w:val="Refdenotaalpie"/>
          <w:color w:val="000000" w:themeColor="text1"/>
        </w:rPr>
        <w:footnoteReference w:id="2"/>
      </w:r>
      <w:r w:rsidRPr="004E0D16">
        <w:rPr>
          <w:color w:val="000000" w:themeColor="text1"/>
        </w:rPr>
        <w:t>.</w:t>
      </w:r>
    </w:p>
    <w:p w:rsidRPr="004E0D16" w:rsidR="004819DD" w:rsidRDefault="004819DD" w14:paraId="644D28DE" w14:textId="77777777">
      <w:pPr>
        <w:pStyle w:val="Textoindependiente"/>
        <w:spacing w:before="7"/>
        <w:rPr>
          <w:color w:val="000000" w:themeColor="text1"/>
          <w:sz w:val="20"/>
        </w:rPr>
      </w:pPr>
    </w:p>
    <w:p w:rsidRPr="004E0D16" w:rsidR="004819DD" w:rsidRDefault="00B50F83" w14:paraId="7F25BFBC" w14:textId="77777777">
      <w:pPr>
        <w:pStyle w:val="Ttulo1"/>
        <w:numPr>
          <w:ilvl w:val="1"/>
          <w:numId w:val="2"/>
        </w:numPr>
        <w:tabs>
          <w:tab w:val="left" w:pos="666"/>
        </w:tabs>
        <w:spacing w:before="93"/>
        <w:ind w:left="665" w:hanging="366"/>
        <w:rPr>
          <w:color w:val="000000" w:themeColor="text1"/>
        </w:rPr>
      </w:pPr>
      <w:r w:rsidRPr="004E0D16">
        <w:rPr>
          <w:color w:val="000000" w:themeColor="text1"/>
        </w:rPr>
        <w:t>Criterios de</w:t>
      </w:r>
      <w:r w:rsidRPr="004E0D16">
        <w:rPr>
          <w:color w:val="000000" w:themeColor="text1"/>
          <w:spacing w:val="-3"/>
        </w:rPr>
        <w:t xml:space="preserve"> </w:t>
      </w:r>
      <w:r w:rsidRPr="004E0D16">
        <w:rPr>
          <w:color w:val="000000" w:themeColor="text1"/>
        </w:rPr>
        <w:t>ponderación</w:t>
      </w:r>
    </w:p>
    <w:p w:rsidRPr="004E0D16" w:rsidR="004819DD" w:rsidRDefault="004819DD" w14:paraId="66398F7F" w14:textId="77777777">
      <w:pPr>
        <w:pStyle w:val="Textoindependiente"/>
        <w:spacing w:before="7"/>
        <w:rPr>
          <w:b/>
          <w:color w:val="000000" w:themeColor="text1"/>
          <w:sz w:val="28"/>
        </w:rPr>
      </w:pPr>
    </w:p>
    <w:p w:rsidRPr="004E0D16" w:rsidR="004819DD" w:rsidRDefault="00B50F83" w14:paraId="4942F33F" w14:textId="77777777">
      <w:pPr>
        <w:pStyle w:val="Textoindependiente"/>
        <w:spacing w:line="276" w:lineRule="auto"/>
        <w:ind w:left="300" w:right="306"/>
        <w:jc w:val="both"/>
        <w:rPr>
          <w:color w:val="000000" w:themeColor="text1"/>
        </w:rPr>
      </w:pPr>
      <w:r w:rsidRPr="004E0D16">
        <w:rPr>
          <w:color w:val="000000" w:themeColor="text1"/>
        </w:rPr>
        <w:t>Cuando el Decreto 1082 de 2015 menciona que el pliego de condiciones debe contener criterios de selección, debe entenderse que esto se refiere a requisitos habilitantes y criterios ponderables o sujetos a puntaje, de acuerdo con lo dispuesto en la Ley 1150 de 2007, que se estudiará en este acápite. Para resolver su consulta se analizarán cada una de las reglas respecto de los criterios de ponderación, señaladas en el artículo 5 de la Ley 1150 de 2007.</w:t>
      </w:r>
    </w:p>
    <w:p w:rsidRPr="004E0D16" w:rsidR="004819DD" w:rsidRDefault="004819DD" w14:paraId="287A983F" w14:textId="77777777">
      <w:pPr>
        <w:pStyle w:val="Textoindependiente"/>
        <w:spacing w:before="5"/>
        <w:rPr>
          <w:color w:val="000000" w:themeColor="text1"/>
          <w:sz w:val="25"/>
        </w:rPr>
      </w:pPr>
    </w:p>
    <w:p w:rsidRPr="004E0D16" w:rsidR="004819DD" w:rsidP="00076E1D" w:rsidRDefault="00B50F83" w14:paraId="3C4AD5D1" w14:textId="1717780C">
      <w:pPr>
        <w:pStyle w:val="Textoindependiente"/>
        <w:spacing w:line="276" w:lineRule="auto"/>
        <w:ind w:left="300" w:right="309"/>
        <w:jc w:val="both"/>
        <w:rPr>
          <w:color w:val="000000" w:themeColor="text1"/>
        </w:rPr>
      </w:pPr>
      <w:r w:rsidRPr="004E0D16">
        <w:rPr>
          <w:color w:val="000000" w:themeColor="text1"/>
        </w:rPr>
        <w:t>La Ley 1150 de 2007, en el artículo 5, regula el principio de selección objetiva, que busca que las entidades seleccionen la oferta más favorable a sus necesidades, lo cual debe tener en cuenta i) el interés general que se pretende satisfacer con la oferta y ii) no considerar factores que limiten de forma injustificada la pluralidad de oferentes</w:t>
      </w:r>
      <w:r w:rsidRPr="004E0D16" w:rsidR="00076E1D">
        <w:rPr>
          <w:rStyle w:val="Refdenotaalpie"/>
          <w:color w:val="000000" w:themeColor="text1"/>
        </w:rPr>
        <w:footnoteReference w:id="3"/>
      </w:r>
      <w:r w:rsidRPr="004E0D16">
        <w:rPr>
          <w:color w:val="000000" w:themeColor="text1"/>
        </w:rPr>
        <w:t>. La Corte</w:t>
      </w:r>
      <w:r w:rsidRPr="004E0D16" w:rsidR="00076E1D">
        <w:rPr>
          <w:color w:val="000000" w:themeColor="text1"/>
        </w:rPr>
        <w:t xml:space="preserve"> </w:t>
      </w:r>
      <w:r w:rsidRPr="004E0D16">
        <w:rPr>
          <w:color w:val="000000" w:themeColor="text1"/>
        </w:rPr>
        <w:t xml:space="preserve">Constitucional </w:t>
      </w:r>
      <w:r w:rsidRPr="004E0D16">
        <w:rPr>
          <w:color w:val="000000" w:themeColor="text1"/>
        </w:rPr>
        <w:lastRenderedPageBreak/>
        <w:t>dispuso, en la sentencia C-128 de 2003, Magistrado Ponente Álvaro Tafur Galvis señaló, frente a la selección objetiva, que la entidad pública no puede favorecer una oferta por factores subjetivos:</w:t>
      </w:r>
    </w:p>
    <w:p w:rsidRPr="004E0D16" w:rsidR="004819DD" w:rsidRDefault="004819DD" w14:paraId="1DF98653" w14:textId="77777777">
      <w:pPr>
        <w:pStyle w:val="Textoindependiente"/>
        <w:spacing w:before="7"/>
        <w:rPr>
          <w:color w:val="000000" w:themeColor="text1"/>
          <w:sz w:val="25"/>
        </w:rPr>
      </w:pPr>
    </w:p>
    <w:p w:rsidRPr="004E0D16" w:rsidR="004819DD" w:rsidRDefault="00B50F83" w14:paraId="08A2E663" w14:textId="77777777">
      <w:pPr>
        <w:spacing w:line="276" w:lineRule="auto"/>
        <w:ind w:left="1008" w:right="984"/>
        <w:jc w:val="both"/>
        <w:rPr>
          <w:color w:val="000000" w:themeColor="text1"/>
          <w:sz w:val="21"/>
        </w:rPr>
      </w:pPr>
      <w:r w:rsidRPr="004E0D16">
        <w:rPr>
          <w:color w:val="000000" w:themeColor="text1"/>
          <w:sz w:val="21"/>
        </w:rPr>
        <w:t xml:space="preserve">De dichos textos (artículos 24 y 29 derogado de la Ley 80 de 1993) se desprende claramente, en consecuencia, la voluntad del legislador de que el proceso de selección del contratista sea ajeno a cualquier consideración subjetiva o discriminatoria. Dicha voluntad, atendiendo los principios constitucionales y en particular los señalados en el artículo 209 superior, se extiende a todas las fases del contrato, desde su preparación hasta su liquidación, de manera que en todo su desarrollo se observen rigurosamente los parámetros establecidos por la ley y por los pliegos </w:t>
      </w:r>
      <w:r w:rsidRPr="004E0D16">
        <w:rPr>
          <w:color w:val="000000" w:themeColor="text1"/>
          <w:spacing w:val="3"/>
          <w:sz w:val="21"/>
        </w:rPr>
        <w:t xml:space="preserve">de </w:t>
      </w:r>
      <w:r w:rsidRPr="004E0D16">
        <w:rPr>
          <w:color w:val="000000" w:themeColor="text1"/>
          <w:sz w:val="21"/>
        </w:rPr>
        <w:t>condiciones en las diferentes etapas y actuaciones y se adopte una conducta leal, diáfana y veraz conforme al postulado de la buena fe y la mutua confianza entre quienes intervienen en la actividad</w:t>
      </w:r>
      <w:r w:rsidRPr="004E0D16">
        <w:rPr>
          <w:color w:val="000000" w:themeColor="text1"/>
          <w:spacing w:val="-5"/>
          <w:sz w:val="21"/>
        </w:rPr>
        <w:t xml:space="preserve"> </w:t>
      </w:r>
      <w:r w:rsidRPr="004E0D16">
        <w:rPr>
          <w:color w:val="000000" w:themeColor="text1"/>
          <w:sz w:val="21"/>
        </w:rPr>
        <w:t>contractual.</w:t>
      </w:r>
    </w:p>
    <w:p w:rsidRPr="004E0D16" w:rsidR="004819DD" w:rsidRDefault="004819DD" w14:paraId="01D6D615" w14:textId="77777777">
      <w:pPr>
        <w:pStyle w:val="Textoindependiente"/>
        <w:spacing w:before="5"/>
        <w:rPr>
          <w:color w:val="000000" w:themeColor="text1"/>
          <w:sz w:val="16"/>
        </w:rPr>
      </w:pPr>
    </w:p>
    <w:p w:rsidRPr="004E0D16" w:rsidR="004819DD" w:rsidRDefault="00B50F83" w14:paraId="29DFA15F" w14:textId="77777777">
      <w:pPr>
        <w:pStyle w:val="Textoindependiente"/>
        <w:spacing w:before="93" w:line="276" w:lineRule="auto"/>
        <w:ind w:left="300" w:right="303"/>
        <w:jc w:val="both"/>
        <w:rPr>
          <w:color w:val="000000" w:themeColor="text1"/>
        </w:rPr>
      </w:pPr>
      <w:r w:rsidRPr="004E0D16">
        <w:rPr>
          <w:color w:val="000000" w:themeColor="text1"/>
        </w:rPr>
        <w:t>Adicionalmente, el artículo 5 de la Ley 1150 de 2007 contiene 4 reglas que la entidad debe observar para establecer los criterios de escogencia y de calificación en los pliegos de condiciones o sus equivalentes. En primer lugar, la norma enuncia los que denomina como requisitos habilitantes: i) capacidad jurídica, ii) experiencia, iii) capacidad financiera y iv) capacidad organizacional; los cuales no otorgan puntaje y se verifican con el RUP. Estos requisitos permiten que una persona participe en el proceso de contratación porque es hábil o tiene capacidad para celebrar y cumplir el contrato, es decir, que cuenta con aptitudes que cumplen las exigencias de la</w:t>
      </w:r>
      <w:r w:rsidRPr="004E0D16">
        <w:rPr>
          <w:color w:val="000000" w:themeColor="text1"/>
          <w:spacing w:val="-14"/>
        </w:rPr>
        <w:t xml:space="preserve"> </w:t>
      </w:r>
      <w:r w:rsidRPr="004E0D16">
        <w:rPr>
          <w:color w:val="000000" w:themeColor="text1"/>
        </w:rPr>
        <w:t>entidad.</w:t>
      </w:r>
    </w:p>
    <w:p w:rsidRPr="004E0D16" w:rsidR="004819DD" w:rsidRDefault="004819DD" w14:paraId="033E9244" w14:textId="77777777">
      <w:pPr>
        <w:pStyle w:val="Textoindependiente"/>
        <w:spacing w:before="6"/>
        <w:rPr>
          <w:color w:val="000000" w:themeColor="text1"/>
          <w:sz w:val="25"/>
        </w:rPr>
      </w:pPr>
    </w:p>
    <w:p w:rsidRPr="004E0D16" w:rsidR="004819DD" w:rsidP="00BA4B8C" w:rsidRDefault="00B50F83" w14:paraId="2AAE552B" w14:textId="3E846FAD">
      <w:pPr>
        <w:pStyle w:val="Textoindependiente"/>
        <w:spacing w:line="276" w:lineRule="auto"/>
        <w:ind w:left="300" w:right="303"/>
        <w:jc w:val="both"/>
        <w:rPr>
          <w:color w:val="000000" w:themeColor="text1"/>
        </w:rPr>
      </w:pPr>
      <w:r w:rsidRPr="004E0D16">
        <w:rPr>
          <w:color w:val="000000" w:themeColor="text1"/>
        </w:rPr>
        <w:t xml:space="preserve">En consecuencia, las quejas que haya recibido un oferente en otro proceso de contratación no están relacionadas con ningún requisito habilitante, teniendo en cuenta que en el caso de su consulta a dicho criterio se le asignó un puntaje, y esto no es posible cuando se trata de requisitos habilitantes. Además, las quejas recibidas hacen parte de la ejecución del proceso de contratación y no de las aptitudes del proponente para cumplir un contrato, esto es, que independientemente de la oferta, quien la presenta tiene la capacidad necesaria para aportar lo ofrecido por su conocimiento y organización tanto interna como económica, lo cual no está relacionado con lo que otros contratantes evalúan y manifiestan sobre el cumplimiento de un contrato anterior ejecutado por el contratista. En el mismo sentido, se debe observar que las quejas que recibe un </w:t>
      </w:r>
      <w:proofErr w:type="gramStart"/>
      <w:r w:rsidRPr="004E0D16">
        <w:rPr>
          <w:color w:val="000000" w:themeColor="text1"/>
        </w:rPr>
        <w:t>contratista,</w:t>
      </w:r>
      <w:proofErr w:type="gramEnd"/>
      <w:r w:rsidRPr="004E0D16">
        <w:rPr>
          <w:color w:val="000000" w:themeColor="text1"/>
        </w:rPr>
        <w:t xml:space="preserve"> no limitan su capacidad para contratar, esto es, no lo </w:t>
      </w:r>
      <w:r w:rsidRPr="004E0D16">
        <w:rPr>
          <w:color w:val="000000" w:themeColor="text1"/>
        </w:rPr>
        <w:lastRenderedPageBreak/>
        <w:t>inhabilitan para celebrar otro contrato, salvo que dichas quejas se relacionen con incumplimientos contractuales reiterados, caso en el cual la Ley 1474 de 2011 dispuso una inhabilidad para contratar</w:t>
      </w:r>
      <w:r w:rsidRPr="004E0D16" w:rsidR="00BA4B8C">
        <w:rPr>
          <w:rStyle w:val="Refdenotaalpie"/>
          <w:color w:val="000000" w:themeColor="text1"/>
        </w:rPr>
        <w:footnoteReference w:id="4"/>
      </w:r>
      <w:r w:rsidRPr="004E0D16">
        <w:rPr>
          <w:color w:val="000000" w:themeColor="text1"/>
        </w:rPr>
        <w:t>.</w:t>
      </w:r>
    </w:p>
    <w:p w:rsidRPr="004E0D16" w:rsidR="00BA4B8C" w:rsidP="00BA4B8C" w:rsidRDefault="00BA4B8C" w14:paraId="79BD1DCE" w14:textId="77777777">
      <w:pPr>
        <w:pStyle w:val="Textoindependiente"/>
        <w:spacing w:line="276" w:lineRule="auto"/>
        <w:ind w:left="300" w:right="303"/>
        <w:jc w:val="both"/>
        <w:rPr>
          <w:color w:val="000000" w:themeColor="text1"/>
          <w:sz w:val="16"/>
        </w:rPr>
      </w:pPr>
    </w:p>
    <w:p w:rsidRPr="004E0D16" w:rsidR="004819DD" w:rsidP="000657BC" w:rsidRDefault="00B50F83" w14:paraId="489EFF7D" w14:textId="3A1B08AB">
      <w:pPr>
        <w:pStyle w:val="Textoindependiente"/>
        <w:spacing w:before="93" w:line="276" w:lineRule="auto"/>
        <w:ind w:left="300" w:right="302"/>
        <w:jc w:val="both"/>
        <w:rPr>
          <w:color w:val="000000" w:themeColor="text1"/>
        </w:rPr>
      </w:pPr>
      <w:r w:rsidRPr="004E0D16">
        <w:rPr>
          <w:color w:val="000000" w:themeColor="text1"/>
        </w:rPr>
        <w:t>En segundo lugar, el artículo 5 de la Ley 1150 de 2007 dispone como regla el concepto de oferta más favorable para indicarle a las entidades lo que deben tener en cuenta para seleccionar la oferta que, por las ventajas que representa para satisfacer la necesidad de la entidad, es la que debe ser la ganadora o adjudicataria en el proceso. Esta norma fue complementada por el artículo 88 de la Ley 1474 de 2011</w:t>
      </w:r>
      <w:r w:rsidRPr="004E0D16" w:rsidR="00BA4B8C">
        <w:rPr>
          <w:rStyle w:val="Refdenotaalpie"/>
          <w:color w:val="000000" w:themeColor="text1"/>
        </w:rPr>
        <w:footnoteReference w:id="5"/>
      </w:r>
      <w:r w:rsidRPr="004E0D16">
        <w:rPr>
          <w:color w:val="000000" w:themeColor="text1"/>
        </w:rPr>
        <w:t xml:space="preserve">, y reglamentada por el Decreto </w:t>
      </w:r>
      <w:r w:rsidRPr="004E0D16">
        <w:rPr>
          <w:color w:val="000000" w:themeColor="text1"/>
        </w:rPr>
        <w:lastRenderedPageBreak/>
        <w:t>1082 de 2015, estableciendo que la oferta más favorable debe seleccionarse de acuerdo con las normas de cada modalidad de selección, pero para el caso de la licitación pública y la selección abreviada de menor cuantía se plantean dos criterios que las entidades deben tener en cuenta: i) ponderación de calidad y precio con puntaje o fórmulas, y ii) ponderación de calidad y precio con los criterios que señala la norma referidos a la relación costo-beneficio</w:t>
      </w:r>
      <w:r w:rsidRPr="004E0D16" w:rsidR="000657BC">
        <w:rPr>
          <w:rStyle w:val="Refdenotaalpie"/>
          <w:color w:val="000000" w:themeColor="text1"/>
        </w:rPr>
        <w:footnoteReference w:id="6"/>
      </w:r>
      <w:r w:rsidRPr="004E0D16">
        <w:rPr>
          <w:color w:val="000000" w:themeColor="text1"/>
        </w:rPr>
        <w:t>.</w:t>
      </w:r>
      <w:r w:rsidRPr="004E0D16">
        <w:rPr>
          <w:color w:val="000000" w:themeColor="text1"/>
          <w:spacing w:val="7"/>
        </w:rPr>
        <w:t xml:space="preserve"> </w:t>
      </w:r>
      <w:r w:rsidRPr="004E0D16">
        <w:rPr>
          <w:color w:val="000000" w:themeColor="text1"/>
        </w:rPr>
        <w:t>De</w:t>
      </w:r>
      <w:r w:rsidRPr="004E0D16">
        <w:rPr>
          <w:color w:val="000000" w:themeColor="text1"/>
          <w:spacing w:val="9"/>
        </w:rPr>
        <w:t xml:space="preserve"> </w:t>
      </w:r>
      <w:r w:rsidRPr="004E0D16">
        <w:rPr>
          <w:color w:val="000000" w:themeColor="text1"/>
        </w:rPr>
        <w:t>esta</w:t>
      </w:r>
      <w:r w:rsidRPr="004E0D16">
        <w:rPr>
          <w:color w:val="000000" w:themeColor="text1"/>
          <w:spacing w:val="9"/>
        </w:rPr>
        <w:t xml:space="preserve"> </w:t>
      </w:r>
      <w:r w:rsidRPr="004E0D16">
        <w:rPr>
          <w:color w:val="000000" w:themeColor="text1"/>
        </w:rPr>
        <w:t>regla,</w:t>
      </w:r>
      <w:r w:rsidRPr="004E0D16">
        <w:rPr>
          <w:color w:val="000000" w:themeColor="text1"/>
          <w:spacing w:val="8"/>
        </w:rPr>
        <w:t xml:space="preserve"> </w:t>
      </w:r>
      <w:r w:rsidRPr="004E0D16">
        <w:rPr>
          <w:color w:val="000000" w:themeColor="text1"/>
        </w:rPr>
        <w:t>para</w:t>
      </w:r>
      <w:r w:rsidRPr="004E0D16">
        <w:rPr>
          <w:color w:val="000000" w:themeColor="text1"/>
          <w:spacing w:val="8"/>
        </w:rPr>
        <w:t xml:space="preserve"> </w:t>
      </w:r>
      <w:r w:rsidRPr="004E0D16">
        <w:rPr>
          <w:color w:val="000000" w:themeColor="text1"/>
        </w:rPr>
        <w:t>resolver</w:t>
      </w:r>
      <w:r w:rsidRPr="004E0D16">
        <w:rPr>
          <w:color w:val="000000" w:themeColor="text1"/>
          <w:spacing w:val="8"/>
        </w:rPr>
        <w:t xml:space="preserve"> </w:t>
      </w:r>
      <w:r w:rsidRPr="004E0D16">
        <w:rPr>
          <w:color w:val="000000" w:themeColor="text1"/>
        </w:rPr>
        <w:t>su</w:t>
      </w:r>
      <w:r w:rsidRPr="004E0D16">
        <w:rPr>
          <w:color w:val="000000" w:themeColor="text1"/>
          <w:spacing w:val="9"/>
        </w:rPr>
        <w:t xml:space="preserve"> </w:t>
      </w:r>
      <w:r w:rsidRPr="004E0D16">
        <w:rPr>
          <w:color w:val="000000" w:themeColor="text1"/>
        </w:rPr>
        <w:t>consulta,</w:t>
      </w:r>
      <w:r w:rsidRPr="004E0D16">
        <w:rPr>
          <w:color w:val="000000" w:themeColor="text1"/>
          <w:spacing w:val="8"/>
        </w:rPr>
        <w:t xml:space="preserve"> </w:t>
      </w:r>
      <w:r w:rsidRPr="004E0D16">
        <w:rPr>
          <w:color w:val="000000" w:themeColor="text1"/>
        </w:rPr>
        <w:t>se</w:t>
      </w:r>
      <w:r w:rsidRPr="004E0D16">
        <w:rPr>
          <w:color w:val="000000" w:themeColor="text1"/>
          <w:spacing w:val="9"/>
        </w:rPr>
        <w:t xml:space="preserve"> </w:t>
      </w:r>
      <w:r w:rsidRPr="004E0D16">
        <w:rPr>
          <w:color w:val="000000" w:themeColor="text1"/>
        </w:rPr>
        <w:t>destaca</w:t>
      </w:r>
      <w:r w:rsidRPr="004E0D16">
        <w:rPr>
          <w:color w:val="000000" w:themeColor="text1"/>
          <w:spacing w:val="9"/>
        </w:rPr>
        <w:t xml:space="preserve"> </w:t>
      </w:r>
      <w:r w:rsidRPr="004E0D16">
        <w:rPr>
          <w:color w:val="000000" w:themeColor="text1"/>
        </w:rPr>
        <w:t>la</w:t>
      </w:r>
      <w:r w:rsidRPr="004E0D16">
        <w:rPr>
          <w:color w:val="000000" w:themeColor="text1"/>
          <w:spacing w:val="9"/>
        </w:rPr>
        <w:t xml:space="preserve"> </w:t>
      </w:r>
      <w:r w:rsidRPr="004E0D16">
        <w:rPr>
          <w:color w:val="000000" w:themeColor="text1"/>
        </w:rPr>
        <w:t>calidad</w:t>
      </w:r>
      <w:r w:rsidRPr="004E0D16">
        <w:rPr>
          <w:color w:val="000000" w:themeColor="text1"/>
          <w:spacing w:val="9"/>
        </w:rPr>
        <w:t xml:space="preserve"> </w:t>
      </w:r>
      <w:r w:rsidRPr="004E0D16">
        <w:rPr>
          <w:color w:val="000000" w:themeColor="text1"/>
        </w:rPr>
        <w:t>del</w:t>
      </w:r>
      <w:r w:rsidRPr="004E0D16">
        <w:rPr>
          <w:color w:val="000000" w:themeColor="text1"/>
          <w:spacing w:val="10"/>
        </w:rPr>
        <w:t xml:space="preserve"> </w:t>
      </w:r>
      <w:r w:rsidRPr="004E0D16">
        <w:rPr>
          <w:color w:val="000000" w:themeColor="text1"/>
        </w:rPr>
        <w:t>bien</w:t>
      </w:r>
      <w:r w:rsidRPr="004E0D16">
        <w:rPr>
          <w:color w:val="000000" w:themeColor="text1"/>
          <w:spacing w:val="9"/>
        </w:rPr>
        <w:t xml:space="preserve"> </w:t>
      </w:r>
      <w:r w:rsidRPr="004E0D16">
        <w:rPr>
          <w:color w:val="000000" w:themeColor="text1"/>
        </w:rPr>
        <w:t>o</w:t>
      </w:r>
      <w:r w:rsidRPr="004E0D16" w:rsidR="00BA4B8C">
        <w:rPr>
          <w:color w:val="000000" w:themeColor="text1"/>
        </w:rPr>
        <w:t xml:space="preserve"> </w:t>
      </w:r>
      <w:r w:rsidRPr="004E0D16">
        <w:rPr>
          <w:noProof/>
          <w:color w:val="000000" w:themeColor="text1"/>
          <w:lang w:val="en-US"/>
        </w:rPr>
        <mc:AlternateContent>
          <mc:Choice Requires="wps">
            <w:drawing>
              <wp:anchor distT="0" distB="0" distL="0" distR="0" simplePos="0" relativeHeight="487590912" behindDoc="1" locked="0" layoutInCell="1" allowOverlap="1" wp14:anchorId="28C74950" wp14:editId="00545443">
                <wp:simplePos x="0" y="0"/>
                <wp:positionH relativeFrom="page">
                  <wp:posOffset>1080135</wp:posOffset>
                </wp:positionH>
                <wp:positionV relativeFrom="paragraph">
                  <wp:posOffset>172720</wp:posOffset>
                </wp:positionV>
                <wp:extent cx="1828800" cy="9525"/>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85.05pt;margin-top:13.6pt;width:2in;height:.7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860B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jKcgIAAPk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">
                <w10:wrap type="topAndBottom" anchorx="page"/>
              </v:rect>
            </w:pict>
          </mc:Fallback>
        </mc:AlternateContent>
      </w:r>
      <w:r w:rsidRPr="004E0D16">
        <w:rPr>
          <w:color w:val="000000" w:themeColor="text1"/>
        </w:rPr>
        <w:t>servicio a contratar, la cual es posible puntuar y valorar revisando las quejas que haya recibido un oferente en otro proceso de contratación, lo cual da cuenta de la buena o mala ejecución del contrato, que puede referirse al bien o servicio o al contratista como tal, y cuya cantidad es determinable objetivamente al hacer un conteo de las mismas, permitiendo anticipar cómo será el cumplimiento del contrato a celebrar y la calidad de lo ofrecido por el contratista, sin que sea lo único que se puede tener en cuenta porque solo da un indicio y ello puede variar dependiendo de las circunstancias del caso concreto.</w:t>
      </w:r>
    </w:p>
    <w:p w:rsidRPr="004E0D16" w:rsidR="004819DD" w:rsidRDefault="004819DD" w14:paraId="16BC3661" w14:textId="77777777">
      <w:pPr>
        <w:pStyle w:val="Textoindependiente"/>
        <w:spacing w:before="4"/>
        <w:rPr>
          <w:color w:val="000000" w:themeColor="text1"/>
          <w:sz w:val="25"/>
        </w:rPr>
      </w:pPr>
    </w:p>
    <w:p w:rsidRPr="004E0D16" w:rsidR="004819DD" w:rsidRDefault="00B50F83" w14:paraId="4D7EE428" w14:textId="77777777">
      <w:pPr>
        <w:pStyle w:val="Textoindependiente"/>
        <w:spacing w:line="276" w:lineRule="auto"/>
        <w:ind w:left="300" w:right="304"/>
        <w:jc w:val="both"/>
        <w:rPr>
          <w:color w:val="000000" w:themeColor="text1"/>
        </w:rPr>
      </w:pPr>
      <w:r w:rsidRPr="004E0D16">
        <w:rPr>
          <w:color w:val="000000" w:themeColor="text1"/>
        </w:rPr>
        <w:t xml:space="preserve">Como tercer y cuarto criterio señalados en el artículo 5 de la Ley 1150 de 2007 se establecen dos reglas para dos modalidades de selección: la selección abreviada para la adquisición de </w:t>
      </w:r>
      <w:r w:rsidRPr="004E0D16">
        <w:rPr>
          <w:color w:val="000000" w:themeColor="text1"/>
        </w:rPr>
        <w:lastRenderedPageBreak/>
        <w:t>Bienes y Servicios de Características Técnicas Uniformes; y el concurso de méritos. Para el caso de la selección abreviada el único factor de evaluación será el menor precio ofrecido, y para el concurso de méritos los factores de calificación deben estar relacionados con aspectos técnicos, y se puede considerar la experiencia específica del oferente y el equipo de trabajo, sin que sea posible calificar el precio en ningún caso. Por tanto, en la selección abreviada y en el concurso de méritos no es posible valorar u otorgar puntos a las quejas que haya recibido un oferente en otro proceso de contratación, ya que ello desconoce lo que la ley señala expresamente, porque excede lo que se permite puntuar o tener en cuenta como factor de evaluación o calificación.</w:t>
      </w:r>
    </w:p>
    <w:p w:rsidRPr="004E0D16" w:rsidR="004819DD" w:rsidRDefault="004819DD" w14:paraId="18039FDC" w14:textId="77777777">
      <w:pPr>
        <w:pStyle w:val="Textoindependiente"/>
        <w:spacing w:before="6"/>
        <w:rPr>
          <w:color w:val="000000" w:themeColor="text1"/>
          <w:sz w:val="25"/>
        </w:rPr>
      </w:pPr>
    </w:p>
    <w:p w:rsidRPr="004E0D16" w:rsidR="004819DD" w:rsidP="000657BC" w:rsidRDefault="00B50F83" w14:paraId="4DE58FC0" w14:textId="5E5611D0">
      <w:pPr>
        <w:pStyle w:val="Textoindependiente"/>
        <w:spacing w:line="276" w:lineRule="auto"/>
        <w:ind w:left="300" w:right="303"/>
        <w:jc w:val="both"/>
        <w:rPr>
          <w:color w:val="000000" w:themeColor="text1"/>
        </w:rPr>
      </w:pPr>
      <w:r w:rsidRPr="004E0D16">
        <w:rPr>
          <w:color w:val="000000" w:themeColor="text1"/>
        </w:rPr>
        <w:t xml:space="preserve">Finalmente, una vez revisadas las reglas del artículo 5 de la Ley 1150 de 2007 respecto de los criterios de selección, la conclusión de los argumentos expuestos está determinada por lo señalado en el artículo 24 de la Ley 80 de 1993 citado, sobre el contenido del pliego de condiciones, ya que sus reglas, disposiciones o requisitos deben ser objetivos; y el inciso primero del artículo 5 de la Ley 1150 de 2007 puntualiza lo que debe entenderse por ello, estableciendo que lo objetivo es aquello que no </w:t>
      </w:r>
      <w:proofErr w:type="spellStart"/>
      <w:r w:rsidRPr="004E0D16">
        <w:rPr>
          <w:color w:val="000000" w:themeColor="text1"/>
        </w:rPr>
        <w:t>este</w:t>
      </w:r>
      <w:proofErr w:type="spellEnd"/>
      <w:r w:rsidRPr="004E0D16">
        <w:rPr>
          <w:color w:val="000000" w:themeColor="text1"/>
        </w:rPr>
        <w:t xml:space="preserve"> relacionado con intereses o afecto</w:t>
      </w:r>
      <w:r w:rsidRPr="004E0D16" w:rsidR="000657BC">
        <w:rPr>
          <w:color w:val="000000" w:themeColor="text1"/>
        </w:rPr>
        <w:t xml:space="preserve"> </w:t>
      </w:r>
      <w:r w:rsidRPr="004E0D16">
        <w:rPr>
          <w:color w:val="000000" w:themeColor="text1"/>
        </w:rPr>
        <w:t>hacia el oferente. Por consiguiente, si la entidad decide establecer como criterio ponderable, es decir, otorga puntaje en el pliego de condiciones del procedimiento, a las quejas que recibió el proponente durante la ejecución de otro contrato, es importante analizar que esto se refiere a la conducta de quien presenta la oferta, y que es objetivo en la medida en que sin importar de quien se trate, se evaluará la forma en que cumplió un contrato anterior en el que resultó adjudicatario, y también es objetivo porque puede ser cuantificado si se establece una relación entre el número de quejas y la escala de puntos que se otorgarán.</w:t>
      </w:r>
    </w:p>
    <w:p w:rsidRPr="004E0D16" w:rsidR="004819DD" w:rsidRDefault="004819DD" w14:paraId="7AC888B3" w14:textId="77777777">
      <w:pPr>
        <w:pStyle w:val="Textoindependiente"/>
        <w:spacing w:before="6"/>
        <w:rPr>
          <w:color w:val="000000" w:themeColor="text1"/>
          <w:sz w:val="25"/>
        </w:rPr>
      </w:pPr>
    </w:p>
    <w:p w:rsidRPr="004E0D16" w:rsidR="004819DD" w:rsidRDefault="00B50F83" w14:paraId="7A312499" w14:textId="77777777">
      <w:pPr>
        <w:pStyle w:val="Ttulo1"/>
        <w:numPr>
          <w:ilvl w:val="0"/>
          <w:numId w:val="2"/>
        </w:numPr>
        <w:tabs>
          <w:tab w:val="left" w:pos="544"/>
        </w:tabs>
        <w:ind w:hanging="244"/>
        <w:jc w:val="both"/>
        <w:rPr>
          <w:color w:val="000000" w:themeColor="text1"/>
        </w:rPr>
      </w:pPr>
      <w:r w:rsidRPr="004E0D16">
        <w:rPr>
          <w:color w:val="000000" w:themeColor="text1"/>
        </w:rPr>
        <w:t>Respuesta</w:t>
      </w:r>
    </w:p>
    <w:p w:rsidRPr="004E0D16" w:rsidR="004819DD" w:rsidRDefault="004819DD" w14:paraId="4A55FF3D" w14:textId="77777777">
      <w:pPr>
        <w:pStyle w:val="Textoindependiente"/>
        <w:spacing w:before="5"/>
        <w:rPr>
          <w:b/>
          <w:color w:val="000000" w:themeColor="text1"/>
          <w:sz w:val="28"/>
        </w:rPr>
      </w:pPr>
    </w:p>
    <w:p w:rsidRPr="004E0D16" w:rsidR="004819DD" w:rsidRDefault="00B50F83" w14:paraId="602D9229" w14:textId="77777777">
      <w:pPr>
        <w:pStyle w:val="Prrafodelista"/>
        <w:numPr>
          <w:ilvl w:val="1"/>
          <w:numId w:val="2"/>
        </w:numPr>
        <w:tabs>
          <w:tab w:val="left" w:pos="696"/>
        </w:tabs>
        <w:spacing w:line="276" w:lineRule="auto"/>
        <w:ind w:right="307" w:firstLine="0"/>
        <w:jc w:val="both"/>
        <w:rPr>
          <w:color w:val="000000" w:themeColor="text1"/>
        </w:rPr>
      </w:pPr>
      <w:r w:rsidRPr="004E0D16">
        <w:rPr>
          <w:color w:val="000000" w:themeColor="text1"/>
        </w:rPr>
        <w:t>En los procesos de contratación, las entidades son autónomas y responsables de la estructuración de estos, y en el pliego de condiciones deben constar las reglas que se han definido para la satisfacción del objeto contractual, sin que esa facultad sea ilimitada, ya que, por el principio de legalidad, las entidades deben respetar la ley al determinar las reglas del proceso para que los interesados presenten sus ofertas. En consecuencia, los criterios de ponderación que se establezcan en el pliego de condiciones deben observar los criterios definidos en el artículo 5 de la Ley 1150 de 2007, y como se concluyó, de acuerdo con esta norma, es posible que las quejas que haya recibido un oferente en otro proceso de contratación sean objeto de puntuación, siempre que la entidad utilice criterios objetivos relacionados con la cantidad de quejas recibidas, entre otros, que permitan evaluar al proponente y su oferta, sin tener en cuenta lo que la ley prohíbe, que son “factores de afecto o de interés y, en general, cualquier clase de motivación</w:t>
      </w:r>
      <w:r w:rsidRPr="004E0D16">
        <w:rPr>
          <w:color w:val="000000" w:themeColor="text1"/>
          <w:spacing w:val="-32"/>
        </w:rPr>
        <w:t xml:space="preserve"> </w:t>
      </w:r>
      <w:r w:rsidRPr="004E0D16">
        <w:rPr>
          <w:color w:val="000000" w:themeColor="text1"/>
        </w:rPr>
        <w:t>subjetiva”.</w:t>
      </w:r>
    </w:p>
    <w:p w:rsidRPr="004E0D16" w:rsidR="004819DD" w:rsidRDefault="004819DD" w14:paraId="4F4D2847" w14:textId="77777777">
      <w:pPr>
        <w:pStyle w:val="Textoindependiente"/>
        <w:spacing w:before="4"/>
        <w:rPr>
          <w:color w:val="000000" w:themeColor="text1"/>
          <w:sz w:val="25"/>
        </w:rPr>
      </w:pPr>
    </w:p>
    <w:p w:rsidRPr="004E0D16" w:rsidR="004819DD" w:rsidRDefault="00B50F83" w14:paraId="5E0F0F85" w14:textId="77777777">
      <w:pPr>
        <w:pStyle w:val="Prrafodelista"/>
        <w:numPr>
          <w:ilvl w:val="1"/>
          <w:numId w:val="2"/>
        </w:numPr>
        <w:tabs>
          <w:tab w:val="left" w:pos="668"/>
        </w:tabs>
        <w:spacing w:line="276" w:lineRule="auto"/>
        <w:ind w:right="304" w:firstLine="0"/>
        <w:jc w:val="both"/>
        <w:rPr>
          <w:color w:val="000000" w:themeColor="text1"/>
        </w:rPr>
      </w:pPr>
      <w:r w:rsidRPr="004E0D16">
        <w:rPr>
          <w:color w:val="000000" w:themeColor="text1"/>
        </w:rPr>
        <w:t xml:space="preserve">La Agencia Nacional de Contratación Pública – Colombia Compra Eficiente informa que en su calidad de administrador del Acuerdo Marco de Precios de intermediarios de seguros, </w:t>
      </w:r>
      <w:r w:rsidRPr="004E0D16">
        <w:rPr>
          <w:color w:val="000000" w:themeColor="text1"/>
        </w:rPr>
        <w:lastRenderedPageBreak/>
        <w:t>identificado con el código CCE-460-1-AMP-2016, el procedimiento efectuado cuando alguno de los proveedores elevaba alguna solicitud, observación o queja por inconvenientes dentro de la ejecución de las órdenes de compra colocadas en la Tienda Virtual del Estado Colombiano al amparo del mencionado acuerdo, era: i) realizar validaciones con la entidad compradora con el fin de solucionar las inquietudes que se presentaran; así mismo de evidenciarse necesario ii) se realizaban mesas de trabajo para lograr una buena ejecución del objeto contratado. Finalmente, sobre los temas en los cuales la Agencia Nacional de Contratación Pública – Colombia Compra Eficiente observaba que exorbitaban su competencia, remitíamos a las autoridades competentes la información suministrada para que se continuara con el trámite correspondiente. Lo anterior de conformidad con la obligación señalada en el numeral 13.6 de la cláusula 13 del Acuerdo: “(…) Hacer seguimiento al cumplimiento de las obligaciones derivadas del presente Acuerdo Marco a cargo de los Proveedores y las Entidades Compradoras</w:t>
      </w:r>
      <w:r w:rsidRPr="004E0D16">
        <w:rPr>
          <w:color w:val="000000" w:themeColor="text1"/>
          <w:spacing w:val="-31"/>
        </w:rPr>
        <w:t xml:space="preserve"> </w:t>
      </w:r>
      <w:r w:rsidRPr="004E0D16">
        <w:rPr>
          <w:color w:val="000000" w:themeColor="text1"/>
        </w:rPr>
        <w:t>(…)”.</w:t>
      </w:r>
    </w:p>
    <w:p w:rsidRPr="004E0D16" w:rsidR="004819DD" w:rsidRDefault="004819DD" w14:paraId="47AFE275" w14:textId="77777777">
      <w:pPr>
        <w:pStyle w:val="Textoindependiente"/>
        <w:spacing w:before="2"/>
        <w:rPr>
          <w:color w:val="000000" w:themeColor="text1"/>
          <w:sz w:val="27"/>
        </w:rPr>
      </w:pPr>
    </w:p>
    <w:p w:rsidRPr="004E0D16" w:rsidR="004819DD" w:rsidRDefault="00B50F83" w14:paraId="418F8915" w14:textId="77777777">
      <w:pPr>
        <w:pStyle w:val="Textoindependiente"/>
        <w:spacing w:before="93" w:line="278" w:lineRule="auto"/>
        <w:ind w:left="300"/>
        <w:rPr>
          <w:color w:val="000000" w:themeColor="text1"/>
        </w:rPr>
      </w:pPr>
      <w:r w:rsidRPr="004E0D16">
        <w:rPr>
          <w:color w:val="000000" w:themeColor="text1"/>
        </w:rPr>
        <w:t>Este concepto tiene el alcance previsto en el artículo 28 del Código de Procedimiento Administrativo y de lo Contencioso Administrativo.</w:t>
      </w:r>
    </w:p>
    <w:p w:rsidRPr="004E0D16" w:rsidR="004819DD" w:rsidRDefault="00B50F83" w14:paraId="3A8AB7A8" w14:textId="77777777">
      <w:pPr>
        <w:pStyle w:val="Textoindependiente"/>
        <w:spacing w:before="5"/>
        <w:rPr>
          <w:color w:val="000000" w:themeColor="text1"/>
        </w:rPr>
      </w:pPr>
      <w:r w:rsidRPr="004E0D16">
        <w:rPr>
          <w:noProof/>
          <w:color w:val="000000" w:themeColor="text1"/>
          <w:lang w:val="en-US"/>
        </w:rPr>
        <mc:AlternateContent>
          <mc:Choice Requires="wps">
            <w:drawing>
              <wp:anchor distT="0" distB="0" distL="0" distR="0" simplePos="0" relativeHeight="487591936" behindDoc="1" locked="0" layoutInCell="1" allowOverlap="1" wp14:anchorId="029C98D2" wp14:editId="4C9F5ED2">
                <wp:simplePos x="0" y="0"/>
                <wp:positionH relativeFrom="page">
                  <wp:posOffset>1514475</wp:posOffset>
                </wp:positionH>
                <wp:positionV relativeFrom="paragraph">
                  <wp:posOffset>193675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25pt;width:369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" w14:anchorId="320AD1B0">
                <v:path arrowok="t" o:connecttype="custom" o:connectlocs="0,0;4686300,0" o:connectangles="0,0"/>
                <w10:wrap type="topAndBottom" anchorx="page"/>
              </v:shape>
            </w:pict>
          </mc:Fallback>
        </mc:AlternateContent>
      </w:r>
    </w:p>
    <w:p w:rsidRPr="004E0D16" w:rsidR="004819DD" w:rsidRDefault="004819DD" w14:paraId="76B47761" w14:textId="77777777">
      <w:pPr>
        <w:pStyle w:val="Textoindependiente"/>
        <w:spacing w:before="5"/>
        <w:rPr>
          <w:color w:val="000000" w:themeColor="text1"/>
          <w:sz w:val="20"/>
        </w:rPr>
      </w:pPr>
    </w:p>
    <w:p w:rsidRPr="004E0D16" w:rsidR="004819DD" w:rsidRDefault="00B50F83" w14:paraId="0454ABCB" w14:textId="77777777">
      <w:pPr>
        <w:pStyle w:val="Textoindependiente"/>
        <w:ind w:left="300"/>
        <w:rPr>
          <w:color w:val="000000" w:themeColor="text1"/>
        </w:rPr>
      </w:pPr>
      <w:r w:rsidRPr="004E0D16">
        <w:rPr>
          <w:color w:val="000000" w:themeColor="text1"/>
        </w:rPr>
        <w:t>Atentamente,</w:t>
      </w:r>
    </w:p>
    <w:p w:rsidRPr="004E0D16" w:rsidR="004819DD" w:rsidP="00B74ED4" w:rsidRDefault="00B74ED4" w14:paraId="3F4F3F6C" w14:textId="54AEE9E6">
      <w:pPr>
        <w:pStyle w:val="Textoindependiente"/>
        <w:spacing w:before="4"/>
        <w:jc w:val="center"/>
        <w:rPr>
          <w:color w:val="000000" w:themeColor="text1"/>
          <w:sz w:val="27"/>
        </w:rPr>
      </w:pPr>
      <w:r w:rsidR="00B74ED4">
        <w:drawing>
          <wp:inline wp14:editId="186DA50F" wp14:anchorId="2EE27361">
            <wp:extent cx="2773045" cy="988695"/>
            <wp:effectExtent l="0" t="0" r="0" b="0"/>
            <wp:docPr id="915978534" name="Imagen 11" title=""/>
            <wp:cNvGraphicFramePr>
              <a:graphicFrameLocks/>
            </wp:cNvGraphicFramePr>
            <a:graphic>
              <a:graphicData uri="http://schemas.openxmlformats.org/drawingml/2006/picture">
                <pic:pic>
                  <pic:nvPicPr>
                    <pic:cNvPr id="0" name="Imagen 11"/>
                    <pic:cNvPicPr/>
                  </pic:nvPicPr>
                  <pic:blipFill>
                    <a:blip r:embed="Re2db8fdd46f7499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4E0D16" w:rsidR="00B74ED4" w:rsidP="00B74ED4" w:rsidRDefault="00B74ED4" w14:paraId="554FF558" w14:textId="77777777">
      <w:pPr>
        <w:pStyle w:val="Textoindependiente"/>
        <w:spacing w:before="4"/>
        <w:jc w:val="center"/>
        <w:rPr>
          <w:color w:val="000000" w:themeColor="text1"/>
          <w:sz w:val="27"/>
        </w:rPr>
      </w:pPr>
    </w:p>
    <w:p w:rsidRPr="004E0D16" w:rsidR="004819DD" w:rsidRDefault="00B50F83" w14:paraId="5E40E04F" w14:textId="77777777">
      <w:pPr>
        <w:spacing w:before="36"/>
        <w:ind w:left="300"/>
        <w:rPr>
          <w:color w:val="000000" w:themeColor="text1"/>
          <w:sz w:val="18"/>
        </w:rPr>
      </w:pPr>
      <w:r w:rsidRPr="004E0D16">
        <w:rPr>
          <w:color w:val="000000" w:themeColor="text1"/>
          <w:sz w:val="18"/>
        </w:rPr>
        <w:t>Proyectó: Ximena Ríos López / Paola Henao</w:t>
      </w:r>
    </w:p>
    <w:sectPr w:rsidRPr="004E0D16" w:rsidR="004819DD">
      <w:headerReference w:type="default" r:id="rId11"/>
      <w:footerReference w:type="default" r:id="rId12"/>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47A8" w:rsidRDefault="00B847A8" w14:paraId="57BC8023" w14:textId="77777777">
      <w:r>
        <w:separator/>
      </w:r>
    </w:p>
  </w:endnote>
  <w:endnote w:type="continuationSeparator" w:id="0">
    <w:p w:rsidR="00B847A8" w:rsidRDefault="00B847A8" w14:paraId="758C9A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4819DD" w:rsidRDefault="00B50F83" w14:paraId="5FFE88B9" w14:textId="77777777">
    <w:pPr>
      <w:pStyle w:val="Textoindependiente"/>
      <w:spacing w:line="14" w:lineRule="auto"/>
      <w:rPr>
        <w:sz w:val="20"/>
      </w:rPr>
    </w:pPr>
    <w:r>
      <w:rPr>
        <w:noProof/>
        <w:lang w:val="en-US"/>
      </w:rPr>
      <w:drawing>
        <wp:anchor distT="0" distB="0" distL="0" distR="0" simplePos="0" relativeHeight="487433728" behindDoc="1" locked="0" layoutInCell="1" allowOverlap="1" wp14:anchorId="20C609B0" wp14:editId="4018FB77">
          <wp:simplePos x="0" y="0"/>
          <wp:positionH relativeFrom="margin">
            <wp:align>center</wp:align>
          </wp:positionH>
          <wp:positionV relativeFrom="page">
            <wp:posOffset>8799389</wp:posOffset>
          </wp:positionV>
          <wp:extent cx="5612130" cy="787120"/>
          <wp:effectExtent l="0" t="0" r="0" b="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129D2879">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47A8" w:rsidRDefault="00B847A8" w14:paraId="79EA1AE0" w14:textId="77777777">
      <w:r>
        <w:separator/>
      </w:r>
    </w:p>
  </w:footnote>
  <w:footnote w:type="continuationSeparator" w:id="0">
    <w:p w:rsidR="00B847A8" w:rsidRDefault="00B847A8" w14:paraId="2515FDF6" w14:textId="77777777">
      <w:r>
        <w:continuationSeparator/>
      </w:r>
    </w:p>
  </w:footnote>
  <w:footnote w:id="1">
    <w:p w:rsidRPr="004E0D16" w:rsidR="00076E1D" w:rsidP="004E0D16" w:rsidRDefault="00076E1D" w14:paraId="55A5E171" w14:textId="77777777">
      <w:pPr>
        <w:spacing w:before="90" w:line="242" w:lineRule="auto"/>
        <w:ind w:left="300" w:right="306" w:firstLine="707"/>
        <w:jc w:val="both"/>
        <w:rPr>
          <w:sz w:val="18"/>
        </w:rPr>
      </w:pPr>
      <w:r w:rsidRPr="004E0D16">
        <w:rPr>
          <w:rStyle w:val="Refdenotaalpie"/>
        </w:rPr>
        <w:footnoteRef/>
      </w:r>
      <w:r w:rsidRPr="004E0D16">
        <w:t xml:space="preserve"> </w:t>
      </w:r>
      <w:r w:rsidRPr="004E0D16">
        <w:rPr>
          <w:sz w:val="18"/>
        </w:rPr>
        <w:t xml:space="preserve">Decreto 1082 de 2015: “Artículo 2.2.1.1.1.3.1. Definiciones. Los términos no definidos en el Título </w:t>
      </w:r>
      <w:proofErr w:type="gramStart"/>
      <w:r w:rsidRPr="004E0D16">
        <w:rPr>
          <w:sz w:val="18"/>
        </w:rPr>
        <w:t>I  de</w:t>
      </w:r>
      <w:proofErr w:type="gramEnd"/>
      <w:r w:rsidRPr="004E0D16">
        <w:rPr>
          <w:sz w:val="18"/>
        </w:rPr>
        <w:t xml:space="preserv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4E0D16">
        <w:rPr>
          <w:spacing w:val="-15"/>
          <w:sz w:val="18"/>
        </w:rPr>
        <w:t xml:space="preserve"> </w:t>
      </w:r>
      <w:r w:rsidRPr="004E0D16">
        <w:rPr>
          <w:sz w:val="18"/>
        </w:rPr>
        <w:t>utilizados.</w:t>
      </w:r>
    </w:p>
    <w:p w:rsidRPr="004E0D16" w:rsidR="00076E1D" w:rsidP="004E0D16" w:rsidRDefault="00076E1D" w14:paraId="57C68BA8" w14:textId="77777777">
      <w:pPr>
        <w:spacing w:line="207" w:lineRule="exact"/>
        <w:ind w:left="300" w:right="306"/>
        <w:rPr>
          <w:sz w:val="18"/>
        </w:rPr>
      </w:pPr>
      <w:r w:rsidRPr="004E0D16">
        <w:rPr>
          <w:sz w:val="18"/>
        </w:rPr>
        <w:t>“(...)</w:t>
      </w:r>
    </w:p>
    <w:p w:rsidRPr="004E0D16" w:rsidR="00076E1D" w:rsidP="004E0D16" w:rsidRDefault="00076E1D" w14:paraId="76E8A38A" w14:textId="77777777">
      <w:pPr>
        <w:pStyle w:val="Textoindependiente"/>
        <w:spacing w:before="1"/>
        <w:ind w:left="300" w:right="306"/>
        <w:rPr>
          <w:sz w:val="18"/>
        </w:rPr>
      </w:pPr>
    </w:p>
    <w:p w:rsidRPr="004E0D16" w:rsidR="00076E1D" w:rsidP="004E0D16" w:rsidRDefault="00076E1D" w14:paraId="55D6DA78" w14:textId="77777777">
      <w:pPr>
        <w:ind w:left="300" w:right="306"/>
        <w:jc w:val="both"/>
        <w:rPr>
          <w:sz w:val="18"/>
        </w:rPr>
      </w:pPr>
      <w:r w:rsidRPr="004E0D16">
        <w:rPr>
          <w:sz w:val="18"/>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rsidRPr="004E0D16" w:rsidR="00076E1D" w:rsidP="004E0D16" w:rsidRDefault="00076E1D" w14:paraId="2E8818D1" w14:textId="77777777">
      <w:pPr>
        <w:spacing w:line="206" w:lineRule="exact"/>
        <w:ind w:left="300" w:right="306"/>
        <w:rPr>
          <w:sz w:val="18"/>
        </w:rPr>
      </w:pPr>
      <w:r w:rsidRPr="004E0D16">
        <w:rPr>
          <w:sz w:val="18"/>
        </w:rPr>
        <w:t>(...)”.</w:t>
      </w:r>
    </w:p>
    <w:p w:rsidRPr="004E0D16" w:rsidR="00076E1D" w:rsidP="004E0D16" w:rsidRDefault="00076E1D" w14:paraId="2DAC7387" w14:textId="362CE0FE">
      <w:pPr>
        <w:pStyle w:val="Textonotapie"/>
        <w:ind w:left="300" w:right="306"/>
        <w:rPr>
          <w:lang w:val="es-CO"/>
        </w:rPr>
      </w:pPr>
    </w:p>
  </w:footnote>
  <w:footnote w:id="2">
    <w:p w:rsidRPr="004E0D16" w:rsidR="00076E1D" w:rsidP="004E0D16" w:rsidRDefault="00076E1D" w14:paraId="15FA8DCF" w14:textId="77777777">
      <w:pPr>
        <w:spacing w:before="76"/>
        <w:ind w:left="300" w:right="306" w:firstLine="707"/>
        <w:rPr>
          <w:sz w:val="18"/>
        </w:rPr>
      </w:pPr>
      <w:r w:rsidRPr="004E0D16">
        <w:rPr>
          <w:rStyle w:val="Refdenotaalpie"/>
        </w:rPr>
        <w:footnoteRef/>
      </w:r>
      <w:r w:rsidRPr="004E0D16">
        <w:t xml:space="preserve"> </w:t>
      </w:r>
      <w:r w:rsidRPr="004E0D16">
        <w:rPr>
          <w:sz w:val="18"/>
        </w:rPr>
        <w:t>Decreto 1082 de 2015: “Artículo 2.2.1.1.2.1.3. Pliegos de condiciones. Los pliegos de condiciones deben contener por lo menos la siguiente información:</w:t>
      </w:r>
    </w:p>
    <w:p w:rsidRPr="004E0D16" w:rsidR="00076E1D" w:rsidP="004E0D16" w:rsidRDefault="00076E1D" w14:paraId="481EF92B" w14:textId="77777777">
      <w:pPr>
        <w:pStyle w:val="Textoindependiente"/>
        <w:spacing w:before="10"/>
        <w:ind w:left="300" w:right="306"/>
        <w:rPr>
          <w:sz w:val="17"/>
        </w:rPr>
      </w:pPr>
    </w:p>
    <w:p w:rsidRPr="004E0D16" w:rsidR="00076E1D" w:rsidP="004E0D16" w:rsidRDefault="00076E1D" w14:paraId="6749BE96" w14:textId="77777777">
      <w:pPr>
        <w:ind w:left="300" w:right="306"/>
        <w:rPr>
          <w:sz w:val="18"/>
        </w:rPr>
      </w:pPr>
      <w:r w:rsidRPr="004E0D16">
        <w:rPr>
          <w:sz w:val="18"/>
        </w:rPr>
        <w:t xml:space="preserve">“1. La descripción técnica, detallada y completa del bien o servicio objeto del contrato, identificado con el cuarto nivel del Clasificador de Bienes y Servicios, de ser posible o de lo contrario con el tercer nivel </w:t>
      </w:r>
      <w:proofErr w:type="gramStart"/>
      <w:r w:rsidRPr="004E0D16">
        <w:rPr>
          <w:sz w:val="18"/>
        </w:rPr>
        <w:t>del mismo</w:t>
      </w:r>
      <w:proofErr w:type="gramEnd"/>
      <w:r w:rsidRPr="004E0D16">
        <w:rPr>
          <w:sz w:val="18"/>
        </w:rPr>
        <w:t>.</w:t>
      </w:r>
    </w:p>
    <w:p w:rsidRPr="004E0D16" w:rsidR="00076E1D" w:rsidP="004E0D16" w:rsidRDefault="00076E1D" w14:paraId="132163C6" w14:textId="77777777">
      <w:pPr>
        <w:pStyle w:val="Textoindependiente"/>
        <w:spacing w:before="11"/>
        <w:ind w:left="300" w:right="306"/>
        <w:rPr>
          <w:sz w:val="17"/>
        </w:rPr>
      </w:pPr>
    </w:p>
    <w:p w:rsidRPr="004E0D16" w:rsidR="00076E1D" w:rsidP="004E0D16" w:rsidRDefault="00076E1D" w14:paraId="02FD7042" w14:textId="77777777">
      <w:pPr>
        <w:ind w:left="300" w:right="306"/>
        <w:rPr>
          <w:sz w:val="18"/>
        </w:rPr>
      </w:pPr>
      <w:r w:rsidRPr="004E0D16">
        <w:rPr>
          <w:sz w:val="18"/>
        </w:rPr>
        <w:t>“2. La modalidad del proceso de selección y su justificación.</w:t>
      </w:r>
    </w:p>
    <w:p w:rsidRPr="004E0D16" w:rsidR="00076E1D" w:rsidP="004E0D16" w:rsidRDefault="00076E1D" w14:paraId="4FC858D6" w14:textId="77777777">
      <w:pPr>
        <w:pStyle w:val="Textoindependiente"/>
        <w:spacing w:before="1"/>
        <w:ind w:left="300" w:right="306"/>
        <w:rPr>
          <w:sz w:val="18"/>
        </w:rPr>
      </w:pPr>
    </w:p>
    <w:p w:rsidRPr="004E0D16" w:rsidR="00076E1D" w:rsidP="004E0D16" w:rsidRDefault="00076E1D" w14:paraId="5404E0CF" w14:textId="77777777">
      <w:pPr>
        <w:ind w:left="300" w:right="306"/>
        <w:rPr>
          <w:sz w:val="18"/>
        </w:rPr>
      </w:pPr>
      <w:r w:rsidRPr="004E0D16">
        <w:rPr>
          <w:sz w:val="18"/>
        </w:rPr>
        <w:t>“3. Los criterios de selección, incluyendo los factores de desempate y los incentivos cuando a ello haya lugar.</w:t>
      </w:r>
    </w:p>
    <w:p w:rsidRPr="004E0D16" w:rsidR="00076E1D" w:rsidP="004E0D16" w:rsidRDefault="00076E1D" w14:paraId="5A315896" w14:textId="77777777">
      <w:pPr>
        <w:pStyle w:val="Textoindependiente"/>
        <w:spacing w:before="10"/>
        <w:ind w:left="300" w:right="306"/>
        <w:rPr>
          <w:sz w:val="17"/>
        </w:rPr>
      </w:pPr>
    </w:p>
    <w:p w:rsidRPr="004E0D16" w:rsidR="00076E1D" w:rsidP="004E0D16" w:rsidRDefault="00076E1D" w14:paraId="32206835" w14:textId="639A4A7B">
      <w:pPr>
        <w:ind w:left="300" w:right="306"/>
        <w:rPr>
          <w:sz w:val="18"/>
        </w:rPr>
      </w:pPr>
      <w:r w:rsidRPr="004E0D16">
        <w:rPr>
          <w:sz w:val="18"/>
        </w:rPr>
        <w:t>“4. Las condiciones de costo y/o calidad que la Entidad Estatal debe tener en cuenta para la selección objetiva, de acuerdo con la modalidad de selección del contratista.</w:t>
      </w:r>
    </w:p>
    <w:p w:rsidRPr="004E0D16" w:rsidR="00076E1D" w:rsidP="004E0D16" w:rsidRDefault="00076E1D" w14:paraId="31283144" w14:textId="77777777">
      <w:pPr>
        <w:ind w:left="300" w:right="306"/>
        <w:rPr>
          <w:sz w:val="18"/>
        </w:rPr>
      </w:pPr>
    </w:p>
    <w:p w:rsidRPr="004E0D16" w:rsidR="00076E1D" w:rsidP="004E0D16" w:rsidRDefault="00076E1D" w14:paraId="6345E46A" w14:textId="1F991E0A">
      <w:pPr>
        <w:ind w:left="300" w:right="306"/>
        <w:rPr>
          <w:sz w:val="18"/>
        </w:rPr>
      </w:pPr>
      <w:r w:rsidRPr="004E0D16">
        <w:rPr>
          <w:sz w:val="18"/>
        </w:rPr>
        <w:t>“5. Las reglas aplicables a la presentación de las ofertas, su evaluación y a la adjudicación del contrato.</w:t>
      </w:r>
    </w:p>
    <w:p w:rsidRPr="004E0D16" w:rsidR="00076E1D" w:rsidP="004E0D16" w:rsidRDefault="00076E1D" w14:paraId="5022198F" w14:textId="77777777">
      <w:pPr>
        <w:ind w:left="300" w:right="306"/>
        <w:rPr>
          <w:sz w:val="18"/>
        </w:rPr>
      </w:pPr>
    </w:p>
    <w:p w:rsidRPr="004E0D16" w:rsidR="00076E1D" w:rsidP="004E0D16" w:rsidRDefault="00076E1D" w14:paraId="75166517" w14:textId="77777777">
      <w:pPr>
        <w:spacing w:before="77" w:line="482" w:lineRule="auto"/>
        <w:ind w:right="306" w:firstLine="300"/>
        <w:rPr>
          <w:sz w:val="18"/>
        </w:rPr>
      </w:pPr>
      <w:r w:rsidRPr="004E0D16">
        <w:rPr>
          <w:sz w:val="18"/>
        </w:rPr>
        <w:t>“6. Las causas que dan lugar a rechazar una oferta.</w:t>
      </w:r>
    </w:p>
    <w:p w:rsidRPr="004E0D16" w:rsidR="00076E1D" w:rsidP="004E0D16" w:rsidRDefault="00076E1D" w14:paraId="77310C54" w14:textId="77777777">
      <w:pPr>
        <w:ind w:left="300" w:right="306"/>
        <w:jc w:val="both"/>
        <w:rPr>
          <w:sz w:val="18"/>
        </w:rPr>
      </w:pPr>
      <w:r w:rsidRPr="004E0D16">
        <w:rPr>
          <w:sz w:val="18"/>
        </w:rPr>
        <w:t>“7. El valor del contrato, el plazo, el cronograma de pagos y la determinación de si debe haber lugar a la entrega de anticipo, y si hubiere, indicar su valor, el cual debe tener en cuenta los rendimientos que este pueda generar.</w:t>
      </w:r>
    </w:p>
    <w:p w:rsidRPr="004E0D16" w:rsidR="00076E1D" w:rsidP="004E0D16" w:rsidRDefault="00076E1D" w14:paraId="2FB2DECA" w14:textId="77777777">
      <w:pPr>
        <w:pStyle w:val="Textoindependiente"/>
        <w:spacing w:before="7"/>
        <w:ind w:left="300" w:right="306"/>
        <w:rPr>
          <w:sz w:val="17"/>
        </w:rPr>
      </w:pPr>
    </w:p>
    <w:p w:rsidRPr="004E0D16" w:rsidR="00076E1D" w:rsidP="004E0D16" w:rsidRDefault="00076E1D" w14:paraId="7C19B0FD" w14:textId="77777777">
      <w:pPr>
        <w:ind w:left="300" w:right="306"/>
        <w:rPr>
          <w:sz w:val="18"/>
        </w:rPr>
      </w:pPr>
      <w:r w:rsidRPr="004E0D16">
        <w:rPr>
          <w:sz w:val="18"/>
        </w:rPr>
        <w:t>“8. Los Riesgos asociados al contrato, la forma de mitigarlos y la asignación del Riesgo entre las partes contratantes.</w:t>
      </w:r>
    </w:p>
    <w:p w:rsidRPr="004E0D16" w:rsidR="00076E1D" w:rsidP="004E0D16" w:rsidRDefault="00076E1D" w14:paraId="00A7D04D" w14:textId="77777777">
      <w:pPr>
        <w:pStyle w:val="Textoindependiente"/>
        <w:spacing w:before="1"/>
        <w:ind w:left="300" w:right="306"/>
        <w:rPr>
          <w:sz w:val="18"/>
        </w:rPr>
      </w:pPr>
    </w:p>
    <w:p w:rsidRPr="004E0D16" w:rsidR="00076E1D" w:rsidP="004E0D16" w:rsidRDefault="00076E1D" w14:paraId="40EECD26" w14:textId="77777777">
      <w:pPr>
        <w:ind w:left="300" w:right="306"/>
        <w:rPr>
          <w:sz w:val="18"/>
        </w:rPr>
      </w:pPr>
      <w:r w:rsidRPr="004E0D16">
        <w:rPr>
          <w:sz w:val="18"/>
        </w:rPr>
        <w:t>“9. Las garantías exigidas en el Proceso de Contratación y sus condiciones.</w:t>
      </w:r>
    </w:p>
    <w:p w:rsidRPr="004E0D16" w:rsidR="00076E1D" w:rsidP="004E0D16" w:rsidRDefault="00076E1D" w14:paraId="244106F8" w14:textId="77777777">
      <w:pPr>
        <w:pStyle w:val="Textoindependiente"/>
        <w:spacing w:before="10"/>
        <w:ind w:left="300" w:right="306"/>
        <w:rPr>
          <w:sz w:val="17"/>
        </w:rPr>
      </w:pPr>
    </w:p>
    <w:p w:rsidRPr="004E0D16" w:rsidR="00076E1D" w:rsidP="004E0D16" w:rsidRDefault="00076E1D" w14:paraId="6DB52711" w14:textId="77777777">
      <w:pPr>
        <w:ind w:left="300" w:right="306"/>
        <w:rPr>
          <w:sz w:val="18"/>
        </w:rPr>
      </w:pPr>
      <w:r w:rsidRPr="004E0D16">
        <w:rPr>
          <w:sz w:val="18"/>
        </w:rPr>
        <w:t>“10. La mención de si la Entidad Estatal y el contrato objeto de los pliegos de condiciones están cubiertos por un Acuerdo</w:t>
      </w:r>
      <w:r w:rsidRPr="004E0D16">
        <w:rPr>
          <w:spacing w:val="-3"/>
          <w:sz w:val="18"/>
        </w:rPr>
        <w:t xml:space="preserve"> </w:t>
      </w:r>
      <w:r w:rsidRPr="004E0D16">
        <w:rPr>
          <w:sz w:val="18"/>
        </w:rPr>
        <w:t>Comercial.</w:t>
      </w:r>
    </w:p>
    <w:p w:rsidRPr="004E0D16" w:rsidR="00076E1D" w:rsidP="004E0D16" w:rsidRDefault="00076E1D" w14:paraId="59A8A23F" w14:textId="77777777">
      <w:pPr>
        <w:pStyle w:val="Textoindependiente"/>
        <w:spacing w:before="2"/>
        <w:ind w:left="300" w:right="306"/>
        <w:rPr>
          <w:sz w:val="18"/>
        </w:rPr>
      </w:pPr>
    </w:p>
    <w:p w:rsidRPr="004E0D16" w:rsidR="00076E1D" w:rsidP="004E0D16" w:rsidRDefault="00076E1D" w14:paraId="35653A75" w14:textId="77777777">
      <w:pPr>
        <w:ind w:left="300" w:right="306"/>
        <w:rPr>
          <w:sz w:val="18"/>
        </w:rPr>
      </w:pPr>
      <w:r w:rsidRPr="004E0D16">
        <w:rPr>
          <w:sz w:val="18"/>
        </w:rPr>
        <w:t>“11. Los términos, condiciones y minuta del contrato.</w:t>
      </w:r>
    </w:p>
    <w:p w:rsidRPr="004E0D16" w:rsidR="00076E1D" w:rsidP="004E0D16" w:rsidRDefault="00076E1D" w14:paraId="07805FBE" w14:textId="77777777">
      <w:pPr>
        <w:pStyle w:val="Textoindependiente"/>
        <w:spacing w:before="10"/>
        <w:ind w:left="300" w:right="306"/>
        <w:rPr>
          <w:sz w:val="17"/>
        </w:rPr>
      </w:pPr>
    </w:p>
    <w:p w:rsidRPr="004E0D16" w:rsidR="00076E1D" w:rsidP="004E0D16" w:rsidRDefault="00076E1D" w14:paraId="0573A258" w14:textId="78804AD4">
      <w:pPr>
        <w:spacing w:line="480" w:lineRule="auto"/>
        <w:ind w:left="300" w:right="306"/>
        <w:rPr>
          <w:lang w:val="es-CO"/>
        </w:rPr>
      </w:pPr>
      <w:r w:rsidRPr="004E0D16">
        <w:rPr>
          <w:sz w:val="18"/>
        </w:rPr>
        <w:t>“12. Los términos de la supervisión y/o de la interventoría del contrato. “13. El plazo dentro del cual la Entidad Estatal puede expedir Adendas. “14. El Cronograma”.</w:t>
      </w:r>
    </w:p>
  </w:footnote>
  <w:footnote w:id="3">
    <w:p w:rsidRPr="004E0D16" w:rsidR="00076E1D" w:rsidP="004E0D16" w:rsidRDefault="00076E1D" w14:paraId="34454D9D" w14:textId="77777777">
      <w:pPr>
        <w:spacing w:before="11" w:line="242" w:lineRule="auto"/>
        <w:ind w:left="300" w:right="306" w:firstLine="707"/>
        <w:jc w:val="both"/>
        <w:rPr>
          <w:sz w:val="18"/>
        </w:rPr>
      </w:pPr>
      <w:r w:rsidRPr="004E0D16">
        <w:rPr>
          <w:rStyle w:val="Refdenotaalpie"/>
        </w:rPr>
        <w:footnoteRef/>
      </w:r>
      <w:r w:rsidRPr="004E0D16">
        <w:t xml:space="preserve"> </w:t>
      </w:r>
      <w:r w:rsidRPr="004E0D16">
        <w:rPr>
          <w:sz w:val="18"/>
        </w:rPr>
        <w:t xml:space="preserve">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4E0D16">
        <w:rPr>
          <w:sz w:val="18"/>
        </w:rPr>
        <w:t>equivalentes,</w:t>
      </w:r>
      <w:proofErr w:type="gramEnd"/>
      <w:r w:rsidRPr="004E0D16">
        <w:rPr>
          <w:sz w:val="18"/>
        </w:rPr>
        <w:t xml:space="preserve"> tendrán en cuenta los siguientes criterios:</w:t>
      </w:r>
    </w:p>
    <w:p w:rsidRPr="004E0D16" w:rsidR="00076E1D" w:rsidP="004E0D16" w:rsidRDefault="00076E1D" w14:paraId="61BF5A8C" w14:textId="77777777">
      <w:pPr>
        <w:pStyle w:val="Textoindependiente"/>
        <w:spacing w:before="3"/>
        <w:ind w:left="300" w:right="306"/>
        <w:rPr>
          <w:sz w:val="18"/>
        </w:rPr>
      </w:pPr>
    </w:p>
    <w:p w:rsidRPr="004E0D16" w:rsidR="00076E1D" w:rsidP="004E0D16" w:rsidRDefault="00076E1D" w14:paraId="050196E3" w14:textId="19351CF7">
      <w:pPr>
        <w:spacing w:before="77"/>
        <w:ind w:left="300" w:right="306"/>
        <w:jc w:val="both"/>
        <w:rPr>
          <w:sz w:val="18"/>
        </w:rPr>
      </w:pPr>
      <w:r w:rsidRPr="004E0D16">
        <w:rPr>
          <w:sz w:val="18"/>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w:t>
      </w:r>
      <w:r w:rsidRPr="004E0D16">
        <w:rPr>
          <w:spacing w:val="29"/>
          <w:sz w:val="18"/>
        </w:rPr>
        <w:t xml:space="preserve"> </w:t>
      </w:r>
      <w:r w:rsidRPr="004E0D16">
        <w:rPr>
          <w:sz w:val="18"/>
        </w:rPr>
        <w:t>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rsidRPr="004E0D16" w:rsidR="00076E1D" w:rsidP="004E0D16" w:rsidRDefault="00076E1D" w14:paraId="25A4ED53" w14:textId="77777777">
      <w:pPr>
        <w:spacing w:before="77"/>
        <w:ind w:left="300" w:right="306"/>
        <w:jc w:val="both"/>
        <w:rPr>
          <w:sz w:val="18"/>
        </w:rPr>
      </w:pPr>
    </w:p>
    <w:p w:rsidRPr="004E0D16" w:rsidR="00076E1D" w:rsidP="004E0D16" w:rsidRDefault="00076E1D" w14:paraId="290636C4" w14:textId="77777777">
      <w:pPr>
        <w:ind w:left="300" w:right="306"/>
        <w:jc w:val="both"/>
        <w:rPr>
          <w:sz w:val="18"/>
        </w:rPr>
      </w:pPr>
      <w:r w:rsidRPr="004E0D16">
        <w:rPr>
          <w:sz w:val="18"/>
        </w:rPr>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rsidRPr="004E0D16" w:rsidR="00076E1D" w:rsidP="004E0D16" w:rsidRDefault="00076E1D" w14:paraId="6E6FCECC" w14:textId="77777777">
      <w:pPr>
        <w:pStyle w:val="Textoindependiente"/>
        <w:spacing w:before="11"/>
        <w:ind w:left="300" w:right="306"/>
        <w:rPr>
          <w:sz w:val="17"/>
        </w:rPr>
      </w:pPr>
    </w:p>
    <w:p w:rsidRPr="004E0D16" w:rsidR="00076E1D" w:rsidP="004E0D16" w:rsidRDefault="00076E1D" w14:paraId="525D60E5" w14:textId="77777777">
      <w:pPr>
        <w:ind w:left="300" w:right="306"/>
        <w:jc w:val="both"/>
        <w:rPr>
          <w:sz w:val="18"/>
        </w:rPr>
      </w:pPr>
      <w:r w:rsidRPr="004E0D16">
        <w:rPr>
          <w:sz w:val="18"/>
        </w:rPr>
        <w:t>“En los procesos de selección en los que se tenga en cuenta los factores técnicos y económicos, la oferta más ventajosa será la que resulte de aplicar alguna de las siguientes alternativas:</w:t>
      </w:r>
    </w:p>
    <w:p w:rsidRPr="004E0D16" w:rsidR="00076E1D" w:rsidP="004E0D16" w:rsidRDefault="00076E1D" w14:paraId="635B0389" w14:textId="77777777">
      <w:pPr>
        <w:pStyle w:val="Textoindependiente"/>
        <w:spacing w:before="10"/>
        <w:ind w:left="300" w:right="306"/>
        <w:rPr>
          <w:sz w:val="17"/>
        </w:rPr>
      </w:pPr>
    </w:p>
    <w:p w:rsidRPr="004E0D16" w:rsidR="00076E1D" w:rsidP="004E0D16" w:rsidRDefault="00076E1D" w14:paraId="35A39083" w14:textId="77777777">
      <w:pPr>
        <w:spacing w:before="1"/>
        <w:ind w:left="300" w:right="306"/>
        <w:jc w:val="both"/>
        <w:rPr>
          <w:sz w:val="18"/>
        </w:rPr>
      </w:pPr>
      <w:r w:rsidRPr="004E0D16">
        <w:rPr>
          <w:sz w:val="18"/>
        </w:rPr>
        <w:t>“a) La ponderación de los elementos de calidad y precio soportados en puntajes o fórmulas señaladas en el pliego de condiciones; o</w:t>
      </w:r>
    </w:p>
    <w:p w:rsidRPr="004E0D16" w:rsidR="00076E1D" w:rsidP="004E0D16" w:rsidRDefault="00076E1D" w14:paraId="5EEBC116" w14:textId="77777777">
      <w:pPr>
        <w:pStyle w:val="Textoindependiente"/>
        <w:spacing w:before="1"/>
        <w:ind w:left="300" w:right="306"/>
        <w:rPr>
          <w:sz w:val="18"/>
        </w:rPr>
      </w:pPr>
    </w:p>
    <w:p w:rsidRPr="004E0D16" w:rsidR="00076E1D" w:rsidP="004E0D16" w:rsidRDefault="00076E1D" w14:paraId="155B5E7C" w14:textId="77777777">
      <w:pPr>
        <w:ind w:left="300" w:right="306"/>
        <w:jc w:val="both"/>
        <w:rPr>
          <w:sz w:val="18"/>
        </w:rPr>
      </w:pPr>
      <w:r w:rsidRPr="004E0D16">
        <w:rPr>
          <w:sz w:val="18"/>
        </w:rPr>
        <w:t>“b) La ponderación de los elementos de calidad y precio que representen la mejor relación de costo-beneficio para la</w:t>
      </w:r>
      <w:r w:rsidRPr="004E0D16">
        <w:rPr>
          <w:spacing w:val="-3"/>
          <w:sz w:val="18"/>
        </w:rPr>
        <w:t xml:space="preserve"> </w:t>
      </w:r>
      <w:r w:rsidRPr="004E0D16">
        <w:rPr>
          <w:sz w:val="18"/>
        </w:rPr>
        <w:t>entidad.</w:t>
      </w:r>
    </w:p>
    <w:p w:rsidRPr="004E0D16" w:rsidR="00076E1D" w:rsidP="004E0D16" w:rsidRDefault="00076E1D" w14:paraId="6D446754" w14:textId="77777777">
      <w:pPr>
        <w:pStyle w:val="Textoindependiente"/>
        <w:spacing w:before="11"/>
        <w:ind w:left="300" w:right="306"/>
        <w:rPr>
          <w:sz w:val="17"/>
        </w:rPr>
      </w:pPr>
    </w:p>
    <w:p w:rsidRPr="004E0D16" w:rsidR="00076E1D" w:rsidP="004E0D16" w:rsidRDefault="00076E1D" w14:paraId="743CE8C4" w14:textId="27EFCA20">
      <w:pPr>
        <w:ind w:left="300" w:right="306"/>
        <w:jc w:val="both"/>
        <w:rPr>
          <w:sz w:val="18"/>
        </w:rPr>
      </w:pPr>
      <w:r w:rsidRPr="004E0D16">
        <w:rPr>
          <w:sz w:val="18"/>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w:t>
      </w:r>
      <w:r w:rsidRPr="004E0D16">
        <w:rPr>
          <w:spacing w:val="-2"/>
          <w:sz w:val="18"/>
        </w:rPr>
        <w:t xml:space="preserve"> </w:t>
      </w:r>
      <w:r w:rsidRPr="004E0D16">
        <w:rPr>
          <w:sz w:val="18"/>
        </w:rPr>
        <w:t>ofrecido.</w:t>
      </w:r>
    </w:p>
    <w:p w:rsidRPr="004E0D16" w:rsidR="00076E1D" w:rsidP="004E0D16" w:rsidRDefault="00076E1D" w14:paraId="3529EC0B" w14:textId="2451213D">
      <w:pPr>
        <w:ind w:left="300" w:right="306"/>
        <w:jc w:val="both"/>
        <w:rPr>
          <w:sz w:val="18"/>
        </w:rPr>
      </w:pPr>
    </w:p>
    <w:p w:rsidRPr="004E0D16" w:rsidR="00076E1D" w:rsidP="004E0D16" w:rsidRDefault="00076E1D" w14:paraId="39CEAEB6" w14:textId="77777777">
      <w:pPr>
        <w:ind w:left="300" w:right="306"/>
        <w:jc w:val="both"/>
        <w:rPr>
          <w:sz w:val="18"/>
        </w:rPr>
      </w:pPr>
      <w:r w:rsidRPr="004E0D16">
        <w:rPr>
          <w:sz w:val="18"/>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w:t>
      </w:r>
      <w:r w:rsidRPr="004E0D16">
        <w:rPr>
          <w:spacing w:val="-4"/>
          <w:sz w:val="18"/>
        </w:rPr>
        <w:t xml:space="preserve"> </w:t>
      </w:r>
      <w:r w:rsidRPr="004E0D16">
        <w:rPr>
          <w:sz w:val="18"/>
        </w:rPr>
        <w:t>trate.</w:t>
      </w:r>
    </w:p>
    <w:p w:rsidRPr="004E0D16" w:rsidR="00076E1D" w:rsidP="004E0D16" w:rsidRDefault="00076E1D" w14:paraId="49115ECC" w14:textId="77777777">
      <w:pPr>
        <w:pStyle w:val="Textoindependiente"/>
        <w:ind w:left="300" w:right="306"/>
        <w:rPr>
          <w:sz w:val="18"/>
        </w:rPr>
      </w:pPr>
    </w:p>
    <w:p w:rsidRPr="004E0D16" w:rsidR="00076E1D" w:rsidP="004E0D16" w:rsidRDefault="00076E1D" w14:paraId="3A6E9A6A" w14:textId="77777777">
      <w:pPr>
        <w:ind w:left="300" w:right="306"/>
        <w:jc w:val="both"/>
        <w:rPr>
          <w:sz w:val="18"/>
        </w:rPr>
      </w:pPr>
      <w:r w:rsidRPr="004E0D16">
        <w:rPr>
          <w:sz w:val="18"/>
        </w:rPr>
        <w:t>“En ningún caso se podrá incluir el precio, como factor de escogencia para la selección de consultores”.</w:t>
      </w:r>
    </w:p>
    <w:p w:rsidRPr="004E0D16" w:rsidR="00076E1D" w:rsidP="004E0D16" w:rsidRDefault="00076E1D" w14:paraId="4026BA56" w14:textId="77777777">
      <w:pPr>
        <w:pStyle w:val="Textonotapie"/>
        <w:ind w:left="300" w:right="306"/>
        <w:rPr>
          <w:lang w:val="es-CO"/>
        </w:rPr>
      </w:pPr>
    </w:p>
    <w:p w:rsidRPr="004E0D16" w:rsidR="00076E1D" w:rsidP="004E0D16" w:rsidRDefault="00076E1D" w14:paraId="5774E053" w14:textId="77777777">
      <w:pPr>
        <w:ind w:left="300" w:right="306"/>
        <w:jc w:val="both"/>
        <w:rPr>
          <w:sz w:val="18"/>
        </w:rPr>
      </w:pPr>
    </w:p>
    <w:p w:rsidRPr="004E0D16" w:rsidR="00076E1D" w:rsidP="004E0D16" w:rsidRDefault="00076E1D" w14:paraId="5FBA8CBB" w14:textId="77777777">
      <w:pPr>
        <w:pStyle w:val="Textoindependiente"/>
        <w:ind w:left="300" w:right="306"/>
        <w:rPr>
          <w:sz w:val="18"/>
        </w:rPr>
      </w:pPr>
    </w:p>
    <w:p w:rsidRPr="004E0D16" w:rsidR="00076E1D" w:rsidP="004E0D16" w:rsidRDefault="00076E1D" w14:paraId="3A7AA256" w14:textId="00A8AAD5">
      <w:pPr>
        <w:ind w:left="300" w:right="306"/>
        <w:jc w:val="both"/>
        <w:rPr>
          <w:sz w:val="18"/>
        </w:rPr>
      </w:pPr>
    </w:p>
    <w:p w:rsidRPr="004E0D16" w:rsidR="00076E1D" w:rsidP="004E0D16" w:rsidRDefault="00076E1D" w14:paraId="5613069F" w14:textId="0DB2A373">
      <w:pPr>
        <w:pStyle w:val="Textonotapie"/>
        <w:ind w:left="300" w:right="306"/>
        <w:rPr>
          <w:lang w:val="es-CO"/>
        </w:rPr>
      </w:pPr>
    </w:p>
  </w:footnote>
  <w:footnote w:id="4">
    <w:p w:rsidRPr="004E0D16" w:rsidR="00BA4B8C" w:rsidP="004E0D16" w:rsidRDefault="00BA4B8C" w14:paraId="4602134A" w14:textId="77777777">
      <w:pPr>
        <w:spacing w:before="99" w:line="242" w:lineRule="auto"/>
        <w:ind w:left="300" w:right="306" w:firstLine="707"/>
        <w:rPr>
          <w:sz w:val="18"/>
        </w:rPr>
      </w:pPr>
      <w:r w:rsidRPr="004E0D16">
        <w:rPr>
          <w:rStyle w:val="Refdenotaalpie"/>
        </w:rPr>
        <w:footnoteRef/>
      </w:r>
      <w:r w:rsidRPr="004E0D16">
        <w:t xml:space="preserve"> </w:t>
      </w:r>
      <w:r w:rsidRPr="004E0D16">
        <w:rPr>
          <w:sz w:val="18"/>
        </w:rPr>
        <w:t>Ley 1474 de 2011: “Artículo 90. Inhabilidad por incumplimiento reiterado. Quedará inhabilitado el contratista que incurra en alguna de las siguientes conductas:</w:t>
      </w:r>
    </w:p>
    <w:p w:rsidRPr="004E0D16" w:rsidR="00BA4B8C" w:rsidP="004E0D16" w:rsidRDefault="00BA4B8C" w14:paraId="58AAD58C" w14:textId="77777777">
      <w:pPr>
        <w:pStyle w:val="Textoindependiente"/>
        <w:spacing w:before="9"/>
        <w:ind w:left="300" w:right="306"/>
        <w:rPr>
          <w:sz w:val="17"/>
        </w:rPr>
      </w:pPr>
    </w:p>
    <w:p w:rsidRPr="004E0D16" w:rsidR="00BA4B8C" w:rsidP="004E0D16" w:rsidRDefault="00BA4B8C" w14:paraId="2CCF49A1" w14:textId="77777777">
      <w:pPr>
        <w:ind w:left="300" w:right="306"/>
        <w:jc w:val="both"/>
        <w:rPr>
          <w:sz w:val="18"/>
        </w:rPr>
      </w:pPr>
      <w:r w:rsidRPr="004E0D16">
        <w:rPr>
          <w:sz w:val="18"/>
        </w:rPr>
        <w:t>“a) Haber sido objeto de imposición de cinco (5) o más multas durante la ejecución de uno o varios contratos, con una o varias entidades estatales, durante los últimos tres (3) años;</w:t>
      </w:r>
    </w:p>
    <w:p w:rsidRPr="004E0D16" w:rsidR="00BA4B8C" w:rsidP="004E0D16" w:rsidRDefault="00BA4B8C" w14:paraId="2748834D" w14:textId="77777777">
      <w:pPr>
        <w:pStyle w:val="Textoindependiente"/>
        <w:spacing w:before="1"/>
        <w:ind w:left="300" w:right="306"/>
        <w:rPr>
          <w:sz w:val="18"/>
        </w:rPr>
      </w:pPr>
    </w:p>
    <w:p w:rsidRPr="004E0D16" w:rsidR="00BA4B8C" w:rsidP="004E0D16" w:rsidRDefault="00BA4B8C" w14:paraId="23E1E456" w14:textId="77777777">
      <w:pPr>
        <w:ind w:left="300" w:right="306"/>
        <w:jc w:val="both"/>
        <w:rPr>
          <w:sz w:val="18"/>
        </w:rPr>
      </w:pPr>
      <w:r w:rsidRPr="004E0D16">
        <w:rPr>
          <w:sz w:val="18"/>
        </w:rPr>
        <w:t>“b) Haber sido objeto de declaratorias de incumplimiento contractual en por lo menos dos (2) contratos, con una o varias entidades estatales, durante los últimos tres (3) años;</w:t>
      </w:r>
    </w:p>
    <w:p w:rsidRPr="004E0D16" w:rsidR="00BA4B8C" w:rsidP="004E0D16" w:rsidRDefault="00BA4B8C" w14:paraId="2C017609" w14:textId="77777777">
      <w:pPr>
        <w:pStyle w:val="Textoindependiente"/>
        <w:ind w:left="300" w:right="306"/>
        <w:rPr>
          <w:sz w:val="18"/>
        </w:rPr>
      </w:pPr>
    </w:p>
    <w:p w:rsidRPr="004E0D16" w:rsidR="00BA4B8C" w:rsidP="004E0D16" w:rsidRDefault="00BA4B8C" w14:paraId="4F19F2FD" w14:textId="77777777">
      <w:pPr>
        <w:ind w:left="300" w:right="306"/>
        <w:jc w:val="both"/>
        <w:rPr>
          <w:sz w:val="18"/>
        </w:rPr>
      </w:pPr>
      <w:r w:rsidRPr="004E0D16">
        <w:rPr>
          <w:sz w:val="18"/>
        </w:rPr>
        <w:t>“c) Haber sido objeto de imposición de dos (2) multas y un (1) incumplimiento durante una misma vigencia fiscal, con una o varias entidades estatales.</w:t>
      </w:r>
    </w:p>
    <w:p w:rsidRPr="004E0D16" w:rsidR="00BA4B8C" w:rsidP="004E0D16" w:rsidRDefault="00BA4B8C" w14:paraId="318BA4D5" w14:textId="77777777">
      <w:pPr>
        <w:pStyle w:val="Textoindependiente"/>
        <w:spacing w:before="10"/>
        <w:ind w:left="300" w:right="306"/>
        <w:rPr>
          <w:sz w:val="17"/>
        </w:rPr>
      </w:pPr>
    </w:p>
    <w:p w:rsidRPr="004E0D16" w:rsidR="00BA4B8C" w:rsidP="004E0D16" w:rsidRDefault="00BA4B8C" w14:paraId="553F5FD0" w14:textId="77777777">
      <w:pPr>
        <w:ind w:left="300" w:right="306"/>
        <w:jc w:val="both"/>
        <w:rPr>
          <w:sz w:val="18"/>
        </w:rPr>
      </w:pPr>
      <w:r w:rsidRPr="004E0D16">
        <w:rPr>
          <w:sz w:val="18"/>
        </w:rPr>
        <w:t>“La inhabilidad se extenderá por un término de tres (3) años, contados a partir de la publicación del acto administrativo que impone la inscripción de la última multa o incumplimiento en el Registro Único de Proponentes, de acuerdo con la información remitida por las entidades públicas. La inhabilidad pertinente se hará explícita en el Registro Único de Proponentes cuando a ello haya lugar.</w:t>
      </w:r>
    </w:p>
    <w:p w:rsidRPr="004E0D16" w:rsidR="00BA4B8C" w:rsidP="004E0D16" w:rsidRDefault="00BA4B8C" w14:paraId="7B4B7FA2" w14:textId="77777777">
      <w:pPr>
        <w:pStyle w:val="Textoindependiente"/>
        <w:ind w:left="300" w:right="306"/>
        <w:rPr>
          <w:sz w:val="18"/>
        </w:rPr>
      </w:pPr>
    </w:p>
    <w:p w:rsidRPr="004E0D16" w:rsidR="00BA4B8C" w:rsidP="004E0D16" w:rsidRDefault="00BA4B8C" w14:paraId="1A6C5839" w14:textId="77777777">
      <w:pPr>
        <w:spacing w:before="1"/>
        <w:ind w:left="300" w:right="306"/>
        <w:jc w:val="both"/>
        <w:rPr>
          <w:sz w:val="18"/>
        </w:rPr>
      </w:pPr>
      <w:r w:rsidRPr="004E0D16">
        <w:rPr>
          <w:sz w:val="18"/>
        </w:rPr>
        <w:t>“Parágrafo. La inhabilidad a que se refiere el presente artículo se extenderá a los socios de sociedades de personas a las cuales se haya declarado esta inhabilidad, así como a las sociedades de personas de las que aquellos formen parte con posterioridad a dicha declaratoria”.</w:t>
      </w:r>
    </w:p>
    <w:p w:rsidRPr="004E0D16" w:rsidR="00BA4B8C" w:rsidP="004E0D16" w:rsidRDefault="00BA4B8C" w14:paraId="3D29E48E" w14:textId="49814B9D">
      <w:pPr>
        <w:pStyle w:val="Textonotapie"/>
        <w:ind w:left="300" w:right="306"/>
        <w:rPr>
          <w:lang w:val="es-CO"/>
        </w:rPr>
      </w:pPr>
    </w:p>
  </w:footnote>
  <w:footnote w:id="5">
    <w:p w:rsidRPr="004E0D16" w:rsidR="00BA4B8C" w:rsidP="004E0D16" w:rsidRDefault="00BA4B8C" w14:paraId="331FD8EE" w14:textId="77777777">
      <w:pPr>
        <w:spacing w:before="87" w:line="247" w:lineRule="auto"/>
        <w:ind w:left="300" w:right="306" w:firstLine="707"/>
        <w:jc w:val="both"/>
        <w:rPr>
          <w:sz w:val="18"/>
        </w:rPr>
      </w:pPr>
      <w:r w:rsidRPr="004E0D16">
        <w:rPr>
          <w:rStyle w:val="Refdenotaalpie"/>
        </w:rPr>
        <w:footnoteRef/>
      </w:r>
      <w:r w:rsidRPr="004E0D16">
        <w:t xml:space="preserve"> </w:t>
      </w:r>
      <w:r w:rsidRPr="004E0D16">
        <w:rPr>
          <w:sz w:val="18"/>
        </w:rPr>
        <w:t>Ley 1474 de 2011: “Artículo 88. Factores de selección y procedimientos diferenciales para la adquisición de los bienes y servicios a contratar. Modifíquese el numeral 2 del artículo 5o de la Ley 1150 de 2007 en el siguiente sentido:</w:t>
      </w:r>
    </w:p>
    <w:p w:rsidRPr="004E0D16" w:rsidR="00BA4B8C" w:rsidP="004E0D16" w:rsidRDefault="00BA4B8C" w14:paraId="67D1EBBD" w14:textId="77777777">
      <w:pPr>
        <w:pStyle w:val="Textoindependiente"/>
        <w:spacing w:before="5"/>
        <w:ind w:left="300" w:right="306"/>
        <w:rPr>
          <w:sz w:val="17"/>
        </w:rPr>
      </w:pPr>
    </w:p>
    <w:p w:rsidRPr="004E0D16" w:rsidR="00BA4B8C" w:rsidP="004E0D16" w:rsidRDefault="00BA4B8C" w14:paraId="7B4DA439" w14:textId="77777777">
      <w:pPr>
        <w:ind w:left="300" w:right="306"/>
        <w:jc w:val="both"/>
        <w:rPr>
          <w:sz w:val="18"/>
        </w:rPr>
      </w:pPr>
      <w:r w:rsidRPr="004E0D16">
        <w:rPr>
          <w:sz w:val="18"/>
        </w:rPr>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rsidRPr="004E0D16" w:rsidR="00BA4B8C" w:rsidP="004E0D16" w:rsidRDefault="00BA4B8C" w14:paraId="6CA2147E" w14:textId="77777777">
      <w:pPr>
        <w:pStyle w:val="Textoindependiente"/>
        <w:spacing w:before="11"/>
        <w:ind w:left="300" w:right="306"/>
        <w:rPr>
          <w:sz w:val="17"/>
        </w:rPr>
      </w:pPr>
    </w:p>
    <w:p w:rsidRPr="004E0D16" w:rsidR="00BA4B8C" w:rsidP="004E0D16" w:rsidRDefault="00BA4B8C" w14:paraId="20F9144B" w14:textId="77777777">
      <w:pPr>
        <w:ind w:left="300" w:right="306"/>
        <w:jc w:val="both"/>
        <w:rPr>
          <w:sz w:val="18"/>
        </w:rPr>
      </w:pPr>
      <w:r w:rsidRPr="004E0D16">
        <w:rPr>
          <w:sz w:val="18"/>
        </w:rPr>
        <w:t>“En los procesos de selección en los que se tenga en cuenta los factores técnicos y económicos, la oferta más ventajosa será la que resulte de aplicar alguna de las siguientes alternativas:</w:t>
      </w:r>
    </w:p>
    <w:p w:rsidRPr="004E0D16" w:rsidR="00BA4B8C" w:rsidP="004E0D16" w:rsidRDefault="00BA4B8C" w14:paraId="0E8C5817" w14:textId="77777777">
      <w:pPr>
        <w:pStyle w:val="Textoindependiente"/>
        <w:spacing w:before="1"/>
        <w:ind w:left="300" w:right="306"/>
        <w:rPr>
          <w:sz w:val="18"/>
        </w:rPr>
      </w:pPr>
    </w:p>
    <w:p w:rsidRPr="004E0D16" w:rsidR="00BA4B8C" w:rsidP="004E0D16" w:rsidRDefault="00BA4B8C" w14:paraId="391C31D6" w14:textId="77777777">
      <w:pPr>
        <w:spacing w:before="1"/>
        <w:ind w:left="300" w:right="306"/>
        <w:jc w:val="both"/>
        <w:rPr>
          <w:sz w:val="18"/>
        </w:rPr>
      </w:pPr>
      <w:r w:rsidRPr="004E0D16">
        <w:rPr>
          <w:sz w:val="18"/>
        </w:rPr>
        <w:t>“a) La ponderación de los elementos de calidad y precio soportados en puntajes o fórmulas señaladas en el pliego de condiciones; o</w:t>
      </w:r>
    </w:p>
    <w:p w:rsidRPr="004E0D16" w:rsidR="00BA4B8C" w:rsidP="004E0D16" w:rsidRDefault="00BA4B8C" w14:paraId="09B0C386" w14:textId="77777777">
      <w:pPr>
        <w:pStyle w:val="Textoindependiente"/>
        <w:spacing w:before="10"/>
        <w:ind w:left="300" w:right="306"/>
        <w:rPr>
          <w:sz w:val="17"/>
        </w:rPr>
      </w:pPr>
    </w:p>
    <w:p w:rsidRPr="004E0D16" w:rsidR="00BA4B8C" w:rsidP="004E0D16" w:rsidRDefault="00BA4B8C" w14:paraId="5D49AAEB" w14:textId="77777777">
      <w:pPr>
        <w:ind w:left="300" w:right="306"/>
        <w:jc w:val="both"/>
        <w:rPr>
          <w:sz w:val="18"/>
        </w:rPr>
      </w:pPr>
      <w:r w:rsidRPr="004E0D16">
        <w:rPr>
          <w:sz w:val="18"/>
        </w:rPr>
        <w:t>“b) La ponderación de los elementos de calidad y precio que representen la mejor relación de costo-beneficio para la entidad”.</w:t>
      </w:r>
    </w:p>
    <w:p w:rsidRPr="004E0D16" w:rsidR="00BA4B8C" w:rsidP="004E0D16" w:rsidRDefault="00BA4B8C" w14:paraId="155E0F15" w14:textId="6E2EDEE5">
      <w:pPr>
        <w:pStyle w:val="Textonotapie"/>
        <w:ind w:left="300" w:right="306"/>
        <w:rPr>
          <w:lang w:val="es-CO"/>
        </w:rPr>
      </w:pPr>
    </w:p>
  </w:footnote>
  <w:footnote w:id="6">
    <w:p w:rsidRPr="004E0D16" w:rsidR="000657BC" w:rsidP="004E0D16" w:rsidRDefault="000657BC" w14:paraId="2AD453A5" w14:textId="77777777">
      <w:pPr>
        <w:spacing w:before="1" w:line="247" w:lineRule="auto"/>
        <w:ind w:left="300" w:right="306" w:firstLine="707"/>
        <w:jc w:val="both"/>
        <w:rPr>
          <w:sz w:val="18"/>
        </w:rPr>
      </w:pPr>
      <w:r w:rsidRPr="004E0D16">
        <w:rPr>
          <w:rStyle w:val="Refdenotaalpie"/>
        </w:rPr>
        <w:footnoteRef/>
      </w:r>
      <w:r w:rsidRPr="004E0D16">
        <w:t xml:space="preserve"> </w:t>
      </w:r>
      <w:r w:rsidRPr="004E0D16">
        <w:rPr>
          <w:sz w:val="18"/>
        </w:rPr>
        <w:t>Decreto 1082 de 2015: “Artículo 2.2.1.1.2.2.2. Ofrecimiento más favorable. La Entidad Estatal debe determinar la oferta más favorable teniendo en cuenta las normas aplicables a cada modalidad de selección del contratista.</w:t>
      </w:r>
    </w:p>
    <w:p w:rsidRPr="004E0D16" w:rsidR="000657BC" w:rsidP="004E0D16" w:rsidRDefault="000657BC" w14:paraId="2E99BA1C" w14:textId="77777777">
      <w:pPr>
        <w:pStyle w:val="Textoindependiente"/>
        <w:spacing w:before="5"/>
        <w:ind w:left="300" w:right="306"/>
        <w:rPr>
          <w:sz w:val="17"/>
        </w:rPr>
      </w:pPr>
    </w:p>
    <w:p w:rsidRPr="004E0D16" w:rsidR="000657BC" w:rsidP="004E0D16" w:rsidRDefault="000657BC" w14:paraId="5A857D7E" w14:textId="77777777">
      <w:pPr>
        <w:ind w:left="300" w:right="306"/>
        <w:jc w:val="both"/>
        <w:rPr>
          <w:sz w:val="18"/>
        </w:rPr>
      </w:pPr>
      <w:r w:rsidRPr="004E0D16">
        <w:rPr>
          <w:sz w:val="18"/>
        </w:rPr>
        <w:t>“En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 beneficio. Si la Entidad Estatal decide determinar la oferta de acuerdo con el literal (b) anterior debe señalar en los pliegos de condiciones:</w:t>
      </w:r>
    </w:p>
    <w:p w:rsidRPr="004E0D16" w:rsidR="000657BC" w:rsidP="004E0D16" w:rsidRDefault="000657BC" w14:paraId="4E2C22E3" w14:textId="77777777">
      <w:pPr>
        <w:pStyle w:val="Textoindependiente"/>
        <w:ind w:left="300" w:right="306"/>
        <w:rPr>
          <w:sz w:val="18"/>
        </w:rPr>
      </w:pPr>
    </w:p>
    <w:p w:rsidRPr="004E0D16" w:rsidR="000657BC" w:rsidP="004E0D16" w:rsidRDefault="000657BC" w14:paraId="0E434FAF" w14:textId="77777777">
      <w:pPr>
        <w:spacing w:before="1"/>
        <w:ind w:left="300" w:right="306"/>
        <w:jc w:val="both"/>
        <w:rPr>
          <w:sz w:val="18"/>
        </w:rPr>
      </w:pPr>
      <w:r w:rsidRPr="004E0D16">
        <w:rPr>
          <w:sz w:val="18"/>
        </w:rPr>
        <w:t>“1. Las condiciones técnicas y económicas mínimas de la oferta.</w:t>
      </w:r>
    </w:p>
    <w:p w:rsidRPr="004E0D16" w:rsidR="000657BC" w:rsidP="004E0D16" w:rsidRDefault="000657BC" w14:paraId="4754B1A8" w14:textId="77777777">
      <w:pPr>
        <w:pStyle w:val="Textoindependiente"/>
        <w:spacing w:before="1"/>
        <w:ind w:left="300" w:right="306"/>
        <w:rPr>
          <w:sz w:val="18"/>
        </w:rPr>
      </w:pPr>
    </w:p>
    <w:p w:rsidRPr="004E0D16" w:rsidR="000657BC" w:rsidP="004E0D16" w:rsidRDefault="000657BC" w14:paraId="17306601" w14:textId="69EDB9E3">
      <w:pPr>
        <w:ind w:left="300" w:right="306"/>
        <w:jc w:val="both"/>
        <w:rPr>
          <w:sz w:val="18"/>
        </w:rPr>
      </w:pPr>
      <w:r w:rsidRPr="004E0D16">
        <w:rPr>
          <w:sz w:val="18"/>
        </w:rPr>
        <w:t xml:space="preserve">“2. Las condiciones técnicas adicionales que representan ventajas de calidad o de </w:t>
      </w:r>
      <w:proofErr w:type="spellStart"/>
      <w:r w:rsidRPr="004E0D16">
        <w:rPr>
          <w:sz w:val="18"/>
        </w:rPr>
        <w:t>fun•cionamiento</w:t>
      </w:r>
      <w:proofErr w:type="spellEnd"/>
      <w:r w:rsidRPr="004E0D16">
        <w:rPr>
          <w:sz w:val="18"/>
        </w:rPr>
        <w:t>, tales como el uso de tecnología o materiales que generen mayor eficiencia, rendimiento o duración del bien, obra o servicio.</w:t>
      </w:r>
    </w:p>
    <w:p w:rsidRPr="004E0D16" w:rsidR="000657BC" w:rsidP="004E0D16" w:rsidRDefault="000657BC" w14:paraId="60013552" w14:textId="29676E4C">
      <w:pPr>
        <w:ind w:left="300" w:right="306"/>
        <w:jc w:val="both"/>
        <w:rPr>
          <w:sz w:val="18"/>
        </w:rPr>
      </w:pPr>
    </w:p>
    <w:p w:rsidRPr="004E0D16" w:rsidR="000657BC" w:rsidP="004E0D16" w:rsidRDefault="000657BC" w14:paraId="77E7C82D" w14:textId="77777777">
      <w:pPr>
        <w:spacing w:before="77"/>
        <w:ind w:left="300" w:right="306"/>
        <w:jc w:val="both"/>
        <w:rPr>
          <w:sz w:val="18"/>
        </w:rPr>
      </w:pPr>
      <w:r w:rsidRPr="004E0D16">
        <w:rPr>
          <w:sz w:val="18"/>
        </w:rPr>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w:t>
      </w:r>
    </w:p>
    <w:p w:rsidRPr="004E0D16" w:rsidR="000657BC" w:rsidP="004E0D16" w:rsidRDefault="000657BC" w14:paraId="11F7650E" w14:textId="77777777">
      <w:pPr>
        <w:pStyle w:val="Textoindependiente"/>
        <w:spacing w:before="1"/>
        <w:ind w:left="300" w:right="306"/>
        <w:rPr>
          <w:sz w:val="18"/>
        </w:rPr>
      </w:pPr>
    </w:p>
    <w:p w:rsidRPr="004E0D16" w:rsidR="000657BC" w:rsidP="004E0D16" w:rsidRDefault="000657BC" w14:paraId="5AEC838E" w14:textId="77777777">
      <w:pPr>
        <w:ind w:left="300" w:right="306"/>
        <w:jc w:val="both"/>
        <w:rPr>
          <w:sz w:val="18"/>
        </w:rPr>
      </w:pPr>
      <w:r w:rsidRPr="004E0D16">
        <w:rPr>
          <w:sz w:val="18"/>
        </w:rPr>
        <w:t>“4. El valor en dinero que la Entidad Estatal asigna a cada ofrecimiento técnico o económico adicional, para permitir la ponderación de las ofertas presentadas.</w:t>
      </w:r>
    </w:p>
    <w:p w:rsidRPr="004E0D16" w:rsidR="000657BC" w:rsidP="004E0D16" w:rsidRDefault="000657BC" w14:paraId="3E7FC4A4" w14:textId="77777777">
      <w:pPr>
        <w:pStyle w:val="Textoindependiente"/>
        <w:spacing w:before="11"/>
        <w:ind w:left="300" w:right="306"/>
        <w:rPr>
          <w:sz w:val="17"/>
        </w:rPr>
      </w:pPr>
    </w:p>
    <w:p w:rsidRPr="004E0D16" w:rsidR="000657BC" w:rsidP="004E0D16" w:rsidRDefault="000657BC" w14:paraId="46A78A30" w14:textId="77777777">
      <w:pPr>
        <w:ind w:left="300" w:right="306"/>
        <w:jc w:val="both"/>
        <w:rPr>
          <w:sz w:val="18"/>
        </w:rPr>
      </w:pPr>
      <w:r w:rsidRPr="004E0D16">
        <w:rPr>
          <w:sz w:val="18"/>
        </w:rPr>
        <w:t>“La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p>
    <w:p w:rsidRPr="004E0D16" w:rsidR="000657BC" w:rsidP="004E0D16" w:rsidRDefault="000657BC" w14:paraId="246D3FA3" w14:textId="77777777">
      <w:pPr>
        <w:pStyle w:val="Textoindependiente"/>
        <w:ind w:left="300" w:right="306"/>
        <w:rPr>
          <w:sz w:val="18"/>
        </w:rPr>
      </w:pPr>
    </w:p>
    <w:p w:rsidRPr="004E0D16" w:rsidR="000657BC" w:rsidP="004E0D16" w:rsidRDefault="000657BC" w14:paraId="0E2F0EC9" w14:textId="77777777">
      <w:pPr>
        <w:ind w:left="300" w:right="306"/>
        <w:jc w:val="both"/>
        <w:rPr>
          <w:sz w:val="18"/>
        </w:rPr>
      </w:pPr>
      <w:r w:rsidRPr="004E0D16">
        <w:rPr>
          <w:sz w:val="18"/>
        </w:rPr>
        <w:t>“La Entidad Estatal debe adjudicar al oferente que presentó la oferta con la mejor relación costo-beneficio y suscribir el contrato por el precio total ofrecido”.</w:t>
      </w:r>
    </w:p>
    <w:p w:rsidRPr="004E0D16" w:rsidR="000657BC" w:rsidP="004E0D16" w:rsidRDefault="000657BC" w14:paraId="7FFF1579" w14:textId="77777777">
      <w:pPr>
        <w:ind w:left="300" w:right="306"/>
        <w:jc w:val="both"/>
        <w:rPr>
          <w:sz w:val="18"/>
        </w:rPr>
      </w:pPr>
    </w:p>
    <w:p w:rsidRPr="004E0D16" w:rsidR="000657BC" w:rsidP="004E0D16" w:rsidRDefault="000657BC" w14:paraId="5482AB1C" w14:textId="36C60463">
      <w:pPr>
        <w:pStyle w:val="Textonotapie"/>
        <w:ind w:left="300" w:right="306"/>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4819DD" w:rsidRDefault="00B50F83" w14:paraId="54A93FA0" w14:textId="77777777">
    <w:pPr>
      <w:pStyle w:val="Textoindependiente"/>
      <w:spacing w:line="14" w:lineRule="auto"/>
      <w:rPr>
        <w:sz w:val="20"/>
      </w:rPr>
    </w:pPr>
    <w:r>
      <w:rPr>
        <w:noProof/>
        <w:lang w:val="en-US"/>
      </w:rPr>
      <w:drawing>
        <wp:anchor distT="0" distB="0" distL="0" distR="0" simplePos="0" relativeHeight="487433216" behindDoc="1" locked="0" layoutInCell="1" allowOverlap="1" wp14:anchorId="56131ABB" wp14:editId="35F55B8D">
          <wp:simplePos x="0" y="0"/>
          <wp:positionH relativeFrom="page">
            <wp:posOffset>5304473</wp:posOffset>
          </wp:positionH>
          <wp:positionV relativeFrom="page">
            <wp:posOffset>468247</wp:posOffset>
          </wp:positionV>
          <wp:extent cx="1346374" cy="521377"/>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129D2879">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D1CC4"/>
    <w:multiLevelType w:val="multilevel"/>
    <w:tmpl w:val="F54E434C"/>
    <w:lvl w:ilvl="0">
      <w:start w:val="1"/>
      <w:numFmt w:val="decimal"/>
      <w:lvlText w:val="%1."/>
      <w:lvlJc w:val="left"/>
      <w:pPr>
        <w:ind w:left="543" w:hanging="243"/>
        <w:jc w:val="left"/>
      </w:pPr>
      <w:rPr>
        <w:rFonts w:hint="default" w:ascii="Arial" w:hAnsi="Arial" w:eastAsia="Arial" w:cs="Arial"/>
        <w:b/>
        <w:bCs/>
        <w:spacing w:val="-1"/>
        <w:w w:val="100"/>
        <w:sz w:val="22"/>
        <w:szCs w:val="22"/>
        <w:lang w:val="es-ES" w:eastAsia="en-US" w:bidi="ar-SA"/>
      </w:rPr>
    </w:lvl>
    <w:lvl w:ilvl="1">
      <w:start w:val="1"/>
      <w:numFmt w:val="decimal"/>
      <w:lvlText w:val="%1.%2"/>
      <w:lvlJc w:val="left"/>
      <w:pPr>
        <w:ind w:left="300" w:hanging="395"/>
        <w:jc w:val="left"/>
      </w:pPr>
      <w:rPr>
        <w:rFonts w:hint="default"/>
        <w:color w:val="auto"/>
        <w:spacing w:val="-1"/>
        <w:w w:val="100"/>
        <w:lang w:val="es-ES" w:eastAsia="en-US" w:bidi="ar-SA"/>
      </w:rPr>
    </w:lvl>
    <w:lvl w:ilvl="2">
      <w:start w:val="1"/>
      <w:numFmt w:val="lowerLetter"/>
      <w:lvlText w:val="%3)"/>
      <w:lvlJc w:val="left"/>
      <w:pPr>
        <w:ind w:left="1008" w:hanging="395"/>
        <w:jc w:val="left"/>
      </w:pPr>
      <w:rPr>
        <w:rFonts w:hint="default" w:ascii="Arial" w:hAnsi="Arial" w:eastAsia="Arial" w:cs="Arial"/>
        <w:spacing w:val="-6"/>
        <w:w w:val="100"/>
        <w:sz w:val="21"/>
        <w:szCs w:val="21"/>
        <w:lang w:val="es-ES" w:eastAsia="en-US" w:bidi="ar-SA"/>
      </w:rPr>
    </w:lvl>
    <w:lvl w:ilvl="3">
      <w:numFmt w:val="bullet"/>
      <w:lvlText w:val="•"/>
      <w:lvlJc w:val="left"/>
      <w:pPr>
        <w:ind w:left="1000" w:hanging="395"/>
      </w:pPr>
      <w:rPr>
        <w:rFonts w:hint="default"/>
        <w:lang w:val="es-ES" w:eastAsia="en-US" w:bidi="ar-SA"/>
      </w:rPr>
    </w:lvl>
    <w:lvl w:ilvl="4">
      <w:numFmt w:val="bullet"/>
      <w:lvlText w:val="•"/>
      <w:lvlJc w:val="left"/>
      <w:pPr>
        <w:ind w:left="2220" w:hanging="395"/>
      </w:pPr>
      <w:rPr>
        <w:rFonts w:hint="default"/>
        <w:lang w:val="es-ES" w:eastAsia="en-US" w:bidi="ar-SA"/>
      </w:rPr>
    </w:lvl>
    <w:lvl w:ilvl="5">
      <w:numFmt w:val="bullet"/>
      <w:lvlText w:val="•"/>
      <w:lvlJc w:val="left"/>
      <w:pPr>
        <w:ind w:left="3440" w:hanging="395"/>
      </w:pPr>
      <w:rPr>
        <w:rFonts w:hint="default"/>
        <w:lang w:val="es-ES" w:eastAsia="en-US" w:bidi="ar-SA"/>
      </w:rPr>
    </w:lvl>
    <w:lvl w:ilvl="6">
      <w:numFmt w:val="bullet"/>
      <w:lvlText w:val="•"/>
      <w:lvlJc w:val="left"/>
      <w:pPr>
        <w:ind w:left="4660" w:hanging="395"/>
      </w:pPr>
      <w:rPr>
        <w:rFonts w:hint="default"/>
        <w:lang w:val="es-ES" w:eastAsia="en-US" w:bidi="ar-SA"/>
      </w:rPr>
    </w:lvl>
    <w:lvl w:ilvl="7">
      <w:numFmt w:val="bullet"/>
      <w:lvlText w:val="•"/>
      <w:lvlJc w:val="left"/>
      <w:pPr>
        <w:ind w:left="5880" w:hanging="395"/>
      </w:pPr>
      <w:rPr>
        <w:rFonts w:hint="default"/>
        <w:lang w:val="es-ES" w:eastAsia="en-US" w:bidi="ar-SA"/>
      </w:rPr>
    </w:lvl>
    <w:lvl w:ilvl="8">
      <w:numFmt w:val="bullet"/>
      <w:lvlText w:val="•"/>
      <w:lvlJc w:val="left"/>
      <w:pPr>
        <w:ind w:left="7100" w:hanging="395"/>
      </w:pPr>
      <w:rPr>
        <w:rFonts w:hint="default"/>
        <w:lang w:val="es-ES" w:eastAsia="en-US" w:bidi="ar-SA"/>
      </w:rPr>
    </w:lvl>
  </w:abstractNum>
  <w:abstractNum w:abstractNumId="1" w15:restartNumberingAfterBreak="0">
    <w:nsid w:val="71882F21"/>
    <w:multiLevelType w:val="hybridMultilevel"/>
    <w:tmpl w:val="98300002"/>
    <w:lvl w:ilvl="0" w:tplc="B608F9C0">
      <w:start w:val="4"/>
      <w:numFmt w:val="lowerLetter"/>
      <w:lvlText w:val="%1)"/>
      <w:lvlJc w:val="left"/>
      <w:pPr>
        <w:ind w:left="1008" w:hanging="318"/>
        <w:jc w:val="left"/>
      </w:pPr>
      <w:rPr>
        <w:rFonts w:hint="default" w:ascii="Arial" w:hAnsi="Arial" w:eastAsia="Arial" w:cs="Arial"/>
        <w:spacing w:val="-4"/>
        <w:w w:val="100"/>
        <w:sz w:val="21"/>
        <w:szCs w:val="21"/>
        <w:lang w:val="es-ES" w:eastAsia="en-US" w:bidi="ar-SA"/>
      </w:rPr>
    </w:lvl>
    <w:lvl w:ilvl="1" w:tplc="EC3A1BE0">
      <w:numFmt w:val="bullet"/>
      <w:lvlText w:val="•"/>
      <w:lvlJc w:val="left"/>
      <w:pPr>
        <w:ind w:left="1854" w:hanging="318"/>
      </w:pPr>
      <w:rPr>
        <w:rFonts w:hint="default"/>
        <w:lang w:val="es-ES" w:eastAsia="en-US" w:bidi="ar-SA"/>
      </w:rPr>
    </w:lvl>
    <w:lvl w:ilvl="2" w:tplc="B1AC8C9C">
      <w:numFmt w:val="bullet"/>
      <w:lvlText w:val="•"/>
      <w:lvlJc w:val="left"/>
      <w:pPr>
        <w:ind w:left="2708" w:hanging="318"/>
      </w:pPr>
      <w:rPr>
        <w:rFonts w:hint="default"/>
        <w:lang w:val="es-ES" w:eastAsia="en-US" w:bidi="ar-SA"/>
      </w:rPr>
    </w:lvl>
    <w:lvl w:ilvl="3" w:tplc="B8FE8582">
      <w:numFmt w:val="bullet"/>
      <w:lvlText w:val="•"/>
      <w:lvlJc w:val="left"/>
      <w:pPr>
        <w:ind w:left="3562" w:hanging="318"/>
      </w:pPr>
      <w:rPr>
        <w:rFonts w:hint="default"/>
        <w:lang w:val="es-ES" w:eastAsia="en-US" w:bidi="ar-SA"/>
      </w:rPr>
    </w:lvl>
    <w:lvl w:ilvl="4" w:tplc="3F760162">
      <w:numFmt w:val="bullet"/>
      <w:lvlText w:val="•"/>
      <w:lvlJc w:val="left"/>
      <w:pPr>
        <w:ind w:left="4416" w:hanging="318"/>
      </w:pPr>
      <w:rPr>
        <w:rFonts w:hint="default"/>
        <w:lang w:val="es-ES" w:eastAsia="en-US" w:bidi="ar-SA"/>
      </w:rPr>
    </w:lvl>
    <w:lvl w:ilvl="5" w:tplc="885A5A94">
      <w:numFmt w:val="bullet"/>
      <w:lvlText w:val="•"/>
      <w:lvlJc w:val="left"/>
      <w:pPr>
        <w:ind w:left="5270" w:hanging="318"/>
      </w:pPr>
      <w:rPr>
        <w:rFonts w:hint="default"/>
        <w:lang w:val="es-ES" w:eastAsia="en-US" w:bidi="ar-SA"/>
      </w:rPr>
    </w:lvl>
    <w:lvl w:ilvl="6" w:tplc="70606D18">
      <w:numFmt w:val="bullet"/>
      <w:lvlText w:val="•"/>
      <w:lvlJc w:val="left"/>
      <w:pPr>
        <w:ind w:left="6124" w:hanging="318"/>
      </w:pPr>
      <w:rPr>
        <w:rFonts w:hint="default"/>
        <w:lang w:val="es-ES" w:eastAsia="en-US" w:bidi="ar-SA"/>
      </w:rPr>
    </w:lvl>
    <w:lvl w:ilvl="7" w:tplc="B608FFFC">
      <w:numFmt w:val="bullet"/>
      <w:lvlText w:val="•"/>
      <w:lvlJc w:val="left"/>
      <w:pPr>
        <w:ind w:left="6978" w:hanging="318"/>
      </w:pPr>
      <w:rPr>
        <w:rFonts w:hint="default"/>
        <w:lang w:val="es-ES" w:eastAsia="en-US" w:bidi="ar-SA"/>
      </w:rPr>
    </w:lvl>
    <w:lvl w:ilvl="8" w:tplc="15A6E5B0">
      <w:numFmt w:val="bullet"/>
      <w:lvlText w:val="•"/>
      <w:lvlJc w:val="left"/>
      <w:pPr>
        <w:ind w:left="7832" w:hanging="318"/>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9DD"/>
    <w:rsid w:val="000657BC"/>
    <w:rsid w:val="00076E1D"/>
    <w:rsid w:val="000A2F7B"/>
    <w:rsid w:val="001E4798"/>
    <w:rsid w:val="0027193C"/>
    <w:rsid w:val="003704F5"/>
    <w:rsid w:val="004819DD"/>
    <w:rsid w:val="004E0D16"/>
    <w:rsid w:val="009E5AED"/>
    <w:rsid w:val="00AF58BA"/>
    <w:rsid w:val="00B50F83"/>
    <w:rsid w:val="00B74ED4"/>
    <w:rsid w:val="00B81AC1"/>
    <w:rsid w:val="00B847A8"/>
    <w:rsid w:val="00BA4B8C"/>
    <w:rsid w:val="00E16968"/>
    <w:rsid w:val="01EEC1A2"/>
    <w:rsid w:val="04ADFDF1"/>
    <w:rsid w:val="07A77797"/>
    <w:rsid w:val="0D5C5A0E"/>
    <w:rsid w:val="129D2879"/>
    <w:rsid w:val="15C4634B"/>
    <w:rsid w:val="2415C1E0"/>
    <w:rsid w:val="28B428F1"/>
    <w:rsid w:val="2D2927DA"/>
    <w:rsid w:val="336EB6D7"/>
    <w:rsid w:val="37F03DA9"/>
    <w:rsid w:val="3E9FA910"/>
    <w:rsid w:val="41DF790B"/>
    <w:rsid w:val="41E55951"/>
    <w:rsid w:val="46E509A7"/>
    <w:rsid w:val="47D7C67A"/>
    <w:rsid w:val="48381750"/>
    <w:rsid w:val="4BD1F776"/>
    <w:rsid w:val="511754AC"/>
    <w:rsid w:val="5721E86A"/>
    <w:rsid w:val="57B7FF3F"/>
    <w:rsid w:val="63139620"/>
    <w:rsid w:val="64F238DC"/>
    <w:rsid w:val="66919E93"/>
    <w:rsid w:val="698257E6"/>
    <w:rsid w:val="6DA81AFC"/>
    <w:rsid w:val="74EC4228"/>
    <w:rsid w:val="786D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B3C8"/>
  <w15:docId w15:val="{A66E3702-4987-44AE-B689-61BB0FF8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543" w:hanging="36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00"/>
      <w:jc w:val="both"/>
    </w:pPr>
  </w:style>
  <w:style w:type="paragraph" w:styleId="TableParagraph" w:customStyle="1">
    <w:name w:val="Table Paragraph"/>
    <w:basedOn w:val="Normal"/>
    <w:uiPriority w:val="1"/>
    <w:qFormat/>
    <w:pPr>
      <w:ind w:left="562"/>
    </w:pPr>
  </w:style>
  <w:style w:type="paragraph" w:styleId="Encabezado">
    <w:name w:val="header"/>
    <w:basedOn w:val="Normal"/>
    <w:link w:val="EncabezadoCar"/>
    <w:uiPriority w:val="99"/>
    <w:unhideWhenUsed/>
    <w:rsid w:val="00076E1D"/>
    <w:pPr>
      <w:tabs>
        <w:tab w:val="center" w:pos="4419"/>
        <w:tab w:val="right" w:pos="8838"/>
      </w:tabs>
    </w:pPr>
  </w:style>
  <w:style w:type="character" w:styleId="EncabezadoCar" w:customStyle="1">
    <w:name w:val="Encabezado Car"/>
    <w:basedOn w:val="Fuentedeprrafopredeter"/>
    <w:link w:val="Encabezado"/>
    <w:uiPriority w:val="99"/>
    <w:rsid w:val="00076E1D"/>
    <w:rPr>
      <w:rFonts w:ascii="Arial" w:hAnsi="Arial" w:eastAsia="Arial" w:cs="Arial"/>
      <w:lang w:val="es-ES"/>
    </w:rPr>
  </w:style>
  <w:style w:type="paragraph" w:styleId="Piedepgina">
    <w:name w:val="footer"/>
    <w:basedOn w:val="Normal"/>
    <w:link w:val="PiedepginaCar"/>
    <w:uiPriority w:val="99"/>
    <w:unhideWhenUsed/>
    <w:rsid w:val="00076E1D"/>
    <w:pPr>
      <w:tabs>
        <w:tab w:val="center" w:pos="4419"/>
        <w:tab w:val="right" w:pos="8838"/>
      </w:tabs>
    </w:pPr>
  </w:style>
  <w:style w:type="character" w:styleId="PiedepginaCar" w:customStyle="1">
    <w:name w:val="Pie de página Car"/>
    <w:basedOn w:val="Fuentedeprrafopredeter"/>
    <w:link w:val="Piedepgina"/>
    <w:uiPriority w:val="99"/>
    <w:rsid w:val="00076E1D"/>
    <w:rPr>
      <w:rFonts w:ascii="Arial" w:hAnsi="Arial" w:eastAsia="Arial" w:cs="Arial"/>
      <w:lang w:val="es-ES"/>
    </w:rPr>
  </w:style>
  <w:style w:type="paragraph" w:styleId="Textonotapie">
    <w:name w:val="footnote text"/>
    <w:basedOn w:val="Normal"/>
    <w:link w:val="TextonotapieCar"/>
    <w:uiPriority w:val="99"/>
    <w:semiHidden/>
    <w:unhideWhenUsed/>
    <w:rsid w:val="00076E1D"/>
    <w:rPr>
      <w:sz w:val="20"/>
      <w:szCs w:val="20"/>
    </w:rPr>
  </w:style>
  <w:style w:type="character" w:styleId="TextonotapieCar" w:customStyle="1">
    <w:name w:val="Texto nota pie Car"/>
    <w:basedOn w:val="Fuentedeprrafopredeter"/>
    <w:link w:val="Textonotapie"/>
    <w:uiPriority w:val="99"/>
    <w:semiHidden/>
    <w:rsid w:val="00076E1D"/>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076E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e2db8fdd46f7499e"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6293FBF-0CA8-4F4D-A242-B1B1422EDC64}">
  <ds:schemaRefs>
    <ds:schemaRef ds:uri="http://schemas.microsoft.com/sharepoint/v3/contenttype/forms"/>
  </ds:schemaRefs>
</ds:datastoreItem>
</file>

<file path=customXml/itemProps2.xml><?xml version="1.0" encoding="utf-8"?>
<ds:datastoreItem xmlns:ds="http://schemas.openxmlformats.org/officeDocument/2006/customXml" ds:itemID="{80A64199-FC42-4FF1-A64E-59E96DEDE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8C718-3D1F-4B05-A55C-6F062294611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13</revision>
  <dcterms:created xsi:type="dcterms:W3CDTF">2020-03-13T13:45:00.0000000Z</dcterms:created>
  <dcterms:modified xsi:type="dcterms:W3CDTF">2020-07-13T15:15:26.5439281Z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Microsoft Word</vt:lpwstr>
  </property>
  <property fmtid="{D5CDD505-2E9C-101B-9397-08002B2CF9AE}" pid="4" name="LastSaved">
    <vt:filetime>2020-03-13T00:00:00Z</vt:filetime>
  </property>
  <property fmtid="{D5CDD505-2E9C-101B-9397-08002B2CF9AE}" pid="5" name="ContentTypeId">
    <vt:lpwstr>0x010100F2E0F32964D9B84EA054B84E5D4157A0</vt:lpwstr>
  </property>
</Properties>
</file>