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956FA3" w:rsidR="00B25950" w:rsidP="5D4B03CF" w:rsidRDefault="00B25950" w14:paraId="58967221" w14:textId="77777777">
      <w:pPr>
        <w:jc w:val="both"/>
      </w:pPr>
    </w:p>
    <w:p w:rsidRPr="00956FA3" w:rsidR="00B25950" w:rsidP="1305EC82" w:rsidRDefault="00B25950" w14:paraId="1EA53827" w14:textId="2A653F3B">
      <w:pPr>
        <w:pStyle w:val="Normal"/>
        <w:ind w:right="246"/>
        <w:jc w:val="both"/>
        <w:rPr>
          <w:b w:val="1"/>
          <w:bCs w:val="1"/>
        </w:rPr>
      </w:pPr>
      <w:r w:rsidRPr="1305EC82" w:rsidR="00B25950">
        <w:rPr>
          <w:b w:val="1"/>
          <w:bCs w:val="1"/>
        </w:rPr>
        <w:t>LEY DE GARANTÍAS ELECTORALES</w:t>
      </w:r>
      <w:r w:rsidRPr="1305EC82" w:rsidR="00AF6A4C">
        <w:rPr>
          <w:b w:val="1"/>
          <w:bCs w:val="1"/>
        </w:rPr>
        <w:t xml:space="preserve"> </w:t>
      </w:r>
      <w:r w:rsidRPr="1305EC82" w:rsidR="000D0033">
        <w:rPr>
          <w:b w:val="1"/>
          <w:bCs w:val="1"/>
        </w:rPr>
        <w:t>–</w:t>
      </w:r>
      <w:r w:rsidRPr="1305EC82" w:rsidR="003993FD">
        <w:rPr>
          <w:b w:val="1"/>
          <w:bCs w:val="1"/>
        </w:rPr>
        <w:t xml:space="preserve"> Suscripción – </w:t>
      </w:r>
      <w:r w:rsidRPr="1305EC82" w:rsidR="42EA6974">
        <w:rPr>
          <w:b w:val="1"/>
          <w:bCs w:val="1"/>
        </w:rPr>
        <w:t>C</w:t>
      </w:r>
      <w:r w:rsidRPr="1305EC82" w:rsidR="00B25950">
        <w:rPr>
          <w:b w:val="1"/>
          <w:bCs w:val="1"/>
        </w:rPr>
        <w:t xml:space="preserve">onvenios interadministrativos </w:t>
      </w:r>
      <w:r w:rsidRPr="1305EC82" w:rsidR="64EE5951">
        <w:rPr>
          <w:b w:val="1"/>
          <w:bCs w:val="1"/>
        </w:rPr>
        <w:t>– Prohibición –</w:t>
      </w:r>
      <w:r w:rsidRPr="1305EC82" w:rsidR="00B25950">
        <w:rPr>
          <w:b w:val="1"/>
          <w:bCs w:val="1"/>
        </w:rPr>
        <w:t xml:space="preserve"> Ejecución de recursos públicos</w:t>
      </w:r>
    </w:p>
    <w:p w:rsidRPr="00956FA3" w:rsidR="00B25950" w:rsidP="5D4B03CF" w:rsidRDefault="00B25950" w14:paraId="4367F3AE" w14:textId="77777777">
      <w:pPr>
        <w:ind w:right="246"/>
        <w:jc w:val="both"/>
        <w:rPr>
          <w:b/>
          <w:bCs/>
        </w:rPr>
      </w:pPr>
    </w:p>
    <w:p w:rsidRPr="00956FA3" w:rsidR="004C5962" w:rsidP="000843D8" w:rsidRDefault="00B25950" w14:paraId="0EEB6B32" w14:textId="712FE549">
      <w:pPr>
        <w:pStyle w:val="Textoindependiente"/>
        <w:spacing w:after="120"/>
        <w:ind w:right="68"/>
        <w:jc w:val="both"/>
        <w:rPr>
          <w:sz w:val="20"/>
          <w:szCs w:val="20"/>
        </w:rPr>
      </w:pPr>
      <w:r w:rsidRPr="00956FA3">
        <w:rPr>
          <w:sz w:val="20"/>
          <w:szCs w:val="20"/>
        </w:rPr>
        <w:t xml:space="preserve">El parágrafo único del artículo 38 de la Ley 996 de 2005, cuando establece la prohibición de “celebrar convenios interadministrativos para la ejecución de recursos públicos”, </w:t>
      </w:r>
      <w:r w:rsidRPr="00956FA3">
        <w:rPr>
          <w:spacing w:val="-3"/>
          <w:sz w:val="20"/>
          <w:szCs w:val="20"/>
        </w:rPr>
        <w:t xml:space="preserve">no </w:t>
      </w:r>
      <w:r w:rsidRPr="00956FA3">
        <w:rPr>
          <w:sz w:val="20"/>
          <w:szCs w:val="20"/>
        </w:rPr>
        <w:t>califica el origen de los recursos, a diferencia del siguiente evento previsto en la norma que establece “ni participar, promover y destinar recursos públicos de las entidades a su cargo”. Obsérvese cómo en el primer evento la restricción aplica para todo tipo de contrato interadministrativo, esto es, los suscritos entre entidades estatales, sin importar el origen de los recursos. Por lo tanto, cuando se suscriban convenios interadministrativos con alguna de las “Entidades Descentralizadas del orden Municipal, Departamental o Distrital”, aun cuando se trate de recursos que pertenecen a entidades a las cuales no les aplica esta restricción, se incurre en la prohibición contenida en la</w:t>
      </w:r>
      <w:r w:rsidRPr="00956FA3">
        <w:rPr>
          <w:spacing w:val="-11"/>
          <w:sz w:val="20"/>
          <w:szCs w:val="20"/>
        </w:rPr>
        <w:t xml:space="preserve"> </w:t>
      </w:r>
      <w:r w:rsidRPr="00956FA3">
        <w:rPr>
          <w:sz w:val="20"/>
          <w:szCs w:val="20"/>
        </w:rPr>
        <w:t>norma.</w:t>
      </w:r>
    </w:p>
    <w:p w:rsidRPr="00956FA3" w:rsidR="00B25950" w:rsidP="000843D8" w:rsidRDefault="00B25950" w14:paraId="05FC26F1" w14:textId="581DEBC9">
      <w:pPr>
        <w:pStyle w:val="Textoindependiente"/>
        <w:spacing w:before="120"/>
        <w:ind w:right="68"/>
        <w:jc w:val="both"/>
        <w:rPr>
          <w:sz w:val="20"/>
          <w:szCs w:val="20"/>
        </w:rPr>
      </w:pPr>
      <w:r w:rsidRPr="00956FA3">
        <w:rPr>
          <w:sz w:val="20"/>
          <w:szCs w:val="20"/>
        </w:rPr>
        <w:t xml:space="preserve">Se presentan los siguientes ejemplos: a) se incurre en la prohibición cuando se celebran convenios para ejecutar recursos entre: i) entidades descentralizadas del orden municipal, departamental o distrital, </w:t>
      </w:r>
      <w:proofErr w:type="spellStart"/>
      <w:r w:rsidRPr="00956FA3">
        <w:rPr>
          <w:sz w:val="20"/>
          <w:szCs w:val="20"/>
        </w:rPr>
        <w:t>ii</w:t>
      </w:r>
      <w:proofErr w:type="spellEnd"/>
      <w:r w:rsidRPr="00956FA3">
        <w:rPr>
          <w:sz w:val="20"/>
          <w:szCs w:val="20"/>
        </w:rPr>
        <w:t xml:space="preserve">) entidades descentralizadas del orden municipal, departamental o distrital y entidades del orden nacional, b) no se incurre en la prohibición cuando se celebran convenios entre: i) entidades del orden nacional o sus descentralizadas; </w:t>
      </w:r>
      <w:proofErr w:type="spellStart"/>
      <w:r w:rsidRPr="00956FA3">
        <w:rPr>
          <w:sz w:val="20"/>
          <w:szCs w:val="20"/>
        </w:rPr>
        <w:t>ii</w:t>
      </w:r>
      <w:proofErr w:type="spellEnd"/>
      <w:r w:rsidRPr="00956FA3">
        <w:rPr>
          <w:sz w:val="20"/>
          <w:szCs w:val="20"/>
        </w:rPr>
        <w:t>) entidades del orden nacional y entidades descentralizadas del orden nacional.</w:t>
      </w:r>
    </w:p>
    <w:p w:rsidRPr="00956FA3" w:rsidR="004B057F" w:rsidRDefault="004B057F" w14:paraId="35181D4E" w14:textId="14AAD4D1">
      <w:pPr>
        <w:pStyle w:val="Textoindependiente"/>
        <w:rPr>
          <w:sz w:val="20"/>
          <w:szCs w:val="20"/>
        </w:rPr>
      </w:pPr>
    </w:p>
    <w:p w:rsidRPr="00956FA3" w:rsidR="00956FA3" w:rsidRDefault="00956FA3" w14:paraId="78B3074D" w14:textId="77777777">
      <w:pPr>
        <w:pStyle w:val="Textoindependiente"/>
        <w:rPr>
          <w:sz w:val="20"/>
          <w:szCs w:val="20"/>
        </w:rPr>
      </w:pPr>
    </w:p>
    <w:p w:rsidRPr="00956FA3" w:rsidR="004B057F" w:rsidP="004C4AE7" w:rsidRDefault="00CF2FCA" w14:paraId="792912B9" w14:textId="77777777">
      <w:pPr>
        <w:spacing w:before="94"/>
        <w:rPr>
          <w:b/>
          <w:sz w:val="20"/>
        </w:rPr>
      </w:pPr>
      <w:r w:rsidRPr="00956FA3">
        <w:rPr>
          <w:sz w:val="20"/>
        </w:rPr>
        <w:t xml:space="preserve">Bogotá D.C., </w:t>
      </w:r>
      <w:r w:rsidRPr="00956FA3">
        <w:rPr>
          <w:b/>
          <w:sz w:val="20"/>
        </w:rPr>
        <w:t>20/08/2019 Hora 16:50:42s</w:t>
      </w:r>
    </w:p>
    <w:p w:rsidRPr="00956FA3" w:rsidR="004B057F" w:rsidRDefault="00CF2FCA" w14:paraId="37C037CC" w14:textId="77777777">
      <w:pPr>
        <w:ind w:left="5951"/>
        <w:rPr>
          <w:b/>
          <w:sz w:val="20"/>
        </w:rPr>
      </w:pPr>
      <w:proofErr w:type="spellStart"/>
      <w:r w:rsidRPr="00956FA3">
        <w:rPr>
          <w:b/>
          <w:sz w:val="20"/>
        </w:rPr>
        <w:t>N°</w:t>
      </w:r>
      <w:proofErr w:type="spellEnd"/>
      <w:r w:rsidRPr="00956FA3">
        <w:rPr>
          <w:b/>
          <w:sz w:val="20"/>
        </w:rPr>
        <w:t xml:space="preserve"> Radicado: 2201913000006015</w:t>
      </w:r>
    </w:p>
    <w:p w:rsidRPr="00956FA3" w:rsidR="004B057F" w:rsidRDefault="004B057F" w14:paraId="642958DC" w14:textId="77777777">
      <w:pPr>
        <w:pStyle w:val="Textoindependiente"/>
        <w:spacing w:before="2"/>
        <w:rPr>
          <w:b/>
          <w:sz w:val="14"/>
        </w:rPr>
      </w:pPr>
    </w:p>
    <w:p w:rsidR="005E50AB" w:rsidP="004675D1" w:rsidRDefault="00CF2FCA" w14:paraId="2AD77DD7" w14:textId="77777777">
      <w:pPr>
        <w:ind w:right="7190"/>
      </w:pPr>
      <w:r w:rsidRPr="00956FA3">
        <w:t>Señor (a)</w:t>
      </w:r>
    </w:p>
    <w:p w:rsidRPr="00956FA3" w:rsidR="004B057F" w:rsidP="004675D1" w:rsidRDefault="00CF2FCA" w14:paraId="2142E244" w14:textId="28035EC6">
      <w:pPr>
        <w:ind w:right="7190"/>
      </w:pPr>
      <w:r w:rsidRPr="00956FA3">
        <w:rPr>
          <w:b/>
        </w:rPr>
        <w:t xml:space="preserve">Anónimo (a) </w:t>
      </w:r>
      <w:r w:rsidRPr="00956FA3">
        <w:t>Ciudad</w:t>
      </w:r>
    </w:p>
    <w:p w:rsidRPr="00956FA3" w:rsidR="004B057F" w:rsidRDefault="004B057F" w14:paraId="1DEF0539" w14:textId="77777777">
      <w:pPr>
        <w:pStyle w:val="Textoindependiente"/>
        <w:rPr>
          <w:sz w:val="24"/>
        </w:rPr>
      </w:pPr>
    </w:p>
    <w:p w:rsidRPr="00956FA3" w:rsidR="004B057F" w:rsidRDefault="004B057F" w14:paraId="75A83039" w14:textId="77777777">
      <w:pPr>
        <w:pStyle w:val="Textoindependiente"/>
        <w:rPr>
          <w:sz w:val="20"/>
        </w:rPr>
      </w:pPr>
    </w:p>
    <w:p w:rsidRPr="00956FA3" w:rsidR="004B057F" w:rsidRDefault="00CF2FCA" w14:paraId="504EF6B6" w14:textId="77777777">
      <w:pPr>
        <w:tabs>
          <w:tab w:val="left" w:pos="3640"/>
        </w:tabs>
        <w:spacing w:before="1" w:line="253" w:lineRule="exact"/>
        <w:ind w:left="100"/>
      </w:pPr>
      <w:r w:rsidRPr="00956FA3">
        <w:rPr>
          <w:b/>
        </w:rPr>
        <w:t>Radicación:</w:t>
      </w:r>
      <w:r w:rsidRPr="00956FA3">
        <w:rPr>
          <w:b/>
        </w:rPr>
        <w:tab/>
      </w:r>
      <w:r w:rsidRPr="00956FA3">
        <w:t>Respuesta a consulta #</w:t>
      </w:r>
      <w:r w:rsidRPr="00956FA3">
        <w:rPr>
          <w:spacing w:val="-7"/>
        </w:rPr>
        <w:t xml:space="preserve"> </w:t>
      </w:r>
      <w:r w:rsidRPr="00956FA3">
        <w:t>4201912000005199</w:t>
      </w:r>
    </w:p>
    <w:p w:rsidRPr="00956FA3" w:rsidR="004B057F" w:rsidRDefault="00CF2FCA" w14:paraId="005B95A3" w14:textId="77777777">
      <w:pPr>
        <w:tabs>
          <w:tab w:val="left" w:pos="3640"/>
        </w:tabs>
        <w:spacing w:line="253" w:lineRule="exact"/>
        <w:ind w:left="100"/>
      </w:pPr>
      <w:r w:rsidRPr="00956FA3">
        <w:rPr>
          <w:b/>
        </w:rPr>
        <w:t>Temas:</w:t>
      </w:r>
      <w:r w:rsidRPr="00956FA3">
        <w:rPr>
          <w:b/>
        </w:rPr>
        <w:tab/>
      </w:r>
      <w:r w:rsidRPr="00956FA3">
        <w:t>Ley de</w:t>
      </w:r>
      <w:r w:rsidRPr="00956FA3">
        <w:rPr>
          <w:spacing w:val="-4"/>
        </w:rPr>
        <w:t xml:space="preserve"> </w:t>
      </w:r>
      <w:r w:rsidRPr="00956FA3">
        <w:t>garantías</w:t>
      </w:r>
    </w:p>
    <w:p w:rsidRPr="00956FA3" w:rsidR="004B057F" w:rsidRDefault="00CF2FCA" w14:paraId="548848CF" w14:textId="77777777">
      <w:pPr>
        <w:tabs>
          <w:tab w:val="left" w:pos="3640"/>
        </w:tabs>
        <w:spacing w:line="253" w:lineRule="exact"/>
        <w:ind w:left="100"/>
      </w:pPr>
      <w:r w:rsidRPr="00956FA3">
        <w:rPr>
          <w:b/>
        </w:rPr>
        <w:t>Tipo de</w:t>
      </w:r>
      <w:r w:rsidRPr="00956FA3">
        <w:rPr>
          <w:b/>
          <w:spacing w:val="-4"/>
        </w:rPr>
        <w:t xml:space="preserve"> </w:t>
      </w:r>
      <w:r w:rsidRPr="00956FA3">
        <w:rPr>
          <w:b/>
        </w:rPr>
        <w:t>asunto</w:t>
      </w:r>
      <w:r w:rsidRPr="00956FA3">
        <w:rPr>
          <w:b/>
          <w:spacing w:val="-2"/>
        </w:rPr>
        <w:t xml:space="preserve"> </w:t>
      </w:r>
      <w:r w:rsidRPr="00956FA3">
        <w:rPr>
          <w:b/>
        </w:rPr>
        <w:t>consultado:</w:t>
      </w:r>
      <w:r w:rsidRPr="00956FA3">
        <w:rPr>
          <w:b/>
        </w:rPr>
        <w:tab/>
      </w:r>
      <w:r w:rsidRPr="00956FA3">
        <w:t>Aplicación ley de</w:t>
      </w:r>
      <w:r w:rsidRPr="00956FA3">
        <w:rPr>
          <w:spacing w:val="-7"/>
        </w:rPr>
        <w:t xml:space="preserve"> </w:t>
      </w:r>
      <w:r w:rsidRPr="00956FA3">
        <w:t>garantías</w:t>
      </w:r>
    </w:p>
    <w:p w:rsidRPr="00956FA3" w:rsidR="004B057F" w:rsidRDefault="004B057F" w14:paraId="0B5E08B1" w14:textId="77777777">
      <w:pPr>
        <w:pStyle w:val="Textoindependiente"/>
        <w:rPr>
          <w:sz w:val="24"/>
        </w:rPr>
      </w:pPr>
    </w:p>
    <w:p w:rsidRPr="00956FA3" w:rsidR="004B057F" w:rsidRDefault="004B057F" w14:paraId="318027D9" w14:textId="3E50945F">
      <w:pPr>
        <w:pStyle w:val="Textoindependiente"/>
        <w:spacing w:before="9"/>
        <w:rPr>
          <w:sz w:val="19"/>
        </w:rPr>
      </w:pPr>
    </w:p>
    <w:p w:rsidRPr="00956FA3" w:rsidR="00B25950" w:rsidRDefault="00B25950" w14:paraId="3458CED0" w14:textId="77777777">
      <w:pPr>
        <w:pStyle w:val="Textoindependiente"/>
        <w:spacing w:before="9"/>
        <w:rPr>
          <w:sz w:val="19"/>
        </w:rPr>
      </w:pPr>
    </w:p>
    <w:p w:rsidRPr="00956FA3" w:rsidR="004B057F" w:rsidP="004C4AE7" w:rsidRDefault="00CF2FCA" w14:paraId="1C85767E" w14:textId="77777777">
      <w:pPr>
        <w:pStyle w:val="Textoindependiente"/>
        <w:spacing w:before="1"/>
      </w:pPr>
      <w:r w:rsidRPr="00956FA3">
        <w:t>Estimado (a) ciudadano (a),</w:t>
      </w:r>
    </w:p>
    <w:p w:rsidRPr="00956FA3" w:rsidR="004B057F" w:rsidRDefault="004B057F" w14:paraId="471F7E43" w14:textId="77777777">
      <w:pPr>
        <w:pStyle w:val="Textoindependiente"/>
        <w:spacing w:before="7"/>
        <w:rPr>
          <w:sz w:val="28"/>
        </w:rPr>
      </w:pPr>
    </w:p>
    <w:p w:rsidRPr="00956FA3" w:rsidR="004B057F" w:rsidP="004C4AE7" w:rsidRDefault="00CF2FCA" w14:paraId="1E3BBCEA" w14:textId="77777777">
      <w:pPr>
        <w:pStyle w:val="Textoindependiente"/>
        <w:spacing w:line="276" w:lineRule="auto"/>
        <w:ind w:right="104"/>
        <w:jc w:val="both"/>
      </w:pPr>
      <w:r w:rsidRPr="00956FA3">
        <w:t>La Agencia Nacional de Contratación Pública - Colombia Compra Eficiente responde su consulta del 1 de agosto de 2019, en ejercicio de la competencia otorgada por el numeral 5 del artículo 3 y numeral 8 del artículo 11 del Decreto 4170 de 2011.</w:t>
      </w:r>
    </w:p>
    <w:p w:rsidRPr="00956FA3" w:rsidR="004B057F" w:rsidRDefault="004B057F" w14:paraId="74CB180C" w14:textId="77777777">
      <w:pPr>
        <w:pStyle w:val="Textoindependiente"/>
        <w:spacing w:before="5"/>
        <w:rPr>
          <w:sz w:val="25"/>
        </w:rPr>
      </w:pPr>
    </w:p>
    <w:p w:rsidRPr="00956FA3" w:rsidR="004B057F" w:rsidRDefault="00CF2FCA" w14:paraId="2E6689A9" w14:textId="77777777">
      <w:pPr>
        <w:pStyle w:val="Prrafodelista"/>
        <w:numPr>
          <w:ilvl w:val="0"/>
          <w:numId w:val="1"/>
        </w:numPr>
        <w:tabs>
          <w:tab w:val="left" w:pos="386"/>
        </w:tabs>
        <w:spacing w:before="1"/>
        <w:ind w:hanging="286"/>
      </w:pPr>
      <w:r w:rsidRPr="00956FA3">
        <w:t>Problema</w:t>
      </w:r>
      <w:r w:rsidRPr="00956FA3">
        <w:rPr>
          <w:spacing w:val="-2"/>
        </w:rPr>
        <w:t xml:space="preserve"> </w:t>
      </w:r>
      <w:r w:rsidRPr="00956FA3">
        <w:t>planteado:</w:t>
      </w:r>
    </w:p>
    <w:p w:rsidRPr="00956FA3" w:rsidR="004B057F" w:rsidRDefault="004B057F" w14:paraId="2EBBD144" w14:textId="77777777">
      <w:pPr>
        <w:pStyle w:val="Textoindependiente"/>
        <w:spacing w:before="5"/>
        <w:rPr>
          <w:sz w:val="28"/>
        </w:rPr>
      </w:pPr>
    </w:p>
    <w:p w:rsidRPr="00956FA3" w:rsidR="004B057F" w:rsidP="004C4AE7" w:rsidRDefault="00CF2FCA" w14:paraId="7657F25E" w14:textId="77777777">
      <w:pPr>
        <w:pStyle w:val="Textoindependiente"/>
        <w:spacing w:line="276" w:lineRule="auto"/>
        <w:ind w:right="105"/>
        <w:jc w:val="both"/>
      </w:pPr>
      <w:r w:rsidRPr="00956FA3">
        <w:t xml:space="preserve">“Una empresa de servicios públicos mixta del sector TIC, del orden Distrital, con una participación superior al 50% de capital estatal y menor al 90%, puede celebrar contratos interadministrativos como contratista con una Entidad del Estado del orden Nacional, partiendo del hecho que las Entidades del orden Nacional no se encuentran limitadas a </w:t>
      </w:r>
      <w:r w:rsidRPr="00956FA3">
        <w:lastRenderedPageBreak/>
        <w:t>celebrar este tipo de contratos en este momento, y que los recursos públicos que se ejecutarían corresponderían al orden Nacional y no Territorial?”.</w:t>
      </w:r>
    </w:p>
    <w:p w:rsidRPr="00956FA3" w:rsidR="004B057F" w:rsidP="004C4AE7" w:rsidRDefault="004B057F" w14:paraId="26FA0A18" w14:textId="77777777">
      <w:pPr>
        <w:pStyle w:val="Textoindependiente"/>
        <w:spacing w:before="2"/>
        <w:rPr>
          <w:sz w:val="25"/>
        </w:rPr>
      </w:pPr>
    </w:p>
    <w:p w:rsidRPr="00956FA3" w:rsidR="004B057F" w:rsidP="004C4AE7" w:rsidRDefault="00CF2FCA" w14:paraId="6161FDA1" w14:textId="77777777">
      <w:pPr>
        <w:pStyle w:val="Prrafodelista"/>
        <w:numPr>
          <w:ilvl w:val="0"/>
          <w:numId w:val="1"/>
        </w:numPr>
        <w:tabs>
          <w:tab w:val="left" w:pos="386"/>
        </w:tabs>
        <w:ind w:hanging="286"/>
      </w:pPr>
      <w:r w:rsidRPr="00956FA3">
        <w:t>Consideraciones:</w:t>
      </w:r>
    </w:p>
    <w:p w:rsidRPr="00956FA3" w:rsidR="004B057F" w:rsidP="004C4AE7" w:rsidRDefault="004B057F" w14:paraId="074BEB33" w14:textId="77777777">
      <w:pPr>
        <w:pStyle w:val="Textoindependiente"/>
        <w:spacing w:before="6"/>
        <w:rPr>
          <w:sz w:val="28"/>
        </w:rPr>
      </w:pPr>
    </w:p>
    <w:p w:rsidRPr="00956FA3" w:rsidR="004B057F" w:rsidP="004C4AE7" w:rsidRDefault="00CF2FCA" w14:paraId="45BEAC39" w14:textId="701D46AF">
      <w:pPr>
        <w:pStyle w:val="Textoindependiente"/>
        <w:spacing w:line="276" w:lineRule="auto"/>
        <w:ind w:right="105"/>
        <w:jc w:val="both"/>
      </w:pPr>
      <w:r w:rsidRPr="00956FA3">
        <w:t>El parágrafo del artículo 38 de la Ley 996 de 2005 establece la prohibición para gobernadores, alcaldes, secretarios, gerentes y directores de entidades de orden municipal,</w:t>
      </w:r>
      <w:r w:rsidRPr="00956FA3">
        <w:rPr>
          <w:spacing w:val="26"/>
        </w:rPr>
        <w:t xml:space="preserve"> </w:t>
      </w:r>
      <w:r w:rsidRPr="00956FA3">
        <w:t>departamental</w:t>
      </w:r>
      <w:r w:rsidRPr="00956FA3">
        <w:rPr>
          <w:spacing w:val="25"/>
        </w:rPr>
        <w:t xml:space="preserve"> </w:t>
      </w:r>
      <w:r w:rsidRPr="00956FA3">
        <w:t>o</w:t>
      </w:r>
      <w:r w:rsidRPr="00956FA3">
        <w:rPr>
          <w:spacing w:val="27"/>
        </w:rPr>
        <w:t xml:space="preserve"> </w:t>
      </w:r>
      <w:r w:rsidRPr="00956FA3">
        <w:t>distrital,</w:t>
      </w:r>
      <w:r w:rsidRPr="00956FA3">
        <w:rPr>
          <w:spacing w:val="28"/>
        </w:rPr>
        <w:t xml:space="preserve"> </w:t>
      </w:r>
      <w:r w:rsidRPr="00956FA3">
        <w:t>para</w:t>
      </w:r>
      <w:r w:rsidRPr="00956FA3">
        <w:rPr>
          <w:spacing w:val="26"/>
        </w:rPr>
        <w:t xml:space="preserve"> </w:t>
      </w:r>
      <w:r w:rsidRPr="00956FA3">
        <w:t>celebrar</w:t>
      </w:r>
      <w:r w:rsidRPr="00956FA3">
        <w:rPr>
          <w:spacing w:val="28"/>
        </w:rPr>
        <w:t xml:space="preserve"> </w:t>
      </w:r>
      <w:r w:rsidRPr="00956FA3">
        <w:t>convenios</w:t>
      </w:r>
      <w:r w:rsidRPr="00956FA3">
        <w:rPr>
          <w:spacing w:val="28"/>
        </w:rPr>
        <w:t xml:space="preserve"> </w:t>
      </w:r>
      <w:r w:rsidRPr="00956FA3">
        <w:t>interadministrativos</w:t>
      </w:r>
      <w:r w:rsidRPr="00956FA3" w:rsidR="004C4AE7">
        <w:rPr>
          <w:rStyle w:val="Refdenotaalpie"/>
        </w:rPr>
        <w:footnoteReference w:id="1"/>
      </w:r>
      <w:r w:rsidRPr="00956FA3">
        <w:rPr>
          <w:spacing w:val="27"/>
        </w:rPr>
        <w:t xml:space="preserve"> </w:t>
      </w:r>
      <w:r w:rsidRPr="00956FA3">
        <w:t>para</w:t>
      </w:r>
      <w:r w:rsidRPr="00956FA3">
        <w:rPr>
          <w:spacing w:val="26"/>
        </w:rPr>
        <w:t xml:space="preserve"> </w:t>
      </w:r>
      <w:r w:rsidRPr="00956FA3">
        <w:t>la</w:t>
      </w:r>
      <w:r w:rsidRPr="00956FA3" w:rsidR="004C4AE7">
        <w:t xml:space="preserve"> e</w:t>
      </w:r>
      <w:r w:rsidRPr="00956FA3">
        <w:t>jecución de recursos públicos dentro de los cuatro (4) meses anteriores a cualquier elección, en los siguientes términos:</w:t>
      </w:r>
    </w:p>
    <w:p w:rsidRPr="00956FA3" w:rsidR="004B057F" w:rsidRDefault="004B057F" w14:paraId="3EE1DD06" w14:textId="77777777">
      <w:pPr>
        <w:pStyle w:val="Textoindependiente"/>
        <w:spacing w:before="2"/>
        <w:rPr>
          <w:sz w:val="25"/>
        </w:rPr>
      </w:pPr>
    </w:p>
    <w:p w:rsidRPr="00956FA3" w:rsidR="004B057F" w:rsidP="004C4AE7" w:rsidRDefault="00CF2FCA" w14:paraId="79E9129B" w14:textId="77777777">
      <w:pPr>
        <w:ind w:left="709" w:right="709"/>
        <w:rPr>
          <w:sz w:val="20"/>
        </w:rPr>
      </w:pPr>
      <w:r w:rsidRPr="00956FA3">
        <w:rPr>
          <w:sz w:val="20"/>
        </w:rPr>
        <w:t xml:space="preserve">Artículo 38. </w:t>
      </w:r>
      <w:bookmarkStart w:name="_Hlk36132420" w:id="0"/>
      <w:r w:rsidRPr="00956FA3">
        <w:rPr>
          <w:sz w:val="20"/>
        </w:rPr>
        <w:t>Prohibiciones para los servidores públicos. A los empleados del Estado les está prohibido:</w:t>
      </w:r>
    </w:p>
    <w:p w:rsidRPr="00956FA3" w:rsidR="004B057F" w:rsidP="004C4AE7" w:rsidRDefault="00CF2FCA" w14:paraId="7D7BC5EE" w14:textId="77777777">
      <w:pPr>
        <w:spacing w:line="227" w:lineRule="exact"/>
        <w:ind w:left="709" w:right="709"/>
        <w:rPr>
          <w:sz w:val="20"/>
        </w:rPr>
      </w:pPr>
      <w:r w:rsidRPr="00956FA3">
        <w:rPr>
          <w:sz w:val="20"/>
        </w:rPr>
        <w:t>(…)</w:t>
      </w:r>
    </w:p>
    <w:p w:rsidRPr="00956FA3" w:rsidR="004B057F" w:rsidP="004C4AE7" w:rsidRDefault="004B057F" w14:paraId="106544F5" w14:textId="77777777">
      <w:pPr>
        <w:pStyle w:val="Textoindependiente"/>
        <w:ind w:left="709" w:right="709"/>
        <w:rPr>
          <w:sz w:val="20"/>
        </w:rPr>
      </w:pPr>
    </w:p>
    <w:p w:rsidRPr="00956FA3" w:rsidR="004B057F" w:rsidP="004C4AE7" w:rsidRDefault="00CF2FCA" w14:paraId="18132A79" w14:textId="77777777">
      <w:pPr>
        <w:ind w:left="709" w:right="709"/>
        <w:jc w:val="both"/>
        <w:rPr>
          <w:sz w:val="20"/>
        </w:rPr>
      </w:pPr>
      <w:r w:rsidRPr="00956FA3">
        <w:rPr>
          <w:sz w:val="20"/>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bookmarkEnd w:id="0"/>
    <w:p w:rsidRPr="00956FA3" w:rsidR="004C4AE7" w:rsidP="004C4AE7" w:rsidRDefault="004C4AE7" w14:paraId="3298A08B" w14:textId="77777777">
      <w:pPr>
        <w:pStyle w:val="Textoindependiente"/>
        <w:spacing w:line="276" w:lineRule="auto"/>
        <w:ind w:right="108"/>
        <w:jc w:val="both"/>
        <w:rPr>
          <w:sz w:val="25"/>
        </w:rPr>
      </w:pPr>
    </w:p>
    <w:p w:rsidRPr="00956FA3" w:rsidR="004B057F" w:rsidP="004C4AE7" w:rsidRDefault="00CF2FCA" w14:paraId="31700C72" w14:textId="3E5BE833">
      <w:pPr>
        <w:pStyle w:val="Textoindependiente"/>
        <w:spacing w:line="276" w:lineRule="auto"/>
        <w:ind w:right="108"/>
        <w:jc w:val="both"/>
      </w:pPr>
      <w:bookmarkStart w:name="_Hlk36132518" w:id="1"/>
      <w:r w:rsidRPr="00956FA3">
        <w:t>Lo anterior quiere decir que los gobernadores, alcaldes distritales y municipales, secretarios de despacho, gerentes y directores de entidades descentralizadas del orden municipal,</w:t>
      </w:r>
      <w:r w:rsidRPr="00956FA3">
        <w:rPr>
          <w:spacing w:val="7"/>
        </w:rPr>
        <w:t xml:space="preserve"> </w:t>
      </w:r>
      <w:r w:rsidRPr="00956FA3">
        <w:t>departamental</w:t>
      </w:r>
      <w:r w:rsidRPr="00956FA3">
        <w:rPr>
          <w:spacing w:val="6"/>
        </w:rPr>
        <w:t xml:space="preserve"> </w:t>
      </w:r>
      <w:r w:rsidRPr="00956FA3">
        <w:t>o</w:t>
      </w:r>
      <w:r w:rsidRPr="00956FA3">
        <w:rPr>
          <w:spacing w:val="9"/>
        </w:rPr>
        <w:t xml:space="preserve"> </w:t>
      </w:r>
      <w:r w:rsidRPr="00956FA3">
        <w:t>distrital,</w:t>
      </w:r>
      <w:r w:rsidRPr="00956FA3">
        <w:rPr>
          <w:spacing w:val="7"/>
        </w:rPr>
        <w:t xml:space="preserve"> </w:t>
      </w:r>
      <w:r w:rsidRPr="00956FA3">
        <w:t>tienen</w:t>
      </w:r>
      <w:r w:rsidRPr="00956FA3">
        <w:rPr>
          <w:spacing w:val="9"/>
        </w:rPr>
        <w:t xml:space="preserve"> </w:t>
      </w:r>
      <w:r w:rsidRPr="00956FA3">
        <w:t>prohibido,</w:t>
      </w:r>
      <w:r w:rsidRPr="00956FA3">
        <w:rPr>
          <w:spacing w:val="7"/>
        </w:rPr>
        <w:t xml:space="preserve"> </w:t>
      </w:r>
      <w:r w:rsidRPr="00956FA3">
        <w:t>a</w:t>
      </w:r>
      <w:r w:rsidRPr="00956FA3">
        <w:rPr>
          <w:spacing w:val="8"/>
        </w:rPr>
        <w:t xml:space="preserve"> </w:t>
      </w:r>
      <w:r w:rsidRPr="00956FA3">
        <w:t>partir</w:t>
      </w:r>
      <w:r w:rsidRPr="00956FA3">
        <w:rPr>
          <w:spacing w:val="8"/>
        </w:rPr>
        <w:t xml:space="preserve"> </w:t>
      </w:r>
      <w:r w:rsidRPr="00956FA3">
        <w:t>del</w:t>
      </w:r>
      <w:r w:rsidRPr="00956FA3">
        <w:rPr>
          <w:spacing w:val="9"/>
        </w:rPr>
        <w:t xml:space="preserve"> </w:t>
      </w:r>
      <w:r w:rsidRPr="00956FA3">
        <w:t>día</w:t>
      </w:r>
      <w:r w:rsidRPr="00956FA3">
        <w:rPr>
          <w:spacing w:val="9"/>
        </w:rPr>
        <w:t xml:space="preserve"> </w:t>
      </w:r>
      <w:r w:rsidRPr="00956FA3">
        <w:t>27</w:t>
      </w:r>
      <w:r w:rsidRPr="00956FA3">
        <w:rPr>
          <w:spacing w:val="8"/>
        </w:rPr>
        <w:t xml:space="preserve"> </w:t>
      </w:r>
      <w:r w:rsidRPr="00956FA3">
        <w:t>de</w:t>
      </w:r>
      <w:r w:rsidRPr="00956FA3">
        <w:rPr>
          <w:spacing w:val="8"/>
        </w:rPr>
        <w:t xml:space="preserve"> </w:t>
      </w:r>
      <w:r w:rsidRPr="00956FA3">
        <w:t>junio</w:t>
      </w:r>
      <w:r w:rsidRPr="00956FA3">
        <w:rPr>
          <w:spacing w:val="9"/>
        </w:rPr>
        <w:t xml:space="preserve"> </w:t>
      </w:r>
      <w:r w:rsidRPr="00956FA3">
        <w:t>y</w:t>
      </w:r>
      <w:r w:rsidRPr="00956FA3">
        <w:rPr>
          <w:spacing w:val="5"/>
        </w:rPr>
        <w:t xml:space="preserve"> </w:t>
      </w:r>
      <w:r w:rsidRPr="00956FA3">
        <w:t>hasta</w:t>
      </w:r>
      <w:r w:rsidRPr="00956FA3">
        <w:rPr>
          <w:spacing w:val="9"/>
        </w:rPr>
        <w:t xml:space="preserve"> </w:t>
      </w:r>
      <w:r w:rsidRPr="00956FA3">
        <w:t>el</w:t>
      </w:r>
      <w:r w:rsidRPr="00956FA3" w:rsidR="004C4AE7">
        <w:t xml:space="preserve"> </w:t>
      </w:r>
      <w:r w:rsidRPr="00956FA3">
        <w:t>27 de octubre, celebrar convenios interadministrativos para la ejecución de recursos públicos.</w:t>
      </w:r>
    </w:p>
    <w:bookmarkEnd w:id="1"/>
    <w:p w:rsidRPr="00956FA3" w:rsidR="004B057F" w:rsidRDefault="004B057F" w14:paraId="329A4928" w14:textId="77777777">
      <w:pPr>
        <w:pStyle w:val="Textoindependiente"/>
        <w:spacing w:before="3"/>
        <w:rPr>
          <w:sz w:val="25"/>
        </w:rPr>
      </w:pPr>
    </w:p>
    <w:p w:rsidRPr="00956FA3" w:rsidR="004B057F" w:rsidP="004C4AE7" w:rsidRDefault="00CF2FCA" w14:paraId="63F551E8" w14:textId="77777777">
      <w:pPr>
        <w:pStyle w:val="Textoindependiente"/>
        <w:spacing w:line="276" w:lineRule="auto"/>
        <w:ind w:right="105"/>
        <w:jc w:val="both"/>
      </w:pPr>
      <w:bookmarkStart w:name="_Hlk36132731" w:id="2"/>
      <w:r w:rsidRPr="00956FA3">
        <w:t xml:space="preserve">El parágrafo único del artículo 38 de la Ley 996 de 2005, cuando establece la prohibición de “celebrar convenios interadministrativos para la ejecución de recursos públicos”, </w:t>
      </w:r>
      <w:r w:rsidRPr="00956FA3">
        <w:rPr>
          <w:spacing w:val="-3"/>
        </w:rPr>
        <w:t xml:space="preserve">no </w:t>
      </w:r>
      <w:r w:rsidRPr="00956FA3">
        <w:t xml:space="preserve">califica el origen de los recursos, a diferencia del siguiente evento previsto en la norma que establece “ni participar, promover y destinar </w:t>
      </w:r>
      <w:r w:rsidRPr="00956FA3">
        <w:rPr>
          <w:u w:val="single" w:color="4E4D4D"/>
        </w:rPr>
        <w:t>recursos públicos de las entidades a su</w:t>
      </w:r>
      <w:r w:rsidRPr="00956FA3">
        <w:t xml:space="preserve"> </w:t>
      </w:r>
      <w:r w:rsidRPr="00956FA3">
        <w:rPr>
          <w:u w:val="single" w:color="4E4D4D"/>
        </w:rPr>
        <w:t>cargo</w:t>
      </w:r>
      <w:r w:rsidRPr="00956FA3">
        <w:t xml:space="preserve">”. Obsérvese cómo en el primer evento la restricción aplica para todo tipo de contrato interadministrativo, </w:t>
      </w:r>
      <w:r w:rsidRPr="00956FA3">
        <w:lastRenderedPageBreak/>
        <w:t>esto es, los suscritos entre entidades estatales, sin importar el origen de los recursos. Por lo tanto, cuando se suscriban convenios interadministrativos con alguna de las “Entidades Descentralizadas del orden Municipal, Departamental o Distrital”, aun cuando se trate de recursos que pertenecen a entidades a las cuales no les aplica esta restricción, se incurre en la prohibición contenida en la</w:t>
      </w:r>
      <w:r w:rsidRPr="00956FA3">
        <w:rPr>
          <w:spacing w:val="-11"/>
        </w:rPr>
        <w:t xml:space="preserve"> </w:t>
      </w:r>
      <w:r w:rsidRPr="00956FA3">
        <w:t>norma.</w:t>
      </w:r>
    </w:p>
    <w:bookmarkEnd w:id="2"/>
    <w:p w:rsidRPr="00956FA3" w:rsidR="004C4AE7" w:rsidP="004C4AE7" w:rsidRDefault="004C4AE7" w14:paraId="6A59D5CA" w14:textId="77777777">
      <w:pPr>
        <w:pStyle w:val="Textoindependiente"/>
        <w:ind w:right="106"/>
        <w:jc w:val="both"/>
        <w:rPr>
          <w:sz w:val="25"/>
        </w:rPr>
      </w:pPr>
    </w:p>
    <w:p w:rsidRPr="00956FA3" w:rsidR="004B057F" w:rsidP="004C4AE7" w:rsidRDefault="00CF2FCA" w14:paraId="403CEE95" w14:textId="34EC5A88">
      <w:pPr>
        <w:pStyle w:val="Textoindependiente"/>
        <w:spacing w:line="276" w:lineRule="auto"/>
        <w:ind w:right="106"/>
        <w:jc w:val="both"/>
      </w:pPr>
      <w:r w:rsidRPr="00956FA3">
        <w:t>Por su parte, el segundo evento califica el origen de los recursos y establece que no se podrá participar, promover y destinar recursos públicos de las entidades a cargo de los gobernadores, alcaldes distritales y municipales, secretarios de despacho, gerentes y directores, esto es, las “Entidades Descentralizadas del orden Municipal, Departamental o</w:t>
      </w:r>
      <w:r w:rsidRPr="00956FA3" w:rsidR="004C4AE7">
        <w:t xml:space="preserve"> </w:t>
      </w:r>
      <w:r w:rsidRPr="00956FA3">
        <w:t>Distrital”, para reuniones de carácter proselitista en las que participen los candidatos a cargos de elección popular.</w:t>
      </w:r>
    </w:p>
    <w:p w:rsidRPr="00956FA3" w:rsidR="004B057F" w:rsidRDefault="004B057F" w14:paraId="7C99ADEE" w14:textId="77777777">
      <w:pPr>
        <w:pStyle w:val="Textoindependiente"/>
        <w:spacing w:before="8"/>
      </w:pPr>
    </w:p>
    <w:p w:rsidRPr="00956FA3" w:rsidR="004B057F" w:rsidP="004C4AE7" w:rsidRDefault="00CF2FCA" w14:paraId="2EB28191" w14:textId="77777777">
      <w:pPr>
        <w:pStyle w:val="Textoindependiente"/>
        <w:spacing w:line="276" w:lineRule="auto"/>
        <w:ind w:right="103"/>
        <w:jc w:val="both"/>
      </w:pPr>
      <w:r w:rsidRPr="00956FA3">
        <w:t xml:space="preserve">A continuación </w:t>
      </w:r>
      <w:bookmarkStart w:name="_Hlk36132869" w:id="3"/>
      <w:r w:rsidRPr="00956FA3">
        <w:t xml:space="preserve">se presentan los siguientes ejemplos: a) se incurre en la prohibición cuando se celebran convenios para ejecutar recursos entre: i) entidades descentralizadas del orden municipal, departamental o distrital, </w:t>
      </w:r>
      <w:proofErr w:type="spellStart"/>
      <w:r w:rsidRPr="00956FA3">
        <w:t>ii</w:t>
      </w:r>
      <w:proofErr w:type="spellEnd"/>
      <w:r w:rsidRPr="00956FA3">
        <w:t xml:space="preserve">) entidades descentralizadas del orden municipal, departamental o distrital y entidades del orden nacional, b) no se incurre en la prohibición cuando se celebran convenios entre: i) entidades del orden nacional o sus descentralizadas; </w:t>
      </w:r>
      <w:proofErr w:type="spellStart"/>
      <w:r w:rsidRPr="00956FA3">
        <w:t>ii</w:t>
      </w:r>
      <w:proofErr w:type="spellEnd"/>
      <w:r w:rsidRPr="00956FA3">
        <w:t>) entidades del orden nacional y entidades descentralizadas del orden nacional.</w:t>
      </w:r>
    </w:p>
    <w:p w:rsidRPr="00956FA3" w:rsidR="004B057F" w:rsidRDefault="004B057F" w14:paraId="11216621" w14:textId="77777777">
      <w:pPr>
        <w:pStyle w:val="Textoindependiente"/>
        <w:spacing w:before="4"/>
        <w:rPr>
          <w:sz w:val="25"/>
        </w:rPr>
      </w:pPr>
    </w:p>
    <w:bookmarkEnd w:id="3"/>
    <w:p w:rsidRPr="00956FA3" w:rsidR="004B057F" w:rsidRDefault="00CF2FCA" w14:paraId="4957BA48" w14:textId="77777777">
      <w:pPr>
        <w:pStyle w:val="Prrafodelista"/>
        <w:numPr>
          <w:ilvl w:val="0"/>
          <w:numId w:val="1"/>
        </w:numPr>
        <w:tabs>
          <w:tab w:val="left" w:pos="386"/>
        </w:tabs>
        <w:ind w:hanging="286"/>
      </w:pPr>
      <w:r w:rsidRPr="00956FA3">
        <w:t>Respuesta:</w:t>
      </w:r>
    </w:p>
    <w:p w:rsidRPr="00956FA3" w:rsidR="004B057F" w:rsidRDefault="004B057F" w14:paraId="45924222" w14:textId="77777777">
      <w:pPr>
        <w:pStyle w:val="Textoindependiente"/>
        <w:spacing w:before="5"/>
        <w:rPr>
          <w:sz w:val="28"/>
        </w:rPr>
      </w:pPr>
    </w:p>
    <w:p w:rsidRPr="00956FA3" w:rsidR="004B057F" w:rsidP="004C4AE7" w:rsidRDefault="00CF2FCA" w14:paraId="16FFF45C" w14:textId="77777777">
      <w:pPr>
        <w:pStyle w:val="Textoindependiente"/>
        <w:spacing w:before="1"/>
        <w:ind w:right="109"/>
        <w:jc w:val="both"/>
      </w:pPr>
      <w:r w:rsidRPr="00956FA3">
        <w:t xml:space="preserve">Una entidad descentralizada del orden distrital al celebrar un contrato interadministrativo con una entidad del orden </w:t>
      </w:r>
      <w:proofErr w:type="gramStart"/>
      <w:r w:rsidRPr="00956FA3">
        <w:t>nacional,</w:t>
      </w:r>
      <w:proofErr w:type="gramEnd"/>
      <w:r w:rsidRPr="00956FA3">
        <w:t xml:space="preserve"> incurre en la prohibición del parágrafo único del </w:t>
      </w:r>
      <w:proofErr w:type="spellStart"/>
      <w:r w:rsidRPr="00956FA3">
        <w:t>articulo</w:t>
      </w:r>
      <w:proofErr w:type="spellEnd"/>
      <w:r w:rsidRPr="00956FA3">
        <w:t xml:space="preserve"> 38 de la Ley de Garantías Electorales, dado que sin importar el origen de los recursos a ejecutar la restricción aplica por el solo hecho de la celebración del convenio o contrato</w:t>
      </w:r>
      <w:r w:rsidRPr="00956FA3">
        <w:rPr>
          <w:spacing w:val="-2"/>
        </w:rPr>
        <w:t xml:space="preserve"> </w:t>
      </w:r>
      <w:r w:rsidRPr="00956FA3">
        <w:t>interadministrativo.</w:t>
      </w:r>
    </w:p>
    <w:p w:rsidRPr="00956FA3" w:rsidR="004B057F" w:rsidRDefault="004B057F" w14:paraId="744E3760" w14:textId="77777777">
      <w:pPr>
        <w:pStyle w:val="Textoindependiente"/>
        <w:spacing w:before="10"/>
        <w:rPr>
          <w:sz w:val="21"/>
        </w:rPr>
      </w:pPr>
    </w:p>
    <w:p w:rsidRPr="00956FA3" w:rsidR="004B057F" w:rsidP="004C4AE7" w:rsidRDefault="00CF2FCA" w14:paraId="199446D0" w14:textId="2E23F7F6">
      <w:pPr>
        <w:pStyle w:val="Textoindependiente"/>
        <w:spacing w:before="1"/>
        <w:ind w:right="102"/>
        <w:jc w:val="both"/>
      </w:pPr>
      <w:r w:rsidRPr="00956FA3">
        <w:t>Si quiere obtener más información, lo invitamos a revisar los “LINEAMIENTOS IMPARTIDOS POR LA AGENCIA NACIONAL DE CONTRATACIÓN PÚBLICA - COLOMBIA COMPRA EFICIENTE- SOBRE LA APLICACIÓN DE LA LEY DE GARANTÍAS</w:t>
      </w:r>
      <w:r w:rsidRPr="00956FA3" w:rsidR="004C4AE7">
        <w:t xml:space="preserve"> </w:t>
      </w:r>
      <w:r w:rsidRPr="00956FA3">
        <w:t xml:space="preserve">ELECTORALES PARA EL AÑO 2019”, a los cuales podrá acceder en el siguiente enlace: </w:t>
      </w:r>
      <w:hyperlink r:id="rId11">
        <w:r w:rsidRPr="00956FA3">
          <w:t>https://www.colombiacompra.gov.co/sala-de-prensa/comunicados/lineamientos-impartidos-</w:t>
        </w:r>
      </w:hyperlink>
      <w:r w:rsidRPr="00956FA3">
        <w:t xml:space="preserve"> </w:t>
      </w:r>
      <w:hyperlink r:id="rId12">
        <w:r w:rsidRPr="00956FA3">
          <w:t>por-la-agencia-nacional-de-</w:t>
        </w:r>
        <w:proofErr w:type="spellStart"/>
        <w:r w:rsidRPr="00956FA3">
          <w:t>contratacion</w:t>
        </w:r>
        <w:proofErr w:type="spellEnd"/>
        <w:r w:rsidRPr="00956FA3">
          <w:t>-publica</w:t>
        </w:r>
      </w:hyperlink>
    </w:p>
    <w:p w:rsidRPr="00956FA3" w:rsidR="004B057F" w:rsidRDefault="004B057F" w14:paraId="686D4CBD" w14:textId="77777777">
      <w:pPr>
        <w:pStyle w:val="Textoindependiente"/>
        <w:spacing w:before="10"/>
        <w:rPr>
          <w:sz w:val="19"/>
        </w:rPr>
      </w:pPr>
      <w:bookmarkStart w:name="_GoBack" w:id="4"/>
      <w:bookmarkEnd w:id="4"/>
    </w:p>
    <w:p w:rsidRPr="00956FA3" w:rsidR="004B057F" w:rsidP="004C4AE7" w:rsidRDefault="00CF2FCA" w14:paraId="4425CAD2" w14:textId="77777777">
      <w:pPr>
        <w:pStyle w:val="Textoindependiente"/>
        <w:spacing w:line="276" w:lineRule="auto"/>
        <w:ind w:right="112"/>
        <w:jc w:val="both"/>
      </w:pPr>
      <w:r w:rsidRPr="00956FA3">
        <w:t>Este concepto tiene el alcance previsto en el artículo 28 del Código de Procedimiento Administrativo y de lo Contencioso Administrativo.</w:t>
      </w:r>
    </w:p>
    <w:p w:rsidRPr="00956FA3" w:rsidR="004B057F" w:rsidRDefault="00B25950" w14:paraId="78E2C429" w14:textId="1832C31F">
      <w:pPr>
        <w:pStyle w:val="Textoindependiente"/>
        <w:spacing w:before="10"/>
      </w:pPr>
      <w:r w:rsidRPr="00956FA3">
        <w:rPr>
          <w:noProof/>
        </w:rPr>
        <mc:AlternateContent>
          <mc:Choice Requires="wps">
            <w:drawing>
              <wp:anchor distT="0" distB="0" distL="0" distR="0" simplePos="0" relativeHeight="487589376" behindDoc="1" locked="0" layoutInCell="1" allowOverlap="1" wp14:anchorId="52B9B0A8" wp14:editId="499FF2CF">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Freeform 2" style="position:absolute;margin-left:119.25pt;margin-top:15.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" w14:anchorId="30EAFB08">
                <v:path arrowok="t" o:connecttype="custom" o:connectlocs="0,0;4686300,0" o:connectangles="0,0"/>
                <w10:wrap type="topAndBottom" anchorx="page"/>
              </v:shape>
            </w:pict>
          </mc:Fallback>
        </mc:AlternateContent>
      </w:r>
    </w:p>
    <w:p w:rsidRPr="00956FA3" w:rsidR="004B057F" w:rsidRDefault="004B057F" w14:paraId="2E8C4BFC" w14:textId="77777777">
      <w:pPr>
        <w:pStyle w:val="Textoindependiente"/>
        <w:spacing w:before="6"/>
        <w:rPr>
          <w:sz w:val="20"/>
        </w:rPr>
      </w:pPr>
    </w:p>
    <w:p w:rsidR="004B057F" w:rsidRDefault="00CF2FCA" w14:paraId="574BDC63" w14:textId="3FA9B538">
      <w:pPr>
        <w:pStyle w:val="Textoindependiente"/>
        <w:spacing w:before="1"/>
        <w:ind w:left="100"/>
      </w:pPr>
      <w:r w:rsidRPr="00956FA3">
        <w:t>Atentamente,</w:t>
      </w:r>
    </w:p>
    <w:p w:rsidR="00257CD7" w:rsidRDefault="00257CD7" w14:paraId="6C99FB0F" w14:textId="16E6943D">
      <w:pPr>
        <w:pStyle w:val="Textoindependiente"/>
        <w:spacing w:before="1"/>
        <w:ind w:left="100"/>
      </w:pPr>
    </w:p>
    <w:p w:rsidRPr="00956FA3" w:rsidR="00257CD7" w:rsidP="00257CD7" w:rsidRDefault="00257CD7" w14:paraId="26D1B1AB" w14:textId="5599A7DD">
      <w:pPr>
        <w:pStyle w:val="Textoindependiente"/>
        <w:spacing w:before="1"/>
        <w:ind w:left="100"/>
        <w:jc w:val="center"/>
      </w:pPr>
      <w:r w:rsidR="00257CD7">
        <w:drawing>
          <wp:inline wp14:editId="1305EC82" wp14:anchorId="02C9B2B7">
            <wp:extent cx="2773045" cy="988695"/>
            <wp:effectExtent l="0" t="0" r="0" b="0"/>
            <wp:docPr id="3773437" name="Imagen 20" title=""/>
            <wp:cNvGraphicFramePr>
              <a:graphicFrameLocks/>
            </wp:cNvGraphicFramePr>
            <a:graphic>
              <a:graphicData uri="http://schemas.openxmlformats.org/drawingml/2006/picture">
                <pic:pic>
                  <pic:nvPicPr>
                    <pic:cNvPr id="0" name="Imagen 20"/>
                    <pic:cNvPicPr/>
                  </pic:nvPicPr>
                  <pic:blipFill>
                    <a:blip r:embed="Rb3f58caacc5c44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00257CD7" w:rsidRDefault="00257CD7" w14:paraId="171AD29B" w14:textId="77777777">
      <w:pPr>
        <w:pStyle w:val="Textoindependiente"/>
        <w:spacing w:before="80"/>
        <w:ind w:left="100"/>
      </w:pPr>
    </w:p>
    <w:p w:rsidRPr="00956FA3" w:rsidR="004B057F" w:rsidRDefault="00CF2FCA" w14:paraId="145293A4" w14:textId="61B5D0DF">
      <w:pPr>
        <w:pStyle w:val="Textoindependiente"/>
        <w:spacing w:before="80"/>
        <w:ind w:left="100"/>
      </w:pPr>
      <w:r w:rsidRPr="00956FA3">
        <w:t>Proyectó: Fredy Alexander Rodríguez Ardila</w:t>
      </w:r>
    </w:p>
    <w:sectPr w:rsidRPr="00956FA3" w:rsidR="004B057F">
      <w:headerReference w:type="default" r:id="rId14"/>
      <w:footerReference w:type="default" r:id="rId15"/>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CC9" w:rsidRDefault="00FB0CC9" w14:paraId="1B510D3F" w14:textId="77777777">
      <w:r>
        <w:separator/>
      </w:r>
    </w:p>
  </w:endnote>
  <w:endnote w:type="continuationSeparator" w:id="0">
    <w:p w:rsidR="00FB0CC9" w:rsidRDefault="00FB0CC9" w14:paraId="394998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4B057F" w:rsidRDefault="00CF2FCA" w14:paraId="59362D73" w14:textId="77777777">
    <w:pPr>
      <w:pStyle w:val="Textoindependiente"/>
      <w:spacing w:line="14" w:lineRule="auto"/>
      <w:rPr>
        <w:sz w:val="20"/>
      </w:rPr>
    </w:pPr>
    <w:r>
      <w:rPr>
        <w:noProof/>
      </w:rPr>
      <w:drawing>
        <wp:anchor distT="0" distB="0" distL="0" distR="0" simplePos="0" relativeHeight="251659264" behindDoc="1" locked="0" layoutInCell="1" allowOverlap="1" wp14:anchorId="4A4D9D1F" wp14:editId="75424F12">
          <wp:simplePos x="0" y="0"/>
          <wp:positionH relativeFrom="page">
            <wp:posOffset>1128659</wp:posOffset>
          </wp:positionH>
          <wp:positionV relativeFrom="page">
            <wp:posOffset>8782889</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305EC82">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CC9" w:rsidRDefault="00FB0CC9" w14:paraId="1BEF8CFC" w14:textId="77777777">
      <w:r>
        <w:separator/>
      </w:r>
    </w:p>
  </w:footnote>
  <w:footnote w:type="continuationSeparator" w:id="0">
    <w:p w:rsidR="00FB0CC9" w:rsidRDefault="00FB0CC9" w14:paraId="3C0FCA37" w14:textId="77777777">
      <w:r>
        <w:continuationSeparator/>
      </w:r>
    </w:p>
  </w:footnote>
  <w:footnote w:id="1">
    <w:p w:rsidRPr="006129C0" w:rsidR="004C4AE7" w:rsidP="004C4AE7" w:rsidRDefault="004C4AE7" w14:paraId="3EE4ED5E" w14:textId="77777777">
      <w:pPr>
        <w:spacing w:before="77"/>
        <w:ind w:left="100" w:right="108" w:firstLine="620"/>
        <w:jc w:val="both"/>
        <w:rPr>
          <w:sz w:val="18"/>
        </w:rPr>
      </w:pPr>
      <w:r w:rsidRPr="006129C0">
        <w:rPr>
          <w:rStyle w:val="Refdenotaalpie"/>
        </w:rPr>
        <w:footnoteRef/>
      </w:r>
      <w:r w:rsidRPr="006129C0">
        <w:t xml:space="preserve"> </w:t>
      </w:r>
      <w:r w:rsidRPr="006129C0">
        <w:rPr>
          <w:sz w:val="18"/>
        </w:rPr>
        <w:t>La Agencia Nacional de Contratación Pública – Colombia Compra Eficiente en respuesta a la consulta No 4201913000004536, con fundamento en la Ley 80 de 1993 y acode con jurisprudencia de la Sección Tercera del Consejo de Estado, entre ellas, la sentencia del 23 de junio de 2010, con radicación No 66001-23-31-000-1998-00261-01(17.860), con ponencia del Consejero Mauricio Fajardo Gómez, señaló que el convenio y contrato interadministrativo no son figuras diferentes, pues, “las entidades del Estado, en el marco de</w:t>
      </w:r>
      <w:r w:rsidRPr="006129C0">
        <w:rPr>
          <w:spacing w:val="18"/>
          <w:sz w:val="18"/>
        </w:rPr>
        <w:t xml:space="preserve"> </w:t>
      </w:r>
      <w:r w:rsidRPr="006129C0">
        <w:rPr>
          <w:sz w:val="18"/>
        </w:rPr>
        <w:t>la</w:t>
      </w:r>
      <w:r w:rsidRPr="006129C0">
        <w:rPr>
          <w:spacing w:val="19"/>
          <w:sz w:val="18"/>
        </w:rPr>
        <w:t xml:space="preserve"> </w:t>
      </w:r>
      <w:r w:rsidRPr="006129C0">
        <w:rPr>
          <w:sz w:val="18"/>
        </w:rPr>
        <w:t>Ley</w:t>
      </w:r>
      <w:r w:rsidRPr="006129C0">
        <w:rPr>
          <w:spacing w:val="15"/>
          <w:sz w:val="18"/>
        </w:rPr>
        <w:t xml:space="preserve"> </w:t>
      </w:r>
      <w:r w:rsidRPr="006129C0">
        <w:rPr>
          <w:sz w:val="18"/>
        </w:rPr>
        <w:t>80</w:t>
      </w:r>
      <w:r w:rsidRPr="006129C0">
        <w:rPr>
          <w:spacing w:val="19"/>
          <w:sz w:val="18"/>
        </w:rPr>
        <w:t xml:space="preserve"> </w:t>
      </w:r>
      <w:r w:rsidRPr="006129C0">
        <w:rPr>
          <w:sz w:val="18"/>
        </w:rPr>
        <w:t>de</w:t>
      </w:r>
      <w:r w:rsidRPr="006129C0">
        <w:rPr>
          <w:spacing w:val="20"/>
          <w:sz w:val="18"/>
        </w:rPr>
        <w:t xml:space="preserve"> </w:t>
      </w:r>
      <w:r w:rsidRPr="006129C0">
        <w:rPr>
          <w:sz w:val="18"/>
        </w:rPr>
        <w:t>1993,</w:t>
      </w:r>
      <w:r w:rsidRPr="006129C0">
        <w:rPr>
          <w:spacing w:val="18"/>
          <w:sz w:val="18"/>
        </w:rPr>
        <w:t xml:space="preserve"> </w:t>
      </w:r>
      <w:r w:rsidRPr="006129C0">
        <w:rPr>
          <w:sz w:val="18"/>
        </w:rPr>
        <w:t>pueden</w:t>
      </w:r>
      <w:r w:rsidRPr="006129C0">
        <w:rPr>
          <w:spacing w:val="20"/>
          <w:sz w:val="18"/>
        </w:rPr>
        <w:t xml:space="preserve"> </w:t>
      </w:r>
      <w:r w:rsidRPr="006129C0">
        <w:rPr>
          <w:sz w:val="18"/>
        </w:rPr>
        <w:t>acordar</w:t>
      </w:r>
      <w:r w:rsidRPr="006129C0">
        <w:rPr>
          <w:spacing w:val="19"/>
          <w:sz w:val="18"/>
        </w:rPr>
        <w:t xml:space="preserve"> </w:t>
      </w:r>
      <w:r w:rsidRPr="006129C0">
        <w:rPr>
          <w:sz w:val="18"/>
        </w:rPr>
        <w:t>entre</w:t>
      </w:r>
      <w:r w:rsidRPr="006129C0">
        <w:rPr>
          <w:spacing w:val="19"/>
          <w:sz w:val="18"/>
        </w:rPr>
        <w:t xml:space="preserve"> </w:t>
      </w:r>
      <w:r w:rsidRPr="006129C0">
        <w:rPr>
          <w:sz w:val="18"/>
        </w:rPr>
        <w:t>sí</w:t>
      </w:r>
      <w:r w:rsidRPr="006129C0">
        <w:rPr>
          <w:spacing w:val="18"/>
          <w:sz w:val="18"/>
        </w:rPr>
        <w:t xml:space="preserve"> </w:t>
      </w:r>
      <w:r w:rsidRPr="006129C0">
        <w:rPr>
          <w:sz w:val="18"/>
        </w:rPr>
        <w:t>obligaciones,</w:t>
      </w:r>
      <w:r w:rsidRPr="006129C0">
        <w:rPr>
          <w:spacing w:val="21"/>
          <w:sz w:val="18"/>
        </w:rPr>
        <w:t xml:space="preserve"> </w:t>
      </w:r>
      <w:r w:rsidRPr="006129C0">
        <w:rPr>
          <w:sz w:val="18"/>
        </w:rPr>
        <w:t>siempre</w:t>
      </w:r>
      <w:r w:rsidRPr="006129C0">
        <w:rPr>
          <w:spacing w:val="18"/>
          <w:sz w:val="18"/>
        </w:rPr>
        <w:t xml:space="preserve"> </w:t>
      </w:r>
      <w:r w:rsidRPr="006129C0">
        <w:rPr>
          <w:sz w:val="18"/>
        </w:rPr>
        <w:t>que</w:t>
      </w:r>
      <w:r w:rsidRPr="006129C0">
        <w:rPr>
          <w:spacing w:val="18"/>
          <w:sz w:val="18"/>
        </w:rPr>
        <w:t xml:space="preserve"> </w:t>
      </w:r>
      <w:r w:rsidRPr="006129C0">
        <w:rPr>
          <w:sz w:val="18"/>
        </w:rPr>
        <w:t>su</w:t>
      </w:r>
      <w:r w:rsidRPr="006129C0">
        <w:rPr>
          <w:spacing w:val="18"/>
          <w:sz w:val="18"/>
        </w:rPr>
        <w:t xml:space="preserve"> </w:t>
      </w:r>
      <w:r w:rsidRPr="006129C0">
        <w:rPr>
          <w:sz w:val="18"/>
        </w:rPr>
        <w:t>objeto</w:t>
      </w:r>
      <w:r w:rsidRPr="006129C0">
        <w:rPr>
          <w:spacing w:val="21"/>
          <w:sz w:val="18"/>
        </w:rPr>
        <w:t xml:space="preserve"> </w:t>
      </w:r>
      <w:r w:rsidRPr="006129C0">
        <w:rPr>
          <w:sz w:val="18"/>
        </w:rPr>
        <w:t>de</w:t>
      </w:r>
      <w:r w:rsidRPr="006129C0">
        <w:rPr>
          <w:spacing w:val="18"/>
          <w:sz w:val="18"/>
        </w:rPr>
        <w:t xml:space="preserve"> </w:t>
      </w:r>
      <w:r w:rsidRPr="006129C0">
        <w:rPr>
          <w:sz w:val="18"/>
        </w:rPr>
        <w:t>creación</w:t>
      </w:r>
      <w:r w:rsidRPr="006129C0">
        <w:rPr>
          <w:spacing w:val="19"/>
          <w:sz w:val="18"/>
        </w:rPr>
        <w:t xml:space="preserve"> </w:t>
      </w:r>
      <w:r w:rsidRPr="006129C0">
        <w:rPr>
          <w:sz w:val="18"/>
        </w:rPr>
        <w:t>les</w:t>
      </w:r>
      <w:r w:rsidRPr="006129C0">
        <w:rPr>
          <w:spacing w:val="19"/>
          <w:sz w:val="18"/>
        </w:rPr>
        <w:t xml:space="preserve"> </w:t>
      </w:r>
      <w:r w:rsidRPr="006129C0">
        <w:rPr>
          <w:sz w:val="18"/>
        </w:rPr>
        <w:t xml:space="preserve">permita cumplirlas, con el objetivo común de materializar los fines del Estado. Por este motivo, </w:t>
      </w:r>
      <w:r w:rsidRPr="006129C0">
        <w:rPr>
          <w:i/>
          <w:sz w:val="18"/>
        </w:rPr>
        <w:t>cuando la Ley 80 de 1993 se refiere a contratos interadministrativos de la misma forma lo hace frente a los convenios, entre otras razones, porque este cuerpo normativo como lo anotamos precedentemente, faculta a las entidades a celebrar los demás acuerdos que permitan la autonomía de la voluntad y requieran el cumplimiento de los fines estatales</w:t>
      </w:r>
      <w:r w:rsidRPr="006129C0">
        <w:rPr>
          <w:sz w:val="18"/>
        </w:rPr>
        <w:t>”.</w:t>
      </w:r>
    </w:p>
    <w:p w:rsidRPr="006129C0" w:rsidR="004C4AE7" w:rsidRDefault="004C4AE7" w14:paraId="27AA9FE0" w14:textId="6F72F8CD">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4B057F" w:rsidRDefault="00CF2FCA" w14:paraId="156146D1" w14:textId="77777777">
    <w:pPr>
      <w:pStyle w:val="Textoindependiente"/>
      <w:spacing w:line="14" w:lineRule="auto"/>
      <w:rPr>
        <w:sz w:val="20"/>
      </w:rPr>
    </w:pPr>
    <w:r>
      <w:rPr>
        <w:noProof/>
      </w:rPr>
      <w:drawing>
        <wp:anchor distT="0" distB="0" distL="0" distR="0" simplePos="0" relativeHeight="251657216" behindDoc="1" locked="0" layoutInCell="1" allowOverlap="1" wp14:anchorId="31B444CD" wp14:editId="4B9E311C">
          <wp:simplePos x="0" y="0"/>
          <wp:positionH relativeFrom="page">
            <wp:posOffset>5381792</wp:posOffset>
          </wp:positionH>
          <wp:positionV relativeFrom="page">
            <wp:posOffset>260961</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305EC82">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182"/>
    <w:multiLevelType w:val="hybridMultilevel"/>
    <w:tmpl w:val="3440F3D4"/>
    <w:lvl w:ilvl="0" w:tplc="C5388528">
      <w:numFmt w:val="bullet"/>
      <w:lvlText w:val=""/>
      <w:lvlJc w:val="left"/>
      <w:pPr>
        <w:ind w:left="285" w:hanging="285"/>
      </w:pPr>
      <w:rPr>
        <w:rFonts w:hint="default" w:ascii="Wingdings" w:hAnsi="Wingdings" w:eastAsia="Wingdings" w:cs="Wingdings"/>
        <w:color w:val="auto"/>
        <w:w w:val="100"/>
        <w:sz w:val="28"/>
        <w:szCs w:val="28"/>
        <w:lang w:val="es-ES" w:eastAsia="en-US" w:bidi="ar-SA"/>
      </w:rPr>
    </w:lvl>
    <w:lvl w:ilvl="1" w:tplc="12209880">
      <w:numFmt w:val="bullet"/>
      <w:lvlText w:val="•"/>
      <w:lvlJc w:val="left"/>
      <w:pPr>
        <w:ind w:left="1156" w:hanging="285"/>
      </w:pPr>
      <w:rPr>
        <w:rFonts w:hint="default"/>
        <w:lang w:val="es-ES" w:eastAsia="en-US" w:bidi="ar-SA"/>
      </w:rPr>
    </w:lvl>
    <w:lvl w:ilvl="2" w:tplc="031EE358">
      <w:numFmt w:val="bullet"/>
      <w:lvlText w:val="•"/>
      <w:lvlJc w:val="left"/>
      <w:pPr>
        <w:ind w:left="2032" w:hanging="285"/>
      </w:pPr>
      <w:rPr>
        <w:rFonts w:hint="default"/>
        <w:lang w:val="es-ES" w:eastAsia="en-US" w:bidi="ar-SA"/>
      </w:rPr>
    </w:lvl>
    <w:lvl w:ilvl="3" w:tplc="394A4FCC">
      <w:numFmt w:val="bullet"/>
      <w:lvlText w:val="•"/>
      <w:lvlJc w:val="left"/>
      <w:pPr>
        <w:ind w:left="2908" w:hanging="285"/>
      </w:pPr>
      <w:rPr>
        <w:rFonts w:hint="default"/>
        <w:lang w:val="es-ES" w:eastAsia="en-US" w:bidi="ar-SA"/>
      </w:rPr>
    </w:lvl>
    <w:lvl w:ilvl="4" w:tplc="ABD45BC4">
      <w:numFmt w:val="bullet"/>
      <w:lvlText w:val="•"/>
      <w:lvlJc w:val="left"/>
      <w:pPr>
        <w:ind w:left="3784" w:hanging="285"/>
      </w:pPr>
      <w:rPr>
        <w:rFonts w:hint="default"/>
        <w:lang w:val="es-ES" w:eastAsia="en-US" w:bidi="ar-SA"/>
      </w:rPr>
    </w:lvl>
    <w:lvl w:ilvl="5" w:tplc="FBEC1778">
      <w:numFmt w:val="bullet"/>
      <w:lvlText w:val="•"/>
      <w:lvlJc w:val="left"/>
      <w:pPr>
        <w:ind w:left="4660" w:hanging="285"/>
      </w:pPr>
      <w:rPr>
        <w:rFonts w:hint="default"/>
        <w:lang w:val="es-ES" w:eastAsia="en-US" w:bidi="ar-SA"/>
      </w:rPr>
    </w:lvl>
    <w:lvl w:ilvl="6" w:tplc="A3708D90">
      <w:numFmt w:val="bullet"/>
      <w:lvlText w:val="•"/>
      <w:lvlJc w:val="left"/>
      <w:pPr>
        <w:ind w:left="5536" w:hanging="285"/>
      </w:pPr>
      <w:rPr>
        <w:rFonts w:hint="default"/>
        <w:lang w:val="es-ES" w:eastAsia="en-US" w:bidi="ar-SA"/>
      </w:rPr>
    </w:lvl>
    <w:lvl w:ilvl="7" w:tplc="77B4CF54">
      <w:numFmt w:val="bullet"/>
      <w:lvlText w:val="•"/>
      <w:lvlJc w:val="left"/>
      <w:pPr>
        <w:ind w:left="6412" w:hanging="285"/>
      </w:pPr>
      <w:rPr>
        <w:rFonts w:hint="default"/>
        <w:lang w:val="es-ES" w:eastAsia="en-US" w:bidi="ar-SA"/>
      </w:rPr>
    </w:lvl>
    <w:lvl w:ilvl="8" w:tplc="44FAC146">
      <w:numFmt w:val="bullet"/>
      <w:lvlText w:val="•"/>
      <w:lvlJc w:val="left"/>
      <w:pPr>
        <w:ind w:left="7288" w:hanging="2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7F"/>
    <w:rsid w:val="000843D8"/>
    <w:rsid w:val="000D0033"/>
    <w:rsid w:val="00257CD7"/>
    <w:rsid w:val="002E313A"/>
    <w:rsid w:val="002E5546"/>
    <w:rsid w:val="003126F4"/>
    <w:rsid w:val="003429E5"/>
    <w:rsid w:val="00371A3A"/>
    <w:rsid w:val="003830F7"/>
    <w:rsid w:val="003993FD"/>
    <w:rsid w:val="004675D1"/>
    <w:rsid w:val="004B057F"/>
    <w:rsid w:val="004C4AE7"/>
    <w:rsid w:val="004C5962"/>
    <w:rsid w:val="00551EF8"/>
    <w:rsid w:val="005E50AB"/>
    <w:rsid w:val="006129C0"/>
    <w:rsid w:val="00956FA3"/>
    <w:rsid w:val="00A35642"/>
    <w:rsid w:val="00AF6A4C"/>
    <w:rsid w:val="00B25950"/>
    <w:rsid w:val="00CF2FCA"/>
    <w:rsid w:val="00D27B50"/>
    <w:rsid w:val="00D5505F"/>
    <w:rsid w:val="00D95143"/>
    <w:rsid w:val="00FB0CC9"/>
    <w:rsid w:val="1305EC82"/>
    <w:rsid w:val="42EA6974"/>
    <w:rsid w:val="5D4B03CF"/>
    <w:rsid w:val="64EE5951"/>
    <w:rsid w:val="79CC1A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C9CB"/>
  <w15:docId w15:val="{E69EA401-8AF2-44F8-8CE2-99DE20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rFonts w:ascii="Arial" w:hAnsi="Arial" w:eastAsia="Arial" w:cs="Arial"/>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85" w:hanging="286"/>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4C4AE7"/>
    <w:rPr>
      <w:sz w:val="20"/>
      <w:szCs w:val="20"/>
    </w:rPr>
  </w:style>
  <w:style w:type="character" w:styleId="TextonotapieCar" w:customStyle="1">
    <w:name w:val="Texto nota pie Car"/>
    <w:basedOn w:val="Fuentedeprrafopredeter"/>
    <w:link w:val="Textonotapie"/>
    <w:uiPriority w:val="99"/>
    <w:semiHidden/>
    <w:rsid w:val="004C4AE7"/>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4C4AE7"/>
    <w:rPr>
      <w:vertAlign w:val="superscript"/>
    </w:rPr>
  </w:style>
  <w:style w:type="paragraph" w:styleId="Encabezado">
    <w:name w:val="header"/>
    <w:basedOn w:val="Normal"/>
    <w:link w:val="EncabezadoCar"/>
    <w:uiPriority w:val="99"/>
    <w:unhideWhenUsed/>
    <w:rsid w:val="004C4AE7"/>
    <w:pPr>
      <w:tabs>
        <w:tab w:val="center" w:pos="4419"/>
        <w:tab w:val="right" w:pos="8838"/>
      </w:tabs>
    </w:pPr>
  </w:style>
  <w:style w:type="character" w:styleId="EncabezadoCar" w:customStyle="1">
    <w:name w:val="Encabezado Car"/>
    <w:basedOn w:val="Fuentedeprrafopredeter"/>
    <w:link w:val="Encabezado"/>
    <w:uiPriority w:val="99"/>
    <w:rsid w:val="004C4AE7"/>
    <w:rPr>
      <w:rFonts w:ascii="Arial" w:hAnsi="Arial" w:eastAsia="Arial" w:cs="Arial"/>
      <w:lang w:val="es-ES"/>
    </w:rPr>
  </w:style>
  <w:style w:type="paragraph" w:styleId="Piedepgina">
    <w:name w:val="footer"/>
    <w:basedOn w:val="Normal"/>
    <w:link w:val="PiedepginaCar"/>
    <w:uiPriority w:val="99"/>
    <w:unhideWhenUsed/>
    <w:rsid w:val="004C4AE7"/>
    <w:pPr>
      <w:tabs>
        <w:tab w:val="center" w:pos="4419"/>
        <w:tab w:val="right" w:pos="8838"/>
      </w:tabs>
    </w:pPr>
  </w:style>
  <w:style w:type="character" w:styleId="PiedepginaCar" w:customStyle="1">
    <w:name w:val="Pie de página Car"/>
    <w:basedOn w:val="Fuentedeprrafopredeter"/>
    <w:link w:val="Piedepgina"/>
    <w:uiPriority w:val="99"/>
    <w:rsid w:val="004C4AE7"/>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B25950"/>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olombiacompra.gov.co/sala-de-prensa/comunicados/lineamientos-impartidos-por-la-agencia-nacional-de-contratacion-public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lombiacompra.gov.co/sala-de-prensa/comunicados/lineamientos-impartidos-por-la-agencia-nacional-de-contratacion-publica"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4.png" Id="Rb3f58caacc5c4451"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8293-9219-469D-B81D-32ABDE44906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8DF2CDE-25D3-4BB9-A8A8-AC9CD3532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48819-AC9B-4FF9-9600-E95AB35B4902}">
  <ds:schemaRefs>
    <ds:schemaRef ds:uri="http://schemas.microsoft.com/sharepoint/v3/contenttype/forms"/>
  </ds:schemaRefs>
</ds:datastoreItem>
</file>

<file path=customXml/itemProps4.xml><?xml version="1.0" encoding="utf-8"?>
<ds:datastoreItem xmlns:ds="http://schemas.openxmlformats.org/officeDocument/2006/customXml" ds:itemID="{263B7583-F09A-4AA7-96AA-4F6CC41913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23</revision>
  <dcterms:created xsi:type="dcterms:W3CDTF">2020-03-26T21:37:00.0000000Z</dcterms:created>
  <dcterms:modified xsi:type="dcterms:W3CDTF">2020-07-07T19:28:55.2407265Z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vt:lpwstr>
  </property>
  <property fmtid="{D5CDD505-2E9C-101B-9397-08002B2CF9AE}" pid="4" name="LastSaved">
    <vt:filetime>2020-03-26T00:00:00Z</vt:filetime>
  </property>
  <property fmtid="{D5CDD505-2E9C-101B-9397-08002B2CF9AE}" pid="5" name="ContentTypeId">
    <vt:lpwstr>0x010100F2E0F32964D9B84EA054B84E5D4157A0</vt:lpwstr>
  </property>
</Properties>
</file>