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E45A58" w:rsidR="00C832FE" w:rsidP="00BC581E" w:rsidRDefault="00C832FE" w14:paraId="3A92DBCB" w14:textId="77777777">
      <w:pPr>
        <w:pStyle w:val="Textoindependiente"/>
        <w:ind w:left="102" w:right="108"/>
        <w:jc w:val="both"/>
        <w:rPr>
          <w:b/>
        </w:rPr>
      </w:pPr>
      <w:r w:rsidRPr="00E45A58">
        <w:rPr>
          <w:b/>
        </w:rPr>
        <w:t>DOCUMENTOS TIPO – Decreto 342 de 2019</w:t>
      </w:r>
    </w:p>
    <w:p w:rsidRPr="00E45A58" w:rsidR="00C832FE" w:rsidP="00BC581E" w:rsidRDefault="00C832FE" w14:paraId="3A92DBCC" w14:textId="77777777">
      <w:pPr>
        <w:ind w:left="102" w:right="108"/>
        <w:jc w:val="both"/>
        <w:rPr>
          <w:b/>
        </w:rPr>
      </w:pPr>
    </w:p>
    <w:p w:rsidRPr="00E45A58" w:rsidR="00C832FE" w:rsidP="00BC581E" w:rsidRDefault="00C832FE" w14:paraId="3A92DBCD" w14:textId="77777777">
      <w:pPr>
        <w:pStyle w:val="Textoindependiente"/>
        <w:ind w:left="102" w:right="108"/>
        <w:jc w:val="both"/>
        <w:rPr>
          <w:sz w:val="20"/>
          <w:szCs w:val="20"/>
        </w:rPr>
      </w:pPr>
      <w:r w:rsidRPr="00E45A58">
        <w:rPr>
          <w:sz w:val="20"/>
          <w:szCs w:val="20"/>
        </w:rPr>
        <w:t>Los Documentos Tipo adoptados a través del Decreto 342 de 2019 aplican para los procesos de licitación de obra pública de infraestructura de transporte de acuerdo con la definición contenida en la Ley 1682 de 2013 y acorde con las actividades a contratar definidas en la “Matriz 1 – Experiencia”.</w:t>
      </w:r>
    </w:p>
    <w:p w:rsidRPr="00E45A58" w:rsidR="00C832FE" w:rsidP="00BC581E" w:rsidRDefault="00C832FE" w14:paraId="3A92DBCF" w14:textId="77777777">
      <w:pPr>
        <w:ind w:left="102" w:right="108"/>
        <w:jc w:val="both"/>
        <w:rPr>
          <w:sz w:val="21"/>
          <w:szCs w:val="21"/>
        </w:rPr>
      </w:pPr>
    </w:p>
    <w:p w:rsidRPr="00E45A58" w:rsidR="00C832FE" w:rsidP="4006609C" w:rsidRDefault="00C832FE" w14:paraId="3A92DBD0" w14:textId="27011244">
      <w:pPr>
        <w:pStyle w:val="Textoindependiente"/>
        <w:ind w:left="102" w:right="108"/>
        <w:jc w:val="both"/>
        <w:rPr>
          <w:b w:val="1"/>
          <w:bCs w:val="1"/>
        </w:rPr>
      </w:pPr>
      <w:r w:rsidRPr="4006609C" w:rsidR="00C832FE">
        <w:rPr>
          <w:b w:val="1"/>
          <w:bCs w:val="1"/>
        </w:rPr>
        <w:t>OBRAS DE ESPACIO P</w:t>
      </w:r>
      <w:r w:rsidRPr="4006609C" w:rsidR="6B1457E8">
        <w:rPr>
          <w:b w:val="1"/>
          <w:bCs w:val="1"/>
        </w:rPr>
        <w:t>Ú</w:t>
      </w:r>
      <w:r w:rsidRPr="4006609C" w:rsidR="00C832FE">
        <w:rPr>
          <w:b w:val="1"/>
          <w:bCs w:val="1"/>
        </w:rPr>
        <w:t xml:space="preserve">BLICO – Documentos tipo – Adecuación de senderos peatonales </w:t>
      </w:r>
      <w:r w:rsidRPr="4006609C" w:rsidR="571CE701">
        <w:rPr>
          <w:b w:val="1"/>
          <w:bCs w:val="1"/>
        </w:rPr>
        <w:t xml:space="preserve">–  Adecuación de </w:t>
      </w:r>
      <w:r w:rsidRPr="4006609C" w:rsidR="00C832FE">
        <w:rPr>
          <w:b w:val="1"/>
          <w:bCs w:val="1"/>
        </w:rPr>
        <w:t>rampas de acceso al parque</w:t>
      </w:r>
    </w:p>
    <w:p w:rsidRPr="00E45A58" w:rsidR="00C832FE" w:rsidP="00BC581E" w:rsidRDefault="00C832FE" w14:paraId="3A92DBD1" w14:textId="77777777">
      <w:pPr>
        <w:ind w:left="102" w:right="108"/>
        <w:jc w:val="both"/>
        <w:rPr>
          <w:b/>
        </w:rPr>
      </w:pPr>
    </w:p>
    <w:p w:rsidRPr="00E45A58" w:rsidR="0093624E" w:rsidP="00BC581E" w:rsidRDefault="00C832FE" w14:paraId="3A92DBD3" w14:textId="40C70945">
      <w:pPr>
        <w:pStyle w:val="Textoindependiente"/>
        <w:spacing w:after="120"/>
        <w:ind w:left="102" w:right="108"/>
        <w:jc w:val="both"/>
        <w:rPr>
          <w:sz w:val="20"/>
          <w:szCs w:val="20"/>
        </w:rPr>
      </w:pPr>
      <w:r w:rsidRPr="00E45A58">
        <w:rPr>
          <w:sz w:val="20"/>
          <w:szCs w:val="20"/>
        </w:rPr>
        <w:t>Las obras de espacio público que deben adelantarse a través de los Documentos Tipo son aquellas que pertenecen o están asociadas a un proyecto de infraestructura de transporte, por lo tanto, cuando se trate de una construcción de espacio público no asociado a este tipo de infraestructura, esto es, que no está relacionada por ejemplo con la construcción de una vía, no le son aplicables los Documentos Tipo.</w:t>
      </w:r>
    </w:p>
    <w:p w:rsidRPr="00E45A58" w:rsidR="00C832FE" w:rsidP="00BC581E" w:rsidRDefault="00C832FE" w14:paraId="3A92DBD4" w14:textId="77777777">
      <w:pPr>
        <w:pStyle w:val="Textoindependiente"/>
        <w:spacing w:before="120"/>
        <w:ind w:left="102" w:right="108"/>
        <w:jc w:val="both"/>
        <w:rPr>
          <w:sz w:val="20"/>
          <w:szCs w:val="20"/>
        </w:rPr>
      </w:pPr>
      <w:r w:rsidRPr="00E45A58">
        <w:rPr>
          <w:sz w:val="20"/>
          <w:szCs w:val="20"/>
        </w:rPr>
        <w:t>Si bien el objeto a contratar se enmarca en la definición de espacio público, la adecuación de los senderos peatonales y rampas de acceso al parque son obras que no están asociadas ni corresponden a una obra de infraestructura de transporte vial urbana, ya que su destinación, por ser un parque principalmente, es de uso recreativo-deportivo, por lo cual no es obligatoria la implementación de los Documentos Tipo, sin embargo, las Entidades Estatales pueden usar los requisitos incluidos en los Documentos Tipo como buenas prácticas, efectuando los ajustes necesarios de acuerdo con el alcance del objeto a contratar.</w:t>
      </w:r>
    </w:p>
    <w:p w:rsidRPr="00E45A58" w:rsidR="0093624E" w:rsidP="00BC581E" w:rsidRDefault="0093624E" w14:paraId="3A92DBD5" w14:textId="77777777">
      <w:pPr>
        <w:ind w:left="102" w:right="108"/>
        <w:rPr>
          <w:sz w:val="20"/>
        </w:rPr>
      </w:pPr>
    </w:p>
    <w:p w:rsidRPr="00E45A58" w:rsidR="0093624E" w:rsidP="00BC581E" w:rsidRDefault="0093624E" w14:paraId="3A92DBD6" w14:textId="77777777">
      <w:pPr>
        <w:ind w:left="102" w:right="108"/>
        <w:rPr>
          <w:sz w:val="20"/>
        </w:rPr>
      </w:pPr>
    </w:p>
    <w:p w:rsidRPr="00E45A58" w:rsidR="009B2575" w:rsidP="00BC581E" w:rsidRDefault="000422CC" w14:paraId="3A92DBD7" w14:textId="77777777">
      <w:pPr>
        <w:ind w:left="100"/>
        <w:rPr>
          <w:b/>
          <w:sz w:val="20"/>
        </w:rPr>
      </w:pPr>
      <w:r w:rsidRPr="00E45A58">
        <w:rPr>
          <w:sz w:val="20"/>
        </w:rPr>
        <w:t xml:space="preserve">Bogotá D.C., </w:t>
      </w:r>
      <w:r w:rsidRPr="00E45A58">
        <w:rPr>
          <w:b/>
          <w:sz w:val="20"/>
        </w:rPr>
        <w:t>16/10/2019 Hora 15:24:32s</w:t>
      </w:r>
    </w:p>
    <w:p w:rsidRPr="00E45A58" w:rsidR="009B2575" w:rsidP="0093624E" w:rsidRDefault="009B2575" w14:paraId="3A92DBD8" w14:textId="77777777">
      <w:pPr>
        <w:jc w:val="both"/>
        <w:rPr>
          <w:b/>
        </w:rPr>
      </w:pPr>
    </w:p>
    <w:p w:rsidRPr="00E45A58" w:rsidR="009B2575" w:rsidRDefault="009B2575" w14:paraId="3A92DBD9" w14:textId="77777777">
      <w:pPr>
        <w:pStyle w:val="Textoindependiente"/>
        <w:spacing w:before="1"/>
        <w:rPr>
          <w:b/>
          <w:sz w:val="18"/>
        </w:rPr>
      </w:pPr>
    </w:p>
    <w:p w:rsidRPr="00E45A58" w:rsidR="009B2575" w:rsidRDefault="000422CC" w14:paraId="3A92DBDA" w14:textId="77777777">
      <w:pPr>
        <w:pStyle w:val="Textoindependiente"/>
        <w:ind w:left="100"/>
      </w:pPr>
      <w:r w:rsidRPr="00E45A58">
        <w:t>Señor</w:t>
      </w:r>
    </w:p>
    <w:p w:rsidRPr="00E45A58" w:rsidR="009B2575" w:rsidRDefault="000422CC" w14:paraId="3A92DBDB" w14:textId="77777777">
      <w:pPr>
        <w:pStyle w:val="Ttulo1"/>
        <w:spacing w:before="2" w:line="253" w:lineRule="exact"/>
        <w:ind w:left="100" w:firstLine="0"/>
      </w:pPr>
      <w:r w:rsidRPr="00E45A58">
        <w:t>Fabio Fernando Muñoz</w:t>
      </w:r>
    </w:p>
    <w:p w:rsidRPr="00E45A58" w:rsidR="009B2575" w:rsidP="0093624E" w:rsidRDefault="000422CC" w14:paraId="3A92DBDC" w14:textId="77777777">
      <w:pPr>
        <w:pStyle w:val="Textoindependiente"/>
        <w:ind w:left="100"/>
      </w:pPr>
      <w:r w:rsidRPr="00E45A58">
        <w:t>Tenjo – Cundinamarca</w:t>
      </w:r>
    </w:p>
    <w:p w:rsidRPr="00E45A58" w:rsidR="0093624E" w:rsidP="0093624E" w:rsidRDefault="0093624E" w14:paraId="3A92DBDD" w14:textId="77777777">
      <w:pPr>
        <w:pStyle w:val="Textoindependiente"/>
        <w:ind w:left="100"/>
        <w:rPr>
          <w:sz w:val="28"/>
        </w:rPr>
      </w:pPr>
    </w:p>
    <w:p w:rsidRPr="00E45A58" w:rsidR="009B2575" w:rsidP="0093624E" w:rsidRDefault="000422CC" w14:paraId="3A92DBDE" w14:textId="77777777">
      <w:pPr>
        <w:ind w:left="100"/>
        <w:jc w:val="right"/>
        <w:rPr>
          <w:b/>
          <w:sz w:val="20"/>
        </w:rPr>
      </w:pPr>
      <w:r w:rsidRPr="00E45A58">
        <w:rPr>
          <w:b/>
          <w:sz w:val="20"/>
        </w:rPr>
        <w:t>N° Radicado: 2201913000007708</w:t>
      </w:r>
    </w:p>
    <w:p w:rsidRPr="00E45A58" w:rsidR="009B2575" w:rsidRDefault="009B2575" w14:paraId="3A92DBDF" w14:textId="77777777">
      <w:pPr>
        <w:pStyle w:val="Textoindependiente"/>
        <w:rPr>
          <w:b/>
          <w:sz w:val="20"/>
        </w:rPr>
      </w:pPr>
    </w:p>
    <w:p w:rsidRPr="00E45A58" w:rsidR="009B2575" w:rsidRDefault="009B2575" w14:paraId="3A92DBE0" w14:textId="77777777">
      <w:pPr>
        <w:pStyle w:val="Textoindependiente"/>
        <w:spacing w:before="9"/>
        <w:rPr>
          <w:b/>
          <w:sz w:val="15"/>
        </w:rPr>
      </w:pPr>
    </w:p>
    <w:p w:rsidRPr="00E45A58" w:rsidR="009B2575" w:rsidRDefault="000422CC" w14:paraId="3A92DBE1" w14:textId="77777777">
      <w:pPr>
        <w:tabs>
          <w:tab w:val="left" w:pos="3640"/>
        </w:tabs>
        <w:spacing w:before="93"/>
        <w:ind w:left="100"/>
      </w:pPr>
      <w:r w:rsidRPr="00E45A58">
        <w:rPr>
          <w:b/>
        </w:rPr>
        <w:t>Radicación:</w:t>
      </w:r>
      <w:r w:rsidRPr="00E45A58">
        <w:rPr>
          <w:b/>
        </w:rPr>
        <w:tab/>
      </w:r>
      <w:r w:rsidRPr="00E45A58">
        <w:t>Respuesta a consulta #</w:t>
      </w:r>
      <w:r w:rsidRPr="00E45A58">
        <w:rPr>
          <w:spacing w:val="-7"/>
        </w:rPr>
        <w:t xml:space="preserve"> </w:t>
      </w:r>
      <w:r w:rsidRPr="00E45A58">
        <w:t>4201912000005984</w:t>
      </w:r>
    </w:p>
    <w:p w:rsidRPr="00E45A58" w:rsidR="009B2575" w:rsidRDefault="000422CC" w14:paraId="3A92DBE2" w14:textId="77777777">
      <w:pPr>
        <w:tabs>
          <w:tab w:val="left" w:pos="3640"/>
        </w:tabs>
        <w:spacing w:before="2" w:line="253" w:lineRule="exact"/>
        <w:ind w:left="100"/>
      </w:pPr>
      <w:r w:rsidRPr="00E45A58">
        <w:rPr>
          <w:b/>
        </w:rPr>
        <w:t>Temas:</w:t>
      </w:r>
      <w:r w:rsidRPr="00E45A58">
        <w:rPr>
          <w:b/>
        </w:rPr>
        <w:tab/>
      </w:r>
      <w:r w:rsidRPr="00E45A58">
        <w:t>Documentos</w:t>
      </w:r>
      <w:r w:rsidRPr="00E45A58">
        <w:rPr>
          <w:spacing w:val="-2"/>
        </w:rPr>
        <w:t xml:space="preserve"> </w:t>
      </w:r>
      <w:r w:rsidRPr="00E45A58">
        <w:t>Tipo</w:t>
      </w:r>
    </w:p>
    <w:p w:rsidRPr="00E45A58" w:rsidR="009B2575" w:rsidRDefault="000422CC" w14:paraId="3A92DBE3" w14:textId="77777777">
      <w:pPr>
        <w:tabs>
          <w:tab w:val="left" w:pos="3640"/>
        </w:tabs>
        <w:spacing w:line="253" w:lineRule="exact"/>
        <w:ind w:left="100"/>
      </w:pPr>
      <w:r w:rsidRPr="00E45A58">
        <w:rPr>
          <w:b/>
        </w:rPr>
        <w:t>Tipo de</w:t>
      </w:r>
      <w:r w:rsidRPr="00E45A58">
        <w:rPr>
          <w:b/>
          <w:spacing w:val="-4"/>
        </w:rPr>
        <w:t xml:space="preserve"> </w:t>
      </w:r>
      <w:r w:rsidRPr="00E45A58">
        <w:rPr>
          <w:b/>
        </w:rPr>
        <w:t>asunto</w:t>
      </w:r>
      <w:r w:rsidRPr="00E45A58">
        <w:rPr>
          <w:b/>
          <w:spacing w:val="-2"/>
        </w:rPr>
        <w:t xml:space="preserve"> </w:t>
      </w:r>
      <w:r w:rsidRPr="00E45A58">
        <w:rPr>
          <w:b/>
        </w:rPr>
        <w:t>consultado:</w:t>
      </w:r>
      <w:r w:rsidRPr="00E45A58">
        <w:rPr>
          <w:b/>
        </w:rPr>
        <w:tab/>
      </w:r>
      <w:r w:rsidRPr="00E45A58">
        <w:t>Aplicación</w:t>
      </w:r>
      <w:r w:rsidRPr="00E45A58">
        <w:rPr>
          <w:spacing w:val="32"/>
        </w:rPr>
        <w:t xml:space="preserve"> </w:t>
      </w:r>
      <w:r w:rsidRPr="00E45A58">
        <w:t>de</w:t>
      </w:r>
      <w:r w:rsidRPr="00E45A58">
        <w:rPr>
          <w:spacing w:val="32"/>
        </w:rPr>
        <w:t xml:space="preserve"> </w:t>
      </w:r>
      <w:r w:rsidRPr="00E45A58">
        <w:t>pliegos</w:t>
      </w:r>
      <w:r w:rsidRPr="00E45A58">
        <w:rPr>
          <w:spacing w:val="32"/>
        </w:rPr>
        <w:t xml:space="preserve"> </w:t>
      </w:r>
      <w:r w:rsidRPr="00E45A58">
        <w:t>tipo</w:t>
      </w:r>
      <w:r w:rsidRPr="00E45A58">
        <w:rPr>
          <w:spacing w:val="32"/>
        </w:rPr>
        <w:t xml:space="preserve"> </w:t>
      </w:r>
      <w:r w:rsidRPr="00E45A58">
        <w:t>para</w:t>
      </w:r>
      <w:r w:rsidRPr="00E45A58">
        <w:rPr>
          <w:spacing w:val="31"/>
        </w:rPr>
        <w:t xml:space="preserve"> </w:t>
      </w:r>
      <w:r w:rsidRPr="00E45A58">
        <w:t>la</w:t>
      </w:r>
      <w:r w:rsidRPr="00E45A58">
        <w:rPr>
          <w:spacing w:val="33"/>
        </w:rPr>
        <w:t xml:space="preserve"> </w:t>
      </w:r>
      <w:r w:rsidRPr="00E45A58">
        <w:t>adecuación</w:t>
      </w:r>
      <w:r w:rsidRPr="00E45A58">
        <w:rPr>
          <w:spacing w:val="32"/>
        </w:rPr>
        <w:t xml:space="preserve"> </w:t>
      </w:r>
      <w:r w:rsidRPr="00E45A58">
        <w:t>de</w:t>
      </w:r>
    </w:p>
    <w:p w:rsidRPr="00E45A58" w:rsidR="009B2575" w:rsidRDefault="000422CC" w14:paraId="3A92DBE4" w14:textId="77777777">
      <w:pPr>
        <w:pStyle w:val="Textoindependiente"/>
        <w:ind w:left="3641"/>
      </w:pPr>
      <w:r w:rsidRPr="00E45A58">
        <w:t>senderos peatonales y rampas de acceso</w:t>
      </w:r>
    </w:p>
    <w:p w:rsidRPr="00E45A58" w:rsidR="009B2575" w:rsidRDefault="009B2575" w14:paraId="3A92DBE5" w14:textId="77777777">
      <w:pPr>
        <w:pStyle w:val="Textoindependiente"/>
        <w:rPr>
          <w:sz w:val="24"/>
        </w:rPr>
      </w:pPr>
    </w:p>
    <w:p w:rsidRPr="00E45A58" w:rsidR="009B2575" w:rsidRDefault="009B2575" w14:paraId="3A92DBE6" w14:textId="77777777">
      <w:pPr>
        <w:pStyle w:val="Textoindependiente"/>
        <w:spacing w:before="10"/>
        <w:rPr>
          <w:sz w:val="19"/>
        </w:rPr>
      </w:pPr>
    </w:p>
    <w:p w:rsidRPr="00E45A58" w:rsidR="009B2575" w:rsidRDefault="000422CC" w14:paraId="3A92DBE7" w14:textId="77777777">
      <w:pPr>
        <w:pStyle w:val="Textoindependiente"/>
        <w:ind w:left="100"/>
      </w:pPr>
      <w:r w:rsidRPr="00E45A58">
        <w:t>Estimado señor Muñoz,</w:t>
      </w:r>
    </w:p>
    <w:p w:rsidRPr="00E45A58" w:rsidR="009B2575" w:rsidRDefault="009B2575" w14:paraId="3A92DBE8" w14:textId="77777777">
      <w:pPr>
        <w:pStyle w:val="Textoindependiente"/>
        <w:spacing w:before="7"/>
        <w:rPr>
          <w:sz w:val="28"/>
        </w:rPr>
      </w:pPr>
    </w:p>
    <w:p w:rsidRPr="00E45A58" w:rsidR="009B2575" w:rsidRDefault="000422CC" w14:paraId="3A92DBE9" w14:textId="77777777">
      <w:pPr>
        <w:pStyle w:val="Textoindependiente"/>
        <w:spacing w:line="276" w:lineRule="auto"/>
        <w:ind w:left="100" w:right="107"/>
        <w:jc w:val="both"/>
      </w:pPr>
      <w:r w:rsidRPr="00E45A58">
        <w:t>La Agencia Nacional de Contratación Pública - Colombia Compra Eficiente responde su consulta del 3 de septiembre de 2019, en ejercicio de la competencia otorgada por el numeral 5 del artículo 3 y numeral 8 del artículo 11 del Decreto 4170 de 2011.</w:t>
      </w:r>
    </w:p>
    <w:p w:rsidRPr="00E45A58" w:rsidR="009B2575" w:rsidRDefault="009B2575" w14:paraId="3A92DBEA" w14:textId="77777777">
      <w:pPr>
        <w:pStyle w:val="Textoindependiente"/>
        <w:spacing w:before="6"/>
        <w:rPr>
          <w:sz w:val="25"/>
        </w:rPr>
      </w:pPr>
    </w:p>
    <w:p w:rsidRPr="00E45A58" w:rsidR="009B2575" w:rsidRDefault="000422CC" w14:paraId="3A92DBEB" w14:textId="77777777">
      <w:pPr>
        <w:pStyle w:val="Ttulo1"/>
        <w:numPr>
          <w:ilvl w:val="0"/>
          <w:numId w:val="3"/>
        </w:numPr>
        <w:tabs>
          <w:tab w:val="left" w:pos="386"/>
        </w:tabs>
        <w:ind w:hanging="286"/>
      </w:pPr>
      <w:r w:rsidRPr="00E45A58">
        <w:t>Problema</w:t>
      </w:r>
      <w:r w:rsidRPr="00E45A58">
        <w:rPr>
          <w:spacing w:val="-2"/>
        </w:rPr>
        <w:t xml:space="preserve"> </w:t>
      </w:r>
      <w:r w:rsidRPr="00E45A58">
        <w:t>planteado</w:t>
      </w:r>
    </w:p>
    <w:p w:rsidRPr="00E45A58" w:rsidR="009B2575" w:rsidRDefault="009B2575" w14:paraId="3A92DBEC" w14:textId="77777777">
      <w:pPr>
        <w:pStyle w:val="Textoindependiente"/>
        <w:spacing w:before="5"/>
        <w:rPr>
          <w:b/>
          <w:sz w:val="28"/>
        </w:rPr>
      </w:pPr>
    </w:p>
    <w:p w:rsidRPr="00E45A58" w:rsidR="009B2575" w:rsidRDefault="000422CC" w14:paraId="3A92DBED" w14:textId="77777777">
      <w:pPr>
        <w:pStyle w:val="Textoindependiente"/>
        <w:spacing w:line="276" w:lineRule="auto"/>
        <w:ind w:left="100" w:right="109"/>
        <w:jc w:val="both"/>
      </w:pPr>
      <w:r w:rsidRPr="00E45A58">
        <w:lastRenderedPageBreak/>
        <w:t>“El Ministerio de Cultura mediante Resolución No.2544 de 2019, autorizó la intervención de adecuación funcional de los senderos peatonales y rampas de acceso al Parque Principal declarado monumento Nacional, hoy bien de interés cultural del ámbito nacional, del municipio de Tenjo Cundinamarca.</w:t>
      </w:r>
    </w:p>
    <w:p w:rsidRPr="00E45A58" w:rsidR="009B2575" w:rsidRDefault="009B2575" w14:paraId="3A92DBEE" w14:textId="77777777">
      <w:pPr>
        <w:pStyle w:val="Textoindependiente"/>
        <w:spacing w:before="1"/>
        <w:rPr>
          <w:sz w:val="25"/>
        </w:rPr>
      </w:pPr>
    </w:p>
    <w:p w:rsidRPr="00E45A58" w:rsidR="009B2575" w:rsidRDefault="000422CC" w14:paraId="3A92DBEF" w14:textId="77777777">
      <w:pPr>
        <w:pStyle w:val="Textoindependiente"/>
        <w:spacing w:before="1" w:line="276" w:lineRule="auto"/>
        <w:ind w:left="100" w:right="106"/>
        <w:jc w:val="both"/>
      </w:pPr>
      <w:r w:rsidRPr="00E45A58">
        <w:t>“Teniendo en cuenta el artículo 4 de la Ley 1882 de 2018 y demás decretos reglamentarios, respecto de las licitaciones de obra pública de infraestructura de transporte, realizo la consulta con el Departamento de Jurídica de Colombia Compra eficiente, con el fin de establecer si la entidad está sujeta implementar en este proceso licitatorio los pliego</w:t>
      </w:r>
      <w:r w:rsidRPr="00E45A58">
        <w:rPr>
          <w:spacing w:val="-4"/>
        </w:rPr>
        <w:t xml:space="preserve"> </w:t>
      </w:r>
      <w:r w:rsidRPr="00E45A58">
        <w:t>tipo”.</w:t>
      </w:r>
    </w:p>
    <w:p w:rsidRPr="00E45A58" w:rsidR="009B2575" w:rsidRDefault="009B2575" w14:paraId="3A92DBF0" w14:textId="77777777">
      <w:pPr>
        <w:pStyle w:val="Textoindependiente"/>
        <w:spacing w:before="6"/>
        <w:rPr>
          <w:sz w:val="25"/>
        </w:rPr>
      </w:pPr>
    </w:p>
    <w:p w:rsidRPr="00E45A58" w:rsidR="009B2575" w:rsidRDefault="000422CC" w14:paraId="3A92DBF1" w14:textId="77777777">
      <w:pPr>
        <w:pStyle w:val="Ttulo1"/>
        <w:numPr>
          <w:ilvl w:val="0"/>
          <w:numId w:val="3"/>
        </w:numPr>
        <w:tabs>
          <w:tab w:val="left" w:pos="386"/>
        </w:tabs>
        <w:ind w:hanging="286"/>
      </w:pPr>
      <w:r w:rsidRPr="00E45A58">
        <w:t>Consideraciones</w:t>
      </w:r>
    </w:p>
    <w:p w:rsidRPr="00E45A58" w:rsidR="009B2575" w:rsidRDefault="009B2575" w14:paraId="3A92DBF2" w14:textId="77777777">
      <w:pPr>
        <w:pStyle w:val="Textoindependiente"/>
        <w:spacing w:before="5"/>
        <w:rPr>
          <w:b/>
          <w:sz w:val="28"/>
        </w:rPr>
      </w:pPr>
    </w:p>
    <w:p w:rsidRPr="00E45A58" w:rsidR="009B2575" w:rsidRDefault="000422CC" w14:paraId="3A92DBF3" w14:textId="77777777">
      <w:pPr>
        <w:pStyle w:val="Textoindependiente"/>
        <w:spacing w:line="276" w:lineRule="auto"/>
        <w:ind w:left="100" w:right="103"/>
        <w:jc w:val="both"/>
      </w:pPr>
      <w:r w:rsidRPr="00E45A58">
        <w:t>La Agencia Nacional de Contratación Pública - Colombia Compra Eficiente no es competente para resolver consultas referidas a actividades contractuales específicas de las Entidades Estatales, ni para intervenir en el desarrollo de los procesos de contratación que</w:t>
      </w:r>
    </w:p>
    <w:p w:rsidRPr="00E45A58" w:rsidR="009B2575" w:rsidRDefault="009B2575" w14:paraId="3A92DBF4" w14:textId="77777777">
      <w:pPr>
        <w:pStyle w:val="Textoindependiente"/>
        <w:spacing w:before="5"/>
        <w:rPr>
          <w:sz w:val="16"/>
        </w:rPr>
      </w:pPr>
    </w:p>
    <w:p w:rsidRPr="00E45A58" w:rsidR="009B2575" w:rsidRDefault="000422CC" w14:paraId="3A92DBF5" w14:textId="77777777">
      <w:pPr>
        <w:pStyle w:val="Textoindependiente"/>
        <w:spacing w:before="93" w:line="278" w:lineRule="auto"/>
        <w:ind w:left="100" w:right="110"/>
        <w:jc w:val="both"/>
      </w:pPr>
      <w:r w:rsidRPr="00E45A58">
        <w:t>estas tramitan, sin embargo, comoquiera que los Documentos Tipo fueron desarrollados e implementados por parte de esta Entidad, se responderá a la solicitud de manera general.</w:t>
      </w:r>
    </w:p>
    <w:p w:rsidRPr="00E45A58" w:rsidR="009B2575" w:rsidRDefault="009B2575" w14:paraId="3A92DBF6" w14:textId="77777777">
      <w:pPr>
        <w:pStyle w:val="Textoindependiente"/>
        <w:spacing w:before="1"/>
        <w:rPr>
          <w:sz w:val="25"/>
        </w:rPr>
      </w:pPr>
    </w:p>
    <w:p w:rsidRPr="00E45A58" w:rsidR="009B2575" w:rsidRDefault="000422CC" w14:paraId="3A92DBF7" w14:textId="77777777">
      <w:pPr>
        <w:pStyle w:val="Textoindependiente"/>
        <w:spacing w:line="276" w:lineRule="auto"/>
        <w:ind w:left="100" w:right="104"/>
        <w:jc w:val="both"/>
      </w:pPr>
      <w:r w:rsidRPr="00E45A58">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rsidRPr="00E45A58" w:rsidR="009B2575" w:rsidRDefault="009B2575" w14:paraId="3A92DBF8" w14:textId="77777777">
      <w:pPr>
        <w:pStyle w:val="Textoindependiente"/>
        <w:spacing w:before="2"/>
        <w:rPr>
          <w:sz w:val="25"/>
        </w:rPr>
      </w:pPr>
    </w:p>
    <w:p w:rsidRPr="00E45A58" w:rsidR="009B2575" w:rsidRDefault="000422CC" w14:paraId="3A92DBF9" w14:textId="77777777">
      <w:pPr>
        <w:pStyle w:val="Textoindependiente"/>
        <w:spacing w:line="276" w:lineRule="auto"/>
        <w:ind w:left="100" w:right="106"/>
        <w:jc w:val="both"/>
      </w:pPr>
      <w:r w:rsidRPr="00E45A58">
        <w:t>La “Matriz 1 – Experiencia” contiene las actividades requeridas para acreditar la experiencia en relación con el objeto a contratar, y define qué tipo de infraestructuras deben acogerse a los pliegos tipo, mientras que el “Anexo 3 – Glosario”, contiene las definiciones de los términos usados en los Documentos del</w:t>
      </w:r>
      <w:r w:rsidRPr="00E45A58">
        <w:rPr>
          <w:spacing w:val="-18"/>
        </w:rPr>
        <w:t xml:space="preserve"> </w:t>
      </w:r>
      <w:r w:rsidRPr="00E45A58">
        <w:t>Proceso.</w:t>
      </w:r>
    </w:p>
    <w:p w:rsidRPr="00E45A58" w:rsidR="009B2575" w:rsidRDefault="009B2575" w14:paraId="3A92DBFA" w14:textId="77777777">
      <w:pPr>
        <w:pStyle w:val="Textoindependiente"/>
        <w:spacing w:before="4"/>
        <w:rPr>
          <w:sz w:val="25"/>
        </w:rPr>
      </w:pPr>
    </w:p>
    <w:p w:rsidRPr="00E45A58" w:rsidR="009B2575" w:rsidRDefault="000422CC" w14:paraId="3A92DBFB" w14:textId="77777777">
      <w:pPr>
        <w:pStyle w:val="Textoindependiente"/>
        <w:spacing w:line="276" w:lineRule="auto"/>
        <w:ind w:left="100" w:right="106"/>
        <w:jc w:val="both"/>
      </w:pPr>
      <w:r w:rsidRPr="00E45A58">
        <w:t>Usando los documentos referenciados, la entidad estatal debe definir si el objeto a contratar debe emplear los Documentos Tipo para Procesos de Contratación de licitación de obra pública de infraestructura de transporte, aplicando los siguientes</w:t>
      </w:r>
      <w:r w:rsidRPr="00E45A58">
        <w:rPr>
          <w:spacing w:val="-24"/>
        </w:rPr>
        <w:t xml:space="preserve"> </w:t>
      </w:r>
      <w:r w:rsidRPr="00E45A58">
        <w:t>pasos:</w:t>
      </w:r>
    </w:p>
    <w:p w:rsidRPr="00E45A58" w:rsidR="009B2575" w:rsidRDefault="009B2575" w14:paraId="3A92DBFC" w14:textId="77777777">
      <w:pPr>
        <w:pStyle w:val="Textoindependiente"/>
        <w:spacing w:before="2"/>
        <w:rPr>
          <w:sz w:val="25"/>
        </w:rPr>
      </w:pPr>
    </w:p>
    <w:p w:rsidRPr="00E45A58" w:rsidR="009B2575" w:rsidRDefault="000422CC" w14:paraId="3A92DBFD" w14:textId="77777777">
      <w:pPr>
        <w:pStyle w:val="Textoindependiente"/>
        <w:spacing w:before="1" w:line="278" w:lineRule="auto"/>
        <w:ind w:left="100" w:right="35"/>
      </w:pPr>
      <w:r w:rsidRPr="00E45A58">
        <w:t>1. Identificar en la “Matriz 1- Experiencia” el tipo de infraestructura sobre el cual recae la obra a ejecutar. Al respecto esta matriz contiene ocho (8) secciones:</w:t>
      </w:r>
    </w:p>
    <w:p w:rsidRPr="00E45A58" w:rsidR="009B2575" w:rsidRDefault="009B2575" w14:paraId="3A92DBFE" w14:textId="77777777">
      <w:pPr>
        <w:pStyle w:val="Textoindependiente"/>
        <w:spacing w:before="1"/>
        <w:rPr>
          <w:sz w:val="25"/>
        </w:rPr>
      </w:pPr>
    </w:p>
    <w:p w:rsidRPr="00E45A58" w:rsidR="009B2575" w:rsidRDefault="000422CC" w14:paraId="3A92DBFF" w14:textId="77777777">
      <w:pPr>
        <w:pStyle w:val="Prrafodelista"/>
        <w:numPr>
          <w:ilvl w:val="0"/>
          <w:numId w:val="2"/>
        </w:numPr>
        <w:tabs>
          <w:tab w:val="left" w:pos="344"/>
        </w:tabs>
        <w:ind w:hanging="244"/>
      </w:pPr>
      <w:r w:rsidRPr="00E45A58">
        <w:t>Obras en vías primarias o</w:t>
      </w:r>
      <w:r w:rsidRPr="00E45A58">
        <w:rPr>
          <w:spacing w:val="-5"/>
        </w:rPr>
        <w:t xml:space="preserve"> </w:t>
      </w:r>
      <w:r w:rsidRPr="00E45A58">
        <w:t>secundarias.</w:t>
      </w:r>
    </w:p>
    <w:p w:rsidRPr="00E45A58" w:rsidR="009B2575" w:rsidRDefault="000422CC" w14:paraId="3A92DC00" w14:textId="77777777">
      <w:pPr>
        <w:pStyle w:val="Prrafodelista"/>
        <w:numPr>
          <w:ilvl w:val="0"/>
          <w:numId w:val="2"/>
        </w:numPr>
        <w:tabs>
          <w:tab w:val="left" w:pos="344"/>
        </w:tabs>
        <w:spacing w:before="37"/>
        <w:ind w:hanging="244"/>
      </w:pPr>
      <w:r w:rsidRPr="00E45A58">
        <w:t>Obras en vías terciarias.</w:t>
      </w:r>
    </w:p>
    <w:p w:rsidRPr="00E45A58" w:rsidR="009B2575" w:rsidRDefault="000422CC" w14:paraId="3A92DC01" w14:textId="77777777">
      <w:pPr>
        <w:pStyle w:val="Prrafodelista"/>
        <w:numPr>
          <w:ilvl w:val="0"/>
          <w:numId w:val="2"/>
        </w:numPr>
        <w:tabs>
          <w:tab w:val="left" w:pos="344"/>
        </w:tabs>
        <w:spacing w:before="37"/>
        <w:ind w:hanging="244"/>
      </w:pPr>
      <w:r w:rsidRPr="00E45A58">
        <w:t>Obras marítimas y</w:t>
      </w:r>
      <w:r w:rsidRPr="00E45A58">
        <w:rPr>
          <w:spacing w:val="-5"/>
        </w:rPr>
        <w:t xml:space="preserve"> </w:t>
      </w:r>
      <w:r w:rsidRPr="00E45A58">
        <w:t>fluviales.</w:t>
      </w:r>
    </w:p>
    <w:p w:rsidRPr="00E45A58" w:rsidR="009B2575" w:rsidRDefault="000422CC" w14:paraId="3A92DC02" w14:textId="77777777">
      <w:pPr>
        <w:pStyle w:val="Prrafodelista"/>
        <w:numPr>
          <w:ilvl w:val="0"/>
          <w:numId w:val="2"/>
        </w:numPr>
        <w:tabs>
          <w:tab w:val="left" w:pos="408"/>
        </w:tabs>
        <w:spacing w:before="39" w:line="276" w:lineRule="auto"/>
        <w:ind w:left="100" w:right="110" w:firstLine="0"/>
      </w:pPr>
      <w:r w:rsidRPr="00E45A58">
        <w:lastRenderedPageBreak/>
        <w:t>Obras en vías primarias o secundarias o terciarias para atención de emergencias diferentes a contratación</w:t>
      </w:r>
      <w:r w:rsidRPr="00E45A58">
        <w:rPr>
          <w:spacing w:val="-2"/>
        </w:rPr>
        <w:t xml:space="preserve"> </w:t>
      </w:r>
      <w:r w:rsidRPr="00E45A58">
        <w:t>directa.</w:t>
      </w:r>
    </w:p>
    <w:p w:rsidRPr="00E45A58" w:rsidR="009B2575" w:rsidRDefault="000422CC" w14:paraId="3A92DC03" w14:textId="77777777">
      <w:pPr>
        <w:pStyle w:val="Prrafodelista"/>
        <w:numPr>
          <w:ilvl w:val="0"/>
          <w:numId w:val="2"/>
        </w:numPr>
        <w:tabs>
          <w:tab w:val="left" w:pos="344"/>
        </w:tabs>
        <w:spacing w:line="251" w:lineRule="exact"/>
        <w:ind w:hanging="244"/>
      </w:pPr>
      <w:r w:rsidRPr="00E45A58">
        <w:t>Obras</w:t>
      </w:r>
      <w:r w:rsidRPr="00E45A58">
        <w:rPr>
          <w:spacing w:val="-2"/>
        </w:rPr>
        <w:t xml:space="preserve"> </w:t>
      </w:r>
      <w:r w:rsidRPr="00E45A58">
        <w:t>férreas.</w:t>
      </w:r>
    </w:p>
    <w:p w:rsidRPr="00E45A58" w:rsidR="009B2575" w:rsidRDefault="000422CC" w14:paraId="3A92DC04" w14:textId="77777777">
      <w:pPr>
        <w:pStyle w:val="Prrafodelista"/>
        <w:numPr>
          <w:ilvl w:val="0"/>
          <w:numId w:val="2"/>
        </w:numPr>
        <w:tabs>
          <w:tab w:val="left" w:pos="344"/>
        </w:tabs>
        <w:spacing w:before="40"/>
        <w:ind w:hanging="244"/>
      </w:pPr>
      <w:r w:rsidRPr="00E45A58">
        <w:t>Obras infraestructura vial</w:t>
      </w:r>
      <w:r w:rsidRPr="00E45A58">
        <w:rPr>
          <w:spacing w:val="1"/>
        </w:rPr>
        <w:t xml:space="preserve"> </w:t>
      </w:r>
      <w:r w:rsidRPr="00E45A58">
        <w:t>urbana.</w:t>
      </w:r>
    </w:p>
    <w:p w:rsidRPr="00E45A58" w:rsidR="009B2575" w:rsidRDefault="000422CC" w14:paraId="3A92DC05" w14:textId="77777777">
      <w:pPr>
        <w:pStyle w:val="Prrafodelista"/>
        <w:numPr>
          <w:ilvl w:val="0"/>
          <w:numId w:val="2"/>
        </w:numPr>
        <w:tabs>
          <w:tab w:val="left" w:pos="344"/>
        </w:tabs>
        <w:spacing w:before="37"/>
        <w:ind w:hanging="244"/>
      </w:pPr>
      <w:r w:rsidRPr="00E45A58">
        <w:t>Obras en</w:t>
      </w:r>
      <w:r w:rsidRPr="00E45A58">
        <w:rPr>
          <w:spacing w:val="-3"/>
        </w:rPr>
        <w:t xml:space="preserve"> </w:t>
      </w:r>
      <w:r w:rsidRPr="00E45A58">
        <w:t>puentes.</w:t>
      </w:r>
    </w:p>
    <w:p w:rsidRPr="00E45A58" w:rsidR="009B2575" w:rsidRDefault="000422CC" w14:paraId="3A92DC06" w14:textId="77777777">
      <w:pPr>
        <w:pStyle w:val="Prrafodelista"/>
        <w:numPr>
          <w:ilvl w:val="0"/>
          <w:numId w:val="2"/>
        </w:numPr>
        <w:tabs>
          <w:tab w:val="left" w:pos="344"/>
        </w:tabs>
        <w:spacing w:before="39"/>
        <w:ind w:hanging="244"/>
      </w:pPr>
      <w:r w:rsidRPr="00E45A58">
        <w:t>Obras</w:t>
      </w:r>
      <w:r w:rsidRPr="00E45A58">
        <w:rPr>
          <w:spacing w:val="-2"/>
        </w:rPr>
        <w:t xml:space="preserve"> </w:t>
      </w:r>
      <w:r w:rsidRPr="00E45A58">
        <w:t>aeroportuarias.</w:t>
      </w:r>
    </w:p>
    <w:p w:rsidRPr="00E45A58" w:rsidR="009B2575" w:rsidRDefault="009B2575" w14:paraId="3A92DC07" w14:textId="77777777">
      <w:pPr>
        <w:pStyle w:val="Textoindependiente"/>
        <w:spacing w:before="6"/>
        <w:rPr>
          <w:sz w:val="28"/>
        </w:rPr>
      </w:pPr>
    </w:p>
    <w:p w:rsidRPr="00E45A58" w:rsidR="009B2575" w:rsidRDefault="000422CC" w14:paraId="3A92DC08" w14:textId="77777777">
      <w:pPr>
        <w:pStyle w:val="Prrafodelista"/>
        <w:numPr>
          <w:ilvl w:val="0"/>
          <w:numId w:val="1"/>
        </w:numPr>
        <w:tabs>
          <w:tab w:val="left" w:pos="371"/>
        </w:tabs>
        <w:spacing w:line="278" w:lineRule="auto"/>
        <w:ind w:right="112" w:firstLine="0"/>
      </w:pPr>
      <w:r w:rsidRPr="00E45A58">
        <w:t>Una vez definido el tipo de infraestructura, identificar la “ACTIVIDAD A CONTRATAR” acorde con la “Matriz 1-</w:t>
      </w:r>
      <w:r w:rsidRPr="00E45A58">
        <w:rPr>
          <w:spacing w:val="-9"/>
        </w:rPr>
        <w:t xml:space="preserve"> </w:t>
      </w:r>
      <w:r w:rsidRPr="00E45A58">
        <w:t>Experiencia”</w:t>
      </w:r>
    </w:p>
    <w:p w:rsidRPr="00E45A58" w:rsidR="009B2575" w:rsidRDefault="009B2575" w14:paraId="3A92DC09" w14:textId="77777777">
      <w:pPr>
        <w:pStyle w:val="Textoindependiente"/>
        <w:spacing w:before="9"/>
        <w:rPr>
          <w:sz w:val="24"/>
        </w:rPr>
      </w:pPr>
    </w:p>
    <w:p w:rsidR="00B061F7" w:rsidP="00B061F7" w:rsidRDefault="000422CC" w14:paraId="2DE9A354" w14:textId="77777777">
      <w:pPr>
        <w:pStyle w:val="Prrafodelista"/>
        <w:numPr>
          <w:ilvl w:val="0"/>
          <w:numId w:val="1"/>
        </w:numPr>
        <w:tabs>
          <w:tab w:val="left" w:pos="406"/>
        </w:tabs>
        <w:spacing w:before="93" w:line="276" w:lineRule="auto"/>
        <w:ind w:right="110" w:firstLine="0"/>
        <w:jc w:val="both"/>
      </w:pPr>
      <w:r w:rsidRPr="00E45A58">
        <w:t>Además de la “Matriz 1- Experiencia” la entidad estatal debe tener en cuenta los conceptos propios de la ingeniería civil y los definidos del Anexo 3 – Glosario, con el fin de verificar si el objeto a contratar se encuentra enmarcado en estas</w:t>
      </w:r>
      <w:r w:rsidRPr="00B061F7">
        <w:rPr>
          <w:spacing w:val="-21"/>
        </w:rPr>
        <w:t xml:space="preserve"> </w:t>
      </w:r>
      <w:r w:rsidRPr="00E45A58">
        <w:t>actividades.</w:t>
      </w:r>
    </w:p>
    <w:p w:rsidR="00B061F7" w:rsidP="00B061F7" w:rsidRDefault="00B061F7" w14:paraId="772BA2EE" w14:textId="77777777">
      <w:pPr>
        <w:pStyle w:val="Prrafodelista"/>
      </w:pPr>
    </w:p>
    <w:p w:rsidRPr="00E45A58" w:rsidR="009B2575" w:rsidP="00B061F7" w:rsidRDefault="000422CC" w14:paraId="3A92DC0E" w14:textId="234BCC4E">
      <w:pPr>
        <w:pStyle w:val="Prrafodelista"/>
        <w:tabs>
          <w:tab w:val="left" w:pos="406"/>
        </w:tabs>
        <w:spacing w:before="93" w:line="276" w:lineRule="auto"/>
        <w:ind w:left="100" w:right="110" w:firstLine="0"/>
        <w:jc w:val="both"/>
      </w:pPr>
      <w:r w:rsidRPr="00E45A58">
        <w:t>Asimismo, la entidad debe verificar en cuál actividad de infraestructura de transporte definida en la “Matriz 1 – Experiencia” encuadra el objeto a contratar, para posteriormente solicitar la experiencia general y especifica del proceso de contratación.</w:t>
      </w:r>
    </w:p>
    <w:p w:rsidRPr="00E45A58" w:rsidR="009B2575" w:rsidRDefault="009B2575" w14:paraId="3A92DC0F" w14:textId="77777777">
      <w:pPr>
        <w:pStyle w:val="Textoindependiente"/>
        <w:spacing w:before="5"/>
        <w:rPr>
          <w:sz w:val="25"/>
        </w:rPr>
      </w:pPr>
    </w:p>
    <w:p w:rsidRPr="00E45A58" w:rsidR="009B2575" w:rsidRDefault="000422CC" w14:paraId="3A92DC10" w14:textId="77777777">
      <w:pPr>
        <w:pStyle w:val="Textoindependiente"/>
        <w:spacing w:line="276" w:lineRule="auto"/>
        <w:ind w:left="100" w:right="110"/>
        <w:jc w:val="both"/>
      </w:pPr>
      <w:r w:rsidRPr="00E45A58">
        <w:t xml:space="preserve">Tenga en cuenta </w:t>
      </w:r>
      <w:proofErr w:type="gramStart"/>
      <w:r w:rsidRPr="00E45A58">
        <w:t>que</w:t>
      </w:r>
      <w:proofErr w:type="gramEnd"/>
      <w:r w:rsidRPr="00E45A58">
        <w:t xml:space="preserve"> para efectos de los Documentos Tipo, el espacio público es el asociado con las obras de infraestructura de transporte; es decir, que el espacio público que no </w:t>
      </w:r>
      <w:proofErr w:type="spellStart"/>
      <w:r w:rsidRPr="00E45A58">
        <w:t>este</w:t>
      </w:r>
      <w:proofErr w:type="spellEnd"/>
      <w:r w:rsidRPr="00E45A58">
        <w:t xml:space="preserve"> asociado a este tipo de infraestructura no le son aplicables los Documentos Tipo.</w:t>
      </w:r>
    </w:p>
    <w:p w:rsidRPr="00E45A58" w:rsidR="009B2575" w:rsidRDefault="009B2575" w14:paraId="3A92DC11" w14:textId="77777777">
      <w:pPr>
        <w:pStyle w:val="Textoindependiente"/>
        <w:spacing w:before="4"/>
        <w:rPr>
          <w:sz w:val="25"/>
        </w:rPr>
      </w:pPr>
    </w:p>
    <w:p w:rsidRPr="00E45A58" w:rsidR="009B2575" w:rsidRDefault="000422CC" w14:paraId="3A92DC12" w14:textId="77777777">
      <w:pPr>
        <w:pStyle w:val="Textoindependiente"/>
        <w:spacing w:line="276" w:lineRule="auto"/>
        <w:ind w:left="100" w:right="108"/>
        <w:jc w:val="both"/>
      </w:pPr>
      <w:r w:rsidRPr="00E45A58">
        <w:t>En esta medida, el mantenimiento y/o construcción de un parque cuando no esté asociado a un proyecto de infraestructura de transporte no se encuentra cubierto por los Documentos Tipo adoptados a través del Decreto 342 de</w:t>
      </w:r>
      <w:r w:rsidRPr="00E45A58">
        <w:rPr>
          <w:spacing w:val="-10"/>
        </w:rPr>
        <w:t xml:space="preserve"> </w:t>
      </w:r>
      <w:r w:rsidRPr="00E45A58">
        <w:t>2019.</w:t>
      </w:r>
    </w:p>
    <w:p w:rsidRPr="00E45A58" w:rsidR="009B2575" w:rsidRDefault="009B2575" w14:paraId="3A92DC13" w14:textId="77777777">
      <w:pPr>
        <w:pStyle w:val="Textoindependiente"/>
        <w:spacing w:before="3"/>
        <w:rPr>
          <w:sz w:val="25"/>
        </w:rPr>
      </w:pPr>
    </w:p>
    <w:p w:rsidRPr="00E45A58" w:rsidR="009B2575" w:rsidRDefault="000422CC" w14:paraId="3A92DC14" w14:textId="77777777">
      <w:pPr>
        <w:pStyle w:val="Ttulo1"/>
        <w:numPr>
          <w:ilvl w:val="0"/>
          <w:numId w:val="3"/>
        </w:numPr>
        <w:tabs>
          <w:tab w:val="left" w:pos="386"/>
        </w:tabs>
        <w:ind w:hanging="286"/>
      </w:pPr>
      <w:r w:rsidRPr="00E45A58">
        <w:t>Respuesta</w:t>
      </w:r>
    </w:p>
    <w:p w:rsidRPr="00B061F7" w:rsidR="009B2575" w:rsidRDefault="009B2575" w14:paraId="3A92DC15" w14:textId="77777777">
      <w:pPr>
        <w:pStyle w:val="Textoindependiente"/>
        <w:spacing w:before="5"/>
        <w:rPr>
          <w:b/>
        </w:rPr>
      </w:pPr>
    </w:p>
    <w:p w:rsidRPr="00E45A58" w:rsidR="009B2575" w:rsidRDefault="000422CC" w14:paraId="3A92DC16" w14:textId="77777777">
      <w:pPr>
        <w:pStyle w:val="Textoindependiente"/>
        <w:spacing w:line="276" w:lineRule="auto"/>
        <w:ind w:left="100" w:right="111"/>
        <w:jc w:val="both"/>
      </w:pPr>
      <w:r w:rsidRPr="00E45A58">
        <w:t>Los Documentos Tipo adoptados a través del Decreto 342 de 2019 aplican para los procesos de licitación de obra pública de infraestructura de transporte de acuerdo con la definición contenida en la Ley 1682 de 2013 y acorde con las actividades a contratar definidas en la “Matriz 1 – Experiencia”.</w:t>
      </w:r>
    </w:p>
    <w:p w:rsidRPr="00E45A58" w:rsidR="009B2575" w:rsidRDefault="009B2575" w14:paraId="3A92DC17" w14:textId="77777777">
      <w:pPr>
        <w:pStyle w:val="Textoindependiente"/>
        <w:spacing w:before="4"/>
        <w:rPr>
          <w:sz w:val="25"/>
        </w:rPr>
      </w:pPr>
    </w:p>
    <w:p w:rsidRPr="00E45A58" w:rsidR="009B2575" w:rsidRDefault="000422CC" w14:paraId="3A92DC18" w14:textId="77777777">
      <w:pPr>
        <w:pStyle w:val="Textoindependiente"/>
        <w:spacing w:before="1" w:line="276" w:lineRule="auto"/>
        <w:ind w:left="100" w:right="110"/>
        <w:jc w:val="both"/>
      </w:pPr>
      <w:r w:rsidRPr="00E45A58">
        <w:t>Las obras de espacio público que deben adelantarse a través de los Documentos Tipo son aquellas que pertenecen o están asociadas a un proyecto de infraestructura de transporte, por lo tanto, cuando se trate de una construcción de espacio público no asociado a este tipo de infraestructura, esto es, que no está relacionada por ejemplo con la construcción de una vía, no le son aplicables los Documentos</w:t>
      </w:r>
      <w:r w:rsidRPr="00E45A58">
        <w:rPr>
          <w:spacing w:val="-9"/>
        </w:rPr>
        <w:t xml:space="preserve"> </w:t>
      </w:r>
      <w:r w:rsidRPr="00E45A58">
        <w:t>Tipo.</w:t>
      </w:r>
    </w:p>
    <w:p w:rsidRPr="00E45A58" w:rsidR="009B2575" w:rsidRDefault="009B2575" w14:paraId="3A92DC19" w14:textId="77777777">
      <w:pPr>
        <w:pStyle w:val="Textoindependiente"/>
        <w:spacing w:before="2"/>
        <w:rPr>
          <w:sz w:val="25"/>
        </w:rPr>
      </w:pPr>
    </w:p>
    <w:p w:rsidRPr="00E45A58" w:rsidR="009B2575" w:rsidRDefault="000422CC" w14:paraId="3A92DC1A" w14:textId="77777777">
      <w:pPr>
        <w:pStyle w:val="Textoindependiente"/>
        <w:spacing w:line="276" w:lineRule="auto"/>
        <w:ind w:left="100" w:right="108"/>
        <w:jc w:val="both"/>
      </w:pPr>
      <w:r w:rsidRPr="00E45A58">
        <w:t xml:space="preserve">En este sentido, y de acuerdo con la información brindada, si bien el objeto a contratar se enmarca en la definición de espacio público, la adecuación de los senderos peatonales y </w:t>
      </w:r>
      <w:r w:rsidRPr="00E45A58">
        <w:lastRenderedPageBreak/>
        <w:t>rampas de acceso al parque son obras que no están asociadas ni corresponden a una obra de infraestructura de transporte vial urbana, ya que su destinación, por ser un parque principalmente, es de uso recreativo-deportivo, por lo cual no es obligatoria la implementación de los Documentos Tipo, sin embargo, las Entidades Estatales pueden usar los requisitos incluidos en los Documentos Tipo como buenas prácticas, efectuando los ajustes necesarios de acuerdo con el alcance del objeto a</w:t>
      </w:r>
      <w:r w:rsidRPr="00E45A58">
        <w:rPr>
          <w:spacing w:val="-16"/>
        </w:rPr>
        <w:t xml:space="preserve"> </w:t>
      </w:r>
      <w:r w:rsidRPr="00E45A58">
        <w:t>contratar.</w:t>
      </w:r>
    </w:p>
    <w:p w:rsidRPr="00E45A58" w:rsidR="009B2575" w:rsidRDefault="009B2575" w14:paraId="3A92DC1B" w14:textId="77777777">
      <w:pPr>
        <w:pStyle w:val="Textoindependiente"/>
        <w:spacing w:before="6"/>
        <w:rPr>
          <w:sz w:val="25"/>
        </w:rPr>
      </w:pPr>
    </w:p>
    <w:p w:rsidRPr="00E45A58" w:rsidR="009B2575" w:rsidRDefault="000422CC" w14:paraId="3A92DC1C" w14:textId="77777777">
      <w:pPr>
        <w:pStyle w:val="Textoindependiente"/>
        <w:spacing w:line="276" w:lineRule="auto"/>
        <w:ind w:left="100" w:right="112"/>
        <w:jc w:val="both"/>
      </w:pPr>
      <w:r w:rsidRPr="00E45A58">
        <w:t>Este concepto tiene el alcance previsto en el artículo 28 del Código de Procedimiento Administrativo y de lo Contencioso Administrativo.</w:t>
      </w:r>
    </w:p>
    <w:p w:rsidRPr="00E45A58" w:rsidR="009B2575" w:rsidRDefault="00195B89" w14:paraId="3A92DC1D" w14:textId="77777777">
      <w:pPr>
        <w:pStyle w:val="Textoindependiente"/>
        <w:spacing w:before="8"/>
      </w:pPr>
      <w:r w:rsidRPr="00E45A58">
        <w:rPr>
          <w:noProof/>
          <w:lang w:val="en-US"/>
        </w:rPr>
        <mc:AlternateContent>
          <mc:Choice Requires="wps">
            <w:drawing>
              <wp:anchor distT="0" distB="0" distL="0" distR="0" simplePos="0" relativeHeight="487588352" behindDoc="1" locked="0" layoutInCell="1" allowOverlap="1" wp14:anchorId="3A92DC23" wp14:editId="3A92DC24">
                <wp:simplePos x="0" y="0"/>
                <wp:positionH relativeFrom="page">
                  <wp:posOffset>1514475</wp:posOffset>
                </wp:positionH>
                <wp:positionV relativeFrom="paragraph">
                  <wp:posOffset>195580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4pt;width:36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" w14:anchorId="4C75B413">
                <v:path arrowok="t" o:connecttype="custom" o:connectlocs="0,0;4686300,0" o:connectangles="0,0"/>
                <w10:wrap type="topAndBottom" anchorx="page"/>
              </v:shape>
            </w:pict>
          </mc:Fallback>
        </mc:AlternateContent>
      </w:r>
    </w:p>
    <w:p w:rsidR="009B2575" w:rsidRDefault="009B2575" w14:paraId="55736563" w14:textId="77777777"/>
    <w:p w:rsidRPr="00E45A58" w:rsidR="009B2575" w:rsidRDefault="000422CC" w14:paraId="3A92DC21" w14:textId="6F88EFBC">
      <w:pPr>
        <w:pStyle w:val="Textoindependiente"/>
        <w:spacing w:before="93"/>
        <w:ind w:left="100"/>
      </w:pPr>
      <w:r w:rsidRPr="00E45A58">
        <w:t>Atentamente,</w:t>
      </w:r>
      <w:bookmarkStart w:name="_GoBack" w:id="0"/>
      <w:bookmarkEnd w:id="0"/>
    </w:p>
    <w:p w:rsidR="00AB11EB" w:rsidP="001D375F" w:rsidRDefault="001D375F" w14:paraId="0DC24F39" w14:textId="7DFB76A2">
      <w:pPr>
        <w:pStyle w:val="Textoindependiente"/>
        <w:spacing w:before="79"/>
        <w:ind w:left="100"/>
        <w:jc w:val="center"/>
      </w:pPr>
      <w:r w:rsidR="001D375F">
        <w:drawing>
          <wp:inline wp14:editId="3008C336" wp14:anchorId="33031FE3">
            <wp:extent cx="2773045" cy="988695"/>
            <wp:effectExtent l="0" t="0" r="0" b="0"/>
            <wp:docPr id="419539617" name="Imagen 6" title=""/>
            <wp:cNvGraphicFramePr>
              <a:graphicFrameLocks/>
            </wp:cNvGraphicFramePr>
            <a:graphic>
              <a:graphicData uri="http://schemas.openxmlformats.org/drawingml/2006/picture">
                <pic:pic>
                  <pic:nvPicPr>
                    <pic:cNvPr id="0" name="Imagen 6"/>
                    <pic:cNvPicPr/>
                  </pic:nvPicPr>
                  <pic:blipFill>
                    <a:blip r:embed="Rc04bcd4673d34de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E45A58" w:rsidR="009B2575" w:rsidRDefault="000422CC" w14:paraId="3A92DC22" w14:textId="7265E57E">
      <w:pPr>
        <w:pStyle w:val="Textoindependiente"/>
        <w:spacing w:before="79"/>
        <w:ind w:left="100"/>
      </w:pPr>
      <w:r w:rsidRPr="00E45A58">
        <w:t xml:space="preserve">Proyectó: Ana </w:t>
      </w:r>
      <w:proofErr w:type="spellStart"/>
      <w:r w:rsidRPr="00E45A58">
        <w:t>Maria</w:t>
      </w:r>
      <w:proofErr w:type="spellEnd"/>
      <w:r w:rsidRPr="00E45A58">
        <w:t xml:space="preserve"> Pérez</w:t>
      </w:r>
    </w:p>
    <w:sectPr w:rsidRPr="00E45A58" w:rsidR="009B2575">
      <w:headerReference w:type="default" r:id="rId11"/>
      <w:footerReference w:type="default" r:id="rId12"/>
      <w:pgSz w:w="12240" w:h="15840" w:orient="portrait"/>
      <w:pgMar w:top="1560" w:right="1500" w:bottom="2140" w:left="16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011" w:rsidRDefault="003A0011" w14:paraId="3A92DC29" w14:textId="77777777">
      <w:r>
        <w:separator/>
      </w:r>
    </w:p>
  </w:endnote>
  <w:endnote w:type="continuationSeparator" w:id="0">
    <w:p w:rsidR="003A0011" w:rsidRDefault="003A0011" w14:paraId="3A92DC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9B2575" w:rsidRDefault="000422CC" w14:paraId="3A92DC2C" w14:textId="77777777">
    <w:pPr>
      <w:pStyle w:val="Textoindependiente"/>
      <w:spacing w:line="14" w:lineRule="auto"/>
      <w:rPr>
        <w:sz w:val="20"/>
      </w:rPr>
    </w:pPr>
    <w:r>
      <w:rPr>
        <w:noProof/>
        <w:lang w:val="en-US"/>
      </w:rPr>
      <w:drawing>
        <wp:anchor distT="0" distB="0" distL="0" distR="0" simplePos="0" relativeHeight="487519744" behindDoc="1" locked="0" layoutInCell="1" allowOverlap="1" wp14:anchorId="3A92DC2F" wp14:editId="3A92DC30">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4006609C">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011" w:rsidRDefault="003A0011" w14:paraId="3A92DC27" w14:textId="77777777">
      <w:r>
        <w:separator/>
      </w:r>
    </w:p>
  </w:footnote>
  <w:footnote w:type="continuationSeparator" w:id="0">
    <w:p w:rsidR="003A0011" w:rsidRDefault="003A0011" w14:paraId="3A92DC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9B2575" w:rsidRDefault="000422CC" w14:paraId="3A92DC2B" w14:textId="77777777">
    <w:pPr>
      <w:pStyle w:val="Textoindependiente"/>
      <w:spacing w:line="14" w:lineRule="auto"/>
      <w:rPr>
        <w:sz w:val="20"/>
      </w:rPr>
    </w:pPr>
    <w:r>
      <w:rPr>
        <w:noProof/>
        <w:lang w:val="en-US"/>
      </w:rPr>
      <w:drawing>
        <wp:anchor distT="0" distB="0" distL="0" distR="0" simplePos="0" relativeHeight="487519232" behindDoc="1" locked="0" layoutInCell="1" allowOverlap="1" wp14:anchorId="3A92DC2D" wp14:editId="3A92DC2E">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4006609C">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71E92"/>
    <w:multiLevelType w:val="hybridMultilevel"/>
    <w:tmpl w:val="79622446"/>
    <w:lvl w:ilvl="0" w:tplc="14101EB0">
      <w:start w:val="2"/>
      <w:numFmt w:val="decimal"/>
      <w:lvlText w:val="%1."/>
      <w:lvlJc w:val="left"/>
      <w:pPr>
        <w:ind w:left="100" w:hanging="270"/>
        <w:jc w:val="left"/>
      </w:pPr>
      <w:rPr>
        <w:rFonts w:hint="default" w:ascii="Arial" w:hAnsi="Arial" w:eastAsia="Arial" w:cs="Arial"/>
        <w:color w:val="auto"/>
        <w:spacing w:val="-1"/>
        <w:w w:val="100"/>
        <w:sz w:val="22"/>
        <w:szCs w:val="22"/>
        <w:lang w:val="es-ES" w:eastAsia="en-US" w:bidi="ar-SA"/>
      </w:rPr>
    </w:lvl>
    <w:lvl w:ilvl="1" w:tplc="69FC5A9E">
      <w:numFmt w:val="bullet"/>
      <w:lvlText w:val="•"/>
      <w:lvlJc w:val="left"/>
      <w:pPr>
        <w:ind w:left="1004" w:hanging="270"/>
      </w:pPr>
      <w:rPr>
        <w:rFonts w:hint="default"/>
        <w:lang w:val="es-ES" w:eastAsia="en-US" w:bidi="ar-SA"/>
      </w:rPr>
    </w:lvl>
    <w:lvl w:ilvl="2" w:tplc="DEC602BC">
      <w:numFmt w:val="bullet"/>
      <w:lvlText w:val="•"/>
      <w:lvlJc w:val="left"/>
      <w:pPr>
        <w:ind w:left="1908" w:hanging="270"/>
      </w:pPr>
      <w:rPr>
        <w:rFonts w:hint="default"/>
        <w:lang w:val="es-ES" w:eastAsia="en-US" w:bidi="ar-SA"/>
      </w:rPr>
    </w:lvl>
    <w:lvl w:ilvl="3" w:tplc="2F00895A">
      <w:numFmt w:val="bullet"/>
      <w:lvlText w:val="•"/>
      <w:lvlJc w:val="left"/>
      <w:pPr>
        <w:ind w:left="2812" w:hanging="270"/>
      </w:pPr>
      <w:rPr>
        <w:rFonts w:hint="default"/>
        <w:lang w:val="es-ES" w:eastAsia="en-US" w:bidi="ar-SA"/>
      </w:rPr>
    </w:lvl>
    <w:lvl w:ilvl="4" w:tplc="A3BA8310">
      <w:numFmt w:val="bullet"/>
      <w:lvlText w:val="•"/>
      <w:lvlJc w:val="left"/>
      <w:pPr>
        <w:ind w:left="3716" w:hanging="270"/>
      </w:pPr>
      <w:rPr>
        <w:rFonts w:hint="default"/>
        <w:lang w:val="es-ES" w:eastAsia="en-US" w:bidi="ar-SA"/>
      </w:rPr>
    </w:lvl>
    <w:lvl w:ilvl="5" w:tplc="8D742376">
      <w:numFmt w:val="bullet"/>
      <w:lvlText w:val="•"/>
      <w:lvlJc w:val="left"/>
      <w:pPr>
        <w:ind w:left="4620" w:hanging="270"/>
      </w:pPr>
      <w:rPr>
        <w:rFonts w:hint="default"/>
        <w:lang w:val="es-ES" w:eastAsia="en-US" w:bidi="ar-SA"/>
      </w:rPr>
    </w:lvl>
    <w:lvl w:ilvl="6" w:tplc="AB94F6DA">
      <w:numFmt w:val="bullet"/>
      <w:lvlText w:val="•"/>
      <w:lvlJc w:val="left"/>
      <w:pPr>
        <w:ind w:left="5524" w:hanging="270"/>
      </w:pPr>
      <w:rPr>
        <w:rFonts w:hint="default"/>
        <w:lang w:val="es-ES" w:eastAsia="en-US" w:bidi="ar-SA"/>
      </w:rPr>
    </w:lvl>
    <w:lvl w:ilvl="7" w:tplc="9C8297FA">
      <w:numFmt w:val="bullet"/>
      <w:lvlText w:val="•"/>
      <w:lvlJc w:val="left"/>
      <w:pPr>
        <w:ind w:left="6428" w:hanging="270"/>
      </w:pPr>
      <w:rPr>
        <w:rFonts w:hint="default"/>
        <w:lang w:val="es-ES" w:eastAsia="en-US" w:bidi="ar-SA"/>
      </w:rPr>
    </w:lvl>
    <w:lvl w:ilvl="8" w:tplc="D0500B16">
      <w:numFmt w:val="bullet"/>
      <w:lvlText w:val="•"/>
      <w:lvlJc w:val="left"/>
      <w:pPr>
        <w:ind w:left="7332" w:hanging="270"/>
      </w:pPr>
      <w:rPr>
        <w:rFonts w:hint="default"/>
        <w:lang w:val="es-ES" w:eastAsia="en-US" w:bidi="ar-SA"/>
      </w:rPr>
    </w:lvl>
  </w:abstractNum>
  <w:abstractNum w:abstractNumId="1" w15:restartNumberingAfterBreak="0">
    <w:nsid w:val="46C65761"/>
    <w:multiLevelType w:val="hybridMultilevel"/>
    <w:tmpl w:val="2E5CFD16"/>
    <w:lvl w:ilvl="0" w:tplc="DD3E372A">
      <w:numFmt w:val="bullet"/>
      <w:lvlText w:val=""/>
      <w:lvlJc w:val="left"/>
      <w:pPr>
        <w:ind w:left="385" w:hanging="285"/>
      </w:pPr>
      <w:rPr>
        <w:rFonts w:hint="default" w:ascii="Wingdings" w:hAnsi="Wingdings" w:eastAsia="Wingdings" w:cs="Wingdings"/>
        <w:color w:val="auto"/>
        <w:w w:val="100"/>
        <w:sz w:val="28"/>
        <w:szCs w:val="28"/>
        <w:lang w:val="es-ES" w:eastAsia="en-US" w:bidi="ar-SA"/>
      </w:rPr>
    </w:lvl>
    <w:lvl w:ilvl="1" w:tplc="7374C23C">
      <w:numFmt w:val="bullet"/>
      <w:lvlText w:val="•"/>
      <w:lvlJc w:val="left"/>
      <w:pPr>
        <w:ind w:left="1256" w:hanging="285"/>
      </w:pPr>
      <w:rPr>
        <w:rFonts w:hint="default"/>
        <w:lang w:val="es-ES" w:eastAsia="en-US" w:bidi="ar-SA"/>
      </w:rPr>
    </w:lvl>
    <w:lvl w:ilvl="2" w:tplc="F45AB22E">
      <w:numFmt w:val="bullet"/>
      <w:lvlText w:val="•"/>
      <w:lvlJc w:val="left"/>
      <w:pPr>
        <w:ind w:left="2132" w:hanging="285"/>
      </w:pPr>
      <w:rPr>
        <w:rFonts w:hint="default"/>
        <w:lang w:val="es-ES" w:eastAsia="en-US" w:bidi="ar-SA"/>
      </w:rPr>
    </w:lvl>
    <w:lvl w:ilvl="3" w:tplc="30B4B048">
      <w:numFmt w:val="bullet"/>
      <w:lvlText w:val="•"/>
      <w:lvlJc w:val="left"/>
      <w:pPr>
        <w:ind w:left="3008" w:hanging="285"/>
      </w:pPr>
      <w:rPr>
        <w:rFonts w:hint="default"/>
        <w:lang w:val="es-ES" w:eastAsia="en-US" w:bidi="ar-SA"/>
      </w:rPr>
    </w:lvl>
    <w:lvl w:ilvl="4" w:tplc="2904CB58">
      <w:numFmt w:val="bullet"/>
      <w:lvlText w:val="•"/>
      <w:lvlJc w:val="left"/>
      <w:pPr>
        <w:ind w:left="3884" w:hanging="285"/>
      </w:pPr>
      <w:rPr>
        <w:rFonts w:hint="default"/>
        <w:lang w:val="es-ES" w:eastAsia="en-US" w:bidi="ar-SA"/>
      </w:rPr>
    </w:lvl>
    <w:lvl w:ilvl="5" w:tplc="7156766C">
      <w:numFmt w:val="bullet"/>
      <w:lvlText w:val="•"/>
      <w:lvlJc w:val="left"/>
      <w:pPr>
        <w:ind w:left="4760" w:hanging="285"/>
      </w:pPr>
      <w:rPr>
        <w:rFonts w:hint="default"/>
        <w:lang w:val="es-ES" w:eastAsia="en-US" w:bidi="ar-SA"/>
      </w:rPr>
    </w:lvl>
    <w:lvl w:ilvl="6" w:tplc="74D452B4">
      <w:numFmt w:val="bullet"/>
      <w:lvlText w:val="•"/>
      <w:lvlJc w:val="left"/>
      <w:pPr>
        <w:ind w:left="5636" w:hanging="285"/>
      </w:pPr>
      <w:rPr>
        <w:rFonts w:hint="default"/>
        <w:lang w:val="es-ES" w:eastAsia="en-US" w:bidi="ar-SA"/>
      </w:rPr>
    </w:lvl>
    <w:lvl w:ilvl="7" w:tplc="47E69D3E">
      <w:numFmt w:val="bullet"/>
      <w:lvlText w:val="•"/>
      <w:lvlJc w:val="left"/>
      <w:pPr>
        <w:ind w:left="6512" w:hanging="285"/>
      </w:pPr>
      <w:rPr>
        <w:rFonts w:hint="default"/>
        <w:lang w:val="es-ES" w:eastAsia="en-US" w:bidi="ar-SA"/>
      </w:rPr>
    </w:lvl>
    <w:lvl w:ilvl="8" w:tplc="E5BC1FC4">
      <w:numFmt w:val="bullet"/>
      <w:lvlText w:val="•"/>
      <w:lvlJc w:val="left"/>
      <w:pPr>
        <w:ind w:left="7388" w:hanging="285"/>
      </w:pPr>
      <w:rPr>
        <w:rFonts w:hint="default"/>
        <w:lang w:val="es-ES" w:eastAsia="en-US" w:bidi="ar-SA"/>
      </w:rPr>
    </w:lvl>
  </w:abstractNum>
  <w:abstractNum w:abstractNumId="2" w15:restartNumberingAfterBreak="0">
    <w:nsid w:val="558A4CEA"/>
    <w:multiLevelType w:val="hybridMultilevel"/>
    <w:tmpl w:val="B6684056"/>
    <w:lvl w:ilvl="0" w:tplc="A7CE14FC">
      <w:start w:val="1"/>
      <w:numFmt w:val="decimal"/>
      <w:lvlText w:val="%1."/>
      <w:lvlJc w:val="left"/>
      <w:pPr>
        <w:ind w:left="343" w:hanging="243"/>
        <w:jc w:val="left"/>
      </w:pPr>
      <w:rPr>
        <w:rFonts w:hint="default" w:ascii="Arial" w:hAnsi="Arial" w:eastAsia="Arial" w:cs="Arial"/>
        <w:color w:val="auto"/>
        <w:spacing w:val="-1"/>
        <w:w w:val="100"/>
        <w:sz w:val="22"/>
        <w:szCs w:val="22"/>
        <w:lang w:val="es-ES" w:eastAsia="en-US" w:bidi="ar-SA"/>
      </w:rPr>
    </w:lvl>
    <w:lvl w:ilvl="1" w:tplc="9AF8B514">
      <w:numFmt w:val="bullet"/>
      <w:lvlText w:val="•"/>
      <w:lvlJc w:val="left"/>
      <w:pPr>
        <w:ind w:left="1220" w:hanging="243"/>
      </w:pPr>
      <w:rPr>
        <w:rFonts w:hint="default"/>
        <w:lang w:val="es-ES" w:eastAsia="en-US" w:bidi="ar-SA"/>
      </w:rPr>
    </w:lvl>
    <w:lvl w:ilvl="2" w:tplc="637ADDCC">
      <w:numFmt w:val="bullet"/>
      <w:lvlText w:val="•"/>
      <w:lvlJc w:val="left"/>
      <w:pPr>
        <w:ind w:left="2100" w:hanging="243"/>
      </w:pPr>
      <w:rPr>
        <w:rFonts w:hint="default"/>
        <w:lang w:val="es-ES" w:eastAsia="en-US" w:bidi="ar-SA"/>
      </w:rPr>
    </w:lvl>
    <w:lvl w:ilvl="3" w:tplc="72326BA4">
      <w:numFmt w:val="bullet"/>
      <w:lvlText w:val="•"/>
      <w:lvlJc w:val="left"/>
      <w:pPr>
        <w:ind w:left="2980" w:hanging="243"/>
      </w:pPr>
      <w:rPr>
        <w:rFonts w:hint="default"/>
        <w:lang w:val="es-ES" w:eastAsia="en-US" w:bidi="ar-SA"/>
      </w:rPr>
    </w:lvl>
    <w:lvl w:ilvl="4" w:tplc="11869DE2">
      <w:numFmt w:val="bullet"/>
      <w:lvlText w:val="•"/>
      <w:lvlJc w:val="left"/>
      <w:pPr>
        <w:ind w:left="3860" w:hanging="243"/>
      </w:pPr>
      <w:rPr>
        <w:rFonts w:hint="default"/>
        <w:lang w:val="es-ES" w:eastAsia="en-US" w:bidi="ar-SA"/>
      </w:rPr>
    </w:lvl>
    <w:lvl w:ilvl="5" w:tplc="6BB814AE">
      <w:numFmt w:val="bullet"/>
      <w:lvlText w:val="•"/>
      <w:lvlJc w:val="left"/>
      <w:pPr>
        <w:ind w:left="4740" w:hanging="243"/>
      </w:pPr>
      <w:rPr>
        <w:rFonts w:hint="default"/>
        <w:lang w:val="es-ES" w:eastAsia="en-US" w:bidi="ar-SA"/>
      </w:rPr>
    </w:lvl>
    <w:lvl w:ilvl="6" w:tplc="C9D44138">
      <w:numFmt w:val="bullet"/>
      <w:lvlText w:val="•"/>
      <w:lvlJc w:val="left"/>
      <w:pPr>
        <w:ind w:left="5620" w:hanging="243"/>
      </w:pPr>
      <w:rPr>
        <w:rFonts w:hint="default"/>
        <w:lang w:val="es-ES" w:eastAsia="en-US" w:bidi="ar-SA"/>
      </w:rPr>
    </w:lvl>
    <w:lvl w:ilvl="7" w:tplc="948A1F1E">
      <w:numFmt w:val="bullet"/>
      <w:lvlText w:val="•"/>
      <w:lvlJc w:val="left"/>
      <w:pPr>
        <w:ind w:left="6500" w:hanging="243"/>
      </w:pPr>
      <w:rPr>
        <w:rFonts w:hint="default"/>
        <w:lang w:val="es-ES" w:eastAsia="en-US" w:bidi="ar-SA"/>
      </w:rPr>
    </w:lvl>
    <w:lvl w:ilvl="8" w:tplc="131A51C0">
      <w:numFmt w:val="bullet"/>
      <w:lvlText w:val="•"/>
      <w:lvlJc w:val="left"/>
      <w:pPr>
        <w:ind w:left="7380" w:hanging="243"/>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75"/>
    <w:rsid w:val="000422CC"/>
    <w:rsid w:val="00195B89"/>
    <w:rsid w:val="001D375F"/>
    <w:rsid w:val="003A0011"/>
    <w:rsid w:val="0093624E"/>
    <w:rsid w:val="009B2575"/>
    <w:rsid w:val="00AB11EB"/>
    <w:rsid w:val="00B061F7"/>
    <w:rsid w:val="00BC581E"/>
    <w:rsid w:val="00C832FE"/>
    <w:rsid w:val="00E45A58"/>
    <w:rsid w:val="4006609C"/>
    <w:rsid w:val="571CE701"/>
    <w:rsid w:val="6B14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DBCA"/>
  <w15:docId w15:val="{A86E2322-C10C-40C3-9787-12171BA7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3" w:hanging="244"/>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c04bcd4673d34def"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4EC1D-0DC0-4D94-B67A-A87262E75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63E6B-03E5-4620-9EA6-9161CF75FDB9}">
  <ds:schemaRefs>
    <ds:schemaRef ds:uri="a6cb9e4b-f1d1-4245-83ec-6cad768d538a"/>
    <ds:schemaRef ds:uri="http://purl.org/dc/elements/1.1/"/>
    <ds:schemaRef ds:uri="http://purl.org/dc/dcmitype/"/>
    <ds:schemaRef ds:uri="9d85dbaf-23eb-4e57-a637-93dcacc8b1a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6255CE9-E445-4BC1-AF05-AC65C4D2DC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10</revision>
  <dcterms:created xsi:type="dcterms:W3CDTF">2020-03-25T17:59:00.0000000Z</dcterms:created>
  <dcterms:modified xsi:type="dcterms:W3CDTF">2020-07-09T15:17:07.7687263Z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vt:lpwstr>
  </property>
  <property fmtid="{D5CDD505-2E9C-101B-9397-08002B2CF9AE}" pid="4" name="LastSaved">
    <vt:filetime>2020-03-25T00:00:00Z</vt:filetime>
  </property>
  <property fmtid="{D5CDD505-2E9C-101B-9397-08002B2CF9AE}" pid="5" name="ContentTypeId">
    <vt:lpwstr>0x010100F2E0F32964D9B84EA054B84E5D4157A0</vt:lpwstr>
  </property>
</Properties>
</file>