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0033251B" w:rsidP="0094113E" w:rsidRDefault="0033251B" w14:paraId="4C8B57E0" w14:textId="77777777">
      <w:pPr>
        <w:ind w:left="102" w:right="108"/>
        <w:jc w:val="both"/>
        <w:rPr>
          <w:b/>
        </w:rPr>
      </w:pPr>
    </w:p>
    <w:p w:rsidR="0033251B" w:rsidP="66ADDC8D" w:rsidRDefault="0033251B" w14:paraId="4C8B57E1" w14:textId="4AC9C1E3">
      <w:pPr>
        <w:pStyle w:val="Textoindependiente"/>
        <w:spacing w:before="1"/>
        <w:ind w:left="102" w:right="108"/>
        <w:jc w:val="both"/>
        <w:rPr>
          <w:b w:val="1"/>
          <w:bCs w:val="1"/>
        </w:rPr>
      </w:pPr>
      <w:r w:rsidRPr="66ADDC8D" w:rsidR="0033251B">
        <w:rPr>
          <w:b w:val="1"/>
          <w:bCs w:val="1"/>
        </w:rPr>
        <w:t xml:space="preserve">EXPERIENCIA – </w:t>
      </w:r>
      <w:r w:rsidRPr="66ADDC8D" w:rsidR="4FCC6959">
        <w:rPr>
          <w:b w:val="1"/>
          <w:bCs w:val="1"/>
        </w:rPr>
        <w:t>Socios – S</w:t>
      </w:r>
      <w:r w:rsidRPr="66ADDC8D" w:rsidR="0033251B">
        <w:rPr>
          <w:b w:val="1"/>
          <w:bCs w:val="1"/>
        </w:rPr>
        <w:t>ociedades con menos de tres años de constitución – Decreto 1028 de 2015</w:t>
      </w:r>
    </w:p>
    <w:p w:rsidRPr="006167D2" w:rsidR="0033251B" w:rsidP="0094113E" w:rsidRDefault="0033251B" w14:paraId="4C8B57E2" w14:textId="77777777">
      <w:pPr>
        <w:ind w:left="102" w:right="108"/>
        <w:jc w:val="both"/>
        <w:rPr>
          <w:b/>
        </w:rPr>
      </w:pPr>
    </w:p>
    <w:p w:rsidR="00FD0A56" w:rsidP="0094113E" w:rsidRDefault="0033251B" w14:paraId="4C8B57E4" w14:textId="3713DD47">
      <w:pPr>
        <w:pStyle w:val="Textoindependiente"/>
        <w:spacing w:after="120"/>
        <w:ind w:left="102" w:right="108"/>
        <w:jc w:val="both"/>
        <w:rPr>
          <w:sz w:val="20"/>
          <w:szCs w:val="20"/>
        </w:rPr>
      </w:pPr>
      <w:r w:rsidRPr="00FD0A56">
        <w:rPr>
          <w:sz w:val="20"/>
          <w:szCs w:val="20"/>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ésta, como persona jurídica independiente, pueda cumplir con los requisitos que establezcan las entidades estatales en sus procesos de contratación, y de esta forma promover el desarrollo de la empresa y la pluralidad de oferentes en la contratación pública.</w:t>
      </w:r>
    </w:p>
    <w:p w:rsidRPr="00FD0A56" w:rsidR="0033251B" w:rsidP="0094113E" w:rsidRDefault="0033251B" w14:paraId="4C8B57E5" w14:textId="77777777">
      <w:pPr>
        <w:pStyle w:val="Textoindependiente"/>
        <w:spacing w:before="120"/>
        <w:ind w:left="102" w:right="108"/>
        <w:jc w:val="both"/>
        <w:rPr>
          <w:sz w:val="20"/>
          <w:szCs w:val="20"/>
        </w:rPr>
      </w:pPr>
      <w:r w:rsidRPr="00FD0A56">
        <w:rPr>
          <w:sz w:val="20"/>
          <w:szCs w:val="20"/>
        </w:rPr>
        <w:t>Así las cosas, el socio transfiere la experiencia adquirida directamente a la sociedad de la que es parte, momento desde el cual dicha experiencia comienza a ser parte de la sociedad como activo suyo.</w:t>
      </w:r>
    </w:p>
    <w:p w:rsidR="0033251B" w:rsidP="0094113E" w:rsidRDefault="0033251B" w14:paraId="4C8B57E6" w14:textId="77777777">
      <w:pPr>
        <w:ind w:left="102" w:right="108"/>
        <w:jc w:val="both"/>
        <w:rPr>
          <w:sz w:val="21"/>
          <w:szCs w:val="21"/>
        </w:rPr>
      </w:pPr>
    </w:p>
    <w:p w:rsidR="00FD0A56" w:rsidP="2FEB4C05" w:rsidRDefault="0033251B" w14:paraId="4C8B57E7" w14:textId="5D8458B4">
      <w:pPr>
        <w:pStyle w:val="Textoindependiente"/>
        <w:spacing w:before="1"/>
        <w:ind w:left="102" w:right="108"/>
        <w:jc w:val="both"/>
        <w:rPr>
          <w:b w:val="1"/>
          <w:bCs w:val="1"/>
        </w:rPr>
      </w:pPr>
      <w:r w:rsidRPr="2FEB4C05" w:rsidR="0033251B">
        <w:rPr>
          <w:b w:val="1"/>
          <w:bCs w:val="1"/>
        </w:rPr>
        <w:t>EXPERIENCIA – Transferencia de experiencia de socios – Sociedad con más de tres años de constitución – Registro único de proponentes</w:t>
      </w:r>
      <w:r w:rsidRPr="2FEB4C05" w:rsidR="3FE7E6E2">
        <w:rPr>
          <w:b w:val="1"/>
          <w:bCs w:val="1"/>
        </w:rPr>
        <w:t xml:space="preserve"> </w:t>
      </w:r>
      <w:r w:rsidRPr="2FEB4C05" w:rsidR="3FE7E6E2">
        <w:rPr>
          <w:b w:val="1"/>
          <w:bCs w:val="1"/>
          <w:noProof w:val="0"/>
          <w:sz w:val="22"/>
          <w:szCs w:val="22"/>
          <w:lang w:val="es-MX"/>
        </w:rPr>
        <w:t>– Renovación</w:t>
      </w:r>
    </w:p>
    <w:p w:rsidR="00FD0A56" w:rsidP="0094113E" w:rsidRDefault="00FD0A56" w14:paraId="4C8B57E8" w14:textId="77777777">
      <w:pPr>
        <w:pStyle w:val="Textoindependiente"/>
        <w:spacing w:before="1"/>
        <w:ind w:left="102" w:right="108"/>
        <w:jc w:val="both"/>
        <w:rPr>
          <w:b/>
        </w:rPr>
      </w:pPr>
    </w:p>
    <w:p w:rsidR="00CB4CBF" w:rsidP="0094113E" w:rsidRDefault="0033251B" w14:paraId="4C8B57E9" w14:textId="77777777">
      <w:pPr>
        <w:pStyle w:val="Textoindependiente"/>
        <w:spacing w:before="1"/>
        <w:ind w:left="102" w:right="108"/>
        <w:jc w:val="both"/>
        <w:rPr>
          <w:rFonts w:ascii="Times New Roman"/>
          <w:sz w:val="20"/>
        </w:rPr>
      </w:pPr>
      <w:r w:rsidRPr="00FD0A56">
        <w:rPr>
          <w:sz w:val="20"/>
          <w:szCs w:val="20"/>
        </w:rPr>
        <w:t>Si la persona jurídica con menos de tres años de constituida registra la experiencia de sus socios en el RUP, y éste es renovado, puede continuar utilizando la experiencia inscrita mientras no cesen los efectos del RUP. Por el contrario, si no se renueva y el socio no mantiene tal calidad o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rsidR="00CB4CBF" w:rsidP="0094113E" w:rsidRDefault="00CB4CBF" w14:paraId="4C8B57EA" w14:textId="77777777">
      <w:pPr>
        <w:pStyle w:val="Textoindependiente"/>
        <w:ind w:left="102" w:right="108"/>
        <w:rPr>
          <w:rFonts w:ascii="Times New Roman"/>
          <w:sz w:val="20"/>
        </w:rPr>
      </w:pPr>
    </w:p>
    <w:p w:rsidR="00CB4CBF" w:rsidP="0094113E" w:rsidRDefault="00011C60" w14:paraId="4C8B57EB" w14:textId="77777777">
      <w:pPr>
        <w:spacing w:before="215"/>
        <w:ind w:left="102" w:right="108"/>
        <w:rPr>
          <w:b/>
        </w:rPr>
      </w:pPr>
      <w:r>
        <w:t xml:space="preserve">Bogotá D.C., </w:t>
      </w:r>
      <w:r>
        <w:rPr>
          <w:b/>
        </w:rPr>
        <w:t>16/10/2019 Hora 13:44:4s</w:t>
      </w:r>
    </w:p>
    <w:p w:rsidR="00CB4CBF" w:rsidP="0094113E" w:rsidRDefault="00011C60" w14:paraId="4C8B57EC" w14:textId="77777777">
      <w:pPr>
        <w:pStyle w:val="Ttulo1"/>
        <w:spacing w:before="37"/>
        <w:ind w:left="102" w:right="108" w:firstLine="0"/>
        <w:jc w:val="right"/>
      </w:pPr>
      <w:r>
        <w:t>N° Radicado: 2201913000007699</w:t>
      </w:r>
    </w:p>
    <w:p w:rsidR="00CB4CBF" w:rsidP="0094113E" w:rsidRDefault="00CB4CBF" w14:paraId="4C8B57ED" w14:textId="77777777">
      <w:pPr>
        <w:pStyle w:val="Textoindependiente"/>
        <w:spacing w:before="7"/>
        <w:ind w:left="102" w:right="108"/>
        <w:rPr>
          <w:b/>
          <w:sz w:val="20"/>
        </w:rPr>
      </w:pPr>
    </w:p>
    <w:p w:rsidRPr="0078667C" w:rsidR="00CB4CBF" w:rsidP="0078667C" w:rsidRDefault="00011C60" w14:paraId="4C8B57EE" w14:textId="77777777">
      <w:pPr>
        <w:pStyle w:val="Textoindependiente"/>
        <w:ind w:left="102" w:right="108"/>
      </w:pPr>
      <w:r w:rsidRPr="0078667C">
        <w:t>Señor</w:t>
      </w:r>
    </w:p>
    <w:p w:rsidRPr="0078667C" w:rsidR="0094113E" w:rsidP="0078667C" w:rsidRDefault="00011C60" w14:paraId="39CF341A" w14:textId="77777777">
      <w:pPr>
        <w:ind w:left="102" w:right="108"/>
        <w:rPr>
          <w:b/>
        </w:rPr>
      </w:pPr>
      <w:r w:rsidRPr="0078667C">
        <w:rPr>
          <w:b/>
        </w:rPr>
        <w:t xml:space="preserve">Ciudadano Anónimo </w:t>
      </w:r>
    </w:p>
    <w:p w:rsidRPr="0078667C" w:rsidR="0078667C" w:rsidP="0078667C" w:rsidRDefault="0078667C" w14:paraId="78F7B1E3" w14:textId="77777777">
      <w:pPr>
        <w:ind w:left="102" w:right="108"/>
      </w:pPr>
      <w:hyperlink w:history="1" r:id="rId10">
        <w:r w:rsidRPr="0078667C">
          <w:rPr>
            <w:rStyle w:val="Hipervnculo"/>
            <w:color w:val="auto"/>
            <w:u w:val="none"/>
          </w:rPr>
          <w:t>ciudadanoanonimocce@outlook.com</w:t>
        </w:r>
      </w:hyperlink>
      <w:r w:rsidRPr="0078667C" w:rsidR="00011C60">
        <w:t xml:space="preserve"> </w:t>
      </w:r>
    </w:p>
    <w:p w:rsidRPr="0078667C" w:rsidR="00CB4CBF" w:rsidP="0078667C" w:rsidRDefault="00011C60" w14:paraId="4C8B57EF" w14:textId="07559311">
      <w:pPr>
        <w:ind w:left="102" w:right="108"/>
      </w:pPr>
      <w:r w:rsidRPr="0078667C">
        <w:t>Ciudad</w:t>
      </w:r>
    </w:p>
    <w:p w:rsidRPr="0078667C" w:rsidR="00CB4CBF" w:rsidP="0078667C" w:rsidRDefault="00CB4CBF" w14:paraId="4C8B57F0" w14:textId="77777777">
      <w:pPr>
        <w:pStyle w:val="Textoindependiente"/>
      </w:pPr>
    </w:p>
    <w:p w:rsidRPr="0078667C" w:rsidR="00CB4CBF" w:rsidP="0078667C" w:rsidRDefault="00CB4CBF" w14:paraId="4C8B57F1" w14:textId="77777777">
      <w:pPr>
        <w:pStyle w:val="Textoindependiente"/>
      </w:pPr>
    </w:p>
    <w:p w:rsidRPr="0078667C" w:rsidR="00CB4CBF" w:rsidP="0078667C" w:rsidRDefault="00011C60" w14:paraId="4C8B57F2" w14:textId="77777777">
      <w:pPr>
        <w:tabs>
          <w:tab w:val="left" w:pos="3640"/>
        </w:tabs>
        <w:ind w:left="100"/>
      </w:pPr>
      <w:r w:rsidRPr="0078667C">
        <w:rPr>
          <w:b/>
        </w:rPr>
        <w:t>Radicación:</w:t>
      </w:r>
      <w:r w:rsidRPr="0078667C">
        <w:rPr>
          <w:b/>
        </w:rPr>
        <w:tab/>
      </w:r>
      <w:r w:rsidRPr="0078667C">
        <w:t>Respuesta a consulta</w:t>
      </w:r>
      <w:r w:rsidRPr="0078667C">
        <w:rPr>
          <w:spacing w:val="-5"/>
        </w:rPr>
        <w:t xml:space="preserve"> </w:t>
      </w:r>
      <w:r w:rsidRPr="0078667C">
        <w:t>#4201912000005994</w:t>
      </w:r>
    </w:p>
    <w:p w:rsidRPr="0078667C" w:rsidR="00CB4CBF" w:rsidP="0078667C" w:rsidRDefault="00011C60" w14:paraId="4C8B57F3" w14:textId="77777777">
      <w:pPr>
        <w:tabs>
          <w:tab w:val="left" w:pos="3640"/>
        </w:tabs>
        <w:ind w:left="100"/>
      </w:pPr>
      <w:r w:rsidRPr="0078667C">
        <w:rPr>
          <w:b/>
        </w:rPr>
        <w:t>Temas:</w:t>
      </w:r>
      <w:r w:rsidRPr="0078667C">
        <w:rPr>
          <w:b/>
        </w:rPr>
        <w:tab/>
      </w:r>
      <w:r w:rsidRPr="0078667C">
        <w:t>Experiencia,</w:t>
      </w:r>
      <w:r w:rsidRPr="0078667C">
        <w:rPr>
          <w:spacing w:val="-3"/>
        </w:rPr>
        <w:t xml:space="preserve"> </w:t>
      </w:r>
      <w:r w:rsidRPr="0078667C">
        <w:t>RUP.</w:t>
      </w:r>
    </w:p>
    <w:p w:rsidRPr="0078667C" w:rsidR="00CB4CBF" w:rsidP="0078667C" w:rsidRDefault="00011C60" w14:paraId="4C8B57F4" w14:textId="77777777">
      <w:pPr>
        <w:tabs>
          <w:tab w:val="left" w:pos="3640"/>
        </w:tabs>
        <w:ind w:left="100"/>
      </w:pPr>
      <w:r w:rsidRPr="0078667C">
        <w:rPr>
          <w:b/>
        </w:rPr>
        <w:t>Tipo de</w:t>
      </w:r>
      <w:r w:rsidRPr="0078667C">
        <w:rPr>
          <w:b/>
          <w:spacing w:val="-4"/>
        </w:rPr>
        <w:t xml:space="preserve"> </w:t>
      </w:r>
      <w:r w:rsidRPr="0078667C">
        <w:rPr>
          <w:b/>
        </w:rPr>
        <w:t>asunto</w:t>
      </w:r>
      <w:r w:rsidRPr="0078667C">
        <w:rPr>
          <w:b/>
          <w:spacing w:val="-2"/>
        </w:rPr>
        <w:t xml:space="preserve"> </w:t>
      </w:r>
      <w:r w:rsidRPr="0078667C">
        <w:rPr>
          <w:b/>
        </w:rPr>
        <w:t>consultado:</w:t>
      </w:r>
      <w:r w:rsidRPr="0078667C">
        <w:rPr>
          <w:b/>
        </w:rPr>
        <w:tab/>
      </w:r>
      <w:r w:rsidRPr="0078667C">
        <w:t>Vigencia</w:t>
      </w:r>
      <w:r w:rsidRPr="0078667C">
        <w:rPr>
          <w:spacing w:val="24"/>
        </w:rPr>
        <w:t xml:space="preserve"> </w:t>
      </w:r>
      <w:r w:rsidRPr="0078667C">
        <w:t>de</w:t>
      </w:r>
      <w:r w:rsidRPr="0078667C">
        <w:rPr>
          <w:spacing w:val="25"/>
        </w:rPr>
        <w:t xml:space="preserve"> </w:t>
      </w:r>
      <w:r w:rsidRPr="0078667C">
        <w:t>la</w:t>
      </w:r>
      <w:r w:rsidRPr="0078667C">
        <w:rPr>
          <w:spacing w:val="24"/>
        </w:rPr>
        <w:t xml:space="preserve"> </w:t>
      </w:r>
      <w:r w:rsidRPr="0078667C">
        <w:t>experiencia</w:t>
      </w:r>
      <w:r w:rsidRPr="0078667C">
        <w:rPr>
          <w:spacing w:val="25"/>
        </w:rPr>
        <w:t xml:space="preserve"> </w:t>
      </w:r>
      <w:r w:rsidRPr="0078667C">
        <w:t>del</w:t>
      </w:r>
      <w:r w:rsidRPr="0078667C">
        <w:rPr>
          <w:spacing w:val="25"/>
        </w:rPr>
        <w:t xml:space="preserve"> </w:t>
      </w:r>
      <w:r w:rsidRPr="0078667C">
        <w:t>socio</w:t>
      </w:r>
      <w:r w:rsidRPr="0078667C">
        <w:rPr>
          <w:spacing w:val="25"/>
        </w:rPr>
        <w:t xml:space="preserve"> </w:t>
      </w:r>
      <w:r w:rsidRPr="0078667C">
        <w:t>de</w:t>
      </w:r>
      <w:r w:rsidRPr="0078667C">
        <w:rPr>
          <w:spacing w:val="24"/>
        </w:rPr>
        <w:t xml:space="preserve"> </w:t>
      </w:r>
      <w:r w:rsidRPr="0078667C">
        <w:t>una</w:t>
      </w:r>
      <w:r w:rsidRPr="0078667C">
        <w:rPr>
          <w:spacing w:val="24"/>
        </w:rPr>
        <w:t xml:space="preserve"> </w:t>
      </w:r>
      <w:r w:rsidRPr="0078667C">
        <w:t>sociedad</w:t>
      </w:r>
    </w:p>
    <w:p w:rsidRPr="0078667C" w:rsidR="00CB4CBF" w:rsidP="0078667C" w:rsidRDefault="00011C60" w14:paraId="4C8B57F5" w14:textId="77777777">
      <w:pPr>
        <w:pStyle w:val="Textoindependiente"/>
        <w:spacing w:line="278" w:lineRule="auto"/>
        <w:ind w:left="3641" w:right="154"/>
      </w:pPr>
      <w:r w:rsidRPr="0078667C">
        <w:t>de menos de 3 años de constituida, a la fecha de cierre del proceso o en la fecha de</w:t>
      </w:r>
      <w:r w:rsidRPr="0078667C">
        <w:rPr>
          <w:spacing w:val="-14"/>
        </w:rPr>
        <w:t xml:space="preserve"> </w:t>
      </w:r>
      <w:r w:rsidRPr="0078667C">
        <w:t>adjudicación</w:t>
      </w:r>
    </w:p>
    <w:p w:rsidRPr="0078667C" w:rsidR="00CB4CBF" w:rsidP="0078667C" w:rsidRDefault="00CB4CBF" w14:paraId="4C8B57F6" w14:textId="77777777">
      <w:pPr>
        <w:pStyle w:val="Textoindependiente"/>
      </w:pPr>
    </w:p>
    <w:p w:rsidRPr="0078667C" w:rsidR="00CB4CBF" w:rsidP="0078667C" w:rsidRDefault="00CB4CBF" w14:paraId="4C8B57F7" w14:textId="77777777">
      <w:pPr>
        <w:pStyle w:val="Textoindependiente"/>
      </w:pPr>
    </w:p>
    <w:p w:rsidRPr="0078667C" w:rsidR="00CB4CBF" w:rsidP="0078667C" w:rsidRDefault="00011C60" w14:paraId="4C8B57F8" w14:textId="77777777">
      <w:pPr>
        <w:pStyle w:val="Textoindependiente"/>
        <w:ind w:left="100"/>
      </w:pPr>
      <w:r w:rsidRPr="0078667C">
        <w:t>Estimado ciudadano:</w:t>
      </w:r>
    </w:p>
    <w:p w:rsidRPr="0078667C" w:rsidR="00CB4CBF" w:rsidP="0078667C" w:rsidRDefault="00CB4CBF" w14:paraId="4C8B57F9" w14:textId="77777777">
      <w:pPr>
        <w:pStyle w:val="Textoindependiente"/>
      </w:pPr>
    </w:p>
    <w:p w:rsidRPr="0078667C" w:rsidR="00CB4CBF" w:rsidP="0078667C" w:rsidRDefault="00011C60" w14:paraId="4C8B57FA" w14:textId="77777777">
      <w:pPr>
        <w:pStyle w:val="Textoindependiente"/>
        <w:spacing w:line="276" w:lineRule="auto"/>
        <w:ind w:left="100" w:right="107"/>
        <w:jc w:val="both"/>
      </w:pPr>
      <w:r w:rsidRPr="0078667C">
        <w:t>La Agencia Nacional de Contratación Pública - Colombia Compra Eficiente responde su consulta del 3 de septiembre de 2019, en ejercicio de la competencia otorgada por el numeral 5° del artículo 3° y el numeral 8° del artículo 11 del Decreto 4170 de 2011.</w:t>
      </w:r>
    </w:p>
    <w:p w:rsidRPr="0078667C" w:rsidR="00CB4CBF" w:rsidP="0078667C" w:rsidRDefault="00CB4CBF" w14:paraId="4C8B57FB" w14:textId="77777777">
      <w:pPr>
        <w:pStyle w:val="Textoindependiente"/>
      </w:pPr>
    </w:p>
    <w:p w:rsidRPr="0078667C" w:rsidR="00CB4CBF" w:rsidP="0078667C" w:rsidRDefault="00011C60" w14:paraId="4C8B57FC" w14:textId="77777777">
      <w:pPr>
        <w:pStyle w:val="Ttulo1"/>
        <w:numPr>
          <w:ilvl w:val="0"/>
          <w:numId w:val="1"/>
        </w:numPr>
        <w:tabs>
          <w:tab w:val="left" w:pos="344"/>
        </w:tabs>
        <w:ind w:hanging="244"/>
      </w:pPr>
      <w:r w:rsidRPr="0078667C">
        <w:t>Problema</w:t>
      </w:r>
      <w:r w:rsidRPr="0078667C">
        <w:rPr>
          <w:spacing w:val="-2"/>
        </w:rPr>
        <w:t xml:space="preserve"> </w:t>
      </w:r>
      <w:r w:rsidRPr="0078667C">
        <w:t>planteado</w:t>
      </w:r>
    </w:p>
    <w:p w:rsidRPr="0078667C" w:rsidR="00CB4CBF" w:rsidP="0078667C" w:rsidRDefault="00CB4CBF" w14:paraId="4C8B57FD" w14:textId="77777777">
      <w:pPr>
        <w:pStyle w:val="Textoindependiente"/>
        <w:rPr>
          <w:b/>
        </w:rPr>
      </w:pPr>
    </w:p>
    <w:p w:rsidRPr="0078667C" w:rsidR="00CB4CBF" w:rsidP="0078667C" w:rsidRDefault="00011C60" w14:paraId="4C8B57FE" w14:textId="77777777">
      <w:pPr>
        <w:pStyle w:val="Textoindependiente"/>
        <w:spacing w:line="276" w:lineRule="auto"/>
        <w:ind w:left="100" w:right="106"/>
        <w:jc w:val="both"/>
      </w:pPr>
      <w:r w:rsidRPr="0078667C">
        <w:t>“¿La experiencia del accionista en una empresa de menos de tres años de constituida debe estar vigente en la fecha de cierre del proceso o en la fecha de adjudicación? ¿Qué ocurre si en el cierre está vigente pero en la adjudicación ya pasaron los tres</w:t>
      </w:r>
      <w:r w:rsidRPr="0078667C">
        <w:rPr>
          <w:spacing w:val="-27"/>
        </w:rPr>
        <w:t xml:space="preserve"> </w:t>
      </w:r>
      <w:r w:rsidRPr="0078667C">
        <w:t>años?”.</w:t>
      </w:r>
    </w:p>
    <w:p w:rsidRPr="0078667C" w:rsidR="00CB4CBF" w:rsidP="0078667C" w:rsidRDefault="00CB4CBF" w14:paraId="4C8B57FF" w14:textId="77777777">
      <w:pPr>
        <w:pStyle w:val="Textoindependiente"/>
      </w:pPr>
    </w:p>
    <w:p w:rsidRPr="0078667C" w:rsidR="00CB4CBF" w:rsidP="0078667C" w:rsidRDefault="00011C60" w14:paraId="4C8B5800" w14:textId="77777777">
      <w:pPr>
        <w:pStyle w:val="Ttulo1"/>
        <w:numPr>
          <w:ilvl w:val="0"/>
          <w:numId w:val="1"/>
        </w:numPr>
        <w:tabs>
          <w:tab w:val="left" w:pos="344"/>
        </w:tabs>
        <w:ind w:hanging="244"/>
      </w:pPr>
      <w:r w:rsidRPr="0078667C">
        <w:t>Consideraciones</w:t>
      </w:r>
    </w:p>
    <w:p w:rsidRPr="0078667C" w:rsidR="00CB4CBF" w:rsidP="0078667C" w:rsidRDefault="00CB4CBF" w14:paraId="4C8B5801" w14:textId="77777777">
      <w:pPr>
        <w:pStyle w:val="Textoindependiente"/>
        <w:rPr>
          <w:b/>
        </w:rPr>
      </w:pPr>
    </w:p>
    <w:p w:rsidRPr="0078667C" w:rsidR="00CB4CBF" w:rsidP="0078667C" w:rsidRDefault="00011C60" w14:paraId="4C8B5802" w14:textId="77777777">
      <w:pPr>
        <w:pStyle w:val="Textoindependiente"/>
        <w:spacing w:line="276" w:lineRule="auto"/>
        <w:ind w:left="100" w:right="112"/>
        <w:jc w:val="both"/>
      </w:pPr>
      <w:r w:rsidRPr="0078667C">
        <w:t>El numeral 2.5 del artículo 2.2.1.1.1.5.2 del Decreto 1082 de 2015 permite a las personas jurídicas, cuya constitución sea menor a tres (3) años, acreditar la experiencia de sus accionistas, socios o constituyentes:</w:t>
      </w:r>
    </w:p>
    <w:p w:rsidRPr="0078667C" w:rsidR="00CB4CBF" w:rsidP="0078667C" w:rsidRDefault="00CB4CBF" w14:paraId="4C8B5803" w14:textId="77777777">
      <w:pPr>
        <w:pStyle w:val="Textoindependiente"/>
      </w:pPr>
    </w:p>
    <w:p w:rsidR="00CB4CBF" w:rsidP="0033251B" w:rsidRDefault="00011C60" w14:paraId="4C8B5804" w14:textId="77777777">
      <w:pPr>
        <w:pStyle w:val="Textoindependiente"/>
        <w:spacing w:line="276" w:lineRule="auto"/>
        <w:ind w:left="808" w:right="1102"/>
        <w:jc w:val="both"/>
      </w:pPr>
      <w:r>
        <w:t>“Artículo 2.2.1.1.1.5.2. Información para inscripción, renovación o actualización. El interesado debe presentar a cualquier cámara de comercio del país una solicitud de registro, acompañada de la siguiente</w:t>
      </w:r>
      <w:r w:rsidR="0033251B">
        <w:t xml:space="preserve"> </w:t>
      </w:r>
      <w:r>
        <w:t>información. La cámara de comercio del domicilio del solicitante es la responsable de la inscripción, renovación o actualización correspondiente:</w:t>
      </w:r>
    </w:p>
    <w:p w:rsidR="00CB4CBF" w:rsidRDefault="00011C60" w14:paraId="4C8B5805" w14:textId="77777777">
      <w:pPr>
        <w:pStyle w:val="Textoindependiente"/>
        <w:spacing w:before="3"/>
        <w:ind w:left="808"/>
      </w:pPr>
      <w:r>
        <w:t>“(…)</w:t>
      </w:r>
    </w:p>
    <w:p w:rsidR="00CB4CBF" w:rsidRDefault="00CB4CBF" w14:paraId="4C8B5806" w14:textId="77777777">
      <w:pPr>
        <w:pStyle w:val="Textoindependiente"/>
        <w:spacing w:before="4"/>
        <w:rPr>
          <w:sz w:val="28"/>
        </w:rPr>
      </w:pPr>
    </w:p>
    <w:p w:rsidR="00CB4CBF" w:rsidRDefault="00011C60" w14:paraId="4C8B5807" w14:textId="77777777">
      <w:pPr>
        <w:pStyle w:val="Textoindependiente"/>
        <w:tabs>
          <w:tab w:val="left" w:pos="1305"/>
        </w:tabs>
        <w:spacing w:before="1"/>
        <w:ind w:left="808"/>
      </w:pPr>
      <w:r>
        <w:t>“2.</w:t>
      </w:r>
      <w:r>
        <w:tab/>
      </w:r>
      <w:r>
        <w:t>Si es una persona</w:t>
      </w:r>
      <w:r>
        <w:rPr>
          <w:spacing w:val="-2"/>
        </w:rPr>
        <w:t xml:space="preserve"> </w:t>
      </w:r>
      <w:r>
        <w:t>jurídica:</w:t>
      </w:r>
    </w:p>
    <w:p w:rsidR="00CB4CBF" w:rsidRDefault="00011C60" w14:paraId="4C8B5808" w14:textId="77777777">
      <w:pPr>
        <w:pStyle w:val="Textoindependiente"/>
        <w:spacing w:before="39"/>
        <w:ind w:left="808"/>
      </w:pPr>
      <w:r>
        <w:t>“(…)</w:t>
      </w:r>
    </w:p>
    <w:p w:rsidR="00CB4CBF" w:rsidRDefault="00CB4CBF" w14:paraId="4C8B5809" w14:textId="77777777">
      <w:pPr>
        <w:pStyle w:val="Textoindependiente"/>
        <w:spacing w:before="5"/>
        <w:rPr>
          <w:sz w:val="28"/>
        </w:rPr>
      </w:pPr>
    </w:p>
    <w:p w:rsidR="00CB4CBF" w:rsidRDefault="00011C60" w14:paraId="4C8B580A" w14:textId="77777777">
      <w:pPr>
        <w:pStyle w:val="Textoindependiente"/>
        <w:spacing w:line="276" w:lineRule="auto"/>
        <w:ind w:left="808" w:right="1099"/>
        <w:jc w:val="both"/>
      </w:pPr>
      <w:r>
        <w:t xml:space="preserve">“2.5.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r>
        <w:rPr>
          <w:u w:val="single"/>
        </w:rPr>
        <w:t>Si la constitución del interesado es menor a tres (3) años,</w:t>
      </w:r>
      <w:r>
        <w:t xml:space="preserve"> </w:t>
      </w:r>
      <w:r>
        <w:rPr>
          <w:u w:val="single"/>
        </w:rPr>
        <w:t>puede acreditar la experiencia de sus accionistas, socios o</w:t>
      </w:r>
      <w:r>
        <w:t xml:space="preserve"> </w:t>
      </w:r>
      <w:r>
        <w:rPr>
          <w:u w:val="single"/>
        </w:rPr>
        <w:t>constituyentes</w:t>
      </w:r>
      <w:r>
        <w:t>” (Subrayado fuera del texto</w:t>
      </w:r>
      <w:r>
        <w:rPr>
          <w:spacing w:val="-6"/>
        </w:rPr>
        <w:t xml:space="preserve"> </w:t>
      </w:r>
      <w:r>
        <w:t>original).</w:t>
      </w:r>
    </w:p>
    <w:p w:rsidR="00CB4CBF" w:rsidRDefault="00CB4CBF" w14:paraId="4C8B580B" w14:textId="77777777">
      <w:pPr>
        <w:pStyle w:val="Textoindependiente"/>
        <w:spacing w:before="5"/>
        <w:rPr>
          <w:sz w:val="17"/>
        </w:rPr>
      </w:pPr>
    </w:p>
    <w:p w:rsidRPr="00890919" w:rsidR="00CB4CBF" w:rsidP="00890919" w:rsidRDefault="00011C60" w14:paraId="4C8B580C" w14:textId="77777777">
      <w:pPr>
        <w:pStyle w:val="Textoindependiente"/>
        <w:spacing w:line="276" w:lineRule="auto"/>
        <w:ind w:left="100" w:right="107"/>
        <w:jc w:val="both"/>
      </w:pPr>
      <w:r w:rsidRPr="00890919">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ésta, como persona jurídica independiente, pueda cumplir con los requisitos que establezcan las entidades estatales en sus procesos de contratación, y de esta forma promover el desarrollo de la empresa y la pluralidad de oferentes en la contratación pública.</w:t>
      </w:r>
    </w:p>
    <w:p w:rsidRPr="00890919" w:rsidR="00CB4CBF" w:rsidP="00890919" w:rsidRDefault="00CB4CBF" w14:paraId="4C8B580D" w14:textId="77777777">
      <w:pPr>
        <w:pStyle w:val="Textoindependiente"/>
      </w:pPr>
    </w:p>
    <w:p w:rsidRPr="00890919" w:rsidR="00CB4CBF" w:rsidP="00890919" w:rsidRDefault="00011C60" w14:paraId="4C8B580E" w14:textId="77777777">
      <w:pPr>
        <w:pStyle w:val="Textoindependiente"/>
        <w:spacing w:line="276" w:lineRule="auto"/>
        <w:ind w:left="100" w:right="103"/>
        <w:jc w:val="both"/>
      </w:pPr>
      <w:r w:rsidRPr="00890919">
        <w:t>Ahora bien, el Decreto 1082 de 2015 autoriza a las personas jurídicas, cuya constitución sea menor a tres (3) años, acreditar la experiencia de sus accionistas, socios o constituyentes; sin embargo, no determinó si la experiencia acreditada seguiría siendo válida culminado el término de 3 años desde la constitución de la sociedad. Ante este vacío, resulta necesario remitirse a la finalidad de la norma y a los principios que gobiernan la contratación</w:t>
      </w:r>
      <w:r w:rsidRPr="00890919">
        <w:rPr>
          <w:spacing w:val="-3"/>
        </w:rPr>
        <w:t xml:space="preserve"> </w:t>
      </w:r>
      <w:r w:rsidRPr="00890919">
        <w:t>estatal.</w:t>
      </w:r>
    </w:p>
    <w:p w:rsidRPr="00890919" w:rsidR="00CB4CBF" w:rsidP="00890919" w:rsidRDefault="00CB4CBF" w14:paraId="4C8B580F" w14:textId="77777777">
      <w:pPr>
        <w:pStyle w:val="Textoindependiente"/>
      </w:pPr>
    </w:p>
    <w:p w:rsidRPr="00890919" w:rsidR="00CB4CBF" w:rsidP="00890919" w:rsidRDefault="00011C60" w14:paraId="4C8B5810" w14:textId="77777777">
      <w:pPr>
        <w:pStyle w:val="Textoindependiente"/>
        <w:spacing w:line="276" w:lineRule="auto"/>
        <w:ind w:left="100" w:right="107"/>
        <w:jc w:val="both"/>
      </w:pPr>
      <w:r w:rsidRPr="00890919">
        <w:t>En efecto, tal como se mencionó, la finalidad del numeral 2.5 del artículo 2.2.1.1.1.5.2 del Decreto 1082 de 2015 es permitir que las sociedades que no cuentan con la experiencia suficiente para contratar con el Estado puedan apoyarse en la experiencia de sus</w:t>
      </w:r>
      <w:r w:rsidRPr="00890919" w:rsidR="0033251B">
        <w:t xml:space="preserve"> </w:t>
      </w:r>
      <w:r w:rsidRPr="00890919">
        <w:t>accionistas, socios o constituyentes con el fin de incentivar la libre competencia y la pluralidad de oferentes en la contratación estatal. Así las cosas, el socio transfiere la experiencia adquirida directamente a la sociedad de la que es parte, momento desde el cual dicha experiencia comienza a ser parte de la sociedad como activo suyo.</w:t>
      </w:r>
    </w:p>
    <w:p w:rsidRPr="00890919" w:rsidR="00CB4CBF" w:rsidP="00890919" w:rsidRDefault="00CB4CBF" w14:paraId="4C8B5811" w14:textId="77777777">
      <w:pPr>
        <w:pStyle w:val="Textoindependiente"/>
      </w:pPr>
    </w:p>
    <w:p w:rsidRPr="00890919" w:rsidR="00CB4CBF" w:rsidP="00890919" w:rsidRDefault="00011C60" w14:paraId="4C8B5812" w14:textId="77777777">
      <w:pPr>
        <w:pStyle w:val="Textoindependiente"/>
        <w:spacing w:line="276" w:lineRule="auto"/>
        <w:ind w:left="100" w:right="109"/>
        <w:jc w:val="both"/>
      </w:pPr>
      <w:r w:rsidRPr="00890919">
        <w:t>Adicionalmente, el Decreto 1082 de 2015 establece que la persona inscrita en el RUP debe presentar la información para renovar su registro a más tardar el quinto día hábil del mes de abril de cada año, de lo contrario cesan sus</w:t>
      </w:r>
      <w:r w:rsidRPr="00890919">
        <w:rPr>
          <w:spacing w:val="-10"/>
        </w:rPr>
        <w:t xml:space="preserve"> </w:t>
      </w:r>
      <w:r w:rsidRPr="00890919">
        <w:t>efectos:</w:t>
      </w:r>
    </w:p>
    <w:p w:rsidRPr="00890919" w:rsidR="00CB4CBF" w:rsidP="00890919" w:rsidRDefault="00CB4CBF" w14:paraId="4C8B5813" w14:textId="77777777">
      <w:pPr>
        <w:pStyle w:val="Textoindependiente"/>
      </w:pPr>
    </w:p>
    <w:p w:rsidR="00CB4CBF" w:rsidRDefault="00011C60" w14:paraId="4C8B5814" w14:textId="77777777">
      <w:pPr>
        <w:pStyle w:val="Textoindependiente"/>
        <w:ind w:left="808" w:right="1101"/>
        <w:jc w:val="both"/>
      </w:pPr>
      <w: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w:t>
      </w:r>
      <w:r>
        <w:rPr>
          <w:spacing w:val="-2"/>
        </w:rPr>
        <w:t xml:space="preserve"> </w:t>
      </w:r>
      <w:r>
        <w:t>ley.</w:t>
      </w:r>
    </w:p>
    <w:p w:rsidR="00CB4CBF" w:rsidRDefault="00CB4CBF" w14:paraId="4C8B5815" w14:textId="77777777">
      <w:pPr>
        <w:pStyle w:val="Textoindependiente"/>
        <w:spacing w:before="11"/>
        <w:rPr>
          <w:sz w:val="21"/>
        </w:rPr>
      </w:pPr>
    </w:p>
    <w:p w:rsidR="00CB4CBF" w:rsidRDefault="00011C60" w14:paraId="4C8B5816" w14:textId="77777777">
      <w:pPr>
        <w:pStyle w:val="Textoindependiente"/>
        <w:ind w:left="808" w:right="1101"/>
        <w:jc w:val="both"/>
      </w:pPr>
      <w: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 Los inscritos en el RUP pueden en cualquier momento solicitar a la cámara de comercio cancelar su</w:t>
      </w:r>
      <w:r>
        <w:rPr>
          <w:spacing w:val="-4"/>
        </w:rPr>
        <w:t xml:space="preserve"> </w:t>
      </w:r>
      <w:r>
        <w:t>inscripción”.</w:t>
      </w:r>
    </w:p>
    <w:p w:rsidR="00CB4CBF" w:rsidRDefault="00CB4CBF" w14:paraId="4C8B5817" w14:textId="77777777">
      <w:pPr>
        <w:pStyle w:val="Textoindependiente"/>
        <w:spacing w:before="5"/>
        <w:rPr>
          <w:sz w:val="25"/>
        </w:rPr>
      </w:pPr>
    </w:p>
    <w:p w:rsidRPr="00890919" w:rsidR="00CB4CBF" w:rsidP="00890919" w:rsidRDefault="00011C60" w14:paraId="4C8B5818" w14:textId="77777777">
      <w:pPr>
        <w:pStyle w:val="Textoindependiente"/>
        <w:spacing w:line="276" w:lineRule="auto"/>
        <w:ind w:left="100" w:right="106"/>
        <w:jc w:val="both"/>
      </w:pPr>
      <w:r w:rsidRPr="00890919">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el socio no mantiene tal calidad o la persona jurídica supera los tres años </w:t>
      </w:r>
      <w:r w:rsidRPr="00890919">
        <w:rPr>
          <w:spacing w:val="-3"/>
        </w:rPr>
        <w:t>de</w:t>
      </w:r>
      <w:r w:rsidRPr="00890919">
        <w:rPr>
          <w:spacing w:val="55"/>
        </w:rPr>
        <w:t xml:space="preserve"> </w:t>
      </w:r>
      <w:r w:rsidRPr="00890919">
        <w:t>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rsidRPr="00890919" w:rsidR="00CB4CBF" w:rsidP="00890919" w:rsidRDefault="00CB4CBF" w14:paraId="4C8B5819" w14:textId="77777777">
      <w:pPr>
        <w:pStyle w:val="Textoindependiente"/>
      </w:pPr>
    </w:p>
    <w:p w:rsidRPr="00890919" w:rsidR="00CB4CBF" w:rsidP="00890919" w:rsidRDefault="00011C60" w14:paraId="4C8B581A" w14:textId="77777777">
      <w:pPr>
        <w:pStyle w:val="Textoindependiente"/>
        <w:spacing w:line="276" w:lineRule="auto"/>
        <w:ind w:left="100" w:right="111"/>
        <w:jc w:val="both"/>
      </w:pPr>
      <w:r w:rsidRPr="00890919">
        <w:t xml:space="preserve">Lo anterior, encuentra fundamento en la Circular Única de la Superintendencia de Industria </w:t>
      </w:r>
      <w:r w:rsidRPr="00890919">
        <w:lastRenderedPageBreak/>
        <w:t>y Comercio, en el numeral 4.2, sobre el procedimiento para llevar el registro único de proponentes, que establece:</w:t>
      </w:r>
    </w:p>
    <w:p w:rsidRPr="00890919" w:rsidR="00CB4CBF" w:rsidP="00890919" w:rsidRDefault="00CB4CBF" w14:paraId="4C8B581B" w14:textId="77777777">
      <w:pPr>
        <w:pStyle w:val="Textoindependiente"/>
      </w:pPr>
    </w:p>
    <w:p w:rsidR="00CB4CBF" w:rsidRDefault="00011C60" w14:paraId="4C8B581C" w14:textId="77777777">
      <w:pPr>
        <w:pStyle w:val="Textoindependiente"/>
        <w:ind w:left="808" w:right="814"/>
        <w:jc w:val="both"/>
      </w:pPr>
      <w: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rsidRPr="00890919" w:rsidR="00CB4CBF" w:rsidP="00890919" w:rsidRDefault="00CB4CBF" w14:paraId="4C8B581D" w14:textId="77777777">
      <w:pPr>
        <w:pStyle w:val="Textoindependiente"/>
      </w:pPr>
    </w:p>
    <w:p w:rsidRPr="00890919" w:rsidR="00CB4CBF" w:rsidP="00890919" w:rsidRDefault="00011C60" w14:paraId="4C8B581E" w14:textId="77777777">
      <w:pPr>
        <w:pStyle w:val="Textoindependiente"/>
        <w:spacing w:line="276" w:lineRule="auto"/>
        <w:ind w:left="100" w:right="108"/>
        <w:jc w:val="both"/>
      </w:pPr>
      <w:r w:rsidRPr="00890919">
        <w:t>Así las cosas, con el fin de incentivar la participación continúa y constante de los proponentes, las entidades estatales, en sus procesos de contratación, adoptarán como válida la experiencia de los socios, accionistas o constituyentes incluso después de que éstos se retiren cuando han pasado más de tres años de constitución, pues esta interpretación permite incentivar la creación de empresa y generar una mayor participación de las empresas recién constituidas.</w:t>
      </w:r>
    </w:p>
    <w:p w:rsidRPr="00890919" w:rsidR="00CB4CBF" w:rsidP="00890919" w:rsidRDefault="00CB4CBF" w14:paraId="4C8B581F" w14:textId="77777777">
      <w:pPr>
        <w:pStyle w:val="Textoindependiente"/>
      </w:pPr>
    </w:p>
    <w:p w:rsidRPr="00890919" w:rsidR="00CB4CBF" w:rsidP="00890919" w:rsidRDefault="00011C60" w14:paraId="4C8B5820" w14:textId="77777777">
      <w:pPr>
        <w:pStyle w:val="Textoindependiente"/>
        <w:spacing w:line="276" w:lineRule="auto"/>
        <w:ind w:left="100" w:right="107"/>
        <w:jc w:val="both"/>
      </w:pPr>
      <w:r w:rsidRPr="00890919">
        <w:t>Como consecuencia de las consideraciones antes expuestas, para efectos de la evaluación de las ofertas, la entidad estatal debe tener como válida la experiencia de los socios o accionistas presentada antes del cierre, incluso cuando a la fecha de adjudicación la sociedad supera los tres años desde su</w:t>
      </w:r>
      <w:r w:rsidRPr="00890919">
        <w:rPr>
          <w:spacing w:val="-13"/>
        </w:rPr>
        <w:t xml:space="preserve"> </w:t>
      </w:r>
      <w:r w:rsidRPr="00890919">
        <w:t>constitución.</w:t>
      </w:r>
    </w:p>
    <w:p w:rsidRPr="00890919" w:rsidR="00CB4CBF" w:rsidP="00890919" w:rsidRDefault="00CB4CBF" w14:paraId="4C8B5821" w14:textId="77777777">
      <w:pPr>
        <w:pStyle w:val="Textoindependiente"/>
      </w:pPr>
    </w:p>
    <w:p w:rsidRPr="00890919" w:rsidR="00CB4CBF" w:rsidP="00890919" w:rsidRDefault="00011C60" w14:paraId="4C8B5822" w14:textId="77777777">
      <w:pPr>
        <w:pStyle w:val="Ttulo1"/>
        <w:numPr>
          <w:ilvl w:val="0"/>
          <w:numId w:val="1"/>
        </w:numPr>
        <w:tabs>
          <w:tab w:val="left" w:pos="344"/>
        </w:tabs>
        <w:ind w:hanging="244"/>
      </w:pPr>
      <w:r w:rsidRPr="00890919">
        <w:t>Respuesta</w:t>
      </w:r>
    </w:p>
    <w:p w:rsidRPr="00890919" w:rsidR="00CB4CBF" w:rsidP="00890919" w:rsidRDefault="00CB4CBF" w14:paraId="4C8B5823" w14:textId="77777777">
      <w:pPr>
        <w:pStyle w:val="Textoindependiente"/>
        <w:rPr>
          <w:b/>
        </w:rPr>
      </w:pPr>
    </w:p>
    <w:p w:rsidRPr="00890919" w:rsidR="00CB4CBF" w:rsidP="00890919" w:rsidRDefault="00011C60" w14:paraId="4C8B5824" w14:textId="77777777">
      <w:pPr>
        <w:pStyle w:val="Textoindependiente"/>
        <w:spacing w:line="276" w:lineRule="auto"/>
        <w:ind w:left="100" w:right="104"/>
        <w:jc w:val="both"/>
      </w:pPr>
      <w:r w:rsidRPr="00890919">
        <w:t>La experiencia de los accionistas registrada en el RUP y presentada antes del cierre debe ser tenida en cuenta por las entidades estatales, durante todo el proceso de contratación. Esta experiencia es válida incluso después de los tres años de constitución de la sociedad siempre que el proponente renueve su RUP dentro del término.</w:t>
      </w:r>
    </w:p>
    <w:p w:rsidRPr="00890919" w:rsidR="00CB4CBF" w:rsidP="00890919" w:rsidRDefault="00CB4CBF" w14:paraId="4C8B5825" w14:textId="77777777">
      <w:pPr>
        <w:pStyle w:val="Textoindependiente"/>
      </w:pPr>
    </w:p>
    <w:p w:rsidRPr="00890919" w:rsidR="00CB4CBF" w:rsidP="00890919" w:rsidRDefault="00CB4CBF" w14:paraId="4C8B5826" w14:textId="77777777">
      <w:pPr>
        <w:pStyle w:val="Textoindependiente"/>
      </w:pPr>
    </w:p>
    <w:p w:rsidRPr="00890919" w:rsidR="00890919" w:rsidP="00890919" w:rsidRDefault="00011C60" w14:paraId="6F44E96E" w14:textId="4A3BDCE1">
      <w:pPr>
        <w:pStyle w:val="Textoindependiente"/>
        <w:spacing w:line="278" w:lineRule="auto"/>
        <w:ind w:left="100" w:right="104"/>
        <w:jc w:val="both"/>
      </w:pPr>
      <w:r w:rsidRPr="00890919">
        <w:t>Este concepto tiene el alcance previsto en el artículo 28 del Código de Procedimiento Administrativo y de lo Contencioso Administrativo.</w:t>
      </w:r>
    </w:p>
    <w:p w:rsidR="00CB4CBF" w:rsidRDefault="00192D2D" w14:paraId="4C8B5828" w14:textId="77777777">
      <w:pPr>
        <w:pStyle w:val="Textoindependiente"/>
        <w:spacing w:line="20" w:lineRule="exact"/>
        <w:ind w:left="777"/>
        <w:rPr>
          <w:sz w:val="2"/>
        </w:rPr>
      </w:pPr>
      <w:r>
        <w:rPr>
          <w:noProof/>
          <w:sz w:val="2"/>
          <w:lang w:val="en-US"/>
        </w:rPr>
        <mc:AlternateContent>
          <mc:Choice Requires="wpg">
            <w:drawing>
              <wp:inline distT="0" distB="0" distL="0" distR="0" wp14:anchorId="4C8B582C" wp14:editId="4C8B582D">
                <wp:extent cx="4686300" cy="9525"/>
                <wp:effectExtent l="13970" t="635" r="5080"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4" name="Line 3"/>
                        <wps:cNvCnPr>
                          <a:cxnSpLocks noChangeShapeType="1"/>
                        </wps:cNvCnPr>
                        <wps:spPr bwMode="auto">
                          <a:xfrm>
                            <a:off x="0" y="8"/>
                            <a:ext cx="738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4425E7C6">
              <v:group id="Group 2" style="width:369pt;height:.75pt;mso-position-horizontal-relative:char;mso-position-vertical-relative:line" coordsize="7380,15" o:spid="_x0000_s1026" w14:anchorId="3E754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">
                <v:line id="Line 3" style="position:absolute;visibility:visible;mso-wrap-style:square" o:spid="_x0000_s1027" strokecolor="#dbdbdb" o:connectortype="straight" from="0,8" to="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"/>
                <w10:anchorlock/>
              </v:group>
            </w:pict>
          </mc:Fallback>
        </mc:AlternateContent>
      </w:r>
    </w:p>
    <w:p w:rsidR="00CB4CBF" w:rsidRDefault="00CB4CBF" w14:paraId="4C8B5829" w14:textId="77777777">
      <w:pPr>
        <w:pStyle w:val="Textoindependiente"/>
        <w:spacing w:before="6"/>
      </w:pPr>
    </w:p>
    <w:p w:rsidR="00CB4CBF" w:rsidRDefault="00011C60" w14:paraId="4C8B582A" w14:textId="75957FE6">
      <w:pPr>
        <w:pStyle w:val="Textoindependiente"/>
        <w:ind w:left="100"/>
      </w:pPr>
      <w:r>
        <w:t>Atentamente,</w:t>
      </w:r>
    </w:p>
    <w:p w:rsidR="004554ED" w:rsidP="001E0A16" w:rsidRDefault="001E0A16" w14:paraId="75DD3CC2" w14:textId="08974DC6">
      <w:pPr>
        <w:spacing w:before="81"/>
        <w:ind w:left="100"/>
        <w:jc w:val="center"/>
        <w:rPr>
          <w:sz w:val="20"/>
        </w:rPr>
      </w:pPr>
      <w:bookmarkStart w:name="_GoBack" w:id="0"/>
      <w:r w:rsidR="001E0A16">
        <w:drawing>
          <wp:inline wp14:editId="2FEB4C05" wp14:anchorId="2F8F6AB0">
            <wp:extent cx="2773045" cy="988695"/>
            <wp:effectExtent l="0" t="0" r="0" b="0"/>
            <wp:docPr id="1072162530" name="Imagen 6" title=""/>
            <wp:cNvGraphicFramePr>
              <a:graphicFrameLocks/>
            </wp:cNvGraphicFramePr>
            <a:graphic>
              <a:graphicData uri="http://schemas.openxmlformats.org/drawingml/2006/picture">
                <pic:pic>
                  <pic:nvPicPr>
                    <pic:cNvPr id="0" name="Imagen 6"/>
                    <pic:cNvPicPr/>
                  </pic:nvPicPr>
                  <pic:blipFill>
                    <a:blip r:embed="R50f2820737ff4ab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bookmarkEnd w:id="0"/>
    </w:p>
    <w:p w:rsidR="00CB4CBF" w:rsidRDefault="00011C60" w14:paraId="4C8B582B" w14:textId="0358846F">
      <w:pPr>
        <w:spacing w:before="81"/>
        <w:ind w:left="100"/>
        <w:rPr>
          <w:sz w:val="20"/>
        </w:rPr>
      </w:pPr>
      <w:r>
        <w:rPr>
          <w:sz w:val="20"/>
        </w:rPr>
        <w:t>Proyectó: Carlos José Mansilla Jáuregui</w:t>
      </w:r>
    </w:p>
    <w:sectPr w:rsidR="00CB4CBF">
      <w:headerReference w:type="default" r:id="rId12"/>
      <w:footerReference w:type="default" r:id="rId13"/>
      <w:pgSz w:w="12240" w:h="15840" w:orient="portrait"/>
      <w:pgMar w:top="1560" w:right="1500" w:bottom="2140" w:left="1600" w:header="737" w:footer="1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13B" w:rsidRDefault="009A013B" w14:paraId="4C8B5832" w14:textId="77777777">
      <w:r>
        <w:separator/>
      </w:r>
    </w:p>
  </w:endnote>
  <w:endnote w:type="continuationSeparator" w:id="0">
    <w:p w:rsidR="009A013B" w:rsidRDefault="009A013B" w14:paraId="4C8B58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B4CBF" w:rsidRDefault="00011C60" w14:paraId="4C8B5835" w14:textId="77777777">
    <w:pPr>
      <w:pStyle w:val="Textoindependiente"/>
      <w:spacing w:line="14" w:lineRule="auto"/>
      <w:rPr>
        <w:sz w:val="20"/>
      </w:rPr>
    </w:pPr>
    <w:r>
      <w:rPr>
        <w:noProof/>
        <w:lang w:val="en-US"/>
      </w:rPr>
      <w:drawing>
        <wp:anchor distT="0" distB="0" distL="0" distR="0" simplePos="0" relativeHeight="487524352" behindDoc="1" locked="0" layoutInCell="1" allowOverlap="1" wp14:anchorId="4C8B5838" wp14:editId="4C8B5839">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66ADDC8D">
      <w:rPr/>
      <w:t/>
    </w:r>
    <w:r w:rsidR="2FEB4C05">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13B" w:rsidRDefault="009A013B" w14:paraId="4C8B5830" w14:textId="77777777">
      <w:r>
        <w:separator/>
      </w:r>
    </w:p>
  </w:footnote>
  <w:footnote w:type="continuationSeparator" w:id="0">
    <w:p w:rsidR="009A013B" w:rsidRDefault="009A013B" w14:paraId="4C8B583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B4CBF" w:rsidRDefault="00011C60" w14:paraId="4C8B5834" w14:textId="77777777">
    <w:pPr>
      <w:pStyle w:val="Textoindependiente"/>
      <w:spacing w:line="14" w:lineRule="auto"/>
      <w:rPr>
        <w:sz w:val="20"/>
      </w:rPr>
    </w:pPr>
    <w:r>
      <w:rPr>
        <w:noProof/>
        <w:lang w:val="en-US"/>
      </w:rPr>
      <w:drawing>
        <wp:anchor distT="0" distB="0" distL="0" distR="0" simplePos="0" relativeHeight="487523840" behindDoc="1" locked="0" layoutInCell="1" allowOverlap="1" wp14:anchorId="4C8B5836" wp14:editId="4C8B5837">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66ADDC8D">
      <w:rPr/>
      <w:t/>
    </w:r>
    <w:r w:rsidR="2FEB4C05">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B4E05"/>
    <w:multiLevelType w:val="hybridMultilevel"/>
    <w:tmpl w:val="A24E25D8"/>
    <w:lvl w:ilvl="0" w:tplc="3402ABCA">
      <w:start w:val="1"/>
      <w:numFmt w:val="decimal"/>
      <w:lvlText w:val="%1."/>
      <w:lvlJc w:val="left"/>
      <w:pPr>
        <w:ind w:left="343" w:hanging="243"/>
        <w:jc w:val="left"/>
      </w:pPr>
      <w:rPr>
        <w:rFonts w:hint="default" w:ascii="Arial" w:hAnsi="Arial" w:eastAsia="Arial" w:cs="Arial"/>
        <w:b/>
        <w:bCs/>
        <w:spacing w:val="-1"/>
        <w:w w:val="100"/>
        <w:sz w:val="22"/>
        <w:szCs w:val="22"/>
        <w:lang w:val="es-ES" w:eastAsia="en-US" w:bidi="ar-SA"/>
      </w:rPr>
    </w:lvl>
    <w:lvl w:ilvl="1" w:tplc="F06C20E0">
      <w:numFmt w:val="bullet"/>
      <w:lvlText w:val="•"/>
      <w:lvlJc w:val="left"/>
      <w:pPr>
        <w:ind w:left="1220" w:hanging="243"/>
      </w:pPr>
      <w:rPr>
        <w:rFonts w:hint="default"/>
        <w:lang w:val="es-ES" w:eastAsia="en-US" w:bidi="ar-SA"/>
      </w:rPr>
    </w:lvl>
    <w:lvl w:ilvl="2" w:tplc="995E19E6">
      <w:numFmt w:val="bullet"/>
      <w:lvlText w:val="•"/>
      <w:lvlJc w:val="left"/>
      <w:pPr>
        <w:ind w:left="2100" w:hanging="243"/>
      </w:pPr>
      <w:rPr>
        <w:rFonts w:hint="default"/>
        <w:lang w:val="es-ES" w:eastAsia="en-US" w:bidi="ar-SA"/>
      </w:rPr>
    </w:lvl>
    <w:lvl w:ilvl="3" w:tplc="065AF5BA">
      <w:numFmt w:val="bullet"/>
      <w:lvlText w:val="•"/>
      <w:lvlJc w:val="left"/>
      <w:pPr>
        <w:ind w:left="2980" w:hanging="243"/>
      </w:pPr>
      <w:rPr>
        <w:rFonts w:hint="default"/>
        <w:lang w:val="es-ES" w:eastAsia="en-US" w:bidi="ar-SA"/>
      </w:rPr>
    </w:lvl>
    <w:lvl w:ilvl="4" w:tplc="A7DA01B6">
      <w:numFmt w:val="bullet"/>
      <w:lvlText w:val="•"/>
      <w:lvlJc w:val="left"/>
      <w:pPr>
        <w:ind w:left="3860" w:hanging="243"/>
      </w:pPr>
      <w:rPr>
        <w:rFonts w:hint="default"/>
        <w:lang w:val="es-ES" w:eastAsia="en-US" w:bidi="ar-SA"/>
      </w:rPr>
    </w:lvl>
    <w:lvl w:ilvl="5" w:tplc="E3FC016A">
      <w:numFmt w:val="bullet"/>
      <w:lvlText w:val="•"/>
      <w:lvlJc w:val="left"/>
      <w:pPr>
        <w:ind w:left="4740" w:hanging="243"/>
      </w:pPr>
      <w:rPr>
        <w:rFonts w:hint="default"/>
        <w:lang w:val="es-ES" w:eastAsia="en-US" w:bidi="ar-SA"/>
      </w:rPr>
    </w:lvl>
    <w:lvl w:ilvl="6" w:tplc="7A300ED8">
      <w:numFmt w:val="bullet"/>
      <w:lvlText w:val="•"/>
      <w:lvlJc w:val="left"/>
      <w:pPr>
        <w:ind w:left="5620" w:hanging="243"/>
      </w:pPr>
      <w:rPr>
        <w:rFonts w:hint="default"/>
        <w:lang w:val="es-ES" w:eastAsia="en-US" w:bidi="ar-SA"/>
      </w:rPr>
    </w:lvl>
    <w:lvl w:ilvl="7" w:tplc="E4EA80EE">
      <w:numFmt w:val="bullet"/>
      <w:lvlText w:val="•"/>
      <w:lvlJc w:val="left"/>
      <w:pPr>
        <w:ind w:left="6500" w:hanging="243"/>
      </w:pPr>
      <w:rPr>
        <w:rFonts w:hint="default"/>
        <w:lang w:val="es-ES" w:eastAsia="en-US" w:bidi="ar-SA"/>
      </w:rPr>
    </w:lvl>
    <w:lvl w:ilvl="8" w:tplc="975C12CA">
      <w:numFmt w:val="bullet"/>
      <w:lvlText w:val="•"/>
      <w:lvlJc w:val="left"/>
      <w:pPr>
        <w:ind w:left="7380" w:hanging="243"/>
      </w:pPr>
      <w:rPr>
        <w:rFonts w:hint="default"/>
        <w:lang w:val="es-ES" w:eastAsia="en-US" w:bidi="ar-SA"/>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BF"/>
    <w:rsid w:val="00011C60"/>
    <w:rsid w:val="00192D2D"/>
    <w:rsid w:val="001E0A16"/>
    <w:rsid w:val="0033251B"/>
    <w:rsid w:val="004554ED"/>
    <w:rsid w:val="005A67D2"/>
    <w:rsid w:val="0078667C"/>
    <w:rsid w:val="00890919"/>
    <w:rsid w:val="0094113E"/>
    <w:rsid w:val="009A013B"/>
    <w:rsid w:val="00CB4CBF"/>
    <w:rsid w:val="00FD0A56"/>
    <w:rsid w:val="0931BF54"/>
    <w:rsid w:val="2FEB4C05"/>
    <w:rsid w:val="3FE7E6E2"/>
    <w:rsid w:val="4FCC6959"/>
    <w:rsid w:val="66ADD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57E0"/>
  <w15:docId w15:val="{C2EA7FAD-29AC-4277-839E-09CDAD1411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43"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43" w:hanging="244"/>
    </w:pPr>
  </w:style>
  <w:style w:type="paragraph" w:styleId="TableParagraph" w:customStyle="1">
    <w:name w:val="Table Paragraph"/>
    <w:basedOn w:val="Normal"/>
    <w:uiPriority w:val="1"/>
    <w:qFormat/>
  </w:style>
  <w:style w:type="character" w:styleId="Hipervnculo">
    <w:name w:val="Hyperlink"/>
    <w:basedOn w:val="Fuentedeprrafopredeter"/>
    <w:uiPriority w:val="99"/>
    <w:unhideWhenUsed/>
    <w:rsid w:val="0078667C"/>
    <w:rPr>
      <w:color w:val="0000FF" w:themeColor="hyperlink"/>
      <w:u w:val="single"/>
    </w:rPr>
  </w:style>
  <w:style w:type="character" w:styleId="Mencinsinresolver">
    <w:name w:val="Unresolved Mention"/>
    <w:basedOn w:val="Fuentedeprrafopredeter"/>
    <w:uiPriority w:val="99"/>
    <w:semiHidden/>
    <w:unhideWhenUsed/>
    <w:rsid w:val="00786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ciudadanoanonimocce@outlook.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5.png" Id="R50f2820737ff4ab5"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A1906-E51D-4F20-89A2-B09FBEE612C4}">
  <ds:schemaRefs>
    <ds:schemaRef ds:uri="http://purl.org/dc/dcmitype/"/>
    <ds:schemaRef ds:uri="http://purl.org/dc/elements/1.1/"/>
    <ds:schemaRef ds:uri="http://purl.org/dc/terms/"/>
    <ds:schemaRef ds:uri="http://schemas.microsoft.com/office/2006/documentManagement/types"/>
    <ds:schemaRef ds:uri="http://www.w3.org/XML/1998/namespace"/>
    <ds:schemaRef ds:uri="a6cb9e4b-f1d1-4245-83ec-6cad768d538a"/>
    <ds:schemaRef ds:uri="http://schemas.microsoft.com/office/2006/metadata/properties"/>
    <ds:schemaRef ds:uri="http://schemas.microsoft.com/office/infopath/2007/PartnerControls"/>
    <ds:schemaRef ds:uri="http://schemas.openxmlformats.org/package/2006/metadata/core-properties"/>
    <ds:schemaRef ds:uri="9d85dbaf-23eb-4e57-a637-93dcacc8b1a1"/>
  </ds:schemaRefs>
</ds:datastoreItem>
</file>

<file path=customXml/itemProps2.xml><?xml version="1.0" encoding="utf-8"?>
<ds:datastoreItem xmlns:ds="http://schemas.openxmlformats.org/officeDocument/2006/customXml" ds:itemID="{CDABCE5E-A0B9-4762-B793-E5F4A51BBC1D}">
  <ds:schemaRefs>
    <ds:schemaRef ds:uri="http://schemas.microsoft.com/sharepoint/v3/contenttype/forms"/>
  </ds:schemaRefs>
</ds:datastoreItem>
</file>

<file path=customXml/itemProps3.xml><?xml version="1.0" encoding="utf-8"?>
<ds:datastoreItem xmlns:ds="http://schemas.openxmlformats.org/officeDocument/2006/customXml" ds:itemID="{B3FAFE85-2567-4B12-A0F6-9D8DBF506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12</revision>
  <dcterms:created xsi:type="dcterms:W3CDTF">2020-03-25T18:40:00.0000000Z</dcterms:created>
  <dcterms:modified xsi:type="dcterms:W3CDTF">2020-07-12T21:20:45.3646389Z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Word</vt:lpwstr>
  </property>
  <property fmtid="{D5CDD505-2E9C-101B-9397-08002B2CF9AE}" pid="4" name="LastSaved">
    <vt:filetime>2020-03-25T00:00:00Z</vt:filetime>
  </property>
  <property fmtid="{D5CDD505-2E9C-101B-9397-08002B2CF9AE}" pid="5" name="ContentTypeId">
    <vt:lpwstr>0x010100F2E0F32964D9B84EA054B84E5D4157A0</vt:lpwstr>
  </property>
</Properties>
</file>