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4A2B75" w:rsidR="00301F43" w:rsidP="004B3D79" w:rsidRDefault="00301F43" w14:paraId="64BCBDD3" w14:textId="77777777">
      <w:pPr>
        <w:ind w:left="102" w:right="102"/>
        <w:jc w:val="both"/>
        <w:rPr>
          <w:b/>
          <w:lang w:val="es-MX"/>
        </w:rPr>
      </w:pPr>
    </w:p>
    <w:p w:rsidRPr="004A2B75" w:rsidR="00301F43" w:rsidP="004B3D79" w:rsidRDefault="00301F43" w14:paraId="64BCBDD4" w14:textId="77777777">
      <w:pPr>
        <w:pStyle w:val="Textoindependiente"/>
        <w:ind w:left="102" w:right="102"/>
        <w:jc w:val="both"/>
        <w:rPr>
          <w:b/>
          <w:lang w:val="es-MX"/>
        </w:rPr>
      </w:pPr>
      <w:r w:rsidRPr="004A2B75">
        <w:rPr>
          <w:b/>
          <w:lang w:val="es-MX"/>
        </w:rPr>
        <w:t>DOCUMENTOS TIPO – Anexo 1 – Anexo Técnico – Interpretación</w:t>
      </w:r>
    </w:p>
    <w:p w:rsidRPr="004A2B75" w:rsidR="00301F43" w:rsidP="004B3D79" w:rsidRDefault="00301F43" w14:paraId="64BCBDD5" w14:textId="77777777">
      <w:pPr>
        <w:ind w:left="102" w:right="102"/>
        <w:jc w:val="both"/>
        <w:rPr>
          <w:b/>
          <w:lang w:val="es-MX"/>
        </w:rPr>
      </w:pPr>
    </w:p>
    <w:p w:rsidRPr="004A2B75" w:rsidR="00AD15AD" w:rsidP="004B3D79" w:rsidRDefault="00301F43" w14:paraId="64BCBDD7" w14:textId="410F1388">
      <w:pPr>
        <w:pStyle w:val="Textoindependiente"/>
        <w:spacing w:after="120"/>
        <w:ind w:left="102" w:right="102"/>
        <w:jc w:val="both"/>
        <w:rPr>
          <w:sz w:val="20"/>
          <w:szCs w:val="20"/>
          <w:lang w:val="es-MX"/>
        </w:rPr>
      </w:pPr>
      <w:r w:rsidRPr="004A2B75">
        <w:rPr>
          <w:sz w:val="20"/>
          <w:szCs w:val="20"/>
          <w:lang w:val="es-MX"/>
        </w:rPr>
        <w:t>El “Anexo 1 – Anexo Técnico” contiene las condiciones y especificaciones técnicas requeridas para la ejecución de la obra, las cuales deben ser configuradas por la entidad estatal durante la etapa de planeación del</w:t>
      </w:r>
      <w:r w:rsidRPr="004A2B75" w:rsidR="00AD15AD">
        <w:rPr>
          <w:sz w:val="20"/>
          <w:szCs w:val="20"/>
          <w:lang w:val="es-MX"/>
        </w:rPr>
        <w:t xml:space="preserve"> proceso de contratación.  </w:t>
      </w:r>
    </w:p>
    <w:p w:rsidRPr="004A2B75" w:rsidR="00AD15AD" w:rsidP="004B3D79" w:rsidRDefault="00AD15AD" w14:paraId="64BCBDD9" w14:textId="537C9E6F">
      <w:pPr>
        <w:pStyle w:val="Textoindependiente"/>
        <w:spacing w:before="120" w:after="120"/>
        <w:ind w:left="102" w:right="102"/>
        <w:jc w:val="both"/>
        <w:rPr>
          <w:sz w:val="20"/>
          <w:szCs w:val="20"/>
          <w:lang w:val="es-MX"/>
        </w:rPr>
      </w:pPr>
      <w:r w:rsidRPr="004A2B75">
        <w:rPr>
          <w:sz w:val="20"/>
          <w:szCs w:val="20"/>
          <w:lang w:val="es-MX"/>
        </w:rPr>
        <w:t>E</w:t>
      </w:r>
      <w:r w:rsidRPr="004A2B75" w:rsidR="00301F43">
        <w:rPr>
          <w:sz w:val="20"/>
          <w:szCs w:val="20"/>
          <w:lang w:val="es-MX"/>
        </w:rPr>
        <w:t>ste anexo describe el contenido mínimo que debe considerar la entidad estatal durante la estructuración del proceso, sin perjuicio que se requieran aspectos adicionales acordes con el alcance y magnitud de las obras contenidos en otros documentos, en estos eventos es c</w:t>
      </w:r>
      <w:r w:rsidRPr="004A2B75">
        <w:rPr>
          <w:sz w:val="20"/>
          <w:szCs w:val="20"/>
          <w:lang w:val="es-MX"/>
        </w:rPr>
        <w:t>uando aplica el numeral 14.</w:t>
      </w:r>
    </w:p>
    <w:p w:rsidRPr="004A2B75" w:rsidR="00301F43" w:rsidP="004B3D79" w:rsidRDefault="00301F43" w14:paraId="64BCBDDA" w14:textId="77777777">
      <w:pPr>
        <w:pStyle w:val="Textoindependiente"/>
        <w:spacing w:before="120"/>
        <w:ind w:left="102" w:right="102"/>
        <w:jc w:val="both"/>
        <w:rPr>
          <w:sz w:val="20"/>
          <w:szCs w:val="20"/>
          <w:lang w:val="es-MX"/>
        </w:rPr>
      </w:pPr>
      <w:r w:rsidRPr="004A2B75">
        <w:rPr>
          <w:sz w:val="20"/>
          <w:szCs w:val="20"/>
          <w:lang w:val="es-MX"/>
        </w:rPr>
        <w:t>Este numeral indica que la entidad estatal, cuando tenga documentos técnicos adicionales al “Anexo 1 – Anexo Técnico”, los podrá incluir o referenciar para que el proponente los considere al estructurar y presentar su oferta económica</w:t>
      </w:r>
    </w:p>
    <w:p w:rsidRPr="004A2B75" w:rsidR="00301F43" w:rsidP="004B3D79" w:rsidRDefault="00301F43" w14:paraId="64BCBDDB" w14:textId="77777777">
      <w:pPr>
        <w:ind w:left="102" w:right="102"/>
        <w:jc w:val="both"/>
        <w:rPr>
          <w:sz w:val="21"/>
          <w:szCs w:val="21"/>
          <w:lang w:val="es-MX"/>
        </w:rPr>
      </w:pPr>
    </w:p>
    <w:p w:rsidRPr="004A2B75" w:rsidR="00301F43" w:rsidP="15F437E7" w:rsidRDefault="00301F43" w14:paraId="64BCBDDC" w14:textId="3B572DA0">
      <w:pPr>
        <w:pStyle w:val="Textoindependiente"/>
        <w:ind w:left="102" w:right="102"/>
        <w:jc w:val="both"/>
        <w:rPr>
          <w:b w:val="1"/>
          <w:bCs w:val="1"/>
          <w:lang w:val="es-MX"/>
        </w:rPr>
      </w:pPr>
      <w:r w:rsidRPr="15F437E7" w:rsidR="00301F43">
        <w:rPr>
          <w:b w:val="1"/>
          <w:bCs w:val="1"/>
          <w:lang w:val="es-MX"/>
        </w:rPr>
        <w:t xml:space="preserve">DOCUMENTOS TIPO – Documentos Técnicos Adicionales – </w:t>
      </w:r>
      <w:r w:rsidRPr="15F437E7" w:rsidR="33E00548">
        <w:rPr>
          <w:b w:val="1"/>
          <w:bCs w:val="1"/>
          <w:lang w:val="es-MX"/>
        </w:rPr>
        <w:t xml:space="preserve">Solicitud – </w:t>
      </w:r>
      <w:r w:rsidRPr="15F437E7" w:rsidR="00301F43">
        <w:rPr>
          <w:b w:val="1"/>
          <w:bCs w:val="1"/>
          <w:lang w:val="es-MX"/>
        </w:rPr>
        <w:t xml:space="preserve">Numeral 14 </w:t>
      </w:r>
    </w:p>
    <w:p w:rsidRPr="004A2B75" w:rsidR="00301F43" w:rsidP="004B3D79" w:rsidRDefault="00301F43" w14:paraId="64BCBDDD" w14:textId="77777777">
      <w:pPr>
        <w:ind w:left="102" w:right="102"/>
        <w:jc w:val="both"/>
        <w:rPr>
          <w:b/>
          <w:lang w:val="es-MX"/>
        </w:rPr>
      </w:pPr>
    </w:p>
    <w:p w:rsidRPr="004A2B75" w:rsidR="00AD15AD" w:rsidP="004B3D79" w:rsidRDefault="00301F43" w14:paraId="64BCBDDF" w14:textId="2FC81CCD">
      <w:pPr>
        <w:pStyle w:val="Textoindependiente"/>
        <w:spacing w:after="120"/>
        <w:ind w:left="102" w:right="102"/>
        <w:jc w:val="both"/>
        <w:rPr>
          <w:sz w:val="20"/>
          <w:szCs w:val="20"/>
          <w:lang w:val="es-MX"/>
        </w:rPr>
      </w:pPr>
      <w:r w:rsidRPr="004A2B75">
        <w:rPr>
          <w:sz w:val="20"/>
          <w:szCs w:val="20"/>
          <w:lang w:val="es-MX"/>
        </w:rPr>
        <w:t>Este numeral indica que la entidad estatal, cuando tenga documentos técnicos adicionales al “Anexo 1 – Anexo Técnico”, los podrá incluir o referenciar para que el proponente los considere al estructurar y pre</w:t>
      </w:r>
      <w:r w:rsidRPr="004A2B75" w:rsidR="00AD15AD">
        <w:rPr>
          <w:sz w:val="20"/>
          <w:szCs w:val="20"/>
          <w:lang w:val="es-MX"/>
        </w:rPr>
        <w:t>sentar su oferta económica.</w:t>
      </w:r>
    </w:p>
    <w:p w:rsidRPr="004A2B75" w:rsidR="00301F43" w:rsidP="004B3D79" w:rsidRDefault="00AD15AD" w14:paraId="64BCBDE0" w14:textId="77777777">
      <w:pPr>
        <w:pStyle w:val="Textoindependiente"/>
        <w:spacing w:before="120"/>
        <w:ind w:left="102" w:right="102"/>
        <w:jc w:val="both"/>
        <w:rPr>
          <w:sz w:val="20"/>
          <w:szCs w:val="20"/>
          <w:lang w:val="es-MX"/>
        </w:rPr>
      </w:pPr>
      <w:r w:rsidRPr="004A2B75">
        <w:rPr>
          <w:sz w:val="20"/>
          <w:szCs w:val="20"/>
          <w:lang w:val="es-MX"/>
        </w:rPr>
        <w:t>E</w:t>
      </w:r>
      <w:r w:rsidRPr="004A2B75" w:rsidR="00301F43">
        <w:rPr>
          <w:sz w:val="20"/>
          <w:szCs w:val="20"/>
          <w:lang w:val="es-MX"/>
        </w:rPr>
        <w:t>l numeral 14 del “Anexo 1- Anexo Técnico” no da la posibilidad a la entidad estatal de configurar requisitos habilitantes o de ponderación, únicamente permite incluir o hacer referencia a documentos técnicos necesarios para la ejecución del contrato. Por lo tanto, cuando la entidad estatal establece requisitos adicionales a los definidos en los Documentos Tipo contraviene el artículo 2.2.1.2.6.1.4 del Decreto 1082 de 2015.</w:t>
      </w:r>
    </w:p>
    <w:p w:rsidRPr="004A2B75" w:rsidR="00301F43" w:rsidP="004B3D79" w:rsidRDefault="00301F43" w14:paraId="64BCBDE1" w14:textId="77777777">
      <w:pPr>
        <w:ind w:left="102" w:right="102"/>
        <w:jc w:val="both"/>
        <w:rPr>
          <w:sz w:val="21"/>
          <w:szCs w:val="21"/>
          <w:lang w:val="es-MX"/>
        </w:rPr>
      </w:pPr>
    </w:p>
    <w:p w:rsidRPr="004A2B75" w:rsidR="00301F43" w:rsidP="15F437E7" w:rsidRDefault="00301F43" w14:paraId="4BC4F73A" w14:textId="1E7D386F">
      <w:pPr>
        <w:pStyle w:val="Textoindependiente"/>
        <w:ind w:left="102" w:right="102"/>
        <w:jc w:val="both"/>
        <w:rPr>
          <w:lang w:val="es-MX"/>
        </w:rPr>
      </w:pPr>
      <w:r w:rsidRPr="15F437E7" w:rsidR="008635C3">
        <w:rPr>
          <w:b w:val="1"/>
          <w:bCs w:val="1"/>
          <w:lang w:val="es-MX"/>
        </w:rPr>
        <w:t>FACTOR DE CALIDAD</w:t>
      </w:r>
      <w:r w:rsidRPr="15F437E7" w:rsidR="00301F43">
        <w:rPr>
          <w:b w:val="1"/>
          <w:bCs w:val="1"/>
          <w:lang w:val="es-MX"/>
        </w:rPr>
        <w:t xml:space="preserve"> – Formato 7B</w:t>
      </w:r>
      <w:r w:rsidRPr="15F437E7" w:rsidR="1AD4469C">
        <w:rPr>
          <w:b w:val="1"/>
          <w:bCs w:val="1"/>
          <w:lang w:val="es-MX"/>
        </w:rPr>
        <w:t xml:space="preserve"> – Máquina de obra – </w:t>
      </w:r>
      <w:r w:rsidRPr="15F437E7" w:rsidR="00301F43">
        <w:rPr>
          <w:b w:val="1"/>
          <w:bCs w:val="1"/>
          <w:lang w:val="es-MX"/>
        </w:rPr>
        <w:t xml:space="preserve">Disponibilidad </w:t>
      </w:r>
      <w:r w:rsidRPr="15F437E7" w:rsidR="419B3FEF">
        <w:rPr>
          <w:b w:val="1"/>
          <w:bCs w:val="1"/>
          <w:lang w:val="es-MX"/>
        </w:rPr>
        <w:t>y</w:t>
      </w:r>
      <w:r w:rsidRPr="15F437E7" w:rsidR="00301F43">
        <w:rPr>
          <w:b w:val="1"/>
          <w:bCs w:val="1"/>
          <w:lang w:val="es-MX"/>
        </w:rPr>
        <w:t xml:space="preserve"> </w:t>
      </w:r>
      <w:r w:rsidRPr="15F437E7" w:rsidR="4F913FD1">
        <w:rPr>
          <w:b w:val="1"/>
          <w:bCs w:val="1"/>
          <w:lang w:val="es-MX"/>
        </w:rPr>
        <w:t>co</w:t>
      </w:r>
      <w:r w:rsidRPr="15F437E7" w:rsidR="00301F43">
        <w:rPr>
          <w:b w:val="1"/>
          <w:bCs w:val="1"/>
          <w:lang w:val="es-MX"/>
        </w:rPr>
        <w:t xml:space="preserve">ndiciones </w:t>
      </w:r>
      <w:r w:rsidRPr="15F437E7" w:rsidR="431FE564">
        <w:rPr>
          <w:b w:val="1"/>
          <w:bCs w:val="1"/>
          <w:lang w:val="es-MX"/>
        </w:rPr>
        <w:t>f</w:t>
      </w:r>
      <w:r w:rsidRPr="15F437E7" w:rsidR="00301F43">
        <w:rPr>
          <w:b w:val="1"/>
          <w:bCs w:val="1"/>
          <w:lang w:val="es-MX"/>
        </w:rPr>
        <w:t>uncionales – Puntaje</w:t>
      </w:r>
    </w:p>
    <w:p w:rsidRPr="004A2B75" w:rsidR="00301F43" w:rsidP="15F437E7" w:rsidRDefault="00301F43" w14:paraId="1F9A5AD8" w14:textId="57D10828">
      <w:pPr>
        <w:pStyle w:val="Textoindependiente"/>
        <w:ind w:left="102" w:right="102"/>
        <w:jc w:val="both"/>
        <w:rPr>
          <w:sz w:val="20"/>
          <w:szCs w:val="20"/>
          <w:lang w:val="es-MX"/>
        </w:rPr>
      </w:pPr>
    </w:p>
    <w:p w:rsidRPr="004A2B75" w:rsidR="00301F43" w:rsidP="004B3D79" w:rsidRDefault="00301F43" w14:paraId="64BCBDE4" w14:textId="25C28B28">
      <w:pPr>
        <w:pStyle w:val="Textoindependiente"/>
        <w:ind w:left="102" w:right="102"/>
        <w:jc w:val="both"/>
        <w:rPr>
          <w:lang w:val="es-MX"/>
        </w:rPr>
      </w:pPr>
      <w:r w:rsidRPr="15F437E7" w:rsidR="00301F43">
        <w:rPr>
          <w:sz w:val="20"/>
          <w:szCs w:val="20"/>
          <w:lang w:val="es-MX"/>
        </w:rPr>
        <w:t>Se aclara que para obtener puntaje por factor de calidad por “Disponibilidad y condiciones funcionales de la maquinaria de obra” el proponente únicamente debe suscribir el “Formato 7B” en el cual se comprometa a utilizar maquinaria con una edad menor a veinte (20) años, según su función. El numeral 4.2.23 del “Documento Base” y el “Formato 7” no establecen que el proponente deba aportar documentación adicional con la presentación de la propuesta, por el contrario, señala el numeral referido que “la verificación de este ofrecimiento se hará por parte de la interventoría en la ejecución del contrato. En virtud de lo anterior, el adjudicatario del Proceso de contratación deberá acreditar que la maquinaria se encuentra en las condiciones aquí descritas, para lo cual, allegará el documento idóneo</w:t>
      </w:r>
    </w:p>
    <w:p w:rsidRPr="004A2B75" w:rsidR="0085721A" w:rsidP="004B3D79" w:rsidRDefault="0085721A" w14:paraId="64BCBDE5" w14:textId="77777777">
      <w:pPr>
        <w:pStyle w:val="Textoindependiente"/>
        <w:ind w:left="102" w:right="102"/>
        <w:rPr>
          <w:rFonts w:ascii="Times New Roman"/>
          <w:sz w:val="20"/>
          <w:lang w:val="es-MX"/>
        </w:rPr>
      </w:pPr>
    </w:p>
    <w:p w:rsidRPr="004A2B75" w:rsidR="0085721A" w:rsidP="004B3D79" w:rsidRDefault="0085721A" w14:paraId="64BCBDE6" w14:textId="77777777">
      <w:pPr>
        <w:pStyle w:val="Textoindependiente"/>
        <w:ind w:left="102" w:right="102"/>
        <w:rPr>
          <w:rFonts w:ascii="Times New Roman"/>
          <w:sz w:val="25"/>
        </w:rPr>
      </w:pPr>
    </w:p>
    <w:p w:rsidRPr="00F23D15" w:rsidR="0085721A" w:rsidP="004B3D79" w:rsidRDefault="0085721A" w14:paraId="64BCBDE7" w14:textId="77777777">
      <w:pPr>
        <w:ind w:left="102" w:right="102"/>
        <w:rPr>
          <w:rFonts w:ascii="Times New Roman"/>
        </w:rPr>
        <w:sectPr w:rsidRPr="00F23D15" w:rsidR="0085721A">
          <w:headerReference w:type="default" r:id="rId11"/>
          <w:footerReference w:type="default" r:id="rId12"/>
          <w:type w:val="continuous"/>
          <w:pgSz w:w="12240" w:h="15840" w:orient="portrait"/>
          <w:pgMar w:top="1560" w:right="1500" w:bottom="2060" w:left="1600" w:header="737" w:footer="1880" w:gutter="0"/>
          <w:cols w:space="720"/>
        </w:sectPr>
      </w:pPr>
    </w:p>
    <w:p w:rsidRPr="004A2B75" w:rsidR="0085721A" w:rsidP="004B3D79" w:rsidRDefault="00725F48" w14:paraId="64BCBDE8" w14:textId="77777777">
      <w:pPr>
        <w:ind w:left="102" w:right="102"/>
        <w:rPr>
          <w:b/>
          <w:sz w:val="20"/>
        </w:rPr>
      </w:pPr>
      <w:r w:rsidRPr="004A2B75">
        <w:rPr>
          <w:sz w:val="20"/>
        </w:rPr>
        <w:t xml:space="preserve">Bogotá D.C., </w:t>
      </w:r>
      <w:r w:rsidRPr="004A2B75">
        <w:rPr>
          <w:b/>
          <w:sz w:val="20"/>
        </w:rPr>
        <w:t>19/09/2019 Hora 17:24:57s</w:t>
      </w:r>
    </w:p>
    <w:p w:rsidRPr="004A2B75" w:rsidR="0085721A" w:rsidP="004B3D79" w:rsidRDefault="0085721A" w14:paraId="64BCBDE9" w14:textId="77777777">
      <w:pPr>
        <w:pStyle w:val="Textoindependiente"/>
        <w:ind w:left="102" w:right="102"/>
        <w:rPr>
          <w:b/>
        </w:rPr>
      </w:pPr>
    </w:p>
    <w:p w:rsidRPr="004A2B75" w:rsidR="0085721A" w:rsidP="004B3D79" w:rsidRDefault="0085721A" w14:paraId="64BCBDEA" w14:textId="77777777">
      <w:pPr>
        <w:pStyle w:val="Textoindependiente"/>
        <w:spacing w:before="1"/>
        <w:ind w:left="102" w:right="102"/>
        <w:rPr>
          <w:b/>
          <w:sz w:val="18"/>
        </w:rPr>
      </w:pPr>
    </w:p>
    <w:p w:rsidRPr="004A2B75" w:rsidR="0085721A" w:rsidP="004B3D79" w:rsidRDefault="00725F48" w14:paraId="64BCBDEB" w14:textId="77777777">
      <w:pPr>
        <w:pStyle w:val="Textoindependiente"/>
        <w:ind w:left="102" w:right="102"/>
      </w:pPr>
      <w:r w:rsidRPr="004A2B75">
        <w:t>Señora</w:t>
      </w:r>
    </w:p>
    <w:p w:rsidRPr="004A2B75" w:rsidR="0085721A" w:rsidP="004B3D79" w:rsidRDefault="00725F48" w14:paraId="64BCBDEC" w14:textId="77777777">
      <w:pPr>
        <w:pStyle w:val="Ttulo1"/>
        <w:spacing w:before="2" w:line="253" w:lineRule="exact"/>
        <w:ind w:left="102" w:right="102" w:firstLine="0"/>
      </w:pPr>
      <w:r w:rsidRPr="004A2B75">
        <w:t>Maria Fernanda Vélez</w:t>
      </w:r>
    </w:p>
    <w:p w:rsidRPr="004A2B75" w:rsidR="0085721A" w:rsidP="004B3D79" w:rsidRDefault="00725F48" w14:paraId="64BCBDED" w14:textId="77777777">
      <w:pPr>
        <w:pStyle w:val="Textoindependiente"/>
        <w:ind w:left="102" w:right="102"/>
      </w:pPr>
      <w:r w:rsidRPr="004A2B75">
        <w:t>Villavicencio – Meta</w:t>
      </w:r>
    </w:p>
    <w:p w:rsidRPr="004A2B75" w:rsidR="0085721A" w:rsidRDefault="00725F48" w14:paraId="64BCBDEE" w14:textId="77777777">
      <w:pPr>
        <w:pStyle w:val="Textoindependiente"/>
        <w:spacing w:before="2"/>
        <w:rPr>
          <w:sz w:val="28"/>
        </w:rPr>
      </w:pPr>
      <w:r w:rsidRPr="004A2B75">
        <w:br w:type="column"/>
      </w:r>
    </w:p>
    <w:p w:rsidRPr="004A2B75" w:rsidR="0085721A" w:rsidRDefault="00725F48" w14:paraId="64BCBDEF" w14:textId="77777777">
      <w:pPr>
        <w:ind w:left="100"/>
        <w:rPr>
          <w:b/>
          <w:sz w:val="20"/>
        </w:rPr>
      </w:pPr>
      <w:r w:rsidRPr="004A2B75">
        <w:rPr>
          <w:b/>
          <w:sz w:val="20"/>
        </w:rPr>
        <w:t>N° Radicado: 2201913000006967</w:t>
      </w:r>
    </w:p>
    <w:p w:rsidRPr="004A2B75" w:rsidR="0085721A" w:rsidRDefault="0085721A" w14:paraId="64BCBDF0" w14:textId="77777777">
      <w:pPr>
        <w:rPr>
          <w:sz w:val="20"/>
        </w:rPr>
        <w:sectPr w:rsidRPr="004A2B75" w:rsidR="0085721A">
          <w:type w:val="continuous"/>
          <w:pgSz w:w="12240" w:h="15840" w:orient="portrait"/>
          <w:pgMar w:top="1560" w:right="1500" w:bottom="2060" w:left="1600" w:header="720" w:footer="720" w:gutter="0"/>
          <w:cols w:equalWidth="0" w:space="720" w:num="2">
            <w:col w:w="3818" w:space="2033"/>
            <w:col w:w="3289"/>
          </w:cols>
        </w:sectPr>
      </w:pPr>
    </w:p>
    <w:p w:rsidRPr="004A2B75" w:rsidR="0085721A" w:rsidRDefault="0085721A" w14:paraId="64BCBDF1" w14:textId="77777777">
      <w:pPr>
        <w:pStyle w:val="Textoindependiente"/>
        <w:rPr>
          <w:b/>
          <w:sz w:val="20"/>
        </w:rPr>
      </w:pPr>
    </w:p>
    <w:p w:rsidRPr="004A2B75" w:rsidR="0085721A" w:rsidRDefault="0085721A" w14:paraId="64BCBDF2" w14:textId="77777777">
      <w:pPr>
        <w:pStyle w:val="Textoindependiente"/>
        <w:spacing w:before="9"/>
        <w:rPr>
          <w:b/>
          <w:sz w:val="15"/>
        </w:rPr>
      </w:pPr>
    </w:p>
    <w:p w:rsidRPr="004A2B75" w:rsidR="0085721A" w:rsidRDefault="00725F48" w14:paraId="64BCBDF3" w14:textId="77777777">
      <w:pPr>
        <w:tabs>
          <w:tab w:val="left" w:pos="3640"/>
        </w:tabs>
        <w:spacing w:before="93"/>
        <w:ind w:left="100"/>
      </w:pPr>
      <w:r w:rsidRPr="004A2B75">
        <w:rPr>
          <w:b/>
        </w:rPr>
        <w:t>Radicación:</w:t>
      </w:r>
      <w:r w:rsidRPr="004A2B75">
        <w:rPr>
          <w:b/>
        </w:rPr>
        <w:tab/>
      </w:r>
      <w:r w:rsidRPr="004A2B75">
        <w:t>Respuesta a consulta #</w:t>
      </w:r>
      <w:r w:rsidRPr="004A2B75">
        <w:rPr>
          <w:spacing w:val="-7"/>
        </w:rPr>
        <w:t xml:space="preserve"> </w:t>
      </w:r>
      <w:r w:rsidRPr="004A2B75">
        <w:t>4201912000006067</w:t>
      </w:r>
    </w:p>
    <w:p w:rsidRPr="004A2B75" w:rsidR="0085721A" w:rsidRDefault="00725F48" w14:paraId="64BCBDF4" w14:textId="77777777">
      <w:pPr>
        <w:tabs>
          <w:tab w:val="left" w:pos="3640"/>
        </w:tabs>
        <w:spacing w:before="2" w:line="253" w:lineRule="exact"/>
        <w:ind w:left="100"/>
      </w:pPr>
      <w:r w:rsidRPr="004A2B75">
        <w:rPr>
          <w:b/>
        </w:rPr>
        <w:t>Temas:</w:t>
      </w:r>
      <w:r w:rsidRPr="004A2B75">
        <w:rPr>
          <w:b/>
        </w:rPr>
        <w:tab/>
      </w:r>
      <w:r w:rsidRPr="004A2B75">
        <w:t>Documentos Tipo,</w:t>
      </w:r>
      <w:r w:rsidRPr="004A2B75">
        <w:rPr>
          <w:spacing w:val="-4"/>
        </w:rPr>
        <w:t xml:space="preserve"> </w:t>
      </w:r>
      <w:r w:rsidRPr="004A2B75">
        <w:t>otros</w:t>
      </w:r>
    </w:p>
    <w:p w:rsidRPr="004A2B75" w:rsidR="0085721A" w:rsidRDefault="00725F48" w14:paraId="64BCBDF5" w14:textId="77777777">
      <w:pPr>
        <w:tabs>
          <w:tab w:val="left" w:pos="3640"/>
        </w:tabs>
        <w:spacing w:line="253" w:lineRule="exact"/>
        <w:ind w:left="100"/>
      </w:pPr>
      <w:r w:rsidRPr="004A2B75">
        <w:rPr>
          <w:b/>
        </w:rPr>
        <w:t>Tipo de</w:t>
      </w:r>
      <w:r w:rsidRPr="004A2B75">
        <w:rPr>
          <w:b/>
          <w:spacing w:val="-4"/>
        </w:rPr>
        <w:t xml:space="preserve"> </w:t>
      </w:r>
      <w:r w:rsidRPr="004A2B75">
        <w:rPr>
          <w:b/>
        </w:rPr>
        <w:t>asunto</w:t>
      </w:r>
      <w:r w:rsidRPr="004A2B75">
        <w:rPr>
          <w:b/>
          <w:spacing w:val="-2"/>
        </w:rPr>
        <w:t xml:space="preserve"> </w:t>
      </w:r>
      <w:r w:rsidRPr="004A2B75">
        <w:rPr>
          <w:b/>
        </w:rPr>
        <w:t>consultado:</w:t>
      </w:r>
      <w:r w:rsidRPr="004A2B75">
        <w:rPr>
          <w:b/>
        </w:rPr>
        <w:tab/>
      </w:r>
      <w:r w:rsidRPr="004A2B75">
        <w:t>Documentos técnicos adicionales en los</w:t>
      </w:r>
      <w:r w:rsidRPr="004A2B75">
        <w:rPr>
          <w:spacing w:val="-18"/>
        </w:rPr>
        <w:t xml:space="preserve"> </w:t>
      </w:r>
      <w:r w:rsidRPr="004A2B75">
        <w:t>Documentos</w:t>
      </w:r>
    </w:p>
    <w:p w:rsidRPr="004A2B75" w:rsidR="0085721A" w:rsidRDefault="00725F48" w14:paraId="64BCBDF6" w14:textId="77777777">
      <w:pPr>
        <w:pStyle w:val="Textoindependiente"/>
        <w:ind w:left="3641"/>
      </w:pPr>
      <w:r w:rsidRPr="004A2B75">
        <w:t>Tipo</w:t>
      </w:r>
    </w:p>
    <w:p w:rsidRPr="004A2B75" w:rsidR="0085721A" w:rsidRDefault="0085721A" w14:paraId="64BCBDF7" w14:textId="77777777">
      <w:pPr>
        <w:pStyle w:val="Textoindependiente"/>
        <w:rPr>
          <w:sz w:val="24"/>
        </w:rPr>
      </w:pPr>
    </w:p>
    <w:p w:rsidRPr="004A2B75" w:rsidR="0085721A" w:rsidRDefault="0085721A" w14:paraId="64BCBDF8" w14:textId="77777777">
      <w:pPr>
        <w:pStyle w:val="Textoindependiente"/>
        <w:spacing w:before="10"/>
        <w:rPr>
          <w:sz w:val="19"/>
        </w:rPr>
      </w:pPr>
    </w:p>
    <w:p w:rsidRPr="004A2B75" w:rsidR="0085721A" w:rsidRDefault="00725F48" w14:paraId="64BCBDF9" w14:textId="77777777">
      <w:pPr>
        <w:pStyle w:val="Textoindependiente"/>
        <w:ind w:left="100"/>
      </w:pPr>
      <w:r w:rsidRPr="004A2B75">
        <w:t>Estimada señora Vélez,</w:t>
      </w:r>
    </w:p>
    <w:p w:rsidRPr="004A2B75" w:rsidR="0085721A" w:rsidRDefault="0085721A" w14:paraId="64BCBDFA" w14:textId="77777777">
      <w:pPr>
        <w:pStyle w:val="Textoindependiente"/>
        <w:spacing w:before="7"/>
        <w:rPr>
          <w:sz w:val="28"/>
        </w:rPr>
      </w:pPr>
    </w:p>
    <w:p w:rsidRPr="004A2B75" w:rsidR="0085721A" w:rsidRDefault="00725F48" w14:paraId="64BCBDFB" w14:textId="77777777">
      <w:pPr>
        <w:pStyle w:val="Textoindependiente"/>
        <w:spacing w:line="276" w:lineRule="auto"/>
        <w:ind w:left="100" w:right="107"/>
        <w:jc w:val="both"/>
      </w:pPr>
      <w:r w:rsidRPr="004A2B75">
        <w:t>La Agencia Nacional de Contratación Pública - Colombia Compra Eficiente responde su consulta del 5 de septiembre de 2019, en ejercicio de la competencia otorgada por el numeral 5 del artículo 3 y numeral 8 del artículo 11 del Decreto 4170 de 2011.</w:t>
      </w:r>
    </w:p>
    <w:p w:rsidRPr="004A2B75" w:rsidR="0085721A" w:rsidRDefault="0085721A" w14:paraId="64BCBDFC" w14:textId="77777777">
      <w:pPr>
        <w:pStyle w:val="Textoindependiente"/>
        <w:spacing w:before="6"/>
        <w:rPr>
          <w:sz w:val="25"/>
        </w:rPr>
      </w:pPr>
    </w:p>
    <w:p w:rsidRPr="004A2B75" w:rsidR="0085721A" w:rsidRDefault="00725F48" w14:paraId="64BCBDFD" w14:textId="77777777">
      <w:pPr>
        <w:pStyle w:val="Ttulo1"/>
        <w:numPr>
          <w:ilvl w:val="0"/>
          <w:numId w:val="1"/>
        </w:numPr>
        <w:tabs>
          <w:tab w:val="left" w:pos="386"/>
        </w:tabs>
        <w:ind w:hanging="286"/>
      </w:pPr>
      <w:r w:rsidRPr="004A2B75">
        <w:t>Problema</w:t>
      </w:r>
      <w:r w:rsidRPr="004A2B75">
        <w:rPr>
          <w:spacing w:val="-2"/>
        </w:rPr>
        <w:t xml:space="preserve"> </w:t>
      </w:r>
      <w:r w:rsidRPr="004A2B75">
        <w:t>planteado</w:t>
      </w:r>
    </w:p>
    <w:p w:rsidRPr="004A2B75" w:rsidR="0085721A" w:rsidRDefault="0085721A" w14:paraId="64BCBDFE" w14:textId="77777777">
      <w:pPr>
        <w:pStyle w:val="Textoindependiente"/>
        <w:spacing w:before="5"/>
        <w:rPr>
          <w:b/>
          <w:sz w:val="28"/>
        </w:rPr>
      </w:pPr>
    </w:p>
    <w:p w:rsidRPr="004A2B75" w:rsidR="0085721A" w:rsidRDefault="00725F48" w14:paraId="64BCBDFF" w14:textId="77777777">
      <w:pPr>
        <w:pStyle w:val="Textoindependiente"/>
        <w:spacing w:line="276" w:lineRule="auto"/>
        <w:ind w:left="100" w:right="103"/>
        <w:jc w:val="both"/>
      </w:pPr>
      <w:r w:rsidRPr="004A2B75">
        <w:t xml:space="preserve">La peticionaria solicita aclarar si con base en el numeral 14 del “Anexo </w:t>
      </w:r>
      <w:r w:rsidRPr="004A2B75">
        <w:rPr>
          <w:spacing w:val="3"/>
        </w:rPr>
        <w:t xml:space="preserve">1- </w:t>
      </w:r>
      <w:r w:rsidRPr="004A2B75">
        <w:t>Anexo Técnico” la entidad estatal puede “incluir o solicitar documentos y formatos como: hojas de vida de perfil profesional, formatos de compromisos y disponibilidad del perfil profesional, acreditación de maquinaria y equipos como plantas de asfalto, bulldozer, terminadoras de asfalto, laboratorios de</w:t>
      </w:r>
      <w:r w:rsidRPr="004A2B75">
        <w:rPr>
          <w:spacing w:val="-6"/>
        </w:rPr>
        <w:t xml:space="preserve"> </w:t>
      </w:r>
      <w:r w:rsidRPr="004A2B75">
        <w:t>suelos”.</w:t>
      </w:r>
    </w:p>
    <w:p w:rsidRPr="004A2B75" w:rsidR="0085721A" w:rsidRDefault="0085721A" w14:paraId="64BCBE00" w14:textId="77777777">
      <w:pPr>
        <w:pStyle w:val="Textoindependiente"/>
        <w:spacing w:before="5"/>
        <w:rPr>
          <w:sz w:val="25"/>
        </w:rPr>
      </w:pPr>
    </w:p>
    <w:p w:rsidRPr="004A2B75" w:rsidR="0085721A" w:rsidRDefault="00725F48" w14:paraId="64BCBE01" w14:textId="77777777">
      <w:pPr>
        <w:pStyle w:val="Textoindependiente"/>
        <w:spacing w:line="276" w:lineRule="auto"/>
        <w:ind w:left="100" w:right="105"/>
        <w:jc w:val="both"/>
      </w:pPr>
      <w:r w:rsidRPr="004A2B75">
        <w:t>Adicionalmente, informa que algunas entidades están indicando que “si no se entregan dichas exigencias se le otorgará cero (0) puntos al proponerte, esto según párrafo 3 del subcapítulo 4.2.2 DEL DOCUMENTO BASE DEL PLIEGO TIPO donde indica; "Se asignará cero (0) puntos al Proponente que no ofrezca la maquinaria en las condiciones requeridas o la ofrezca sin cumplir con las exigencias dispuestas en este Pliego de condiciones".</w:t>
      </w:r>
    </w:p>
    <w:p w:rsidRPr="004A2B75" w:rsidR="0085721A" w:rsidRDefault="0085721A" w14:paraId="64BCBE02" w14:textId="77777777">
      <w:pPr>
        <w:pStyle w:val="Textoindependiente"/>
        <w:spacing w:before="3"/>
        <w:rPr>
          <w:sz w:val="25"/>
        </w:rPr>
      </w:pPr>
    </w:p>
    <w:p w:rsidRPr="004A2B75" w:rsidR="0085721A" w:rsidRDefault="00725F48" w14:paraId="64BCBE03" w14:textId="77777777">
      <w:pPr>
        <w:pStyle w:val="Ttulo1"/>
        <w:numPr>
          <w:ilvl w:val="0"/>
          <w:numId w:val="1"/>
        </w:numPr>
        <w:tabs>
          <w:tab w:val="left" w:pos="386"/>
        </w:tabs>
        <w:ind w:hanging="286"/>
      </w:pPr>
      <w:r w:rsidRPr="004A2B75">
        <w:t>Consideraciones</w:t>
      </w:r>
    </w:p>
    <w:p w:rsidRPr="004A2B75" w:rsidR="0085721A" w:rsidRDefault="0085721A" w14:paraId="64BCBE04" w14:textId="77777777">
      <w:pPr>
        <w:pStyle w:val="Textoindependiente"/>
        <w:spacing w:before="7"/>
        <w:rPr>
          <w:b/>
          <w:sz w:val="28"/>
        </w:rPr>
      </w:pPr>
    </w:p>
    <w:p w:rsidRPr="004A2B75" w:rsidR="0085721A" w:rsidP="004B3D79" w:rsidRDefault="00725F48" w14:paraId="64BCBE09" w14:textId="1AA9AC91">
      <w:pPr>
        <w:pStyle w:val="Textoindependiente"/>
        <w:spacing w:line="276" w:lineRule="auto"/>
        <w:ind w:left="100" w:right="104"/>
        <w:jc w:val="both"/>
      </w:pPr>
      <w:r w:rsidRPr="004A2B75">
        <w:t>Los Documentos Tipo, adoptados mediante el Decreto 342 de 2019, e implementados y desarrollados a través de la Resolución 1798 de 2019, expedida por Colombia Compra</w:t>
      </w:r>
      <w:r w:rsidR="004B3D79">
        <w:t xml:space="preserve"> </w:t>
      </w:r>
      <w:r w:rsidRPr="004A2B75">
        <w:t>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r w:rsidR="004B3D79">
        <w:rPr>
          <w:rStyle w:val="Refdenotaalpie"/>
        </w:rPr>
        <w:footnoteReference w:id="1"/>
      </w:r>
      <w:r w:rsidRPr="004A2B75">
        <w:t>.</w:t>
      </w:r>
    </w:p>
    <w:p w:rsidRPr="004A2B75" w:rsidR="0085721A" w:rsidRDefault="0085721A" w14:paraId="64BCBE0A" w14:textId="77777777">
      <w:pPr>
        <w:pStyle w:val="Textoindependiente"/>
        <w:spacing w:before="4"/>
        <w:rPr>
          <w:sz w:val="25"/>
        </w:rPr>
      </w:pPr>
    </w:p>
    <w:p w:rsidRPr="004A2B75" w:rsidR="0085721A" w:rsidRDefault="00725F48" w14:paraId="64BCBE0B" w14:textId="77777777">
      <w:pPr>
        <w:pStyle w:val="Textoindependiente"/>
        <w:spacing w:line="276" w:lineRule="auto"/>
        <w:ind w:left="100" w:right="108"/>
        <w:jc w:val="both"/>
      </w:pPr>
      <w:r w:rsidRPr="004A2B75">
        <w:t xml:space="preserve">De esta manera, las entidades estatales que adelanten procesos de licitación de obra pública de infraestructura de transporte tienen la obligación de utilizar los Documentos Tipo sin </w:t>
      </w:r>
      <w:r w:rsidRPr="004A2B75">
        <w:lastRenderedPageBreak/>
        <w:t>alterar los aspectos señalados en el artículo 2.2.1.2.6.1.4. del Decreto 1082 de 2015 adicionado por el artículo 1 del Decreto 342 de 2019 que señala:</w:t>
      </w:r>
    </w:p>
    <w:p w:rsidRPr="004A2B75" w:rsidR="0085721A" w:rsidRDefault="0085721A" w14:paraId="64BCBE0C" w14:textId="77777777">
      <w:pPr>
        <w:pStyle w:val="Textoindependiente"/>
        <w:spacing w:before="2"/>
      </w:pPr>
    </w:p>
    <w:p w:rsidRPr="004A2B75" w:rsidR="0085721A" w:rsidRDefault="00725F48" w14:paraId="64BCBE0D" w14:textId="77777777">
      <w:pPr>
        <w:spacing w:before="1"/>
        <w:ind w:left="808" w:right="819"/>
        <w:jc w:val="both"/>
        <w:rPr>
          <w:sz w:val="20"/>
        </w:rPr>
      </w:pPr>
      <w:r w:rsidRPr="004A2B75">
        <w:rPr>
          <w:sz w:val="20"/>
        </w:rPr>
        <w:t>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rsidRPr="004A2B75" w:rsidR="0085721A" w:rsidRDefault="0085721A" w14:paraId="64BCBE0E" w14:textId="77777777">
      <w:pPr>
        <w:pStyle w:val="Textoindependiente"/>
        <w:spacing w:before="1"/>
        <w:rPr>
          <w:sz w:val="25"/>
        </w:rPr>
      </w:pPr>
    </w:p>
    <w:p w:rsidRPr="004A2B75" w:rsidR="0085721A" w:rsidP="00543E6E" w:rsidRDefault="00725F48" w14:paraId="64BCBE1B" w14:textId="362788C4">
      <w:pPr>
        <w:pStyle w:val="Textoindependiente"/>
        <w:spacing w:line="276" w:lineRule="auto"/>
        <w:ind w:left="100" w:right="103"/>
        <w:jc w:val="both"/>
      </w:pPr>
      <w:r w:rsidRPr="004A2B75">
        <w:t>La anterior norma desarrolla la obligatoriedad de los Documentos Tipo establecida por el artículo 4 de la Ley 1882 de 2018 que adicionó el parágrafo 7 al artículo 2 de la Ley 1150 de 2007</w:t>
      </w:r>
      <w:r w:rsidR="00543E6E">
        <w:rPr>
          <w:rStyle w:val="Refdenotaalpie"/>
        </w:rPr>
        <w:footnoteReference w:id="2"/>
      </w:r>
      <w:r w:rsidRPr="004A2B75">
        <w:t>, e impide que se incluyan o modifiquen los Documentos Tipo en los aspectos que no son de libre configuración de las entidades estatales referidos la selección del contratista, por cuanto estos requisitos, tanto habilitantes como de ponderación, fueron definidos por el Gobierno Nacional y la Agencia Nacional de Contratación – Colombia Compra Eficiente en el “Documento Base” de los Documentos Tipo. Las entidades cuentan con autonomía para definir en el “Anexo 1- Anexo Técnico” las condiciones</w:t>
      </w:r>
      <w:r w:rsidRPr="004A2B75">
        <w:rPr>
          <w:spacing w:val="54"/>
        </w:rPr>
        <w:t xml:space="preserve"> </w:t>
      </w:r>
      <w:r w:rsidRPr="004A2B75">
        <w:t>y</w:t>
      </w:r>
      <w:r w:rsidR="00543E6E">
        <w:t xml:space="preserve"> </w:t>
      </w:r>
      <w:r w:rsidRPr="004A2B75">
        <w:t>especificaciones para la ejecución del contrato, siempre que no contraríen los requisitos definidos en los Documentos Tipo.</w:t>
      </w:r>
    </w:p>
    <w:p w:rsidRPr="004A2B75" w:rsidR="0085721A" w:rsidRDefault="0085721A" w14:paraId="64BCBE1C" w14:textId="77777777">
      <w:pPr>
        <w:pStyle w:val="Textoindependiente"/>
        <w:spacing w:before="1"/>
        <w:rPr>
          <w:sz w:val="25"/>
        </w:rPr>
      </w:pPr>
    </w:p>
    <w:p w:rsidRPr="004A2B75" w:rsidR="0085721A" w:rsidRDefault="00725F48" w14:paraId="64BCBE1D" w14:textId="77777777">
      <w:pPr>
        <w:pStyle w:val="Textoindependiente"/>
        <w:spacing w:line="276" w:lineRule="auto"/>
        <w:ind w:left="100" w:right="104"/>
        <w:jc w:val="both"/>
      </w:pPr>
      <w:r w:rsidRPr="004A2B75">
        <w:t xml:space="preserve">En este contexto ¿cuál es la interpretación del numeral 14 del “Anexo 1 – Anexo Técnico”? El “Anexo 1 – Anexo Técnico” contiene las condiciones y especificaciones técnicas requeridas para la ejecución de la obra, las cuales deben ser configuradas por la entidad estatal durante la etapa de planeación del proceso de contratación. Por ello, el contenido del “Anexo 1 – Anexo Técnico” se refiere, de manera general, a la descripción del proyecto, alcance del objeto contractual, principales obras a ejecutar, </w:t>
      </w:r>
      <w:r w:rsidRPr="004A2B75">
        <w:rPr>
          <w:i/>
        </w:rPr>
        <w:t xml:space="preserve">ítems </w:t>
      </w:r>
      <w:r w:rsidRPr="004A2B75">
        <w:t xml:space="preserve">de pago, plazo de ejecución, forma de pago, materiales, personal mínimo requerido, maquinaria mínima, fuentes de materiales, obras provisionales, permisos, licencias, autorizaciones, entre otros, los cuales contienen parámetros que debe tener en cuenta el proponente para estructurar su oferta y que servirán de referente para la construcción de la obra por el contratista seleccionado. En resumen, este anexo describe el contenido mínimo que debe considerar la </w:t>
      </w:r>
      <w:r w:rsidRPr="004A2B75">
        <w:lastRenderedPageBreak/>
        <w:t>entidad estatal durante la estructuración del proceso, sin perjuicio que se requieran aspectos adicionales acordes con el alcance y magnitud de las obras contenidos en otros documentos, en estos eventos es cuando aplica el numeral 14 al disponer:</w:t>
      </w:r>
    </w:p>
    <w:p w:rsidRPr="004A2B75" w:rsidR="0085721A" w:rsidRDefault="0085721A" w14:paraId="64BCBE1E" w14:textId="77777777">
      <w:pPr>
        <w:pStyle w:val="Textoindependiente"/>
        <w:spacing w:before="1"/>
        <w:rPr>
          <w:sz w:val="25"/>
        </w:rPr>
      </w:pPr>
    </w:p>
    <w:p w:rsidRPr="004A2B75" w:rsidR="0085721A" w:rsidRDefault="00725F48" w14:paraId="64BCBE1F" w14:textId="77777777">
      <w:pPr>
        <w:tabs>
          <w:tab w:val="left" w:pos="1515"/>
        </w:tabs>
        <w:ind w:left="808"/>
        <w:rPr>
          <w:b/>
          <w:sz w:val="20"/>
        </w:rPr>
      </w:pPr>
      <w:r w:rsidRPr="004A2B75">
        <w:rPr>
          <w:b/>
          <w:sz w:val="20"/>
        </w:rPr>
        <w:t>14.</w:t>
      </w:r>
      <w:r w:rsidRPr="004A2B75">
        <w:rPr>
          <w:b/>
          <w:sz w:val="20"/>
        </w:rPr>
        <w:tab/>
      </w:r>
      <w:r w:rsidRPr="004A2B75">
        <w:rPr>
          <w:b/>
          <w:sz w:val="20"/>
        </w:rPr>
        <w:t>DOCUMENTOS TÉCNICOS</w:t>
      </w:r>
      <w:r w:rsidRPr="004A2B75">
        <w:rPr>
          <w:b/>
          <w:spacing w:val="-3"/>
          <w:sz w:val="20"/>
        </w:rPr>
        <w:t xml:space="preserve"> </w:t>
      </w:r>
      <w:r w:rsidRPr="004A2B75">
        <w:rPr>
          <w:b/>
          <w:sz w:val="20"/>
        </w:rPr>
        <w:t>ADICIONALES</w:t>
      </w:r>
    </w:p>
    <w:p w:rsidRPr="004A2B75" w:rsidR="0085721A" w:rsidRDefault="0085721A" w14:paraId="64BCBE20" w14:textId="77777777">
      <w:pPr>
        <w:pStyle w:val="Textoindependiente"/>
        <w:spacing w:before="1"/>
        <w:rPr>
          <w:b/>
          <w:sz w:val="12"/>
        </w:rPr>
      </w:pPr>
    </w:p>
    <w:p w:rsidRPr="004A2B75" w:rsidR="0085721A" w:rsidRDefault="00725F48" w14:paraId="64BCBE21" w14:textId="77777777">
      <w:pPr>
        <w:spacing w:before="94"/>
        <w:ind w:left="808" w:right="819"/>
        <w:jc w:val="both"/>
        <w:rPr>
          <w:sz w:val="20"/>
        </w:rPr>
      </w:pPr>
      <w:r w:rsidRPr="004A2B75">
        <w:rPr>
          <w:sz w:val="20"/>
        </w:rPr>
        <w:t>[</w:t>
      </w:r>
      <w:r w:rsidRPr="004A2B75">
        <w:rPr>
          <w:sz w:val="20"/>
          <w:shd w:val="clear" w:color="auto" w:fill="D2D2D2"/>
        </w:rPr>
        <w:t>La Entidad podrá incluir o hacer referencia a documentos técnicos adicionales</w:t>
      </w:r>
      <w:r w:rsidRPr="004A2B75">
        <w:rPr>
          <w:sz w:val="20"/>
        </w:rPr>
        <w:t xml:space="preserve"> </w:t>
      </w:r>
      <w:r w:rsidRPr="004A2B75">
        <w:rPr>
          <w:sz w:val="20"/>
          <w:shd w:val="clear" w:color="auto" w:fill="D2D2D2"/>
        </w:rPr>
        <w:t>como manuales, guías, apéndices, anexos o similares, requeridos para la ejecución</w:t>
      </w:r>
      <w:r w:rsidRPr="004A2B75">
        <w:rPr>
          <w:sz w:val="20"/>
        </w:rPr>
        <w:t xml:space="preserve"> </w:t>
      </w:r>
      <w:r w:rsidRPr="004A2B75">
        <w:rPr>
          <w:sz w:val="20"/>
          <w:shd w:val="clear" w:color="auto" w:fill="D2D2D2"/>
        </w:rPr>
        <w:t>del contrato y que deben ser tenidos en cuenta por el proponente al momento de</w:t>
      </w:r>
      <w:r w:rsidRPr="004A2B75">
        <w:rPr>
          <w:sz w:val="20"/>
        </w:rPr>
        <w:t xml:space="preserve"> </w:t>
      </w:r>
      <w:r w:rsidRPr="004A2B75">
        <w:rPr>
          <w:sz w:val="20"/>
          <w:shd w:val="clear" w:color="auto" w:fill="D2D2D2"/>
        </w:rPr>
        <w:t>estructurar y presentar su</w:t>
      </w:r>
      <w:r w:rsidRPr="004A2B75">
        <w:rPr>
          <w:spacing w:val="-1"/>
          <w:sz w:val="20"/>
          <w:shd w:val="clear" w:color="auto" w:fill="D2D2D2"/>
        </w:rPr>
        <w:t xml:space="preserve"> </w:t>
      </w:r>
      <w:r w:rsidRPr="004A2B75">
        <w:rPr>
          <w:sz w:val="20"/>
          <w:shd w:val="clear" w:color="auto" w:fill="D2D2D2"/>
        </w:rPr>
        <w:t>oferta</w:t>
      </w:r>
      <w:r w:rsidRPr="004A2B75">
        <w:rPr>
          <w:sz w:val="20"/>
        </w:rPr>
        <w:t>.]</w:t>
      </w:r>
    </w:p>
    <w:p w:rsidRPr="004A2B75" w:rsidR="0085721A" w:rsidRDefault="0085721A" w14:paraId="64BCBE22" w14:textId="77777777">
      <w:pPr>
        <w:pStyle w:val="Textoindependiente"/>
        <w:spacing w:before="2"/>
        <w:rPr>
          <w:sz w:val="25"/>
        </w:rPr>
      </w:pPr>
    </w:p>
    <w:p w:rsidRPr="004A2B75" w:rsidR="0085721A" w:rsidRDefault="00725F48" w14:paraId="64BCBE23" w14:textId="77777777">
      <w:pPr>
        <w:pStyle w:val="Textoindependiente"/>
        <w:spacing w:line="276" w:lineRule="auto"/>
        <w:ind w:left="100" w:right="104"/>
        <w:jc w:val="both"/>
      </w:pPr>
      <w:r w:rsidRPr="004A2B75">
        <w:t>Este numeral indica que la entidad estatal, cuando tenga documentos técnicos adicionales al “Anexo 1 – Anexo Técnico”, los podrá incluir o referenciar para que el proponente los considere al estructurar y presentar su oferta económica, a manera de ejemplo, la entidad puede remitir al manual de supervisión e interventoría; manual de contratación de la entidad; anexos o apéndices donde establezca la forma de realizar el manejo ambiental; manuales, anexos o apéndices de gestión social o predial; “Especificaciones generales de construcción de carreteras y normas de ensayo para materiales de carreteras” del Instituto Nacional de Vías – INVIAS, entre otros, que sean requeridos para precisar el alcance del objeto contractual. Adicionalmente, la entidad puede hacer referencia a estudios, diseños, planos, mapas y cualquier otro documento necesario para la ejecución de la obra.</w:t>
      </w:r>
    </w:p>
    <w:p w:rsidRPr="004A2B75" w:rsidR="0085721A" w:rsidRDefault="0085721A" w14:paraId="64BCBE24" w14:textId="77777777">
      <w:pPr>
        <w:pStyle w:val="Textoindependiente"/>
        <w:spacing w:before="3"/>
        <w:rPr>
          <w:sz w:val="25"/>
        </w:rPr>
      </w:pPr>
    </w:p>
    <w:p w:rsidRPr="004A2B75" w:rsidR="0085721A" w:rsidP="00543E6E" w:rsidRDefault="00725F48" w14:paraId="64BCBE28" w14:textId="78C20786">
      <w:pPr>
        <w:pStyle w:val="Textoindependiente"/>
        <w:spacing w:line="276" w:lineRule="auto"/>
        <w:ind w:left="100" w:right="107"/>
        <w:jc w:val="both"/>
        <w:rPr>
          <w:sz w:val="20"/>
        </w:rPr>
      </w:pPr>
      <w:r w:rsidRPr="004A2B75">
        <w:t>Ahora bien, el numeral 14 del “Anexo 1- Anexo Técnico” no da la posibilidad a la entidad estatal de configurar requisitos habilitantes o de ponderación, únicamente permite incluir o hacer referencia a documentos técnicos necesarios para la ejecución del contrato. Por lo tanto, cuando la entidad estatal establece requisitos adicionales a los definidos en los Documentos Tipo contraviene el artículo 2.2.1.2.6.1.4 del Decreto 1082 de 2015.</w:t>
      </w:r>
    </w:p>
    <w:p w:rsidRPr="004A2B75" w:rsidR="0085721A" w:rsidRDefault="0085721A" w14:paraId="64BCBE29" w14:textId="77777777">
      <w:pPr>
        <w:pStyle w:val="Textoindependiente"/>
        <w:spacing w:before="11"/>
        <w:rPr>
          <w:sz w:val="21"/>
        </w:rPr>
      </w:pPr>
    </w:p>
    <w:p w:rsidRPr="004A2B75" w:rsidR="0085721A" w:rsidRDefault="00725F48" w14:paraId="64BCBE2A" w14:textId="26E43BE7">
      <w:pPr>
        <w:pStyle w:val="Textoindependiente"/>
        <w:spacing w:before="93" w:line="276" w:lineRule="auto"/>
        <w:ind w:left="100" w:right="104"/>
        <w:jc w:val="both"/>
      </w:pPr>
      <w:r w:rsidRPr="004A2B75">
        <w:t>Por otro lado, se aclara que para obtener puntaje por factor de calidad por “Disponibilidad y condiciones funcionales de la maquinaria de obra” el proponente únicamente debe suscribir el “Formato 7B” en el cual se comprometa a utilizar maquinaria con una edad menor a veinte (20) años, según su función. El numeral 4.2.2</w:t>
      </w:r>
      <w:r w:rsidR="00543E6E">
        <w:rPr>
          <w:rStyle w:val="Refdenotaalpie"/>
        </w:rPr>
        <w:footnoteReference w:id="3"/>
      </w:r>
      <w:r w:rsidRPr="004A2B75">
        <w:t xml:space="preserve"> del “Documento Base” y el “Formato 7” no </w:t>
      </w:r>
      <w:r w:rsidRPr="004A2B75">
        <w:lastRenderedPageBreak/>
        <w:t>establecen que el proponente deba aportar documentación adicional con la presentación de la propuesta, por el contrario, señala el numeral referido que “la verificación de este ofrecimiento se hará por parte de la interventoría en la ejecución del contrato. En virtud de lo anterior, el adjudicatario del Proceso de contratación deberá acreditar que la maquinaria se encuentra en las condiciones aquí descritas, para lo cual, allegará el documento</w:t>
      </w:r>
      <w:r w:rsidRPr="004A2B75">
        <w:rPr>
          <w:spacing w:val="-4"/>
        </w:rPr>
        <w:t xml:space="preserve"> </w:t>
      </w:r>
      <w:r w:rsidRPr="004A2B75">
        <w:t>idóneo”.</w:t>
      </w:r>
    </w:p>
    <w:p w:rsidRPr="004A2B75" w:rsidR="0085721A" w:rsidRDefault="0085721A" w14:paraId="64BCBE2B" w14:textId="77777777">
      <w:pPr>
        <w:pStyle w:val="Textoindependiente"/>
        <w:spacing w:before="3"/>
        <w:rPr>
          <w:sz w:val="25"/>
        </w:rPr>
      </w:pPr>
    </w:p>
    <w:p w:rsidRPr="004A2B75" w:rsidR="0085721A" w:rsidRDefault="00725F48" w14:paraId="64BCBE2C" w14:textId="77777777">
      <w:pPr>
        <w:pStyle w:val="Textoindependiente"/>
        <w:spacing w:line="276" w:lineRule="auto"/>
        <w:ind w:left="100" w:right="102"/>
        <w:jc w:val="both"/>
      </w:pPr>
      <w:r w:rsidRPr="004A2B75">
        <w:t xml:space="preserve">Por lo tanto, cuando el numeral 4.2.2 señala que “se asignará cero (0) puntos al Proponente que no ofrezca la maquinaria en las condiciones requeridas o la ofrezca sin cumplir con las exigencias dispuestas en este Pliego de condiciones”, implica que el proponente no suscriba el compromiso contenido en el “Formato 7B- Disponibilidad y condiciones funcionales de la maquinaria de obra” en la forma allí prevista o realice un ofrecimiento en el cual varié el requerimiento de maquinaria establecido en el “Anexo </w:t>
      </w:r>
      <w:r w:rsidRPr="004A2B75">
        <w:rPr>
          <w:spacing w:val="3"/>
        </w:rPr>
        <w:t xml:space="preserve">1- </w:t>
      </w:r>
      <w:r w:rsidRPr="004A2B75">
        <w:t>Anexo</w:t>
      </w:r>
      <w:r w:rsidRPr="004A2B75">
        <w:rPr>
          <w:spacing w:val="-2"/>
        </w:rPr>
        <w:t xml:space="preserve"> </w:t>
      </w:r>
      <w:r w:rsidRPr="004A2B75">
        <w:t>Técnico”.</w:t>
      </w:r>
    </w:p>
    <w:p w:rsidRPr="004A2B75" w:rsidR="0085721A" w:rsidRDefault="0085721A" w14:paraId="64BCBE2D" w14:textId="77777777">
      <w:pPr>
        <w:pStyle w:val="Textoindependiente"/>
        <w:spacing w:before="4"/>
        <w:rPr>
          <w:sz w:val="25"/>
        </w:rPr>
      </w:pPr>
    </w:p>
    <w:p w:rsidRPr="004A2B75" w:rsidR="0085721A" w:rsidRDefault="00725F48" w14:paraId="64BCBE2E" w14:textId="77777777">
      <w:pPr>
        <w:pStyle w:val="Textoindependiente"/>
        <w:spacing w:line="276" w:lineRule="auto"/>
        <w:ind w:left="100" w:right="113"/>
        <w:jc w:val="both"/>
      </w:pPr>
      <w:r w:rsidRPr="004A2B75">
        <w:t>En cuanto al requerimiento de personal para la ejecución de la obra, el literal a, del numeral 7 del “Anexo 1- Anexo Técnico”</w:t>
      </w:r>
      <w:r w:rsidRPr="004A2B75">
        <w:rPr>
          <w:spacing w:val="-9"/>
        </w:rPr>
        <w:t xml:space="preserve"> </w:t>
      </w:r>
      <w:r w:rsidRPr="004A2B75">
        <w:t>dispone:</w:t>
      </w:r>
    </w:p>
    <w:p w:rsidRPr="004A2B75" w:rsidR="0085721A" w:rsidRDefault="0085721A" w14:paraId="64BCBE2F" w14:textId="77777777">
      <w:pPr>
        <w:pStyle w:val="Textoindependiente"/>
        <w:spacing w:before="2"/>
        <w:rPr>
          <w:sz w:val="25"/>
        </w:rPr>
      </w:pPr>
    </w:p>
    <w:p w:rsidRPr="004A2B75" w:rsidR="0085721A" w:rsidRDefault="00725F48" w14:paraId="64BCBE30" w14:textId="77777777">
      <w:pPr>
        <w:ind w:left="808"/>
        <w:rPr>
          <w:b/>
          <w:sz w:val="20"/>
        </w:rPr>
      </w:pPr>
      <w:r w:rsidRPr="004A2B75">
        <w:rPr>
          <w:b/>
          <w:sz w:val="20"/>
        </w:rPr>
        <w:t>7. INFORMACIÓN SOBRE EL PERSONAL PROFESIONAL:</w:t>
      </w:r>
    </w:p>
    <w:p w:rsidRPr="004A2B75" w:rsidR="0085721A" w:rsidRDefault="0085721A" w14:paraId="64BCBE31" w14:textId="77777777">
      <w:pPr>
        <w:pStyle w:val="Textoindependiente"/>
        <w:spacing w:before="3"/>
        <w:rPr>
          <w:b/>
          <w:sz w:val="20"/>
        </w:rPr>
      </w:pPr>
    </w:p>
    <w:p w:rsidRPr="004A2B75" w:rsidR="0085721A" w:rsidP="002B025F" w:rsidRDefault="00725F48" w14:paraId="64BCBE33" w14:textId="49D0F201">
      <w:pPr>
        <w:ind w:left="808" w:right="258"/>
        <w:rPr>
          <w:sz w:val="20"/>
        </w:rPr>
      </w:pPr>
      <w:r w:rsidRPr="004A2B75">
        <w:rPr>
          <w:sz w:val="20"/>
        </w:rPr>
        <w:t>Para efectos del análisis de la información del personal, se tendrán en cuenta las siguientes consideraciones:</w:t>
      </w:r>
    </w:p>
    <w:p w:rsidRPr="004A2B75" w:rsidR="0085721A" w:rsidRDefault="0085721A" w14:paraId="64BCBE3F" w14:textId="77777777">
      <w:pPr>
        <w:pStyle w:val="Textoindependiente"/>
        <w:spacing w:before="6"/>
        <w:rPr>
          <w:sz w:val="16"/>
        </w:rPr>
      </w:pPr>
    </w:p>
    <w:p w:rsidRPr="004A2B75" w:rsidR="0085721A" w:rsidRDefault="00725F48" w14:paraId="64BCBE40" w14:textId="77777777">
      <w:pPr>
        <w:spacing w:before="94"/>
        <w:ind w:left="1093" w:right="817" w:hanging="285"/>
        <w:jc w:val="both"/>
        <w:rPr>
          <w:sz w:val="20"/>
        </w:rPr>
      </w:pPr>
      <w:r w:rsidRPr="004A2B75">
        <w:rPr>
          <w:sz w:val="20"/>
        </w:rPr>
        <w:t>a. Las hojas de vida y soportes del personal vinculado al proyecto serán verificadas una vez se adjudique el contrato y no podrán ser pedidas durante la selección del contratista para efectos de otorgar puntaje o como criterio</w:t>
      </w:r>
      <w:r w:rsidRPr="004A2B75">
        <w:rPr>
          <w:spacing w:val="-18"/>
          <w:sz w:val="20"/>
        </w:rPr>
        <w:t xml:space="preserve"> </w:t>
      </w:r>
      <w:r w:rsidRPr="004A2B75">
        <w:rPr>
          <w:sz w:val="20"/>
        </w:rPr>
        <w:t>habilitante.</w:t>
      </w:r>
    </w:p>
    <w:p w:rsidRPr="004A2B75" w:rsidR="0085721A" w:rsidRDefault="0085721A" w14:paraId="64BCBE41" w14:textId="77777777">
      <w:pPr>
        <w:pStyle w:val="Textoindependiente"/>
        <w:spacing w:before="3"/>
        <w:rPr>
          <w:sz w:val="25"/>
        </w:rPr>
      </w:pPr>
    </w:p>
    <w:p w:rsidRPr="004A2B75" w:rsidR="0085721A" w:rsidRDefault="00725F48" w14:paraId="64BCBE42" w14:textId="77777777">
      <w:pPr>
        <w:pStyle w:val="Textoindependiente"/>
        <w:spacing w:before="1" w:line="276" w:lineRule="auto"/>
        <w:ind w:left="100" w:right="104"/>
        <w:jc w:val="both"/>
      </w:pPr>
      <w:r w:rsidRPr="004A2B75">
        <w:t>En este sentido, la entidad estatal no puede solicitar con la propuesta la presentación de las hojas de vida y soportes del personal, por cuanto el “Anexo 1- Anexo Técnico” define que se verificará una vez se adjudique el</w:t>
      </w:r>
      <w:r w:rsidRPr="004A2B75">
        <w:rPr>
          <w:spacing w:val="-9"/>
        </w:rPr>
        <w:t xml:space="preserve"> </w:t>
      </w:r>
      <w:r w:rsidRPr="004A2B75">
        <w:t>contrato.</w:t>
      </w:r>
    </w:p>
    <w:p w:rsidRPr="004A2B75" w:rsidR="0085721A" w:rsidRDefault="0085721A" w14:paraId="64BCBE43" w14:textId="77777777">
      <w:pPr>
        <w:pStyle w:val="Textoindependiente"/>
        <w:spacing w:before="2"/>
        <w:rPr>
          <w:sz w:val="25"/>
        </w:rPr>
      </w:pPr>
    </w:p>
    <w:p w:rsidRPr="004A2B75" w:rsidR="0085721A" w:rsidRDefault="00725F48" w14:paraId="64BCBE44" w14:textId="77777777">
      <w:pPr>
        <w:pStyle w:val="Ttulo1"/>
        <w:numPr>
          <w:ilvl w:val="0"/>
          <w:numId w:val="1"/>
        </w:numPr>
        <w:tabs>
          <w:tab w:val="left" w:pos="386"/>
        </w:tabs>
        <w:ind w:hanging="286"/>
      </w:pPr>
      <w:r w:rsidRPr="004A2B75">
        <w:t>Respuesta</w:t>
      </w:r>
    </w:p>
    <w:p w:rsidRPr="004A2B75" w:rsidR="0085721A" w:rsidRDefault="0085721A" w14:paraId="64BCBE45" w14:textId="77777777">
      <w:pPr>
        <w:pStyle w:val="Textoindependiente"/>
        <w:spacing w:before="8"/>
        <w:rPr>
          <w:b/>
          <w:sz w:val="28"/>
        </w:rPr>
      </w:pPr>
    </w:p>
    <w:p w:rsidRPr="004A2B75" w:rsidR="0085721A" w:rsidRDefault="00725F48" w14:paraId="64BCBE46" w14:textId="77777777">
      <w:pPr>
        <w:pStyle w:val="Textoindependiente"/>
        <w:spacing w:line="276" w:lineRule="auto"/>
        <w:ind w:left="100" w:right="108"/>
        <w:jc w:val="both"/>
      </w:pPr>
      <w:r w:rsidRPr="004A2B75">
        <w:t>De acuerdo con el artículo 2.2.1.2.6.1.4. del Decreto 1082 de 2015 adicionado por el artículo 1 del Decreto 342 de 2019, las entidades estatales no pueden incluir o modificar los requisitos definidos en los Documentos Tipo. En consecuencia, no puede solicitar con la presentación de la propuesta “hojas de vida de perfil profesional, formatos de compromisos y disponibilidad del perfil profesional, acreditación de maquinaria y equipos como plantas de asfalto, bulldozer, terminadoras de asfalto, laboratorios de</w:t>
      </w:r>
      <w:r w:rsidRPr="004A2B75">
        <w:rPr>
          <w:spacing w:val="-28"/>
        </w:rPr>
        <w:t xml:space="preserve"> </w:t>
      </w:r>
      <w:r w:rsidRPr="004A2B75">
        <w:t>suelos”.</w:t>
      </w:r>
    </w:p>
    <w:p w:rsidRPr="004A2B75" w:rsidR="0085721A" w:rsidRDefault="0085721A" w14:paraId="64BCBE47" w14:textId="77777777">
      <w:pPr>
        <w:pStyle w:val="Textoindependiente"/>
        <w:spacing w:before="4"/>
        <w:rPr>
          <w:sz w:val="25"/>
        </w:rPr>
      </w:pPr>
    </w:p>
    <w:p w:rsidRPr="004A2B75" w:rsidR="0085721A" w:rsidRDefault="00725F48" w14:paraId="64BCBE48" w14:textId="77777777">
      <w:pPr>
        <w:pStyle w:val="Textoindependiente"/>
        <w:spacing w:line="276" w:lineRule="auto"/>
        <w:ind w:left="100" w:right="107"/>
        <w:jc w:val="both"/>
      </w:pPr>
      <w:r w:rsidRPr="004A2B75">
        <w:t>La entidad estatal debe definir en el “Anexo 1- Anexo Técnico” el personal y la maquinaria requerida, sin embargo, se verificación se realizará con posterioridad a la adjudicación de contrato, no siendo posible solicitar su presentación con la propuesta.</w:t>
      </w:r>
    </w:p>
    <w:p w:rsidRPr="004A2B75" w:rsidR="0085721A" w:rsidRDefault="0085721A" w14:paraId="64BCBE49" w14:textId="77777777">
      <w:pPr>
        <w:pStyle w:val="Textoindependiente"/>
        <w:spacing w:before="3"/>
        <w:rPr>
          <w:sz w:val="25"/>
        </w:rPr>
      </w:pPr>
    </w:p>
    <w:p w:rsidRPr="004A2B75" w:rsidR="0085721A" w:rsidRDefault="00725F48" w14:paraId="64BCBE4A" w14:textId="77777777">
      <w:pPr>
        <w:pStyle w:val="Textoindependiente"/>
        <w:spacing w:line="276" w:lineRule="auto"/>
        <w:ind w:left="100" w:right="102"/>
        <w:jc w:val="both"/>
      </w:pPr>
      <w:r w:rsidRPr="004A2B75">
        <w:t>Por su parte, para la obtención de puntaje por factor de calidad por “Disponibilidad y condiciones funcionales de la maquinaria de obra”, el proponente únicamente debe suscribir el “Formato 7B” en el cual conste el compromiso de utilizar maquinaria con una edad menor a veinte (20) años, según su</w:t>
      </w:r>
      <w:r w:rsidRPr="004A2B75">
        <w:rPr>
          <w:spacing w:val="-7"/>
        </w:rPr>
        <w:t xml:space="preserve"> </w:t>
      </w:r>
      <w:r w:rsidRPr="004A2B75">
        <w:t>función.</w:t>
      </w:r>
    </w:p>
    <w:p w:rsidRPr="004A2B75" w:rsidR="0085721A" w:rsidRDefault="0085721A" w14:paraId="64BCBE4B" w14:textId="77777777">
      <w:pPr>
        <w:pStyle w:val="Textoindependiente"/>
        <w:spacing w:before="4"/>
        <w:rPr>
          <w:sz w:val="25"/>
        </w:rPr>
      </w:pPr>
    </w:p>
    <w:p w:rsidRPr="004A2B75" w:rsidR="0085721A" w:rsidRDefault="00725F48" w14:paraId="64BCBE4C" w14:textId="77777777">
      <w:pPr>
        <w:pStyle w:val="Textoindependiente"/>
        <w:spacing w:line="276" w:lineRule="auto"/>
        <w:ind w:left="100" w:right="112"/>
        <w:jc w:val="both"/>
      </w:pPr>
      <w:r w:rsidRPr="004A2B75">
        <w:t>Este concepto tiene el alcance previsto en el artículo 28 del Código de Procedimiento Administrativo y de lo Contencioso</w:t>
      </w:r>
      <w:r w:rsidRPr="004A2B75">
        <w:rPr>
          <w:spacing w:val="-7"/>
        </w:rPr>
        <w:t xml:space="preserve"> </w:t>
      </w:r>
      <w:r w:rsidRPr="004A2B75">
        <w:t>Administrativo.</w:t>
      </w:r>
    </w:p>
    <w:p w:rsidRPr="004A2B75" w:rsidR="0085721A" w:rsidRDefault="00A92962" w14:paraId="64BCBE4D" w14:textId="77777777">
      <w:pPr>
        <w:pStyle w:val="Textoindependiente"/>
        <w:spacing w:before="9"/>
      </w:pPr>
      <w:r w:rsidRPr="004A2B75">
        <w:rPr>
          <w:noProof/>
          <w:lang w:val="en-US"/>
        </w:rPr>
        <mc:AlternateContent>
          <mc:Choice Requires="wps">
            <w:drawing>
              <wp:anchor distT="0" distB="0" distL="0" distR="0" simplePos="0" relativeHeight="487589376" behindDoc="1" locked="0" layoutInCell="1" allowOverlap="1" wp14:anchorId="64BCBE55" wp14:editId="64BCBE56">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E228C9">
              <v:shape id="Freeform 2" style="position:absolute;margin-left:119.25pt;margin-top:15.4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2AC2436A">
                <v:path arrowok="t" o:connecttype="custom" o:connectlocs="0,0;4686300,0" o:connectangles="0,0"/>
                <w10:wrap type="topAndBottom" anchorx="page"/>
              </v:shape>
            </w:pict>
          </mc:Fallback>
        </mc:AlternateContent>
      </w:r>
    </w:p>
    <w:p w:rsidRPr="004A2B75" w:rsidR="0085721A" w:rsidRDefault="0085721A" w14:paraId="64BCBE4E" w14:textId="77777777">
      <w:pPr>
        <w:pStyle w:val="Textoindependiente"/>
        <w:spacing w:before="4"/>
        <w:rPr>
          <w:sz w:val="20"/>
        </w:rPr>
      </w:pPr>
    </w:p>
    <w:p w:rsidRPr="004A2B75" w:rsidR="0085721A" w:rsidRDefault="00725F48" w14:paraId="64BCBE4F" w14:textId="6FE0F54A">
      <w:pPr>
        <w:pStyle w:val="Textoindependiente"/>
        <w:ind w:left="100"/>
      </w:pPr>
      <w:r w:rsidRPr="004A2B75">
        <w:t>Atentamente,</w:t>
      </w:r>
    </w:p>
    <w:p w:rsidR="002B025F" w:rsidP="0083500E" w:rsidRDefault="0083500E" w14:paraId="3BD60BAC" w14:textId="151EDD3E">
      <w:pPr>
        <w:pStyle w:val="Textoindependiente"/>
        <w:spacing w:before="15"/>
        <w:ind w:left="100"/>
        <w:jc w:val="center"/>
      </w:pPr>
      <w:r w:rsidR="0083500E">
        <w:drawing>
          <wp:inline wp14:editId="431FE564" wp14:anchorId="5C1A4A98">
            <wp:extent cx="2773045" cy="988695"/>
            <wp:effectExtent l="0" t="0" r="0" b="0"/>
            <wp:docPr id="1334919121" name="Imagen 6" title=""/>
            <wp:cNvGraphicFramePr>
              <a:graphicFrameLocks/>
            </wp:cNvGraphicFramePr>
            <a:graphic>
              <a:graphicData uri="http://schemas.openxmlformats.org/drawingml/2006/picture">
                <pic:pic>
                  <pic:nvPicPr>
                    <pic:cNvPr id="0" name="Imagen 6"/>
                    <pic:cNvPicPr/>
                  </pic:nvPicPr>
                  <pic:blipFill>
                    <a:blip r:embed="Re89961143ffe417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4A2B75" w:rsidR="0085721A" w:rsidRDefault="00725F48" w14:paraId="64BCBE50" w14:textId="242F0B6D">
      <w:pPr>
        <w:pStyle w:val="Textoindependiente"/>
        <w:spacing w:before="15"/>
        <w:ind w:left="100"/>
      </w:pPr>
      <w:r w:rsidRPr="004A2B75">
        <w:t>Proyectó: Fredy Alexander Rodríguez Ardila</w:t>
      </w:r>
    </w:p>
    <w:sectPr w:rsidRPr="004A2B75" w:rsidR="0085721A">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755" w:rsidRDefault="00C06755" w14:paraId="64BCBE5B" w14:textId="77777777">
      <w:r>
        <w:separator/>
      </w:r>
    </w:p>
  </w:endnote>
  <w:endnote w:type="continuationSeparator" w:id="0">
    <w:p w:rsidR="00C06755" w:rsidRDefault="00C06755" w14:paraId="64BCBE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85721A" w:rsidRDefault="00725F48" w14:paraId="64BCBE5E" w14:textId="77777777">
    <w:pPr>
      <w:pStyle w:val="Textoindependiente"/>
      <w:spacing w:line="14" w:lineRule="auto"/>
      <w:rPr>
        <w:sz w:val="20"/>
      </w:rPr>
    </w:pPr>
    <w:r>
      <w:rPr>
        <w:noProof/>
        <w:lang w:val="en-US"/>
      </w:rPr>
      <w:drawing>
        <wp:anchor distT="0" distB="0" distL="0" distR="0" simplePos="0" relativeHeight="487506432" behindDoc="1" locked="0" layoutInCell="1" allowOverlap="1" wp14:anchorId="64BCBE61" wp14:editId="64BCBE62">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5F437E7">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755" w:rsidRDefault="00C06755" w14:paraId="64BCBE59" w14:textId="77777777">
      <w:r>
        <w:separator/>
      </w:r>
    </w:p>
  </w:footnote>
  <w:footnote w:type="continuationSeparator" w:id="0">
    <w:p w:rsidR="00C06755" w:rsidRDefault="00C06755" w14:paraId="64BCBE5A" w14:textId="77777777">
      <w:r>
        <w:continuationSeparator/>
      </w:r>
    </w:p>
  </w:footnote>
  <w:footnote w:id="1">
    <w:p w:rsidRPr="0083500E" w:rsidR="004B3D79" w:rsidP="00FB4590" w:rsidRDefault="004B3D79" w14:paraId="7A4E0280" w14:textId="64291BD8">
      <w:pPr>
        <w:ind w:left="102" w:right="102" w:firstLine="720"/>
        <w:jc w:val="both"/>
        <w:rPr>
          <w:sz w:val="18"/>
          <w:szCs w:val="18"/>
          <w:lang w:val="es-CO"/>
        </w:rPr>
      </w:pPr>
      <w:r w:rsidRPr="0083500E">
        <w:rPr>
          <w:rStyle w:val="Refdenotaalpie"/>
          <w:sz w:val="18"/>
          <w:szCs w:val="18"/>
        </w:rPr>
        <w:footnoteRef/>
      </w:r>
      <w:r w:rsidRPr="0083500E">
        <w:rPr>
          <w:sz w:val="18"/>
          <w:szCs w:val="18"/>
        </w:rPr>
        <w:t xml:space="preserve"> </w:t>
      </w:r>
      <w:r w:rsidRPr="0083500E">
        <w:rPr>
          <w:sz w:val="18"/>
          <w:szCs w:val="18"/>
        </w:rPr>
        <w:t>Decreto 1082 de 2015: “articulo 2.2.1.2.6.1.2. Alcance. Los Documentos Tipo contienen parámetros obligatorios para las entidades estatales sometidas al Estatuto General de la Contratación Pública que adelanten procesos de selección de licitación de obra pública de infraestructura de transporte”.</w:t>
      </w:r>
    </w:p>
  </w:footnote>
  <w:footnote w:id="2">
    <w:p w:rsidRPr="0083500E" w:rsidR="00543E6E" w:rsidP="00FB4590" w:rsidRDefault="00543E6E" w14:paraId="5B93135A" w14:textId="0733A228">
      <w:pPr>
        <w:ind w:left="102" w:right="102" w:firstLine="720"/>
        <w:jc w:val="both"/>
        <w:rPr>
          <w:sz w:val="18"/>
          <w:szCs w:val="18"/>
        </w:rPr>
      </w:pPr>
      <w:r w:rsidRPr="0083500E">
        <w:rPr>
          <w:rStyle w:val="Refdenotaalpie"/>
          <w:sz w:val="18"/>
          <w:szCs w:val="18"/>
        </w:rPr>
        <w:footnoteRef/>
      </w:r>
      <w:r w:rsidRPr="0083500E">
        <w:rPr>
          <w:position w:val="8"/>
          <w:sz w:val="18"/>
          <w:szCs w:val="18"/>
        </w:rPr>
        <w:t xml:space="preserve"> </w:t>
      </w:r>
      <w:r w:rsidRPr="0083500E">
        <w:rPr>
          <w:sz w:val="18"/>
          <w:szCs w:val="18"/>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w:t>
      </w:r>
      <w:r w:rsidRPr="0083500E">
        <w:rPr>
          <w:spacing w:val="-14"/>
          <w:sz w:val="18"/>
          <w:szCs w:val="18"/>
        </w:rPr>
        <w:t xml:space="preserve"> </w:t>
      </w:r>
      <w:r w:rsidRPr="0083500E">
        <w:rPr>
          <w:sz w:val="18"/>
          <w:szCs w:val="18"/>
        </w:rPr>
        <w:t>local.</w:t>
      </w:r>
    </w:p>
    <w:p w:rsidRPr="0083500E" w:rsidR="00543E6E" w:rsidP="00FB4590" w:rsidRDefault="00543E6E" w14:paraId="345A5A3C" w14:textId="77777777">
      <w:pPr>
        <w:pStyle w:val="Textoindependiente"/>
        <w:ind w:left="102" w:right="102"/>
        <w:jc w:val="both"/>
        <w:rPr>
          <w:sz w:val="18"/>
          <w:szCs w:val="18"/>
        </w:rPr>
      </w:pPr>
    </w:p>
    <w:p w:rsidRPr="0083500E" w:rsidR="00543E6E" w:rsidP="00FB4590" w:rsidRDefault="00543E6E" w14:paraId="094470EA" w14:textId="77777777">
      <w:pPr>
        <w:ind w:left="102" w:right="102"/>
        <w:jc w:val="both"/>
        <w:rPr>
          <w:sz w:val="18"/>
          <w:szCs w:val="18"/>
        </w:rPr>
      </w:pPr>
      <w:r w:rsidRPr="0083500E">
        <w:rPr>
          <w:sz w:val="18"/>
          <w:szCs w:val="18"/>
        </w:rPr>
        <w:t>“La facultad de adoptar documentos tipo la tendrá el Gobierno Nacional, cuando lo considere necesario, en relación con otros contratos o procesos de selección.</w:t>
      </w:r>
    </w:p>
    <w:p w:rsidRPr="0083500E" w:rsidR="00543E6E" w:rsidP="00FB4590" w:rsidRDefault="00543E6E" w14:paraId="21AC6E91" w14:textId="77777777">
      <w:pPr>
        <w:pStyle w:val="Textoindependiente"/>
        <w:ind w:left="102" w:right="102"/>
        <w:jc w:val="both"/>
        <w:rPr>
          <w:sz w:val="18"/>
          <w:szCs w:val="18"/>
        </w:rPr>
      </w:pPr>
    </w:p>
    <w:p w:rsidRPr="0083500E" w:rsidR="00543E6E" w:rsidP="00FB4590" w:rsidRDefault="00543E6E" w14:paraId="4A508DC0" w14:textId="73EC7C8E">
      <w:pPr>
        <w:ind w:left="102" w:right="102"/>
        <w:jc w:val="both"/>
        <w:rPr>
          <w:sz w:val="18"/>
          <w:szCs w:val="18"/>
          <w:lang w:val="es-CO"/>
        </w:rPr>
      </w:pPr>
      <w:r w:rsidRPr="0083500E">
        <w:rPr>
          <w:sz w:val="18"/>
          <w:szCs w:val="18"/>
        </w:rPr>
        <w:t>“Los pliegos tipo se adoptarán por categorías de acuerdo con la cuantía de la contratación, según la reglamentación que expida el Gobierno Nacional”.</w:t>
      </w:r>
    </w:p>
  </w:footnote>
  <w:footnote w:id="3">
    <w:p w:rsidRPr="0083500E" w:rsidR="00543E6E" w:rsidP="00FB4590" w:rsidRDefault="00543E6E" w14:paraId="5A5A6ED6" w14:textId="0EF44E40">
      <w:pPr>
        <w:ind w:left="102" w:right="102" w:firstLine="720"/>
        <w:jc w:val="both"/>
        <w:rPr>
          <w:b/>
          <w:sz w:val="18"/>
          <w:szCs w:val="18"/>
        </w:rPr>
      </w:pPr>
      <w:r w:rsidRPr="0083500E">
        <w:rPr>
          <w:rStyle w:val="Refdenotaalpie"/>
          <w:sz w:val="18"/>
          <w:szCs w:val="18"/>
        </w:rPr>
        <w:footnoteRef/>
      </w:r>
      <w:r w:rsidRPr="0083500E">
        <w:rPr>
          <w:position w:val="8"/>
          <w:sz w:val="18"/>
          <w:szCs w:val="18"/>
        </w:rPr>
        <w:t xml:space="preserve"> </w:t>
      </w:r>
      <w:r w:rsidRPr="0083500E">
        <w:rPr>
          <w:sz w:val="18"/>
          <w:szCs w:val="18"/>
        </w:rPr>
        <w:t>“</w:t>
      </w:r>
      <w:r w:rsidRPr="0083500E">
        <w:rPr>
          <w:b/>
          <w:sz w:val="18"/>
          <w:szCs w:val="18"/>
        </w:rPr>
        <w:t>4.2.2. DISPONIBILIDAD Y CONDICIONES FUNCIONALES DE LA MAQUINARIA DE OBRA</w:t>
      </w:r>
    </w:p>
    <w:p w:rsidRPr="0083500E" w:rsidR="00543E6E" w:rsidP="00FB4590" w:rsidRDefault="00543E6E" w14:paraId="5A5AE0AF" w14:textId="77777777">
      <w:pPr>
        <w:pStyle w:val="Textoindependiente"/>
        <w:ind w:left="102" w:right="102"/>
        <w:jc w:val="both"/>
        <w:rPr>
          <w:b/>
          <w:sz w:val="18"/>
          <w:szCs w:val="18"/>
        </w:rPr>
      </w:pPr>
    </w:p>
    <w:p w:rsidRPr="0083500E" w:rsidR="00543E6E" w:rsidP="00FB4590" w:rsidRDefault="00543E6E" w14:paraId="6B6A7B5A" w14:textId="77777777">
      <w:pPr>
        <w:ind w:left="102" w:right="102"/>
        <w:jc w:val="both"/>
        <w:rPr>
          <w:sz w:val="18"/>
          <w:szCs w:val="18"/>
        </w:rPr>
      </w:pPr>
      <w:r w:rsidRPr="0083500E">
        <w:rPr>
          <w:sz w:val="18"/>
          <w:szCs w:val="18"/>
        </w:rPr>
        <w:t>“La Entidad asignarán [punto a definir por la Entidad] al Proponente que se comprometa, mediante la suscripción del Formato 7 – Factor de calidad (Formato 7A- Programa de Gerencia de Proyectos) (Formato 7B- Disponibilidad y condiciones funcionales de la maquinaria de obra) (Formato 7C- Plan de Calidad) por parte del Representante Legal, a utilizar en obra maquinaria con una edad menor a veinte (20) años, según su función. En caso de que la maquinaria haya sido repotenciada, los 20 años cuentan desde la fecha de repotenciación de la</w:t>
      </w:r>
      <w:r w:rsidRPr="0083500E">
        <w:rPr>
          <w:spacing w:val="-3"/>
          <w:sz w:val="18"/>
          <w:szCs w:val="18"/>
        </w:rPr>
        <w:t xml:space="preserve"> </w:t>
      </w:r>
      <w:r w:rsidRPr="0083500E">
        <w:rPr>
          <w:sz w:val="18"/>
          <w:szCs w:val="18"/>
        </w:rPr>
        <w:t>máquina.</w:t>
      </w:r>
    </w:p>
    <w:p w:rsidRPr="0083500E" w:rsidR="00543E6E" w:rsidP="00FB4590" w:rsidRDefault="00543E6E" w14:paraId="6F0B2D78" w14:textId="77777777">
      <w:pPr>
        <w:pStyle w:val="Textoindependiente"/>
        <w:ind w:left="102" w:right="102"/>
        <w:jc w:val="both"/>
        <w:rPr>
          <w:sz w:val="18"/>
          <w:szCs w:val="18"/>
        </w:rPr>
      </w:pPr>
    </w:p>
    <w:p w:rsidRPr="0083500E" w:rsidR="00543E6E" w:rsidP="00FB4590" w:rsidRDefault="00543E6E" w14:paraId="1ADC4583" w14:textId="77777777">
      <w:pPr>
        <w:ind w:left="102" w:right="102"/>
        <w:jc w:val="both"/>
        <w:rPr>
          <w:sz w:val="18"/>
          <w:szCs w:val="18"/>
        </w:rPr>
      </w:pPr>
      <w:r w:rsidRPr="0083500E">
        <w:rPr>
          <w:sz w:val="18"/>
          <w:szCs w:val="18"/>
        </w:rPr>
        <w:t>“Se asignará cero (0) puntos al Proponente que no ofrezca la maquinaria en las condiciones requeridas o la ofrezca sin cumplir con las exigencias dispuestas en este Pliego de condiciones.</w:t>
      </w:r>
    </w:p>
    <w:p w:rsidRPr="0083500E" w:rsidR="00543E6E" w:rsidP="00FB4590" w:rsidRDefault="00543E6E" w14:paraId="0F63823E" w14:textId="77777777">
      <w:pPr>
        <w:pStyle w:val="Textoindependiente"/>
        <w:ind w:left="102" w:right="102"/>
        <w:jc w:val="both"/>
        <w:rPr>
          <w:sz w:val="18"/>
          <w:szCs w:val="18"/>
        </w:rPr>
      </w:pPr>
    </w:p>
    <w:p w:rsidRPr="0083500E" w:rsidR="00543E6E" w:rsidP="00FB4590" w:rsidRDefault="00543E6E" w14:paraId="1CDADAD9" w14:textId="17AB12C2">
      <w:pPr>
        <w:ind w:left="102" w:right="102"/>
        <w:jc w:val="both"/>
        <w:rPr>
          <w:sz w:val="18"/>
          <w:szCs w:val="18"/>
          <w:lang w:val="es-CO"/>
        </w:rPr>
      </w:pPr>
      <w:r w:rsidRPr="0083500E">
        <w:rPr>
          <w:sz w:val="18"/>
          <w:szCs w:val="18"/>
        </w:rPr>
        <w:t>“La verificación de este ofrecimiento se hará por parte de la interventoría en la ejecución del contrato. En virtud de lo anterior, el adjudicatario del Proceso de contratación deberá acreditar que la maquinaria se encuentra en las condiciones aquí descritas, para lo cual, allegará el documento idóneo”.</w:t>
      </w:r>
      <w:bookmarkStart w:name="_GoBack" w:id="0"/>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85721A" w:rsidRDefault="00725F48" w14:paraId="64BCBE5D" w14:textId="77777777">
    <w:pPr>
      <w:pStyle w:val="Textoindependiente"/>
      <w:spacing w:line="14" w:lineRule="auto"/>
      <w:rPr>
        <w:sz w:val="20"/>
      </w:rPr>
    </w:pPr>
    <w:r>
      <w:rPr>
        <w:noProof/>
        <w:lang w:val="en-US"/>
      </w:rPr>
      <w:drawing>
        <wp:anchor distT="0" distB="0" distL="0" distR="0" simplePos="0" relativeHeight="487505920" behindDoc="1" locked="0" layoutInCell="1" allowOverlap="1" wp14:anchorId="64BCBE5F" wp14:editId="64BCBE6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5F437E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03BBF"/>
    <w:multiLevelType w:val="hybridMultilevel"/>
    <w:tmpl w:val="8DE634A2"/>
    <w:lvl w:ilvl="0" w:tplc="8054B5EC">
      <w:start w:val="1"/>
      <w:numFmt w:val="decimal"/>
      <w:lvlText w:val="%1."/>
      <w:lvlJc w:val="left"/>
      <w:pPr>
        <w:ind w:left="385" w:hanging="285"/>
        <w:jc w:val="left"/>
      </w:pPr>
      <w:rPr>
        <w:rFonts w:hint="default" w:ascii="Arial" w:hAnsi="Arial" w:eastAsia="Arial" w:cs="Arial"/>
        <w:b/>
        <w:bCs/>
        <w:color w:val="auto"/>
        <w:spacing w:val="-21"/>
        <w:w w:val="100"/>
        <w:sz w:val="22"/>
        <w:szCs w:val="22"/>
        <w:lang w:val="es-ES" w:eastAsia="en-US" w:bidi="ar-SA"/>
      </w:rPr>
    </w:lvl>
    <w:lvl w:ilvl="1" w:tplc="75969C70">
      <w:numFmt w:val="bullet"/>
      <w:lvlText w:val="•"/>
      <w:lvlJc w:val="left"/>
      <w:pPr>
        <w:ind w:left="380" w:hanging="285"/>
      </w:pPr>
      <w:rPr>
        <w:rFonts w:hint="default"/>
        <w:lang w:val="es-ES" w:eastAsia="en-US" w:bidi="ar-SA"/>
      </w:rPr>
    </w:lvl>
    <w:lvl w:ilvl="2" w:tplc="1A7EBAD2">
      <w:numFmt w:val="bullet"/>
      <w:lvlText w:val="•"/>
      <w:lvlJc w:val="left"/>
      <w:pPr>
        <w:ind w:left="1520" w:hanging="285"/>
      </w:pPr>
      <w:rPr>
        <w:rFonts w:hint="default"/>
        <w:lang w:val="es-ES" w:eastAsia="en-US" w:bidi="ar-SA"/>
      </w:rPr>
    </w:lvl>
    <w:lvl w:ilvl="3" w:tplc="9536D5D2">
      <w:numFmt w:val="bullet"/>
      <w:lvlText w:val="•"/>
      <w:lvlJc w:val="left"/>
      <w:pPr>
        <w:ind w:left="2472" w:hanging="285"/>
      </w:pPr>
      <w:rPr>
        <w:rFonts w:hint="default"/>
        <w:lang w:val="es-ES" w:eastAsia="en-US" w:bidi="ar-SA"/>
      </w:rPr>
    </w:lvl>
    <w:lvl w:ilvl="4" w:tplc="988001BC">
      <w:numFmt w:val="bullet"/>
      <w:lvlText w:val="•"/>
      <w:lvlJc w:val="left"/>
      <w:pPr>
        <w:ind w:left="3425" w:hanging="285"/>
      </w:pPr>
      <w:rPr>
        <w:rFonts w:hint="default"/>
        <w:lang w:val="es-ES" w:eastAsia="en-US" w:bidi="ar-SA"/>
      </w:rPr>
    </w:lvl>
    <w:lvl w:ilvl="5" w:tplc="E55EDD16">
      <w:numFmt w:val="bullet"/>
      <w:lvlText w:val="•"/>
      <w:lvlJc w:val="left"/>
      <w:pPr>
        <w:ind w:left="4377" w:hanging="285"/>
      </w:pPr>
      <w:rPr>
        <w:rFonts w:hint="default"/>
        <w:lang w:val="es-ES" w:eastAsia="en-US" w:bidi="ar-SA"/>
      </w:rPr>
    </w:lvl>
    <w:lvl w:ilvl="6" w:tplc="2A94F0B6">
      <w:numFmt w:val="bullet"/>
      <w:lvlText w:val="•"/>
      <w:lvlJc w:val="left"/>
      <w:pPr>
        <w:ind w:left="5330" w:hanging="285"/>
      </w:pPr>
      <w:rPr>
        <w:rFonts w:hint="default"/>
        <w:lang w:val="es-ES" w:eastAsia="en-US" w:bidi="ar-SA"/>
      </w:rPr>
    </w:lvl>
    <w:lvl w:ilvl="7" w:tplc="11147A0E">
      <w:numFmt w:val="bullet"/>
      <w:lvlText w:val="•"/>
      <w:lvlJc w:val="left"/>
      <w:pPr>
        <w:ind w:left="6282" w:hanging="285"/>
      </w:pPr>
      <w:rPr>
        <w:rFonts w:hint="default"/>
        <w:lang w:val="es-ES" w:eastAsia="en-US" w:bidi="ar-SA"/>
      </w:rPr>
    </w:lvl>
    <w:lvl w:ilvl="8" w:tplc="F60812AE">
      <w:numFmt w:val="bullet"/>
      <w:lvlText w:val="•"/>
      <w:lvlJc w:val="left"/>
      <w:pPr>
        <w:ind w:left="7235" w:hanging="285"/>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1A"/>
    <w:rsid w:val="00294C6D"/>
    <w:rsid w:val="002B025F"/>
    <w:rsid w:val="002F5E08"/>
    <w:rsid w:val="00301F43"/>
    <w:rsid w:val="004A2B75"/>
    <w:rsid w:val="004B3D79"/>
    <w:rsid w:val="00543E6E"/>
    <w:rsid w:val="00725F48"/>
    <w:rsid w:val="0083500E"/>
    <w:rsid w:val="0085721A"/>
    <w:rsid w:val="008635C3"/>
    <w:rsid w:val="008E2DDF"/>
    <w:rsid w:val="00A92962"/>
    <w:rsid w:val="00AD15AD"/>
    <w:rsid w:val="00C06755"/>
    <w:rsid w:val="00C83728"/>
    <w:rsid w:val="00F23D15"/>
    <w:rsid w:val="00F47AE6"/>
    <w:rsid w:val="00FB4590"/>
    <w:rsid w:val="15F437E7"/>
    <w:rsid w:val="1AD4469C"/>
    <w:rsid w:val="206ECD87"/>
    <w:rsid w:val="33E00548"/>
    <w:rsid w:val="419B3FEF"/>
    <w:rsid w:val="431FE564"/>
    <w:rsid w:val="468D444A"/>
    <w:rsid w:val="4F91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BDD3"/>
  <w15:docId w15:val="{0DAC444C-793D-4187-AE41-89488A84BB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286"/>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4B3D79"/>
    <w:rPr>
      <w:sz w:val="20"/>
      <w:szCs w:val="20"/>
    </w:rPr>
  </w:style>
  <w:style w:type="character" w:styleId="TextonotapieCar" w:customStyle="1">
    <w:name w:val="Texto nota pie Car"/>
    <w:basedOn w:val="Fuentedeprrafopredeter"/>
    <w:link w:val="Textonotapie"/>
    <w:uiPriority w:val="99"/>
    <w:semiHidden/>
    <w:rsid w:val="004B3D79"/>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4B3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89961143ffe417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D459-7F23-41F4-9F04-EB51343B5D54}">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CCD7B14B-AE69-4A00-80D7-BF5964E846EB}">
  <ds:schemaRefs>
    <ds:schemaRef ds:uri="http://schemas.microsoft.com/sharepoint/v3/contenttype/forms"/>
  </ds:schemaRefs>
</ds:datastoreItem>
</file>

<file path=customXml/itemProps3.xml><?xml version="1.0" encoding="utf-8"?>
<ds:datastoreItem xmlns:ds="http://schemas.openxmlformats.org/officeDocument/2006/customXml" ds:itemID="{9DD1231A-A2C8-4128-8879-929827C5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C76C8-CB5C-4A4D-ABEA-90B1B80E38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17</revision>
  <dcterms:created xsi:type="dcterms:W3CDTF">2020-03-27T00:10:00.0000000Z</dcterms:created>
  <dcterms:modified xsi:type="dcterms:W3CDTF">2020-07-09T22:08:41.2617909Z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