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7024B" w:rsidR="00F7024B" w:rsidP="00DF642F" w:rsidRDefault="00F7024B" w14:paraId="534E34DF" w14:textId="77777777">
      <w:pPr>
        <w:ind w:left="284"/>
        <w:jc w:val="both"/>
        <w:rPr>
          <w:b/>
          <w:bCs/>
          <w:color w:val="000000" w:themeColor="text1"/>
        </w:rPr>
      </w:pPr>
    </w:p>
    <w:p w:rsidRPr="00F7024B" w:rsidR="009426AE" w:rsidP="00F7024B" w:rsidRDefault="009426AE" w14:paraId="68091314" w14:textId="64921576">
      <w:pPr>
        <w:ind w:left="300" w:right="306"/>
        <w:jc w:val="both"/>
        <w:rPr>
          <w:b/>
          <w:bCs/>
          <w:color w:val="000000" w:themeColor="text1"/>
        </w:rPr>
      </w:pPr>
      <w:r w:rsidRPr="00F7024B">
        <w:rPr>
          <w:b/>
          <w:bCs/>
          <w:color w:val="000000" w:themeColor="text1"/>
        </w:rPr>
        <w:t>SEGURIDAD SOCIAL – Formato 6 – Persona jurídica</w:t>
      </w:r>
    </w:p>
    <w:p w:rsidRPr="00F7024B" w:rsidR="009426AE" w:rsidP="00F7024B" w:rsidRDefault="009426AE" w14:paraId="3F2DC2E1" w14:textId="77777777">
      <w:pPr>
        <w:ind w:left="300" w:right="306"/>
        <w:jc w:val="both"/>
        <w:rPr>
          <w:b/>
          <w:bCs/>
          <w:color w:val="000000" w:themeColor="text1"/>
        </w:rPr>
      </w:pPr>
    </w:p>
    <w:p w:rsidRPr="00F7024B" w:rsidR="009426AE" w:rsidP="00F7024B" w:rsidRDefault="009426AE" w14:paraId="5999F8B2" w14:textId="77777777">
      <w:pPr>
        <w:ind w:left="300" w:right="306"/>
        <w:jc w:val="both"/>
        <w:rPr>
          <w:color w:val="000000" w:themeColor="text1"/>
          <w:sz w:val="20"/>
          <w:szCs w:val="20"/>
        </w:rPr>
      </w:pPr>
      <w:r w:rsidRPr="00F7024B">
        <w:rPr>
          <w:color w:val="000000" w:themeColor="text1"/>
          <w:sz w:val="20"/>
          <w:szCs w:val="20"/>
        </w:rPr>
        <w:t>El numeral 3.4.1 del Documento Base establece que la persona jurídica debe presentar el Formato 6- Pagos de seguridad social y aportes legales suscrito por el Revisor fiscal o el representante legal que acredite el pago a los sistemas de salud, riesgos profesionales, pensiones y aportes a las Cajas de Compensación Familiar, Instituto Colombiano y Bienestar Familiar y el Servicio Nacional de Aprendizaje. No obstante, si la persona jurídica está exonerada en los términos previstos del artículo 65 de la Ley 1819 de 2016 así se debe indicar en el Formato 6- Pagos de seguridad Social y aportes legales</w:t>
      </w:r>
    </w:p>
    <w:p w:rsidRPr="00F7024B" w:rsidR="009426AE" w:rsidP="00F7024B" w:rsidRDefault="009426AE" w14:paraId="02E69F08" w14:textId="77777777">
      <w:pPr>
        <w:ind w:left="300" w:right="306"/>
        <w:jc w:val="both"/>
        <w:rPr>
          <w:color w:val="000000" w:themeColor="text1"/>
          <w:sz w:val="21"/>
          <w:szCs w:val="21"/>
        </w:rPr>
      </w:pPr>
    </w:p>
    <w:p w:rsidRPr="00F7024B" w:rsidR="009426AE" w:rsidP="00F7024B" w:rsidRDefault="009426AE" w14:paraId="646FABA1" w14:textId="77777777">
      <w:pPr>
        <w:ind w:left="300" w:right="306"/>
        <w:jc w:val="both"/>
        <w:rPr>
          <w:b/>
          <w:bCs/>
          <w:color w:val="000000" w:themeColor="text1"/>
        </w:rPr>
      </w:pPr>
      <w:r w:rsidRPr="00F7024B">
        <w:rPr>
          <w:b/>
          <w:bCs/>
          <w:color w:val="000000" w:themeColor="text1"/>
        </w:rPr>
        <w:t>SEGURIDAD SOCIAL – Formato 6 – Persona natural</w:t>
      </w:r>
    </w:p>
    <w:p w:rsidRPr="00F7024B" w:rsidR="009426AE" w:rsidP="00F7024B" w:rsidRDefault="009426AE" w14:paraId="2B182266" w14:textId="77777777">
      <w:pPr>
        <w:ind w:left="300" w:right="306"/>
        <w:jc w:val="both"/>
        <w:rPr>
          <w:b/>
          <w:bCs/>
          <w:color w:val="000000" w:themeColor="text1"/>
        </w:rPr>
      </w:pPr>
    </w:p>
    <w:p w:rsidRPr="00F7024B" w:rsidR="009426AE" w:rsidP="00F7024B" w:rsidRDefault="009426AE" w14:paraId="57EC648A" w14:textId="77777777">
      <w:pPr>
        <w:ind w:left="300" w:right="306"/>
        <w:jc w:val="both"/>
        <w:rPr>
          <w:color w:val="000000" w:themeColor="text1"/>
          <w:sz w:val="20"/>
          <w:szCs w:val="20"/>
        </w:rPr>
      </w:pPr>
      <w:r w:rsidRPr="00F7024B">
        <w:rPr>
          <w:color w:val="000000" w:themeColor="text1"/>
          <w:sz w:val="20"/>
          <w:szCs w:val="20"/>
        </w:rPr>
        <w:t>En relación con las personas naturales también se exigirá la presentación del Formato 6- Pagos de Seguridad Social y Aportes Legales para que se acredite el pago de sus aportes y el de sus empleados a los sistemas de salud, riesgos profesionales y aportes a la Caja de Compensación Familiar, ICBF y Servicio Nacional de Aprendizaje. Ahora, si la persona natural no tiene personal a su cargo, deberá acreditar el pago de sus aportes descritos cuando a ellos hubiera lugar.</w:t>
      </w:r>
    </w:p>
    <w:p w:rsidRPr="00F7024B" w:rsidR="009426AE" w:rsidP="00F7024B" w:rsidRDefault="009426AE" w14:paraId="22D9F8E5" w14:textId="77777777">
      <w:pPr>
        <w:ind w:left="300" w:right="306"/>
        <w:jc w:val="both"/>
        <w:rPr>
          <w:color w:val="000000" w:themeColor="text1"/>
          <w:sz w:val="21"/>
          <w:szCs w:val="21"/>
        </w:rPr>
      </w:pPr>
    </w:p>
    <w:p w:rsidRPr="00F7024B" w:rsidR="009426AE" w:rsidP="00F7024B" w:rsidRDefault="009426AE" w14:paraId="1F2E3F36" w14:textId="77777777">
      <w:pPr>
        <w:ind w:left="300" w:right="306"/>
        <w:jc w:val="both"/>
        <w:rPr>
          <w:b/>
          <w:bCs/>
          <w:color w:val="000000" w:themeColor="text1"/>
        </w:rPr>
      </w:pPr>
      <w:r w:rsidRPr="00F7024B">
        <w:rPr>
          <w:b/>
          <w:bCs/>
          <w:color w:val="000000" w:themeColor="text1"/>
        </w:rPr>
        <w:t>FORMATO 6 – Inmodificable</w:t>
      </w:r>
    </w:p>
    <w:p w:rsidRPr="00F7024B" w:rsidR="009426AE" w:rsidP="00F7024B" w:rsidRDefault="009426AE" w14:paraId="4C3BC22C" w14:textId="77777777">
      <w:pPr>
        <w:ind w:left="300" w:right="306"/>
        <w:jc w:val="both"/>
        <w:rPr>
          <w:b/>
          <w:bCs/>
          <w:color w:val="000000" w:themeColor="text1"/>
        </w:rPr>
      </w:pPr>
    </w:p>
    <w:p w:rsidRPr="00F7024B" w:rsidR="00386836" w:rsidP="00F7024B" w:rsidRDefault="009426AE" w14:paraId="2AFD552A" w14:textId="631CA867">
      <w:pPr>
        <w:spacing w:after="120"/>
        <w:ind w:left="300" w:right="306"/>
        <w:jc w:val="both"/>
        <w:rPr>
          <w:color w:val="000000" w:themeColor="text1"/>
          <w:sz w:val="20"/>
          <w:szCs w:val="20"/>
        </w:rPr>
      </w:pPr>
      <w:r w:rsidRPr="00F7024B">
        <w:rPr>
          <w:color w:val="000000" w:themeColor="text1"/>
          <w:sz w:val="20"/>
          <w:szCs w:val="20"/>
        </w:rPr>
        <w:t>El Decreto 342 de 2019, en el artículo 2.2.1.2.6.1.2 señala que los Documentos Tipo contienen parámetros obligatorios para las entidades sometidas al Estatuto General de Contratación Pública, entre estos documentos se encuentra el Formato 6- Pagos de Seguridad Social y aportes Legales3. Por lo tanto, las entidades deben aplicar de forma obligatoria el Formato 6 referido al Pago de Seguridad Social y aportes legales.</w:t>
      </w:r>
      <w:r w:rsidRPr="00F7024B" w:rsidR="00386836">
        <w:rPr>
          <w:color w:val="000000" w:themeColor="text1"/>
          <w:sz w:val="20"/>
          <w:szCs w:val="20"/>
        </w:rPr>
        <w:t xml:space="preserve"> </w:t>
      </w:r>
    </w:p>
    <w:p w:rsidRPr="00F7024B" w:rsidR="009426AE" w:rsidP="00F7024B" w:rsidRDefault="00386836" w14:paraId="2B94FDBC" w14:textId="13F65A49">
      <w:pPr>
        <w:ind w:left="300" w:right="306"/>
        <w:jc w:val="both"/>
        <w:rPr>
          <w:color w:val="000000" w:themeColor="text1"/>
          <w:sz w:val="20"/>
          <w:szCs w:val="20"/>
        </w:rPr>
      </w:pPr>
      <w:r w:rsidRPr="00F7024B">
        <w:rPr>
          <w:color w:val="000000" w:themeColor="text1"/>
          <w:sz w:val="20"/>
          <w:szCs w:val="20"/>
        </w:rPr>
        <w:t>E</w:t>
      </w:r>
      <w:r w:rsidRPr="00F7024B" w:rsidR="009426AE">
        <w:rPr>
          <w:color w:val="000000" w:themeColor="text1"/>
          <w:sz w:val="20"/>
          <w:szCs w:val="20"/>
        </w:rPr>
        <w:t>n virtud de los artículos 2.2.1.2.6.1.2 6 y 2.2.1.2.6.1.4 del Decreto 1082 de 2015 es obligatorio el uso del Formato 6- Certificación de Pagos de Seguridad Social y Aportes Legales y no es posible modificar su contenido.</w:t>
      </w:r>
    </w:p>
    <w:p w:rsidRPr="00F7024B" w:rsidR="009426AE" w:rsidP="00F7024B" w:rsidRDefault="009426AE" w14:paraId="0DD6D06B" w14:textId="77777777">
      <w:pPr>
        <w:ind w:left="300" w:right="306"/>
        <w:jc w:val="both"/>
        <w:rPr>
          <w:color w:val="000000" w:themeColor="text1"/>
          <w:sz w:val="21"/>
          <w:szCs w:val="21"/>
        </w:rPr>
      </w:pPr>
    </w:p>
    <w:p w:rsidRPr="00F7024B" w:rsidR="009426AE" w:rsidP="665E6F0F" w:rsidRDefault="009426AE" w14:paraId="5F7A8F2E" w14:textId="281AEEF8">
      <w:pPr>
        <w:pStyle w:val="Normal"/>
        <w:ind w:left="300" w:right="306"/>
        <w:jc w:val="both"/>
        <w:rPr>
          <w:b w:val="1"/>
          <w:bCs w:val="1"/>
          <w:color w:val="000000" w:themeColor="text1"/>
        </w:rPr>
      </w:pPr>
      <w:r w:rsidRPr="665E6F0F" w:rsidR="009426AE">
        <w:rPr>
          <w:b w:val="1"/>
          <w:bCs w:val="1"/>
          <w:color w:val="000000" w:themeColor="text1" w:themeTint="FF" w:themeShade="FF"/>
        </w:rPr>
        <w:t xml:space="preserve">FORMATO 6 – Error por diligenciamiento – </w:t>
      </w:r>
      <w:r w:rsidRPr="665E6F0F" w:rsidR="2FC7F705">
        <w:rPr>
          <w:b w:val="1"/>
          <w:bCs w:val="1"/>
          <w:color w:val="000000" w:themeColor="text1" w:themeTint="FF" w:themeShade="FF"/>
        </w:rPr>
        <w:t xml:space="preserve">Pago seguridad social – </w:t>
      </w:r>
      <w:r w:rsidRPr="665E6F0F" w:rsidR="009426AE">
        <w:rPr>
          <w:b w:val="1"/>
          <w:bCs w:val="1"/>
          <w:color w:val="000000" w:themeColor="text1" w:themeTint="FF" w:themeShade="FF"/>
        </w:rPr>
        <w:t>Persona</w:t>
      </w:r>
      <w:r w:rsidRPr="665E6F0F" w:rsidR="560963F3">
        <w:rPr>
          <w:b w:val="1"/>
          <w:bCs w:val="1"/>
          <w:color w:val="000000" w:themeColor="text1" w:themeTint="FF" w:themeShade="FF"/>
        </w:rPr>
        <w:t xml:space="preserve">s jurídicas exceptuadas </w:t>
      </w:r>
    </w:p>
    <w:p w:rsidR="665E6F0F" w:rsidP="665E6F0F" w:rsidRDefault="665E6F0F" w14:paraId="4ACDC52D" w14:textId="38986ADA">
      <w:pPr>
        <w:pStyle w:val="Normal"/>
        <w:ind w:left="300" w:right="306"/>
        <w:jc w:val="both"/>
        <w:rPr>
          <w:b w:val="1"/>
          <w:bCs w:val="1"/>
          <w:color w:val="000000" w:themeColor="text1" w:themeTint="FF" w:themeShade="FF"/>
        </w:rPr>
      </w:pPr>
    </w:p>
    <w:p w:rsidRPr="00F7024B" w:rsidR="009426AE" w:rsidP="00F7024B" w:rsidRDefault="009426AE" w14:paraId="7BD3CC25" w14:textId="77777777">
      <w:pPr>
        <w:ind w:left="300" w:right="306"/>
        <w:jc w:val="both"/>
        <w:rPr>
          <w:color w:val="000000" w:themeColor="text1"/>
          <w:sz w:val="20"/>
          <w:szCs w:val="20"/>
        </w:rPr>
      </w:pPr>
      <w:r w:rsidRPr="00F7024B">
        <w:rPr>
          <w:color w:val="000000" w:themeColor="text1"/>
          <w:sz w:val="20"/>
          <w:szCs w:val="20"/>
        </w:rPr>
        <w:t>Una persona jurídica, por medio de su representante legal o revisor fiscal, diligencie el Formato 6- Certificación de Pagos de Seguridad Social, señalando que se encuentra al día en el pago de seguridad social y aportes legales, aun cuando estaba exenta en el pago del Sistema de Seguridad Social. La entidad deberá solicitar aclaración frente ese aspecto, pero no podrá rechazarle la oferta por sólo este motivo; y aun si el oferente se equivocó en el diligenciamiento como el objetivo del artículo 50 de la Ley 789 de 2002 es evitar la evasión del pago al Sistema de Seguridad Social, si el oferente acredita el pago del Sistema de Seguridad Social aun cuando estaba exonerado en el pago no será posible el rechazar su oferta porque en este caso no se demuestra que el oferente evadió el pago al Sistema de Seguridad Social estando en la obligación de realizarlo.</w:t>
      </w:r>
    </w:p>
    <w:p w:rsidRPr="00F7024B" w:rsidR="009426AE" w:rsidP="00F7024B" w:rsidRDefault="009426AE" w14:paraId="074BB1FD" w14:textId="77777777">
      <w:pPr>
        <w:ind w:left="300" w:right="306"/>
        <w:jc w:val="both"/>
        <w:rPr>
          <w:color w:val="000000" w:themeColor="text1"/>
          <w:sz w:val="21"/>
          <w:szCs w:val="21"/>
        </w:rPr>
      </w:pPr>
    </w:p>
    <w:p w:rsidRPr="00F7024B" w:rsidR="009426AE" w:rsidP="665E6F0F" w:rsidRDefault="009426AE" w14:paraId="4F60BA71" w14:textId="2D50EF12">
      <w:pPr>
        <w:pStyle w:val="Normal"/>
        <w:ind w:left="300" w:right="306"/>
        <w:jc w:val="both"/>
        <w:rPr>
          <w:rFonts w:ascii="Arial" w:hAnsi="Arial" w:eastAsia="Arial" w:cs="Arial"/>
          <w:b w:val="1"/>
          <w:bCs w:val="1"/>
          <w:noProof w:val="0"/>
          <w:sz w:val="22"/>
          <w:szCs w:val="22"/>
          <w:lang w:val="es-ES"/>
        </w:rPr>
      </w:pPr>
      <w:r w:rsidRPr="665E6F0F" w:rsidR="009426AE">
        <w:rPr>
          <w:b w:val="1"/>
          <w:bCs w:val="1"/>
          <w:color w:val="000000" w:themeColor="text1" w:themeTint="FF" w:themeShade="FF"/>
        </w:rPr>
        <w:t xml:space="preserve">SEGURIDAD SOCIAL – </w:t>
      </w:r>
      <w:r w:rsidRPr="665E6F0F" w:rsidR="48FBB81E">
        <w:rPr>
          <w:b w:val="1"/>
          <w:bCs w:val="1"/>
          <w:color w:val="000000" w:themeColor="text1" w:themeTint="FF" w:themeShade="FF"/>
        </w:rPr>
        <w:t xml:space="preserve">Pago seguridad social – Personas jurídicas exceptuadas </w:t>
      </w:r>
      <w:r w:rsidRPr="665E6F0F" w:rsidR="48FBB81E">
        <w:rPr>
          <w:rFonts w:ascii="Arial" w:hAnsi="Arial" w:eastAsia="Arial" w:cs="Arial"/>
          <w:b w:val="1"/>
          <w:bCs w:val="1"/>
          <w:noProof w:val="0"/>
          <w:sz w:val="22"/>
          <w:szCs w:val="22"/>
          <w:lang w:val="es-ES"/>
        </w:rPr>
        <w:t xml:space="preserve">– </w:t>
      </w:r>
      <w:r w:rsidRPr="665E6F0F" w:rsidR="7F18B8CC">
        <w:rPr>
          <w:rFonts w:ascii="Arial" w:hAnsi="Arial" w:eastAsia="Arial" w:cs="Arial"/>
          <w:b w:val="1"/>
          <w:bCs w:val="1"/>
          <w:noProof w:val="0"/>
          <w:sz w:val="22"/>
          <w:szCs w:val="22"/>
          <w:lang w:val="es-ES"/>
        </w:rPr>
        <w:t xml:space="preserve">Diligenciamiento – Formato 6 </w:t>
      </w:r>
    </w:p>
    <w:p w:rsidRPr="00F7024B" w:rsidR="009426AE" w:rsidP="665E6F0F" w:rsidRDefault="009426AE" w14:paraId="2A12F335" w14:textId="3CB9F563">
      <w:pPr>
        <w:pStyle w:val="Normal"/>
        <w:spacing w:line="276" w:lineRule="auto"/>
        <w:ind w:left="300" w:right="306"/>
        <w:jc w:val="both"/>
        <w:rPr>
          <w:b w:val="1"/>
          <w:bCs w:val="1"/>
          <w:color w:val="000000" w:themeColor="text1"/>
        </w:rPr>
      </w:pPr>
    </w:p>
    <w:p w:rsidRPr="00F7024B" w:rsidR="00386836" w:rsidP="00F7024B" w:rsidRDefault="009426AE" w14:paraId="7B7C6A56" w14:textId="77777777">
      <w:pPr>
        <w:ind w:left="300" w:right="306"/>
        <w:jc w:val="both"/>
        <w:rPr>
          <w:color w:val="000000" w:themeColor="text1"/>
          <w:sz w:val="20"/>
          <w:szCs w:val="20"/>
        </w:rPr>
      </w:pPr>
      <w:r w:rsidRPr="00F7024B">
        <w:rPr>
          <w:color w:val="000000" w:themeColor="text1"/>
          <w:sz w:val="20"/>
          <w:szCs w:val="20"/>
        </w:rPr>
        <w:t xml:space="preserve">Si se refiere a una persona jurídica se deberá diligenciar la última parte del Formato 6- Pagos de Seguridad 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w:t>
      </w:r>
      <w:r w:rsidRPr="00F7024B">
        <w:rPr>
          <w:color w:val="000000" w:themeColor="text1"/>
          <w:sz w:val="20"/>
          <w:szCs w:val="20"/>
        </w:rPr>
        <w:lastRenderedPageBreak/>
        <w:t>como el Revisor Fiscal.</w:t>
      </w:r>
      <w:r w:rsidRPr="00F7024B" w:rsidR="00386836">
        <w:rPr>
          <w:color w:val="000000" w:themeColor="text1"/>
          <w:sz w:val="20"/>
          <w:szCs w:val="20"/>
        </w:rPr>
        <w:t xml:space="preserve"> </w:t>
      </w:r>
    </w:p>
    <w:p w:rsidRPr="00F7024B" w:rsidR="00386836" w:rsidP="00F7024B" w:rsidRDefault="00386836" w14:paraId="2EE3C6DA" w14:textId="77777777">
      <w:pPr>
        <w:ind w:left="300" w:right="306"/>
        <w:jc w:val="both"/>
        <w:rPr>
          <w:color w:val="000000" w:themeColor="text1"/>
          <w:sz w:val="20"/>
          <w:szCs w:val="20"/>
        </w:rPr>
      </w:pPr>
    </w:p>
    <w:p w:rsidRPr="00F7024B" w:rsidR="006C2909" w:rsidP="00F7024B" w:rsidRDefault="00386836" w14:paraId="34090FB2" w14:textId="6F085CFA">
      <w:pPr>
        <w:ind w:left="300" w:right="306"/>
        <w:jc w:val="both"/>
        <w:rPr>
          <w:color w:val="000000" w:themeColor="text1"/>
          <w:sz w:val="20"/>
          <w:szCs w:val="20"/>
        </w:rPr>
      </w:pPr>
      <w:r w:rsidRPr="00F7024B">
        <w:rPr>
          <w:color w:val="000000" w:themeColor="text1"/>
          <w:sz w:val="20"/>
          <w:szCs w:val="20"/>
        </w:rPr>
        <w:t>S</w:t>
      </w:r>
      <w:r w:rsidRPr="00F7024B" w:rsidR="009426AE">
        <w:rPr>
          <w:color w:val="000000" w:themeColor="text1"/>
          <w:sz w:val="20"/>
          <w:szCs w:val="20"/>
        </w:rPr>
        <w:t>i la persona natural acredita estar al día en el pago de seguridad social y aportes parafiscales al SENA, ICBF, y se encuentre exonerada del pago de los empleados que tiene a su cargo, debe diligenciar el primer y segundo párrafo del Formato 6- pagos de seguridad social y aportes legales para las personas naturales.</w:t>
      </w:r>
    </w:p>
    <w:p w:rsidRPr="00F7024B" w:rsidR="009426AE" w:rsidP="00F7024B" w:rsidRDefault="009426AE" w14:paraId="0A92F839" w14:textId="77777777">
      <w:pPr>
        <w:ind w:left="300"/>
        <w:rPr>
          <w:color w:val="000000" w:themeColor="text1"/>
        </w:rPr>
      </w:pPr>
    </w:p>
    <w:p w:rsidRPr="00F7024B" w:rsidR="00DF642F" w:rsidP="00F7024B" w:rsidRDefault="00DF642F" w14:paraId="3B3AC1D6" w14:textId="77777777">
      <w:pPr>
        <w:ind w:left="300"/>
        <w:rPr>
          <w:color w:val="000000" w:themeColor="text1"/>
        </w:rPr>
      </w:pPr>
    </w:p>
    <w:p w:rsidRPr="00F7024B" w:rsidR="006C2909" w:rsidP="00F7024B" w:rsidRDefault="00202146" w14:paraId="434947CC" w14:textId="4EA47A98">
      <w:pPr>
        <w:ind w:left="300"/>
        <w:rPr>
          <w:b/>
          <w:color w:val="000000" w:themeColor="text1"/>
        </w:rPr>
      </w:pPr>
      <w:r w:rsidRPr="00F7024B">
        <w:rPr>
          <w:color w:val="000000" w:themeColor="text1"/>
        </w:rPr>
        <w:t xml:space="preserve">Bogotá D.C., </w:t>
      </w:r>
      <w:r w:rsidRPr="00F7024B">
        <w:rPr>
          <w:b/>
          <w:color w:val="000000" w:themeColor="text1"/>
        </w:rPr>
        <w:t>06/11/2019 Hora 12:20:30s</w:t>
      </w:r>
    </w:p>
    <w:p w:rsidRPr="00F7024B" w:rsidR="006C2909" w:rsidRDefault="006C2909" w14:paraId="6D543393" w14:textId="77777777">
      <w:pPr>
        <w:pStyle w:val="Textoindependiente"/>
        <w:rPr>
          <w:b/>
          <w:color w:val="000000" w:themeColor="text1"/>
          <w:sz w:val="24"/>
        </w:rPr>
      </w:pPr>
    </w:p>
    <w:p w:rsidRPr="00F7024B" w:rsidR="006C2909" w:rsidRDefault="00202146" w14:paraId="524B7FC5" w14:textId="77777777">
      <w:pPr>
        <w:pStyle w:val="Textoindependiente"/>
        <w:spacing w:before="183" w:line="253" w:lineRule="exact"/>
        <w:ind w:left="300"/>
        <w:rPr>
          <w:color w:val="000000" w:themeColor="text1"/>
        </w:rPr>
      </w:pPr>
      <w:r w:rsidRPr="00F7024B">
        <w:rPr>
          <w:color w:val="000000" w:themeColor="text1"/>
        </w:rPr>
        <w:t>Señor</w:t>
      </w:r>
    </w:p>
    <w:p w:rsidRPr="00F7024B" w:rsidR="006C2909" w:rsidRDefault="00202146" w14:paraId="35717BAA" w14:textId="77777777">
      <w:pPr>
        <w:pStyle w:val="Ttulo1"/>
        <w:spacing w:line="253" w:lineRule="exact"/>
        <w:ind w:left="300" w:firstLine="0"/>
        <w:rPr>
          <w:color w:val="000000" w:themeColor="text1"/>
        </w:rPr>
      </w:pPr>
      <w:r w:rsidRPr="00F7024B">
        <w:rPr>
          <w:color w:val="000000" w:themeColor="text1"/>
        </w:rPr>
        <w:t>Santiago Andrés Sánchez</w:t>
      </w:r>
    </w:p>
    <w:p w:rsidRPr="00F7024B" w:rsidR="006C2909" w:rsidP="009426AE" w:rsidRDefault="00202146" w14:paraId="5DA1ED17" w14:textId="77777777">
      <w:pPr>
        <w:pStyle w:val="Textoindependiente"/>
        <w:spacing w:line="253" w:lineRule="exact"/>
        <w:ind w:left="300"/>
        <w:rPr>
          <w:color w:val="000000" w:themeColor="text1"/>
        </w:rPr>
      </w:pPr>
      <w:r w:rsidRPr="00F7024B">
        <w:rPr>
          <w:color w:val="000000" w:themeColor="text1"/>
        </w:rPr>
        <w:t>Bucaramanga, Santander</w:t>
      </w:r>
    </w:p>
    <w:p w:rsidRPr="00F7024B" w:rsidR="009426AE" w:rsidP="009426AE" w:rsidRDefault="009426AE" w14:paraId="28117E5F" w14:textId="77777777">
      <w:pPr>
        <w:pStyle w:val="Textoindependiente"/>
        <w:spacing w:line="253" w:lineRule="exact"/>
        <w:ind w:left="300"/>
        <w:rPr>
          <w:color w:val="000000" w:themeColor="text1"/>
          <w:sz w:val="29"/>
        </w:rPr>
      </w:pPr>
    </w:p>
    <w:p w:rsidRPr="00F7024B" w:rsidR="006C2909" w:rsidP="009426AE" w:rsidRDefault="00202146" w14:paraId="4229D562" w14:textId="77777777">
      <w:pPr>
        <w:ind w:left="300"/>
        <w:jc w:val="right"/>
        <w:rPr>
          <w:b/>
          <w:color w:val="000000" w:themeColor="text1"/>
          <w:sz w:val="20"/>
        </w:rPr>
      </w:pPr>
      <w:r w:rsidRPr="00F7024B">
        <w:rPr>
          <w:b/>
          <w:color w:val="000000" w:themeColor="text1"/>
          <w:sz w:val="20"/>
        </w:rPr>
        <w:t>N° Radicado: #Respuesta</w:t>
      </w:r>
    </w:p>
    <w:p w:rsidRPr="00F7024B" w:rsidR="006C2909" w:rsidRDefault="006C2909" w14:paraId="59EBE665" w14:textId="77777777">
      <w:pPr>
        <w:rPr>
          <w:color w:val="000000" w:themeColor="text1"/>
          <w:sz w:val="20"/>
        </w:rPr>
      </w:pPr>
    </w:p>
    <w:p w:rsidRPr="00F7024B" w:rsidR="006C2909" w:rsidRDefault="006C2909" w14:paraId="7899B67F" w14:textId="77777777">
      <w:pPr>
        <w:pStyle w:val="Textoindependiente"/>
        <w:spacing w:before="9" w:after="1"/>
        <w:rPr>
          <w:b/>
          <w:color w:val="000000" w:themeColor="text1"/>
          <w:sz w:val="20"/>
        </w:rPr>
      </w:pPr>
    </w:p>
    <w:tbl>
      <w:tblPr>
        <w:tblStyle w:val="TableNormal"/>
        <w:tblW w:w="0" w:type="auto"/>
        <w:tblInd w:w="108" w:type="dxa"/>
        <w:tblLayout w:type="fixed"/>
        <w:tblLook w:val="01E0" w:firstRow="1" w:lastRow="1" w:firstColumn="1" w:lastColumn="1" w:noHBand="0" w:noVBand="0"/>
      </w:tblPr>
      <w:tblGrid>
        <w:gridCol w:w="2328"/>
        <w:gridCol w:w="6998"/>
      </w:tblGrid>
      <w:tr w:rsidRPr="00F7024B" w:rsidR="00F7024B" w14:paraId="21309E6A" w14:textId="77777777">
        <w:trPr>
          <w:trHeight w:val="249"/>
        </w:trPr>
        <w:tc>
          <w:tcPr>
            <w:tcW w:w="2328" w:type="dxa"/>
          </w:tcPr>
          <w:p w:rsidRPr="00F7024B" w:rsidR="006C2909" w:rsidRDefault="00202146" w14:paraId="3BFB2CDC" w14:textId="77777777">
            <w:pPr>
              <w:pStyle w:val="TableParagraph"/>
              <w:rPr>
                <w:b/>
                <w:color w:val="000000" w:themeColor="text1"/>
              </w:rPr>
            </w:pPr>
            <w:r w:rsidRPr="00F7024B">
              <w:rPr>
                <w:b/>
                <w:color w:val="000000" w:themeColor="text1"/>
              </w:rPr>
              <w:t>Radicación:</w:t>
            </w:r>
          </w:p>
        </w:tc>
        <w:tc>
          <w:tcPr>
            <w:tcW w:w="6998" w:type="dxa"/>
          </w:tcPr>
          <w:p w:rsidRPr="00F7024B" w:rsidR="006C2909" w:rsidRDefault="00202146" w14:paraId="2DF4BE2D" w14:textId="77777777">
            <w:pPr>
              <w:pStyle w:val="TableParagraph"/>
              <w:ind w:left="562"/>
              <w:rPr>
                <w:color w:val="000000" w:themeColor="text1"/>
              </w:rPr>
            </w:pPr>
            <w:r w:rsidRPr="00F7024B">
              <w:rPr>
                <w:color w:val="000000" w:themeColor="text1"/>
              </w:rPr>
              <w:t>Respuesta a consulta # 4201912000006748</w:t>
            </w:r>
          </w:p>
        </w:tc>
      </w:tr>
      <w:tr w:rsidRPr="00F7024B" w:rsidR="00F7024B" w14:paraId="232AC326" w14:textId="77777777">
        <w:trPr>
          <w:trHeight w:val="252"/>
        </w:trPr>
        <w:tc>
          <w:tcPr>
            <w:tcW w:w="2328" w:type="dxa"/>
          </w:tcPr>
          <w:p w:rsidRPr="00F7024B" w:rsidR="006C2909" w:rsidRDefault="00202146" w14:paraId="613A08B8" w14:textId="77777777">
            <w:pPr>
              <w:pStyle w:val="TableParagraph"/>
              <w:spacing w:line="233" w:lineRule="exact"/>
              <w:rPr>
                <w:b/>
                <w:color w:val="000000" w:themeColor="text1"/>
              </w:rPr>
            </w:pPr>
            <w:r w:rsidRPr="00F7024B">
              <w:rPr>
                <w:b/>
                <w:color w:val="000000" w:themeColor="text1"/>
              </w:rPr>
              <w:t>Temas:</w:t>
            </w:r>
          </w:p>
        </w:tc>
        <w:tc>
          <w:tcPr>
            <w:tcW w:w="6998" w:type="dxa"/>
          </w:tcPr>
          <w:p w:rsidRPr="00F7024B" w:rsidR="006C2909" w:rsidRDefault="00202146" w14:paraId="0A6D6E3D" w14:textId="77777777">
            <w:pPr>
              <w:pStyle w:val="TableParagraph"/>
              <w:spacing w:line="233" w:lineRule="exact"/>
              <w:ind w:left="562"/>
              <w:rPr>
                <w:color w:val="000000" w:themeColor="text1"/>
              </w:rPr>
            </w:pPr>
            <w:r w:rsidRPr="00F7024B">
              <w:rPr>
                <w:color w:val="000000" w:themeColor="text1"/>
              </w:rPr>
              <w:t>Contrato de obra pública; experiencia; licitación pública</w:t>
            </w:r>
          </w:p>
        </w:tc>
      </w:tr>
      <w:tr w:rsidRPr="00F7024B" w:rsidR="00F7024B" w14:paraId="4A47BB65" w14:textId="77777777">
        <w:trPr>
          <w:trHeight w:val="252"/>
        </w:trPr>
        <w:tc>
          <w:tcPr>
            <w:tcW w:w="2328" w:type="dxa"/>
          </w:tcPr>
          <w:p w:rsidRPr="00F7024B" w:rsidR="009426AE" w:rsidRDefault="009426AE" w14:paraId="3A8D49FE" w14:textId="77777777">
            <w:pPr>
              <w:pStyle w:val="TableParagraph"/>
              <w:spacing w:line="233" w:lineRule="exact"/>
              <w:rPr>
                <w:b/>
                <w:color w:val="000000" w:themeColor="text1"/>
              </w:rPr>
            </w:pPr>
          </w:p>
        </w:tc>
        <w:tc>
          <w:tcPr>
            <w:tcW w:w="6998" w:type="dxa"/>
          </w:tcPr>
          <w:p w:rsidRPr="00F7024B" w:rsidR="009426AE" w:rsidRDefault="009426AE" w14:paraId="595C7029" w14:textId="77777777">
            <w:pPr>
              <w:pStyle w:val="TableParagraph"/>
              <w:spacing w:line="233" w:lineRule="exact"/>
              <w:ind w:left="562"/>
              <w:rPr>
                <w:color w:val="000000" w:themeColor="text1"/>
              </w:rPr>
            </w:pPr>
          </w:p>
        </w:tc>
      </w:tr>
      <w:tr w:rsidRPr="00F7024B" w:rsidR="006C2909" w14:paraId="4C6B778A" w14:textId="77777777">
        <w:trPr>
          <w:trHeight w:val="501"/>
        </w:trPr>
        <w:tc>
          <w:tcPr>
            <w:tcW w:w="2328" w:type="dxa"/>
          </w:tcPr>
          <w:p w:rsidRPr="00F7024B" w:rsidR="006C2909" w:rsidRDefault="00202146" w14:paraId="3CECFE1D" w14:textId="77777777">
            <w:pPr>
              <w:pStyle w:val="TableParagraph"/>
              <w:spacing w:before="1" w:line="252" w:lineRule="exact"/>
              <w:ind w:right="543"/>
              <w:rPr>
                <w:b/>
                <w:color w:val="000000" w:themeColor="text1"/>
              </w:rPr>
            </w:pPr>
            <w:r w:rsidRPr="00F7024B">
              <w:rPr>
                <w:b/>
                <w:color w:val="000000" w:themeColor="text1"/>
              </w:rPr>
              <w:t>Tipo de asunto consultado:</w:t>
            </w:r>
          </w:p>
        </w:tc>
        <w:tc>
          <w:tcPr>
            <w:tcW w:w="6998" w:type="dxa"/>
          </w:tcPr>
          <w:p w:rsidRPr="00F7024B" w:rsidR="006C2909" w:rsidRDefault="00202146" w14:paraId="6ADD7201" w14:textId="77777777">
            <w:pPr>
              <w:pStyle w:val="TableParagraph"/>
              <w:spacing w:before="1" w:line="252" w:lineRule="exact"/>
              <w:ind w:left="562"/>
              <w:rPr>
                <w:color w:val="000000" w:themeColor="text1"/>
              </w:rPr>
            </w:pPr>
            <w:r w:rsidRPr="00F7024B">
              <w:rPr>
                <w:color w:val="000000" w:themeColor="text1"/>
              </w:rPr>
              <w:t>Diligenciamiento del Formato 6 Certificación de Pagos de Seguridad Social y Aportes Legales</w:t>
            </w:r>
          </w:p>
        </w:tc>
      </w:tr>
    </w:tbl>
    <w:p w:rsidRPr="00F7024B" w:rsidR="006C2909" w:rsidRDefault="006C2909" w14:paraId="51D5C79E" w14:textId="77777777">
      <w:pPr>
        <w:pStyle w:val="Textoindependiente"/>
        <w:rPr>
          <w:b/>
          <w:color w:val="000000" w:themeColor="text1"/>
          <w:sz w:val="20"/>
        </w:rPr>
      </w:pPr>
    </w:p>
    <w:p w:rsidRPr="00F7024B" w:rsidR="006C2909" w:rsidRDefault="006C2909" w14:paraId="1157D41D" w14:textId="77777777">
      <w:pPr>
        <w:pStyle w:val="Textoindependiente"/>
        <w:spacing w:before="10"/>
        <w:rPr>
          <w:b/>
          <w:color w:val="000000" w:themeColor="text1"/>
          <w:sz w:val="21"/>
        </w:rPr>
      </w:pPr>
    </w:p>
    <w:p w:rsidRPr="00F7024B" w:rsidR="006C2909" w:rsidRDefault="00202146" w14:paraId="71711C99" w14:textId="77777777">
      <w:pPr>
        <w:pStyle w:val="Textoindependiente"/>
        <w:ind w:left="300"/>
        <w:jc w:val="both"/>
        <w:rPr>
          <w:color w:val="000000" w:themeColor="text1"/>
        </w:rPr>
      </w:pPr>
      <w:r w:rsidRPr="00F7024B">
        <w:rPr>
          <w:color w:val="000000" w:themeColor="text1"/>
        </w:rPr>
        <w:t>Estimado señor Sánchez,</w:t>
      </w:r>
    </w:p>
    <w:p w:rsidRPr="00F7024B" w:rsidR="006C2909" w:rsidRDefault="006C2909" w14:paraId="1B62FF0A" w14:textId="77777777">
      <w:pPr>
        <w:pStyle w:val="Textoindependiente"/>
        <w:spacing w:before="5"/>
        <w:rPr>
          <w:color w:val="000000" w:themeColor="text1"/>
          <w:sz w:val="25"/>
        </w:rPr>
      </w:pPr>
    </w:p>
    <w:p w:rsidRPr="00F7024B" w:rsidR="006C2909" w:rsidRDefault="00202146" w14:paraId="3FDED403" w14:textId="77777777">
      <w:pPr>
        <w:pStyle w:val="Textoindependiente"/>
        <w:spacing w:line="276" w:lineRule="auto"/>
        <w:ind w:left="300" w:right="304"/>
        <w:jc w:val="both"/>
        <w:rPr>
          <w:color w:val="000000" w:themeColor="text1"/>
        </w:rPr>
      </w:pPr>
      <w:r w:rsidRPr="00F7024B">
        <w:rPr>
          <w:color w:val="000000" w:themeColor="text1"/>
        </w:rPr>
        <w:t>La Agencia Nacional de Contratación Pública -Colombia Compra Eficiente- responde su consulta del 1 de octubre de 2019, en ejercicio de la competencia otorgada por el numeral 8 del artículo 11 y el numeral 5 del artículo 3 del Decreto Ley 4170 de</w:t>
      </w:r>
      <w:r w:rsidRPr="00F7024B">
        <w:rPr>
          <w:color w:val="000000" w:themeColor="text1"/>
          <w:spacing w:val="-23"/>
        </w:rPr>
        <w:t xml:space="preserve"> </w:t>
      </w:r>
      <w:r w:rsidRPr="00F7024B">
        <w:rPr>
          <w:color w:val="000000" w:themeColor="text1"/>
        </w:rPr>
        <w:t>2011.</w:t>
      </w:r>
    </w:p>
    <w:p w:rsidRPr="00F7024B" w:rsidR="006C2909" w:rsidRDefault="006C2909" w14:paraId="62784577" w14:textId="77777777">
      <w:pPr>
        <w:pStyle w:val="Textoindependiente"/>
        <w:spacing w:before="5"/>
        <w:rPr>
          <w:color w:val="000000" w:themeColor="text1"/>
          <w:sz w:val="25"/>
        </w:rPr>
      </w:pPr>
    </w:p>
    <w:p w:rsidRPr="00F7024B" w:rsidR="006C2909" w:rsidRDefault="00202146" w14:paraId="3B0DBFEC" w14:textId="77777777">
      <w:pPr>
        <w:pStyle w:val="Ttulo1"/>
        <w:numPr>
          <w:ilvl w:val="0"/>
          <w:numId w:val="4"/>
        </w:numPr>
        <w:tabs>
          <w:tab w:val="left" w:pos="661"/>
        </w:tabs>
        <w:ind w:hanging="361"/>
        <w:rPr>
          <w:color w:val="000000" w:themeColor="text1"/>
        </w:rPr>
      </w:pPr>
      <w:r w:rsidRPr="00F7024B">
        <w:rPr>
          <w:color w:val="000000" w:themeColor="text1"/>
        </w:rPr>
        <w:t>Problemas</w:t>
      </w:r>
      <w:r w:rsidRPr="00F7024B">
        <w:rPr>
          <w:color w:val="000000" w:themeColor="text1"/>
          <w:spacing w:val="-2"/>
        </w:rPr>
        <w:t xml:space="preserve"> </w:t>
      </w:r>
      <w:r w:rsidRPr="00F7024B">
        <w:rPr>
          <w:color w:val="000000" w:themeColor="text1"/>
        </w:rPr>
        <w:t>planteados</w:t>
      </w:r>
    </w:p>
    <w:p w:rsidRPr="00F7024B" w:rsidR="006C2909" w:rsidRDefault="006C2909" w14:paraId="19888479" w14:textId="77777777">
      <w:pPr>
        <w:pStyle w:val="Textoindependiente"/>
        <w:spacing w:before="5"/>
        <w:rPr>
          <w:b/>
          <w:color w:val="000000" w:themeColor="text1"/>
          <w:sz w:val="28"/>
        </w:rPr>
      </w:pPr>
    </w:p>
    <w:p w:rsidRPr="00F7024B" w:rsidR="006C2909" w:rsidRDefault="00202146" w14:paraId="254ED13A" w14:textId="77777777">
      <w:pPr>
        <w:pStyle w:val="Textoindependiente"/>
        <w:spacing w:line="278" w:lineRule="auto"/>
        <w:ind w:left="300" w:right="303"/>
        <w:jc w:val="both"/>
        <w:rPr>
          <w:color w:val="000000" w:themeColor="text1"/>
        </w:rPr>
      </w:pPr>
      <w:r w:rsidRPr="00F7024B">
        <w:rPr>
          <w:color w:val="000000" w:themeColor="text1"/>
        </w:rPr>
        <w:t>Usted realiza las siguientes preguntas relacionadas con los “Documentos Tipo”: i) ¿los formatos de acreditación de paz y salvo en pagos de seguridad social son modificables?, ii)</w:t>
      </w:r>
    </w:p>
    <w:p w:rsidRPr="00F7024B" w:rsidR="006C2909" w:rsidRDefault="00202146" w14:paraId="5BBD6B8B" w14:textId="77777777">
      <w:pPr>
        <w:pStyle w:val="Textoindependiente"/>
        <w:spacing w:line="276" w:lineRule="auto"/>
        <w:ind w:left="300" w:right="307"/>
        <w:jc w:val="both"/>
        <w:rPr>
          <w:color w:val="000000" w:themeColor="text1"/>
        </w:rPr>
      </w:pPr>
      <w:r w:rsidRPr="00F7024B">
        <w:rPr>
          <w:color w:val="000000" w:themeColor="text1"/>
        </w:rPr>
        <w:t>¿si una empresa no está obligada a pagar ICBF y SENA, y presenta el formato diciendo que está a paz y salvo en el pago de esto, puede ser rechazado argumentando que está presentando información inexacta o no veraz? y finalmente, iii) ¿si un proponente está exento del pago de alguna información del formulario 6, debe modificar el formulario o puede certificar que se encuentra a paz y salvo?</w:t>
      </w:r>
    </w:p>
    <w:p w:rsidRPr="00F7024B" w:rsidR="006C2909" w:rsidRDefault="006C2909" w14:paraId="0CD3ACA9" w14:textId="77777777">
      <w:pPr>
        <w:pStyle w:val="Textoindependiente"/>
        <w:spacing w:before="10"/>
        <w:rPr>
          <w:color w:val="000000" w:themeColor="text1"/>
          <w:sz w:val="24"/>
        </w:rPr>
      </w:pPr>
    </w:p>
    <w:p w:rsidRPr="00F7024B" w:rsidR="006C2909" w:rsidRDefault="00202146" w14:paraId="2F9377DB" w14:textId="77777777">
      <w:pPr>
        <w:pStyle w:val="Ttulo1"/>
        <w:numPr>
          <w:ilvl w:val="0"/>
          <w:numId w:val="4"/>
        </w:numPr>
        <w:tabs>
          <w:tab w:val="left" w:pos="661"/>
        </w:tabs>
        <w:ind w:hanging="361"/>
        <w:rPr>
          <w:color w:val="000000" w:themeColor="text1"/>
        </w:rPr>
      </w:pPr>
      <w:r w:rsidRPr="00F7024B">
        <w:rPr>
          <w:color w:val="000000" w:themeColor="text1"/>
        </w:rPr>
        <w:t>Consideraciones</w:t>
      </w:r>
    </w:p>
    <w:p w:rsidRPr="00F7024B" w:rsidR="006C2909" w:rsidRDefault="006C2909" w14:paraId="4769E9B2" w14:textId="77777777">
      <w:pPr>
        <w:pStyle w:val="Textoindependiente"/>
        <w:spacing w:before="8"/>
        <w:rPr>
          <w:b/>
          <w:color w:val="000000" w:themeColor="text1"/>
          <w:sz w:val="28"/>
        </w:rPr>
      </w:pPr>
    </w:p>
    <w:p w:rsidRPr="00F7024B" w:rsidR="006C2909" w:rsidRDefault="00202146" w14:paraId="45372309" w14:textId="77777777">
      <w:pPr>
        <w:pStyle w:val="Textoindependiente"/>
        <w:spacing w:line="276" w:lineRule="auto"/>
        <w:ind w:left="300" w:right="305"/>
        <w:jc w:val="both"/>
        <w:rPr>
          <w:color w:val="000000" w:themeColor="text1"/>
        </w:rPr>
      </w:pPr>
      <w:r w:rsidRPr="00F7024B">
        <w:rPr>
          <w:color w:val="000000" w:themeColor="text1"/>
        </w:rPr>
        <w:t>Para desarrollar los problemas planteados se estudiará la forma cómo se acredita el pago al Sistema de Seguridad Social, de acuerdo con lo previsto en el Título 3.4 en el “Documento Base o Pliegos Tipo”.</w:t>
      </w:r>
    </w:p>
    <w:p w:rsidRPr="00F7024B" w:rsidR="006C2909" w:rsidRDefault="006C2909" w14:paraId="6F47F425" w14:textId="77777777">
      <w:pPr>
        <w:pStyle w:val="Textoindependiente"/>
        <w:spacing w:before="2"/>
        <w:rPr>
          <w:color w:val="000000" w:themeColor="text1"/>
          <w:sz w:val="25"/>
        </w:rPr>
      </w:pPr>
    </w:p>
    <w:p w:rsidRPr="00F7024B" w:rsidR="006C2909" w:rsidP="00F7024B" w:rsidRDefault="00202146" w14:paraId="366E3484" w14:textId="77777777">
      <w:pPr>
        <w:pStyle w:val="Textoindependiente"/>
        <w:spacing w:line="276" w:lineRule="auto"/>
        <w:ind w:left="300" w:right="304"/>
        <w:jc w:val="both"/>
        <w:rPr>
          <w:color w:val="000000" w:themeColor="text1"/>
        </w:rPr>
      </w:pPr>
      <w:r w:rsidRPr="00F7024B">
        <w:rPr>
          <w:color w:val="000000" w:themeColor="text1"/>
        </w:rPr>
        <w:t>El “Capítulo III Requisitos Habilitantes y su verificación” señala que la entidad verificará el cumplimiento de los requisitos habilitantes que se presentan con la oferta con la información contenida en el RUP y los documentos señalados en el Documento Tipo.</w:t>
      </w:r>
    </w:p>
    <w:p w:rsidRPr="00F7024B" w:rsidR="006C2909" w:rsidP="00F7024B" w:rsidRDefault="006C2909" w14:paraId="3CE17635" w14:textId="77777777">
      <w:pPr>
        <w:pStyle w:val="Textoindependiente"/>
        <w:rPr>
          <w:color w:val="000000" w:themeColor="text1"/>
          <w:sz w:val="20"/>
        </w:rPr>
      </w:pPr>
    </w:p>
    <w:p w:rsidRPr="00F7024B" w:rsidR="006C2909" w:rsidP="00F7024B" w:rsidRDefault="006C2909" w14:paraId="3080A952" w14:textId="77777777">
      <w:pPr>
        <w:pStyle w:val="Textoindependiente"/>
        <w:rPr>
          <w:color w:val="000000" w:themeColor="text1"/>
          <w:sz w:val="16"/>
        </w:rPr>
      </w:pPr>
    </w:p>
    <w:p w:rsidRPr="00F7024B" w:rsidR="006C2909" w:rsidP="00F7024B" w:rsidRDefault="00202146" w14:paraId="52EC6F00" w14:textId="77777777">
      <w:pPr>
        <w:pStyle w:val="Textoindependiente"/>
        <w:spacing w:line="276" w:lineRule="auto"/>
        <w:ind w:left="300" w:right="303"/>
        <w:jc w:val="both"/>
        <w:rPr>
          <w:color w:val="000000" w:themeColor="text1"/>
        </w:rPr>
      </w:pPr>
      <w:r w:rsidRPr="00F7024B">
        <w:rPr>
          <w:color w:val="000000" w:themeColor="text1"/>
        </w:rPr>
        <w:t>Ahora, el “Capítulo 3.4 Certificado de Pagos de Seguridad Social y Aportes Legales” explica cómo las personas naturales, jurídicas y los proponentes plurales deben diligenciar la información relacionada con el pago correspondiente a la seguridad social y aportes legales.</w:t>
      </w:r>
    </w:p>
    <w:p w:rsidRPr="00F7024B" w:rsidR="006C2909" w:rsidRDefault="006C2909" w14:paraId="536B4664" w14:textId="77777777">
      <w:pPr>
        <w:pStyle w:val="Textoindependiente"/>
        <w:spacing w:before="4"/>
        <w:rPr>
          <w:color w:val="000000" w:themeColor="text1"/>
          <w:sz w:val="25"/>
        </w:rPr>
      </w:pPr>
    </w:p>
    <w:p w:rsidRPr="00F7024B" w:rsidR="006C2909" w:rsidRDefault="00202146" w14:paraId="557839AD" w14:textId="77777777">
      <w:pPr>
        <w:pStyle w:val="Ttulo1"/>
        <w:numPr>
          <w:ilvl w:val="1"/>
          <w:numId w:val="4"/>
        </w:numPr>
        <w:tabs>
          <w:tab w:val="left" w:pos="668"/>
        </w:tabs>
        <w:rPr>
          <w:color w:val="000000" w:themeColor="text1"/>
        </w:rPr>
      </w:pPr>
      <w:r w:rsidRPr="00F7024B">
        <w:rPr>
          <w:color w:val="000000" w:themeColor="text1"/>
        </w:rPr>
        <w:t>Acreditación del Sistema de Seguridad Social por parte de las personas</w:t>
      </w:r>
      <w:r w:rsidRPr="00F7024B">
        <w:rPr>
          <w:color w:val="000000" w:themeColor="text1"/>
          <w:spacing w:val="-24"/>
        </w:rPr>
        <w:t xml:space="preserve"> </w:t>
      </w:r>
      <w:r w:rsidRPr="00F7024B">
        <w:rPr>
          <w:color w:val="000000" w:themeColor="text1"/>
        </w:rPr>
        <w:t>jurídicas</w:t>
      </w:r>
    </w:p>
    <w:p w:rsidRPr="00F7024B" w:rsidR="006C2909" w:rsidRDefault="006C2909" w14:paraId="00498967" w14:textId="77777777">
      <w:pPr>
        <w:pStyle w:val="Textoindependiente"/>
        <w:spacing w:before="8"/>
        <w:rPr>
          <w:b/>
          <w:color w:val="000000" w:themeColor="text1"/>
          <w:sz w:val="28"/>
        </w:rPr>
      </w:pPr>
    </w:p>
    <w:p w:rsidRPr="00F7024B" w:rsidR="006C2909" w:rsidRDefault="00202146" w14:paraId="2028E8F2" w14:textId="44B11779">
      <w:pPr>
        <w:pStyle w:val="Textoindependiente"/>
        <w:spacing w:line="276" w:lineRule="auto"/>
        <w:ind w:left="300" w:right="305"/>
        <w:jc w:val="both"/>
        <w:rPr>
          <w:color w:val="000000" w:themeColor="text1"/>
        </w:rPr>
      </w:pPr>
      <w:r w:rsidRPr="00F7024B">
        <w:rPr>
          <w:color w:val="000000" w:themeColor="text1"/>
        </w:rPr>
        <w:t>En relación con la acreditación del pago al sistema de seguridad social, la Ley 789 de 2002, en el artículo 50,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debieron</w:t>
      </w:r>
      <w:r w:rsidRPr="00F7024B">
        <w:rPr>
          <w:color w:val="000000" w:themeColor="text1"/>
          <w:spacing w:val="-16"/>
        </w:rPr>
        <w:t xml:space="preserve"> </w:t>
      </w:r>
      <w:r w:rsidRPr="00F7024B">
        <w:rPr>
          <w:color w:val="000000" w:themeColor="text1"/>
        </w:rPr>
        <w:t>cotizar</w:t>
      </w:r>
      <w:r w:rsidR="00F7024B">
        <w:rPr>
          <w:rStyle w:val="Refdenotaalpie"/>
          <w:color w:val="000000" w:themeColor="text1"/>
        </w:rPr>
        <w:footnoteReference w:id="1"/>
      </w:r>
      <w:r w:rsidRPr="00F7024B">
        <w:rPr>
          <w:color w:val="000000" w:themeColor="text1"/>
        </w:rPr>
        <w:t>.</w:t>
      </w:r>
    </w:p>
    <w:p w:rsidRPr="00F7024B" w:rsidR="006C2909" w:rsidRDefault="006C2909" w14:paraId="5C7D4C0E" w14:textId="77777777">
      <w:pPr>
        <w:pStyle w:val="Textoindependiente"/>
        <w:spacing w:before="4"/>
        <w:rPr>
          <w:color w:val="000000" w:themeColor="text1"/>
          <w:sz w:val="25"/>
        </w:rPr>
      </w:pPr>
    </w:p>
    <w:p w:rsidRPr="00F7024B" w:rsidR="006C2909" w:rsidP="00F7024B" w:rsidRDefault="00202146" w14:paraId="1C8E3B8D" w14:textId="62EEE509">
      <w:pPr>
        <w:pStyle w:val="Textoindependiente"/>
        <w:spacing w:line="276" w:lineRule="auto"/>
        <w:ind w:left="300" w:right="306"/>
        <w:jc w:val="both"/>
        <w:rPr>
          <w:color w:val="000000" w:themeColor="text1"/>
        </w:rPr>
      </w:pPr>
      <w:r w:rsidRPr="00F7024B">
        <w:rPr>
          <w:color w:val="000000" w:themeColor="text1"/>
        </w:rPr>
        <w:t>Además, aclara que las personas jurídicas que quieran celebrar contratos con las entidades estatales deben acreditan el pago al sistema de seguridad social de sus empleados, por eso presentarán una certificación expedida por el revisor fiscal o por el representante legal, durante un lapso equivalente al que exija el respectivo régimen</w:t>
      </w:r>
      <w:r w:rsidRPr="00F7024B">
        <w:rPr>
          <w:color w:val="000000" w:themeColor="text1"/>
          <w:spacing w:val="46"/>
        </w:rPr>
        <w:t xml:space="preserve"> </w:t>
      </w:r>
      <w:r w:rsidRPr="00F7024B">
        <w:rPr>
          <w:color w:val="000000" w:themeColor="text1"/>
        </w:rPr>
        <w:t>de</w:t>
      </w:r>
      <w:r w:rsidR="00F7024B">
        <w:rPr>
          <w:color w:val="000000" w:themeColor="text1"/>
        </w:rPr>
        <w:t xml:space="preserve"> </w:t>
      </w:r>
      <w:r w:rsidRPr="00F7024B">
        <w:rPr>
          <w:color w:val="000000" w:themeColor="text1"/>
        </w:rPr>
        <w:t xml:space="preserve">contratación para que se hubiera constituido la sociedad, el cual en todo caso no será inferior a los seis (6) meses anteriores a la celebración del contrato. En este sentido, la ley señala </w:t>
      </w:r>
      <w:proofErr w:type="gramStart"/>
      <w:r w:rsidRPr="00F7024B">
        <w:rPr>
          <w:color w:val="000000" w:themeColor="text1"/>
        </w:rPr>
        <w:t>que</w:t>
      </w:r>
      <w:proofErr w:type="gramEnd"/>
      <w:r w:rsidRPr="00F7024B">
        <w:rPr>
          <w:color w:val="000000" w:themeColor="text1"/>
        </w:rPr>
        <w:t xml:space="preserve"> para presentar la oferta, las personas jurídicas deben acreditar el requisito señalado anteriormente, es decir, el pago al sistema de seguridad social de sus empleados.</w:t>
      </w:r>
    </w:p>
    <w:p w:rsidRPr="00F7024B" w:rsidR="006C2909" w:rsidRDefault="006C2909" w14:paraId="178F5ADB" w14:textId="77777777">
      <w:pPr>
        <w:pStyle w:val="Textoindependiente"/>
        <w:spacing w:before="6"/>
        <w:rPr>
          <w:color w:val="000000" w:themeColor="text1"/>
          <w:sz w:val="25"/>
        </w:rPr>
      </w:pPr>
    </w:p>
    <w:p w:rsidRPr="00F7024B" w:rsidR="006C2909" w:rsidP="00326575" w:rsidRDefault="00202146" w14:paraId="10F7FC5A" w14:textId="5578536D">
      <w:pPr>
        <w:pStyle w:val="Textoindependiente"/>
        <w:spacing w:line="276" w:lineRule="auto"/>
        <w:ind w:left="300" w:right="303"/>
        <w:jc w:val="both"/>
        <w:rPr>
          <w:color w:val="000000" w:themeColor="text1"/>
          <w:sz w:val="20"/>
        </w:rPr>
      </w:pPr>
      <w:r w:rsidRPr="00F7024B">
        <w:rPr>
          <w:color w:val="000000" w:themeColor="text1"/>
        </w:rPr>
        <w:t>Esta norma fue analizada en una sentencia del Consejo de Estado, Sección Tercera, del 8 de junio de 2011, en el Radicado No. 20001-23-31-000-2005-00409-01(AP), consejero ponente Enrique Gil Botero, donde consideró que el artículo 50 de la Ley 789 de 2002 tiene por objeto evitar la evasión 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w:t>
      </w:r>
      <w:r w:rsidR="00326575">
        <w:rPr>
          <w:rStyle w:val="Refdenotaalpie"/>
          <w:color w:val="000000" w:themeColor="text1"/>
        </w:rPr>
        <w:footnoteReference w:id="2"/>
      </w:r>
      <w:r w:rsidRPr="00F7024B">
        <w:rPr>
          <w:color w:val="000000" w:themeColor="text1"/>
        </w:rPr>
        <w:t xml:space="preserve">. Por lo tanto, la jurisprudencia reiteró la necesidad de que las entidades estatales, durante la </w:t>
      </w:r>
      <w:r w:rsidRPr="00F7024B">
        <w:rPr>
          <w:color w:val="000000" w:themeColor="text1"/>
        </w:rPr>
        <w:lastRenderedPageBreak/>
        <w:t>ejecución de un contrato, verifiquen el cumplimiento de las obligaciones del sistema de seguridad social por parte de los oferentes.</w:t>
      </w:r>
      <w:r w:rsidR="00326575">
        <w:rPr>
          <w:color w:val="000000" w:themeColor="text1"/>
        </w:rPr>
        <w:t xml:space="preserve"> </w:t>
      </w:r>
    </w:p>
    <w:p w:rsidRPr="00F7024B" w:rsidR="006C2909" w:rsidRDefault="006C2909" w14:paraId="1498C7A3" w14:textId="77777777">
      <w:pPr>
        <w:pStyle w:val="Textoindependiente"/>
        <w:spacing w:before="5"/>
        <w:rPr>
          <w:color w:val="000000" w:themeColor="text1"/>
          <w:sz w:val="16"/>
        </w:rPr>
      </w:pPr>
    </w:p>
    <w:p w:rsidRPr="00F7024B" w:rsidR="006C2909" w:rsidRDefault="00202146" w14:paraId="442F81DF" w14:textId="77777777">
      <w:pPr>
        <w:pStyle w:val="Textoindependiente"/>
        <w:spacing w:before="93" w:line="276" w:lineRule="auto"/>
        <w:ind w:left="300" w:right="306"/>
        <w:jc w:val="both"/>
        <w:rPr>
          <w:color w:val="000000" w:themeColor="text1"/>
        </w:rPr>
      </w:pPr>
      <w:r w:rsidRPr="00F7024B">
        <w:rPr>
          <w:color w:val="000000" w:themeColor="text1"/>
        </w:rPr>
        <w:t>Ahora, el numeral 3.4.1 del Documento Base establece que la persona jurídica debe presentar el Formato 6- Pagos de seguridad social y aportes legales suscrito por el Revisor fiscal o el representante legal que acredite el pago a los sistemas de salud, riesgos profesionales, pensiones y aportes a las Cajas de Compensación Familiar, Instituto Colombiano y Bienestar Familiar y el Servicio Nacional de Aprendizaje. No obstante, si la persona jurídica está exonerada en los términos previstos del artículo 65 de la Ley 1819 de 2016 así se debe indicar en el Formato 6- Pagos de seguridad Social y aportes legales. Así se determinó en los siguientes términos:</w:t>
      </w:r>
    </w:p>
    <w:p w:rsidRPr="00F7024B" w:rsidR="006C2909" w:rsidRDefault="00202146" w14:paraId="6D9610B1" w14:textId="77777777">
      <w:pPr>
        <w:pStyle w:val="Prrafodelista"/>
        <w:numPr>
          <w:ilvl w:val="2"/>
          <w:numId w:val="3"/>
        </w:numPr>
        <w:tabs>
          <w:tab w:val="left" w:pos="1715"/>
          <w:tab w:val="left" w:pos="1716"/>
        </w:tabs>
        <w:spacing w:before="122"/>
        <w:ind w:hanging="991"/>
        <w:jc w:val="left"/>
        <w:rPr>
          <w:b/>
          <w:color w:val="000000" w:themeColor="text1"/>
          <w:sz w:val="21"/>
        </w:rPr>
      </w:pPr>
      <w:r w:rsidRPr="00F7024B">
        <w:rPr>
          <w:b/>
          <w:color w:val="000000" w:themeColor="text1"/>
          <w:sz w:val="21"/>
        </w:rPr>
        <w:t>PERSONAS JURÍDICAS</w:t>
      </w:r>
    </w:p>
    <w:p w:rsidRPr="00F7024B" w:rsidR="006C2909" w:rsidRDefault="006C2909" w14:paraId="310B377C" w14:textId="77777777">
      <w:pPr>
        <w:pStyle w:val="Textoindependiente"/>
        <w:spacing w:before="10"/>
        <w:rPr>
          <w:b/>
          <w:color w:val="000000" w:themeColor="text1"/>
          <w:sz w:val="23"/>
        </w:rPr>
      </w:pPr>
    </w:p>
    <w:p w:rsidRPr="00F7024B" w:rsidR="006C2909" w:rsidRDefault="00202146" w14:paraId="165C5A27" w14:textId="77777777">
      <w:pPr>
        <w:ind w:left="640" w:right="1011"/>
        <w:jc w:val="both"/>
        <w:rPr>
          <w:color w:val="000000" w:themeColor="text1"/>
          <w:sz w:val="21"/>
        </w:rPr>
      </w:pPr>
      <w:r w:rsidRPr="00F7024B">
        <w:rPr>
          <w:color w:val="000000" w:themeColor="text1"/>
          <w:sz w:val="21"/>
        </w:rPr>
        <w:t xml:space="preserve">El Proponente persona jurídica debe presentar el </w:t>
      </w:r>
      <w:r w:rsidRPr="00F7024B">
        <w:rPr>
          <w:b/>
          <w:color w:val="000000" w:themeColor="text1"/>
          <w:sz w:val="21"/>
        </w:rPr>
        <w:t xml:space="preserve">¡Error! No se encuentra el origen de la referencia. </w:t>
      </w:r>
      <w:r w:rsidRPr="00F7024B">
        <w:rPr>
          <w:color w:val="000000" w:themeColor="text1"/>
          <w:sz w:val="21"/>
        </w:rPr>
        <w:t>suscrito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 y Servicio Nacional de Aprendizaje, cuando a ello haya</w:t>
      </w:r>
      <w:r w:rsidRPr="00F7024B">
        <w:rPr>
          <w:color w:val="000000" w:themeColor="text1"/>
          <w:spacing w:val="-21"/>
          <w:sz w:val="21"/>
        </w:rPr>
        <w:t xml:space="preserve"> </w:t>
      </w:r>
      <w:r w:rsidRPr="00F7024B">
        <w:rPr>
          <w:color w:val="000000" w:themeColor="text1"/>
          <w:sz w:val="21"/>
        </w:rPr>
        <w:t>lugar.</w:t>
      </w:r>
    </w:p>
    <w:p w:rsidRPr="00F7024B" w:rsidR="006C2909" w:rsidRDefault="006C2909" w14:paraId="6FFB564B" w14:textId="77777777">
      <w:pPr>
        <w:pStyle w:val="Textoindependiente"/>
        <w:rPr>
          <w:color w:val="000000" w:themeColor="text1"/>
          <w:sz w:val="21"/>
        </w:rPr>
      </w:pPr>
    </w:p>
    <w:p w:rsidRPr="00F7024B" w:rsidR="006C2909" w:rsidRDefault="00202146" w14:paraId="182A6A11" w14:textId="77777777">
      <w:pPr>
        <w:spacing w:before="1"/>
        <w:ind w:left="640" w:right="1016"/>
        <w:jc w:val="both"/>
        <w:rPr>
          <w:color w:val="000000" w:themeColor="text1"/>
          <w:sz w:val="21"/>
        </w:rPr>
      </w:pPr>
      <w:r w:rsidRPr="00F7024B">
        <w:rPr>
          <w:color w:val="000000" w:themeColor="text1"/>
          <w:sz w:val="21"/>
        </w:rPr>
        <w:t xml:space="preserve">Cuando la persona jurídica está exonerada en los términos previstos en el artículo 65 de la Ley 1819 de 2016 debe indicarlo en el </w:t>
      </w:r>
      <w:r w:rsidRPr="00F7024B">
        <w:rPr>
          <w:b/>
          <w:color w:val="000000" w:themeColor="text1"/>
          <w:sz w:val="21"/>
        </w:rPr>
        <w:t xml:space="preserve">¡Error! No se encuentra el origen de la </w:t>
      </w:r>
      <w:proofErr w:type="gramStart"/>
      <w:r w:rsidRPr="00F7024B">
        <w:rPr>
          <w:b/>
          <w:color w:val="000000" w:themeColor="text1"/>
          <w:sz w:val="21"/>
        </w:rPr>
        <w:t>referencia.</w:t>
      </w:r>
      <w:r w:rsidRPr="00F7024B">
        <w:rPr>
          <w:color w:val="000000" w:themeColor="text1"/>
          <w:sz w:val="21"/>
        </w:rPr>
        <w:t>.</w:t>
      </w:r>
      <w:proofErr w:type="gramEnd"/>
    </w:p>
    <w:p w:rsidRPr="00F7024B" w:rsidR="006C2909" w:rsidRDefault="006C2909" w14:paraId="2E33DA87" w14:textId="77777777">
      <w:pPr>
        <w:pStyle w:val="Textoindependiente"/>
        <w:spacing w:before="1"/>
        <w:rPr>
          <w:color w:val="000000" w:themeColor="text1"/>
          <w:sz w:val="21"/>
        </w:rPr>
      </w:pPr>
    </w:p>
    <w:p w:rsidRPr="00F7024B" w:rsidR="006C2909" w:rsidRDefault="00202146" w14:paraId="16534A68" w14:textId="77777777">
      <w:pPr>
        <w:spacing w:before="1"/>
        <w:ind w:left="640" w:right="1017"/>
        <w:jc w:val="both"/>
        <w:rPr>
          <w:color w:val="000000" w:themeColor="text1"/>
          <w:sz w:val="21"/>
        </w:rPr>
      </w:pPr>
      <w:r w:rsidRPr="00F7024B">
        <w:rPr>
          <w:color w:val="000000" w:themeColor="text1"/>
          <w:sz w:val="21"/>
        </w:rPr>
        <w:t>Esta misma previsión aplica para las personas jurídicas extranjeras con domicilio o sucursal en Colombia las cuales deberán acreditar este requisito respecto del personal vinculado en Colombia.</w:t>
      </w:r>
    </w:p>
    <w:p w:rsidRPr="00F7024B" w:rsidR="006C2909" w:rsidRDefault="006C2909" w14:paraId="145A37B3" w14:textId="77777777">
      <w:pPr>
        <w:pStyle w:val="Textoindependiente"/>
        <w:spacing w:before="10"/>
        <w:rPr>
          <w:color w:val="000000" w:themeColor="text1"/>
        </w:rPr>
      </w:pPr>
    </w:p>
    <w:p w:rsidRPr="00F7024B" w:rsidR="006C2909" w:rsidRDefault="00202146" w14:paraId="64177F2E" w14:textId="77777777">
      <w:pPr>
        <w:pStyle w:val="Textoindependiente"/>
        <w:spacing w:line="276" w:lineRule="auto"/>
        <w:ind w:left="300" w:right="317"/>
        <w:jc w:val="both"/>
        <w:rPr>
          <w:color w:val="000000" w:themeColor="text1"/>
        </w:rPr>
      </w:pPr>
      <w:r w:rsidRPr="00F7024B">
        <w:rPr>
          <w:color w:val="000000" w:themeColor="text1"/>
        </w:rPr>
        <w:t>Por su parte, el Formato 6 señala la forma en la cual se debe diligenciar el mismo, y este pone varios supuestos, los cuales se explicarán a continuación:</w:t>
      </w:r>
    </w:p>
    <w:p w:rsidRPr="00F7024B" w:rsidR="006C2909" w:rsidRDefault="006C2909" w14:paraId="7476E78B" w14:textId="77777777">
      <w:pPr>
        <w:pStyle w:val="Textoindependiente"/>
        <w:spacing w:before="3"/>
        <w:rPr>
          <w:color w:val="000000" w:themeColor="text1"/>
          <w:sz w:val="25"/>
        </w:rPr>
      </w:pPr>
    </w:p>
    <w:p w:rsidRPr="00F7024B" w:rsidR="006C2909" w:rsidRDefault="00202146" w14:paraId="109DA58D" w14:textId="77777777">
      <w:pPr>
        <w:pStyle w:val="Prrafodelista"/>
        <w:numPr>
          <w:ilvl w:val="0"/>
          <w:numId w:val="2"/>
        </w:numPr>
        <w:tabs>
          <w:tab w:val="left" w:pos="726"/>
        </w:tabs>
        <w:spacing w:before="1" w:line="276" w:lineRule="auto"/>
        <w:ind w:right="304"/>
        <w:jc w:val="both"/>
        <w:rPr>
          <w:color w:val="000000" w:themeColor="text1"/>
        </w:rPr>
      </w:pPr>
      <w:r w:rsidRPr="00F7024B">
        <w:rPr>
          <w:color w:val="000000" w:themeColor="text1"/>
        </w:rPr>
        <w:t>El primer párrafo se debe diligenciar cuando el Representante Legal de la persona jurídica suscribe el Formato y certifica el pago de los aportes a salud, riesgos profesionales, pensiones y aportes a la Caja de Compensación Familiar, Instituto Colombiano de Bienestar Familiar y el Servicio Nacional de Aprendizaje durante los últimos seis (6) meses contados a partir de la fecha de cierre del presente proceso de selección. En este caso, la persona jurídica tiene más de seis (6) meses de constituida.</w:t>
      </w:r>
    </w:p>
    <w:p w:rsidRPr="00F7024B" w:rsidR="006C2909" w:rsidRDefault="006C2909" w14:paraId="0AE4D4FD" w14:textId="77777777">
      <w:pPr>
        <w:pStyle w:val="Textoindependiente"/>
        <w:spacing w:before="3"/>
        <w:rPr>
          <w:color w:val="000000" w:themeColor="text1"/>
          <w:sz w:val="25"/>
        </w:rPr>
      </w:pPr>
    </w:p>
    <w:p w:rsidRPr="00326575" w:rsidR="006C2909" w:rsidP="00326575" w:rsidRDefault="00202146" w14:paraId="787DC0A1" w14:textId="2D95C82D">
      <w:pPr>
        <w:pStyle w:val="Prrafodelista"/>
        <w:numPr>
          <w:ilvl w:val="0"/>
          <w:numId w:val="2"/>
        </w:numPr>
        <w:tabs>
          <w:tab w:val="left" w:pos="726"/>
        </w:tabs>
        <w:spacing w:before="93" w:line="278" w:lineRule="auto"/>
        <w:ind w:right="296"/>
        <w:jc w:val="both"/>
        <w:rPr>
          <w:color w:val="000000" w:themeColor="text1"/>
        </w:rPr>
      </w:pPr>
      <w:r w:rsidRPr="00326575">
        <w:rPr>
          <w:color w:val="000000" w:themeColor="text1"/>
        </w:rPr>
        <w:t xml:space="preserve">El segundo párrafo se debe diligenciar en el caso que el revisor fiscal es el que diligencia el Formato 6 y certifica el pago de los aportes a salud, riesgos profesionales, pensiones y aportes a las Cajas de Compensación Familiar, Instituto Colombiano de </w:t>
      </w:r>
      <w:r w:rsidRPr="00326575">
        <w:rPr>
          <w:color w:val="000000" w:themeColor="text1"/>
        </w:rPr>
        <w:lastRenderedPageBreak/>
        <w:t>Bienestar Familiar y Servicio Nacional de Aprendizaje pagados por la compañía durante</w:t>
      </w:r>
      <w:r w:rsidRPr="00326575">
        <w:rPr>
          <w:color w:val="000000" w:themeColor="text1"/>
          <w:spacing w:val="5"/>
        </w:rPr>
        <w:t xml:space="preserve"> </w:t>
      </w:r>
      <w:r w:rsidRPr="00326575">
        <w:rPr>
          <w:color w:val="000000" w:themeColor="text1"/>
        </w:rPr>
        <w:t>los</w:t>
      </w:r>
      <w:r w:rsidRPr="00326575">
        <w:rPr>
          <w:color w:val="000000" w:themeColor="text1"/>
          <w:spacing w:val="5"/>
        </w:rPr>
        <w:t xml:space="preserve"> </w:t>
      </w:r>
      <w:r w:rsidRPr="00326575">
        <w:rPr>
          <w:color w:val="000000" w:themeColor="text1"/>
        </w:rPr>
        <w:t>últimos</w:t>
      </w:r>
      <w:r w:rsidRPr="00326575">
        <w:rPr>
          <w:color w:val="000000" w:themeColor="text1"/>
          <w:spacing w:val="6"/>
        </w:rPr>
        <w:t xml:space="preserve"> </w:t>
      </w:r>
      <w:r w:rsidRPr="00326575">
        <w:rPr>
          <w:color w:val="000000" w:themeColor="text1"/>
        </w:rPr>
        <w:t>seis</w:t>
      </w:r>
      <w:r w:rsidRPr="00326575">
        <w:rPr>
          <w:color w:val="000000" w:themeColor="text1"/>
          <w:spacing w:val="5"/>
        </w:rPr>
        <w:t xml:space="preserve"> </w:t>
      </w:r>
      <w:r w:rsidRPr="00326575">
        <w:rPr>
          <w:color w:val="000000" w:themeColor="text1"/>
        </w:rPr>
        <w:t>(6)</w:t>
      </w:r>
      <w:r w:rsidRPr="00326575">
        <w:rPr>
          <w:color w:val="000000" w:themeColor="text1"/>
          <w:spacing w:val="6"/>
        </w:rPr>
        <w:t xml:space="preserve"> </w:t>
      </w:r>
      <w:r w:rsidRPr="00326575">
        <w:rPr>
          <w:color w:val="000000" w:themeColor="text1"/>
        </w:rPr>
        <w:t>meses</w:t>
      </w:r>
      <w:r w:rsidRPr="00326575">
        <w:rPr>
          <w:color w:val="000000" w:themeColor="text1"/>
          <w:spacing w:val="5"/>
        </w:rPr>
        <w:t xml:space="preserve"> </w:t>
      </w:r>
      <w:r w:rsidRPr="00326575">
        <w:rPr>
          <w:color w:val="000000" w:themeColor="text1"/>
        </w:rPr>
        <w:t>contados</w:t>
      </w:r>
      <w:r w:rsidRPr="00326575">
        <w:rPr>
          <w:color w:val="000000" w:themeColor="text1"/>
          <w:spacing w:val="6"/>
        </w:rPr>
        <w:t xml:space="preserve"> </w:t>
      </w:r>
      <w:r w:rsidRPr="00326575">
        <w:rPr>
          <w:color w:val="000000" w:themeColor="text1"/>
        </w:rPr>
        <w:t>a</w:t>
      </w:r>
      <w:r w:rsidRPr="00326575">
        <w:rPr>
          <w:color w:val="000000" w:themeColor="text1"/>
          <w:spacing w:val="6"/>
        </w:rPr>
        <w:t xml:space="preserve"> </w:t>
      </w:r>
      <w:r w:rsidRPr="00326575">
        <w:rPr>
          <w:color w:val="000000" w:themeColor="text1"/>
        </w:rPr>
        <w:t>partir</w:t>
      </w:r>
      <w:r w:rsidRPr="00326575">
        <w:rPr>
          <w:color w:val="000000" w:themeColor="text1"/>
          <w:spacing w:val="4"/>
        </w:rPr>
        <w:t xml:space="preserve"> </w:t>
      </w:r>
      <w:r w:rsidRPr="00326575">
        <w:rPr>
          <w:color w:val="000000" w:themeColor="text1"/>
        </w:rPr>
        <w:t>de</w:t>
      </w:r>
      <w:r w:rsidRPr="00326575">
        <w:rPr>
          <w:color w:val="000000" w:themeColor="text1"/>
          <w:spacing w:val="6"/>
        </w:rPr>
        <w:t xml:space="preserve"> </w:t>
      </w:r>
      <w:r w:rsidRPr="00326575">
        <w:rPr>
          <w:color w:val="000000" w:themeColor="text1"/>
        </w:rPr>
        <w:t>la</w:t>
      </w:r>
      <w:r w:rsidRPr="00326575">
        <w:rPr>
          <w:color w:val="000000" w:themeColor="text1"/>
          <w:spacing w:val="5"/>
        </w:rPr>
        <w:t xml:space="preserve"> </w:t>
      </w:r>
      <w:r w:rsidRPr="00326575">
        <w:rPr>
          <w:color w:val="000000" w:themeColor="text1"/>
        </w:rPr>
        <w:t>fecha</w:t>
      </w:r>
      <w:r w:rsidRPr="00326575">
        <w:rPr>
          <w:color w:val="000000" w:themeColor="text1"/>
          <w:spacing w:val="7"/>
        </w:rPr>
        <w:t xml:space="preserve"> </w:t>
      </w:r>
      <w:r w:rsidRPr="00326575">
        <w:rPr>
          <w:color w:val="000000" w:themeColor="text1"/>
        </w:rPr>
        <w:t>de</w:t>
      </w:r>
      <w:r w:rsidRPr="00326575">
        <w:rPr>
          <w:color w:val="000000" w:themeColor="text1"/>
          <w:spacing w:val="5"/>
        </w:rPr>
        <w:t xml:space="preserve"> </w:t>
      </w:r>
      <w:r w:rsidRPr="00326575">
        <w:rPr>
          <w:color w:val="000000" w:themeColor="text1"/>
        </w:rPr>
        <w:t>cierre</w:t>
      </w:r>
      <w:r w:rsidRPr="00326575">
        <w:rPr>
          <w:color w:val="000000" w:themeColor="text1"/>
          <w:spacing w:val="6"/>
        </w:rPr>
        <w:t xml:space="preserve"> </w:t>
      </w:r>
      <w:r w:rsidRPr="00326575">
        <w:rPr>
          <w:color w:val="000000" w:themeColor="text1"/>
        </w:rPr>
        <w:t>del</w:t>
      </w:r>
      <w:r w:rsidRPr="00326575">
        <w:rPr>
          <w:color w:val="000000" w:themeColor="text1"/>
          <w:spacing w:val="6"/>
        </w:rPr>
        <w:t xml:space="preserve"> </w:t>
      </w:r>
      <w:proofErr w:type="spellStart"/>
      <w:r w:rsidRPr="00326575">
        <w:rPr>
          <w:color w:val="000000" w:themeColor="text1"/>
        </w:rPr>
        <w:t>presenteproceso</w:t>
      </w:r>
      <w:proofErr w:type="spellEnd"/>
      <w:r w:rsidRPr="00326575">
        <w:rPr>
          <w:color w:val="000000" w:themeColor="text1"/>
        </w:rPr>
        <w:t xml:space="preserve"> de selección. En este caso, la persona jurídica tiene más de seis (6) meses de constituida.</w:t>
      </w:r>
    </w:p>
    <w:p w:rsidRPr="00F7024B" w:rsidR="006C2909" w:rsidRDefault="006C2909" w14:paraId="0B53E63D" w14:textId="77777777">
      <w:pPr>
        <w:pStyle w:val="Textoindependiente"/>
        <w:spacing w:before="7"/>
        <w:rPr>
          <w:color w:val="000000" w:themeColor="text1"/>
          <w:sz w:val="21"/>
        </w:rPr>
      </w:pPr>
    </w:p>
    <w:p w:rsidRPr="00F7024B" w:rsidR="006C2909" w:rsidRDefault="00202146" w14:paraId="2CB46E7B" w14:textId="77777777">
      <w:pPr>
        <w:pStyle w:val="Prrafodelista"/>
        <w:numPr>
          <w:ilvl w:val="0"/>
          <w:numId w:val="2"/>
        </w:numPr>
        <w:tabs>
          <w:tab w:val="left" w:pos="726"/>
        </w:tabs>
        <w:ind w:hanging="426"/>
        <w:jc w:val="both"/>
        <w:rPr>
          <w:color w:val="000000" w:themeColor="text1"/>
        </w:rPr>
      </w:pPr>
      <w:r w:rsidRPr="00F7024B">
        <w:rPr>
          <w:color w:val="000000" w:themeColor="text1"/>
        </w:rPr>
        <w:t>El</w:t>
      </w:r>
      <w:r w:rsidRPr="00F7024B">
        <w:rPr>
          <w:color w:val="000000" w:themeColor="text1"/>
          <w:spacing w:val="17"/>
        </w:rPr>
        <w:t xml:space="preserve"> </w:t>
      </w:r>
      <w:r w:rsidRPr="00F7024B">
        <w:rPr>
          <w:color w:val="000000" w:themeColor="text1"/>
        </w:rPr>
        <w:t>cuarto</w:t>
      </w:r>
      <w:r w:rsidRPr="00F7024B">
        <w:rPr>
          <w:color w:val="000000" w:themeColor="text1"/>
          <w:spacing w:val="16"/>
        </w:rPr>
        <w:t xml:space="preserve"> </w:t>
      </w:r>
      <w:r w:rsidRPr="00F7024B">
        <w:rPr>
          <w:color w:val="000000" w:themeColor="text1"/>
        </w:rPr>
        <w:t>párrafo</w:t>
      </w:r>
      <w:r w:rsidRPr="00F7024B">
        <w:rPr>
          <w:color w:val="000000" w:themeColor="text1"/>
          <w:spacing w:val="16"/>
        </w:rPr>
        <w:t xml:space="preserve"> </w:t>
      </w:r>
      <w:r w:rsidRPr="00F7024B">
        <w:rPr>
          <w:color w:val="000000" w:themeColor="text1"/>
        </w:rPr>
        <w:t>se</w:t>
      </w:r>
      <w:r w:rsidRPr="00F7024B">
        <w:rPr>
          <w:color w:val="000000" w:themeColor="text1"/>
          <w:spacing w:val="17"/>
        </w:rPr>
        <w:t xml:space="preserve"> </w:t>
      </w:r>
      <w:r w:rsidRPr="00F7024B">
        <w:rPr>
          <w:color w:val="000000" w:themeColor="text1"/>
        </w:rPr>
        <w:t>debe</w:t>
      </w:r>
      <w:r w:rsidRPr="00F7024B">
        <w:rPr>
          <w:color w:val="000000" w:themeColor="text1"/>
          <w:spacing w:val="14"/>
        </w:rPr>
        <w:t xml:space="preserve"> </w:t>
      </w:r>
      <w:r w:rsidRPr="00F7024B">
        <w:rPr>
          <w:color w:val="000000" w:themeColor="text1"/>
        </w:rPr>
        <w:t>diligenciar</w:t>
      </w:r>
      <w:r w:rsidRPr="00F7024B">
        <w:rPr>
          <w:color w:val="000000" w:themeColor="text1"/>
          <w:spacing w:val="16"/>
        </w:rPr>
        <w:t xml:space="preserve"> </w:t>
      </w:r>
      <w:r w:rsidRPr="00F7024B">
        <w:rPr>
          <w:color w:val="000000" w:themeColor="text1"/>
        </w:rPr>
        <w:t>cuando</w:t>
      </w:r>
      <w:r w:rsidRPr="00F7024B">
        <w:rPr>
          <w:color w:val="000000" w:themeColor="text1"/>
          <w:spacing w:val="14"/>
        </w:rPr>
        <w:t xml:space="preserve"> </w:t>
      </w:r>
      <w:r w:rsidRPr="00F7024B">
        <w:rPr>
          <w:color w:val="000000" w:themeColor="text1"/>
        </w:rPr>
        <w:t>la</w:t>
      </w:r>
      <w:r w:rsidRPr="00F7024B">
        <w:rPr>
          <w:color w:val="000000" w:themeColor="text1"/>
          <w:spacing w:val="17"/>
        </w:rPr>
        <w:t xml:space="preserve"> </w:t>
      </w:r>
      <w:r w:rsidRPr="00F7024B">
        <w:rPr>
          <w:color w:val="000000" w:themeColor="text1"/>
        </w:rPr>
        <w:t>persona</w:t>
      </w:r>
      <w:r w:rsidRPr="00F7024B">
        <w:rPr>
          <w:color w:val="000000" w:themeColor="text1"/>
          <w:spacing w:val="17"/>
        </w:rPr>
        <w:t xml:space="preserve"> </w:t>
      </w:r>
      <w:r w:rsidRPr="00F7024B">
        <w:rPr>
          <w:color w:val="000000" w:themeColor="text1"/>
        </w:rPr>
        <w:t>jurídica</w:t>
      </w:r>
      <w:r w:rsidRPr="00F7024B">
        <w:rPr>
          <w:color w:val="000000" w:themeColor="text1"/>
          <w:spacing w:val="16"/>
        </w:rPr>
        <w:t xml:space="preserve"> </w:t>
      </w:r>
      <w:r w:rsidRPr="00F7024B">
        <w:rPr>
          <w:color w:val="000000" w:themeColor="text1"/>
        </w:rPr>
        <w:t>no</w:t>
      </w:r>
      <w:r w:rsidRPr="00F7024B">
        <w:rPr>
          <w:color w:val="000000" w:themeColor="text1"/>
          <w:spacing w:val="16"/>
        </w:rPr>
        <w:t xml:space="preserve"> </w:t>
      </w:r>
      <w:r w:rsidRPr="00F7024B">
        <w:rPr>
          <w:color w:val="000000" w:themeColor="text1"/>
        </w:rPr>
        <w:t>tiene</w:t>
      </w:r>
      <w:r w:rsidRPr="00F7024B">
        <w:rPr>
          <w:color w:val="000000" w:themeColor="text1"/>
          <w:spacing w:val="15"/>
        </w:rPr>
        <w:t xml:space="preserve"> </w:t>
      </w:r>
      <w:r w:rsidRPr="00F7024B">
        <w:rPr>
          <w:color w:val="000000" w:themeColor="text1"/>
        </w:rPr>
        <w:t>más</w:t>
      </w:r>
      <w:r w:rsidRPr="00F7024B">
        <w:rPr>
          <w:color w:val="000000" w:themeColor="text1"/>
          <w:spacing w:val="16"/>
        </w:rPr>
        <w:t xml:space="preserve"> </w:t>
      </w:r>
      <w:r w:rsidRPr="00F7024B">
        <w:rPr>
          <w:color w:val="000000" w:themeColor="text1"/>
        </w:rPr>
        <w:t>de</w:t>
      </w:r>
      <w:r w:rsidRPr="00F7024B">
        <w:rPr>
          <w:color w:val="000000" w:themeColor="text1"/>
          <w:spacing w:val="16"/>
        </w:rPr>
        <w:t xml:space="preserve"> </w:t>
      </w:r>
      <w:r w:rsidRPr="00F7024B">
        <w:rPr>
          <w:color w:val="000000" w:themeColor="text1"/>
        </w:rPr>
        <w:t>seis</w:t>
      </w:r>
    </w:p>
    <w:p w:rsidRPr="00F7024B" w:rsidR="006C2909" w:rsidRDefault="00202146" w14:paraId="20FF20A1" w14:textId="77777777">
      <w:pPr>
        <w:pStyle w:val="Prrafodelista"/>
        <w:numPr>
          <w:ilvl w:val="1"/>
          <w:numId w:val="2"/>
        </w:numPr>
        <w:tabs>
          <w:tab w:val="left" w:pos="1066"/>
        </w:tabs>
        <w:spacing w:before="40" w:line="276" w:lineRule="auto"/>
        <w:ind w:right="313" w:firstLine="0"/>
        <w:jc w:val="both"/>
        <w:rPr>
          <w:color w:val="000000" w:themeColor="text1"/>
        </w:rPr>
      </w:pPr>
      <w:r w:rsidRPr="00F7024B">
        <w:rPr>
          <w:color w:val="000000" w:themeColor="text1"/>
        </w:rPr>
        <w:t>meses de constituida y el que va a firmar el Formato 6 es el Representante Legal; por su parte se acreditará el pago del Sistema de Seguridad Social y aportes a las Cajas de Compensación Familiar, ICBF y SENA desde la fecha de la constitución de la persona</w:t>
      </w:r>
      <w:r w:rsidRPr="00F7024B">
        <w:rPr>
          <w:color w:val="000000" w:themeColor="text1"/>
          <w:spacing w:val="-3"/>
        </w:rPr>
        <w:t xml:space="preserve"> </w:t>
      </w:r>
      <w:r w:rsidRPr="00F7024B">
        <w:rPr>
          <w:color w:val="000000" w:themeColor="text1"/>
        </w:rPr>
        <w:t>jurídica.</w:t>
      </w:r>
    </w:p>
    <w:p w:rsidRPr="00F7024B" w:rsidR="006C2909" w:rsidRDefault="006C2909" w14:paraId="76937FF3" w14:textId="77777777">
      <w:pPr>
        <w:pStyle w:val="Textoindependiente"/>
        <w:spacing w:before="10"/>
        <w:rPr>
          <w:color w:val="000000" w:themeColor="text1"/>
          <w:sz w:val="21"/>
        </w:rPr>
      </w:pPr>
    </w:p>
    <w:p w:rsidRPr="00F7024B" w:rsidR="006C2909" w:rsidRDefault="00202146" w14:paraId="13A087B7" w14:textId="77777777">
      <w:pPr>
        <w:pStyle w:val="Prrafodelista"/>
        <w:numPr>
          <w:ilvl w:val="0"/>
          <w:numId w:val="2"/>
        </w:numPr>
        <w:tabs>
          <w:tab w:val="left" w:pos="726"/>
        </w:tabs>
        <w:ind w:hanging="426"/>
        <w:jc w:val="both"/>
        <w:rPr>
          <w:color w:val="000000" w:themeColor="text1"/>
        </w:rPr>
      </w:pPr>
      <w:r w:rsidRPr="00F7024B">
        <w:rPr>
          <w:color w:val="000000" w:themeColor="text1"/>
        </w:rPr>
        <w:t>El</w:t>
      </w:r>
      <w:r w:rsidRPr="00F7024B">
        <w:rPr>
          <w:color w:val="000000" w:themeColor="text1"/>
          <w:spacing w:val="18"/>
        </w:rPr>
        <w:t xml:space="preserve"> </w:t>
      </w:r>
      <w:r w:rsidRPr="00F7024B">
        <w:rPr>
          <w:color w:val="000000" w:themeColor="text1"/>
        </w:rPr>
        <w:t>quinto</w:t>
      </w:r>
      <w:r w:rsidRPr="00F7024B">
        <w:rPr>
          <w:color w:val="000000" w:themeColor="text1"/>
          <w:spacing w:val="17"/>
        </w:rPr>
        <w:t xml:space="preserve"> </w:t>
      </w:r>
      <w:r w:rsidRPr="00F7024B">
        <w:rPr>
          <w:color w:val="000000" w:themeColor="text1"/>
        </w:rPr>
        <w:t>párrafo</w:t>
      </w:r>
      <w:r w:rsidRPr="00F7024B">
        <w:rPr>
          <w:color w:val="000000" w:themeColor="text1"/>
          <w:spacing w:val="16"/>
        </w:rPr>
        <w:t xml:space="preserve"> </w:t>
      </w:r>
      <w:r w:rsidRPr="00F7024B">
        <w:rPr>
          <w:color w:val="000000" w:themeColor="text1"/>
        </w:rPr>
        <w:t>se</w:t>
      </w:r>
      <w:r w:rsidRPr="00F7024B">
        <w:rPr>
          <w:color w:val="000000" w:themeColor="text1"/>
          <w:spacing w:val="16"/>
        </w:rPr>
        <w:t xml:space="preserve"> </w:t>
      </w:r>
      <w:r w:rsidRPr="00F7024B">
        <w:rPr>
          <w:color w:val="000000" w:themeColor="text1"/>
        </w:rPr>
        <w:t>debe</w:t>
      </w:r>
      <w:r w:rsidRPr="00F7024B">
        <w:rPr>
          <w:color w:val="000000" w:themeColor="text1"/>
          <w:spacing w:val="18"/>
        </w:rPr>
        <w:t xml:space="preserve"> </w:t>
      </w:r>
      <w:r w:rsidRPr="00F7024B">
        <w:rPr>
          <w:color w:val="000000" w:themeColor="text1"/>
        </w:rPr>
        <w:t>diligenciar</w:t>
      </w:r>
      <w:r w:rsidRPr="00F7024B">
        <w:rPr>
          <w:color w:val="000000" w:themeColor="text1"/>
          <w:spacing w:val="16"/>
        </w:rPr>
        <w:t xml:space="preserve"> </w:t>
      </w:r>
      <w:r w:rsidRPr="00F7024B">
        <w:rPr>
          <w:color w:val="000000" w:themeColor="text1"/>
        </w:rPr>
        <w:t>cuando</w:t>
      </w:r>
      <w:r w:rsidRPr="00F7024B">
        <w:rPr>
          <w:color w:val="000000" w:themeColor="text1"/>
          <w:spacing w:val="16"/>
        </w:rPr>
        <w:t xml:space="preserve"> </w:t>
      </w:r>
      <w:r w:rsidRPr="00F7024B">
        <w:rPr>
          <w:color w:val="000000" w:themeColor="text1"/>
        </w:rPr>
        <w:t>la</w:t>
      </w:r>
      <w:r w:rsidRPr="00F7024B">
        <w:rPr>
          <w:color w:val="000000" w:themeColor="text1"/>
          <w:spacing w:val="16"/>
        </w:rPr>
        <w:t xml:space="preserve"> </w:t>
      </w:r>
      <w:r w:rsidRPr="00F7024B">
        <w:rPr>
          <w:color w:val="000000" w:themeColor="text1"/>
        </w:rPr>
        <w:t>persona</w:t>
      </w:r>
      <w:r w:rsidRPr="00F7024B">
        <w:rPr>
          <w:color w:val="000000" w:themeColor="text1"/>
          <w:spacing w:val="16"/>
        </w:rPr>
        <w:t xml:space="preserve"> </w:t>
      </w:r>
      <w:r w:rsidRPr="00F7024B">
        <w:rPr>
          <w:color w:val="000000" w:themeColor="text1"/>
        </w:rPr>
        <w:t>jurídica</w:t>
      </w:r>
      <w:r w:rsidRPr="00F7024B">
        <w:rPr>
          <w:color w:val="000000" w:themeColor="text1"/>
          <w:spacing w:val="17"/>
        </w:rPr>
        <w:t xml:space="preserve"> </w:t>
      </w:r>
      <w:r w:rsidRPr="00F7024B">
        <w:rPr>
          <w:color w:val="000000" w:themeColor="text1"/>
        </w:rPr>
        <w:t>no</w:t>
      </w:r>
      <w:r w:rsidRPr="00F7024B">
        <w:rPr>
          <w:color w:val="000000" w:themeColor="text1"/>
          <w:spacing w:val="16"/>
        </w:rPr>
        <w:t xml:space="preserve"> </w:t>
      </w:r>
      <w:r w:rsidRPr="00F7024B">
        <w:rPr>
          <w:color w:val="000000" w:themeColor="text1"/>
        </w:rPr>
        <w:t>tiene</w:t>
      </w:r>
      <w:r w:rsidRPr="00F7024B">
        <w:rPr>
          <w:color w:val="000000" w:themeColor="text1"/>
          <w:spacing w:val="17"/>
        </w:rPr>
        <w:t xml:space="preserve"> </w:t>
      </w:r>
      <w:r w:rsidRPr="00F7024B">
        <w:rPr>
          <w:color w:val="000000" w:themeColor="text1"/>
        </w:rPr>
        <w:t>más</w:t>
      </w:r>
      <w:r w:rsidRPr="00F7024B">
        <w:rPr>
          <w:color w:val="000000" w:themeColor="text1"/>
          <w:spacing w:val="16"/>
        </w:rPr>
        <w:t xml:space="preserve"> </w:t>
      </w:r>
      <w:r w:rsidRPr="00F7024B">
        <w:rPr>
          <w:color w:val="000000" w:themeColor="text1"/>
        </w:rPr>
        <w:t>de</w:t>
      </w:r>
      <w:r w:rsidRPr="00F7024B">
        <w:rPr>
          <w:color w:val="000000" w:themeColor="text1"/>
          <w:spacing w:val="17"/>
        </w:rPr>
        <w:t xml:space="preserve"> </w:t>
      </w:r>
      <w:r w:rsidRPr="00F7024B">
        <w:rPr>
          <w:color w:val="000000" w:themeColor="text1"/>
        </w:rPr>
        <w:t>seis</w:t>
      </w:r>
    </w:p>
    <w:p w:rsidRPr="00F7024B" w:rsidR="006C2909" w:rsidRDefault="00202146" w14:paraId="10832377" w14:textId="77777777">
      <w:pPr>
        <w:pStyle w:val="Prrafodelista"/>
        <w:numPr>
          <w:ilvl w:val="1"/>
          <w:numId w:val="2"/>
        </w:numPr>
        <w:tabs>
          <w:tab w:val="left" w:pos="1066"/>
        </w:tabs>
        <w:spacing w:before="39" w:line="276" w:lineRule="auto"/>
        <w:ind w:right="304" w:firstLine="0"/>
        <w:jc w:val="both"/>
        <w:rPr>
          <w:color w:val="000000" w:themeColor="text1"/>
        </w:rPr>
      </w:pPr>
      <w:r w:rsidRPr="00F7024B">
        <w:rPr>
          <w:color w:val="000000" w:themeColor="text1"/>
        </w:rPr>
        <w:t>meses de constituida y el que va a firmar el Formato 6 es el Representante Legal. Ahora, se acreditará el pago de los aportes de salud, riesgos profesionales, pensiones y aportes a las Cajas de Compensación Familiar, Instituto Colombiano de Bienestar Familiar y Servicio Nacional de Aprendizaje, (Articulo 65 Ley 1819 de 2016), pagados por la compañía a partir de la fecha de constitución de la persona</w:t>
      </w:r>
      <w:r w:rsidRPr="00F7024B">
        <w:rPr>
          <w:color w:val="000000" w:themeColor="text1"/>
          <w:spacing w:val="-25"/>
        </w:rPr>
        <w:t xml:space="preserve"> </w:t>
      </w:r>
      <w:r w:rsidRPr="00F7024B">
        <w:rPr>
          <w:color w:val="000000" w:themeColor="text1"/>
        </w:rPr>
        <w:t>jurídica.</w:t>
      </w:r>
    </w:p>
    <w:p w:rsidRPr="00F7024B" w:rsidR="006C2909" w:rsidRDefault="006C2909" w14:paraId="11F4579D" w14:textId="77777777">
      <w:pPr>
        <w:pStyle w:val="Textoindependiente"/>
        <w:rPr>
          <w:color w:val="000000" w:themeColor="text1"/>
        </w:rPr>
      </w:pPr>
    </w:p>
    <w:p w:rsidRPr="00F7024B" w:rsidR="006C2909" w:rsidRDefault="00202146" w14:paraId="65D1CB2B" w14:textId="77777777">
      <w:pPr>
        <w:pStyle w:val="Prrafodelista"/>
        <w:numPr>
          <w:ilvl w:val="0"/>
          <w:numId w:val="2"/>
        </w:numPr>
        <w:tabs>
          <w:tab w:val="left" w:pos="726"/>
        </w:tabs>
        <w:spacing w:line="276" w:lineRule="auto"/>
        <w:ind w:right="306"/>
        <w:jc w:val="both"/>
        <w:rPr>
          <w:color w:val="000000" w:themeColor="text1"/>
        </w:rPr>
      </w:pPr>
      <w:r w:rsidRPr="00F7024B">
        <w:rPr>
          <w:color w:val="000000" w:themeColor="text1"/>
        </w:rPr>
        <w:t xml:space="preserve">Finalmente, se deberá diligenciar la última parte del Formato </w:t>
      </w:r>
      <w:r w:rsidRPr="00F7024B">
        <w:rPr>
          <w:color w:val="000000" w:themeColor="text1"/>
          <w:spacing w:val="3"/>
        </w:rPr>
        <w:t xml:space="preserve">6- </w:t>
      </w:r>
      <w:r w:rsidRPr="00F7024B">
        <w:rPr>
          <w:color w:val="000000" w:themeColor="text1"/>
        </w:rPr>
        <w:t>Pagos de Seguridad 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w:t>
      </w:r>
      <w:r w:rsidRPr="00F7024B">
        <w:rPr>
          <w:color w:val="000000" w:themeColor="text1"/>
          <w:spacing w:val="-8"/>
        </w:rPr>
        <w:t xml:space="preserve"> </w:t>
      </w:r>
      <w:r w:rsidRPr="00F7024B">
        <w:rPr>
          <w:color w:val="000000" w:themeColor="text1"/>
        </w:rPr>
        <w:t>Fiscal.</w:t>
      </w:r>
    </w:p>
    <w:p w:rsidRPr="00F7024B" w:rsidR="006C2909" w:rsidRDefault="006C2909" w14:paraId="3C6C261C" w14:textId="77777777">
      <w:pPr>
        <w:pStyle w:val="Textoindependiente"/>
        <w:spacing w:before="2"/>
        <w:rPr>
          <w:color w:val="000000" w:themeColor="text1"/>
          <w:sz w:val="25"/>
        </w:rPr>
      </w:pPr>
    </w:p>
    <w:p w:rsidRPr="00F7024B" w:rsidR="006C2909" w:rsidRDefault="00202146" w14:paraId="1BFED2D2" w14:textId="77777777">
      <w:pPr>
        <w:pStyle w:val="Ttulo1"/>
        <w:numPr>
          <w:ilvl w:val="1"/>
          <w:numId w:val="4"/>
        </w:numPr>
        <w:tabs>
          <w:tab w:val="left" w:pos="661"/>
        </w:tabs>
        <w:spacing w:before="1"/>
        <w:ind w:left="660" w:hanging="361"/>
        <w:jc w:val="both"/>
        <w:rPr>
          <w:color w:val="000000" w:themeColor="text1"/>
        </w:rPr>
      </w:pPr>
      <w:r w:rsidRPr="00F7024B">
        <w:rPr>
          <w:color w:val="000000" w:themeColor="text1"/>
        </w:rPr>
        <w:t>Acreditación del Sistema de Seguridad Social por parte de las personas</w:t>
      </w:r>
      <w:r w:rsidRPr="00F7024B">
        <w:rPr>
          <w:color w:val="000000" w:themeColor="text1"/>
          <w:spacing w:val="-30"/>
        </w:rPr>
        <w:t xml:space="preserve"> </w:t>
      </w:r>
      <w:r w:rsidRPr="00F7024B">
        <w:rPr>
          <w:color w:val="000000" w:themeColor="text1"/>
        </w:rPr>
        <w:t>naturales</w:t>
      </w:r>
    </w:p>
    <w:p w:rsidRPr="00F7024B" w:rsidR="006C2909" w:rsidRDefault="006C2909" w14:paraId="19EA832E" w14:textId="77777777">
      <w:pPr>
        <w:pStyle w:val="Textoindependiente"/>
        <w:spacing w:before="7"/>
        <w:rPr>
          <w:b/>
          <w:color w:val="000000" w:themeColor="text1"/>
          <w:sz w:val="28"/>
        </w:rPr>
      </w:pPr>
    </w:p>
    <w:p w:rsidRPr="00F7024B" w:rsidR="006C2909" w:rsidRDefault="00202146" w14:paraId="54B73ABA" w14:textId="77777777">
      <w:pPr>
        <w:pStyle w:val="Textoindependiente"/>
        <w:spacing w:line="276" w:lineRule="auto"/>
        <w:ind w:left="300" w:right="307"/>
        <w:jc w:val="both"/>
        <w:rPr>
          <w:color w:val="000000" w:themeColor="text1"/>
        </w:rPr>
      </w:pPr>
      <w:r w:rsidRPr="00F7024B">
        <w:rPr>
          <w:color w:val="000000" w:themeColor="text1"/>
        </w:rPr>
        <w:t>Ahora, en relación con las personas naturales también se exigirá la presentación del Formato 6- Pagos de Seguridad Social y Aportes Legales para que se acredite el pago de sus aportes y el de sus empleados a los sistemas de salud, riesgos profesionales y aportes a la Caja de Compensación Familiar, ICBF y Servicio Nacional de Aprendizaje. Ahora, si la persona natural no tiene personal a su cargo, deberá acreditar el pago de sus aportes descritos cuando a ellos hubiera lugar. Así se definió en los siguientes términos:</w:t>
      </w:r>
    </w:p>
    <w:p w:rsidRPr="00F7024B" w:rsidR="006C2909" w:rsidRDefault="006C2909" w14:paraId="1454C232" w14:textId="77777777">
      <w:pPr>
        <w:pStyle w:val="Textoindependiente"/>
        <w:spacing w:before="4"/>
        <w:rPr>
          <w:color w:val="000000" w:themeColor="text1"/>
          <w:sz w:val="25"/>
        </w:rPr>
      </w:pPr>
    </w:p>
    <w:p w:rsidRPr="00F7024B" w:rsidR="006C2909" w:rsidRDefault="00202146" w14:paraId="12AABCBA" w14:textId="77777777">
      <w:pPr>
        <w:pStyle w:val="Prrafodelista"/>
        <w:numPr>
          <w:ilvl w:val="2"/>
          <w:numId w:val="3"/>
        </w:numPr>
        <w:tabs>
          <w:tab w:val="left" w:pos="1716"/>
        </w:tabs>
        <w:spacing w:before="1"/>
        <w:ind w:hanging="708"/>
        <w:jc w:val="left"/>
        <w:rPr>
          <w:b/>
          <w:color w:val="000000" w:themeColor="text1"/>
          <w:sz w:val="21"/>
        </w:rPr>
      </w:pPr>
      <w:r w:rsidRPr="00F7024B">
        <w:rPr>
          <w:b/>
          <w:color w:val="000000" w:themeColor="text1"/>
          <w:sz w:val="21"/>
        </w:rPr>
        <w:t>PERSONAS NATURALES</w:t>
      </w:r>
    </w:p>
    <w:p w:rsidRPr="00F7024B" w:rsidR="006C2909" w:rsidRDefault="006C2909" w14:paraId="3B16E6C4" w14:textId="77777777">
      <w:pPr>
        <w:pStyle w:val="Textoindependiente"/>
        <w:spacing w:before="10"/>
        <w:rPr>
          <w:b/>
          <w:color w:val="000000" w:themeColor="text1"/>
          <w:sz w:val="20"/>
        </w:rPr>
      </w:pPr>
    </w:p>
    <w:p w:rsidRPr="00F7024B" w:rsidR="006C2909" w:rsidRDefault="00202146" w14:paraId="789FB3B5" w14:textId="77777777">
      <w:pPr>
        <w:spacing w:before="1"/>
        <w:ind w:left="1008" w:right="1014"/>
        <w:jc w:val="both"/>
        <w:rPr>
          <w:color w:val="000000" w:themeColor="text1"/>
          <w:sz w:val="21"/>
        </w:rPr>
      </w:pPr>
      <w:r w:rsidRPr="00F7024B">
        <w:rPr>
          <w:color w:val="000000" w:themeColor="text1"/>
          <w:sz w:val="21"/>
        </w:rPr>
        <w:t>El Proponente persona natural deberá presentar el Formato 6 – Pagos de seguridad social y aportes legales, en la que conste el pago de sus aportes y el de sus empleados a los sistemas de salud, riesgos profesionales, pensiones y aportes a las Cajas de Compensación Familiar, Instituto Colombiano de Bienestar Familiar y Servicio Nacional de Aprendizaje, cuando a ello haya lugar, junto con las planillas de pago respectivas.</w:t>
      </w:r>
    </w:p>
    <w:p w:rsidRPr="00F7024B" w:rsidR="006C2909" w:rsidRDefault="006C2909" w14:paraId="21BE2409" w14:textId="77777777">
      <w:pPr>
        <w:jc w:val="both"/>
        <w:rPr>
          <w:color w:val="000000" w:themeColor="text1"/>
          <w:sz w:val="21"/>
        </w:rPr>
        <w:sectPr w:rsidRPr="00F7024B" w:rsidR="006C2909">
          <w:headerReference w:type="default" r:id="rId10"/>
          <w:footerReference w:type="default" r:id="rId11"/>
          <w:pgSz w:w="12240" w:h="15840" w:orient="portrait"/>
          <w:pgMar w:top="1560" w:right="1300" w:bottom="2140" w:left="1400" w:header="737" w:footer="1880" w:gutter="0"/>
          <w:cols w:space="720"/>
        </w:sectPr>
      </w:pPr>
    </w:p>
    <w:p w:rsidRPr="00F7024B" w:rsidR="006C2909" w:rsidRDefault="006C2909" w14:paraId="16793BB9" w14:textId="77777777">
      <w:pPr>
        <w:pStyle w:val="Textoindependiente"/>
        <w:rPr>
          <w:color w:val="000000" w:themeColor="text1"/>
          <w:sz w:val="20"/>
        </w:rPr>
      </w:pPr>
    </w:p>
    <w:p w:rsidRPr="00F7024B" w:rsidR="006C2909" w:rsidRDefault="006C2909" w14:paraId="43F4E280" w14:textId="77777777">
      <w:pPr>
        <w:pStyle w:val="Textoindependiente"/>
        <w:spacing w:before="4"/>
        <w:rPr>
          <w:color w:val="000000" w:themeColor="text1"/>
          <w:sz w:val="16"/>
        </w:rPr>
      </w:pPr>
    </w:p>
    <w:p w:rsidRPr="00F7024B" w:rsidR="006C2909" w:rsidRDefault="00202146" w14:paraId="24A22E7B" w14:textId="77777777">
      <w:pPr>
        <w:spacing w:before="94"/>
        <w:ind w:left="1008" w:right="1019"/>
        <w:jc w:val="both"/>
        <w:rPr>
          <w:color w:val="000000" w:themeColor="text1"/>
          <w:sz w:val="21"/>
        </w:rPr>
      </w:pPr>
      <w:r w:rsidRPr="00F7024B">
        <w:rPr>
          <w:color w:val="000000" w:themeColor="text1"/>
          <w:sz w:val="21"/>
        </w:rPr>
        <w:t>Cuando el Proponente sea una persona natural sin personal, deberá acreditar el pago de sus aportes descritos cuando a ello haya lugar de acuerdo con la normativa aplicable.</w:t>
      </w:r>
    </w:p>
    <w:p w:rsidRPr="00F7024B" w:rsidR="006C2909" w:rsidRDefault="006C2909" w14:paraId="7CDDE053" w14:textId="77777777">
      <w:pPr>
        <w:pStyle w:val="Textoindependiente"/>
        <w:spacing w:before="1"/>
        <w:rPr>
          <w:color w:val="000000" w:themeColor="text1"/>
          <w:sz w:val="21"/>
        </w:rPr>
      </w:pPr>
    </w:p>
    <w:p w:rsidRPr="00F7024B" w:rsidR="006C2909" w:rsidRDefault="00202146" w14:paraId="66F3C078" w14:textId="77777777">
      <w:pPr>
        <w:ind w:left="1008" w:right="1021"/>
        <w:jc w:val="both"/>
        <w:rPr>
          <w:color w:val="000000" w:themeColor="text1"/>
          <w:sz w:val="21"/>
        </w:rPr>
      </w:pPr>
      <w:r w:rsidRPr="00F7024B">
        <w:rPr>
          <w:color w:val="000000" w:themeColor="text1"/>
          <w:sz w:val="21"/>
        </w:rPr>
        <w:t>Esta misma previsión aplica para las personas naturales extranjeras con domicilio en Colombia las cuales deberán acreditar este requisito respecto del personal vinculado en Colombia.</w:t>
      </w:r>
    </w:p>
    <w:p w:rsidRPr="00F7024B" w:rsidR="006C2909" w:rsidRDefault="006C2909" w14:paraId="302BA039" w14:textId="77777777">
      <w:pPr>
        <w:pStyle w:val="Textoindependiente"/>
        <w:spacing w:before="4"/>
        <w:rPr>
          <w:color w:val="000000" w:themeColor="text1"/>
          <w:sz w:val="25"/>
        </w:rPr>
      </w:pPr>
    </w:p>
    <w:p w:rsidRPr="00F7024B" w:rsidR="006C2909" w:rsidRDefault="00202146" w14:paraId="14AE8260" w14:textId="77777777">
      <w:pPr>
        <w:pStyle w:val="Textoindependiente"/>
        <w:spacing w:line="276" w:lineRule="auto"/>
        <w:ind w:left="300" w:right="306"/>
        <w:jc w:val="both"/>
        <w:rPr>
          <w:color w:val="000000" w:themeColor="text1"/>
        </w:rPr>
      </w:pPr>
      <w:r w:rsidRPr="00F7024B">
        <w:rPr>
          <w:color w:val="000000" w:themeColor="text1"/>
        </w:rPr>
        <w:t>Ahora, en relación con el diligenciamiento del Formato 6 por parte de las personas naturales se diligenciará de la siguiente forma:</w:t>
      </w:r>
    </w:p>
    <w:p w:rsidRPr="00F7024B" w:rsidR="006C2909" w:rsidRDefault="006C2909" w14:paraId="05CC6449" w14:textId="77777777">
      <w:pPr>
        <w:pStyle w:val="Textoindependiente"/>
        <w:spacing w:before="3"/>
        <w:rPr>
          <w:color w:val="000000" w:themeColor="text1"/>
          <w:sz w:val="25"/>
        </w:rPr>
      </w:pPr>
    </w:p>
    <w:p w:rsidRPr="00F7024B" w:rsidR="006C2909" w:rsidRDefault="00202146" w14:paraId="0D2FFBF8" w14:textId="77777777">
      <w:pPr>
        <w:pStyle w:val="Prrafodelista"/>
        <w:numPr>
          <w:ilvl w:val="0"/>
          <w:numId w:val="1"/>
        </w:numPr>
        <w:tabs>
          <w:tab w:val="left" w:pos="1021"/>
        </w:tabs>
        <w:spacing w:before="1" w:line="276" w:lineRule="auto"/>
        <w:ind w:right="302"/>
        <w:jc w:val="both"/>
        <w:rPr>
          <w:color w:val="000000" w:themeColor="text1"/>
        </w:rPr>
      </w:pPr>
      <w:r w:rsidRPr="00F7024B">
        <w:rPr>
          <w:color w:val="000000" w:themeColor="text1"/>
        </w:rPr>
        <w:t>El primer párrafo se deberá diligenciar por parte de la persona natural que presenta la oferta para acreditar el pago suyo y el de sus empleados al sistema de salud, riesgos profesionales, pensiones y aportes a las Cajas de Compensación Familiar, Instituto Colombiano de Bienestar Familiar y Servicio Nacional de</w:t>
      </w:r>
      <w:r w:rsidRPr="00F7024B">
        <w:rPr>
          <w:color w:val="000000" w:themeColor="text1"/>
          <w:spacing w:val="-30"/>
        </w:rPr>
        <w:t xml:space="preserve"> </w:t>
      </w:r>
      <w:r w:rsidRPr="00F7024B">
        <w:rPr>
          <w:color w:val="000000" w:themeColor="text1"/>
        </w:rPr>
        <w:t>Aprendizaje.</w:t>
      </w:r>
    </w:p>
    <w:p w:rsidRPr="00F7024B" w:rsidR="006C2909" w:rsidRDefault="006C2909" w14:paraId="04E21C75" w14:textId="77777777">
      <w:pPr>
        <w:pStyle w:val="Textoindependiente"/>
        <w:spacing w:before="3"/>
        <w:rPr>
          <w:color w:val="000000" w:themeColor="text1"/>
          <w:sz w:val="25"/>
        </w:rPr>
      </w:pPr>
    </w:p>
    <w:p w:rsidRPr="00F7024B" w:rsidR="006C2909" w:rsidRDefault="00202146" w14:paraId="716A734B" w14:textId="77777777">
      <w:pPr>
        <w:pStyle w:val="Prrafodelista"/>
        <w:numPr>
          <w:ilvl w:val="0"/>
          <w:numId w:val="1"/>
        </w:numPr>
        <w:tabs>
          <w:tab w:val="left" w:pos="1021"/>
        </w:tabs>
        <w:spacing w:line="276" w:lineRule="auto"/>
        <w:ind w:right="306"/>
        <w:jc w:val="both"/>
        <w:rPr>
          <w:color w:val="000000" w:themeColor="text1"/>
        </w:rPr>
      </w:pPr>
      <w:r w:rsidRPr="00F7024B">
        <w:rPr>
          <w:color w:val="000000" w:themeColor="text1"/>
        </w:rPr>
        <w:t>Ahora, también se deberá diligenciar el segundo párrafo en el caso que la persona natural se encuentra exonerada en el pago de seguridad social por los empleados que devenguen menos de diez (10) salarios mínimos legales mensuales vigentes. Lo anterior no aplicará para personas naturales que empleen menos de dos trabajadores, los cuales seguirán obligados a efectuar los aportes de que trata este inciso.</w:t>
      </w:r>
    </w:p>
    <w:p w:rsidRPr="00F7024B" w:rsidR="006C2909" w:rsidRDefault="006C2909" w14:paraId="1BD5E654" w14:textId="77777777">
      <w:pPr>
        <w:pStyle w:val="Textoindependiente"/>
        <w:spacing w:before="3"/>
        <w:rPr>
          <w:color w:val="000000" w:themeColor="text1"/>
          <w:sz w:val="25"/>
        </w:rPr>
      </w:pPr>
    </w:p>
    <w:p w:rsidRPr="00F7024B" w:rsidR="006C2909" w:rsidRDefault="00202146" w14:paraId="77F1F583" w14:textId="77777777">
      <w:pPr>
        <w:pStyle w:val="Textoindependiente"/>
        <w:spacing w:line="276" w:lineRule="auto"/>
        <w:ind w:left="300" w:right="303"/>
        <w:jc w:val="both"/>
        <w:rPr>
          <w:color w:val="000000" w:themeColor="text1"/>
        </w:rPr>
      </w:pPr>
      <w:r w:rsidRPr="00F7024B">
        <w:rPr>
          <w:color w:val="000000" w:themeColor="text1"/>
        </w:rPr>
        <w:t>Por lo tanto, la persona natural que acredita estar al día en el pago de seguridad social y aportes parafiscales al SENA, ICBF y se encuentre exonerada del pago de los empleados que tiene a su cargo deberá diligenciar el primer y segundo párrafo del Formato 6- pagos de seguridad social y aportes legales para las personas naturales.</w:t>
      </w:r>
    </w:p>
    <w:p w:rsidRPr="00F7024B" w:rsidR="006C2909" w:rsidRDefault="006C2909" w14:paraId="186489FE" w14:textId="77777777">
      <w:pPr>
        <w:pStyle w:val="Textoindependiente"/>
        <w:spacing w:before="4"/>
        <w:rPr>
          <w:color w:val="000000" w:themeColor="text1"/>
          <w:sz w:val="25"/>
        </w:rPr>
      </w:pPr>
    </w:p>
    <w:p w:rsidRPr="00F7024B" w:rsidR="006C2909" w:rsidRDefault="00202146" w14:paraId="640EA239" w14:textId="77777777">
      <w:pPr>
        <w:pStyle w:val="Textoindependiente"/>
        <w:spacing w:line="276" w:lineRule="auto"/>
        <w:ind w:left="300" w:right="304"/>
        <w:jc w:val="both"/>
        <w:rPr>
          <w:color w:val="000000" w:themeColor="text1"/>
        </w:rPr>
      </w:pPr>
      <w:r w:rsidRPr="00F7024B">
        <w:rPr>
          <w:color w:val="000000" w:themeColor="text1"/>
        </w:rPr>
        <w:t>Explicado el requisito del “Certificado de Pago de Seguridad Social” en los Documentos Tipo, y, además, el diligenciamiento del Formato 6. Se dará respuesta a cada una de sus inquietudes.</w:t>
      </w:r>
    </w:p>
    <w:p w:rsidRPr="00F7024B" w:rsidR="006C2909" w:rsidRDefault="006C2909" w14:paraId="20725374" w14:textId="77777777">
      <w:pPr>
        <w:pStyle w:val="Textoindependiente"/>
        <w:spacing w:before="5"/>
        <w:rPr>
          <w:color w:val="000000" w:themeColor="text1"/>
          <w:sz w:val="25"/>
        </w:rPr>
      </w:pPr>
    </w:p>
    <w:p w:rsidRPr="00F7024B" w:rsidR="006C2909" w:rsidRDefault="00202146" w14:paraId="5CF84E73" w14:textId="19C7A5B8">
      <w:pPr>
        <w:pStyle w:val="Textoindependiente"/>
        <w:spacing w:line="276" w:lineRule="auto"/>
        <w:ind w:left="300" w:right="306"/>
        <w:jc w:val="both"/>
        <w:rPr>
          <w:color w:val="000000" w:themeColor="text1"/>
        </w:rPr>
      </w:pPr>
      <w:r w:rsidRPr="00F7024B">
        <w:rPr>
          <w:color w:val="000000" w:themeColor="text1"/>
        </w:rPr>
        <w:t>En la primera pregunta, usted señala ¿si los formatos de acreditación de paz y salvo en los pagos de seguridad social son modificables? El Decreto 342 de 2019, en el artículo 2.2.1.2.6.1.2 señala que los Documentos Tipo contienen parámetros obligatorios para las entidades sometidas al Estatuto General de Contratación Pública, entre estos documentos se encuentra el Formato 6- Pagos de Seguridad Social y aportes Legales</w:t>
      </w:r>
      <w:r w:rsidR="00326575">
        <w:rPr>
          <w:rStyle w:val="Refdenotaalpie"/>
          <w:color w:val="000000" w:themeColor="text1"/>
        </w:rPr>
        <w:footnoteReference w:id="3"/>
      </w:r>
      <w:r w:rsidRPr="00F7024B">
        <w:rPr>
          <w:color w:val="000000" w:themeColor="text1"/>
        </w:rPr>
        <w:t>. Por lo tanto,</w:t>
      </w:r>
      <w:r w:rsidRPr="00F7024B">
        <w:rPr>
          <w:color w:val="000000" w:themeColor="text1"/>
          <w:spacing w:val="-5"/>
        </w:rPr>
        <w:t xml:space="preserve"> </w:t>
      </w:r>
      <w:r w:rsidRPr="00F7024B">
        <w:rPr>
          <w:color w:val="000000" w:themeColor="text1"/>
        </w:rPr>
        <w:t>las</w:t>
      </w:r>
    </w:p>
    <w:p w:rsidRPr="00F7024B" w:rsidR="006C2909" w:rsidRDefault="006C2909" w14:paraId="3CE66C4B" w14:textId="77777777">
      <w:pPr>
        <w:pStyle w:val="Textoindependiente"/>
        <w:rPr>
          <w:color w:val="000000" w:themeColor="text1"/>
          <w:sz w:val="20"/>
        </w:rPr>
      </w:pPr>
    </w:p>
    <w:p w:rsidRPr="00F7024B" w:rsidR="006C2909" w:rsidRDefault="00202146" w14:paraId="012D4C7A" w14:textId="77777777">
      <w:pPr>
        <w:pStyle w:val="Textoindependiente"/>
        <w:spacing w:before="93" w:line="278" w:lineRule="auto"/>
        <w:ind w:left="300" w:right="314"/>
        <w:jc w:val="both"/>
        <w:rPr>
          <w:color w:val="000000" w:themeColor="text1"/>
        </w:rPr>
      </w:pPr>
      <w:r w:rsidRPr="00F7024B">
        <w:rPr>
          <w:color w:val="000000" w:themeColor="text1"/>
        </w:rPr>
        <w:t>entidades deben aplicar de forma obligatoria el Formato 6 referido al Pago de Seguridad Social y aportes legales.</w:t>
      </w:r>
    </w:p>
    <w:p w:rsidRPr="00F7024B" w:rsidR="006C2909" w:rsidRDefault="006C2909" w14:paraId="41DB866A" w14:textId="77777777">
      <w:pPr>
        <w:pStyle w:val="Textoindependiente"/>
        <w:spacing w:before="1"/>
        <w:rPr>
          <w:color w:val="000000" w:themeColor="text1"/>
          <w:sz w:val="25"/>
        </w:rPr>
      </w:pPr>
    </w:p>
    <w:p w:rsidRPr="00F7024B" w:rsidR="006C2909" w:rsidRDefault="00202146" w14:paraId="1DC05CCA" w14:textId="77777777">
      <w:pPr>
        <w:pStyle w:val="Textoindependiente"/>
        <w:spacing w:line="276" w:lineRule="auto"/>
        <w:ind w:left="300" w:right="306"/>
        <w:jc w:val="both"/>
        <w:rPr>
          <w:color w:val="000000" w:themeColor="text1"/>
        </w:rPr>
      </w:pPr>
      <w:r w:rsidRPr="00F7024B">
        <w:rPr>
          <w:color w:val="000000" w:themeColor="text1"/>
        </w:rPr>
        <w:t>Ahora, el Decreto 342 de 2019, en el artículo 2.2.1.2.6.1.4, se establece que las entidades no podrán incluir o modificar dentro de los Documentos del Proceso las condiciones habilitantes, los factores técnicos y económicos de escogencia y los sistemas de ponderación distintos a los señalados en los Documentos Tipo.</w:t>
      </w:r>
    </w:p>
    <w:p w:rsidRPr="00F7024B" w:rsidR="006C2909" w:rsidRDefault="006C2909" w14:paraId="77B46CDF" w14:textId="77777777">
      <w:pPr>
        <w:pStyle w:val="Textoindependiente"/>
        <w:spacing w:before="1"/>
        <w:rPr>
          <w:color w:val="000000" w:themeColor="text1"/>
          <w:sz w:val="25"/>
        </w:rPr>
      </w:pPr>
    </w:p>
    <w:p w:rsidRPr="00F7024B" w:rsidR="006C2909" w:rsidRDefault="00202146" w14:paraId="5FC1AFC1" w14:textId="77777777">
      <w:pPr>
        <w:pStyle w:val="Textoindependiente"/>
        <w:spacing w:line="276" w:lineRule="auto"/>
        <w:ind w:left="300" w:right="305"/>
        <w:jc w:val="both"/>
        <w:rPr>
          <w:color w:val="000000" w:themeColor="text1"/>
        </w:rPr>
      </w:pPr>
      <w:r w:rsidRPr="00F7024B">
        <w:rPr>
          <w:color w:val="000000" w:themeColor="text1"/>
        </w:rPr>
        <w:t xml:space="preserve">En este sentido, en virtud de los artículos 2.2.1.2.6.1.2 6 y 2.2.1.2.6.1.4 del Decreto 1082 de 2015 es obligatorio el uso del Formato </w:t>
      </w:r>
      <w:r w:rsidRPr="00F7024B">
        <w:rPr>
          <w:color w:val="000000" w:themeColor="text1"/>
          <w:spacing w:val="2"/>
        </w:rPr>
        <w:t xml:space="preserve">6- </w:t>
      </w:r>
      <w:r w:rsidRPr="00F7024B">
        <w:rPr>
          <w:color w:val="000000" w:themeColor="text1"/>
        </w:rPr>
        <w:t>Certificación de Pagos de Seguridad Social y Aportes Legales y no es posible modificar su</w:t>
      </w:r>
      <w:r w:rsidRPr="00F7024B">
        <w:rPr>
          <w:color w:val="000000" w:themeColor="text1"/>
          <w:spacing w:val="-11"/>
        </w:rPr>
        <w:t xml:space="preserve"> </w:t>
      </w:r>
      <w:r w:rsidRPr="00F7024B">
        <w:rPr>
          <w:color w:val="000000" w:themeColor="text1"/>
        </w:rPr>
        <w:t>contenido.</w:t>
      </w:r>
    </w:p>
    <w:p w:rsidRPr="00F7024B" w:rsidR="006C2909" w:rsidRDefault="006C2909" w14:paraId="24806BFC" w14:textId="77777777">
      <w:pPr>
        <w:pStyle w:val="Textoindependiente"/>
        <w:spacing w:before="5"/>
        <w:rPr>
          <w:color w:val="000000" w:themeColor="text1"/>
          <w:sz w:val="25"/>
        </w:rPr>
      </w:pPr>
    </w:p>
    <w:p w:rsidRPr="00F7024B" w:rsidR="006C2909" w:rsidRDefault="00202146" w14:paraId="6DBB7976" w14:textId="77777777">
      <w:pPr>
        <w:pStyle w:val="Textoindependiente"/>
        <w:spacing w:before="1" w:line="276" w:lineRule="auto"/>
        <w:ind w:left="300" w:right="314"/>
        <w:jc w:val="both"/>
        <w:rPr>
          <w:color w:val="000000" w:themeColor="text1"/>
        </w:rPr>
      </w:pPr>
      <w:r w:rsidRPr="00F7024B">
        <w:rPr>
          <w:color w:val="000000" w:themeColor="text1"/>
        </w:rPr>
        <w:t>Ahora, usted también pregunta: ¿si una empresa no está obligada a pagar ICBF y SENA, pero aun así presenta el formato diciendo que está paz y salvo en el pago de esto, puede ser rechazado argumentando que está presentando información inexacta o no veraz?</w:t>
      </w:r>
    </w:p>
    <w:p w:rsidRPr="00F7024B" w:rsidR="006C2909" w:rsidRDefault="006C2909" w14:paraId="4C2F98AE" w14:textId="77777777">
      <w:pPr>
        <w:pStyle w:val="Textoindependiente"/>
        <w:spacing w:before="2"/>
        <w:rPr>
          <w:color w:val="000000" w:themeColor="text1"/>
          <w:sz w:val="25"/>
        </w:rPr>
      </w:pPr>
    </w:p>
    <w:p w:rsidRPr="00F7024B" w:rsidR="006C2909" w:rsidRDefault="00202146" w14:paraId="59012BF1" w14:textId="77777777">
      <w:pPr>
        <w:pStyle w:val="Textoindependiente"/>
        <w:spacing w:line="276" w:lineRule="auto"/>
        <w:ind w:left="300" w:right="302"/>
        <w:jc w:val="both"/>
        <w:rPr>
          <w:color w:val="000000" w:themeColor="text1"/>
        </w:rPr>
      </w:pPr>
      <w:r w:rsidRPr="00F7024B">
        <w:rPr>
          <w:color w:val="000000" w:themeColor="text1"/>
        </w:rPr>
        <w:t>En primer lugar, es importante indicar que el legislador al prever la obligatoriedad del pago al Sistema de Seguridad Social como un requisito al momento de presentar la oferta se previó como una forma para evitar la evasión al pago del Sistema de Seguridad. Así lo reiteró, el Consejo de Estado, Sección Tercera, en la sentencia con Radicado No. 20001- 23-31-000-2005-00409-01(AP), consejero ponente Enrique Gil Botero al señalar que, i) el principal objetivo del artículo 50 de la Ley 789 de 2002 es evitar la evasión por parte de los empleadores en las cotizaciones al Sistema de Seguridad Social y de los aportes parafiscales destinados al Instituto Colombiano de Bienestar Familiar, las Cajas de Compensación y el Sena, y además, ii) como una forma para garantizar el propósito de esta ley las entidades deben verificar en los procesos de selección de contratistas y en la ejecución y liquidación de los contratos, que tanto los oferentes como los contratistas hayan realizado los aportes</w:t>
      </w:r>
      <w:r w:rsidRPr="00F7024B">
        <w:rPr>
          <w:color w:val="000000" w:themeColor="text1"/>
          <w:spacing w:val="-5"/>
        </w:rPr>
        <w:t xml:space="preserve"> </w:t>
      </w:r>
      <w:r w:rsidRPr="00F7024B">
        <w:rPr>
          <w:color w:val="000000" w:themeColor="text1"/>
        </w:rPr>
        <w:t>respectivos.</w:t>
      </w:r>
    </w:p>
    <w:p w:rsidRPr="00F7024B" w:rsidR="006C2909" w:rsidRDefault="006C2909" w14:paraId="1CFFA980" w14:textId="77777777">
      <w:pPr>
        <w:pStyle w:val="Textoindependiente"/>
        <w:spacing w:before="4"/>
        <w:rPr>
          <w:color w:val="000000" w:themeColor="text1"/>
          <w:sz w:val="25"/>
        </w:rPr>
      </w:pPr>
    </w:p>
    <w:p w:rsidRPr="00F7024B" w:rsidR="006C2909" w:rsidP="00F31455" w:rsidRDefault="00202146" w14:paraId="44E8C312" w14:textId="7C373DF0">
      <w:pPr>
        <w:pStyle w:val="Textoindependiente"/>
        <w:spacing w:line="276" w:lineRule="auto"/>
        <w:ind w:left="300" w:right="308"/>
        <w:jc w:val="both"/>
        <w:rPr>
          <w:color w:val="000000" w:themeColor="text1"/>
        </w:rPr>
      </w:pPr>
      <w:r w:rsidRPr="00F7024B">
        <w:rPr>
          <w:color w:val="000000" w:themeColor="text1"/>
        </w:rPr>
        <w:t>Por lo tanto, la entidad deberá verificar que los oferentes no estén evadiendo el pago al Sistema de Seguridad Social teniendo el deber de realizarlo. Ahora, si el oferente realiza el pago de Sistema de Seguridad Social aun cuando no se tiene la obligación, esta no será</w:t>
      </w:r>
      <w:r w:rsidR="00F31455">
        <w:rPr>
          <w:color w:val="000000" w:themeColor="text1"/>
        </w:rPr>
        <w:t xml:space="preserve"> </w:t>
      </w:r>
      <w:r w:rsidRPr="00F7024B">
        <w:rPr>
          <w:color w:val="000000" w:themeColor="text1"/>
        </w:rPr>
        <w:t>una razón para rechazarle la oferta, porque no está evadiendo ningún pago al Sistema de Seguridad Social.</w:t>
      </w:r>
    </w:p>
    <w:p w:rsidRPr="00F7024B" w:rsidR="006C2909" w:rsidRDefault="006C2909" w14:paraId="30905BE3" w14:textId="77777777">
      <w:pPr>
        <w:pStyle w:val="Textoindependiente"/>
        <w:spacing w:before="1"/>
        <w:rPr>
          <w:color w:val="000000" w:themeColor="text1"/>
          <w:sz w:val="25"/>
        </w:rPr>
      </w:pPr>
    </w:p>
    <w:p w:rsidRPr="00F7024B" w:rsidR="006C2909" w:rsidRDefault="00202146" w14:paraId="2D21DED8" w14:textId="77777777">
      <w:pPr>
        <w:pStyle w:val="Textoindependiente"/>
        <w:spacing w:line="276" w:lineRule="auto"/>
        <w:ind w:left="300" w:right="303"/>
        <w:jc w:val="both"/>
        <w:rPr>
          <w:color w:val="000000" w:themeColor="text1"/>
        </w:rPr>
      </w:pPr>
      <w:r w:rsidRPr="00F7024B">
        <w:rPr>
          <w:color w:val="000000" w:themeColor="text1"/>
        </w:rPr>
        <w:t>Además, es importante señalar que si el oferente diligencia en indebida forma el “Formato 6- Pagos de seguridad social y aportes legales” y certifica que realizó el pago al Sistema de Seguridad Social cuando estaba exonerada en el pago, la entidad tiene la carga de buscar claridad a los aspectos dudosos que surjan durante la evaluación de las ofertas y solicitará aclaración a los oferentes. La Sección Tercera, Sala de lo Contencioso Administrativo del Consejo de Estado, en sentencia del 26 de abril de 2014, radicado No 13001-23-31-000-1999-00113-01 (25.804) con ponencia de Enrique Gil Botero, señaló la diferencia entre subsanar y aclarar las propuestas, estableciendo que el primero se predica de la oportunidad que tienen los proponentes de aportar un requisito que no otorga puntaje y no fue aportado con la propuesta inicial; el segundo por su parte, se refiere a aspectos confusos, contradictorios o que generan duda con relación a los requisitos y documentos que se encuentran en la propuesta, incluidos aquellos que otorgan puntaje. Así lo señaló el Alto Tribunal de lo Contencioso Administrativo en los siguientes</w:t>
      </w:r>
      <w:r w:rsidRPr="00F7024B">
        <w:rPr>
          <w:color w:val="000000" w:themeColor="text1"/>
          <w:spacing w:val="-15"/>
        </w:rPr>
        <w:t xml:space="preserve"> </w:t>
      </w:r>
      <w:r w:rsidRPr="00F7024B">
        <w:rPr>
          <w:color w:val="000000" w:themeColor="text1"/>
        </w:rPr>
        <w:t>términos:</w:t>
      </w:r>
    </w:p>
    <w:p w:rsidRPr="00F7024B" w:rsidR="006C2909" w:rsidRDefault="006C2909" w14:paraId="076ED3F9" w14:textId="77777777">
      <w:pPr>
        <w:pStyle w:val="Textoindependiente"/>
        <w:rPr>
          <w:color w:val="000000" w:themeColor="text1"/>
        </w:rPr>
      </w:pPr>
    </w:p>
    <w:p w:rsidRPr="00F7024B" w:rsidR="006C2909" w:rsidRDefault="00202146" w14:paraId="41C6A038" w14:textId="77777777">
      <w:pPr>
        <w:ind w:left="1005" w:right="1018"/>
        <w:jc w:val="both"/>
        <w:rPr>
          <w:color w:val="000000" w:themeColor="text1"/>
          <w:sz w:val="21"/>
        </w:rPr>
      </w:pPr>
      <w:r w:rsidRPr="00F7024B">
        <w:rPr>
          <w:color w:val="000000" w:themeColor="text1"/>
          <w:sz w:val="21"/>
        </w:rPr>
        <w:t xml:space="preserve">Más adelante, el art. 30.7 retomó el tema, para agregar elementos de valoración sobre la </w:t>
      </w:r>
      <w:proofErr w:type="spellStart"/>
      <w:r w:rsidRPr="00F7024B">
        <w:rPr>
          <w:color w:val="000000" w:themeColor="text1"/>
          <w:sz w:val="21"/>
        </w:rPr>
        <w:t>subsanabilidad</w:t>
      </w:r>
      <w:proofErr w:type="spellEnd"/>
      <w:r w:rsidRPr="00F7024B">
        <w:rPr>
          <w:color w:val="000000" w:themeColor="text1"/>
          <w:sz w:val="21"/>
        </w:rPr>
        <w:t xml:space="preserve"> de las ofertas. Expresó que durante el lapso en que la administración las evalúa, debe pedirle al oferente que “aclare” y “explique” lo que necesite esclarecimiento.</w:t>
      </w:r>
    </w:p>
    <w:p w:rsidRPr="00F7024B" w:rsidR="006C2909" w:rsidRDefault="006C2909" w14:paraId="7BFD56FC" w14:textId="77777777">
      <w:pPr>
        <w:pStyle w:val="Textoindependiente"/>
        <w:spacing w:before="9"/>
        <w:rPr>
          <w:color w:val="000000" w:themeColor="text1"/>
          <w:sz w:val="20"/>
        </w:rPr>
      </w:pPr>
    </w:p>
    <w:p w:rsidRPr="00F7024B" w:rsidR="006C2909" w:rsidRDefault="00202146" w14:paraId="40FF0F29" w14:textId="77777777">
      <w:pPr>
        <w:ind w:left="1005" w:right="1016"/>
        <w:jc w:val="both"/>
        <w:rPr>
          <w:color w:val="000000" w:themeColor="text1"/>
          <w:sz w:val="21"/>
        </w:rPr>
      </w:pPr>
      <w:r w:rsidRPr="00F7024B">
        <w:rPr>
          <w:color w:val="000000" w:themeColor="text1"/>
          <w:sz w:val="21"/>
        </w:rPr>
        <w:t>“7o.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(Negrillas fuera de texto)</w:t>
      </w:r>
    </w:p>
    <w:p w:rsidRPr="00F7024B" w:rsidR="006C2909" w:rsidRDefault="006C2909" w14:paraId="13F57D6D" w14:textId="77777777">
      <w:pPr>
        <w:pStyle w:val="Textoindependiente"/>
        <w:spacing w:before="3"/>
        <w:rPr>
          <w:color w:val="000000" w:themeColor="text1"/>
          <w:sz w:val="21"/>
        </w:rPr>
      </w:pPr>
    </w:p>
    <w:p w:rsidRPr="00F7024B" w:rsidR="006C2909" w:rsidRDefault="00202146" w14:paraId="4BD976CB" w14:textId="77777777">
      <w:pPr>
        <w:ind w:left="1005" w:right="1015"/>
        <w:jc w:val="both"/>
        <w:rPr>
          <w:color w:val="000000" w:themeColor="text1"/>
          <w:sz w:val="21"/>
        </w:rPr>
      </w:pPr>
      <w:r w:rsidRPr="00F7024B">
        <w:rPr>
          <w:color w:val="000000" w:themeColor="text1"/>
          <w:sz w:val="21"/>
        </w:rPr>
        <w:t>De conformidad con esta norma, para evitar el rechazo in limine de las ofertas, las entidades estatales tienen la carga de buscar claridad a los aspectos dudosos que surjan durante la evaluación de las ofertas. Por tanto, si no comprende algo, si existe contradicción, si un requisito fue omitido, etc., la entidad solicitará “a los proponentes las aclaraciones y explicaciones que se estimen indispensables”, comportamiento que realiza el principio de economía vertido en el art. 25.15, de manera que la entidad no puede rechazar de plano la propuesta sin solicitar previamente que se aclare.</w:t>
      </w:r>
    </w:p>
    <w:p w:rsidRPr="00F7024B" w:rsidR="006C2909" w:rsidRDefault="006C2909" w14:paraId="70AF2C6D" w14:textId="77777777">
      <w:pPr>
        <w:pStyle w:val="Textoindependiente"/>
        <w:spacing w:before="11"/>
        <w:rPr>
          <w:color w:val="000000" w:themeColor="text1"/>
          <w:sz w:val="20"/>
        </w:rPr>
      </w:pPr>
    </w:p>
    <w:p w:rsidRPr="00F7024B" w:rsidR="006C2909" w:rsidRDefault="00202146" w14:paraId="0B4833E8" w14:textId="77777777">
      <w:pPr>
        <w:ind w:left="1005" w:right="1015"/>
        <w:jc w:val="both"/>
        <w:rPr>
          <w:color w:val="000000" w:themeColor="text1"/>
          <w:sz w:val="21"/>
        </w:rPr>
      </w:pPr>
      <w:r w:rsidRPr="00F7024B">
        <w:rPr>
          <w:color w:val="000000" w:themeColor="text1"/>
          <w:sz w:val="21"/>
        </w:rPr>
        <w:t>De esta manera, cabe advertirle a la administración que la posibilidad de aclarar y corregir la oferta no es un derecho que tiene la entidad, sino un derecho que tiene el contratista; así que para aquéllas se trata de un deber, de una obligación, para que los oferentes logren participar con efectividad en los procesos de selección, para bien del interés general. Por tanto, si las entidades no conceden a los proponentes la oportunidad de corregir la oferta incompleta o</w:t>
      </w:r>
    </w:p>
    <w:p w:rsidRPr="00F7024B" w:rsidR="006C2909" w:rsidRDefault="006C2909" w14:paraId="6BFC0ABE" w14:textId="77777777">
      <w:pPr>
        <w:jc w:val="both"/>
        <w:rPr>
          <w:color w:val="000000" w:themeColor="text1"/>
          <w:sz w:val="21"/>
        </w:rPr>
        <w:sectPr w:rsidRPr="00F7024B" w:rsidR="006C2909">
          <w:pgSz w:w="12240" w:h="15840" w:orient="portrait"/>
          <w:pgMar w:top="1560" w:right="1300" w:bottom="2140" w:left="1400" w:header="737" w:footer="1880" w:gutter="0"/>
          <w:cols w:space="720"/>
        </w:sectPr>
      </w:pPr>
    </w:p>
    <w:p w:rsidRPr="00F7024B" w:rsidR="006C2909" w:rsidRDefault="006C2909" w14:paraId="3F351575" w14:textId="77777777">
      <w:pPr>
        <w:pStyle w:val="Textoindependiente"/>
        <w:rPr>
          <w:color w:val="000000" w:themeColor="text1"/>
          <w:sz w:val="20"/>
        </w:rPr>
      </w:pPr>
    </w:p>
    <w:p w:rsidRPr="00F7024B" w:rsidR="006C2909" w:rsidRDefault="006C2909" w14:paraId="7284FBD9" w14:textId="77777777">
      <w:pPr>
        <w:pStyle w:val="Textoindependiente"/>
        <w:spacing w:before="4"/>
        <w:rPr>
          <w:color w:val="000000" w:themeColor="text1"/>
          <w:sz w:val="16"/>
        </w:rPr>
      </w:pPr>
    </w:p>
    <w:p w:rsidRPr="00F7024B" w:rsidR="006C2909" w:rsidRDefault="00202146" w14:paraId="72BEA592" w14:textId="77777777">
      <w:pPr>
        <w:spacing w:before="94"/>
        <w:ind w:left="1005" w:right="1013"/>
        <w:jc w:val="both"/>
        <w:rPr>
          <w:color w:val="000000" w:themeColor="text1"/>
          <w:sz w:val="21"/>
        </w:rPr>
      </w:pPr>
      <w:r w:rsidRPr="00F7024B">
        <w:rPr>
          <w:color w:val="000000" w:themeColor="text1"/>
          <w:sz w:val="21"/>
        </w:rPr>
        <w:t>que no se comprende –sólo en aquellos aspectos susceptibles de corregirse- violan el derecho del oferente a hacerlo, e incumplirán la obligación que les asigna la ley.</w:t>
      </w:r>
    </w:p>
    <w:p w:rsidRPr="00F7024B" w:rsidR="006C2909" w:rsidRDefault="006C2909" w14:paraId="16E2C80E" w14:textId="77777777">
      <w:pPr>
        <w:pStyle w:val="Textoindependiente"/>
        <w:spacing w:before="1"/>
        <w:rPr>
          <w:color w:val="000000" w:themeColor="text1"/>
          <w:sz w:val="21"/>
        </w:rPr>
      </w:pPr>
    </w:p>
    <w:p w:rsidRPr="00F7024B" w:rsidR="006C2909" w:rsidRDefault="00202146" w14:paraId="152177DD" w14:textId="77777777">
      <w:pPr>
        <w:spacing w:line="241" w:lineRule="exact"/>
        <w:ind w:left="1005"/>
        <w:jc w:val="both"/>
        <w:rPr>
          <w:color w:val="000000" w:themeColor="text1"/>
          <w:sz w:val="21"/>
        </w:rPr>
      </w:pPr>
      <w:r w:rsidRPr="00F7024B">
        <w:rPr>
          <w:color w:val="000000" w:themeColor="text1"/>
          <w:sz w:val="21"/>
        </w:rPr>
        <w:t>En conclusión, que las ofertas se pueden corregir y aclarar lo confirma el art.</w:t>
      </w:r>
    </w:p>
    <w:p w:rsidRPr="00F7024B" w:rsidR="006C2909" w:rsidRDefault="00202146" w14:paraId="4000044B" w14:textId="77777777">
      <w:pPr>
        <w:ind w:left="1005" w:right="1015"/>
        <w:jc w:val="both"/>
        <w:rPr>
          <w:color w:val="000000" w:themeColor="text1"/>
          <w:sz w:val="21"/>
        </w:rPr>
      </w:pPr>
      <w:r w:rsidRPr="00F7024B">
        <w:rPr>
          <w:color w:val="000000" w:themeColor="text1"/>
          <w:sz w:val="21"/>
        </w:rPr>
        <w:t>30.7 de la Ley 80. Si no se pudiera, ¿para qué “solicitar a los proponentes las aclaraciones y explicaciones que se estimen indispensables”, si lo que respondieran no se pudiera tener en cuenta?</w:t>
      </w:r>
    </w:p>
    <w:p w:rsidRPr="00F7024B" w:rsidR="006C2909" w:rsidRDefault="006C2909" w14:paraId="5BB19520" w14:textId="77777777">
      <w:pPr>
        <w:pStyle w:val="Textoindependiente"/>
        <w:spacing w:before="6"/>
        <w:rPr>
          <w:color w:val="000000" w:themeColor="text1"/>
          <w:sz w:val="25"/>
        </w:rPr>
      </w:pPr>
    </w:p>
    <w:p w:rsidRPr="00F7024B" w:rsidR="006C2909" w:rsidRDefault="00202146" w14:paraId="46B2CB56" w14:textId="77777777">
      <w:pPr>
        <w:pStyle w:val="Textoindependiente"/>
        <w:spacing w:line="276" w:lineRule="auto"/>
        <w:ind w:left="300" w:right="305"/>
        <w:jc w:val="both"/>
        <w:rPr>
          <w:color w:val="000000" w:themeColor="text1"/>
        </w:rPr>
      </w:pPr>
      <w:r w:rsidRPr="00F7024B">
        <w:rPr>
          <w:color w:val="000000" w:themeColor="text1"/>
        </w:rPr>
        <w:t>En el caso que, una persona jurídica, por medio de su representante legal o revisor fiscal, diligencie el Formato 6- Certificación de Pagos de Seguridad Social, señalando que se encuentra al día en el pago de seguridad social y aportes legales, aun cuando estaba exenta en el pago del Sistema de Seguridad Social. La entidad deberá solicitar aclaración frente ese aspecto, pero no podrá rechazarle la oferta por sólo este motivo; y aun si el oferente se equivocó en el diligenciamiento como el objetivo del artículo 50 de la Ley 789 de 2002 es evitar la evasión del pago al Sistema de Seguridad Social, si el oferente acredita el pago del Sistema de Seguridad Social aun cuando estaba exonerado en el pago no será posible el rechazar su oferta porque en este caso no se demuestra que el oferente evadió el pago al Sistema de Seguridad Social estando en la obligación de</w:t>
      </w:r>
      <w:r w:rsidRPr="00F7024B">
        <w:rPr>
          <w:color w:val="000000" w:themeColor="text1"/>
          <w:spacing w:val="-31"/>
        </w:rPr>
        <w:t xml:space="preserve"> </w:t>
      </w:r>
      <w:r w:rsidRPr="00F7024B">
        <w:rPr>
          <w:color w:val="000000" w:themeColor="text1"/>
        </w:rPr>
        <w:t>realizarlo.</w:t>
      </w:r>
    </w:p>
    <w:p w:rsidRPr="00F7024B" w:rsidR="006C2909" w:rsidRDefault="006C2909" w14:paraId="542F6C7F" w14:textId="77777777">
      <w:pPr>
        <w:pStyle w:val="Textoindependiente"/>
        <w:spacing w:before="3"/>
        <w:rPr>
          <w:color w:val="000000" w:themeColor="text1"/>
          <w:sz w:val="25"/>
        </w:rPr>
      </w:pPr>
    </w:p>
    <w:p w:rsidRPr="00F7024B" w:rsidR="006C2909" w:rsidRDefault="00202146" w14:paraId="3A621E34" w14:textId="77777777">
      <w:pPr>
        <w:pStyle w:val="Textoindependiente"/>
        <w:spacing w:line="276" w:lineRule="auto"/>
        <w:ind w:left="300" w:right="307"/>
        <w:jc w:val="both"/>
        <w:rPr>
          <w:color w:val="000000" w:themeColor="text1"/>
        </w:rPr>
      </w:pPr>
      <w:r w:rsidRPr="00F7024B">
        <w:rPr>
          <w:color w:val="000000" w:themeColor="text1"/>
        </w:rPr>
        <w:t xml:space="preserve">Finalmente, usted realiza la siguiente pregunta: ¿si un proponente está exento del pago de alguna información del formulario 6, debe modificar el modificar el formulario o puede certificar que se encuentra a paz y salvo? Tal y cómo se mencionó previamente, el Formato 6 – Certificado de pago de Seguridad Social se diligenciará dependiendo si es una persona natural o jurídica la que presenta la oferta, </w:t>
      </w:r>
      <w:proofErr w:type="gramStart"/>
      <w:r w:rsidRPr="00F7024B">
        <w:rPr>
          <w:color w:val="000000" w:themeColor="text1"/>
        </w:rPr>
        <w:t>y</w:t>
      </w:r>
      <w:proofErr w:type="gramEnd"/>
      <w:r w:rsidRPr="00F7024B">
        <w:rPr>
          <w:color w:val="000000" w:themeColor="text1"/>
        </w:rPr>
        <w:t xml:space="preserve"> además, si está en la obligación de acreditar el pago al Sistema de Seguridad Social o se encuentra exento. En este sentido, no es posible modificar el Formato 6- Pagos de Seguridad Social y Aportes</w:t>
      </w:r>
      <w:r w:rsidRPr="00F7024B">
        <w:rPr>
          <w:color w:val="000000" w:themeColor="text1"/>
          <w:spacing w:val="-33"/>
        </w:rPr>
        <w:t xml:space="preserve"> </w:t>
      </w:r>
      <w:r w:rsidRPr="00F7024B">
        <w:rPr>
          <w:color w:val="000000" w:themeColor="text1"/>
        </w:rPr>
        <w:t>Legales.</w:t>
      </w:r>
    </w:p>
    <w:p w:rsidRPr="00F7024B" w:rsidR="006C2909" w:rsidRDefault="006C2909" w14:paraId="612D711A" w14:textId="77777777">
      <w:pPr>
        <w:pStyle w:val="Textoindependiente"/>
        <w:spacing w:before="5"/>
        <w:rPr>
          <w:color w:val="000000" w:themeColor="text1"/>
          <w:sz w:val="25"/>
        </w:rPr>
      </w:pPr>
    </w:p>
    <w:p w:rsidRPr="00F7024B" w:rsidR="006C2909" w:rsidRDefault="00202146" w14:paraId="2758E5D6" w14:textId="77777777">
      <w:pPr>
        <w:pStyle w:val="Textoindependiente"/>
        <w:spacing w:line="276" w:lineRule="auto"/>
        <w:ind w:left="300" w:right="302"/>
        <w:jc w:val="both"/>
        <w:rPr>
          <w:color w:val="000000" w:themeColor="text1"/>
        </w:rPr>
      </w:pPr>
      <w:r w:rsidRPr="00F7024B">
        <w:rPr>
          <w:color w:val="000000" w:themeColor="text1"/>
        </w:rPr>
        <w:t>Si se refiere a una persona jurídica se deberá diligenciar la última parte del Formato 6- Pagos de Seguridad 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 Fiscal.</w:t>
      </w:r>
    </w:p>
    <w:p w:rsidRPr="00F7024B" w:rsidR="006C2909" w:rsidRDefault="006C2909" w14:paraId="18761218" w14:textId="77777777">
      <w:pPr>
        <w:pStyle w:val="Textoindependiente"/>
        <w:spacing w:before="2"/>
        <w:rPr>
          <w:color w:val="000000" w:themeColor="text1"/>
          <w:sz w:val="25"/>
        </w:rPr>
      </w:pPr>
    </w:p>
    <w:p w:rsidRPr="00F7024B" w:rsidR="006C2909" w:rsidRDefault="00202146" w14:paraId="04A0E3E9" w14:textId="77777777">
      <w:pPr>
        <w:pStyle w:val="Textoindependiente"/>
        <w:spacing w:line="276" w:lineRule="auto"/>
        <w:ind w:left="300" w:right="303"/>
        <w:jc w:val="both"/>
        <w:rPr>
          <w:color w:val="000000" w:themeColor="text1"/>
        </w:rPr>
      </w:pPr>
      <w:r w:rsidRPr="00F7024B">
        <w:rPr>
          <w:color w:val="000000" w:themeColor="text1"/>
        </w:rPr>
        <w:t xml:space="preserve">Ahora, si es la persona natural acredita estar al día en el pago de seguridad social y aportes parafiscales al SENA, ICBF y se encuentre exonerada del pago de los empleados que tiene a su cargo deberá diligenciar el primer y segundo párrafo del Formato </w:t>
      </w:r>
      <w:r w:rsidRPr="00F7024B">
        <w:rPr>
          <w:color w:val="000000" w:themeColor="text1"/>
          <w:spacing w:val="4"/>
        </w:rPr>
        <w:t xml:space="preserve">6- </w:t>
      </w:r>
      <w:r w:rsidRPr="00F7024B">
        <w:rPr>
          <w:color w:val="000000" w:themeColor="text1"/>
        </w:rPr>
        <w:t>pagos de seguridad social y aportes legales para las personas</w:t>
      </w:r>
      <w:r w:rsidRPr="00F7024B">
        <w:rPr>
          <w:color w:val="000000" w:themeColor="text1"/>
          <w:spacing w:val="-18"/>
        </w:rPr>
        <w:t xml:space="preserve"> </w:t>
      </w:r>
      <w:r w:rsidRPr="00F7024B">
        <w:rPr>
          <w:color w:val="000000" w:themeColor="text1"/>
        </w:rPr>
        <w:t>naturales.</w:t>
      </w:r>
    </w:p>
    <w:p w:rsidRPr="00F7024B" w:rsidR="006C2909" w:rsidRDefault="006C2909" w14:paraId="2B54162C" w14:textId="77777777">
      <w:pPr>
        <w:spacing w:line="276" w:lineRule="auto"/>
        <w:jc w:val="both"/>
        <w:rPr>
          <w:color w:val="000000" w:themeColor="text1"/>
        </w:rPr>
        <w:sectPr w:rsidRPr="00F7024B" w:rsidR="006C2909">
          <w:pgSz w:w="12240" w:h="15840" w:orient="portrait"/>
          <w:pgMar w:top="1560" w:right="1300" w:bottom="2140" w:left="1400" w:header="737" w:footer="1880" w:gutter="0"/>
          <w:cols w:space="720"/>
        </w:sectPr>
      </w:pPr>
    </w:p>
    <w:p w:rsidRPr="00F7024B" w:rsidR="006C2909" w:rsidRDefault="006C2909" w14:paraId="53E3561F" w14:textId="77777777">
      <w:pPr>
        <w:pStyle w:val="Textoindependiente"/>
        <w:rPr>
          <w:color w:val="000000" w:themeColor="text1"/>
          <w:sz w:val="20"/>
        </w:rPr>
      </w:pPr>
    </w:p>
    <w:p w:rsidRPr="00F7024B" w:rsidR="006C2909" w:rsidRDefault="006C2909" w14:paraId="536BCFAF" w14:textId="77777777">
      <w:pPr>
        <w:pStyle w:val="Textoindependiente"/>
        <w:spacing w:before="5"/>
        <w:rPr>
          <w:color w:val="000000" w:themeColor="text1"/>
          <w:sz w:val="16"/>
        </w:rPr>
      </w:pPr>
    </w:p>
    <w:p w:rsidRPr="00F7024B" w:rsidR="006C2909" w:rsidRDefault="00202146" w14:paraId="6A0B400B" w14:textId="77777777">
      <w:pPr>
        <w:pStyle w:val="Ttulo1"/>
        <w:tabs>
          <w:tab w:val="left" w:pos="660"/>
        </w:tabs>
        <w:spacing w:before="93"/>
        <w:ind w:left="300" w:firstLine="0"/>
        <w:rPr>
          <w:color w:val="000000" w:themeColor="text1"/>
        </w:rPr>
      </w:pPr>
      <w:r w:rsidRPr="00F7024B">
        <w:rPr>
          <w:color w:val="000000" w:themeColor="text1"/>
        </w:rPr>
        <w:t>3</w:t>
      </w:r>
      <w:r w:rsidRPr="00F7024B">
        <w:rPr>
          <w:color w:val="000000" w:themeColor="text1"/>
        </w:rPr>
        <w:tab/>
      </w:r>
      <w:proofErr w:type="gramStart"/>
      <w:r w:rsidRPr="00F7024B">
        <w:rPr>
          <w:color w:val="000000" w:themeColor="text1"/>
        </w:rPr>
        <w:t>Respuestas</w:t>
      </w:r>
      <w:proofErr w:type="gramEnd"/>
    </w:p>
    <w:p w:rsidRPr="00F7024B" w:rsidR="006C2909" w:rsidRDefault="006C2909" w14:paraId="4CA4CD2C" w14:textId="77777777">
      <w:pPr>
        <w:pStyle w:val="Textoindependiente"/>
        <w:spacing w:before="8"/>
        <w:rPr>
          <w:b/>
          <w:color w:val="000000" w:themeColor="text1"/>
          <w:sz w:val="28"/>
        </w:rPr>
      </w:pPr>
    </w:p>
    <w:p w:rsidRPr="00F7024B" w:rsidR="006C2909" w:rsidRDefault="00202146" w14:paraId="695FEF64" w14:textId="77777777">
      <w:pPr>
        <w:pStyle w:val="Textoindependiente"/>
        <w:spacing w:line="278" w:lineRule="auto"/>
        <w:ind w:left="1008" w:right="1022"/>
        <w:jc w:val="both"/>
        <w:rPr>
          <w:color w:val="000000" w:themeColor="text1"/>
        </w:rPr>
      </w:pPr>
      <w:r w:rsidRPr="00F7024B">
        <w:rPr>
          <w:color w:val="000000" w:themeColor="text1"/>
        </w:rPr>
        <w:t>“¿Los formatos de acreditación de paz y salvo en pagos de seguridad social son modificables?”</w:t>
      </w:r>
    </w:p>
    <w:p w:rsidRPr="00F7024B" w:rsidR="006C2909" w:rsidRDefault="006C2909" w14:paraId="206FCA70" w14:textId="77777777">
      <w:pPr>
        <w:pStyle w:val="Textoindependiente"/>
        <w:spacing w:before="9"/>
        <w:rPr>
          <w:color w:val="000000" w:themeColor="text1"/>
          <w:sz w:val="24"/>
        </w:rPr>
      </w:pPr>
    </w:p>
    <w:p w:rsidRPr="00F7024B" w:rsidR="006C2909" w:rsidRDefault="00202146" w14:paraId="7BB5EEDE" w14:textId="77777777">
      <w:pPr>
        <w:pStyle w:val="Textoindependiente"/>
        <w:spacing w:before="1" w:line="276" w:lineRule="auto"/>
        <w:ind w:left="300" w:right="308"/>
        <w:jc w:val="both"/>
        <w:rPr>
          <w:color w:val="000000" w:themeColor="text1"/>
        </w:rPr>
      </w:pPr>
      <w:r w:rsidRPr="00F7024B">
        <w:rPr>
          <w:color w:val="000000" w:themeColor="text1"/>
        </w:rPr>
        <w:t>En virtud de los artículos 2.2.1.2.6.1.2 6 y 2.2.1.2.6.1.4 del Decreto 1082 de 2015 es obligatorio el uso del Formato 6- Certificación de Pagos de Seguridad Social y Aportes Legales y no es posible modificar su contenido.</w:t>
      </w:r>
    </w:p>
    <w:p w:rsidRPr="00F7024B" w:rsidR="006C2909" w:rsidRDefault="006C2909" w14:paraId="0D99C618" w14:textId="77777777">
      <w:pPr>
        <w:pStyle w:val="Textoindependiente"/>
        <w:spacing w:before="4"/>
        <w:rPr>
          <w:color w:val="000000" w:themeColor="text1"/>
          <w:sz w:val="25"/>
        </w:rPr>
      </w:pPr>
    </w:p>
    <w:p w:rsidRPr="00F7024B" w:rsidR="006C2909" w:rsidRDefault="00202146" w14:paraId="5F513B8B" w14:textId="77777777">
      <w:pPr>
        <w:pStyle w:val="Textoindependiente"/>
        <w:spacing w:before="1" w:line="276" w:lineRule="auto"/>
        <w:ind w:left="1008" w:right="1018"/>
        <w:jc w:val="both"/>
        <w:rPr>
          <w:color w:val="000000" w:themeColor="text1"/>
        </w:rPr>
      </w:pPr>
      <w:r w:rsidRPr="00F7024B">
        <w:rPr>
          <w:color w:val="000000" w:themeColor="text1"/>
        </w:rPr>
        <w:t>“¿Si una empresa no está obligada a pagar ICBF y SENA, y presenta el formato diciendo que está a paz y salvo en el pago de esto, puede ser rechazado argumentando que está presentando información inexacta o no veraz?”.</w:t>
      </w:r>
    </w:p>
    <w:p w:rsidRPr="00F7024B" w:rsidR="006C2909" w:rsidRDefault="006C2909" w14:paraId="4A661F82" w14:textId="77777777">
      <w:pPr>
        <w:pStyle w:val="Textoindependiente"/>
        <w:spacing w:before="3"/>
        <w:rPr>
          <w:color w:val="000000" w:themeColor="text1"/>
          <w:sz w:val="25"/>
        </w:rPr>
      </w:pPr>
    </w:p>
    <w:p w:rsidRPr="00F7024B" w:rsidR="006C2909" w:rsidRDefault="00202146" w14:paraId="4AD39A2A" w14:textId="77777777">
      <w:pPr>
        <w:pStyle w:val="Textoindependiente"/>
        <w:spacing w:before="1" w:line="276" w:lineRule="auto"/>
        <w:ind w:left="300" w:right="303"/>
        <w:jc w:val="both"/>
        <w:rPr>
          <w:color w:val="000000" w:themeColor="text1"/>
        </w:rPr>
      </w:pPr>
      <w:r w:rsidRPr="00F7024B">
        <w:rPr>
          <w:color w:val="000000" w:themeColor="text1"/>
        </w:rPr>
        <w:t>En el caso en que una persona jurídica, por medio de su representante legal o revisor fiscal, diligencie el Formato 6- Certificación de Pagos de Seguridad Social, señalando que se encuentra al día en el pago de seguridad social y aportes legales, aun cuando estaba exenta en el pago del Sistema de Seguridad Social, la entidad debe solicitar aclaración de ese aspecto, pero no podrá rechazarle la oferta sólo por este motivo; y aún si el oferente se equivocó en el diligenciamiento, como el objetivo del artículo 50 de la Ley 789 de 2002 es evitar la evasión del pago al sistema de seguridad social, si el oferente acredita el pago del sistema de seguridad social aun cuando estaba exonerado en el pago no será posible el rechazar su oferta porque en este caso no se demuestra que el oferente evadió el pago al sistema de seguridad social estando en la obligación de</w:t>
      </w:r>
      <w:r w:rsidRPr="00F7024B">
        <w:rPr>
          <w:color w:val="000000" w:themeColor="text1"/>
          <w:spacing w:val="-14"/>
        </w:rPr>
        <w:t xml:space="preserve"> </w:t>
      </w:r>
      <w:r w:rsidRPr="00F7024B">
        <w:rPr>
          <w:color w:val="000000" w:themeColor="text1"/>
        </w:rPr>
        <w:t>realizarlo.</w:t>
      </w:r>
    </w:p>
    <w:p w:rsidRPr="00F7024B" w:rsidR="006C2909" w:rsidRDefault="006C2909" w14:paraId="32CE123A" w14:textId="77777777">
      <w:pPr>
        <w:pStyle w:val="Textoindependiente"/>
        <w:spacing w:before="3"/>
        <w:rPr>
          <w:color w:val="000000" w:themeColor="text1"/>
          <w:sz w:val="25"/>
        </w:rPr>
      </w:pPr>
    </w:p>
    <w:p w:rsidRPr="00F7024B" w:rsidR="006C2909" w:rsidRDefault="00202146" w14:paraId="269E1429" w14:textId="77777777">
      <w:pPr>
        <w:pStyle w:val="Textoindependiente"/>
        <w:spacing w:line="276" w:lineRule="auto"/>
        <w:ind w:left="1005" w:right="1019"/>
        <w:jc w:val="both"/>
        <w:rPr>
          <w:color w:val="000000" w:themeColor="text1"/>
        </w:rPr>
      </w:pPr>
      <w:r w:rsidRPr="00F7024B">
        <w:rPr>
          <w:color w:val="000000" w:themeColor="text1"/>
        </w:rPr>
        <w:t>“¿si un proponente está exento del pago de alguna información del formulario 6, debe modificar el modificar el formulario o puede certificar que se encuentra a paz y</w:t>
      </w:r>
      <w:r w:rsidRPr="00F7024B">
        <w:rPr>
          <w:color w:val="000000" w:themeColor="text1"/>
          <w:spacing w:val="-8"/>
        </w:rPr>
        <w:t xml:space="preserve"> </w:t>
      </w:r>
      <w:r w:rsidRPr="00F7024B">
        <w:rPr>
          <w:color w:val="000000" w:themeColor="text1"/>
        </w:rPr>
        <w:t>salvo?”.</w:t>
      </w:r>
    </w:p>
    <w:p w:rsidRPr="00F7024B" w:rsidR="006C2909" w:rsidRDefault="006C2909" w14:paraId="1978419D" w14:textId="77777777">
      <w:pPr>
        <w:pStyle w:val="Textoindependiente"/>
        <w:spacing w:before="3"/>
        <w:rPr>
          <w:color w:val="000000" w:themeColor="text1"/>
          <w:sz w:val="25"/>
        </w:rPr>
      </w:pPr>
    </w:p>
    <w:p w:rsidRPr="00F7024B" w:rsidR="006C2909" w:rsidRDefault="00202146" w14:paraId="3579D9E9" w14:textId="77777777">
      <w:pPr>
        <w:pStyle w:val="Textoindependiente"/>
        <w:spacing w:line="276" w:lineRule="auto"/>
        <w:ind w:left="300" w:right="302"/>
        <w:jc w:val="both"/>
        <w:rPr>
          <w:color w:val="000000" w:themeColor="text1"/>
        </w:rPr>
      </w:pPr>
      <w:r w:rsidRPr="00F7024B">
        <w:rPr>
          <w:color w:val="000000" w:themeColor="text1"/>
        </w:rPr>
        <w:t>Si se refiere a una persona jurídica se deberá diligenciar la última parte del Formato 6- Pagos de Seguridad Social y Aportes Legales en los casos en que el oferente no se encuentra en la obligación de realizar el pago de los aportes parafiscales a favor del Servicio Nacional del Aprendizaje (SENA), del Instituto Colombiano de Bienestar Familiar (ICBF) y las cotizaciones al Régimen Contributivo de Salud. Esta parte se podrá diligenciar tanto por el Representante Legal como el Revisor Fiscal.</w:t>
      </w:r>
    </w:p>
    <w:p w:rsidRPr="00F7024B" w:rsidR="006C2909" w:rsidRDefault="006C2909" w14:paraId="1EA98A20" w14:textId="77777777">
      <w:pPr>
        <w:pStyle w:val="Textoindependiente"/>
        <w:spacing w:before="4"/>
        <w:rPr>
          <w:color w:val="000000" w:themeColor="text1"/>
          <w:sz w:val="25"/>
        </w:rPr>
      </w:pPr>
    </w:p>
    <w:p w:rsidRPr="00F7024B" w:rsidR="006C2909" w:rsidRDefault="00202146" w14:paraId="6924B63A" w14:textId="77777777">
      <w:pPr>
        <w:pStyle w:val="Textoindependiente"/>
        <w:spacing w:before="1" w:line="276" w:lineRule="auto"/>
        <w:ind w:left="300" w:right="309"/>
        <w:jc w:val="both"/>
        <w:rPr>
          <w:color w:val="000000" w:themeColor="text1"/>
        </w:rPr>
      </w:pPr>
      <w:r w:rsidRPr="00F7024B">
        <w:rPr>
          <w:color w:val="000000" w:themeColor="text1"/>
        </w:rPr>
        <w:t>Ahora, si la persona natural acredita estar al día en el pago de seguridad social y aportes parafiscales al SENA, ICBF, y se encuentre exonerada del pago de los empleados que</w:t>
      </w:r>
    </w:p>
    <w:p w:rsidRPr="00F7024B" w:rsidR="006C2909" w:rsidRDefault="006C2909" w14:paraId="406FCFA6" w14:textId="77777777">
      <w:pPr>
        <w:spacing w:line="276" w:lineRule="auto"/>
        <w:jc w:val="both"/>
        <w:rPr>
          <w:color w:val="000000" w:themeColor="text1"/>
        </w:rPr>
        <w:sectPr w:rsidRPr="00F7024B" w:rsidR="006C2909">
          <w:pgSz w:w="12240" w:h="15840" w:orient="portrait"/>
          <w:pgMar w:top="1560" w:right="1300" w:bottom="2140" w:left="1400" w:header="737" w:footer="1880" w:gutter="0"/>
          <w:cols w:space="720"/>
        </w:sectPr>
      </w:pPr>
    </w:p>
    <w:p w:rsidRPr="00F7024B" w:rsidR="006C2909" w:rsidRDefault="006C2909" w14:paraId="1C7DE175" w14:textId="77777777">
      <w:pPr>
        <w:pStyle w:val="Textoindependiente"/>
        <w:rPr>
          <w:color w:val="000000" w:themeColor="text1"/>
          <w:sz w:val="20"/>
        </w:rPr>
      </w:pPr>
    </w:p>
    <w:p w:rsidRPr="00F7024B" w:rsidR="006C2909" w:rsidRDefault="006C2909" w14:paraId="243F0A4A" w14:textId="77777777">
      <w:pPr>
        <w:pStyle w:val="Textoindependiente"/>
        <w:spacing w:before="5"/>
        <w:rPr>
          <w:color w:val="000000" w:themeColor="text1"/>
          <w:sz w:val="16"/>
        </w:rPr>
      </w:pPr>
    </w:p>
    <w:p w:rsidRPr="00F7024B" w:rsidR="006C2909" w:rsidRDefault="00202146" w14:paraId="217A88FC" w14:textId="77777777">
      <w:pPr>
        <w:pStyle w:val="Textoindependiente"/>
        <w:spacing w:before="93" w:line="278" w:lineRule="auto"/>
        <w:ind w:left="300" w:right="296"/>
        <w:rPr>
          <w:color w:val="000000" w:themeColor="text1"/>
        </w:rPr>
      </w:pPr>
      <w:r w:rsidRPr="00F7024B">
        <w:rPr>
          <w:color w:val="000000" w:themeColor="text1"/>
        </w:rPr>
        <w:t>tiene a su cargo, debe diligenciar el primer y segundo párrafo del Formato 6- pagos de seguridad social y aportes legales para las personas naturales.</w:t>
      </w:r>
    </w:p>
    <w:p w:rsidRPr="00F7024B" w:rsidR="006C2909" w:rsidRDefault="006C2909" w14:paraId="74E5E5B0" w14:textId="77777777">
      <w:pPr>
        <w:pStyle w:val="Textoindependiente"/>
        <w:spacing w:before="1"/>
        <w:rPr>
          <w:color w:val="000000" w:themeColor="text1"/>
          <w:sz w:val="25"/>
        </w:rPr>
      </w:pPr>
    </w:p>
    <w:p w:rsidRPr="00F7024B" w:rsidR="006C2909" w:rsidRDefault="00202146" w14:paraId="32A98F58" w14:textId="77777777">
      <w:pPr>
        <w:pStyle w:val="Textoindependiente"/>
        <w:spacing w:line="276" w:lineRule="auto"/>
        <w:ind w:left="300" w:right="296"/>
        <w:rPr>
          <w:color w:val="000000" w:themeColor="text1"/>
        </w:rPr>
      </w:pPr>
      <w:r w:rsidRPr="00F7024B">
        <w:rPr>
          <w:color w:val="000000" w:themeColor="text1"/>
        </w:rPr>
        <w:t>Este concepto tiene el alcance previsto en el artículo 28 del Código de Procedimiento Administrativo y de lo Contencioso Administrativo.</w:t>
      </w:r>
    </w:p>
    <w:p w:rsidRPr="00F7024B" w:rsidR="006C2909" w:rsidRDefault="00F31455" w14:paraId="2DECE6EE" w14:textId="77777777">
      <w:pPr>
        <w:pStyle w:val="Textoindependiente"/>
        <w:spacing w:before="5"/>
        <w:rPr>
          <w:color w:val="000000" w:themeColor="text1"/>
          <w:sz w:val="19"/>
        </w:rPr>
      </w:pPr>
      <w:r>
        <w:rPr>
          <w:color w:val="000000" w:themeColor="text1"/>
        </w:rPr>
        <w:pict w14:anchorId="74753315">
          <v:shape id="_x0000_s1026" style="position:absolute;margin-left:119.25pt;margin-top:13.55pt;width:369pt;height:.1pt;z-index:-251658240;mso-wrap-distance-left:0;mso-wrap-distance-right:0;mso-position-horizontal-relative:page" coordsize="7380,0" coordorigin="2385,271" filled="f" strokecolor="#dbdbdb" path="m2385,271r7380,e">
            <v:path arrowok="t"/>
            <w10:wrap type="topAndBottom" anchorx="page"/>
          </v:shape>
        </w:pict>
      </w:r>
    </w:p>
    <w:p w:rsidRPr="00F7024B" w:rsidR="006C2909" w:rsidRDefault="00202146" w14:paraId="746408A2" w14:textId="77777777">
      <w:pPr>
        <w:pStyle w:val="Textoindependiente"/>
        <w:spacing w:before="197"/>
        <w:ind w:left="300"/>
        <w:rPr>
          <w:color w:val="000000" w:themeColor="text1"/>
        </w:rPr>
      </w:pPr>
      <w:r w:rsidRPr="00F7024B">
        <w:rPr>
          <w:color w:val="000000" w:themeColor="text1"/>
        </w:rPr>
        <w:t>Atentamente,</w:t>
      </w:r>
    </w:p>
    <w:p w:rsidRPr="00F7024B" w:rsidR="006C2909" w:rsidRDefault="006C2909" w14:paraId="3CAC1654" w14:textId="77777777">
      <w:pPr>
        <w:pStyle w:val="Textoindependiente"/>
        <w:rPr>
          <w:color w:val="000000" w:themeColor="text1"/>
          <w:sz w:val="20"/>
        </w:rPr>
      </w:pPr>
    </w:p>
    <w:p w:rsidR="006C2909" w:rsidP="00F31455" w:rsidRDefault="00F31455" w14:paraId="30E16883" w14:textId="49AF909F">
      <w:pPr>
        <w:pStyle w:val="Textoindependiente"/>
        <w:spacing w:before="8"/>
        <w:jc w:val="center"/>
        <w:rPr>
          <w:color w:val="000000" w:themeColor="text1"/>
        </w:rPr>
      </w:pPr>
      <w:r w:rsidR="00F31455">
        <w:drawing>
          <wp:inline wp14:editId="5CA1F262" wp14:anchorId="4589C102">
            <wp:extent cx="2773045" cy="988695"/>
            <wp:effectExtent l="0" t="0" r="0" b="0"/>
            <wp:docPr id="2078789456" name="Imagen 3" title=""/>
            <wp:cNvGraphicFramePr>
              <a:graphicFrameLocks/>
            </wp:cNvGraphicFramePr>
            <a:graphic>
              <a:graphicData uri="http://schemas.openxmlformats.org/drawingml/2006/picture">
                <pic:pic>
                  <pic:nvPicPr>
                    <pic:cNvPr id="0" name="Imagen 3"/>
                    <pic:cNvPicPr/>
                  </pic:nvPicPr>
                  <pic:blipFill>
                    <a:blip r:embed="R066046fd39f540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F7024B" w:rsidR="00F31455" w:rsidP="00F31455" w:rsidRDefault="00F31455" w14:paraId="6F4C00AC" w14:textId="77777777">
      <w:pPr>
        <w:pStyle w:val="Textoindependiente"/>
        <w:spacing w:before="8"/>
        <w:jc w:val="center"/>
        <w:rPr>
          <w:color w:val="000000" w:themeColor="text1"/>
        </w:rPr>
      </w:pPr>
    </w:p>
    <w:p w:rsidRPr="00F7024B" w:rsidR="006C2909" w:rsidRDefault="00202146" w14:paraId="527334D1" w14:textId="77777777">
      <w:pPr>
        <w:pStyle w:val="Textoindependiente"/>
        <w:ind w:left="300"/>
        <w:rPr>
          <w:color w:val="000000" w:themeColor="text1"/>
        </w:rPr>
      </w:pPr>
      <w:r w:rsidRPr="00F7024B">
        <w:rPr>
          <w:color w:val="000000" w:themeColor="text1"/>
        </w:rPr>
        <w:t>Proyectó: Sara Milena Núñez Aldana</w:t>
      </w:r>
    </w:p>
    <w:sectPr w:rsidRPr="00F7024B" w:rsidR="006C2909">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2146" w:rsidRDefault="00202146" w14:paraId="2EDC8DDC" w14:textId="77777777">
      <w:r>
        <w:separator/>
      </w:r>
    </w:p>
  </w:endnote>
  <w:endnote w:type="continuationSeparator" w:id="0">
    <w:p w:rsidR="00202146" w:rsidRDefault="00202146" w14:paraId="16EB31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C2909" w:rsidRDefault="00202146" w14:paraId="03E8EC76" w14:textId="77777777">
    <w:pPr>
      <w:pStyle w:val="Textoindependiente"/>
      <w:spacing w:line="14" w:lineRule="auto"/>
      <w:rPr>
        <w:sz w:val="20"/>
      </w:rPr>
    </w:pPr>
    <w:r>
      <w:rPr>
        <w:noProof/>
        <w:lang w:val="en-US"/>
      </w:rPr>
      <w:drawing>
        <wp:anchor distT="0" distB="0" distL="0" distR="0" simplePos="0" relativeHeight="251664384" behindDoc="1" locked="0" layoutInCell="1" allowOverlap="1" wp14:anchorId="28320AB7" wp14:editId="1531DED0">
          <wp:simplePos x="0" y="0"/>
          <wp:positionH relativeFrom="page">
            <wp:posOffset>1184993</wp:posOffset>
          </wp:positionH>
          <wp:positionV relativeFrom="page">
            <wp:posOffset>8735778</wp:posOffset>
          </wp:positionV>
          <wp:extent cx="5612130" cy="78712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65E6F0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2146" w:rsidRDefault="00202146" w14:paraId="41596D4E" w14:textId="77777777">
      <w:r>
        <w:separator/>
      </w:r>
    </w:p>
  </w:footnote>
  <w:footnote w:type="continuationSeparator" w:id="0">
    <w:p w:rsidR="00202146" w:rsidRDefault="00202146" w14:paraId="41820BFE" w14:textId="77777777">
      <w:r>
        <w:continuationSeparator/>
      </w:r>
    </w:p>
  </w:footnote>
  <w:footnote w:id="1">
    <w:p w:rsidRPr="00F7024B" w:rsidR="00F7024B" w:rsidP="00F31455" w:rsidRDefault="00F7024B" w14:paraId="4EBA4CC1" w14:textId="77777777">
      <w:pPr>
        <w:spacing w:before="99"/>
        <w:ind w:left="300" w:right="300" w:firstLine="707"/>
        <w:jc w:val="both"/>
        <w:rPr>
          <w:color w:val="000000" w:themeColor="text1"/>
          <w:sz w:val="18"/>
        </w:rPr>
      </w:pPr>
      <w:r>
        <w:rPr>
          <w:rStyle w:val="Refdenotaalpie"/>
        </w:rPr>
        <w:footnoteRef/>
      </w:r>
      <w:r>
        <w:t xml:space="preserve"> </w:t>
      </w:r>
      <w:r w:rsidRPr="00F7024B">
        <w:rPr>
          <w:color w:val="000000" w:themeColor="text1"/>
          <w:sz w:val="18"/>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rsidRPr="00F7024B" w:rsidR="00F7024B" w:rsidP="00F31455" w:rsidRDefault="00F7024B" w14:paraId="5C1F6B9E" w14:textId="77777777">
      <w:pPr>
        <w:pStyle w:val="Textoindependiente"/>
        <w:spacing w:before="2"/>
        <w:ind w:left="300" w:right="300"/>
        <w:jc w:val="both"/>
        <w:rPr>
          <w:color w:val="000000" w:themeColor="text1"/>
          <w:sz w:val="18"/>
        </w:rPr>
      </w:pPr>
    </w:p>
    <w:p w:rsidRPr="00F7024B" w:rsidR="00F7024B" w:rsidP="00F31455" w:rsidRDefault="00F7024B" w14:paraId="3C706EA1" w14:textId="77777777">
      <w:pPr>
        <w:ind w:left="300" w:right="300"/>
        <w:jc w:val="both"/>
        <w:rPr>
          <w:color w:val="000000" w:themeColor="text1"/>
          <w:sz w:val="18"/>
        </w:rPr>
      </w:pPr>
      <w:r w:rsidRPr="00F7024B">
        <w:rPr>
          <w:color w:val="000000" w:themeColor="text1"/>
          <w:sz w:val="18"/>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rsidRPr="00F7024B" w:rsidR="00F7024B" w:rsidP="00F31455" w:rsidRDefault="00F7024B" w14:paraId="4050F559" w14:textId="77777777">
      <w:pPr>
        <w:pStyle w:val="Textoindependiente"/>
        <w:spacing w:before="1"/>
        <w:ind w:left="300" w:right="300"/>
        <w:jc w:val="both"/>
        <w:rPr>
          <w:color w:val="000000" w:themeColor="text1"/>
          <w:sz w:val="18"/>
        </w:rPr>
      </w:pPr>
    </w:p>
    <w:p w:rsidRPr="00F7024B" w:rsidR="00F7024B" w:rsidP="00F31455" w:rsidRDefault="00F7024B" w14:paraId="7CE12F85" w14:textId="77777777">
      <w:pPr>
        <w:ind w:left="300" w:right="300"/>
        <w:jc w:val="both"/>
        <w:rPr>
          <w:color w:val="000000" w:themeColor="text1"/>
          <w:sz w:val="18"/>
        </w:rPr>
      </w:pPr>
      <w:r w:rsidRPr="00F7024B">
        <w:rPr>
          <w:color w:val="000000" w:themeColor="text1"/>
          <w:sz w:val="18"/>
        </w:rPr>
        <w:t xml:space="preserve">“Cuando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Pr="00F7024B">
        <w:rPr>
          <w:color w:val="000000" w:themeColor="text1"/>
          <w:sz w:val="18"/>
        </w:rPr>
        <w:t>mas</w:t>
      </w:r>
      <w:proofErr w:type="spellEnd"/>
      <w:r w:rsidRPr="00F7024B">
        <w:rPr>
          <w:color w:val="000000" w:themeColor="text1"/>
          <w:sz w:val="18"/>
        </w:rPr>
        <w:t xml:space="preserve"> de seis (6) meses de constituida, deberá acreditar los pagos a partir de la fecha de su constitución.</w:t>
      </w:r>
    </w:p>
    <w:p w:rsidRPr="00F7024B" w:rsidR="00F7024B" w:rsidP="00F31455" w:rsidRDefault="00F7024B" w14:paraId="65E8F980" w14:textId="77777777">
      <w:pPr>
        <w:pStyle w:val="Textoindependiente"/>
        <w:spacing w:before="10"/>
        <w:ind w:left="300" w:right="300"/>
        <w:jc w:val="both"/>
        <w:rPr>
          <w:color w:val="000000" w:themeColor="text1"/>
          <w:sz w:val="17"/>
        </w:rPr>
      </w:pPr>
    </w:p>
    <w:p w:rsidRPr="00F7024B" w:rsidR="00F7024B" w:rsidP="00F31455" w:rsidRDefault="00F7024B" w14:paraId="35B88AD4" w14:textId="77777777">
      <w:pPr>
        <w:ind w:left="300" w:right="300"/>
        <w:jc w:val="both"/>
        <w:rPr>
          <w:color w:val="000000" w:themeColor="text1"/>
          <w:sz w:val="18"/>
        </w:rPr>
      </w:pPr>
      <w:r w:rsidRPr="00F7024B">
        <w:rPr>
          <w:color w:val="000000" w:themeColor="text1"/>
          <w:sz w:val="18"/>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rsidRPr="00F7024B" w:rsidR="00F7024B" w:rsidP="00F31455" w:rsidRDefault="00F7024B" w14:paraId="58DE5093" w14:textId="03B2AD01">
      <w:pPr>
        <w:pStyle w:val="Textonotapie"/>
        <w:ind w:left="300" w:right="300"/>
        <w:jc w:val="both"/>
        <w:rPr>
          <w:lang w:val="es-CO"/>
        </w:rPr>
      </w:pPr>
    </w:p>
  </w:footnote>
  <w:footnote w:id="2">
    <w:p w:rsidRPr="00F7024B" w:rsidR="00326575" w:rsidP="00F31455" w:rsidRDefault="00326575" w14:paraId="6569BE37" w14:textId="77777777">
      <w:pPr>
        <w:spacing w:before="117" w:line="242" w:lineRule="auto"/>
        <w:ind w:left="300" w:right="300" w:firstLine="707"/>
        <w:jc w:val="both"/>
        <w:rPr>
          <w:color w:val="000000" w:themeColor="text1"/>
          <w:sz w:val="18"/>
        </w:rPr>
      </w:pPr>
      <w:r>
        <w:rPr>
          <w:rStyle w:val="Refdenotaalpie"/>
        </w:rPr>
        <w:footnoteRef/>
      </w:r>
      <w:r>
        <w:t xml:space="preserve"> </w:t>
      </w:r>
      <w:r w:rsidRPr="00F7024B">
        <w:rPr>
          <w:color w:val="000000" w:themeColor="text1"/>
          <w:sz w:val="18"/>
        </w:rPr>
        <w:t>En todo caso, el legislador impone la obligación a los oferentes (cuando éstos sean personas jurídicas) de acreditar el requisito señalado en el acápite anterior. Si el funcionario responsable no deja constancia de la verificación de este requisito incurrirá en causal de mala conducta.</w:t>
      </w:r>
    </w:p>
    <w:p w:rsidRPr="00F7024B" w:rsidR="00326575" w:rsidP="00F31455" w:rsidRDefault="00326575" w14:paraId="24B337F9" w14:textId="77777777">
      <w:pPr>
        <w:pStyle w:val="Textoindependiente"/>
        <w:spacing w:before="9"/>
        <w:ind w:left="300" w:right="300"/>
        <w:jc w:val="both"/>
        <w:rPr>
          <w:color w:val="000000" w:themeColor="text1"/>
          <w:sz w:val="17"/>
        </w:rPr>
      </w:pPr>
    </w:p>
    <w:p w:rsidRPr="00F7024B" w:rsidR="00326575" w:rsidP="00F31455" w:rsidRDefault="00326575" w14:paraId="0A7705D4" w14:textId="77777777">
      <w:pPr>
        <w:ind w:left="300" w:right="300"/>
        <w:jc w:val="both"/>
        <w:rPr>
          <w:color w:val="000000" w:themeColor="text1"/>
          <w:sz w:val="18"/>
        </w:rPr>
      </w:pPr>
      <w:r w:rsidRPr="00F7024B">
        <w:rPr>
          <w:color w:val="000000" w:themeColor="text1"/>
          <w:sz w:val="18"/>
        </w:rPr>
        <w:t>“De la disposición referenciada la Sala concluye lo siguiente:</w:t>
      </w:r>
    </w:p>
    <w:p w:rsidRPr="00F7024B" w:rsidR="00326575" w:rsidP="00F31455" w:rsidRDefault="00326575" w14:paraId="13275C9A" w14:textId="77777777">
      <w:pPr>
        <w:pStyle w:val="Textoindependiente"/>
        <w:spacing w:before="1"/>
        <w:ind w:left="300" w:right="300"/>
        <w:jc w:val="both"/>
        <w:rPr>
          <w:color w:val="000000" w:themeColor="text1"/>
          <w:sz w:val="18"/>
        </w:rPr>
      </w:pPr>
    </w:p>
    <w:p w:rsidRPr="00F7024B" w:rsidR="00326575" w:rsidP="00F31455" w:rsidRDefault="00326575" w14:paraId="68183777" w14:textId="77777777">
      <w:pPr>
        <w:ind w:left="300" w:right="300"/>
        <w:jc w:val="both"/>
        <w:rPr>
          <w:color w:val="000000" w:themeColor="text1"/>
          <w:sz w:val="18"/>
        </w:rPr>
      </w:pPr>
      <w:r w:rsidRPr="00F7024B">
        <w:rPr>
          <w:color w:val="000000" w:themeColor="text1"/>
          <w:sz w:val="18"/>
        </w:rPr>
        <w:t>“1. El artículo 50 de la Ley 789 de 2002 tiene como principal objetivo evitar la evasión por parte de los empleadores de las cotizaciones al sistema de seguridad social y de los aportes parafiscales destinados al Instituto Colombiano de Bienestar familiar, las Cajas de compensación y el Sena.</w:t>
      </w:r>
    </w:p>
    <w:p w:rsidRPr="00F7024B" w:rsidR="00326575" w:rsidP="00F31455" w:rsidRDefault="00326575" w14:paraId="0414C0ED" w14:textId="77777777">
      <w:pPr>
        <w:pStyle w:val="Textoindependiente"/>
        <w:ind w:left="300" w:right="300"/>
        <w:jc w:val="both"/>
        <w:rPr>
          <w:color w:val="000000" w:themeColor="text1"/>
          <w:sz w:val="18"/>
        </w:rPr>
      </w:pPr>
    </w:p>
    <w:p w:rsidRPr="00F7024B" w:rsidR="00326575" w:rsidP="00F31455" w:rsidRDefault="00326575" w14:paraId="2B39FEC5" w14:textId="77777777">
      <w:pPr>
        <w:ind w:left="300" w:right="300"/>
        <w:jc w:val="both"/>
        <w:rPr>
          <w:color w:val="000000" w:themeColor="text1"/>
          <w:sz w:val="18"/>
        </w:rPr>
      </w:pPr>
      <w:r w:rsidRPr="00F7024B">
        <w:rPr>
          <w:color w:val="000000" w:themeColor="text1"/>
          <w:sz w:val="18"/>
        </w:rPr>
        <w:t>“2. Para lograr la finalidad señalada, el legislador impuso a las entidades públicas la obligación de verificar, en los procesos de selección de contratistas y en la ejecución y liquidación de los contratos, que tanto los oferentes como los contratistas hayan realizado los aportes respectivos, no desconociendo los derechos reconocidos a los</w:t>
      </w:r>
      <w:r w:rsidRPr="00F7024B">
        <w:rPr>
          <w:color w:val="000000" w:themeColor="text1"/>
          <w:spacing w:val="-2"/>
          <w:sz w:val="18"/>
        </w:rPr>
        <w:t xml:space="preserve"> </w:t>
      </w:r>
      <w:r w:rsidRPr="00F7024B">
        <w:rPr>
          <w:color w:val="000000" w:themeColor="text1"/>
          <w:sz w:val="18"/>
        </w:rPr>
        <w:t>trabajadores.</w:t>
      </w:r>
    </w:p>
    <w:p w:rsidRPr="00F7024B" w:rsidR="00326575" w:rsidP="00F31455" w:rsidRDefault="00326575" w14:paraId="6AEF87A8" w14:textId="77777777">
      <w:pPr>
        <w:pStyle w:val="Textoindependiente"/>
        <w:ind w:left="300" w:right="300"/>
        <w:jc w:val="both"/>
        <w:rPr>
          <w:color w:val="000000" w:themeColor="text1"/>
          <w:sz w:val="18"/>
        </w:rPr>
      </w:pPr>
    </w:p>
    <w:p w:rsidRPr="00F7024B" w:rsidR="00326575" w:rsidP="00F31455" w:rsidRDefault="00326575" w14:paraId="02342BCD" w14:textId="77777777">
      <w:pPr>
        <w:ind w:left="300" w:right="300"/>
        <w:jc w:val="both"/>
        <w:rPr>
          <w:color w:val="000000" w:themeColor="text1"/>
          <w:sz w:val="18"/>
        </w:rPr>
      </w:pPr>
      <w:r w:rsidRPr="00F7024B">
        <w:rPr>
          <w:color w:val="000000" w:themeColor="text1"/>
          <w:sz w:val="18"/>
        </w:rPr>
        <w:t>“3. No obstante lo anterior, la norma otorga la posibilidad de que aquella entidad pública que durante la ejecución del contrato no haya solicitado las certificaciones del pago de los aportes parafiscales y a los sistemas de seguridad social en salud y pensiones, lo haga en el momento de la liquidación, cerciorándose de que</w:t>
      </w:r>
      <w:r w:rsidRPr="00F7024B">
        <w:rPr>
          <w:color w:val="000000" w:themeColor="text1"/>
          <w:spacing w:val="-4"/>
          <w:sz w:val="18"/>
        </w:rPr>
        <w:t xml:space="preserve"> </w:t>
      </w:r>
      <w:r w:rsidRPr="00F7024B">
        <w:rPr>
          <w:color w:val="000000" w:themeColor="text1"/>
          <w:sz w:val="18"/>
        </w:rPr>
        <w:t>las</w:t>
      </w:r>
      <w:r w:rsidRPr="00F7024B">
        <w:rPr>
          <w:color w:val="000000" w:themeColor="text1"/>
          <w:spacing w:val="-3"/>
          <w:sz w:val="18"/>
        </w:rPr>
        <w:t xml:space="preserve"> </w:t>
      </w:r>
      <w:r w:rsidRPr="00F7024B">
        <w:rPr>
          <w:color w:val="000000" w:themeColor="text1"/>
          <w:sz w:val="18"/>
        </w:rPr>
        <w:t>obligaciones</w:t>
      </w:r>
      <w:r w:rsidRPr="00F7024B">
        <w:rPr>
          <w:color w:val="000000" w:themeColor="text1"/>
          <w:spacing w:val="-3"/>
          <w:sz w:val="18"/>
        </w:rPr>
        <w:t xml:space="preserve"> </w:t>
      </w:r>
      <w:r w:rsidRPr="00F7024B">
        <w:rPr>
          <w:color w:val="000000" w:themeColor="text1"/>
          <w:sz w:val="18"/>
        </w:rPr>
        <w:t>referenciadas</w:t>
      </w:r>
      <w:r w:rsidRPr="00F7024B">
        <w:rPr>
          <w:color w:val="000000" w:themeColor="text1"/>
          <w:spacing w:val="-3"/>
          <w:sz w:val="18"/>
        </w:rPr>
        <w:t xml:space="preserve"> </w:t>
      </w:r>
      <w:r w:rsidRPr="00F7024B">
        <w:rPr>
          <w:color w:val="000000" w:themeColor="text1"/>
          <w:sz w:val="18"/>
        </w:rPr>
        <w:t>se</w:t>
      </w:r>
      <w:r w:rsidRPr="00F7024B">
        <w:rPr>
          <w:color w:val="000000" w:themeColor="text1"/>
          <w:spacing w:val="-3"/>
          <w:sz w:val="18"/>
        </w:rPr>
        <w:t xml:space="preserve"> </w:t>
      </w:r>
      <w:r w:rsidRPr="00F7024B">
        <w:rPr>
          <w:color w:val="000000" w:themeColor="text1"/>
          <w:sz w:val="18"/>
        </w:rPr>
        <w:t>han</w:t>
      </w:r>
      <w:r w:rsidRPr="00F7024B">
        <w:rPr>
          <w:color w:val="000000" w:themeColor="text1"/>
          <w:spacing w:val="-3"/>
          <w:sz w:val="18"/>
        </w:rPr>
        <w:t xml:space="preserve"> </w:t>
      </w:r>
      <w:r w:rsidRPr="00F7024B">
        <w:rPr>
          <w:color w:val="000000" w:themeColor="text1"/>
          <w:sz w:val="18"/>
        </w:rPr>
        <w:t>cumplido</w:t>
      </w:r>
      <w:r w:rsidRPr="00F7024B">
        <w:rPr>
          <w:color w:val="000000" w:themeColor="text1"/>
          <w:spacing w:val="-3"/>
          <w:sz w:val="18"/>
        </w:rPr>
        <w:t xml:space="preserve"> </w:t>
      </w:r>
      <w:r w:rsidRPr="00F7024B">
        <w:rPr>
          <w:color w:val="000000" w:themeColor="text1"/>
          <w:sz w:val="18"/>
        </w:rPr>
        <w:t>durante</w:t>
      </w:r>
      <w:r w:rsidRPr="00F7024B">
        <w:rPr>
          <w:color w:val="000000" w:themeColor="text1"/>
          <w:spacing w:val="-3"/>
          <w:sz w:val="18"/>
        </w:rPr>
        <w:t xml:space="preserve"> </w:t>
      </w:r>
      <w:r w:rsidRPr="00F7024B">
        <w:rPr>
          <w:color w:val="000000" w:themeColor="text1"/>
          <w:sz w:val="18"/>
        </w:rPr>
        <w:t>el</w:t>
      </w:r>
      <w:r w:rsidRPr="00F7024B">
        <w:rPr>
          <w:color w:val="000000" w:themeColor="text1"/>
          <w:spacing w:val="-1"/>
          <w:sz w:val="18"/>
        </w:rPr>
        <w:t xml:space="preserve"> </w:t>
      </w:r>
      <w:r w:rsidRPr="00F7024B">
        <w:rPr>
          <w:color w:val="000000" w:themeColor="text1"/>
          <w:sz w:val="18"/>
        </w:rPr>
        <w:t>tiempo</w:t>
      </w:r>
      <w:r w:rsidRPr="00F7024B">
        <w:rPr>
          <w:color w:val="000000" w:themeColor="text1"/>
          <w:spacing w:val="-3"/>
          <w:sz w:val="18"/>
        </w:rPr>
        <w:t xml:space="preserve"> </w:t>
      </w:r>
      <w:r w:rsidRPr="00F7024B">
        <w:rPr>
          <w:color w:val="000000" w:themeColor="text1"/>
          <w:sz w:val="18"/>
        </w:rPr>
        <w:t>de</w:t>
      </w:r>
      <w:r w:rsidRPr="00F7024B">
        <w:rPr>
          <w:color w:val="000000" w:themeColor="text1"/>
          <w:spacing w:val="-3"/>
          <w:sz w:val="18"/>
        </w:rPr>
        <w:t xml:space="preserve"> </w:t>
      </w:r>
      <w:r w:rsidRPr="00F7024B">
        <w:rPr>
          <w:color w:val="000000" w:themeColor="text1"/>
          <w:sz w:val="18"/>
        </w:rPr>
        <w:t>vigencia</w:t>
      </w:r>
      <w:r w:rsidRPr="00F7024B">
        <w:rPr>
          <w:color w:val="000000" w:themeColor="text1"/>
          <w:spacing w:val="-4"/>
          <w:sz w:val="18"/>
        </w:rPr>
        <w:t xml:space="preserve"> </w:t>
      </w:r>
      <w:r w:rsidRPr="00F7024B">
        <w:rPr>
          <w:color w:val="000000" w:themeColor="text1"/>
          <w:sz w:val="18"/>
        </w:rPr>
        <w:t>del</w:t>
      </w:r>
      <w:r w:rsidRPr="00F7024B">
        <w:rPr>
          <w:color w:val="000000" w:themeColor="text1"/>
          <w:spacing w:val="-3"/>
          <w:sz w:val="18"/>
        </w:rPr>
        <w:t xml:space="preserve"> </w:t>
      </w:r>
      <w:r w:rsidRPr="00F7024B">
        <w:rPr>
          <w:color w:val="000000" w:themeColor="text1"/>
          <w:sz w:val="18"/>
        </w:rPr>
        <w:t>negocio jurídico.</w:t>
      </w:r>
    </w:p>
    <w:p w:rsidRPr="00F7024B" w:rsidR="00326575" w:rsidP="00F31455" w:rsidRDefault="00326575" w14:paraId="2680FD03" w14:textId="77777777">
      <w:pPr>
        <w:pStyle w:val="Textoindependiente"/>
        <w:spacing w:before="1"/>
        <w:ind w:left="300" w:right="300"/>
        <w:jc w:val="both"/>
        <w:rPr>
          <w:color w:val="000000" w:themeColor="text1"/>
          <w:sz w:val="18"/>
        </w:rPr>
      </w:pPr>
    </w:p>
    <w:p w:rsidRPr="00F7024B" w:rsidR="00326575" w:rsidP="00F31455" w:rsidRDefault="00326575" w14:paraId="3D773602" w14:textId="77777777">
      <w:pPr>
        <w:ind w:left="300" w:right="300"/>
        <w:jc w:val="both"/>
        <w:rPr>
          <w:color w:val="000000" w:themeColor="text1"/>
          <w:sz w:val="18"/>
        </w:rPr>
      </w:pPr>
      <w:r w:rsidRPr="00F7024B">
        <w:rPr>
          <w:color w:val="000000" w:themeColor="text1"/>
          <w:sz w:val="18"/>
        </w:rPr>
        <w:t>“4. Cuando se contrate con personas jurídicas, la obligación se extiende también a la comprobación de aquellos aportes que corresponde por ley realizar a sus empleados, a través de certificación expedida por el revisor fiscal cuando este sea necesario o por el representante legal de la</w:t>
      </w:r>
      <w:r w:rsidRPr="00F7024B">
        <w:rPr>
          <w:color w:val="000000" w:themeColor="text1"/>
          <w:spacing w:val="-15"/>
          <w:sz w:val="18"/>
        </w:rPr>
        <w:t xml:space="preserve"> </w:t>
      </w:r>
      <w:r w:rsidRPr="00F7024B">
        <w:rPr>
          <w:color w:val="000000" w:themeColor="text1"/>
          <w:sz w:val="18"/>
        </w:rPr>
        <w:t>entidad.</w:t>
      </w:r>
    </w:p>
    <w:p w:rsidRPr="00F7024B" w:rsidR="00326575" w:rsidP="00F31455" w:rsidRDefault="00326575" w14:paraId="215FB402" w14:textId="77777777">
      <w:pPr>
        <w:pStyle w:val="Textoindependiente"/>
        <w:spacing w:before="11"/>
        <w:ind w:left="300" w:right="300"/>
        <w:jc w:val="both"/>
        <w:rPr>
          <w:color w:val="000000" w:themeColor="text1"/>
          <w:sz w:val="17"/>
        </w:rPr>
      </w:pPr>
    </w:p>
    <w:p w:rsidRPr="00F7024B" w:rsidR="00326575" w:rsidP="00F31455" w:rsidRDefault="00326575" w14:paraId="6F897CED" w14:textId="77777777">
      <w:pPr>
        <w:ind w:left="300" w:right="300"/>
        <w:jc w:val="both"/>
        <w:rPr>
          <w:color w:val="000000" w:themeColor="text1"/>
          <w:sz w:val="18"/>
        </w:rPr>
      </w:pPr>
      <w:r w:rsidRPr="00F7024B">
        <w:rPr>
          <w:color w:val="000000" w:themeColor="text1"/>
          <w:sz w:val="18"/>
        </w:rPr>
        <w:t>“5. En caso de que se compruebe un incumplimiento en el pago de los aportes parafiscales y al Sistema General de Seguridad Social, la ley otorga la facultad a la entidad pública de retener el monto adeudado y hacer las consignaciones</w:t>
      </w:r>
      <w:r w:rsidRPr="00F7024B">
        <w:rPr>
          <w:color w:val="000000" w:themeColor="text1"/>
          <w:spacing w:val="-4"/>
          <w:sz w:val="18"/>
        </w:rPr>
        <w:t xml:space="preserve"> </w:t>
      </w:r>
      <w:r w:rsidRPr="00F7024B">
        <w:rPr>
          <w:color w:val="000000" w:themeColor="text1"/>
          <w:sz w:val="18"/>
        </w:rPr>
        <w:t>correspondientes”.</w:t>
      </w:r>
    </w:p>
    <w:p w:rsidRPr="00326575" w:rsidR="00326575" w:rsidP="00F31455" w:rsidRDefault="00326575" w14:paraId="2D71392C" w14:textId="088A85E3">
      <w:pPr>
        <w:pStyle w:val="Textonotapie"/>
        <w:ind w:left="300" w:right="300"/>
        <w:jc w:val="both"/>
        <w:rPr>
          <w:lang w:val="es-CO"/>
        </w:rPr>
      </w:pPr>
    </w:p>
  </w:footnote>
  <w:footnote w:id="3">
    <w:p w:rsidRPr="00F7024B" w:rsidR="00326575" w:rsidP="00F31455" w:rsidRDefault="00F31455" w14:paraId="2E4E4DA4" w14:textId="0C783F8B">
      <w:pPr>
        <w:spacing w:before="77"/>
        <w:ind w:left="300" w:right="300" w:firstLine="420"/>
        <w:jc w:val="both"/>
        <w:rPr>
          <w:color w:val="000000" w:themeColor="text1"/>
          <w:sz w:val="18"/>
        </w:rPr>
      </w:pPr>
      <w:r>
        <w:t xml:space="preserve">  </w:t>
      </w:r>
      <w:r w:rsidR="00326575">
        <w:rPr>
          <w:rStyle w:val="Refdenotaalpie"/>
        </w:rPr>
        <w:footnoteRef/>
      </w:r>
      <w:r w:rsidR="00326575">
        <w:t xml:space="preserve"> </w:t>
      </w:r>
      <w:r w:rsidRPr="00F7024B" w:rsidR="00326575">
        <w:rPr>
          <w:color w:val="000000" w:themeColor="text1"/>
          <w:sz w:val="18"/>
        </w:rPr>
        <w:t xml:space="preserve">Decreto 342 de 2019: “2.2.1.2.6.1.2. Alcance. Los Documentos Tipo contienen parámetros </w:t>
      </w:r>
      <w:proofErr w:type="gramStart"/>
      <w:r w:rsidRPr="00F7024B" w:rsidR="00326575">
        <w:rPr>
          <w:color w:val="000000" w:themeColor="text1"/>
          <w:sz w:val="18"/>
        </w:rPr>
        <w:t>obligatorios  para</w:t>
      </w:r>
      <w:proofErr w:type="gramEnd"/>
      <w:r w:rsidRPr="00F7024B" w:rsidR="00326575">
        <w:rPr>
          <w:color w:val="000000" w:themeColor="text1"/>
          <w:sz w:val="18"/>
        </w:rPr>
        <w:t xml:space="preserve">  las  entidades  estatales  sometidas  al  Estatuto  General  de  la  Contratación  Pública </w:t>
      </w:r>
      <w:r w:rsidRPr="00F7024B" w:rsidR="00326575">
        <w:rPr>
          <w:color w:val="000000" w:themeColor="text1"/>
          <w:spacing w:val="48"/>
          <w:sz w:val="18"/>
        </w:rPr>
        <w:t xml:space="preserve"> </w:t>
      </w:r>
      <w:r w:rsidRPr="00F7024B" w:rsidR="00326575">
        <w:rPr>
          <w:color w:val="000000" w:themeColor="text1"/>
          <w:sz w:val="18"/>
        </w:rPr>
        <w:t>que</w:t>
      </w:r>
      <w:r w:rsidRPr="00326575" w:rsidR="00326575">
        <w:rPr>
          <w:color w:val="000000" w:themeColor="text1"/>
          <w:sz w:val="18"/>
        </w:rPr>
        <w:t xml:space="preserve"> </w:t>
      </w:r>
      <w:r w:rsidRPr="00F7024B" w:rsidR="00326575">
        <w:rPr>
          <w:color w:val="000000" w:themeColor="text1"/>
          <w:sz w:val="18"/>
        </w:rPr>
        <w:t>adelanten procesos de selección de licitación de obra pública de infraestructura de transporte. Estos documentos son:</w:t>
      </w:r>
    </w:p>
    <w:p w:rsidRPr="00F7024B" w:rsidR="00326575" w:rsidP="00F31455" w:rsidRDefault="00326575" w14:paraId="0D0568E5" w14:textId="77777777">
      <w:pPr>
        <w:spacing w:before="1"/>
        <w:ind w:left="300" w:right="300"/>
        <w:jc w:val="both"/>
        <w:rPr>
          <w:color w:val="000000" w:themeColor="text1"/>
          <w:sz w:val="18"/>
        </w:rPr>
      </w:pPr>
      <w:r w:rsidRPr="00F7024B">
        <w:rPr>
          <w:color w:val="000000" w:themeColor="text1"/>
          <w:sz w:val="18"/>
        </w:rPr>
        <w:t>(…)</w:t>
      </w:r>
    </w:p>
    <w:p w:rsidRPr="00F7024B" w:rsidR="00326575" w:rsidP="00F31455" w:rsidRDefault="00326575" w14:paraId="2395C447" w14:textId="77777777">
      <w:pPr>
        <w:pStyle w:val="Textoindependiente"/>
        <w:spacing w:before="1"/>
        <w:ind w:left="300" w:right="300"/>
        <w:jc w:val="both"/>
        <w:rPr>
          <w:color w:val="000000" w:themeColor="text1"/>
          <w:sz w:val="18"/>
        </w:rPr>
      </w:pPr>
    </w:p>
    <w:p w:rsidRPr="00F7024B" w:rsidR="00326575" w:rsidP="00F31455" w:rsidRDefault="00326575" w14:paraId="43979C47" w14:textId="77777777">
      <w:pPr>
        <w:spacing w:line="206" w:lineRule="exact"/>
        <w:ind w:left="300" w:right="300"/>
        <w:jc w:val="both"/>
        <w:rPr>
          <w:color w:val="000000" w:themeColor="text1"/>
          <w:sz w:val="18"/>
        </w:rPr>
      </w:pPr>
      <w:r w:rsidRPr="00F7024B">
        <w:rPr>
          <w:color w:val="000000" w:themeColor="text1"/>
          <w:sz w:val="18"/>
        </w:rPr>
        <w:t>“C. FORMATOS</w:t>
      </w:r>
    </w:p>
    <w:p w:rsidRPr="00F7024B" w:rsidR="00326575" w:rsidP="00F31455" w:rsidRDefault="00326575" w14:paraId="2A532A62" w14:textId="77777777">
      <w:pPr>
        <w:spacing w:line="206" w:lineRule="exact"/>
        <w:ind w:left="300" w:right="300"/>
        <w:jc w:val="both"/>
        <w:rPr>
          <w:color w:val="000000" w:themeColor="text1"/>
          <w:sz w:val="18"/>
        </w:rPr>
      </w:pPr>
      <w:r w:rsidRPr="00F7024B">
        <w:rPr>
          <w:color w:val="000000" w:themeColor="text1"/>
          <w:sz w:val="18"/>
        </w:rPr>
        <w:t>(…)</w:t>
      </w:r>
    </w:p>
    <w:p w:rsidRPr="00F7024B" w:rsidR="00326575" w:rsidP="00F31455" w:rsidRDefault="00326575" w14:paraId="538DBC3B" w14:textId="77777777">
      <w:pPr>
        <w:pStyle w:val="Textoindependiente"/>
        <w:spacing w:before="1"/>
        <w:ind w:left="300" w:right="300"/>
        <w:jc w:val="both"/>
        <w:rPr>
          <w:color w:val="000000" w:themeColor="text1"/>
          <w:sz w:val="18"/>
        </w:rPr>
      </w:pPr>
    </w:p>
    <w:p w:rsidRPr="00F7024B" w:rsidR="00326575" w:rsidP="00F31455" w:rsidRDefault="00326575" w14:paraId="7F7AF9F9" w14:textId="77777777">
      <w:pPr>
        <w:ind w:left="300" w:right="300"/>
        <w:jc w:val="both"/>
        <w:rPr>
          <w:color w:val="000000" w:themeColor="text1"/>
          <w:sz w:val="18"/>
        </w:rPr>
      </w:pPr>
      <w:r w:rsidRPr="00F7024B">
        <w:rPr>
          <w:color w:val="000000" w:themeColor="text1"/>
          <w:sz w:val="18"/>
        </w:rPr>
        <w:t>“6. Formato 6 - Pagos de seguridad social y aportes legales”.</w:t>
      </w:r>
    </w:p>
    <w:p w:rsidRPr="00F7024B" w:rsidR="00326575" w:rsidP="00F31455" w:rsidRDefault="00326575" w14:paraId="4141A116" w14:textId="2BD4BDCB">
      <w:pPr>
        <w:spacing w:before="113" w:line="247" w:lineRule="auto"/>
        <w:ind w:left="300" w:right="300" w:firstLine="707"/>
        <w:jc w:val="both"/>
        <w:rPr>
          <w:color w:val="000000" w:themeColor="text1"/>
          <w:sz w:val="18"/>
        </w:rPr>
      </w:pPr>
    </w:p>
    <w:p w:rsidRPr="00326575" w:rsidR="00326575" w:rsidP="00F31455" w:rsidRDefault="00326575" w14:paraId="1B2D4F4D" w14:textId="0DCDACBA">
      <w:pPr>
        <w:pStyle w:val="Textonotapie"/>
        <w:ind w:left="300" w:right="300"/>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C2909" w:rsidRDefault="00202146" w14:paraId="00D1D18F" w14:textId="77777777">
    <w:pPr>
      <w:pStyle w:val="Textoindependiente"/>
      <w:spacing w:line="14" w:lineRule="auto"/>
      <w:rPr>
        <w:sz w:val="20"/>
      </w:rPr>
    </w:pPr>
    <w:r>
      <w:rPr>
        <w:noProof/>
        <w:lang w:val="en-US"/>
      </w:rPr>
      <w:drawing>
        <wp:anchor distT="0" distB="0" distL="0" distR="0" simplePos="0" relativeHeight="251657216" behindDoc="1" locked="0" layoutInCell="1" allowOverlap="1" wp14:anchorId="30C1ECA9" wp14:editId="1AA0DC5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65E6F0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07676"/>
    <w:multiLevelType w:val="hybridMultilevel"/>
    <w:tmpl w:val="ABC89A20"/>
    <w:lvl w:ilvl="0" w:tplc="5382FD10">
      <w:start w:val="1"/>
      <w:numFmt w:val="lowerRoman"/>
      <w:lvlText w:val="%1)"/>
      <w:lvlJc w:val="left"/>
      <w:pPr>
        <w:ind w:left="1020" w:hanging="720"/>
        <w:jc w:val="left"/>
      </w:pPr>
      <w:rPr>
        <w:rFonts w:hint="default" w:ascii="Arial" w:hAnsi="Arial" w:eastAsia="Arial" w:cs="Arial"/>
        <w:color w:val="000000" w:themeColor="text1"/>
        <w:spacing w:val="-31"/>
        <w:w w:val="100"/>
        <w:sz w:val="22"/>
        <w:szCs w:val="22"/>
        <w:lang w:val="es-ES" w:eastAsia="en-US" w:bidi="ar-SA"/>
      </w:rPr>
    </w:lvl>
    <w:lvl w:ilvl="1" w:tplc="C5BC55AE">
      <w:numFmt w:val="bullet"/>
      <w:lvlText w:val="•"/>
      <w:lvlJc w:val="left"/>
      <w:pPr>
        <w:ind w:left="1020" w:hanging="720"/>
      </w:pPr>
      <w:rPr>
        <w:rFonts w:hint="default"/>
        <w:lang w:val="es-ES" w:eastAsia="en-US" w:bidi="ar-SA"/>
      </w:rPr>
    </w:lvl>
    <w:lvl w:ilvl="2" w:tplc="77404A66">
      <w:numFmt w:val="bullet"/>
      <w:lvlText w:val="•"/>
      <w:lvlJc w:val="left"/>
      <w:pPr>
        <w:ind w:left="1966" w:hanging="720"/>
      </w:pPr>
      <w:rPr>
        <w:rFonts w:hint="default"/>
        <w:lang w:val="es-ES" w:eastAsia="en-US" w:bidi="ar-SA"/>
      </w:rPr>
    </w:lvl>
    <w:lvl w:ilvl="3" w:tplc="B964A5D6">
      <w:numFmt w:val="bullet"/>
      <w:lvlText w:val="•"/>
      <w:lvlJc w:val="left"/>
      <w:pPr>
        <w:ind w:left="2913" w:hanging="720"/>
      </w:pPr>
      <w:rPr>
        <w:rFonts w:hint="default"/>
        <w:lang w:val="es-ES" w:eastAsia="en-US" w:bidi="ar-SA"/>
      </w:rPr>
    </w:lvl>
    <w:lvl w:ilvl="4" w:tplc="945AB474">
      <w:numFmt w:val="bullet"/>
      <w:lvlText w:val="•"/>
      <w:lvlJc w:val="left"/>
      <w:pPr>
        <w:ind w:left="3860" w:hanging="720"/>
      </w:pPr>
      <w:rPr>
        <w:rFonts w:hint="default"/>
        <w:lang w:val="es-ES" w:eastAsia="en-US" w:bidi="ar-SA"/>
      </w:rPr>
    </w:lvl>
    <w:lvl w:ilvl="5" w:tplc="372294DC">
      <w:numFmt w:val="bullet"/>
      <w:lvlText w:val="•"/>
      <w:lvlJc w:val="left"/>
      <w:pPr>
        <w:ind w:left="4806" w:hanging="720"/>
      </w:pPr>
      <w:rPr>
        <w:rFonts w:hint="default"/>
        <w:lang w:val="es-ES" w:eastAsia="en-US" w:bidi="ar-SA"/>
      </w:rPr>
    </w:lvl>
    <w:lvl w:ilvl="6" w:tplc="510E15D0">
      <w:numFmt w:val="bullet"/>
      <w:lvlText w:val="•"/>
      <w:lvlJc w:val="left"/>
      <w:pPr>
        <w:ind w:left="5753" w:hanging="720"/>
      </w:pPr>
      <w:rPr>
        <w:rFonts w:hint="default"/>
        <w:lang w:val="es-ES" w:eastAsia="en-US" w:bidi="ar-SA"/>
      </w:rPr>
    </w:lvl>
    <w:lvl w:ilvl="7" w:tplc="13225226">
      <w:numFmt w:val="bullet"/>
      <w:lvlText w:val="•"/>
      <w:lvlJc w:val="left"/>
      <w:pPr>
        <w:ind w:left="6700" w:hanging="720"/>
      </w:pPr>
      <w:rPr>
        <w:rFonts w:hint="default"/>
        <w:lang w:val="es-ES" w:eastAsia="en-US" w:bidi="ar-SA"/>
      </w:rPr>
    </w:lvl>
    <w:lvl w:ilvl="8" w:tplc="FA543098">
      <w:numFmt w:val="bullet"/>
      <w:lvlText w:val="•"/>
      <w:lvlJc w:val="left"/>
      <w:pPr>
        <w:ind w:left="7646" w:hanging="720"/>
      </w:pPr>
      <w:rPr>
        <w:rFonts w:hint="default"/>
        <w:lang w:val="es-ES" w:eastAsia="en-US" w:bidi="ar-SA"/>
      </w:rPr>
    </w:lvl>
  </w:abstractNum>
  <w:abstractNum w:abstractNumId="1" w15:restartNumberingAfterBreak="0">
    <w:nsid w:val="48F932D6"/>
    <w:multiLevelType w:val="hybridMultilevel"/>
    <w:tmpl w:val="4FB66A2C"/>
    <w:lvl w:ilvl="0" w:tplc="8DCC69D8">
      <w:start w:val="1"/>
      <w:numFmt w:val="lowerRoman"/>
      <w:lvlText w:val="%1)"/>
      <w:lvlJc w:val="left"/>
      <w:pPr>
        <w:ind w:left="725" w:hanging="425"/>
        <w:jc w:val="left"/>
      </w:pPr>
      <w:rPr>
        <w:rFonts w:hint="default" w:ascii="Arial" w:hAnsi="Arial" w:eastAsia="Arial" w:cs="Arial"/>
        <w:color w:val="000000" w:themeColor="text1"/>
        <w:spacing w:val="-30"/>
        <w:w w:val="100"/>
        <w:sz w:val="22"/>
        <w:szCs w:val="22"/>
        <w:lang w:val="es-ES" w:eastAsia="en-US" w:bidi="ar-SA"/>
      </w:rPr>
    </w:lvl>
    <w:lvl w:ilvl="1" w:tplc="93EEA368">
      <w:start w:val="6"/>
      <w:numFmt w:val="decimal"/>
      <w:lvlText w:val="(%2)"/>
      <w:lvlJc w:val="left"/>
      <w:pPr>
        <w:ind w:left="725" w:hanging="340"/>
        <w:jc w:val="left"/>
      </w:pPr>
      <w:rPr>
        <w:rFonts w:hint="default" w:ascii="Arial" w:hAnsi="Arial" w:eastAsia="Arial" w:cs="Arial"/>
        <w:color w:val="4E4D4D"/>
        <w:spacing w:val="-1"/>
        <w:w w:val="100"/>
        <w:sz w:val="22"/>
        <w:szCs w:val="22"/>
        <w:lang w:val="es-ES" w:eastAsia="en-US" w:bidi="ar-SA"/>
      </w:rPr>
    </w:lvl>
    <w:lvl w:ilvl="2" w:tplc="47143C08">
      <w:numFmt w:val="bullet"/>
      <w:lvlText w:val="•"/>
      <w:lvlJc w:val="left"/>
      <w:pPr>
        <w:ind w:left="2484" w:hanging="340"/>
      </w:pPr>
      <w:rPr>
        <w:rFonts w:hint="default"/>
        <w:lang w:val="es-ES" w:eastAsia="en-US" w:bidi="ar-SA"/>
      </w:rPr>
    </w:lvl>
    <w:lvl w:ilvl="3" w:tplc="8FB8270A">
      <w:numFmt w:val="bullet"/>
      <w:lvlText w:val="•"/>
      <w:lvlJc w:val="left"/>
      <w:pPr>
        <w:ind w:left="3366" w:hanging="340"/>
      </w:pPr>
      <w:rPr>
        <w:rFonts w:hint="default"/>
        <w:lang w:val="es-ES" w:eastAsia="en-US" w:bidi="ar-SA"/>
      </w:rPr>
    </w:lvl>
    <w:lvl w:ilvl="4" w:tplc="0AB4091A">
      <w:numFmt w:val="bullet"/>
      <w:lvlText w:val="•"/>
      <w:lvlJc w:val="left"/>
      <w:pPr>
        <w:ind w:left="4248" w:hanging="340"/>
      </w:pPr>
      <w:rPr>
        <w:rFonts w:hint="default"/>
        <w:lang w:val="es-ES" w:eastAsia="en-US" w:bidi="ar-SA"/>
      </w:rPr>
    </w:lvl>
    <w:lvl w:ilvl="5" w:tplc="A8A8BFFA">
      <w:numFmt w:val="bullet"/>
      <w:lvlText w:val="•"/>
      <w:lvlJc w:val="left"/>
      <w:pPr>
        <w:ind w:left="5130" w:hanging="340"/>
      </w:pPr>
      <w:rPr>
        <w:rFonts w:hint="default"/>
        <w:lang w:val="es-ES" w:eastAsia="en-US" w:bidi="ar-SA"/>
      </w:rPr>
    </w:lvl>
    <w:lvl w:ilvl="6" w:tplc="67907540">
      <w:numFmt w:val="bullet"/>
      <w:lvlText w:val="•"/>
      <w:lvlJc w:val="left"/>
      <w:pPr>
        <w:ind w:left="6012" w:hanging="340"/>
      </w:pPr>
      <w:rPr>
        <w:rFonts w:hint="default"/>
        <w:lang w:val="es-ES" w:eastAsia="en-US" w:bidi="ar-SA"/>
      </w:rPr>
    </w:lvl>
    <w:lvl w:ilvl="7" w:tplc="A1B05694">
      <w:numFmt w:val="bullet"/>
      <w:lvlText w:val="•"/>
      <w:lvlJc w:val="left"/>
      <w:pPr>
        <w:ind w:left="6894" w:hanging="340"/>
      </w:pPr>
      <w:rPr>
        <w:rFonts w:hint="default"/>
        <w:lang w:val="es-ES" w:eastAsia="en-US" w:bidi="ar-SA"/>
      </w:rPr>
    </w:lvl>
    <w:lvl w:ilvl="8" w:tplc="DD6E4B1C">
      <w:numFmt w:val="bullet"/>
      <w:lvlText w:val="•"/>
      <w:lvlJc w:val="left"/>
      <w:pPr>
        <w:ind w:left="7776" w:hanging="340"/>
      </w:pPr>
      <w:rPr>
        <w:rFonts w:hint="default"/>
        <w:lang w:val="es-ES" w:eastAsia="en-US" w:bidi="ar-SA"/>
      </w:rPr>
    </w:lvl>
  </w:abstractNum>
  <w:abstractNum w:abstractNumId="2" w15:restartNumberingAfterBreak="0">
    <w:nsid w:val="64DA4229"/>
    <w:multiLevelType w:val="multilevel"/>
    <w:tmpl w:val="FB3CDFEE"/>
    <w:lvl w:ilvl="0">
      <w:start w:val="3"/>
      <w:numFmt w:val="decimal"/>
      <w:lvlText w:val="%1"/>
      <w:lvlJc w:val="left"/>
      <w:pPr>
        <w:ind w:left="1715" w:hanging="990"/>
        <w:jc w:val="left"/>
      </w:pPr>
      <w:rPr>
        <w:rFonts w:hint="default"/>
        <w:lang w:val="es-ES" w:eastAsia="en-US" w:bidi="ar-SA"/>
      </w:rPr>
    </w:lvl>
    <w:lvl w:ilvl="1">
      <w:start w:val="4"/>
      <w:numFmt w:val="decimal"/>
      <w:lvlText w:val="%1.%2"/>
      <w:lvlJc w:val="left"/>
      <w:pPr>
        <w:ind w:left="1715" w:hanging="990"/>
        <w:jc w:val="left"/>
      </w:pPr>
      <w:rPr>
        <w:rFonts w:hint="default"/>
        <w:lang w:val="es-ES" w:eastAsia="en-US" w:bidi="ar-SA"/>
      </w:rPr>
    </w:lvl>
    <w:lvl w:ilvl="2">
      <w:start w:val="1"/>
      <w:numFmt w:val="decimal"/>
      <w:lvlText w:val="%1.%2.%3."/>
      <w:lvlJc w:val="left"/>
      <w:pPr>
        <w:ind w:left="1715" w:hanging="990"/>
        <w:jc w:val="right"/>
      </w:pPr>
      <w:rPr>
        <w:rFonts w:hint="default"/>
        <w:b/>
        <w:bCs/>
        <w:spacing w:val="-5"/>
        <w:w w:val="100"/>
        <w:lang w:val="es-ES" w:eastAsia="en-US" w:bidi="ar-SA"/>
      </w:rPr>
    </w:lvl>
    <w:lvl w:ilvl="3">
      <w:numFmt w:val="bullet"/>
      <w:lvlText w:val="•"/>
      <w:lvlJc w:val="left"/>
      <w:pPr>
        <w:ind w:left="4066" w:hanging="990"/>
      </w:pPr>
      <w:rPr>
        <w:rFonts w:hint="default"/>
        <w:lang w:val="es-ES" w:eastAsia="en-US" w:bidi="ar-SA"/>
      </w:rPr>
    </w:lvl>
    <w:lvl w:ilvl="4">
      <w:numFmt w:val="bullet"/>
      <w:lvlText w:val="•"/>
      <w:lvlJc w:val="left"/>
      <w:pPr>
        <w:ind w:left="4848" w:hanging="990"/>
      </w:pPr>
      <w:rPr>
        <w:rFonts w:hint="default"/>
        <w:lang w:val="es-ES" w:eastAsia="en-US" w:bidi="ar-SA"/>
      </w:rPr>
    </w:lvl>
    <w:lvl w:ilvl="5">
      <w:numFmt w:val="bullet"/>
      <w:lvlText w:val="•"/>
      <w:lvlJc w:val="left"/>
      <w:pPr>
        <w:ind w:left="5630" w:hanging="990"/>
      </w:pPr>
      <w:rPr>
        <w:rFonts w:hint="default"/>
        <w:lang w:val="es-ES" w:eastAsia="en-US" w:bidi="ar-SA"/>
      </w:rPr>
    </w:lvl>
    <w:lvl w:ilvl="6">
      <w:numFmt w:val="bullet"/>
      <w:lvlText w:val="•"/>
      <w:lvlJc w:val="left"/>
      <w:pPr>
        <w:ind w:left="6412" w:hanging="990"/>
      </w:pPr>
      <w:rPr>
        <w:rFonts w:hint="default"/>
        <w:lang w:val="es-ES" w:eastAsia="en-US" w:bidi="ar-SA"/>
      </w:rPr>
    </w:lvl>
    <w:lvl w:ilvl="7">
      <w:numFmt w:val="bullet"/>
      <w:lvlText w:val="•"/>
      <w:lvlJc w:val="left"/>
      <w:pPr>
        <w:ind w:left="7194" w:hanging="990"/>
      </w:pPr>
      <w:rPr>
        <w:rFonts w:hint="default"/>
        <w:lang w:val="es-ES" w:eastAsia="en-US" w:bidi="ar-SA"/>
      </w:rPr>
    </w:lvl>
    <w:lvl w:ilvl="8">
      <w:numFmt w:val="bullet"/>
      <w:lvlText w:val="•"/>
      <w:lvlJc w:val="left"/>
      <w:pPr>
        <w:ind w:left="7976" w:hanging="990"/>
      </w:pPr>
      <w:rPr>
        <w:rFonts w:hint="default"/>
        <w:lang w:val="es-ES" w:eastAsia="en-US" w:bidi="ar-SA"/>
      </w:rPr>
    </w:lvl>
  </w:abstractNum>
  <w:abstractNum w:abstractNumId="3" w15:restartNumberingAfterBreak="0">
    <w:nsid w:val="782C1107"/>
    <w:multiLevelType w:val="multilevel"/>
    <w:tmpl w:val="72E2CE4E"/>
    <w:lvl w:ilvl="0">
      <w:start w:val="1"/>
      <w:numFmt w:val="decimal"/>
      <w:lvlText w:val="%1."/>
      <w:lvlJc w:val="left"/>
      <w:pPr>
        <w:ind w:left="660" w:hanging="360"/>
        <w:jc w:val="left"/>
      </w:pPr>
      <w:rPr>
        <w:rFonts w:hint="default" w:ascii="Arial" w:hAnsi="Arial" w:eastAsia="Arial" w:cs="Arial"/>
        <w:b/>
        <w:bCs/>
        <w:color w:val="000000" w:themeColor="text1"/>
        <w:spacing w:val="-8"/>
        <w:w w:val="100"/>
        <w:sz w:val="22"/>
        <w:szCs w:val="22"/>
        <w:lang w:val="es-ES" w:eastAsia="en-US" w:bidi="ar-SA"/>
      </w:rPr>
    </w:lvl>
    <w:lvl w:ilvl="1">
      <w:start w:val="1"/>
      <w:numFmt w:val="decimal"/>
      <w:lvlText w:val="%1.%2"/>
      <w:lvlJc w:val="left"/>
      <w:pPr>
        <w:ind w:left="668" w:hanging="368"/>
        <w:jc w:val="left"/>
      </w:pPr>
      <w:rPr>
        <w:rFonts w:hint="default" w:ascii="Arial" w:hAnsi="Arial" w:eastAsia="Arial" w:cs="Arial"/>
        <w:b/>
        <w:bCs/>
        <w:color w:val="000000" w:themeColor="text1"/>
        <w:spacing w:val="-1"/>
        <w:w w:val="100"/>
        <w:sz w:val="22"/>
        <w:szCs w:val="22"/>
        <w:lang w:val="es-ES" w:eastAsia="en-US" w:bidi="ar-SA"/>
      </w:rPr>
    </w:lvl>
    <w:lvl w:ilvl="2">
      <w:numFmt w:val="bullet"/>
      <w:lvlText w:val="•"/>
      <w:lvlJc w:val="left"/>
      <w:pPr>
        <w:ind w:left="1646" w:hanging="368"/>
      </w:pPr>
      <w:rPr>
        <w:rFonts w:hint="default"/>
        <w:lang w:val="es-ES" w:eastAsia="en-US" w:bidi="ar-SA"/>
      </w:rPr>
    </w:lvl>
    <w:lvl w:ilvl="3">
      <w:numFmt w:val="bullet"/>
      <w:lvlText w:val="•"/>
      <w:lvlJc w:val="left"/>
      <w:pPr>
        <w:ind w:left="2633" w:hanging="368"/>
      </w:pPr>
      <w:rPr>
        <w:rFonts w:hint="default"/>
        <w:lang w:val="es-ES" w:eastAsia="en-US" w:bidi="ar-SA"/>
      </w:rPr>
    </w:lvl>
    <w:lvl w:ilvl="4">
      <w:numFmt w:val="bullet"/>
      <w:lvlText w:val="•"/>
      <w:lvlJc w:val="left"/>
      <w:pPr>
        <w:ind w:left="3620" w:hanging="368"/>
      </w:pPr>
      <w:rPr>
        <w:rFonts w:hint="default"/>
        <w:lang w:val="es-ES" w:eastAsia="en-US" w:bidi="ar-SA"/>
      </w:rPr>
    </w:lvl>
    <w:lvl w:ilvl="5">
      <w:numFmt w:val="bullet"/>
      <w:lvlText w:val="•"/>
      <w:lvlJc w:val="left"/>
      <w:pPr>
        <w:ind w:left="4606" w:hanging="368"/>
      </w:pPr>
      <w:rPr>
        <w:rFonts w:hint="default"/>
        <w:lang w:val="es-ES" w:eastAsia="en-US" w:bidi="ar-SA"/>
      </w:rPr>
    </w:lvl>
    <w:lvl w:ilvl="6">
      <w:numFmt w:val="bullet"/>
      <w:lvlText w:val="•"/>
      <w:lvlJc w:val="left"/>
      <w:pPr>
        <w:ind w:left="5593" w:hanging="368"/>
      </w:pPr>
      <w:rPr>
        <w:rFonts w:hint="default"/>
        <w:lang w:val="es-ES" w:eastAsia="en-US" w:bidi="ar-SA"/>
      </w:rPr>
    </w:lvl>
    <w:lvl w:ilvl="7">
      <w:numFmt w:val="bullet"/>
      <w:lvlText w:val="•"/>
      <w:lvlJc w:val="left"/>
      <w:pPr>
        <w:ind w:left="6580" w:hanging="368"/>
      </w:pPr>
      <w:rPr>
        <w:rFonts w:hint="default"/>
        <w:lang w:val="es-ES" w:eastAsia="en-US" w:bidi="ar-SA"/>
      </w:rPr>
    </w:lvl>
    <w:lvl w:ilvl="8">
      <w:numFmt w:val="bullet"/>
      <w:lvlText w:val="•"/>
      <w:lvlJc w:val="left"/>
      <w:pPr>
        <w:ind w:left="7566" w:hanging="368"/>
      </w:pPr>
      <w:rPr>
        <w:rFonts w:hint="default"/>
        <w:lang w:val="es-E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C2909"/>
    <w:rsid w:val="00202146"/>
    <w:rsid w:val="00225A30"/>
    <w:rsid w:val="00326575"/>
    <w:rsid w:val="00386836"/>
    <w:rsid w:val="00447C93"/>
    <w:rsid w:val="006C2909"/>
    <w:rsid w:val="009426AE"/>
    <w:rsid w:val="00DF642F"/>
    <w:rsid w:val="00F31455"/>
    <w:rsid w:val="00F34B27"/>
    <w:rsid w:val="00F7024B"/>
    <w:rsid w:val="2330EA53"/>
    <w:rsid w:val="2FC7F705"/>
    <w:rsid w:val="3037C263"/>
    <w:rsid w:val="3653D257"/>
    <w:rsid w:val="459C3AD8"/>
    <w:rsid w:val="48FBB81E"/>
    <w:rsid w:val="50630F9A"/>
    <w:rsid w:val="560963F3"/>
    <w:rsid w:val="665E6F0F"/>
    <w:rsid w:val="7F18B8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B6C6E5"/>
  <w15:docId w15:val="{9F98B901-B09C-4CF2-8500-8B94CF5E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725" w:hanging="425"/>
      <w:jc w:val="both"/>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F7024B"/>
    <w:rPr>
      <w:sz w:val="20"/>
      <w:szCs w:val="20"/>
    </w:rPr>
  </w:style>
  <w:style w:type="character" w:styleId="TextonotapieCar" w:customStyle="1">
    <w:name w:val="Texto nota pie Car"/>
    <w:basedOn w:val="Fuentedeprrafopredeter"/>
    <w:link w:val="Textonotapie"/>
    <w:uiPriority w:val="99"/>
    <w:semiHidden/>
    <w:rsid w:val="00F7024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F7024B"/>
    <w:rPr>
      <w:vertAlign w:val="superscript"/>
    </w:rPr>
  </w:style>
  <w:style w:type="paragraph" w:styleId="Encabezado">
    <w:name w:val="header"/>
    <w:basedOn w:val="Normal"/>
    <w:link w:val="EncabezadoCar"/>
    <w:uiPriority w:val="99"/>
    <w:unhideWhenUsed/>
    <w:rsid w:val="00F34B27"/>
    <w:pPr>
      <w:tabs>
        <w:tab w:val="center" w:pos="4419"/>
        <w:tab w:val="right" w:pos="8838"/>
      </w:tabs>
    </w:pPr>
  </w:style>
  <w:style w:type="character" w:styleId="EncabezadoCar" w:customStyle="1">
    <w:name w:val="Encabezado Car"/>
    <w:basedOn w:val="Fuentedeprrafopredeter"/>
    <w:link w:val="Encabezado"/>
    <w:uiPriority w:val="99"/>
    <w:rsid w:val="00F34B27"/>
    <w:rPr>
      <w:rFonts w:ascii="Arial" w:hAnsi="Arial" w:eastAsia="Arial" w:cs="Arial"/>
      <w:lang w:val="es-ES"/>
    </w:rPr>
  </w:style>
  <w:style w:type="paragraph" w:styleId="Piedepgina">
    <w:name w:val="footer"/>
    <w:basedOn w:val="Normal"/>
    <w:link w:val="PiedepginaCar"/>
    <w:uiPriority w:val="99"/>
    <w:unhideWhenUsed/>
    <w:rsid w:val="00F34B27"/>
    <w:pPr>
      <w:tabs>
        <w:tab w:val="center" w:pos="4419"/>
        <w:tab w:val="right" w:pos="8838"/>
      </w:tabs>
    </w:pPr>
  </w:style>
  <w:style w:type="character" w:styleId="PiedepginaCar" w:customStyle="1">
    <w:name w:val="Pie de página Car"/>
    <w:basedOn w:val="Fuentedeprrafopredeter"/>
    <w:link w:val="Piedepgina"/>
    <w:uiPriority w:val="99"/>
    <w:rsid w:val="00F34B27"/>
    <w:rPr>
      <w:rFonts w:ascii="Arial" w:hAnsi="Arial" w:eastAsia="Arial" w:cs="Arial"/>
      <w:lang w:val="es-ES"/>
    </w:rPr>
  </w:style>
  <w:style w:type="character" w:styleId="TextoindependienteCar" w:customStyle="1">
    <w:name w:val="Texto independiente Car"/>
    <w:basedOn w:val="Fuentedeprrafopredeter"/>
    <w:link w:val="Textoindependiente"/>
    <w:uiPriority w:val="1"/>
    <w:rsid w:val="00F34B27"/>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066046fd39f54003"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404FF-B7E4-4B06-BAFD-6EA9FFB64EE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4B388F1-447D-45E7-B18E-023446FDC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5D660-0729-4E50-8C62-D0CC2389C3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11</revision>
  <dcterms:created xsi:type="dcterms:W3CDTF">2020-03-16T18:53:00.0000000Z</dcterms:created>
  <dcterms:modified xsi:type="dcterms:W3CDTF">2020-07-13T19:54:15.7710124Z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2020-03-16T00:00:00Z</vt:filetime>
  </property>
  <property fmtid="{D5CDD505-2E9C-101B-9397-08002B2CF9AE}" pid="5" name="ContentTypeId">
    <vt:lpwstr>0x010100F2E0F32964D9B84EA054B84E5D4157A0</vt:lpwstr>
  </property>
</Properties>
</file>