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A41960" w:rsidR="002B3402" w:rsidP="00334B75" w:rsidRDefault="002B3402" w14:paraId="028D419A" w14:textId="77777777">
      <w:pPr>
        <w:pStyle w:val="Textoindependiente"/>
        <w:spacing w:line="276" w:lineRule="auto"/>
        <w:ind w:left="300" w:right="304"/>
        <w:jc w:val="both"/>
      </w:pPr>
    </w:p>
    <w:p w:rsidRPr="00A41960" w:rsidR="002B3402" w:rsidP="3A170346" w:rsidRDefault="002B3402" w14:paraId="001A6E9E" w14:textId="0C8D7DEF">
      <w:pPr>
        <w:pStyle w:val="Textoindependiente"/>
        <w:ind w:left="300" w:right="304"/>
        <w:jc w:val="both"/>
        <w:rPr>
          <w:b w:val="1"/>
          <w:bCs w:val="1"/>
        </w:rPr>
      </w:pPr>
      <w:r w:rsidRPr="3A170346" w:rsidR="002B3402">
        <w:rPr>
          <w:b w:val="1"/>
          <w:bCs w:val="1"/>
        </w:rPr>
        <w:t>SUBSANABILIDAD – Ley 1882 de 2018 – Modificaciones – T</w:t>
      </w:r>
      <w:r w:rsidRPr="3A170346" w:rsidR="00E7A5F1">
        <w:rPr>
          <w:b w:val="1"/>
          <w:bCs w:val="1"/>
        </w:rPr>
        <w:t>é</w:t>
      </w:r>
      <w:r w:rsidRPr="3A170346" w:rsidR="002B3402">
        <w:rPr>
          <w:b w:val="1"/>
          <w:bCs w:val="1"/>
        </w:rPr>
        <w:t>rmino</w:t>
      </w:r>
    </w:p>
    <w:p w:rsidRPr="00A41960" w:rsidR="002B3402" w:rsidP="00334B75" w:rsidRDefault="002B3402" w14:paraId="11124353" w14:textId="77777777">
      <w:pPr>
        <w:pStyle w:val="Textoindependiente"/>
        <w:ind w:left="300" w:right="304"/>
        <w:jc w:val="both"/>
      </w:pPr>
    </w:p>
    <w:p w:rsidRPr="00A41960" w:rsidR="00334B75" w:rsidP="00BA7D38" w:rsidRDefault="002B3402" w14:paraId="0E266EF7" w14:textId="0B00A5A7">
      <w:pPr>
        <w:pStyle w:val="Textoindependiente"/>
        <w:spacing w:after="120"/>
        <w:ind w:left="301" w:right="306"/>
        <w:jc w:val="both"/>
        <w:rPr>
          <w:sz w:val="20"/>
          <w:szCs w:val="20"/>
        </w:rPr>
      </w:pPr>
      <w:r w:rsidRPr="00A41960">
        <w:rPr>
          <w:sz w:val="20"/>
          <w:szCs w:val="20"/>
        </w:rPr>
        <w:t>Frente a la regla general, la norma fijó un límite final para que la Administración y los oferentes subsanen los requisitos o documentos que puedan y deban ser subsanados, pero nada impide, y la norma no lo hace, que la Administración requiera al proponente antes de publica</w:t>
      </w:r>
      <w:r w:rsidRPr="00A41960" w:rsidR="00334B75">
        <w:rPr>
          <w:sz w:val="20"/>
          <w:szCs w:val="20"/>
        </w:rPr>
        <w:t xml:space="preserve">r el informe de evaluación. </w:t>
      </w:r>
    </w:p>
    <w:p w:rsidRPr="00A41960" w:rsidR="00334B75" w:rsidP="00BA7D38" w:rsidRDefault="002B3402" w14:paraId="69466C38" w14:textId="5003E56F">
      <w:pPr>
        <w:pStyle w:val="Textoindependiente"/>
        <w:spacing w:after="120"/>
        <w:ind w:left="301" w:right="306"/>
        <w:jc w:val="both"/>
        <w:rPr>
          <w:sz w:val="20"/>
          <w:szCs w:val="20"/>
        </w:rPr>
      </w:pPr>
      <w:r w:rsidRPr="00A41960">
        <w:rPr>
          <w:sz w:val="20"/>
          <w:szCs w:val="20"/>
        </w:rPr>
        <w:t>En efecto, la redacción de la norma permite que la Administración solicite a los oferentes subsanar y que estos lo hagan hasta antes del término del traslado</w:t>
      </w:r>
      <w:r w:rsidRPr="00A41960" w:rsidR="00334B75">
        <w:rPr>
          <w:sz w:val="20"/>
          <w:szCs w:val="20"/>
        </w:rPr>
        <w:t xml:space="preserve"> del informe de evaluación.</w:t>
      </w:r>
    </w:p>
    <w:p w:rsidRPr="00A41960" w:rsidR="002B3402" w:rsidP="00BA7D38" w:rsidRDefault="002B3402" w14:paraId="4DB28E43" w14:textId="77777777">
      <w:pPr>
        <w:pStyle w:val="Textoindependiente"/>
        <w:ind w:left="301" w:right="306"/>
        <w:jc w:val="both"/>
        <w:rPr>
          <w:sz w:val="20"/>
          <w:szCs w:val="20"/>
        </w:rPr>
      </w:pPr>
      <w:r w:rsidRPr="00A41960">
        <w:rPr>
          <w:sz w:val="20"/>
          <w:szCs w:val="20"/>
        </w:rPr>
        <w:t>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rsidRPr="00A41960" w:rsidR="002B3402" w:rsidP="00BA7D38" w:rsidRDefault="002B3402" w14:paraId="56088C16" w14:textId="77777777">
      <w:pPr>
        <w:pStyle w:val="Textoindependiente"/>
        <w:ind w:left="300" w:right="304"/>
        <w:jc w:val="both"/>
      </w:pPr>
    </w:p>
    <w:p w:rsidRPr="00A41960" w:rsidR="002B3402" w:rsidP="3A170346" w:rsidRDefault="002B3402" w14:paraId="20F3097A" w14:textId="03802557">
      <w:pPr>
        <w:pStyle w:val="Textoindependiente"/>
        <w:ind w:left="300" w:right="304"/>
        <w:jc w:val="both"/>
        <w:rPr>
          <w:b w:val="1"/>
          <w:bCs w:val="1"/>
        </w:rPr>
      </w:pPr>
      <w:r w:rsidRPr="3A170346" w:rsidR="002B3402">
        <w:rPr>
          <w:b w:val="1"/>
          <w:bCs w:val="1"/>
        </w:rPr>
        <w:t xml:space="preserve">SUBSANABILIDAD – Circunstancia </w:t>
      </w:r>
      <w:r w:rsidRPr="3A170346" w:rsidR="002B3402">
        <w:rPr>
          <w:b w:val="1"/>
          <w:bCs w:val="1"/>
        </w:rPr>
        <w:t>posterio</w:t>
      </w:r>
      <w:r w:rsidRPr="3A170346" w:rsidR="245661F6">
        <w:rPr>
          <w:b w:val="1"/>
          <w:bCs w:val="1"/>
        </w:rPr>
        <w:t>res</w:t>
      </w:r>
      <w:r w:rsidRPr="3A170346" w:rsidR="245661F6">
        <w:rPr>
          <w:b w:val="1"/>
          <w:bCs w:val="1"/>
        </w:rPr>
        <w:t xml:space="preserve"> – C</w:t>
      </w:r>
      <w:r w:rsidRPr="3A170346" w:rsidR="002B3402">
        <w:rPr>
          <w:b w:val="1"/>
          <w:bCs w:val="1"/>
        </w:rPr>
        <w:t>ierre</w:t>
      </w:r>
      <w:r w:rsidRPr="3A170346" w:rsidR="002B3402">
        <w:rPr>
          <w:b w:val="1"/>
          <w:bCs w:val="1"/>
        </w:rPr>
        <w:t xml:space="preserve"> del proceso</w:t>
      </w:r>
    </w:p>
    <w:p w:rsidRPr="00A41960" w:rsidR="002B3402" w:rsidP="00BA7D38" w:rsidRDefault="002B3402" w14:paraId="26BF4CDD" w14:textId="77777777">
      <w:pPr>
        <w:pStyle w:val="Textoindependiente"/>
        <w:ind w:left="300" w:right="304"/>
        <w:jc w:val="both"/>
      </w:pPr>
    </w:p>
    <w:p w:rsidRPr="00A41960" w:rsidR="002B3402" w:rsidP="00BA7D38" w:rsidRDefault="002B3402" w14:paraId="13F46EF6" w14:textId="77777777">
      <w:pPr>
        <w:pStyle w:val="Textoindependiente"/>
        <w:ind w:left="300" w:right="304"/>
        <w:jc w:val="both"/>
        <w:rPr>
          <w:sz w:val="20"/>
          <w:szCs w:val="20"/>
        </w:rPr>
      </w:pPr>
      <w:r w:rsidRPr="00A41960">
        <w:rPr>
          <w:sz w:val="20"/>
          <w:szCs w:val="20"/>
        </w:rPr>
        <w:t xml:space="preserve">Un mejor entendimiento del significado de la expresión “circunstancias ocurridas con posterioridad al cierre del proceso” nos lleva necesariamente a distinguir entre la prueba de un hecho y el hecho mismo. En el caso de la </w:t>
      </w:r>
      <w:proofErr w:type="spellStart"/>
      <w:r w:rsidRPr="00A41960">
        <w:rPr>
          <w:sz w:val="20"/>
          <w:szCs w:val="20"/>
        </w:rPr>
        <w:t>subsanabilidad</w:t>
      </w:r>
      <w:proofErr w:type="spellEnd"/>
      <w:r w:rsidRPr="00A41960">
        <w:rPr>
          <w:sz w:val="20"/>
          <w:szCs w:val="20"/>
        </w:rPr>
        <w:t xml:space="preserve"> de las ofertas, una cosa 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w:t>
      </w:r>
    </w:p>
    <w:p w:rsidRPr="00A41960" w:rsidR="002B3402" w:rsidP="00334B75" w:rsidRDefault="002B3402" w14:paraId="2351A172" w14:textId="77777777">
      <w:pPr>
        <w:pStyle w:val="Textoindependiente"/>
        <w:ind w:left="300" w:right="304"/>
        <w:jc w:val="both"/>
      </w:pPr>
    </w:p>
    <w:p w:rsidRPr="00A41960" w:rsidR="002B3402" w:rsidP="3A170346" w:rsidRDefault="002B3402" w14:paraId="0DAB503C" w14:textId="768A68A8">
      <w:pPr>
        <w:pStyle w:val="Textoindependiente"/>
        <w:ind w:left="300" w:right="304"/>
        <w:jc w:val="both"/>
        <w:rPr>
          <w:b w:val="1"/>
          <w:bCs w:val="1"/>
        </w:rPr>
      </w:pPr>
      <w:r w:rsidRPr="3A170346" w:rsidR="002B3402">
        <w:rPr>
          <w:b w:val="1"/>
          <w:bCs w:val="1"/>
        </w:rPr>
        <w:t>GARANT</w:t>
      </w:r>
      <w:r w:rsidRPr="3A170346" w:rsidR="1DD26E7D">
        <w:rPr>
          <w:b w:val="1"/>
          <w:bCs w:val="1"/>
        </w:rPr>
        <w:t>Í</w:t>
      </w:r>
      <w:r w:rsidRPr="3A170346" w:rsidR="002B3402">
        <w:rPr>
          <w:b w:val="1"/>
          <w:bCs w:val="1"/>
        </w:rPr>
        <w:t xml:space="preserve">A DE SERIEDAD – No es subsanable </w:t>
      </w:r>
    </w:p>
    <w:p w:rsidRPr="00A41960" w:rsidR="002B3402" w:rsidP="00334B75" w:rsidRDefault="002B3402" w14:paraId="0031BBA8" w14:textId="77777777">
      <w:pPr>
        <w:pStyle w:val="Textoindependiente"/>
        <w:ind w:left="300" w:right="304"/>
        <w:jc w:val="both"/>
      </w:pPr>
    </w:p>
    <w:p w:rsidRPr="00A41960" w:rsidR="002B3402" w:rsidP="00334B75" w:rsidRDefault="002B3402" w14:paraId="0EF8D5CE" w14:textId="77777777">
      <w:pPr>
        <w:pStyle w:val="Textoindependiente"/>
        <w:ind w:left="300" w:right="304"/>
        <w:jc w:val="both"/>
        <w:rPr>
          <w:sz w:val="20"/>
          <w:szCs w:val="20"/>
        </w:rPr>
      </w:pPr>
      <w:r w:rsidRPr="00A41960">
        <w:rPr>
          <w:sz w:val="20"/>
          <w:szCs w:val="20"/>
        </w:rPr>
        <w:t>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rsidRPr="00A41960" w:rsidR="002B3402" w:rsidP="00334B75" w:rsidRDefault="002B3402" w14:paraId="7B2EF509" w14:textId="77777777">
      <w:pPr>
        <w:pStyle w:val="Textoindependiente"/>
        <w:ind w:left="300" w:right="304"/>
        <w:jc w:val="both"/>
      </w:pPr>
    </w:p>
    <w:p w:rsidRPr="00A41960" w:rsidR="002B3402" w:rsidP="3A170346" w:rsidRDefault="002B3402" w14:paraId="537B4120" w14:textId="280C760C">
      <w:pPr>
        <w:pStyle w:val="Textoindependiente"/>
        <w:ind w:left="300" w:right="304"/>
        <w:jc w:val="both"/>
        <w:rPr>
          <w:b w:val="1"/>
          <w:bCs w:val="1"/>
        </w:rPr>
      </w:pPr>
      <w:r w:rsidRPr="3A170346" w:rsidR="002B3402">
        <w:rPr>
          <w:b w:val="1"/>
          <w:bCs w:val="1"/>
        </w:rPr>
        <w:t>SUBSANABILIDAD – R</w:t>
      </w:r>
      <w:r w:rsidRPr="3A170346" w:rsidR="2BDD8A5F">
        <w:rPr>
          <w:b w:val="1"/>
          <w:bCs w:val="1"/>
        </w:rPr>
        <w:t>UP</w:t>
      </w:r>
      <w:r w:rsidRPr="3A170346" w:rsidR="002B3402">
        <w:rPr>
          <w:b w:val="1"/>
          <w:bCs w:val="1"/>
        </w:rPr>
        <w:t xml:space="preserve"> vencido</w:t>
      </w:r>
    </w:p>
    <w:p w:rsidRPr="00A41960" w:rsidR="002B3402" w:rsidP="00334B75" w:rsidRDefault="002B3402" w14:paraId="3A7E5965" w14:textId="77777777">
      <w:pPr>
        <w:pStyle w:val="Textoindependiente"/>
        <w:ind w:left="300" w:right="304"/>
        <w:jc w:val="both"/>
      </w:pPr>
    </w:p>
    <w:p w:rsidRPr="00A41960" w:rsidR="00334B75" w:rsidP="00BA7D38" w:rsidRDefault="002B3402" w14:paraId="33FC29DA" w14:textId="0B894C2F">
      <w:pPr>
        <w:pStyle w:val="Textoindependiente"/>
        <w:spacing w:after="120"/>
        <w:ind w:left="301" w:right="306"/>
        <w:jc w:val="both"/>
        <w:rPr>
          <w:sz w:val="20"/>
          <w:szCs w:val="20"/>
        </w:rPr>
      </w:pPr>
      <w:r w:rsidRPr="00A41960">
        <w:rPr>
          <w:sz w:val="20"/>
          <w:szCs w:val="20"/>
        </w:rPr>
        <w:t>Si el proponente no renueva la información contenida en el RUP antes del quinto día hábil del mes de abril de cada año, cesarán sus efectos. Lo anterior, implica que, el proponente no se podrá presentar a los procesos de contratación, porque no tiene la capacidad jurídica para hacerlo, en los casos que es necesario estar inscrito en el RUP. Y, por lo tanto, d</w:t>
      </w:r>
      <w:r w:rsidRPr="00A41960" w:rsidR="00334B75">
        <w:rPr>
          <w:sz w:val="20"/>
          <w:szCs w:val="20"/>
        </w:rPr>
        <w:t xml:space="preserve">ebe inscribirse nuevamente. </w:t>
      </w:r>
    </w:p>
    <w:p w:rsidRPr="00A41960" w:rsidR="002B3402" w:rsidP="00BA7D38" w:rsidRDefault="00334B75" w14:paraId="6BDE5DF8" w14:textId="77777777">
      <w:pPr>
        <w:pStyle w:val="Textoindependiente"/>
        <w:ind w:left="301" w:right="306"/>
        <w:jc w:val="both"/>
        <w:rPr>
          <w:sz w:val="20"/>
          <w:szCs w:val="20"/>
        </w:rPr>
      </w:pPr>
      <w:r w:rsidRPr="00A41960">
        <w:rPr>
          <w:sz w:val="20"/>
          <w:szCs w:val="20"/>
        </w:rPr>
        <w:t>D</w:t>
      </w:r>
      <w:r w:rsidRPr="00A41960" w:rsidR="002B3402">
        <w:rPr>
          <w:sz w:val="20"/>
          <w:szCs w:val="20"/>
        </w:rPr>
        <w:t>e acuerdo con lo explicado previamente, si el proponente se presenta al proceso de contratación con el RUP vencido, porque no lo renovó a tiempo cesan sus efectos; y, en este sentido, no se podrá acreditar la información referida a los requisitos habilitantes, ni tiene la capacidad jurídica para hacerlo en los casos requeridos. De esta forma, si el oferente quiere presentarse al proceso de contratación se deberá registrar nuevamente en la Cámara de Comercio de su domicilio principal, y sólo se podrá presentar con el acto de inscripción en firme.</w:t>
      </w:r>
    </w:p>
    <w:p w:rsidRPr="00A41960" w:rsidR="00334B75" w:rsidP="00BA7D38" w:rsidRDefault="00334B75" w14:paraId="4CC7E1C3" w14:textId="77777777">
      <w:pPr>
        <w:pStyle w:val="Textoindependiente"/>
        <w:ind w:left="300" w:right="304"/>
        <w:jc w:val="both"/>
        <w:rPr>
          <w:b/>
        </w:rPr>
      </w:pPr>
    </w:p>
    <w:p w:rsidRPr="00A41960" w:rsidR="002B3402" w:rsidP="00BA7D38" w:rsidRDefault="002B3402" w14:paraId="2B2CDA9F" w14:textId="77777777">
      <w:pPr>
        <w:pStyle w:val="Textoindependiente"/>
        <w:ind w:left="300" w:right="304"/>
        <w:jc w:val="both"/>
        <w:rPr>
          <w:b/>
        </w:rPr>
      </w:pPr>
      <w:r w:rsidRPr="00A41960">
        <w:rPr>
          <w:b/>
        </w:rPr>
        <w:t xml:space="preserve">SUBSANABILIDAD – Certificado de existencia y representación legal </w:t>
      </w:r>
    </w:p>
    <w:p w:rsidRPr="00A41960" w:rsidR="002B3402" w:rsidP="00334B75" w:rsidRDefault="002B3402" w14:paraId="72CBC500" w14:textId="77777777">
      <w:pPr>
        <w:pStyle w:val="Textoindependiente"/>
        <w:ind w:left="300" w:right="304"/>
        <w:jc w:val="both"/>
      </w:pPr>
    </w:p>
    <w:p w:rsidRPr="00A41960" w:rsidR="002B3402" w:rsidP="00334B75" w:rsidRDefault="002B3402" w14:paraId="0E517688" w14:textId="77777777">
      <w:pPr>
        <w:pStyle w:val="Textoindependiente"/>
        <w:ind w:left="300" w:right="304"/>
        <w:jc w:val="both"/>
        <w:rPr>
          <w:sz w:val="20"/>
          <w:szCs w:val="20"/>
        </w:rPr>
      </w:pPr>
      <w:r w:rsidRPr="00A41960">
        <w:rPr>
          <w:sz w:val="20"/>
          <w:szCs w:val="20"/>
        </w:rPr>
        <w:t xml:space="preserve">Debido a que los actos y documentos sujetos a inscripción pueden ser modificados en cualquier </w:t>
      </w:r>
      <w:r w:rsidRPr="00A41960">
        <w:rPr>
          <w:sz w:val="20"/>
          <w:szCs w:val="20"/>
        </w:rPr>
        <w:lastRenderedPageBreak/>
        <w:t>momento, el certificado de existencia y representación legal no tiene una vigencia temporal. En este sentido, quedará bajo criterio de la entidad determinar cuál es el término de vigencia del certificado de existencia y representación legal para presentarse a un proceso de contratación; lo anterior, para tener una información actualizada de quien hace parte de la sociedad y si está incursa en alguna causal de inhabilidad o incompatibilidad. En estos casos, el proponente podrá subsanar la vigencia del certificado de existencia y representación legal de la sociedad, siempre y cuando se presente antes del traslado del informe de evaluación. A pesar de que este certificado tenga fecha posterior al cierre del proceso, no se acredita un hecho ocurrido con posterioridad ya que la inscripción de la sociedad fue anterior.</w:t>
      </w:r>
    </w:p>
    <w:p w:rsidRPr="00A41960" w:rsidR="002B3402" w:rsidP="00334B75" w:rsidRDefault="002B3402" w14:paraId="663CF7AD" w14:textId="77777777">
      <w:pPr>
        <w:pStyle w:val="Textoindependiente"/>
        <w:ind w:left="300" w:right="304"/>
        <w:jc w:val="both"/>
      </w:pPr>
    </w:p>
    <w:p w:rsidRPr="00A41960" w:rsidR="002B3402" w:rsidP="3A170346" w:rsidRDefault="002B3402" w14:paraId="4BF6917F" w14:textId="59169E06">
      <w:pPr>
        <w:pStyle w:val="Textoindependiente"/>
        <w:ind w:left="300" w:right="304"/>
        <w:jc w:val="both"/>
        <w:rPr>
          <w:b w:val="1"/>
          <w:bCs w:val="1"/>
        </w:rPr>
      </w:pPr>
      <w:r w:rsidRPr="3A170346" w:rsidR="002B3402">
        <w:rPr>
          <w:b w:val="1"/>
          <w:bCs w:val="1"/>
        </w:rPr>
        <w:t xml:space="preserve">DOCUMENTOS TIPO – Contratos de espacio público urbano </w:t>
      </w:r>
      <w:r w:rsidRPr="3A170346" w:rsidR="5F24AA29">
        <w:rPr>
          <w:b w:val="1"/>
          <w:bCs w:val="1"/>
        </w:rPr>
        <w:t>– A</w:t>
      </w:r>
      <w:r w:rsidRPr="3A170346" w:rsidR="002B3402">
        <w:rPr>
          <w:b w:val="1"/>
          <w:bCs w:val="1"/>
        </w:rPr>
        <w:t>ctividades de infraestructura de transporte</w:t>
      </w:r>
    </w:p>
    <w:p w:rsidRPr="00A41960" w:rsidR="002B3402" w:rsidP="00334B75" w:rsidRDefault="002B3402" w14:paraId="4D389352" w14:textId="77777777">
      <w:pPr>
        <w:pStyle w:val="Textoindependiente"/>
        <w:ind w:left="300" w:right="304"/>
        <w:jc w:val="both"/>
      </w:pPr>
    </w:p>
    <w:p w:rsidRPr="00A41960" w:rsidR="00334B75" w:rsidP="00BA7D38" w:rsidRDefault="002B3402" w14:paraId="43455ED2" w14:textId="3DD56746">
      <w:pPr>
        <w:pStyle w:val="Textoindependiente"/>
        <w:spacing w:after="120"/>
        <w:ind w:left="301" w:right="306"/>
        <w:jc w:val="both"/>
        <w:rPr>
          <w:sz w:val="20"/>
          <w:szCs w:val="20"/>
        </w:rPr>
      </w:pPr>
      <w:r w:rsidRPr="00A41960">
        <w:rPr>
          <w:sz w:val="20"/>
          <w:szCs w:val="20"/>
        </w:rPr>
        <w:t>El Anexo 3- Glosario señala que la infraestructura de transporte se refiere a obras realizadas en: i) vías primarias y secundarias, ii) vías terciarias, iii) infraestructuras marítimas y fluviales, iv) vías primarias, secundarias o terciarias para atención a emergencias diferentes a contratación directa, v) infraestructura férrea, vi) infraestructura vial urbana, vii) puentes e viii) infraestructura Aeroportuaria. En este sentido, para que sean aplicables los Documentos Tipo de infraestructura de Transporte a un proceso de contratación, se deben realizar alguna actividad de intervención definidas en la Matriz 1 – Experiencia relativa a este tipo de infraestructuras de transporte en concordanc</w:t>
      </w:r>
      <w:r w:rsidRPr="00A41960" w:rsidR="00334B75">
        <w:rPr>
          <w:sz w:val="20"/>
          <w:szCs w:val="20"/>
        </w:rPr>
        <w:t xml:space="preserve">ia con la Ley 1682 de 2013. </w:t>
      </w:r>
    </w:p>
    <w:p w:rsidRPr="00A41960" w:rsidR="002B3402" w:rsidP="00BA7D38" w:rsidRDefault="00334B75" w14:paraId="5753823E" w14:textId="77777777">
      <w:pPr>
        <w:pStyle w:val="Textoindependiente"/>
        <w:spacing w:after="120"/>
        <w:ind w:left="301" w:right="306"/>
        <w:jc w:val="both"/>
        <w:rPr>
          <w:sz w:val="20"/>
          <w:szCs w:val="20"/>
        </w:rPr>
      </w:pPr>
      <w:r w:rsidRPr="00A41960">
        <w:rPr>
          <w:sz w:val="20"/>
          <w:szCs w:val="20"/>
        </w:rPr>
        <w:t>S</w:t>
      </w:r>
      <w:r w:rsidRPr="00A41960" w:rsidR="002B3402">
        <w:rPr>
          <w:sz w:val="20"/>
          <w:szCs w:val="20"/>
        </w:rPr>
        <w:t>i el contrato de espacio público se encuentra asociado a alguna infraestructura de transporte será procedente y obligatorio el uso de los Documentos Tipo, por ejemplo: en el caso que se desee realizar la intervención de los andenes asociados a una vía urbana; se realice mantenimiento de una ciclorruta a nivel de calzada que se encuentra sobre una infraestructura de transporte; situación en la cual se establecerán las condiciones de experiencia a través de la Matriz 1 – Experiencia según el Tipo de Infraestructura de Transporte o Proyecto que se pretenda adelantar</w:t>
      </w:r>
    </w:p>
    <w:p w:rsidRPr="00A41960" w:rsidR="002B3402" w:rsidP="00334B75" w:rsidRDefault="002B3402" w14:paraId="39B86A34" w14:textId="77777777">
      <w:pPr>
        <w:pStyle w:val="Textoindependiente"/>
        <w:ind w:left="300" w:right="304"/>
        <w:jc w:val="both"/>
      </w:pPr>
    </w:p>
    <w:p w:rsidRPr="00A41960" w:rsidR="002B3402" w:rsidP="3A170346" w:rsidRDefault="002B3402" w14:paraId="72CF1305" w14:textId="4A8D9C77">
      <w:pPr>
        <w:pStyle w:val="Textoindependiente"/>
        <w:ind w:left="300" w:right="304"/>
        <w:jc w:val="both"/>
        <w:rPr>
          <w:b w:val="1"/>
          <w:bCs w:val="1"/>
        </w:rPr>
      </w:pPr>
      <w:r w:rsidRPr="3A170346" w:rsidR="002B3402">
        <w:rPr>
          <w:b w:val="1"/>
          <w:bCs w:val="1"/>
        </w:rPr>
        <w:t>PRECIOS ARTIFICIALMENTE BAJOS – Requerimiento – Acto de tr</w:t>
      </w:r>
      <w:r w:rsidRPr="3A170346" w:rsidR="3F646E81">
        <w:rPr>
          <w:b w:val="1"/>
          <w:bCs w:val="1"/>
        </w:rPr>
        <w:t>á</w:t>
      </w:r>
      <w:r w:rsidRPr="3A170346" w:rsidR="002B3402">
        <w:rPr>
          <w:b w:val="1"/>
          <w:bCs w:val="1"/>
        </w:rPr>
        <w:t>mite</w:t>
      </w:r>
    </w:p>
    <w:p w:rsidRPr="00A41960" w:rsidR="002B3402" w:rsidP="00334B75" w:rsidRDefault="002B3402" w14:paraId="0D19A79F" w14:textId="77777777">
      <w:pPr>
        <w:pStyle w:val="Textoindependiente"/>
        <w:ind w:left="300" w:right="304"/>
        <w:jc w:val="both"/>
      </w:pPr>
    </w:p>
    <w:p w:rsidRPr="00A41960" w:rsidR="00334B75" w:rsidP="00500330" w:rsidRDefault="002B3402" w14:paraId="37388FCC" w14:textId="45757B3D">
      <w:pPr>
        <w:pStyle w:val="Textoindependiente"/>
        <w:spacing w:after="120"/>
        <w:ind w:left="301" w:right="306"/>
        <w:jc w:val="both"/>
        <w:rPr>
          <w:sz w:val="20"/>
          <w:szCs w:val="20"/>
        </w:rPr>
      </w:pPr>
      <w:r w:rsidRPr="00A41960">
        <w:rPr>
          <w:sz w:val="20"/>
          <w:szCs w:val="20"/>
        </w:rPr>
        <w:t>El artículo 2.2.1.1.2.2.4. del Decreto 1082 de 2015 establece que cuando el valor de una oferta parezca artificialmente bajo, la entidad debe requerir al oferente para que explique las razones que sustentan el valor ofrecido. Frente a estas explicaciones le corresponde al comité evaluador analizarlas y recomendar si debe rechazar la oferta o continuar con el análisis de la oferta durante la evaluación de</w:t>
      </w:r>
      <w:r w:rsidRPr="00A41960" w:rsidR="00334B75">
        <w:rPr>
          <w:sz w:val="20"/>
          <w:szCs w:val="20"/>
        </w:rPr>
        <w:t xml:space="preserve"> las ofertas. </w:t>
      </w:r>
    </w:p>
    <w:p w:rsidRPr="00A41960" w:rsidR="00334B75" w:rsidP="00500330" w:rsidRDefault="002B3402" w14:paraId="37EBB7EF" w14:textId="3B18C266">
      <w:pPr>
        <w:pStyle w:val="Textoindependiente"/>
        <w:spacing w:after="120"/>
        <w:ind w:left="301" w:right="306"/>
        <w:jc w:val="both"/>
        <w:rPr>
          <w:sz w:val="20"/>
          <w:szCs w:val="20"/>
        </w:rPr>
      </w:pPr>
      <w:r w:rsidRPr="00A41960">
        <w:rPr>
          <w:sz w:val="20"/>
          <w:szCs w:val="20"/>
        </w:rPr>
        <w:t>La normativa que regula los precios artificialmente bajos no determina la forma ni el momento en el cual se debe realizar el requerimiento a los proponentes para que justifiquen el precio ofertado, por lo tanto, quedará bajo el criterio de la entidad. Si bien lo ideal es que esos requerimientos se realicen durante la etapa de evaluación de la oferta, nada impide que se haga en la</w:t>
      </w:r>
      <w:r w:rsidRPr="00A41960" w:rsidR="00334B75">
        <w:rPr>
          <w:sz w:val="20"/>
          <w:szCs w:val="20"/>
        </w:rPr>
        <w:t xml:space="preserve"> audiencia de adjudicación. </w:t>
      </w:r>
    </w:p>
    <w:p w:rsidRPr="00A41960" w:rsidR="006D7B39" w:rsidP="3A170346" w:rsidRDefault="002B3402" w14:paraId="10F2CA77" w14:textId="653E8EA0">
      <w:pPr>
        <w:pStyle w:val="Textoindependiente"/>
        <w:ind w:left="301" w:right="306"/>
        <w:jc w:val="both"/>
        <w:rPr>
          <w:rFonts w:ascii="Times New Roman"/>
          <w:sz w:val="20"/>
          <w:szCs w:val="20"/>
          <w:lang w:val="es-MX"/>
        </w:rPr>
      </w:pPr>
      <w:r w:rsidRPr="3A170346" w:rsidR="002B3402">
        <w:rPr>
          <w:sz w:val="20"/>
          <w:szCs w:val="20"/>
        </w:rPr>
        <w:t xml:space="preserve">Determinado que el requerimiento es un acto de trámite </w:t>
      </w:r>
      <w:r w:rsidRPr="3A170346" w:rsidR="3B9AC326">
        <w:rPr>
          <w:sz w:val="20"/>
          <w:szCs w:val="20"/>
        </w:rPr>
        <w:t>[</w:t>
      </w:r>
      <w:r w:rsidRPr="3A170346" w:rsidR="002B3402">
        <w:rPr>
          <w:sz w:val="20"/>
          <w:szCs w:val="20"/>
        </w:rPr>
        <w:t>…</w:t>
      </w:r>
      <w:r w:rsidRPr="3A170346" w:rsidR="570AC6F1">
        <w:rPr>
          <w:sz w:val="20"/>
          <w:szCs w:val="20"/>
        </w:rPr>
        <w:t>]</w:t>
      </w:r>
      <w:r w:rsidRPr="3A170346" w:rsidR="002B3402">
        <w:rPr>
          <w:sz w:val="20"/>
          <w:szCs w:val="20"/>
        </w:rPr>
        <w:t xml:space="preserve"> La Ley 1437 de 2011 no define el procedimiento para comunicar estos actos administrativos, por lo tanto, la entidad tiene libertad para determinar el medio eficaz para comunicarlo</w:t>
      </w:r>
      <w:r w:rsidRPr="3A170346" w:rsidR="00500330">
        <w:rPr>
          <w:sz w:val="20"/>
          <w:szCs w:val="20"/>
        </w:rPr>
        <w:t>.</w:t>
      </w:r>
    </w:p>
    <w:p w:rsidR="006D7B39" w:rsidP="009026AE" w:rsidRDefault="006D7B39" w14:paraId="4D4DE589" w14:textId="2C27E03B">
      <w:pPr>
        <w:pStyle w:val="Textoindependiente"/>
        <w:rPr>
          <w:rFonts w:ascii="Times New Roman"/>
          <w:sz w:val="20"/>
        </w:rPr>
      </w:pPr>
    </w:p>
    <w:p w:rsidRPr="00A41960" w:rsidR="009026AE" w:rsidP="009026AE" w:rsidRDefault="009026AE" w14:paraId="10D1F434" w14:textId="77777777">
      <w:pPr>
        <w:pStyle w:val="Textoindependiente"/>
        <w:rPr>
          <w:rFonts w:ascii="Times New Roman"/>
          <w:sz w:val="20"/>
        </w:rPr>
      </w:pPr>
    </w:p>
    <w:p w:rsidRPr="00A41960" w:rsidR="006D7B39" w:rsidP="009026AE" w:rsidRDefault="000D1B1D" w14:paraId="406B9C59" w14:textId="77777777">
      <w:pPr>
        <w:pStyle w:val="Textoindependiente"/>
        <w:spacing w:line="253" w:lineRule="exact"/>
        <w:ind w:left="300"/>
        <w:rPr>
          <w:b/>
        </w:rPr>
      </w:pPr>
      <w:r w:rsidRPr="00A41960">
        <w:t xml:space="preserve">Bogotá D.C., </w:t>
      </w:r>
      <w:r w:rsidRPr="00A41960">
        <w:rPr>
          <w:b/>
        </w:rPr>
        <w:t>11/12/2019 Hora 10:45:40s</w:t>
      </w:r>
    </w:p>
    <w:p w:rsidRPr="00A41960" w:rsidR="006D7B39" w:rsidRDefault="000D1B1D" w14:paraId="7B59EB87" w14:textId="77777777">
      <w:pPr>
        <w:spacing w:before="2"/>
        <w:ind w:left="5839"/>
        <w:rPr>
          <w:b/>
        </w:rPr>
      </w:pPr>
      <w:r w:rsidRPr="00A41960">
        <w:rPr>
          <w:b/>
        </w:rPr>
        <w:t>N° Radicado: 2201913000009110</w:t>
      </w:r>
    </w:p>
    <w:p w:rsidRPr="00A41960" w:rsidR="006D7B39" w:rsidRDefault="000D1B1D" w14:paraId="7625B314" w14:textId="77777777">
      <w:pPr>
        <w:pStyle w:val="Textoindependiente"/>
        <w:spacing w:before="93" w:line="253" w:lineRule="exact"/>
        <w:ind w:left="300"/>
      </w:pPr>
      <w:r w:rsidRPr="00A41960">
        <w:t>Señor</w:t>
      </w:r>
    </w:p>
    <w:p w:rsidRPr="00A41960" w:rsidR="006D7B39" w:rsidRDefault="000D1B1D" w14:paraId="1F5401E6" w14:textId="77777777">
      <w:pPr>
        <w:pStyle w:val="Ttulo1"/>
        <w:spacing w:line="253" w:lineRule="exact"/>
      </w:pPr>
      <w:r w:rsidRPr="00A41960">
        <w:t>Santiago Andrés Sánchez</w:t>
      </w:r>
    </w:p>
    <w:p w:rsidRPr="00A41960" w:rsidR="006D7B39" w:rsidRDefault="000D1B1D" w14:paraId="74D9A34D" w14:textId="77777777">
      <w:pPr>
        <w:pStyle w:val="Textoindependiente"/>
        <w:spacing w:line="253" w:lineRule="exact"/>
        <w:ind w:left="300"/>
      </w:pPr>
      <w:r w:rsidRPr="00A41960">
        <w:t>Ciudad</w:t>
      </w:r>
    </w:p>
    <w:p w:rsidRPr="00A41960" w:rsidR="006D7B39" w:rsidRDefault="006D7B39" w14:paraId="5C5ABD81" w14:textId="77777777">
      <w:pPr>
        <w:pStyle w:val="Textoindependiente"/>
        <w:rPr>
          <w:sz w:val="20"/>
        </w:rPr>
      </w:pPr>
    </w:p>
    <w:p w:rsidRPr="00A41960" w:rsidR="006D7B39" w:rsidRDefault="006D7B39" w14:paraId="2024D382" w14:textId="77777777">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2328"/>
        <w:gridCol w:w="7003"/>
      </w:tblGrid>
      <w:tr w:rsidRPr="00A41960" w:rsidR="00A41960" w14:paraId="401486C3" w14:textId="77777777">
        <w:trPr>
          <w:trHeight w:val="249"/>
        </w:trPr>
        <w:tc>
          <w:tcPr>
            <w:tcW w:w="2328" w:type="dxa"/>
          </w:tcPr>
          <w:p w:rsidRPr="00A41960" w:rsidR="006D7B39" w:rsidRDefault="000D1B1D" w14:paraId="3FD2ED4E" w14:textId="77777777">
            <w:pPr>
              <w:pStyle w:val="TableParagraph"/>
              <w:rPr>
                <w:b/>
              </w:rPr>
            </w:pPr>
            <w:r w:rsidRPr="00A41960">
              <w:rPr>
                <w:b/>
              </w:rPr>
              <w:t>Radicación:</w:t>
            </w:r>
          </w:p>
        </w:tc>
        <w:tc>
          <w:tcPr>
            <w:tcW w:w="7003" w:type="dxa"/>
          </w:tcPr>
          <w:p w:rsidRPr="00A41960" w:rsidR="006D7B39" w:rsidRDefault="000D1B1D" w14:paraId="19E6A354" w14:textId="77777777">
            <w:pPr>
              <w:pStyle w:val="TableParagraph"/>
              <w:ind w:left="562"/>
            </w:pPr>
            <w:r w:rsidRPr="00A41960">
              <w:t>Respuesta a consulta # 4201912000007418</w:t>
            </w:r>
          </w:p>
        </w:tc>
      </w:tr>
      <w:tr w:rsidRPr="00A41960" w:rsidR="00A41960" w14:paraId="52A85053" w14:textId="77777777">
        <w:trPr>
          <w:trHeight w:val="758"/>
        </w:trPr>
        <w:tc>
          <w:tcPr>
            <w:tcW w:w="2328" w:type="dxa"/>
          </w:tcPr>
          <w:p w:rsidRPr="00A41960" w:rsidR="006D7B39" w:rsidRDefault="000D1B1D" w14:paraId="6E82B7FC" w14:textId="77777777">
            <w:pPr>
              <w:pStyle w:val="TableParagraph"/>
              <w:spacing w:line="249" w:lineRule="exact"/>
              <w:rPr>
                <w:b/>
              </w:rPr>
            </w:pPr>
            <w:r w:rsidRPr="00A41960">
              <w:rPr>
                <w:b/>
              </w:rPr>
              <w:t>Temas:</w:t>
            </w:r>
          </w:p>
        </w:tc>
        <w:tc>
          <w:tcPr>
            <w:tcW w:w="7003" w:type="dxa"/>
          </w:tcPr>
          <w:p w:rsidRPr="00A41960" w:rsidR="006D7B39" w:rsidRDefault="000D1B1D" w14:paraId="27D933E3" w14:textId="77777777">
            <w:pPr>
              <w:pStyle w:val="TableParagraph"/>
              <w:spacing w:before="1" w:line="252" w:lineRule="exact"/>
              <w:ind w:left="562" w:right="203"/>
              <w:jc w:val="both"/>
            </w:pPr>
            <w:proofErr w:type="spellStart"/>
            <w:r w:rsidRPr="00A41960">
              <w:t>Subsanabilidad</w:t>
            </w:r>
            <w:proofErr w:type="spellEnd"/>
            <w:r w:rsidRPr="00A41960">
              <w:t>, RUP, certificado de existencia y representación legal, Documentos Tipo, precio artificialmente bajo</w:t>
            </w:r>
          </w:p>
        </w:tc>
      </w:tr>
      <w:tr w:rsidRPr="00A41960" w:rsidR="006D7B39" w14:paraId="0E6E6D5A" w14:textId="77777777">
        <w:trPr>
          <w:trHeight w:val="755"/>
        </w:trPr>
        <w:tc>
          <w:tcPr>
            <w:tcW w:w="2328" w:type="dxa"/>
          </w:tcPr>
          <w:p w:rsidRPr="00A41960" w:rsidR="006D7B39" w:rsidRDefault="000D1B1D" w14:paraId="1E1E5739" w14:textId="77777777">
            <w:pPr>
              <w:pStyle w:val="TableParagraph"/>
              <w:spacing w:line="240" w:lineRule="auto"/>
              <w:ind w:right="543"/>
              <w:rPr>
                <w:b/>
              </w:rPr>
            </w:pPr>
            <w:r w:rsidRPr="00A41960">
              <w:rPr>
                <w:b/>
              </w:rPr>
              <w:t>Tipo de asunto consultado:</w:t>
            </w:r>
          </w:p>
        </w:tc>
        <w:tc>
          <w:tcPr>
            <w:tcW w:w="7003" w:type="dxa"/>
          </w:tcPr>
          <w:p w:rsidRPr="00A41960" w:rsidR="006D7B39" w:rsidRDefault="000D1B1D" w14:paraId="0D04DBBC" w14:textId="77777777">
            <w:pPr>
              <w:pStyle w:val="TableParagraph"/>
              <w:spacing w:before="2" w:line="252" w:lineRule="exact"/>
              <w:ind w:left="562" w:right="198"/>
              <w:jc w:val="both"/>
            </w:pPr>
            <w:proofErr w:type="spellStart"/>
            <w:r w:rsidRPr="00A41960">
              <w:t>Subsanabilidad</w:t>
            </w:r>
            <w:proofErr w:type="spellEnd"/>
            <w:r w:rsidRPr="00A41960">
              <w:t xml:space="preserve"> del RUP vencido y el certificado de existencia y representación legal; aplicación de los Documentos Tipo en los contratos relacionados con el espacio público urbano,</w:t>
            </w:r>
          </w:p>
        </w:tc>
      </w:tr>
    </w:tbl>
    <w:p w:rsidRPr="00A41960" w:rsidR="006D7B39" w:rsidRDefault="006D7B39" w14:paraId="06D1D86A" w14:textId="77777777">
      <w:pPr>
        <w:pStyle w:val="Textoindependiente"/>
        <w:rPr>
          <w:sz w:val="16"/>
        </w:rPr>
      </w:pPr>
    </w:p>
    <w:p w:rsidRPr="00A41960" w:rsidR="006D7B39" w:rsidRDefault="000D1B1D" w14:paraId="3B68219E" w14:textId="77777777">
      <w:pPr>
        <w:pStyle w:val="Textoindependiente"/>
        <w:spacing w:before="93"/>
        <w:ind w:left="300"/>
        <w:jc w:val="both"/>
      </w:pPr>
      <w:r w:rsidRPr="00A41960">
        <w:t>Estimado señor Sánchez,</w:t>
      </w:r>
    </w:p>
    <w:p w:rsidRPr="00A41960" w:rsidR="006D7B39" w:rsidRDefault="006D7B39" w14:paraId="24DE6C56" w14:textId="77777777">
      <w:pPr>
        <w:pStyle w:val="Textoindependiente"/>
        <w:spacing w:before="10"/>
        <w:rPr>
          <w:sz w:val="21"/>
        </w:rPr>
      </w:pPr>
    </w:p>
    <w:p w:rsidRPr="00A41960" w:rsidR="006D7B39" w:rsidRDefault="000D1B1D" w14:paraId="03EEF317" w14:textId="77777777">
      <w:pPr>
        <w:pStyle w:val="Textoindependiente"/>
        <w:spacing w:line="276" w:lineRule="auto"/>
        <w:ind w:left="300" w:right="304"/>
        <w:jc w:val="both"/>
      </w:pPr>
      <w:r w:rsidRPr="00A41960">
        <w:t>La Agencia Nacional de Contratación Pública -Colombia Compra Eficiente- responde su consulta del 30 de octubre de 2019, en ejercicio de la competencia otorgada por el numeral 8 del artículo 11 y el numeral 5 del artículo 3 del Decreto Ley 4170 de 2011.</w:t>
      </w:r>
    </w:p>
    <w:p w:rsidRPr="00A41960" w:rsidR="006D7B39" w:rsidRDefault="006D7B39" w14:paraId="00F076A7" w14:textId="77777777">
      <w:pPr>
        <w:pStyle w:val="Textoindependiente"/>
        <w:spacing w:before="5"/>
        <w:rPr>
          <w:sz w:val="25"/>
        </w:rPr>
      </w:pPr>
    </w:p>
    <w:p w:rsidRPr="00A41960" w:rsidR="006D7B39" w:rsidRDefault="000D1B1D" w14:paraId="2404881C" w14:textId="77777777">
      <w:pPr>
        <w:pStyle w:val="Ttulo1"/>
        <w:numPr>
          <w:ilvl w:val="0"/>
          <w:numId w:val="5"/>
        </w:numPr>
        <w:tabs>
          <w:tab w:val="left" w:pos="661"/>
        </w:tabs>
        <w:spacing w:before="1"/>
        <w:ind w:hanging="361"/>
        <w:jc w:val="both"/>
      </w:pPr>
      <w:r w:rsidRPr="00A41960">
        <w:t>Problemas</w:t>
      </w:r>
      <w:r w:rsidRPr="00A41960">
        <w:rPr>
          <w:spacing w:val="-2"/>
        </w:rPr>
        <w:t xml:space="preserve"> </w:t>
      </w:r>
      <w:r w:rsidRPr="00A41960">
        <w:t>planteados</w:t>
      </w:r>
    </w:p>
    <w:p w:rsidRPr="00A41960" w:rsidR="006D7B39" w:rsidRDefault="006D7B39" w14:paraId="5CE670CA" w14:textId="77777777">
      <w:pPr>
        <w:pStyle w:val="Textoindependiente"/>
        <w:spacing w:before="4"/>
        <w:rPr>
          <w:b/>
          <w:sz w:val="28"/>
        </w:rPr>
      </w:pPr>
    </w:p>
    <w:p w:rsidRPr="00A41960" w:rsidR="006D7B39" w:rsidRDefault="000D1B1D" w14:paraId="0F81D9D4" w14:textId="77777777">
      <w:pPr>
        <w:pStyle w:val="Textoindependiente"/>
        <w:spacing w:line="276" w:lineRule="auto"/>
        <w:ind w:left="300" w:right="307"/>
        <w:jc w:val="both"/>
      </w:pPr>
      <w:r w:rsidRPr="00A41960">
        <w:t xml:space="preserve">El peticionario tiene preguntas referidas a la </w:t>
      </w:r>
      <w:proofErr w:type="spellStart"/>
      <w:r w:rsidRPr="00A41960">
        <w:t>subsanabilidad</w:t>
      </w:r>
      <w:proofErr w:type="spellEnd"/>
      <w:r w:rsidRPr="00A41960">
        <w:t xml:space="preserve"> de las ofertas, y en relación con la aplicación de los Documentos Tipo, cuando se utiliza en los contratos referidos al espacio público urbano y el requerimiento en los casos que existe una oferta con un precio artificialmente</w:t>
      </w:r>
      <w:r w:rsidRPr="00A41960">
        <w:rPr>
          <w:spacing w:val="-2"/>
        </w:rPr>
        <w:t xml:space="preserve"> </w:t>
      </w:r>
      <w:r w:rsidRPr="00A41960">
        <w:t>bajo.</w:t>
      </w:r>
    </w:p>
    <w:p w:rsidRPr="00A41960" w:rsidR="006D7B39" w:rsidRDefault="006D7B39" w14:paraId="038E4D1F" w14:textId="77777777">
      <w:pPr>
        <w:pStyle w:val="Textoindependiente"/>
        <w:spacing w:before="1"/>
      </w:pPr>
    </w:p>
    <w:p w:rsidRPr="00A41960" w:rsidR="006D7B39" w:rsidRDefault="000D1B1D" w14:paraId="05314D19" w14:textId="77777777">
      <w:pPr>
        <w:pStyle w:val="Prrafodelista"/>
        <w:numPr>
          <w:ilvl w:val="0"/>
          <w:numId w:val="4"/>
        </w:numPr>
        <w:tabs>
          <w:tab w:val="left" w:pos="553"/>
        </w:tabs>
        <w:spacing w:line="276" w:lineRule="auto"/>
        <w:ind w:right="312" w:firstLine="0"/>
        <w:jc w:val="both"/>
      </w:pPr>
      <w:r w:rsidRPr="00A41960">
        <w:t>¿Si un oferente presenta su existencia y representación legal o RUP vencidos al momento del cierre y luego de subsanar presenta los documentos con fecha de expedición posterior al cierre del proceso estos son válidos, o se entiende que se acreditan hechos con posterioridad al cierre y deben ser</w:t>
      </w:r>
      <w:r w:rsidRPr="00A41960">
        <w:rPr>
          <w:spacing w:val="-8"/>
        </w:rPr>
        <w:t xml:space="preserve"> </w:t>
      </w:r>
      <w:r w:rsidRPr="00A41960">
        <w:t>rechazados?</w:t>
      </w:r>
    </w:p>
    <w:p w:rsidRPr="00A41960" w:rsidR="006D7B39" w:rsidRDefault="006D7B39" w14:paraId="4F675959" w14:textId="77777777">
      <w:pPr>
        <w:pStyle w:val="Textoindependiente"/>
        <w:spacing w:before="4"/>
        <w:rPr>
          <w:sz w:val="25"/>
        </w:rPr>
      </w:pPr>
    </w:p>
    <w:p w:rsidRPr="00A41960" w:rsidR="006D7B39" w:rsidRDefault="000D1B1D" w14:paraId="4ADB9E0C" w14:textId="77777777">
      <w:pPr>
        <w:pStyle w:val="Prrafodelista"/>
        <w:numPr>
          <w:ilvl w:val="0"/>
          <w:numId w:val="4"/>
        </w:numPr>
        <w:tabs>
          <w:tab w:val="left" w:pos="563"/>
        </w:tabs>
        <w:spacing w:before="1" w:line="276" w:lineRule="auto"/>
        <w:ind w:right="312" w:firstLine="0"/>
        <w:jc w:val="both"/>
      </w:pPr>
      <w:r w:rsidRPr="00A41960">
        <w:t>¿Los contratos cuyo objeto se relacione con el espacio público urbano se encuentran enmarcados en infraestructura de</w:t>
      </w:r>
      <w:r w:rsidRPr="00A41960">
        <w:rPr>
          <w:spacing w:val="-6"/>
        </w:rPr>
        <w:t xml:space="preserve"> </w:t>
      </w:r>
      <w:r w:rsidRPr="00A41960">
        <w:t>transporte?</w:t>
      </w:r>
    </w:p>
    <w:p w:rsidRPr="00A41960" w:rsidR="006D7B39" w:rsidRDefault="006D7B39" w14:paraId="0E98228E" w14:textId="77777777">
      <w:pPr>
        <w:pStyle w:val="Textoindependiente"/>
        <w:rPr>
          <w:sz w:val="20"/>
        </w:rPr>
      </w:pPr>
    </w:p>
    <w:p w:rsidRPr="00A41960" w:rsidR="006D7B39" w:rsidRDefault="006D7B39" w14:paraId="7D7256A2" w14:textId="77777777">
      <w:pPr>
        <w:pStyle w:val="Textoindependiente"/>
        <w:spacing w:before="5"/>
        <w:rPr>
          <w:sz w:val="16"/>
        </w:rPr>
      </w:pPr>
    </w:p>
    <w:p w:rsidRPr="00A41960" w:rsidR="006D7B39" w:rsidRDefault="000D1B1D" w14:paraId="267275C5" w14:textId="77777777">
      <w:pPr>
        <w:pStyle w:val="Prrafodelista"/>
        <w:numPr>
          <w:ilvl w:val="0"/>
          <w:numId w:val="4"/>
        </w:numPr>
        <w:tabs>
          <w:tab w:val="left" w:pos="626"/>
        </w:tabs>
        <w:spacing w:before="93" w:line="276" w:lineRule="auto"/>
        <w:ind w:right="305" w:firstLine="0"/>
        <w:jc w:val="both"/>
      </w:pPr>
      <w:r w:rsidRPr="00A41960">
        <w:t>Para validar los precios artificialmente bajos, ¿cómo debe ser el requerimiento? ¿la entidad puede rechazar una propuesta sin requerir al oferente? ¿existe un tiempo mínimo que se debe otorgar al oferente para</w:t>
      </w:r>
      <w:r w:rsidRPr="00A41960">
        <w:rPr>
          <w:spacing w:val="-9"/>
        </w:rPr>
        <w:t xml:space="preserve"> </w:t>
      </w:r>
      <w:r w:rsidRPr="00A41960">
        <w:t>explicar?</w:t>
      </w:r>
    </w:p>
    <w:p w:rsidRPr="00A41960" w:rsidR="006D7B39" w:rsidRDefault="006D7B39" w14:paraId="101CD638" w14:textId="77777777">
      <w:pPr>
        <w:pStyle w:val="Textoindependiente"/>
        <w:spacing w:before="2"/>
      </w:pPr>
    </w:p>
    <w:p w:rsidRPr="00A41960" w:rsidR="006D7B39" w:rsidRDefault="000D1B1D" w14:paraId="3D52D90B" w14:textId="77777777">
      <w:pPr>
        <w:pStyle w:val="Ttulo1"/>
        <w:numPr>
          <w:ilvl w:val="0"/>
          <w:numId w:val="5"/>
        </w:numPr>
        <w:tabs>
          <w:tab w:val="left" w:pos="661"/>
        </w:tabs>
        <w:ind w:hanging="361"/>
        <w:jc w:val="both"/>
      </w:pPr>
      <w:r w:rsidRPr="00A41960">
        <w:t>Consideraciones</w:t>
      </w:r>
    </w:p>
    <w:p w:rsidRPr="00A41960" w:rsidR="006D7B39" w:rsidRDefault="006D7B39" w14:paraId="2E5D4567" w14:textId="77777777">
      <w:pPr>
        <w:pStyle w:val="Textoindependiente"/>
        <w:spacing w:before="5"/>
        <w:rPr>
          <w:b/>
          <w:sz w:val="28"/>
        </w:rPr>
      </w:pPr>
    </w:p>
    <w:p w:rsidRPr="00A41960" w:rsidR="006D7B39" w:rsidRDefault="000D1B1D" w14:paraId="4B3C420E" w14:textId="77777777">
      <w:pPr>
        <w:pStyle w:val="Textoindependiente"/>
        <w:spacing w:line="276" w:lineRule="auto"/>
        <w:ind w:left="300" w:right="304"/>
        <w:jc w:val="both"/>
      </w:pPr>
      <w:r w:rsidRPr="00A41960">
        <w:t xml:space="preserve">Para desarrollar los problemas planteados, en primer lugar, se explicará la </w:t>
      </w:r>
      <w:proofErr w:type="spellStart"/>
      <w:r w:rsidRPr="00A41960">
        <w:t>subsanabilidad</w:t>
      </w:r>
      <w:proofErr w:type="spellEnd"/>
      <w:r w:rsidRPr="00A41960">
        <w:t xml:space="preserve"> del RUP vencido y la acreditación de hechos con posterioridad al momento del cierre. En segundo lugar, se determinará si el espacio público urbano se encuentra enmarcado en la infraestructura de transporte, y, finalmente, desarrollar el requerimiento en los precios artificialmente bajos.</w:t>
      </w:r>
    </w:p>
    <w:p w:rsidRPr="00A41960" w:rsidR="006D7B39" w:rsidRDefault="006D7B39" w14:paraId="61BEF16B" w14:textId="77777777">
      <w:pPr>
        <w:pStyle w:val="Textoindependiente"/>
        <w:spacing w:before="6"/>
        <w:rPr>
          <w:sz w:val="25"/>
        </w:rPr>
      </w:pPr>
    </w:p>
    <w:p w:rsidRPr="00A41960" w:rsidR="006D7B39" w:rsidRDefault="000D1B1D" w14:paraId="75408A02" w14:textId="77777777">
      <w:pPr>
        <w:pStyle w:val="Ttulo1"/>
        <w:numPr>
          <w:ilvl w:val="1"/>
          <w:numId w:val="5"/>
        </w:numPr>
        <w:tabs>
          <w:tab w:val="left" w:pos="1008"/>
        </w:tabs>
        <w:spacing w:line="276" w:lineRule="auto"/>
        <w:ind w:right="315" w:firstLine="0"/>
        <w:jc w:val="both"/>
      </w:pPr>
      <w:proofErr w:type="spellStart"/>
      <w:r w:rsidRPr="00A41960">
        <w:t>Subsanabilidad</w:t>
      </w:r>
      <w:proofErr w:type="spellEnd"/>
      <w:r w:rsidRPr="00A41960">
        <w:t xml:space="preserve"> del RUP vencido y acreditación de hechos ocurridos con posterioridad al</w:t>
      </w:r>
      <w:r w:rsidRPr="00A41960">
        <w:rPr>
          <w:spacing w:val="-2"/>
        </w:rPr>
        <w:t xml:space="preserve"> </w:t>
      </w:r>
      <w:r w:rsidRPr="00A41960">
        <w:t>cierre</w:t>
      </w:r>
    </w:p>
    <w:p w:rsidRPr="00A41960" w:rsidR="006D7B39" w:rsidRDefault="006D7B39" w14:paraId="47FB5D65" w14:textId="77777777">
      <w:pPr>
        <w:pStyle w:val="Textoindependiente"/>
        <w:spacing w:before="3"/>
        <w:rPr>
          <w:b/>
          <w:sz w:val="25"/>
        </w:rPr>
      </w:pPr>
    </w:p>
    <w:p w:rsidRPr="00A41960" w:rsidR="006D7B39" w:rsidRDefault="000D1B1D" w14:paraId="113AD079" w14:textId="77777777">
      <w:pPr>
        <w:pStyle w:val="Textoindependiente"/>
        <w:spacing w:line="276" w:lineRule="auto"/>
        <w:ind w:left="300" w:right="308"/>
        <w:jc w:val="both"/>
      </w:pPr>
      <w:r w:rsidRPr="00A41960">
        <w:t xml:space="preserve">La Agencia Nacional de Contratación Pública – Colombia Compra Eficiente, en el concepto con radicado No. 4201913000006471 del 28 de octubre de 2019, analizó el régimen jurídico de la </w:t>
      </w:r>
      <w:proofErr w:type="spellStart"/>
      <w:r w:rsidRPr="00A41960">
        <w:t>subsanabilidad</w:t>
      </w:r>
      <w:proofErr w:type="spellEnd"/>
      <w:r w:rsidRPr="00A41960">
        <w:t>. De igual forma, en los conceptos con radicados No. 4201912000006711 del 12 de noviembre de 2019 y 4201912000006496 del 15 de noviembre de 2019 reiteraron el desarrollo normativo y jurisprudencial para subsanar los errores de los documentos presentados en la oferta. La tesis propuesta en estos conceptos es la que se expone a</w:t>
      </w:r>
      <w:r w:rsidRPr="00A41960">
        <w:rPr>
          <w:spacing w:val="-6"/>
        </w:rPr>
        <w:t xml:space="preserve"> </w:t>
      </w:r>
      <w:r w:rsidRPr="00A41960">
        <w:t>continuación.</w:t>
      </w:r>
    </w:p>
    <w:p w:rsidRPr="00A41960" w:rsidR="006D7B39" w:rsidRDefault="006D7B39" w14:paraId="185C7133" w14:textId="77777777">
      <w:pPr>
        <w:pStyle w:val="Textoindependiente"/>
        <w:spacing w:before="4"/>
        <w:rPr>
          <w:sz w:val="25"/>
        </w:rPr>
      </w:pPr>
    </w:p>
    <w:p w:rsidRPr="00A41960" w:rsidR="006D7B39" w:rsidRDefault="000D1B1D" w14:paraId="2D6F70B1" w14:textId="77777777">
      <w:pPr>
        <w:pStyle w:val="Textoindependiente"/>
        <w:spacing w:line="276" w:lineRule="auto"/>
        <w:ind w:left="300" w:right="311"/>
        <w:jc w:val="both"/>
      </w:pPr>
      <w:r w:rsidRPr="00A41960">
        <w:t>La posibilidad de enmendar, corregir o subsanar los errores en los que se incurren en los documentos contentivos de la oferta es un tema que ha tenido diferentes momentos o etapas en el ordenamiento jurídico colombiano.</w:t>
      </w:r>
    </w:p>
    <w:p w:rsidRPr="00A41960" w:rsidR="006D7B39" w:rsidRDefault="006D7B39" w14:paraId="274314DD" w14:textId="77777777">
      <w:pPr>
        <w:pStyle w:val="Textoindependiente"/>
        <w:spacing w:before="2"/>
        <w:rPr>
          <w:sz w:val="25"/>
        </w:rPr>
      </w:pPr>
    </w:p>
    <w:p w:rsidRPr="00A41960" w:rsidR="006D7B39" w:rsidRDefault="000D1B1D" w14:paraId="53841E9A" w14:textId="77777777">
      <w:pPr>
        <w:pStyle w:val="Textoindependiente"/>
        <w:spacing w:line="276" w:lineRule="auto"/>
        <w:ind w:left="300" w:right="305"/>
        <w:jc w:val="both"/>
      </w:pPr>
      <w:r w:rsidRPr="00A41960">
        <w:t xml:space="preserve">En un </w:t>
      </w:r>
      <w:r w:rsidRPr="00A41960">
        <w:rPr>
          <w:i/>
        </w:rPr>
        <w:t>primer momento</w:t>
      </w:r>
      <w:r w:rsidRPr="00A41960">
        <w:t xml:space="preserve">, antes de la entrada en vigencia de la Constitución Política de 1991, el régimen jurídico de la </w:t>
      </w:r>
      <w:proofErr w:type="spellStart"/>
      <w:r w:rsidRPr="00A41960">
        <w:t>subsanabilidad</w:t>
      </w:r>
      <w:proofErr w:type="spellEnd"/>
      <w:r w:rsidRPr="00A41960">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w:t>
      </w:r>
    </w:p>
    <w:p w:rsidRPr="00A41960" w:rsidR="006D7B39" w:rsidRDefault="006D7B39" w14:paraId="0E96DC41" w14:textId="77777777">
      <w:pPr>
        <w:pStyle w:val="Textoindependiente"/>
        <w:spacing w:before="5"/>
        <w:rPr>
          <w:sz w:val="25"/>
        </w:rPr>
      </w:pPr>
    </w:p>
    <w:p w:rsidRPr="00A41960" w:rsidR="006D7B39" w:rsidRDefault="000D1B1D" w14:paraId="4C8C6914" w14:textId="77777777">
      <w:pPr>
        <w:pStyle w:val="Textoindependiente"/>
        <w:spacing w:line="276" w:lineRule="auto"/>
        <w:ind w:left="300" w:right="310"/>
        <w:jc w:val="both"/>
      </w:pPr>
      <w:r w:rsidRPr="00A41960">
        <w:t xml:space="preserve">En un </w:t>
      </w:r>
      <w:r w:rsidRPr="00A41960">
        <w:rPr>
          <w:i/>
        </w:rPr>
        <w:t xml:space="preserve">segundo momento </w:t>
      </w:r>
      <w:r w:rsidRPr="00A41960">
        <w:t>se expidió la Ley 80 de 1993, bajo el nuevo paradigma que supuso la Constitución de 1991, particularmente en la forma cómo se relaciona lo formal y lo sustancial en las actuaciones judiciales y administrativas. Este cambio ideológico quedó consignado en el artículo 228, que introdujo un principio de supremacía o prevalencia del derecho sustancial sobre lo procedimental.</w:t>
      </w:r>
    </w:p>
    <w:p w:rsidRPr="00A41960" w:rsidR="006D7B39" w:rsidRDefault="006D7B39" w14:paraId="5B4C257E" w14:textId="77777777">
      <w:pPr>
        <w:pStyle w:val="Textoindependiente"/>
        <w:spacing w:before="5"/>
        <w:rPr>
          <w:sz w:val="16"/>
        </w:rPr>
      </w:pPr>
    </w:p>
    <w:p w:rsidRPr="00A41960" w:rsidR="006D7B39" w:rsidRDefault="000D1B1D" w14:paraId="13472A84" w14:textId="77777777">
      <w:pPr>
        <w:pStyle w:val="Textoindependiente"/>
        <w:spacing w:before="93" w:line="278" w:lineRule="auto"/>
        <w:ind w:left="300" w:right="315"/>
        <w:jc w:val="both"/>
      </w:pPr>
      <w:r w:rsidRPr="00A41960">
        <w:t>En este nuevo escenario constitucional, el numeral 15 del artículo 25 de la Ley 80 de 1993 dispuso lo siguiente:</w:t>
      </w:r>
    </w:p>
    <w:p w:rsidRPr="00A41960" w:rsidR="006D7B39" w:rsidRDefault="006D7B39" w14:paraId="2C36D854" w14:textId="77777777">
      <w:pPr>
        <w:pStyle w:val="Textoindependiente"/>
        <w:spacing w:before="1"/>
        <w:rPr>
          <w:sz w:val="25"/>
        </w:rPr>
      </w:pPr>
    </w:p>
    <w:p w:rsidRPr="00A41960" w:rsidR="006D7B39" w:rsidRDefault="000D1B1D" w14:paraId="4F15E834" w14:textId="77777777">
      <w:pPr>
        <w:pStyle w:val="Textoindependiente"/>
        <w:ind w:left="1008" w:right="308"/>
        <w:jc w:val="both"/>
      </w:pPr>
      <w:r w:rsidRPr="00A41960">
        <w:t>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rsidRPr="00A41960" w:rsidR="006D7B39" w:rsidRDefault="006D7B39" w14:paraId="1679FCFE" w14:textId="77777777">
      <w:pPr>
        <w:pStyle w:val="Textoindependiente"/>
        <w:spacing w:before="9"/>
        <w:rPr>
          <w:sz w:val="21"/>
        </w:rPr>
      </w:pPr>
    </w:p>
    <w:p w:rsidRPr="00A41960" w:rsidR="006D7B39" w:rsidRDefault="000D1B1D" w14:paraId="60EB578A" w14:textId="77777777">
      <w:pPr>
        <w:pStyle w:val="Textoindependiente"/>
        <w:ind w:left="1008" w:right="304"/>
        <w:jc w:val="both"/>
      </w:pPr>
      <w:r w:rsidRPr="00A41960">
        <w:t>La ausencia de requisitos o la falta de documentos referentes a la futura contratación o al proponente, no necesarios para la comparación de propuestas, no servirá de título suficiente para el rechazo de los ofrecimientos hechos. (Negrillas fuera de texto).</w:t>
      </w:r>
    </w:p>
    <w:p w:rsidRPr="00A41960" w:rsidR="006D7B39" w:rsidRDefault="006D7B39" w14:paraId="3F8A3CF9" w14:textId="77777777">
      <w:pPr>
        <w:pStyle w:val="Textoindependiente"/>
        <w:spacing w:before="6"/>
        <w:rPr>
          <w:sz w:val="25"/>
        </w:rPr>
      </w:pPr>
    </w:p>
    <w:p w:rsidRPr="00A41960" w:rsidR="006D7B39" w:rsidRDefault="000D1B1D" w14:paraId="3551EF41" w14:textId="77777777">
      <w:pPr>
        <w:pStyle w:val="Textoindependiente"/>
        <w:spacing w:line="276" w:lineRule="auto"/>
        <w:ind w:left="300" w:right="306"/>
        <w:jc w:val="both"/>
      </w:pPr>
      <w:r w:rsidRPr="00A41960">
        <w:t xml:space="preserve">Bajo el amparo de esta norma, el régimen jurídico de </w:t>
      </w:r>
      <w:proofErr w:type="spellStart"/>
      <w:r w:rsidRPr="00A41960">
        <w:t>subsanabilidad</w:t>
      </w:r>
      <w:proofErr w:type="spellEnd"/>
      <w:r w:rsidRPr="00A41960">
        <w:t xml:space="preserve"> de las ofertas sufre un </w:t>
      </w:r>
      <w:r w:rsidRPr="00A41960">
        <w:lastRenderedPageBreak/>
        <w:t>cambio fundamental, pues ya no era posible rechazar las ofertas por falta de requisitos o documentos que no fueran “</w:t>
      </w:r>
      <w:r w:rsidRPr="00A41960">
        <w:rPr>
          <w:i/>
        </w:rPr>
        <w:t>necesarios para la comparación de propuestas</w:t>
      </w:r>
      <w:r w:rsidRPr="00A41960">
        <w:t>”. De esta manera, la ley introdujo un primer criterio jurídico, aunque indeterminado, que servía como punto de partida en la posibilidad de subsanar las ofertas, pues verificada la ausencia de un requisito o documento, previo al rechazo de la oferta, la Administración debía verificar si este era o no necesario para la comparación de propuestas y de ese análisis surgiría la decisión sobre su rechazo o la oportunidad de</w:t>
      </w:r>
      <w:r w:rsidRPr="00A41960">
        <w:rPr>
          <w:spacing w:val="-11"/>
        </w:rPr>
        <w:t xml:space="preserve"> </w:t>
      </w:r>
      <w:r w:rsidRPr="00A41960">
        <w:t>subsanar.</w:t>
      </w:r>
    </w:p>
    <w:p w:rsidRPr="00A41960" w:rsidR="006D7B39" w:rsidRDefault="006D7B39" w14:paraId="23545F71" w14:textId="77777777">
      <w:pPr>
        <w:pStyle w:val="Textoindependiente"/>
        <w:spacing w:before="3"/>
        <w:rPr>
          <w:sz w:val="25"/>
        </w:rPr>
      </w:pPr>
    </w:p>
    <w:p w:rsidRPr="00A41960" w:rsidR="006D7B39" w:rsidRDefault="000D1B1D" w14:paraId="76DE28D2" w14:textId="27963B2A">
      <w:pPr>
        <w:pStyle w:val="Textoindependiente"/>
        <w:spacing w:line="276" w:lineRule="auto"/>
        <w:ind w:left="300" w:right="303"/>
        <w:jc w:val="both"/>
      </w:pPr>
      <w:r w:rsidRPr="00A41960">
        <w:t>Esta norma debía leerse en conjunto con otras de la Ley 80 de 1993, particularmente con el artículo 30.7</w:t>
      </w:r>
      <w:r w:rsidRPr="00A41960" w:rsidR="00500330">
        <w:rPr>
          <w:rStyle w:val="Refdenotaalpie"/>
        </w:rPr>
        <w:footnoteReference w:id="2"/>
      </w:r>
      <w:r w:rsidRPr="00A41960">
        <w:t>, que ordena a la entidad señalar un plazo razonable para evaluar las propuestas y para pedir a los proponentes, de ser necesario, que aclaren o expliquen aspectos que ofrezcan dudas y resulten indispensables para llevar a cabo la evaluación; y con el artículo 30.8</w:t>
      </w:r>
      <w:r w:rsidRPr="00A41960" w:rsidR="00500330">
        <w:rPr>
          <w:rStyle w:val="Refdenotaalpie"/>
        </w:rPr>
        <w:footnoteReference w:id="3"/>
      </w:r>
      <w:r w:rsidRPr="00A41960">
        <w:t>, que consagró el término de 5 días hábiles para que los oferentes presenten observaciones al informe de evaluación de las propuestas, sin que sea posible completar, adicionar, modificar o mejorar su</w:t>
      </w:r>
      <w:r w:rsidRPr="00A41960">
        <w:rPr>
          <w:spacing w:val="-15"/>
        </w:rPr>
        <w:t xml:space="preserve"> </w:t>
      </w:r>
      <w:r w:rsidRPr="00A41960">
        <w:t>oferta.</w:t>
      </w:r>
    </w:p>
    <w:p w:rsidRPr="00A41960" w:rsidR="006D7B39" w:rsidRDefault="006D7B39" w14:paraId="43D0F806" w14:textId="77777777">
      <w:pPr>
        <w:pStyle w:val="Textoindependiente"/>
        <w:spacing w:before="4"/>
        <w:rPr>
          <w:sz w:val="25"/>
        </w:rPr>
      </w:pPr>
    </w:p>
    <w:p w:rsidRPr="00A41960" w:rsidR="006D7B39" w:rsidP="00500330" w:rsidRDefault="000D1B1D" w14:paraId="6B23E011" w14:textId="304714AD">
      <w:pPr>
        <w:pStyle w:val="Textoindependiente"/>
        <w:spacing w:line="276" w:lineRule="auto"/>
        <w:ind w:left="300" w:right="312"/>
        <w:jc w:val="both"/>
      </w:pPr>
      <w:r w:rsidRPr="00A41960">
        <w:t xml:space="preserve">A partir de la lectura integrada de estas tres normas debía concluirse que con la Ley 80 de 1993 era posible subsanar las propuestas, y la omisión o el error en algún aspecto de </w:t>
      </w:r>
      <w:proofErr w:type="gramStart"/>
      <w:r w:rsidRPr="00A41960">
        <w:t>la</w:t>
      </w:r>
      <w:r w:rsidRPr="00A41960" w:rsidR="00500330">
        <w:t xml:space="preserve"> </w:t>
      </w:r>
      <w:r w:rsidRPr="00A41960">
        <w:t>misma</w:t>
      </w:r>
      <w:proofErr w:type="gramEnd"/>
      <w:r w:rsidRPr="00A41960">
        <w:t xml:space="preserve"> no podía llevar a su rechazo, sin antes verificar que lo omitido fuera un aspecto necesario para la comparación.</w:t>
      </w:r>
    </w:p>
    <w:p w:rsidRPr="00A41960" w:rsidR="006D7B39" w:rsidRDefault="006D7B39" w14:paraId="5A57E928" w14:textId="77777777">
      <w:pPr>
        <w:pStyle w:val="Textoindependiente"/>
        <w:spacing w:before="1"/>
        <w:rPr>
          <w:sz w:val="25"/>
        </w:rPr>
      </w:pPr>
    </w:p>
    <w:p w:rsidRPr="00A41960" w:rsidR="006D7B39" w:rsidRDefault="000D1B1D" w14:paraId="79987C78" w14:textId="77777777">
      <w:pPr>
        <w:pStyle w:val="Textoindependiente"/>
        <w:spacing w:line="276" w:lineRule="auto"/>
        <w:ind w:left="300" w:right="310"/>
        <w:jc w:val="both"/>
      </w:pPr>
      <w:r w:rsidRPr="00A41960">
        <w:t xml:space="preserve">En un </w:t>
      </w:r>
      <w:r w:rsidRPr="00A41960">
        <w:rPr>
          <w:i/>
        </w:rPr>
        <w:t>tercer momento</w:t>
      </w:r>
      <w:r w:rsidRPr="00A41960">
        <w:t>, y siguiendo la línea trazada por la Ley 80 de 1993, el legislador expidió la Ley 1150 de 2007, que en el parágrafo 1º del artículo 5 determinó lo siguiente:</w:t>
      </w:r>
    </w:p>
    <w:p w:rsidRPr="00A41960" w:rsidR="006D7B39" w:rsidRDefault="006D7B39" w14:paraId="69EBF8BC" w14:textId="77777777">
      <w:pPr>
        <w:pStyle w:val="Textoindependiente"/>
        <w:spacing w:before="3"/>
        <w:rPr>
          <w:sz w:val="25"/>
        </w:rPr>
      </w:pPr>
    </w:p>
    <w:p w:rsidRPr="00A41960" w:rsidR="006D7B39" w:rsidRDefault="000D1B1D" w14:paraId="1CB228EE" w14:textId="77777777">
      <w:pPr>
        <w:pStyle w:val="Textoindependiente"/>
        <w:ind w:left="1005" w:right="305"/>
        <w:jc w:val="both"/>
      </w:pPr>
      <w:r w:rsidRPr="00A41960">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A41960">
        <w:rPr>
          <w:b/>
        </w:rPr>
        <w:t xml:space="preserve">, </w:t>
      </w:r>
      <w:r w:rsidRPr="00A41960">
        <w:t xml:space="preserve">todos aquellos requisitos de la propuesta que no afecten la asignación de puntaje, podrán ser solicitados por las entidades en cualquier momento, hasta la adjudicación. No </w:t>
      </w:r>
      <w:proofErr w:type="gramStart"/>
      <w:r w:rsidRPr="00A41960">
        <w:t>obstante</w:t>
      </w:r>
      <w:proofErr w:type="gramEnd"/>
      <w:r w:rsidRPr="00A41960">
        <w:t xml:space="preserve"> lo anterior, en aquellos procesos de selección en los que se utilice el mecanismo de subasta, deberán ser solicitados hasta el momento previo a su</w:t>
      </w:r>
      <w:r w:rsidRPr="00A41960">
        <w:rPr>
          <w:spacing w:val="-5"/>
        </w:rPr>
        <w:t xml:space="preserve"> </w:t>
      </w:r>
      <w:r w:rsidRPr="00A41960">
        <w:t>realización.</w:t>
      </w:r>
    </w:p>
    <w:p w:rsidRPr="00A41960" w:rsidR="006D7B39" w:rsidRDefault="006D7B39" w14:paraId="79D8E3C3" w14:textId="77777777">
      <w:pPr>
        <w:pStyle w:val="Textoindependiente"/>
        <w:spacing w:before="4"/>
        <w:rPr>
          <w:sz w:val="25"/>
        </w:rPr>
      </w:pPr>
    </w:p>
    <w:p w:rsidRPr="00A41960" w:rsidR="006D7B39" w:rsidRDefault="000D1B1D" w14:paraId="10A69D9D" w14:textId="77777777">
      <w:pPr>
        <w:pStyle w:val="Textoindependiente"/>
        <w:spacing w:line="276" w:lineRule="auto"/>
        <w:ind w:left="300" w:right="312"/>
        <w:jc w:val="both"/>
      </w:pPr>
      <w:r w:rsidRPr="00A41960">
        <w:t xml:space="preserve">Nótese que esta norma reitera lo que dispuso la Ley 80 de 1993, en el sentido de que los </w:t>
      </w:r>
      <w:r w:rsidRPr="00A41960">
        <w:lastRenderedPageBreak/>
        <w:t>requisitos o documentos que no sean necesarios para la comparación de las ofertas pueden subsanarse, pero además la Ley 1150 de 2007 introdujo otro criterio que le dio mayor claridad al tema: la asignación de</w:t>
      </w:r>
      <w:r w:rsidRPr="00A41960">
        <w:rPr>
          <w:spacing w:val="-9"/>
        </w:rPr>
        <w:t xml:space="preserve"> </w:t>
      </w:r>
      <w:r w:rsidRPr="00A41960">
        <w:t>puntaje.</w:t>
      </w:r>
    </w:p>
    <w:p w:rsidRPr="00A41960" w:rsidR="006D7B39" w:rsidRDefault="006D7B39" w14:paraId="62F9478E" w14:textId="77777777">
      <w:pPr>
        <w:pStyle w:val="Textoindependiente"/>
        <w:spacing w:before="1"/>
        <w:rPr>
          <w:sz w:val="25"/>
        </w:rPr>
      </w:pPr>
    </w:p>
    <w:p w:rsidRPr="00A41960" w:rsidR="006D7B39" w:rsidRDefault="000D1B1D" w14:paraId="103B0348" w14:textId="77777777">
      <w:pPr>
        <w:pStyle w:val="Textoindependiente"/>
        <w:spacing w:before="1" w:line="276" w:lineRule="auto"/>
        <w:ind w:left="300" w:right="306"/>
        <w:jc w:val="both"/>
      </w:pPr>
      <w:r w:rsidRPr="00A41960">
        <w:t>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w:t>
      </w:r>
      <w:r w:rsidRPr="00A41960">
        <w:rPr>
          <w:spacing w:val="-7"/>
        </w:rPr>
        <w:t xml:space="preserve"> </w:t>
      </w:r>
      <w:r w:rsidRPr="00A41960">
        <w:t>no.</w:t>
      </w:r>
    </w:p>
    <w:p w:rsidRPr="00A41960" w:rsidR="006D7B39" w:rsidRDefault="006D7B39" w14:paraId="42F99BD3" w14:textId="77777777">
      <w:pPr>
        <w:pStyle w:val="Textoindependiente"/>
        <w:spacing w:before="5"/>
        <w:rPr>
          <w:sz w:val="25"/>
        </w:rPr>
      </w:pPr>
    </w:p>
    <w:p w:rsidRPr="00A41960" w:rsidR="006D7B39" w:rsidRDefault="000D1B1D" w14:paraId="7CDBD01B" w14:textId="77777777">
      <w:pPr>
        <w:pStyle w:val="Textoindependiente"/>
        <w:spacing w:before="1" w:line="276" w:lineRule="auto"/>
        <w:ind w:left="300" w:right="306"/>
        <w:jc w:val="both"/>
      </w:pPr>
      <w:r w:rsidRPr="00A41960">
        <w:t>Si al verificar la Administración encuentra que lo omitido por el proponente es un aspecto que otorga puntaje no es posible subsanarlo; pero si lo omitido no otorga puntaje la Administración debe requerir al proponente para que lo subsane.</w:t>
      </w:r>
    </w:p>
    <w:p w:rsidRPr="00A41960" w:rsidR="006D7B39" w:rsidRDefault="006D7B39" w14:paraId="17CB8F93" w14:textId="77777777">
      <w:pPr>
        <w:pStyle w:val="Textoindependiente"/>
        <w:spacing w:before="2"/>
        <w:rPr>
          <w:sz w:val="25"/>
        </w:rPr>
      </w:pPr>
    </w:p>
    <w:p w:rsidRPr="00A41960" w:rsidR="006D7B39" w:rsidRDefault="000D1B1D" w14:paraId="774FC64D" w14:textId="77777777">
      <w:pPr>
        <w:pStyle w:val="Textoindependiente"/>
        <w:spacing w:line="276" w:lineRule="auto"/>
        <w:ind w:left="300" w:right="305"/>
        <w:jc w:val="both"/>
      </w:pPr>
      <w:r w:rsidRPr="00A41960">
        <w:t>El artículo 5 de la Ley 1150 de 2007, además de consagrar un criterio más claro, y de paso reducir la discrecionalidad de la Administración, fijó un ámbito temporal para la subsanación de las ofertas: “</w:t>
      </w:r>
      <w:r w:rsidRPr="00A41960">
        <w:rPr>
          <w:i/>
        </w:rPr>
        <w:t>en cualquier momento, hasta la adjudicación</w:t>
      </w:r>
      <w:r w:rsidRPr="00A41960">
        <w:t>”. El Consejo de Estado, con particular sindéresis, concluyó que a partir del parágrafo 1º del artículo 5 de la Ley 1150, la definición de lo que es subsanable y lo que no lo es surge a partir del planteamiento de la pregunta sobre si el defecto asigna puntaje o no, en estos</w:t>
      </w:r>
      <w:r w:rsidRPr="00A41960">
        <w:rPr>
          <w:spacing w:val="-37"/>
        </w:rPr>
        <w:t xml:space="preserve"> </w:t>
      </w:r>
      <w:r w:rsidRPr="00A41960">
        <w:t>términos:</w:t>
      </w:r>
    </w:p>
    <w:p w:rsidRPr="00A41960" w:rsidR="006D7B39" w:rsidRDefault="006D7B39" w14:paraId="4A777840" w14:textId="77777777">
      <w:pPr>
        <w:pStyle w:val="Textoindependiente"/>
        <w:spacing w:before="5"/>
        <w:rPr>
          <w:sz w:val="25"/>
        </w:rPr>
      </w:pPr>
    </w:p>
    <w:p w:rsidRPr="00A41960" w:rsidR="006D7B39" w:rsidP="00500330" w:rsidRDefault="000D1B1D" w14:paraId="6E366570" w14:textId="66ACE412">
      <w:pPr>
        <w:pStyle w:val="Textoindependiente"/>
        <w:ind w:left="1005" w:right="305"/>
        <w:jc w:val="both"/>
      </w:pPr>
      <w:r w:rsidRPr="00A41960">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w:t>
      </w:r>
      <w:r w:rsidRPr="00A41960" w:rsidR="00500330">
        <w:t xml:space="preserve"> </w:t>
      </w:r>
      <w:r w:rsidRPr="00A41960">
        <w:t>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A41960" w:rsidR="00500330">
        <w:rPr>
          <w:rStyle w:val="Refdenotaalpie"/>
        </w:rPr>
        <w:footnoteReference w:id="4"/>
      </w:r>
      <w:r w:rsidRPr="00A41960">
        <w:t>.</w:t>
      </w:r>
    </w:p>
    <w:p w:rsidRPr="00A41960" w:rsidR="006D7B39" w:rsidRDefault="006D7B39" w14:paraId="37DE7EB0" w14:textId="77777777">
      <w:pPr>
        <w:pStyle w:val="Textoindependiente"/>
        <w:spacing w:before="5"/>
        <w:rPr>
          <w:sz w:val="25"/>
        </w:rPr>
      </w:pPr>
    </w:p>
    <w:p w:rsidRPr="00A41960" w:rsidR="006D7B39" w:rsidRDefault="000D1B1D" w14:paraId="6DAEE94C" w14:textId="77777777">
      <w:pPr>
        <w:pStyle w:val="Textoindependiente"/>
        <w:spacing w:line="276" w:lineRule="auto"/>
        <w:ind w:left="300" w:right="433"/>
        <w:jc w:val="both"/>
      </w:pPr>
      <w:r w:rsidRPr="00A41960">
        <w:t xml:space="preserve">Esa interpretación fue compartida por la Agencia Nacional de Contratación Pública – Colombia Compra Eficiente –, pues en la Circular Externa Única se precisó </w:t>
      </w:r>
      <w:proofErr w:type="gramStart"/>
      <w:r w:rsidRPr="00A41960">
        <w:t>que</w:t>
      </w:r>
      <w:proofErr w:type="gramEnd"/>
      <w:r w:rsidRPr="00A41960">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rsidRPr="00A41960" w:rsidR="006D7B39" w:rsidRDefault="006D7B39" w14:paraId="6A38EDC3" w14:textId="77777777">
      <w:pPr>
        <w:pStyle w:val="Textoindependiente"/>
        <w:spacing w:before="5"/>
        <w:rPr>
          <w:sz w:val="25"/>
        </w:rPr>
      </w:pPr>
    </w:p>
    <w:p w:rsidRPr="00A41960" w:rsidR="006D7B39" w:rsidRDefault="000D1B1D" w14:paraId="25063413" w14:textId="77777777">
      <w:pPr>
        <w:pStyle w:val="Textoindependiente"/>
        <w:spacing w:line="276" w:lineRule="auto"/>
        <w:ind w:left="300" w:right="311"/>
        <w:jc w:val="both"/>
      </w:pPr>
      <w:r w:rsidRPr="00A41960">
        <w:t xml:space="preserve">En un </w:t>
      </w:r>
      <w:r w:rsidRPr="00A41960">
        <w:rPr>
          <w:i/>
        </w:rPr>
        <w:t>cuarto momento</w:t>
      </w:r>
      <w:r w:rsidRPr="00A41960">
        <w:t xml:space="preserve">, el legislador expidió la Ley 1882 de 2018, con la finalidad de </w:t>
      </w:r>
      <w:r w:rsidRPr="00A41960">
        <w:lastRenderedPageBreak/>
        <w:t>introducir cambios y ajustes para fortalecer la contratación pública. El artículo 5 modificó el parágrafo 1º del artículo 5 de la Ley 1150 de 2007:</w:t>
      </w:r>
    </w:p>
    <w:p w:rsidRPr="00A41960" w:rsidR="006D7B39" w:rsidRDefault="006D7B39" w14:paraId="7A087565" w14:textId="77777777">
      <w:pPr>
        <w:pStyle w:val="Textoindependiente"/>
        <w:spacing w:before="2"/>
        <w:rPr>
          <w:sz w:val="25"/>
        </w:rPr>
      </w:pPr>
    </w:p>
    <w:p w:rsidRPr="00A41960" w:rsidR="006D7B39" w:rsidRDefault="000D1B1D" w14:paraId="318CA23F" w14:textId="77777777">
      <w:pPr>
        <w:pStyle w:val="Textoindependiente"/>
        <w:ind w:left="1005" w:right="5003"/>
      </w:pPr>
      <w:r w:rsidRPr="00A41960">
        <w:t>Artículo 5°. De la selección objetiva. (... )</w:t>
      </w:r>
    </w:p>
    <w:p w:rsidRPr="00A41960" w:rsidR="006D7B39" w:rsidRDefault="006D7B39" w14:paraId="7B391CC8" w14:textId="77777777">
      <w:pPr>
        <w:pStyle w:val="Textoindependiente"/>
        <w:spacing w:before="2"/>
      </w:pPr>
    </w:p>
    <w:p w:rsidRPr="00A41960" w:rsidR="006D7B39" w:rsidRDefault="000D1B1D" w14:paraId="591212F3" w14:textId="77777777">
      <w:pPr>
        <w:pStyle w:val="Textoindependiente"/>
        <w:ind w:left="1005" w:right="304"/>
        <w:jc w:val="both"/>
      </w:pPr>
      <w:r w:rsidRPr="00A41960">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w:t>
      </w:r>
      <w:r w:rsidRPr="00A41960">
        <w:rPr>
          <w:spacing w:val="2"/>
        </w:rPr>
        <w:t xml:space="preserve">no </w:t>
      </w:r>
      <w:r w:rsidRPr="00A41960">
        <w:t>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w:t>
      </w:r>
      <w:r w:rsidRPr="00A41960">
        <w:rPr>
          <w:spacing w:val="-7"/>
        </w:rPr>
        <w:t xml:space="preserve"> </w:t>
      </w:r>
      <w:r w:rsidRPr="00A41960">
        <w:t>proceso.</w:t>
      </w:r>
    </w:p>
    <w:p w:rsidRPr="00A41960" w:rsidR="006D7B39" w:rsidRDefault="006D7B39" w14:paraId="256DDC81" w14:textId="77777777">
      <w:pPr>
        <w:pStyle w:val="Textoindependiente"/>
        <w:spacing w:before="1"/>
        <w:rPr>
          <w:sz w:val="25"/>
        </w:rPr>
      </w:pPr>
    </w:p>
    <w:p w:rsidRPr="00A41960" w:rsidR="006D7B39" w:rsidP="008E35F0" w:rsidRDefault="000D1B1D" w14:paraId="169BA358" w14:textId="02F33E5C">
      <w:pPr>
        <w:pStyle w:val="Textoindependiente"/>
        <w:spacing w:before="1" w:line="276" w:lineRule="auto"/>
        <w:ind w:left="300" w:right="304"/>
        <w:jc w:val="both"/>
        <w:rPr>
          <w:sz w:val="20"/>
        </w:rPr>
      </w:pPr>
      <w:r w:rsidRPr="00A41960">
        <w:t>Como puede observarse, 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cuatro aspectos que se analizarán a continuación.</w:t>
      </w:r>
      <w:r w:rsidRPr="00A41960" w:rsidR="008E35F0">
        <w:t xml:space="preserve"> </w:t>
      </w:r>
    </w:p>
    <w:p w:rsidRPr="00A41960" w:rsidR="006D7B39" w:rsidRDefault="006D7B39" w14:paraId="6BD61738" w14:textId="77777777">
      <w:pPr>
        <w:pStyle w:val="Textoindependiente"/>
        <w:spacing w:before="11"/>
        <w:rPr>
          <w:sz w:val="21"/>
        </w:rPr>
      </w:pPr>
    </w:p>
    <w:p w:rsidRPr="00A41960" w:rsidR="006D7B39" w:rsidRDefault="000D1B1D" w14:paraId="0F45BEA6" w14:textId="45A91086">
      <w:pPr>
        <w:pStyle w:val="Textoindependiente"/>
        <w:spacing w:before="93" w:line="276" w:lineRule="auto"/>
        <w:ind w:left="300" w:right="301"/>
        <w:jc w:val="both"/>
      </w:pPr>
      <w:r w:rsidRPr="00A41960">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sidRPr="00A41960" w:rsidR="000F6BB9">
        <w:rPr>
          <w:rStyle w:val="Refdenotaalpie"/>
        </w:rPr>
        <w:footnoteReference w:id="5"/>
      </w:r>
      <w:r w:rsidRPr="00A41960">
        <w:t>; en el último los documentos o requisitos subsanables pueden y deben solicitarse hasta el momento previo a su realización.</w:t>
      </w:r>
    </w:p>
    <w:p w:rsidRPr="00A41960" w:rsidR="006D7B39" w:rsidRDefault="006D7B39" w14:paraId="01AFB12A" w14:textId="77777777">
      <w:pPr>
        <w:pStyle w:val="Textoindependiente"/>
        <w:spacing w:before="2"/>
        <w:rPr>
          <w:sz w:val="25"/>
        </w:rPr>
      </w:pPr>
    </w:p>
    <w:p w:rsidRPr="00A41960" w:rsidR="006D7B39" w:rsidRDefault="000D1B1D" w14:paraId="4C2C36FA" w14:textId="77777777">
      <w:pPr>
        <w:pStyle w:val="Textoindependiente"/>
        <w:spacing w:line="276" w:lineRule="auto"/>
        <w:ind w:left="300" w:right="306"/>
        <w:jc w:val="both"/>
      </w:pPr>
      <w:r w:rsidRPr="00A41960">
        <w:t>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w:t>
      </w:r>
      <w:r w:rsidRPr="00A41960">
        <w:rPr>
          <w:spacing w:val="-8"/>
        </w:rPr>
        <w:t xml:space="preserve"> </w:t>
      </w:r>
      <w:r w:rsidRPr="00A41960">
        <w:t>evaluación.</w:t>
      </w:r>
    </w:p>
    <w:p w:rsidRPr="00A41960" w:rsidR="006D7B39" w:rsidRDefault="006D7B39" w14:paraId="574600CB" w14:textId="77777777">
      <w:pPr>
        <w:pStyle w:val="Textoindependiente"/>
        <w:spacing w:before="4"/>
        <w:rPr>
          <w:sz w:val="25"/>
        </w:rPr>
      </w:pPr>
    </w:p>
    <w:p w:rsidRPr="00A41960" w:rsidR="006D7B39" w:rsidRDefault="000D1B1D" w14:paraId="339952C6" w14:textId="77777777">
      <w:pPr>
        <w:spacing w:line="276" w:lineRule="auto"/>
        <w:ind w:left="300" w:right="304"/>
        <w:jc w:val="both"/>
      </w:pPr>
      <w:r w:rsidRPr="00A41960">
        <w:lastRenderedPageBreak/>
        <w:t>En efecto, la redacción de la norma permite que la Administración solicite a los oferentes subsanar y que estos lo hagan hasta antes del término del traslado del informe de evaluación: “</w:t>
      </w:r>
      <w:r w:rsidRPr="00A41960">
        <w:rPr>
          <w:i/>
        </w:rPr>
        <w:t xml:space="preserve">deberán ser </w:t>
      </w:r>
      <w:r w:rsidRPr="00A41960">
        <w:rPr>
          <w:b/>
          <w:i/>
        </w:rPr>
        <w:t xml:space="preserve">solicitados </w:t>
      </w:r>
      <w:r w:rsidRPr="00A41960">
        <w:rPr>
          <w:i/>
        </w:rPr>
        <w:t xml:space="preserve">por las entidades estatales y deberán ser </w:t>
      </w:r>
      <w:r w:rsidRPr="00A41960">
        <w:rPr>
          <w:b/>
          <w:i/>
        </w:rPr>
        <w:t xml:space="preserve">entregados </w:t>
      </w:r>
      <w:r w:rsidRPr="00A41960">
        <w:rPr>
          <w:i/>
        </w:rPr>
        <w:t xml:space="preserve">por los proponentes </w:t>
      </w:r>
      <w:r w:rsidRPr="00A41960">
        <w:rPr>
          <w:b/>
          <w:i/>
        </w:rPr>
        <w:t xml:space="preserve">hasta </w:t>
      </w:r>
      <w:r w:rsidRPr="00A41960">
        <w:rPr>
          <w:i/>
        </w:rPr>
        <w:t>el término de traslado del informe de evaluación que corresponda a cada modalidad de</w:t>
      </w:r>
      <w:r w:rsidRPr="00A41960">
        <w:rPr>
          <w:i/>
          <w:spacing w:val="-4"/>
        </w:rPr>
        <w:t xml:space="preserve"> </w:t>
      </w:r>
      <w:r w:rsidRPr="00A41960">
        <w:rPr>
          <w:i/>
        </w:rPr>
        <w:t>selección</w:t>
      </w:r>
      <w:r w:rsidRPr="00A41960">
        <w:t>”.</w:t>
      </w:r>
    </w:p>
    <w:p w:rsidRPr="00A41960" w:rsidR="006D7B39" w:rsidRDefault="006D7B39" w14:paraId="1C094668" w14:textId="77777777">
      <w:pPr>
        <w:pStyle w:val="Textoindependiente"/>
        <w:spacing w:before="4"/>
        <w:rPr>
          <w:sz w:val="25"/>
        </w:rPr>
      </w:pPr>
    </w:p>
    <w:p w:rsidRPr="00A41960" w:rsidR="006D7B39" w:rsidRDefault="000D1B1D" w14:paraId="2ADEBA68" w14:textId="77777777">
      <w:pPr>
        <w:pStyle w:val="Textoindependiente"/>
        <w:spacing w:line="276" w:lineRule="auto"/>
        <w:ind w:left="300" w:right="304"/>
        <w:jc w:val="both"/>
      </w:pPr>
      <w:r w:rsidRPr="00A41960">
        <w:t xml:space="preserve">No obstante, de la lectura de este aparte podrían, en la práctica, darse dos interpretaciones que dan lugar a dos formas de proceder en los procesos de selección, en lo que a la </w:t>
      </w:r>
      <w:proofErr w:type="spellStart"/>
      <w:r w:rsidRPr="00A41960">
        <w:t>subsanabilidad</w:t>
      </w:r>
      <w:proofErr w:type="spellEnd"/>
      <w:r w:rsidRPr="00A41960">
        <w:t xml:space="preserve">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límite para la subsanación de ofertas, pero no el único momento para hacerlo.</w:t>
      </w:r>
    </w:p>
    <w:p w:rsidRPr="00A41960" w:rsidR="006D7B39" w:rsidRDefault="006D7B39" w14:paraId="3DA1EB38" w14:textId="77777777">
      <w:pPr>
        <w:pStyle w:val="Textoindependiente"/>
        <w:spacing w:before="5"/>
        <w:rPr>
          <w:sz w:val="25"/>
        </w:rPr>
      </w:pPr>
    </w:p>
    <w:p w:rsidRPr="00A41960" w:rsidR="006D7B39" w:rsidP="008E35F0" w:rsidRDefault="000D1B1D" w14:paraId="3F128BDF" w14:textId="72CAFD6C">
      <w:pPr>
        <w:pStyle w:val="Textoindependiente"/>
        <w:spacing w:line="276" w:lineRule="auto"/>
        <w:ind w:left="300" w:right="307"/>
        <w:jc w:val="both"/>
        <w:rPr>
          <w:sz w:val="20"/>
        </w:rPr>
      </w:pPr>
      <w:r w:rsidRPr="00A41960">
        <w:t>De acuerdo con la primera interpretación, el informe de evaluación se convierte en la oportunidad que adopta la Administración para decirle a los oferentes qué documentos o requisitos omitió y debe subsanar y, consecuentemente, el término del traslado es la oportunidad del proponente para cumplir con lo solicitado.</w:t>
      </w:r>
      <w:r w:rsidRPr="00A41960" w:rsidR="008E35F0">
        <w:t xml:space="preserve"> </w:t>
      </w:r>
    </w:p>
    <w:p w:rsidRPr="00A41960" w:rsidR="006D7B39" w:rsidRDefault="006D7B39" w14:paraId="458CB52B" w14:textId="77777777">
      <w:pPr>
        <w:pStyle w:val="Textoindependiente"/>
        <w:spacing w:before="5"/>
        <w:rPr>
          <w:sz w:val="16"/>
        </w:rPr>
      </w:pPr>
    </w:p>
    <w:p w:rsidRPr="00A41960" w:rsidR="006D7B39" w:rsidRDefault="000D1B1D" w14:paraId="420F0438" w14:textId="77777777">
      <w:pPr>
        <w:pStyle w:val="Textoindependiente"/>
        <w:spacing w:before="93" w:line="276" w:lineRule="auto"/>
        <w:ind w:left="300" w:right="305"/>
        <w:jc w:val="both"/>
      </w:pPr>
      <w:r w:rsidRPr="00A41960">
        <w:t>La segunda interpretación permitiría que la Administración requiera al oferente durante el proceso de evaluación de las propuestas tan pronto advierta que hace falta un documento o requisito que se puede subsanar. En este caso, el proceso de subsanación se lleva a cabo con anterioridad a la publicación del informe de evaluación, de manera que una vez se publica el informe ya se encuentren subsanadas las propuestas, sin perjuicio del término límite que concedió la</w:t>
      </w:r>
      <w:r w:rsidRPr="00A41960">
        <w:rPr>
          <w:spacing w:val="-6"/>
        </w:rPr>
        <w:t xml:space="preserve"> </w:t>
      </w:r>
      <w:r w:rsidRPr="00A41960">
        <w:t>ley.</w:t>
      </w:r>
    </w:p>
    <w:p w:rsidRPr="00A41960" w:rsidR="006D7B39" w:rsidRDefault="006D7B39" w14:paraId="5521AAC4" w14:textId="77777777">
      <w:pPr>
        <w:pStyle w:val="Textoindependiente"/>
        <w:spacing w:before="5"/>
        <w:rPr>
          <w:sz w:val="25"/>
        </w:rPr>
      </w:pPr>
    </w:p>
    <w:p w:rsidRPr="00A41960" w:rsidR="006D7B39" w:rsidRDefault="000D1B1D" w14:paraId="07A0F38E" w14:textId="77777777">
      <w:pPr>
        <w:pStyle w:val="Textoindependiente"/>
        <w:spacing w:line="276" w:lineRule="auto"/>
        <w:ind w:left="300" w:right="310"/>
        <w:jc w:val="both"/>
      </w:pPr>
      <w:r w:rsidRPr="00A41960">
        <w:t>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rsidRPr="00A41960" w:rsidR="006D7B39" w:rsidRDefault="006D7B39" w14:paraId="44AC339A" w14:textId="77777777">
      <w:pPr>
        <w:pStyle w:val="Textoindependiente"/>
        <w:spacing w:before="3"/>
        <w:rPr>
          <w:sz w:val="25"/>
        </w:rPr>
      </w:pPr>
    </w:p>
    <w:p w:rsidRPr="00A41960" w:rsidR="006D7B39" w:rsidRDefault="000D1B1D" w14:paraId="1D446A72" w14:textId="77777777">
      <w:pPr>
        <w:pStyle w:val="Textoindependiente"/>
        <w:spacing w:line="276" w:lineRule="auto"/>
        <w:ind w:left="300" w:right="306"/>
        <w:jc w:val="both"/>
      </w:pPr>
      <w:r w:rsidRPr="00A41960">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la norma no impide que esto se realice con anterioridad a la publicación del informe, inclusive, es más adecuado y </w:t>
      </w:r>
      <w:r w:rsidRPr="00A41960">
        <w:lastRenderedPageBreak/>
        <w:t>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w:t>
      </w:r>
    </w:p>
    <w:p w:rsidRPr="00A41960" w:rsidR="006D7B39" w:rsidRDefault="006D7B39" w14:paraId="64B46689" w14:textId="77777777">
      <w:pPr>
        <w:pStyle w:val="Textoindependiente"/>
        <w:spacing w:before="4"/>
        <w:rPr>
          <w:sz w:val="25"/>
        </w:rPr>
      </w:pPr>
    </w:p>
    <w:p w:rsidRPr="00A41960" w:rsidR="006D7B39" w:rsidRDefault="000D1B1D" w14:paraId="77CE8EC7" w14:textId="77777777">
      <w:pPr>
        <w:spacing w:before="1" w:line="276" w:lineRule="auto"/>
        <w:ind w:left="300" w:right="305"/>
        <w:jc w:val="both"/>
      </w:pPr>
      <w:r w:rsidRPr="00A41960">
        <w:t>De otro lado, el segundo cambio importante de la Ley 1882 de 2018 fue la introducción de un criterio material, directamente relacionado con los aspectos subsanables: “</w:t>
      </w:r>
      <w:r w:rsidRPr="00A41960">
        <w:rPr>
          <w:i/>
        </w:rPr>
        <w:t>los proponentes no podrán acreditar circunstancias ocurridas con posterioridad al cierre del proceso</w:t>
      </w:r>
      <w:r w:rsidRPr="00A41960">
        <w:t>”</w:t>
      </w:r>
      <w:r w:rsidRPr="00A41960">
        <w:rPr>
          <w:b/>
        </w:rPr>
        <w:t xml:space="preserve">. </w:t>
      </w:r>
      <w:r w:rsidRPr="00A41960">
        <w:t>Lo anterior nos ofrece dos aspectos que merecen clarificación; primero, qué debe entenderse por circunstancias ocurridas con posterioridad; y segundo, qué es el cierre del</w:t>
      </w:r>
      <w:r w:rsidRPr="00A41960">
        <w:rPr>
          <w:spacing w:val="-2"/>
        </w:rPr>
        <w:t xml:space="preserve"> </w:t>
      </w:r>
      <w:r w:rsidRPr="00A41960">
        <w:t>proceso.</w:t>
      </w:r>
    </w:p>
    <w:p w:rsidRPr="00A41960" w:rsidR="006D7B39" w:rsidRDefault="006D7B39" w14:paraId="4A484F8B" w14:textId="77777777">
      <w:pPr>
        <w:pStyle w:val="Textoindependiente"/>
        <w:spacing w:before="4"/>
        <w:rPr>
          <w:sz w:val="25"/>
        </w:rPr>
      </w:pPr>
    </w:p>
    <w:p w:rsidRPr="00A41960" w:rsidR="006D7B39" w:rsidP="000F6BB9" w:rsidRDefault="000D1B1D" w14:paraId="67641096" w14:textId="2766B3F3">
      <w:pPr>
        <w:pStyle w:val="Textoindependiente"/>
        <w:spacing w:before="1" w:line="276" w:lineRule="auto"/>
        <w:ind w:left="300" w:right="306"/>
        <w:jc w:val="both"/>
      </w:pPr>
      <w:r w:rsidRPr="00A41960">
        <w:t xml:space="preserve">La Sala de Consulta y Servicio Civil del Consejo de Estado ya había tenido la oportunidad de precisar estas expresiones, a propósito de un concepto en el que se refirió al artículo 10 </w:t>
      </w:r>
      <w:proofErr w:type="gramStart"/>
      <w:r w:rsidRPr="00A41960">
        <w:t>del  derogado</w:t>
      </w:r>
      <w:proofErr w:type="gramEnd"/>
      <w:r w:rsidRPr="00A41960">
        <w:t xml:space="preserve">  Decreto  2474  de  2008</w:t>
      </w:r>
      <w:r w:rsidRPr="00A41960" w:rsidR="000F6BB9">
        <w:rPr>
          <w:rStyle w:val="Refdenotaalpie"/>
        </w:rPr>
        <w:footnoteReference w:id="6"/>
      </w:r>
      <w:r w:rsidRPr="00A41960">
        <w:t>, que  había  determinado  que  en  ningún  caso</w:t>
      </w:r>
      <w:r w:rsidRPr="00A41960">
        <w:rPr>
          <w:spacing w:val="9"/>
        </w:rPr>
        <w:t xml:space="preserve"> </w:t>
      </w:r>
      <w:r w:rsidRPr="00A41960">
        <w:t>la</w:t>
      </w:r>
      <w:r w:rsidRPr="00A41960" w:rsidR="000F6BB9">
        <w:t xml:space="preserve"> </w:t>
      </w:r>
      <w:r w:rsidRPr="00A41960">
        <w:t>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w:t>
      </w:r>
      <w:r w:rsidRPr="00A41960">
        <w:rPr>
          <w:spacing w:val="-21"/>
        </w:rPr>
        <w:t xml:space="preserve"> </w:t>
      </w:r>
      <w:r w:rsidRPr="00A41960">
        <w:t>fecha:</w:t>
      </w:r>
    </w:p>
    <w:p w:rsidRPr="00A41960" w:rsidR="006D7B39" w:rsidRDefault="006D7B39" w14:paraId="04DD357E" w14:textId="77777777">
      <w:pPr>
        <w:pStyle w:val="Textoindependiente"/>
        <w:spacing w:before="4"/>
        <w:rPr>
          <w:sz w:val="25"/>
        </w:rPr>
      </w:pPr>
    </w:p>
    <w:p w:rsidRPr="00A41960" w:rsidR="006D7B39" w:rsidRDefault="000D1B1D" w14:paraId="3559E4F0" w14:textId="77777777">
      <w:pPr>
        <w:pStyle w:val="Textoindependiente"/>
        <w:ind w:left="1005" w:right="304"/>
        <w:jc w:val="both"/>
      </w:pPr>
      <w:r w:rsidRPr="00A41960">
        <w:t xml:space="preserve">Sin embargo, debe tenerse en cuenta que la última norma en cita -Decreto 2474 de 2008, aparte subrayado-, establece un límite a la </w:t>
      </w:r>
      <w:proofErr w:type="spellStart"/>
      <w:r w:rsidRPr="00A41960">
        <w:t>subsanabilidad</w:t>
      </w:r>
      <w:proofErr w:type="spellEnd"/>
      <w:r w:rsidRPr="00A41960">
        <w:t>, puesto que en cualquier caso debe referirse o recaer sobre circunstancias ocurridas antes del cierre del respectivo proceso, esto es, del vencimiento del plazo para presentar ofertas.</w:t>
      </w:r>
    </w:p>
    <w:p w:rsidRPr="00A41960" w:rsidR="006D7B39" w:rsidRDefault="006D7B39" w14:paraId="54B08D93" w14:textId="77777777">
      <w:pPr>
        <w:pStyle w:val="Textoindependiente"/>
      </w:pPr>
    </w:p>
    <w:p w:rsidRPr="00A41960" w:rsidR="006D7B39" w:rsidP="00EC1F5F" w:rsidRDefault="000D1B1D" w14:paraId="251F8725" w14:textId="5D244512">
      <w:pPr>
        <w:pStyle w:val="Textoindependiente"/>
        <w:ind w:left="1005" w:right="308"/>
        <w:jc w:val="both"/>
        <w:rPr>
          <w:sz w:val="20"/>
        </w:rPr>
      </w:pPr>
      <w:r w:rsidRPr="00A41960">
        <w:t xml:space="preserve">De esta manera, quien se presenta al proceso de selección debe cumplir para la fecha en que ‘se cierra el proceso’ con los requisitos que se requieren para presentar </w:t>
      </w:r>
      <w:r w:rsidRPr="00A41960">
        <w:lastRenderedPageBreak/>
        <w:t>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A41960" w:rsidR="00EC1F5F">
        <w:rPr>
          <w:rStyle w:val="Refdenotaalpie"/>
        </w:rPr>
        <w:footnoteReference w:id="7"/>
      </w:r>
      <w:r w:rsidRPr="00A41960">
        <w:t>.</w:t>
      </w:r>
    </w:p>
    <w:p w:rsidRPr="00A41960" w:rsidR="006D7B39" w:rsidRDefault="006D7B39" w14:paraId="45905036" w14:textId="77777777">
      <w:pPr>
        <w:pStyle w:val="Textoindependiente"/>
        <w:spacing w:before="5"/>
        <w:rPr>
          <w:sz w:val="16"/>
        </w:rPr>
      </w:pPr>
    </w:p>
    <w:p w:rsidRPr="00A41960" w:rsidR="006D7B39" w:rsidRDefault="000D1B1D" w14:paraId="4C62032E" w14:textId="77777777">
      <w:pPr>
        <w:pStyle w:val="Textoindependiente"/>
        <w:spacing w:before="93" w:line="276" w:lineRule="auto"/>
        <w:ind w:left="300" w:right="306"/>
        <w:jc w:val="both"/>
      </w:pPr>
      <w:r w:rsidRPr="00A41960">
        <w:t>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w:t>
      </w:r>
    </w:p>
    <w:p w:rsidRPr="00A41960" w:rsidR="006D7B39" w:rsidRDefault="006D7B39" w14:paraId="6720D433" w14:textId="77777777">
      <w:pPr>
        <w:pStyle w:val="Textoindependiente"/>
        <w:spacing w:before="4"/>
        <w:rPr>
          <w:sz w:val="25"/>
        </w:rPr>
      </w:pPr>
    </w:p>
    <w:p w:rsidRPr="00A41960" w:rsidR="006D7B39" w:rsidRDefault="000D1B1D" w14:paraId="71799638" w14:textId="77777777">
      <w:pPr>
        <w:pStyle w:val="Textoindependiente"/>
        <w:spacing w:line="276" w:lineRule="auto"/>
        <w:ind w:left="300" w:right="309"/>
        <w:jc w:val="both"/>
      </w:pPr>
      <w:r w:rsidRPr="00A41960">
        <w:t xml:space="preserve">Un mejor entendimiento del significado de la expresión “circunstancias ocurridas con posterioridad al cierre del proceso” nos lleva necesariamente a distinguir entre la prueba de un hecho y el hecho mismo. En el caso de la </w:t>
      </w:r>
      <w:proofErr w:type="spellStart"/>
      <w:r w:rsidRPr="00A41960">
        <w:t>subsanabilidad</w:t>
      </w:r>
      <w:proofErr w:type="spellEnd"/>
      <w:r w:rsidRPr="00A41960">
        <w:t xml:space="preserve"> de las ofertas, una cosa 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w:t>
      </w:r>
    </w:p>
    <w:p w:rsidRPr="00A41960" w:rsidR="006D7B39" w:rsidRDefault="006D7B39" w14:paraId="6084DF8C" w14:textId="77777777">
      <w:pPr>
        <w:pStyle w:val="Textoindependiente"/>
        <w:spacing w:before="4"/>
        <w:rPr>
          <w:sz w:val="25"/>
        </w:rPr>
      </w:pPr>
    </w:p>
    <w:p w:rsidRPr="00A41960" w:rsidR="006D7B39" w:rsidP="00EC1F5F" w:rsidRDefault="000D1B1D" w14:paraId="73FB237A" w14:textId="567F0E8A">
      <w:pPr>
        <w:pStyle w:val="Textoindependiente"/>
        <w:spacing w:line="276" w:lineRule="auto"/>
        <w:ind w:left="300" w:right="304"/>
        <w:jc w:val="both"/>
        <w:rPr>
          <w:sz w:val="20"/>
        </w:rPr>
      </w:pPr>
      <w:r w:rsidRPr="00A41960">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A41960" w:rsidR="00EC1F5F">
        <w:rPr>
          <w:rStyle w:val="Refdenotaalpie"/>
        </w:rPr>
        <w:footnoteReference w:id="8"/>
      </w:r>
      <w:r w:rsidRPr="00A41960">
        <w:t xml:space="preserve">; </w:t>
      </w:r>
      <w:proofErr w:type="spellStart"/>
      <w:r w:rsidRPr="00A41960">
        <w:t>iii</w:t>
      </w:r>
      <w:proofErr w:type="spellEnd"/>
      <w:r w:rsidRPr="00A41960">
        <w:t xml:space="preserve">) si un oferente no anexó el Certificado de existencia y representación legal, el documento aportado con posterioridad </w:t>
      </w:r>
      <w:r w:rsidRPr="00A41960">
        <w:lastRenderedPageBreak/>
        <w:t>debe dar cuenta de que la sociedad existe antes del cierre del proceso</w:t>
      </w:r>
      <w:r w:rsidRPr="00A41960" w:rsidR="00EC1F5F">
        <w:rPr>
          <w:rStyle w:val="Refdenotaalpie"/>
        </w:rPr>
        <w:footnoteReference w:id="9"/>
      </w:r>
      <w:r w:rsidRPr="00A41960">
        <w:t xml:space="preserve">; </w:t>
      </w:r>
      <w:proofErr w:type="spellStart"/>
      <w:r w:rsidRPr="00A41960">
        <w:t>iv</w:t>
      </w:r>
      <w:proofErr w:type="spellEnd"/>
      <w:r w:rsidRPr="00A41960">
        <w:t>)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w:t>
      </w:r>
      <w:r w:rsidRPr="00A41960">
        <w:rPr>
          <w:spacing w:val="-13"/>
        </w:rPr>
        <w:t xml:space="preserve"> </w:t>
      </w:r>
      <w:r w:rsidRPr="00A41960">
        <w:t>proceso.</w:t>
      </w:r>
      <w:r w:rsidRPr="00A41960" w:rsidR="00EC1F5F">
        <w:t xml:space="preserve"> </w:t>
      </w:r>
    </w:p>
    <w:p w:rsidRPr="00A41960" w:rsidR="006D7B39" w:rsidRDefault="006D7B39" w14:paraId="048D05D2" w14:textId="77777777">
      <w:pPr>
        <w:pStyle w:val="Textoindependiente"/>
        <w:spacing w:before="5"/>
        <w:rPr>
          <w:sz w:val="16"/>
        </w:rPr>
      </w:pPr>
    </w:p>
    <w:p w:rsidRPr="00A41960" w:rsidR="006D7B39" w:rsidRDefault="000D1B1D" w14:paraId="3124FE90" w14:textId="77777777">
      <w:pPr>
        <w:pStyle w:val="Textoindependiente"/>
        <w:spacing w:before="93" w:line="276" w:lineRule="auto"/>
        <w:ind w:left="300" w:right="306"/>
        <w:jc w:val="both"/>
      </w:pPr>
      <w:r w:rsidRPr="00A41960">
        <w:t>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w:t>
      </w:r>
      <w:r w:rsidRPr="00A41960">
        <w:rPr>
          <w:spacing w:val="-4"/>
        </w:rPr>
        <w:t xml:space="preserve"> </w:t>
      </w:r>
      <w:r w:rsidRPr="00A41960">
        <w:t>proceso.</w:t>
      </w:r>
    </w:p>
    <w:p w:rsidRPr="00A41960" w:rsidR="006D7B39" w:rsidRDefault="006D7B39" w14:paraId="7346B9C5" w14:textId="77777777">
      <w:pPr>
        <w:pStyle w:val="Textoindependiente"/>
        <w:spacing w:before="5"/>
        <w:rPr>
          <w:sz w:val="25"/>
        </w:rPr>
      </w:pPr>
    </w:p>
    <w:p w:rsidRPr="00A41960" w:rsidR="006D7B39" w:rsidRDefault="000D1B1D" w14:paraId="7B51A423" w14:textId="578C32C3">
      <w:pPr>
        <w:pStyle w:val="Textoindependiente"/>
        <w:spacing w:line="276" w:lineRule="auto"/>
        <w:ind w:left="300" w:right="306"/>
        <w:jc w:val="both"/>
      </w:pPr>
      <w:r w:rsidRPr="00A41960">
        <w:t xml:space="preserve">Es por ello </w:t>
      </w:r>
      <w:proofErr w:type="gramStart"/>
      <w:r w:rsidRPr="00A41960">
        <w:t>que</w:t>
      </w:r>
      <w:proofErr w:type="gramEnd"/>
      <w:r w:rsidRPr="00A41960">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A41960" w:rsidR="00EC1F5F">
        <w:rPr>
          <w:rStyle w:val="Refdenotaalpie"/>
        </w:rPr>
        <w:footnoteReference w:id="10"/>
      </w:r>
      <w:r w:rsidRPr="00A41960">
        <w:t>.</w:t>
      </w:r>
    </w:p>
    <w:p w:rsidRPr="00A41960" w:rsidR="006D7B39" w:rsidRDefault="006D7B39" w14:paraId="0612D060" w14:textId="77777777">
      <w:pPr>
        <w:pStyle w:val="Textoindependiente"/>
        <w:spacing w:before="3"/>
        <w:rPr>
          <w:sz w:val="25"/>
        </w:rPr>
      </w:pPr>
    </w:p>
    <w:p w:rsidRPr="00A41960" w:rsidR="006D7B39" w:rsidRDefault="000D1B1D" w14:paraId="1AD09784" w14:textId="77777777">
      <w:pPr>
        <w:pStyle w:val="Textoindependiente"/>
        <w:spacing w:line="276" w:lineRule="auto"/>
        <w:ind w:left="300" w:right="304"/>
        <w:jc w:val="both"/>
      </w:pPr>
      <w:r w:rsidRPr="00A41960">
        <w:t xml:space="preserve">Visto lo anterior, una vez verificada la ausencia de requisitos y/o documentos de la oferta, para efectos de saber si se puede subsanar, la administración se debe preguntar, en primer lugar, si lo que hace falta es un </w:t>
      </w:r>
      <w:r w:rsidRPr="00A41960">
        <w:rPr>
          <w:i/>
        </w:rPr>
        <w:t xml:space="preserve">ítem </w:t>
      </w:r>
      <w:r w:rsidRPr="00A41960">
        <w:t>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w:t>
      </w:r>
      <w:r w:rsidRPr="00A41960">
        <w:rPr>
          <w:spacing w:val="-4"/>
        </w:rPr>
        <w:t xml:space="preserve"> </w:t>
      </w:r>
      <w:r w:rsidRPr="00A41960">
        <w:t>proceso.</w:t>
      </w:r>
    </w:p>
    <w:p w:rsidRPr="00A41960" w:rsidR="006D7B39" w:rsidRDefault="006D7B39" w14:paraId="4F5175F9" w14:textId="77777777">
      <w:pPr>
        <w:pStyle w:val="Textoindependiente"/>
        <w:spacing w:before="5"/>
        <w:rPr>
          <w:sz w:val="25"/>
        </w:rPr>
      </w:pPr>
    </w:p>
    <w:p w:rsidRPr="00A41960" w:rsidR="006D7B39" w:rsidRDefault="000D1B1D" w14:paraId="0327B531" w14:textId="77777777">
      <w:pPr>
        <w:pStyle w:val="Textoindependiente"/>
        <w:spacing w:line="276" w:lineRule="auto"/>
        <w:ind w:left="300" w:right="309"/>
        <w:jc w:val="both"/>
      </w:pPr>
      <w:r w:rsidRPr="00A41960">
        <w:t xml:space="preserve">Finalmente, el parágrafo 3 del artículo 5 de la Ley 1882 de 2018 determinó, de manera expresa, que “la no entrega de la garantía de seriedad junto con la propuesta no será subsanable y será causal de rechazo de la misma”, dejando claro que se trata de un </w:t>
      </w:r>
      <w:r w:rsidRPr="00A41960">
        <w:lastRenderedPageBreak/>
        <w:t>documento de obligatoria presentación junto con la propuesta y que materializa los principios de seriedad e irrevocabilidad de la oferta.</w:t>
      </w:r>
    </w:p>
    <w:p w:rsidRPr="00A41960" w:rsidR="006D7B39" w:rsidRDefault="006D7B39" w14:paraId="255EC336" w14:textId="77777777">
      <w:pPr>
        <w:pStyle w:val="Textoindependiente"/>
        <w:spacing w:before="3"/>
        <w:rPr>
          <w:sz w:val="25"/>
        </w:rPr>
      </w:pPr>
    </w:p>
    <w:p w:rsidRPr="00A41960" w:rsidR="006D7B39" w:rsidRDefault="000D1B1D" w14:paraId="3F73C11E" w14:textId="77777777">
      <w:pPr>
        <w:pStyle w:val="Textoindependiente"/>
        <w:spacing w:line="276" w:lineRule="auto"/>
        <w:ind w:left="300" w:right="306"/>
        <w:jc w:val="both"/>
      </w:pPr>
      <w:r w:rsidRPr="00A41960">
        <w:t>Por su parte, en razón a que su consulta se refiere a la presentación del RUP vencido y la posibilidad de subsanarlo. A continuación, se explicará la normativa que regula la inscripción y renovación del Registro Único de Proponentes.</w:t>
      </w:r>
    </w:p>
    <w:p w:rsidRPr="00A41960" w:rsidR="006D7B39" w:rsidRDefault="006D7B39" w14:paraId="56C465DA" w14:textId="77777777">
      <w:pPr>
        <w:pStyle w:val="Textoindependiente"/>
        <w:spacing w:before="5"/>
        <w:rPr>
          <w:sz w:val="25"/>
        </w:rPr>
      </w:pPr>
    </w:p>
    <w:p w:rsidRPr="00A41960" w:rsidR="006D7B39" w:rsidP="00EC1F5F" w:rsidRDefault="000D1B1D" w14:paraId="67B6FB25" w14:textId="4B4F38B4">
      <w:pPr>
        <w:pStyle w:val="Textoindependiente"/>
        <w:spacing w:line="276" w:lineRule="auto"/>
        <w:ind w:left="300" w:right="305"/>
        <w:jc w:val="both"/>
      </w:pPr>
      <w:r w:rsidRPr="00A41960">
        <w:t>La Ley 1150 de 2007, en el artículo 6, establece como obligación para las personas naturales o jurídicas que aspiran celebrar contratos con las entidades estatales estar</w:t>
      </w:r>
      <w:r w:rsidRPr="00A41960" w:rsidR="00EC1F5F">
        <w:t xml:space="preserve"> </w:t>
      </w:r>
      <w:r w:rsidRPr="00A41960">
        <w:t>inscritas en el Registro Único de Proponentes</w:t>
      </w:r>
      <w:r w:rsidRPr="00A41960" w:rsidR="00EC1F5F">
        <w:rPr>
          <w:rStyle w:val="Refdenotaalpie"/>
        </w:rPr>
        <w:footnoteReference w:id="11"/>
      </w:r>
      <w:r w:rsidRPr="00A41960">
        <w:t>. Esta obligación se reiteró por el artículo 2.2.1.1.1.5.1 del Decreto 1082 de 2015, al establecer que: “Las personas naturales y jurídicas, nacionales o extranjeras, con domicilio en Colombia, interesadas en participar en Procesos de Contratación convocados por las Entidades Estatales, deben estar inscritas en el RUP, salvo las excepciones previstas de forma taxativa en la ley”. En este sentido, las personas naturales o jurídicas que aspiren celebrar contratos con entidades estatales deben estar inscritas en el Registro Único de Proponentes, al momento de presentar oferta en un proceso de</w:t>
      </w:r>
      <w:r w:rsidRPr="00A41960">
        <w:rPr>
          <w:spacing w:val="-3"/>
        </w:rPr>
        <w:t xml:space="preserve"> </w:t>
      </w:r>
      <w:r w:rsidRPr="00A41960">
        <w:t>contratación.</w:t>
      </w:r>
    </w:p>
    <w:p w:rsidRPr="00A41960" w:rsidR="006D7B39" w:rsidRDefault="006D7B39" w14:paraId="71CDB52C" w14:textId="77777777">
      <w:pPr>
        <w:pStyle w:val="Textoindependiente"/>
        <w:spacing w:before="5"/>
        <w:rPr>
          <w:sz w:val="25"/>
        </w:rPr>
      </w:pPr>
    </w:p>
    <w:p w:rsidRPr="00A41960" w:rsidR="006D7B39" w:rsidP="00EC1F5F" w:rsidRDefault="000D1B1D" w14:paraId="2020E9DF" w14:textId="2C9CF81F">
      <w:pPr>
        <w:pStyle w:val="Textoindependiente"/>
        <w:spacing w:line="276" w:lineRule="auto"/>
        <w:ind w:left="300" w:right="305"/>
        <w:jc w:val="both"/>
        <w:rPr>
          <w:sz w:val="21"/>
        </w:rPr>
      </w:pPr>
      <w:r w:rsidRPr="00A41960">
        <w:t>Ahora, el numeral 6.1 del artículo 6 de la Ley 1150 de 2007 dispone que la Cámara de Comercio realizará la verificación documental de la información presentada por los interesados al momento de inscribirse en el RUP</w:t>
      </w:r>
      <w:r w:rsidRPr="00A41960" w:rsidR="00EC1F5F">
        <w:rPr>
          <w:rStyle w:val="Refdenotaalpie"/>
        </w:rPr>
        <w:footnoteReference w:id="12"/>
      </w:r>
      <w:r w:rsidRPr="00A41960">
        <w:t xml:space="preserve">. Por su parte, el artículo 2.2.1.1.1.1.5.2 </w:t>
      </w:r>
      <w:r w:rsidRPr="00A41960">
        <w:lastRenderedPageBreak/>
        <w:t>del Decreto 1082 de 2015 relaciona los documentos que debe aportar tanto la persona natural como jurídica para inscribirse en del Registro Único de Proponentes: i) certificados de experiencia, ii) identificación de los bienes y servicios que ofrecerá a las entidades estatales, identificados con el Clasificador de Bienes y Servicios en el tercer nivel, ii) si la persona debe llevar contabilidad, copia de la información contable del último año exigida por las normas tributarias, entre otros.</w:t>
      </w:r>
    </w:p>
    <w:p w:rsidRPr="00A41960" w:rsidR="006D7B39" w:rsidRDefault="000D1B1D" w14:paraId="29B8E4D5" w14:textId="77777777">
      <w:pPr>
        <w:pStyle w:val="Textoindependiente"/>
        <w:spacing w:before="93" w:line="276" w:lineRule="auto"/>
        <w:ind w:left="300" w:right="307"/>
        <w:jc w:val="both"/>
      </w:pPr>
      <w:r w:rsidRPr="00A41960">
        <w:t>Con fundamento en estos, la Cámara de Comercio, de acuerdo con el artículo 2.2.1.1.1.5.3 del Decreto 1082 de 2015, verificará y certificará los requisitos habilitantes de experiencia, capacidad jurídica, capacidad financiera.</w:t>
      </w:r>
    </w:p>
    <w:p w:rsidRPr="00A41960" w:rsidR="006D7B39" w:rsidRDefault="006D7B39" w14:paraId="352F8A88" w14:textId="77777777">
      <w:pPr>
        <w:pStyle w:val="Textoindependiente"/>
        <w:spacing w:before="1"/>
        <w:rPr>
          <w:sz w:val="25"/>
        </w:rPr>
      </w:pPr>
    </w:p>
    <w:p w:rsidRPr="00A41960" w:rsidR="006D7B39" w:rsidP="00EC1F5F" w:rsidRDefault="000D1B1D" w14:paraId="7D28E707" w14:textId="29515FE8">
      <w:pPr>
        <w:pStyle w:val="Textoindependiente"/>
        <w:spacing w:before="1" w:line="276" w:lineRule="auto"/>
        <w:ind w:left="300" w:right="304"/>
        <w:jc w:val="both"/>
      </w:pPr>
      <w:r w:rsidRPr="00A41960">
        <w:t>En este sentido, de acuerdo con lo establecido en el numeral 6.3, artículo 6, de la Ley 1150 de 2007, la Cámara de Comercio verificada la información aportada por el proponente, publicará el acto de inscripción del Registro Único de Proponentes, contra el cual la persona podrá interponer recurso de reposición dentro de los diez (10) días siguientes contados a partir de su publicación</w:t>
      </w:r>
      <w:r w:rsidRPr="00A41960" w:rsidR="00EC1F5F">
        <w:rPr>
          <w:rStyle w:val="Refdenotaalpie"/>
        </w:rPr>
        <w:footnoteReference w:id="13"/>
      </w:r>
      <w:r w:rsidRPr="00A41960">
        <w:t xml:space="preserve">. En firme el acto administrativo que realiza la inscripción del </w:t>
      </w:r>
      <w:r w:rsidRPr="00A41960">
        <w:lastRenderedPageBreak/>
        <w:t>Registro Único de Proponentes se podrá demandar su nulidad sin que la presentación de la demanda suspenda la inscripción del Registro Único de Proponentes.</w:t>
      </w:r>
      <w:r w:rsidRPr="00A41960" w:rsidR="00EC1F5F">
        <w:t xml:space="preserve"> </w:t>
      </w:r>
    </w:p>
    <w:p w:rsidRPr="00A41960" w:rsidR="00EC1F5F" w:rsidP="00EC1F5F" w:rsidRDefault="00EC1F5F" w14:paraId="31D92278" w14:textId="77777777">
      <w:pPr>
        <w:pStyle w:val="Textoindependiente"/>
        <w:spacing w:before="1" w:line="276" w:lineRule="auto"/>
        <w:ind w:left="300" w:right="304"/>
        <w:jc w:val="both"/>
        <w:rPr>
          <w:sz w:val="16"/>
        </w:rPr>
      </w:pPr>
    </w:p>
    <w:p w:rsidRPr="00A41960" w:rsidR="006D7B39" w:rsidRDefault="000D1B1D" w14:paraId="2534041C" w14:textId="280C2C84">
      <w:pPr>
        <w:pStyle w:val="Textoindependiente"/>
        <w:spacing w:before="93" w:line="276" w:lineRule="auto"/>
        <w:ind w:left="300" w:right="303"/>
        <w:jc w:val="both"/>
      </w:pPr>
      <w:r w:rsidRPr="00A41960">
        <w:t>Ahora, el artículo 2.2.1.1.1.5.1 del Decreto 1082 de 2015, señala que las personas inscritas en el RUP deben presentar la información para renovar su registro a más tardar el quinto día hábil del mes de abril de cada año. De lo contrario cesan los efectos del RUP</w:t>
      </w:r>
      <w:r w:rsidRPr="00A41960" w:rsidR="00EC1F5F">
        <w:rPr>
          <w:rStyle w:val="Refdenotaalpie"/>
        </w:rPr>
        <w:footnoteReference w:id="14"/>
      </w:r>
      <w:r w:rsidRPr="00A41960">
        <w:t>.</w:t>
      </w:r>
    </w:p>
    <w:p w:rsidRPr="00A41960" w:rsidR="006D7B39" w:rsidRDefault="006D7B39" w14:paraId="578E76B8" w14:textId="77777777">
      <w:pPr>
        <w:pStyle w:val="Textoindependiente"/>
        <w:spacing w:before="5"/>
        <w:rPr>
          <w:sz w:val="25"/>
        </w:rPr>
      </w:pPr>
    </w:p>
    <w:p w:rsidRPr="00A41960" w:rsidR="006D7B39" w:rsidRDefault="000D1B1D" w14:paraId="0F6D54CD" w14:textId="77777777">
      <w:pPr>
        <w:pStyle w:val="Textoindependiente"/>
        <w:spacing w:line="276" w:lineRule="auto"/>
        <w:ind w:left="300" w:right="304"/>
        <w:jc w:val="both"/>
      </w:pPr>
      <w:r w:rsidRPr="00A41960">
        <w:t>Asimismo, el Consejo de Estado, Sección Tercera, en la sentencia No. 59.432 el 19 de septiembre de 2019, Consejera Ponente Marta Nubia Velásquez Rico señaló la finalidad de la renovación del RUP y la consecuencia por no renovarlo en el término previsto por la ley:</w:t>
      </w:r>
    </w:p>
    <w:p w:rsidRPr="00A41960" w:rsidR="006D7B39" w:rsidRDefault="006D7B39" w14:paraId="705AFBC9" w14:textId="77777777">
      <w:pPr>
        <w:pStyle w:val="Textoindependiente"/>
        <w:spacing w:before="2"/>
        <w:rPr>
          <w:sz w:val="25"/>
        </w:rPr>
      </w:pPr>
    </w:p>
    <w:p w:rsidRPr="00A41960" w:rsidR="006D7B39" w:rsidRDefault="000D1B1D" w14:paraId="6D7A3A83" w14:textId="77777777">
      <w:pPr>
        <w:ind w:left="1005" w:right="1017"/>
        <w:jc w:val="both"/>
        <w:rPr>
          <w:sz w:val="21"/>
        </w:rPr>
      </w:pPr>
      <w:r w:rsidRPr="00A41960">
        <w:rPr>
          <w:sz w:val="21"/>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w:t>
      </w:r>
      <w:r w:rsidRPr="00A41960">
        <w:rPr>
          <w:spacing w:val="2"/>
          <w:sz w:val="21"/>
        </w:rPr>
        <w:t xml:space="preserve">mes </w:t>
      </w:r>
      <w:r w:rsidRPr="00A41960">
        <w:rPr>
          <w:sz w:val="21"/>
        </w:rPr>
        <w:t>de abril. En defecto, la disposición reglamentaria establece como consecuencia la cesación de los efectos del</w:t>
      </w:r>
      <w:r w:rsidRPr="00A41960">
        <w:rPr>
          <w:spacing w:val="-13"/>
          <w:sz w:val="21"/>
        </w:rPr>
        <w:t xml:space="preserve"> </w:t>
      </w:r>
      <w:r w:rsidRPr="00A41960">
        <w:rPr>
          <w:sz w:val="21"/>
        </w:rPr>
        <w:t>RUP.</w:t>
      </w:r>
    </w:p>
    <w:p w:rsidRPr="00A41960" w:rsidR="006D7B39" w:rsidRDefault="006D7B39" w14:paraId="0523B465" w14:textId="77777777">
      <w:pPr>
        <w:pStyle w:val="Textoindependiente"/>
        <w:spacing w:before="1"/>
        <w:rPr>
          <w:sz w:val="21"/>
        </w:rPr>
      </w:pPr>
    </w:p>
    <w:p w:rsidRPr="00A41960" w:rsidR="006D7B39" w:rsidRDefault="000D1B1D" w14:paraId="45CC4375" w14:textId="77777777">
      <w:pPr>
        <w:ind w:left="1005" w:right="1013"/>
        <w:jc w:val="both"/>
        <w:rPr>
          <w:sz w:val="21"/>
        </w:rPr>
      </w:pPr>
      <w:r w:rsidRPr="00A41960">
        <w:rPr>
          <w:sz w:val="21"/>
        </w:rPr>
        <w:t>Ante ese panorama, 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w:t>
      </w:r>
      <w:r w:rsidRPr="00A41960">
        <w:rPr>
          <w:spacing w:val="-5"/>
          <w:sz w:val="21"/>
        </w:rPr>
        <w:t xml:space="preserve"> </w:t>
      </w:r>
      <w:r w:rsidRPr="00A41960">
        <w:rPr>
          <w:sz w:val="21"/>
        </w:rPr>
        <w:t>señalado.</w:t>
      </w:r>
    </w:p>
    <w:p w:rsidRPr="00A41960" w:rsidR="006D7B39" w:rsidRDefault="006D7B39" w14:paraId="4844C542" w14:textId="77777777">
      <w:pPr>
        <w:pStyle w:val="Textoindependiente"/>
        <w:spacing w:before="3"/>
        <w:rPr>
          <w:sz w:val="21"/>
        </w:rPr>
      </w:pPr>
    </w:p>
    <w:p w:rsidRPr="00A41960" w:rsidR="006D7B39" w:rsidRDefault="000D1B1D" w14:paraId="11504215" w14:textId="77777777">
      <w:pPr>
        <w:spacing w:line="276" w:lineRule="auto"/>
        <w:ind w:left="300" w:right="306"/>
        <w:jc w:val="both"/>
        <w:rPr>
          <w:sz w:val="21"/>
        </w:rPr>
      </w:pPr>
      <w:r w:rsidRPr="00A41960">
        <w:rPr>
          <w:sz w:val="21"/>
        </w:rPr>
        <w:t>Conforme a lo anterior, si el proponente no renueva la información contenida en el RUP antes del quinto día hábil del mes de abril de cada año, cesarán sus efectos. Lo anterior, implica que, el proponente no se podrá presentar a los procesos de contratación, porque no tiene la capacidad jurídica para hacerlo, en los casos que es necesario estar inscrito en el RUP. Y, por lo tanto, debe inscribirse nuevamente.</w:t>
      </w:r>
    </w:p>
    <w:p w:rsidRPr="00A41960" w:rsidR="006D7B39" w:rsidRDefault="006D7B39" w14:paraId="4F03CF95" w14:textId="77777777">
      <w:pPr>
        <w:pStyle w:val="Textoindependiente"/>
        <w:spacing w:before="1"/>
        <w:rPr>
          <w:sz w:val="24"/>
        </w:rPr>
      </w:pPr>
    </w:p>
    <w:p w:rsidRPr="00A41960" w:rsidR="006D7B39" w:rsidP="00EC1F5F" w:rsidRDefault="000D1B1D" w14:paraId="6A5C4D9A" w14:textId="18BACB81">
      <w:pPr>
        <w:pStyle w:val="Textoindependiente"/>
        <w:spacing w:line="276" w:lineRule="auto"/>
        <w:ind w:left="300" w:right="310"/>
        <w:jc w:val="both"/>
      </w:pPr>
      <w:r w:rsidRPr="00A41960">
        <w:rPr>
          <w:sz w:val="21"/>
        </w:rPr>
        <w:lastRenderedPageBreak/>
        <w:t xml:space="preserve">Ahora usted pregunta: </w:t>
      </w:r>
      <w:r w:rsidRPr="00A41960">
        <w:t xml:space="preserve">¿si un oferente presenta su existencia y representación legal o RUP vencidos al momento del cierre y luego de subsanar presenta los documentos con fecha </w:t>
      </w:r>
      <w:proofErr w:type="spellStart"/>
      <w:r w:rsidRPr="00A41960">
        <w:t>deexpedición</w:t>
      </w:r>
      <w:proofErr w:type="spellEnd"/>
      <w:r w:rsidRPr="00A41960">
        <w:t xml:space="preserve"> posterior al cierre del proceso estos son válidos o acredita circunstancias con posterioridad al cierre?</w:t>
      </w:r>
    </w:p>
    <w:p w:rsidRPr="00A41960" w:rsidR="006D7B39" w:rsidRDefault="006D7B39" w14:paraId="7219F10C" w14:textId="77777777">
      <w:pPr>
        <w:pStyle w:val="Textoindependiente"/>
        <w:spacing w:before="1"/>
        <w:rPr>
          <w:sz w:val="25"/>
        </w:rPr>
      </w:pPr>
    </w:p>
    <w:p w:rsidRPr="00A41960" w:rsidR="006D7B39" w:rsidRDefault="000D1B1D" w14:paraId="68414CF9" w14:textId="77777777">
      <w:pPr>
        <w:pStyle w:val="Textoindependiente"/>
        <w:spacing w:line="276" w:lineRule="auto"/>
        <w:ind w:left="300" w:right="309"/>
        <w:jc w:val="both"/>
      </w:pPr>
      <w:r w:rsidRPr="00A41960">
        <w:t>En primer lugar, de acuerdo con lo explicado previamente, si el proponente se presenta al proceso de contratación con el RUP vencido, porque no lo renovó a tiempo cesan sus efectos; y, en este sentido, no se podrá acreditar la información referida a los requisitos habilitantes, ni tiene la capacidad jurídica para hacerlo en los casos requeridos. De esta forma, si el oferente quiere presentarse al proceso de contratación se deberá registrar nuevamente en la Cámara de Comercio de su domicilio principal, y sólo se podrá presentar con el acto de inscripción en firme.</w:t>
      </w:r>
    </w:p>
    <w:p w:rsidRPr="00A41960" w:rsidR="006D7B39" w:rsidRDefault="006D7B39" w14:paraId="2C32D0CA" w14:textId="77777777">
      <w:pPr>
        <w:pStyle w:val="Textoindependiente"/>
        <w:spacing w:before="1"/>
        <w:rPr>
          <w:sz w:val="25"/>
        </w:rPr>
      </w:pPr>
    </w:p>
    <w:p w:rsidRPr="00A41960" w:rsidR="006D7B39" w:rsidRDefault="000D1B1D" w14:paraId="3480912D" w14:textId="77777777">
      <w:pPr>
        <w:pStyle w:val="Textoindependiente"/>
        <w:spacing w:line="276" w:lineRule="auto"/>
        <w:ind w:left="300" w:right="307"/>
        <w:jc w:val="both"/>
      </w:pPr>
      <w:r w:rsidRPr="00A41960">
        <w:t>Ahora, surge el siguiente interrogante ¿el proponente puede subsanar el RUP vencido con el acto de inscripción en firme o está acreditando una circunstancia con posterioridad al cierre? El artículo 6 de la Ley 1150 de 2007 y el artículo 2.2.1.1.1.5.3 del Decreto 1082 de 2015 previeron como obligación para todas las personas naturales o jurídicas, nacionales o extranjeras, que quieran participar en un proceso de contratación estar inscritas en el Registro Único de Proponentes -RUP-. La inscripción se materializa cuando el acto administrativo está en firme.</w:t>
      </w:r>
    </w:p>
    <w:p w:rsidRPr="00A41960" w:rsidR="006D7B39" w:rsidRDefault="006D7B39" w14:paraId="434E433D" w14:textId="77777777">
      <w:pPr>
        <w:pStyle w:val="Textoindependiente"/>
        <w:spacing w:before="4"/>
        <w:rPr>
          <w:sz w:val="25"/>
        </w:rPr>
      </w:pPr>
    </w:p>
    <w:p w:rsidRPr="00A41960" w:rsidR="006D7B39" w:rsidP="0015044A" w:rsidRDefault="000D1B1D" w14:paraId="50B542C4" w14:textId="6B5B99DC">
      <w:pPr>
        <w:pStyle w:val="Textoindependiente"/>
        <w:spacing w:line="276" w:lineRule="auto"/>
        <w:ind w:left="300" w:right="305"/>
        <w:jc w:val="both"/>
      </w:pPr>
      <w:r w:rsidRPr="00A41960">
        <w:t>Ahora, el artículo 5 de la Ley 1882 de 2018 establece que los proponentes no podrán acreditar circunstancias con posterioridad al cierre</w:t>
      </w:r>
      <w:r w:rsidRPr="00A41960" w:rsidR="00EC1F5F">
        <w:rPr>
          <w:rStyle w:val="Refdenotaalpie"/>
        </w:rPr>
        <w:footnoteReference w:id="15"/>
      </w:r>
      <w:r w:rsidRPr="00A41960">
        <w:t>. El Consejo de Estado, en la Sala de Consulta y Servicio Civil, en el concepto No. 1001-03-06-000-200800079-00(1927)</w:t>
      </w:r>
      <w:r w:rsidRPr="00A41960" w:rsidR="00EC1F5F">
        <w:rPr>
          <w:rStyle w:val="Refdenotaalpie"/>
        </w:rPr>
        <w:footnoteReference w:id="16"/>
      </w:r>
      <w:r w:rsidRPr="00A41960">
        <w:t>,</w:t>
      </w:r>
      <w:r w:rsidRPr="00A41960" w:rsidR="0015044A">
        <w:t xml:space="preserve"> </w:t>
      </w:r>
      <w:r w:rsidRPr="00A41960">
        <w:lastRenderedPageBreak/>
        <w:t>consejero ponente William Zambrano Cetina, determinó frente a la imposibilidad de acreditar situaciones con posterioridad al cierre que el proponente debe cumplir para la fecha en que se cierra el proceso de contratación con los requisitos que se requieren para presentar la oferta. En este sentido, al del cierre del proceso, la persona natural o jurídica que quiere participar acreditará la inscripción del Registro único de Proponente, para lo cual no basta con la solicitud o radicación de los documentos para el trámite, sino con el acto administrativo en</w:t>
      </w:r>
      <w:r w:rsidRPr="00A41960">
        <w:rPr>
          <w:spacing w:val="-4"/>
        </w:rPr>
        <w:t xml:space="preserve"> </w:t>
      </w:r>
      <w:r w:rsidRPr="00A41960">
        <w:t>firme.</w:t>
      </w:r>
    </w:p>
    <w:p w:rsidRPr="00A41960" w:rsidR="006D7B39" w:rsidRDefault="006D7B39" w14:paraId="54CF3570" w14:textId="77777777">
      <w:pPr>
        <w:pStyle w:val="Textoindependiente"/>
        <w:spacing w:before="4"/>
        <w:rPr>
          <w:sz w:val="25"/>
        </w:rPr>
      </w:pPr>
    </w:p>
    <w:p w:rsidRPr="00A41960" w:rsidR="006D7B39" w:rsidRDefault="000D1B1D" w14:paraId="2C41FA88" w14:textId="77777777">
      <w:pPr>
        <w:pStyle w:val="Textoindependiente"/>
        <w:spacing w:line="276" w:lineRule="auto"/>
        <w:ind w:left="300" w:right="311"/>
        <w:jc w:val="both"/>
      </w:pPr>
      <w:r w:rsidRPr="00A41960">
        <w:t>Por lo tanto, si la Cámara de Comercio expide el acto administrativo de la inscripción del RUP, con motivo a la no renovación a tiempo de la información contenida en el RUP, después del cierre, el proponente no podrá aportarlo al proceso porque el proponente al momento de presentar la oferta no tenía la capacidad para contratar, y no puede acreditar ocurridas situaciones con posterioridad al cierre.</w:t>
      </w:r>
    </w:p>
    <w:p w:rsidRPr="00A41960" w:rsidR="006D7B39" w:rsidRDefault="006D7B39" w14:paraId="7A34FC02" w14:textId="77777777">
      <w:pPr>
        <w:pStyle w:val="Textoindependiente"/>
        <w:spacing w:before="6"/>
        <w:rPr>
          <w:sz w:val="25"/>
        </w:rPr>
      </w:pPr>
    </w:p>
    <w:p w:rsidRPr="00A41960" w:rsidR="006D7B39" w:rsidRDefault="000D1B1D" w14:paraId="5DB4D94D" w14:textId="4799DE2D">
      <w:pPr>
        <w:pStyle w:val="Textoindependiente"/>
        <w:spacing w:line="276" w:lineRule="auto"/>
        <w:ind w:left="300" w:right="309"/>
        <w:jc w:val="both"/>
      </w:pPr>
      <w:r w:rsidRPr="00A41960">
        <w:t>En segundo lugar, en relación con el certificado de existencia y representación legal, el artículo 117 del Código de Comercio indica que la existencia de la sociedad se probará con certificación de la cámara de comercio del domicilio principal, en la que constará el número, fecha y notaría de la escritura de constitución. Asimismo, para probar la representación de una sociedad bastará la certificación de la cámara respectiva, con indicación del nombre de los representantes, de las facultades conferidas a cada uno de ellos en el contrato y de las limitaciones acordadas a dichas facultades, en su</w:t>
      </w:r>
      <w:r w:rsidRPr="00A41960">
        <w:rPr>
          <w:spacing w:val="-27"/>
        </w:rPr>
        <w:t xml:space="preserve"> </w:t>
      </w:r>
      <w:r w:rsidRPr="00A41960">
        <w:t>caso</w:t>
      </w:r>
      <w:r w:rsidRPr="00A41960" w:rsidR="0015044A">
        <w:rPr>
          <w:rStyle w:val="Refdenotaalpie"/>
        </w:rPr>
        <w:footnoteReference w:id="17"/>
      </w:r>
      <w:r w:rsidRPr="00A41960">
        <w:t>.</w:t>
      </w:r>
    </w:p>
    <w:p w:rsidRPr="00A41960" w:rsidR="006D7B39" w:rsidRDefault="006D7B39" w14:paraId="7E01537C" w14:textId="77777777">
      <w:pPr>
        <w:pStyle w:val="Textoindependiente"/>
        <w:spacing w:before="4"/>
        <w:rPr>
          <w:sz w:val="25"/>
        </w:rPr>
      </w:pPr>
    </w:p>
    <w:p w:rsidRPr="00A41960" w:rsidR="006D7B39" w:rsidP="009920FB" w:rsidRDefault="000D1B1D" w14:paraId="1BE78129" w14:textId="36E1AB61">
      <w:pPr>
        <w:pStyle w:val="Textoindependiente"/>
        <w:spacing w:line="276" w:lineRule="auto"/>
        <w:ind w:left="300" w:right="308"/>
        <w:jc w:val="both"/>
        <w:rPr>
          <w:sz w:val="16"/>
        </w:rPr>
      </w:pPr>
      <w:r w:rsidRPr="00A41960">
        <w:t>Conforme a lo anterior, el certificado de existencia y representación legal es un documento expedido, por regla general, por las cámaras de comercio, que cumple funciones probatorias, es decir permite acreditar las inscripciones efectuadas en el registro mercantil respecto de una sociedad comercial, como su existencia, representación, cláusulas del contrato y la constancia de que tal sociedad no se haya disuelta.</w:t>
      </w:r>
      <w:r w:rsidRPr="00A41960" w:rsidR="009920FB">
        <w:t xml:space="preserve"> </w:t>
      </w:r>
    </w:p>
    <w:p w:rsidRPr="00A41960" w:rsidR="006D7B39" w:rsidRDefault="000D1B1D" w14:paraId="1B52C40F" w14:textId="77777777">
      <w:pPr>
        <w:pStyle w:val="Textoindependiente"/>
        <w:spacing w:before="93" w:line="276" w:lineRule="auto"/>
        <w:ind w:left="300" w:right="306"/>
        <w:jc w:val="both"/>
      </w:pPr>
      <w:r w:rsidRPr="00A41960">
        <w:lastRenderedPageBreak/>
        <w:t>Ahora, la Cámara de Comercio, en el concepto 010 RM, señala que la ley no ha establecido un término de vigencia para los certificados de existencia y representación legal, así lo señaló en los siguientes</w:t>
      </w:r>
      <w:r w:rsidRPr="00A41960">
        <w:rPr>
          <w:spacing w:val="-10"/>
        </w:rPr>
        <w:t xml:space="preserve"> </w:t>
      </w:r>
      <w:r w:rsidRPr="00A41960">
        <w:t>términos:</w:t>
      </w:r>
    </w:p>
    <w:p w:rsidRPr="00A41960" w:rsidR="006D7B39" w:rsidRDefault="006D7B39" w14:paraId="513835D6" w14:textId="77777777">
      <w:pPr>
        <w:pStyle w:val="Textoindependiente"/>
        <w:spacing w:before="4"/>
        <w:rPr>
          <w:sz w:val="25"/>
        </w:rPr>
      </w:pPr>
    </w:p>
    <w:p w:rsidRPr="00A41960" w:rsidR="006D7B39" w:rsidRDefault="000D1B1D" w14:paraId="74762A08" w14:textId="77777777">
      <w:pPr>
        <w:spacing w:before="1"/>
        <w:ind w:left="1005" w:right="1020"/>
        <w:jc w:val="both"/>
        <w:rPr>
          <w:sz w:val="21"/>
        </w:rPr>
      </w:pPr>
      <w:r w:rsidRPr="00A41960">
        <w:rPr>
          <w:sz w:val="21"/>
        </w:rPr>
        <w:t>Ahora bien, atendiendo al interrogante planteado, es necesario precisar que la ley no ha señalado un término de vigencia para el certificado de existencia y representación legal que expiden las cámaras de comercio.</w:t>
      </w:r>
    </w:p>
    <w:p w:rsidRPr="00A41960" w:rsidR="006D7B39" w:rsidRDefault="006D7B39" w14:paraId="74376632" w14:textId="77777777">
      <w:pPr>
        <w:pStyle w:val="Textoindependiente"/>
        <w:spacing w:before="10"/>
        <w:rPr>
          <w:sz w:val="20"/>
        </w:rPr>
      </w:pPr>
    </w:p>
    <w:p w:rsidRPr="00A41960" w:rsidR="006D7B39" w:rsidRDefault="000D1B1D" w14:paraId="0C587E95" w14:textId="77777777">
      <w:pPr>
        <w:ind w:left="1005" w:right="1014"/>
        <w:jc w:val="both"/>
        <w:rPr>
          <w:sz w:val="21"/>
        </w:rPr>
      </w:pPr>
      <w:r w:rsidRPr="00A41960">
        <w:rPr>
          <w:sz w:val="21"/>
        </w:rPr>
        <w:t>En relación con este punto, es pertinente advertir que teniendo en cuenta que los actos y documentos sujetos a inscripción pueden ser modificados en cualquier momento y las cámaras de comercio deben proceder a su registro siempre que se cumplan los requisitos previstos para dicha inscripción, los certificados de existencia y representación legal no tienen una vigencia temporal específica. En consecuencia, mientras no se presenten otros actos y documentos que alteren las inscripciones previas, tales certificados corresponderán exactamente a lo que se encuentre</w:t>
      </w:r>
      <w:r w:rsidRPr="00A41960">
        <w:rPr>
          <w:spacing w:val="-8"/>
          <w:sz w:val="21"/>
        </w:rPr>
        <w:t xml:space="preserve"> </w:t>
      </w:r>
      <w:r w:rsidRPr="00A41960">
        <w:rPr>
          <w:sz w:val="21"/>
        </w:rPr>
        <w:t>inscrito.</w:t>
      </w:r>
    </w:p>
    <w:p w:rsidRPr="00A41960" w:rsidR="006D7B39" w:rsidRDefault="006D7B39" w14:paraId="39FCDBB1" w14:textId="77777777">
      <w:pPr>
        <w:pStyle w:val="Textoindependiente"/>
        <w:spacing w:before="4"/>
        <w:rPr>
          <w:sz w:val="25"/>
        </w:rPr>
      </w:pPr>
    </w:p>
    <w:p w:rsidRPr="00A41960" w:rsidR="006D7B39" w:rsidRDefault="000D1B1D" w14:paraId="3484ECAB" w14:textId="77777777">
      <w:pPr>
        <w:pStyle w:val="Textoindependiente"/>
        <w:spacing w:line="276" w:lineRule="auto"/>
        <w:ind w:left="300" w:right="307"/>
        <w:jc w:val="both"/>
      </w:pPr>
      <w:r w:rsidRPr="00A41960">
        <w:t>Conforme a lo anterior, debido a que los actos y documentos sujetos a inscripción pueden ser modificados en cualquier momento, el certificado de existencia y representación legal no tiene una vigencia temporal. En este sentido, quedará bajo criterio de la entidad determinar cuál es el término de vigencia del certificado de existencia y representación legal para presentarse a un proceso de contratación; lo anterior, para tener una información actualizada de quien hace parte de la sociedad y si está incursa en alguna causal de inhabilidad o</w:t>
      </w:r>
      <w:r w:rsidRPr="00A41960">
        <w:rPr>
          <w:spacing w:val="-5"/>
        </w:rPr>
        <w:t xml:space="preserve"> </w:t>
      </w:r>
      <w:r w:rsidRPr="00A41960">
        <w:t>incompatibilidad.</w:t>
      </w:r>
    </w:p>
    <w:p w:rsidRPr="00A41960" w:rsidR="006D7B39" w:rsidRDefault="006D7B39" w14:paraId="6A782E04" w14:textId="77777777">
      <w:pPr>
        <w:pStyle w:val="Textoindependiente"/>
        <w:spacing w:before="4"/>
        <w:rPr>
          <w:sz w:val="25"/>
        </w:rPr>
      </w:pPr>
    </w:p>
    <w:p w:rsidRPr="00A41960" w:rsidR="006D7B39" w:rsidRDefault="000D1B1D" w14:paraId="1F8A3DC0" w14:textId="77777777">
      <w:pPr>
        <w:pStyle w:val="Textoindependiente"/>
        <w:spacing w:line="276" w:lineRule="auto"/>
        <w:ind w:left="300" w:right="305"/>
        <w:jc w:val="both"/>
      </w:pPr>
      <w:r w:rsidRPr="00A41960">
        <w:t>En estos casos, el proponente podrá subsanar la vigencia del certificado de existencia y representación legal de la sociedad, siempre y cuando se presente antes del traslado del informe de evaluación. A pesar de que este certificado tenga fecha posterior al cierre del proceso, no se acredita un hecho ocurrido con posterioridad ya que la inscripción de la sociedad fue anterior.</w:t>
      </w:r>
    </w:p>
    <w:p w:rsidRPr="00A41960" w:rsidR="006D7B39" w:rsidRDefault="006D7B39" w14:paraId="156FB09D" w14:textId="77777777">
      <w:pPr>
        <w:pStyle w:val="Textoindependiente"/>
        <w:spacing w:before="6"/>
        <w:rPr>
          <w:sz w:val="25"/>
        </w:rPr>
      </w:pPr>
    </w:p>
    <w:p w:rsidRPr="00A41960" w:rsidR="006D7B39" w:rsidRDefault="000D1B1D" w14:paraId="78D743E9" w14:textId="77777777">
      <w:pPr>
        <w:pStyle w:val="Ttulo1"/>
        <w:numPr>
          <w:ilvl w:val="1"/>
          <w:numId w:val="5"/>
        </w:numPr>
        <w:tabs>
          <w:tab w:val="left" w:pos="731"/>
        </w:tabs>
        <w:spacing w:line="276" w:lineRule="auto"/>
        <w:ind w:right="306" w:firstLine="0"/>
      </w:pPr>
      <w:r w:rsidRPr="00A41960">
        <w:t>Contratos de espacio público urbano relacionados con la infraestructura de transporte</w:t>
      </w:r>
    </w:p>
    <w:p w:rsidRPr="00A41960" w:rsidR="006D7B39" w:rsidRDefault="006D7B39" w14:paraId="7555296B" w14:textId="77777777">
      <w:pPr>
        <w:pStyle w:val="Textoindependiente"/>
        <w:spacing w:before="3"/>
        <w:rPr>
          <w:b/>
          <w:sz w:val="25"/>
        </w:rPr>
      </w:pPr>
    </w:p>
    <w:p w:rsidRPr="00A41960" w:rsidR="006D7B39" w:rsidRDefault="000D1B1D" w14:paraId="5F22DDBD" w14:textId="77777777">
      <w:pPr>
        <w:pStyle w:val="Textoindependiente"/>
        <w:spacing w:line="276" w:lineRule="auto"/>
        <w:ind w:left="300" w:right="316"/>
        <w:jc w:val="both"/>
      </w:pPr>
      <w:r w:rsidRPr="00A41960">
        <w:t>Le informamos que los Documentos Tipo implementados y desarrollados a través de la Resolución No 1798 del 01 de abril de 2019 aplican para todos los procesos de licitación de obra pública de infraestructura de</w:t>
      </w:r>
      <w:r w:rsidRPr="00A41960">
        <w:rPr>
          <w:spacing w:val="-5"/>
        </w:rPr>
        <w:t xml:space="preserve"> </w:t>
      </w:r>
      <w:r w:rsidRPr="00A41960">
        <w:t>transporte.</w:t>
      </w:r>
    </w:p>
    <w:p w:rsidRPr="00A41960" w:rsidR="006D7B39" w:rsidRDefault="006D7B39" w14:paraId="57A17CD7" w14:textId="77777777">
      <w:pPr>
        <w:pStyle w:val="Textoindependiente"/>
        <w:spacing w:before="3"/>
        <w:rPr>
          <w:sz w:val="25"/>
        </w:rPr>
      </w:pPr>
    </w:p>
    <w:p w:rsidRPr="00A41960" w:rsidR="006D7B39" w:rsidP="009920FB" w:rsidRDefault="000D1B1D" w14:paraId="24455956" w14:textId="58E4964D">
      <w:pPr>
        <w:pStyle w:val="Textoindependiente"/>
        <w:spacing w:line="276" w:lineRule="auto"/>
        <w:ind w:left="300" w:right="305"/>
        <w:jc w:val="both"/>
      </w:pPr>
      <w:r w:rsidRPr="00A41960">
        <w:t>El Anexo 3- Glosario señala que la infraestructura de transporte se refiere a obras realizadas en: i) vías primarias y secundarias, ii) vías terciarias, iii) infraestructuras marítimas y fluviales, iv) vías primarias, secundarias o terciarias para atención a emergencias diferentes a contratación directa, v) infraestructura férrea, vi) infraestructura</w:t>
      </w:r>
      <w:r w:rsidRPr="00A41960" w:rsidR="009920FB">
        <w:t xml:space="preserve"> </w:t>
      </w:r>
      <w:r w:rsidRPr="00A41960">
        <w:t xml:space="preserve">vial urbana, </w:t>
      </w:r>
      <w:proofErr w:type="spellStart"/>
      <w:r w:rsidRPr="00A41960">
        <w:t>vii</w:t>
      </w:r>
      <w:proofErr w:type="spellEnd"/>
      <w:r w:rsidRPr="00A41960">
        <w:t xml:space="preserve">) puentes e </w:t>
      </w:r>
      <w:proofErr w:type="spellStart"/>
      <w:r w:rsidRPr="00A41960">
        <w:t>viii</w:t>
      </w:r>
      <w:proofErr w:type="spellEnd"/>
      <w:r w:rsidRPr="00A41960">
        <w:t xml:space="preserve">) infraestructura Aeroportuaria. En este sentido, para que sean aplicables los Documentos </w:t>
      </w:r>
      <w:r w:rsidRPr="00A41960">
        <w:lastRenderedPageBreak/>
        <w:t>Tipo de infraestructura de Transporte a un proceso de contratación, se deben realizar alguna actividad de intervención definidas en la Matriz 1 – Experiencia relativa a este tipo de infraestructuras de transporte en concordancia con la Ley 1682 de</w:t>
      </w:r>
      <w:r w:rsidRPr="00A41960">
        <w:rPr>
          <w:spacing w:val="-5"/>
        </w:rPr>
        <w:t xml:space="preserve"> </w:t>
      </w:r>
      <w:r w:rsidRPr="00A41960">
        <w:t>2013.</w:t>
      </w:r>
    </w:p>
    <w:p w:rsidRPr="00A41960" w:rsidR="006D7B39" w:rsidRDefault="006D7B39" w14:paraId="138110E3" w14:textId="77777777">
      <w:pPr>
        <w:pStyle w:val="Textoindependiente"/>
        <w:spacing w:before="6"/>
        <w:rPr>
          <w:sz w:val="25"/>
        </w:rPr>
      </w:pPr>
    </w:p>
    <w:p w:rsidRPr="00A41960" w:rsidR="006D7B39" w:rsidRDefault="000D1B1D" w14:paraId="5971835E" w14:textId="77777777">
      <w:pPr>
        <w:pStyle w:val="Textoindependiente"/>
        <w:spacing w:line="276" w:lineRule="auto"/>
        <w:ind w:left="300" w:right="304"/>
        <w:jc w:val="both"/>
      </w:pPr>
      <w:r w:rsidRPr="00A41960">
        <w:t xml:space="preserve">Ahora usted pregunta: ¿si a los contratos relacionados con espacio público urbano le aplica los Documentos Tipo de infraestructura de Transporte? El Anexo </w:t>
      </w:r>
      <w:r w:rsidRPr="00A41960">
        <w:rPr>
          <w:spacing w:val="3"/>
        </w:rPr>
        <w:t xml:space="preserve">3- </w:t>
      </w:r>
      <w:r w:rsidRPr="00A41960">
        <w:t>Glosario define el espacio público como el conjunto de espacios urbanos conformados por los parques, plazas, ciclorrutas, vías peatonales, andenes y alamedas. De la definición de espacio público se entiende que, si el contrato sólo se relaciona con el espacio público, aislado de cualquier infraestructura de transporte, no aplicaría el Documento Base o Pliego Tipo de infraestructura de transporte, porque no se encuentra asociado a una infraestructura de transporte, a pesar de ser contratos de obra pública (p.ej. la construcción de un</w:t>
      </w:r>
      <w:r w:rsidRPr="00A41960">
        <w:rPr>
          <w:spacing w:val="-37"/>
        </w:rPr>
        <w:t xml:space="preserve"> </w:t>
      </w:r>
      <w:r w:rsidRPr="00A41960">
        <w:t>parque).</w:t>
      </w:r>
    </w:p>
    <w:p w:rsidRPr="00A41960" w:rsidR="006D7B39" w:rsidRDefault="006D7B39" w14:paraId="72C9A21C" w14:textId="77777777">
      <w:pPr>
        <w:pStyle w:val="Textoindependiente"/>
        <w:spacing w:before="3"/>
        <w:rPr>
          <w:sz w:val="25"/>
        </w:rPr>
      </w:pPr>
    </w:p>
    <w:p w:rsidRPr="00A41960" w:rsidR="006D7B39" w:rsidRDefault="000D1B1D" w14:paraId="3C5CFAC4" w14:textId="77777777">
      <w:pPr>
        <w:pStyle w:val="Textoindependiente"/>
        <w:spacing w:line="276" w:lineRule="auto"/>
        <w:ind w:left="300" w:right="306"/>
        <w:jc w:val="both"/>
      </w:pPr>
      <w:r w:rsidRPr="00A41960">
        <w:t>Sin embargo, si el contrato de espacio público se encuentra asociado a alguna infraestructura de transporte será procedente y obligatorio el uso de los Documentos Tipo, por ejemplo: en el caso que se desee realizar la intervención de los andenes asociados a una vía urbana; se realice mantenimiento de una ciclorruta a nivel de calzada que se encuentra sobre una infraestructura de transporte; situación en la cual se establecerán las condiciones de experiencia a través de la Matriz 1 – Experiencia según el Tipo de Infraestructura de Transporte o Proyecto que se pretenda adelantar.</w:t>
      </w:r>
    </w:p>
    <w:p w:rsidRPr="00A41960" w:rsidR="006D7B39" w:rsidRDefault="006D7B39" w14:paraId="560D0EF0" w14:textId="77777777">
      <w:pPr>
        <w:pStyle w:val="Textoindependiente"/>
        <w:spacing w:before="4"/>
        <w:rPr>
          <w:sz w:val="25"/>
        </w:rPr>
      </w:pPr>
    </w:p>
    <w:p w:rsidRPr="00A41960" w:rsidR="006D7B39" w:rsidRDefault="000D1B1D" w14:paraId="4E02EFF1" w14:textId="77777777">
      <w:pPr>
        <w:pStyle w:val="Ttulo1"/>
        <w:numPr>
          <w:ilvl w:val="1"/>
          <w:numId w:val="5"/>
        </w:numPr>
        <w:tabs>
          <w:tab w:val="left" w:pos="661"/>
        </w:tabs>
        <w:ind w:left="660" w:hanging="361"/>
      </w:pPr>
      <w:r w:rsidRPr="00A41960">
        <w:t>Requerimiento en los precios artificialmente</w:t>
      </w:r>
      <w:r w:rsidRPr="00A41960">
        <w:rPr>
          <w:spacing w:val="-5"/>
        </w:rPr>
        <w:t xml:space="preserve"> </w:t>
      </w:r>
      <w:r w:rsidRPr="00A41960">
        <w:t>bajos</w:t>
      </w:r>
    </w:p>
    <w:p w:rsidRPr="00A41960" w:rsidR="006D7B39" w:rsidRDefault="006D7B39" w14:paraId="61BBD9D3" w14:textId="77777777">
      <w:pPr>
        <w:pStyle w:val="Textoindependiente"/>
        <w:spacing w:before="7"/>
        <w:rPr>
          <w:b/>
          <w:sz w:val="28"/>
        </w:rPr>
      </w:pPr>
    </w:p>
    <w:p w:rsidRPr="00A41960" w:rsidR="006D7B39" w:rsidRDefault="000D1B1D" w14:paraId="7EA0555B" w14:textId="77777777">
      <w:pPr>
        <w:pStyle w:val="Textoindependiente"/>
        <w:spacing w:line="276" w:lineRule="auto"/>
        <w:ind w:left="300" w:right="304"/>
        <w:jc w:val="both"/>
      </w:pPr>
      <w:r w:rsidRPr="00A41960">
        <w:t>La Agencia Nacional de Contratación Pública – Colombia Compra Eficiente, en el concepto con radicado No. 4201912000006617 del 25 de septiembre de 2019, analizó el requerimiento de los precios artificialmente bajos. La tesis propuesta en este concepto es el que se expone a</w:t>
      </w:r>
      <w:r w:rsidRPr="00A41960">
        <w:rPr>
          <w:spacing w:val="-6"/>
        </w:rPr>
        <w:t xml:space="preserve"> </w:t>
      </w:r>
      <w:r w:rsidRPr="00A41960">
        <w:t>continuación.</w:t>
      </w:r>
    </w:p>
    <w:p w:rsidRPr="00A41960" w:rsidR="006D7B39" w:rsidRDefault="006D7B39" w14:paraId="67F77EDD" w14:textId="77777777">
      <w:pPr>
        <w:pStyle w:val="Textoindependiente"/>
        <w:spacing w:before="4"/>
        <w:rPr>
          <w:sz w:val="25"/>
        </w:rPr>
      </w:pPr>
    </w:p>
    <w:p w:rsidRPr="00A41960" w:rsidR="006D7B39" w:rsidP="009920FB" w:rsidRDefault="000D1B1D" w14:paraId="2D02F439" w14:textId="2F4C0515">
      <w:pPr>
        <w:pStyle w:val="Textoindependiente"/>
        <w:spacing w:line="276" w:lineRule="auto"/>
        <w:ind w:left="301" w:right="307"/>
        <w:jc w:val="both"/>
        <w:rPr>
          <w:sz w:val="15"/>
        </w:rPr>
      </w:pPr>
      <w:r w:rsidRPr="00A41960">
        <w:t>La Ley 80 de 1993, en el artículo 26, numeral 6, indica como una de las manifestaciones del principio de responsabilidad que los contratistas respondan cuando formulen propuestas en las que se fijen condiciones económicas y de contratación artificialmente bajas con el propósito de obtener la adjudicación del contrato</w:t>
      </w:r>
      <w:r w:rsidRPr="00A41960" w:rsidR="009920FB">
        <w:rPr>
          <w:rStyle w:val="Refdenotaalpie"/>
        </w:rPr>
        <w:footnoteReference w:id="18"/>
      </w:r>
      <w:r w:rsidRPr="00A41960">
        <w:t>. Ahora ¿cuándo un proponente presenta propuestas artificialmente</w:t>
      </w:r>
      <w:r w:rsidRPr="00A41960">
        <w:rPr>
          <w:spacing w:val="-6"/>
        </w:rPr>
        <w:t xml:space="preserve"> </w:t>
      </w:r>
      <w:r w:rsidRPr="00A41960">
        <w:t>bajas?</w:t>
      </w:r>
    </w:p>
    <w:p w:rsidRPr="00A41960" w:rsidR="009920FB" w:rsidP="009920FB" w:rsidRDefault="009920FB" w14:paraId="70451FCF" w14:textId="77777777">
      <w:pPr>
        <w:pStyle w:val="Textoindependiente"/>
        <w:spacing w:line="276" w:lineRule="auto"/>
        <w:ind w:left="301" w:right="304"/>
        <w:jc w:val="both"/>
      </w:pPr>
    </w:p>
    <w:p w:rsidRPr="00A41960" w:rsidR="006D7B39" w:rsidP="009920FB" w:rsidRDefault="000D1B1D" w14:paraId="0814B6B8" w14:textId="7BF139D8">
      <w:pPr>
        <w:pStyle w:val="Textoindependiente"/>
        <w:spacing w:line="276" w:lineRule="auto"/>
        <w:ind w:left="301" w:right="304"/>
        <w:jc w:val="both"/>
      </w:pPr>
      <w:r w:rsidRPr="00A41960">
        <w:t xml:space="preserve">El Consejo de Estado, Sección Tercera, sentencia 4 de junio de 2008, radicado No. 17.783, </w:t>
      </w:r>
      <w:r w:rsidRPr="00A41960">
        <w:lastRenderedPageBreak/>
        <w:t>Magistrada Ponente: Myriam Guerrero de Escobar, define el precio artificialmente bajo como aquel que no tiene sustento o fundamento en su estructuración dentro del tráfico comercial:</w:t>
      </w:r>
    </w:p>
    <w:p w:rsidRPr="00A41960" w:rsidR="006D7B39" w:rsidRDefault="006D7B39" w14:paraId="1DB273AF" w14:textId="77777777">
      <w:pPr>
        <w:pStyle w:val="Textoindependiente"/>
        <w:spacing w:before="4"/>
        <w:rPr>
          <w:sz w:val="25"/>
        </w:rPr>
      </w:pPr>
    </w:p>
    <w:p w:rsidRPr="00A41960" w:rsidR="006D7B39" w:rsidRDefault="000D1B1D" w14:paraId="620CB4F3" w14:textId="77777777">
      <w:pPr>
        <w:ind w:left="1008" w:right="1016"/>
        <w:jc w:val="both"/>
        <w:rPr>
          <w:sz w:val="20"/>
        </w:rPr>
      </w:pPr>
      <w:r w:rsidRPr="00A41960">
        <w:rPr>
          <w:sz w:val="20"/>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w:t>
      </w:r>
      <w:r w:rsidRPr="00A41960">
        <w:rPr>
          <w:spacing w:val="-8"/>
          <w:sz w:val="20"/>
        </w:rPr>
        <w:t xml:space="preserve"> </w:t>
      </w:r>
      <w:r w:rsidRPr="00A41960">
        <w:rPr>
          <w:sz w:val="20"/>
        </w:rPr>
        <w:t>(…)</w:t>
      </w:r>
    </w:p>
    <w:p w:rsidRPr="00A41960" w:rsidR="006D7B39" w:rsidRDefault="006D7B39" w14:paraId="1C86A6D8" w14:textId="77777777">
      <w:pPr>
        <w:pStyle w:val="Textoindependiente"/>
        <w:spacing w:before="2"/>
        <w:rPr>
          <w:sz w:val="25"/>
        </w:rPr>
      </w:pPr>
    </w:p>
    <w:p w:rsidRPr="00A41960" w:rsidR="006D7B39" w:rsidRDefault="000D1B1D" w14:paraId="74BB7AC4" w14:textId="7D1D87EE">
      <w:pPr>
        <w:pStyle w:val="Textoindependiente"/>
        <w:spacing w:line="276" w:lineRule="auto"/>
        <w:ind w:left="300" w:right="309"/>
        <w:jc w:val="both"/>
      </w:pPr>
      <w:r w:rsidRPr="00A41960">
        <w:t>Por su parte, el artículo 2.2.1.1.2.2.4. del Decreto 1082 de 2015 establece que cuando el valor de una oferta parezca artificialmente bajo, la entidad debe requerir al oferente para que explique las razones que sustentan el valor ofrecido. Frente a estas explicaciones le corresponde al comité evaluador analizarlas y recomendar si debe rechazar la oferta o continuar con el análisis de la oferta durante la evaluación de las ofertas</w:t>
      </w:r>
      <w:r w:rsidRPr="00A41960" w:rsidR="009920FB">
        <w:rPr>
          <w:rStyle w:val="Refdenotaalpie"/>
        </w:rPr>
        <w:footnoteReference w:id="19"/>
      </w:r>
      <w:r w:rsidRPr="00A41960">
        <w:t>.</w:t>
      </w:r>
    </w:p>
    <w:p w:rsidRPr="00A41960" w:rsidR="006D7B39" w:rsidRDefault="006D7B39" w14:paraId="5761AA49" w14:textId="77777777">
      <w:pPr>
        <w:pStyle w:val="Textoindependiente"/>
        <w:spacing w:before="3"/>
        <w:rPr>
          <w:sz w:val="25"/>
        </w:rPr>
      </w:pPr>
    </w:p>
    <w:p w:rsidRPr="00A41960" w:rsidR="006D7B39" w:rsidRDefault="000D1B1D" w14:paraId="58CEA0BD" w14:textId="77777777">
      <w:pPr>
        <w:pStyle w:val="Textoindependiente"/>
        <w:spacing w:line="276" w:lineRule="auto"/>
        <w:ind w:left="300" w:right="310"/>
        <w:jc w:val="both"/>
      </w:pPr>
      <w:r w:rsidRPr="00A41960">
        <w:t>El artículo citado también dispone que “cuando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rsidRPr="00A41960" w:rsidR="006D7B39" w:rsidRDefault="006D7B39" w14:paraId="09F953EC" w14:textId="77777777">
      <w:pPr>
        <w:pStyle w:val="Textoindependiente"/>
        <w:spacing w:before="3"/>
        <w:rPr>
          <w:sz w:val="25"/>
        </w:rPr>
      </w:pPr>
    </w:p>
    <w:p w:rsidRPr="00A41960" w:rsidR="006D7B39" w:rsidP="009920FB" w:rsidRDefault="000D1B1D" w14:paraId="113FD9C5" w14:textId="04266533">
      <w:pPr>
        <w:pStyle w:val="Textoindependiente"/>
        <w:spacing w:before="1" w:line="278" w:lineRule="auto"/>
        <w:ind w:left="300" w:right="304"/>
        <w:jc w:val="both"/>
      </w:pPr>
      <w:r w:rsidRPr="00A41960">
        <w:t>La Agencia Nacional de Contratación Pública – Colombia Compra Eficiente expidió la “Guía</w:t>
      </w:r>
      <w:r w:rsidRPr="00A41960">
        <w:rPr>
          <w:spacing w:val="14"/>
        </w:rPr>
        <w:t xml:space="preserve"> </w:t>
      </w:r>
      <w:r w:rsidRPr="00A41960">
        <w:t>para</w:t>
      </w:r>
      <w:r w:rsidRPr="00A41960">
        <w:rPr>
          <w:spacing w:val="15"/>
        </w:rPr>
        <w:t xml:space="preserve"> </w:t>
      </w:r>
      <w:r w:rsidRPr="00A41960">
        <w:t>el</w:t>
      </w:r>
      <w:r w:rsidRPr="00A41960">
        <w:rPr>
          <w:spacing w:val="16"/>
        </w:rPr>
        <w:t xml:space="preserve"> </w:t>
      </w:r>
      <w:r w:rsidRPr="00A41960">
        <w:t>manejo</w:t>
      </w:r>
      <w:r w:rsidRPr="00A41960">
        <w:rPr>
          <w:spacing w:val="14"/>
        </w:rPr>
        <w:t xml:space="preserve"> </w:t>
      </w:r>
      <w:r w:rsidRPr="00A41960">
        <w:t>de</w:t>
      </w:r>
      <w:r w:rsidRPr="00A41960">
        <w:rPr>
          <w:spacing w:val="15"/>
        </w:rPr>
        <w:t xml:space="preserve"> </w:t>
      </w:r>
      <w:r w:rsidRPr="00A41960">
        <w:t>ofertas</w:t>
      </w:r>
      <w:r w:rsidRPr="00A41960">
        <w:rPr>
          <w:spacing w:val="19"/>
        </w:rPr>
        <w:t xml:space="preserve"> </w:t>
      </w:r>
      <w:r w:rsidRPr="00A41960">
        <w:t>artificialmente</w:t>
      </w:r>
      <w:r w:rsidRPr="00A41960">
        <w:rPr>
          <w:spacing w:val="15"/>
        </w:rPr>
        <w:t xml:space="preserve"> </w:t>
      </w:r>
      <w:r w:rsidRPr="00A41960">
        <w:t>bajas</w:t>
      </w:r>
      <w:r w:rsidRPr="00A41960">
        <w:rPr>
          <w:spacing w:val="14"/>
        </w:rPr>
        <w:t xml:space="preserve"> </w:t>
      </w:r>
      <w:r w:rsidRPr="00A41960">
        <w:t>en</w:t>
      </w:r>
      <w:r w:rsidRPr="00A41960">
        <w:rPr>
          <w:spacing w:val="19"/>
        </w:rPr>
        <w:t xml:space="preserve"> </w:t>
      </w:r>
      <w:r w:rsidRPr="00A41960">
        <w:t>Procesos</w:t>
      </w:r>
      <w:r w:rsidRPr="00A41960">
        <w:rPr>
          <w:spacing w:val="16"/>
        </w:rPr>
        <w:t xml:space="preserve"> </w:t>
      </w:r>
      <w:r w:rsidRPr="00A41960">
        <w:t>de</w:t>
      </w:r>
      <w:r w:rsidRPr="00A41960">
        <w:rPr>
          <w:spacing w:val="14"/>
        </w:rPr>
        <w:t xml:space="preserve"> </w:t>
      </w:r>
      <w:r w:rsidRPr="00A41960">
        <w:t>Contratación”,</w:t>
      </w:r>
      <w:r w:rsidRPr="00A41960">
        <w:rPr>
          <w:spacing w:val="14"/>
        </w:rPr>
        <w:t xml:space="preserve"> </w:t>
      </w:r>
      <w:r w:rsidRPr="00A41960">
        <w:t>en</w:t>
      </w:r>
      <w:r w:rsidRPr="00A41960">
        <w:rPr>
          <w:spacing w:val="15"/>
        </w:rPr>
        <w:t xml:space="preserve"> </w:t>
      </w:r>
      <w:r w:rsidRPr="00A41960">
        <w:t>la</w:t>
      </w:r>
      <w:r w:rsidRPr="00A41960" w:rsidR="009920FB">
        <w:t xml:space="preserve"> </w:t>
      </w:r>
      <w:r w:rsidRPr="00A41960">
        <w:t>cual se incluyen recomendaciones y pautas para el manejo de aquellas que cumplen las características para ser consideradas artificialmente bajas.</w:t>
      </w:r>
    </w:p>
    <w:p w:rsidRPr="00A41960" w:rsidR="006D7B39" w:rsidRDefault="006D7B39" w14:paraId="59922724" w14:textId="77777777">
      <w:pPr>
        <w:pStyle w:val="Textoindependiente"/>
        <w:spacing w:before="1"/>
        <w:rPr>
          <w:sz w:val="25"/>
        </w:rPr>
      </w:pPr>
    </w:p>
    <w:p w:rsidRPr="00A41960" w:rsidR="006D7B39" w:rsidRDefault="000D1B1D" w14:paraId="56F48258" w14:textId="77777777">
      <w:pPr>
        <w:pStyle w:val="Textoindependiente"/>
        <w:spacing w:line="276" w:lineRule="auto"/>
        <w:ind w:left="300" w:right="306"/>
        <w:jc w:val="both"/>
      </w:pPr>
      <w:r w:rsidRPr="00A41960">
        <w:t xml:space="preserve">La guía define que una oferta es artificialmente baja cuando “a criterio de la Entidad Estatal, el precio no parece suficiente para garantizar una correcta ejecución del contrato, de acuerdo a la información recogida durante la etapa de planeación y particularmente durante el Estudio del Sector”. Para determinar que una propuesta es artificialmente baja se puede acudir a la comparación absoluta o la comparación relativa. La primera, se refiere a contrastar el valor </w:t>
      </w:r>
      <w:r w:rsidRPr="00A41960">
        <w:lastRenderedPageBreak/>
        <w:t>de cada oferta con el costo estimado de la provisión del bien o servicio de acuerdo con en el Estudio del Sector elaborado por la Entidad Estatal, en este evento se recomienda que cuando la entidad reciba menos de 5 ofertas debe solicitar aclaración a los proponentes cuyas ofertas sean menores en un 20%, o un mayor porcentaje, al coste estimado por la entidad estatal. La segunda, esto es, en la comparación relativa, la entidad debe contrastar cada oferta con las demás ofertas</w:t>
      </w:r>
      <w:r w:rsidRPr="00A41960">
        <w:rPr>
          <w:spacing w:val="-9"/>
        </w:rPr>
        <w:t xml:space="preserve"> </w:t>
      </w:r>
      <w:r w:rsidRPr="00A41960">
        <w:t>presentadas.</w:t>
      </w:r>
    </w:p>
    <w:p w:rsidRPr="00A41960" w:rsidR="006D7B39" w:rsidRDefault="006D7B39" w14:paraId="7D3943E1" w14:textId="77777777">
      <w:pPr>
        <w:pStyle w:val="Textoindependiente"/>
        <w:spacing w:before="3"/>
        <w:rPr>
          <w:sz w:val="25"/>
        </w:rPr>
      </w:pPr>
    </w:p>
    <w:p w:rsidRPr="00A41960" w:rsidR="006D7B39" w:rsidRDefault="000D1B1D" w14:paraId="18EE0DBF" w14:textId="77777777">
      <w:pPr>
        <w:pStyle w:val="Textoindependiente"/>
        <w:spacing w:line="276" w:lineRule="auto"/>
        <w:ind w:left="300" w:right="304"/>
        <w:jc w:val="both"/>
      </w:pPr>
      <w:r w:rsidRPr="00A41960">
        <w:t>Ahora, usted pregunta: ¿cómo debe ser el requerimiento?, ¿la entidad puede rechazar una propuesta sin requerir al oferente?, ¿existe un tiempo mínimo que se debe otorgar al oferente para explicar? Para dar respuesta a sus problemas jurídicos se explicará i) la forma en cómo debe hacerse el requerimiento, ii) posibilidad de rechazar una oferta sin requerir al oferente y iii) el tiempo mínimo que se debe otorgar al oferente para hacer el requerimiento.</w:t>
      </w:r>
    </w:p>
    <w:p w:rsidRPr="00A41960" w:rsidR="006D7B39" w:rsidRDefault="006D7B39" w14:paraId="7F92075D" w14:textId="77777777">
      <w:pPr>
        <w:pStyle w:val="Textoindependiente"/>
        <w:spacing w:before="5"/>
        <w:rPr>
          <w:sz w:val="25"/>
        </w:rPr>
      </w:pPr>
    </w:p>
    <w:p w:rsidRPr="00A41960" w:rsidR="006D7B39" w:rsidRDefault="000D1B1D" w14:paraId="203176B8" w14:textId="77777777">
      <w:pPr>
        <w:pStyle w:val="Ttulo1"/>
        <w:numPr>
          <w:ilvl w:val="2"/>
          <w:numId w:val="5"/>
        </w:numPr>
        <w:tabs>
          <w:tab w:val="left" w:pos="1020"/>
          <w:tab w:val="left" w:pos="1021"/>
        </w:tabs>
        <w:ind w:hanging="721"/>
      </w:pPr>
      <w:r w:rsidRPr="00A41960">
        <w:t>Formas de hacer el</w:t>
      </w:r>
      <w:r w:rsidRPr="00A41960">
        <w:rPr>
          <w:spacing w:val="-5"/>
        </w:rPr>
        <w:t xml:space="preserve"> </w:t>
      </w:r>
      <w:r w:rsidRPr="00A41960">
        <w:t>requerimiento</w:t>
      </w:r>
    </w:p>
    <w:p w:rsidRPr="00A41960" w:rsidR="006D7B39" w:rsidRDefault="006D7B39" w14:paraId="24A4351B" w14:textId="77777777">
      <w:pPr>
        <w:pStyle w:val="Textoindependiente"/>
        <w:spacing w:before="5"/>
        <w:rPr>
          <w:b/>
          <w:sz w:val="28"/>
        </w:rPr>
      </w:pPr>
    </w:p>
    <w:p w:rsidRPr="00A41960" w:rsidR="006D7B39" w:rsidRDefault="000D1B1D" w14:paraId="4A96127E" w14:textId="77777777">
      <w:pPr>
        <w:pStyle w:val="Textoindependiente"/>
        <w:spacing w:line="276" w:lineRule="auto"/>
        <w:ind w:left="300" w:right="309"/>
        <w:jc w:val="both"/>
      </w:pPr>
      <w:r w:rsidRPr="00A41960">
        <w:t>La normativa que regula los precios artificialmente bajos no determina la forma ni el momento en el cual se debe realizar el requerimiento a los proponentes para que justifiquen el precio ofertado, por lo tanto, quedará bajo el criterio de la entidad. Si bien lo ideal es que esos requerimientos se realicen durante la etapa de evaluación de la oferta, nada impide que se haga en la audiencia de</w:t>
      </w:r>
      <w:r w:rsidRPr="00A41960">
        <w:rPr>
          <w:spacing w:val="-12"/>
        </w:rPr>
        <w:t xml:space="preserve"> </w:t>
      </w:r>
      <w:r w:rsidRPr="00A41960">
        <w:t>adjudicación.</w:t>
      </w:r>
    </w:p>
    <w:p w:rsidRPr="00A41960" w:rsidR="006D7B39" w:rsidRDefault="006D7B39" w14:paraId="7A5042C3" w14:textId="77777777">
      <w:pPr>
        <w:pStyle w:val="Textoindependiente"/>
        <w:spacing w:before="5"/>
        <w:rPr>
          <w:sz w:val="25"/>
        </w:rPr>
      </w:pPr>
    </w:p>
    <w:p w:rsidRPr="00A41960" w:rsidR="006D7B39" w:rsidRDefault="000D1B1D" w14:paraId="741E2E9E" w14:textId="77777777">
      <w:pPr>
        <w:pStyle w:val="Textoindependiente"/>
        <w:spacing w:line="276" w:lineRule="auto"/>
        <w:ind w:left="300" w:right="308"/>
        <w:jc w:val="both"/>
      </w:pPr>
      <w:r w:rsidRPr="00A41960">
        <w:t>Ahora, ¿el requerimiento se debe notificar, publicar o comunicar? Para determinar lo anterior, es importante identificar cuál es la naturaleza de dicho requerimiento: ¿un acto administrativo definitivo o de trámite?</w:t>
      </w:r>
    </w:p>
    <w:p w:rsidRPr="00A41960" w:rsidR="006D7B39" w:rsidRDefault="006D7B39" w14:paraId="44EF664C" w14:textId="77777777">
      <w:pPr>
        <w:pStyle w:val="Textoindependiente"/>
        <w:spacing w:before="3"/>
        <w:rPr>
          <w:sz w:val="25"/>
        </w:rPr>
      </w:pPr>
    </w:p>
    <w:p w:rsidRPr="00A41960" w:rsidR="006D7B39" w:rsidP="009026AE" w:rsidRDefault="000D1B1D" w14:paraId="7DCE8293" w14:textId="51C106E9">
      <w:pPr>
        <w:pStyle w:val="Textoindependiente"/>
        <w:spacing w:line="276" w:lineRule="auto"/>
        <w:ind w:left="300" w:right="311"/>
        <w:jc w:val="both"/>
      </w:pPr>
      <w:r w:rsidRPr="00A41960">
        <w:t>De acuerdo con el Consejo de Estado, Sección Quinta, sentencia del 22 de octubre de 2009, Magistrado Ponente Filemón Jiménez, los actos administrativos de fondo son aquellos que concluyen la actuación administrativa, en tanto que deciden directa o indirectamente el fondo del asunto y producen efectos jurídicos definitivos; mientras que los</w:t>
      </w:r>
      <w:r w:rsidRPr="00A41960">
        <w:rPr>
          <w:spacing w:val="32"/>
        </w:rPr>
        <w:t xml:space="preserve"> </w:t>
      </w:r>
      <w:r w:rsidRPr="00A41960">
        <w:t>actos</w:t>
      </w:r>
      <w:r w:rsidRPr="00A41960">
        <w:rPr>
          <w:spacing w:val="32"/>
        </w:rPr>
        <w:t xml:space="preserve"> </w:t>
      </w:r>
      <w:r w:rsidRPr="00A41960">
        <w:t>de</w:t>
      </w:r>
      <w:r w:rsidRPr="00A41960">
        <w:rPr>
          <w:spacing w:val="30"/>
        </w:rPr>
        <w:t xml:space="preserve"> </w:t>
      </w:r>
      <w:r w:rsidRPr="00A41960">
        <w:t>trámite</w:t>
      </w:r>
      <w:r w:rsidRPr="00A41960">
        <w:rPr>
          <w:spacing w:val="34"/>
        </w:rPr>
        <w:t xml:space="preserve"> </w:t>
      </w:r>
      <w:r w:rsidRPr="00A41960">
        <w:t>por</w:t>
      </w:r>
      <w:r w:rsidRPr="00A41960">
        <w:rPr>
          <w:spacing w:val="27"/>
        </w:rPr>
        <w:t xml:space="preserve"> </w:t>
      </w:r>
      <w:r w:rsidRPr="00A41960">
        <w:t>sí</w:t>
      </w:r>
      <w:r w:rsidRPr="00A41960">
        <w:rPr>
          <w:spacing w:val="32"/>
        </w:rPr>
        <w:t xml:space="preserve"> </w:t>
      </w:r>
      <w:r w:rsidRPr="00A41960">
        <w:t>mismos</w:t>
      </w:r>
      <w:r w:rsidRPr="00A41960">
        <w:rPr>
          <w:spacing w:val="32"/>
        </w:rPr>
        <w:t xml:space="preserve"> </w:t>
      </w:r>
      <w:r w:rsidRPr="00A41960">
        <w:t>no</w:t>
      </w:r>
      <w:r w:rsidRPr="00A41960">
        <w:rPr>
          <w:spacing w:val="32"/>
        </w:rPr>
        <w:t xml:space="preserve"> </w:t>
      </w:r>
      <w:r w:rsidRPr="00A41960">
        <w:t>concluyen</w:t>
      </w:r>
      <w:r w:rsidRPr="00A41960">
        <w:rPr>
          <w:spacing w:val="33"/>
        </w:rPr>
        <w:t xml:space="preserve"> </w:t>
      </w:r>
      <w:r w:rsidRPr="00A41960">
        <w:t>la</w:t>
      </w:r>
      <w:r w:rsidRPr="00A41960">
        <w:rPr>
          <w:spacing w:val="32"/>
        </w:rPr>
        <w:t xml:space="preserve"> </w:t>
      </w:r>
      <w:r w:rsidRPr="00A41960">
        <w:t>actuación</w:t>
      </w:r>
      <w:r w:rsidRPr="00A41960">
        <w:rPr>
          <w:spacing w:val="30"/>
        </w:rPr>
        <w:t xml:space="preserve"> </w:t>
      </w:r>
      <w:r w:rsidRPr="00A41960">
        <w:t>administrativa,</w:t>
      </w:r>
      <w:r w:rsidRPr="00A41960">
        <w:rPr>
          <w:spacing w:val="31"/>
        </w:rPr>
        <w:t xml:space="preserve"> </w:t>
      </w:r>
      <w:r w:rsidRPr="00A41960">
        <w:t>salvo</w:t>
      </w:r>
      <w:r w:rsidRPr="00A41960">
        <w:rPr>
          <w:spacing w:val="33"/>
        </w:rPr>
        <w:t xml:space="preserve"> </w:t>
      </w:r>
      <w:r w:rsidRPr="00A41960">
        <w:t>que,</w:t>
      </w:r>
      <w:r w:rsidR="009026AE">
        <w:t xml:space="preserve"> c</w:t>
      </w:r>
      <w:r w:rsidRPr="00A41960">
        <w:t>omo lo prevé la norma, la decisión que se adopte impida que continúe tal actuación, caso en el cual se convierte en un acto administrativo definitivo, porque pone fin al procedimiento</w:t>
      </w:r>
      <w:r w:rsidRPr="00A41960">
        <w:rPr>
          <w:spacing w:val="-2"/>
        </w:rPr>
        <w:t xml:space="preserve"> </w:t>
      </w:r>
      <w:r w:rsidRPr="00A41960">
        <w:t>administrativo</w:t>
      </w:r>
      <w:r w:rsidRPr="00A41960" w:rsidR="00F50641">
        <w:rPr>
          <w:rStyle w:val="Refdenotaalpie"/>
        </w:rPr>
        <w:footnoteReference w:id="20"/>
      </w:r>
      <w:r w:rsidRPr="00A41960">
        <w:t>.</w:t>
      </w:r>
    </w:p>
    <w:p w:rsidRPr="00A41960" w:rsidR="006D7B39" w:rsidRDefault="006D7B39" w14:paraId="76742AC0" w14:textId="77777777">
      <w:pPr>
        <w:pStyle w:val="Textoindependiente"/>
        <w:spacing w:before="5"/>
        <w:rPr>
          <w:sz w:val="25"/>
        </w:rPr>
      </w:pPr>
    </w:p>
    <w:p w:rsidRPr="00A41960" w:rsidR="006D7B39" w:rsidRDefault="000D1B1D" w14:paraId="6198F093" w14:textId="77777777">
      <w:pPr>
        <w:pStyle w:val="Textoindependiente"/>
        <w:spacing w:line="276" w:lineRule="auto"/>
        <w:ind w:left="300" w:right="306"/>
        <w:jc w:val="both"/>
      </w:pPr>
      <w:r w:rsidRPr="00A41960">
        <w:t xml:space="preserve">En este caso, el requerimiento al proponente para que explique el precio no es un acto administrativo definitivo, porque no decide de fondo el asunto, sino que es un acto que </w:t>
      </w:r>
      <w:r w:rsidRPr="00A41960">
        <w:lastRenderedPageBreak/>
        <w:t>impulsa la actuación administrativa para tomar una decisión de fondo.</w:t>
      </w:r>
    </w:p>
    <w:p w:rsidRPr="00A41960" w:rsidR="006D7B39" w:rsidRDefault="006D7B39" w14:paraId="435215BD" w14:textId="77777777">
      <w:pPr>
        <w:pStyle w:val="Textoindependiente"/>
        <w:spacing w:before="2"/>
        <w:rPr>
          <w:sz w:val="25"/>
        </w:rPr>
      </w:pPr>
    </w:p>
    <w:p w:rsidRPr="00A41960" w:rsidR="006D7B39" w:rsidRDefault="000D1B1D" w14:paraId="3F18C170" w14:textId="77777777">
      <w:pPr>
        <w:pStyle w:val="Textoindependiente"/>
        <w:spacing w:line="276" w:lineRule="auto"/>
        <w:ind w:left="300" w:right="304"/>
        <w:jc w:val="both"/>
      </w:pPr>
      <w:r w:rsidRPr="00A41960">
        <w:t>Determinado que el requerimiento es un acto de trámite ¿cómo se comunica? La Ley 1437 de 2011 no define el procedimiento para comunicar estos actos administrativos, por lo tanto, la entidad tiene libertad para determinar el medio eficaz para comunicarlo. Si bien puede ser una llamada, un correo electrónico, o un mensaje en la plataforma del SECOP II, se deberá valorar, en cada caso, si fue idóneo para comunicar el acto administrativo.</w:t>
      </w:r>
    </w:p>
    <w:p w:rsidRPr="00A41960" w:rsidR="006D7B39" w:rsidRDefault="006D7B39" w14:paraId="33C1ADFF" w14:textId="77777777">
      <w:pPr>
        <w:pStyle w:val="Textoindependiente"/>
        <w:spacing w:before="6"/>
        <w:rPr>
          <w:sz w:val="25"/>
        </w:rPr>
      </w:pPr>
    </w:p>
    <w:p w:rsidRPr="00A41960" w:rsidR="006D7B39" w:rsidRDefault="000D1B1D" w14:paraId="283CCDFB" w14:textId="77777777">
      <w:pPr>
        <w:pStyle w:val="Ttulo1"/>
        <w:numPr>
          <w:ilvl w:val="2"/>
          <w:numId w:val="2"/>
        </w:numPr>
        <w:tabs>
          <w:tab w:val="left" w:pos="848"/>
        </w:tabs>
      </w:pPr>
      <w:r w:rsidRPr="00A41960">
        <w:t>Posibilidad de rechazar una oferta sin requerir al</w:t>
      </w:r>
      <w:r w:rsidRPr="00A41960">
        <w:rPr>
          <w:spacing w:val="-9"/>
        </w:rPr>
        <w:t xml:space="preserve"> </w:t>
      </w:r>
      <w:r w:rsidRPr="00A41960">
        <w:t>oferente</w:t>
      </w:r>
    </w:p>
    <w:p w:rsidRPr="00A41960" w:rsidR="006D7B39" w:rsidRDefault="006D7B39" w14:paraId="3FB6CE75" w14:textId="77777777">
      <w:pPr>
        <w:pStyle w:val="Textoindependiente"/>
        <w:spacing w:before="5"/>
        <w:rPr>
          <w:b/>
          <w:sz w:val="28"/>
        </w:rPr>
      </w:pPr>
    </w:p>
    <w:p w:rsidRPr="00A41960" w:rsidR="006D7B39" w:rsidRDefault="000D1B1D" w14:paraId="631B21CA" w14:textId="77777777">
      <w:pPr>
        <w:pStyle w:val="Textoindependiente"/>
        <w:spacing w:line="276" w:lineRule="auto"/>
        <w:ind w:left="300" w:right="303"/>
        <w:jc w:val="both"/>
      </w:pPr>
      <w:r w:rsidRPr="00A41960">
        <w:t xml:space="preserve">El Decreto 1082 de 2015, en el artículo 2.2.1.1.2.2.4, señala que cuando a la entidad le parezca que el valor de una oferta parezca artificialmente bajo, requerirá al oferente para que sustenten las razones que justifican el valor ofrecido. Por lo tanto, </w:t>
      </w:r>
      <w:r w:rsidRPr="00A41960">
        <w:rPr>
          <w:spacing w:val="4"/>
        </w:rPr>
        <w:t xml:space="preserve">la </w:t>
      </w:r>
      <w:r w:rsidRPr="00A41960">
        <w:t>entidad estará obligada a requerir al proponente para que aclare el valor de la oferta, siempre que dude de que el precio es artificialmente bajo, ya sea porque es artificioso, falso, disimulado o muy</w:t>
      </w:r>
      <w:r w:rsidRPr="00A41960">
        <w:rPr>
          <w:spacing w:val="-5"/>
        </w:rPr>
        <w:t xml:space="preserve"> </w:t>
      </w:r>
      <w:r w:rsidRPr="00A41960">
        <w:t>reducido.</w:t>
      </w:r>
    </w:p>
    <w:p w:rsidRPr="00A41960" w:rsidR="006D7B39" w:rsidRDefault="006D7B39" w14:paraId="22EC2092" w14:textId="77777777">
      <w:pPr>
        <w:pStyle w:val="Textoindependiente"/>
        <w:spacing w:before="5"/>
        <w:rPr>
          <w:sz w:val="25"/>
        </w:rPr>
      </w:pPr>
    </w:p>
    <w:p w:rsidRPr="00A41960" w:rsidR="006D7B39" w:rsidP="00F50641" w:rsidRDefault="000D1B1D" w14:paraId="30BF2393" w14:textId="72F80A96">
      <w:pPr>
        <w:pStyle w:val="Textoindependiente"/>
        <w:spacing w:line="276" w:lineRule="auto"/>
        <w:ind w:left="300" w:right="309"/>
        <w:jc w:val="both"/>
        <w:rPr>
          <w:sz w:val="20"/>
        </w:rPr>
      </w:pPr>
      <w:r w:rsidRPr="00A41960">
        <w:t>Ahora, como la norma, de forma expresa, solicita que se requiera al proponente, no se podrá rechazar la oferta sin antes hacerlo. Por su parte, el rechazo procederá cuando analizadas las explicaciones el comité de evaluación las considera insuficientes o insatisfactorias. En este sentido, en virtud del artículo 2.2.1.1.2.2 del Decreto 1082 de 2015: i) la entidad tiene la obligación de requerir al proponente, ii) se rechazará la oferta cuando dadas las explicaciones el comité evaluador lo considera pertinente, por lo tanto, no se podrá rechazar sin requerimiento</w:t>
      </w:r>
      <w:r w:rsidRPr="00A41960">
        <w:rPr>
          <w:spacing w:val="-6"/>
        </w:rPr>
        <w:t xml:space="preserve"> </w:t>
      </w:r>
      <w:r w:rsidRPr="00A41960">
        <w:t>previo.</w:t>
      </w:r>
      <w:r w:rsidRPr="00A41960" w:rsidR="00F50641">
        <w:t xml:space="preserve"> </w:t>
      </w:r>
    </w:p>
    <w:p w:rsidRPr="00A41960" w:rsidR="006D7B39" w:rsidRDefault="006D7B39" w14:paraId="2FC47EFE" w14:textId="77777777">
      <w:pPr>
        <w:pStyle w:val="Textoindependiente"/>
        <w:spacing w:before="5"/>
        <w:rPr>
          <w:sz w:val="16"/>
        </w:rPr>
      </w:pPr>
    </w:p>
    <w:p w:rsidRPr="00A41960" w:rsidR="006D7B39" w:rsidRDefault="000D1B1D" w14:paraId="20489FC8" w14:textId="77777777">
      <w:pPr>
        <w:pStyle w:val="Ttulo1"/>
        <w:numPr>
          <w:ilvl w:val="2"/>
          <w:numId w:val="2"/>
        </w:numPr>
        <w:tabs>
          <w:tab w:val="left" w:pos="849"/>
        </w:tabs>
        <w:spacing w:before="93"/>
        <w:ind w:hanging="549"/>
      </w:pPr>
      <w:r w:rsidRPr="00A41960">
        <w:t>El tiempo mínimo para hacer el</w:t>
      </w:r>
      <w:r w:rsidRPr="00A41960">
        <w:rPr>
          <w:spacing w:val="-6"/>
        </w:rPr>
        <w:t xml:space="preserve"> </w:t>
      </w:r>
      <w:r w:rsidRPr="00A41960">
        <w:t>requerimiento</w:t>
      </w:r>
    </w:p>
    <w:p w:rsidRPr="00A41960" w:rsidR="006D7B39" w:rsidRDefault="006D7B39" w14:paraId="1D267667" w14:textId="77777777">
      <w:pPr>
        <w:pStyle w:val="Textoindependiente"/>
        <w:spacing w:before="8"/>
        <w:rPr>
          <w:b/>
          <w:sz w:val="28"/>
        </w:rPr>
      </w:pPr>
    </w:p>
    <w:p w:rsidRPr="00A41960" w:rsidR="006D7B39" w:rsidRDefault="000D1B1D" w14:paraId="6799107A" w14:textId="77777777">
      <w:pPr>
        <w:pStyle w:val="Textoindependiente"/>
        <w:spacing w:line="278" w:lineRule="auto"/>
        <w:ind w:left="300" w:right="314"/>
        <w:jc w:val="both"/>
      </w:pPr>
      <w:r w:rsidRPr="00A41960">
        <w:t>Como la norma no establece el término que se debe otorgar a los proponentes para que expliquen el precio ofertado, éste queda a la discrecionalidad de la entidad.</w:t>
      </w:r>
    </w:p>
    <w:p w:rsidRPr="00A41960" w:rsidR="006D7B39" w:rsidRDefault="006D7B39" w14:paraId="761A07F6" w14:textId="77777777">
      <w:pPr>
        <w:pStyle w:val="Textoindependiente"/>
        <w:spacing w:before="9"/>
        <w:rPr>
          <w:sz w:val="24"/>
        </w:rPr>
      </w:pPr>
    </w:p>
    <w:p w:rsidRPr="00A41960" w:rsidR="006D7B39" w:rsidRDefault="000D1B1D" w14:paraId="5FB05AEE" w14:textId="77777777">
      <w:pPr>
        <w:pStyle w:val="Textoindependiente"/>
        <w:spacing w:before="1" w:line="276" w:lineRule="auto"/>
        <w:ind w:left="300" w:right="304"/>
        <w:jc w:val="both"/>
      </w:pPr>
      <w:r w:rsidRPr="00A41960">
        <w:t>Ahora, el Consejo de Estado, Sección Segunda, en la sentencia del 10 de junio de 1992 expediente No. 4249, define la facultad discrecional como la potestad de elección de una autoridad administrativa que ejerce de forma sensata, con buen criterio y de forma prudente en la toma de las decisiones: “los (actos) denominados discrecionales […] se emiten por la autoridad 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w:t>
      </w:r>
      <w:r w:rsidRPr="00A41960">
        <w:rPr>
          <w:spacing w:val="-8"/>
        </w:rPr>
        <w:t xml:space="preserve"> </w:t>
      </w:r>
      <w:r w:rsidRPr="00A41960">
        <w:t>tareas”.</w:t>
      </w:r>
    </w:p>
    <w:p w:rsidRPr="00A41960" w:rsidR="006D7B39" w:rsidRDefault="006D7B39" w14:paraId="0B9D5254" w14:textId="77777777">
      <w:pPr>
        <w:pStyle w:val="Textoindependiente"/>
        <w:spacing w:before="5"/>
        <w:rPr>
          <w:sz w:val="25"/>
        </w:rPr>
      </w:pPr>
    </w:p>
    <w:p w:rsidRPr="00A41960" w:rsidR="006D7B39" w:rsidRDefault="000D1B1D" w14:paraId="2D6C0947" w14:textId="20CFFE07">
      <w:pPr>
        <w:pStyle w:val="Textoindependiente"/>
        <w:spacing w:line="276" w:lineRule="auto"/>
        <w:ind w:left="300" w:right="311"/>
        <w:jc w:val="both"/>
      </w:pPr>
      <w:r w:rsidRPr="00A41960">
        <w:t xml:space="preserve">Por su parte, Roberto Dromi, en “Reforma del Estado y Privatizaciones”, señala que la discrecionalidad administrativa tiene dos limitantes, una el respeto a la finalidad jurídica que </w:t>
      </w:r>
      <w:r w:rsidRPr="00A41960">
        <w:lastRenderedPageBreak/>
        <w:t>justifica, que no es nada distinto a satisfacer el interés general; y otra que el uso de la discrecionalidad sea necesario para cumplir el interés jurídico que se tutela. En este sentido, la entidad deberá adoptar una medida que esté acorde con el interés</w:t>
      </w:r>
      <w:r w:rsidRPr="00A41960">
        <w:rPr>
          <w:spacing w:val="-33"/>
        </w:rPr>
        <w:t xml:space="preserve"> </w:t>
      </w:r>
      <w:r w:rsidRPr="00A41960">
        <w:t>general</w:t>
      </w:r>
      <w:r w:rsidRPr="00A41960" w:rsidR="00AE0D25">
        <w:rPr>
          <w:rStyle w:val="Refdenotaalpie"/>
        </w:rPr>
        <w:footnoteReference w:id="21"/>
      </w:r>
      <w:r w:rsidRPr="00A41960">
        <w:t>.</w:t>
      </w:r>
    </w:p>
    <w:p w:rsidRPr="00A41960" w:rsidR="006D7B39" w:rsidRDefault="006D7B39" w14:paraId="24ACBB71" w14:textId="77777777">
      <w:pPr>
        <w:pStyle w:val="Textoindependiente"/>
        <w:spacing w:before="3"/>
        <w:rPr>
          <w:sz w:val="25"/>
        </w:rPr>
      </w:pPr>
    </w:p>
    <w:p w:rsidRPr="00A41960" w:rsidR="006D7B39" w:rsidRDefault="000D1B1D" w14:paraId="119F9EF1" w14:textId="77777777">
      <w:pPr>
        <w:pStyle w:val="Textoindependiente"/>
        <w:spacing w:before="1" w:line="276" w:lineRule="auto"/>
        <w:ind w:left="300" w:right="316"/>
        <w:jc w:val="both"/>
      </w:pPr>
      <w:r w:rsidRPr="00A41960">
        <w:t>Conforme a lo anterior, si bien la entidad tiene la facultad de definir el término mínimo que otorgará a los proponentes para aclarar el precio artificialmente bajo, debe estar acorde con el interés general y los principios de proporcionalidad y</w:t>
      </w:r>
      <w:r w:rsidRPr="00A41960">
        <w:rPr>
          <w:spacing w:val="-22"/>
        </w:rPr>
        <w:t xml:space="preserve"> </w:t>
      </w:r>
      <w:r w:rsidRPr="00A41960">
        <w:t>razonabilidad.</w:t>
      </w:r>
    </w:p>
    <w:p w:rsidRPr="00A41960" w:rsidR="006D7B39" w:rsidRDefault="006D7B39" w14:paraId="33A14291" w14:textId="77777777">
      <w:pPr>
        <w:pStyle w:val="Textoindependiente"/>
        <w:spacing w:before="2"/>
        <w:rPr>
          <w:sz w:val="25"/>
        </w:rPr>
      </w:pPr>
    </w:p>
    <w:p w:rsidRPr="00A41960" w:rsidR="006D7B39" w:rsidRDefault="000D1B1D" w14:paraId="4C83854C" w14:textId="77777777">
      <w:pPr>
        <w:pStyle w:val="Ttulo1"/>
        <w:tabs>
          <w:tab w:val="left" w:pos="660"/>
        </w:tabs>
      </w:pPr>
      <w:r w:rsidRPr="00A41960">
        <w:t>3</w:t>
      </w:r>
      <w:r w:rsidRPr="00A41960">
        <w:tab/>
      </w:r>
      <w:r w:rsidRPr="00A41960">
        <w:t>Respuestas</w:t>
      </w:r>
    </w:p>
    <w:p w:rsidRPr="00A41960" w:rsidR="006D7B39" w:rsidRDefault="006D7B39" w14:paraId="6C9D9F88" w14:textId="77777777">
      <w:pPr>
        <w:pStyle w:val="Textoindependiente"/>
        <w:spacing w:before="7"/>
        <w:rPr>
          <w:b/>
          <w:sz w:val="28"/>
        </w:rPr>
      </w:pPr>
    </w:p>
    <w:p w:rsidRPr="00A41960" w:rsidR="006D7B39" w:rsidRDefault="000D1B1D" w14:paraId="75FE05F6" w14:textId="77777777">
      <w:pPr>
        <w:pStyle w:val="Prrafodelista"/>
        <w:numPr>
          <w:ilvl w:val="0"/>
          <w:numId w:val="1"/>
        </w:numPr>
        <w:tabs>
          <w:tab w:val="left" w:pos="1008"/>
        </w:tabs>
        <w:spacing w:line="276" w:lineRule="auto"/>
        <w:ind w:right="1020" w:firstLine="0"/>
        <w:jc w:val="both"/>
      </w:pPr>
      <w:r w:rsidRPr="00A41960">
        <w:t>¿Si un oferente presenta su existencia y representación legal o RUP vencidos al momento del cierre y luego de subsanar presenta los documentos con fecha de expedición posterior al cierre del proceso estos son válidos, o se entiende que se acreditan hechos con posterioridad al cierre y deben ser rechazados?</w:t>
      </w:r>
    </w:p>
    <w:p w:rsidRPr="00A41960" w:rsidR="006D7B39" w:rsidRDefault="006D7B39" w14:paraId="54C8615F" w14:textId="77777777">
      <w:pPr>
        <w:pStyle w:val="Textoindependiente"/>
        <w:spacing w:before="5"/>
        <w:rPr>
          <w:sz w:val="16"/>
        </w:rPr>
      </w:pPr>
    </w:p>
    <w:p w:rsidRPr="00A41960" w:rsidR="006D7B39" w:rsidRDefault="000D1B1D" w14:paraId="264C5EAB" w14:textId="77777777">
      <w:pPr>
        <w:pStyle w:val="Textoindependiente"/>
        <w:spacing w:before="93" w:line="276" w:lineRule="auto"/>
        <w:ind w:left="300" w:right="307"/>
        <w:jc w:val="both"/>
      </w:pPr>
      <w:r w:rsidRPr="00A41960">
        <w:t>Si el oferente presenta su oferta con un RUP vencido, es decir que no lo actualizó dentro de los 5 primeros días hábiles del mes de abril, el RUP cesa sus efectos, y, por lo tanto, al momento de presentar la oferta la persona natural o jurídica ya no se encontraba inscrita. Debido a que es necesario para la presentación de la oferta estar inscrito en el RUP si se presenta un RUP vencido, no será posible subsanarlo; lo anterior, toda vez que, si el acto de inscripción se realizaría con posterioridad al cierre se acreditarían circunstancias con posterioridad al</w:t>
      </w:r>
      <w:r w:rsidRPr="00A41960">
        <w:rPr>
          <w:spacing w:val="-3"/>
        </w:rPr>
        <w:t xml:space="preserve"> </w:t>
      </w:r>
      <w:r w:rsidRPr="00A41960">
        <w:t>cierre.</w:t>
      </w:r>
    </w:p>
    <w:p w:rsidRPr="00A41960" w:rsidR="006D7B39" w:rsidRDefault="006D7B39" w14:paraId="5AD881D6" w14:textId="77777777">
      <w:pPr>
        <w:pStyle w:val="Textoindependiente"/>
        <w:spacing w:before="4"/>
        <w:rPr>
          <w:sz w:val="25"/>
        </w:rPr>
      </w:pPr>
    </w:p>
    <w:p w:rsidRPr="00A41960" w:rsidR="006D7B39" w:rsidRDefault="000D1B1D" w14:paraId="3EF9E607" w14:textId="77777777">
      <w:pPr>
        <w:pStyle w:val="Textoindependiente"/>
        <w:spacing w:line="276" w:lineRule="auto"/>
        <w:ind w:left="300" w:right="308"/>
        <w:jc w:val="both"/>
      </w:pPr>
      <w:r w:rsidRPr="00A41960">
        <w:t>Ahora, en relación con el certificado de existencia y representación legal, tal y cómo se estudió previamente, la ley no establece un término de vigencia de este documento. Sin embargo, la entidad tiene la autonomía para definir un término mínimo de expedición de este documento, para tener la información actualizada de quien hace parte de la persona jurídica y se pueda comprobar si el proponente está incurso en alguna causal de inhabilidad e</w:t>
      </w:r>
      <w:r w:rsidRPr="00A41960">
        <w:rPr>
          <w:spacing w:val="-4"/>
        </w:rPr>
        <w:t xml:space="preserve"> </w:t>
      </w:r>
      <w:r w:rsidRPr="00A41960">
        <w:t>incompatibilidad.</w:t>
      </w:r>
    </w:p>
    <w:p w:rsidRPr="00A41960" w:rsidR="006D7B39" w:rsidRDefault="006D7B39" w14:paraId="13FA7AFB" w14:textId="77777777">
      <w:pPr>
        <w:pStyle w:val="Textoindependiente"/>
        <w:spacing w:before="5"/>
        <w:rPr>
          <w:sz w:val="25"/>
        </w:rPr>
      </w:pPr>
    </w:p>
    <w:p w:rsidRPr="00A41960" w:rsidR="006D7B39" w:rsidRDefault="000D1B1D" w14:paraId="0B4C99E5" w14:textId="77777777">
      <w:pPr>
        <w:pStyle w:val="Textoindependiente"/>
        <w:spacing w:line="276" w:lineRule="auto"/>
        <w:ind w:left="300" w:right="306"/>
        <w:jc w:val="both"/>
      </w:pPr>
      <w:r w:rsidRPr="00A41960">
        <w:t xml:space="preserve">En el evento que el proponente presente la copia del certificado de existencia y representación legal con un término de expedición que no es el de la entidad, se podrá subsanar y no se están acreditando circunstancias con posterioridad al cierre, porque la inscripción del certificado de existencia y representación legal se dio con anterioridad al </w:t>
      </w:r>
      <w:r w:rsidRPr="00A41960">
        <w:lastRenderedPageBreak/>
        <w:t>cierre, a pesar de que la copia de este documento fue expedida con posterioridad.</w:t>
      </w:r>
    </w:p>
    <w:p w:rsidRPr="00A41960" w:rsidR="006D7B39" w:rsidRDefault="006D7B39" w14:paraId="14B8AE33" w14:textId="77777777">
      <w:pPr>
        <w:pStyle w:val="Textoindependiente"/>
        <w:spacing w:before="3"/>
        <w:rPr>
          <w:sz w:val="25"/>
        </w:rPr>
      </w:pPr>
    </w:p>
    <w:p w:rsidRPr="00A41960" w:rsidR="006D7B39" w:rsidRDefault="000D1B1D" w14:paraId="0BFFA35C" w14:textId="77777777">
      <w:pPr>
        <w:pStyle w:val="Prrafodelista"/>
        <w:numPr>
          <w:ilvl w:val="1"/>
          <w:numId w:val="4"/>
        </w:numPr>
        <w:tabs>
          <w:tab w:val="left" w:pos="1250"/>
        </w:tabs>
        <w:spacing w:line="278" w:lineRule="auto"/>
        <w:ind w:right="1021" w:firstLine="0"/>
        <w:jc w:val="both"/>
      </w:pPr>
      <w:r w:rsidRPr="00A41960">
        <w:t>¿Los contratos cuyo objeto se relacione con el espacio público urbano se encuentran enmarcados en infraestructura de</w:t>
      </w:r>
      <w:r w:rsidRPr="00A41960">
        <w:rPr>
          <w:spacing w:val="-11"/>
        </w:rPr>
        <w:t xml:space="preserve"> </w:t>
      </w:r>
      <w:r w:rsidRPr="00A41960">
        <w:t>transporte?</w:t>
      </w:r>
    </w:p>
    <w:p w:rsidRPr="00A41960" w:rsidR="006D7B39" w:rsidRDefault="006D7B39" w14:paraId="692AC92D" w14:textId="77777777">
      <w:pPr>
        <w:pStyle w:val="Textoindependiente"/>
        <w:spacing w:before="10"/>
        <w:rPr>
          <w:sz w:val="24"/>
        </w:rPr>
      </w:pPr>
    </w:p>
    <w:p w:rsidRPr="00A41960" w:rsidR="006D7B39" w:rsidRDefault="000D1B1D" w14:paraId="2974AB80" w14:textId="77777777">
      <w:pPr>
        <w:pStyle w:val="Textoindependiente"/>
        <w:spacing w:line="278" w:lineRule="auto"/>
        <w:ind w:left="300" w:right="316"/>
        <w:jc w:val="both"/>
      </w:pPr>
      <w:r w:rsidRPr="00A41960">
        <w:t>Si el contrato de espacio público se relaciona con alguna actividad de infraestructura de transporte aplica el Documento Tipo, de lo contrario no será obligatorio.</w:t>
      </w:r>
    </w:p>
    <w:p w:rsidRPr="00A41960" w:rsidR="006D7B39" w:rsidRDefault="006D7B39" w14:paraId="7BE41368" w14:textId="77777777">
      <w:pPr>
        <w:pStyle w:val="Textoindependiente"/>
        <w:spacing w:before="9"/>
        <w:rPr>
          <w:sz w:val="24"/>
        </w:rPr>
      </w:pPr>
    </w:p>
    <w:p w:rsidRPr="00A41960" w:rsidR="006D7B39" w:rsidRDefault="000D1B1D" w14:paraId="77C968AD" w14:textId="77777777">
      <w:pPr>
        <w:pStyle w:val="Prrafodelista"/>
        <w:numPr>
          <w:ilvl w:val="1"/>
          <w:numId w:val="4"/>
        </w:numPr>
        <w:tabs>
          <w:tab w:val="left" w:pos="1391"/>
        </w:tabs>
        <w:spacing w:before="1" w:line="276" w:lineRule="auto"/>
        <w:ind w:left="1008" w:right="1020" w:firstLine="0"/>
        <w:jc w:val="both"/>
      </w:pPr>
      <w:r w:rsidRPr="00A41960">
        <w:t>Para validar los precios artificialmente bajos, ¿cómo debe ser el requerimiento? ¿la entidad puede rechazar una propuesta sin requerir al oferente? ¿existe un tiempo mínimo que se debe otorgar al oferente para explicar?</w:t>
      </w:r>
    </w:p>
    <w:p w:rsidRPr="00A41960" w:rsidR="006D7B39" w:rsidRDefault="006D7B39" w14:paraId="04C1A445" w14:textId="77777777">
      <w:pPr>
        <w:pStyle w:val="Textoindependiente"/>
        <w:spacing w:before="4"/>
        <w:rPr>
          <w:sz w:val="25"/>
        </w:rPr>
      </w:pPr>
    </w:p>
    <w:p w:rsidRPr="00A41960" w:rsidR="006D7B39" w:rsidRDefault="000D1B1D" w14:paraId="13C7A271" w14:textId="77777777">
      <w:pPr>
        <w:pStyle w:val="Textoindependiente"/>
        <w:spacing w:line="276" w:lineRule="auto"/>
        <w:ind w:left="300" w:right="311"/>
        <w:jc w:val="both"/>
      </w:pPr>
      <w:r w:rsidRPr="00A41960">
        <w:t>Frente a la primera pregunta, como el requerimiento que se hace al proponente es un acto de trámite, y la norma no específica la forma en la cual se deben comunicar estos actos, la entidad tiene la autonomía para determinar cómo lo hará. Ahora, en relación con la segunda pregunta, la entidad no puede rechazar a un oferente si antes no lo requiere para aclarar las razones que sustentan el valor ofrecido, porque el artículo 2.2.1.1.2.2.4 del Decreto 1082 de 2015 establece la obligación, por parte de la entidad, de requerir al proponente cuando le parezca que el valor de la oferta es artificialmente bajo.</w:t>
      </w:r>
    </w:p>
    <w:p w:rsidRPr="00A41960" w:rsidR="006D7B39" w:rsidRDefault="006D7B39" w14:paraId="0EA54A3D" w14:textId="77777777">
      <w:pPr>
        <w:pStyle w:val="Textoindependiente"/>
        <w:spacing w:before="11"/>
        <w:rPr>
          <w:sz w:val="21"/>
        </w:rPr>
      </w:pPr>
    </w:p>
    <w:p w:rsidRPr="00A41960" w:rsidR="006D7B39" w:rsidRDefault="000D1B1D" w14:paraId="761DD0B6" w14:textId="77777777">
      <w:pPr>
        <w:pStyle w:val="Textoindependiente"/>
        <w:spacing w:before="93" w:line="276" w:lineRule="auto"/>
        <w:ind w:left="300" w:right="310"/>
        <w:jc w:val="both"/>
      </w:pPr>
      <w:r w:rsidRPr="00A41960">
        <w:t xml:space="preserve">Finalmente, frente a la tercera pregunta, no hay un tiempo mínimo para que los oferentes expliquen el precio ofertado, por lo tanto, definirlo quedará bajo la discrecionalidad de la entidad. Sin embargo, esta discrecionalidad se deberá realizar conforme a los </w:t>
      </w:r>
      <w:r w:rsidRPr="00A41960" w:rsidR="00314335">
        <w:t>principios de</w:t>
      </w:r>
      <w:r w:rsidRPr="00A41960">
        <w:t xml:space="preserve"> proporcionalidad y</w:t>
      </w:r>
      <w:r w:rsidRPr="00A41960">
        <w:rPr>
          <w:spacing w:val="-8"/>
        </w:rPr>
        <w:t xml:space="preserve"> </w:t>
      </w:r>
      <w:r w:rsidRPr="00A41960">
        <w:t>razonabilidad.</w:t>
      </w:r>
    </w:p>
    <w:p w:rsidRPr="00A41960" w:rsidR="006D7B39" w:rsidRDefault="006D7B39" w14:paraId="70DCCC0D" w14:textId="77777777">
      <w:pPr>
        <w:pStyle w:val="Textoindependiente"/>
        <w:spacing w:before="3"/>
        <w:rPr>
          <w:sz w:val="25"/>
        </w:rPr>
      </w:pPr>
    </w:p>
    <w:p w:rsidRPr="00A41960" w:rsidR="006D7B39" w:rsidRDefault="000D1B1D" w14:paraId="618D0B54" w14:textId="77777777">
      <w:pPr>
        <w:pStyle w:val="Textoindependiente"/>
        <w:spacing w:line="276" w:lineRule="auto"/>
        <w:ind w:left="300" w:right="312"/>
        <w:jc w:val="both"/>
      </w:pPr>
      <w:r w:rsidRPr="00A41960">
        <w:t>Este concepto tiene el alcance previsto en el artículo 28 del Código de Procedimiento Administrativo y de lo Contencioso Administrativo.</w:t>
      </w:r>
    </w:p>
    <w:p w:rsidRPr="00A41960" w:rsidR="006D7B39" w:rsidRDefault="00F065F8" w14:paraId="7AF8720C" w14:textId="77777777">
      <w:pPr>
        <w:pStyle w:val="Textoindependiente"/>
        <w:spacing w:before="9"/>
      </w:pPr>
      <w:r w:rsidRPr="00A41960">
        <w:rPr>
          <w:noProof/>
          <w:lang w:val="en-US"/>
        </w:rPr>
        <mc:AlternateContent>
          <mc:Choice Requires="wps">
            <w:drawing>
              <wp:anchor distT="0" distB="0" distL="0" distR="0" simplePos="0" relativeHeight="251658242" behindDoc="1" locked="0" layoutInCell="1" allowOverlap="1" wp14:anchorId="60CBDE85" wp14:editId="08248576">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FA577C">
              <v:shape id="Freeform 2" style="position:absolute;margin-left:119.25pt;margin-top:15.5pt;width:369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6B1BA453">
                <v:path arrowok="t" o:connecttype="custom" o:connectlocs="0,0;4686300,0" o:connectangles="0,0"/>
                <w10:wrap type="topAndBottom" anchorx="page"/>
              </v:shape>
            </w:pict>
          </mc:Fallback>
        </mc:AlternateContent>
      </w:r>
    </w:p>
    <w:p w:rsidRPr="00A41960" w:rsidR="006D7B39" w:rsidRDefault="006D7B39" w14:paraId="283C4314" w14:textId="77777777">
      <w:pPr>
        <w:pStyle w:val="Textoindependiente"/>
        <w:spacing w:before="4"/>
        <w:rPr>
          <w:sz w:val="20"/>
        </w:rPr>
      </w:pPr>
    </w:p>
    <w:p w:rsidRPr="00A41960" w:rsidR="006D7B39" w:rsidRDefault="000D1B1D" w14:paraId="2AE60E8A" w14:textId="77777777">
      <w:pPr>
        <w:pStyle w:val="Textoindependiente"/>
        <w:ind w:left="300"/>
      </w:pPr>
      <w:r w:rsidRPr="00A41960">
        <w:t>Atentamente,</w:t>
      </w:r>
    </w:p>
    <w:p w:rsidRPr="00A41960" w:rsidR="006D7B39" w:rsidP="00A41960" w:rsidRDefault="00A41960" w14:paraId="56C8876B" w14:textId="2062A645">
      <w:pPr>
        <w:pStyle w:val="Textoindependiente"/>
        <w:spacing w:before="5"/>
        <w:jc w:val="center"/>
        <w:rPr>
          <w:sz w:val="27"/>
        </w:rPr>
      </w:pPr>
      <w:r w:rsidR="00A41960">
        <w:drawing>
          <wp:inline wp14:editId="3ED1A785" wp14:anchorId="3834BCD7">
            <wp:extent cx="2773045" cy="988695"/>
            <wp:effectExtent l="0" t="0" r="0" b="0"/>
            <wp:docPr id="974586694" name="Imagen 3" title=""/>
            <wp:cNvGraphicFramePr>
              <a:graphicFrameLocks/>
            </wp:cNvGraphicFramePr>
            <a:graphic>
              <a:graphicData uri="http://schemas.openxmlformats.org/drawingml/2006/picture">
                <pic:pic>
                  <pic:nvPicPr>
                    <pic:cNvPr id="0" name="Imagen 3"/>
                    <pic:cNvPicPr/>
                  </pic:nvPicPr>
                  <pic:blipFill>
                    <a:blip r:embed="R24ffdbd11599424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A41960" w:rsidR="00A41960" w:rsidP="00A41960" w:rsidRDefault="00A41960" w14:paraId="03917000" w14:textId="77777777">
      <w:pPr>
        <w:pStyle w:val="Textoindependiente"/>
        <w:spacing w:before="5"/>
        <w:jc w:val="center"/>
        <w:rPr>
          <w:sz w:val="27"/>
        </w:rPr>
      </w:pPr>
    </w:p>
    <w:p w:rsidRPr="00A41960" w:rsidR="006D7B39" w:rsidRDefault="000D1B1D" w14:paraId="65FFF20E" w14:textId="77777777">
      <w:pPr>
        <w:pStyle w:val="Textoindependiente"/>
        <w:spacing w:before="32"/>
        <w:ind w:left="300"/>
      </w:pPr>
      <w:r w:rsidRPr="00A41960">
        <w:t xml:space="preserve">Proyectaron: Sara Milena Núñez Aldana y </w:t>
      </w:r>
      <w:proofErr w:type="spellStart"/>
      <w:r w:rsidRPr="00A41960">
        <w:t>Karlo</w:t>
      </w:r>
      <w:proofErr w:type="spellEnd"/>
      <w:r w:rsidRPr="00A41960">
        <w:t xml:space="preserve"> Fernández Cala</w:t>
      </w:r>
    </w:p>
    <w:sectPr w:rsidRPr="00A41960" w:rsidR="006D7B39">
      <w:headerReference w:type="default" r:id="rId11"/>
      <w:footerReference w:type="default" r:id="rId12"/>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13FF" w:rsidRDefault="00AD13FF" w14:paraId="0911B35A" w14:textId="77777777">
      <w:r>
        <w:separator/>
      </w:r>
    </w:p>
  </w:endnote>
  <w:endnote w:type="continuationSeparator" w:id="0">
    <w:p w:rsidR="00AD13FF" w:rsidRDefault="00AD13FF" w14:paraId="15A64EEF" w14:textId="77777777">
      <w:r>
        <w:continuationSeparator/>
      </w:r>
    </w:p>
  </w:endnote>
  <w:endnote w:type="continuationNotice" w:id="1">
    <w:p w:rsidR="0016139B" w:rsidRDefault="0016139B" w14:paraId="65A8B6F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D7B39" w:rsidRDefault="000D1B1D" w14:paraId="36D79E1A" w14:textId="77777777">
    <w:pPr>
      <w:pStyle w:val="Textoindependiente"/>
      <w:spacing w:line="14" w:lineRule="auto"/>
      <w:rPr>
        <w:sz w:val="20"/>
      </w:rPr>
    </w:pPr>
    <w:r>
      <w:rPr>
        <w:noProof/>
        <w:lang w:val="en-US"/>
      </w:rPr>
      <w:drawing>
        <wp:anchor distT="0" distB="0" distL="0" distR="0" simplePos="0" relativeHeight="251658241" behindDoc="1" locked="0" layoutInCell="1" allowOverlap="1" wp14:anchorId="1B0D4636" wp14:editId="3A55976A">
          <wp:simplePos x="0" y="0"/>
          <wp:positionH relativeFrom="page">
            <wp:posOffset>1139816</wp:posOffset>
          </wp:positionH>
          <wp:positionV relativeFrom="page">
            <wp:posOffset>8910706</wp:posOffset>
          </wp:positionV>
          <wp:extent cx="5612130" cy="787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612130" cy="787120"/>
                  </a:xfrm>
                  <a:prstGeom prst="rect">
                    <a:avLst/>
                  </a:prstGeom>
                </pic:spPr>
              </pic:pic>
            </a:graphicData>
          </a:graphic>
        </wp:anchor>
      </w:drawing>
    </w:r>
    <w:r w:rsidR="3A170346">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13FF" w:rsidRDefault="00AD13FF" w14:paraId="6A3D933F" w14:textId="77777777">
      <w:r>
        <w:separator/>
      </w:r>
    </w:p>
  </w:footnote>
  <w:footnote w:type="continuationSeparator" w:id="0">
    <w:p w:rsidR="00AD13FF" w:rsidRDefault="00AD13FF" w14:paraId="5444375F" w14:textId="77777777">
      <w:r>
        <w:continuationSeparator/>
      </w:r>
    </w:p>
  </w:footnote>
  <w:footnote w:type="continuationNotice" w:id="1">
    <w:p w:rsidR="0016139B" w:rsidRDefault="0016139B" w14:paraId="34F66BA6" w14:textId="77777777"/>
  </w:footnote>
  <w:footnote w:id="2">
    <w:p w:rsidRPr="00A41960" w:rsidR="00500330" w:rsidP="009026AE" w:rsidRDefault="00500330" w14:paraId="36C648D9" w14:textId="77777777">
      <w:pPr>
        <w:spacing w:before="87" w:line="244" w:lineRule="auto"/>
        <w:ind w:left="300" w:right="306" w:firstLine="707"/>
        <w:jc w:val="both"/>
        <w:rPr>
          <w:sz w:val="18"/>
          <w:szCs w:val="18"/>
        </w:rPr>
      </w:pPr>
      <w:r w:rsidRPr="00A41960">
        <w:rPr>
          <w:rStyle w:val="Refdenotaalpie"/>
          <w:sz w:val="18"/>
          <w:szCs w:val="18"/>
        </w:rPr>
        <w:footnoteRef/>
      </w:r>
      <w:r w:rsidRPr="00A41960">
        <w:rPr>
          <w:sz w:val="18"/>
          <w:szCs w:val="18"/>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w:t>
      </w:r>
    </w:p>
    <w:p w:rsidRPr="00A41960" w:rsidR="00500330" w:rsidP="009026AE" w:rsidRDefault="00500330" w14:paraId="766FCD19" w14:textId="6FE58146">
      <w:pPr>
        <w:pStyle w:val="Textonotapie"/>
        <w:ind w:left="300" w:right="306"/>
        <w:jc w:val="both"/>
        <w:rPr>
          <w:sz w:val="18"/>
          <w:szCs w:val="18"/>
          <w:lang w:val="es-CO"/>
        </w:rPr>
      </w:pPr>
    </w:p>
  </w:footnote>
  <w:footnote w:id="3">
    <w:p w:rsidRPr="00A41960" w:rsidR="00500330" w:rsidP="009026AE" w:rsidRDefault="00500330" w14:paraId="426E2252" w14:textId="77777777">
      <w:pPr>
        <w:ind w:left="300" w:right="306" w:firstLine="707"/>
        <w:jc w:val="both"/>
        <w:rPr>
          <w:sz w:val="18"/>
          <w:szCs w:val="18"/>
        </w:rPr>
      </w:pPr>
      <w:r w:rsidRPr="00A41960">
        <w:rPr>
          <w:rStyle w:val="Refdenotaalpie"/>
          <w:sz w:val="18"/>
          <w:szCs w:val="18"/>
        </w:rPr>
        <w:footnoteRef/>
      </w:r>
      <w:r w:rsidRPr="00A41960">
        <w:rPr>
          <w:sz w:val="18"/>
          <w:szCs w:val="18"/>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rsidRPr="00A41960" w:rsidR="00500330" w:rsidP="009026AE" w:rsidRDefault="00500330" w14:paraId="49687467" w14:textId="1627691A">
      <w:pPr>
        <w:pStyle w:val="Textonotapie"/>
        <w:ind w:left="300" w:right="306"/>
        <w:jc w:val="both"/>
        <w:rPr>
          <w:sz w:val="18"/>
          <w:szCs w:val="18"/>
          <w:lang w:val="es-CO"/>
        </w:rPr>
      </w:pPr>
    </w:p>
  </w:footnote>
  <w:footnote w:id="4">
    <w:p w:rsidRPr="00A41960" w:rsidR="00500330" w:rsidP="009026AE" w:rsidRDefault="00500330" w14:paraId="3196452A" w14:textId="77777777">
      <w:pPr>
        <w:spacing w:before="87" w:line="254" w:lineRule="auto"/>
        <w:ind w:left="300" w:right="306" w:firstLine="707"/>
        <w:jc w:val="both"/>
        <w:rPr>
          <w:sz w:val="18"/>
          <w:szCs w:val="18"/>
        </w:rPr>
      </w:pPr>
      <w:r w:rsidRPr="00A41960">
        <w:rPr>
          <w:rStyle w:val="Refdenotaalpie"/>
          <w:sz w:val="18"/>
          <w:szCs w:val="18"/>
        </w:rPr>
        <w:footnoteRef/>
      </w:r>
      <w:r w:rsidRPr="00A41960">
        <w:rPr>
          <w:sz w:val="18"/>
          <w:szCs w:val="18"/>
        </w:rPr>
        <w:t xml:space="preserve"> Consejo de Estado. Sección Tercera, Subsección C. Sentencia del 26 de febrero de 2014. C.P. Enrique Gil Botero, Rad. 1999-00113-01 (25.804).</w:t>
      </w:r>
    </w:p>
    <w:p w:rsidRPr="00A41960" w:rsidR="00500330" w:rsidP="009026AE" w:rsidRDefault="00500330" w14:paraId="11B677E9" w14:textId="6CE82EE7">
      <w:pPr>
        <w:pStyle w:val="Textonotapie"/>
        <w:ind w:left="300" w:right="306"/>
        <w:jc w:val="both"/>
        <w:rPr>
          <w:sz w:val="18"/>
          <w:szCs w:val="18"/>
          <w:lang w:val="es-CO"/>
        </w:rPr>
      </w:pPr>
    </w:p>
  </w:footnote>
  <w:footnote w:id="5">
    <w:p w:rsidRPr="00A41960" w:rsidR="000F6BB9" w:rsidP="009026AE" w:rsidRDefault="000F6BB9" w14:paraId="53B67C11" w14:textId="77777777">
      <w:pPr>
        <w:spacing w:before="73"/>
        <w:ind w:left="300" w:right="306" w:firstLine="707"/>
        <w:jc w:val="both"/>
        <w:rPr>
          <w:sz w:val="18"/>
          <w:szCs w:val="18"/>
        </w:rPr>
      </w:pPr>
      <w:r w:rsidRPr="00A41960">
        <w:rPr>
          <w:rStyle w:val="Refdenotaalpie"/>
          <w:sz w:val="18"/>
          <w:szCs w:val="18"/>
        </w:rPr>
        <w:footnoteRef/>
      </w:r>
      <w:r w:rsidRPr="00A41960">
        <w:rPr>
          <w:sz w:val="18"/>
          <w:szCs w:val="18"/>
        </w:rPr>
        <w:t xml:space="preserve"> Ley 1150 de 2007, artículo 5, parágrafo 4° “En aquellos procesos de selección en los que se utilice el mecanismo de subasta, los documentos referentes a la futura contratación o a proponente, no necesarios para la comparación de las propuestas, deberán se solicitados hasta el momento previo a su realización.”</w:t>
      </w:r>
    </w:p>
    <w:p w:rsidRPr="00A41960" w:rsidR="000F6BB9" w:rsidP="009026AE" w:rsidRDefault="000F6BB9" w14:paraId="01EBB010" w14:textId="1AC27683">
      <w:pPr>
        <w:pStyle w:val="Textonotapie"/>
        <w:ind w:left="300" w:right="306"/>
        <w:jc w:val="both"/>
        <w:rPr>
          <w:sz w:val="18"/>
          <w:szCs w:val="18"/>
          <w:lang w:val="es-CO"/>
        </w:rPr>
      </w:pPr>
    </w:p>
  </w:footnote>
  <w:footnote w:id="6">
    <w:p w:rsidRPr="00A41960" w:rsidR="000F6BB9" w:rsidP="009026AE" w:rsidRDefault="000F6BB9" w14:paraId="24A867CF" w14:textId="71F85DB9">
      <w:pPr>
        <w:spacing w:before="77"/>
        <w:ind w:left="300" w:right="306"/>
        <w:jc w:val="both"/>
        <w:rPr>
          <w:sz w:val="18"/>
          <w:szCs w:val="18"/>
        </w:rPr>
      </w:pPr>
      <w:r w:rsidRPr="00A41960">
        <w:rPr>
          <w:sz w:val="18"/>
          <w:szCs w:val="18"/>
        </w:rPr>
        <w:t xml:space="preserve">       </w:t>
      </w:r>
      <w:r w:rsidR="00A41960">
        <w:rPr>
          <w:sz w:val="18"/>
          <w:szCs w:val="18"/>
        </w:rPr>
        <w:t xml:space="preserve">     </w:t>
      </w:r>
      <w:r w:rsidRPr="00A41960">
        <w:rPr>
          <w:rStyle w:val="Refdenotaalpie"/>
          <w:sz w:val="18"/>
          <w:szCs w:val="18"/>
        </w:rPr>
        <w:footnoteRef/>
      </w:r>
      <w:r w:rsidRPr="00A41960">
        <w:rPr>
          <w:sz w:val="18"/>
          <w:szCs w:val="18"/>
        </w:rPr>
        <w:t xml:space="preserve"> Decreto 2474 de 2008 (DEROGADO). “ART. 10. Reglas de </w:t>
      </w:r>
      <w:proofErr w:type="spellStart"/>
      <w:r w:rsidRPr="00A41960">
        <w:rPr>
          <w:sz w:val="18"/>
          <w:szCs w:val="18"/>
        </w:rPr>
        <w:t>subsanabilidad</w:t>
      </w:r>
      <w:proofErr w:type="spellEnd"/>
      <w:r w:rsidRPr="00A41960">
        <w:rPr>
          <w:sz w:val="18"/>
          <w:szCs w:val="18"/>
        </w:rPr>
        <w:t>. En todo proceso de selección de contratistas primará lo sustancial sobre lo formal. En consecuencia no podrá rechazarse una propuesta por la ausencia de requisitos o la falta de documentos que verifiquen las condiciones del</w:t>
      </w:r>
      <w:r w:rsidRPr="00A41960">
        <w:rPr>
          <w:spacing w:val="-9"/>
          <w:sz w:val="18"/>
          <w:szCs w:val="18"/>
        </w:rPr>
        <w:t xml:space="preserve"> </w:t>
      </w:r>
      <w:r w:rsidRPr="00A41960">
        <w:rPr>
          <w:sz w:val="18"/>
          <w:szCs w:val="18"/>
        </w:rPr>
        <w:t xml:space="preserve">proponente o soporten el contenido de la oferta, y que no constituyan los factores de escogencia establecidos por la entidad en el pliego de condiciones, de conformidad con lo previsto en los numerales 2º, 3º y 4º del artículo 5º de la </w:t>
      </w:r>
      <w:hyperlink r:id="rId1">
        <w:r w:rsidRPr="00A41960">
          <w:rPr>
            <w:sz w:val="18"/>
            <w:szCs w:val="18"/>
          </w:rPr>
          <w:t xml:space="preserve">Ley 1150 de 2007 </w:t>
        </w:r>
      </w:hyperlink>
      <w:r w:rsidRPr="00A41960">
        <w:rPr>
          <w:sz w:val="18"/>
          <w:szCs w:val="18"/>
        </w:rPr>
        <w:t>y en el presente</w:t>
      </w:r>
      <w:r w:rsidRPr="00A41960">
        <w:rPr>
          <w:spacing w:val="-8"/>
          <w:sz w:val="18"/>
          <w:szCs w:val="18"/>
        </w:rPr>
        <w:t xml:space="preserve"> </w:t>
      </w:r>
      <w:r w:rsidRPr="00A41960">
        <w:rPr>
          <w:sz w:val="18"/>
          <w:szCs w:val="18"/>
        </w:rPr>
        <w:t>decreto.</w:t>
      </w:r>
    </w:p>
    <w:p w:rsidRPr="00A41960" w:rsidR="000F6BB9" w:rsidP="009026AE" w:rsidRDefault="000F6BB9" w14:paraId="6BA341A5" w14:textId="77777777">
      <w:pPr>
        <w:pStyle w:val="Textoindependiente"/>
        <w:spacing w:before="11"/>
        <w:ind w:left="300" w:right="306"/>
        <w:jc w:val="both"/>
        <w:rPr>
          <w:sz w:val="18"/>
          <w:szCs w:val="18"/>
        </w:rPr>
      </w:pPr>
    </w:p>
    <w:p w:rsidRPr="00A41960" w:rsidR="000F6BB9" w:rsidP="009026AE" w:rsidRDefault="000F6BB9" w14:paraId="711A41C9" w14:textId="77777777">
      <w:pPr>
        <w:ind w:left="300" w:right="306"/>
        <w:jc w:val="both"/>
        <w:rPr>
          <w:sz w:val="18"/>
          <w:szCs w:val="18"/>
        </w:rPr>
      </w:pPr>
      <w:r w:rsidRPr="00A41960">
        <w:rPr>
          <w:sz w:val="18"/>
          <w:szCs w:val="18"/>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rsidRPr="00A41960" w:rsidR="000F6BB9" w:rsidP="009026AE" w:rsidRDefault="000F6BB9" w14:paraId="175ABD20" w14:textId="77777777">
      <w:pPr>
        <w:spacing w:before="2"/>
        <w:ind w:left="300" w:right="306"/>
        <w:jc w:val="both"/>
        <w:rPr>
          <w:sz w:val="18"/>
          <w:szCs w:val="18"/>
        </w:rPr>
      </w:pPr>
      <w:r w:rsidRPr="00A41960">
        <w:rPr>
          <w:sz w:val="18"/>
          <w:szCs w:val="18"/>
        </w:rPr>
        <w:t>Será rechazada la oferta del proponente que dentro del término previsto en el pliego o en la solicitud, no responda al requerimiento que le haga la entidad para subsanarla.</w:t>
      </w:r>
    </w:p>
    <w:p w:rsidRPr="00A41960" w:rsidR="000F6BB9" w:rsidP="009026AE" w:rsidRDefault="000F6BB9" w14:paraId="0F1626E8" w14:textId="77777777">
      <w:pPr>
        <w:pStyle w:val="Textoindependiente"/>
        <w:spacing w:before="10"/>
        <w:ind w:left="300" w:right="306"/>
        <w:jc w:val="both"/>
        <w:rPr>
          <w:sz w:val="18"/>
          <w:szCs w:val="18"/>
        </w:rPr>
      </w:pPr>
    </w:p>
    <w:p w:rsidRPr="00A41960" w:rsidR="000F6BB9" w:rsidP="009026AE" w:rsidRDefault="000F6BB9" w14:paraId="5FDF412F" w14:textId="77777777">
      <w:pPr>
        <w:ind w:left="300" w:right="306"/>
        <w:jc w:val="both"/>
        <w:rPr>
          <w:sz w:val="18"/>
          <w:szCs w:val="18"/>
        </w:rPr>
      </w:pPr>
      <w:r w:rsidRPr="00A41960">
        <w:rPr>
          <w:sz w:val="18"/>
          <w:szCs w:val="18"/>
        </w:rPr>
        <w:t>“Cuando se utilice el mecanismo de subasta esta posibilidad deberá ejercerse hasta el momento previo a su realización, de conformidad con el artículo 22 del presente decreto.</w:t>
      </w:r>
    </w:p>
    <w:p w:rsidRPr="00A41960" w:rsidR="000F6BB9" w:rsidP="009026AE" w:rsidRDefault="000F6BB9" w14:paraId="12D49D0A" w14:textId="77777777">
      <w:pPr>
        <w:spacing w:before="1"/>
        <w:ind w:left="300" w:right="306"/>
        <w:jc w:val="both"/>
        <w:rPr>
          <w:sz w:val="18"/>
          <w:szCs w:val="18"/>
        </w:rPr>
      </w:pPr>
      <w:r w:rsidRPr="00A41960">
        <w:rPr>
          <w:sz w:val="18"/>
          <w:szCs w:val="18"/>
        </w:rPr>
        <w:t xml:space="preserve">“En ningún caso la entidad podrá señalar taxativamente los requisitos o documentos subsanables o no subsanables en el pliego de condiciones, </w:t>
      </w:r>
      <w:r w:rsidRPr="00A41960">
        <w:rPr>
          <w:b/>
          <w:sz w:val="18"/>
          <w:szCs w:val="18"/>
        </w:rPr>
        <w:t>ni permitir que se subsane la falta de capacidad para presentar la oferta, ni que se acrediten circunstancias ocurridas con posterioridad al cierre del proceso</w:t>
      </w:r>
      <w:r w:rsidRPr="00A41960">
        <w:rPr>
          <w:sz w:val="18"/>
          <w:szCs w:val="18"/>
        </w:rPr>
        <w:t>”. (Negrillas fuera de texto).</w:t>
      </w:r>
    </w:p>
    <w:p w:rsidRPr="00A41960" w:rsidR="000F6BB9" w:rsidP="009026AE" w:rsidRDefault="000F6BB9" w14:paraId="27B1B4D0" w14:textId="019950DE">
      <w:pPr>
        <w:pStyle w:val="Textonotapie"/>
        <w:ind w:left="300" w:right="306" w:firstLine="300"/>
        <w:jc w:val="both"/>
        <w:rPr>
          <w:sz w:val="18"/>
          <w:szCs w:val="18"/>
          <w:lang w:val="es-CO"/>
        </w:rPr>
      </w:pPr>
    </w:p>
  </w:footnote>
  <w:footnote w:id="7">
    <w:p w:rsidRPr="00A41960" w:rsidR="00EC1F5F" w:rsidP="009026AE" w:rsidRDefault="00EC1F5F" w14:paraId="3257F26E" w14:textId="77777777">
      <w:pPr>
        <w:spacing w:line="254" w:lineRule="auto"/>
        <w:ind w:left="300" w:right="306" w:firstLine="707"/>
        <w:jc w:val="both"/>
        <w:rPr>
          <w:sz w:val="18"/>
          <w:szCs w:val="18"/>
        </w:rPr>
      </w:pPr>
      <w:r w:rsidRPr="00A41960">
        <w:rPr>
          <w:rStyle w:val="Refdenotaalpie"/>
          <w:sz w:val="18"/>
          <w:szCs w:val="18"/>
        </w:rPr>
        <w:footnoteRef/>
      </w:r>
      <w:r w:rsidRPr="00A41960">
        <w:rPr>
          <w:sz w:val="18"/>
          <w:szCs w:val="18"/>
        </w:rPr>
        <w:t xml:space="preserve"> Consejo de Estado, Sala de Consulta y Servicio Civil, concepto del 6 de noviembre de 2008. C.P. William Zambrano Cetina. Rad. 2008-00079-00(1927).</w:t>
      </w:r>
    </w:p>
    <w:p w:rsidRPr="00A41960" w:rsidR="00EC1F5F" w:rsidP="009026AE" w:rsidRDefault="00EC1F5F" w14:paraId="0A65C439" w14:textId="72FC4052">
      <w:pPr>
        <w:pStyle w:val="Textonotapie"/>
        <w:ind w:left="300" w:right="306"/>
        <w:jc w:val="both"/>
        <w:rPr>
          <w:sz w:val="18"/>
          <w:szCs w:val="18"/>
          <w:lang w:val="es-CO"/>
        </w:rPr>
      </w:pPr>
    </w:p>
  </w:footnote>
  <w:footnote w:id="8">
    <w:p w:rsidRPr="00A41960" w:rsidR="00EC1F5F" w:rsidP="009026AE" w:rsidRDefault="00EC1F5F" w14:paraId="4A04AAEF" w14:textId="5BF00333">
      <w:pPr>
        <w:pStyle w:val="Textonotapie"/>
        <w:ind w:left="300" w:right="306" w:firstLine="300"/>
        <w:jc w:val="both"/>
        <w:rPr>
          <w:sz w:val="18"/>
          <w:szCs w:val="18"/>
        </w:rPr>
      </w:pPr>
      <w:r w:rsidRPr="00A41960">
        <w:rPr>
          <w:sz w:val="18"/>
          <w:szCs w:val="18"/>
        </w:rPr>
        <w:t xml:space="preserve">          </w:t>
      </w:r>
      <w:r w:rsidRPr="00A41960">
        <w:rPr>
          <w:rStyle w:val="Refdenotaalpie"/>
          <w:sz w:val="18"/>
          <w:szCs w:val="18"/>
        </w:rPr>
        <w:footnoteRef/>
      </w:r>
      <w:r w:rsidRPr="00A41960">
        <w:rPr>
          <w:sz w:val="18"/>
          <w:szCs w:val="18"/>
        </w:rPr>
        <w:t xml:space="preserve"> Ver Consejo de Estado, Sección Tercera, Subsección C. Sentencia del 26 de febrero de 2011. C.P. Jaime Orlando Santofimio. Rad. 36.408.</w:t>
      </w:r>
    </w:p>
    <w:p w:rsidRPr="00A41960" w:rsidR="00EC1F5F" w:rsidP="009026AE" w:rsidRDefault="00EC1F5F" w14:paraId="21B7B2BE" w14:textId="77777777">
      <w:pPr>
        <w:pStyle w:val="Textonotapie"/>
        <w:ind w:left="300" w:right="306" w:firstLine="300"/>
        <w:jc w:val="both"/>
        <w:rPr>
          <w:sz w:val="18"/>
          <w:szCs w:val="18"/>
          <w:lang w:val="es-CO"/>
        </w:rPr>
      </w:pPr>
    </w:p>
  </w:footnote>
  <w:footnote w:id="9">
    <w:p w:rsidRPr="00A41960" w:rsidR="00EC1F5F" w:rsidP="009026AE" w:rsidRDefault="00EC1F5F" w14:paraId="5A34B4DE" w14:textId="77777777">
      <w:pPr>
        <w:spacing w:line="252" w:lineRule="auto"/>
        <w:ind w:left="300" w:right="306" w:firstLine="707"/>
        <w:jc w:val="both"/>
        <w:rPr>
          <w:sz w:val="18"/>
          <w:szCs w:val="18"/>
        </w:rPr>
      </w:pPr>
      <w:r w:rsidRPr="00A41960">
        <w:rPr>
          <w:rStyle w:val="Refdenotaalpie"/>
          <w:sz w:val="18"/>
          <w:szCs w:val="18"/>
        </w:rPr>
        <w:footnoteRef/>
      </w:r>
      <w:r w:rsidRPr="00A41960">
        <w:rPr>
          <w:sz w:val="18"/>
          <w:szCs w:val="18"/>
        </w:rPr>
        <w:t xml:space="preserve"> Ver Consejo de Estado, Sección Tercera, Subsección C. Sentencia del 26 de febrero de 2014. C.P. Enrique Gil Botero. Rad. 25.804.</w:t>
      </w:r>
    </w:p>
    <w:p w:rsidRPr="00A41960" w:rsidR="00EC1F5F" w:rsidP="009026AE" w:rsidRDefault="00EC1F5F" w14:paraId="69E02C3F" w14:textId="330B84BD">
      <w:pPr>
        <w:pStyle w:val="Textonotapie"/>
        <w:ind w:left="300" w:right="306"/>
        <w:jc w:val="both"/>
        <w:rPr>
          <w:sz w:val="18"/>
          <w:szCs w:val="18"/>
          <w:lang w:val="es-CO"/>
        </w:rPr>
      </w:pPr>
    </w:p>
  </w:footnote>
  <w:footnote w:id="10">
    <w:p w:rsidRPr="00A41960" w:rsidR="00EC1F5F" w:rsidP="009026AE" w:rsidRDefault="00EC1F5F" w14:paraId="3603E72F" w14:textId="77777777">
      <w:pPr>
        <w:spacing w:before="87" w:line="252" w:lineRule="auto"/>
        <w:ind w:left="300" w:right="306" w:firstLine="707"/>
        <w:jc w:val="both"/>
        <w:rPr>
          <w:sz w:val="18"/>
          <w:szCs w:val="18"/>
        </w:rPr>
      </w:pPr>
      <w:r w:rsidRPr="00A41960">
        <w:rPr>
          <w:rStyle w:val="Refdenotaalpie"/>
          <w:sz w:val="18"/>
          <w:szCs w:val="18"/>
        </w:rPr>
        <w:footnoteRef/>
      </w:r>
      <w:r w:rsidRPr="00A41960">
        <w:rPr>
          <w:sz w:val="18"/>
          <w:szCs w:val="18"/>
        </w:rPr>
        <w:t xml:space="preserve"> Consejo de Estado, Sala de Consulta y Servicio Civil, concepto del 20 de mayo de 2010. C.P. Enrique José Arboleda Perdomo. Rad.</w:t>
      </w:r>
      <w:r w:rsidRPr="00A41960">
        <w:rPr>
          <w:spacing w:val="-6"/>
          <w:sz w:val="18"/>
          <w:szCs w:val="18"/>
        </w:rPr>
        <w:t xml:space="preserve"> </w:t>
      </w:r>
      <w:r w:rsidRPr="00A41960">
        <w:rPr>
          <w:sz w:val="18"/>
          <w:szCs w:val="18"/>
        </w:rPr>
        <w:t>2010-00034-00(1992).</w:t>
      </w:r>
    </w:p>
    <w:p w:rsidRPr="00A41960" w:rsidR="00EC1F5F" w:rsidP="009026AE" w:rsidRDefault="00EC1F5F" w14:paraId="38844718" w14:textId="4EC8CB0B">
      <w:pPr>
        <w:pStyle w:val="Textonotapie"/>
        <w:ind w:left="300" w:right="306"/>
        <w:jc w:val="both"/>
        <w:rPr>
          <w:sz w:val="18"/>
          <w:szCs w:val="18"/>
          <w:lang w:val="es-CO"/>
        </w:rPr>
      </w:pPr>
    </w:p>
  </w:footnote>
  <w:footnote w:id="11">
    <w:p w:rsidRPr="00A41960" w:rsidR="00EC1F5F" w:rsidP="009026AE" w:rsidRDefault="00EC1F5F" w14:paraId="393F3412" w14:textId="2FC7AA06">
      <w:pPr>
        <w:pStyle w:val="Textonotapie"/>
        <w:ind w:left="300" w:right="306" w:firstLine="300"/>
        <w:jc w:val="both"/>
        <w:rPr>
          <w:sz w:val="18"/>
          <w:szCs w:val="18"/>
        </w:rPr>
      </w:pPr>
      <w:r w:rsidRPr="00A41960">
        <w:rPr>
          <w:sz w:val="18"/>
          <w:szCs w:val="18"/>
        </w:rPr>
        <w:t xml:space="preserve">         </w:t>
      </w:r>
      <w:r w:rsidRPr="00A41960">
        <w:rPr>
          <w:rStyle w:val="Refdenotaalpie"/>
          <w:sz w:val="18"/>
          <w:szCs w:val="18"/>
        </w:rPr>
        <w:footnoteRef/>
      </w:r>
      <w:r w:rsidRPr="00A41960">
        <w:rPr>
          <w:sz w:val="18"/>
          <w:szCs w:val="18"/>
        </w:rPr>
        <w:t xml:space="preserve">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A41960" w:rsidR="00EC1F5F" w:rsidP="009026AE" w:rsidRDefault="00EC1F5F" w14:paraId="7630BCD6" w14:textId="77777777">
      <w:pPr>
        <w:pStyle w:val="Textonotapie"/>
        <w:ind w:left="300" w:right="306" w:firstLine="300"/>
        <w:jc w:val="both"/>
        <w:rPr>
          <w:sz w:val="18"/>
          <w:szCs w:val="18"/>
          <w:lang w:val="es-CO"/>
        </w:rPr>
      </w:pPr>
    </w:p>
  </w:footnote>
  <w:footnote w:id="12">
    <w:p w:rsidRPr="00A41960" w:rsidR="00EC1F5F" w:rsidP="009026AE" w:rsidRDefault="00EC1F5F" w14:paraId="7466D8BD" w14:textId="19D2852B">
      <w:pPr>
        <w:pStyle w:val="Textonotapie"/>
        <w:ind w:left="300" w:right="306" w:firstLine="720"/>
        <w:jc w:val="both"/>
        <w:rPr>
          <w:sz w:val="18"/>
          <w:szCs w:val="18"/>
        </w:rPr>
      </w:pPr>
      <w:r w:rsidRPr="00A41960">
        <w:rPr>
          <w:sz w:val="18"/>
          <w:szCs w:val="18"/>
        </w:rPr>
        <w:t xml:space="preserve"> </w:t>
      </w:r>
      <w:r w:rsidRPr="00A41960">
        <w:rPr>
          <w:rStyle w:val="Refdenotaalpie"/>
          <w:sz w:val="18"/>
          <w:szCs w:val="18"/>
        </w:rPr>
        <w:footnoteRef/>
      </w:r>
      <w:r w:rsidRPr="00A41960">
        <w:rPr>
          <w:sz w:val="18"/>
          <w:szCs w:val="18"/>
        </w:rPr>
        <w:t xml:space="preserve"> Ley 1150 de 2007, artículo 6 “6.1. Del proceso de inscripción en el Registro Único de Proponentes (RUP). Corresponderá a los proponentes inscribirse en el registro de conformidad con los documentos aportados. Las cámaras de comercio harán la verificación documental de la información presentada por los interesados al momento de inscribirse en el registro.</w:t>
      </w:r>
    </w:p>
    <w:p w:rsidRPr="00A41960" w:rsidR="00EC1F5F" w:rsidP="009026AE" w:rsidRDefault="00EC1F5F" w14:paraId="37D239BD" w14:textId="77777777">
      <w:pPr>
        <w:pStyle w:val="Textonotapie"/>
        <w:ind w:left="300" w:right="306" w:firstLine="720"/>
        <w:jc w:val="both"/>
        <w:rPr>
          <w:sz w:val="18"/>
          <w:szCs w:val="18"/>
        </w:rPr>
      </w:pPr>
    </w:p>
    <w:p w:rsidRPr="00A41960" w:rsidR="00EC1F5F" w:rsidP="009026AE" w:rsidRDefault="00EC1F5F" w14:paraId="3D2A7871" w14:textId="77777777">
      <w:pPr>
        <w:ind w:left="300" w:right="306"/>
        <w:jc w:val="both"/>
        <w:rPr>
          <w:sz w:val="18"/>
          <w:szCs w:val="18"/>
        </w:rPr>
      </w:pPr>
      <w:r w:rsidRPr="00A41960">
        <w:rPr>
          <w:sz w:val="18"/>
          <w:szCs w:val="18"/>
        </w:rPr>
        <w:t xml:space="preserve"> “El certificado de Registro Único de Proponentes será plena prueba de las circunstancias que en ella se hagan constar y que hayan sido verificadas por las Cámaras de Comercio. En tal sentido, la verificación de las condiciones establecidas en el numeral 1 del artículo </w:t>
      </w:r>
      <w:hyperlink w:anchor="5" r:id="rId2">
        <w:r w:rsidRPr="00A41960">
          <w:rPr>
            <w:sz w:val="18"/>
            <w:szCs w:val="18"/>
          </w:rPr>
          <w:t xml:space="preserve">5 </w:t>
        </w:r>
      </w:hyperlink>
      <w:r w:rsidRPr="00A41960">
        <w:rPr>
          <w:sz w:val="18"/>
          <w:szCs w:val="18"/>
        </w:rPr>
        <w:t>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rsidRPr="00A41960" w:rsidR="00EC1F5F" w:rsidP="009026AE" w:rsidRDefault="00EC1F5F" w14:paraId="13CF9D5F" w14:textId="77777777">
      <w:pPr>
        <w:ind w:left="300" w:right="306"/>
        <w:jc w:val="both"/>
        <w:rPr>
          <w:sz w:val="18"/>
          <w:szCs w:val="18"/>
        </w:rPr>
      </w:pPr>
    </w:p>
    <w:p w:rsidRPr="00A41960" w:rsidR="00EC1F5F" w:rsidP="009026AE" w:rsidRDefault="00EC1F5F" w14:paraId="47F76FA4" w14:textId="6A427D59">
      <w:pPr>
        <w:ind w:left="300" w:right="306"/>
        <w:jc w:val="both"/>
        <w:rPr>
          <w:sz w:val="18"/>
          <w:szCs w:val="18"/>
        </w:rPr>
      </w:pPr>
      <w:r w:rsidRPr="00A41960">
        <w:rPr>
          <w:sz w:val="18"/>
          <w:szCs w:val="18"/>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rsidRPr="00A41960" w:rsidR="00EC1F5F" w:rsidP="009026AE" w:rsidRDefault="00EC1F5F" w14:paraId="7A82BC11" w14:textId="77777777">
      <w:pPr>
        <w:pStyle w:val="Textoindependiente"/>
        <w:spacing w:before="11"/>
        <w:ind w:left="300" w:right="306"/>
        <w:jc w:val="both"/>
        <w:rPr>
          <w:sz w:val="18"/>
          <w:szCs w:val="18"/>
        </w:rPr>
      </w:pPr>
    </w:p>
    <w:p w:rsidRPr="00A41960" w:rsidR="00EC1F5F" w:rsidP="009026AE" w:rsidRDefault="00EC1F5F" w14:paraId="0475E20C" w14:textId="77777777">
      <w:pPr>
        <w:ind w:left="300" w:right="306"/>
        <w:jc w:val="both"/>
        <w:rPr>
          <w:sz w:val="18"/>
          <w:szCs w:val="18"/>
        </w:rPr>
      </w:pPr>
      <w:r w:rsidRPr="00A41960">
        <w:rPr>
          <w:sz w:val="18"/>
          <w:szCs w:val="18"/>
        </w:rPr>
        <w:t>“Cuando la información presentada ante la Cámara de Comercio no sea suficiente, sea inconsistente o no contenga la totalidad de los elementos señalados en el reglamento para su existencia y validez, esta se abstendrá de realizar la inscripción, renovación o actualización que corresponda, sin perjuicio de las acciones legales a que haya lugar.</w:t>
      </w:r>
    </w:p>
    <w:p w:rsidRPr="00A41960" w:rsidR="00EC1F5F" w:rsidP="009026AE" w:rsidRDefault="00EC1F5F" w14:paraId="396DA23A" w14:textId="77777777">
      <w:pPr>
        <w:pStyle w:val="Textoindependiente"/>
        <w:ind w:left="300" w:right="306"/>
        <w:jc w:val="both"/>
        <w:rPr>
          <w:sz w:val="18"/>
          <w:szCs w:val="18"/>
        </w:rPr>
      </w:pPr>
    </w:p>
    <w:p w:rsidRPr="00A41960" w:rsidR="00EC1F5F" w:rsidP="009026AE" w:rsidRDefault="00EC1F5F" w14:paraId="3DF569EE" w14:textId="77777777">
      <w:pPr>
        <w:ind w:left="300" w:right="306"/>
        <w:jc w:val="both"/>
        <w:rPr>
          <w:sz w:val="18"/>
          <w:szCs w:val="18"/>
        </w:rPr>
      </w:pPr>
      <w:r w:rsidRPr="00A41960">
        <w:rPr>
          <w:sz w:val="18"/>
          <w:szCs w:val="18"/>
        </w:rPr>
        <w:t>“La información deberá mantenerse actualizada y renovarse en la forma y con la periodicidad que señale el reglamento. La información contenida en el registro es pública y su consulta será gratuita”.</w:t>
      </w:r>
    </w:p>
    <w:p w:rsidRPr="00A41960" w:rsidR="00EC1F5F" w:rsidP="009026AE" w:rsidRDefault="00EC1F5F" w14:paraId="5B38E1C4" w14:textId="0AEDA7A8">
      <w:pPr>
        <w:pStyle w:val="Textonotapie"/>
        <w:ind w:left="300" w:right="306" w:firstLine="720"/>
        <w:jc w:val="both"/>
        <w:rPr>
          <w:sz w:val="18"/>
          <w:szCs w:val="18"/>
          <w:lang w:val="es-CO"/>
        </w:rPr>
      </w:pPr>
    </w:p>
  </w:footnote>
  <w:footnote w:id="13">
    <w:p w:rsidRPr="00A41960" w:rsidR="00EC1F5F" w:rsidP="009026AE" w:rsidRDefault="00EC1F5F" w14:paraId="6CBEF3B1" w14:textId="77777777">
      <w:pPr>
        <w:spacing w:before="69"/>
        <w:ind w:left="300" w:right="306" w:firstLine="707"/>
        <w:jc w:val="both"/>
        <w:rPr>
          <w:sz w:val="18"/>
          <w:szCs w:val="18"/>
        </w:rPr>
      </w:pPr>
      <w:r w:rsidRPr="00A41960">
        <w:rPr>
          <w:rStyle w:val="Refdenotaalpie"/>
          <w:sz w:val="18"/>
          <w:szCs w:val="18"/>
        </w:rPr>
        <w:footnoteRef/>
      </w:r>
      <w:r w:rsidRPr="00A41960">
        <w:rPr>
          <w:sz w:val="18"/>
          <w:szCs w:val="18"/>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w:t>
      </w:r>
      <w:r w:rsidRPr="00A41960">
        <w:rPr>
          <w:spacing w:val="-4"/>
          <w:sz w:val="18"/>
          <w:szCs w:val="18"/>
        </w:rPr>
        <w:t xml:space="preserve"> </w:t>
      </w:r>
      <w:r w:rsidRPr="00A41960">
        <w:rPr>
          <w:sz w:val="18"/>
          <w:szCs w:val="18"/>
        </w:rPr>
        <w:t>apelación.</w:t>
      </w:r>
    </w:p>
    <w:p w:rsidRPr="00A41960" w:rsidR="00EC1F5F" w:rsidP="009026AE" w:rsidRDefault="00EC1F5F" w14:paraId="7497B273" w14:textId="77777777">
      <w:pPr>
        <w:pStyle w:val="Textoindependiente"/>
        <w:spacing w:before="3"/>
        <w:ind w:left="300" w:right="306"/>
        <w:jc w:val="both"/>
        <w:rPr>
          <w:sz w:val="18"/>
          <w:szCs w:val="18"/>
        </w:rPr>
      </w:pPr>
    </w:p>
    <w:p w:rsidRPr="00A41960" w:rsidR="00EC1F5F" w:rsidP="009026AE" w:rsidRDefault="00EC1F5F" w14:paraId="7AA5EE5E" w14:textId="77777777">
      <w:pPr>
        <w:ind w:left="300" w:right="306"/>
        <w:jc w:val="both"/>
        <w:rPr>
          <w:sz w:val="18"/>
          <w:szCs w:val="18"/>
        </w:rPr>
      </w:pPr>
      <w:r w:rsidRPr="00A41960">
        <w:rPr>
          <w:sz w:val="18"/>
          <w:szCs w:val="18"/>
        </w:rPr>
        <w:t>“En firme la inscripción, cualquier persona podrá demandar su nulidad en desarrollo de la acción prevista en el Código Contencioso Administrativo. Para el efecto será competente el Juez de lo Contencioso Administrativo en única</w:t>
      </w:r>
      <w:r w:rsidRPr="00A41960">
        <w:rPr>
          <w:spacing w:val="-3"/>
          <w:sz w:val="18"/>
          <w:szCs w:val="18"/>
        </w:rPr>
        <w:t xml:space="preserve"> </w:t>
      </w:r>
      <w:r w:rsidRPr="00A41960">
        <w:rPr>
          <w:sz w:val="18"/>
          <w:szCs w:val="18"/>
        </w:rPr>
        <w:t>instancia.</w:t>
      </w:r>
    </w:p>
    <w:p w:rsidRPr="00A41960" w:rsidR="00EC1F5F" w:rsidP="009026AE" w:rsidRDefault="00EC1F5F" w14:paraId="4AB69172" w14:textId="77777777">
      <w:pPr>
        <w:spacing w:before="152"/>
        <w:ind w:left="300" w:right="306"/>
        <w:jc w:val="both"/>
        <w:rPr>
          <w:sz w:val="18"/>
          <w:szCs w:val="18"/>
        </w:rPr>
      </w:pPr>
      <w:r w:rsidRPr="00A41960">
        <w:rPr>
          <w:sz w:val="18"/>
          <w:szCs w:val="18"/>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w:t>
      </w:r>
      <w:r w:rsidRPr="00A41960">
        <w:rPr>
          <w:spacing w:val="-2"/>
          <w:sz w:val="18"/>
          <w:szCs w:val="18"/>
        </w:rPr>
        <w:t xml:space="preserve"> </w:t>
      </w:r>
      <w:r w:rsidRPr="00A41960">
        <w:rPr>
          <w:sz w:val="18"/>
          <w:szCs w:val="18"/>
        </w:rPr>
        <w:t>futuro.</w:t>
      </w:r>
    </w:p>
    <w:p w:rsidRPr="00A41960" w:rsidR="00EC1F5F" w:rsidP="009026AE" w:rsidRDefault="00EC1F5F" w14:paraId="58F6A1A6" w14:textId="77777777">
      <w:pPr>
        <w:spacing w:before="149"/>
        <w:ind w:left="300" w:right="306"/>
        <w:jc w:val="both"/>
        <w:rPr>
          <w:sz w:val="18"/>
          <w:szCs w:val="18"/>
        </w:rPr>
      </w:pPr>
      <w:r w:rsidRPr="00A41960">
        <w:rPr>
          <w:sz w:val="18"/>
          <w:szCs w:val="18"/>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w:t>
      </w:r>
      <w:r w:rsidRPr="00A41960">
        <w:rPr>
          <w:spacing w:val="-5"/>
          <w:sz w:val="18"/>
          <w:szCs w:val="18"/>
        </w:rPr>
        <w:t xml:space="preserve"> </w:t>
      </w:r>
      <w:r w:rsidRPr="00A41960">
        <w:rPr>
          <w:sz w:val="18"/>
          <w:szCs w:val="18"/>
        </w:rPr>
        <w:t>RUP.</w:t>
      </w:r>
    </w:p>
    <w:p w:rsidRPr="00A41960" w:rsidR="00EC1F5F" w:rsidP="009026AE" w:rsidRDefault="00EC1F5F" w14:paraId="08A431FA" w14:textId="77777777">
      <w:pPr>
        <w:spacing w:before="149"/>
        <w:ind w:left="300" w:right="306"/>
        <w:jc w:val="both"/>
        <w:rPr>
          <w:sz w:val="18"/>
          <w:szCs w:val="18"/>
        </w:rPr>
      </w:pPr>
      <w:r w:rsidRPr="00A41960">
        <w:rPr>
          <w:sz w:val="18"/>
          <w:szCs w:val="18"/>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w:t>
      </w:r>
      <w:r w:rsidRPr="00A41960">
        <w:rPr>
          <w:spacing w:val="-2"/>
          <w:sz w:val="18"/>
          <w:szCs w:val="18"/>
        </w:rPr>
        <w:t xml:space="preserve"> </w:t>
      </w:r>
      <w:r w:rsidRPr="00A41960">
        <w:rPr>
          <w:sz w:val="18"/>
          <w:szCs w:val="18"/>
        </w:rPr>
        <w:t>permanente.</w:t>
      </w:r>
    </w:p>
    <w:p w:rsidRPr="00A41960" w:rsidR="00EC1F5F" w:rsidP="009026AE" w:rsidRDefault="00EC1F5F" w14:paraId="1E1E010A" w14:textId="77777777">
      <w:pPr>
        <w:pStyle w:val="Textoindependiente"/>
        <w:ind w:left="300" w:right="306"/>
        <w:jc w:val="both"/>
        <w:rPr>
          <w:sz w:val="18"/>
          <w:szCs w:val="18"/>
        </w:rPr>
      </w:pPr>
    </w:p>
    <w:p w:rsidRPr="00A41960" w:rsidR="00EC1F5F" w:rsidP="009026AE" w:rsidRDefault="00EC1F5F" w14:paraId="001A9F79" w14:textId="77777777">
      <w:pPr>
        <w:ind w:left="300" w:right="306"/>
        <w:jc w:val="both"/>
        <w:rPr>
          <w:sz w:val="18"/>
          <w:szCs w:val="18"/>
        </w:rPr>
      </w:pPr>
      <w:r w:rsidRPr="00A41960">
        <w:rPr>
          <w:sz w:val="18"/>
          <w:szCs w:val="18"/>
        </w:rPr>
        <w:t>“Las mismas sanciones previstas en el inciso anterior se predicarán en el evento en que el Juez de lo Contencioso Administrativa declare la nulidad del acto de inscripción.</w:t>
      </w:r>
    </w:p>
    <w:p w:rsidRPr="00A41960" w:rsidR="00EC1F5F" w:rsidP="009026AE" w:rsidRDefault="00EC1F5F" w14:paraId="18649956" w14:textId="77777777">
      <w:pPr>
        <w:pStyle w:val="Textoindependiente"/>
        <w:spacing w:before="5"/>
        <w:ind w:left="300" w:right="306"/>
        <w:jc w:val="both"/>
        <w:rPr>
          <w:sz w:val="18"/>
          <w:szCs w:val="18"/>
        </w:rPr>
      </w:pPr>
    </w:p>
    <w:p w:rsidRPr="00A41960" w:rsidR="00EC1F5F" w:rsidP="009026AE" w:rsidRDefault="00EC1F5F" w14:paraId="665B2A72" w14:textId="77777777">
      <w:pPr>
        <w:ind w:left="300" w:right="306"/>
        <w:jc w:val="both"/>
        <w:rPr>
          <w:sz w:val="18"/>
          <w:szCs w:val="18"/>
        </w:rPr>
      </w:pPr>
      <w:r w:rsidRPr="00A41960">
        <w:rPr>
          <w:sz w:val="18"/>
          <w:szCs w:val="18"/>
        </w:rPr>
        <w:t>“La información contenida en el registro es pública y su consulta será gratuita”.</w:t>
      </w:r>
    </w:p>
    <w:p w:rsidRPr="00A41960" w:rsidR="00EC1F5F" w:rsidP="009026AE" w:rsidRDefault="00EC1F5F" w14:paraId="67CE9238" w14:textId="52783415">
      <w:pPr>
        <w:pStyle w:val="Textonotapie"/>
        <w:ind w:left="300" w:right="306"/>
        <w:jc w:val="both"/>
        <w:rPr>
          <w:sz w:val="18"/>
          <w:szCs w:val="18"/>
          <w:lang w:val="es-CO"/>
        </w:rPr>
      </w:pPr>
    </w:p>
  </w:footnote>
  <w:footnote w:id="14">
    <w:p w:rsidRPr="00A41960" w:rsidR="00EC1F5F" w:rsidP="009026AE" w:rsidRDefault="00EC1F5F" w14:paraId="6056B27B" w14:textId="77777777">
      <w:pPr>
        <w:spacing w:before="99"/>
        <w:ind w:left="300" w:right="306" w:firstLine="707"/>
        <w:jc w:val="both"/>
        <w:rPr>
          <w:sz w:val="18"/>
          <w:szCs w:val="18"/>
        </w:rPr>
      </w:pPr>
      <w:r w:rsidRPr="00A41960">
        <w:rPr>
          <w:rStyle w:val="Refdenotaalpie"/>
          <w:sz w:val="18"/>
          <w:szCs w:val="18"/>
        </w:rPr>
        <w:footnoteRef/>
      </w:r>
      <w:r w:rsidRPr="00A41960">
        <w:rPr>
          <w:sz w:val="18"/>
          <w:szCs w:val="18"/>
        </w:rPr>
        <w:t xml:space="preserve"> Decreto 1082 de 2015: “Artículo 2.2.1.1.1.5.1. Inscripción, renovación, actualización y cancelación del RUP.</w:t>
      </w:r>
    </w:p>
    <w:p w:rsidRPr="00A41960" w:rsidR="00EC1F5F" w:rsidP="009026AE" w:rsidRDefault="00EC1F5F" w14:paraId="7909FA03" w14:textId="77777777">
      <w:pPr>
        <w:spacing w:before="1"/>
        <w:ind w:left="300" w:right="306"/>
        <w:jc w:val="both"/>
        <w:rPr>
          <w:sz w:val="18"/>
          <w:szCs w:val="18"/>
        </w:rPr>
      </w:pPr>
      <w:r w:rsidRPr="00A41960">
        <w:rPr>
          <w:sz w:val="18"/>
          <w:szCs w:val="18"/>
        </w:rPr>
        <w:t>(…)</w:t>
      </w:r>
    </w:p>
    <w:p w:rsidRPr="00A41960" w:rsidR="00EC1F5F" w:rsidP="009026AE" w:rsidRDefault="00EC1F5F" w14:paraId="0EC9436C" w14:textId="77777777">
      <w:pPr>
        <w:pStyle w:val="Textoindependiente"/>
        <w:spacing w:before="1"/>
        <w:ind w:left="300" w:right="306"/>
        <w:jc w:val="both"/>
        <w:rPr>
          <w:sz w:val="18"/>
          <w:szCs w:val="18"/>
        </w:rPr>
      </w:pPr>
    </w:p>
    <w:p w:rsidRPr="00A41960" w:rsidR="00EC1F5F" w:rsidP="009026AE" w:rsidRDefault="00EC1F5F" w14:paraId="5A2C434D" w14:textId="77777777">
      <w:pPr>
        <w:ind w:left="300" w:right="306"/>
        <w:jc w:val="both"/>
        <w:rPr>
          <w:sz w:val="18"/>
          <w:szCs w:val="18"/>
        </w:rPr>
      </w:pPr>
      <w:r w:rsidRPr="00A41960">
        <w:rPr>
          <w:sz w:val="18"/>
          <w:szCs w:val="18"/>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rsidRPr="00A41960" w:rsidR="00EC1F5F" w:rsidP="009026AE" w:rsidRDefault="00EC1F5F" w14:paraId="761483F0" w14:textId="6F1EBC3C">
      <w:pPr>
        <w:pStyle w:val="Textonotapie"/>
        <w:ind w:left="300" w:right="306"/>
        <w:jc w:val="both"/>
        <w:rPr>
          <w:sz w:val="18"/>
          <w:szCs w:val="18"/>
          <w:lang w:val="es-CO"/>
        </w:rPr>
      </w:pPr>
    </w:p>
  </w:footnote>
  <w:footnote w:id="15">
    <w:p w:rsidRPr="009026AE" w:rsidR="00EC1F5F" w:rsidP="009026AE" w:rsidRDefault="009026AE" w14:paraId="566612C5" w14:textId="5DA0B760">
      <w:pPr>
        <w:tabs>
          <w:tab w:val="left" w:pos="1251"/>
        </w:tabs>
        <w:spacing w:before="69" w:line="259" w:lineRule="auto"/>
        <w:ind w:left="300" w:right="306"/>
        <w:rPr>
          <w:sz w:val="18"/>
          <w:szCs w:val="18"/>
        </w:rPr>
      </w:pPr>
      <w:r>
        <w:rPr>
          <w:sz w:val="18"/>
          <w:szCs w:val="18"/>
        </w:rPr>
        <w:tab/>
      </w:r>
      <w:r w:rsidRPr="00A41960" w:rsidR="00EC1F5F">
        <w:rPr>
          <w:rStyle w:val="Refdenotaalpie"/>
          <w:sz w:val="18"/>
          <w:szCs w:val="18"/>
        </w:rPr>
        <w:footnoteRef/>
      </w:r>
      <w:r w:rsidRPr="009026AE" w:rsidR="00EC1F5F">
        <w:rPr>
          <w:sz w:val="18"/>
          <w:szCs w:val="18"/>
        </w:rPr>
        <w:t xml:space="preserve"> Ley 1882 de 2018: “Artículo 5°. Modifíquese el Parágrafo </w:t>
      </w:r>
      <w:hyperlink r:id="rId3">
        <w:r w:rsidRPr="009026AE" w:rsidR="00EC1F5F">
          <w:rPr>
            <w:sz w:val="18"/>
            <w:szCs w:val="18"/>
          </w:rPr>
          <w:t xml:space="preserve">1 </w:t>
        </w:r>
      </w:hyperlink>
      <w:r w:rsidRPr="009026AE" w:rsidR="00EC1F5F">
        <w:rPr>
          <w:sz w:val="18"/>
          <w:szCs w:val="18"/>
        </w:rPr>
        <w:t xml:space="preserve">e inclúyanse los parágrafos </w:t>
      </w:r>
      <w:hyperlink r:id="rId4">
        <w:r w:rsidRPr="009026AE" w:rsidR="00EC1F5F">
          <w:rPr>
            <w:sz w:val="18"/>
            <w:szCs w:val="18"/>
          </w:rPr>
          <w:t xml:space="preserve">3, </w:t>
        </w:r>
      </w:hyperlink>
      <w:hyperlink r:id="rId5">
        <w:r w:rsidRPr="009026AE" w:rsidR="00EC1F5F">
          <w:rPr>
            <w:sz w:val="18"/>
            <w:szCs w:val="18"/>
          </w:rPr>
          <w:t xml:space="preserve">4 </w:t>
        </w:r>
      </w:hyperlink>
      <w:r w:rsidRPr="009026AE" w:rsidR="00EC1F5F">
        <w:rPr>
          <w:sz w:val="18"/>
          <w:szCs w:val="18"/>
        </w:rPr>
        <w:t xml:space="preserve">y </w:t>
      </w:r>
      <w:hyperlink r:id="rId6">
        <w:r w:rsidRPr="009026AE" w:rsidR="00EC1F5F">
          <w:rPr>
            <w:sz w:val="18"/>
            <w:szCs w:val="18"/>
          </w:rPr>
          <w:t xml:space="preserve">5 </w:t>
        </w:r>
      </w:hyperlink>
      <w:r w:rsidRPr="009026AE" w:rsidR="00EC1F5F">
        <w:rPr>
          <w:sz w:val="18"/>
          <w:szCs w:val="18"/>
        </w:rPr>
        <w:t>de artículo 5° de la Ley 1150 de 2007, los cuales quedarán</w:t>
      </w:r>
      <w:r w:rsidRPr="009026AE" w:rsidR="00EC1F5F">
        <w:rPr>
          <w:spacing w:val="-15"/>
          <w:sz w:val="18"/>
          <w:szCs w:val="18"/>
        </w:rPr>
        <w:t xml:space="preserve"> </w:t>
      </w:r>
      <w:r w:rsidRPr="009026AE" w:rsidR="00EC1F5F">
        <w:rPr>
          <w:sz w:val="18"/>
          <w:szCs w:val="18"/>
        </w:rPr>
        <w:t>así:</w:t>
      </w:r>
    </w:p>
    <w:p w:rsidRPr="00A41960" w:rsidR="00EC1F5F" w:rsidP="009026AE" w:rsidRDefault="00EC1F5F" w14:paraId="24EB0222" w14:textId="77777777">
      <w:pPr>
        <w:pStyle w:val="Textoindependiente"/>
        <w:spacing w:before="5"/>
        <w:ind w:left="300" w:right="306"/>
        <w:jc w:val="both"/>
        <w:rPr>
          <w:sz w:val="18"/>
          <w:szCs w:val="18"/>
        </w:rPr>
      </w:pPr>
    </w:p>
    <w:p w:rsidRPr="00A41960" w:rsidR="00EC1F5F" w:rsidP="009026AE" w:rsidRDefault="00EC1F5F" w14:paraId="66BDA1C6" w14:textId="77777777">
      <w:pPr>
        <w:ind w:left="300" w:right="306"/>
        <w:jc w:val="both"/>
        <w:rPr>
          <w:sz w:val="18"/>
          <w:szCs w:val="18"/>
        </w:rPr>
      </w:pPr>
      <w:r w:rsidRPr="00A41960">
        <w:rPr>
          <w:sz w:val="18"/>
          <w:szCs w:val="18"/>
        </w:rPr>
        <w:t>“Artículo 5°. De la selección objetiva.</w:t>
      </w:r>
    </w:p>
    <w:p w:rsidRPr="00A41960" w:rsidR="00EC1F5F" w:rsidP="009026AE" w:rsidRDefault="00EC1F5F" w14:paraId="13F41774" w14:textId="77777777">
      <w:pPr>
        <w:pStyle w:val="Textoindependiente"/>
        <w:spacing w:before="1"/>
        <w:ind w:left="300" w:right="306"/>
        <w:jc w:val="both"/>
        <w:rPr>
          <w:sz w:val="18"/>
          <w:szCs w:val="18"/>
        </w:rPr>
      </w:pPr>
    </w:p>
    <w:p w:rsidRPr="00A41960" w:rsidR="00EC1F5F" w:rsidP="009026AE" w:rsidRDefault="00EC1F5F" w14:paraId="16346D8C" w14:textId="77777777">
      <w:pPr>
        <w:spacing w:before="1"/>
        <w:ind w:left="300" w:right="306"/>
        <w:jc w:val="both"/>
        <w:rPr>
          <w:sz w:val="18"/>
          <w:szCs w:val="18"/>
        </w:rPr>
      </w:pPr>
      <w:r w:rsidRPr="00A41960">
        <w:rPr>
          <w:sz w:val="18"/>
          <w:szCs w:val="18"/>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w:t>
      </w:r>
      <w:proofErr w:type="spellStart"/>
      <w:r w:rsidRPr="00A41960">
        <w:rPr>
          <w:sz w:val="18"/>
          <w:szCs w:val="18"/>
        </w:rPr>
        <w:t>Ia</w:t>
      </w:r>
      <w:proofErr w:type="spellEnd"/>
      <w:r w:rsidRPr="00A41960">
        <w:rPr>
          <w:sz w:val="18"/>
          <w:szCs w:val="18"/>
        </w:rPr>
        <w:t xml:space="preserve"> documentación solicitada por la entidad estatal hasta el plazo anteriormente señalado.</w:t>
      </w:r>
    </w:p>
    <w:p w:rsidRPr="00A41960" w:rsidR="00EC1F5F" w:rsidP="009026AE" w:rsidRDefault="00EC1F5F" w14:paraId="745B545F" w14:textId="77777777">
      <w:pPr>
        <w:pStyle w:val="Textoindependiente"/>
        <w:spacing w:before="11"/>
        <w:ind w:left="300" w:right="306"/>
        <w:jc w:val="both"/>
        <w:rPr>
          <w:sz w:val="18"/>
          <w:szCs w:val="18"/>
        </w:rPr>
      </w:pPr>
    </w:p>
    <w:p w:rsidRPr="00A41960" w:rsidR="00EC1F5F" w:rsidP="009026AE" w:rsidRDefault="00EC1F5F" w14:paraId="6EC0A969" w14:textId="77777777">
      <w:pPr>
        <w:spacing w:line="307" w:lineRule="auto"/>
        <w:ind w:left="300" w:right="306"/>
        <w:jc w:val="both"/>
        <w:rPr>
          <w:sz w:val="18"/>
          <w:szCs w:val="18"/>
        </w:rPr>
      </w:pPr>
      <w:r w:rsidRPr="00A41960">
        <w:rPr>
          <w:sz w:val="18"/>
          <w:szCs w:val="18"/>
        </w:rPr>
        <w:t>“Durante el término otorgado para subsanar las ofertas, los proponentes no podrán acreditar circunstancias ocurridas con posterioridad al cierre del proceso.</w:t>
      </w:r>
    </w:p>
    <w:p w:rsidRPr="00A41960" w:rsidR="00EC1F5F" w:rsidP="009026AE" w:rsidRDefault="00EC1F5F" w14:paraId="1802C38B" w14:textId="7D7153A2">
      <w:pPr>
        <w:pStyle w:val="Textonotapie"/>
        <w:ind w:left="300" w:right="306"/>
        <w:jc w:val="both"/>
        <w:rPr>
          <w:sz w:val="18"/>
          <w:szCs w:val="18"/>
          <w:lang w:val="es-CO"/>
        </w:rPr>
      </w:pPr>
    </w:p>
  </w:footnote>
  <w:footnote w:id="16">
    <w:p w:rsidRPr="00A41960" w:rsidR="00EC1F5F" w:rsidP="009026AE" w:rsidRDefault="00EC1F5F" w14:paraId="21662738" w14:textId="196E16DA">
      <w:pPr>
        <w:spacing w:before="77"/>
        <w:ind w:left="300" w:right="306"/>
        <w:jc w:val="both"/>
        <w:rPr>
          <w:sz w:val="18"/>
          <w:szCs w:val="18"/>
        </w:rPr>
      </w:pPr>
      <w:r w:rsidRPr="00A41960">
        <w:rPr>
          <w:sz w:val="18"/>
          <w:szCs w:val="18"/>
        </w:rPr>
        <w:tab/>
      </w:r>
      <w:r w:rsidR="009026AE">
        <w:rPr>
          <w:sz w:val="18"/>
          <w:szCs w:val="18"/>
        </w:rPr>
        <w:t xml:space="preserve">    </w:t>
      </w:r>
      <w:r w:rsidRPr="00A41960">
        <w:rPr>
          <w:rStyle w:val="Refdenotaalpie"/>
          <w:sz w:val="18"/>
          <w:szCs w:val="18"/>
        </w:rPr>
        <w:footnoteRef/>
      </w:r>
      <w:r w:rsidRPr="00A41960">
        <w:rPr>
          <w:sz w:val="18"/>
          <w:szCs w:val="18"/>
        </w:rPr>
        <w:t xml:space="preserve"> “La </w:t>
      </w:r>
      <w:proofErr w:type="spellStart"/>
      <w:r w:rsidRPr="00A41960">
        <w:rPr>
          <w:sz w:val="18"/>
          <w:szCs w:val="18"/>
        </w:rPr>
        <w:t>subsanabilidad</w:t>
      </w:r>
      <w:proofErr w:type="spellEnd"/>
      <w:r w:rsidRPr="00A41960">
        <w:rPr>
          <w:sz w:val="18"/>
          <w:szCs w:val="18"/>
        </w:rPr>
        <w:t xml:space="preserve"> de referirse o recaer sobre circunstancias ocurridas antes del cierre del respectivo proceso, esto es, del vencimiento del plazo para presentar ofertas. (…) De esta manera, quien se presenta al proceso de selección debe cumplir para la fecha en que “se cierra el proceso” con los </w:t>
      </w:r>
      <w:proofErr w:type="gramStart"/>
      <w:r w:rsidRPr="00A41960">
        <w:rPr>
          <w:sz w:val="18"/>
          <w:szCs w:val="18"/>
        </w:rPr>
        <w:t>requisitos  que</w:t>
      </w:r>
      <w:proofErr w:type="gramEnd"/>
      <w:r w:rsidRPr="00A41960">
        <w:rPr>
          <w:sz w:val="18"/>
          <w:szCs w:val="18"/>
        </w:rPr>
        <w:t xml:space="preserve"> se requieren para presentar la oferta, de manera que es sobre ellos y no sobre otros que se cumplan con posterioridad, sobre los que recae la posibilidad de saneamiento. Así, por ejemplo, si se requiere</w:t>
      </w:r>
      <w:r w:rsidRPr="00A41960">
        <w:rPr>
          <w:spacing w:val="45"/>
          <w:sz w:val="18"/>
          <w:szCs w:val="18"/>
        </w:rPr>
        <w:t xml:space="preserve"> </w:t>
      </w:r>
      <w:r w:rsidRPr="00A41960">
        <w:rPr>
          <w:sz w:val="18"/>
          <w:szCs w:val="18"/>
        </w:rPr>
        <w:t>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w:t>
      </w:r>
      <w:r w:rsidRPr="00A41960">
        <w:rPr>
          <w:spacing w:val="-7"/>
          <w:sz w:val="18"/>
          <w:szCs w:val="18"/>
        </w:rPr>
        <w:t xml:space="preserve"> </w:t>
      </w:r>
      <w:r w:rsidRPr="00A41960">
        <w:rPr>
          <w:sz w:val="18"/>
          <w:szCs w:val="18"/>
        </w:rPr>
        <w:t>(…)”.</w:t>
      </w:r>
    </w:p>
    <w:p w:rsidRPr="00A41960" w:rsidR="00EC1F5F" w:rsidP="009026AE" w:rsidRDefault="00EC1F5F" w14:paraId="08A427DF" w14:textId="66FB42E4">
      <w:pPr>
        <w:pStyle w:val="Textonotapie"/>
        <w:ind w:left="300" w:right="306"/>
        <w:jc w:val="both"/>
        <w:rPr>
          <w:sz w:val="18"/>
          <w:szCs w:val="18"/>
          <w:lang w:val="es-CO"/>
        </w:rPr>
      </w:pPr>
    </w:p>
  </w:footnote>
  <w:footnote w:id="17">
    <w:p w:rsidRPr="00A41960" w:rsidR="0015044A" w:rsidP="009026AE" w:rsidRDefault="0015044A" w14:paraId="324995AC" w14:textId="77777777">
      <w:pPr>
        <w:spacing w:line="242" w:lineRule="auto"/>
        <w:ind w:left="300" w:right="306" w:firstLine="707"/>
        <w:jc w:val="both"/>
        <w:rPr>
          <w:sz w:val="18"/>
          <w:szCs w:val="18"/>
        </w:rPr>
      </w:pPr>
      <w:r w:rsidRPr="00A41960">
        <w:rPr>
          <w:rStyle w:val="Refdenotaalpie"/>
          <w:sz w:val="18"/>
          <w:szCs w:val="18"/>
        </w:rPr>
        <w:footnoteRef/>
      </w:r>
      <w:r w:rsidRPr="00A41960">
        <w:rPr>
          <w:sz w:val="18"/>
          <w:szCs w:val="18"/>
        </w:rPr>
        <w:t xml:space="preserve"> Cámara de Comercio: “Artículo 117: Prueba de la existencia, cláusulas del contrato </w:t>
      </w:r>
      <w:proofErr w:type="gramStart"/>
      <w:r w:rsidRPr="00A41960">
        <w:rPr>
          <w:sz w:val="18"/>
          <w:szCs w:val="18"/>
        </w:rPr>
        <w:t>y  representación</w:t>
      </w:r>
      <w:proofErr w:type="gramEnd"/>
      <w:r w:rsidRPr="00A41960">
        <w:rPr>
          <w:sz w:val="18"/>
          <w:szCs w:val="18"/>
        </w:rPr>
        <w:t xml:space="preserve"> de la sociedad. La existencia de la sociedad y las cláusulas del contrato se probarán con certificación de la cámara de comercio del domicilio principal, en la que constará el número, fecha y notaría de la escritura de constitución y de las reformas del contrato, si las hubiere; el certificado expresará, además, la fecha y el número de la providencia por la cual se le concedió permiso de funcionamiento y, en todo caso, la constancia de que la sociedad no se halla</w:t>
      </w:r>
      <w:r w:rsidRPr="00A41960">
        <w:rPr>
          <w:spacing w:val="-5"/>
          <w:sz w:val="18"/>
          <w:szCs w:val="18"/>
        </w:rPr>
        <w:t xml:space="preserve"> </w:t>
      </w:r>
      <w:r w:rsidRPr="00A41960">
        <w:rPr>
          <w:sz w:val="18"/>
          <w:szCs w:val="18"/>
        </w:rPr>
        <w:t>disuelta.</w:t>
      </w:r>
    </w:p>
    <w:p w:rsidRPr="00A41960" w:rsidR="0015044A" w:rsidP="009026AE" w:rsidRDefault="0015044A" w14:paraId="4BFFB9D5" w14:textId="77777777">
      <w:pPr>
        <w:pStyle w:val="Textoindependiente"/>
        <w:spacing w:before="10"/>
        <w:ind w:left="300" w:right="306"/>
        <w:jc w:val="both"/>
        <w:rPr>
          <w:sz w:val="18"/>
          <w:szCs w:val="18"/>
        </w:rPr>
      </w:pPr>
    </w:p>
    <w:p w:rsidRPr="00A41960" w:rsidR="0015044A" w:rsidP="009026AE" w:rsidRDefault="0015044A" w14:paraId="2C88EBC2" w14:textId="77777777">
      <w:pPr>
        <w:spacing w:before="1"/>
        <w:ind w:left="300" w:right="306"/>
        <w:jc w:val="both"/>
        <w:rPr>
          <w:sz w:val="18"/>
          <w:szCs w:val="18"/>
        </w:rPr>
      </w:pPr>
      <w:r w:rsidRPr="00A41960">
        <w:rPr>
          <w:sz w:val="18"/>
          <w:szCs w:val="18"/>
        </w:rPr>
        <w:t>“Para probar la representación de una sociedad bastará la certificación de la cámara respectiva, con indicación del nombre de los representantes, de las facultades conferidas a cada uno de ellos en el contrato y de las limitaciones acordadas a dichas facultades, en su caso”.</w:t>
      </w:r>
    </w:p>
    <w:p w:rsidRPr="00A41960" w:rsidR="0015044A" w:rsidP="009026AE" w:rsidRDefault="0015044A" w14:paraId="74ED454D" w14:textId="1BC940FA">
      <w:pPr>
        <w:pStyle w:val="Textonotapie"/>
        <w:ind w:left="300" w:right="306"/>
        <w:jc w:val="both"/>
        <w:rPr>
          <w:sz w:val="18"/>
          <w:szCs w:val="18"/>
          <w:lang w:val="es-CO"/>
        </w:rPr>
      </w:pPr>
    </w:p>
  </w:footnote>
  <w:footnote w:id="18">
    <w:p w:rsidRPr="00A41960" w:rsidR="009920FB" w:rsidP="009026AE" w:rsidRDefault="009026AE" w14:paraId="72A9B1BF" w14:textId="4B6B3DE2">
      <w:pPr>
        <w:spacing w:before="87"/>
        <w:ind w:left="300" w:right="306" w:firstLine="420"/>
        <w:jc w:val="both"/>
        <w:rPr>
          <w:sz w:val="18"/>
          <w:szCs w:val="18"/>
        </w:rPr>
      </w:pPr>
      <w:r>
        <w:rPr>
          <w:sz w:val="18"/>
          <w:szCs w:val="18"/>
        </w:rPr>
        <w:t xml:space="preserve">      </w:t>
      </w:r>
      <w:r w:rsidRPr="00A41960" w:rsidR="009920FB">
        <w:rPr>
          <w:rStyle w:val="Refdenotaalpie"/>
          <w:sz w:val="18"/>
          <w:szCs w:val="18"/>
        </w:rPr>
        <w:footnoteRef/>
      </w:r>
      <w:r w:rsidRPr="00A41960" w:rsidR="009920FB">
        <w:rPr>
          <w:sz w:val="18"/>
          <w:szCs w:val="18"/>
        </w:rPr>
        <w:t xml:space="preserve"> Ley 80 de 1993: “Artículo 26º. Del Principio de Responsabilidad. En virtud de este principio:</w:t>
      </w:r>
    </w:p>
    <w:p w:rsidRPr="00A41960" w:rsidR="009920FB" w:rsidP="009026AE" w:rsidRDefault="009920FB" w14:paraId="7314E4B8" w14:textId="77777777">
      <w:pPr>
        <w:spacing w:before="13"/>
        <w:ind w:left="300" w:right="306"/>
        <w:jc w:val="both"/>
        <w:rPr>
          <w:sz w:val="18"/>
          <w:szCs w:val="18"/>
        </w:rPr>
      </w:pPr>
      <w:r w:rsidRPr="00A41960">
        <w:rPr>
          <w:sz w:val="18"/>
          <w:szCs w:val="18"/>
        </w:rPr>
        <w:t>(…)</w:t>
      </w:r>
    </w:p>
    <w:p w:rsidRPr="00A41960" w:rsidR="009920FB" w:rsidP="009026AE" w:rsidRDefault="009920FB" w14:paraId="03975C43" w14:textId="77777777">
      <w:pPr>
        <w:pStyle w:val="Textoindependiente"/>
        <w:spacing w:before="8"/>
        <w:ind w:left="300" w:right="306"/>
        <w:jc w:val="both"/>
        <w:rPr>
          <w:sz w:val="18"/>
          <w:szCs w:val="18"/>
        </w:rPr>
      </w:pPr>
    </w:p>
    <w:p w:rsidRPr="00A41960" w:rsidR="009920FB" w:rsidP="009026AE" w:rsidRDefault="009920FB" w14:paraId="60BB1BBA" w14:textId="77777777">
      <w:pPr>
        <w:spacing w:before="94"/>
        <w:ind w:left="300" w:right="306"/>
        <w:jc w:val="both"/>
        <w:rPr>
          <w:sz w:val="18"/>
          <w:szCs w:val="18"/>
        </w:rPr>
      </w:pPr>
      <w:r w:rsidRPr="00A41960">
        <w:rPr>
          <w:sz w:val="18"/>
          <w:szCs w:val="18"/>
        </w:rPr>
        <w:t>“6o. Los contratistas responderán cuando formulen propuestas en las que se fijen condiciones económicas y de contratación artificialmente bajas con el propósito de obtener la adjudicación del contrato”.</w:t>
      </w:r>
    </w:p>
    <w:p w:rsidRPr="00A41960" w:rsidR="009920FB" w:rsidP="009026AE" w:rsidRDefault="009920FB" w14:paraId="653342E8" w14:textId="0523A0EA">
      <w:pPr>
        <w:pStyle w:val="Textonotapie"/>
        <w:ind w:left="300" w:right="306"/>
        <w:jc w:val="both"/>
        <w:rPr>
          <w:sz w:val="18"/>
          <w:szCs w:val="18"/>
          <w:lang w:val="es-CO"/>
        </w:rPr>
      </w:pPr>
    </w:p>
  </w:footnote>
  <w:footnote w:id="19">
    <w:p w:rsidRPr="00A41960" w:rsidR="009920FB" w:rsidP="009026AE" w:rsidRDefault="009920FB" w14:paraId="2DB7CAC8" w14:textId="77777777">
      <w:pPr>
        <w:spacing w:before="96"/>
        <w:ind w:left="300" w:right="306" w:firstLine="707"/>
        <w:jc w:val="both"/>
        <w:rPr>
          <w:sz w:val="18"/>
          <w:szCs w:val="18"/>
        </w:rPr>
      </w:pPr>
      <w:r w:rsidRPr="00A41960">
        <w:rPr>
          <w:rStyle w:val="Refdenotaalpie"/>
          <w:sz w:val="18"/>
          <w:szCs w:val="18"/>
        </w:rPr>
        <w:footnoteRef/>
      </w:r>
      <w:r w:rsidRPr="00A41960">
        <w:rPr>
          <w:sz w:val="18"/>
          <w:szCs w:val="18"/>
        </w:rPr>
        <w:t xml:space="preserve"> Decreto 1082 de 2015: “Artículo 2.2.1.1.2.2.4. Oferta con valor artificialmente bajo</w:t>
      </w:r>
      <w:r w:rsidRPr="00A41960">
        <w:rPr>
          <w:b/>
          <w:i/>
          <w:sz w:val="18"/>
          <w:szCs w:val="18"/>
        </w:rPr>
        <w:t xml:space="preserve">. </w:t>
      </w:r>
      <w:r w:rsidRPr="00A41960">
        <w:rPr>
          <w:sz w:val="18"/>
          <w:szCs w:val="18"/>
        </w:rPr>
        <w:t xml:space="preserve">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w:t>
      </w:r>
      <w:proofErr w:type="gramStart"/>
      <w:r w:rsidRPr="00A41960">
        <w:rPr>
          <w:sz w:val="18"/>
          <w:szCs w:val="18"/>
        </w:rPr>
        <w:t>la misma</w:t>
      </w:r>
      <w:proofErr w:type="gramEnd"/>
      <w:r w:rsidRPr="00A41960">
        <w:rPr>
          <w:sz w:val="18"/>
          <w:szCs w:val="18"/>
        </w:rPr>
        <w:t xml:space="preserve"> en la evaluación de las</w:t>
      </w:r>
      <w:r w:rsidRPr="00A41960">
        <w:rPr>
          <w:spacing w:val="-23"/>
          <w:sz w:val="18"/>
          <w:szCs w:val="18"/>
        </w:rPr>
        <w:t xml:space="preserve"> </w:t>
      </w:r>
      <w:r w:rsidRPr="00A41960">
        <w:rPr>
          <w:sz w:val="18"/>
          <w:szCs w:val="18"/>
        </w:rPr>
        <w:t>ofertas.</w:t>
      </w:r>
    </w:p>
    <w:p w:rsidRPr="00A41960" w:rsidR="009920FB" w:rsidP="009026AE" w:rsidRDefault="009920FB" w14:paraId="7EEB2EB9" w14:textId="77777777">
      <w:pPr>
        <w:spacing w:before="151"/>
        <w:ind w:left="300" w:right="306"/>
        <w:jc w:val="both"/>
        <w:rPr>
          <w:sz w:val="18"/>
          <w:szCs w:val="18"/>
        </w:rPr>
      </w:pPr>
      <w:r w:rsidRPr="00A41960">
        <w:rPr>
          <w:sz w:val="18"/>
          <w:szCs w:val="18"/>
        </w:rPr>
        <w:t xml:space="preserve">“Cuando el valor de la oferta sobre la cual la Entidad Estatal tuvo dudas sobre su </w:t>
      </w:r>
      <w:proofErr w:type="gramStart"/>
      <w:r w:rsidRPr="00A41960">
        <w:rPr>
          <w:sz w:val="18"/>
          <w:szCs w:val="18"/>
        </w:rPr>
        <w:t>valor,</w:t>
      </w:r>
      <w:proofErr w:type="gramEnd"/>
      <w:r w:rsidRPr="00A41960">
        <w:rPr>
          <w:sz w:val="18"/>
          <w:szCs w:val="18"/>
        </w:rPr>
        <w:t xml:space="preserve"> responde a circunstancias objetivas del oferente y de su oferta que no ponen en riesgo el cumplimiento del contrato si este es adjudicado a tal oferta, la Entidad Estatal debe continuar con su análisis en el proceso de evaluación de ofertas.</w:t>
      </w:r>
    </w:p>
    <w:p w:rsidRPr="00A41960" w:rsidR="009920FB" w:rsidP="009026AE" w:rsidRDefault="009920FB" w14:paraId="1F6C67C5" w14:textId="77777777">
      <w:pPr>
        <w:spacing w:before="150"/>
        <w:ind w:left="300" w:right="306"/>
        <w:jc w:val="both"/>
        <w:rPr>
          <w:sz w:val="18"/>
          <w:szCs w:val="18"/>
        </w:rPr>
      </w:pPr>
      <w:r w:rsidRPr="00A41960">
        <w:rPr>
          <w:sz w:val="18"/>
          <w:szCs w:val="18"/>
        </w:rPr>
        <w:t xml:space="preserve">“En la subasta inversa esta disposición es aplicable sobre el precio obtenido al final de </w:t>
      </w:r>
      <w:proofErr w:type="gramStart"/>
      <w:r w:rsidRPr="00A41960">
        <w:rPr>
          <w:sz w:val="18"/>
          <w:szCs w:val="18"/>
        </w:rPr>
        <w:t>la misma</w:t>
      </w:r>
      <w:proofErr w:type="gramEnd"/>
      <w:r w:rsidRPr="00A41960">
        <w:rPr>
          <w:sz w:val="18"/>
          <w:szCs w:val="18"/>
        </w:rPr>
        <w:t>”.</w:t>
      </w:r>
    </w:p>
    <w:p w:rsidRPr="00A41960" w:rsidR="009920FB" w:rsidP="009026AE" w:rsidRDefault="009920FB" w14:paraId="70F4A39A" w14:textId="1CD5AE16">
      <w:pPr>
        <w:pStyle w:val="Textonotapie"/>
        <w:ind w:left="300" w:right="306"/>
        <w:jc w:val="both"/>
        <w:rPr>
          <w:sz w:val="18"/>
          <w:szCs w:val="18"/>
          <w:lang w:val="es-CO"/>
        </w:rPr>
      </w:pPr>
    </w:p>
  </w:footnote>
  <w:footnote w:id="20">
    <w:p w:rsidRPr="00A41960" w:rsidR="00F50641" w:rsidP="009026AE" w:rsidRDefault="00F50641" w14:paraId="3B5FA3F8" w14:textId="77777777">
      <w:pPr>
        <w:spacing w:before="80"/>
        <w:ind w:left="300" w:right="306" w:firstLine="707"/>
        <w:jc w:val="both"/>
        <w:rPr>
          <w:sz w:val="18"/>
          <w:szCs w:val="18"/>
        </w:rPr>
      </w:pPr>
      <w:r w:rsidRPr="00A41960">
        <w:rPr>
          <w:rStyle w:val="Refdenotaalpie"/>
          <w:sz w:val="18"/>
          <w:szCs w:val="18"/>
        </w:rPr>
        <w:footnoteRef/>
      </w:r>
      <w:r w:rsidRPr="00A41960">
        <w:rPr>
          <w:sz w:val="18"/>
          <w:szCs w:val="18"/>
        </w:rPr>
        <w:t xml:space="preserve"> “La norma hace una distinción entre actos administrativos definitivos y los actos de trámite. Los primeros son aquellos que concluyen la actuación administrativa, en tanto que deciden directa o indirectamente el fondo del asunto y producen efectos jurídicos definitivos, mientras que los de trámite contienen decisiones administrativas necesarias para la formación del acto definitivo, pero por sí mismos no concluyen la actuación administrativa, salvo que, como lo prevé la norma, la decisión que se adopte impida que continúe tal actuación, caso en el cual se convierte en un acto administrativo definitivo porque le pone fin al proceso administrativo.</w:t>
      </w:r>
    </w:p>
    <w:p w:rsidRPr="00A41960" w:rsidR="00F50641" w:rsidP="009026AE" w:rsidRDefault="00F50641" w14:paraId="06376700" w14:textId="5F2247AB">
      <w:pPr>
        <w:pStyle w:val="Textonotapie"/>
        <w:ind w:left="300" w:right="306"/>
        <w:jc w:val="both"/>
        <w:rPr>
          <w:sz w:val="18"/>
          <w:szCs w:val="18"/>
          <w:lang w:val="es-CO"/>
        </w:rPr>
      </w:pPr>
    </w:p>
  </w:footnote>
  <w:footnote w:id="21">
    <w:p w:rsidRPr="00A41960" w:rsidR="00AE0D25" w:rsidP="009026AE" w:rsidRDefault="00AE0D25" w14:paraId="0CA69526" w14:textId="77777777">
      <w:pPr>
        <w:spacing w:before="87" w:line="242" w:lineRule="auto"/>
        <w:ind w:left="300" w:right="306" w:firstLine="707"/>
        <w:jc w:val="both"/>
        <w:rPr>
          <w:sz w:val="18"/>
          <w:szCs w:val="18"/>
        </w:rPr>
      </w:pPr>
      <w:r w:rsidRPr="00A41960">
        <w:rPr>
          <w:rStyle w:val="Refdenotaalpie"/>
          <w:sz w:val="18"/>
          <w:szCs w:val="18"/>
        </w:rPr>
        <w:footnoteRef/>
      </w:r>
      <w:r w:rsidRPr="00A41960">
        <w:rPr>
          <w:sz w:val="18"/>
          <w:szCs w:val="18"/>
        </w:rPr>
        <w:t xml:space="preserve"> </w:t>
      </w:r>
      <w:r w:rsidRPr="00A41960">
        <w:rPr>
          <w:sz w:val="18"/>
          <w:szCs w:val="18"/>
        </w:rPr>
        <w:t xml:space="preserve">Roberto Dromi. Reforma del Estado y Privatizaciones. Tomo 2. Pliegos de condiciones. Buenos Aires: Astrea. 1991 “La discrecionalidad tiene por lo menos dos límites evidentes. “Uno es el respeto a la finalidad jurídica que justifica y da sustento al poder de la autoridad competente; el otro hace referencia a la necesidad de que el uso de la discrecionalidad administrativa, en nada sobrepasa lo rigurosamente necesario para el cumplimiento del interés jurídico que deba ser legítimamente tutelado. De ahí </w:t>
      </w:r>
      <w:proofErr w:type="gramStart"/>
      <w:r w:rsidRPr="00A41960">
        <w:rPr>
          <w:sz w:val="18"/>
          <w:szCs w:val="18"/>
        </w:rPr>
        <w:t>que</w:t>
      </w:r>
      <w:proofErr w:type="gramEnd"/>
      <w:r w:rsidRPr="00A41960">
        <w:rPr>
          <w:sz w:val="18"/>
          <w:szCs w:val="18"/>
        </w:rPr>
        <w:t xml:space="preserve"> si la finalidad que justifica cierta decisión discrecional es la de satisfacer adecuadamente el interés público, sólo él puede servir como criterio para la adopción de la medida”, pág. 8</w:t>
      </w:r>
    </w:p>
    <w:p w:rsidRPr="00A41960" w:rsidR="00AE0D25" w:rsidP="009026AE" w:rsidRDefault="00AE0D25" w14:paraId="6651074A" w14:textId="6DB4890D">
      <w:pPr>
        <w:pStyle w:val="Textonotapie"/>
        <w:ind w:left="300" w:right="306"/>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D7B39" w:rsidRDefault="000D1B1D" w14:paraId="74B09D79" w14:textId="77777777">
    <w:pPr>
      <w:pStyle w:val="Textoindependiente"/>
      <w:spacing w:line="14" w:lineRule="auto"/>
      <w:rPr>
        <w:sz w:val="20"/>
      </w:rPr>
    </w:pPr>
    <w:r>
      <w:rPr>
        <w:noProof/>
        <w:lang w:val="en-US"/>
      </w:rPr>
      <w:drawing>
        <wp:anchor distT="0" distB="0" distL="0" distR="0" simplePos="0" relativeHeight="251658240" behindDoc="1" locked="0" layoutInCell="1" allowOverlap="1" wp14:anchorId="6EF6A1C5" wp14:editId="06A8F6B6">
          <wp:simplePos x="0" y="0"/>
          <wp:positionH relativeFrom="page">
            <wp:posOffset>5304473</wp:posOffset>
          </wp:positionH>
          <wp:positionV relativeFrom="page">
            <wp:posOffset>468247</wp:posOffset>
          </wp:positionV>
          <wp:extent cx="1346374" cy="52137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346374" cy="521377"/>
                  </a:xfrm>
                  <a:prstGeom prst="rect">
                    <a:avLst/>
                  </a:prstGeom>
                </pic:spPr>
              </pic:pic>
            </a:graphicData>
          </a:graphic>
        </wp:anchor>
      </w:drawing>
    </w:r>
    <w:r w:rsidR="3A170346">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1BB0"/>
    <w:multiLevelType w:val="hybridMultilevel"/>
    <w:tmpl w:val="EDC8ADC4"/>
    <w:lvl w:ilvl="0" w:tplc="B194EC9E">
      <w:start w:val="14"/>
      <w:numFmt w:val="decimal"/>
      <w:lvlText w:val="%1"/>
      <w:lvlJc w:val="left"/>
      <w:pPr>
        <w:ind w:left="300" w:hanging="243"/>
        <w:jc w:val="left"/>
      </w:pPr>
      <w:rPr>
        <w:rFonts w:hint="default"/>
        <w:spacing w:val="-3"/>
        <w:w w:val="100"/>
        <w:position w:val="8"/>
        <w:lang w:val="es-ES" w:eastAsia="en-US" w:bidi="ar-SA"/>
      </w:rPr>
    </w:lvl>
    <w:lvl w:ilvl="1" w:tplc="FD52C61A">
      <w:numFmt w:val="bullet"/>
      <w:lvlText w:val="•"/>
      <w:lvlJc w:val="left"/>
      <w:pPr>
        <w:ind w:left="1224" w:hanging="243"/>
      </w:pPr>
      <w:rPr>
        <w:rFonts w:hint="default"/>
        <w:lang w:val="es-ES" w:eastAsia="en-US" w:bidi="ar-SA"/>
      </w:rPr>
    </w:lvl>
    <w:lvl w:ilvl="2" w:tplc="6C64D158">
      <w:numFmt w:val="bullet"/>
      <w:lvlText w:val="•"/>
      <w:lvlJc w:val="left"/>
      <w:pPr>
        <w:ind w:left="2148" w:hanging="243"/>
      </w:pPr>
      <w:rPr>
        <w:rFonts w:hint="default"/>
        <w:lang w:val="es-ES" w:eastAsia="en-US" w:bidi="ar-SA"/>
      </w:rPr>
    </w:lvl>
    <w:lvl w:ilvl="3" w:tplc="BA3E7970">
      <w:numFmt w:val="bullet"/>
      <w:lvlText w:val="•"/>
      <w:lvlJc w:val="left"/>
      <w:pPr>
        <w:ind w:left="3072" w:hanging="243"/>
      </w:pPr>
      <w:rPr>
        <w:rFonts w:hint="default"/>
        <w:lang w:val="es-ES" w:eastAsia="en-US" w:bidi="ar-SA"/>
      </w:rPr>
    </w:lvl>
    <w:lvl w:ilvl="4" w:tplc="319C9D36">
      <w:numFmt w:val="bullet"/>
      <w:lvlText w:val="•"/>
      <w:lvlJc w:val="left"/>
      <w:pPr>
        <w:ind w:left="3996" w:hanging="243"/>
      </w:pPr>
      <w:rPr>
        <w:rFonts w:hint="default"/>
        <w:lang w:val="es-ES" w:eastAsia="en-US" w:bidi="ar-SA"/>
      </w:rPr>
    </w:lvl>
    <w:lvl w:ilvl="5" w:tplc="B8203BD8">
      <w:numFmt w:val="bullet"/>
      <w:lvlText w:val="•"/>
      <w:lvlJc w:val="left"/>
      <w:pPr>
        <w:ind w:left="4920" w:hanging="243"/>
      </w:pPr>
      <w:rPr>
        <w:rFonts w:hint="default"/>
        <w:lang w:val="es-ES" w:eastAsia="en-US" w:bidi="ar-SA"/>
      </w:rPr>
    </w:lvl>
    <w:lvl w:ilvl="6" w:tplc="5F5247D4">
      <w:numFmt w:val="bullet"/>
      <w:lvlText w:val="•"/>
      <w:lvlJc w:val="left"/>
      <w:pPr>
        <w:ind w:left="5844" w:hanging="243"/>
      </w:pPr>
      <w:rPr>
        <w:rFonts w:hint="default"/>
        <w:lang w:val="es-ES" w:eastAsia="en-US" w:bidi="ar-SA"/>
      </w:rPr>
    </w:lvl>
    <w:lvl w:ilvl="7" w:tplc="23F23FEE">
      <w:numFmt w:val="bullet"/>
      <w:lvlText w:val="•"/>
      <w:lvlJc w:val="left"/>
      <w:pPr>
        <w:ind w:left="6768" w:hanging="243"/>
      </w:pPr>
      <w:rPr>
        <w:rFonts w:hint="default"/>
        <w:lang w:val="es-ES" w:eastAsia="en-US" w:bidi="ar-SA"/>
      </w:rPr>
    </w:lvl>
    <w:lvl w:ilvl="8" w:tplc="15EC5820">
      <w:numFmt w:val="bullet"/>
      <w:lvlText w:val="•"/>
      <w:lvlJc w:val="left"/>
      <w:pPr>
        <w:ind w:left="7692" w:hanging="243"/>
      </w:pPr>
      <w:rPr>
        <w:rFonts w:hint="default"/>
        <w:lang w:val="es-ES" w:eastAsia="en-US" w:bidi="ar-SA"/>
      </w:rPr>
    </w:lvl>
  </w:abstractNum>
  <w:abstractNum w:abstractNumId="1" w15:restartNumberingAfterBreak="0">
    <w:nsid w:val="28114AF7"/>
    <w:multiLevelType w:val="hybridMultilevel"/>
    <w:tmpl w:val="35845FF8"/>
    <w:lvl w:ilvl="0" w:tplc="05E0B282">
      <w:start w:val="1"/>
      <w:numFmt w:val="lowerRoman"/>
      <w:lvlText w:val="%1)"/>
      <w:lvlJc w:val="left"/>
      <w:pPr>
        <w:ind w:left="300" w:hanging="253"/>
        <w:jc w:val="left"/>
      </w:pPr>
      <w:rPr>
        <w:rFonts w:hint="default" w:ascii="Arial" w:hAnsi="Arial" w:eastAsia="Arial" w:cs="Arial"/>
        <w:color w:val="auto"/>
        <w:spacing w:val="-3"/>
        <w:w w:val="100"/>
        <w:sz w:val="22"/>
        <w:szCs w:val="22"/>
        <w:lang w:val="es-ES" w:eastAsia="en-US" w:bidi="ar-SA"/>
      </w:rPr>
    </w:lvl>
    <w:lvl w:ilvl="1" w:tplc="47A033EE">
      <w:start w:val="2"/>
      <w:numFmt w:val="lowerRoman"/>
      <w:lvlText w:val="%2)"/>
      <w:lvlJc w:val="left"/>
      <w:pPr>
        <w:ind w:left="1005" w:hanging="245"/>
        <w:jc w:val="left"/>
      </w:pPr>
      <w:rPr>
        <w:rFonts w:hint="default" w:ascii="Arial" w:hAnsi="Arial" w:eastAsia="Arial" w:cs="Arial"/>
        <w:color w:val="4E4D4D"/>
        <w:w w:val="100"/>
        <w:sz w:val="22"/>
        <w:szCs w:val="22"/>
        <w:lang w:val="es-ES" w:eastAsia="en-US" w:bidi="ar-SA"/>
      </w:rPr>
    </w:lvl>
    <w:lvl w:ilvl="2" w:tplc="A17A5E14">
      <w:numFmt w:val="bullet"/>
      <w:lvlText w:val="•"/>
      <w:lvlJc w:val="left"/>
      <w:pPr>
        <w:ind w:left="1948" w:hanging="245"/>
      </w:pPr>
      <w:rPr>
        <w:rFonts w:hint="default"/>
        <w:lang w:val="es-ES" w:eastAsia="en-US" w:bidi="ar-SA"/>
      </w:rPr>
    </w:lvl>
    <w:lvl w:ilvl="3" w:tplc="7F0EBA62">
      <w:numFmt w:val="bullet"/>
      <w:lvlText w:val="•"/>
      <w:lvlJc w:val="left"/>
      <w:pPr>
        <w:ind w:left="2897" w:hanging="245"/>
      </w:pPr>
      <w:rPr>
        <w:rFonts w:hint="default"/>
        <w:lang w:val="es-ES" w:eastAsia="en-US" w:bidi="ar-SA"/>
      </w:rPr>
    </w:lvl>
    <w:lvl w:ilvl="4" w:tplc="D8E8D28A">
      <w:numFmt w:val="bullet"/>
      <w:lvlText w:val="•"/>
      <w:lvlJc w:val="left"/>
      <w:pPr>
        <w:ind w:left="3846" w:hanging="245"/>
      </w:pPr>
      <w:rPr>
        <w:rFonts w:hint="default"/>
        <w:lang w:val="es-ES" w:eastAsia="en-US" w:bidi="ar-SA"/>
      </w:rPr>
    </w:lvl>
    <w:lvl w:ilvl="5" w:tplc="7A42AD7A">
      <w:numFmt w:val="bullet"/>
      <w:lvlText w:val="•"/>
      <w:lvlJc w:val="left"/>
      <w:pPr>
        <w:ind w:left="4795" w:hanging="245"/>
      </w:pPr>
      <w:rPr>
        <w:rFonts w:hint="default"/>
        <w:lang w:val="es-ES" w:eastAsia="en-US" w:bidi="ar-SA"/>
      </w:rPr>
    </w:lvl>
    <w:lvl w:ilvl="6" w:tplc="C90C70F0">
      <w:numFmt w:val="bullet"/>
      <w:lvlText w:val="•"/>
      <w:lvlJc w:val="left"/>
      <w:pPr>
        <w:ind w:left="5744" w:hanging="245"/>
      </w:pPr>
      <w:rPr>
        <w:rFonts w:hint="default"/>
        <w:lang w:val="es-ES" w:eastAsia="en-US" w:bidi="ar-SA"/>
      </w:rPr>
    </w:lvl>
    <w:lvl w:ilvl="7" w:tplc="32C4DE28">
      <w:numFmt w:val="bullet"/>
      <w:lvlText w:val="•"/>
      <w:lvlJc w:val="left"/>
      <w:pPr>
        <w:ind w:left="6693" w:hanging="245"/>
      </w:pPr>
      <w:rPr>
        <w:rFonts w:hint="default"/>
        <w:lang w:val="es-ES" w:eastAsia="en-US" w:bidi="ar-SA"/>
      </w:rPr>
    </w:lvl>
    <w:lvl w:ilvl="8" w:tplc="3EACAB62">
      <w:numFmt w:val="bullet"/>
      <w:lvlText w:val="•"/>
      <w:lvlJc w:val="left"/>
      <w:pPr>
        <w:ind w:left="7642" w:hanging="245"/>
      </w:pPr>
      <w:rPr>
        <w:rFonts w:hint="default"/>
        <w:lang w:val="es-ES" w:eastAsia="en-US" w:bidi="ar-SA"/>
      </w:rPr>
    </w:lvl>
  </w:abstractNum>
  <w:abstractNum w:abstractNumId="2" w15:restartNumberingAfterBreak="0">
    <w:nsid w:val="290D0283"/>
    <w:multiLevelType w:val="hybridMultilevel"/>
    <w:tmpl w:val="238869EA"/>
    <w:lvl w:ilvl="0" w:tplc="D096AC0E">
      <w:start w:val="1"/>
      <w:numFmt w:val="lowerRoman"/>
      <w:lvlText w:val="%1."/>
      <w:lvlJc w:val="left"/>
      <w:pPr>
        <w:ind w:left="868" w:hanging="140"/>
        <w:jc w:val="left"/>
      </w:pPr>
      <w:rPr>
        <w:rFonts w:hint="default" w:ascii="Arial" w:hAnsi="Arial" w:eastAsia="Arial" w:cs="Arial"/>
        <w:color w:val="4E4D4D"/>
        <w:spacing w:val="0"/>
        <w:w w:val="100"/>
        <w:sz w:val="22"/>
        <w:szCs w:val="22"/>
        <w:lang w:val="es-ES" w:eastAsia="en-US" w:bidi="ar-SA"/>
      </w:rPr>
    </w:lvl>
    <w:lvl w:ilvl="1" w:tplc="24ECB39E">
      <w:numFmt w:val="bullet"/>
      <w:lvlText w:val="•"/>
      <w:lvlJc w:val="left"/>
      <w:pPr>
        <w:ind w:left="1728" w:hanging="140"/>
      </w:pPr>
      <w:rPr>
        <w:rFonts w:hint="default"/>
        <w:lang w:val="es-ES" w:eastAsia="en-US" w:bidi="ar-SA"/>
      </w:rPr>
    </w:lvl>
    <w:lvl w:ilvl="2" w:tplc="4F6C5EA6">
      <w:numFmt w:val="bullet"/>
      <w:lvlText w:val="•"/>
      <w:lvlJc w:val="left"/>
      <w:pPr>
        <w:ind w:left="2596" w:hanging="140"/>
      </w:pPr>
      <w:rPr>
        <w:rFonts w:hint="default"/>
        <w:lang w:val="es-ES" w:eastAsia="en-US" w:bidi="ar-SA"/>
      </w:rPr>
    </w:lvl>
    <w:lvl w:ilvl="3" w:tplc="929A948E">
      <w:numFmt w:val="bullet"/>
      <w:lvlText w:val="•"/>
      <w:lvlJc w:val="left"/>
      <w:pPr>
        <w:ind w:left="3464" w:hanging="140"/>
      </w:pPr>
      <w:rPr>
        <w:rFonts w:hint="default"/>
        <w:lang w:val="es-ES" w:eastAsia="en-US" w:bidi="ar-SA"/>
      </w:rPr>
    </w:lvl>
    <w:lvl w:ilvl="4" w:tplc="B52AA9AC">
      <w:numFmt w:val="bullet"/>
      <w:lvlText w:val="•"/>
      <w:lvlJc w:val="left"/>
      <w:pPr>
        <w:ind w:left="4332" w:hanging="140"/>
      </w:pPr>
      <w:rPr>
        <w:rFonts w:hint="default"/>
        <w:lang w:val="es-ES" w:eastAsia="en-US" w:bidi="ar-SA"/>
      </w:rPr>
    </w:lvl>
    <w:lvl w:ilvl="5" w:tplc="C94C05B8">
      <w:numFmt w:val="bullet"/>
      <w:lvlText w:val="•"/>
      <w:lvlJc w:val="left"/>
      <w:pPr>
        <w:ind w:left="5200" w:hanging="140"/>
      </w:pPr>
      <w:rPr>
        <w:rFonts w:hint="default"/>
        <w:lang w:val="es-ES" w:eastAsia="en-US" w:bidi="ar-SA"/>
      </w:rPr>
    </w:lvl>
    <w:lvl w:ilvl="6" w:tplc="BD108DC2">
      <w:numFmt w:val="bullet"/>
      <w:lvlText w:val="•"/>
      <w:lvlJc w:val="left"/>
      <w:pPr>
        <w:ind w:left="6068" w:hanging="140"/>
      </w:pPr>
      <w:rPr>
        <w:rFonts w:hint="default"/>
        <w:lang w:val="es-ES" w:eastAsia="en-US" w:bidi="ar-SA"/>
      </w:rPr>
    </w:lvl>
    <w:lvl w:ilvl="7" w:tplc="D7E4FEC6">
      <w:numFmt w:val="bullet"/>
      <w:lvlText w:val="•"/>
      <w:lvlJc w:val="left"/>
      <w:pPr>
        <w:ind w:left="6936" w:hanging="140"/>
      </w:pPr>
      <w:rPr>
        <w:rFonts w:hint="default"/>
        <w:lang w:val="es-ES" w:eastAsia="en-US" w:bidi="ar-SA"/>
      </w:rPr>
    </w:lvl>
    <w:lvl w:ilvl="8" w:tplc="AE220142">
      <w:numFmt w:val="bullet"/>
      <w:lvlText w:val="•"/>
      <w:lvlJc w:val="left"/>
      <w:pPr>
        <w:ind w:left="7804" w:hanging="140"/>
      </w:pPr>
      <w:rPr>
        <w:rFonts w:hint="default"/>
        <w:lang w:val="es-ES" w:eastAsia="en-US" w:bidi="ar-SA"/>
      </w:rPr>
    </w:lvl>
  </w:abstractNum>
  <w:abstractNum w:abstractNumId="3" w15:restartNumberingAfterBreak="0">
    <w:nsid w:val="3EC70665"/>
    <w:multiLevelType w:val="multilevel"/>
    <w:tmpl w:val="49D00AD4"/>
    <w:lvl w:ilvl="0">
      <w:start w:val="1"/>
      <w:numFmt w:val="decimal"/>
      <w:lvlText w:val="%1."/>
      <w:lvlJc w:val="left"/>
      <w:pPr>
        <w:ind w:left="660" w:hanging="360"/>
        <w:jc w:val="left"/>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300" w:hanging="708"/>
        <w:jc w:val="left"/>
      </w:pPr>
      <w:rPr>
        <w:rFonts w:hint="default" w:ascii="Arial" w:hAnsi="Arial" w:eastAsia="Arial" w:cs="Arial"/>
        <w:b/>
        <w:bCs/>
        <w:color w:val="auto"/>
        <w:spacing w:val="-26"/>
        <w:w w:val="100"/>
        <w:sz w:val="22"/>
        <w:szCs w:val="22"/>
        <w:lang w:val="es-ES" w:eastAsia="en-US" w:bidi="ar-SA"/>
      </w:rPr>
    </w:lvl>
    <w:lvl w:ilvl="2">
      <w:start w:val="1"/>
      <w:numFmt w:val="decimal"/>
      <w:lvlText w:val="%1.%2.%3"/>
      <w:lvlJc w:val="left"/>
      <w:pPr>
        <w:ind w:left="1020" w:hanging="720"/>
        <w:jc w:val="left"/>
      </w:pPr>
      <w:rPr>
        <w:rFonts w:hint="default" w:ascii="Arial" w:hAnsi="Arial" w:eastAsia="Arial" w:cs="Arial"/>
        <w:b/>
        <w:bCs/>
        <w:color w:val="auto"/>
        <w:spacing w:val="-2"/>
        <w:w w:val="100"/>
        <w:sz w:val="22"/>
        <w:szCs w:val="22"/>
        <w:lang w:val="es-ES" w:eastAsia="en-US" w:bidi="ar-SA"/>
      </w:rPr>
    </w:lvl>
    <w:lvl w:ilvl="3">
      <w:numFmt w:val="bullet"/>
      <w:lvlText w:val="•"/>
      <w:lvlJc w:val="left"/>
      <w:pPr>
        <w:ind w:left="2085" w:hanging="720"/>
      </w:pPr>
      <w:rPr>
        <w:rFonts w:hint="default"/>
        <w:lang w:val="es-ES" w:eastAsia="en-US" w:bidi="ar-SA"/>
      </w:rPr>
    </w:lvl>
    <w:lvl w:ilvl="4">
      <w:numFmt w:val="bullet"/>
      <w:lvlText w:val="•"/>
      <w:lvlJc w:val="left"/>
      <w:pPr>
        <w:ind w:left="3150" w:hanging="720"/>
      </w:pPr>
      <w:rPr>
        <w:rFonts w:hint="default"/>
        <w:lang w:val="es-ES" w:eastAsia="en-US" w:bidi="ar-SA"/>
      </w:rPr>
    </w:lvl>
    <w:lvl w:ilvl="5">
      <w:numFmt w:val="bullet"/>
      <w:lvlText w:val="•"/>
      <w:lvlJc w:val="left"/>
      <w:pPr>
        <w:ind w:left="4215" w:hanging="720"/>
      </w:pPr>
      <w:rPr>
        <w:rFonts w:hint="default"/>
        <w:lang w:val="es-ES" w:eastAsia="en-US" w:bidi="ar-SA"/>
      </w:rPr>
    </w:lvl>
    <w:lvl w:ilvl="6">
      <w:numFmt w:val="bullet"/>
      <w:lvlText w:val="•"/>
      <w:lvlJc w:val="left"/>
      <w:pPr>
        <w:ind w:left="5280" w:hanging="720"/>
      </w:pPr>
      <w:rPr>
        <w:rFonts w:hint="default"/>
        <w:lang w:val="es-ES" w:eastAsia="en-US" w:bidi="ar-SA"/>
      </w:rPr>
    </w:lvl>
    <w:lvl w:ilvl="7">
      <w:numFmt w:val="bullet"/>
      <w:lvlText w:val="•"/>
      <w:lvlJc w:val="left"/>
      <w:pPr>
        <w:ind w:left="6345" w:hanging="720"/>
      </w:pPr>
      <w:rPr>
        <w:rFonts w:hint="default"/>
        <w:lang w:val="es-ES" w:eastAsia="en-US" w:bidi="ar-SA"/>
      </w:rPr>
    </w:lvl>
    <w:lvl w:ilvl="8">
      <w:numFmt w:val="bullet"/>
      <w:lvlText w:val="•"/>
      <w:lvlJc w:val="left"/>
      <w:pPr>
        <w:ind w:left="7410" w:hanging="720"/>
      </w:pPr>
      <w:rPr>
        <w:rFonts w:hint="default"/>
        <w:lang w:val="es-ES" w:eastAsia="en-US" w:bidi="ar-SA"/>
      </w:rPr>
    </w:lvl>
  </w:abstractNum>
  <w:abstractNum w:abstractNumId="4" w15:restartNumberingAfterBreak="0">
    <w:nsid w:val="52664D24"/>
    <w:multiLevelType w:val="multilevel"/>
    <w:tmpl w:val="F524F3A8"/>
    <w:lvl w:ilvl="0">
      <w:start w:val="2"/>
      <w:numFmt w:val="decimal"/>
      <w:lvlText w:val="%1"/>
      <w:lvlJc w:val="left"/>
      <w:pPr>
        <w:ind w:left="848" w:hanging="548"/>
        <w:jc w:val="left"/>
      </w:pPr>
      <w:rPr>
        <w:rFonts w:hint="default"/>
        <w:lang w:val="es-ES" w:eastAsia="en-US" w:bidi="ar-SA"/>
      </w:rPr>
    </w:lvl>
    <w:lvl w:ilvl="1">
      <w:start w:val="2"/>
      <w:numFmt w:val="decimal"/>
      <w:lvlText w:val="%1.%2"/>
      <w:lvlJc w:val="left"/>
      <w:pPr>
        <w:ind w:left="848" w:hanging="548"/>
        <w:jc w:val="left"/>
      </w:pPr>
      <w:rPr>
        <w:rFonts w:hint="default"/>
        <w:lang w:val="es-ES" w:eastAsia="en-US" w:bidi="ar-SA"/>
      </w:rPr>
    </w:lvl>
    <w:lvl w:ilvl="2">
      <w:start w:val="2"/>
      <w:numFmt w:val="decimal"/>
      <w:lvlText w:val="%1.%2.%3"/>
      <w:lvlJc w:val="left"/>
      <w:pPr>
        <w:ind w:left="848" w:hanging="548"/>
        <w:jc w:val="left"/>
      </w:pPr>
      <w:rPr>
        <w:rFonts w:hint="default" w:ascii="Arial" w:hAnsi="Arial" w:eastAsia="Arial" w:cs="Arial"/>
        <w:b/>
        <w:bCs/>
        <w:color w:val="auto"/>
        <w:spacing w:val="-1"/>
        <w:w w:val="100"/>
        <w:sz w:val="22"/>
        <w:szCs w:val="22"/>
        <w:lang w:val="es-ES" w:eastAsia="en-US" w:bidi="ar-SA"/>
      </w:rPr>
    </w:lvl>
    <w:lvl w:ilvl="3">
      <w:numFmt w:val="bullet"/>
      <w:lvlText w:val="•"/>
      <w:lvlJc w:val="left"/>
      <w:pPr>
        <w:ind w:left="3450" w:hanging="548"/>
      </w:pPr>
      <w:rPr>
        <w:rFonts w:hint="default"/>
        <w:lang w:val="es-ES" w:eastAsia="en-US" w:bidi="ar-SA"/>
      </w:rPr>
    </w:lvl>
    <w:lvl w:ilvl="4">
      <w:numFmt w:val="bullet"/>
      <w:lvlText w:val="•"/>
      <w:lvlJc w:val="left"/>
      <w:pPr>
        <w:ind w:left="4320" w:hanging="548"/>
      </w:pPr>
      <w:rPr>
        <w:rFonts w:hint="default"/>
        <w:lang w:val="es-ES" w:eastAsia="en-US" w:bidi="ar-SA"/>
      </w:rPr>
    </w:lvl>
    <w:lvl w:ilvl="5">
      <w:numFmt w:val="bullet"/>
      <w:lvlText w:val="•"/>
      <w:lvlJc w:val="left"/>
      <w:pPr>
        <w:ind w:left="5190" w:hanging="548"/>
      </w:pPr>
      <w:rPr>
        <w:rFonts w:hint="default"/>
        <w:lang w:val="es-ES" w:eastAsia="en-US" w:bidi="ar-SA"/>
      </w:rPr>
    </w:lvl>
    <w:lvl w:ilvl="6">
      <w:numFmt w:val="bullet"/>
      <w:lvlText w:val="•"/>
      <w:lvlJc w:val="left"/>
      <w:pPr>
        <w:ind w:left="6060" w:hanging="548"/>
      </w:pPr>
      <w:rPr>
        <w:rFonts w:hint="default"/>
        <w:lang w:val="es-ES" w:eastAsia="en-US" w:bidi="ar-SA"/>
      </w:rPr>
    </w:lvl>
    <w:lvl w:ilvl="7">
      <w:numFmt w:val="bullet"/>
      <w:lvlText w:val="•"/>
      <w:lvlJc w:val="left"/>
      <w:pPr>
        <w:ind w:left="6930" w:hanging="548"/>
      </w:pPr>
      <w:rPr>
        <w:rFonts w:hint="default"/>
        <w:lang w:val="es-ES" w:eastAsia="en-US" w:bidi="ar-SA"/>
      </w:rPr>
    </w:lvl>
    <w:lvl w:ilvl="8">
      <w:numFmt w:val="bullet"/>
      <w:lvlText w:val="•"/>
      <w:lvlJc w:val="left"/>
      <w:pPr>
        <w:ind w:left="7800" w:hanging="548"/>
      </w:pPr>
      <w:rPr>
        <w:rFonts w:hint="default"/>
        <w:lang w:val="es-ES" w:eastAsia="en-US" w:bidi="ar-S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B39"/>
    <w:rsid w:val="000D1B1D"/>
    <w:rsid w:val="000F6BB9"/>
    <w:rsid w:val="0015044A"/>
    <w:rsid w:val="0016139B"/>
    <w:rsid w:val="002B3402"/>
    <w:rsid w:val="00314335"/>
    <w:rsid w:val="00334B75"/>
    <w:rsid w:val="00500330"/>
    <w:rsid w:val="006D7B39"/>
    <w:rsid w:val="008E35F0"/>
    <w:rsid w:val="009026AE"/>
    <w:rsid w:val="009920FB"/>
    <w:rsid w:val="00A3099D"/>
    <w:rsid w:val="00A3281A"/>
    <w:rsid w:val="00A41960"/>
    <w:rsid w:val="00AD13FF"/>
    <w:rsid w:val="00AE0D25"/>
    <w:rsid w:val="00BA7D38"/>
    <w:rsid w:val="00C37E66"/>
    <w:rsid w:val="00E7A5F1"/>
    <w:rsid w:val="00EC1F5F"/>
    <w:rsid w:val="00F065F8"/>
    <w:rsid w:val="00F50641"/>
    <w:rsid w:val="1DD26E7D"/>
    <w:rsid w:val="245661F6"/>
    <w:rsid w:val="2BDD8A5F"/>
    <w:rsid w:val="3A170346"/>
    <w:rsid w:val="3B9AC326"/>
    <w:rsid w:val="3C134BE2"/>
    <w:rsid w:val="3F646E81"/>
    <w:rsid w:val="4A8732A6"/>
    <w:rsid w:val="569033FF"/>
    <w:rsid w:val="570AC6F1"/>
    <w:rsid w:val="5F24AA29"/>
    <w:rsid w:val="7A06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C861"/>
  <w15:docId w15:val="{2F5B6769-0E19-448B-AFBC-9A80FA02D8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300"/>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jc w:val="both"/>
    </w:pPr>
  </w:style>
  <w:style w:type="paragraph" w:styleId="TableParagraph" w:customStyle="1">
    <w:name w:val="Table Paragraph"/>
    <w:basedOn w:val="Normal"/>
    <w:uiPriority w:val="1"/>
    <w:qFormat/>
    <w:pPr>
      <w:spacing w:line="229" w:lineRule="exact"/>
      <w:ind w:left="200"/>
    </w:pPr>
  </w:style>
  <w:style w:type="paragraph" w:styleId="Encabezado">
    <w:name w:val="header"/>
    <w:basedOn w:val="Normal"/>
    <w:link w:val="EncabezadoCar"/>
    <w:uiPriority w:val="99"/>
    <w:unhideWhenUsed/>
    <w:rsid w:val="00500330"/>
    <w:pPr>
      <w:tabs>
        <w:tab w:val="center" w:pos="4419"/>
        <w:tab w:val="right" w:pos="8838"/>
      </w:tabs>
    </w:pPr>
  </w:style>
  <w:style w:type="character" w:styleId="EncabezadoCar" w:customStyle="1">
    <w:name w:val="Encabezado Car"/>
    <w:basedOn w:val="Fuentedeprrafopredeter"/>
    <w:link w:val="Encabezado"/>
    <w:uiPriority w:val="99"/>
    <w:rsid w:val="00500330"/>
    <w:rPr>
      <w:rFonts w:ascii="Arial" w:hAnsi="Arial" w:eastAsia="Arial" w:cs="Arial"/>
      <w:lang w:val="es-ES"/>
    </w:rPr>
  </w:style>
  <w:style w:type="paragraph" w:styleId="Piedepgina">
    <w:name w:val="footer"/>
    <w:basedOn w:val="Normal"/>
    <w:link w:val="PiedepginaCar"/>
    <w:uiPriority w:val="99"/>
    <w:unhideWhenUsed/>
    <w:rsid w:val="00500330"/>
    <w:pPr>
      <w:tabs>
        <w:tab w:val="center" w:pos="4419"/>
        <w:tab w:val="right" w:pos="8838"/>
      </w:tabs>
    </w:pPr>
  </w:style>
  <w:style w:type="character" w:styleId="PiedepginaCar" w:customStyle="1">
    <w:name w:val="Pie de página Car"/>
    <w:basedOn w:val="Fuentedeprrafopredeter"/>
    <w:link w:val="Piedepgina"/>
    <w:uiPriority w:val="99"/>
    <w:rsid w:val="00500330"/>
    <w:rPr>
      <w:rFonts w:ascii="Arial" w:hAnsi="Arial" w:eastAsia="Arial" w:cs="Arial"/>
      <w:lang w:val="es-ES"/>
    </w:rPr>
  </w:style>
  <w:style w:type="paragraph" w:styleId="Textonotapie">
    <w:name w:val="footnote text"/>
    <w:basedOn w:val="Normal"/>
    <w:link w:val="TextonotapieCar"/>
    <w:uiPriority w:val="99"/>
    <w:semiHidden/>
    <w:unhideWhenUsed/>
    <w:rsid w:val="00500330"/>
    <w:rPr>
      <w:sz w:val="20"/>
      <w:szCs w:val="20"/>
    </w:rPr>
  </w:style>
  <w:style w:type="character" w:styleId="TextonotapieCar" w:customStyle="1">
    <w:name w:val="Texto nota pie Car"/>
    <w:basedOn w:val="Fuentedeprrafopredeter"/>
    <w:link w:val="Textonotapie"/>
    <w:uiPriority w:val="99"/>
    <w:semiHidden/>
    <w:rsid w:val="00500330"/>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500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24ffdbd11599424f"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alcaldiabogota.gov.co/sisjur/normas/Norma1.jsp?i=25678&amp;5.p.1" TargetMode="External"/><Relationship Id="rId2" Type="http://schemas.openxmlformats.org/officeDocument/2006/relationships/hyperlink" Target="http://www.secretariasenado.gov.co/senado/basedoc/ley_1150_2007.html" TargetMode="External"/><Relationship Id="rId1" Type="http://schemas.openxmlformats.org/officeDocument/2006/relationships/hyperlink" Target="http://www.lexbase.biz/lexbase/normas/leyes/2007/L1150de2007.htm" TargetMode="External"/><Relationship Id="rId6" Type="http://schemas.openxmlformats.org/officeDocument/2006/relationships/hyperlink" Target="https://www.alcaldiabogota.gov.co/sisjur/normas/Norma1.jsp?i=25678&amp;5.p.5" TargetMode="External"/><Relationship Id="rId5" Type="http://schemas.openxmlformats.org/officeDocument/2006/relationships/hyperlink" Target="https://www.alcaldiabogota.gov.co/sisjur/normas/Norma1.jsp?i=25678&amp;5.p.4" TargetMode="External"/><Relationship Id="rId4" Type="http://schemas.openxmlformats.org/officeDocument/2006/relationships/hyperlink" Target="https://www.alcaldiabogota.gov.co/sisjur/normas/Norma1.jsp?i=25678&amp;5.p.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0F0FD-6E90-40C6-978B-784088EF2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C6483-1F63-47B5-A5E7-123D81A3103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8B96064C-2FE1-4107-877D-5487BC2F86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19</revision>
  <dcterms:created xsi:type="dcterms:W3CDTF">2020-03-20T17:01:00.0000000Z</dcterms:created>
  <dcterms:modified xsi:type="dcterms:W3CDTF">2020-07-14T13:30:45.4888944Z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Microsoft Word</vt:lpwstr>
  </property>
  <property fmtid="{D5CDD505-2E9C-101B-9397-08002B2CF9AE}" pid="4" name="LastSaved">
    <vt:filetime>2020-03-20T00:00:00Z</vt:filetime>
  </property>
  <property fmtid="{D5CDD505-2E9C-101B-9397-08002B2CF9AE}" pid="5" name="ContentTypeId">
    <vt:lpwstr>0x010100F2E0F32964D9B84EA054B84E5D4157A0</vt:lpwstr>
  </property>
</Properties>
</file>