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766DD7" w:rsidR="0056706F" w:rsidP="007B485C" w:rsidRDefault="0056706F" w14:paraId="704F49E3" w14:textId="77777777">
      <w:pPr>
        <w:pStyle w:val="Textoindependiente"/>
        <w:spacing w:after="0"/>
        <w:jc w:val="both"/>
        <w:rPr>
          <w:rFonts w:ascii="Arial" w:hAnsi="Arial" w:cs="Arial"/>
          <w:sz w:val="20"/>
        </w:rPr>
      </w:pPr>
    </w:p>
    <w:p w:rsidRPr="00766DD7" w:rsidR="007B485C" w:rsidP="007B485C" w:rsidRDefault="00706DC5" w14:paraId="041C76CE" w14:textId="69879731">
      <w:pPr>
        <w:pStyle w:val="Textoindependiente"/>
        <w:spacing w:before="240" w:line="240" w:lineRule="auto"/>
        <w:ind w:left="220" w:right="104"/>
        <w:jc w:val="both"/>
        <w:rPr>
          <w:rFonts w:ascii="Arial" w:hAnsi="Arial" w:cs="Arial"/>
          <w:b/>
          <w:lang w:val="es-CO"/>
        </w:rPr>
      </w:pPr>
      <w:r w:rsidRPr="00766DD7">
        <w:rPr>
          <w:rFonts w:ascii="Arial" w:hAnsi="Arial" w:cs="Arial"/>
          <w:b/>
          <w:lang w:val="es-CO"/>
        </w:rPr>
        <w:t xml:space="preserve">CONVENIOS DE CIENCIA, TECNOLOGÍA E INNOVACIÓN – Régimen jurídico </w:t>
      </w:r>
    </w:p>
    <w:p w:rsidRPr="00766DD7" w:rsidR="007B485C" w:rsidP="007B485C" w:rsidRDefault="00706DC5" w14:paraId="6FF70F30" w14:textId="5D12A44A">
      <w:pPr>
        <w:pStyle w:val="Textoindependiente"/>
        <w:spacing w:before="240" w:line="240" w:lineRule="auto"/>
        <w:ind w:left="220" w:right="104"/>
        <w:jc w:val="both"/>
        <w:rPr>
          <w:rFonts w:ascii="Arial" w:hAnsi="Arial" w:cs="Arial"/>
          <w:sz w:val="20"/>
          <w:szCs w:val="20"/>
          <w:lang w:val="es-CO"/>
        </w:rPr>
      </w:pPr>
      <w:r w:rsidRPr="00766DD7">
        <w:rPr>
          <w:rFonts w:ascii="Arial" w:hAnsi="Arial" w:cs="Arial"/>
          <w:sz w:val="20"/>
          <w:szCs w:val="20"/>
          <w:lang w:val="es-CO"/>
        </w:rPr>
        <w:t>El régimen de los negocios jurídicos de ciencia, tecnología e innovación tiene arraigo, principalmente, en las siguientes normas: i) la Ley 29 de 1990 para el fomento de la investigación científica y el desarrollo tecnológico y la Ley 1286 de 2009 que modificó algunos asuntos; ii) el Decreto Ley 393 de 1991 sobre asociación para actividades científicas, tecnológicas, proyectos de investigación y creación de tecnologías; iii) el Decreto Ley 591 de 1991 que regula las modalidades específicas de contratos de fomento de actividades científicas y tecnológicas</w:t>
      </w:r>
      <w:r w:rsidRPr="00766DD7" w:rsidR="003D0A40">
        <w:rPr>
          <w:rFonts w:ascii="Arial" w:hAnsi="Arial" w:cs="Arial"/>
          <w:sz w:val="20"/>
          <w:szCs w:val="20"/>
          <w:lang w:val="es-CO"/>
        </w:rPr>
        <w:t>.</w:t>
      </w:r>
    </w:p>
    <w:p w:rsidRPr="00766DD7" w:rsidR="007B485C" w:rsidP="007B485C" w:rsidRDefault="00F3461D" w14:paraId="6F310BF2" w14:textId="2F358F10">
      <w:pPr>
        <w:pStyle w:val="Textoindependiente"/>
        <w:spacing w:before="240" w:line="240" w:lineRule="auto"/>
        <w:ind w:left="220" w:right="104"/>
        <w:jc w:val="both"/>
        <w:rPr>
          <w:rFonts w:ascii="Arial" w:hAnsi="Arial" w:cs="Arial"/>
          <w:sz w:val="21"/>
          <w:szCs w:val="21"/>
          <w:lang w:val="es-CO"/>
        </w:rPr>
      </w:pPr>
      <w:r w:rsidRPr="00766DD7">
        <w:rPr>
          <w:rFonts w:ascii="Arial" w:hAnsi="Arial" w:cs="Arial"/>
          <w:sz w:val="20"/>
          <w:szCs w:val="20"/>
          <w:lang w:val="es-CO"/>
        </w:rPr>
        <w:t>Teniendo en cuenta la previsión del artículo 33 de la Ley 1286</w:t>
      </w:r>
      <w:r w:rsidRPr="00766DD7" w:rsidR="001A7D16">
        <w:rPr>
          <w:rFonts w:ascii="Arial" w:hAnsi="Arial" w:cs="Arial"/>
          <w:sz w:val="20"/>
          <w:szCs w:val="20"/>
          <w:lang w:val="es-CO"/>
        </w:rPr>
        <w:t xml:space="preserve"> de 2009, la jurisprudencia </w:t>
      </w:r>
      <w:r w:rsidRPr="00766DD7">
        <w:rPr>
          <w:rFonts w:ascii="Arial" w:hAnsi="Arial" w:cs="Arial"/>
          <w:sz w:val="20"/>
          <w:szCs w:val="20"/>
          <w:lang w:val="es-CO"/>
        </w:rPr>
        <w:t>considera que el régimen de los contratos y convenios de ciencia y tecnología se compone de normas de las Leyes 80 de 1993 y 1150 de 2007, y sus normas reglamentarias, en combinación con las normas especiales de los Decretos Leyes 393 y 591 de 1991, y en lo no previsto en tales normas por el derecho privado.</w:t>
      </w:r>
    </w:p>
    <w:p w:rsidRPr="00766DD7" w:rsidR="007B485C" w:rsidP="007B485C" w:rsidRDefault="003D0A40" w14:paraId="019EBF72" w14:textId="5A828CF9">
      <w:pPr>
        <w:pStyle w:val="Textoindependiente"/>
        <w:spacing w:before="240" w:line="240" w:lineRule="auto"/>
        <w:ind w:left="220" w:right="104"/>
        <w:jc w:val="both"/>
        <w:rPr>
          <w:rFonts w:ascii="Arial" w:hAnsi="Arial" w:cs="Arial"/>
          <w:b/>
          <w:lang w:val="es-CO"/>
        </w:rPr>
      </w:pPr>
      <w:r w:rsidRPr="00766DD7">
        <w:rPr>
          <w:rFonts w:ascii="Arial" w:hAnsi="Arial" w:cs="Arial"/>
          <w:b/>
          <w:lang w:val="es-CO"/>
        </w:rPr>
        <w:t xml:space="preserve">CONVENIOS DE CIENCIA, TECNOLOGÍA E INNOVACIÓN – Características </w:t>
      </w:r>
    </w:p>
    <w:p w:rsidRPr="00766DD7" w:rsidR="00F3461D" w:rsidP="007B485C" w:rsidRDefault="003D0A40" w14:paraId="704F49ED" w14:textId="5D671A60">
      <w:pPr>
        <w:pStyle w:val="Textoindependiente"/>
        <w:spacing w:before="240" w:line="240" w:lineRule="auto"/>
        <w:ind w:left="220" w:right="104"/>
        <w:jc w:val="both"/>
        <w:rPr>
          <w:rFonts w:ascii="Arial" w:hAnsi="Arial" w:cs="Arial"/>
          <w:sz w:val="21"/>
          <w:szCs w:val="21"/>
          <w:lang w:val="es-CO"/>
        </w:rPr>
      </w:pPr>
      <w:r w:rsidRPr="00766DD7">
        <w:rPr>
          <w:rFonts w:ascii="Arial" w:hAnsi="Arial" w:cs="Arial"/>
          <w:sz w:val="20"/>
          <w:szCs w:val="20"/>
          <w:lang w:val="es-CO"/>
        </w:rPr>
        <w:t>En consecuencia, los contratos estatales de ciencia, tecnología e innovación, según las normas que los regulan, presentan las siguientes características: i) su objeto debe versar sobre actividades enmarcadas en las dispuestas por el artículo 2 del Decreto Ley 591 de1991; ii) los contratos de financiamiento -artículo 8 del Decreto Ley 591 de 1991- de actividades científicas, tecnológicas y de innovación pueden celebrarse directamente e implican la entrega o suministro de recursos o dinero a una persona para que desarrolle cierta actividad, empresa o proyecto.</w:t>
      </w:r>
    </w:p>
    <w:p w:rsidR="007B485C" w:rsidP="007B485C" w:rsidRDefault="00F3461D" w14:paraId="76C6D425" w14:textId="77777777">
      <w:pPr>
        <w:pStyle w:val="Textoindependiente"/>
        <w:spacing w:before="240" w:line="240" w:lineRule="auto"/>
        <w:ind w:left="220" w:right="104"/>
        <w:jc w:val="both"/>
        <w:rPr>
          <w:rFonts w:ascii="Arial" w:hAnsi="Arial" w:cs="Arial"/>
          <w:b/>
          <w:lang w:val="es-CO"/>
        </w:rPr>
      </w:pPr>
      <w:r w:rsidRPr="00766DD7">
        <w:rPr>
          <w:rFonts w:ascii="Arial" w:hAnsi="Arial" w:cs="Arial"/>
          <w:b/>
          <w:lang w:val="es-CO"/>
        </w:rPr>
        <w:t xml:space="preserve">CONVENIO DE CIENCIA, TECNOLOGÍA E INNOVACIÓN – No liquidable </w:t>
      </w:r>
    </w:p>
    <w:p w:rsidR="007B485C" w:rsidP="25792B70" w:rsidRDefault="00F3461D" w14:paraId="24C37E02" w14:textId="2AF5C64D">
      <w:pPr>
        <w:pStyle w:val="Textoindependiente"/>
        <w:spacing w:before="240" w:line="240" w:lineRule="auto"/>
        <w:ind w:left="220" w:right="104"/>
        <w:jc w:val="both"/>
        <w:rPr>
          <w:rFonts w:ascii="Arial" w:hAnsi="Arial" w:cs="Arial"/>
          <w:sz w:val="21"/>
          <w:szCs w:val="21"/>
          <w:lang w:val="es-CO"/>
        </w:rPr>
      </w:pPr>
      <w:r w:rsidRPr="25792B70" w:rsidR="00F3461D">
        <w:rPr>
          <w:rFonts w:ascii="Arial" w:hAnsi="Arial" w:cs="Arial"/>
          <w:sz w:val="20"/>
          <w:szCs w:val="20"/>
          <w:lang w:val="es-CO"/>
        </w:rPr>
        <w:t>Un convenio especial de cooperación para el fomento de actividades de ciencia, tecnología e innovación, celebrado en el marco de los artículos 6, 7 y 8 del Decreto Ley 393 de 1991 y del artículo 17 del Decreto Ley 591 de 1991, no está sujeto a la obligación de ser liquidado en los términos dispuestos por el artículo 60 de la Ley 80 de 1993, modificado por el artículo 217 del Decreto Ley 019 de 2017 y el artículo 11 de la Ley 1150 de 2017, porque éstas normas hacen parte del Estatuto General de Contratación que no le aplica a los convenios regidos por el derecho privado</w:t>
      </w:r>
      <w:r w:rsidRPr="25792B70" w:rsidR="391C2BCD">
        <w:rPr>
          <w:rFonts w:ascii="Arial" w:hAnsi="Arial" w:cs="Arial"/>
          <w:sz w:val="20"/>
          <w:szCs w:val="20"/>
          <w:lang w:val="es-CO"/>
        </w:rPr>
        <w:t xml:space="preserve">. </w:t>
      </w:r>
    </w:p>
    <w:p w:rsidR="007B485C" w:rsidP="007B485C" w:rsidRDefault="00F3461D" w14:paraId="59BCB768" w14:textId="285F39D4">
      <w:pPr>
        <w:pStyle w:val="Textoindependiente"/>
        <w:spacing w:before="240" w:line="240" w:lineRule="auto"/>
        <w:ind w:left="220" w:right="104"/>
        <w:jc w:val="both"/>
        <w:rPr>
          <w:rFonts w:ascii="Arial" w:hAnsi="Arial" w:cs="Arial"/>
          <w:sz w:val="21"/>
          <w:szCs w:val="21"/>
          <w:lang w:val="es-CO"/>
        </w:rPr>
      </w:pPr>
      <w:r w:rsidRPr="25792B70" w:rsidR="00F3461D">
        <w:rPr>
          <w:rFonts w:ascii="Arial" w:hAnsi="Arial" w:cs="Arial"/>
          <w:sz w:val="20"/>
          <w:szCs w:val="20"/>
          <w:lang w:val="es-CO"/>
        </w:rPr>
        <w:t>Lo anterior sin perjuicio de que las partes del convenio puedan estipular la necesidad de la liquidación al terminar el convenio y los plazos para ello, mediante pacto expreso producto de la autonomía de las partes. En todo caso, la liquidación no tendrá lugar después de vencido el plazo de caducidad del medio de control.</w:t>
      </w:r>
    </w:p>
    <w:p w:rsidRPr="00766DD7" w:rsidR="003A2FDB" w:rsidP="001953F5" w:rsidRDefault="003A2FDB" w14:paraId="50F04B17" w14:textId="77777777">
      <w:pPr>
        <w:jc w:val="both"/>
        <w:rPr>
          <w:rFonts w:ascii="Arial" w:hAnsi="Arial" w:cs="Arial"/>
          <w:sz w:val="21"/>
          <w:szCs w:val="21"/>
          <w:lang w:val="es-CO"/>
        </w:rPr>
      </w:pPr>
    </w:p>
    <w:p w:rsidRPr="00766DD7" w:rsidR="00AD75CE" w:rsidP="001953F5" w:rsidRDefault="00AD75CE" w14:paraId="704F49F6" w14:textId="77777777">
      <w:pPr>
        <w:jc w:val="both"/>
        <w:rPr>
          <w:rFonts w:ascii="Arial" w:hAnsi="Arial" w:cs="Arial"/>
          <w:sz w:val="21"/>
          <w:szCs w:val="21"/>
          <w:lang w:val="es-CO"/>
        </w:rPr>
        <w:sectPr w:rsidRPr="00766DD7" w:rsidR="00AD75CE">
          <w:headerReference w:type="default" r:id="rId11"/>
          <w:footerReference w:type="default" r:id="rId12"/>
          <w:type w:val="continuous"/>
          <w:pgSz w:w="12240" w:h="15840" w:orient="portrait"/>
          <w:pgMar w:top="1560" w:right="1500" w:bottom="2060" w:left="1480" w:header="737" w:footer="1880" w:gutter="0"/>
          <w:cols w:space="720"/>
        </w:sectPr>
      </w:pPr>
    </w:p>
    <w:p w:rsidRPr="00766DD7" w:rsidR="0056706F" w:rsidP="001953F5" w:rsidRDefault="004D138A" w14:paraId="704F49F7" w14:textId="77777777">
      <w:pPr>
        <w:spacing w:before="94"/>
        <w:ind w:left="220"/>
        <w:jc w:val="both"/>
        <w:rPr>
          <w:rFonts w:ascii="Arial" w:hAnsi="Arial" w:cs="Arial"/>
          <w:b/>
          <w:sz w:val="20"/>
          <w:lang w:val="es-CO"/>
        </w:rPr>
      </w:pPr>
      <w:r w:rsidRPr="00766DD7">
        <w:rPr>
          <w:rFonts w:ascii="Arial" w:hAnsi="Arial" w:cs="Arial"/>
          <w:sz w:val="20"/>
          <w:lang w:val="es-CO"/>
        </w:rPr>
        <w:lastRenderedPageBreak/>
        <w:t xml:space="preserve">Bogotá D.C., </w:t>
      </w:r>
      <w:r w:rsidRPr="00766DD7">
        <w:rPr>
          <w:rFonts w:ascii="Arial" w:hAnsi="Arial" w:cs="Arial"/>
          <w:b/>
          <w:sz w:val="20"/>
          <w:lang w:val="es-CO"/>
        </w:rPr>
        <w:t>26/12/2019 Hora 14:51:14s</w:t>
      </w:r>
    </w:p>
    <w:p w:rsidRPr="00766DD7" w:rsidR="0056706F" w:rsidP="001953F5" w:rsidRDefault="0056706F" w14:paraId="704F49F8" w14:textId="77777777">
      <w:pPr>
        <w:pStyle w:val="Textoindependiente"/>
        <w:jc w:val="both"/>
        <w:rPr>
          <w:rFonts w:ascii="Arial" w:hAnsi="Arial" w:cs="Arial"/>
          <w:b/>
          <w:lang w:val="es-CO"/>
        </w:rPr>
      </w:pPr>
    </w:p>
    <w:p w:rsidRPr="00766DD7" w:rsidR="0056706F" w:rsidP="001953F5" w:rsidRDefault="0056706F" w14:paraId="704F49F9" w14:textId="77777777">
      <w:pPr>
        <w:pStyle w:val="Textoindependiente"/>
        <w:spacing w:before="1"/>
        <w:jc w:val="both"/>
        <w:rPr>
          <w:rFonts w:ascii="Arial" w:hAnsi="Arial" w:cs="Arial"/>
          <w:b/>
          <w:sz w:val="18"/>
          <w:lang w:val="es-CO"/>
        </w:rPr>
      </w:pPr>
    </w:p>
    <w:p w:rsidRPr="00766DD7" w:rsidR="0056706F" w:rsidP="001953F5" w:rsidRDefault="004D138A" w14:paraId="704F49FA" w14:textId="77777777">
      <w:pPr>
        <w:pStyle w:val="Textoindependiente"/>
        <w:ind w:left="220"/>
        <w:jc w:val="both"/>
        <w:rPr>
          <w:rFonts w:ascii="Arial" w:hAnsi="Arial" w:cs="Arial"/>
          <w:lang w:val="es-CO"/>
        </w:rPr>
      </w:pPr>
      <w:r w:rsidRPr="00766DD7">
        <w:rPr>
          <w:rFonts w:ascii="Arial" w:hAnsi="Arial" w:cs="Arial"/>
          <w:lang w:val="es-CO"/>
        </w:rPr>
        <w:t>Señora</w:t>
      </w:r>
    </w:p>
    <w:p w:rsidRPr="00766DD7" w:rsidR="0056706F" w:rsidP="001953F5" w:rsidRDefault="004D138A" w14:paraId="704F49FB" w14:textId="77777777">
      <w:pPr>
        <w:pStyle w:val="Textoindependiente"/>
        <w:spacing w:before="40"/>
        <w:ind w:left="220"/>
        <w:jc w:val="both"/>
        <w:rPr>
          <w:rFonts w:ascii="Arial" w:hAnsi="Arial" w:cs="Arial"/>
          <w:lang w:val="es-CO"/>
        </w:rPr>
      </w:pPr>
      <w:r w:rsidRPr="00766DD7">
        <w:rPr>
          <w:rFonts w:ascii="Arial" w:hAnsi="Arial" w:cs="Arial"/>
          <w:lang w:val="es-CO"/>
        </w:rPr>
        <w:t xml:space="preserve">Paola Lorena Álvarez </w:t>
      </w:r>
      <w:proofErr w:type="spellStart"/>
      <w:r w:rsidRPr="00766DD7">
        <w:rPr>
          <w:rFonts w:ascii="Arial" w:hAnsi="Arial" w:cs="Arial"/>
          <w:lang w:val="es-CO"/>
        </w:rPr>
        <w:t>Álvarez</w:t>
      </w:r>
      <w:proofErr w:type="spellEnd"/>
    </w:p>
    <w:p w:rsidRPr="00766DD7" w:rsidR="0056706F" w:rsidP="001953F5" w:rsidRDefault="004D138A" w14:paraId="704F49FC" w14:textId="77777777">
      <w:pPr>
        <w:pStyle w:val="Textoindependiente"/>
        <w:spacing w:before="2"/>
        <w:jc w:val="both"/>
        <w:rPr>
          <w:rFonts w:ascii="Arial" w:hAnsi="Arial" w:cs="Arial"/>
          <w:sz w:val="28"/>
          <w:lang w:val="es-CO"/>
        </w:rPr>
      </w:pPr>
      <w:r w:rsidRPr="00766DD7">
        <w:rPr>
          <w:rFonts w:ascii="Arial" w:hAnsi="Arial" w:cs="Arial"/>
          <w:lang w:val="es-CO"/>
        </w:rPr>
        <w:br w:type="column"/>
      </w:r>
    </w:p>
    <w:p w:rsidRPr="00766DD7" w:rsidR="0056706F" w:rsidP="001953F5" w:rsidRDefault="004D138A" w14:paraId="704F49FD" w14:textId="77777777">
      <w:pPr>
        <w:ind w:left="220"/>
        <w:jc w:val="both"/>
        <w:rPr>
          <w:rFonts w:ascii="Arial" w:hAnsi="Arial" w:cs="Arial"/>
          <w:b/>
          <w:sz w:val="20"/>
          <w:lang w:val="es-CO"/>
        </w:rPr>
      </w:pPr>
      <w:r w:rsidRPr="00766DD7">
        <w:rPr>
          <w:rFonts w:ascii="Arial" w:hAnsi="Arial" w:cs="Arial"/>
          <w:b/>
          <w:sz w:val="20"/>
          <w:lang w:val="es-CO"/>
        </w:rPr>
        <w:t>N° Radicado: 2201913000009633</w:t>
      </w:r>
    </w:p>
    <w:p w:rsidRPr="00766DD7" w:rsidR="0056706F" w:rsidP="001953F5" w:rsidRDefault="0056706F" w14:paraId="704F49FE" w14:textId="77777777">
      <w:pPr>
        <w:jc w:val="both"/>
        <w:rPr>
          <w:rFonts w:ascii="Arial" w:hAnsi="Arial" w:cs="Arial"/>
          <w:sz w:val="20"/>
          <w:lang w:val="es-CO"/>
        </w:rPr>
        <w:sectPr w:rsidRPr="00766DD7" w:rsidR="0056706F">
          <w:type w:val="continuous"/>
          <w:pgSz w:w="12240" w:h="15840" w:orient="portrait"/>
          <w:pgMar w:top="1560" w:right="1500" w:bottom="2060" w:left="1480" w:header="720" w:footer="720" w:gutter="0"/>
          <w:cols w:equalWidth="0" w:space="720" w:num="2">
            <w:col w:w="3938" w:space="1913"/>
            <w:col w:w="3409"/>
          </w:cols>
        </w:sectPr>
      </w:pPr>
    </w:p>
    <w:p w:rsidRPr="00766DD7" w:rsidR="0056706F" w:rsidP="001953F5" w:rsidRDefault="0056706F" w14:paraId="704F49FF" w14:textId="487CACC3">
      <w:pPr>
        <w:pStyle w:val="Textoindependiente"/>
        <w:jc w:val="both"/>
        <w:rPr>
          <w:rFonts w:ascii="Arial" w:hAnsi="Arial" w:cs="Arial"/>
          <w:b/>
          <w:sz w:val="20"/>
          <w:lang w:val="es-CO"/>
        </w:rPr>
      </w:pPr>
    </w:p>
    <w:p w:rsidRPr="00766DD7" w:rsidR="0056706F" w:rsidP="001953F5" w:rsidRDefault="0056706F" w14:paraId="704F4A00" w14:textId="77777777">
      <w:pPr>
        <w:pStyle w:val="Textoindependiente"/>
        <w:spacing w:after="0"/>
        <w:jc w:val="both"/>
        <w:rPr>
          <w:rFonts w:ascii="Arial" w:hAnsi="Arial" w:cs="Arial"/>
          <w:b/>
          <w:sz w:val="25"/>
          <w:lang w:val="es-CO"/>
        </w:rPr>
      </w:pPr>
    </w:p>
    <w:p w:rsidRPr="00766DD7" w:rsidR="0056706F" w:rsidP="001953F5" w:rsidRDefault="004D138A" w14:paraId="704F4A01" w14:textId="77777777">
      <w:pPr>
        <w:tabs>
          <w:tab w:val="left" w:pos="3760"/>
        </w:tabs>
        <w:spacing w:after="0"/>
        <w:ind w:left="220"/>
        <w:jc w:val="both"/>
        <w:rPr>
          <w:rFonts w:ascii="Arial" w:hAnsi="Arial" w:cs="Arial"/>
          <w:lang w:val="es-CO"/>
        </w:rPr>
      </w:pPr>
      <w:r w:rsidRPr="00766DD7">
        <w:rPr>
          <w:rFonts w:ascii="Arial" w:hAnsi="Arial" w:cs="Arial"/>
          <w:b/>
          <w:lang w:val="es-CO"/>
        </w:rPr>
        <w:t>Radicación:</w:t>
      </w:r>
      <w:r w:rsidRPr="00766DD7">
        <w:rPr>
          <w:rFonts w:ascii="Arial" w:hAnsi="Arial" w:cs="Arial"/>
          <w:b/>
          <w:lang w:val="es-CO"/>
        </w:rPr>
        <w:tab/>
      </w:r>
      <w:r w:rsidRPr="00766DD7">
        <w:rPr>
          <w:rFonts w:ascii="Arial" w:hAnsi="Arial" w:cs="Arial"/>
          <w:lang w:val="es-CO"/>
        </w:rPr>
        <w:t>Respuesta a la consulta</w:t>
      </w:r>
      <w:r w:rsidRPr="00766DD7">
        <w:rPr>
          <w:rFonts w:ascii="Arial" w:hAnsi="Arial" w:cs="Arial"/>
          <w:spacing w:val="-12"/>
          <w:lang w:val="es-CO"/>
        </w:rPr>
        <w:t xml:space="preserve"> </w:t>
      </w:r>
      <w:r w:rsidRPr="00766DD7">
        <w:rPr>
          <w:rFonts w:ascii="Arial" w:hAnsi="Arial" w:cs="Arial"/>
          <w:lang w:val="es-CO"/>
        </w:rPr>
        <w:t>4201912000007798</w:t>
      </w:r>
    </w:p>
    <w:p w:rsidRPr="00766DD7" w:rsidR="0056706F" w:rsidP="001953F5" w:rsidRDefault="004D138A" w14:paraId="704F4A02" w14:textId="77777777">
      <w:pPr>
        <w:pStyle w:val="Textoindependiente"/>
        <w:tabs>
          <w:tab w:val="left" w:pos="3765"/>
        </w:tabs>
        <w:spacing w:after="0"/>
        <w:ind w:left="220"/>
        <w:jc w:val="both"/>
        <w:rPr>
          <w:rFonts w:ascii="Arial" w:hAnsi="Arial" w:cs="Arial"/>
          <w:lang w:val="es-CO"/>
        </w:rPr>
      </w:pPr>
      <w:r w:rsidRPr="00766DD7">
        <w:rPr>
          <w:rFonts w:ascii="Arial" w:hAnsi="Arial" w:cs="Arial"/>
          <w:b/>
          <w:lang w:val="es-CO"/>
        </w:rPr>
        <w:t>Temas:</w:t>
      </w:r>
      <w:r w:rsidRPr="00766DD7">
        <w:rPr>
          <w:rFonts w:ascii="Arial" w:hAnsi="Arial" w:cs="Arial"/>
          <w:b/>
          <w:lang w:val="es-CO"/>
        </w:rPr>
        <w:tab/>
      </w:r>
      <w:r w:rsidRPr="00766DD7">
        <w:rPr>
          <w:rFonts w:ascii="Arial" w:hAnsi="Arial" w:cs="Arial"/>
          <w:lang w:val="es-CO"/>
        </w:rPr>
        <w:t>Convenio de ciencia tecnología e</w:t>
      </w:r>
      <w:r w:rsidRPr="00766DD7">
        <w:rPr>
          <w:rFonts w:ascii="Arial" w:hAnsi="Arial" w:cs="Arial"/>
          <w:spacing w:val="-29"/>
          <w:lang w:val="es-CO"/>
        </w:rPr>
        <w:t xml:space="preserve"> </w:t>
      </w:r>
      <w:r w:rsidRPr="00766DD7">
        <w:rPr>
          <w:rFonts w:ascii="Arial" w:hAnsi="Arial" w:cs="Arial"/>
          <w:lang w:val="es-CO"/>
        </w:rPr>
        <w:t>innovación</w:t>
      </w:r>
    </w:p>
    <w:p w:rsidRPr="00766DD7" w:rsidR="0056706F" w:rsidP="001953F5" w:rsidRDefault="004D138A" w14:paraId="704F4A03" w14:textId="77777777">
      <w:pPr>
        <w:tabs>
          <w:tab w:val="left" w:pos="3765"/>
        </w:tabs>
        <w:spacing w:after="0"/>
        <w:ind w:left="220"/>
        <w:jc w:val="both"/>
        <w:rPr>
          <w:rFonts w:ascii="Arial" w:hAnsi="Arial" w:cs="Arial"/>
          <w:lang w:val="es-CO"/>
        </w:rPr>
      </w:pPr>
      <w:r w:rsidRPr="00766DD7">
        <w:rPr>
          <w:rFonts w:ascii="Arial" w:hAnsi="Arial" w:cs="Arial"/>
          <w:b/>
          <w:lang w:val="es-CO"/>
        </w:rPr>
        <w:t>Tipo de</w:t>
      </w:r>
      <w:r w:rsidRPr="00766DD7">
        <w:rPr>
          <w:rFonts w:ascii="Arial" w:hAnsi="Arial" w:cs="Arial"/>
          <w:b/>
          <w:spacing w:val="-4"/>
          <w:lang w:val="es-CO"/>
        </w:rPr>
        <w:t xml:space="preserve"> </w:t>
      </w:r>
      <w:r w:rsidRPr="00766DD7">
        <w:rPr>
          <w:rFonts w:ascii="Arial" w:hAnsi="Arial" w:cs="Arial"/>
          <w:b/>
          <w:lang w:val="es-CO"/>
        </w:rPr>
        <w:t>asunto</w:t>
      </w:r>
      <w:r w:rsidRPr="00766DD7">
        <w:rPr>
          <w:rFonts w:ascii="Arial" w:hAnsi="Arial" w:cs="Arial"/>
          <w:b/>
          <w:spacing w:val="-2"/>
          <w:lang w:val="es-CO"/>
        </w:rPr>
        <w:t xml:space="preserve"> </w:t>
      </w:r>
      <w:r w:rsidRPr="00766DD7">
        <w:rPr>
          <w:rFonts w:ascii="Arial" w:hAnsi="Arial" w:cs="Arial"/>
          <w:b/>
          <w:lang w:val="es-CO"/>
        </w:rPr>
        <w:t>consultado:</w:t>
      </w:r>
      <w:r w:rsidRPr="00766DD7">
        <w:rPr>
          <w:rFonts w:ascii="Arial" w:hAnsi="Arial" w:cs="Arial"/>
          <w:b/>
          <w:lang w:val="es-CO"/>
        </w:rPr>
        <w:tab/>
      </w:r>
      <w:r w:rsidRPr="00766DD7">
        <w:rPr>
          <w:rFonts w:ascii="Arial" w:hAnsi="Arial" w:cs="Arial"/>
          <w:lang w:val="es-CO"/>
        </w:rPr>
        <w:t>Liquidación de los</w:t>
      </w:r>
      <w:r w:rsidRPr="00766DD7">
        <w:rPr>
          <w:rFonts w:ascii="Arial" w:hAnsi="Arial" w:cs="Arial"/>
          <w:spacing w:val="-4"/>
          <w:lang w:val="es-CO"/>
        </w:rPr>
        <w:t xml:space="preserve"> </w:t>
      </w:r>
      <w:r w:rsidRPr="00766DD7">
        <w:rPr>
          <w:rFonts w:ascii="Arial" w:hAnsi="Arial" w:cs="Arial"/>
          <w:lang w:val="es-CO"/>
        </w:rPr>
        <w:t>convenios</w:t>
      </w:r>
    </w:p>
    <w:p w:rsidRPr="00766DD7" w:rsidR="0056706F" w:rsidP="001953F5" w:rsidRDefault="0056706F" w14:paraId="704F4A05" w14:textId="77777777">
      <w:pPr>
        <w:pStyle w:val="Textoindependiente"/>
        <w:spacing w:before="9"/>
        <w:jc w:val="both"/>
        <w:rPr>
          <w:rFonts w:ascii="Arial" w:hAnsi="Arial" w:cs="Arial"/>
          <w:sz w:val="29"/>
          <w:lang w:val="es-CO"/>
        </w:rPr>
      </w:pPr>
    </w:p>
    <w:p w:rsidRPr="007B485C" w:rsidR="0056706F" w:rsidP="001953F5" w:rsidRDefault="004D138A" w14:paraId="704F4A06" w14:textId="77777777">
      <w:pPr>
        <w:pStyle w:val="Textoindependiente"/>
        <w:spacing w:before="1"/>
        <w:ind w:left="220"/>
        <w:jc w:val="both"/>
        <w:rPr>
          <w:rFonts w:ascii="Arial" w:hAnsi="Arial" w:cs="Arial"/>
          <w:lang w:val="es-MX"/>
        </w:rPr>
      </w:pPr>
      <w:r w:rsidRPr="007B485C">
        <w:rPr>
          <w:rFonts w:ascii="Arial" w:hAnsi="Arial" w:cs="Arial"/>
          <w:lang w:val="es-MX"/>
        </w:rPr>
        <w:t>Cordial saludo,</w:t>
      </w:r>
    </w:p>
    <w:p w:rsidRPr="007B485C" w:rsidR="00F554AB" w:rsidP="001953F5" w:rsidRDefault="00F554AB" w14:paraId="704F4A07" w14:textId="77777777">
      <w:pPr>
        <w:pStyle w:val="Textoindependiente"/>
        <w:spacing w:before="1"/>
        <w:ind w:left="220"/>
        <w:jc w:val="both"/>
        <w:rPr>
          <w:rFonts w:ascii="Arial" w:hAnsi="Arial" w:cs="Arial"/>
          <w:lang w:val="es-MX"/>
        </w:rPr>
      </w:pPr>
    </w:p>
    <w:p w:rsidRPr="00766DD7" w:rsidR="0056706F" w:rsidP="001953F5" w:rsidRDefault="004D138A" w14:paraId="704F4A08" w14:textId="77777777">
      <w:pPr>
        <w:pStyle w:val="Textoindependiente"/>
        <w:spacing w:line="276" w:lineRule="auto"/>
        <w:ind w:left="220" w:right="104"/>
        <w:jc w:val="both"/>
        <w:rPr>
          <w:rFonts w:ascii="Arial" w:hAnsi="Arial" w:cs="Arial"/>
          <w:lang w:val="es-CO"/>
        </w:rPr>
      </w:pPr>
      <w:r w:rsidRPr="00766DD7">
        <w:rPr>
          <w:rFonts w:ascii="Arial" w:hAnsi="Arial" w:cs="Arial"/>
          <w:lang w:val="es-CO"/>
        </w:rPr>
        <w:t>El 19 de noviembre de 2019 la Agencia Nacional de Contratación Pública – Colombia Compra Eficiente recibió la presente consulta. Se responde en ejercicio de la competencia otorgada por el numeral 5 del artículo 3 y el numeral 8 del artículo 11 del Decreto 4170 de 2011, en los siguientes términos:</w:t>
      </w:r>
    </w:p>
    <w:p w:rsidRPr="00766DD7" w:rsidR="0056706F" w:rsidP="001953F5" w:rsidRDefault="004D138A" w14:paraId="704F4A09" w14:textId="77777777">
      <w:pPr>
        <w:pStyle w:val="Ttulo1"/>
        <w:numPr>
          <w:ilvl w:val="0"/>
          <w:numId w:val="5"/>
        </w:numPr>
        <w:tabs>
          <w:tab w:val="left" w:pos="581"/>
        </w:tabs>
        <w:ind w:hanging="361"/>
        <w:jc w:val="both"/>
        <w:rPr>
          <w:rFonts w:ascii="Arial" w:hAnsi="Arial" w:cs="Arial"/>
          <w:b/>
          <w:color w:val="auto"/>
          <w:sz w:val="22"/>
          <w:szCs w:val="22"/>
        </w:rPr>
      </w:pPr>
      <w:proofErr w:type="spellStart"/>
      <w:r w:rsidRPr="00766DD7">
        <w:rPr>
          <w:rFonts w:ascii="Arial" w:hAnsi="Arial" w:cs="Arial"/>
          <w:b/>
          <w:color w:val="auto"/>
          <w:sz w:val="22"/>
          <w:szCs w:val="22"/>
        </w:rPr>
        <w:t>Problemas</w:t>
      </w:r>
      <w:proofErr w:type="spellEnd"/>
      <w:r w:rsidRPr="00766DD7">
        <w:rPr>
          <w:rFonts w:ascii="Arial" w:hAnsi="Arial" w:cs="Arial"/>
          <w:b/>
          <w:color w:val="auto"/>
          <w:spacing w:val="-2"/>
          <w:sz w:val="22"/>
          <w:szCs w:val="22"/>
        </w:rPr>
        <w:t xml:space="preserve"> </w:t>
      </w:r>
      <w:proofErr w:type="spellStart"/>
      <w:r w:rsidRPr="00766DD7">
        <w:rPr>
          <w:rFonts w:ascii="Arial" w:hAnsi="Arial" w:cs="Arial"/>
          <w:b/>
          <w:color w:val="auto"/>
          <w:sz w:val="22"/>
          <w:szCs w:val="22"/>
        </w:rPr>
        <w:t>planteados</w:t>
      </w:r>
      <w:proofErr w:type="spellEnd"/>
    </w:p>
    <w:p w:rsidRPr="00766DD7" w:rsidR="0056706F" w:rsidP="001953F5" w:rsidRDefault="0056706F" w14:paraId="704F4A0A" w14:textId="77777777">
      <w:pPr>
        <w:pStyle w:val="Textoindependiente"/>
        <w:spacing w:before="7"/>
        <w:jc w:val="both"/>
        <w:rPr>
          <w:rFonts w:ascii="Arial" w:hAnsi="Arial" w:cs="Arial"/>
          <w:b/>
          <w:sz w:val="28"/>
        </w:rPr>
      </w:pPr>
    </w:p>
    <w:p w:rsidRPr="00766DD7" w:rsidR="0056706F" w:rsidP="001953F5" w:rsidRDefault="004D138A" w14:paraId="704F4A0B" w14:textId="77777777">
      <w:pPr>
        <w:pStyle w:val="Textoindependiente"/>
        <w:spacing w:line="276" w:lineRule="auto"/>
        <w:ind w:left="220" w:right="110"/>
        <w:jc w:val="both"/>
        <w:rPr>
          <w:rFonts w:ascii="Arial" w:hAnsi="Arial" w:cs="Arial"/>
          <w:lang w:val="es-CO"/>
        </w:rPr>
      </w:pPr>
      <w:r w:rsidRPr="00766DD7">
        <w:rPr>
          <w:rFonts w:ascii="Arial" w:hAnsi="Arial" w:cs="Arial"/>
          <w:lang w:val="es-CO"/>
        </w:rPr>
        <w:t>La solicitante planteó lo siguiente: “¿Es posible realizar la liquidación y correspondiente reintegro de los recursos no ejecutados dentro de un Convenio Específico derivado de un Convenio de Ciencia, Tecnología e Innovación, a pesar de haber transcurrido el término dispuesto en el artículo 11 de la Ley 1150 de 2007? ¿El término de liquidación de Convenios de Ciencia, Tecnología e Innovación, tanto principales como derivados, es el dispuesto en el artículo 11 de la Ley 1150 de 2007 o existe una normativi</w:t>
      </w:r>
      <w:r w:rsidRPr="00766DD7" w:rsidR="003D0A40">
        <w:rPr>
          <w:rFonts w:ascii="Arial" w:hAnsi="Arial" w:cs="Arial"/>
          <w:lang w:val="es-CO"/>
        </w:rPr>
        <w:t>dad diferente para tal efecto?”.</w:t>
      </w:r>
    </w:p>
    <w:p w:rsidRPr="00766DD7" w:rsidR="0056706F" w:rsidP="001953F5" w:rsidRDefault="004D138A" w14:paraId="704F4A0C" w14:textId="77777777">
      <w:pPr>
        <w:pStyle w:val="Ttulo1"/>
        <w:numPr>
          <w:ilvl w:val="0"/>
          <w:numId w:val="5"/>
        </w:numPr>
        <w:tabs>
          <w:tab w:val="left" w:pos="581"/>
        </w:tabs>
        <w:ind w:hanging="361"/>
        <w:jc w:val="both"/>
        <w:rPr>
          <w:rFonts w:ascii="Arial" w:hAnsi="Arial" w:cs="Arial"/>
          <w:b/>
          <w:color w:val="auto"/>
          <w:sz w:val="22"/>
          <w:szCs w:val="22"/>
        </w:rPr>
      </w:pPr>
      <w:proofErr w:type="spellStart"/>
      <w:r w:rsidRPr="00766DD7">
        <w:rPr>
          <w:rFonts w:ascii="Arial" w:hAnsi="Arial" w:cs="Arial"/>
          <w:b/>
          <w:color w:val="auto"/>
          <w:sz w:val="22"/>
          <w:szCs w:val="22"/>
        </w:rPr>
        <w:t>Consideraciones</w:t>
      </w:r>
      <w:proofErr w:type="spellEnd"/>
    </w:p>
    <w:p w:rsidRPr="00766DD7" w:rsidR="0056706F" w:rsidP="001953F5" w:rsidRDefault="0056706F" w14:paraId="704F4A0D" w14:textId="77777777">
      <w:pPr>
        <w:pStyle w:val="Textoindependiente"/>
        <w:spacing w:before="7"/>
        <w:jc w:val="both"/>
        <w:rPr>
          <w:rFonts w:ascii="Arial" w:hAnsi="Arial" w:cs="Arial"/>
          <w:b/>
          <w:sz w:val="28"/>
        </w:rPr>
      </w:pPr>
    </w:p>
    <w:p w:rsidRPr="00766DD7" w:rsidR="0056706F" w:rsidP="001953F5" w:rsidRDefault="004D138A" w14:paraId="704F4A0E" w14:textId="77777777">
      <w:pPr>
        <w:pStyle w:val="Textoindependiente"/>
        <w:spacing w:before="1" w:line="276" w:lineRule="auto"/>
        <w:ind w:left="220" w:right="104"/>
        <w:jc w:val="both"/>
        <w:rPr>
          <w:rFonts w:ascii="Arial" w:hAnsi="Arial" w:cs="Arial"/>
          <w:lang w:val="es-CO"/>
        </w:rPr>
      </w:pPr>
      <w:r w:rsidRPr="00766DD7">
        <w:rPr>
          <w:rFonts w:ascii="Arial" w:hAnsi="Arial" w:cs="Arial"/>
          <w:lang w:val="es-CO"/>
        </w:rPr>
        <w:t xml:space="preserve">Para responder las </w:t>
      </w:r>
      <w:proofErr w:type="gramStart"/>
      <w:r w:rsidRPr="00766DD7">
        <w:rPr>
          <w:rFonts w:ascii="Arial" w:hAnsi="Arial" w:cs="Arial"/>
          <w:lang w:val="es-CO"/>
        </w:rPr>
        <w:t>preguntas ,</w:t>
      </w:r>
      <w:proofErr w:type="gramEnd"/>
      <w:r w:rsidRPr="00766DD7">
        <w:rPr>
          <w:rFonts w:ascii="Arial" w:hAnsi="Arial" w:cs="Arial"/>
          <w:lang w:val="es-CO"/>
        </w:rPr>
        <w:t xml:space="preserve"> se harán unas consideraciones en relación con: i) el régimen jurídico de los convenios y contratos de ciencia, tecnología e innovación, ii) liquidación del contrato estatal y iii) inexistencia de obligación de liquidar los convenios especiales de cooperación bajo el régimen de las </w:t>
      </w:r>
      <w:r w:rsidRPr="00766DD7" w:rsidR="00F3461D">
        <w:rPr>
          <w:rFonts w:ascii="Arial" w:hAnsi="Arial" w:cs="Arial"/>
          <w:lang w:val="es-CO"/>
        </w:rPr>
        <w:t>Leyes 80 de 1993 y 1150 de 2007.</w:t>
      </w:r>
    </w:p>
    <w:p w:rsidRPr="00766DD7" w:rsidR="00F3461D" w:rsidP="001953F5" w:rsidRDefault="00F3461D" w14:paraId="704F4A0F" w14:textId="77777777">
      <w:pPr>
        <w:pStyle w:val="Ttulo1"/>
        <w:numPr>
          <w:ilvl w:val="1"/>
          <w:numId w:val="5"/>
        </w:numPr>
        <w:tabs>
          <w:tab w:val="left" w:pos="787"/>
          <w:tab w:val="left" w:pos="788"/>
        </w:tabs>
        <w:spacing w:before="93"/>
        <w:jc w:val="both"/>
        <w:rPr>
          <w:rFonts w:ascii="Arial" w:hAnsi="Arial" w:cs="Arial"/>
          <w:b/>
          <w:color w:val="auto"/>
          <w:sz w:val="22"/>
          <w:szCs w:val="22"/>
          <w:lang w:val="es-CO"/>
        </w:rPr>
      </w:pPr>
      <w:r w:rsidRPr="00766DD7">
        <w:rPr>
          <w:rFonts w:ascii="Arial" w:hAnsi="Arial" w:cs="Arial"/>
          <w:b/>
          <w:color w:val="auto"/>
          <w:sz w:val="22"/>
          <w:szCs w:val="22"/>
          <w:lang w:val="es-CO"/>
        </w:rPr>
        <w:t>El régimen jurídico de los convenios de ciencia, tecnología e</w:t>
      </w:r>
      <w:r w:rsidRPr="00766DD7">
        <w:rPr>
          <w:rFonts w:ascii="Arial" w:hAnsi="Arial" w:cs="Arial"/>
          <w:b/>
          <w:color w:val="auto"/>
          <w:spacing w:val="-18"/>
          <w:sz w:val="22"/>
          <w:szCs w:val="22"/>
          <w:lang w:val="es-CO"/>
        </w:rPr>
        <w:t xml:space="preserve"> </w:t>
      </w:r>
      <w:r w:rsidRPr="00766DD7">
        <w:rPr>
          <w:rFonts w:ascii="Arial" w:hAnsi="Arial" w:cs="Arial"/>
          <w:b/>
          <w:color w:val="auto"/>
          <w:sz w:val="22"/>
          <w:szCs w:val="22"/>
          <w:lang w:val="es-CO"/>
        </w:rPr>
        <w:t>innovación</w:t>
      </w:r>
    </w:p>
    <w:p w:rsidRPr="00766DD7" w:rsidR="00F3461D" w:rsidP="001953F5" w:rsidRDefault="00F3461D" w14:paraId="704F4A10" w14:textId="77777777">
      <w:pPr>
        <w:pStyle w:val="Textoindependiente"/>
        <w:spacing w:before="7"/>
        <w:jc w:val="both"/>
        <w:rPr>
          <w:rFonts w:ascii="Arial" w:hAnsi="Arial" w:cs="Arial"/>
          <w:b/>
          <w:sz w:val="28"/>
          <w:lang w:val="es-CO"/>
        </w:rPr>
      </w:pPr>
    </w:p>
    <w:p w:rsidRPr="00766DD7" w:rsidR="00F3461D" w:rsidP="007B485C" w:rsidRDefault="00F3461D" w14:paraId="704F4A12" w14:textId="37D4FF60">
      <w:pPr>
        <w:pStyle w:val="Textoindependiente"/>
        <w:spacing w:line="276" w:lineRule="auto"/>
        <w:ind w:left="220" w:right="104"/>
        <w:jc w:val="both"/>
        <w:rPr>
          <w:rFonts w:ascii="Arial" w:hAnsi="Arial" w:cs="Arial"/>
          <w:sz w:val="25"/>
          <w:lang w:val="es-CO"/>
        </w:rPr>
      </w:pPr>
      <w:r w:rsidRPr="00766DD7">
        <w:rPr>
          <w:rFonts w:ascii="Arial" w:hAnsi="Arial" w:cs="Arial"/>
          <w:lang w:val="es-CO"/>
        </w:rPr>
        <w:t>El régimen de los negocios jurídicos de ciencia, tecnología e innovación</w:t>
      </w:r>
      <w:r w:rsidRPr="00766DD7">
        <w:rPr>
          <w:rStyle w:val="Refdenotaalpie"/>
          <w:rFonts w:ascii="Arial" w:hAnsi="Arial" w:cs="Arial"/>
        </w:rPr>
        <w:footnoteReference w:id="1"/>
      </w:r>
      <w:r w:rsidRPr="00766DD7">
        <w:rPr>
          <w:rFonts w:ascii="Arial" w:hAnsi="Arial" w:cs="Arial"/>
          <w:lang w:val="es-CO"/>
        </w:rPr>
        <w:t xml:space="preserve"> tiene arraigo, principalmente, en las siguientes normas: i) la Ley 29 de 1990 para el fomento de la </w:t>
      </w:r>
      <w:r w:rsidRPr="00766DD7">
        <w:rPr>
          <w:rFonts w:ascii="Arial" w:hAnsi="Arial" w:cs="Arial"/>
          <w:lang w:val="es-CO"/>
        </w:rPr>
        <w:lastRenderedPageBreak/>
        <w:t>investigación científica y el desarrollo tecnológico y la Ley 1286 de 2009 que modificó algunos asuntos; ii) el Decreto Ley 393 de 1991 sobre asociación para actividades científicas, tecnológicas, proyectos de investigación y creación de tecnologías; iii) el Decreto Ley 591 de 1991 que regula las modalidades específicas de contratos de fomento de actividades científicas y tecnológicas.</w:t>
      </w:r>
    </w:p>
    <w:p w:rsidRPr="00766DD7" w:rsidR="008D79AA" w:rsidP="001953F5" w:rsidRDefault="00F3461D" w14:paraId="704F4A13" w14:textId="77777777">
      <w:pPr>
        <w:pStyle w:val="Textoindependiente"/>
        <w:spacing w:before="93" w:line="276" w:lineRule="auto"/>
        <w:ind w:left="220" w:right="107"/>
        <w:jc w:val="both"/>
        <w:rPr>
          <w:rFonts w:ascii="Arial" w:hAnsi="Arial" w:cs="Arial"/>
          <w:lang w:val="es-CO"/>
        </w:rPr>
      </w:pPr>
      <w:r w:rsidRPr="00766DD7">
        <w:rPr>
          <w:rFonts w:ascii="Arial" w:hAnsi="Arial" w:cs="Arial"/>
          <w:lang w:val="es-CO"/>
        </w:rPr>
        <w:t>Los convenios y contratos de ciencia, innovación y tecnología sirven de instrumentos para materializar la función pública a cargo del Estado de promover la investigación, la ciencia y el desarrollo, según lo establece el artículo 70 de la Constitución Política, entre otros</w:t>
      </w:r>
      <w:r w:rsidRPr="00766DD7">
        <w:rPr>
          <w:rStyle w:val="Refdenotaalpie"/>
          <w:rFonts w:ascii="Arial" w:hAnsi="Arial" w:cs="Arial"/>
        </w:rPr>
        <w:footnoteReference w:id="2"/>
      </w:r>
      <w:r w:rsidRPr="00766DD7">
        <w:rPr>
          <w:rFonts w:ascii="Arial" w:hAnsi="Arial" w:cs="Arial"/>
          <w:lang w:val="es-CO"/>
        </w:rPr>
        <w:t>. Las actividades científicas y tecnológicas tienen una descripción tipológica prevista en el artículo 2 del Decreto Ley 591 de 1991</w:t>
      </w:r>
      <w:r w:rsidRPr="00766DD7">
        <w:rPr>
          <w:rStyle w:val="Refdenotaalpie"/>
          <w:rFonts w:ascii="Arial" w:hAnsi="Arial" w:cs="Arial"/>
        </w:rPr>
        <w:footnoteReference w:id="3"/>
      </w:r>
      <w:r w:rsidRPr="00766DD7">
        <w:rPr>
          <w:rFonts w:ascii="Arial" w:hAnsi="Arial" w:cs="Arial"/>
          <w:lang w:val="es-CO"/>
        </w:rPr>
        <w:t xml:space="preserve"> y, por su parte, los fines de asociación para </w:t>
      </w:r>
      <w:r w:rsidRPr="00766DD7" w:rsidR="008D79AA">
        <w:rPr>
          <w:rFonts w:ascii="Arial" w:hAnsi="Arial" w:cs="Arial"/>
          <w:lang w:val="es-CO"/>
        </w:rPr>
        <w:t>facilitar, fomentar o desarrollar alguna de las actividades de ciencia o tecnología definidas en la norma. Es una convención que tiene como objeto unir esfuerzos para de realizar una actividad de interés para ambas partes y que a su vez se configura como una actividad de interés público; ii) como mínimo deben constar por escrito y tener cláusulas sobre el objeto; término de duración; mecanismo de administración; sistemas de contabilización; causales de terminación y causales de cesión; (iii) no crea solidaridad entre sus miembros y es temporal.</w:t>
      </w:r>
    </w:p>
    <w:p w:rsidRPr="00766DD7" w:rsidR="008D79AA" w:rsidP="001953F5" w:rsidRDefault="008D79AA" w14:paraId="704F4A14" w14:textId="77777777">
      <w:pPr>
        <w:pStyle w:val="Textoindependiente"/>
        <w:spacing w:line="278" w:lineRule="auto"/>
        <w:ind w:left="220" w:right="111"/>
        <w:jc w:val="both"/>
        <w:rPr>
          <w:rFonts w:ascii="Arial" w:hAnsi="Arial" w:cs="Arial"/>
          <w:lang w:val="es-CO"/>
        </w:rPr>
      </w:pPr>
      <w:r w:rsidRPr="00766DD7">
        <w:rPr>
          <w:rFonts w:ascii="Arial" w:hAnsi="Arial" w:cs="Arial"/>
          <w:lang w:val="es-CO"/>
        </w:rPr>
        <w:t>De otra parte, la contratación pública de ciencia, tecnología e innovación tiene un régimen mixto reconocido por el Consejo de Estado en los siguientes términos:</w:t>
      </w:r>
    </w:p>
    <w:p w:rsidRPr="00766DD7" w:rsidR="008D79AA" w:rsidP="001953F5" w:rsidRDefault="008D79AA" w14:paraId="704F4A15" w14:textId="77777777">
      <w:pPr>
        <w:pStyle w:val="Textoindependiente"/>
        <w:spacing w:after="0" w:line="240" w:lineRule="auto"/>
        <w:ind w:left="930" w:right="533"/>
        <w:jc w:val="both"/>
        <w:rPr>
          <w:rFonts w:ascii="Arial" w:hAnsi="Arial" w:cs="Arial"/>
          <w:lang w:val="es-CO"/>
        </w:rPr>
      </w:pPr>
      <w:r w:rsidRPr="00766DD7">
        <w:rPr>
          <w:rFonts w:ascii="Arial" w:hAnsi="Arial" w:cs="Arial"/>
          <w:lang w:val="es-CO"/>
        </w:rPr>
        <w:lastRenderedPageBreak/>
        <w:t>“De lo anterior se desprende que los contratos que se celebren con el objeto de fomentar la ciencia y la tecnología se encuentran sujetos a la Ley 80 de 1993, en todo aquello que no esté expresamente regulado en las normas especiales del Decreto Ley 591 de 1991 y del Decreto Ley 393 de 1991, que mantuvo vigentes dicho Estatuto General de la Contratación de la Administración Pública”</w:t>
      </w:r>
      <w:r w:rsidRPr="00766DD7">
        <w:rPr>
          <w:rStyle w:val="Refdenotaalpie"/>
          <w:rFonts w:ascii="Arial" w:hAnsi="Arial" w:cs="Arial"/>
        </w:rPr>
        <w:footnoteReference w:id="4"/>
      </w:r>
      <w:r w:rsidRPr="00766DD7">
        <w:rPr>
          <w:rFonts w:ascii="Arial" w:hAnsi="Arial" w:cs="Arial"/>
          <w:lang w:val="es-CO"/>
        </w:rPr>
        <w:t>.</w:t>
      </w:r>
    </w:p>
    <w:p w:rsidRPr="00766DD7" w:rsidR="008D79AA" w:rsidP="001953F5" w:rsidRDefault="008D79AA" w14:paraId="704F4A16" w14:textId="77777777">
      <w:pPr>
        <w:pStyle w:val="Textoindependiente"/>
        <w:spacing w:after="0" w:line="240" w:lineRule="auto"/>
        <w:ind w:left="930" w:right="533"/>
        <w:jc w:val="both"/>
        <w:rPr>
          <w:rFonts w:ascii="Arial" w:hAnsi="Arial" w:cs="Arial"/>
          <w:lang w:val="es-CO"/>
        </w:rPr>
      </w:pPr>
    </w:p>
    <w:p w:rsidRPr="00766DD7" w:rsidR="008D79AA" w:rsidP="001953F5" w:rsidRDefault="008D79AA" w14:paraId="704F4A17" w14:textId="77777777">
      <w:pPr>
        <w:pStyle w:val="Textoindependiente"/>
        <w:spacing w:line="276" w:lineRule="auto"/>
        <w:ind w:left="220" w:right="104"/>
        <w:jc w:val="both"/>
        <w:rPr>
          <w:rFonts w:ascii="Arial" w:hAnsi="Arial" w:cs="Arial"/>
          <w:lang w:val="es-CO"/>
        </w:rPr>
      </w:pPr>
      <w:r w:rsidRPr="00766DD7">
        <w:rPr>
          <w:rFonts w:ascii="Arial" w:hAnsi="Arial" w:cs="Arial"/>
          <w:lang w:val="es-CO"/>
        </w:rPr>
        <w:t>En consecuencia, los contratos estatales de ciencia, tecnología e innovación</w:t>
      </w:r>
      <w:r w:rsidRPr="00766DD7">
        <w:rPr>
          <w:rStyle w:val="Refdenotaalpie"/>
          <w:rFonts w:ascii="Arial" w:hAnsi="Arial" w:cs="Arial"/>
        </w:rPr>
        <w:footnoteReference w:id="5"/>
      </w:r>
      <w:r w:rsidRPr="00766DD7">
        <w:rPr>
          <w:rFonts w:ascii="Arial" w:hAnsi="Arial" w:cs="Arial"/>
          <w:lang w:val="es-CO"/>
        </w:rPr>
        <w:t>, según las normas que los regulan, presentan las siguientes características: i) su objeto debe versar sobre actividades enmarcadas en las dispuestas por el artículo 2 del Decreto Ley 591 de1991; ii) los contratos de financiamiento -artículo 8 del Decreto Ley 591 de 1991- de actividades científicas, tecnológicas y de innovación pueden celebrarse directamente e implican la entrega o suministro de recursos o dinero a una persona para que desarrolle cierta actividad, empresa o proyecto.</w:t>
      </w:r>
    </w:p>
    <w:p w:rsidRPr="00766DD7" w:rsidR="008D79AA" w:rsidP="001953F5" w:rsidRDefault="008D79AA" w14:paraId="704F4A18" w14:textId="77777777">
      <w:pPr>
        <w:pStyle w:val="Textoindependiente"/>
        <w:spacing w:line="276" w:lineRule="auto"/>
        <w:ind w:left="220" w:right="104"/>
        <w:jc w:val="both"/>
        <w:rPr>
          <w:rFonts w:ascii="Arial" w:hAnsi="Arial" w:cs="Arial"/>
          <w:lang w:val="es-CO"/>
        </w:rPr>
      </w:pPr>
    </w:p>
    <w:p w:rsidRPr="00766DD7" w:rsidR="008D79AA" w:rsidP="001953F5" w:rsidRDefault="008D79AA" w14:paraId="704F4A19" w14:textId="77777777">
      <w:pPr>
        <w:pStyle w:val="Textoindependiente"/>
        <w:spacing w:before="9"/>
        <w:jc w:val="both"/>
        <w:rPr>
          <w:rFonts w:ascii="Arial" w:hAnsi="Arial" w:cs="Arial"/>
          <w:sz w:val="15"/>
          <w:lang w:val="es-CO"/>
        </w:rPr>
      </w:pPr>
      <w:r w:rsidRPr="00766DD7">
        <w:rPr>
          <w:rFonts w:ascii="Arial" w:hAnsi="Arial" w:cs="Arial"/>
          <w:lang w:val="es-CO"/>
        </w:rPr>
        <w:t>Los contratos de administración de proyectos de ciencia, tecnología e innovación -artículo 9 del Decreto Ley 581 de 1991- pueden celebrarse directamente y sirven para que una entidad estatal encargue a un tercero idóneo el desarrollo de un proyecto específico, cuya administración se le trasladada. Cuando se celebra este contrato, los recursos entregados mantienen</w:t>
      </w:r>
      <w:r w:rsidRPr="00766DD7">
        <w:rPr>
          <w:rFonts w:ascii="Arial" w:hAnsi="Arial" w:cs="Arial"/>
          <w:spacing w:val="20"/>
          <w:lang w:val="es-CO"/>
        </w:rPr>
        <w:t xml:space="preserve"> </w:t>
      </w:r>
      <w:r w:rsidRPr="00766DD7">
        <w:rPr>
          <w:rFonts w:ascii="Arial" w:hAnsi="Arial" w:cs="Arial"/>
          <w:lang w:val="es-CO"/>
        </w:rPr>
        <w:t>la</w:t>
      </w:r>
      <w:r w:rsidRPr="00766DD7">
        <w:rPr>
          <w:rFonts w:ascii="Arial" w:hAnsi="Arial" w:cs="Arial"/>
          <w:spacing w:val="23"/>
          <w:lang w:val="es-CO"/>
        </w:rPr>
        <w:t xml:space="preserve"> </w:t>
      </w:r>
      <w:r w:rsidRPr="00766DD7">
        <w:rPr>
          <w:rFonts w:ascii="Arial" w:hAnsi="Arial" w:cs="Arial"/>
          <w:lang w:val="es-CO"/>
        </w:rPr>
        <w:t>titularidad</w:t>
      </w:r>
      <w:r w:rsidRPr="00766DD7">
        <w:rPr>
          <w:rFonts w:ascii="Arial" w:hAnsi="Arial" w:cs="Arial"/>
          <w:spacing w:val="20"/>
          <w:lang w:val="es-CO"/>
        </w:rPr>
        <w:t xml:space="preserve"> </w:t>
      </w:r>
      <w:r w:rsidRPr="00766DD7">
        <w:rPr>
          <w:rFonts w:ascii="Arial" w:hAnsi="Arial" w:cs="Arial"/>
          <w:lang w:val="es-CO"/>
        </w:rPr>
        <w:t>de</w:t>
      </w:r>
      <w:r w:rsidRPr="00766DD7">
        <w:rPr>
          <w:rFonts w:ascii="Arial" w:hAnsi="Arial" w:cs="Arial"/>
          <w:spacing w:val="23"/>
          <w:lang w:val="es-CO"/>
        </w:rPr>
        <w:t xml:space="preserve"> </w:t>
      </w:r>
      <w:r w:rsidRPr="00766DD7">
        <w:rPr>
          <w:rFonts w:ascii="Arial" w:hAnsi="Arial" w:cs="Arial"/>
          <w:lang w:val="es-CO"/>
        </w:rPr>
        <w:t>la</w:t>
      </w:r>
      <w:r w:rsidRPr="00766DD7">
        <w:rPr>
          <w:rFonts w:ascii="Arial" w:hAnsi="Arial" w:cs="Arial"/>
          <w:spacing w:val="21"/>
          <w:lang w:val="es-CO"/>
        </w:rPr>
        <w:t xml:space="preserve"> </w:t>
      </w:r>
      <w:r w:rsidRPr="00766DD7">
        <w:rPr>
          <w:rFonts w:ascii="Arial" w:hAnsi="Arial" w:cs="Arial"/>
          <w:lang w:val="es-CO"/>
        </w:rPr>
        <w:t>entidad</w:t>
      </w:r>
      <w:r w:rsidRPr="00766DD7">
        <w:rPr>
          <w:rFonts w:ascii="Arial" w:hAnsi="Arial" w:cs="Arial"/>
          <w:spacing w:val="22"/>
          <w:lang w:val="es-CO"/>
        </w:rPr>
        <w:t xml:space="preserve"> </w:t>
      </w:r>
      <w:r w:rsidRPr="00766DD7">
        <w:rPr>
          <w:rFonts w:ascii="Arial" w:hAnsi="Arial" w:cs="Arial"/>
          <w:lang w:val="es-CO"/>
        </w:rPr>
        <w:t>contratante,</w:t>
      </w:r>
      <w:r w:rsidRPr="00766DD7">
        <w:rPr>
          <w:rFonts w:ascii="Arial" w:hAnsi="Arial" w:cs="Arial"/>
          <w:spacing w:val="27"/>
          <w:lang w:val="es-CO"/>
        </w:rPr>
        <w:t xml:space="preserve"> </w:t>
      </w:r>
      <w:r w:rsidRPr="00766DD7">
        <w:rPr>
          <w:rFonts w:ascii="Arial" w:hAnsi="Arial" w:cs="Arial"/>
          <w:lang w:val="es-CO"/>
        </w:rPr>
        <w:t>salvo</w:t>
      </w:r>
      <w:r w:rsidRPr="00766DD7">
        <w:rPr>
          <w:rFonts w:ascii="Arial" w:hAnsi="Arial" w:cs="Arial"/>
          <w:spacing w:val="22"/>
          <w:lang w:val="es-CO"/>
        </w:rPr>
        <w:t xml:space="preserve"> </w:t>
      </w:r>
      <w:r w:rsidRPr="00766DD7">
        <w:rPr>
          <w:rFonts w:ascii="Arial" w:hAnsi="Arial" w:cs="Arial"/>
          <w:lang w:val="es-CO"/>
        </w:rPr>
        <w:t>la</w:t>
      </w:r>
      <w:r w:rsidRPr="00766DD7">
        <w:rPr>
          <w:rFonts w:ascii="Arial" w:hAnsi="Arial" w:cs="Arial"/>
          <w:spacing w:val="23"/>
          <w:lang w:val="es-CO"/>
        </w:rPr>
        <w:t xml:space="preserve"> </w:t>
      </w:r>
      <w:r w:rsidRPr="00766DD7">
        <w:rPr>
          <w:rFonts w:ascii="Arial" w:hAnsi="Arial" w:cs="Arial"/>
          <w:lang w:val="es-CO"/>
        </w:rPr>
        <w:t>porción</w:t>
      </w:r>
      <w:r w:rsidRPr="00766DD7">
        <w:rPr>
          <w:rFonts w:ascii="Arial" w:hAnsi="Arial" w:cs="Arial"/>
          <w:spacing w:val="23"/>
          <w:lang w:val="es-CO"/>
        </w:rPr>
        <w:t xml:space="preserve"> </w:t>
      </w:r>
      <w:r w:rsidRPr="00766DD7">
        <w:rPr>
          <w:rFonts w:ascii="Arial" w:hAnsi="Arial" w:cs="Arial"/>
          <w:lang w:val="es-CO"/>
        </w:rPr>
        <w:t>entregada</w:t>
      </w:r>
      <w:r w:rsidRPr="00766DD7">
        <w:rPr>
          <w:rFonts w:ascii="Arial" w:hAnsi="Arial" w:cs="Arial"/>
          <w:spacing w:val="22"/>
          <w:lang w:val="es-CO"/>
        </w:rPr>
        <w:t xml:space="preserve"> </w:t>
      </w:r>
      <w:r w:rsidRPr="00766DD7">
        <w:rPr>
          <w:rFonts w:ascii="Arial" w:hAnsi="Arial" w:cs="Arial"/>
          <w:lang w:val="es-CO"/>
        </w:rPr>
        <w:t xml:space="preserve">para </w:t>
      </w:r>
    </w:p>
    <w:p w:rsidRPr="00766DD7" w:rsidR="008D79AA" w:rsidP="001953F5" w:rsidRDefault="008D79AA" w14:paraId="704F4A1A" w14:textId="77777777">
      <w:pPr>
        <w:pStyle w:val="Textoindependiente"/>
        <w:spacing w:before="101"/>
        <w:ind w:left="220"/>
        <w:jc w:val="both"/>
        <w:rPr>
          <w:rFonts w:ascii="Arial" w:hAnsi="Arial" w:cs="Arial"/>
          <w:lang w:val="es-CO"/>
        </w:rPr>
      </w:pPr>
      <w:r w:rsidRPr="00766DD7">
        <w:rPr>
          <w:rFonts w:ascii="Arial" w:hAnsi="Arial" w:cs="Arial"/>
          <w:lang w:val="es-CO"/>
        </w:rPr>
        <w:t>remunerar al administrador, cuya entrega se hace a título de pago y no de administración</w:t>
      </w:r>
      <w:r w:rsidRPr="00766DD7">
        <w:rPr>
          <w:rStyle w:val="Refdenotaalpie"/>
          <w:rFonts w:ascii="Arial" w:hAnsi="Arial" w:cs="Arial"/>
        </w:rPr>
        <w:footnoteReference w:id="6"/>
      </w:r>
      <w:r w:rsidRPr="00766DD7">
        <w:rPr>
          <w:rFonts w:ascii="Arial" w:hAnsi="Arial" w:cs="Arial"/>
          <w:lang w:val="es-CO"/>
        </w:rPr>
        <w:t>.</w:t>
      </w:r>
    </w:p>
    <w:p w:rsidRPr="00766DD7" w:rsidR="008D79AA" w:rsidP="001953F5" w:rsidRDefault="008D79AA" w14:paraId="704F4A1B" w14:textId="77777777">
      <w:pPr>
        <w:pStyle w:val="Textoindependiente"/>
        <w:spacing w:before="1" w:line="276" w:lineRule="auto"/>
        <w:ind w:left="220" w:right="103"/>
        <w:jc w:val="both"/>
        <w:rPr>
          <w:rFonts w:ascii="Arial" w:hAnsi="Arial" w:cs="Arial"/>
          <w:lang w:val="es-CO"/>
        </w:rPr>
      </w:pPr>
      <w:r w:rsidRPr="00766DD7">
        <w:rPr>
          <w:rFonts w:ascii="Arial" w:hAnsi="Arial" w:cs="Arial"/>
          <w:lang w:val="es-CO"/>
        </w:rPr>
        <w:t>Teniendo en cuenta la previsión del artículo 33 de la Ley 1286 de 2009</w:t>
      </w:r>
      <w:r w:rsidRPr="00766DD7">
        <w:rPr>
          <w:rStyle w:val="Refdenotaalpie"/>
          <w:rFonts w:ascii="Arial" w:hAnsi="Arial" w:cs="Arial"/>
        </w:rPr>
        <w:footnoteReference w:id="7"/>
      </w:r>
      <w:r w:rsidRPr="00766DD7">
        <w:rPr>
          <w:rFonts w:ascii="Arial" w:hAnsi="Arial" w:cs="Arial"/>
          <w:lang w:val="es-CO"/>
        </w:rPr>
        <w:t>, la jurisprudencia</w:t>
      </w:r>
      <w:r w:rsidRPr="00766DD7">
        <w:rPr>
          <w:rStyle w:val="Refdenotaalpie"/>
          <w:rFonts w:ascii="Arial" w:hAnsi="Arial" w:cs="Arial"/>
        </w:rPr>
        <w:footnoteReference w:id="8"/>
      </w:r>
      <w:r w:rsidRPr="00766DD7">
        <w:rPr>
          <w:rFonts w:ascii="Arial" w:hAnsi="Arial" w:cs="Arial"/>
          <w:vertAlign w:val="superscript"/>
          <w:lang w:val="es-CO"/>
        </w:rPr>
        <w:t xml:space="preserve"> </w:t>
      </w:r>
      <w:r w:rsidRPr="00766DD7">
        <w:rPr>
          <w:rFonts w:ascii="Arial" w:hAnsi="Arial" w:cs="Arial"/>
          <w:lang w:val="es-CO"/>
        </w:rPr>
        <w:t>considera que el régimen de los contratos y convenios de ciencia y tecnología se compone de normas de las Leyes 80 de 1993 y 1150 de 2007, y sus normas reglamentarias, en combinación con las normas especiales de los Decretos Leyes 393 y 591 de 1991, y en lo no previsto en tales normas por el derecho</w:t>
      </w:r>
      <w:r w:rsidRPr="00766DD7">
        <w:rPr>
          <w:rFonts w:ascii="Arial" w:hAnsi="Arial" w:cs="Arial"/>
          <w:spacing w:val="-21"/>
          <w:lang w:val="es-CO"/>
        </w:rPr>
        <w:t xml:space="preserve"> </w:t>
      </w:r>
      <w:r w:rsidRPr="00766DD7">
        <w:rPr>
          <w:rFonts w:ascii="Arial" w:hAnsi="Arial" w:cs="Arial"/>
          <w:lang w:val="es-CO"/>
        </w:rPr>
        <w:t>privado.</w:t>
      </w:r>
    </w:p>
    <w:p w:rsidRPr="007B485C" w:rsidR="008D79AA" w:rsidP="001953F5" w:rsidRDefault="008D79AA" w14:paraId="704F4A1C" w14:textId="326995A2">
      <w:pPr>
        <w:pStyle w:val="Ttulo1"/>
        <w:numPr>
          <w:ilvl w:val="1"/>
          <w:numId w:val="5"/>
        </w:numPr>
        <w:tabs>
          <w:tab w:val="left" w:pos="787"/>
          <w:tab w:val="left" w:pos="788"/>
        </w:tabs>
        <w:jc w:val="both"/>
        <w:rPr>
          <w:rFonts w:ascii="Arial" w:hAnsi="Arial" w:cs="Arial"/>
          <w:b/>
          <w:color w:val="auto"/>
          <w:sz w:val="22"/>
          <w:szCs w:val="22"/>
          <w:lang w:val="es-MX"/>
        </w:rPr>
      </w:pPr>
      <w:r w:rsidRPr="007B485C">
        <w:rPr>
          <w:rFonts w:ascii="Arial" w:hAnsi="Arial" w:cs="Arial"/>
          <w:b/>
          <w:color w:val="auto"/>
          <w:sz w:val="22"/>
          <w:szCs w:val="22"/>
          <w:lang w:val="es-MX"/>
        </w:rPr>
        <w:lastRenderedPageBreak/>
        <w:t xml:space="preserve">La </w:t>
      </w:r>
      <w:r w:rsidRPr="007B485C" w:rsidR="007B485C">
        <w:rPr>
          <w:rFonts w:ascii="Arial" w:hAnsi="Arial" w:cs="Arial"/>
          <w:b/>
          <w:color w:val="auto"/>
          <w:sz w:val="22"/>
          <w:szCs w:val="22"/>
          <w:lang w:val="es-MX"/>
        </w:rPr>
        <w:t>liquidación</w:t>
      </w:r>
      <w:r w:rsidRPr="007B485C">
        <w:rPr>
          <w:rFonts w:ascii="Arial" w:hAnsi="Arial" w:cs="Arial"/>
          <w:b/>
          <w:color w:val="auto"/>
          <w:sz w:val="22"/>
          <w:szCs w:val="22"/>
          <w:lang w:val="es-MX"/>
        </w:rPr>
        <w:t xml:space="preserve"> del contrato</w:t>
      </w:r>
      <w:r w:rsidRPr="007B485C">
        <w:rPr>
          <w:rFonts w:ascii="Arial" w:hAnsi="Arial" w:cs="Arial"/>
          <w:b/>
          <w:color w:val="auto"/>
          <w:spacing w:val="-5"/>
          <w:sz w:val="22"/>
          <w:szCs w:val="22"/>
          <w:lang w:val="es-MX"/>
        </w:rPr>
        <w:t xml:space="preserve"> </w:t>
      </w:r>
      <w:r w:rsidRPr="007B485C">
        <w:rPr>
          <w:rFonts w:ascii="Arial" w:hAnsi="Arial" w:cs="Arial"/>
          <w:b/>
          <w:color w:val="auto"/>
          <w:sz w:val="22"/>
          <w:szCs w:val="22"/>
          <w:lang w:val="es-MX"/>
        </w:rPr>
        <w:t>estatal</w:t>
      </w:r>
    </w:p>
    <w:p w:rsidRPr="007B485C" w:rsidR="008D79AA" w:rsidP="001953F5" w:rsidRDefault="008D79AA" w14:paraId="704F4A1D" w14:textId="77777777">
      <w:pPr>
        <w:jc w:val="both"/>
        <w:rPr>
          <w:rFonts w:ascii="Arial" w:hAnsi="Arial" w:cs="Arial"/>
          <w:b/>
          <w:lang w:val="es-MX"/>
        </w:rPr>
      </w:pPr>
    </w:p>
    <w:p w:rsidRPr="00766DD7" w:rsidR="008D79AA" w:rsidP="001953F5" w:rsidRDefault="008D79AA" w14:paraId="704F4A1E" w14:textId="77777777">
      <w:pPr>
        <w:pStyle w:val="Textoindependiente"/>
        <w:spacing w:line="276" w:lineRule="auto"/>
        <w:ind w:left="220" w:right="108"/>
        <w:jc w:val="both"/>
        <w:rPr>
          <w:rFonts w:ascii="Arial" w:hAnsi="Arial" w:cs="Arial"/>
          <w:lang w:val="es-CO"/>
        </w:rPr>
      </w:pPr>
      <w:r w:rsidRPr="00766DD7">
        <w:rPr>
          <w:rFonts w:ascii="Arial" w:hAnsi="Arial" w:cs="Arial"/>
          <w:lang w:val="es-CO"/>
        </w:rPr>
        <w:t>Liquidar significa “hacer el ajuste formal de una cuenta”, “saldar, pagar enteramente una cuenta” o “poner término a algo o a un estado de cosas”</w:t>
      </w:r>
      <w:r w:rsidRPr="00766DD7">
        <w:rPr>
          <w:rStyle w:val="Refdenotaalpie"/>
          <w:rFonts w:ascii="Arial" w:hAnsi="Arial" w:cs="Arial"/>
        </w:rPr>
        <w:footnoteReference w:id="9"/>
      </w:r>
      <w:r w:rsidRPr="00766DD7">
        <w:rPr>
          <w:rFonts w:ascii="Arial" w:hAnsi="Arial" w:cs="Arial"/>
          <w:lang w:val="es-CO"/>
        </w:rPr>
        <w:t xml:space="preserve">. En materia contractual, la liquidación supone un procedimiento mediante el cual la Administración y el contratista definen el estado de la ejecución de las prestaciones del contrato y las eventuales vicisitudes que pudieron presentarse durante su desarrollo. La liquidación deviene con ocasión de la terminación normal o anormal del negocio jurídico, actuación en la que las partes podrán determinar si existen prestaciones, obligaciones o derechos a cargo o a favor de cada una y, de esta manera, puedan realizar un balance final o corte de cuentas de la relación </w:t>
      </w:r>
      <w:proofErr w:type="spellStart"/>
      <w:r w:rsidRPr="00766DD7">
        <w:rPr>
          <w:rFonts w:ascii="Arial" w:hAnsi="Arial" w:cs="Arial"/>
          <w:lang w:val="es-CO"/>
        </w:rPr>
        <w:t>negocial</w:t>
      </w:r>
      <w:proofErr w:type="spellEnd"/>
      <w:r w:rsidRPr="00766DD7">
        <w:rPr>
          <w:rFonts w:ascii="Arial" w:hAnsi="Arial" w:cs="Arial"/>
          <w:lang w:val="es-CO"/>
        </w:rPr>
        <w:t xml:space="preserve"> para finiquitar saldos pendientes de pago y quien será el responsable de</w:t>
      </w:r>
      <w:r w:rsidRPr="00766DD7">
        <w:rPr>
          <w:rFonts w:ascii="Arial" w:hAnsi="Arial" w:cs="Arial"/>
          <w:spacing w:val="-3"/>
          <w:lang w:val="es-CO"/>
        </w:rPr>
        <w:t xml:space="preserve"> </w:t>
      </w:r>
      <w:r w:rsidRPr="00766DD7">
        <w:rPr>
          <w:rFonts w:ascii="Arial" w:hAnsi="Arial" w:cs="Arial"/>
          <w:lang w:val="es-CO"/>
        </w:rPr>
        <w:t>éstos.</w:t>
      </w:r>
    </w:p>
    <w:p w:rsidRPr="00766DD7" w:rsidR="008D79AA" w:rsidP="001953F5" w:rsidRDefault="008D79AA" w14:paraId="704F4A21" w14:textId="296861B9">
      <w:pPr>
        <w:pStyle w:val="Textoindependiente"/>
        <w:spacing w:before="1" w:line="276" w:lineRule="auto"/>
        <w:ind w:left="220" w:right="105"/>
        <w:jc w:val="both"/>
        <w:rPr>
          <w:rFonts w:ascii="Arial" w:hAnsi="Arial" w:cs="Arial"/>
          <w:lang w:val="es-CO"/>
        </w:rPr>
      </w:pPr>
      <w:r w:rsidRPr="00766DD7">
        <w:rPr>
          <w:rFonts w:ascii="Arial" w:hAnsi="Arial" w:cs="Arial"/>
          <w:lang w:val="es-CO"/>
        </w:rPr>
        <w:t>La liquidación, como última etapa formal</w:t>
      </w:r>
      <w:r w:rsidRPr="00766DD7">
        <w:rPr>
          <w:rStyle w:val="Refdenotaalpie"/>
          <w:rFonts w:ascii="Arial" w:hAnsi="Arial" w:cs="Arial"/>
        </w:rPr>
        <w:footnoteReference w:id="10"/>
      </w:r>
      <w:r w:rsidRPr="00766DD7">
        <w:rPr>
          <w:rFonts w:ascii="Arial" w:hAnsi="Arial" w:cs="Arial"/>
          <w:lang w:val="es-CO"/>
        </w:rPr>
        <w:t xml:space="preserve"> que deben cumplir los contratos de la Administración, conforme a las reglas del marco jurídico de la contratación estatal, es una institución reconocida en el derecho público de los contratos desde la vigencia del Decreto Ley 150 de 1976, para contratos de obra y suministro y contratos terminados por caducidad, mutuo acuerdo, nulidad o terminación unilateral, con posterioridad fue recogida.</w:t>
      </w:r>
    </w:p>
    <w:p w:rsidRPr="00766DD7" w:rsidR="008D79AA" w:rsidP="001953F5" w:rsidRDefault="007B485C" w14:paraId="704F4A22" w14:textId="6B5565E6">
      <w:pPr>
        <w:pStyle w:val="Textoindependiente"/>
        <w:spacing w:before="93" w:line="278" w:lineRule="auto"/>
        <w:ind w:left="220" w:right="115"/>
        <w:jc w:val="both"/>
        <w:rPr>
          <w:rFonts w:ascii="Arial" w:hAnsi="Arial" w:cs="Arial"/>
          <w:lang w:val="es-CO"/>
        </w:rPr>
      </w:pPr>
      <w:r>
        <w:rPr>
          <w:rFonts w:ascii="Arial" w:hAnsi="Arial" w:cs="Arial"/>
          <w:lang w:val="es-CO"/>
        </w:rPr>
        <w:t>E</w:t>
      </w:r>
      <w:r w:rsidRPr="00766DD7" w:rsidR="008D79AA">
        <w:rPr>
          <w:rFonts w:ascii="Arial" w:hAnsi="Arial" w:cs="Arial"/>
          <w:lang w:val="es-CO"/>
        </w:rPr>
        <w:t>n el Decreto Ley 222 de 1983 y finalmente se plasmó en los artículos 60 y 61 de la Ley 80 de 1993, con las modificaciones actualmente vigentes.</w:t>
      </w:r>
    </w:p>
    <w:p w:rsidRPr="00766DD7" w:rsidR="008D79AA" w:rsidP="001953F5" w:rsidRDefault="008D79AA" w14:paraId="704F4A23" w14:textId="77777777">
      <w:pPr>
        <w:pStyle w:val="Textoindependiente"/>
        <w:spacing w:line="276" w:lineRule="auto"/>
        <w:ind w:left="220" w:right="104"/>
        <w:jc w:val="both"/>
        <w:rPr>
          <w:rFonts w:ascii="Arial" w:hAnsi="Arial" w:cs="Arial"/>
          <w:lang w:val="es-CO"/>
        </w:rPr>
      </w:pPr>
      <w:r w:rsidRPr="00766DD7">
        <w:rPr>
          <w:rFonts w:ascii="Arial" w:hAnsi="Arial" w:cs="Arial"/>
          <w:lang w:val="es-CO"/>
        </w:rPr>
        <w:t>Respecto de los eventos en los que se requiere liquidar el contrato estatal y el contenido de ésta última, el artículo 60 de la Ley 80 de 1993, modificado por el artículo 32 de la Ley 1150 de 2017 y el artículo 217 del Decreto Ley 019 de 2017,</w:t>
      </w:r>
      <w:r w:rsidRPr="00766DD7">
        <w:rPr>
          <w:rFonts w:ascii="Arial" w:hAnsi="Arial" w:cs="Arial"/>
          <w:spacing w:val="-19"/>
          <w:lang w:val="es-CO"/>
        </w:rPr>
        <w:t xml:space="preserve"> </w:t>
      </w:r>
      <w:r w:rsidRPr="00766DD7">
        <w:rPr>
          <w:rFonts w:ascii="Arial" w:hAnsi="Arial" w:cs="Arial"/>
          <w:lang w:val="es-CO"/>
        </w:rPr>
        <w:t>dispone:</w:t>
      </w:r>
    </w:p>
    <w:p w:rsidRPr="00766DD7" w:rsidR="008D79AA" w:rsidP="001953F5" w:rsidRDefault="008D79AA" w14:paraId="704F4A24" w14:textId="77777777">
      <w:pPr>
        <w:pStyle w:val="Textoindependiente"/>
        <w:spacing w:before="2"/>
        <w:jc w:val="both"/>
        <w:rPr>
          <w:rFonts w:ascii="Arial" w:hAnsi="Arial" w:cs="Arial"/>
          <w:sz w:val="25"/>
          <w:lang w:val="es-CO"/>
        </w:rPr>
      </w:pPr>
    </w:p>
    <w:p w:rsidRPr="00766DD7" w:rsidR="008D79AA" w:rsidP="001953F5" w:rsidRDefault="008D79AA" w14:paraId="704F4A25" w14:textId="77777777">
      <w:pPr>
        <w:pStyle w:val="Textoindependiente"/>
        <w:spacing w:after="0"/>
        <w:ind w:left="928" w:right="531"/>
        <w:jc w:val="both"/>
        <w:rPr>
          <w:rFonts w:ascii="Arial" w:hAnsi="Arial" w:cs="Arial"/>
          <w:lang w:val="es-CO"/>
        </w:rPr>
      </w:pPr>
      <w:r w:rsidRPr="00766DD7">
        <w:rPr>
          <w:rFonts w:ascii="Arial" w:hAnsi="Arial" w:cs="Arial"/>
          <w:lang w:val="es-CO"/>
        </w:rPr>
        <w:t>"Artículo 60. De la ocurrencia y contenido de la liquidación. Los contratos de tracto sucesivo, aquellos cuya ejecución o cumplimiento se prolongue en el tiempo y los demás que lo requieran, serán objeto de liquidación.</w:t>
      </w:r>
    </w:p>
    <w:p w:rsidRPr="00766DD7" w:rsidR="008D79AA" w:rsidP="001953F5" w:rsidRDefault="008D79AA" w14:paraId="704F4A26" w14:textId="77777777">
      <w:pPr>
        <w:pStyle w:val="Textoindependiente"/>
        <w:spacing w:after="0"/>
        <w:jc w:val="both"/>
        <w:rPr>
          <w:rFonts w:ascii="Arial" w:hAnsi="Arial" w:cs="Arial"/>
          <w:lang w:val="es-CO"/>
        </w:rPr>
      </w:pPr>
    </w:p>
    <w:p w:rsidRPr="00766DD7" w:rsidR="008D79AA" w:rsidP="001953F5" w:rsidRDefault="008D79AA" w14:paraId="704F4A27" w14:textId="77777777">
      <w:pPr>
        <w:pStyle w:val="Textoindependiente"/>
        <w:spacing w:after="0"/>
        <w:ind w:left="928" w:right="537"/>
        <w:jc w:val="both"/>
        <w:rPr>
          <w:rFonts w:ascii="Arial" w:hAnsi="Arial" w:cs="Arial"/>
          <w:lang w:val="es-CO"/>
        </w:rPr>
      </w:pPr>
      <w:r w:rsidRPr="00766DD7">
        <w:rPr>
          <w:rFonts w:ascii="Arial" w:hAnsi="Arial" w:cs="Arial"/>
          <w:lang w:val="es-CO"/>
        </w:rPr>
        <w:t>También en esta etapa las partes acordarán los ajustes, revisiones y reconocimientos a que haya lugar.</w:t>
      </w:r>
    </w:p>
    <w:p w:rsidRPr="00766DD7" w:rsidR="008D79AA" w:rsidP="001953F5" w:rsidRDefault="008D79AA" w14:paraId="704F4A28" w14:textId="77777777">
      <w:pPr>
        <w:pStyle w:val="Textoindependiente"/>
        <w:spacing w:after="0"/>
        <w:jc w:val="both"/>
        <w:rPr>
          <w:rFonts w:ascii="Arial" w:hAnsi="Arial" w:cs="Arial"/>
          <w:sz w:val="21"/>
          <w:lang w:val="es-CO"/>
        </w:rPr>
      </w:pPr>
    </w:p>
    <w:p w:rsidRPr="00766DD7" w:rsidR="008D79AA" w:rsidP="001953F5" w:rsidRDefault="008D79AA" w14:paraId="704F4A29" w14:textId="77777777">
      <w:pPr>
        <w:pStyle w:val="Textoindependiente"/>
        <w:spacing w:after="0"/>
        <w:ind w:left="928" w:right="536"/>
        <w:jc w:val="both"/>
        <w:rPr>
          <w:rFonts w:ascii="Arial" w:hAnsi="Arial" w:cs="Arial"/>
          <w:lang w:val="es-CO"/>
        </w:rPr>
      </w:pPr>
      <w:r w:rsidRPr="00766DD7">
        <w:rPr>
          <w:rFonts w:ascii="Arial" w:hAnsi="Arial" w:cs="Arial"/>
          <w:lang w:val="es-CO"/>
        </w:rPr>
        <w:t>En el acta de liquidación constarán los acuerdos, conciliaciones y transacciones a que llegaren las partes para poner fin a las divergencias presentadas y poder declararse a paz y</w:t>
      </w:r>
      <w:r w:rsidRPr="00766DD7">
        <w:rPr>
          <w:rFonts w:ascii="Arial" w:hAnsi="Arial" w:cs="Arial"/>
          <w:spacing w:val="-11"/>
          <w:lang w:val="es-CO"/>
        </w:rPr>
        <w:t xml:space="preserve"> </w:t>
      </w:r>
      <w:r w:rsidRPr="00766DD7">
        <w:rPr>
          <w:rFonts w:ascii="Arial" w:hAnsi="Arial" w:cs="Arial"/>
          <w:lang w:val="es-CO"/>
        </w:rPr>
        <w:t>salvo.</w:t>
      </w:r>
    </w:p>
    <w:p w:rsidRPr="00766DD7" w:rsidR="008D79AA" w:rsidP="001953F5" w:rsidRDefault="008D79AA" w14:paraId="704F4A2A" w14:textId="77777777">
      <w:pPr>
        <w:pStyle w:val="Textoindependiente"/>
        <w:spacing w:after="0"/>
        <w:jc w:val="both"/>
        <w:rPr>
          <w:rFonts w:ascii="Arial" w:hAnsi="Arial" w:cs="Arial"/>
          <w:lang w:val="es-CO"/>
        </w:rPr>
      </w:pPr>
    </w:p>
    <w:p w:rsidRPr="00766DD7" w:rsidR="008D79AA" w:rsidP="001953F5" w:rsidRDefault="008D79AA" w14:paraId="704F4A2B" w14:textId="77777777">
      <w:pPr>
        <w:pStyle w:val="Textoindependiente"/>
        <w:spacing w:after="0"/>
        <w:ind w:left="928" w:right="532"/>
        <w:jc w:val="both"/>
        <w:rPr>
          <w:rFonts w:ascii="Arial" w:hAnsi="Arial" w:cs="Arial"/>
          <w:lang w:val="es-CO"/>
        </w:rPr>
      </w:pPr>
      <w:r w:rsidRPr="00766DD7">
        <w:rPr>
          <w:rFonts w:ascii="Arial" w:hAnsi="Arial" w:cs="Arial"/>
          <w:lang w:val="es-CO"/>
        </w:rPr>
        <w:lastRenderedPageBreak/>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rsidRPr="00766DD7" w:rsidR="008D79AA" w:rsidP="001953F5" w:rsidRDefault="008D79AA" w14:paraId="704F4A2C" w14:textId="77777777">
      <w:pPr>
        <w:pStyle w:val="Textoindependiente"/>
        <w:spacing w:after="0"/>
        <w:jc w:val="both"/>
        <w:rPr>
          <w:rFonts w:ascii="Arial" w:hAnsi="Arial" w:cs="Arial"/>
          <w:sz w:val="21"/>
          <w:lang w:val="es-CO"/>
        </w:rPr>
      </w:pPr>
    </w:p>
    <w:p w:rsidRPr="00766DD7" w:rsidR="008D79AA" w:rsidP="001953F5" w:rsidRDefault="008D79AA" w14:paraId="704F4A2D" w14:textId="77777777">
      <w:pPr>
        <w:pStyle w:val="Textoindependiente"/>
        <w:spacing w:after="0" w:line="242" w:lineRule="auto"/>
        <w:ind w:left="928" w:right="539"/>
        <w:jc w:val="both"/>
        <w:rPr>
          <w:rFonts w:ascii="Arial" w:hAnsi="Arial" w:cs="Arial"/>
          <w:lang w:val="es-CO"/>
        </w:rPr>
      </w:pPr>
      <w:r w:rsidRPr="00766DD7">
        <w:rPr>
          <w:rFonts w:ascii="Arial" w:hAnsi="Arial" w:cs="Arial"/>
          <w:lang w:val="es-CO"/>
        </w:rPr>
        <w:t>La liquidación a que se refiere el presente artículo no será obligatoria en los contratos de prestación de servicios profesionales y de apoyo a la gestión</w:t>
      </w:r>
      <w:r w:rsidRPr="00766DD7">
        <w:rPr>
          <w:rFonts w:ascii="Arial" w:hAnsi="Arial" w:cs="Arial"/>
          <w:i/>
          <w:lang w:val="es-CO"/>
        </w:rPr>
        <w:t>.</w:t>
      </w:r>
      <w:r w:rsidRPr="00766DD7">
        <w:rPr>
          <w:rFonts w:ascii="Arial" w:hAnsi="Arial" w:cs="Arial"/>
          <w:lang w:val="es-CO"/>
        </w:rPr>
        <w:t>"</w:t>
      </w:r>
    </w:p>
    <w:p w:rsidRPr="00766DD7" w:rsidR="008D79AA" w:rsidP="001953F5" w:rsidRDefault="008D79AA" w14:paraId="704F4A2E" w14:textId="77777777">
      <w:pPr>
        <w:pStyle w:val="Textoindependiente"/>
        <w:spacing w:after="0"/>
        <w:jc w:val="both"/>
        <w:rPr>
          <w:rFonts w:ascii="Arial" w:hAnsi="Arial" w:cs="Arial"/>
          <w:sz w:val="23"/>
          <w:lang w:val="es-CO"/>
        </w:rPr>
      </w:pPr>
    </w:p>
    <w:p w:rsidRPr="00766DD7" w:rsidR="008D79AA" w:rsidP="005304B9" w:rsidRDefault="008D79AA" w14:paraId="704F4A2F" w14:textId="77777777">
      <w:pPr>
        <w:pStyle w:val="Textoindependiente"/>
        <w:spacing w:line="276" w:lineRule="auto"/>
        <w:ind w:left="220" w:right="111"/>
        <w:jc w:val="both"/>
        <w:rPr>
          <w:rFonts w:ascii="Arial" w:hAnsi="Arial" w:cs="Arial"/>
          <w:lang w:val="es-CO"/>
        </w:rPr>
      </w:pPr>
      <w:r w:rsidRPr="00766DD7">
        <w:rPr>
          <w:rFonts w:ascii="Arial" w:hAnsi="Arial" w:cs="Arial"/>
          <w:lang w:val="es-CO"/>
        </w:rPr>
        <w:t>La norma permite determinar, como primera medida, los eventos en los que el contrato estatal requiere liquidación a su terminación, e igualmente, identifica una tipología de contratos que no lo requieren obligatoriamente, de la siguiente manera:</w:t>
      </w:r>
    </w:p>
    <w:p w:rsidRPr="00766DD7" w:rsidR="008D79AA" w:rsidP="001953F5" w:rsidRDefault="008D79AA" w14:paraId="704F4A30" w14:textId="77777777">
      <w:pPr>
        <w:pStyle w:val="Textoindependiente"/>
        <w:jc w:val="both"/>
        <w:rPr>
          <w:rFonts w:ascii="Arial" w:hAnsi="Arial" w:cs="Arial"/>
          <w:sz w:val="11"/>
          <w:lang w:val="es-CO"/>
        </w:rPr>
      </w:pPr>
    </w:p>
    <w:tbl>
      <w:tblPr>
        <w:tblStyle w:val="TableNormal"/>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106"/>
        <w:gridCol w:w="4816"/>
      </w:tblGrid>
      <w:tr w:rsidRPr="00423596" w:rsidR="00766DD7" w:rsidTr="002C3386" w14:paraId="704F4A33" w14:textId="77777777">
        <w:trPr>
          <w:trHeight w:val="505"/>
        </w:trPr>
        <w:tc>
          <w:tcPr>
            <w:tcW w:w="4106" w:type="dxa"/>
          </w:tcPr>
          <w:p w:rsidRPr="00766DD7" w:rsidR="008D79AA" w:rsidP="001953F5" w:rsidRDefault="008D79AA" w14:paraId="704F4A31" w14:textId="77777777">
            <w:pPr>
              <w:pStyle w:val="TableParagraph"/>
              <w:spacing w:line="249" w:lineRule="exact"/>
              <w:ind w:left="107"/>
              <w:jc w:val="both"/>
              <w:rPr>
                <w:rFonts w:ascii="Arial" w:hAnsi="Arial" w:cs="Arial"/>
                <w:b/>
              </w:rPr>
            </w:pPr>
            <w:proofErr w:type="spellStart"/>
            <w:r w:rsidRPr="00766DD7">
              <w:rPr>
                <w:rFonts w:ascii="Arial" w:hAnsi="Arial" w:cs="Arial"/>
                <w:b/>
              </w:rPr>
              <w:t>Contratos</w:t>
            </w:r>
            <w:proofErr w:type="spellEnd"/>
            <w:r w:rsidRPr="00766DD7">
              <w:rPr>
                <w:rFonts w:ascii="Arial" w:hAnsi="Arial" w:cs="Arial"/>
                <w:b/>
              </w:rPr>
              <w:t xml:space="preserve"> que </w:t>
            </w:r>
            <w:proofErr w:type="spellStart"/>
            <w:r w:rsidRPr="00766DD7">
              <w:rPr>
                <w:rFonts w:ascii="Arial" w:hAnsi="Arial" w:cs="Arial"/>
                <w:b/>
              </w:rPr>
              <w:t>deben</w:t>
            </w:r>
            <w:proofErr w:type="spellEnd"/>
            <w:r w:rsidRPr="00766DD7">
              <w:rPr>
                <w:rFonts w:ascii="Arial" w:hAnsi="Arial" w:cs="Arial"/>
                <w:b/>
              </w:rPr>
              <w:t xml:space="preserve"> </w:t>
            </w:r>
            <w:proofErr w:type="spellStart"/>
            <w:r w:rsidRPr="00766DD7">
              <w:rPr>
                <w:rFonts w:ascii="Arial" w:hAnsi="Arial" w:cs="Arial"/>
                <w:b/>
              </w:rPr>
              <w:t>liquidarse</w:t>
            </w:r>
            <w:proofErr w:type="spellEnd"/>
          </w:p>
        </w:tc>
        <w:tc>
          <w:tcPr>
            <w:tcW w:w="4816" w:type="dxa"/>
          </w:tcPr>
          <w:p w:rsidRPr="00766DD7" w:rsidR="008D79AA" w:rsidP="001953F5" w:rsidRDefault="008D79AA" w14:paraId="704F4A32" w14:textId="77777777">
            <w:pPr>
              <w:pStyle w:val="TableParagraph"/>
              <w:tabs>
                <w:tab w:val="left" w:pos="1494"/>
                <w:tab w:val="left" w:pos="2339"/>
                <w:tab w:val="left" w:pos="3849"/>
                <w:tab w:val="left" w:pos="4463"/>
              </w:tabs>
              <w:spacing w:before="1" w:line="252" w:lineRule="exact"/>
              <w:ind w:right="95"/>
              <w:jc w:val="both"/>
              <w:rPr>
                <w:rFonts w:ascii="Arial" w:hAnsi="Arial" w:cs="Arial"/>
                <w:b/>
                <w:lang w:val="es-CO"/>
              </w:rPr>
            </w:pPr>
            <w:r w:rsidRPr="00766DD7">
              <w:rPr>
                <w:rFonts w:ascii="Arial" w:hAnsi="Arial" w:cs="Arial"/>
                <w:b/>
                <w:lang w:val="es-CO"/>
              </w:rPr>
              <w:t>Contratos</w:t>
            </w:r>
            <w:r w:rsidRPr="00766DD7">
              <w:rPr>
                <w:rFonts w:ascii="Arial" w:hAnsi="Arial" w:cs="Arial"/>
                <w:b/>
                <w:lang w:val="es-CO"/>
              </w:rPr>
              <w:tab/>
            </w:r>
            <w:r w:rsidRPr="00766DD7">
              <w:rPr>
                <w:rFonts w:ascii="Arial" w:hAnsi="Arial" w:cs="Arial"/>
                <w:b/>
                <w:lang w:val="es-CO"/>
              </w:rPr>
              <w:t>cuya</w:t>
            </w:r>
            <w:r w:rsidRPr="00766DD7">
              <w:rPr>
                <w:rFonts w:ascii="Arial" w:hAnsi="Arial" w:cs="Arial"/>
                <w:b/>
                <w:lang w:val="es-CO"/>
              </w:rPr>
              <w:tab/>
            </w:r>
            <w:r w:rsidRPr="00766DD7">
              <w:rPr>
                <w:rFonts w:ascii="Arial" w:hAnsi="Arial" w:cs="Arial"/>
                <w:b/>
                <w:lang w:val="es-CO"/>
              </w:rPr>
              <w:t>liquidación</w:t>
            </w:r>
            <w:r w:rsidRPr="00766DD7">
              <w:rPr>
                <w:rFonts w:ascii="Arial" w:hAnsi="Arial" w:cs="Arial"/>
                <w:b/>
                <w:lang w:val="es-CO"/>
              </w:rPr>
              <w:tab/>
            </w:r>
            <w:r w:rsidRPr="00766DD7">
              <w:rPr>
                <w:rFonts w:ascii="Arial" w:hAnsi="Arial" w:cs="Arial"/>
                <w:b/>
                <w:lang w:val="es-CO"/>
              </w:rPr>
              <w:t>no</w:t>
            </w:r>
            <w:r w:rsidRPr="00766DD7">
              <w:rPr>
                <w:rFonts w:ascii="Arial" w:hAnsi="Arial" w:cs="Arial"/>
                <w:b/>
                <w:lang w:val="es-CO"/>
              </w:rPr>
              <w:tab/>
            </w:r>
            <w:r w:rsidRPr="00766DD7">
              <w:rPr>
                <w:rFonts w:ascii="Arial" w:hAnsi="Arial" w:cs="Arial"/>
                <w:b/>
                <w:spacing w:val="-9"/>
                <w:lang w:val="es-CO"/>
              </w:rPr>
              <w:t xml:space="preserve">es </w:t>
            </w:r>
            <w:r w:rsidRPr="00766DD7">
              <w:rPr>
                <w:rFonts w:ascii="Arial" w:hAnsi="Arial" w:cs="Arial"/>
                <w:b/>
                <w:lang w:val="es-CO"/>
              </w:rPr>
              <w:t>obligatoria</w:t>
            </w:r>
          </w:p>
        </w:tc>
      </w:tr>
      <w:tr w:rsidRPr="00766DD7" w:rsidR="008D79AA" w:rsidTr="002C3386" w14:paraId="704F4A39" w14:textId="77777777">
        <w:trPr>
          <w:trHeight w:val="1772"/>
        </w:trPr>
        <w:tc>
          <w:tcPr>
            <w:tcW w:w="4106" w:type="dxa"/>
          </w:tcPr>
          <w:p w:rsidRPr="00766DD7" w:rsidR="008D79AA" w:rsidP="001953F5" w:rsidRDefault="008D79AA" w14:paraId="704F4A34" w14:textId="77777777">
            <w:pPr>
              <w:pStyle w:val="TableParagraph"/>
              <w:numPr>
                <w:ilvl w:val="0"/>
                <w:numId w:val="4"/>
              </w:numPr>
              <w:tabs>
                <w:tab w:val="left" w:pos="600"/>
              </w:tabs>
              <w:spacing w:line="242" w:lineRule="auto"/>
              <w:ind w:right="101" w:hanging="450"/>
              <w:jc w:val="both"/>
              <w:rPr>
                <w:rFonts w:ascii="Arial" w:hAnsi="Arial" w:cs="Arial"/>
                <w:lang w:val="es-CO"/>
              </w:rPr>
            </w:pPr>
            <w:r w:rsidRPr="00766DD7">
              <w:rPr>
                <w:rFonts w:ascii="Arial" w:hAnsi="Arial" w:cs="Arial"/>
                <w:lang w:val="es-CO"/>
              </w:rPr>
              <w:tab/>
            </w:r>
            <w:r w:rsidRPr="00766DD7">
              <w:rPr>
                <w:rFonts w:ascii="Arial" w:hAnsi="Arial" w:cs="Arial"/>
                <w:lang w:val="es-CO"/>
              </w:rPr>
              <w:t>Cuando la ejecución sea tracto sucesivo</w:t>
            </w:r>
          </w:p>
          <w:p w:rsidRPr="00766DD7" w:rsidR="008D79AA" w:rsidP="001953F5" w:rsidRDefault="008D79AA" w14:paraId="704F4A35" w14:textId="77777777">
            <w:pPr>
              <w:pStyle w:val="TableParagraph"/>
              <w:numPr>
                <w:ilvl w:val="0"/>
                <w:numId w:val="4"/>
              </w:numPr>
              <w:tabs>
                <w:tab w:val="left" w:pos="595"/>
              </w:tabs>
              <w:ind w:right="95" w:hanging="450"/>
              <w:jc w:val="both"/>
              <w:rPr>
                <w:rFonts w:ascii="Arial" w:hAnsi="Arial" w:cs="Arial"/>
                <w:lang w:val="es-CO"/>
              </w:rPr>
            </w:pPr>
            <w:r w:rsidRPr="00766DD7">
              <w:rPr>
                <w:rFonts w:ascii="Arial" w:hAnsi="Arial" w:cs="Arial"/>
                <w:lang w:val="es-CO"/>
              </w:rPr>
              <w:t>Cuando el cumplimiento de obligaciones se prolongue en el tiempo</w:t>
            </w:r>
          </w:p>
          <w:p w:rsidRPr="00766DD7" w:rsidR="008D79AA" w:rsidP="001953F5" w:rsidRDefault="008D79AA" w14:paraId="704F4A36" w14:textId="77777777">
            <w:pPr>
              <w:pStyle w:val="TableParagraph"/>
              <w:numPr>
                <w:ilvl w:val="0"/>
                <w:numId w:val="4"/>
              </w:numPr>
              <w:tabs>
                <w:tab w:val="left" w:pos="558"/>
              </w:tabs>
              <w:spacing w:line="256" w:lineRule="exact"/>
              <w:ind w:right="101" w:hanging="450"/>
              <w:jc w:val="both"/>
              <w:rPr>
                <w:rFonts w:ascii="Arial" w:hAnsi="Arial" w:cs="Arial"/>
                <w:lang w:val="es-CO"/>
              </w:rPr>
            </w:pPr>
            <w:r w:rsidRPr="00766DD7">
              <w:rPr>
                <w:rFonts w:ascii="Arial" w:hAnsi="Arial" w:cs="Arial"/>
                <w:lang w:val="es-CO"/>
              </w:rPr>
              <w:t>Cuando se requiera (ej.: por pacto contractual)</w:t>
            </w:r>
          </w:p>
        </w:tc>
        <w:tc>
          <w:tcPr>
            <w:tcW w:w="4816" w:type="dxa"/>
          </w:tcPr>
          <w:p w:rsidRPr="00766DD7" w:rsidR="008D79AA" w:rsidP="001953F5" w:rsidRDefault="008D79AA" w14:paraId="704F4A37" w14:textId="77777777">
            <w:pPr>
              <w:pStyle w:val="TableParagraph"/>
              <w:numPr>
                <w:ilvl w:val="0"/>
                <w:numId w:val="3"/>
              </w:numPr>
              <w:tabs>
                <w:tab w:val="left" w:pos="539"/>
                <w:tab w:val="left" w:pos="540"/>
                <w:tab w:val="left" w:pos="1706"/>
                <w:tab w:val="left" w:pos="2163"/>
                <w:tab w:val="left" w:pos="3393"/>
                <w:tab w:val="left" w:pos="3852"/>
              </w:tabs>
              <w:spacing w:line="242" w:lineRule="auto"/>
              <w:ind w:left="569" w:right="96" w:hanging="426"/>
              <w:jc w:val="both"/>
              <w:rPr>
                <w:rFonts w:ascii="Arial" w:hAnsi="Arial" w:cs="Arial"/>
                <w:lang w:val="es-CO"/>
              </w:rPr>
            </w:pPr>
            <w:r w:rsidRPr="00766DD7">
              <w:rPr>
                <w:rFonts w:ascii="Arial" w:hAnsi="Arial" w:cs="Arial"/>
                <w:lang w:val="es-CO"/>
              </w:rPr>
              <w:t>Contratos</w:t>
            </w:r>
            <w:r w:rsidRPr="00766DD7">
              <w:rPr>
                <w:rFonts w:ascii="Arial" w:hAnsi="Arial" w:cs="Arial"/>
                <w:lang w:val="es-CO"/>
              </w:rPr>
              <w:tab/>
            </w:r>
            <w:r w:rsidRPr="00766DD7">
              <w:rPr>
                <w:rFonts w:ascii="Arial" w:hAnsi="Arial" w:cs="Arial"/>
                <w:lang w:val="es-CO"/>
              </w:rPr>
              <w:t>de</w:t>
            </w:r>
            <w:r w:rsidRPr="00766DD7">
              <w:rPr>
                <w:rFonts w:ascii="Arial" w:hAnsi="Arial" w:cs="Arial"/>
                <w:lang w:val="es-CO"/>
              </w:rPr>
              <w:tab/>
            </w:r>
            <w:r w:rsidRPr="00766DD7">
              <w:rPr>
                <w:rFonts w:ascii="Arial" w:hAnsi="Arial" w:cs="Arial"/>
                <w:lang w:val="es-CO"/>
              </w:rPr>
              <w:t>prestación</w:t>
            </w:r>
            <w:r w:rsidRPr="00766DD7">
              <w:rPr>
                <w:rFonts w:ascii="Arial" w:hAnsi="Arial" w:cs="Arial"/>
                <w:lang w:val="es-CO"/>
              </w:rPr>
              <w:tab/>
            </w:r>
            <w:r w:rsidRPr="00766DD7">
              <w:rPr>
                <w:rFonts w:ascii="Arial" w:hAnsi="Arial" w:cs="Arial"/>
                <w:lang w:val="es-CO"/>
              </w:rPr>
              <w:t>de</w:t>
            </w:r>
            <w:r w:rsidRPr="00766DD7">
              <w:rPr>
                <w:rFonts w:ascii="Arial" w:hAnsi="Arial" w:cs="Arial"/>
                <w:lang w:val="es-CO"/>
              </w:rPr>
              <w:tab/>
            </w:r>
            <w:r w:rsidRPr="00766DD7">
              <w:rPr>
                <w:rFonts w:ascii="Arial" w:hAnsi="Arial" w:cs="Arial"/>
                <w:spacing w:val="-3"/>
                <w:lang w:val="es-CO"/>
              </w:rPr>
              <w:t xml:space="preserve">servicios </w:t>
            </w:r>
            <w:r w:rsidRPr="00766DD7">
              <w:rPr>
                <w:rFonts w:ascii="Arial" w:hAnsi="Arial" w:cs="Arial"/>
                <w:lang w:val="es-CO"/>
              </w:rPr>
              <w:t>profesionales y de apoyo a la</w:t>
            </w:r>
            <w:r w:rsidRPr="00766DD7">
              <w:rPr>
                <w:rFonts w:ascii="Arial" w:hAnsi="Arial" w:cs="Arial"/>
                <w:spacing w:val="-13"/>
                <w:lang w:val="es-CO"/>
              </w:rPr>
              <w:t xml:space="preserve"> </w:t>
            </w:r>
            <w:r w:rsidRPr="00766DD7">
              <w:rPr>
                <w:rFonts w:ascii="Arial" w:hAnsi="Arial" w:cs="Arial"/>
                <w:lang w:val="es-CO"/>
              </w:rPr>
              <w:t>gestión</w:t>
            </w:r>
          </w:p>
          <w:p w:rsidRPr="00766DD7" w:rsidR="008D79AA" w:rsidP="001953F5" w:rsidRDefault="008D79AA" w14:paraId="704F4A38" w14:textId="77777777">
            <w:pPr>
              <w:pStyle w:val="TableParagraph"/>
              <w:numPr>
                <w:ilvl w:val="0"/>
                <w:numId w:val="3"/>
              </w:numPr>
              <w:tabs>
                <w:tab w:val="left" w:pos="569"/>
                <w:tab w:val="left" w:pos="570"/>
              </w:tabs>
              <w:spacing w:line="250" w:lineRule="exact"/>
              <w:ind w:left="569" w:hanging="426"/>
              <w:jc w:val="both"/>
              <w:rPr>
                <w:rFonts w:ascii="Arial" w:hAnsi="Arial" w:cs="Arial"/>
              </w:rPr>
            </w:pPr>
            <w:proofErr w:type="spellStart"/>
            <w:r w:rsidRPr="00766DD7">
              <w:rPr>
                <w:rFonts w:ascii="Arial" w:hAnsi="Arial" w:cs="Arial"/>
              </w:rPr>
              <w:t>Contratos</w:t>
            </w:r>
            <w:proofErr w:type="spellEnd"/>
            <w:r w:rsidRPr="00766DD7">
              <w:rPr>
                <w:rFonts w:ascii="Arial" w:hAnsi="Arial" w:cs="Arial"/>
              </w:rPr>
              <w:t xml:space="preserve"> de </w:t>
            </w:r>
            <w:proofErr w:type="spellStart"/>
            <w:r w:rsidRPr="00766DD7">
              <w:rPr>
                <w:rFonts w:ascii="Arial" w:hAnsi="Arial" w:cs="Arial"/>
              </w:rPr>
              <w:t>ejecución</w:t>
            </w:r>
            <w:proofErr w:type="spellEnd"/>
            <w:r w:rsidRPr="00766DD7">
              <w:rPr>
                <w:rFonts w:ascii="Arial" w:hAnsi="Arial" w:cs="Arial"/>
                <w:spacing w:val="-7"/>
              </w:rPr>
              <w:t xml:space="preserve"> </w:t>
            </w:r>
            <w:proofErr w:type="spellStart"/>
            <w:r w:rsidRPr="00766DD7">
              <w:rPr>
                <w:rFonts w:ascii="Arial" w:hAnsi="Arial" w:cs="Arial"/>
              </w:rPr>
              <w:t>instantánea</w:t>
            </w:r>
            <w:proofErr w:type="spellEnd"/>
          </w:p>
        </w:tc>
      </w:tr>
    </w:tbl>
    <w:p w:rsidRPr="00766DD7" w:rsidR="008D79AA" w:rsidP="001953F5" w:rsidRDefault="008D79AA" w14:paraId="704F4A3A" w14:textId="77777777">
      <w:pPr>
        <w:pStyle w:val="Textoindependiente"/>
        <w:spacing w:before="1" w:line="276" w:lineRule="auto"/>
        <w:ind w:left="220" w:right="105"/>
        <w:jc w:val="both"/>
        <w:rPr>
          <w:rFonts w:ascii="Arial" w:hAnsi="Arial" w:cs="Arial"/>
        </w:rPr>
      </w:pPr>
    </w:p>
    <w:p w:rsidRPr="00766DD7" w:rsidR="008D79AA" w:rsidP="001953F5" w:rsidRDefault="008D79AA" w14:paraId="704F4A3B" w14:textId="77777777">
      <w:pPr>
        <w:pStyle w:val="Textoindependiente"/>
        <w:spacing w:before="7"/>
        <w:jc w:val="both"/>
        <w:rPr>
          <w:rFonts w:ascii="Arial" w:hAnsi="Arial" w:cs="Arial"/>
          <w:sz w:val="20"/>
        </w:rPr>
      </w:pPr>
    </w:p>
    <w:p w:rsidRPr="00766DD7" w:rsidR="008D79AA" w:rsidP="001953F5" w:rsidRDefault="008D79AA" w14:paraId="704F4A3C" w14:textId="77777777">
      <w:pPr>
        <w:pStyle w:val="Textoindependiente"/>
        <w:spacing w:line="276" w:lineRule="auto"/>
        <w:ind w:left="220" w:right="119"/>
        <w:jc w:val="both"/>
        <w:rPr>
          <w:rFonts w:ascii="Arial" w:hAnsi="Arial" w:cs="Arial"/>
          <w:lang w:val="es-CO"/>
        </w:rPr>
      </w:pPr>
      <w:r w:rsidRPr="00766DD7">
        <w:rPr>
          <w:rFonts w:ascii="Arial" w:hAnsi="Arial" w:cs="Arial"/>
          <w:lang w:val="es-CO"/>
        </w:rPr>
        <w:t>Respecto a la manera de realizar la liquidación, y la oportunidad para ello, el artículo 11 de la ley 1150 de 2007 establece lo siguiente:</w:t>
      </w:r>
    </w:p>
    <w:p w:rsidRPr="00766DD7" w:rsidR="008D79AA" w:rsidP="001953F5" w:rsidRDefault="008D79AA" w14:paraId="704F4A3D" w14:textId="77777777">
      <w:pPr>
        <w:pStyle w:val="Textoindependiente"/>
        <w:spacing w:after="0" w:line="240" w:lineRule="auto"/>
        <w:jc w:val="both"/>
        <w:rPr>
          <w:rFonts w:ascii="Arial" w:hAnsi="Arial" w:cs="Arial"/>
          <w:sz w:val="25"/>
          <w:lang w:val="es-CO"/>
        </w:rPr>
      </w:pPr>
    </w:p>
    <w:p w:rsidRPr="00766DD7" w:rsidR="008D79AA" w:rsidP="001953F5" w:rsidRDefault="008D79AA" w14:paraId="704F4A3E" w14:textId="77777777">
      <w:pPr>
        <w:pStyle w:val="Textoindependiente"/>
        <w:spacing w:after="0" w:line="240" w:lineRule="auto"/>
        <w:ind w:left="930" w:right="535"/>
        <w:jc w:val="both"/>
        <w:rPr>
          <w:rFonts w:ascii="Arial" w:hAnsi="Arial" w:cs="Arial"/>
          <w:lang w:val="es-CO"/>
        </w:rPr>
      </w:pPr>
      <w:r w:rsidRPr="00766DD7">
        <w:rPr>
          <w:rFonts w:ascii="Arial" w:hAnsi="Arial" w:cs="Arial"/>
          <w:lang w:val="es-CO"/>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w:t>
      </w:r>
    </w:p>
    <w:p w:rsidRPr="00766DD7" w:rsidR="008D79AA" w:rsidP="001953F5" w:rsidRDefault="008D79AA" w14:paraId="704F4A3F" w14:textId="77777777">
      <w:pPr>
        <w:pStyle w:val="Textoindependiente"/>
        <w:spacing w:after="0" w:line="240" w:lineRule="auto"/>
        <w:ind w:left="930" w:right="536"/>
        <w:jc w:val="both"/>
        <w:rPr>
          <w:rFonts w:ascii="Arial" w:hAnsi="Arial" w:cs="Arial"/>
          <w:lang w:val="es-CO"/>
        </w:rPr>
      </w:pPr>
      <w:r w:rsidRPr="00766DD7">
        <w:rPr>
          <w:rFonts w:ascii="Arial" w:hAnsi="Arial" w:cs="Arial"/>
          <w:lang w:val="es-CO"/>
        </w:rPr>
        <w:t>(4) meses siguientes a la expiración del término previsto para la ejecución del contrato o a la expedición del acto administrativo que ordene la terminación, o a la fecha del acuerdo que la disponga.</w:t>
      </w:r>
    </w:p>
    <w:p w:rsidRPr="00766DD7" w:rsidR="008D79AA" w:rsidP="001953F5" w:rsidRDefault="008D79AA" w14:paraId="704F4A40" w14:textId="77777777">
      <w:pPr>
        <w:pStyle w:val="Textoindependiente"/>
        <w:spacing w:after="0" w:line="240" w:lineRule="auto"/>
        <w:jc w:val="both"/>
        <w:rPr>
          <w:rFonts w:ascii="Arial" w:hAnsi="Arial" w:cs="Arial"/>
          <w:sz w:val="21"/>
          <w:lang w:val="es-CO"/>
        </w:rPr>
      </w:pPr>
    </w:p>
    <w:p w:rsidRPr="00766DD7" w:rsidR="008D79AA" w:rsidP="001953F5" w:rsidRDefault="008D79AA" w14:paraId="704F4A41" w14:textId="77777777">
      <w:pPr>
        <w:pStyle w:val="Textoindependiente"/>
        <w:spacing w:after="0" w:line="240" w:lineRule="auto"/>
        <w:ind w:left="930" w:right="533"/>
        <w:jc w:val="both"/>
        <w:rPr>
          <w:rFonts w:ascii="Arial" w:hAnsi="Arial" w:cs="Arial"/>
          <w:lang w:val="es-CO"/>
        </w:rPr>
      </w:pPr>
      <w:r w:rsidRPr="00766DD7">
        <w:rPr>
          <w:rFonts w:ascii="Arial" w:hAnsi="Arial" w:cs="Arial"/>
          <w:lang w:val="es-CO"/>
        </w:rPr>
        <w:t xml:space="preserve">En aquellos casos en que el contratista no se presente a la liquidación previa notificación o convocatoria que le haga la entidad, o las partes no lleguen a un acuerdo sobre su contenido, la entidad tendrá la facultad de liquidar en forma </w:t>
      </w:r>
      <w:r w:rsidRPr="00766DD7">
        <w:rPr>
          <w:rFonts w:ascii="Arial" w:hAnsi="Arial" w:cs="Arial"/>
          <w:lang w:val="es-CO"/>
        </w:rPr>
        <w:lastRenderedPageBreak/>
        <w:t>unilateral dentro de los dos (2) meses siguientes, de conformidad con lo dispuesto en el artículo 136 del C. C. A.</w:t>
      </w:r>
      <w:r w:rsidRPr="00766DD7">
        <w:rPr>
          <w:rStyle w:val="Refdenotaalpie"/>
          <w:rFonts w:ascii="Arial" w:hAnsi="Arial" w:cs="Arial"/>
        </w:rPr>
        <w:footnoteReference w:id="11"/>
      </w:r>
    </w:p>
    <w:p w:rsidRPr="00766DD7" w:rsidR="008D79AA" w:rsidP="001953F5" w:rsidRDefault="008D79AA" w14:paraId="704F4A42" w14:textId="77777777">
      <w:pPr>
        <w:pStyle w:val="Textoindependiente"/>
        <w:spacing w:after="0" w:line="240" w:lineRule="auto"/>
        <w:jc w:val="both"/>
        <w:rPr>
          <w:rFonts w:ascii="Arial" w:hAnsi="Arial" w:cs="Arial"/>
          <w:lang w:val="es-CO"/>
        </w:rPr>
      </w:pPr>
    </w:p>
    <w:p w:rsidRPr="00766DD7" w:rsidR="008D79AA" w:rsidP="001953F5" w:rsidRDefault="008D79AA" w14:paraId="704F4A43" w14:textId="77777777">
      <w:pPr>
        <w:pStyle w:val="Textoindependiente"/>
        <w:spacing w:after="0" w:line="240" w:lineRule="auto"/>
        <w:ind w:left="930" w:right="537"/>
        <w:jc w:val="both"/>
        <w:rPr>
          <w:rFonts w:ascii="Arial" w:hAnsi="Arial" w:cs="Arial"/>
          <w:lang w:val="es-CO"/>
        </w:rPr>
      </w:pPr>
      <w:r w:rsidRPr="00766DD7">
        <w:rPr>
          <w:rFonts w:ascii="Arial" w:hAnsi="Arial" w:cs="Arial"/>
          <w:lang w:val="es-CO"/>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w:t>
      </w:r>
      <w:r w:rsidRPr="00766DD7">
        <w:rPr>
          <w:rFonts w:ascii="Arial" w:hAnsi="Arial" w:cs="Arial"/>
          <w:spacing w:val="-9"/>
          <w:lang w:val="es-CO"/>
        </w:rPr>
        <w:t xml:space="preserve"> </w:t>
      </w:r>
      <w:r w:rsidRPr="00766DD7">
        <w:rPr>
          <w:rFonts w:ascii="Arial" w:hAnsi="Arial" w:cs="Arial"/>
          <w:lang w:val="es-CO"/>
        </w:rPr>
        <w:t>A.</w:t>
      </w:r>
      <w:r w:rsidRPr="00766DD7">
        <w:rPr>
          <w:rStyle w:val="Refdenotaalpie"/>
          <w:rFonts w:ascii="Arial" w:hAnsi="Arial" w:cs="Arial"/>
        </w:rPr>
        <w:footnoteReference w:id="12"/>
      </w:r>
    </w:p>
    <w:p w:rsidRPr="00766DD7" w:rsidR="008D79AA" w:rsidP="001953F5" w:rsidRDefault="008D79AA" w14:paraId="704F4A44" w14:textId="77777777">
      <w:pPr>
        <w:pStyle w:val="Textoindependiente"/>
        <w:spacing w:after="0" w:line="240" w:lineRule="auto"/>
        <w:jc w:val="both"/>
        <w:rPr>
          <w:rFonts w:ascii="Arial" w:hAnsi="Arial" w:cs="Arial"/>
          <w:lang w:val="es-CO"/>
        </w:rPr>
      </w:pPr>
    </w:p>
    <w:p w:rsidRPr="00766DD7" w:rsidR="008D79AA" w:rsidP="001953F5" w:rsidRDefault="008D79AA" w14:paraId="704F4A45" w14:textId="77777777">
      <w:pPr>
        <w:pStyle w:val="Textoindependiente"/>
        <w:spacing w:after="0" w:line="240" w:lineRule="auto"/>
        <w:ind w:left="930" w:right="534"/>
        <w:jc w:val="both"/>
        <w:rPr>
          <w:rFonts w:ascii="Arial" w:hAnsi="Arial" w:cs="Arial"/>
          <w:lang w:val="es-CO"/>
        </w:rPr>
      </w:pPr>
      <w:r w:rsidRPr="00766DD7">
        <w:rPr>
          <w:rFonts w:ascii="Arial" w:hAnsi="Arial" w:cs="Arial"/>
          <w:lang w:val="es-CO"/>
        </w:rPr>
        <w:t>Los contratistas tendrán derecho a efectuar salvedades a la liquidación por mutuo acuerdo, y en este evento la liquidación unilateral solo procederá en relación con los aspectos que no hayan sido objeto de acuerdo.”</w:t>
      </w:r>
    </w:p>
    <w:p w:rsidRPr="00766DD7" w:rsidR="008D79AA" w:rsidP="001953F5" w:rsidRDefault="008D79AA" w14:paraId="704F4A46" w14:textId="77777777">
      <w:pPr>
        <w:pStyle w:val="Textoindependiente"/>
        <w:spacing w:before="93" w:line="276" w:lineRule="auto"/>
        <w:ind w:left="220" w:right="112"/>
        <w:jc w:val="both"/>
        <w:rPr>
          <w:rFonts w:ascii="Arial" w:hAnsi="Arial" w:cs="Arial"/>
        </w:rPr>
      </w:pPr>
      <w:r w:rsidRPr="00766DD7">
        <w:rPr>
          <w:rFonts w:ascii="Arial" w:hAnsi="Arial" w:cs="Arial"/>
          <w:lang w:val="es-CO"/>
        </w:rPr>
        <w:t xml:space="preserve">El plazo para liquidar inicia después de su terminación, y depende de si las partes logran o no un acuerdo, o si deciden acudir a un tercero para su realización. </w:t>
      </w:r>
      <w:r w:rsidRPr="00766DD7">
        <w:rPr>
          <w:rFonts w:ascii="Arial" w:hAnsi="Arial" w:cs="Arial"/>
        </w:rPr>
        <w:t xml:space="preserve">Lo anterior </w:t>
      </w:r>
      <w:proofErr w:type="spellStart"/>
      <w:r w:rsidRPr="00766DD7">
        <w:rPr>
          <w:rFonts w:ascii="Arial" w:hAnsi="Arial" w:cs="Arial"/>
        </w:rPr>
        <w:t>puede</w:t>
      </w:r>
      <w:proofErr w:type="spellEnd"/>
      <w:r w:rsidRPr="00766DD7">
        <w:rPr>
          <w:rFonts w:ascii="Arial" w:hAnsi="Arial" w:cs="Arial"/>
        </w:rPr>
        <w:t xml:space="preserve"> </w:t>
      </w:r>
      <w:proofErr w:type="spellStart"/>
      <w:r w:rsidRPr="00766DD7">
        <w:rPr>
          <w:rFonts w:ascii="Arial" w:hAnsi="Arial" w:cs="Arial"/>
        </w:rPr>
        <w:t>sintetizarse</w:t>
      </w:r>
      <w:proofErr w:type="spellEnd"/>
      <w:r w:rsidRPr="00766DD7">
        <w:rPr>
          <w:rFonts w:ascii="Arial" w:hAnsi="Arial" w:cs="Arial"/>
        </w:rPr>
        <w:t xml:space="preserve"> de la </w:t>
      </w:r>
      <w:proofErr w:type="spellStart"/>
      <w:r w:rsidRPr="00766DD7">
        <w:rPr>
          <w:rFonts w:ascii="Arial" w:hAnsi="Arial" w:cs="Arial"/>
        </w:rPr>
        <w:t>siguiente</w:t>
      </w:r>
      <w:proofErr w:type="spellEnd"/>
      <w:r w:rsidRPr="00766DD7">
        <w:rPr>
          <w:rFonts w:ascii="Arial" w:hAnsi="Arial" w:cs="Arial"/>
        </w:rPr>
        <w:t xml:space="preserve"> </w:t>
      </w:r>
      <w:proofErr w:type="spellStart"/>
      <w:r w:rsidRPr="00766DD7">
        <w:rPr>
          <w:rFonts w:ascii="Arial" w:hAnsi="Arial" w:cs="Arial"/>
        </w:rPr>
        <w:t>manera</w:t>
      </w:r>
      <w:proofErr w:type="spellEnd"/>
      <w:r w:rsidRPr="00766DD7">
        <w:rPr>
          <w:rFonts w:ascii="Arial" w:hAnsi="Arial" w:cs="Arial"/>
        </w:rPr>
        <w:t>:</w:t>
      </w:r>
    </w:p>
    <w:p w:rsidRPr="00766DD7" w:rsidR="008D79AA" w:rsidP="001953F5" w:rsidRDefault="008D79AA" w14:paraId="704F4A47" w14:textId="77777777">
      <w:pPr>
        <w:pStyle w:val="Textoindependiente"/>
        <w:spacing w:before="5" w:after="1"/>
        <w:jc w:val="both"/>
        <w:rPr>
          <w:rFonts w:ascii="Arial" w:hAnsi="Arial" w:cs="Arial"/>
          <w:sz w:val="25"/>
        </w:rPr>
      </w:pPr>
    </w:p>
    <w:tbl>
      <w:tblPr>
        <w:tblStyle w:val="TableNormal"/>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50"/>
        <w:gridCol w:w="1806"/>
        <w:gridCol w:w="5666"/>
      </w:tblGrid>
      <w:tr w:rsidRPr="00766DD7" w:rsidR="00766DD7" w:rsidTr="002C3386" w14:paraId="704F4A4B" w14:textId="77777777">
        <w:trPr>
          <w:trHeight w:val="252"/>
        </w:trPr>
        <w:tc>
          <w:tcPr>
            <w:tcW w:w="1450" w:type="dxa"/>
          </w:tcPr>
          <w:p w:rsidRPr="00766DD7" w:rsidR="008D79AA" w:rsidP="001953F5" w:rsidRDefault="008D79AA" w14:paraId="704F4A48" w14:textId="77777777">
            <w:pPr>
              <w:pStyle w:val="TableParagraph"/>
              <w:spacing w:line="232" w:lineRule="exact"/>
              <w:ind w:left="107"/>
              <w:jc w:val="both"/>
              <w:rPr>
                <w:rFonts w:ascii="Arial" w:hAnsi="Arial" w:cs="Arial"/>
                <w:b/>
              </w:rPr>
            </w:pPr>
            <w:proofErr w:type="spellStart"/>
            <w:r w:rsidRPr="00766DD7">
              <w:rPr>
                <w:rFonts w:ascii="Arial" w:hAnsi="Arial" w:cs="Arial"/>
                <w:b/>
              </w:rPr>
              <w:t>Liquidación</w:t>
            </w:r>
            <w:proofErr w:type="spellEnd"/>
          </w:p>
        </w:tc>
        <w:tc>
          <w:tcPr>
            <w:tcW w:w="1806" w:type="dxa"/>
          </w:tcPr>
          <w:p w:rsidRPr="00766DD7" w:rsidR="008D79AA" w:rsidP="001953F5" w:rsidRDefault="008D79AA" w14:paraId="704F4A49" w14:textId="77777777">
            <w:pPr>
              <w:pStyle w:val="TableParagraph"/>
              <w:spacing w:line="232" w:lineRule="exact"/>
              <w:ind w:left="567"/>
              <w:jc w:val="both"/>
              <w:rPr>
                <w:rFonts w:ascii="Arial" w:hAnsi="Arial" w:cs="Arial"/>
                <w:b/>
              </w:rPr>
            </w:pPr>
            <w:r w:rsidRPr="00766DD7">
              <w:rPr>
                <w:rFonts w:ascii="Arial" w:hAnsi="Arial" w:cs="Arial"/>
                <w:b/>
              </w:rPr>
              <w:t>Forma</w:t>
            </w:r>
          </w:p>
        </w:tc>
        <w:tc>
          <w:tcPr>
            <w:tcW w:w="5666" w:type="dxa"/>
          </w:tcPr>
          <w:p w:rsidRPr="00766DD7" w:rsidR="008D79AA" w:rsidP="001953F5" w:rsidRDefault="008D79AA" w14:paraId="704F4A4A" w14:textId="77777777">
            <w:pPr>
              <w:pStyle w:val="TableParagraph"/>
              <w:spacing w:line="232" w:lineRule="exact"/>
              <w:ind w:left="2527" w:right="2514"/>
              <w:jc w:val="both"/>
              <w:rPr>
                <w:rFonts w:ascii="Arial" w:hAnsi="Arial" w:cs="Arial"/>
                <w:b/>
              </w:rPr>
            </w:pPr>
            <w:proofErr w:type="spellStart"/>
            <w:r w:rsidRPr="00766DD7">
              <w:rPr>
                <w:rFonts w:ascii="Arial" w:hAnsi="Arial" w:cs="Arial"/>
                <w:b/>
              </w:rPr>
              <w:t>Plazo</w:t>
            </w:r>
            <w:proofErr w:type="spellEnd"/>
          </w:p>
        </w:tc>
      </w:tr>
      <w:tr w:rsidRPr="00766DD7" w:rsidR="00766DD7" w:rsidTr="002C3386" w14:paraId="704F4A52" w14:textId="77777777">
        <w:trPr>
          <w:trHeight w:val="1770"/>
        </w:trPr>
        <w:tc>
          <w:tcPr>
            <w:tcW w:w="1450" w:type="dxa"/>
            <w:tcBorders>
              <w:bottom w:val="single" w:color="000000" w:sz="6" w:space="0"/>
            </w:tcBorders>
          </w:tcPr>
          <w:p w:rsidRPr="00766DD7" w:rsidR="008D79AA" w:rsidP="001953F5" w:rsidRDefault="008D79AA" w14:paraId="704F4A4C" w14:textId="77777777">
            <w:pPr>
              <w:pStyle w:val="TableParagraph"/>
              <w:spacing w:line="249" w:lineRule="exact"/>
              <w:ind w:left="107"/>
              <w:jc w:val="both"/>
              <w:rPr>
                <w:rFonts w:ascii="Arial" w:hAnsi="Arial" w:cs="Arial"/>
              </w:rPr>
            </w:pPr>
            <w:r w:rsidRPr="00766DD7">
              <w:rPr>
                <w:rFonts w:ascii="Arial" w:hAnsi="Arial" w:cs="Arial"/>
              </w:rPr>
              <w:t>1. Bilateral</w:t>
            </w:r>
          </w:p>
        </w:tc>
        <w:tc>
          <w:tcPr>
            <w:tcW w:w="1806" w:type="dxa"/>
            <w:tcBorders>
              <w:bottom w:val="single" w:color="000000" w:sz="6" w:space="0"/>
            </w:tcBorders>
          </w:tcPr>
          <w:p w:rsidRPr="00766DD7" w:rsidR="008D79AA" w:rsidP="001953F5" w:rsidRDefault="008D79AA" w14:paraId="704F4A4D" w14:textId="77777777">
            <w:pPr>
              <w:pStyle w:val="TableParagraph"/>
              <w:ind w:left="110" w:right="94"/>
              <w:jc w:val="both"/>
              <w:rPr>
                <w:rFonts w:ascii="Arial" w:hAnsi="Arial" w:cs="Arial"/>
                <w:lang w:val="es-CO"/>
              </w:rPr>
            </w:pPr>
            <w:r w:rsidRPr="00766DD7">
              <w:rPr>
                <w:rFonts w:ascii="Arial" w:hAnsi="Arial" w:cs="Arial"/>
                <w:lang w:val="es-CO"/>
              </w:rPr>
              <w:t>Acta suscrita de común acuerdo por las partes</w:t>
            </w:r>
          </w:p>
        </w:tc>
        <w:tc>
          <w:tcPr>
            <w:tcW w:w="5666" w:type="dxa"/>
            <w:tcBorders>
              <w:bottom w:val="single" w:color="000000" w:sz="6" w:space="0"/>
            </w:tcBorders>
          </w:tcPr>
          <w:p w:rsidRPr="00766DD7" w:rsidR="008D79AA" w:rsidP="001953F5" w:rsidRDefault="008D79AA" w14:paraId="704F4A4E" w14:textId="77777777">
            <w:pPr>
              <w:pStyle w:val="TableParagraph"/>
              <w:numPr>
                <w:ilvl w:val="0"/>
                <w:numId w:val="2"/>
              </w:numPr>
              <w:tabs>
                <w:tab w:val="left" w:pos="604"/>
                <w:tab w:val="left" w:pos="605"/>
                <w:tab w:val="left" w:pos="1113"/>
                <w:tab w:val="left" w:pos="1949"/>
                <w:tab w:val="left" w:pos="2507"/>
                <w:tab w:val="left" w:pos="3406"/>
                <w:tab w:val="left" w:pos="3960"/>
                <w:tab w:val="left" w:pos="5432"/>
              </w:tabs>
              <w:spacing w:line="242" w:lineRule="auto"/>
              <w:ind w:right="98" w:firstLine="0"/>
              <w:jc w:val="both"/>
              <w:rPr>
                <w:rFonts w:ascii="Arial" w:hAnsi="Arial" w:cs="Arial"/>
                <w:lang w:val="es-CO"/>
              </w:rPr>
            </w:pPr>
            <w:r w:rsidRPr="00766DD7">
              <w:rPr>
                <w:rFonts w:ascii="Arial" w:hAnsi="Arial" w:cs="Arial"/>
                <w:lang w:val="es-CO"/>
              </w:rPr>
              <w:t>El</w:t>
            </w:r>
            <w:r w:rsidRPr="00766DD7">
              <w:rPr>
                <w:rFonts w:ascii="Arial" w:hAnsi="Arial" w:cs="Arial"/>
                <w:lang w:val="es-CO"/>
              </w:rPr>
              <w:tab/>
            </w:r>
            <w:r w:rsidRPr="00766DD7">
              <w:rPr>
                <w:rFonts w:ascii="Arial" w:hAnsi="Arial" w:cs="Arial"/>
                <w:lang w:val="es-CO"/>
              </w:rPr>
              <w:t>fijado</w:t>
            </w:r>
            <w:r w:rsidRPr="00766DD7">
              <w:rPr>
                <w:rFonts w:ascii="Arial" w:hAnsi="Arial" w:cs="Arial"/>
                <w:lang w:val="es-CO"/>
              </w:rPr>
              <w:tab/>
            </w:r>
            <w:r w:rsidRPr="00766DD7">
              <w:rPr>
                <w:rFonts w:ascii="Arial" w:hAnsi="Arial" w:cs="Arial"/>
                <w:lang w:val="es-CO"/>
              </w:rPr>
              <w:t>en</w:t>
            </w:r>
            <w:r w:rsidRPr="00766DD7">
              <w:rPr>
                <w:rFonts w:ascii="Arial" w:hAnsi="Arial" w:cs="Arial"/>
                <w:lang w:val="es-CO"/>
              </w:rPr>
              <w:tab/>
            </w:r>
            <w:r w:rsidRPr="00766DD7">
              <w:rPr>
                <w:rFonts w:ascii="Arial" w:hAnsi="Arial" w:cs="Arial"/>
                <w:lang w:val="es-CO"/>
              </w:rPr>
              <w:t>pliego</w:t>
            </w:r>
            <w:r w:rsidRPr="00766DD7">
              <w:rPr>
                <w:rFonts w:ascii="Arial" w:hAnsi="Arial" w:cs="Arial"/>
                <w:lang w:val="es-CO"/>
              </w:rPr>
              <w:tab/>
            </w:r>
            <w:r w:rsidRPr="00766DD7">
              <w:rPr>
                <w:rFonts w:ascii="Arial" w:hAnsi="Arial" w:cs="Arial"/>
                <w:lang w:val="es-CO"/>
              </w:rPr>
              <w:t>de</w:t>
            </w:r>
            <w:r w:rsidRPr="00766DD7">
              <w:rPr>
                <w:rFonts w:ascii="Arial" w:hAnsi="Arial" w:cs="Arial"/>
                <w:lang w:val="es-CO"/>
              </w:rPr>
              <w:tab/>
            </w:r>
            <w:r w:rsidRPr="00766DD7">
              <w:rPr>
                <w:rFonts w:ascii="Arial" w:hAnsi="Arial" w:cs="Arial"/>
                <w:lang w:val="es-CO"/>
              </w:rPr>
              <w:t>condiciones</w:t>
            </w:r>
            <w:r w:rsidRPr="00766DD7">
              <w:rPr>
                <w:rFonts w:ascii="Arial" w:hAnsi="Arial" w:cs="Arial"/>
                <w:lang w:val="es-CO"/>
              </w:rPr>
              <w:tab/>
            </w:r>
            <w:r w:rsidRPr="00766DD7">
              <w:rPr>
                <w:rFonts w:ascii="Arial" w:hAnsi="Arial" w:cs="Arial"/>
                <w:spacing w:val="-17"/>
                <w:lang w:val="es-CO"/>
              </w:rPr>
              <w:t xml:space="preserve">o </w:t>
            </w:r>
            <w:r w:rsidRPr="00766DD7">
              <w:rPr>
                <w:rFonts w:ascii="Arial" w:hAnsi="Arial" w:cs="Arial"/>
                <w:lang w:val="es-CO"/>
              </w:rPr>
              <w:t>convencionalmente</w:t>
            </w:r>
          </w:p>
          <w:p w:rsidRPr="00766DD7" w:rsidR="008D79AA" w:rsidP="001953F5" w:rsidRDefault="008D79AA" w14:paraId="704F4A4F" w14:textId="77777777">
            <w:pPr>
              <w:pStyle w:val="TableParagraph"/>
              <w:numPr>
                <w:ilvl w:val="0"/>
                <w:numId w:val="2"/>
              </w:numPr>
              <w:tabs>
                <w:tab w:val="left" w:pos="450"/>
              </w:tabs>
              <w:ind w:right="97" w:firstLine="0"/>
              <w:jc w:val="both"/>
              <w:rPr>
                <w:rFonts w:ascii="Arial" w:hAnsi="Arial" w:cs="Arial"/>
                <w:lang w:val="es-CO"/>
              </w:rPr>
            </w:pPr>
            <w:r w:rsidRPr="00766DD7">
              <w:rPr>
                <w:rFonts w:ascii="Arial" w:hAnsi="Arial" w:cs="Arial"/>
                <w:lang w:val="es-CO"/>
              </w:rPr>
              <w:t>Dentro de los 4 meses siguientes (plazo legal supletorio)</w:t>
            </w:r>
          </w:p>
          <w:p w:rsidRPr="00766DD7" w:rsidR="008D79AA" w:rsidP="001953F5" w:rsidRDefault="008D79AA" w14:paraId="704F4A50" w14:textId="77777777">
            <w:pPr>
              <w:pStyle w:val="TableParagraph"/>
              <w:numPr>
                <w:ilvl w:val="0"/>
                <w:numId w:val="2"/>
              </w:numPr>
              <w:tabs>
                <w:tab w:val="left" w:pos="342"/>
              </w:tabs>
              <w:ind w:right="99" w:firstLine="0"/>
              <w:jc w:val="both"/>
              <w:rPr>
                <w:rFonts w:ascii="Arial" w:hAnsi="Arial" w:cs="Arial"/>
                <w:lang w:val="es-CO"/>
              </w:rPr>
            </w:pPr>
            <w:r w:rsidRPr="00766DD7">
              <w:rPr>
                <w:rFonts w:ascii="Arial" w:hAnsi="Arial" w:cs="Arial"/>
                <w:lang w:val="es-CO"/>
              </w:rPr>
              <w:t>Dentro de los 2 años siguientes al vencimiento de los anteriores</w:t>
            </w:r>
            <w:r w:rsidRPr="00766DD7">
              <w:rPr>
                <w:rFonts w:ascii="Arial" w:hAnsi="Arial" w:cs="Arial"/>
                <w:spacing w:val="14"/>
                <w:lang w:val="es-CO"/>
              </w:rPr>
              <w:t xml:space="preserve"> </w:t>
            </w:r>
            <w:r w:rsidRPr="00766DD7">
              <w:rPr>
                <w:rFonts w:ascii="Arial" w:hAnsi="Arial" w:cs="Arial"/>
                <w:lang w:val="es-CO"/>
              </w:rPr>
              <w:t>conforme</w:t>
            </w:r>
            <w:r w:rsidRPr="00766DD7">
              <w:rPr>
                <w:rFonts w:ascii="Arial" w:hAnsi="Arial" w:cs="Arial"/>
                <w:spacing w:val="14"/>
                <w:lang w:val="es-CO"/>
              </w:rPr>
              <w:t xml:space="preserve"> </w:t>
            </w:r>
            <w:r w:rsidRPr="00766DD7">
              <w:rPr>
                <w:rFonts w:ascii="Arial" w:hAnsi="Arial" w:cs="Arial"/>
                <w:lang w:val="es-CO"/>
              </w:rPr>
              <w:t>al</w:t>
            </w:r>
            <w:r w:rsidRPr="00766DD7">
              <w:rPr>
                <w:rFonts w:ascii="Arial" w:hAnsi="Arial" w:cs="Arial"/>
                <w:spacing w:val="16"/>
                <w:lang w:val="es-CO"/>
              </w:rPr>
              <w:t xml:space="preserve"> </w:t>
            </w:r>
            <w:r w:rsidRPr="00766DD7">
              <w:rPr>
                <w:rFonts w:ascii="Arial" w:hAnsi="Arial" w:cs="Arial"/>
                <w:lang w:val="es-CO"/>
              </w:rPr>
              <w:t>literal</w:t>
            </w:r>
            <w:r w:rsidRPr="00766DD7">
              <w:rPr>
                <w:rFonts w:ascii="Arial" w:hAnsi="Arial" w:cs="Arial"/>
                <w:spacing w:val="15"/>
                <w:lang w:val="es-CO"/>
              </w:rPr>
              <w:t xml:space="preserve"> </w:t>
            </w:r>
            <w:r w:rsidRPr="00766DD7">
              <w:rPr>
                <w:rFonts w:ascii="Arial" w:hAnsi="Arial" w:cs="Arial"/>
                <w:lang w:val="es-CO"/>
              </w:rPr>
              <w:t>j),</w:t>
            </w:r>
            <w:r w:rsidRPr="00766DD7">
              <w:rPr>
                <w:rFonts w:ascii="Arial" w:hAnsi="Arial" w:cs="Arial"/>
                <w:spacing w:val="14"/>
                <w:lang w:val="es-CO"/>
              </w:rPr>
              <w:t xml:space="preserve"> </w:t>
            </w:r>
            <w:r w:rsidRPr="00766DD7">
              <w:rPr>
                <w:rFonts w:ascii="Arial" w:hAnsi="Arial" w:cs="Arial"/>
                <w:lang w:val="es-CO"/>
              </w:rPr>
              <w:t>numeral</w:t>
            </w:r>
            <w:r w:rsidRPr="00766DD7">
              <w:rPr>
                <w:rFonts w:ascii="Arial" w:hAnsi="Arial" w:cs="Arial"/>
                <w:spacing w:val="12"/>
                <w:lang w:val="es-CO"/>
              </w:rPr>
              <w:t xml:space="preserve"> </w:t>
            </w:r>
            <w:r w:rsidRPr="00766DD7">
              <w:rPr>
                <w:rFonts w:ascii="Arial" w:hAnsi="Arial" w:cs="Arial"/>
                <w:lang w:val="es-CO"/>
              </w:rPr>
              <w:t>2.</w:t>
            </w:r>
            <w:r w:rsidRPr="00766DD7">
              <w:rPr>
                <w:rFonts w:ascii="Arial" w:hAnsi="Arial" w:cs="Arial"/>
                <w:spacing w:val="13"/>
                <w:lang w:val="es-CO"/>
              </w:rPr>
              <w:t xml:space="preserve"> </w:t>
            </w:r>
            <w:r w:rsidRPr="00766DD7">
              <w:rPr>
                <w:rFonts w:ascii="Arial" w:hAnsi="Arial" w:cs="Arial"/>
                <w:lang w:val="es-CO"/>
              </w:rPr>
              <w:t>del</w:t>
            </w:r>
            <w:r w:rsidRPr="00766DD7">
              <w:rPr>
                <w:rFonts w:ascii="Arial" w:hAnsi="Arial" w:cs="Arial"/>
                <w:spacing w:val="17"/>
                <w:lang w:val="es-CO"/>
              </w:rPr>
              <w:t xml:space="preserve"> </w:t>
            </w:r>
            <w:r w:rsidRPr="00766DD7">
              <w:rPr>
                <w:rFonts w:ascii="Arial" w:hAnsi="Arial" w:cs="Arial"/>
                <w:lang w:val="es-CO"/>
              </w:rPr>
              <w:t>art.</w:t>
            </w:r>
            <w:r w:rsidRPr="00766DD7">
              <w:rPr>
                <w:rFonts w:ascii="Arial" w:hAnsi="Arial" w:cs="Arial"/>
                <w:spacing w:val="13"/>
                <w:lang w:val="es-CO"/>
              </w:rPr>
              <w:t xml:space="preserve"> </w:t>
            </w:r>
            <w:r w:rsidRPr="00766DD7">
              <w:rPr>
                <w:rFonts w:ascii="Arial" w:hAnsi="Arial" w:cs="Arial"/>
                <w:lang w:val="es-CO"/>
              </w:rPr>
              <w:t>164</w:t>
            </w:r>
          </w:p>
          <w:p w:rsidRPr="00766DD7" w:rsidR="008D79AA" w:rsidP="001953F5" w:rsidRDefault="008D79AA" w14:paraId="704F4A51" w14:textId="77777777">
            <w:pPr>
              <w:pStyle w:val="TableParagraph"/>
              <w:spacing w:line="234" w:lineRule="exact"/>
              <w:jc w:val="both"/>
              <w:rPr>
                <w:rFonts w:ascii="Arial" w:hAnsi="Arial" w:cs="Arial"/>
              </w:rPr>
            </w:pPr>
            <w:r w:rsidRPr="00766DD7">
              <w:rPr>
                <w:rFonts w:ascii="Arial" w:hAnsi="Arial" w:cs="Arial"/>
              </w:rPr>
              <w:t>CPACA</w:t>
            </w:r>
          </w:p>
        </w:tc>
      </w:tr>
      <w:tr w:rsidRPr="00423596" w:rsidR="00766DD7" w:rsidTr="002C3386" w14:paraId="704F4A58" w14:textId="77777777">
        <w:trPr>
          <w:trHeight w:val="1262"/>
        </w:trPr>
        <w:tc>
          <w:tcPr>
            <w:tcW w:w="1450" w:type="dxa"/>
            <w:tcBorders>
              <w:top w:val="single" w:color="000000" w:sz="6" w:space="0"/>
            </w:tcBorders>
          </w:tcPr>
          <w:p w:rsidRPr="00766DD7" w:rsidR="008D79AA" w:rsidP="001953F5" w:rsidRDefault="008D79AA" w14:paraId="704F4A53" w14:textId="77777777">
            <w:pPr>
              <w:pStyle w:val="TableParagraph"/>
              <w:spacing w:line="247" w:lineRule="exact"/>
              <w:ind w:left="107"/>
              <w:jc w:val="both"/>
              <w:rPr>
                <w:rFonts w:ascii="Arial" w:hAnsi="Arial" w:cs="Arial"/>
              </w:rPr>
            </w:pPr>
            <w:r w:rsidRPr="00766DD7">
              <w:rPr>
                <w:rFonts w:ascii="Arial" w:hAnsi="Arial" w:cs="Arial"/>
              </w:rPr>
              <w:t>2. Unilateral</w:t>
            </w:r>
          </w:p>
        </w:tc>
        <w:tc>
          <w:tcPr>
            <w:tcW w:w="1806" w:type="dxa"/>
            <w:tcBorders>
              <w:top w:val="single" w:color="000000" w:sz="6" w:space="0"/>
            </w:tcBorders>
          </w:tcPr>
          <w:p w:rsidRPr="00766DD7" w:rsidR="008D79AA" w:rsidP="001953F5" w:rsidRDefault="008D79AA" w14:paraId="704F4A54" w14:textId="77777777">
            <w:pPr>
              <w:pStyle w:val="TableParagraph"/>
              <w:ind w:left="110"/>
              <w:jc w:val="both"/>
              <w:rPr>
                <w:rFonts w:ascii="Arial" w:hAnsi="Arial" w:cs="Arial"/>
                <w:lang w:val="es-CO"/>
              </w:rPr>
            </w:pPr>
            <w:r w:rsidRPr="00766DD7">
              <w:rPr>
                <w:rFonts w:ascii="Arial" w:hAnsi="Arial" w:cs="Arial"/>
                <w:lang w:val="es-CO"/>
              </w:rPr>
              <w:t>Acto administrativo expedido por la entidad</w:t>
            </w:r>
          </w:p>
          <w:p w:rsidRPr="00766DD7" w:rsidR="008D79AA" w:rsidP="001953F5" w:rsidRDefault="008D79AA" w14:paraId="704F4A55" w14:textId="77777777">
            <w:pPr>
              <w:pStyle w:val="TableParagraph"/>
              <w:spacing w:line="236" w:lineRule="exact"/>
              <w:ind w:left="110"/>
              <w:jc w:val="both"/>
              <w:rPr>
                <w:rFonts w:ascii="Arial" w:hAnsi="Arial" w:cs="Arial"/>
              </w:rPr>
            </w:pPr>
            <w:proofErr w:type="spellStart"/>
            <w:r w:rsidRPr="00766DD7">
              <w:rPr>
                <w:rFonts w:ascii="Arial" w:hAnsi="Arial" w:cs="Arial"/>
              </w:rPr>
              <w:t>contratante</w:t>
            </w:r>
            <w:proofErr w:type="spellEnd"/>
          </w:p>
        </w:tc>
        <w:tc>
          <w:tcPr>
            <w:tcW w:w="5666" w:type="dxa"/>
            <w:tcBorders>
              <w:top w:val="single" w:color="000000" w:sz="6" w:space="0"/>
            </w:tcBorders>
          </w:tcPr>
          <w:p w:rsidRPr="00766DD7" w:rsidR="008D79AA" w:rsidP="001953F5" w:rsidRDefault="008D79AA" w14:paraId="704F4A56" w14:textId="77777777">
            <w:pPr>
              <w:pStyle w:val="TableParagraph"/>
              <w:numPr>
                <w:ilvl w:val="0"/>
                <w:numId w:val="1"/>
              </w:numPr>
              <w:tabs>
                <w:tab w:val="left" w:pos="352"/>
              </w:tabs>
              <w:spacing w:line="246" w:lineRule="exact"/>
              <w:jc w:val="both"/>
              <w:rPr>
                <w:rFonts w:ascii="Arial" w:hAnsi="Arial" w:cs="Arial"/>
              </w:rPr>
            </w:pPr>
            <w:proofErr w:type="spellStart"/>
            <w:r w:rsidRPr="00766DD7">
              <w:rPr>
                <w:rFonts w:ascii="Arial" w:hAnsi="Arial" w:cs="Arial"/>
              </w:rPr>
              <w:t>Dentro</w:t>
            </w:r>
            <w:proofErr w:type="spellEnd"/>
            <w:r w:rsidRPr="00766DD7">
              <w:rPr>
                <w:rFonts w:ascii="Arial" w:hAnsi="Arial" w:cs="Arial"/>
              </w:rPr>
              <w:t xml:space="preserve"> de </w:t>
            </w:r>
            <w:proofErr w:type="spellStart"/>
            <w:r w:rsidRPr="00766DD7">
              <w:rPr>
                <w:rFonts w:ascii="Arial" w:hAnsi="Arial" w:cs="Arial"/>
              </w:rPr>
              <w:t>los</w:t>
            </w:r>
            <w:proofErr w:type="spellEnd"/>
            <w:r w:rsidRPr="00766DD7">
              <w:rPr>
                <w:rFonts w:ascii="Arial" w:hAnsi="Arial" w:cs="Arial"/>
              </w:rPr>
              <w:t xml:space="preserve"> 2 </w:t>
            </w:r>
            <w:proofErr w:type="spellStart"/>
            <w:r w:rsidRPr="00766DD7">
              <w:rPr>
                <w:rFonts w:ascii="Arial" w:hAnsi="Arial" w:cs="Arial"/>
              </w:rPr>
              <w:t>meses</w:t>
            </w:r>
            <w:proofErr w:type="spellEnd"/>
            <w:r w:rsidRPr="00766DD7">
              <w:rPr>
                <w:rFonts w:ascii="Arial" w:hAnsi="Arial" w:cs="Arial"/>
                <w:spacing w:val="-3"/>
              </w:rPr>
              <w:t xml:space="preserve"> </w:t>
            </w:r>
            <w:proofErr w:type="spellStart"/>
            <w:r w:rsidRPr="00766DD7">
              <w:rPr>
                <w:rFonts w:ascii="Arial" w:hAnsi="Arial" w:cs="Arial"/>
              </w:rPr>
              <w:t>siguientes</w:t>
            </w:r>
            <w:proofErr w:type="spellEnd"/>
          </w:p>
          <w:p w:rsidRPr="00766DD7" w:rsidR="008D79AA" w:rsidP="001953F5" w:rsidRDefault="008D79AA" w14:paraId="704F4A57" w14:textId="77777777">
            <w:pPr>
              <w:pStyle w:val="TableParagraph"/>
              <w:numPr>
                <w:ilvl w:val="0"/>
                <w:numId w:val="1"/>
              </w:numPr>
              <w:tabs>
                <w:tab w:val="left" w:pos="355"/>
              </w:tabs>
              <w:ind w:left="109" w:right="96" w:firstLine="0"/>
              <w:jc w:val="both"/>
              <w:rPr>
                <w:rFonts w:ascii="Arial" w:hAnsi="Arial" w:cs="Arial"/>
                <w:lang w:val="es-CO"/>
              </w:rPr>
            </w:pPr>
            <w:r w:rsidRPr="00766DD7">
              <w:rPr>
                <w:rFonts w:ascii="Arial" w:hAnsi="Arial" w:cs="Arial"/>
                <w:lang w:val="es-CO"/>
              </w:rPr>
              <w:t>Dentro de los 2 años siguientes al vencimiento de los anteriores conforme al literal j), numeral 2. del art. 164 CPACA</w:t>
            </w:r>
          </w:p>
        </w:tc>
      </w:tr>
      <w:tr w:rsidRPr="00423596" w:rsidR="005304B9" w:rsidTr="002C3386" w14:paraId="704F4A5D" w14:textId="77777777">
        <w:trPr>
          <w:trHeight w:val="760"/>
        </w:trPr>
        <w:tc>
          <w:tcPr>
            <w:tcW w:w="1450" w:type="dxa"/>
          </w:tcPr>
          <w:p w:rsidRPr="00766DD7" w:rsidR="005304B9" w:rsidP="002C3386" w:rsidRDefault="005304B9" w14:paraId="704F4A59" w14:textId="77777777">
            <w:pPr>
              <w:pStyle w:val="TableParagraph"/>
              <w:spacing w:line="249" w:lineRule="exact"/>
              <w:ind w:left="107"/>
              <w:jc w:val="both"/>
              <w:rPr>
                <w:rFonts w:ascii="Arial" w:hAnsi="Arial" w:cs="Arial"/>
              </w:rPr>
            </w:pPr>
            <w:r w:rsidRPr="00766DD7">
              <w:rPr>
                <w:rFonts w:ascii="Arial" w:hAnsi="Arial" w:cs="Arial"/>
              </w:rPr>
              <w:t>3. Judicial</w:t>
            </w:r>
          </w:p>
        </w:tc>
        <w:tc>
          <w:tcPr>
            <w:tcW w:w="1806" w:type="dxa"/>
          </w:tcPr>
          <w:p w:rsidRPr="00766DD7" w:rsidR="005304B9" w:rsidP="002C3386" w:rsidRDefault="005304B9" w14:paraId="704F4A5A" w14:textId="77777777">
            <w:pPr>
              <w:pStyle w:val="TableParagraph"/>
              <w:spacing w:line="249" w:lineRule="exact"/>
              <w:ind w:left="110"/>
              <w:jc w:val="both"/>
              <w:rPr>
                <w:rFonts w:ascii="Arial" w:hAnsi="Arial" w:cs="Arial"/>
              </w:rPr>
            </w:pPr>
            <w:proofErr w:type="spellStart"/>
            <w:r w:rsidRPr="00766DD7">
              <w:rPr>
                <w:rFonts w:ascii="Arial" w:hAnsi="Arial" w:cs="Arial"/>
              </w:rPr>
              <w:t>Sentencia</w:t>
            </w:r>
            <w:proofErr w:type="spellEnd"/>
          </w:p>
        </w:tc>
        <w:tc>
          <w:tcPr>
            <w:tcW w:w="5666" w:type="dxa"/>
          </w:tcPr>
          <w:p w:rsidRPr="00766DD7" w:rsidR="005304B9" w:rsidP="002C3386" w:rsidRDefault="005304B9" w14:paraId="704F4A5B" w14:textId="77777777">
            <w:pPr>
              <w:pStyle w:val="TableParagraph"/>
              <w:spacing w:line="249" w:lineRule="exact"/>
              <w:jc w:val="both"/>
              <w:rPr>
                <w:rFonts w:ascii="Arial" w:hAnsi="Arial" w:cs="Arial"/>
                <w:lang w:val="es-CO"/>
              </w:rPr>
            </w:pPr>
            <w:r w:rsidRPr="00766DD7">
              <w:rPr>
                <w:rFonts w:ascii="Arial" w:hAnsi="Arial" w:cs="Arial"/>
                <w:lang w:val="es-CO"/>
              </w:rPr>
              <w:t>b. Si se acude al medio de control de controversias</w:t>
            </w:r>
          </w:p>
          <w:p w:rsidRPr="00766DD7" w:rsidR="005304B9" w:rsidP="002C3386" w:rsidRDefault="005304B9" w14:paraId="704F4A5C" w14:textId="77777777">
            <w:pPr>
              <w:pStyle w:val="TableParagraph"/>
              <w:spacing w:before="6" w:line="252" w:lineRule="exact"/>
              <w:jc w:val="both"/>
              <w:rPr>
                <w:rFonts w:ascii="Arial" w:hAnsi="Arial" w:cs="Arial"/>
                <w:lang w:val="es-CO"/>
              </w:rPr>
            </w:pPr>
            <w:r w:rsidRPr="00766DD7">
              <w:rPr>
                <w:rFonts w:ascii="Arial" w:hAnsi="Arial" w:cs="Arial"/>
                <w:lang w:val="es-CO"/>
              </w:rPr>
              <w:t>contractuales antes de que opere la caducidad, según literal j), numeral 2. del art. 164 CPACA</w:t>
            </w:r>
            <w:r w:rsidRPr="00766DD7">
              <w:rPr>
                <w:rFonts w:ascii="Arial" w:hAnsi="Arial" w:cs="Arial"/>
                <w:vertAlign w:val="superscript"/>
                <w:lang w:val="es-CO"/>
              </w:rPr>
              <w:t>17</w:t>
            </w:r>
          </w:p>
        </w:tc>
      </w:tr>
    </w:tbl>
    <w:p w:rsidRPr="00766DD7" w:rsidR="005304B9" w:rsidP="005304B9" w:rsidRDefault="005304B9" w14:paraId="704F4A5E" w14:textId="77777777">
      <w:pPr>
        <w:pStyle w:val="Textoindependiente"/>
        <w:spacing w:before="9"/>
        <w:jc w:val="both"/>
        <w:rPr>
          <w:rFonts w:ascii="Arial" w:hAnsi="Arial" w:cs="Arial"/>
          <w:sz w:val="16"/>
          <w:lang w:val="es-CO"/>
        </w:rPr>
      </w:pPr>
    </w:p>
    <w:p w:rsidRPr="00766DD7" w:rsidR="005304B9" w:rsidP="005304B9" w:rsidRDefault="005304B9" w14:paraId="704F4A5F" w14:textId="77777777">
      <w:pPr>
        <w:pStyle w:val="Textoindependiente"/>
        <w:spacing w:before="93" w:line="276" w:lineRule="auto"/>
        <w:ind w:left="220" w:right="103"/>
        <w:jc w:val="both"/>
        <w:rPr>
          <w:rFonts w:ascii="Arial" w:hAnsi="Arial" w:cs="Arial"/>
          <w:lang w:val="es-CO"/>
        </w:rPr>
      </w:pPr>
      <w:r w:rsidRPr="00766DD7">
        <w:rPr>
          <w:rFonts w:ascii="Arial" w:hAnsi="Arial" w:cs="Arial"/>
          <w:lang w:val="es-CO"/>
        </w:rPr>
        <w:lastRenderedPageBreak/>
        <w:t>La regulación precitada le aplica a todo negocio jurídico regido por el Estatuto General de la Contratación Estatal, expedido al amparo del inciso final del artículo 150 de la Constitución Política, esto es, a todo acto jurídico generador de obligaciones</w:t>
      </w:r>
      <w:r w:rsidRPr="00766DD7">
        <w:rPr>
          <w:rStyle w:val="Refdenotaalpie"/>
          <w:rFonts w:ascii="Arial" w:hAnsi="Arial" w:cs="Arial"/>
        </w:rPr>
        <w:footnoteReference w:id="13"/>
      </w:r>
      <w:r w:rsidRPr="00766DD7">
        <w:rPr>
          <w:rFonts w:ascii="Arial" w:hAnsi="Arial" w:cs="Arial"/>
          <w:lang w:val="es-CO"/>
        </w:rPr>
        <w:t xml:space="preserve">celebrado por una de las entidades estatales relacionadas en el artículo 2° de la Ley 80 de 1993, cuya actividad contractual se sujeta, íntegramente, al ámbito de cobertura de los principios, deberes, derechos, procedimientos y reglas consagrados en la Ley 80 de 1993, la Ley 1150 de 2007 y demás normas legales y reglamentarias, expedidas con el fin de regular las etapas precontractual, contractual y </w:t>
      </w:r>
      <w:proofErr w:type="spellStart"/>
      <w:r w:rsidRPr="00766DD7">
        <w:rPr>
          <w:rFonts w:ascii="Arial" w:hAnsi="Arial" w:cs="Arial"/>
          <w:lang w:val="es-CO"/>
        </w:rPr>
        <w:t>postcontractual</w:t>
      </w:r>
      <w:proofErr w:type="spellEnd"/>
      <w:r w:rsidRPr="00766DD7">
        <w:rPr>
          <w:rFonts w:ascii="Arial" w:hAnsi="Arial" w:cs="Arial"/>
          <w:lang w:val="es-CO"/>
        </w:rPr>
        <w:t xml:space="preserve"> de los contratos</w:t>
      </w:r>
      <w:r w:rsidRPr="00766DD7">
        <w:rPr>
          <w:rFonts w:ascii="Arial" w:hAnsi="Arial" w:cs="Arial"/>
          <w:spacing w:val="-16"/>
          <w:lang w:val="es-CO"/>
        </w:rPr>
        <w:t xml:space="preserve"> </w:t>
      </w:r>
      <w:r w:rsidRPr="00766DD7">
        <w:rPr>
          <w:rFonts w:ascii="Arial" w:hAnsi="Arial" w:cs="Arial"/>
          <w:lang w:val="es-CO"/>
        </w:rPr>
        <w:t>estatales.</w:t>
      </w:r>
    </w:p>
    <w:p w:rsidRPr="00766DD7" w:rsidR="005304B9" w:rsidP="005304B9" w:rsidRDefault="005304B9" w14:paraId="704F4A60" w14:textId="77777777">
      <w:pPr>
        <w:pStyle w:val="Ttulo1"/>
        <w:spacing w:line="276" w:lineRule="auto"/>
        <w:ind w:left="220"/>
        <w:jc w:val="both"/>
        <w:rPr>
          <w:rFonts w:ascii="Arial" w:hAnsi="Arial" w:cs="Arial"/>
          <w:b/>
          <w:color w:val="auto"/>
          <w:sz w:val="22"/>
          <w:szCs w:val="22"/>
          <w:lang w:val="es-CO"/>
        </w:rPr>
      </w:pPr>
      <w:r w:rsidRPr="00766DD7">
        <w:rPr>
          <w:rFonts w:ascii="Arial" w:hAnsi="Arial" w:cs="Arial"/>
          <w:b/>
          <w:color w:val="auto"/>
          <w:sz w:val="22"/>
          <w:szCs w:val="22"/>
          <w:lang w:val="es-CO"/>
        </w:rPr>
        <w:t>2.3. Inexistencia de obligación de liquidar los convenios especiales de cooperación bajo el régimen de las Leyes 80 de 1993 y 1150 de 2007</w:t>
      </w:r>
    </w:p>
    <w:p w:rsidRPr="00766DD7" w:rsidR="005304B9" w:rsidP="005304B9" w:rsidRDefault="005304B9" w14:paraId="704F4A61" w14:textId="77777777">
      <w:pPr>
        <w:pStyle w:val="Textoindependiente"/>
        <w:spacing w:before="3"/>
        <w:jc w:val="both"/>
        <w:rPr>
          <w:rFonts w:ascii="Arial" w:hAnsi="Arial" w:cs="Arial"/>
          <w:b/>
          <w:lang w:val="es-CO"/>
        </w:rPr>
      </w:pPr>
    </w:p>
    <w:p w:rsidRPr="00766DD7" w:rsidR="005304B9" w:rsidP="005304B9" w:rsidRDefault="005304B9" w14:paraId="704F4A62" w14:textId="77777777">
      <w:pPr>
        <w:pStyle w:val="Textoindependiente"/>
        <w:spacing w:before="1" w:line="276" w:lineRule="auto"/>
        <w:ind w:left="220" w:right="103"/>
        <w:jc w:val="both"/>
        <w:rPr>
          <w:rFonts w:ascii="Arial" w:hAnsi="Arial" w:cs="Arial"/>
          <w:lang w:val="es-CO"/>
        </w:rPr>
      </w:pPr>
      <w:r w:rsidRPr="00766DD7">
        <w:rPr>
          <w:rFonts w:ascii="Arial" w:hAnsi="Arial" w:cs="Arial"/>
          <w:lang w:val="es-CO"/>
        </w:rPr>
        <w:t xml:space="preserve">Conforme a las consideraciones expuestas, los contratos de ciencia, tecnología e innovación están sometidos al Estatuto Contractual General de la Administración Pública, </w:t>
      </w:r>
      <w:proofErr w:type="gramStart"/>
      <w:r w:rsidRPr="00766DD7">
        <w:rPr>
          <w:rFonts w:ascii="Arial" w:hAnsi="Arial" w:cs="Arial"/>
          <w:lang w:val="es-CO"/>
        </w:rPr>
        <w:t>y</w:t>
      </w:r>
      <w:proofErr w:type="gramEnd"/>
      <w:r w:rsidRPr="00766DD7">
        <w:rPr>
          <w:rFonts w:ascii="Arial" w:hAnsi="Arial" w:cs="Arial"/>
          <w:lang w:val="es-CO"/>
        </w:rPr>
        <w:t xml:space="preserve"> en consecuencia, hay obligación de liquidarlos en las condiciones y plazos convencionales o legales que permite la Ley 80 de 1993 y la Ley 1150 de 2007.</w:t>
      </w:r>
    </w:p>
    <w:p w:rsidRPr="00766DD7" w:rsidR="005304B9" w:rsidP="005304B9" w:rsidRDefault="005304B9" w14:paraId="704F4A63" w14:textId="77777777">
      <w:pPr>
        <w:pStyle w:val="Textoindependiente"/>
        <w:spacing w:line="276" w:lineRule="auto"/>
        <w:ind w:left="220" w:right="111"/>
        <w:jc w:val="both"/>
        <w:rPr>
          <w:rFonts w:ascii="Arial" w:hAnsi="Arial" w:cs="Arial"/>
          <w:lang w:val="es-CO"/>
        </w:rPr>
      </w:pPr>
      <w:r w:rsidRPr="00766DD7">
        <w:rPr>
          <w:rFonts w:ascii="Arial" w:hAnsi="Arial" w:cs="Arial"/>
          <w:lang w:val="es-CO"/>
        </w:rPr>
        <w:t>No ocurre lo mismo respecto de los convenios especiales de cooperación previstos en el artículo 6 del Decreto Ley 393 de 1991 y en el artículo 17 del Decreto Ley 591 de 1991, toda vez que se rigen por el derecho privado y las cláusulas mínimas previstas en dichas normas especiales, normas que no previeron la liquidación obligatoria del convenio a su finalización, y tampoco contemplaron una remisión normativa al Estatuto General de Contratación, porque aquellas son anteriores a éste.</w:t>
      </w:r>
    </w:p>
    <w:p w:rsidR="005304B9" w:rsidP="005304B9" w:rsidRDefault="005304B9" w14:paraId="704F4A64" w14:textId="19FF3638">
      <w:pPr>
        <w:pStyle w:val="Textoindependiente"/>
        <w:spacing w:line="276" w:lineRule="auto"/>
        <w:ind w:left="220" w:right="110"/>
        <w:jc w:val="both"/>
        <w:rPr>
          <w:rFonts w:ascii="Arial" w:hAnsi="Arial" w:cs="Arial"/>
          <w:lang w:val="es-CO"/>
        </w:rPr>
      </w:pPr>
      <w:r w:rsidRPr="00766DD7">
        <w:rPr>
          <w:rFonts w:ascii="Arial" w:hAnsi="Arial" w:cs="Arial"/>
          <w:lang w:val="es-CO"/>
        </w:rPr>
        <w:t xml:space="preserve">No obstante, Colombia Compra Eficiente considera que la liquidación de estos convenios, al ser de tracto sucesivo y comprometer recursos públicos en los aportes, resulta una buena práctica para las entidades estatales y considera conveniente que dicha etapa </w:t>
      </w:r>
      <w:proofErr w:type="spellStart"/>
      <w:r w:rsidRPr="00766DD7">
        <w:rPr>
          <w:rFonts w:ascii="Arial" w:hAnsi="Arial" w:cs="Arial"/>
          <w:lang w:val="es-CO"/>
        </w:rPr>
        <w:t>postcontractual</w:t>
      </w:r>
      <w:proofErr w:type="spellEnd"/>
      <w:r w:rsidRPr="00766DD7">
        <w:rPr>
          <w:rFonts w:ascii="Arial" w:hAnsi="Arial" w:cs="Arial"/>
          <w:lang w:val="es-CO"/>
        </w:rPr>
        <w:t xml:space="preserve"> sea regulada explícitamente por las partes en las cláusulas del propio convenio.</w:t>
      </w:r>
    </w:p>
    <w:p w:rsidRPr="00766DD7" w:rsidR="007B485C" w:rsidP="005304B9" w:rsidRDefault="007B485C" w14:paraId="6ECFBD4F" w14:textId="77777777">
      <w:pPr>
        <w:pStyle w:val="Textoindependiente"/>
        <w:spacing w:line="276" w:lineRule="auto"/>
        <w:ind w:left="220" w:right="110"/>
        <w:jc w:val="both"/>
        <w:rPr>
          <w:rFonts w:ascii="Arial" w:hAnsi="Arial" w:cs="Arial"/>
          <w:lang w:val="es-CO"/>
        </w:rPr>
      </w:pPr>
    </w:p>
    <w:p w:rsidRPr="00766DD7" w:rsidR="005304B9" w:rsidP="005304B9" w:rsidRDefault="005304B9" w14:paraId="704F4A66" w14:textId="77777777">
      <w:pPr>
        <w:pStyle w:val="Ttulo1"/>
        <w:numPr>
          <w:ilvl w:val="0"/>
          <w:numId w:val="5"/>
        </w:numPr>
        <w:tabs>
          <w:tab w:val="left" w:pos="463"/>
        </w:tabs>
        <w:spacing w:before="93"/>
        <w:ind w:left="463" w:hanging="243"/>
        <w:jc w:val="both"/>
        <w:rPr>
          <w:rFonts w:ascii="Arial" w:hAnsi="Arial" w:cs="Arial"/>
          <w:b/>
          <w:color w:val="auto"/>
          <w:sz w:val="22"/>
          <w:szCs w:val="22"/>
        </w:rPr>
      </w:pPr>
      <w:proofErr w:type="spellStart"/>
      <w:r w:rsidRPr="00766DD7">
        <w:rPr>
          <w:rFonts w:ascii="Arial" w:hAnsi="Arial" w:cs="Arial"/>
          <w:b/>
          <w:color w:val="auto"/>
          <w:sz w:val="22"/>
          <w:szCs w:val="22"/>
        </w:rPr>
        <w:t>Respuesta</w:t>
      </w:r>
      <w:proofErr w:type="spellEnd"/>
    </w:p>
    <w:p w:rsidRPr="00766DD7" w:rsidR="005304B9" w:rsidP="005304B9" w:rsidRDefault="005304B9" w14:paraId="704F4A67" w14:textId="77777777">
      <w:pPr>
        <w:pStyle w:val="Textoindependiente"/>
        <w:spacing w:before="8"/>
        <w:jc w:val="both"/>
        <w:rPr>
          <w:rFonts w:ascii="Arial" w:hAnsi="Arial" w:cs="Arial"/>
          <w:b/>
          <w:sz w:val="28"/>
        </w:rPr>
      </w:pPr>
    </w:p>
    <w:p w:rsidRPr="00766DD7" w:rsidR="005304B9" w:rsidP="005304B9" w:rsidRDefault="005304B9" w14:paraId="704F4A68" w14:textId="77777777">
      <w:pPr>
        <w:pStyle w:val="Textoindependiente"/>
        <w:spacing w:line="276" w:lineRule="auto"/>
        <w:ind w:left="220" w:right="104"/>
        <w:jc w:val="both"/>
        <w:rPr>
          <w:rFonts w:ascii="Arial" w:hAnsi="Arial" w:cs="Arial"/>
          <w:lang w:val="es-CO"/>
        </w:rPr>
      </w:pPr>
      <w:r w:rsidRPr="00766DD7">
        <w:rPr>
          <w:rFonts w:ascii="Arial" w:hAnsi="Arial" w:cs="Arial"/>
          <w:lang w:val="es-CO"/>
        </w:rPr>
        <w:t xml:space="preserve">Un convenio especial de cooperación para el fomento de actividades de ciencia, tecnología e innovación, celebrado en el marco de los artículos 6, 7 y 8 del Decreto Ley 393 de 1991 y del artículo 17 del Decreto Ley 591 de 1991, no está sujeto a la obligación de ser liquidado </w:t>
      </w:r>
      <w:r w:rsidRPr="00766DD7">
        <w:rPr>
          <w:rFonts w:ascii="Arial" w:hAnsi="Arial" w:cs="Arial"/>
          <w:lang w:val="es-CO"/>
        </w:rPr>
        <w:lastRenderedPageBreak/>
        <w:t>en los términos dispuestos por el artículo 60 de la Ley 80 de 1993, modificado por el artículo 217 del Decreto Ley 019 de 2017 y el artículo 11 de la Ley 1150 de 2017, porque éstas normas hacen parte del Estatuto General de Contratación que no le aplica a los convenios regidos por el derecho privado.</w:t>
      </w:r>
    </w:p>
    <w:p w:rsidRPr="00766DD7" w:rsidR="005304B9" w:rsidP="005304B9" w:rsidRDefault="005304B9" w14:paraId="704F4A69" w14:textId="77777777">
      <w:pPr>
        <w:pStyle w:val="Textoindependiente"/>
        <w:spacing w:line="276" w:lineRule="auto"/>
        <w:ind w:left="220" w:right="110"/>
        <w:jc w:val="both"/>
        <w:rPr>
          <w:rFonts w:ascii="Arial" w:hAnsi="Arial" w:cs="Arial"/>
          <w:lang w:val="es-CO"/>
        </w:rPr>
      </w:pPr>
      <w:r w:rsidRPr="00766DD7">
        <w:rPr>
          <w:rFonts w:ascii="Arial" w:hAnsi="Arial" w:cs="Arial"/>
          <w:lang w:val="es-CO"/>
        </w:rPr>
        <w:t>Lo anterior sin perjuicio de que las partes del convenio puedan estipular la necesidad de la liquidación al terminar el convenio y los plazos para ello, mediante pacto expreso producto de la autonomía de las partes. En todo caso, la liquidación no tendrá lugar después de vencido el plazo de caducidad del medio de control.</w:t>
      </w:r>
    </w:p>
    <w:p w:rsidRPr="00766DD7" w:rsidR="005304B9" w:rsidP="005304B9" w:rsidRDefault="005304B9" w14:paraId="704F4A6B" w14:textId="77777777">
      <w:pPr>
        <w:pStyle w:val="Textoindependiente"/>
        <w:spacing w:line="276" w:lineRule="auto"/>
        <w:ind w:left="220" w:right="112"/>
        <w:jc w:val="both"/>
        <w:rPr>
          <w:rFonts w:ascii="Arial" w:hAnsi="Arial" w:cs="Arial"/>
          <w:lang w:val="es-CO"/>
        </w:rPr>
      </w:pPr>
      <w:r w:rsidRPr="00766DD7">
        <w:rPr>
          <w:rFonts w:ascii="Arial" w:hAnsi="Arial" w:cs="Arial"/>
          <w:lang w:val="es-CO"/>
        </w:rPr>
        <w:t>Este concepto tiene el alcance previsto en el artículo 28 del Código de Procedimiento Administrativo y de lo Contencioso Administrativo.</w:t>
      </w:r>
    </w:p>
    <w:p w:rsidRPr="00766DD7" w:rsidR="005304B9" w:rsidP="005304B9" w:rsidRDefault="005304B9" w14:paraId="704F4A6C" w14:textId="77777777">
      <w:pPr>
        <w:pStyle w:val="Textoindependiente"/>
        <w:spacing w:before="9"/>
        <w:jc w:val="both"/>
        <w:rPr>
          <w:rFonts w:ascii="Arial" w:hAnsi="Arial" w:cs="Arial"/>
          <w:lang w:val="es-CO"/>
        </w:rPr>
      </w:pPr>
      <w:r w:rsidRPr="00766DD7">
        <w:rPr>
          <w:rFonts w:ascii="Arial" w:hAnsi="Arial" w:cs="Arial"/>
          <w:noProof/>
        </w:rPr>
        <mc:AlternateContent>
          <mc:Choice Requires="wps">
            <w:drawing>
              <wp:anchor distT="0" distB="0" distL="0" distR="0" simplePos="0" relativeHeight="487350784" behindDoc="1" locked="0" layoutInCell="1" allowOverlap="1" wp14:anchorId="704F4A9A" wp14:editId="704F4A9B">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w14:anchorId="53289AB8">
              <v:shape id="Freeform 2" style="position:absolute;margin-left:119.25pt;margin-top:15.5pt;width:369pt;height:.1pt;z-index:-1596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558B16B9">
                <v:path arrowok="t" o:connecttype="custom" o:connectlocs="0,0;4686300,0" o:connectangles="0,0"/>
                <w10:wrap type="topAndBottom" anchorx="page"/>
              </v:shape>
            </w:pict>
          </mc:Fallback>
        </mc:AlternateContent>
      </w:r>
    </w:p>
    <w:p w:rsidRPr="00766DD7" w:rsidR="005304B9" w:rsidP="005304B9" w:rsidRDefault="005304B9" w14:paraId="704F4A6D" w14:textId="77777777">
      <w:pPr>
        <w:pStyle w:val="Textoindependiente"/>
        <w:spacing w:after="63"/>
        <w:ind w:left="220"/>
        <w:jc w:val="both"/>
        <w:rPr>
          <w:rFonts w:ascii="Arial" w:hAnsi="Arial" w:cs="Arial"/>
        </w:rPr>
      </w:pPr>
      <w:r w:rsidRPr="00766DD7">
        <w:rPr>
          <w:rFonts w:ascii="Arial" w:hAnsi="Arial" w:cs="Arial"/>
        </w:rPr>
        <w:t>Atentamente</w:t>
      </w:r>
      <w:bookmarkStart w:name="_GoBack" w:id="0"/>
      <w:bookmarkEnd w:id="0"/>
      <w:r w:rsidRPr="00766DD7">
        <w:rPr>
          <w:rFonts w:ascii="Arial" w:hAnsi="Arial" w:cs="Arial"/>
        </w:rPr>
        <w:t>,</w:t>
      </w:r>
    </w:p>
    <w:p w:rsidRPr="009D5D6D" w:rsidR="007B485C" w:rsidP="007B485C" w:rsidRDefault="007B485C" w14:paraId="250005AE" w14:textId="19E11C19">
      <w:pPr>
        <w:pStyle w:val="Textoindependiente"/>
        <w:jc w:val="center"/>
        <w:rPr>
          <w:sz w:val="17"/>
        </w:rPr>
      </w:pPr>
      <w:r w:rsidR="007B485C">
        <w:drawing>
          <wp:inline wp14:editId="7F199333" wp14:anchorId="52D73FE9">
            <wp:extent cx="2773144" cy="988695"/>
            <wp:effectExtent l="0" t="0" r="0" b="0"/>
            <wp:docPr id="2120550308" name="Imagen 20" title=""/>
            <wp:cNvGraphicFramePr>
              <a:graphicFrameLocks noChangeAspect="1"/>
            </wp:cNvGraphicFramePr>
            <a:graphic>
              <a:graphicData uri="http://schemas.openxmlformats.org/drawingml/2006/picture">
                <pic:pic>
                  <pic:nvPicPr>
                    <pic:cNvPr id="0" name="Imagen 20"/>
                    <pic:cNvPicPr/>
                  </pic:nvPicPr>
                  <pic:blipFill>
                    <a:blip r:embed="R1754957404c146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7B485C" w:rsidR="005304B9" w:rsidP="007B485C" w:rsidRDefault="005304B9" w14:paraId="704F4A6F" w14:textId="77777777">
      <w:pPr>
        <w:pStyle w:val="Textoindependiente"/>
        <w:spacing w:after="0" w:line="240" w:lineRule="auto"/>
        <w:ind w:left="220" w:right="112"/>
        <w:jc w:val="both"/>
        <w:rPr>
          <w:rFonts w:ascii="Arial" w:hAnsi="Arial" w:cs="Arial"/>
          <w:lang w:val="es-CO"/>
        </w:rPr>
      </w:pPr>
      <w:r w:rsidRPr="007B485C">
        <w:rPr>
          <w:rFonts w:ascii="Arial" w:hAnsi="Arial" w:cs="Arial"/>
          <w:lang w:val="es-CO"/>
        </w:rPr>
        <w:t>Proyectó: Felipe Bastidas Paredes</w:t>
      </w:r>
    </w:p>
    <w:p w:rsidR="008D79AA" w:rsidP="001953F5" w:rsidRDefault="008D79AA" w14:paraId="44DBC8A1" w14:textId="77777777">
      <w:pPr>
        <w:jc w:val="both"/>
        <w:rPr>
          <w:rFonts w:ascii="Arial" w:hAnsi="Arial" w:cs="Arial"/>
          <w:sz w:val="18"/>
        </w:rPr>
      </w:pPr>
    </w:p>
    <w:p w:rsidRPr="00766DD7" w:rsidR="0056706F" w:rsidP="001953F5" w:rsidRDefault="0056706F" w14:paraId="704F4A8C" w14:textId="77777777">
      <w:pPr>
        <w:pStyle w:val="Textoindependiente"/>
        <w:jc w:val="both"/>
        <w:rPr>
          <w:rFonts w:ascii="Arial" w:hAnsi="Arial" w:cs="Arial"/>
          <w:sz w:val="20"/>
        </w:rPr>
      </w:pPr>
    </w:p>
    <w:p w:rsidRPr="00766DD7" w:rsidR="0056706F" w:rsidP="001953F5" w:rsidRDefault="0056706F" w14:paraId="704F4A8D" w14:textId="77777777">
      <w:pPr>
        <w:pStyle w:val="Textoindependiente"/>
        <w:jc w:val="both"/>
        <w:rPr>
          <w:rFonts w:ascii="Arial" w:hAnsi="Arial" w:cs="Arial"/>
          <w:sz w:val="20"/>
        </w:rPr>
      </w:pPr>
    </w:p>
    <w:p w:rsidRPr="00766DD7" w:rsidR="0056706F" w:rsidP="001953F5" w:rsidRDefault="0056706F" w14:paraId="704F4A8E" w14:textId="77777777">
      <w:pPr>
        <w:pStyle w:val="Textoindependiente"/>
        <w:jc w:val="both"/>
        <w:rPr>
          <w:rFonts w:ascii="Arial" w:hAnsi="Arial" w:cs="Arial"/>
          <w:sz w:val="20"/>
        </w:rPr>
      </w:pPr>
    </w:p>
    <w:p w:rsidRPr="00766DD7" w:rsidR="0056706F" w:rsidP="001953F5" w:rsidRDefault="0056706F" w14:paraId="704F4A8F" w14:textId="77777777">
      <w:pPr>
        <w:pStyle w:val="Textoindependiente"/>
        <w:spacing w:before="11"/>
        <w:jc w:val="both"/>
        <w:rPr>
          <w:rFonts w:ascii="Arial" w:hAnsi="Arial" w:cs="Arial"/>
          <w:sz w:val="21"/>
        </w:rPr>
      </w:pPr>
    </w:p>
    <w:sectPr w:rsidRPr="00766DD7" w:rsidR="0056706F" w:rsidSect="003A2FDB">
      <w:pgSz w:w="12240" w:h="15840" w:orient="portrait"/>
      <w:pgMar w:top="1560" w:right="1500" w:bottom="2080" w:left="148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B3" w:rsidRDefault="00481CB3" w14:paraId="2BA7A3F2" w14:textId="77777777">
      <w:r>
        <w:separator/>
      </w:r>
    </w:p>
  </w:endnote>
  <w:endnote w:type="continuationSeparator" w:id="0">
    <w:p w:rsidR="00481CB3" w:rsidRDefault="00481CB3" w14:paraId="6B7956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6706F" w:rsidRDefault="004D138A" w14:paraId="704F4AA3" w14:textId="77777777">
    <w:pPr>
      <w:pStyle w:val="Textoindependiente"/>
      <w:spacing w:line="14" w:lineRule="auto"/>
      <w:rPr>
        <w:sz w:val="20"/>
      </w:rPr>
    </w:pPr>
    <w:r>
      <w:rPr>
        <w:noProof/>
      </w:rPr>
      <w:drawing>
        <wp:anchor distT="0" distB="0" distL="0" distR="0" simplePos="0" relativeHeight="487349248" behindDoc="1" locked="0" layoutInCell="1" allowOverlap="1" wp14:anchorId="704F4AA6" wp14:editId="704F4AA7">
          <wp:simplePos x="0" y="0"/>
          <wp:positionH relativeFrom="page">
            <wp:posOffset>1137919</wp:posOffset>
          </wp:positionH>
          <wp:positionV relativeFrom="page">
            <wp:posOffset>8688387</wp:posOffset>
          </wp:positionV>
          <wp:extent cx="5612130" cy="78712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5792B70">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B3" w:rsidRDefault="00481CB3" w14:paraId="47D25C0F" w14:textId="77777777">
      <w:r>
        <w:separator/>
      </w:r>
    </w:p>
  </w:footnote>
  <w:footnote w:type="continuationSeparator" w:id="0">
    <w:p w:rsidR="00481CB3" w:rsidRDefault="00481CB3" w14:paraId="05ECBC34" w14:textId="77777777">
      <w:r>
        <w:continuationSeparator/>
      </w:r>
    </w:p>
  </w:footnote>
  <w:footnote w:id="1">
    <w:p w:rsidRPr="007B485C" w:rsidR="00F3461D" w:rsidP="00F554AB" w:rsidRDefault="00F3461D" w14:paraId="704F4AA8" w14:textId="77777777">
      <w:pPr>
        <w:spacing w:after="0" w:line="240" w:lineRule="auto"/>
        <w:ind w:left="220" w:right="106"/>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La definición de actividades de ciencia, tecnología e innovación también puede consultarse en el Documento COMPES 3582 DE 2009 y en el Departamento Administrativo de Ciencia, Tecnología e Innovación - Colciencias.</w:t>
      </w:r>
    </w:p>
    <w:p w:rsidRPr="007B485C" w:rsidR="00F3461D" w:rsidP="00F554AB" w:rsidRDefault="00F3461D" w14:paraId="704F4AA9" w14:textId="77777777">
      <w:pPr>
        <w:pStyle w:val="Textonotapie"/>
        <w:spacing w:after="0" w:line="240" w:lineRule="auto"/>
        <w:jc w:val="both"/>
        <w:rPr>
          <w:rFonts w:ascii="Arial" w:hAnsi="Arial" w:cs="Arial"/>
          <w:sz w:val="19"/>
          <w:szCs w:val="19"/>
          <w:lang w:val="es-CO"/>
        </w:rPr>
      </w:pPr>
    </w:p>
  </w:footnote>
  <w:footnote w:id="2">
    <w:p w:rsidRPr="007B485C" w:rsidR="00F3461D" w:rsidP="00F554AB" w:rsidRDefault="00F3461D" w14:paraId="704F4AAA" w14:textId="77777777">
      <w:pPr>
        <w:pStyle w:val="Textonotapie"/>
        <w:spacing w:after="0" w:line="240" w:lineRule="auto"/>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Suarez Beltrán, </w:t>
      </w:r>
      <w:proofErr w:type="spellStart"/>
      <w:r w:rsidRPr="007B485C">
        <w:rPr>
          <w:rFonts w:ascii="Arial" w:hAnsi="Arial" w:cs="Arial"/>
          <w:sz w:val="19"/>
          <w:szCs w:val="19"/>
          <w:lang w:val="es-CO"/>
        </w:rPr>
        <w:t>Gonzálo</w:t>
      </w:r>
      <w:proofErr w:type="spellEnd"/>
      <w:r w:rsidRPr="007B485C">
        <w:rPr>
          <w:rFonts w:ascii="Arial" w:hAnsi="Arial" w:cs="Arial"/>
          <w:sz w:val="19"/>
          <w:szCs w:val="19"/>
          <w:lang w:val="es-CO"/>
        </w:rPr>
        <w:t xml:space="preserve">. Estudios de derecho contractual público. </w:t>
      </w:r>
      <w:proofErr w:type="spellStart"/>
      <w:r w:rsidRPr="007B485C">
        <w:rPr>
          <w:rFonts w:ascii="Arial" w:hAnsi="Arial" w:cs="Arial"/>
          <w:sz w:val="19"/>
          <w:szCs w:val="19"/>
          <w:lang w:val="es-CO"/>
        </w:rPr>
        <w:t>Legis</w:t>
      </w:r>
      <w:proofErr w:type="spellEnd"/>
      <w:r w:rsidRPr="007B485C">
        <w:rPr>
          <w:rFonts w:ascii="Arial" w:hAnsi="Arial" w:cs="Arial"/>
          <w:sz w:val="19"/>
          <w:szCs w:val="19"/>
          <w:lang w:val="es-CO"/>
        </w:rPr>
        <w:t>. 1ª Ed., 2014, p. 436.</w:t>
      </w:r>
    </w:p>
    <w:p w:rsidRPr="007B485C" w:rsidR="00F3461D" w:rsidP="00F554AB" w:rsidRDefault="00F3461D" w14:paraId="704F4AAB" w14:textId="77777777">
      <w:pPr>
        <w:pStyle w:val="Textonotapie"/>
        <w:spacing w:after="0" w:line="240" w:lineRule="auto"/>
        <w:jc w:val="both"/>
        <w:rPr>
          <w:rFonts w:ascii="Arial" w:hAnsi="Arial" w:cs="Arial"/>
          <w:sz w:val="19"/>
          <w:szCs w:val="19"/>
          <w:lang w:val="es-CO"/>
        </w:rPr>
      </w:pPr>
    </w:p>
  </w:footnote>
  <w:footnote w:id="3">
    <w:p w:rsidRPr="007B485C" w:rsidR="00F3461D" w:rsidP="00F554AB" w:rsidRDefault="00F3461D" w14:paraId="704F4AAC" w14:textId="77777777">
      <w:pPr>
        <w:pStyle w:val="Textonotapie"/>
        <w:spacing w:after="0" w:line="240" w:lineRule="auto"/>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“Artículo 2º.- Para los efectos del presente Decreto, </w:t>
      </w:r>
      <w:proofErr w:type="spellStart"/>
      <w:r w:rsidRPr="007B485C">
        <w:rPr>
          <w:rFonts w:ascii="Arial" w:hAnsi="Arial" w:cs="Arial"/>
          <w:sz w:val="19"/>
          <w:szCs w:val="19"/>
          <w:lang w:val="es-CO"/>
        </w:rPr>
        <w:t>entiéndese</w:t>
      </w:r>
      <w:proofErr w:type="spellEnd"/>
      <w:r w:rsidRPr="007B485C">
        <w:rPr>
          <w:rFonts w:ascii="Arial" w:hAnsi="Arial" w:cs="Arial"/>
          <w:sz w:val="19"/>
          <w:szCs w:val="19"/>
          <w:lang w:val="es-CO"/>
        </w:rPr>
        <w:t xml:space="preserve"> por actividades científicas y tecnológicas las siguientes:</w:t>
      </w:r>
    </w:p>
    <w:p w:rsidRPr="007B485C" w:rsidR="00F3461D" w:rsidP="00F554AB" w:rsidRDefault="00F3461D" w14:paraId="704F4AAD"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AE"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“1. Investigación científica y desarrollo tecnológico, desarrollo de nuevos productos y procesos, creación y apoyo a centros científicos y tecnológicos y conformación de redes de investigación e información.</w:t>
      </w:r>
    </w:p>
    <w:p w:rsidRPr="007B485C" w:rsidR="00F3461D" w:rsidP="00F554AB" w:rsidRDefault="00F3461D" w14:paraId="704F4AAF"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B0"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“2. Difusión científica y tecnológica, esto es, información, publicación, divulgación y asesoría en ciencia y tecnología.</w:t>
      </w:r>
    </w:p>
    <w:p w:rsidRPr="007B485C" w:rsidR="00F3461D" w:rsidP="00F554AB" w:rsidRDefault="00F3461D" w14:paraId="704F4AB1"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B2"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“3. Servicios científicos y tecnológicos que se refieren a la realización de planes, estudios, estadísticas y censos de ciencia y tecnología; a la homologación, normalización, metodología, certificación y control de calidad; a la prospección de recursos, inventario de recursos terrestres y ordenamiento territorial; a la promoción científica y tecnológica; a la realización de seminarios, congresos y talleres de ciencia y tecnología, así como a la promoción y gestión de sistemas de calidad total y de evaluación tecnológica.</w:t>
      </w:r>
    </w:p>
    <w:p w:rsidRPr="007B485C" w:rsidR="00F3461D" w:rsidP="00F554AB" w:rsidRDefault="00F3461D" w14:paraId="704F4AB3"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B4"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“4. Proyectos de innovación que incorporen tecnología, creación, generación, apropiación y adaptación de la misma, así como la creación y el apoyo a incubadoras de empresas, a parques tecnológicos y a empresas de base tecnológica.</w:t>
      </w:r>
    </w:p>
    <w:p w:rsidRPr="007B485C" w:rsidR="00F3461D" w:rsidP="00F554AB" w:rsidRDefault="00F3461D" w14:paraId="704F4AB5"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B6"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“5. Transferencia tecnológica que comprende la negociación, apropiación, desagregación, asimilación, adaptación y aplicación de nuevas tecnologías nacionales o extranjeras.</w:t>
      </w:r>
    </w:p>
    <w:p w:rsidRPr="007B485C" w:rsidR="00F3461D" w:rsidP="00F554AB" w:rsidRDefault="00F3461D" w14:paraId="704F4AB7" w14:textId="77777777">
      <w:pPr>
        <w:pStyle w:val="Textonotapie"/>
        <w:spacing w:after="0" w:line="240" w:lineRule="auto"/>
        <w:jc w:val="both"/>
        <w:rPr>
          <w:rFonts w:ascii="Arial" w:hAnsi="Arial" w:cs="Arial"/>
          <w:sz w:val="19"/>
          <w:szCs w:val="19"/>
          <w:lang w:val="es-CO"/>
        </w:rPr>
      </w:pPr>
    </w:p>
    <w:p w:rsidRPr="007B485C" w:rsidR="00F3461D" w:rsidP="00F554AB" w:rsidRDefault="00F3461D" w14:paraId="704F4AB8" w14:textId="77777777">
      <w:pPr>
        <w:pStyle w:val="Textonotapie"/>
        <w:spacing w:after="0" w:line="240" w:lineRule="auto"/>
        <w:jc w:val="both"/>
        <w:rPr>
          <w:rFonts w:ascii="Arial" w:hAnsi="Arial" w:cs="Arial"/>
          <w:sz w:val="19"/>
          <w:szCs w:val="19"/>
          <w:lang w:val="es-CO"/>
        </w:rPr>
      </w:pPr>
      <w:r w:rsidRPr="007B485C">
        <w:rPr>
          <w:rFonts w:ascii="Arial" w:hAnsi="Arial" w:cs="Arial"/>
          <w:sz w:val="19"/>
          <w:szCs w:val="19"/>
          <w:lang w:val="es-CO"/>
        </w:rPr>
        <w:t>“6. Cooperación científica y tecnológica nacional e internacional”.</w:t>
      </w:r>
    </w:p>
    <w:p w:rsidRPr="007B485C" w:rsidR="00F3461D" w:rsidP="00F554AB" w:rsidRDefault="00F3461D" w14:paraId="704F4AB9" w14:textId="77777777">
      <w:pPr>
        <w:pStyle w:val="Textonotapie"/>
        <w:spacing w:after="0" w:line="240" w:lineRule="auto"/>
        <w:jc w:val="both"/>
        <w:rPr>
          <w:rFonts w:ascii="Arial" w:hAnsi="Arial" w:cs="Arial"/>
          <w:sz w:val="19"/>
          <w:szCs w:val="19"/>
          <w:lang w:val="es-CO"/>
        </w:rPr>
      </w:pPr>
    </w:p>
  </w:footnote>
  <w:footnote w:id="4">
    <w:p w:rsidRPr="007B485C" w:rsidR="008D79AA" w:rsidP="008D79AA" w:rsidRDefault="008D79AA" w14:paraId="704F4ABA" w14:textId="77777777">
      <w:pPr>
        <w:spacing w:after="0" w:line="240" w:lineRule="auto"/>
        <w:ind w:left="220"/>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Consejo de Estado, Sala de Consulta y Servicio Civil, concepto de 8 de julio de 2010, rad. 2010-00058-00,</w:t>
      </w:r>
    </w:p>
    <w:p w:rsidRPr="007B485C" w:rsidR="008D79AA" w:rsidP="008D79AA" w:rsidRDefault="008D79AA" w14:paraId="704F4ABB" w14:textId="77777777">
      <w:pPr>
        <w:spacing w:after="0" w:line="240" w:lineRule="auto"/>
        <w:ind w:left="220"/>
        <w:jc w:val="both"/>
        <w:rPr>
          <w:rFonts w:ascii="Arial" w:hAnsi="Arial" w:cs="Arial"/>
          <w:sz w:val="19"/>
          <w:szCs w:val="19"/>
          <w:lang w:val="es-CO"/>
        </w:rPr>
      </w:pPr>
      <w:r w:rsidRPr="007B485C">
        <w:rPr>
          <w:rFonts w:ascii="Arial" w:hAnsi="Arial" w:cs="Arial"/>
          <w:sz w:val="19"/>
          <w:szCs w:val="19"/>
          <w:lang w:val="es-CO"/>
        </w:rPr>
        <w:t xml:space="preserve">C.P. Enrique José Arboleda Perdomo. </w:t>
      </w:r>
    </w:p>
  </w:footnote>
  <w:footnote w:id="5">
    <w:p w:rsidRPr="007B485C" w:rsidR="008D79AA" w:rsidP="008D79AA" w:rsidRDefault="008D79AA" w14:paraId="704F4ABC" w14:textId="77777777">
      <w:pPr>
        <w:spacing w:after="0" w:line="240" w:lineRule="auto"/>
        <w:ind w:left="220" w:right="105"/>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w:t>
      </w:r>
      <w:r w:rsidRPr="007B485C">
        <w:rPr>
          <w:rFonts w:ascii="Arial" w:hAnsi="Arial" w:cs="Arial"/>
          <w:position w:val="6"/>
          <w:sz w:val="19"/>
          <w:szCs w:val="19"/>
          <w:lang w:val="es-CO"/>
        </w:rPr>
        <w:t xml:space="preserve"> </w:t>
      </w:r>
      <w:r w:rsidRPr="007B485C">
        <w:rPr>
          <w:rFonts w:ascii="Arial" w:hAnsi="Arial" w:cs="Arial"/>
          <w:sz w:val="19"/>
          <w:szCs w:val="19"/>
          <w:lang w:val="es-CO"/>
        </w:rPr>
        <w:t xml:space="preserve">“Este cuadro normativo no excluye la posibilidad de que las entidades de fomento de las actividades científicas y tecnológicas puedan convenir libremente negocios distintos a los expresamente previstos en la ley o el reglamento, en desarrollo del principio de la autonomía de la voluntad. Así lo confirma la más reciente normatividad del Sistema de Ciencia y Tecnología y la Innovación.” </w:t>
      </w:r>
      <w:proofErr w:type="gramStart"/>
      <w:r w:rsidRPr="007B485C">
        <w:rPr>
          <w:rFonts w:ascii="Arial" w:hAnsi="Arial" w:cs="Arial"/>
          <w:sz w:val="19"/>
          <w:szCs w:val="19"/>
          <w:lang w:val="es-CO"/>
        </w:rPr>
        <w:t>( Consejo</w:t>
      </w:r>
      <w:proofErr w:type="gramEnd"/>
      <w:r w:rsidRPr="007B485C">
        <w:rPr>
          <w:rFonts w:ascii="Arial" w:hAnsi="Arial" w:cs="Arial"/>
          <w:sz w:val="19"/>
          <w:szCs w:val="19"/>
          <w:lang w:val="es-CO"/>
        </w:rPr>
        <w:t xml:space="preserve"> de Estado, Sala de Consulta y Servicio Civil, concepto de 8 de marzo de 2017, rad. 2016-00102-00, C.P. Edgar González</w:t>
      </w:r>
      <w:r w:rsidRPr="007B485C">
        <w:rPr>
          <w:rFonts w:ascii="Arial" w:hAnsi="Arial" w:cs="Arial"/>
          <w:spacing w:val="-24"/>
          <w:sz w:val="19"/>
          <w:szCs w:val="19"/>
          <w:lang w:val="es-CO"/>
        </w:rPr>
        <w:t xml:space="preserve"> </w:t>
      </w:r>
      <w:r w:rsidRPr="007B485C">
        <w:rPr>
          <w:rFonts w:ascii="Arial" w:hAnsi="Arial" w:cs="Arial"/>
          <w:sz w:val="19"/>
          <w:szCs w:val="19"/>
          <w:lang w:val="es-CO"/>
        </w:rPr>
        <w:t>López).</w:t>
      </w:r>
    </w:p>
    <w:p w:rsidRPr="007B485C" w:rsidR="008D79AA" w:rsidP="008D79AA" w:rsidRDefault="008D79AA" w14:paraId="704F4ABD" w14:textId="77777777">
      <w:pPr>
        <w:pStyle w:val="Textonotapie"/>
        <w:spacing w:after="0" w:line="240" w:lineRule="auto"/>
        <w:jc w:val="both"/>
        <w:rPr>
          <w:rFonts w:ascii="Arial" w:hAnsi="Arial" w:cs="Arial"/>
          <w:sz w:val="19"/>
          <w:szCs w:val="19"/>
          <w:lang w:val="es-CO"/>
        </w:rPr>
      </w:pPr>
    </w:p>
  </w:footnote>
  <w:footnote w:id="6">
    <w:p w:rsidRPr="007B485C" w:rsidR="008D79AA" w:rsidP="008D79AA" w:rsidRDefault="008D79AA" w14:paraId="704F4ABE" w14:textId="77777777">
      <w:pPr>
        <w:pStyle w:val="Textonotapie"/>
        <w:spacing w:after="0" w:line="240" w:lineRule="auto"/>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w:t>
      </w:r>
      <w:proofErr w:type="spellStart"/>
      <w:r w:rsidRPr="007B485C">
        <w:rPr>
          <w:rFonts w:ascii="Arial" w:hAnsi="Arial" w:cs="Arial"/>
          <w:i/>
          <w:sz w:val="19"/>
          <w:szCs w:val="19"/>
          <w:lang w:val="es-CO"/>
        </w:rPr>
        <w:t>Ibidem</w:t>
      </w:r>
      <w:proofErr w:type="spellEnd"/>
      <w:r w:rsidRPr="007B485C">
        <w:rPr>
          <w:rFonts w:ascii="Arial" w:hAnsi="Arial" w:cs="Arial"/>
          <w:sz w:val="19"/>
          <w:szCs w:val="19"/>
          <w:lang w:val="es-CO"/>
        </w:rPr>
        <w:t>.</w:t>
      </w:r>
    </w:p>
    <w:p w:rsidRPr="00F554AB" w:rsidR="008D79AA" w:rsidP="008D79AA" w:rsidRDefault="008D79AA" w14:paraId="704F4ABF" w14:textId="77777777">
      <w:pPr>
        <w:pStyle w:val="Textonotapie"/>
        <w:spacing w:after="0" w:line="240" w:lineRule="auto"/>
        <w:jc w:val="both"/>
        <w:rPr>
          <w:rFonts w:ascii="Arial" w:hAnsi="Arial" w:cs="Arial"/>
          <w:sz w:val="19"/>
          <w:szCs w:val="19"/>
          <w:lang w:val="es-CO"/>
        </w:rPr>
      </w:pPr>
    </w:p>
  </w:footnote>
  <w:footnote w:id="7">
    <w:p w:rsidRPr="007B485C" w:rsidR="008D79AA" w:rsidP="008D79AA" w:rsidRDefault="008D79AA" w14:paraId="704F4AC0" w14:textId="77777777">
      <w:pPr>
        <w:spacing w:after="0" w:line="240" w:lineRule="auto"/>
        <w:ind w:left="220" w:right="103"/>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w:t>
      </w:r>
      <w:r w:rsidRPr="007B485C">
        <w:rPr>
          <w:rFonts w:ascii="Arial" w:hAnsi="Arial" w:cs="Arial"/>
          <w:position w:val="6"/>
          <w:sz w:val="19"/>
          <w:szCs w:val="19"/>
          <w:lang w:val="es-CO"/>
        </w:rPr>
        <w:t xml:space="preserve"> </w:t>
      </w:r>
      <w:r w:rsidRPr="007B485C">
        <w:rPr>
          <w:rFonts w:ascii="Arial" w:hAnsi="Arial" w:cs="Arial"/>
          <w:sz w:val="19"/>
          <w:szCs w:val="19"/>
          <w:lang w:val="es-CO"/>
        </w:rPr>
        <w:t>“Artículo 33. Las actividades, contratos y convenios que tengan por objeto la realización de actividades definidas como de ciencia, tecnología e innovación que celebren las entidades estatales, continuarán rigiéndose por las normas especiales que les sean aplicables. En consecuencia, tales contratos se celebrarán directamente”.</w:t>
      </w:r>
    </w:p>
    <w:p w:rsidRPr="007B485C" w:rsidR="008D79AA" w:rsidP="008D79AA" w:rsidRDefault="008D79AA" w14:paraId="704F4AC1" w14:textId="77777777">
      <w:pPr>
        <w:pStyle w:val="Textonotapie"/>
        <w:spacing w:after="0" w:line="240" w:lineRule="auto"/>
        <w:jc w:val="both"/>
        <w:rPr>
          <w:rFonts w:ascii="Arial" w:hAnsi="Arial" w:cs="Arial"/>
          <w:sz w:val="19"/>
          <w:szCs w:val="19"/>
          <w:lang w:val="es-CO"/>
        </w:rPr>
      </w:pPr>
    </w:p>
  </w:footnote>
  <w:footnote w:id="8">
    <w:p w:rsidRPr="007B485C" w:rsidR="008D79AA" w:rsidP="008D79AA" w:rsidRDefault="008D79AA" w14:paraId="704F4AC2" w14:textId="77777777">
      <w:pPr>
        <w:pStyle w:val="Textonotapie"/>
        <w:spacing w:after="0" w:line="240" w:lineRule="auto"/>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Real Academia Española. Diccionario de la lengua española. </w:t>
      </w:r>
      <w:hyperlink r:id="rId1">
        <w:r w:rsidRPr="007B485C">
          <w:rPr>
            <w:rFonts w:ascii="Arial" w:hAnsi="Arial" w:cs="Arial"/>
            <w:sz w:val="19"/>
            <w:szCs w:val="19"/>
            <w:lang w:val="es-CO"/>
          </w:rPr>
          <w:t xml:space="preserve">www.rae.es, </w:t>
        </w:r>
      </w:hyperlink>
      <w:r w:rsidRPr="007B485C">
        <w:rPr>
          <w:rFonts w:ascii="Arial" w:hAnsi="Arial" w:cs="Arial"/>
          <w:sz w:val="19"/>
          <w:szCs w:val="19"/>
          <w:lang w:val="es-CO"/>
        </w:rPr>
        <w:t>2019.</w:t>
      </w:r>
    </w:p>
  </w:footnote>
  <w:footnote w:id="9">
    <w:p w:rsidRPr="007B485C" w:rsidR="008D79AA" w:rsidP="008D79AA" w:rsidRDefault="008D79AA" w14:paraId="704F4AC3" w14:textId="77777777">
      <w:pPr>
        <w:spacing w:after="0" w:line="240" w:lineRule="auto"/>
        <w:ind w:left="220"/>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Consejo de Estado, Sección Tercera, sentencia del 11 de febrero de 2009, rad. 2000-13018-01 (16.653),</w:t>
      </w:r>
    </w:p>
    <w:p w:rsidRPr="007B485C" w:rsidR="008D79AA" w:rsidP="008D79AA" w:rsidRDefault="008D79AA" w14:paraId="704F4AC4" w14:textId="77777777">
      <w:pPr>
        <w:spacing w:after="0" w:line="240" w:lineRule="auto"/>
        <w:ind w:left="220"/>
        <w:jc w:val="both"/>
        <w:rPr>
          <w:rFonts w:ascii="Arial" w:hAnsi="Arial" w:cs="Arial"/>
          <w:sz w:val="19"/>
          <w:szCs w:val="19"/>
          <w:lang w:val="es-CO"/>
        </w:rPr>
      </w:pPr>
      <w:r w:rsidRPr="007B485C">
        <w:rPr>
          <w:rFonts w:ascii="Arial" w:hAnsi="Arial" w:cs="Arial"/>
          <w:sz w:val="19"/>
          <w:szCs w:val="19"/>
          <w:lang w:val="es-CO"/>
        </w:rPr>
        <w:t>M.P. Ruth Stella Correa.</w:t>
      </w:r>
    </w:p>
    <w:p w:rsidRPr="007B485C" w:rsidR="008D79AA" w:rsidP="008D79AA" w:rsidRDefault="008D79AA" w14:paraId="704F4AC5" w14:textId="77777777">
      <w:pPr>
        <w:pStyle w:val="Textonotapie"/>
        <w:spacing w:after="0" w:line="240" w:lineRule="auto"/>
        <w:jc w:val="both"/>
        <w:rPr>
          <w:rFonts w:ascii="Arial" w:hAnsi="Arial" w:cs="Arial"/>
          <w:sz w:val="19"/>
          <w:szCs w:val="19"/>
          <w:lang w:val="es-CO"/>
        </w:rPr>
      </w:pPr>
    </w:p>
  </w:footnote>
  <w:footnote w:id="10">
    <w:p w:rsidRPr="007B485C" w:rsidR="008D79AA" w:rsidP="008D79AA" w:rsidRDefault="008D79AA" w14:paraId="704F4AC6" w14:textId="77777777">
      <w:pPr>
        <w:spacing w:after="0" w:line="240" w:lineRule="auto"/>
        <w:ind w:left="220" w:right="114"/>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EXPOSITO VÉLEZ, Juan Carlos. Forma y contenido del contrato estatal. Universidad Externado de Colombia, Bogotá, 2013, 1ra Ed., p.</w:t>
      </w:r>
      <w:r w:rsidRPr="007B485C">
        <w:rPr>
          <w:rFonts w:ascii="Arial" w:hAnsi="Arial" w:cs="Arial"/>
          <w:spacing w:val="-4"/>
          <w:sz w:val="19"/>
          <w:szCs w:val="19"/>
          <w:lang w:val="es-CO"/>
        </w:rPr>
        <w:t xml:space="preserve"> </w:t>
      </w:r>
      <w:r w:rsidRPr="007B485C">
        <w:rPr>
          <w:rFonts w:ascii="Arial" w:hAnsi="Arial" w:cs="Arial"/>
          <w:sz w:val="19"/>
          <w:szCs w:val="19"/>
          <w:lang w:val="es-CO"/>
        </w:rPr>
        <w:t>89.</w:t>
      </w:r>
    </w:p>
    <w:p w:rsidRPr="007B485C" w:rsidR="008D79AA" w:rsidP="008D79AA" w:rsidRDefault="008D79AA" w14:paraId="704F4AC7" w14:textId="77777777">
      <w:pPr>
        <w:pStyle w:val="Textonotapie"/>
        <w:spacing w:after="0" w:line="240" w:lineRule="auto"/>
        <w:jc w:val="both"/>
        <w:rPr>
          <w:rFonts w:ascii="Arial" w:hAnsi="Arial" w:cs="Arial"/>
          <w:sz w:val="19"/>
          <w:szCs w:val="19"/>
          <w:lang w:val="es-CO"/>
        </w:rPr>
      </w:pPr>
    </w:p>
  </w:footnote>
  <w:footnote w:id="11">
    <w:p w:rsidRPr="007B485C" w:rsidR="008D79AA" w:rsidP="008D79AA" w:rsidRDefault="008D79AA" w14:paraId="704F4AC8" w14:textId="77777777">
      <w:pPr>
        <w:spacing w:after="0" w:line="240" w:lineRule="auto"/>
        <w:ind w:left="220"/>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Hoy ver artículos 141 y 164 de la Ley 1437 de 2011 o Código de Procedimiento Administrativo y de lo Contencioso Administrativo – CPACA</w:t>
      </w:r>
    </w:p>
    <w:p w:rsidRPr="007B485C" w:rsidR="008D79AA" w:rsidP="008D79AA" w:rsidRDefault="008D79AA" w14:paraId="704F4AC9" w14:textId="77777777">
      <w:pPr>
        <w:pStyle w:val="Textonotapie"/>
        <w:spacing w:after="0" w:line="240" w:lineRule="auto"/>
        <w:jc w:val="both"/>
        <w:rPr>
          <w:rFonts w:ascii="Arial" w:hAnsi="Arial" w:cs="Arial"/>
          <w:sz w:val="19"/>
          <w:szCs w:val="19"/>
          <w:lang w:val="es-CO"/>
        </w:rPr>
      </w:pPr>
    </w:p>
  </w:footnote>
  <w:footnote w:id="12">
    <w:p w:rsidRPr="007B485C" w:rsidR="008D79AA" w:rsidP="008D79AA" w:rsidRDefault="008D79AA" w14:paraId="704F4ACA" w14:textId="77777777">
      <w:pPr>
        <w:pStyle w:val="Textonotapie"/>
        <w:spacing w:after="0" w:line="240" w:lineRule="auto"/>
        <w:jc w:val="both"/>
        <w:rPr>
          <w:rFonts w:ascii="Arial" w:hAnsi="Arial" w:cs="Arial"/>
          <w:sz w:val="19"/>
          <w:szCs w:val="19"/>
          <w:lang w:val="es-CO"/>
        </w:rPr>
      </w:pPr>
      <w:r w:rsidRPr="007B485C">
        <w:rPr>
          <w:rStyle w:val="Refdenotaalpie"/>
          <w:rFonts w:ascii="Arial" w:hAnsi="Arial" w:cs="Arial"/>
          <w:sz w:val="19"/>
          <w:szCs w:val="19"/>
        </w:rPr>
        <w:footnoteRef/>
      </w:r>
      <w:r w:rsidRPr="007B485C">
        <w:rPr>
          <w:rFonts w:ascii="Arial" w:hAnsi="Arial" w:cs="Arial"/>
          <w:sz w:val="19"/>
          <w:szCs w:val="19"/>
          <w:lang w:val="es-CO"/>
        </w:rPr>
        <w:t xml:space="preserve"> Hoy artículo ver artículos 141 y 164 del CPACA</w:t>
      </w:r>
    </w:p>
  </w:footnote>
  <w:footnote w:id="13">
    <w:p w:rsidRPr="007B485C" w:rsidR="005304B9" w:rsidP="005304B9" w:rsidRDefault="005304B9" w14:paraId="704F4ACB" w14:textId="77777777">
      <w:pPr>
        <w:pStyle w:val="Textonotapie"/>
        <w:rPr>
          <w:rFonts w:ascii="Arial" w:hAnsi="Arial" w:cs="Arial"/>
          <w:sz w:val="18"/>
          <w:szCs w:val="18"/>
          <w:lang w:val="es-CO"/>
        </w:rPr>
      </w:pPr>
      <w:r w:rsidRPr="007B485C">
        <w:rPr>
          <w:rStyle w:val="Refdenotaalpie"/>
          <w:rFonts w:ascii="Arial" w:hAnsi="Arial" w:cs="Arial"/>
          <w:sz w:val="18"/>
          <w:szCs w:val="18"/>
        </w:rPr>
        <w:footnoteRef/>
      </w:r>
      <w:r w:rsidRPr="007B485C">
        <w:rPr>
          <w:rFonts w:ascii="Arial" w:hAnsi="Arial" w:cs="Arial"/>
          <w:sz w:val="18"/>
          <w:szCs w:val="18"/>
          <w:lang w:val="es-CO"/>
        </w:rPr>
        <w:t xml:space="preserve"> Respecto de la aplicación del literal j) del numeral 2 del artículo 164 del CPACA ver auto de unificación: Consejo de Estado. Sección Tercera- Sala Plena, auto del 1° de agosto de 2019, C.P. Jaime Enrique Rodríguez Navas, Rad. 2018-00342-01</w:t>
      </w:r>
      <w:r w:rsidRPr="007B485C">
        <w:rPr>
          <w:rFonts w:ascii="Arial" w:hAnsi="Arial" w:cs="Arial"/>
          <w:spacing w:val="-2"/>
          <w:sz w:val="18"/>
          <w:szCs w:val="18"/>
          <w:lang w:val="es-CO"/>
        </w:rPr>
        <w:t xml:space="preserve"> </w:t>
      </w:r>
      <w:r w:rsidRPr="007B485C">
        <w:rPr>
          <w:rFonts w:ascii="Arial" w:hAnsi="Arial" w:cs="Arial"/>
          <w:sz w:val="18"/>
          <w:szCs w:val="18"/>
          <w:lang w:val="es-CO"/>
        </w:rPr>
        <w:t>(62.009).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56706F" w:rsidRDefault="004D138A" w14:paraId="704F4AA2" w14:textId="77777777">
    <w:pPr>
      <w:pStyle w:val="Textoindependiente"/>
      <w:spacing w:line="14" w:lineRule="auto"/>
      <w:rPr>
        <w:sz w:val="20"/>
      </w:rPr>
    </w:pPr>
    <w:r>
      <w:rPr>
        <w:noProof/>
      </w:rPr>
      <w:drawing>
        <wp:anchor distT="0" distB="0" distL="0" distR="0" simplePos="0" relativeHeight="487348736" behindDoc="1" locked="0" layoutInCell="1" allowOverlap="1" wp14:anchorId="704F4AA4" wp14:editId="704F4AA5">
          <wp:simplePos x="0" y="0"/>
          <wp:positionH relativeFrom="page">
            <wp:posOffset>5304473</wp:posOffset>
          </wp:positionH>
          <wp:positionV relativeFrom="page">
            <wp:posOffset>468247</wp:posOffset>
          </wp:positionV>
          <wp:extent cx="1346374" cy="52137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5792B70">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5D41"/>
    <w:multiLevelType w:val="hybridMultilevel"/>
    <w:tmpl w:val="A81A7E9E"/>
    <w:lvl w:ilvl="0" w:tplc="0F301F6C">
      <w:start w:val="1"/>
      <w:numFmt w:val="lowerLetter"/>
      <w:lvlText w:val="%1."/>
      <w:lvlJc w:val="left"/>
      <w:pPr>
        <w:ind w:left="352" w:hanging="243"/>
      </w:pPr>
      <w:rPr>
        <w:rFonts w:hint="default" w:ascii="Arial" w:hAnsi="Arial" w:eastAsia="Arial" w:cs="Arial"/>
        <w:color w:val="4E4D4D"/>
        <w:w w:val="100"/>
        <w:sz w:val="22"/>
        <w:szCs w:val="22"/>
        <w:lang w:val="es-ES" w:eastAsia="en-US" w:bidi="ar-SA"/>
      </w:rPr>
    </w:lvl>
    <w:lvl w:ilvl="1" w:tplc="D8E8F274">
      <w:numFmt w:val="bullet"/>
      <w:lvlText w:val="•"/>
      <w:lvlJc w:val="left"/>
      <w:pPr>
        <w:ind w:left="889" w:hanging="243"/>
      </w:pPr>
      <w:rPr>
        <w:rFonts w:hint="default"/>
        <w:lang w:val="es-ES" w:eastAsia="en-US" w:bidi="ar-SA"/>
      </w:rPr>
    </w:lvl>
    <w:lvl w:ilvl="2" w:tplc="D628647E">
      <w:numFmt w:val="bullet"/>
      <w:lvlText w:val="•"/>
      <w:lvlJc w:val="left"/>
      <w:pPr>
        <w:ind w:left="1419" w:hanging="243"/>
      </w:pPr>
      <w:rPr>
        <w:rFonts w:hint="default"/>
        <w:lang w:val="es-ES" w:eastAsia="en-US" w:bidi="ar-SA"/>
      </w:rPr>
    </w:lvl>
    <w:lvl w:ilvl="3" w:tplc="9CACEA88">
      <w:numFmt w:val="bullet"/>
      <w:lvlText w:val="•"/>
      <w:lvlJc w:val="left"/>
      <w:pPr>
        <w:ind w:left="1948" w:hanging="243"/>
      </w:pPr>
      <w:rPr>
        <w:rFonts w:hint="default"/>
        <w:lang w:val="es-ES" w:eastAsia="en-US" w:bidi="ar-SA"/>
      </w:rPr>
    </w:lvl>
    <w:lvl w:ilvl="4" w:tplc="EB04B6EE">
      <w:numFmt w:val="bullet"/>
      <w:lvlText w:val="•"/>
      <w:lvlJc w:val="left"/>
      <w:pPr>
        <w:ind w:left="2478" w:hanging="243"/>
      </w:pPr>
      <w:rPr>
        <w:rFonts w:hint="default"/>
        <w:lang w:val="es-ES" w:eastAsia="en-US" w:bidi="ar-SA"/>
      </w:rPr>
    </w:lvl>
    <w:lvl w:ilvl="5" w:tplc="7092065E">
      <w:numFmt w:val="bullet"/>
      <w:lvlText w:val="•"/>
      <w:lvlJc w:val="left"/>
      <w:pPr>
        <w:ind w:left="3008" w:hanging="243"/>
      </w:pPr>
      <w:rPr>
        <w:rFonts w:hint="default"/>
        <w:lang w:val="es-ES" w:eastAsia="en-US" w:bidi="ar-SA"/>
      </w:rPr>
    </w:lvl>
    <w:lvl w:ilvl="6" w:tplc="C6426BA4">
      <w:numFmt w:val="bullet"/>
      <w:lvlText w:val="•"/>
      <w:lvlJc w:val="left"/>
      <w:pPr>
        <w:ind w:left="3537" w:hanging="243"/>
      </w:pPr>
      <w:rPr>
        <w:rFonts w:hint="default"/>
        <w:lang w:val="es-ES" w:eastAsia="en-US" w:bidi="ar-SA"/>
      </w:rPr>
    </w:lvl>
    <w:lvl w:ilvl="7" w:tplc="020834EA">
      <w:numFmt w:val="bullet"/>
      <w:lvlText w:val="•"/>
      <w:lvlJc w:val="left"/>
      <w:pPr>
        <w:ind w:left="4067" w:hanging="243"/>
      </w:pPr>
      <w:rPr>
        <w:rFonts w:hint="default"/>
        <w:lang w:val="es-ES" w:eastAsia="en-US" w:bidi="ar-SA"/>
      </w:rPr>
    </w:lvl>
    <w:lvl w:ilvl="8" w:tplc="4800830C">
      <w:numFmt w:val="bullet"/>
      <w:lvlText w:val="•"/>
      <w:lvlJc w:val="left"/>
      <w:pPr>
        <w:ind w:left="4596" w:hanging="243"/>
      </w:pPr>
      <w:rPr>
        <w:rFonts w:hint="default"/>
        <w:lang w:val="es-ES" w:eastAsia="en-US" w:bidi="ar-SA"/>
      </w:rPr>
    </w:lvl>
  </w:abstractNum>
  <w:abstractNum w:abstractNumId="1" w15:restartNumberingAfterBreak="0">
    <w:nsid w:val="187279A4"/>
    <w:multiLevelType w:val="multilevel"/>
    <w:tmpl w:val="E2C2B60E"/>
    <w:lvl w:ilvl="0">
      <w:start w:val="1"/>
      <w:numFmt w:val="decimal"/>
      <w:lvlText w:val="%1."/>
      <w:lvlJc w:val="left"/>
      <w:pPr>
        <w:ind w:left="5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788" w:hanging="578"/>
      </w:pPr>
      <w:rPr>
        <w:rFonts w:hint="default" w:ascii="Arial" w:hAnsi="Arial" w:eastAsia="Arial" w:cs="Arial"/>
        <w:b/>
        <w:bCs/>
        <w:color w:val="4E4D4D"/>
        <w:spacing w:val="-3"/>
        <w:w w:val="100"/>
        <w:sz w:val="22"/>
        <w:szCs w:val="22"/>
        <w:lang w:val="es-ES" w:eastAsia="en-US" w:bidi="ar-SA"/>
      </w:rPr>
    </w:lvl>
    <w:lvl w:ilvl="2">
      <w:numFmt w:val="bullet"/>
      <w:lvlText w:val="•"/>
      <w:lvlJc w:val="left"/>
      <w:pPr>
        <w:ind w:left="1722" w:hanging="578"/>
      </w:pPr>
      <w:rPr>
        <w:rFonts w:hint="default"/>
        <w:lang w:val="es-ES" w:eastAsia="en-US" w:bidi="ar-SA"/>
      </w:rPr>
    </w:lvl>
    <w:lvl w:ilvl="3">
      <w:numFmt w:val="bullet"/>
      <w:lvlText w:val="•"/>
      <w:lvlJc w:val="left"/>
      <w:pPr>
        <w:ind w:left="2664" w:hanging="578"/>
      </w:pPr>
      <w:rPr>
        <w:rFonts w:hint="default"/>
        <w:lang w:val="es-ES" w:eastAsia="en-US" w:bidi="ar-SA"/>
      </w:rPr>
    </w:lvl>
    <w:lvl w:ilvl="4">
      <w:numFmt w:val="bullet"/>
      <w:lvlText w:val="•"/>
      <w:lvlJc w:val="left"/>
      <w:pPr>
        <w:ind w:left="3606" w:hanging="578"/>
      </w:pPr>
      <w:rPr>
        <w:rFonts w:hint="default"/>
        <w:lang w:val="es-ES" w:eastAsia="en-US" w:bidi="ar-SA"/>
      </w:rPr>
    </w:lvl>
    <w:lvl w:ilvl="5">
      <w:numFmt w:val="bullet"/>
      <w:lvlText w:val="•"/>
      <w:lvlJc w:val="left"/>
      <w:pPr>
        <w:ind w:left="4548" w:hanging="578"/>
      </w:pPr>
      <w:rPr>
        <w:rFonts w:hint="default"/>
        <w:lang w:val="es-ES" w:eastAsia="en-US" w:bidi="ar-SA"/>
      </w:rPr>
    </w:lvl>
    <w:lvl w:ilvl="6">
      <w:numFmt w:val="bullet"/>
      <w:lvlText w:val="•"/>
      <w:lvlJc w:val="left"/>
      <w:pPr>
        <w:ind w:left="5491" w:hanging="578"/>
      </w:pPr>
      <w:rPr>
        <w:rFonts w:hint="default"/>
        <w:lang w:val="es-ES" w:eastAsia="en-US" w:bidi="ar-SA"/>
      </w:rPr>
    </w:lvl>
    <w:lvl w:ilvl="7">
      <w:numFmt w:val="bullet"/>
      <w:lvlText w:val="•"/>
      <w:lvlJc w:val="left"/>
      <w:pPr>
        <w:ind w:left="6433" w:hanging="578"/>
      </w:pPr>
      <w:rPr>
        <w:rFonts w:hint="default"/>
        <w:lang w:val="es-ES" w:eastAsia="en-US" w:bidi="ar-SA"/>
      </w:rPr>
    </w:lvl>
    <w:lvl w:ilvl="8">
      <w:numFmt w:val="bullet"/>
      <w:lvlText w:val="•"/>
      <w:lvlJc w:val="left"/>
      <w:pPr>
        <w:ind w:left="7375" w:hanging="578"/>
      </w:pPr>
      <w:rPr>
        <w:rFonts w:hint="default"/>
        <w:lang w:val="es-ES" w:eastAsia="en-US" w:bidi="ar-SA"/>
      </w:rPr>
    </w:lvl>
  </w:abstractNum>
  <w:abstractNum w:abstractNumId="2" w15:restartNumberingAfterBreak="0">
    <w:nsid w:val="38960F15"/>
    <w:multiLevelType w:val="hybridMultilevel"/>
    <w:tmpl w:val="B136087A"/>
    <w:lvl w:ilvl="0" w:tplc="7E3422A4">
      <w:start w:val="1"/>
      <w:numFmt w:val="decimal"/>
      <w:lvlText w:val="%1."/>
      <w:lvlJc w:val="left"/>
      <w:pPr>
        <w:ind w:left="557" w:hanging="493"/>
      </w:pPr>
      <w:rPr>
        <w:rFonts w:hint="default" w:ascii="Arial" w:hAnsi="Arial" w:eastAsia="Arial" w:cs="Arial"/>
        <w:color w:val="4E4D4D"/>
        <w:spacing w:val="-29"/>
        <w:w w:val="100"/>
        <w:sz w:val="22"/>
        <w:szCs w:val="22"/>
        <w:lang w:val="es-ES" w:eastAsia="en-US" w:bidi="ar-SA"/>
      </w:rPr>
    </w:lvl>
    <w:lvl w:ilvl="1" w:tplc="402C4376">
      <w:numFmt w:val="bullet"/>
      <w:lvlText w:val="•"/>
      <w:lvlJc w:val="left"/>
      <w:pPr>
        <w:ind w:left="913" w:hanging="493"/>
      </w:pPr>
      <w:rPr>
        <w:rFonts w:hint="default"/>
        <w:lang w:val="es-ES" w:eastAsia="en-US" w:bidi="ar-SA"/>
      </w:rPr>
    </w:lvl>
    <w:lvl w:ilvl="2" w:tplc="9894CE12">
      <w:numFmt w:val="bullet"/>
      <w:lvlText w:val="•"/>
      <w:lvlJc w:val="left"/>
      <w:pPr>
        <w:ind w:left="1267" w:hanging="493"/>
      </w:pPr>
      <w:rPr>
        <w:rFonts w:hint="default"/>
        <w:lang w:val="es-ES" w:eastAsia="en-US" w:bidi="ar-SA"/>
      </w:rPr>
    </w:lvl>
    <w:lvl w:ilvl="3" w:tplc="47923B40">
      <w:numFmt w:val="bullet"/>
      <w:lvlText w:val="•"/>
      <w:lvlJc w:val="left"/>
      <w:pPr>
        <w:ind w:left="1620" w:hanging="493"/>
      </w:pPr>
      <w:rPr>
        <w:rFonts w:hint="default"/>
        <w:lang w:val="es-ES" w:eastAsia="en-US" w:bidi="ar-SA"/>
      </w:rPr>
    </w:lvl>
    <w:lvl w:ilvl="4" w:tplc="8FD8B9F8">
      <w:numFmt w:val="bullet"/>
      <w:lvlText w:val="•"/>
      <w:lvlJc w:val="left"/>
      <w:pPr>
        <w:ind w:left="1974" w:hanging="493"/>
      </w:pPr>
      <w:rPr>
        <w:rFonts w:hint="default"/>
        <w:lang w:val="es-ES" w:eastAsia="en-US" w:bidi="ar-SA"/>
      </w:rPr>
    </w:lvl>
    <w:lvl w:ilvl="5" w:tplc="0994F394">
      <w:numFmt w:val="bullet"/>
      <w:lvlText w:val="•"/>
      <w:lvlJc w:val="left"/>
      <w:pPr>
        <w:ind w:left="2328" w:hanging="493"/>
      </w:pPr>
      <w:rPr>
        <w:rFonts w:hint="default"/>
        <w:lang w:val="es-ES" w:eastAsia="en-US" w:bidi="ar-SA"/>
      </w:rPr>
    </w:lvl>
    <w:lvl w:ilvl="6" w:tplc="0D0E484E">
      <w:numFmt w:val="bullet"/>
      <w:lvlText w:val="•"/>
      <w:lvlJc w:val="left"/>
      <w:pPr>
        <w:ind w:left="2681" w:hanging="493"/>
      </w:pPr>
      <w:rPr>
        <w:rFonts w:hint="default"/>
        <w:lang w:val="es-ES" w:eastAsia="en-US" w:bidi="ar-SA"/>
      </w:rPr>
    </w:lvl>
    <w:lvl w:ilvl="7" w:tplc="63B6CF58">
      <w:numFmt w:val="bullet"/>
      <w:lvlText w:val="•"/>
      <w:lvlJc w:val="left"/>
      <w:pPr>
        <w:ind w:left="3035" w:hanging="493"/>
      </w:pPr>
      <w:rPr>
        <w:rFonts w:hint="default"/>
        <w:lang w:val="es-ES" w:eastAsia="en-US" w:bidi="ar-SA"/>
      </w:rPr>
    </w:lvl>
    <w:lvl w:ilvl="8" w:tplc="19B0C0BA">
      <w:numFmt w:val="bullet"/>
      <w:lvlText w:val="•"/>
      <w:lvlJc w:val="left"/>
      <w:pPr>
        <w:ind w:left="3388" w:hanging="493"/>
      </w:pPr>
      <w:rPr>
        <w:rFonts w:hint="default"/>
        <w:lang w:val="es-ES" w:eastAsia="en-US" w:bidi="ar-SA"/>
      </w:rPr>
    </w:lvl>
  </w:abstractNum>
  <w:abstractNum w:abstractNumId="3" w15:restartNumberingAfterBreak="0">
    <w:nsid w:val="6A574F44"/>
    <w:multiLevelType w:val="hybridMultilevel"/>
    <w:tmpl w:val="764E205A"/>
    <w:lvl w:ilvl="0" w:tplc="7F5677E0">
      <w:start w:val="1"/>
      <w:numFmt w:val="decimal"/>
      <w:lvlText w:val="%1."/>
      <w:lvlJc w:val="left"/>
      <w:pPr>
        <w:ind w:left="570" w:hanging="396"/>
      </w:pPr>
      <w:rPr>
        <w:rFonts w:hint="default" w:ascii="Arial" w:hAnsi="Arial" w:eastAsia="Arial" w:cs="Arial"/>
        <w:color w:val="4E4D4D"/>
        <w:spacing w:val="-6"/>
        <w:w w:val="100"/>
        <w:sz w:val="22"/>
        <w:szCs w:val="22"/>
        <w:lang w:val="es-ES" w:eastAsia="en-US" w:bidi="ar-SA"/>
      </w:rPr>
    </w:lvl>
    <w:lvl w:ilvl="1" w:tplc="28C8FD16">
      <w:numFmt w:val="bullet"/>
      <w:lvlText w:val="•"/>
      <w:lvlJc w:val="left"/>
      <w:pPr>
        <w:ind w:left="984" w:hanging="396"/>
      </w:pPr>
      <w:rPr>
        <w:rFonts w:hint="default"/>
        <w:lang w:val="es-ES" w:eastAsia="en-US" w:bidi="ar-SA"/>
      </w:rPr>
    </w:lvl>
    <w:lvl w:ilvl="2" w:tplc="D2B6091E">
      <w:numFmt w:val="bullet"/>
      <w:lvlText w:val="•"/>
      <w:lvlJc w:val="left"/>
      <w:pPr>
        <w:ind w:left="1409" w:hanging="396"/>
      </w:pPr>
      <w:rPr>
        <w:rFonts w:hint="default"/>
        <w:lang w:val="es-ES" w:eastAsia="en-US" w:bidi="ar-SA"/>
      </w:rPr>
    </w:lvl>
    <w:lvl w:ilvl="3" w:tplc="3BCA3236">
      <w:numFmt w:val="bullet"/>
      <w:lvlText w:val="•"/>
      <w:lvlJc w:val="left"/>
      <w:pPr>
        <w:ind w:left="1833" w:hanging="396"/>
      </w:pPr>
      <w:rPr>
        <w:rFonts w:hint="default"/>
        <w:lang w:val="es-ES" w:eastAsia="en-US" w:bidi="ar-SA"/>
      </w:rPr>
    </w:lvl>
    <w:lvl w:ilvl="4" w:tplc="9F6EF04C">
      <w:numFmt w:val="bullet"/>
      <w:lvlText w:val="•"/>
      <w:lvlJc w:val="left"/>
      <w:pPr>
        <w:ind w:left="2258" w:hanging="396"/>
      </w:pPr>
      <w:rPr>
        <w:rFonts w:hint="default"/>
        <w:lang w:val="es-ES" w:eastAsia="en-US" w:bidi="ar-SA"/>
      </w:rPr>
    </w:lvl>
    <w:lvl w:ilvl="5" w:tplc="3B5A7E56">
      <w:numFmt w:val="bullet"/>
      <w:lvlText w:val="•"/>
      <w:lvlJc w:val="left"/>
      <w:pPr>
        <w:ind w:left="2683" w:hanging="396"/>
      </w:pPr>
      <w:rPr>
        <w:rFonts w:hint="default"/>
        <w:lang w:val="es-ES" w:eastAsia="en-US" w:bidi="ar-SA"/>
      </w:rPr>
    </w:lvl>
    <w:lvl w:ilvl="6" w:tplc="1EEEDB1C">
      <w:numFmt w:val="bullet"/>
      <w:lvlText w:val="•"/>
      <w:lvlJc w:val="left"/>
      <w:pPr>
        <w:ind w:left="3107" w:hanging="396"/>
      </w:pPr>
      <w:rPr>
        <w:rFonts w:hint="default"/>
        <w:lang w:val="es-ES" w:eastAsia="en-US" w:bidi="ar-SA"/>
      </w:rPr>
    </w:lvl>
    <w:lvl w:ilvl="7" w:tplc="62A6033C">
      <w:numFmt w:val="bullet"/>
      <w:lvlText w:val="•"/>
      <w:lvlJc w:val="left"/>
      <w:pPr>
        <w:ind w:left="3532" w:hanging="396"/>
      </w:pPr>
      <w:rPr>
        <w:rFonts w:hint="default"/>
        <w:lang w:val="es-ES" w:eastAsia="en-US" w:bidi="ar-SA"/>
      </w:rPr>
    </w:lvl>
    <w:lvl w:ilvl="8" w:tplc="74B486E4">
      <w:numFmt w:val="bullet"/>
      <w:lvlText w:val="•"/>
      <w:lvlJc w:val="left"/>
      <w:pPr>
        <w:ind w:left="3956" w:hanging="396"/>
      </w:pPr>
      <w:rPr>
        <w:rFonts w:hint="default"/>
        <w:lang w:val="es-ES" w:eastAsia="en-US" w:bidi="ar-SA"/>
      </w:rPr>
    </w:lvl>
  </w:abstractNum>
  <w:abstractNum w:abstractNumId="4" w15:restartNumberingAfterBreak="0">
    <w:nsid w:val="7B8F7E72"/>
    <w:multiLevelType w:val="hybridMultilevel"/>
    <w:tmpl w:val="451218C0"/>
    <w:lvl w:ilvl="0" w:tplc="EC2AAB44">
      <w:start w:val="1"/>
      <w:numFmt w:val="lowerLetter"/>
      <w:lvlText w:val="%1."/>
      <w:lvlJc w:val="left"/>
      <w:pPr>
        <w:ind w:left="109" w:hanging="495"/>
      </w:pPr>
      <w:rPr>
        <w:rFonts w:hint="default" w:ascii="Arial" w:hAnsi="Arial" w:eastAsia="Arial" w:cs="Arial"/>
        <w:color w:val="4E4D4D"/>
        <w:spacing w:val="-17"/>
        <w:w w:val="100"/>
        <w:sz w:val="22"/>
        <w:szCs w:val="22"/>
        <w:lang w:val="es-ES" w:eastAsia="en-US" w:bidi="ar-SA"/>
      </w:rPr>
    </w:lvl>
    <w:lvl w:ilvl="1" w:tplc="C27E13F8">
      <w:numFmt w:val="bullet"/>
      <w:lvlText w:val="•"/>
      <w:lvlJc w:val="left"/>
      <w:pPr>
        <w:ind w:left="655" w:hanging="495"/>
      </w:pPr>
      <w:rPr>
        <w:rFonts w:hint="default"/>
        <w:lang w:val="es-ES" w:eastAsia="en-US" w:bidi="ar-SA"/>
      </w:rPr>
    </w:lvl>
    <w:lvl w:ilvl="2" w:tplc="663EB628">
      <w:numFmt w:val="bullet"/>
      <w:lvlText w:val="•"/>
      <w:lvlJc w:val="left"/>
      <w:pPr>
        <w:ind w:left="1211" w:hanging="495"/>
      </w:pPr>
      <w:rPr>
        <w:rFonts w:hint="default"/>
        <w:lang w:val="es-ES" w:eastAsia="en-US" w:bidi="ar-SA"/>
      </w:rPr>
    </w:lvl>
    <w:lvl w:ilvl="3" w:tplc="CEC4B10A">
      <w:numFmt w:val="bullet"/>
      <w:lvlText w:val="•"/>
      <w:lvlJc w:val="left"/>
      <w:pPr>
        <w:ind w:left="1766" w:hanging="495"/>
      </w:pPr>
      <w:rPr>
        <w:rFonts w:hint="default"/>
        <w:lang w:val="es-ES" w:eastAsia="en-US" w:bidi="ar-SA"/>
      </w:rPr>
    </w:lvl>
    <w:lvl w:ilvl="4" w:tplc="7250FC90">
      <w:numFmt w:val="bullet"/>
      <w:lvlText w:val="•"/>
      <w:lvlJc w:val="left"/>
      <w:pPr>
        <w:ind w:left="2322" w:hanging="495"/>
      </w:pPr>
      <w:rPr>
        <w:rFonts w:hint="default"/>
        <w:lang w:val="es-ES" w:eastAsia="en-US" w:bidi="ar-SA"/>
      </w:rPr>
    </w:lvl>
    <w:lvl w:ilvl="5" w:tplc="BA44615A">
      <w:numFmt w:val="bullet"/>
      <w:lvlText w:val="•"/>
      <w:lvlJc w:val="left"/>
      <w:pPr>
        <w:ind w:left="2878" w:hanging="495"/>
      </w:pPr>
      <w:rPr>
        <w:rFonts w:hint="default"/>
        <w:lang w:val="es-ES" w:eastAsia="en-US" w:bidi="ar-SA"/>
      </w:rPr>
    </w:lvl>
    <w:lvl w:ilvl="6" w:tplc="1B280CB2">
      <w:numFmt w:val="bullet"/>
      <w:lvlText w:val="•"/>
      <w:lvlJc w:val="left"/>
      <w:pPr>
        <w:ind w:left="3433" w:hanging="495"/>
      </w:pPr>
      <w:rPr>
        <w:rFonts w:hint="default"/>
        <w:lang w:val="es-ES" w:eastAsia="en-US" w:bidi="ar-SA"/>
      </w:rPr>
    </w:lvl>
    <w:lvl w:ilvl="7" w:tplc="65E217EC">
      <w:numFmt w:val="bullet"/>
      <w:lvlText w:val="•"/>
      <w:lvlJc w:val="left"/>
      <w:pPr>
        <w:ind w:left="3989" w:hanging="495"/>
      </w:pPr>
      <w:rPr>
        <w:rFonts w:hint="default"/>
        <w:lang w:val="es-ES" w:eastAsia="en-US" w:bidi="ar-SA"/>
      </w:rPr>
    </w:lvl>
    <w:lvl w:ilvl="8" w:tplc="2DA0B82A">
      <w:numFmt w:val="bullet"/>
      <w:lvlText w:val="•"/>
      <w:lvlJc w:val="left"/>
      <w:pPr>
        <w:ind w:left="4544" w:hanging="495"/>
      </w:pPr>
      <w:rPr>
        <w:rFonts w:hint="default"/>
        <w:lang w:val="es-ES" w:eastAsia="en-US" w:bidi="ar-S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6F"/>
    <w:rsid w:val="001953F5"/>
    <w:rsid w:val="001A7D16"/>
    <w:rsid w:val="003A2FDB"/>
    <w:rsid w:val="003D0A40"/>
    <w:rsid w:val="00423596"/>
    <w:rsid w:val="00481CB3"/>
    <w:rsid w:val="004D138A"/>
    <w:rsid w:val="005304B9"/>
    <w:rsid w:val="0056706F"/>
    <w:rsid w:val="00706DC5"/>
    <w:rsid w:val="00766DD7"/>
    <w:rsid w:val="007B485C"/>
    <w:rsid w:val="0083425B"/>
    <w:rsid w:val="008D79AA"/>
    <w:rsid w:val="008F4BF5"/>
    <w:rsid w:val="00A0522F"/>
    <w:rsid w:val="00AD75CE"/>
    <w:rsid w:val="00E6601C"/>
    <w:rsid w:val="00F3461D"/>
    <w:rsid w:val="00F554AB"/>
    <w:rsid w:val="00FF7CA5"/>
    <w:rsid w:val="25792B70"/>
    <w:rsid w:val="391C2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49E3"/>
  <w15:docId w15:val="{9FCADD76-BD0C-4C91-B96E-4A4FD53689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0A40"/>
  </w:style>
  <w:style w:type="paragraph" w:styleId="Ttulo1">
    <w:name w:val="heading 1"/>
    <w:basedOn w:val="Normal"/>
    <w:next w:val="Normal"/>
    <w:link w:val="Ttulo1Car"/>
    <w:uiPriority w:val="9"/>
    <w:qFormat/>
    <w:rsid w:val="003D0A40"/>
    <w:pPr>
      <w:keepNext/>
      <w:keepLines/>
      <w:spacing w:before="400" w:after="40" w:line="240" w:lineRule="auto"/>
      <w:outlineLvl w:val="0"/>
    </w:pPr>
    <w:rPr>
      <w:rFonts w:asciiTheme="majorHAnsi" w:hAnsiTheme="majorHAnsi" w:eastAsiaTheme="majorEastAsia"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3D0A40"/>
    <w:pPr>
      <w:keepNext/>
      <w:keepLines/>
      <w:spacing w:before="40" w:after="0" w:line="240" w:lineRule="auto"/>
      <w:outlineLvl w:val="1"/>
    </w:pPr>
    <w:rPr>
      <w:rFonts w:asciiTheme="majorHAnsi" w:hAnsiTheme="majorHAnsi" w:eastAsiaTheme="majorEastAsia"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3D0A40"/>
    <w:pPr>
      <w:keepNext/>
      <w:keepLines/>
      <w:spacing w:before="40" w:after="0" w:line="240" w:lineRule="auto"/>
      <w:outlineLvl w:val="2"/>
    </w:pPr>
    <w:rPr>
      <w:rFonts w:asciiTheme="majorHAnsi" w:hAnsiTheme="majorHAnsi"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3D0A40"/>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3D0A40"/>
    <w:pPr>
      <w:keepNext/>
      <w:keepLines/>
      <w:spacing w:before="40" w:after="0"/>
      <w:outlineLvl w:val="4"/>
    </w:pPr>
    <w:rPr>
      <w:rFonts w:asciiTheme="majorHAnsi" w:hAnsiTheme="majorHAnsi" w:eastAsiaTheme="majorEastAsia" w:cstheme="majorBidi"/>
      <w:caps/>
      <w:color w:val="365F91" w:themeColor="accent1" w:themeShade="BF"/>
    </w:rPr>
  </w:style>
  <w:style w:type="paragraph" w:styleId="Ttulo6">
    <w:name w:val="heading 6"/>
    <w:basedOn w:val="Normal"/>
    <w:next w:val="Normal"/>
    <w:link w:val="Ttulo6Car"/>
    <w:uiPriority w:val="9"/>
    <w:semiHidden/>
    <w:unhideWhenUsed/>
    <w:qFormat/>
    <w:rsid w:val="003D0A40"/>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Ttulo7">
    <w:name w:val="heading 7"/>
    <w:basedOn w:val="Normal"/>
    <w:next w:val="Normal"/>
    <w:link w:val="Ttulo7Car"/>
    <w:uiPriority w:val="9"/>
    <w:semiHidden/>
    <w:unhideWhenUsed/>
    <w:qFormat/>
    <w:rsid w:val="003D0A40"/>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Ttulo8">
    <w:name w:val="heading 8"/>
    <w:basedOn w:val="Normal"/>
    <w:next w:val="Normal"/>
    <w:link w:val="Ttulo8Car"/>
    <w:uiPriority w:val="9"/>
    <w:semiHidden/>
    <w:unhideWhenUsed/>
    <w:qFormat/>
    <w:rsid w:val="003D0A40"/>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Ttulo9">
    <w:name w:val="heading 9"/>
    <w:basedOn w:val="Normal"/>
    <w:next w:val="Normal"/>
    <w:link w:val="Ttulo9Car"/>
    <w:uiPriority w:val="9"/>
    <w:semiHidden/>
    <w:unhideWhenUsed/>
    <w:qFormat/>
    <w:rsid w:val="003D0A40"/>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style>
  <w:style w:type="paragraph" w:styleId="Prrafodelista">
    <w:name w:val="List Paragraph"/>
    <w:basedOn w:val="Normal"/>
    <w:uiPriority w:val="34"/>
    <w:qFormat/>
    <w:pPr>
      <w:ind w:left="720"/>
      <w:contextualSpacing/>
    </w:pPr>
  </w:style>
  <w:style w:type="paragraph" w:styleId="TableParagraph" w:customStyle="1">
    <w:name w:val="Table Paragraph"/>
    <w:basedOn w:val="Normal"/>
    <w:uiPriority w:val="1"/>
    <w:pPr>
      <w:ind w:left="109"/>
    </w:pPr>
  </w:style>
  <w:style w:type="paragraph" w:styleId="Textonotapie">
    <w:name w:val="footnote text"/>
    <w:basedOn w:val="Normal"/>
    <w:link w:val="TextonotapieCar"/>
    <w:uiPriority w:val="99"/>
    <w:semiHidden/>
    <w:unhideWhenUsed/>
    <w:rsid w:val="00706DC5"/>
    <w:rPr>
      <w:sz w:val="20"/>
      <w:szCs w:val="20"/>
    </w:rPr>
  </w:style>
  <w:style w:type="character" w:styleId="TextonotapieCar" w:customStyle="1">
    <w:name w:val="Texto nota pie Car"/>
    <w:basedOn w:val="Fuentedeprrafopredeter"/>
    <w:link w:val="Textonotapie"/>
    <w:uiPriority w:val="99"/>
    <w:semiHidden/>
    <w:rsid w:val="00706DC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706DC5"/>
    <w:rPr>
      <w:vertAlign w:val="superscript"/>
    </w:rPr>
  </w:style>
  <w:style w:type="character" w:styleId="Ttulo1Car" w:customStyle="1">
    <w:name w:val="Título 1 Car"/>
    <w:basedOn w:val="Fuentedeprrafopredeter"/>
    <w:link w:val="Ttulo1"/>
    <w:uiPriority w:val="9"/>
    <w:rsid w:val="003D0A40"/>
    <w:rPr>
      <w:rFonts w:asciiTheme="majorHAnsi" w:hAnsiTheme="majorHAnsi" w:eastAsiaTheme="majorEastAsia" w:cstheme="majorBidi"/>
      <w:color w:val="244061" w:themeColor="accent1" w:themeShade="80"/>
      <w:sz w:val="36"/>
      <w:szCs w:val="36"/>
    </w:rPr>
  </w:style>
  <w:style w:type="character" w:styleId="Ttulo2Car" w:customStyle="1">
    <w:name w:val="Título 2 Car"/>
    <w:basedOn w:val="Fuentedeprrafopredeter"/>
    <w:link w:val="Ttulo2"/>
    <w:uiPriority w:val="9"/>
    <w:semiHidden/>
    <w:rsid w:val="003D0A40"/>
    <w:rPr>
      <w:rFonts w:asciiTheme="majorHAnsi" w:hAnsiTheme="majorHAnsi" w:eastAsiaTheme="majorEastAsia" w:cstheme="majorBidi"/>
      <w:color w:val="365F91" w:themeColor="accent1" w:themeShade="BF"/>
      <w:sz w:val="32"/>
      <w:szCs w:val="32"/>
    </w:rPr>
  </w:style>
  <w:style w:type="character" w:styleId="Ttulo3Car" w:customStyle="1">
    <w:name w:val="Título 3 Car"/>
    <w:basedOn w:val="Fuentedeprrafopredeter"/>
    <w:link w:val="Ttulo3"/>
    <w:uiPriority w:val="9"/>
    <w:semiHidden/>
    <w:rsid w:val="003D0A40"/>
    <w:rPr>
      <w:rFonts w:asciiTheme="majorHAnsi" w:hAnsiTheme="majorHAnsi" w:eastAsiaTheme="majorEastAsia" w:cstheme="majorBidi"/>
      <w:color w:val="365F91" w:themeColor="accent1" w:themeShade="BF"/>
      <w:sz w:val="28"/>
      <w:szCs w:val="28"/>
    </w:rPr>
  </w:style>
  <w:style w:type="character" w:styleId="Ttulo4Car" w:customStyle="1">
    <w:name w:val="Título 4 Car"/>
    <w:basedOn w:val="Fuentedeprrafopredeter"/>
    <w:link w:val="Ttulo4"/>
    <w:uiPriority w:val="9"/>
    <w:semiHidden/>
    <w:rsid w:val="003D0A40"/>
    <w:rPr>
      <w:rFonts w:asciiTheme="majorHAnsi" w:hAnsiTheme="majorHAnsi" w:eastAsiaTheme="majorEastAsia" w:cstheme="majorBidi"/>
      <w:color w:val="365F91" w:themeColor="accent1" w:themeShade="BF"/>
      <w:sz w:val="24"/>
      <w:szCs w:val="24"/>
    </w:rPr>
  </w:style>
  <w:style w:type="character" w:styleId="Ttulo5Car" w:customStyle="1">
    <w:name w:val="Título 5 Car"/>
    <w:basedOn w:val="Fuentedeprrafopredeter"/>
    <w:link w:val="Ttulo5"/>
    <w:uiPriority w:val="9"/>
    <w:semiHidden/>
    <w:rsid w:val="003D0A40"/>
    <w:rPr>
      <w:rFonts w:asciiTheme="majorHAnsi" w:hAnsiTheme="majorHAnsi" w:eastAsiaTheme="majorEastAsia" w:cstheme="majorBidi"/>
      <w:caps/>
      <w:color w:val="365F91" w:themeColor="accent1" w:themeShade="BF"/>
    </w:rPr>
  </w:style>
  <w:style w:type="character" w:styleId="Ttulo6Car" w:customStyle="1">
    <w:name w:val="Título 6 Car"/>
    <w:basedOn w:val="Fuentedeprrafopredeter"/>
    <w:link w:val="Ttulo6"/>
    <w:uiPriority w:val="9"/>
    <w:semiHidden/>
    <w:rsid w:val="003D0A40"/>
    <w:rPr>
      <w:rFonts w:asciiTheme="majorHAnsi" w:hAnsiTheme="majorHAnsi" w:eastAsiaTheme="majorEastAsia" w:cstheme="majorBidi"/>
      <w:i/>
      <w:iCs/>
      <w:caps/>
      <w:color w:val="244061" w:themeColor="accent1" w:themeShade="80"/>
    </w:rPr>
  </w:style>
  <w:style w:type="character" w:styleId="Ttulo7Car" w:customStyle="1">
    <w:name w:val="Título 7 Car"/>
    <w:basedOn w:val="Fuentedeprrafopredeter"/>
    <w:link w:val="Ttulo7"/>
    <w:uiPriority w:val="9"/>
    <w:semiHidden/>
    <w:rsid w:val="003D0A40"/>
    <w:rPr>
      <w:rFonts w:asciiTheme="majorHAnsi" w:hAnsiTheme="majorHAnsi" w:eastAsiaTheme="majorEastAsia" w:cstheme="majorBidi"/>
      <w:b/>
      <w:bCs/>
      <w:color w:val="244061" w:themeColor="accent1" w:themeShade="80"/>
    </w:rPr>
  </w:style>
  <w:style w:type="character" w:styleId="Ttulo8Car" w:customStyle="1">
    <w:name w:val="Título 8 Car"/>
    <w:basedOn w:val="Fuentedeprrafopredeter"/>
    <w:link w:val="Ttulo8"/>
    <w:uiPriority w:val="9"/>
    <w:semiHidden/>
    <w:rsid w:val="003D0A40"/>
    <w:rPr>
      <w:rFonts w:asciiTheme="majorHAnsi" w:hAnsiTheme="majorHAnsi" w:eastAsiaTheme="majorEastAsia" w:cstheme="majorBidi"/>
      <w:b/>
      <w:bCs/>
      <w:i/>
      <w:iCs/>
      <w:color w:val="244061" w:themeColor="accent1" w:themeShade="80"/>
    </w:rPr>
  </w:style>
  <w:style w:type="character" w:styleId="Ttulo9Car" w:customStyle="1">
    <w:name w:val="Título 9 Car"/>
    <w:basedOn w:val="Fuentedeprrafopredeter"/>
    <w:link w:val="Ttulo9"/>
    <w:uiPriority w:val="9"/>
    <w:semiHidden/>
    <w:rsid w:val="003D0A40"/>
    <w:rPr>
      <w:rFonts w:asciiTheme="majorHAnsi" w:hAnsiTheme="majorHAnsi" w:eastAsiaTheme="majorEastAsia" w:cstheme="majorBidi"/>
      <w:i/>
      <w:iCs/>
      <w:color w:val="244061" w:themeColor="accent1" w:themeShade="80"/>
    </w:rPr>
  </w:style>
  <w:style w:type="paragraph" w:styleId="Descripcin">
    <w:name w:val="caption"/>
    <w:basedOn w:val="Normal"/>
    <w:next w:val="Normal"/>
    <w:uiPriority w:val="35"/>
    <w:semiHidden/>
    <w:unhideWhenUsed/>
    <w:qFormat/>
    <w:rsid w:val="003D0A40"/>
    <w:pPr>
      <w:spacing w:line="240" w:lineRule="auto"/>
    </w:pPr>
    <w:rPr>
      <w:b/>
      <w:bCs/>
      <w:smallCaps/>
      <w:color w:val="1F497D" w:themeColor="text2"/>
    </w:rPr>
  </w:style>
  <w:style w:type="paragraph" w:styleId="Ttulo">
    <w:name w:val="Title"/>
    <w:basedOn w:val="Normal"/>
    <w:next w:val="Normal"/>
    <w:link w:val="TtuloCar"/>
    <w:uiPriority w:val="10"/>
    <w:qFormat/>
    <w:rsid w:val="003D0A40"/>
    <w:pPr>
      <w:spacing w:after="0" w:line="204" w:lineRule="auto"/>
      <w:contextualSpacing/>
    </w:pPr>
    <w:rPr>
      <w:rFonts w:asciiTheme="majorHAnsi" w:hAnsiTheme="majorHAnsi" w:eastAsiaTheme="majorEastAsia" w:cstheme="majorBidi"/>
      <w:caps/>
      <w:color w:val="1F497D" w:themeColor="text2"/>
      <w:spacing w:val="-15"/>
      <w:sz w:val="72"/>
      <w:szCs w:val="72"/>
    </w:rPr>
  </w:style>
  <w:style w:type="character" w:styleId="TtuloCar" w:customStyle="1">
    <w:name w:val="Título Car"/>
    <w:basedOn w:val="Fuentedeprrafopredeter"/>
    <w:link w:val="Ttulo"/>
    <w:uiPriority w:val="10"/>
    <w:rsid w:val="003D0A40"/>
    <w:rPr>
      <w:rFonts w:asciiTheme="majorHAnsi" w:hAnsiTheme="majorHAnsi" w:eastAsiaTheme="majorEastAsia" w:cstheme="majorBidi"/>
      <w:caps/>
      <w:color w:val="1F497D" w:themeColor="text2"/>
      <w:spacing w:val="-15"/>
      <w:sz w:val="72"/>
      <w:szCs w:val="72"/>
    </w:rPr>
  </w:style>
  <w:style w:type="paragraph" w:styleId="Subttulo">
    <w:name w:val="Subtitle"/>
    <w:basedOn w:val="Normal"/>
    <w:next w:val="Normal"/>
    <w:link w:val="SubttuloCar"/>
    <w:uiPriority w:val="11"/>
    <w:qFormat/>
    <w:rsid w:val="003D0A40"/>
    <w:pPr>
      <w:numPr>
        <w:ilvl w:val="1"/>
      </w:numPr>
      <w:spacing w:after="240" w:line="240" w:lineRule="auto"/>
    </w:pPr>
    <w:rPr>
      <w:rFonts w:asciiTheme="majorHAnsi" w:hAnsiTheme="majorHAnsi" w:eastAsiaTheme="majorEastAsia" w:cstheme="majorBidi"/>
      <w:color w:val="4F81BD" w:themeColor="accent1"/>
      <w:sz w:val="28"/>
      <w:szCs w:val="28"/>
    </w:rPr>
  </w:style>
  <w:style w:type="character" w:styleId="SubttuloCar" w:customStyle="1">
    <w:name w:val="Subtítulo Car"/>
    <w:basedOn w:val="Fuentedeprrafopredeter"/>
    <w:link w:val="Subttulo"/>
    <w:uiPriority w:val="11"/>
    <w:rsid w:val="003D0A40"/>
    <w:rPr>
      <w:rFonts w:asciiTheme="majorHAnsi" w:hAnsiTheme="majorHAnsi" w:eastAsiaTheme="majorEastAsia" w:cstheme="majorBidi"/>
      <w:color w:val="4F81BD" w:themeColor="accent1"/>
      <w:sz w:val="28"/>
      <w:szCs w:val="28"/>
    </w:rPr>
  </w:style>
  <w:style w:type="character" w:styleId="Textoennegrita">
    <w:name w:val="Strong"/>
    <w:basedOn w:val="Fuentedeprrafopredeter"/>
    <w:uiPriority w:val="22"/>
    <w:qFormat/>
    <w:rsid w:val="003D0A40"/>
    <w:rPr>
      <w:b/>
      <w:bCs/>
    </w:rPr>
  </w:style>
  <w:style w:type="character" w:styleId="nfasis">
    <w:name w:val="Emphasis"/>
    <w:basedOn w:val="Fuentedeprrafopredeter"/>
    <w:uiPriority w:val="20"/>
    <w:qFormat/>
    <w:rsid w:val="003D0A40"/>
    <w:rPr>
      <w:i/>
      <w:iCs/>
    </w:rPr>
  </w:style>
  <w:style w:type="paragraph" w:styleId="Sinespaciado">
    <w:name w:val="No Spacing"/>
    <w:uiPriority w:val="1"/>
    <w:qFormat/>
    <w:rsid w:val="003D0A40"/>
    <w:pPr>
      <w:spacing w:after="0" w:line="240" w:lineRule="auto"/>
    </w:pPr>
  </w:style>
  <w:style w:type="paragraph" w:styleId="Cita">
    <w:name w:val="Quote"/>
    <w:basedOn w:val="Normal"/>
    <w:next w:val="Normal"/>
    <w:link w:val="CitaCar"/>
    <w:uiPriority w:val="29"/>
    <w:qFormat/>
    <w:rsid w:val="003D0A40"/>
    <w:pPr>
      <w:spacing w:before="120" w:after="120"/>
      <w:ind w:left="720"/>
    </w:pPr>
    <w:rPr>
      <w:color w:val="1F497D" w:themeColor="text2"/>
      <w:sz w:val="24"/>
      <w:szCs w:val="24"/>
    </w:rPr>
  </w:style>
  <w:style w:type="character" w:styleId="CitaCar" w:customStyle="1">
    <w:name w:val="Cita Car"/>
    <w:basedOn w:val="Fuentedeprrafopredeter"/>
    <w:link w:val="Cita"/>
    <w:uiPriority w:val="29"/>
    <w:rsid w:val="003D0A40"/>
    <w:rPr>
      <w:color w:val="1F497D" w:themeColor="text2"/>
      <w:sz w:val="24"/>
      <w:szCs w:val="24"/>
    </w:rPr>
  </w:style>
  <w:style w:type="paragraph" w:styleId="Citadestacada">
    <w:name w:val="Intense Quote"/>
    <w:basedOn w:val="Normal"/>
    <w:next w:val="Normal"/>
    <w:link w:val="CitadestacadaCar"/>
    <w:uiPriority w:val="30"/>
    <w:qFormat/>
    <w:rsid w:val="003D0A40"/>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CitadestacadaCar" w:customStyle="1">
    <w:name w:val="Cita destacada Car"/>
    <w:basedOn w:val="Fuentedeprrafopredeter"/>
    <w:link w:val="Citadestacada"/>
    <w:uiPriority w:val="30"/>
    <w:rsid w:val="003D0A40"/>
    <w:rPr>
      <w:rFonts w:asciiTheme="majorHAnsi" w:hAnsiTheme="majorHAnsi" w:eastAsiaTheme="majorEastAsia" w:cstheme="majorBidi"/>
      <w:color w:val="1F497D" w:themeColor="text2"/>
      <w:spacing w:val="-6"/>
      <w:sz w:val="32"/>
      <w:szCs w:val="32"/>
    </w:rPr>
  </w:style>
  <w:style w:type="character" w:styleId="nfasissutil">
    <w:name w:val="Subtle Emphasis"/>
    <w:basedOn w:val="Fuentedeprrafopredeter"/>
    <w:uiPriority w:val="19"/>
    <w:qFormat/>
    <w:rsid w:val="003D0A40"/>
    <w:rPr>
      <w:i/>
      <w:iCs/>
      <w:color w:val="595959" w:themeColor="text1" w:themeTint="A6"/>
    </w:rPr>
  </w:style>
  <w:style w:type="character" w:styleId="nfasisintenso">
    <w:name w:val="Intense Emphasis"/>
    <w:basedOn w:val="Fuentedeprrafopredeter"/>
    <w:uiPriority w:val="21"/>
    <w:qFormat/>
    <w:rsid w:val="003D0A40"/>
    <w:rPr>
      <w:b/>
      <w:bCs/>
      <w:i/>
      <w:iCs/>
    </w:rPr>
  </w:style>
  <w:style w:type="character" w:styleId="Referenciasutil">
    <w:name w:val="Subtle Reference"/>
    <w:basedOn w:val="Fuentedeprrafopredeter"/>
    <w:uiPriority w:val="31"/>
    <w:qFormat/>
    <w:rsid w:val="003D0A40"/>
    <w:rPr>
      <w:smallCaps/>
      <w:color w:val="595959" w:themeColor="text1" w:themeTint="A6"/>
      <w:u w:val="none" w:color="7F7F7F" w:themeColor="text1" w:themeTint="80"/>
      <w:bdr w:val="none" w:color="auto" w:sz="0" w:space="0"/>
    </w:rPr>
  </w:style>
  <w:style w:type="character" w:styleId="Referenciaintensa">
    <w:name w:val="Intense Reference"/>
    <w:basedOn w:val="Fuentedeprrafopredeter"/>
    <w:uiPriority w:val="32"/>
    <w:qFormat/>
    <w:rsid w:val="003D0A40"/>
    <w:rPr>
      <w:b/>
      <w:bCs/>
      <w:smallCaps/>
      <w:color w:val="1F497D" w:themeColor="text2"/>
      <w:u w:val="single"/>
    </w:rPr>
  </w:style>
  <w:style w:type="character" w:styleId="Ttulodellibro">
    <w:name w:val="Book Title"/>
    <w:basedOn w:val="Fuentedeprrafopredeter"/>
    <w:uiPriority w:val="33"/>
    <w:qFormat/>
    <w:rsid w:val="003D0A40"/>
    <w:rPr>
      <w:b/>
      <w:bCs/>
      <w:smallCaps/>
      <w:spacing w:val="10"/>
    </w:rPr>
  </w:style>
  <w:style w:type="paragraph" w:styleId="TtuloTDC">
    <w:name w:val="TOC Heading"/>
    <w:basedOn w:val="Ttulo1"/>
    <w:next w:val="Normal"/>
    <w:uiPriority w:val="39"/>
    <w:semiHidden/>
    <w:unhideWhenUsed/>
    <w:qFormat/>
    <w:rsid w:val="003D0A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754957404c1465e"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a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F86E-A156-4D18-95B2-F4BFB11D948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C7B22B7-55F3-4A76-82D6-42037AEAE491}">
  <ds:schemaRefs>
    <ds:schemaRef ds:uri="http://schemas.microsoft.com/sharepoint/v3/contenttype/forms"/>
  </ds:schemaRefs>
</ds:datastoreItem>
</file>

<file path=customXml/itemProps3.xml><?xml version="1.0" encoding="utf-8"?>
<ds:datastoreItem xmlns:ds="http://schemas.openxmlformats.org/officeDocument/2006/customXml" ds:itemID="{05B82633-3C81-4DDC-B70C-FA037535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30C27-9536-47EB-97F9-E5F94ADAF6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2020-04-15T04:45:00.0000000Z</dcterms:created>
  <dcterms:modified xsi:type="dcterms:W3CDTF">2020-07-15T15:51:07.1763702Z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