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178FF" w:rsidR="009178FF" w:rsidP="009178FF" w:rsidRDefault="00231E96" w14:paraId="517D2816" w14:textId="77777777">
      <w:pPr>
        <w:spacing w:before="95"/>
        <w:ind w:right="447"/>
        <w:jc w:val="right"/>
        <w:rPr>
          <w:b/>
          <w:sz w:val="16"/>
        </w:rPr>
      </w:pPr>
      <w:r w:rsidRPr="009178FF">
        <w:rPr>
          <w:b/>
          <w:sz w:val="16"/>
        </w:rPr>
        <w:t>CCE-DES-FM-17</w:t>
      </w:r>
    </w:p>
    <w:p w:rsidR="009178FF" w:rsidP="009178FF" w:rsidRDefault="009178FF" w14:paraId="173FDD96" w14:textId="77777777">
      <w:pPr>
        <w:ind w:left="142"/>
        <w:jc w:val="both"/>
        <w:rPr>
          <w:b/>
          <w:bCs/>
        </w:rPr>
      </w:pPr>
    </w:p>
    <w:p w:rsidRPr="009178FF" w:rsidR="00D20ABC" w:rsidP="009178FF" w:rsidRDefault="009178FF" w14:paraId="211790F4" w14:textId="0316A836">
      <w:pPr>
        <w:ind w:left="142"/>
        <w:jc w:val="both"/>
        <w:rPr>
          <w:b/>
          <w:bCs/>
        </w:rPr>
      </w:pPr>
      <w:r>
        <w:rPr>
          <w:b/>
          <w:bCs/>
        </w:rPr>
        <w:t>REGISTRO Ú</w:t>
      </w:r>
      <w:r w:rsidRPr="009178FF" w:rsidR="00D20ABC">
        <w:rPr>
          <w:b/>
          <w:bCs/>
        </w:rPr>
        <w:t xml:space="preserve">NICO DE PROPONENTES – Definición </w:t>
      </w:r>
    </w:p>
    <w:p w:rsidRPr="009178FF" w:rsidR="00D20ABC" w:rsidP="00D20ABC" w:rsidRDefault="00D20ABC" w14:paraId="2020964B" w14:textId="77777777">
      <w:pPr>
        <w:jc w:val="both"/>
        <w:rPr>
          <w:b/>
          <w:bCs/>
        </w:rPr>
      </w:pPr>
    </w:p>
    <w:p w:rsidRPr="009178FF" w:rsidR="00D20ABC" w:rsidP="00D20ABC" w:rsidRDefault="00D20ABC" w14:paraId="1D327C53" w14:textId="77777777">
      <w:pPr>
        <w:ind w:left="142"/>
        <w:jc w:val="both"/>
        <w:rPr>
          <w:sz w:val="20"/>
          <w:szCs w:val="20"/>
        </w:rPr>
      </w:pPr>
      <w:r w:rsidRPr="009178FF">
        <w:rPr>
          <w:sz w:val="20"/>
          <w:szCs w:val="20"/>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rsidRPr="009178FF" w:rsidR="00D20ABC" w:rsidP="00D20ABC" w:rsidRDefault="00D20ABC" w14:paraId="34D83968" w14:textId="77777777">
      <w:pPr>
        <w:jc w:val="both"/>
        <w:rPr>
          <w:sz w:val="21"/>
          <w:szCs w:val="21"/>
        </w:rPr>
      </w:pPr>
    </w:p>
    <w:p w:rsidRPr="009178FF" w:rsidR="00D20ABC" w:rsidP="00D20ABC" w:rsidRDefault="009178FF" w14:paraId="661F2448" w14:textId="198AC6BA">
      <w:pPr>
        <w:ind w:left="142"/>
        <w:jc w:val="both"/>
        <w:rPr>
          <w:b/>
          <w:bCs/>
        </w:rPr>
      </w:pPr>
      <w:r>
        <w:rPr>
          <w:b/>
          <w:bCs/>
        </w:rPr>
        <w:t>REGISTRO Ú</w:t>
      </w:r>
      <w:r w:rsidRPr="009178FF" w:rsidR="00D20ABC">
        <w:rPr>
          <w:b/>
          <w:bCs/>
        </w:rPr>
        <w:t>NICO DE PROPONENTES – Marco normativo – Ley 1150 de 2007</w:t>
      </w:r>
    </w:p>
    <w:p w:rsidRPr="009178FF" w:rsidR="00D20ABC" w:rsidP="00D20ABC" w:rsidRDefault="00D20ABC" w14:paraId="53BFCA04" w14:textId="77777777">
      <w:pPr>
        <w:jc w:val="both"/>
        <w:rPr>
          <w:b/>
          <w:bCs/>
        </w:rPr>
      </w:pPr>
    </w:p>
    <w:p w:rsidRPr="009178FF" w:rsidR="00D20ABC" w:rsidP="00D20ABC" w:rsidRDefault="00D20ABC" w14:paraId="7FB5D42A" w14:textId="77777777">
      <w:pPr>
        <w:ind w:left="142"/>
        <w:jc w:val="both"/>
        <w:rPr>
          <w:sz w:val="20"/>
          <w:szCs w:val="20"/>
        </w:rPr>
      </w:pPr>
      <w:r w:rsidRPr="009178FF">
        <w:rPr>
          <w:sz w:val="20"/>
          <w:szCs w:val="20"/>
        </w:rPr>
        <w:t>La Ley 1150 de 2007 –numeral 6.1 del artículo 6–, al determinar  las características aplicables al RUP, cualifica la información plasmada en él, al establecer que constituye plena prueba de lo que contiene1.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p>
    <w:p w:rsidRPr="009178FF" w:rsidR="00D20ABC" w:rsidP="00D20ABC" w:rsidRDefault="00D20ABC" w14:paraId="7D9951DB" w14:textId="77777777">
      <w:pPr>
        <w:jc w:val="both"/>
        <w:rPr>
          <w:sz w:val="21"/>
          <w:szCs w:val="21"/>
        </w:rPr>
      </w:pPr>
    </w:p>
    <w:p w:rsidRPr="009178FF" w:rsidR="00D20ABC" w:rsidP="00D20ABC" w:rsidRDefault="00D20ABC" w14:paraId="7DE62F79" w14:textId="77777777">
      <w:pPr>
        <w:ind w:left="142"/>
        <w:jc w:val="both"/>
        <w:rPr>
          <w:b/>
          <w:bCs/>
        </w:rPr>
      </w:pPr>
      <w:r w:rsidRPr="009178FF">
        <w:rPr>
          <w:b/>
          <w:bCs/>
        </w:rPr>
        <w:t xml:space="preserve">REQUISITOS HABILITANTES – Registro Único de Proponentes – Plena prueba </w:t>
      </w:r>
    </w:p>
    <w:p w:rsidRPr="009178FF" w:rsidR="00D20ABC" w:rsidP="00D20ABC" w:rsidRDefault="00D20ABC" w14:paraId="02B82AF9" w14:textId="77777777">
      <w:pPr>
        <w:jc w:val="both"/>
        <w:rPr>
          <w:b/>
          <w:bCs/>
        </w:rPr>
      </w:pPr>
    </w:p>
    <w:p w:rsidRPr="009178FF" w:rsidR="00D20ABC" w:rsidP="00D20ABC" w:rsidRDefault="00D20ABC" w14:paraId="6E55493A" w14:textId="77777777">
      <w:pPr>
        <w:ind w:left="142"/>
        <w:jc w:val="both"/>
        <w:rPr>
          <w:sz w:val="20"/>
          <w:szCs w:val="20"/>
        </w:rPr>
      </w:pPr>
      <w:r w:rsidRPr="009178FF">
        <w:rPr>
          <w:sz w:val="20"/>
          <w:szCs w:val="20"/>
        </w:rPr>
        <w:t>[L]a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rsidRPr="009178FF" w:rsidR="00D20ABC" w:rsidP="00D20ABC" w:rsidRDefault="00D20ABC" w14:paraId="58E72DCF" w14:textId="77777777">
      <w:pPr>
        <w:jc w:val="both"/>
      </w:pPr>
    </w:p>
    <w:p w:rsidR="00D20ABC" w:rsidP="17E92DB8" w:rsidRDefault="00D20ABC" w14:paraId="0BAD89C2" w14:textId="5E397923">
      <w:pPr>
        <w:pStyle w:val="Normal"/>
        <w:bidi w:val="0"/>
        <w:spacing w:before="0" w:beforeAutospacing="off" w:after="0" w:afterAutospacing="off" w:line="259" w:lineRule="auto"/>
        <w:ind w:left="142" w:right="0"/>
        <w:jc w:val="both"/>
        <w:rPr>
          <w:b w:val="1"/>
          <w:bCs w:val="1"/>
        </w:rPr>
      </w:pPr>
      <w:r w:rsidRPr="17E92DB8" w:rsidR="00D20ABC">
        <w:rPr>
          <w:b w:val="1"/>
          <w:bCs w:val="1"/>
        </w:rPr>
        <w:t xml:space="preserve">REGISTRO </w:t>
      </w:r>
      <w:r w:rsidRPr="17E92DB8" w:rsidR="08B1511C">
        <w:rPr>
          <w:b w:val="1"/>
          <w:bCs w:val="1"/>
        </w:rPr>
        <w:t>Ú</w:t>
      </w:r>
      <w:r w:rsidRPr="17E92DB8" w:rsidR="00D20ABC">
        <w:rPr>
          <w:b w:val="1"/>
          <w:bCs w:val="1"/>
        </w:rPr>
        <w:t>NICO DE PROPONENTES</w:t>
      </w:r>
      <w:r w:rsidRPr="17E92DB8" w:rsidR="3DE61012">
        <w:rPr>
          <w:b w:val="1"/>
          <w:bCs w:val="1"/>
        </w:rPr>
        <w:t xml:space="preserve"> – </w:t>
      </w:r>
      <w:r w:rsidRPr="17E92DB8" w:rsidR="4436DD6D">
        <w:rPr>
          <w:b w:val="1"/>
          <w:bCs w:val="1"/>
        </w:rPr>
        <w:t xml:space="preserve">Procesos de contratación – </w:t>
      </w:r>
      <w:r w:rsidRPr="17E92DB8" w:rsidR="3DE61012">
        <w:rPr>
          <w:b w:val="1"/>
          <w:bCs w:val="1"/>
        </w:rPr>
        <w:t>Exig</w:t>
      </w:r>
      <w:r w:rsidRPr="17E92DB8" w:rsidR="2C988A7C">
        <w:rPr>
          <w:b w:val="1"/>
          <w:bCs w:val="1"/>
        </w:rPr>
        <w:t xml:space="preserve">encia </w:t>
      </w:r>
      <w:r w:rsidRPr="17E92DB8" w:rsidR="3DE61012">
        <w:rPr>
          <w:b w:val="1"/>
          <w:bCs w:val="1"/>
        </w:rPr>
        <w:t>– Excepciones</w:t>
      </w:r>
    </w:p>
    <w:p w:rsidRPr="009178FF" w:rsidR="00D20ABC" w:rsidP="00D20ABC" w:rsidRDefault="00D20ABC" w14:paraId="090A725C" w14:textId="77777777">
      <w:pPr>
        <w:jc w:val="both"/>
        <w:rPr>
          <w:b/>
          <w:bCs/>
        </w:rPr>
      </w:pPr>
    </w:p>
    <w:p w:rsidRPr="009178FF" w:rsidR="00D20ABC" w:rsidP="00D20ABC" w:rsidRDefault="00D20ABC" w14:paraId="70D1FA60" w14:textId="10128207">
      <w:pPr>
        <w:ind w:left="142"/>
        <w:jc w:val="both"/>
        <w:rPr>
          <w:sz w:val="20"/>
          <w:szCs w:val="20"/>
        </w:rPr>
      </w:pPr>
      <w:r w:rsidRPr="009178FF">
        <w:t>[</w:t>
      </w:r>
      <w:r w:rsidR="009178FF">
        <w:rPr>
          <w:sz w:val="20"/>
          <w:szCs w:val="20"/>
        </w:rPr>
        <w:t>…</w:t>
      </w:r>
      <w:r w:rsidRPr="009178FF">
        <w:rPr>
          <w:sz w:val="20"/>
          <w:szCs w:val="20"/>
        </w:rPr>
        <w:t>]</w:t>
      </w:r>
      <w:r w:rsidR="007A25E6">
        <w:rPr>
          <w:sz w:val="20"/>
          <w:szCs w:val="20"/>
        </w:rPr>
        <w:t xml:space="preserve"> </w:t>
      </w:r>
      <w:bookmarkStart w:name="_GoBack" w:id="0"/>
      <w:bookmarkEnd w:id="0"/>
      <w:r w:rsidR="009178FF">
        <w:rPr>
          <w:sz w:val="20"/>
          <w:szCs w:val="20"/>
        </w:rPr>
        <w:t>E</w:t>
      </w:r>
      <w:r w:rsidRPr="009178FF">
        <w:rPr>
          <w:sz w:val="20"/>
          <w:szCs w:val="20"/>
        </w:rPr>
        <w:t>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p>
    <w:p w:rsidRPr="009178FF" w:rsidR="00D20ABC" w:rsidP="00D20ABC" w:rsidRDefault="00D20ABC" w14:paraId="427F359A" w14:textId="77777777">
      <w:pPr>
        <w:jc w:val="both"/>
        <w:rPr>
          <w:sz w:val="21"/>
          <w:szCs w:val="21"/>
        </w:rPr>
      </w:pPr>
    </w:p>
    <w:p w:rsidRPr="009178FF" w:rsidR="00D20ABC" w:rsidP="17E92DB8" w:rsidRDefault="00D20ABC" w14:paraId="2538312F" w14:textId="618343B4">
      <w:pPr>
        <w:pStyle w:val="Normal"/>
        <w:ind w:left="142"/>
        <w:jc w:val="both"/>
        <w:rPr>
          <w:b w:val="1"/>
          <w:bCs w:val="1"/>
        </w:rPr>
      </w:pPr>
      <w:r w:rsidRPr="17E92DB8" w:rsidR="008EDC3F">
        <w:rPr>
          <w:b w:val="1"/>
          <w:bCs w:val="1"/>
        </w:rPr>
        <w:t xml:space="preserve">REGISTRO ÚNICO DE PROPONENTES </w:t>
      </w:r>
      <w:r w:rsidRPr="17E92DB8" w:rsidR="00D20ABC">
        <w:rPr>
          <w:b w:val="1"/>
          <w:bCs w:val="1"/>
        </w:rPr>
        <w:t xml:space="preserve">– </w:t>
      </w:r>
      <w:r w:rsidRPr="17E92DB8" w:rsidR="002E6722">
        <w:rPr>
          <w:b w:val="1"/>
          <w:bCs w:val="1"/>
        </w:rPr>
        <w:t xml:space="preserve">Inscripción – Renovación – </w:t>
      </w:r>
      <w:r w:rsidRPr="17E92DB8" w:rsidR="002E6722">
        <w:rPr>
          <w:b w:val="1"/>
          <w:bCs w:val="1"/>
        </w:rPr>
        <w:t>Actualización</w:t>
      </w:r>
      <w:r w:rsidRPr="17E92DB8" w:rsidR="00D20ABC">
        <w:rPr>
          <w:b w:val="1"/>
          <w:bCs w:val="1"/>
        </w:rPr>
        <w:t xml:space="preserve"> </w:t>
      </w:r>
      <w:r w:rsidRPr="17E92DB8" w:rsidR="00D20ABC">
        <w:rPr>
          <w:b w:val="1"/>
          <w:bCs w:val="1"/>
        </w:rPr>
        <w:t>–</w:t>
      </w:r>
      <w:r w:rsidRPr="17E92DB8" w:rsidR="00D20ABC">
        <w:rPr>
          <w:b w:val="1"/>
          <w:bCs w:val="1"/>
        </w:rPr>
        <w:t xml:space="preserve"> Cámaras de Comercio – </w:t>
      </w:r>
      <w:r w:rsidRPr="17E92DB8" w:rsidR="00D20ABC">
        <w:rPr>
          <w:b w:val="1"/>
          <w:bCs w:val="1"/>
        </w:rPr>
        <w:t>Obligaci</w:t>
      </w:r>
      <w:r w:rsidRPr="17E92DB8" w:rsidR="2029E985">
        <w:rPr>
          <w:b w:val="1"/>
          <w:bCs w:val="1"/>
        </w:rPr>
        <w:t>ó</w:t>
      </w:r>
      <w:r w:rsidRPr="17E92DB8" w:rsidR="00D20ABC">
        <w:rPr>
          <w:b w:val="1"/>
          <w:bCs w:val="1"/>
        </w:rPr>
        <w:t xml:space="preserve">n legal </w:t>
      </w:r>
    </w:p>
    <w:p w:rsidRPr="009178FF" w:rsidR="00D20ABC" w:rsidP="00D20ABC" w:rsidRDefault="00D20ABC" w14:paraId="77C3A28D" w14:textId="77777777">
      <w:pPr>
        <w:jc w:val="both"/>
        <w:rPr>
          <w:b/>
          <w:bCs/>
        </w:rPr>
      </w:pPr>
    </w:p>
    <w:p w:rsidRPr="009178FF" w:rsidR="00D20ABC" w:rsidP="00D20ABC" w:rsidRDefault="00D20ABC" w14:paraId="273FEA31" w14:textId="77777777">
      <w:pPr>
        <w:ind w:left="142"/>
        <w:jc w:val="both"/>
        <w:rPr>
          <w:sz w:val="20"/>
          <w:szCs w:val="20"/>
        </w:rPr>
      </w:pPr>
      <w:r w:rsidRPr="009178FF">
        <w:rPr>
          <w:sz w:val="20"/>
          <w:szCs w:val="20"/>
        </w:rPr>
        <w:t>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inscripción, renovación o actualización–5. En firme el acto administrativo que realiza la inscripción del Registro Único de Proponentes se podrá demandar su nulidad sin que la presentación de la demanda suspenda la inscripción del RUP.</w:t>
      </w:r>
    </w:p>
    <w:p w:rsidRPr="009178FF" w:rsidR="00D20ABC" w:rsidP="00D20ABC" w:rsidRDefault="00D20ABC" w14:paraId="5A083417" w14:textId="77777777">
      <w:pPr>
        <w:jc w:val="both"/>
      </w:pPr>
    </w:p>
    <w:p w:rsidRPr="009178FF" w:rsidR="00D20ABC" w:rsidP="17E92DB8" w:rsidRDefault="00D20ABC" w14:paraId="07C32B7A" w14:textId="232493FC">
      <w:pPr>
        <w:pStyle w:val="Normal"/>
        <w:ind w:left="142"/>
        <w:jc w:val="both"/>
        <w:rPr>
          <w:b w:val="1"/>
          <w:bCs w:val="1"/>
        </w:rPr>
      </w:pPr>
      <w:r w:rsidRPr="17E92DB8" w:rsidR="77EEA9CE">
        <w:rPr>
          <w:b w:val="1"/>
          <w:bCs w:val="1"/>
        </w:rPr>
        <w:t xml:space="preserve">REGISTRO ÚNICO DE PROPONENTES – Inscripción – Renovación – Actualización </w:t>
      </w:r>
      <w:r w:rsidRPr="17E92DB8" w:rsidR="00D20ABC">
        <w:rPr>
          <w:b w:val="1"/>
          <w:bCs w:val="1"/>
        </w:rPr>
        <w:t xml:space="preserve">– </w:t>
      </w:r>
      <w:r w:rsidRPr="17E92DB8" w:rsidR="1FFC518A">
        <w:rPr>
          <w:b w:val="1"/>
          <w:bCs w:val="1"/>
        </w:rPr>
        <w:t>Obligación</w:t>
      </w:r>
      <w:r w:rsidRPr="17E92DB8" w:rsidR="4D61F858">
        <w:rPr>
          <w:b w:val="1"/>
          <w:bCs w:val="1"/>
        </w:rPr>
        <w:t xml:space="preserve"> legal – Incumplimiento – Consecuencias </w:t>
      </w:r>
    </w:p>
    <w:p w:rsidRPr="009178FF" w:rsidR="00D20ABC" w:rsidP="00D20ABC" w:rsidRDefault="00D20ABC" w14:paraId="6567A7FB" w14:textId="77777777">
      <w:pPr>
        <w:jc w:val="both"/>
        <w:rPr>
          <w:b/>
          <w:bCs/>
        </w:rPr>
      </w:pPr>
    </w:p>
    <w:p w:rsidRPr="009178FF" w:rsidR="00D20ABC" w:rsidP="00D20ABC" w:rsidRDefault="00D20ABC" w14:paraId="54A43F05" w14:textId="77777777">
      <w:pPr>
        <w:ind w:left="142"/>
        <w:jc w:val="both"/>
        <w:rPr>
          <w:sz w:val="20"/>
          <w:szCs w:val="20"/>
        </w:rPr>
      </w:pPr>
      <w:r w:rsidRPr="009178FF">
        <w:rPr>
          <w:sz w:val="20"/>
          <w:szCs w:val="20"/>
        </w:rPr>
        <w:t xml:space="preserve">En armonía con lo señalado en el artículo 2.2.1.1.1.5.1 del Decreto 1082 de 2015, si el proponente no presenta la información para renovar su registro antes del quinto día hábil del mes de abril de cada año, </w:t>
      </w:r>
      <w:r w:rsidRPr="009178FF">
        <w:rPr>
          <w:sz w:val="20"/>
          <w:szCs w:val="20"/>
        </w:rPr>
        <w:lastRenderedPageBreak/>
        <w:t xml:space="preserve">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rsidRPr="009178FF" w:rsidR="00D20ABC" w:rsidP="00D20ABC" w:rsidRDefault="00D20ABC" w14:paraId="3C127FCE" w14:textId="77777777">
      <w:pPr>
        <w:jc w:val="both"/>
        <w:rPr>
          <w:sz w:val="21"/>
          <w:szCs w:val="21"/>
        </w:rPr>
      </w:pPr>
    </w:p>
    <w:p w:rsidRPr="009178FF" w:rsidR="00D20ABC" w:rsidP="17E92DB8" w:rsidRDefault="00D20ABC" w14:paraId="2CBDC546" w14:textId="486A4418">
      <w:pPr>
        <w:pStyle w:val="Normal"/>
        <w:ind w:left="142"/>
        <w:jc w:val="both"/>
        <w:rPr>
          <w:b w:val="1"/>
          <w:bCs w:val="1"/>
        </w:rPr>
      </w:pPr>
      <w:r w:rsidRPr="17E92DB8" w:rsidR="00D20ABC">
        <w:rPr>
          <w:b w:val="1"/>
          <w:bCs w:val="1"/>
        </w:rPr>
        <w:t xml:space="preserve">REGISTRO </w:t>
      </w:r>
      <w:r w:rsidRPr="17E92DB8" w:rsidR="4FDAE88F">
        <w:rPr>
          <w:b w:val="1"/>
          <w:bCs w:val="1"/>
        </w:rPr>
        <w:t>Ú</w:t>
      </w:r>
      <w:r w:rsidRPr="17E92DB8" w:rsidR="00D20ABC">
        <w:rPr>
          <w:b w:val="1"/>
          <w:bCs w:val="1"/>
        </w:rPr>
        <w:t>NICO DE PROPONENTES –</w:t>
      </w:r>
      <w:r w:rsidRPr="17E92DB8" w:rsidR="6C017BE7">
        <w:rPr>
          <w:b w:val="1"/>
          <w:bCs w:val="1"/>
        </w:rPr>
        <w:t xml:space="preserve"> Efectos – Verificación</w:t>
      </w:r>
    </w:p>
    <w:p w:rsidRPr="009178FF" w:rsidR="00D20ABC" w:rsidP="00D20ABC" w:rsidRDefault="00D20ABC" w14:paraId="0745D431" w14:textId="77777777">
      <w:pPr>
        <w:jc w:val="both"/>
        <w:rPr>
          <w:b/>
          <w:bCs/>
        </w:rPr>
      </w:pPr>
    </w:p>
    <w:p w:rsidRPr="009178FF" w:rsidR="00D20ABC" w:rsidP="00D20ABC" w:rsidRDefault="00B649B4" w14:paraId="1CEA1366" w14:textId="41E5729D">
      <w:pPr>
        <w:ind w:left="142"/>
        <w:jc w:val="both"/>
        <w:rPr>
          <w:sz w:val="20"/>
          <w:szCs w:val="20"/>
        </w:rPr>
      </w:pPr>
      <w:r w:rsidRPr="009178FF">
        <w:rPr>
          <w:sz w:val="20"/>
          <w:szCs w:val="20"/>
        </w:rPr>
        <w:t>P</w:t>
      </w:r>
      <w:r w:rsidRPr="009178FF" w:rsidR="00D20ABC">
        <w:rPr>
          <w:sz w:val="20"/>
          <w:szCs w:val="20"/>
        </w:rPr>
        <w:t>ara verificar que los efectos del RUP no han cesado, es necesario que el certificado contenga la anotación de que el inscrito ya radicó ante la cámara de comercio los documentos para la renovación, a más tardar el quinto día hábil del mes de abril de cada año, o que esta circunstancia se acredite a través de otro medio idóneo. En este caso, la entidad estatal cuenta con la información necesaria para entender que el proponente tiene un registro vigente, cuyos efectos no han cesado.</w:t>
      </w:r>
    </w:p>
    <w:p w:rsidRPr="009178FF" w:rsidR="00D20ABC" w:rsidP="00D20ABC" w:rsidRDefault="00D20ABC" w14:paraId="5AF7015A" w14:textId="77777777">
      <w:pPr>
        <w:jc w:val="both"/>
      </w:pPr>
    </w:p>
    <w:p w:rsidRPr="009178FF" w:rsidR="00D20ABC" w:rsidP="00D20ABC" w:rsidRDefault="00D20ABC" w14:paraId="50FBB69B" w14:textId="7B672F08">
      <w:pPr>
        <w:ind w:left="142"/>
        <w:jc w:val="both"/>
        <w:rPr>
          <w:b w:val="1"/>
          <w:bCs w:val="1"/>
        </w:rPr>
      </w:pPr>
      <w:r w:rsidRPr="17E92DB8" w:rsidR="00D20ABC">
        <w:rPr>
          <w:b w:val="1"/>
          <w:bCs w:val="1"/>
        </w:rPr>
        <w:t xml:space="preserve">REGISTRO UNICO DE PROPONENTES – Firmeza </w:t>
      </w:r>
    </w:p>
    <w:p w:rsidRPr="009178FF" w:rsidR="00D20ABC" w:rsidP="00D20ABC" w:rsidRDefault="00D20ABC" w14:paraId="63993B23" w14:textId="77777777">
      <w:pPr>
        <w:jc w:val="both"/>
        <w:rPr>
          <w:b/>
          <w:bCs/>
        </w:rPr>
      </w:pPr>
    </w:p>
    <w:p w:rsidRPr="009178FF" w:rsidR="00D20ABC" w:rsidP="00D20ABC" w:rsidRDefault="00D20ABC" w14:paraId="087E9DF6" w14:textId="77777777">
      <w:pPr>
        <w:ind w:left="142"/>
        <w:jc w:val="both"/>
        <w:rPr>
          <w:sz w:val="20"/>
          <w:szCs w:val="20"/>
        </w:rPr>
      </w:pPr>
      <w:r w:rsidRPr="009178FF">
        <w:rPr>
          <w:sz w:val="20"/>
          <w:szCs w:val="20"/>
        </w:rPr>
        <w:t>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p>
    <w:p w:rsidRPr="009178FF" w:rsidR="00D20ABC" w:rsidP="00B649B4" w:rsidRDefault="00D20ABC" w14:paraId="7C7E9D96" w14:textId="77777777">
      <w:pPr>
        <w:ind w:left="142"/>
        <w:jc w:val="both"/>
        <w:rPr>
          <w:sz w:val="20"/>
          <w:szCs w:val="20"/>
        </w:rPr>
      </w:pPr>
    </w:p>
    <w:p w:rsidRPr="009178FF" w:rsidR="00D20ABC" w:rsidP="00D20ABC" w:rsidRDefault="00D20ABC" w14:paraId="20707EAD" w14:textId="21AC7DF6">
      <w:pPr>
        <w:ind w:left="142"/>
        <w:jc w:val="both"/>
        <w:rPr>
          <w:b w:val="1"/>
          <w:bCs w:val="1"/>
        </w:rPr>
      </w:pPr>
      <w:r w:rsidRPr="17E92DB8" w:rsidR="00D20ABC">
        <w:rPr>
          <w:b w:val="1"/>
          <w:bCs w:val="1"/>
        </w:rPr>
        <w:t xml:space="preserve">REGISTRO </w:t>
      </w:r>
      <w:r w:rsidRPr="17E92DB8" w:rsidR="372845AC">
        <w:rPr>
          <w:b w:val="1"/>
          <w:bCs w:val="1"/>
        </w:rPr>
        <w:t>Ú</w:t>
      </w:r>
      <w:r w:rsidRPr="17E92DB8" w:rsidR="00D20ABC">
        <w:rPr>
          <w:b w:val="1"/>
          <w:bCs w:val="1"/>
        </w:rPr>
        <w:t xml:space="preserve">NICO DE PROPONENTES – Inscripción </w:t>
      </w:r>
    </w:p>
    <w:p w:rsidRPr="009178FF" w:rsidR="00D20ABC" w:rsidP="00D20ABC" w:rsidRDefault="00D20ABC" w14:paraId="16B87E01" w14:textId="77777777">
      <w:pPr>
        <w:jc w:val="both"/>
        <w:rPr>
          <w:b/>
          <w:bCs/>
        </w:rPr>
      </w:pPr>
    </w:p>
    <w:p w:rsidRPr="009178FF" w:rsidR="00D20ABC" w:rsidP="00D20ABC" w:rsidRDefault="00D20ABC" w14:paraId="3EC6A6F5" w14:textId="77777777">
      <w:pPr>
        <w:ind w:left="142"/>
        <w:jc w:val="both"/>
        <w:rPr>
          <w:sz w:val="20"/>
          <w:szCs w:val="20"/>
        </w:rPr>
      </w:pPr>
      <w:r w:rsidRPr="009178FF">
        <w:rPr>
          <w:sz w:val="20"/>
          <w:szCs w:val="20"/>
        </w:rPr>
        <w:t>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 (…)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 inscripción.</w:t>
      </w:r>
    </w:p>
    <w:p w:rsidRPr="009178FF" w:rsidR="00D20ABC" w:rsidP="00D20ABC" w:rsidRDefault="00D20ABC" w14:paraId="65FFE07D" w14:textId="77777777">
      <w:pPr>
        <w:ind w:left="142"/>
        <w:jc w:val="both"/>
      </w:pPr>
    </w:p>
    <w:p w:rsidRPr="009178FF" w:rsidR="00D20ABC" w:rsidP="00D20ABC" w:rsidRDefault="00D20ABC" w14:paraId="2454134C" w14:textId="110C33D0">
      <w:pPr>
        <w:ind w:left="142"/>
        <w:jc w:val="both"/>
        <w:rPr>
          <w:b w:val="1"/>
          <w:bCs w:val="1"/>
        </w:rPr>
      </w:pPr>
      <w:r w:rsidRPr="17E92DB8" w:rsidR="00D20ABC">
        <w:rPr>
          <w:b w:val="1"/>
          <w:bCs w:val="1"/>
        </w:rPr>
        <w:t xml:space="preserve">REGISTRO </w:t>
      </w:r>
      <w:r w:rsidRPr="17E92DB8" w:rsidR="009178FF">
        <w:rPr>
          <w:b w:val="1"/>
          <w:bCs w:val="1"/>
        </w:rPr>
        <w:t>Ú</w:t>
      </w:r>
      <w:r w:rsidRPr="17E92DB8" w:rsidR="00D20ABC">
        <w:rPr>
          <w:b w:val="1"/>
          <w:bCs w:val="1"/>
        </w:rPr>
        <w:t xml:space="preserve">NICO DE PROPONENTES – Renovación </w:t>
      </w:r>
    </w:p>
    <w:p w:rsidRPr="009178FF" w:rsidR="00D20ABC" w:rsidP="00B649B4" w:rsidRDefault="00D20ABC" w14:paraId="48751610" w14:textId="77777777">
      <w:pPr>
        <w:ind w:left="142"/>
        <w:jc w:val="both"/>
        <w:rPr>
          <w:sz w:val="20"/>
          <w:szCs w:val="20"/>
        </w:rPr>
      </w:pPr>
    </w:p>
    <w:p w:rsidRPr="009178FF" w:rsidR="00D20ABC" w:rsidP="00D20ABC" w:rsidRDefault="00D20ABC" w14:paraId="4EDC3A47" w14:textId="77777777">
      <w:pPr>
        <w:ind w:left="142"/>
        <w:jc w:val="both"/>
        <w:rPr>
          <w:sz w:val="20"/>
          <w:szCs w:val="20"/>
        </w:rPr>
      </w:pPr>
      <w:r w:rsidRPr="009178FF">
        <w:rPr>
          <w:sz w:val="20"/>
          <w:szCs w:val="20"/>
        </w:rPr>
        <w:t>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w:t>
      </w:r>
    </w:p>
    <w:p w:rsidRPr="009178FF" w:rsidR="00D20ABC" w:rsidP="00D20ABC" w:rsidRDefault="00D20ABC" w14:paraId="71B4A728" w14:textId="77777777">
      <w:pPr>
        <w:jc w:val="both"/>
        <w:rPr>
          <w:sz w:val="21"/>
          <w:szCs w:val="21"/>
        </w:rPr>
      </w:pPr>
    </w:p>
    <w:p w:rsidRPr="009178FF" w:rsidR="00D20ABC" w:rsidP="00D20ABC" w:rsidRDefault="009178FF" w14:paraId="3A7DA2EA" w14:textId="418D5382">
      <w:pPr>
        <w:ind w:left="142"/>
        <w:jc w:val="both"/>
        <w:rPr>
          <w:b w:val="1"/>
          <w:bCs w:val="1"/>
        </w:rPr>
      </w:pPr>
      <w:r w:rsidRPr="17E92DB8" w:rsidR="009178FF">
        <w:rPr>
          <w:b w:val="1"/>
          <w:bCs w:val="1"/>
        </w:rPr>
        <w:t>REGISTRO Ú</w:t>
      </w:r>
      <w:r w:rsidRPr="17E92DB8" w:rsidR="00D20ABC">
        <w:rPr>
          <w:b w:val="1"/>
          <w:bCs w:val="1"/>
        </w:rPr>
        <w:t xml:space="preserve">NICO DE PROPONENTES – Actualización </w:t>
      </w:r>
    </w:p>
    <w:p w:rsidRPr="009178FF" w:rsidR="00D20ABC" w:rsidP="00D20ABC" w:rsidRDefault="00D20ABC" w14:paraId="00DFCEBE" w14:textId="77777777">
      <w:pPr>
        <w:jc w:val="both"/>
        <w:rPr>
          <w:b/>
          <w:bCs/>
        </w:rPr>
      </w:pPr>
    </w:p>
    <w:p w:rsidRPr="009178FF" w:rsidR="00D20ABC" w:rsidP="00D20ABC" w:rsidRDefault="00D20ABC" w14:paraId="250AF96F" w14:textId="77777777">
      <w:pPr>
        <w:ind w:left="142"/>
        <w:jc w:val="both"/>
        <w:rPr>
          <w:sz w:val="20"/>
          <w:szCs w:val="20"/>
        </w:rPr>
      </w:pPr>
      <w:r w:rsidRPr="009178FF">
        <w:rPr>
          <w:sz w:val="20"/>
          <w:szCs w:val="20"/>
        </w:rPr>
        <w:t>Tratándose del trámite administrativo de la actualización,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actualización 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rsidRPr="009178FF" w:rsidR="00D20ABC" w:rsidP="17E92DB8" w:rsidRDefault="00D20ABC" w14:paraId="4A8A021B" w14:textId="2DA01CB8">
      <w:pPr>
        <w:pStyle w:val="Normal"/>
        <w:spacing w:before="93"/>
        <w:ind w:left="300"/>
      </w:pPr>
    </w:p>
    <w:p w:rsidRPr="009178FF" w:rsidR="00D20ABC" w:rsidRDefault="00D20ABC" w14:paraId="2B7F9BB7" w14:textId="77777777">
      <w:pPr>
        <w:spacing w:before="93"/>
        <w:ind w:left="300"/>
      </w:pPr>
    </w:p>
    <w:p w:rsidRPr="009178FF" w:rsidR="00092B61" w:rsidP="00D20ABC" w:rsidRDefault="00231E96" w14:paraId="59858BCD" w14:textId="77777777">
      <w:pPr>
        <w:ind w:left="142"/>
        <w:jc w:val="both"/>
        <w:rPr>
          <w:b/>
        </w:rPr>
      </w:pPr>
      <w:r w:rsidRPr="009178FF">
        <w:rPr>
          <w:sz w:val="21"/>
          <w:szCs w:val="21"/>
        </w:rPr>
        <w:t>Bogotá</w:t>
      </w:r>
      <w:r w:rsidRPr="009178FF">
        <w:t xml:space="preserve"> D.C., </w:t>
      </w:r>
      <w:r w:rsidRPr="009178FF">
        <w:rPr>
          <w:b/>
        </w:rPr>
        <w:t>14/02/2020 Hora 16:34:31s</w:t>
      </w:r>
    </w:p>
    <w:p w:rsidRPr="009178FF" w:rsidR="00D20ABC" w:rsidP="00D20ABC" w:rsidRDefault="00D20ABC" w14:paraId="73512CE2" w14:textId="77777777">
      <w:pPr>
        <w:ind w:left="300"/>
        <w:jc w:val="right"/>
        <w:rPr>
          <w:b/>
        </w:rPr>
      </w:pPr>
    </w:p>
    <w:p w:rsidRPr="009178FF" w:rsidR="00A67139" w:rsidP="00A67139" w:rsidRDefault="00D20ABC" w14:paraId="5420DF9F" w14:textId="77777777">
      <w:pPr>
        <w:jc w:val="right"/>
        <w:rPr>
          <w:b/>
        </w:rPr>
      </w:pPr>
      <w:r w:rsidRPr="009178FF">
        <w:rPr>
          <w:b/>
        </w:rPr>
        <w:t>N° Radicado: 2202013000000988</w:t>
      </w:r>
    </w:p>
    <w:p w:rsidRPr="009178FF" w:rsidR="00A67139" w:rsidP="00A67139" w:rsidRDefault="00A67139" w14:paraId="1E1281F5" w14:textId="77777777">
      <w:pPr>
        <w:jc w:val="right"/>
        <w:rPr>
          <w:b/>
        </w:rPr>
      </w:pPr>
    </w:p>
    <w:p w:rsidRPr="009178FF" w:rsidR="00092B61" w:rsidP="00A67139" w:rsidRDefault="00231E96" w14:paraId="3A2B6C9A" w14:textId="7884EA04">
      <w:pPr>
        <w:ind w:left="142"/>
        <w:jc w:val="both"/>
      </w:pPr>
      <w:r w:rsidRPr="009178FF">
        <w:t>Señor (a)</w:t>
      </w:r>
    </w:p>
    <w:p w:rsidRPr="009178FF" w:rsidR="00092B61" w:rsidP="00231E96" w:rsidRDefault="00231E96" w14:paraId="2EF21C86" w14:textId="77777777">
      <w:pPr>
        <w:pStyle w:val="Ttulo1"/>
        <w:spacing w:line="253" w:lineRule="exact"/>
        <w:ind w:left="142"/>
      </w:pPr>
      <w:r w:rsidRPr="009178FF">
        <w:t>Julián Orlando Medina Rojas</w:t>
      </w:r>
    </w:p>
    <w:p w:rsidRPr="009178FF" w:rsidR="00092B61" w:rsidP="00231E96" w:rsidRDefault="00231E96" w14:paraId="193D0C96" w14:textId="77777777">
      <w:pPr>
        <w:pStyle w:val="Textoindependiente"/>
        <w:ind w:left="142"/>
        <w:rPr>
          <w:sz w:val="30"/>
        </w:rPr>
      </w:pPr>
      <w:r w:rsidRPr="009178FF">
        <w:t>Ciudad</w:t>
      </w:r>
    </w:p>
    <w:p w:rsidRPr="009178FF" w:rsidR="00D20ABC" w:rsidRDefault="00D20ABC" w14:paraId="56188A0B" w14:textId="77777777">
      <w:pPr>
        <w:spacing w:line="253" w:lineRule="exact"/>
        <w:ind w:left="3302" w:right="3450"/>
        <w:jc w:val="center"/>
        <w:rPr>
          <w:b/>
        </w:rPr>
      </w:pPr>
    </w:p>
    <w:p w:rsidRPr="009178FF" w:rsidR="00D20ABC" w:rsidRDefault="00D20ABC" w14:paraId="0674A0A4" w14:textId="77777777">
      <w:pPr>
        <w:spacing w:line="253" w:lineRule="exact"/>
        <w:ind w:left="3302" w:right="3450"/>
        <w:jc w:val="center"/>
        <w:rPr>
          <w:b/>
        </w:rPr>
      </w:pPr>
    </w:p>
    <w:p w:rsidRPr="009178FF" w:rsidR="00092B61" w:rsidRDefault="00231E96" w14:paraId="4343627C" w14:textId="77777777">
      <w:pPr>
        <w:spacing w:line="253" w:lineRule="exact"/>
        <w:ind w:left="3302" w:right="3450"/>
        <w:jc w:val="center"/>
        <w:rPr>
          <w:b/>
        </w:rPr>
      </w:pPr>
      <w:r w:rsidRPr="009178FF">
        <w:rPr>
          <w:b/>
        </w:rPr>
        <w:t>Concepto C ─ 005 de 2020</w:t>
      </w:r>
    </w:p>
    <w:p w:rsidRPr="009178FF" w:rsidR="00092B61" w:rsidRDefault="00092B61" w14:paraId="0B25FDA6" w14:textId="77777777">
      <w:pPr>
        <w:pStyle w:val="Textoindependiente"/>
        <w:spacing w:before="8" w:after="1"/>
        <w:rPr>
          <w:b/>
        </w:rPr>
      </w:pPr>
    </w:p>
    <w:tbl>
      <w:tblPr>
        <w:tblStyle w:val="TableNormal"/>
        <w:tblW w:w="0" w:type="auto"/>
        <w:tblInd w:w="108" w:type="dxa"/>
        <w:tblLayout w:type="fixed"/>
        <w:tblLook w:val="01E0" w:firstRow="1" w:lastRow="1" w:firstColumn="1" w:lastColumn="1" w:noHBand="0" w:noVBand="0"/>
      </w:tblPr>
      <w:tblGrid>
        <w:gridCol w:w="2169"/>
        <w:gridCol w:w="7161"/>
      </w:tblGrid>
      <w:tr w:rsidRPr="009178FF" w:rsidR="009178FF" w14:paraId="7B96B3AB" w14:textId="77777777">
        <w:trPr>
          <w:trHeight w:val="754"/>
        </w:trPr>
        <w:tc>
          <w:tcPr>
            <w:tcW w:w="2169" w:type="dxa"/>
          </w:tcPr>
          <w:p w:rsidRPr="009178FF" w:rsidR="00092B61" w:rsidP="00D20ABC" w:rsidRDefault="00231E96" w14:paraId="4B809189" w14:textId="77777777">
            <w:pPr>
              <w:pStyle w:val="TableParagraph"/>
              <w:spacing w:line="246" w:lineRule="exact"/>
              <w:ind w:left="179"/>
              <w:rPr>
                <w:b/>
              </w:rPr>
            </w:pPr>
            <w:r w:rsidRPr="009178FF">
              <w:rPr>
                <w:b/>
              </w:rPr>
              <w:t>Temas:</w:t>
            </w:r>
          </w:p>
        </w:tc>
        <w:tc>
          <w:tcPr>
            <w:tcW w:w="7161" w:type="dxa"/>
          </w:tcPr>
          <w:p w:rsidRPr="009178FF" w:rsidR="00092B61" w:rsidRDefault="00231E96" w14:paraId="1E5C1282" w14:textId="77777777">
            <w:pPr>
              <w:pStyle w:val="TableParagraph"/>
              <w:spacing w:line="245" w:lineRule="exact"/>
              <w:ind w:left="721"/>
            </w:pPr>
            <w:r w:rsidRPr="009178FF">
              <w:t>REGISTRO ÚNICO DE PROPONENTES - RUP – acto</w:t>
            </w:r>
          </w:p>
          <w:p w:rsidRPr="009178FF" w:rsidR="00092B61" w:rsidRDefault="00231E96" w14:paraId="4D3EC19E" w14:textId="77777777">
            <w:pPr>
              <w:pStyle w:val="TableParagraph"/>
              <w:tabs>
                <w:tab w:val="left" w:pos="2298"/>
                <w:tab w:val="left" w:pos="2644"/>
                <w:tab w:val="left" w:pos="3589"/>
                <w:tab w:val="left" w:pos="3934"/>
                <w:tab w:val="left" w:pos="5197"/>
                <w:tab w:val="left" w:pos="5542"/>
                <w:tab w:val="left" w:pos="6837"/>
              </w:tabs>
              <w:spacing w:before="4" w:line="252" w:lineRule="exact"/>
              <w:ind w:left="721" w:right="199"/>
            </w:pPr>
            <w:r w:rsidRPr="009178FF">
              <w:t>administrativo</w:t>
            </w:r>
            <w:r w:rsidRPr="009178FF">
              <w:tab/>
            </w:r>
            <w:r w:rsidRPr="009178FF">
              <w:t>–</w:t>
            </w:r>
            <w:r w:rsidRPr="009178FF">
              <w:tab/>
            </w:r>
            <w:r w:rsidRPr="009178FF">
              <w:t>firmeza</w:t>
            </w:r>
            <w:r w:rsidRPr="009178FF">
              <w:tab/>
            </w:r>
            <w:r w:rsidRPr="009178FF">
              <w:t>–</w:t>
            </w:r>
            <w:r w:rsidRPr="009178FF">
              <w:tab/>
            </w:r>
            <w:r w:rsidRPr="009178FF">
              <w:t>inscripción</w:t>
            </w:r>
            <w:r w:rsidRPr="009178FF">
              <w:tab/>
            </w:r>
            <w:r w:rsidRPr="009178FF">
              <w:t>–</w:t>
            </w:r>
            <w:r w:rsidRPr="009178FF">
              <w:tab/>
            </w:r>
            <w:r w:rsidRPr="009178FF">
              <w:t>renovación</w:t>
            </w:r>
            <w:r w:rsidRPr="009178FF">
              <w:tab/>
            </w:r>
            <w:r w:rsidRPr="009178FF">
              <w:rPr>
                <w:spacing w:val="-18"/>
              </w:rPr>
              <w:t xml:space="preserve">– </w:t>
            </w:r>
            <w:r w:rsidRPr="009178FF">
              <w:t>actualización</w:t>
            </w:r>
          </w:p>
        </w:tc>
      </w:tr>
      <w:tr w:rsidRPr="009178FF" w:rsidR="00092B61" w14:paraId="521DA290" w14:textId="77777777">
        <w:trPr>
          <w:trHeight w:val="249"/>
        </w:trPr>
        <w:tc>
          <w:tcPr>
            <w:tcW w:w="2169" w:type="dxa"/>
          </w:tcPr>
          <w:p w:rsidRPr="009178FF" w:rsidR="00092B61" w:rsidRDefault="00231E96" w14:paraId="5F77AF30" w14:textId="77777777">
            <w:pPr>
              <w:pStyle w:val="TableParagraph"/>
              <w:spacing w:line="229" w:lineRule="exact"/>
              <w:ind w:left="200"/>
              <w:rPr>
                <w:b/>
              </w:rPr>
            </w:pPr>
            <w:r w:rsidRPr="009178FF">
              <w:rPr>
                <w:b/>
              </w:rPr>
              <w:t>Radicación:</w:t>
            </w:r>
          </w:p>
        </w:tc>
        <w:tc>
          <w:tcPr>
            <w:tcW w:w="7161" w:type="dxa"/>
          </w:tcPr>
          <w:p w:rsidRPr="009178FF" w:rsidR="00092B61" w:rsidRDefault="00231E96" w14:paraId="0D88BF40" w14:textId="77777777">
            <w:pPr>
              <w:pStyle w:val="TableParagraph"/>
              <w:spacing w:line="229" w:lineRule="exact"/>
              <w:ind w:left="721"/>
            </w:pPr>
            <w:r w:rsidRPr="009178FF">
              <w:t>Respuesta a consulta # 4201912000008154</w:t>
            </w:r>
          </w:p>
        </w:tc>
      </w:tr>
    </w:tbl>
    <w:p w:rsidRPr="009178FF" w:rsidR="00092B61" w:rsidRDefault="00092B61" w14:paraId="55F23D83" w14:textId="77777777">
      <w:pPr>
        <w:pStyle w:val="Textoindependiente"/>
        <w:rPr>
          <w:b/>
          <w:sz w:val="24"/>
        </w:rPr>
      </w:pPr>
    </w:p>
    <w:p w:rsidRPr="009178FF" w:rsidR="00092B61" w:rsidRDefault="00092B61" w14:paraId="492EA434" w14:textId="77777777">
      <w:pPr>
        <w:pStyle w:val="Textoindependiente"/>
        <w:spacing w:before="1"/>
        <w:rPr>
          <w:b/>
          <w:sz w:val="20"/>
        </w:rPr>
      </w:pPr>
    </w:p>
    <w:p w:rsidRPr="009178FF" w:rsidR="00092B61" w:rsidRDefault="00231E96" w14:paraId="1D5E4206" w14:textId="77777777">
      <w:pPr>
        <w:pStyle w:val="Textoindependiente"/>
        <w:ind w:left="300"/>
      </w:pPr>
      <w:r w:rsidRPr="009178FF">
        <w:t>Estimado señor Medina,</w:t>
      </w:r>
    </w:p>
    <w:p w:rsidRPr="009178FF" w:rsidR="00092B61" w:rsidRDefault="00092B61" w14:paraId="44179F92" w14:textId="77777777">
      <w:pPr>
        <w:pStyle w:val="Textoindependiente"/>
        <w:spacing w:before="10"/>
        <w:rPr>
          <w:sz w:val="21"/>
        </w:rPr>
      </w:pPr>
    </w:p>
    <w:p w:rsidRPr="009178FF" w:rsidR="00092B61" w:rsidRDefault="00231E96" w14:paraId="59517124" w14:textId="77777777">
      <w:pPr>
        <w:pStyle w:val="Textoindependiente"/>
        <w:spacing w:line="276" w:lineRule="auto"/>
        <w:ind w:left="300" w:right="496"/>
        <w:jc w:val="both"/>
      </w:pPr>
      <w:r w:rsidRPr="009178FF">
        <w:t>La Agencia Nacional de Contratación Pública -Colombia Compra Eficiente- responde su consulta del 5 de diciembre de 2019, en ejercicio de la competencia otorgada por el numeral 8 del artículo 11 y el numeral 5 del artículo 3 del Decreto Ley 4170 de 2011.</w:t>
      </w:r>
    </w:p>
    <w:p w:rsidRPr="009178FF" w:rsidR="00092B61" w:rsidRDefault="00092B61" w14:paraId="246E4866" w14:textId="77777777">
      <w:pPr>
        <w:pStyle w:val="Textoindependiente"/>
        <w:spacing w:before="10"/>
        <w:rPr>
          <w:sz w:val="35"/>
        </w:rPr>
      </w:pPr>
    </w:p>
    <w:p w:rsidRPr="009178FF" w:rsidR="00092B61" w:rsidRDefault="00231E96" w14:paraId="35DC2E1F" w14:textId="77777777">
      <w:pPr>
        <w:pStyle w:val="Ttulo1"/>
        <w:numPr>
          <w:ilvl w:val="0"/>
          <w:numId w:val="1"/>
        </w:numPr>
        <w:tabs>
          <w:tab w:val="left" w:pos="586"/>
        </w:tabs>
        <w:ind w:hanging="286"/>
        <w:jc w:val="left"/>
      </w:pPr>
      <w:r w:rsidRPr="009178FF">
        <w:t>Problemas</w:t>
      </w:r>
      <w:r w:rsidRPr="009178FF">
        <w:rPr>
          <w:spacing w:val="-2"/>
        </w:rPr>
        <w:t xml:space="preserve"> </w:t>
      </w:r>
      <w:r w:rsidRPr="009178FF">
        <w:t>planteados</w:t>
      </w:r>
    </w:p>
    <w:p w:rsidRPr="009178FF" w:rsidR="00092B61" w:rsidRDefault="00092B61" w14:paraId="5AE23686" w14:textId="77777777">
      <w:pPr>
        <w:pStyle w:val="Textoindependiente"/>
        <w:spacing w:before="6"/>
        <w:rPr>
          <w:b/>
          <w:sz w:val="28"/>
        </w:rPr>
      </w:pPr>
    </w:p>
    <w:p w:rsidRPr="009178FF" w:rsidR="00092B61" w:rsidRDefault="00231E96" w14:paraId="335295A9" w14:textId="77777777">
      <w:pPr>
        <w:pStyle w:val="Textoindependiente"/>
        <w:spacing w:line="276" w:lineRule="auto"/>
        <w:ind w:left="300" w:right="445"/>
        <w:jc w:val="both"/>
      </w:pPr>
      <w:r w:rsidRPr="009178FF">
        <w:t>El peticionario hace preguntas relacionadas con el Registro Único de Proponentes - RUP, particularmente vinculadas con la inscripción, renovación y actualización, en lo atinente a la firmeza de dichas actuaciones y, en general, la firmeza de la información contenida en él, para lo cual formula 9 preguntas.</w:t>
      </w:r>
    </w:p>
    <w:p w:rsidRPr="009178FF" w:rsidR="00092B61" w:rsidRDefault="00231E96" w14:paraId="02444C37" w14:textId="77777777">
      <w:pPr>
        <w:pStyle w:val="Textoindependiente"/>
        <w:spacing w:before="121" w:line="276" w:lineRule="auto"/>
        <w:ind w:left="300" w:right="444" w:firstLine="709"/>
        <w:jc w:val="both"/>
      </w:pPr>
      <w:r w:rsidRPr="009178FF">
        <w:t>Estos asuntos fueron extraídos de las peticiones elevadas a la Agencia Nacional de Contratación Pública – Colombia Compra Eficiente –en adelante CCE o la Agencia–, teniendo en cuenta hechos narrados por el peticionario, ocurridos en desarrollo de un procedimiento de selección, sobre los cuales la Agencia, atendiendo a su competencia, no se pronunciará, por ser decisiones que tomó la entidad estatal dentro de dicho procedimiento, sin corresponder a CCE pronunciarse sobre las actuaciones realizadas por las entidades estatales en casos</w:t>
      </w:r>
      <w:r w:rsidRPr="009178FF">
        <w:rPr>
          <w:spacing w:val="-11"/>
        </w:rPr>
        <w:t xml:space="preserve"> </w:t>
      </w:r>
      <w:r w:rsidRPr="009178FF">
        <w:t>particulares.</w:t>
      </w:r>
    </w:p>
    <w:p w:rsidRPr="009178FF" w:rsidR="00092B61" w:rsidRDefault="00092B61" w14:paraId="112C88F7" w14:textId="77777777">
      <w:pPr>
        <w:pStyle w:val="Textoindependiente"/>
        <w:spacing w:before="9"/>
        <w:rPr>
          <w:sz w:val="35"/>
        </w:rPr>
      </w:pPr>
    </w:p>
    <w:p w:rsidRPr="009178FF" w:rsidR="00092B61" w:rsidRDefault="00231E96" w14:paraId="748F1AEF" w14:textId="77777777">
      <w:pPr>
        <w:pStyle w:val="Ttulo1"/>
        <w:numPr>
          <w:ilvl w:val="0"/>
          <w:numId w:val="1"/>
        </w:numPr>
        <w:tabs>
          <w:tab w:val="left" w:pos="586"/>
        </w:tabs>
        <w:ind w:hanging="286"/>
        <w:jc w:val="left"/>
      </w:pPr>
      <w:r w:rsidRPr="009178FF">
        <w:t>Consideraciones</w:t>
      </w:r>
    </w:p>
    <w:p w:rsidRPr="009178FF" w:rsidR="00092B61" w:rsidRDefault="00092B61" w14:paraId="3109444D" w14:textId="77777777">
      <w:pPr>
        <w:pStyle w:val="Textoindependiente"/>
        <w:spacing w:before="7"/>
        <w:rPr>
          <w:b/>
          <w:sz w:val="28"/>
        </w:rPr>
      </w:pPr>
    </w:p>
    <w:p w:rsidRPr="009178FF" w:rsidR="00092B61" w:rsidRDefault="00231E96" w14:paraId="4B8E1304" w14:textId="77777777">
      <w:pPr>
        <w:pStyle w:val="Textoindependiente"/>
        <w:spacing w:before="1" w:line="276" w:lineRule="auto"/>
        <w:ind w:left="300" w:right="451"/>
        <w:jc w:val="both"/>
      </w:pPr>
      <w:r w:rsidRPr="009178FF">
        <w:t>Las problemáticas asociadas al RUP, relacionadas con la firmeza de la inscripción, renovación y actualización fueron tratadas por CCE en los siguientes conceptos: 4201713000001182</w:t>
      </w:r>
      <w:r w:rsidRPr="009178FF">
        <w:rPr>
          <w:spacing w:val="38"/>
        </w:rPr>
        <w:t xml:space="preserve"> </w:t>
      </w:r>
      <w:r w:rsidRPr="009178FF">
        <w:t>del</w:t>
      </w:r>
      <w:r w:rsidRPr="009178FF">
        <w:rPr>
          <w:spacing w:val="36"/>
        </w:rPr>
        <w:t xml:space="preserve"> </w:t>
      </w:r>
      <w:r w:rsidRPr="009178FF">
        <w:t>24</w:t>
      </w:r>
      <w:r w:rsidRPr="009178FF">
        <w:rPr>
          <w:spacing w:val="39"/>
        </w:rPr>
        <w:t xml:space="preserve"> </w:t>
      </w:r>
      <w:r w:rsidRPr="009178FF">
        <w:t>de</w:t>
      </w:r>
      <w:r w:rsidRPr="009178FF">
        <w:rPr>
          <w:spacing w:val="38"/>
        </w:rPr>
        <w:t xml:space="preserve"> </w:t>
      </w:r>
      <w:r w:rsidRPr="009178FF">
        <w:t>marzo</w:t>
      </w:r>
      <w:r w:rsidRPr="009178FF">
        <w:rPr>
          <w:spacing w:val="38"/>
        </w:rPr>
        <w:t xml:space="preserve"> </w:t>
      </w:r>
      <w:r w:rsidRPr="009178FF">
        <w:t>de</w:t>
      </w:r>
      <w:r w:rsidRPr="009178FF">
        <w:rPr>
          <w:spacing w:val="41"/>
        </w:rPr>
        <w:t xml:space="preserve"> </w:t>
      </w:r>
      <w:r w:rsidRPr="009178FF">
        <w:t>2017;</w:t>
      </w:r>
      <w:r w:rsidRPr="009178FF">
        <w:rPr>
          <w:spacing w:val="39"/>
        </w:rPr>
        <w:t xml:space="preserve"> </w:t>
      </w:r>
      <w:r w:rsidRPr="009178FF">
        <w:t>4201814000002165</w:t>
      </w:r>
      <w:r w:rsidRPr="009178FF">
        <w:rPr>
          <w:spacing w:val="39"/>
        </w:rPr>
        <w:t xml:space="preserve"> </w:t>
      </w:r>
      <w:r w:rsidRPr="009178FF">
        <w:t>del</w:t>
      </w:r>
      <w:r w:rsidRPr="009178FF">
        <w:rPr>
          <w:spacing w:val="40"/>
        </w:rPr>
        <w:t xml:space="preserve"> </w:t>
      </w:r>
      <w:r w:rsidRPr="009178FF">
        <w:t>23</w:t>
      </w:r>
      <w:r w:rsidRPr="009178FF">
        <w:rPr>
          <w:spacing w:val="38"/>
        </w:rPr>
        <w:t xml:space="preserve"> </w:t>
      </w:r>
      <w:r w:rsidRPr="009178FF">
        <w:t>de</w:t>
      </w:r>
      <w:r w:rsidRPr="009178FF">
        <w:rPr>
          <w:spacing w:val="39"/>
        </w:rPr>
        <w:t xml:space="preserve"> </w:t>
      </w:r>
      <w:r w:rsidRPr="009178FF">
        <w:t>abril</w:t>
      </w:r>
      <w:r w:rsidRPr="009178FF">
        <w:rPr>
          <w:spacing w:val="38"/>
        </w:rPr>
        <w:t xml:space="preserve"> </w:t>
      </w:r>
      <w:r w:rsidRPr="009178FF">
        <w:t>de</w:t>
      </w:r>
    </w:p>
    <w:p w:rsidRPr="009178FF" w:rsidR="00092B61" w:rsidRDefault="00231E96" w14:paraId="247C6083" w14:textId="77777777">
      <w:pPr>
        <w:pStyle w:val="Textoindependiente"/>
        <w:ind w:left="300"/>
      </w:pPr>
      <w:r w:rsidRPr="009178FF">
        <w:t>2017; 4201713000001647  del  27 de abril de 2017;  4201711000001879  del</w:t>
      </w:r>
      <w:r w:rsidRPr="009178FF">
        <w:rPr>
          <w:spacing w:val="-1"/>
        </w:rPr>
        <w:t xml:space="preserve"> </w:t>
      </w:r>
      <w:r w:rsidRPr="009178FF">
        <w:t>11 de mayo</w:t>
      </w:r>
    </w:p>
    <w:p w:rsidRPr="009178FF" w:rsidR="00092B61" w:rsidRDefault="00231E96" w14:paraId="528F562F" w14:textId="77777777">
      <w:pPr>
        <w:pStyle w:val="Textoindependiente"/>
        <w:spacing w:before="36"/>
        <w:ind w:left="300"/>
      </w:pPr>
      <w:r w:rsidRPr="009178FF">
        <w:t>de</w:t>
      </w:r>
      <w:r w:rsidRPr="009178FF">
        <w:rPr>
          <w:spacing w:val="34"/>
        </w:rPr>
        <w:t xml:space="preserve"> </w:t>
      </w:r>
      <w:r w:rsidRPr="009178FF">
        <w:t>2017;</w:t>
      </w:r>
      <w:r w:rsidRPr="009178FF">
        <w:rPr>
          <w:spacing w:val="33"/>
        </w:rPr>
        <w:t xml:space="preserve"> </w:t>
      </w:r>
      <w:r w:rsidRPr="009178FF">
        <w:t>4201814000002917</w:t>
      </w:r>
      <w:r w:rsidRPr="009178FF">
        <w:rPr>
          <w:spacing w:val="36"/>
        </w:rPr>
        <w:t xml:space="preserve"> </w:t>
      </w:r>
      <w:r w:rsidRPr="009178FF">
        <w:t>del</w:t>
      </w:r>
      <w:r w:rsidRPr="009178FF">
        <w:rPr>
          <w:spacing w:val="35"/>
        </w:rPr>
        <w:t xml:space="preserve"> </w:t>
      </w:r>
      <w:r w:rsidRPr="009178FF">
        <w:t>11</w:t>
      </w:r>
      <w:r w:rsidRPr="009178FF">
        <w:rPr>
          <w:spacing w:val="35"/>
        </w:rPr>
        <w:t xml:space="preserve"> </w:t>
      </w:r>
      <w:r w:rsidRPr="009178FF">
        <w:t>de</w:t>
      </w:r>
      <w:r w:rsidRPr="009178FF">
        <w:rPr>
          <w:spacing w:val="34"/>
        </w:rPr>
        <w:t xml:space="preserve"> </w:t>
      </w:r>
      <w:r w:rsidRPr="009178FF">
        <w:t>mayo</w:t>
      </w:r>
      <w:r w:rsidRPr="009178FF">
        <w:rPr>
          <w:spacing w:val="35"/>
        </w:rPr>
        <w:t xml:space="preserve"> </w:t>
      </w:r>
      <w:r w:rsidRPr="009178FF">
        <w:t>de</w:t>
      </w:r>
      <w:r w:rsidRPr="009178FF">
        <w:rPr>
          <w:spacing w:val="36"/>
        </w:rPr>
        <w:t xml:space="preserve"> </w:t>
      </w:r>
      <w:r w:rsidRPr="009178FF">
        <w:t>2018;</w:t>
      </w:r>
      <w:r w:rsidRPr="009178FF">
        <w:rPr>
          <w:spacing w:val="36"/>
        </w:rPr>
        <w:t xml:space="preserve"> </w:t>
      </w:r>
      <w:r w:rsidRPr="009178FF">
        <w:t>4201714000002097</w:t>
      </w:r>
      <w:r w:rsidRPr="009178FF">
        <w:rPr>
          <w:spacing w:val="34"/>
        </w:rPr>
        <w:t xml:space="preserve"> </w:t>
      </w:r>
      <w:r w:rsidRPr="009178FF">
        <w:t>del</w:t>
      </w:r>
      <w:r w:rsidRPr="009178FF">
        <w:rPr>
          <w:spacing w:val="36"/>
        </w:rPr>
        <w:t xml:space="preserve"> </w:t>
      </w:r>
      <w:r w:rsidRPr="009178FF">
        <w:t>24</w:t>
      </w:r>
      <w:r w:rsidRPr="009178FF">
        <w:rPr>
          <w:spacing w:val="34"/>
        </w:rPr>
        <w:t xml:space="preserve"> </w:t>
      </w:r>
      <w:r w:rsidRPr="009178FF">
        <w:t>de</w:t>
      </w:r>
    </w:p>
    <w:p w:rsidRPr="009178FF" w:rsidR="00092B61" w:rsidP="00231E96" w:rsidRDefault="00231E96" w14:paraId="5FEA25AF" w14:textId="77777777">
      <w:pPr>
        <w:pStyle w:val="Textoindependiente"/>
        <w:spacing w:before="40"/>
        <w:ind w:left="300"/>
        <w:rPr>
          <w:sz w:val="9"/>
        </w:rPr>
      </w:pPr>
      <w:r w:rsidRPr="009178FF">
        <w:lastRenderedPageBreak/>
        <w:t>mayo</w:t>
      </w:r>
      <w:r w:rsidRPr="009178FF">
        <w:rPr>
          <w:spacing w:val="19"/>
        </w:rPr>
        <w:t xml:space="preserve"> </w:t>
      </w:r>
      <w:r w:rsidRPr="009178FF">
        <w:t>de</w:t>
      </w:r>
      <w:r w:rsidRPr="009178FF">
        <w:rPr>
          <w:spacing w:val="19"/>
        </w:rPr>
        <w:t xml:space="preserve"> </w:t>
      </w:r>
      <w:r w:rsidRPr="009178FF">
        <w:t>2017;</w:t>
      </w:r>
      <w:r w:rsidRPr="009178FF">
        <w:rPr>
          <w:spacing w:val="19"/>
        </w:rPr>
        <w:t xml:space="preserve"> </w:t>
      </w:r>
      <w:r w:rsidRPr="009178FF">
        <w:t>4201814000002927</w:t>
      </w:r>
      <w:r w:rsidRPr="009178FF">
        <w:rPr>
          <w:spacing w:val="21"/>
        </w:rPr>
        <w:t xml:space="preserve"> </w:t>
      </w:r>
      <w:r w:rsidRPr="009178FF">
        <w:t>del</w:t>
      </w:r>
      <w:r w:rsidRPr="009178FF">
        <w:rPr>
          <w:spacing w:val="18"/>
        </w:rPr>
        <w:t xml:space="preserve"> </w:t>
      </w:r>
      <w:r w:rsidRPr="009178FF">
        <w:t>11</w:t>
      </w:r>
      <w:r w:rsidRPr="009178FF">
        <w:rPr>
          <w:spacing w:val="20"/>
        </w:rPr>
        <w:t xml:space="preserve"> </w:t>
      </w:r>
      <w:r w:rsidRPr="009178FF">
        <w:t>de</w:t>
      </w:r>
      <w:r w:rsidRPr="009178FF">
        <w:rPr>
          <w:spacing w:val="19"/>
        </w:rPr>
        <w:t xml:space="preserve"> </w:t>
      </w:r>
      <w:r w:rsidRPr="009178FF">
        <w:t>abril</w:t>
      </w:r>
      <w:r w:rsidRPr="009178FF">
        <w:rPr>
          <w:spacing w:val="20"/>
        </w:rPr>
        <w:t xml:space="preserve"> </w:t>
      </w:r>
      <w:r w:rsidRPr="009178FF">
        <w:t>de</w:t>
      </w:r>
      <w:r w:rsidRPr="009178FF">
        <w:rPr>
          <w:spacing w:val="17"/>
        </w:rPr>
        <w:t xml:space="preserve"> </w:t>
      </w:r>
      <w:r w:rsidRPr="009178FF">
        <w:t>2018;</w:t>
      </w:r>
      <w:r w:rsidRPr="009178FF">
        <w:rPr>
          <w:spacing w:val="21"/>
        </w:rPr>
        <w:t xml:space="preserve"> </w:t>
      </w:r>
      <w:r w:rsidRPr="009178FF">
        <w:t>4201813000003018</w:t>
      </w:r>
      <w:r w:rsidRPr="009178FF">
        <w:rPr>
          <w:spacing w:val="20"/>
        </w:rPr>
        <w:t xml:space="preserve"> </w:t>
      </w:r>
      <w:r w:rsidRPr="009178FF">
        <w:t>del</w:t>
      </w:r>
      <w:r w:rsidRPr="009178FF">
        <w:rPr>
          <w:spacing w:val="19"/>
        </w:rPr>
        <w:t xml:space="preserve"> </w:t>
      </w:r>
      <w:r w:rsidRPr="009178FF">
        <w:t>11</w:t>
      </w:r>
    </w:p>
    <w:p w:rsidRPr="009178FF" w:rsidR="00092B61" w:rsidRDefault="00231E96" w14:paraId="34B497E5" w14:textId="77777777">
      <w:pPr>
        <w:pStyle w:val="Textoindependiente"/>
        <w:spacing w:before="93"/>
        <w:ind w:left="300"/>
      </w:pPr>
      <w:r w:rsidRPr="009178FF">
        <w:t>de mayo de 2018; ; 4201814000004174 del 18 de mayo de 2018; 4201814000004014</w:t>
      </w:r>
      <w:r w:rsidRPr="009178FF">
        <w:rPr>
          <w:spacing w:val="1"/>
        </w:rPr>
        <w:t xml:space="preserve"> </w:t>
      </w:r>
      <w:r w:rsidRPr="009178FF">
        <w:t>del</w:t>
      </w:r>
    </w:p>
    <w:p w:rsidRPr="009178FF" w:rsidR="00092B61" w:rsidRDefault="00231E96" w14:paraId="0F34068F" w14:textId="77777777">
      <w:pPr>
        <w:pStyle w:val="Textoindependiente"/>
        <w:spacing w:before="37"/>
        <w:ind w:left="300"/>
      </w:pPr>
      <w:r w:rsidRPr="009178FF">
        <w:t>20</w:t>
      </w:r>
      <w:r w:rsidRPr="009178FF">
        <w:rPr>
          <w:spacing w:val="27"/>
        </w:rPr>
        <w:t xml:space="preserve"> </w:t>
      </w:r>
      <w:r w:rsidRPr="009178FF">
        <w:t>de</w:t>
      </w:r>
      <w:r w:rsidRPr="009178FF">
        <w:rPr>
          <w:spacing w:val="27"/>
        </w:rPr>
        <w:t xml:space="preserve"> </w:t>
      </w:r>
      <w:r w:rsidRPr="009178FF">
        <w:t>junio</w:t>
      </w:r>
      <w:r w:rsidRPr="009178FF">
        <w:rPr>
          <w:spacing w:val="26"/>
        </w:rPr>
        <w:t xml:space="preserve"> </w:t>
      </w:r>
      <w:r w:rsidRPr="009178FF">
        <w:t>de</w:t>
      </w:r>
      <w:r w:rsidRPr="009178FF">
        <w:rPr>
          <w:spacing w:val="28"/>
        </w:rPr>
        <w:t xml:space="preserve"> </w:t>
      </w:r>
      <w:r w:rsidRPr="009178FF">
        <w:t>2018;</w:t>
      </w:r>
      <w:r w:rsidRPr="009178FF">
        <w:rPr>
          <w:spacing w:val="27"/>
        </w:rPr>
        <w:t xml:space="preserve"> </w:t>
      </w:r>
      <w:r w:rsidRPr="009178FF">
        <w:t>4201813000004073</w:t>
      </w:r>
      <w:r w:rsidRPr="009178FF">
        <w:rPr>
          <w:spacing w:val="27"/>
        </w:rPr>
        <w:t xml:space="preserve"> </w:t>
      </w:r>
      <w:r w:rsidRPr="009178FF">
        <w:t>del</w:t>
      </w:r>
      <w:r w:rsidRPr="009178FF">
        <w:rPr>
          <w:spacing w:val="27"/>
        </w:rPr>
        <w:t xml:space="preserve"> </w:t>
      </w:r>
      <w:r w:rsidRPr="009178FF">
        <w:t>21</w:t>
      </w:r>
      <w:r w:rsidRPr="009178FF">
        <w:rPr>
          <w:spacing w:val="25"/>
        </w:rPr>
        <w:t xml:space="preserve"> </w:t>
      </w:r>
      <w:r w:rsidRPr="009178FF">
        <w:t>de</w:t>
      </w:r>
      <w:r w:rsidRPr="009178FF">
        <w:rPr>
          <w:spacing w:val="27"/>
        </w:rPr>
        <w:t xml:space="preserve"> </w:t>
      </w:r>
      <w:r w:rsidRPr="009178FF">
        <w:t>junio</w:t>
      </w:r>
      <w:r w:rsidRPr="009178FF">
        <w:rPr>
          <w:spacing w:val="26"/>
        </w:rPr>
        <w:t xml:space="preserve"> </w:t>
      </w:r>
      <w:r w:rsidRPr="009178FF">
        <w:t>de</w:t>
      </w:r>
      <w:r w:rsidRPr="009178FF">
        <w:rPr>
          <w:spacing w:val="27"/>
        </w:rPr>
        <w:t xml:space="preserve"> </w:t>
      </w:r>
      <w:r w:rsidRPr="009178FF">
        <w:t>2018;</w:t>
      </w:r>
      <w:r w:rsidRPr="009178FF">
        <w:rPr>
          <w:spacing w:val="29"/>
        </w:rPr>
        <w:t xml:space="preserve"> </w:t>
      </w:r>
      <w:r w:rsidRPr="009178FF">
        <w:t>4201912000003350</w:t>
      </w:r>
    </w:p>
    <w:p w:rsidRPr="009178FF" w:rsidR="00092B61" w:rsidRDefault="00231E96" w14:paraId="59EC51AC" w14:textId="77777777">
      <w:pPr>
        <w:pStyle w:val="Textoindependiente"/>
        <w:spacing w:before="37"/>
        <w:ind w:left="300"/>
      </w:pPr>
      <w:r w:rsidRPr="009178FF">
        <w:t>del 4 de julio de 2019; 4201912000007418 del 11 de diciembre de 2019.</w:t>
      </w:r>
    </w:p>
    <w:p w:rsidRPr="009178FF" w:rsidR="00092B61" w:rsidRDefault="00231E96" w14:paraId="5A061663" w14:textId="77777777">
      <w:pPr>
        <w:pStyle w:val="Textoindependiente"/>
        <w:spacing w:before="160" w:line="276" w:lineRule="auto"/>
        <w:ind w:left="300" w:right="450" w:firstLine="707"/>
        <w:jc w:val="both"/>
      </w:pPr>
      <w:r w:rsidRPr="009178FF">
        <w:t>Para desarrollar los problemas planteados, en primer lugar se explicará, de manera general, la obligatoriedad para las personas naturales o jurídicas que aspiren a celebrar contratos con las entidades estatales de contar con el Registro Único de Proponentes - RUP y su contenido. En segundo lugar, se analizará la inscripción, renovación y actualización del registro; para, finalmente, desarrollar la firmeza de la información contenida en el Registro Único de Proponentes - RUP.</w:t>
      </w:r>
    </w:p>
    <w:p w:rsidRPr="009178FF" w:rsidR="00092B61" w:rsidRDefault="00092B61" w14:paraId="3695CB2D" w14:textId="77777777">
      <w:pPr>
        <w:pStyle w:val="Textoindependiente"/>
        <w:spacing w:before="2"/>
        <w:rPr>
          <w:sz w:val="25"/>
        </w:rPr>
      </w:pPr>
    </w:p>
    <w:p w:rsidRPr="009178FF" w:rsidR="00092B61" w:rsidRDefault="00231E96" w14:paraId="2BA056D0" w14:textId="77777777">
      <w:pPr>
        <w:pStyle w:val="Ttulo1"/>
        <w:numPr>
          <w:ilvl w:val="1"/>
          <w:numId w:val="1"/>
        </w:numPr>
        <w:tabs>
          <w:tab w:val="left" w:pos="771"/>
        </w:tabs>
        <w:ind w:right="449" w:firstLine="0"/>
        <w:jc w:val="both"/>
      </w:pPr>
      <w:r w:rsidRPr="009178FF">
        <w:t>Obligatoriedad del Registro Único de Proponentes - RUP para las personas naturales o jurídicas que aspiren a celebrar contratos con las entidades estatales y su</w:t>
      </w:r>
      <w:r w:rsidRPr="009178FF">
        <w:rPr>
          <w:spacing w:val="-2"/>
        </w:rPr>
        <w:t xml:space="preserve"> </w:t>
      </w:r>
      <w:r w:rsidRPr="009178FF">
        <w:t>contenido</w:t>
      </w:r>
    </w:p>
    <w:p w:rsidRPr="009178FF" w:rsidR="00092B61" w:rsidRDefault="00092B61" w14:paraId="412F3EC2" w14:textId="77777777">
      <w:pPr>
        <w:pStyle w:val="Textoindependiente"/>
        <w:spacing w:before="3"/>
        <w:rPr>
          <w:b/>
          <w:sz w:val="25"/>
        </w:rPr>
      </w:pPr>
    </w:p>
    <w:p w:rsidRPr="009178FF" w:rsidR="00092B61" w:rsidRDefault="00231E96" w14:paraId="4C87601C" w14:textId="77777777">
      <w:pPr>
        <w:pStyle w:val="Textoindependiente"/>
        <w:spacing w:line="276" w:lineRule="auto"/>
        <w:ind w:left="300" w:right="445"/>
        <w:jc w:val="both"/>
      </w:pPr>
      <w:r w:rsidRPr="009178FF">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rsidRPr="009178FF" w:rsidR="00092B61" w:rsidRDefault="00231E96" w14:paraId="007EDE87" w14:textId="18409FCF">
      <w:pPr>
        <w:pStyle w:val="Textoindependiente"/>
        <w:spacing w:before="120" w:line="276" w:lineRule="auto"/>
        <w:ind w:left="300" w:right="445" w:firstLine="707"/>
        <w:jc w:val="both"/>
      </w:pPr>
      <w:r w:rsidRPr="009178FF">
        <w:t>La Ley 1150 de 2007 –numeral 6.1 del artículo 6–, al determinar  las características aplicables al RUP, cualifica la información plasmada en él, al establecer que constituye plena prueba de lo que contiene</w:t>
      </w:r>
      <w:r w:rsidR="009178FF">
        <w:rPr>
          <w:rStyle w:val="Refdenotaalpie"/>
        </w:rPr>
        <w:footnoteReference w:id="1"/>
      </w:r>
      <w:r w:rsidRPr="009178FF">
        <w:t>.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w:t>
      </w:r>
      <w:r w:rsidRPr="009178FF">
        <w:rPr>
          <w:spacing w:val="-2"/>
        </w:rPr>
        <w:t xml:space="preserve"> </w:t>
      </w:r>
      <w:r w:rsidRPr="009178FF">
        <w:t>RUP</w:t>
      </w:r>
      <w:r w:rsidR="009178FF">
        <w:rPr>
          <w:rStyle w:val="Refdenotaalpie"/>
        </w:rPr>
        <w:footnoteReference w:id="2"/>
      </w:r>
      <w:r w:rsidRPr="009178FF">
        <w:t>.</w:t>
      </w:r>
    </w:p>
    <w:p w:rsidRPr="009178FF" w:rsidR="00092B61" w:rsidRDefault="00092B61" w14:paraId="1E2B980B" w14:textId="77777777">
      <w:pPr>
        <w:pStyle w:val="Textoindependiente"/>
        <w:rPr>
          <w:sz w:val="20"/>
        </w:rPr>
      </w:pPr>
    </w:p>
    <w:p w:rsidRPr="009178FF" w:rsidR="00092B61" w:rsidRDefault="00092B61" w14:paraId="753D38A7" w14:textId="77777777">
      <w:pPr>
        <w:pStyle w:val="Textoindependiente"/>
        <w:spacing w:before="6"/>
        <w:rPr>
          <w:sz w:val="9"/>
        </w:rPr>
      </w:pPr>
    </w:p>
    <w:p w:rsidRPr="009178FF" w:rsidR="00092B61" w:rsidRDefault="00231E96" w14:paraId="48B34CD0" w14:textId="77777777">
      <w:pPr>
        <w:pStyle w:val="Textoindependiente"/>
        <w:spacing w:before="93" w:line="276" w:lineRule="auto"/>
        <w:ind w:left="300" w:right="447" w:firstLine="707"/>
        <w:jc w:val="both"/>
      </w:pPr>
      <w:r w:rsidRPr="009178FF">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w:t>
      </w:r>
      <w:r w:rsidRPr="009178FF">
        <w:rPr>
          <w:spacing w:val="-11"/>
        </w:rPr>
        <w:t xml:space="preserve"> </w:t>
      </w:r>
      <w:r w:rsidRPr="009178FF">
        <w:t>contiene.</w:t>
      </w:r>
    </w:p>
    <w:p w:rsidRPr="009178FF" w:rsidR="00092B61" w:rsidRDefault="00231E96" w14:paraId="2196A201" w14:textId="6674B4C1">
      <w:pPr>
        <w:pStyle w:val="Textoindependiente"/>
        <w:spacing w:before="119" w:line="276" w:lineRule="auto"/>
        <w:ind w:left="300" w:right="444" w:firstLine="707"/>
        <w:jc w:val="both"/>
      </w:pPr>
      <w:r w:rsidRPr="009178FF">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w:t>
      </w:r>
      <w:r w:rsidRPr="009178FF">
        <w:rPr>
          <w:spacing w:val="-8"/>
        </w:rPr>
        <w:t xml:space="preserve"> </w:t>
      </w:r>
      <w:r w:rsidRPr="009178FF">
        <w:t>habilitantes</w:t>
      </w:r>
      <w:r w:rsidR="009178FF">
        <w:rPr>
          <w:rStyle w:val="Refdenotaalpie"/>
        </w:rPr>
        <w:footnoteReference w:id="3"/>
      </w:r>
      <w:r w:rsidRPr="009178FF">
        <w:t>.</w:t>
      </w:r>
    </w:p>
    <w:p w:rsidRPr="009178FF" w:rsidR="00092B61" w:rsidRDefault="00231E96" w14:paraId="2AD1BD0F" w14:textId="7F431482">
      <w:pPr>
        <w:pStyle w:val="Textoindependiente"/>
        <w:spacing w:before="120" w:line="276" w:lineRule="auto"/>
        <w:ind w:left="300" w:right="454" w:firstLine="707"/>
        <w:jc w:val="both"/>
      </w:pPr>
      <w:r w:rsidRPr="009178FF">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009178FF">
        <w:rPr>
          <w:rStyle w:val="Refdenotaalpie"/>
        </w:rPr>
        <w:footnoteReference w:id="4"/>
      </w:r>
      <w:r w:rsidRPr="009178FF">
        <w:t>:</w:t>
      </w:r>
    </w:p>
    <w:p w:rsidRPr="009178FF" w:rsidR="00092B61" w:rsidRDefault="00231E96" w14:paraId="4B4EA0DF" w14:textId="77777777">
      <w:pPr>
        <w:pStyle w:val="Prrafodelista"/>
        <w:numPr>
          <w:ilvl w:val="2"/>
          <w:numId w:val="1"/>
        </w:numPr>
        <w:tabs>
          <w:tab w:val="left" w:pos="1206"/>
        </w:tabs>
        <w:spacing w:before="121" w:line="276" w:lineRule="auto"/>
        <w:ind w:right="447" w:firstLine="707"/>
        <w:jc w:val="both"/>
      </w:pPr>
      <w:r w:rsidRPr="009178FF">
        <w:t>No se requiere el RUP respecto de los proponentes que pretenden celebrar los contratos enunciados en el inciso segundo del artículo 6 de la ley 1150, así como en los eventos de contratación</w:t>
      </w:r>
      <w:r w:rsidRPr="009178FF">
        <w:rPr>
          <w:spacing w:val="-2"/>
        </w:rPr>
        <w:t xml:space="preserve"> </w:t>
      </w:r>
      <w:r w:rsidRPr="009178FF">
        <w:t>directa.</w:t>
      </w:r>
    </w:p>
    <w:p w:rsidRPr="009178FF" w:rsidR="00092B61" w:rsidRDefault="00231E96" w14:paraId="227E5C3C" w14:textId="77777777">
      <w:pPr>
        <w:pStyle w:val="Prrafodelista"/>
        <w:numPr>
          <w:ilvl w:val="2"/>
          <w:numId w:val="1"/>
        </w:numPr>
        <w:tabs>
          <w:tab w:val="left" w:pos="1291"/>
        </w:tabs>
        <w:spacing w:before="121" w:line="276" w:lineRule="auto"/>
        <w:ind w:right="454" w:firstLine="707"/>
        <w:jc w:val="both"/>
      </w:pPr>
      <w:r w:rsidRPr="009178FF">
        <w:t>Tratándose de personas naturales extranjeras sin domicilio en el país o de personas jurídicas extranjeras que no tengan sucursal en Colombia, o en aquellos casos en que el procedimiento de selección haya utilizado sistemas de</w:t>
      </w:r>
      <w:r w:rsidRPr="009178FF">
        <w:rPr>
          <w:spacing w:val="-24"/>
        </w:rPr>
        <w:t xml:space="preserve"> </w:t>
      </w:r>
      <w:r w:rsidRPr="009178FF">
        <w:t>precalificación.</w:t>
      </w:r>
    </w:p>
    <w:p w:rsidRPr="009178FF" w:rsidR="00092B61" w:rsidRDefault="00231E96" w14:paraId="64A53FBD" w14:textId="77777777">
      <w:pPr>
        <w:pStyle w:val="Prrafodelista"/>
        <w:numPr>
          <w:ilvl w:val="2"/>
          <w:numId w:val="1"/>
        </w:numPr>
        <w:tabs>
          <w:tab w:val="left" w:pos="1356"/>
        </w:tabs>
        <w:spacing w:before="119" w:line="276" w:lineRule="auto"/>
        <w:ind w:right="442" w:firstLine="707"/>
        <w:jc w:val="both"/>
      </w:pPr>
      <w:r w:rsidRPr="009178FF">
        <w:t>Cuando por las características del objeto a contratar se requiera verificar requisitos del proponente adicionales a los contenidos en el RUP, caso donde puede exigirse el registro; solo que habrá información adicional que podrá verificar la entidad directamente.</w:t>
      </w:r>
    </w:p>
    <w:p w:rsidRPr="009178FF" w:rsidR="00092B61" w:rsidP="009178FF" w:rsidRDefault="00231E96" w14:paraId="1E2D3AF4" w14:textId="72293E69">
      <w:pPr>
        <w:pStyle w:val="Textoindependiente"/>
        <w:spacing w:before="119" w:line="276" w:lineRule="auto"/>
        <w:ind w:left="300" w:right="443" w:firstLine="707"/>
        <w:jc w:val="both"/>
      </w:pPr>
      <w:r w:rsidRPr="009178FF">
        <w:t xml:space="preserve">Por su parte, el artículo 2.2.1.1.1.1.5.2 del Decreto 1082 de 2015 relaciona los documentos que debe aportar tanto la persona natural como jurídica para inscribirse </w:t>
      </w:r>
      <w:r w:rsidRPr="009178FF" w:rsidR="009178FF">
        <w:t>en el</w:t>
      </w:r>
      <w:r w:rsidRPr="009178FF">
        <w:rPr>
          <w:spacing w:val="46"/>
        </w:rPr>
        <w:t xml:space="preserve"> </w:t>
      </w:r>
      <w:r w:rsidRPr="009178FF">
        <w:t>RUP,</w:t>
      </w:r>
      <w:r w:rsidRPr="009178FF">
        <w:rPr>
          <w:spacing w:val="44"/>
        </w:rPr>
        <w:t xml:space="preserve"> </w:t>
      </w:r>
      <w:r w:rsidRPr="009178FF">
        <w:t>entre</w:t>
      </w:r>
      <w:r w:rsidRPr="009178FF">
        <w:rPr>
          <w:spacing w:val="46"/>
        </w:rPr>
        <w:t xml:space="preserve"> </w:t>
      </w:r>
      <w:r w:rsidRPr="009178FF">
        <w:t>ellos:</w:t>
      </w:r>
      <w:r w:rsidRPr="009178FF">
        <w:rPr>
          <w:spacing w:val="44"/>
        </w:rPr>
        <w:t xml:space="preserve"> </w:t>
      </w:r>
      <w:r w:rsidRPr="009178FF">
        <w:t>los</w:t>
      </w:r>
      <w:r w:rsidRPr="009178FF">
        <w:rPr>
          <w:spacing w:val="43"/>
        </w:rPr>
        <w:t xml:space="preserve"> </w:t>
      </w:r>
      <w:r w:rsidRPr="009178FF">
        <w:t>certificados</w:t>
      </w:r>
      <w:r w:rsidRPr="009178FF">
        <w:rPr>
          <w:spacing w:val="46"/>
        </w:rPr>
        <w:t xml:space="preserve"> </w:t>
      </w:r>
      <w:r w:rsidRPr="009178FF">
        <w:t>de</w:t>
      </w:r>
      <w:r w:rsidRPr="009178FF">
        <w:rPr>
          <w:spacing w:val="43"/>
        </w:rPr>
        <w:t xml:space="preserve"> </w:t>
      </w:r>
      <w:r w:rsidRPr="009178FF">
        <w:t>experiencia;</w:t>
      </w:r>
      <w:r w:rsidRPr="009178FF">
        <w:rPr>
          <w:spacing w:val="30"/>
        </w:rPr>
        <w:t xml:space="preserve"> </w:t>
      </w:r>
      <w:r w:rsidRPr="009178FF">
        <w:t>la</w:t>
      </w:r>
      <w:r w:rsidRPr="009178FF">
        <w:rPr>
          <w:spacing w:val="43"/>
        </w:rPr>
        <w:t xml:space="preserve"> </w:t>
      </w:r>
      <w:r w:rsidRPr="009178FF">
        <w:t>identificación</w:t>
      </w:r>
      <w:r w:rsidRPr="009178FF">
        <w:rPr>
          <w:spacing w:val="43"/>
        </w:rPr>
        <w:t xml:space="preserve"> </w:t>
      </w:r>
      <w:r w:rsidRPr="009178FF">
        <w:t>de</w:t>
      </w:r>
      <w:r w:rsidRPr="009178FF">
        <w:rPr>
          <w:spacing w:val="44"/>
        </w:rPr>
        <w:t xml:space="preserve"> </w:t>
      </w:r>
      <w:r w:rsidRPr="009178FF">
        <w:t>los</w:t>
      </w:r>
      <w:r w:rsidRPr="009178FF">
        <w:rPr>
          <w:spacing w:val="45"/>
        </w:rPr>
        <w:t xml:space="preserve"> </w:t>
      </w:r>
      <w:r w:rsidRPr="009178FF">
        <w:t>bienes</w:t>
      </w:r>
      <w:r w:rsidRPr="009178FF">
        <w:rPr>
          <w:spacing w:val="44"/>
        </w:rPr>
        <w:t xml:space="preserve"> </w:t>
      </w:r>
      <w:r w:rsidRPr="009178FF">
        <w:t>y</w:t>
      </w:r>
      <w:r w:rsidR="009178FF">
        <w:t xml:space="preserve"> </w:t>
      </w:r>
      <w:r w:rsidRPr="009178FF">
        <w:t xml:space="preserve">servicios que ofrecerá a las entidades estatales, identificados con el Clasificador de </w:t>
      </w:r>
      <w:r w:rsidRPr="009178FF">
        <w:lastRenderedPageBreak/>
        <w:t>Bienes y Servicios en el tercer nivel; si la persona debe llevar contabilidad, copia de la información contable del último año exigida por las normas tributarias; entre otros, que se detallan en el artículo citado.</w:t>
      </w:r>
    </w:p>
    <w:p w:rsidRPr="009178FF" w:rsidR="00092B61" w:rsidRDefault="00231E96" w14:paraId="483B5C1C" w14:textId="77777777">
      <w:pPr>
        <w:pStyle w:val="Textoindependiente"/>
        <w:spacing w:before="119" w:line="276" w:lineRule="auto"/>
        <w:ind w:left="300" w:right="449" w:firstLine="707"/>
        <w:jc w:val="both"/>
      </w:pPr>
      <w:r w:rsidRPr="009178FF">
        <w:t>Señaladas algunas características del RUP y su obligatoriedad, se debe precisar que frente a él aplican los efectos de la firmeza de los actos administrativos que, para los casos de inscripción, renovación y actualización son diferentes, y aclarando que estas actuaciones frente a las cámaras de comercio tienen consecuencias y efectos distintos entre sí. Conforme lo anterior, a continuación se explicará la normativa que regula la inscripción, renovación y actualización del RUP.</w:t>
      </w:r>
    </w:p>
    <w:p w:rsidRPr="009178FF" w:rsidR="00092B61" w:rsidRDefault="00092B61" w14:paraId="2849843A" w14:textId="77777777">
      <w:pPr>
        <w:pStyle w:val="Textoindependiente"/>
        <w:spacing w:before="4"/>
        <w:rPr>
          <w:sz w:val="25"/>
        </w:rPr>
      </w:pPr>
    </w:p>
    <w:p w:rsidRPr="009178FF" w:rsidR="00092B61" w:rsidRDefault="00231E96" w14:paraId="276267AF" w14:textId="77777777">
      <w:pPr>
        <w:pStyle w:val="Ttulo1"/>
        <w:numPr>
          <w:ilvl w:val="1"/>
          <w:numId w:val="1"/>
        </w:numPr>
        <w:tabs>
          <w:tab w:val="left" w:pos="768"/>
        </w:tabs>
        <w:spacing w:before="1" w:line="276" w:lineRule="auto"/>
        <w:ind w:right="445" w:firstLine="0"/>
      </w:pPr>
      <w:r w:rsidRPr="009178FF">
        <w:t>Inscripción, renovación y actualización del Registro Único de Proponentes - RUP</w:t>
      </w:r>
    </w:p>
    <w:p w:rsidRPr="009178FF" w:rsidR="00092B61" w:rsidRDefault="00092B61" w14:paraId="05306A69" w14:textId="77777777">
      <w:pPr>
        <w:pStyle w:val="Textoindependiente"/>
        <w:spacing w:before="3"/>
        <w:rPr>
          <w:b/>
          <w:sz w:val="25"/>
        </w:rPr>
      </w:pPr>
    </w:p>
    <w:p w:rsidRPr="009178FF" w:rsidR="00092B61" w:rsidP="009178FF" w:rsidRDefault="00231E96" w14:paraId="77E7EDBF" w14:textId="1EA2DB06">
      <w:pPr>
        <w:pStyle w:val="Textoindependiente"/>
        <w:spacing w:line="276" w:lineRule="auto"/>
        <w:ind w:left="300" w:right="445"/>
        <w:jc w:val="both"/>
      </w:pPr>
      <w:r w:rsidRPr="009178FF">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9178FF">
        <w:rPr>
          <w:i/>
        </w:rPr>
        <w:t>inscripción, renovación o actualización–</w:t>
      </w:r>
      <w:r w:rsidR="009178FF">
        <w:rPr>
          <w:rStyle w:val="Refdenotaalpie"/>
          <w:i/>
        </w:rPr>
        <w:footnoteReference w:id="5"/>
      </w:r>
      <w:r w:rsidRPr="009178FF">
        <w:t>.</w:t>
      </w:r>
      <w:r w:rsidRPr="009178FF">
        <w:rPr>
          <w:spacing w:val="43"/>
        </w:rPr>
        <w:t xml:space="preserve"> </w:t>
      </w:r>
      <w:r w:rsidRPr="009178FF">
        <w:t>En</w:t>
      </w:r>
      <w:r w:rsidRPr="009178FF">
        <w:rPr>
          <w:spacing w:val="45"/>
        </w:rPr>
        <w:t xml:space="preserve"> </w:t>
      </w:r>
      <w:r w:rsidRPr="009178FF">
        <w:t>firme</w:t>
      </w:r>
      <w:r w:rsidRPr="009178FF">
        <w:rPr>
          <w:spacing w:val="42"/>
        </w:rPr>
        <w:t xml:space="preserve"> </w:t>
      </w:r>
      <w:r w:rsidRPr="009178FF">
        <w:t>el</w:t>
      </w:r>
      <w:r w:rsidRPr="009178FF">
        <w:rPr>
          <w:spacing w:val="46"/>
        </w:rPr>
        <w:t xml:space="preserve"> </w:t>
      </w:r>
      <w:r w:rsidRPr="009178FF">
        <w:t>acto</w:t>
      </w:r>
      <w:r w:rsidRPr="009178FF">
        <w:rPr>
          <w:spacing w:val="44"/>
        </w:rPr>
        <w:t xml:space="preserve"> </w:t>
      </w:r>
      <w:r w:rsidRPr="009178FF">
        <w:t>administrativo</w:t>
      </w:r>
      <w:r w:rsidRPr="009178FF">
        <w:rPr>
          <w:spacing w:val="45"/>
        </w:rPr>
        <w:t xml:space="preserve"> </w:t>
      </w:r>
      <w:r w:rsidRPr="009178FF">
        <w:t>que</w:t>
      </w:r>
      <w:r w:rsidRPr="009178FF">
        <w:rPr>
          <w:spacing w:val="44"/>
        </w:rPr>
        <w:t xml:space="preserve"> </w:t>
      </w:r>
      <w:r w:rsidRPr="009178FF">
        <w:t>realiza</w:t>
      </w:r>
      <w:r w:rsidRPr="009178FF">
        <w:rPr>
          <w:spacing w:val="45"/>
        </w:rPr>
        <w:t xml:space="preserve"> </w:t>
      </w:r>
      <w:r w:rsidRPr="009178FF">
        <w:t>la</w:t>
      </w:r>
      <w:r w:rsidRPr="009178FF">
        <w:rPr>
          <w:spacing w:val="44"/>
        </w:rPr>
        <w:t xml:space="preserve"> </w:t>
      </w:r>
      <w:r w:rsidRPr="009178FF">
        <w:t>inscripción</w:t>
      </w:r>
      <w:r w:rsidRPr="009178FF">
        <w:rPr>
          <w:spacing w:val="45"/>
        </w:rPr>
        <w:t xml:space="preserve"> </w:t>
      </w:r>
      <w:r w:rsidRPr="009178FF">
        <w:t>del</w:t>
      </w:r>
      <w:r w:rsidRPr="009178FF">
        <w:rPr>
          <w:spacing w:val="46"/>
        </w:rPr>
        <w:t xml:space="preserve"> </w:t>
      </w:r>
      <w:r w:rsidRPr="009178FF">
        <w:t>Registro</w:t>
      </w:r>
      <w:r w:rsidR="009178FF">
        <w:t xml:space="preserve"> </w:t>
      </w:r>
      <w:r w:rsidRPr="009178FF">
        <w:lastRenderedPageBreak/>
        <w:t>Único de Proponentes se podrá demandar su nulidad sin que la presentación de la demanda suspenda la inscripción del RUP.</w:t>
      </w:r>
    </w:p>
    <w:p w:rsidRPr="009178FF" w:rsidR="00092B61" w:rsidRDefault="00231E96" w14:paraId="1798A6E9" w14:textId="77777777">
      <w:pPr>
        <w:pStyle w:val="Textoindependiente"/>
        <w:spacing w:before="118" w:line="276" w:lineRule="auto"/>
        <w:ind w:left="300" w:right="444" w:firstLine="707"/>
        <w:jc w:val="both"/>
      </w:pPr>
      <w:r w:rsidRPr="009178FF">
        <w:t>En efecto, el referido numeral establece que en sede administrativa «cualquier persona podrá interponer recurso de reposición ante la respectiva Cámara de Comercio». Seguidamente establece la posibilidad de acudir a la jurisdicción, con el fin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 Los anteriores mecanismos establecidos en el artículo 6.3 de la Ley 1150 de 2007 constituyen los mecanismos consagrados por el Estatuto General de Contratación de la Administración Pública para impugnar la información contenida en el RUP.</w:t>
      </w:r>
    </w:p>
    <w:p w:rsidRPr="009178FF" w:rsidR="00092B61" w:rsidRDefault="00231E96" w14:paraId="5647E91F" w14:textId="7E706AB0">
      <w:pPr>
        <w:pStyle w:val="Textoindependiente"/>
        <w:spacing w:before="121" w:line="276" w:lineRule="auto"/>
        <w:ind w:left="300" w:right="443" w:firstLine="707"/>
        <w:jc w:val="both"/>
      </w:pPr>
      <w:r w:rsidRPr="009178FF">
        <w:t>Ahora bien, tratándose de los recursos frente a los actos de inscripción, renovación y actualización, se debe aplicar prevalentemente la norma especial contenida en el artículo 6.3 de la Ley 1150 de 2007; no obstante que el artículo 76 del Código de Procedimiento Administrativo y de lo Contencioso Administrativo -CPACA- contenga la regulación general de los recursos frente a los actos administrativos, los cuales tienen una incidencia directa respecto a su</w:t>
      </w:r>
      <w:r w:rsidRPr="009178FF">
        <w:rPr>
          <w:spacing w:val="-7"/>
        </w:rPr>
        <w:t xml:space="preserve"> </w:t>
      </w:r>
      <w:r w:rsidRPr="009178FF">
        <w:t>firmeza</w:t>
      </w:r>
      <w:r w:rsidR="009178FF">
        <w:rPr>
          <w:rStyle w:val="Refdenotaalpie"/>
        </w:rPr>
        <w:footnoteReference w:id="6"/>
      </w:r>
      <w:r w:rsidRPr="009178FF">
        <w:t>.</w:t>
      </w:r>
    </w:p>
    <w:p w:rsidRPr="009178FF" w:rsidR="00092B61" w:rsidP="009178FF" w:rsidRDefault="00231E96" w14:paraId="07807629" w14:textId="66376547">
      <w:pPr>
        <w:pStyle w:val="Textoindependiente"/>
        <w:spacing w:before="120" w:line="276" w:lineRule="auto"/>
        <w:ind w:left="300" w:right="451" w:firstLine="707"/>
        <w:jc w:val="both"/>
      </w:pPr>
      <w:r w:rsidRPr="009178FF">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009178FF">
        <w:rPr>
          <w:rStyle w:val="Refdenotaalpie"/>
        </w:rPr>
        <w:footnoteReference w:id="7"/>
      </w:r>
      <w:r w:rsidRPr="009178FF">
        <w:t>. Asimismo, el Consejo de Estado en sentencia del 19 de septiembre</w:t>
      </w:r>
      <w:r w:rsidRPr="009178FF">
        <w:rPr>
          <w:spacing w:val="56"/>
        </w:rPr>
        <w:t xml:space="preserve"> </w:t>
      </w:r>
      <w:r w:rsidRPr="009178FF">
        <w:t>de</w:t>
      </w:r>
      <w:r w:rsidR="009178FF">
        <w:t xml:space="preserve"> </w:t>
      </w:r>
      <w:r w:rsidRPr="009178FF">
        <w:t>2019 señaló la finalidad de la renovación del RUP y las consecuencias de no hacerlo en el término</w:t>
      </w:r>
      <w:r w:rsidRPr="009178FF">
        <w:rPr>
          <w:spacing w:val="-2"/>
        </w:rPr>
        <w:t xml:space="preserve"> </w:t>
      </w:r>
      <w:r w:rsidRPr="009178FF">
        <w:t>previsto:</w:t>
      </w:r>
    </w:p>
    <w:p w:rsidRPr="009178FF" w:rsidR="00092B61" w:rsidRDefault="00092B61" w14:paraId="6641BB9D" w14:textId="77777777">
      <w:pPr>
        <w:pStyle w:val="Textoindependiente"/>
        <w:spacing w:before="2"/>
        <w:rPr>
          <w:sz w:val="25"/>
        </w:rPr>
      </w:pPr>
    </w:p>
    <w:p w:rsidRPr="009178FF" w:rsidR="00092B61" w:rsidRDefault="00231E96" w14:paraId="02C76323" w14:textId="77777777">
      <w:pPr>
        <w:spacing w:before="1"/>
        <w:ind w:left="1010" w:right="1159"/>
        <w:jc w:val="both"/>
        <w:rPr>
          <w:sz w:val="21"/>
        </w:rPr>
      </w:pPr>
      <w:r w:rsidRPr="009178FF">
        <w:rPr>
          <w:sz w:val="21"/>
        </w:rPr>
        <w:t xml:space="preserve">Al respecto, no puede perderse de vista que la finalidad principal de la </w:t>
      </w:r>
      <w:r w:rsidRPr="009178FF">
        <w:rPr>
          <w:sz w:val="21"/>
        </w:rPr>
        <w:lastRenderedPageBreak/>
        <w:t>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w:t>
      </w:r>
    </w:p>
    <w:p w:rsidRPr="009178FF" w:rsidR="00092B61" w:rsidRDefault="00092B61" w14:paraId="3632D4D0" w14:textId="77777777">
      <w:pPr>
        <w:pStyle w:val="Textoindependiente"/>
        <w:spacing w:before="9"/>
        <w:rPr>
          <w:sz w:val="20"/>
        </w:rPr>
      </w:pPr>
    </w:p>
    <w:p w:rsidRPr="009178FF" w:rsidR="00092B61" w:rsidRDefault="00231E96" w14:paraId="571AF1A7" w14:textId="1B7E44B2">
      <w:pPr>
        <w:ind w:left="1010" w:right="1158"/>
        <w:jc w:val="both"/>
        <w:rPr>
          <w:sz w:val="21"/>
        </w:rPr>
      </w:pPr>
      <w:r w:rsidRPr="009178FF">
        <w:rPr>
          <w:sz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w:t>
      </w:r>
      <w:r w:rsidRPr="009178FF">
        <w:rPr>
          <w:spacing w:val="-6"/>
          <w:sz w:val="21"/>
        </w:rPr>
        <w:t xml:space="preserve"> </w:t>
      </w:r>
      <w:r w:rsidRPr="009178FF">
        <w:rPr>
          <w:sz w:val="21"/>
        </w:rPr>
        <w:t>señalado</w:t>
      </w:r>
      <w:r w:rsidR="009178FF">
        <w:rPr>
          <w:rStyle w:val="Refdenotaalpie"/>
          <w:sz w:val="21"/>
        </w:rPr>
        <w:footnoteReference w:id="8"/>
      </w:r>
      <w:r w:rsidRPr="009178FF">
        <w:rPr>
          <w:sz w:val="21"/>
        </w:rPr>
        <w:t>.</w:t>
      </w:r>
    </w:p>
    <w:p w:rsidRPr="009178FF" w:rsidR="00092B61" w:rsidRDefault="00092B61" w14:paraId="3FB56617" w14:textId="77777777">
      <w:pPr>
        <w:pStyle w:val="Textoindependiente"/>
        <w:spacing w:before="9"/>
        <w:rPr>
          <w:sz w:val="21"/>
        </w:rPr>
      </w:pPr>
    </w:p>
    <w:p w:rsidRPr="009178FF" w:rsidR="00092B61" w:rsidRDefault="00231E96" w14:paraId="2D1A52B4" w14:textId="77777777">
      <w:pPr>
        <w:pStyle w:val="Textoindependiente"/>
        <w:spacing w:before="1" w:line="276" w:lineRule="auto"/>
        <w:ind w:left="300" w:right="445" w:firstLine="707"/>
        <w:jc w:val="both"/>
      </w:pPr>
      <w:r w:rsidRPr="009178FF">
        <w:t xml:space="preserve">Conforme a lo anterior, en armonía con lo señalado en el artículo 2.2.1.1.1.5.1 del Decreto 1082 de 2015, </w:t>
      </w:r>
      <w:r w:rsidRPr="009178FF">
        <w:rPr>
          <w:i/>
        </w:rPr>
        <w:t xml:space="preserve">si el proponente no presenta la información para renovar su registro </w:t>
      </w:r>
      <w:r w:rsidRPr="009178FF">
        <w:t>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w:t>
      </w:r>
    </w:p>
    <w:p w:rsidRPr="009178FF" w:rsidR="00092B61" w:rsidRDefault="00231E96" w14:paraId="65E38EC4" w14:textId="77777777">
      <w:pPr>
        <w:pStyle w:val="Textoindependiente"/>
        <w:spacing w:before="120" w:line="276" w:lineRule="auto"/>
        <w:ind w:left="300" w:right="444" w:firstLine="707"/>
        <w:jc w:val="both"/>
      </w:pPr>
      <w:r w:rsidRPr="009178FF">
        <w:t xml:space="preserve">Debido a que los actos y documentos sujetos a inscripción pueden ser actualizados en cualquier momento, el artículo 2.2.1.1.1.5.1. del Decreto 1082 de 2015 permite </w:t>
      </w:r>
      <w:r w:rsidRPr="009178FF">
        <w:rPr>
          <w:i/>
        </w:rPr>
        <w:t xml:space="preserve">actualizar </w:t>
      </w:r>
      <w:r w:rsidRPr="009178FF">
        <w:t xml:space="preserve">la información contenida en el RUP. Así, la actualización de la capacidad jurídica y experiencia puede realizarse en cualquier momento y la modificación de la información financiera y organizacional debe hacerse al presentar la información para </w:t>
      </w:r>
      <w:r w:rsidRPr="009178FF">
        <w:rPr>
          <w:i/>
        </w:rPr>
        <w:t xml:space="preserve">renovar </w:t>
      </w:r>
      <w:r w:rsidRPr="009178FF">
        <w:t>el registro anualmente, a más tardar el quinto día hábil del mes de abril.</w:t>
      </w:r>
    </w:p>
    <w:p w:rsidRPr="009178FF" w:rsidR="00092B61" w:rsidP="009178FF" w:rsidRDefault="00231E96" w14:paraId="31080AA7" w14:textId="0A261164">
      <w:pPr>
        <w:pStyle w:val="Textoindependiente"/>
        <w:spacing w:before="120" w:line="276" w:lineRule="auto"/>
        <w:ind w:left="300" w:right="445" w:firstLine="707"/>
        <w:jc w:val="both"/>
        <w:rPr>
          <w:sz w:val="24"/>
        </w:rPr>
      </w:pPr>
      <w:r w:rsidRPr="009178FF">
        <w:t xml:space="preserve">Lo anterior se soporta en artículo 2.2.1.1.1.5.1 del Decreto 1082 de 2015, al establecer que: «La persona inscrita en el RUP puede actualizar la información registrada relativa a su experiencia y capacidad jurídica en cualquier momento»; sin hacer  referencia a la información financiera, motivo por el cual esta no puede ser modificada en cualquier momento, sino cuando la ley lo establece, esto es, al presentar la información para </w:t>
      </w:r>
      <w:r w:rsidRPr="009178FF">
        <w:rPr>
          <w:i/>
        </w:rPr>
        <w:t xml:space="preserve">renovar </w:t>
      </w:r>
      <w:r w:rsidRPr="009178FF">
        <w:t>el</w:t>
      </w:r>
      <w:r w:rsidRPr="009178FF">
        <w:rPr>
          <w:spacing w:val="-3"/>
        </w:rPr>
        <w:t xml:space="preserve"> </w:t>
      </w:r>
      <w:r w:rsidRPr="009178FF">
        <w:t>registro.</w:t>
      </w:r>
    </w:p>
    <w:p w:rsidRPr="009178FF" w:rsidR="00092B61" w:rsidRDefault="00092B61" w14:paraId="7F542F9F" w14:textId="77777777">
      <w:pPr>
        <w:pStyle w:val="Textoindependiente"/>
        <w:spacing w:before="6"/>
        <w:rPr>
          <w:sz w:val="9"/>
        </w:rPr>
      </w:pPr>
    </w:p>
    <w:p w:rsidRPr="009178FF" w:rsidR="00092B61" w:rsidRDefault="00231E96" w14:paraId="5BB3DAAD" w14:textId="77777777">
      <w:pPr>
        <w:pStyle w:val="Textoindependiente"/>
        <w:spacing w:before="93" w:line="276" w:lineRule="auto"/>
        <w:ind w:left="300" w:right="444" w:firstLine="707"/>
        <w:jc w:val="both"/>
      </w:pPr>
      <w:r w:rsidRPr="009178FF">
        <w:t xml:space="preserve">Tratándose del trámite de </w:t>
      </w:r>
      <w:r w:rsidRPr="009178FF">
        <w:rPr>
          <w:i/>
        </w:rPr>
        <w:t xml:space="preserve">renovación, </w:t>
      </w:r>
      <w:r w:rsidRPr="009178FF">
        <w:t>la persona que haya presentado la información para renovar su registro dentro de los primeros cinco días hábiles del mes de abril, cumpliendo con el requisito establecido en el artículo 2.2.1.1.1.5.1., puede participar en los procedimientos de selección, debiéndose tener en cuenta la información</w:t>
      </w:r>
    </w:p>
    <w:p w:rsidRPr="009178FF" w:rsidR="00092B61" w:rsidRDefault="00231E96" w14:paraId="1DD8F8B0" w14:textId="77777777">
      <w:pPr>
        <w:pStyle w:val="Textoindependiente"/>
        <w:spacing w:line="276" w:lineRule="auto"/>
        <w:ind w:left="300" w:right="449"/>
        <w:jc w:val="both"/>
      </w:pPr>
      <w:r w:rsidRPr="009178FF">
        <w:t xml:space="preserve">«antigua»; de manera que en el periodo comprendido entre el momento de la solicitud de </w:t>
      </w:r>
      <w:r w:rsidRPr="009178FF">
        <w:lastRenderedPageBreak/>
        <w:t>renovación y el momento de la firmeza de la nueva información, se permite que emplee la información del RUP que está en firme antes de iniciar el trámite de renovación, cuyos efectos no han cesado y se encuentra vigente.</w:t>
      </w:r>
    </w:p>
    <w:p w:rsidRPr="009178FF" w:rsidR="00092B61" w:rsidRDefault="00231E96" w14:paraId="27C9499C" w14:textId="77777777">
      <w:pPr>
        <w:pStyle w:val="Textoindependiente"/>
        <w:spacing w:before="120" w:line="276" w:lineRule="auto"/>
        <w:ind w:left="300" w:right="444" w:firstLine="707"/>
        <w:jc w:val="both"/>
      </w:pPr>
      <w:r w:rsidRPr="009178FF">
        <w:t>Así las cosas, para verificar que los efectos del RUP no han cesado, es necesario que el certificado contenga la anotación de que el inscrito ya radicó ante la cámara de comercio los documentos para la renovación, a más tardar el quinto día hábil del mes de abril de cada año, o que esta circunstancia se acredite a través de otro medio idóneo. En este caso, la entidad estatal cuenta con la información necesaria para entender que el proponente tiene un registro vigente, cuyos efectos no han cesado.</w:t>
      </w:r>
    </w:p>
    <w:p w:rsidRPr="009178FF" w:rsidR="00092B61" w:rsidRDefault="00231E96" w14:paraId="7019BF0F" w14:textId="77777777">
      <w:pPr>
        <w:pStyle w:val="Textoindependiente"/>
        <w:spacing w:before="120" w:line="276" w:lineRule="auto"/>
        <w:ind w:left="300" w:right="443" w:firstLine="707"/>
        <w:jc w:val="both"/>
      </w:pPr>
      <w:r w:rsidRPr="009178FF">
        <w:t>De conformidad con lo anterior, si un proponente solicita oportunamente la renovación del RUP por «presentar la información para renovar su registro a más tardar el quinto día hábil del mes de abril de cada año», la entidad estatal debe verificar los requisitos habilitantes con la información existente antes de la solicitud de renovación – por ejemplo, la información financiera con corte a 31 de diciembre de 2016–, la cual está vigente y en firme hasta que la información en proceso de renovación adquiera firmeza – información financiera con corte a 31 de diciembre de 2017–. Lo anterior se sustenta en la forma como quedó establecido el presupuesto para que el RUP continuara  produciendo efectos, citado al principio de este</w:t>
      </w:r>
      <w:r w:rsidRPr="009178FF">
        <w:rPr>
          <w:spacing w:val="-12"/>
        </w:rPr>
        <w:t xml:space="preserve"> </w:t>
      </w:r>
      <w:r w:rsidRPr="009178FF">
        <w:t>párrafo.</w:t>
      </w:r>
    </w:p>
    <w:p w:rsidRPr="009178FF" w:rsidR="00092B61" w:rsidRDefault="00092B61" w14:paraId="26C3970A" w14:textId="77777777">
      <w:pPr>
        <w:pStyle w:val="Textoindependiente"/>
        <w:spacing w:before="4"/>
        <w:rPr>
          <w:sz w:val="25"/>
        </w:rPr>
      </w:pPr>
    </w:p>
    <w:p w:rsidRPr="009178FF" w:rsidR="00092B61" w:rsidRDefault="00231E96" w14:paraId="38862663" w14:textId="77777777">
      <w:pPr>
        <w:pStyle w:val="Ttulo1"/>
        <w:numPr>
          <w:ilvl w:val="1"/>
          <w:numId w:val="1"/>
        </w:numPr>
        <w:tabs>
          <w:tab w:val="left" w:pos="788"/>
        </w:tabs>
        <w:spacing w:line="276" w:lineRule="auto"/>
        <w:ind w:right="455" w:firstLine="0"/>
      </w:pPr>
      <w:r w:rsidRPr="009178FF">
        <w:t>Firmeza del RUP como acto administrativo en relación con la inscripción, renovación y</w:t>
      </w:r>
      <w:r w:rsidRPr="009178FF">
        <w:rPr>
          <w:spacing w:val="-3"/>
        </w:rPr>
        <w:t xml:space="preserve"> </w:t>
      </w:r>
      <w:r w:rsidRPr="009178FF">
        <w:t>actualización</w:t>
      </w:r>
    </w:p>
    <w:p w:rsidRPr="009178FF" w:rsidR="00092B61" w:rsidRDefault="00092B61" w14:paraId="0D7B6FF2" w14:textId="77777777">
      <w:pPr>
        <w:pStyle w:val="Textoindependiente"/>
        <w:spacing w:before="4"/>
        <w:rPr>
          <w:b/>
          <w:sz w:val="25"/>
        </w:rPr>
      </w:pPr>
    </w:p>
    <w:p w:rsidRPr="009178FF" w:rsidR="00092B61" w:rsidP="00A8596A" w:rsidRDefault="00231E96" w14:paraId="7A51E5F4" w14:textId="6E6EE1C3">
      <w:pPr>
        <w:pStyle w:val="Textoindependiente"/>
        <w:spacing w:line="276" w:lineRule="auto"/>
        <w:ind w:left="300" w:right="455"/>
        <w:jc w:val="both"/>
        <w:rPr>
          <w:sz w:val="9"/>
        </w:rPr>
      </w:pPr>
      <w:r w:rsidRPr="009178FF">
        <w:t xml:space="preserve">La firmeza del acto de inscripción, renovación y actualización del RUP debe armonizarse con las prescripciones establecidas para la generalidad de los actos administrativos, esto es, de acuerdo con el artículo 87 de la </w:t>
      </w:r>
      <w:r w:rsidR="009178FF">
        <w:rPr>
          <w:rStyle w:val="Refdenotaalpie"/>
        </w:rPr>
        <w:footnoteReference w:id="9"/>
      </w:r>
      <w:r w:rsidRPr="009178FF">
        <w:t>Ley 1437 de 2011.</w:t>
      </w:r>
    </w:p>
    <w:p w:rsidRPr="009178FF" w:rsidR="00092B61" w:rsidRDefault="00231E96" w14:paraId="32EFB9AD" w14:textId="77777777">
      <w:pPr>
        <w:pStyle w:val="Textoindependiente"/>
        <w:spacing w:before="93" w:line="276" w:lineRule="auto"/>
        <w:ind w:left="300" w:right="445" w:firstLine="707"/>
        <w:jc w:val="both"/>
      </w:pPr>
      <w:r w:rsidRPr="009178FF">
        <w:t xml:space="preserve">Conforme a lo anterior, la persona natural o jurídica podrá presentarse a los procedimientos de selección cuando el acto administrativo que realiza la </w:t>
      </w:r>
      <w:r w:rsidRPr="009178FF">
        <w:rPr>
          <w:i/>
        </w:rPr>
        <w:t xml:space="preserve">inscripción </w:t>
      </w:r>
      <w:r w:rsidRPr="009178FF">
        <w:t>del RUP se encuentra en firme, porque es un requisito para las personas naturales y jurídicas, nacionales o extranjeras con domicilio en Colombia, que aspiran celebrar contratos con las entidades estatales, estar inscritas en él, salvo las excepciones establecidas en la</w:t>
      </w:r>
      <w:r w:rsidRPr="009178FF">
        <w:rPr>
          <w:spacing w:val="-4"/>
        </w:rPr>
        <w:t xml:space="preserve"> </w:t>
      </w:r>
      <w:r w:rsidRPr="009178FF">
        <w:t>ley.</w:t>
      </w:r>
    </w:p>
    <w:p w:rsidRPr="009178FF" w:rsidR="00092B61" w:rsidRDefault="00231E96" w14:paraId="31B2FB63" w14:textId="5DCF12F6">
      <w:pPr>
        <w:pStyle w:val="Textoindependiente"/>
        <w:spacing w:before="119" w:line="276" w:lineRule="auto"/>
        <w:ind w:left="300" w:right="447" w:firstLine="707"/>
        <w:jc w:val="both"/>
      </w:pPr>
      <w:r w:rsidRPr="009178FF">
        <w:t xml:space="preserve">Así pues, la firmeza del RUP es una condición de ejecutoriedad, para consolidar los efectos del acto administrativo de inscripción. En palabras del Consejo de Estado «El fenómeno procesal de la firmeza implica en principio, que la decisión se torna </w:t>
      </w:r>
      <w:r w:rsidRPr="009178FF">
        <w:lastRenderedPageBreak/>
        <w:t>incuestionable en sede administrativa, lo que a su vez conlleva su ejecutoriedad»</w:t>
      </w:r>
      <w:r w:rsidR="00A8596A">
        <w:rPr>
          <w:rStyle w:val="Refdenotaalpie"/>
        </w:rPr>
        <w:footnoteReference w:id="10"/>
      </w:r>
      <w:r w:rsidRPr="009178FF">
        <w:t>.</w:t>
      </w:r>
    </w:p>
    <w:p w:rsidRPr="009178FF" w:rsidR="00092B61" w:rsidRDefault="00231E96" w14:paraId="3A62E121" w14:textId="77777777">
      <w:pPr>
        <w:pStyle w:val="Textoindependiente"/>
        <w:spacing w:before="120" w:line="276" w:lineRule="auto"/>
        <w:ind w:left="300" w:right="449" w:firstLine="707"/>
        <w:jc w:val="both"/>
      </w:pPr>
      <w:r w:rsidRPr="009178FF">
        <w:t>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w:t>
      </w:r>
      <w:r w:rsidRPr="009178FF">
        <w:rPr>
          <w:spacing w:val="-9"/>
        </w:rPr>
        <w:t xml:space="preserve"> </w:t>
      </w:r>
      <w:r w:rsidRPr="009178FF">
        <w:t>administrativa.</w:t>
      </w:r>
    </w:p>
    <w:p w:rsidRPr="009178FF" w:rsidR="00092B61" w:rsidRDefault="00231E96" w14:paraId="7E63727F" w14:textId="77777777">
      <w:pPr>
        <w:pStyle w:val="Textoindependiente"/>
        <w:spacing w:before="120" w:line="276" w:lineRule="auto"/>
        <w:ind w:left="300" w:right="444" w:firstLine="707"/>
        <w:jc w:val="both"/>
      </w:pPr>
      <w:r w:rsidRPr="009178FF">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w:t>
      </w:r>
      <w:r w:rsidRPr="009178FF">
        <w:rPr>
          <w:i/>
        </w:rPr>
        <w:t xml:space="preserve">inscripción </w:t>
      </w:r>
      <w:r w:rsidRPr="009178FF">
        <w:t xml:space="preserve">o </w:t>
      </w:r>
      <w:r w:rsidRPr="009178FF">
        <w:rPr>
          <w:i/>
        </w:rPr>
        <w:t xml:space="preserve">renovación </w:t>
      </w:r>
      <w:r w:rsidRPr="009178FF">
        <w:t xml:space="preserve">quede en firme, o que la </w:t>
      </w:r>
      <w:r w:rsidRPr="009178FF">
        <w:rPr>
          <w:i/>
        </w:rPr>
        <w:t xml:space="preserve">actualización </w:t>
      </w:r>
      <w:r w:rsidRPr="009178FF">
        <w:t>de la nueva información adquiera firmeza, será necesario que se resuelvan dichos recursos.</w:t>
      </w:r>
    </w:p>
    <w:p w:rsidRPr="009178FF" w:rsidR="00092B61" w:rsidRDefault="00231E96" w14:paraId="482C653A" w14:textId="77777777">
      <w:pPr>
        <w:pStyle w:val="Textoindependiente"/>
        <w:spacing w:before="121" w:line="276" w:lineRule="auto"/>
        <w:ind w:left="300" w:right="442" w:firstLine="707"/>
        <w:jc w:val="both"/>
      </w:pPr>
      <w:r w:rsidRPr="009178FF">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w:t>
      </w:r>
    </w:p>
    <w:p w:rsidRPr="009178FF" w:rsidR="00092B61" w:rsidP="00A8596A" w:rsidRDefault="00231E96" w14:paraId="6D55B553" w14:textId="7242CC24">
      <w:pPr>
        <w:pStyle w:val="Textoindependiente"/>
        <w:spacing w:before="120" w:line="276" w:lineRule="auto"/>
        <w:ind w:left="300" w:right="444" w:firstLine="707"/>
        <w:jc w:val="both"/>
      </w:pPr>
      <w:r w:rsidRPr="009178FF">
        <w:t xml:space="preserve">En relación con la </w:t>
      </w:r>
      <w:r w:rsidRPr="009178FF">
        <w:rPr>
          <w:i/>
        </w:rPr>
        <w:t xml:space="preserve">inscripción </w:t>
      </w:r>
      <w:r w:rsidRPr="009178FF">
        <w:t>–ya sea por primera vez o porque no se renueva a tiempo y se debe realizar el trámite como una inscripción inicial–, se debe considerar lo prescrito en el parágrafo 1 del artículo 5 de la Ley 1150 de 2007, modificado por el artículo</w:t>
      </w:r>
      <w:r w:rsidRPr="009178FF">
        <w:rPr>
          <w:spacing w:val="48"/>
        </w:rPr>
        <w:t xml:space="preserve"> </w:t>
      </w:r>
      <w:r w:rsidRPr="009178FF">
        <w:t>5</w:t>
      </w:r>
      <w:r w:rsidRPr="009178FF">
        <w:rPr>
          <w:spacing w:val="49"/>
        </w:rPr>
        <w:t xml:space="preserve"> </w:t>
      </w:r>
      <w:r w:rsidRPr="009178FF">
        <w:t>de</w:t>
      </w:r>
      <w:r w:rsidRPr="009178FF">
        <w:rPr>
          <w:spacing w:val="49"/>
        </w:rPr>
        <w:t xml:space="preserve"> </w:t>
      </w:r>
      <w:r w:rsidRPr="009178FF">
        <w:t>la</w:t>
      </w:r>
      <w:r w:rsidRPr="009178FF">
        <w:rPr>
          <w:spacing w:val="48"/>
        </w:rPr>
        <w:t xml:space="preserve"> </w:t>
      </w:r>
      <w:r w:rsidRPr="009178FF">
        <w:t>Ley</w:t>
      </w:r>
      <w:r w:rsidRPr="009178FF">
        <w:rPr>
          <w:spacing w:val="46"/>
        </w:rPr>
        <w:t xml:space="preserve"> </w:t>
      </w:r>
      <w:r w:rsidRPr="009178FF">
        <w:t>1882</w:t>
      </w:r>
      <w:r w:rsidRPr="009178FF">
        <w:rPr>
          <w:spacing w:val="49"/>
        </w:rPr>
        <w:t xml:space="preserve"> </w:t>
      </w:r>
      <w:r w:rsidRPr="009178FF">
        <w:t>de</w:t>
      </w:r>
      <w:r w:rsidRPr="009178FF">
        <w:rPr>
          <w:spacing w:val="49"/>
        </w:rPr>
        <w:t xml:space="preserve"> </w:t>
      </w:r>
      <w:r w:rsidRPr="009178FF">
        <w:t>2018</w:t>
      </w:r>
      <w:r w:rsidR="00A8596A">
        <w:rPr>
          <w:rStyle w:val="Refdenotaalpie"/>
        </w:rPr>
        <w:footnoteReference w:id="11"/>
      </w:r>
      <w:r w:rsidRPr="009178FF">
        <w:t>,</w:t>
      </w:r>
      <w:r w:rsidRPr="009178FF">
        <w:rPr>
          <w:spacing w:val="46"/>
        </w:rPr>
        <w:t xml:space="preserve"> </w:t>
      </w:r>
      <w:r w:rsidRPr="009178FF">
        <w:t>que</w:t>
      </w:r>
      <w:r w:rsidRPr="009178FF">
        <w:rPr>
          <w:spacing w:val="49"/>
        </w:rPr>
        <w:t xml:space="preserve"> </w:t>
      </w:r>
      <w:r w:rsidRPr="009178FF">
        <w:t>establece</w:t>
      </w:r>
      <w:r w:rsidRPr="009178FF">
        <w:rPr>
          <w:spacing w:val="49"/>
        </w:rPr>
        <w:t xml:space="preserve"> </w:t>
      </w:r>
      <w:r w:rsidRPr="009178FF">
        <w:t>que</w:t>
      </w:r>
      <w:r w:rsidRPr="009178FF">
        <w:rPr>
          <w:spacing w:val="48"/>
        </w:rPr>
        <w:t xml:space="preserve"> </w:t>
      </w:r>
      <w:r w:rsidRPr="009178FF">
        <w:t>los</w:t>
      </w:r>
      <w:r w:rsidRPr="009178FF">
        <w:rPr>
          <w:spacing w:val="49"/>
        </w:rPr>
        <w:t xml:space="preserve"> </w:t>
      </w:r>
      <w:r w:rsidRPr="009178FF">
        <w:t>proponentes</w:t>
      </w:r>
      <w:r w:rsidRPr="009178FF">
        <w:rPr>
          <w:spacing w:val="48"/>
        </w:rPr>
        <w:t xml:space="preserve"> </w:t>
      </w:r>
      <w:r w:rsidRPr="009178FF">
        <w:t>no</w:t>
      </w:r>
      <w:r w:rsidRPr="009178FF">
        <w:rPr>
          <w:spacing w:val="53"/>
        </w:rPr>
        <w:t xml:space="preserve"> </w:t>
      </w:r>
      <w:r w:rsidRPr="009178FF">
        <w:t>pueden</w:t>
      </w:r>
      <w:r w:rsidR="00A8596A">
        <w:t xml:space="preserve"> </w:t>
      </w:r>
      <w:r w:rsidRPr="009178FF">
        <w:t xml:space="preserve">acreditar circunstancias ocurridas con posterioridad al cierre del proceso, unido a lo expresado por la Sala de Consulta y Servicio Civil del Consejo de Estado, quien interpretó </w:t>
      </w:r>
      <w:r w:rsidRPr="009178FF">
        <w:lastRenderedPageBreak/>
        <w:t>una norma de igual contenido a la anterior</w:t>
      </w:r>
      <w:r w:rsidR="00A8596A">
        <w:rPr>
          <w:rStyle w:val="Refdenotaalpie"/>
        </w:rPr>
        <w:footnoteReference w:id="12"/>
      </w:r>
      <w:r w:rsidRPr="009178FF">
        <w:t xml:space="preserve">, señalando que el proponente debe cumplir materialmente para la </w:t>
      </w:r>
      <w:r w:rsidRPr="009178FF">
        <w:rPr>
          <w:i/>
        </w:rPr>
        <w:t xml:space="preserve">fecha del cierre del proceso </w:t>
      </w:r>
      <w:r w:rsidRPr="009178FF">
        <w:t>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w:t>
      </w:r>
      <w:r w:rsidRPr="009178FF">
        <w:rPr>
          <w:spacing w:val="-3"/>
        </w:rPr>
        <w:t xml:space="preserve"> </w:t>
      </w:r>
      <w:r w:rsidRPr="009178FF">
        <w:t>inscripción</w:t>
      </w:r>
      <w:r w:rsidR="00A8596A">
        <w:rPr>
          <w:rStyle w:val="Refdenotaalpie"/>
        </w:rPr>
        <w:footnoteReference w:id="13"/>
      </w:r>
      <w:r w:rsidRPr="009178FF">
        <w:t>.</w:t>
      </w:r>
    </w:p>
    <w:p w:rsidRPr="009178FF" w:rsidR="00092B61" w:rsidRDefault="00231E96" w14:paraId="0C1A1CFA" w14:textId="77777777">
      <w:pPr>
        <w:pStyle w:val="Textoindependiente"/>
        <w:spacing w:before="119" w:line="276" w:lineRule="auto"/>
        <w:ind w:left="300" w:right="446" w:firstLine="707"/>
        <w:jc w:val="both"/>
      </w:pPr>
      <w:r w:rsidRPr="009178FF">
        <w:t xml:space="preserve">Por lo tanto, si la cámara de comercio expide el acto administrativo de </w:t>
      </w:r>
      <w:r w:rsidRPr="009178FF">
        <w:rPr>
          <w:i/>
        </w:rPr>
        <w:t xml:space="preserve">inscripción </w:t>
      </w:r>
      <w:r w:rsidRPr="009178FF">
        <w:t xml:space="preserve">en el RUP después del cierre, con motivo a la falta de renovación a tiempo de la información contenida en él o por ser la primera inscripción, el proponente no podrá aportarlo al proceso, porque al momento de presentar la oferta no tenía capacidad para contratar, y no puede acreditar situaciones ocurridas con posterioridad al cierre del proceso, reiterando que la </w:t>
      </w:r>
      <w:r w:rsidRPr="009178FF">
        <w:rPr>
          <w:i/>
        </w:rPr>
        <w:t xml:space="preserve">inscripción </w:t>
      </w:r>
      <w:r w:rsidRPr="009178FF">
        <w:t>debe estar en firme antes del cierre, pues la inscripción solo se materializa y es oponible a terceros cuando el acto está en firme.</w:t>
      </w:r>
    </w:p>
    <w:p w:rsidRPr="009178FF" w:rsidR="00092B61" w:rsidP="00A8596A" w:rsidRDefault="00231E96" w14:paraId="1CE6F937" w14:textId="281B7213">
      <w:pPr>
        <w:pStyle w:val="Textoindependiente"/>
        <w:spacing w:before="122" w:line="276" w:lineRule="auto"/>
        <w:ind w:left="300" w:right="448" w:firstLine="707"/>
        <w:jc w:val="both"/>
      </w:pPr>
      <w:r w:rsidRPr="009178FF">
        <w:t xml:space="preserve">Tratándose del trámite de </w:t>
      </w:r>
      <w:r w:rsidRPr="009178FF">
        <w:rPr>
          <w:i/>
        </w:rPr>
        <w:t xml:space="preserve">renovación, </w:t>
      </w:r>
      <w:r w:rsidRPr="009178FF">
        <w:t>se reitera lo expresado en el sentido de que 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sidR="00A8596A">
        <w:t xml:space="preserve"> </w:t>
      </w:r>
      <w:r w:rsidRPr="009178FF">
        <w:t>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rsidRPr="009178FF" w:rsidR="00092B61" w:rsidRDefault="00231E96" w14:paraId="63F37285" w14:textId="77777777">
      <w:pPr>
        <w:pStyle w:val="Textoindependiente"/>
        <w:spacing w:before="119" w:line="276" w:lineRule="auto"/>
        <w:ind w:left="300" w:right="447" w:firstLine="707"/>
        <w:jc w:val="both"/>
      </w:pPr>
      <w:r w:rsidRPr="009178FF">
        <w:t xml:space="preserve">Finalmente, tratándose del trámite administrativo de la </w:t>
      </w:r>
      <w:r w:rsidRPr="009178FF">
        <w:rPr>
          <w:i/>
        </w:rPr>
        <w:t>actualización</w:t>
      </w:r>
      <w:r w:rsidRPr="009178FF">
        <w:t>,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w:t>
      </w:r>
    </w:p>
    <w:p w:rsidRPr="009178FF" w:rsidR="00092B61" w:rsidRDefault="00231E96" w14:paraId="0D7D335C" w14:textId="77777777">
      <w:pPr>
        <w:pStyle w:val="Textoindependiente"/>
        <w:spacing w:line="276" w:lineRule="auto"/>
        <w:ind w:left="300" w:right="447"/>
        <w:jc w:val="both"/>
      </w:pPr>
      <w:r w:rsidRPr="009178FF">
        <w:lastRenderedPageBreak/>
        <w:t xml:space="preserve">–como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9178FF">
        <w:rPr>
          <w:i/>
        </w:rPr>
        <w:t xml:space="preserve">actualización </w:t>
      </w:r>
      <w:r w:rsidRPr="009178FF">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w:t>
      </w:r>
      <w:r w:rsidRPr="009178FF">
        <w:rPr>
          <w:spacing w:val="-5"/>
        </w:rPr>
        <w:t xml:space="preserve"> </w:t>
      </w:r>
      <w:r w:rsidRPr="009178FF">
        <w:t>momento.</w:t>
      </w:r>
    </w:p>
    <w:p w:rsidRPr="009178FF" w:rsidR="00092B61" w:rsidRDefault="00092B61" w14:paraId="1727F823" w14:textId="77777777">
      <w:pPr>
        <w:pStyle w:val="Textoindependiente"/>
        <w:spacing w:before="5"/>
        <w:rPr>
          <w:sz w:val="25"/>
        </w:rPr>
      </w:pPr>
    </w:p>
    <w:p w:rsidRPr="009178FF" w:rsidR="00092B61" w:rsidRDefault="00231E96" w14:paraId="73671487" w14:textId="77777777">
      <w:pPr>
        <w:pStyle w:val="Ttulo1"/>
        <w:numPr>
          <w:ilvl w:val="0"/>
          <w:numId w:val="1"/>
        </w:numPr>
        <w:tabs>
          <w:tab w:val="left" w:pos="585"/>
          <w:tab w:val="left" w:pos="586"/>
        </w:tabs>
        <w:ind w:hanging="428"/>
        <w:jc w:val="left"/>
      </w:pPr>
      <w:r w:rsidRPr="009178FF">
        <w:t>Respuestas</w:t>
      </w:r>
    </w:p>
    <w:p w:rsidRPr="009178FF" w:rsidR="00092B61" w:rsidRDefault="00092B61" w14:paraId="548B79A0" w14:textId="77777777">
      <w:pPr>
        <w:pStyle w:val="Textoindependiente"/>
        <w:spacing w:before="4"/>
        <w:rPr>
          <w:b/>
          <w:sz w:val="28"/>
        </w:rPr>
      </w:pPr>
    </w:p>
    <w:p w:rsidRPr="009178FF" w:rsidR="00092B61" w:rsidRDefault="00231E96" w14:paraId="05C5CF43" w14:textId="77777777">
      <w:pPr>
        <w:spacing w:line="276" w:lineRule="auto"/>
        <w:ind w:left="1010" w:right="1162"/>
        <w:jc w:val="both"/>
        <w:rPr>
          <w:sz w:val="20"/>
        </w:rPr>
      </w:pPr>
      <w:r w:rsidRPr="009178FF">
        <w:rPr>
          <w:b/>
          <w:sz w:val="20"/>
        </w:rPr>
        <w:t xml:space="preserve">PRIMERA: </w:t>
      </w:r>
      <w:r w:rsidRPr="009178FF">
        <w:rPr>
          <w:sz w:val="20"/>
        </w:rPr>
        <w:t>En mi interpretación, la Circular Externa Única de Colombia Compra Eficiente al mencionar la firmeza de la inscripción del RUP debe interpretarse acorde con lo dispuesto con lo señalado en los artículos 5 y 6 de la Ley 1150 de 2011 (sic), es decir, que al hablar de firmeza de la inscripción se refiere a la firmeza de los requisitos habilitantes verificados por la Cámara de</w:t>
      </w:r>
      <w:r w:rsidRPr="009178FF">
        <w:rPr>
          <w:spacing w:val="-26"/>
          <w:sz w:val="20"/>
        </w:rPr>
        <w:t xml:space="preserve"> </w:t>
      </w:r>
      <w:r w:rsidRPr="009178FF">
        <w:rPr>
          <w:sz w:val="20"/>
        </w:rPr>
        <w:t>Comercio.</w:t>
      </w:r>
    </w:p>
    <w:p w:rsidRPr="009178FF" w:rsidR="00092B61" w:rsidRDefault="00092B61" w14:paraId="10ACF28B" w14:textId="77777777">
      <w:pPr>
        <w:pStyle w:val="Textoindependiente"/>
        <w:spacing w:before="3"/>
        <w:rPr>
          <w:sz w:val="23"/>
        </w:rPr>
      </w:pPr>
    </w:p>
    <w:p w:rsidRPr="009178FF" w:rsidR="00092B61" w:rsidRDefault="00231E96" w14:paraId="55E1709F" w14:textId="77777777">
      <w:pPr>
        <w:spacing w:line="276" w:lineRule="auto"/>
        <w:ind w:left="1010" w:right="1161"/>
        <w:jc w:val="both"/>
        <w:rPr>
          <w:sz w:val="20"/>
        </w:rPr>
      </w:pPr>
      <w:r w:rsidRPr="009178FF">
        <w:rPr>
          <w:sz w:val="20"/>
        </w:rPr>
        <w:t>¿Es correcta la interpretación de la firmeza de la inscripción o renovación del RUP que menciono de la Circular Externa Única de Colombia Compra Eficiente?, de no ser así, ¿cómo debe ser interpretada y cuál sería el soporte jurídico para hablar de la “firmeza de la inscripción o renovación del RUP en términos generales (sic)?</w:t>
      </w:r>
    </w:p>
    <w:p w:rsidRPr="009178FF" w:rsidR="00092B61" w:rsidRDefault="00092B61" w14:paraId="44AA7175" w14:textId="77777777">
      <w:pPr>
        <w:pStyle w:val="Textoindependiente"/>
        <w:spacing w:before="3"/>
        <w:rPr>
          <w:sz w:val="25"/>
        </w:rPr>
      </w:pPr>
    </w:p>
    <w:p w:rsidRPr="009178FF" w:rsidR="00092B61" w:rsidRDefault="00231E96" w14:paraId="59CF6C58" w14:textId="77777777">
      <w:pPr>
        <w:pStyle w:val="Textoindependiente"/>
        <w:spacing w:before="1" w:line="276" w:lineRule="auto"/>
        <w:ind w:left="300" w:right="446"/>
        <w:jc w:val="both"/>
      </w:pPr>
      <w:r w:rsidRPr="009178FF">
        <w:t xml:space="preserve">La firmeza de la </w:t>
      </w:r>
      <w:r w:rsidRPr="009178FF">
        <w:rPr>
          <w:i/>
        </w:rPr>
        <w:t xml:space="preserve">inscripción y renovación </w:t>
      </w:r>
      <w:r w:rsidRPr="009178FF">
        <w:t xml:space="preserve">del RUP se tiene sobre la totalidad del documento, por ser obligatorio en los procedimientos de selección, salvo casos excepcionales, y por resultar aplicables las consideraciones realizadas en torno a la firmeza de los actos administrativos. Lo anterior de conformidad con la obligación  de estar </w:t>
      </w:r>
      <w:r w:rsidRPr="009178FF">
        <w:rPr>
          <w:i/>
        </w:rPr>
        <w:t xml:space="preserve">inscrito </w:t>
      </w:r>
      <w:r w:rsidRPr="009178FF">
        <w:t>en el RUP y de tener dicha inscripción vigente, cumpliéndose con el trámite de renovación, cuyo incumplimiento genera que el RUP deje de producir efectos. Los fundamentos jurídicos se expusieron en las</w:t>
      </w:r>
      <w:r w:rsidRPr="009178FF">
        <w:rPr>
          <w:spacing w:val="-8"/>
        </w:rPr>
        <w:t xml:space="preserve"> </w:t>
      </w:r>
      <w:r w:rsidRPr="009178FF">
        <w:t>consideraciones.</w:t>
      </w:r>
    </w:p>
    <w:p w:rsidRPr="009178FF" w:rsidR="00092B61" w:rsidRDefault="00092B61" w14:paraId="057C59D1" w14:textId="77777777">
      <w:pPr>
        <w:pStyle w:val="Textoindependiente"/>
        <w:spacing w:before="7"/>
        <w:rPr>
          <w:sz w:val="35"/>
        </w:rPr>
      </w:pPr>
    </w:p>
    <w:p w:rsidRPr="009178FF" w:rsidR="00092B61" w:rsidRDefault="00231E96" w14:paraId="0E8E6558" w14:textId="77777777">
      <w:pPr>
        <w:spacing w:line="276" w:lineRule="auto"/>
        <w:ind w:left="1010" w:right="1163"/>
        <w:jc w:val="both"/>
        <w:rPr>
          <w:sz w:val="20"/>
        </w:rPr>
      </w:pPr>
      <w:r w:rsidRPr="009178FF">
        <w:rPr>
          <w:b/>
          <w:sz w:val="20"/>
        </w:rPr>
        <w:t>SEGUNDA</w:t>
      </w:r>
      <w:r w:rsidRPr="009178FF">
        <w:rPr>
          <w:sz w:val="20"/>
        </w:rPr>
        <w:t>: ¿Es correcto que una entidad estatal en un concurso requiera como requisito habilitante la firmeza de la inscripción o renovación del RUP en términos generales?</w:t>
      </w:r>
    </w:p>
    <w:p w:rsidRPr="009178FF" w:rsidR="00092B61" w:rsidRDefault="00092B61" w14:paraId="0E003538" w14:textId="77777777">
      <w:pPr>
        <w:pStyle w:val="Textoindependiente"/>
        <w:spacing w:before="9"/>
      </w:pPr>
    </w:p>
    <w:p w:rsidRPr="009178FF" w:rsidR="00092B61" w:rsidRDefault="00231E96" w14:paraId="390661A9" w14:textId="77777777">
      <w:pPr>
        <w:pStyle w:val="Textoindependiente"/>
        <w:spacing w:line="276" w:lineRule="auto"/>
        <w:ind w:left="300" w:right="443"/>
        <w:jc w:val="both"/>
      </w:pPr>
      <w:r w:rsidRPr="009178FF">
        <w:t xml:space="preserve">Es correcto –entendiendo que la pregunta se refiere a un concurso de méritos–, de acuerdo con lo señalado en las consideraciones, frente a la obligación de estar </w:t>
      </w:r>
      <w:r w:rsidRPr="009178FF">
        <w:rPr>
          <w:i/>
        </w:rPr>
        <w:t xml:space="preserve">inscrito </w:t>
      </w:r>
      <w:r w:rsidRPr="009178FF">
        <w:t>en el RUP y de tener dicha inscripción vigente, cumpliéndose con el trámite de renovación, cuyo incumplimiento genera que el RUP deje de producir efectos.</w:t>
      </w:r>
    </w:p>
    <w:p w:rsidRPr="009178FF" w:rsidR="00092B61" w:rsidRDefault="00092B61" w14:paraId="44DD72B3" w14:textId="77777777">
      <w:pPr>
        <w:pStyle w:val="Textoindependiente"/>
        <w:spacing w:before="3"/>
        <w:rPr>
          <w:sz w:val="25"/>
        </w:rPr>
      </w:pPr>
    </w:p>
    <w:p w:rsidRPr="009178FF" w:rsidR="00092B61" w:rsidRDefault="00231E96" w14:paraId="7E8622DA" w14:textId="77777777">
      <w:pPr>
        <w:spacing w:line="276" w:lineRule="auto"/>
        <w:ind w:left="1010" w:right="1161"/>
        <w:jc w:val="both"/>
        <w:rPr>
          <w:sz w:val="20"/>
        </w:rPr>
      </w:pPr>
      <w:r w:rsidRPr="009178FF">
        <w:rPr>
          <w:b/>
          <w:sz w:val="20"/>
        </w:rPr>
        <w:t>TERCERA</w:t>
      </w:r>
      <w:r w:rsidRPr="009178FF">
        <w:rPr>
          <w:sz w:val="20"/>
        </w:rPr>
        <w:t>: ¿Es correcto que una entidad estatal en un concurso requiera como requisito habilitante la firmeza de la inscripción o renovación del Registro Único de Proponentes - RUP en términos generales, cuando en las bases no se solicitaron ninguno de los requisitos habilitantes que en dicho registro se certifican de conformidad con los artículos 5 y 6 de la Ley 1150 de 2007?</w:t>
      </w:r>
    </w:p>
    <w:p w:rsidRPr="009178FF" w:rsidR="00092B61" w:rsidRDefault="00092B61" w14:paraId="7AF3FFA0" w14:textId="77777777">
      <w:pPr>
        <w:pStyle w:val="Textoindependiente"/>
        <w:spacing w:before="4"/>
        <w:rPr>
          <w:sz w:val="25"/>
        </w:rPr>
      </w:pPr>
    </w:p>
    <w:p w:rsidRPr="009178FF" w:rsidR="00092B61" w:rsidRDefault="00231E96" w14:paraId="7DA295D5" w14:textId="77777777">
      <w:pPr>
        <w:pStyle w:val="Textoindependiente"/>
        <w:spacing w:line="276" w:lineRule="auto"/>
        <w:ind w:left="300" w:right="449"/>
        <w:jc w:val="both"/>
      </w:pPr>
      <w:r w:rsidRPr="009178FF">
        <w:lastRenderedPageBreak/>
        <w:t>Es correcto, de acuerdo con las consideraciones señaladas en torno a la obligatoriedad del RUP en los procedimientos de selección de contratistas; además por tratarse de un requisito legal exigible, incluso, pese a no estar explícitamente referido en los pliegos de condiciones, de manera que su obligatoriedad aplica por ministerio de la ley.</w:t>
      </w:r>
    </w:p>
    <w:p w:rsidRPr="009178FF" w:rsidR="00092B61" w:rsidRDefault="00092B61" w14:paraId="615AFE31" w14:textId="77777777">
      <w:pPr>
        <w:pStyle w:val="Textoindependiente"/>
        <w:spacing w:before="3"/>
        <w:rPr>
          <w:sz w:val="25"/>
        </w:rPr>
      </w:pPr>
    </w:p>
    <w:p w:rsidRPr="009178FF" w:rsidR="00092B61" w:rsidRDefault="00231E96" w14:paraId="7AD69AB4" w14:textId="77777777">
      <w:pPr>
        <w:spacing w:line="276" w:lineRule="auto"/>
        <w:ind w:left="1010" w:right="1157"/>
        <w:jc w:val="both"/>
        <w:rPr>
          <w:sz w:val="20"/>
        </w:rPr>
      </w:pPr>
      <w:r w:rsidRPr="009178FF">
        <w:rPr>
          <w:b/>
          <w:sz w:val="20"/>
        </w:rPr>
        <w:t>CUARTA</w:t>
      </w:r>
      <w:r w:rsidRPr="009178FF">
        <w:rPr>
          <w:sz w:val="20"/>
        </w:rPr>
        <w:t>: ¿Cuál es el sustento normativo para hablar de la firmeza de la inscripción o renovación del Registro Único de Proponentes – RUP y no de la firmeza de los requisitos habilitantes que han sido verificados por la Cámara de Comercio y que son objeto del recurso de reposición en los términos del artículo 6 de la Ley 1150 de 2007?</w:t>
      </w:r>
    </w:p>
    <w:p w:rsidRPr="009178FF" w:rsidR="00092B61" w:rsidRDefault="00092B61" w14:paraId="15F9E3BA" w14:textId="77777777">
      <w:pPr>
        <w:pStyle w:val="Textoindependiente"/>
        <w:spacing w:before="2"/>
        <w:rPr>
          <w:sz w:val="23"/>
        </w:rPr>
      </w:pPr>
    </w:p>
    <w:p w:rsidRPr="009178FF" w:rsidR="00092B61" w:rsidRDefault="00231E96" w14:paraId="2EA2259F" w14:textId="77777777">
      <w:pPr>
        <w:pStyle w:val="Textoindependiente"/>
        <w:ind w:left="300"/>
        <w:jc w:val="both"/>
      </w:pPr>
      <w:r w:rsidRPr="009178FF">
        <w:t>En relación con esta pregunta se reitera la respuesta otorgada frente a la primera.</w:t>
      </w:r>
    </w:p>
    <w:p w:rsidRPr="009178FF" w:rsidR="00092B61" w:rsidRDefault="00092B61" w14:paraId="1D8A1071" w14:textId="77777777">
      <w:pPr>
        <w:pStyle w:val="Textoindependiente"/>
        <w:spacing w:before="2"/>
        <w:rPr>
          <w:sz w:val="26"/>
        </w:rPr>
      </w:pPr>
    </w:p>
    <w:p w:rsidRPr="009178FF" w:rsidR="00092B61" w:rsidRDefault="00231E96" w14:paraId="54A5840F" w14:textId="77777777">
      <w:pPr>
        <w:spacing w:line="276" w:lineRule="auto"/>
        <w:ind w:left="1010" w:right="1156"/>
        <w:jc w:val="both"/>
        <w:rPr>
          <w:sz w:val="20"/>
        </w:rPr>
      </w:pPr>
      <w:r w:rsidRPr="009178FF">
        <w:rPr>
          <w:b/>
          <w:sz w:val="20"/>
        </w:rPr>
        <w:t>QUINTA</w:t>
      </w:r>
      <w:r w:rsidRPr="009178FF">
        <w:rPr>
          <w:sz w:val="20"/>
        </w:rPr>
        <w:t>: Si es correcta la interpretación de hablar en términos generales de la firmeza de la inscripción o renovación del Registro Único de Proponentes, ¿qué sucede con el trámite de actualización que se puede presentar en el Registro Único de Proponentes? ¿cuál es el sustento normativo para la respuesta que se dé a esta</w:t>
      </w:r>
      <w:r w:rsidRPr="009178FF">
        <w:rPr>
          <w:spacing w:val="-4"/>
          <w:sz w:val="20"/>
        </w:rPr>
        <w:t xml:space="preserve"> </w:t>
      </w:r>
      <w:r w:rsidRPr="009178FF">
        <w:rPr>
          <w:sz w:val="20"/>
        </w:rPr>
        <w:t>pregunta?</w:t>
      </w:r>
    </w:p>
    <w:p w:rsidRPr="009178FF" w:rsidR="00092B61" w:rsidRDefault="00092B61" w14:paraId="6CC81873" w14:textId="77777777">
      <w:pPr>
        <w:pStyle w:val="Textoindependiente"/>
        <w:spacing w:before="4"/>
        <w:rPr>
          <w:sz w:val="25"/>
        </w:rPr>
      </w:pPr>
    </w:p>
    <w:p w:rsidRPr="009178FF" w:rsidR="00092B61" w:rsidRDefault="00231E96" w14:paraId="535EEE49" w14:textId="77777777">
      <w:pPr>
        <w:pStyle w:val="Textoindependiente"/>
        <w:spacing w:line="276" w:lineRule="auto"/>
        <w:ind w:left="300" w:right="447"/>
        <w:jc w:val="both"/>
      </w:pPr>
      <w:r w:rsidRPr="009178FF">
        <w:t xml:space="preserve">En relación con esta pregunta se remite al último párrafo de las consideraciones, donde se desarrolla qué sucede con el trámite de </w:t>
      </w:r>
      <w:r w:rsidRPr="009178FF">
        <w:rPr>
          <w:i/>
        </w:rPr>
        <w:t>actualización</w:t>
      </w:r>
      <w:r w:rsidRPr="009178FF">
        <w:t>, el cual no incide en la vigencia de la inscripción o la cesación de efectos del RUP, por lo que pese a adelantarse una actualización que aun no está en firme, se cuenta con un RUP vigente, por lo que se puede tener en consideración exclusivamente la información que estuviera en firme antes del cierre del proceso. Los fundamentos normativos se señalan y desarrollan en las consideraciones.</w:t>
      </w:r>
    </w:p>
    <w:p w:rsidRPr="009178FF" w:rsidR="00092B61" w:rsidRDefault="00092B61" w14:paraId="7BE83FC1" w14:textId="77777777">
      <w:pPr>
        <w:pStyle w:val="Textoindependiente"/>
        <w:spacing w:before="3"/>
        <w:rPr>
          <w:sz w:val="25"/>
        </w:rPr>
      </w:pPr>
    </w:p>
    <w:p w:rsidRPr="009178FF" w:rsidR="00092B61" w:rsidRDefault="00231E96" w14:paraId="17E2DC22" w14:textId="77777777">
      <w:pPr>
        <w:spacing w:line="276" w:lineRule="auto"/>
        <w:ind w:left="1010" w:right="1155"/>
        <w:jc w:val="both"/>
        <w:rPr>
          <w:sz w:val="20"/>
        </w:rPr>
      </w:pPr>
      <w:r w:rsidRPr="009178FF">
        <w:rPr>
          <w:b/>
          <w:sz w:val="20"/>
        </w:rPr>
        <w:t>SEXTO</w:t>
      </w:r>
      <w:r w:rsidRPr="009178FF">
        <w:rPr>
          <w:sz w:val="20"/>
        </w:rPr>
        <w:t>: Si es correcta la interpretación de hablar en términos generales de la firmeza de la inscripción o renovación del Registro Único de Proponentes y si en una solicitud de renovación solo se presenta lo relativo a la capacidad financiera y organizacional, ¿qué pasa con la experiencia ya inscrita, es decir, también vuelve a correr el término de</w:t>
      </w:r>
      <w:r w:rsidRPr="009178FF">
        <w:rPr>
          <w:spacing w:val="-1"/>
          <w:sz w:val="20"/>
        </w:rPr>
        <w:t xml:space="preserve"> </w:t>
      </w:r>
      <w:r w:rsidRPr="009178FF">
        <w:rPr>
          <w:sz w:val="20"/>
        </w:rPr>
        <w:t>firmeza?</w:t>
      </w:r>
    </w:p>
    <w:p w:rsidRPr="009178FF" w:rsidR="00092B61" w:rsidRDefault="00092B61" w14:paraId="75759B83" w14:textId="77777777">
      <w:pPr>
        <w:pStyle w:val="Textoindependiente"/>
        <w:spacing w:before="7"/>
        <w:rPr>
          <w:sz w:val="9"/>
        </w:rPr>
      </w:pPr>
    </w:p>
    <w:p w:rsidRPr="009178FF" w:rsidR="00092B61" w:rsidRDefault="00231E96" w14:paraId="3BDBF6C9" w14:textId="77777777">
      <w:pPr>
        <w:spacing w:before="93" w:line="276" w:lineRule="auto"/>
        <w:ind w:left="1010" w:right="1158"/>
        <w:jc w:val="both"/>
        <w:rPr>
          <w:sz w:val="20"/>
        </w:rPr>
      </w:pPr>
      <w:r w:rsidRPr="009178FF">
        <w:rPr>
          <w:sz w:val="20"/>
        </w:rPr>
        <w:t>En este entendido, ¿podría una entidad estatal tener a un proponente como no habilitado por la falta de firmeza de la experiencia inscrita antes de la renovación y a la que ya había corrido el término de firmeza al momento de ser inscrita? ¿cuál es el sustento normativo para la respuesta que se dé a esta pregunta?.</w:t>
      </w:r>
    </w:p>
    <w:p w:rsidRPr="009178FF" w:rsidR="00092B61" w:rsidRDefault="00092B61" w14:paraId="00976327" w14:textId="77777777">
      <w:pPr>
        <w:pStyle w:val="Textoindependiente"/>
        <w:spacing w:before="1"/>
        <w:rPr>
          <w:sz w:val="25"/>
        </w:rPr>
      </w:pPr>
    </w:p>
    <w:p w:rsidRPr="009178FF" w:rsidR="00092B61" w:rsidRDefault="00231E96" w14:paraId="4AC37262" w14:textId="77777777">
      <w:pPr>
        <w:pStyle w:val="Textoindependiente"/>
        <w:spacing w:line="276" w:lineRule="auto"/>
        <w:ind w:left="300" w:right="445"/>
        <w:jc w:val="both"/>
      </w:pPr>
      <w:r w:rsidRPr="009178FF">
        <w:t xml:space="preserve">En relación con esta pregunta se reitera lo señalando en la parte final de las consideraciones, en el sentido de que tratándose del trámite de </w:t>
      </w:r>
      <w:r w:rsidRPr="009178FF">
        <w:rPr>
          <w:i/>
        </w:rPr>
        <w:t xml:space="preserve">renovación, </w:t>
      </w:r>
      <w:r w:rsidRPr="009178FF">
        <w:t>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w:t>
      </w:r>
      <w:r w:rsidRPr="009178FF">
        <w:rPr>
          <w:spacing w:val="51"/>
        </w:rPr>
        <w:t xml:space="preserve"> </w:t>
      </w:r>
      <w:r w:rsidRPr="009178FF">
        <w:t>y</w:t>
      </w:r>
      <w:r w:rsidRPr="009178FF">
        <w:rPr>
          <w:spacing w:val="49"/>
        </w:rPr>
        <w:t xml:space="preserve"> </w:t>
      </w:r>
      <w:r w:rsidRPr="009178FF">
        <w:t>se</w:t>
      </w:r>
      <w:r w:rsidRPr="009178FF">
        <w:rPr>
          <w:spacing w:val="50"/>
        </w:rPr>
        <w:t xml:space="preserve"> </w:t>
      </w:r>
      <w:r w:rsidRPr="009178FF">
        <w:t>encuentra</w:t>
      </w:r>
      <w:r w:rsidRPr="009178FF">
        <w:rPr>
          <w:spacing w:val="54"/>
        </w:rPr>
        <w:t xml:space="preserve"> </w:t>
      </w:r>
      <w:r w:rsidRPr="009178FF">
        <w:t>vigente.</w:t>
      </w:r>
      <w:r w:rsidRPr="009178FF">
        <w:rPr>
          <w:spacing w:val="53"/>
        </w:rPr>
        <w:t xml:space="preserve"> </w:t>
      </w:r>
      <w:r w:rsidRPr="009178FF">
        <w:t>Incluso,</w:t>
      </w:r>
      <w:r w:rsidRPr="009178FF">
        <w:rPr>
          <w:spacing w:val="50"/>
        </w:rPr>
        <w:t xml:space="preserve"> </w:t>
      </w:r>
      <w:r w:rsidRPr="009178FF">
        <w:t>en</w:t>
      </w:r>
      <w:r w:rsidRPr="009178FF">
        <w:rPr>
          <w:spacing w:val="50"/>
        </w:rPr>
        <w:t xml:space="preserve"> </w:t>
      </w:r>
      <w:r w:rsidRPr="009178FF">
        <w:t>caso</w:t>
      </w:r>
      <w:r w:rsidRPr="009178FF">
        <w:rPr>
          <w:spacing w:val="51"/>
        </w:rPr>
        <w:t xml:space="preserve"> </w:t>
      </w:r>
      <w:r w:rsidRPr="009178FF">
        <w:t>de</w:t>
      </w:r>
      <w:r w:rsidRPr="009178FF">
        <w:rPr>
          <w:spacing w:val="51"/>
        </w:rPr>
        <w:t xml:space="preserve"> </w:t>
      </w:r>
      <w:r w:rsidRPr="009178FF">
        <w:t>que</w:t>
      </w:r>
      <w:r w:rsidRPr="009178FF">
        <w:rPr>
          <w:spacing w:val="50"/>
        </w:rPr>
        <w:t xml:space="preserve"> </w:t>
      </w:r>
      <w:r w:rsidRPr="009178FF">
        <w:t>el</w:t>
      </w:r>
      <w:r w:rsidRPr="009178FF">
        <w:rPr>
          <w:spacing w:val="52"/>
        </w:rPr>
        <w:t xml:space="preserve"> </w:t>
      </w:r>
      <w:r w:rsidRPr="009178FF">
        <w:t>RUP</w:t>
      </w:r>
      <w:r w:rsidRPr="009178FF">
        <w:rPr>
          <w:spacing w:val="51"/>
        </w:rPr>
        <w:t xml:space="preserve"> </w:t>
      </w:r>
      <w:r w:rsidRPr="009178FF">
        <w:t>con</w:t>
      </w:r>
      <w:r w:rsidRPr="009178FF">
        <w:rPr>
          <w:spacing w:val="49"/>
        </w:rPr>
        <w:t xml:space="preserve"> </w:t>
      </w:r>
      <w:r w:rsidRPr="009178FF">
        <w:t>la</w:t>
      </w:r>
      <w:r w:rsidRPr="009178FF">
        <w:rPr>
          <w:spacing w:val="50"/>
        </w:rPr>
        <w:t xml:space="preserve"> </w:t>
      </w:r>
      <w:r w:rsidRPr="009178FF">
        <w:t>información</w:t>
      </w:r>
    </w:p>
    <w:p w:rsidRPr="009178FF" w:rsidR="00092B61" w:rsidRDefault="00231E96" w14:paraId="470801AE" w14:textId="77777777">
      <w:pPr>
        <w:pStyle w:val="Textoindependiente"/>
        <w:spacing w:line="276" w:lineRule="auto"/>
        <w:ind w:left="300" w:right="446"/>
        <w:jc w:val="both"/>
      </w:pPr>
      <w:r w:rsidRPr="009178FF">
        <w:lastRenderedPageBreak/>
        <w:t>«antigua»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rsidRPr="009178FF" w:rsidR="00092B61" w:rsidRDefault="00092B61" w14:paraId="19353A9E" w14:textId="77777777">
      <w:pPr>
        <w:pStyle w:val="Textoindependiente"/>
        <w:spacing w:before="7"/>
        <w:rPr>
          <w:sz w:val="35"/>
        </w:rPr>
      </w:pPr>
    </w:p>
    <w:p w:rsidRPr="009178FF" w:rsidR="00092B61" w:rsidRDefault="00231E96" w14:paraId="2A16810A" w14:textId="77777777">
      <w:pPr>
        <w:spacing w:line="276" w:lineRule="auto"/>
        <w:ind w:left="1010" w:right="1158"/>
        <w:jc w:val="both"/>
        <w:rPr>
          <w:sz w:val="20"/>
        </w:rPr>
      </w:pPr>
      <w:r w:rsidRPr="009178FF">
        <w:rPr>
          <w:b/>
          <w:sz w:val="20"/>
        </w:rPr>
        <w:t xml:space="preserve">OCTAVO: </w:t>
      </w:r>
      <w:r w:rsidRPr="009178FF">
        <w:rPr>
          <w:sz w:val="20"/>
        </w:rPr>
        <w:t>¿Cómo podría hablarse en términos generales de la firmeza de la inscripción o renovación del Registro Único de Proponentes? cuando en este registro se certifica información que no es objeto de verificación documental por parte de la Cámara de Comercio, como la clasificación, los reportes que realizan las entidades estatales sobre contratos, multas, sanciones e inhabilidades, órdenes de autoridad administrativa y</w:t>
      </w:r>
      <w:r w:rsidRPr="009178FF">
        <w:rPr>
          <w:spacing w:val="-4"/>
          <w:sz w:val="20"/>
        </w:rPr>
        <w:t xml:space="preserve"> </w:t>
      </w:r>
      <w:r w:rsidRPr="009178FF">
        <w:rPr>
          <w:sz w:val="20"/>
        </w:rPr>
        <w:t>judicial.</w:t>
      </w:r>
    </w:p>
    <w:p w:rsidRPr="009178FF" w:rsidR="00092B61" w:rsidRDefault="00092B61" w14:paraId="3C61149B" w14:textId="77777777">
      <w:pPr>
        <w:pStyle w:val="Textoindependiente"/>
        <w:spacing w:before="7"/>
        <w:rPr>
          <w:sz w:val="25"/>
        </w:rPr>
      </w:pPr>
    </w:p>
    <w:p w:rsidRPr="009178FF" w:rsidR="00092B61" w:rsidRDefault="00231E96" w14:paraId="73604C15" w14:textId="77777777">
      <w:pPr>
        <w:pStyle w:val="Textoindependiente"/>
        <w:ind w:left="300"/>
        <w:jc w:val="both"/>
      </w:pPr>
      <w:r w:rsidRPr="009178FF">
        <w:t>En relación con esta pregunta se reitera la respuesta otorgada frente a la primera.</w:t>
      </w:r>
    </w:p>
    <w:p w:rsidRPr="009178FF" w:rsidR="00092B61" w:rsidRDefault="00092B61" w14:paraId="5053B04C" w14:textId="77777777">
      <w:pPr>
        <w:pStyle w:val="Textoindependiente"/>
        <w:spacing w:before="4"/>
        <w:rPr>
          <w:sz w:val="28"/>
        </w:rPr>
      </w:pPr>
    </w:p>
    <w:p w:rsidRPr="009178FF" w:rsidR="00092B61" w:rsidRDefault="00231E96" w14:paraId="359F3864" w14:textId="77777777">
      <w:pPr>
        <w:spacing w:line="276" w:lineRule="auto"/>
        <w:ind w:left="1010" w:right="1155"/>
        <w:jc w:val="both"/>
        <w:rPr>
          <w:sz w:val="20"/>
        </w:rPr>
      </w:pPr>
      <w:r w:rsidRPr="009178FF">
        <w:rPr>
          <w:b/>
          <w:sz w:val="20"/>
        </w:rPr>
        <w:t>SÉPTIMA</w:t>
      </w:r>
      <w:r w:rsidRPr="009178FF">
        <w:rPr>
          <w:sz w:val="20"/>
        </w:rPr>
        <w:t>: ¿Es correcto que una entidad estatal afirme y/o descalifique a un proponente señalando que de conformidad con lo establecido en el Código de Procedimiento Administrativo y de lo Contencioso Administrativo y de la ley 962 de 2005, los actos administrativos de registro certificados en el Registro Único de Proponentes quedan en firme diez (10) días hábiles después de la fecha de inscripción siempre que no sean objeto de recursos, cuando hay una norma especial contenida en el numeral 6.3 del artículo 6 de la Ley 1150 de 2007 que reglamenta el recurso de reposición del que pueden ser objeto los actos de registro del Registro Único de Proponentes?, es decir, ¿es viable que se desconozca el numeral 6.3 del artículo 6 de la Ley 1150 de</w:t>
      </w:r>
      <w:r w:rsidRPr="009178FF">
        <w:rPr>
          <w:spacing w:val="-15"/>
          <w:sz w:val="20"/>
        </w:rPr>
        <w:t xml:space="preserve"> </w:t>
      </w:r>
      <w:r w:rsidRPr="009178FF">
        <w:rPr>
          <w:sz w:val="20"/>
        </w:rPr>
        <w:t>2007?.</w:t>
      </w:r>
    </w:p>
    <w:p w:rsidRPr="009178FF" w:rsidR="00092B61" w:rsidRDefault="00092B61" w14:paraId="38431392" w14:textId="77777777">
      <w:pPr>
        <w:pStyle w:val="Textoindependiente"/>
        <w:spacing w:before="7"/>
        <w:rPr>
          <w:sz w:val="25"/>
        </w:rPr>
      </w:pPr>
    </w:p>
    <w:p w:rsidRPr="009178FF" w:rsidR="00092B61" w:rsidP="00A8596A" w:rsidRDefault="00231E96" w14:paraId="4895B345" w14:textId="24EA73BC">
      <w:pPr>
        <w:pStyle w:val="Textoindependiente"/>
        <w:spacing w:line="276" w:lineRule="auto"/>
        <w:ind w:left="300" w:right="447"/>
        <w:jc w:val="both"/>
      </w:pPr>
      <w:r w:rsidRPr="009178FF">
        <w:t>De conformidad con la competencia otorgada según el numeral 8 del artículo 11 y numeral</w:t>
      </w:r>
      <w:r w:rsidRPr="009178FF">
        <w:rPr>
          <w:spacing w:val="15"/>
        </w:rPr>
        <w:t xml:space="preserve"> </w:t>
      </w:r>
      <w:r w:rsidRPr="009178FF">
        <w:t>5</w:t>
      </w:r>
      <w:r w:rsidRPr="009178FF">
        <w:rPr>
          <w:spacing w:val="15"/>
        </w:rPr>
        <w:t xml:space="preserve"> </w:t>
      </w:r>
      <w:r w:rsidRPr="009178FF">
        <w:t>del</w:t>
      </w:r>
      <w:r w:rsidRPr="009178FF">
        <w:rPr>
          <w:spacing w:val="16"/>
        </w:rPr>
        <w:t xml:space="preserve"> </w:t>
      </w:r>
      <w:r w:rsidRPr="009178FF">
        <w:t>artículo</w:t>
      </w:r>
      <w:r w:rsidRPr="009178FF">
        <w:rPr>
          <w:spacing w:val="12"/>
        </w:rPr>
        <w:t xml:space="preserve"> </w:t>
      </w:r>
      <w:r w:rsidRPr="009178FF">
        <w:t>3</w:t>
      </w:r>
      <w:r w:rsidRPr="009178FF">
        <w:rPr>
          <w:spacing w:val="15"/>
        </w:rPr>
        <w:t xml:space="preserve"> </w:t>
      </w:r>
      <w:r w:rsidRPr="009178FF">
        <w:t>del</w:t>
      </w:r>
      <w:r w:rsidRPr="009178FF">
        <w:rPr>
          <w:spacing w:val="16"/>
        </w:rPr>
        <w:t xml:space="preserve"> </w:t>
      </w:r>
      <w:r w:rsidRPr="009178FF">
        <w:t>Decreto</w:t>
      </w:r>
      <w:r w:rsidRPr="009178FF">
        <w:rPr>
          <w:spacing w:val="16"/>
        </w:rPr>
        <w:t xml:space="preserve"> </w:t>
      </w:r>
      <w:r w:rsidRPr="009178FF">
        <w:t>Ley</w:t>
      </w:r>
      <w:r w:rsidRPr="009178FF">
        <w:rPr>
          <w:spacing w:val="13"/>
        </w:rPr>
        <w:t xml:space="preserve"> </w:t>
      </w:r>
      <w:r w:rsidRPr="009178FF">
        <w:t>4170</w:t>
      </w:r>
      <w:r w:rsidRPr="009178FF">
        <w:rPr>
          <w:spacing w:val="15"/>
        </w:rPr>
        <w:t xml:space="preserve"> </w:t>
      </w:r>
      <w:r w:rsidRPr="009178FF">
        <w:t>de</w:t>
      </w:r>
      <w:r w:rsidRPr="009178FF">
        <w:rPr>
          <w:spacing w:val="15"/>
        </w:rPr>
        <w:t xml:space="preserve"> </w:t>
      </w:r>
      <w:r w:rsidRPr="009178FF">
        <w:t>2011,</w:t>
      </w:r>
      <w:r w:rsidRPr="009178FF">
        <w:rPr>
          <w:spacing w:val="15"/>
        </w:rPr>
        <w:t xml:space="preserve"> </w:t>
      </w:r>
      <w:r w:rsidRPr="009178FF">
        <w:t>la</w:t>
      </w:r>
      <w:r w:rsidRPr="009178FF">
        <w:rPr>
          <w:spacing w:val="15"/>
        </w:rPr>
        <w:t xml:space="preserve"> </w:t>
      </w:r>
      <w:r w:rsidRPr="009178FF">
        <w:t>Agencia</w:t>
      </w:r>
      <w:r w:rsidRPr="009178FF">
        <w:rPr>
          <w:spacing w:val="13"/>
        </w:rPr>
        <w:t xml:space="preserve"> </w:t>
      </w:r>
      <w:r w:rsidRPr="009178FF">
        <w:t>Nacional</w:t>
      </w:r>
      <w:r w:rsidRPr="009178FF">
        <w:rPr>
          <w:spacing w:val="15"/>
        </w:rPr>
        <w:t xml:space="preserve"> </w:t>
      </w:r>
      <w:r w:rsidRPr="009178FF">
        <w:t>de</w:t>
      </w:r>
      <w:r w:rsidR="00A8596A">
        <w:t xml:space="preserve"> </w:t>
      </w:r>
      <w:r w:rsidRPr="009178FF">
        <w:t>Contratación Pública 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rsidRPr="009178FF" w:rsidR="00092B61" w:rsidRDefault="00231E96" w14:paraId="320B4611" w14:textId="77777777">
      <w:pPr>
        <w:pStyle w:val="Textoindependiente"/>
        <w:spacing w:before="119" w:line="276" w:lineRule="auto"/>
        <w:ind w:left="300" w:right="455" w:firstLine="707"/>
        <w:jc w:val="both"/>
      </w:pPr>
      <w:r w:rsidRPr="009178FF">
        <w:t>No obstante, se precisa que en las consideraciones fueron tratados asuntos relacionados con la pregunta planteada.</w:t>
      </w:r>
    </w:p>
    <w:p w:rsidRPr="009178FF" w:rsidR="00092B61" w:rsidRDefault="00092B61" w14:paraId="758BD882" w14:textId="77777777">
      <w:pPr>
        <w:pStyle w:val="Textoindependiente"/>
        <w:spacing w:before="2"/>
        <w:rPr>
          <w:sz w:val="25"/>
        </w:rPr>
      </w:pPr>
    </w:p>
    <w:p w:rsidRPr="009178FF" w:rsidR="00092B61" w:rsidRDefault="00231E96" w14:paraId="10FDE75E" w14:textId="77777777">
      <w:pPr>
        <w:spacing w:line="278" w:lineRule="auto"/>
        <w:ind w:left="1010" w:right="1160"/>
        <w:jc w:val="both"/>
        <w:rPr>
          <w:sz w:val="20"/>
        </w:rPr>
      </w:pPr>
      <w:r w:rsidRPr="009178FF">
        <w:rPr>
          <w:b/>
          <w:sz w:val="20"/>
        </w:rPr>
        <w:t>NOVENO</w:t>
      </w:r>
      <w:r w:rsidRPr="009178FF">
        <w:rPr>
          <w:sz w:val="20"/>
        </w:rPr>
        <w:t>: De conformidad con lo dicho en este escrito y los documentos que lo acompañan, ¿es correcto que en el concurso se me haya tenido como no habilitado por la firmeza del Registro Único de Proponentes?.</w:t>
      </w:r>
    </w:p>
    <w:p w:rsidRPr="009178FF" w:rsidR="00092B61" w:rsidRDefault="00092B61" w14:paraId="77A1C99A" w14:textId="77777777">
      <w:pPr>
        <w:pStyle w:val="Textoindependiente"/>
        <w:spacing w:before="10"/>
        <w:rPr>
          <w:sz w:val="24"/>
        </w:rPr>
      </w:pPr>
    </w:p>
    <w:p w:rsidRPr="009178FF" w:rsidR="00092B61" w:rsidRDefault="00231E96" w14:paraId="14C00B97" w14:textId="77777777">
      <w:pPr>
        <w:pStyle w:val="Textoindependiente"/>
        <w:spacing w:before="1" w:line="276" w:lineRule="auto"/>
        <w:ind w:left="300" w:right="446" w:firstLine="707"/>
        <w:jc w:val="both"/>
      </w:pPr>
      <w:r w:rsidRPr="009178FF">
        <w:t xml:space="preserve">De acuerdo con las competencias de la Agencia, antes referidas, esta carece de competencia para decidir sobre la legalidad de las decisiones tomadas por las entidades </w:t>
      </w:r>
      <w:r w:rsidRPr="009178FF">
        <w:lastRenderedPageBreak/>
        <w:t>estatales con ocasión de su actividad contractual, o para pronunciarse respecto de actuaciones contractuales específicas, por lo que no se dará respuesta a esta pregunta en</w:t>
      </w:r>
      <w:r w:rsidRPr="009178FF">
        <w:rPr>
          <w:spacing w:val="-2"/>
        </w:rPr>
        <w:t xml:space="preserve"> </w:t>
      </w:r>
      <w:r w:rsidRPr="009178FF">
        <w:t>particular.</w:t>
      </w:r>
    </w:p>
    <w:p w:rsidRPr="009178FF" w:rsidR="00092B61" w:rsidRDefault="00231E96" w14:paraId="26895009" w14:textId="77777777">
      <w:pPr>
        <w:pStyle w:val="Textoindependiente"/>
        <w:spacing w:before="120" w:line="276" w:lineRule="auto"/>
        <w:ind w:left="300" w:right="454" w:firstLine="707"/>
        <w:jc w:val="both"/>
      </w:pPr>
      <w:r w:rsidRPr="009178FF">
        <w:t>Este concepto tiene el alcance previsto en el artículo 28 del Código de Procedimiento Administrativo y de lo Contencioso Administrativo.</w:t>
      </w:r>
    </w:p>
    <w:p w:rsidRPr="009178FF" w:rsidR="00092B61" w:rsidRDefault="00092B61" w14:paraId="7CD03B3D" w14:textId="77777777">
      <w:pPr>
        <w:pStyle w:val="Textoindependiente"/>
        <w:rPr>
          <w:sz w:val="20"/>
        </w:rPr>
      </w:pPr>
    </w:p>
    <w:p w:rsidRPr="009178FF" w:rsidR="00092B61" w:rsidRDefault="00966CE1" w14:paraId="5B7D886C" w14:textId="77777777">
      <w:pPr>
        <w:pStyle w:val="Textoindependiente"/>
        <w:spacing w:before="2"/>
        <w:rPr>
          <w:sz w:val="13"/>
        </w:rPr>
      </w:pPr>
      <w:r>
        <w:pict w14:anchorId="3FB43D82">
          <v:shape id="_x0000_s1026" style="position:absolute;margin-left:119.25pt;margin-top:9.95pt;width:369pt;height:.1pt;z-index:-251658752;mso-wrap-distance-left:0;mso-wrap-distance-right:0;mso-position-horizontal-relative:page" coordsize="7380,0" coordorigin="2385,199" filled="f" strokecolor="#dbdbdb" path="m2385,199r7380,e">
            <v:path arrowok="t"/>
            <w10:wrap type="topAndBottom" anchorx="page"/>
          </v:shape>
        </w:pict>
      </w:r>
    </w:p>
    <w:p w:rsidRPr="009178FF" w:rsidR="00092B61" w:rsidRDefault="00231E96" w14:paraId="79E77B69" w14:textId="77777777">
      <w:pPr>
        <w:pStyle w:val="Textoindependiente"/>
        <w:spacing w:before="198" w:after="21"/>
        <w:ind w:left="300"/>
      </w:pPr>
      <w:r w:rsidRPr="009178FF">
        <w:t>Atentamente,</w:t>
      </w:r>
    </w:p>
    <w:p w:rsidRPr="009178FF" w:rsidR="00092B61" w:rsidRDefault="00A8596A" w14:paraId="407665BA" w14:textId="65CD3C91">
      <w:pPr>
        <w:pStyle w:val="Textoindependiente"/>
        <w:ind w:left="3070"/>
        <w:rPr>
          <w:sz w:val="20"/>
        </w:rPr>
      </w:pPr>
      <w:r w:rsidR="00A8596A">
        <w:drawing>
          <wp:inline wp14:editId="4E1462AC" wp14:anchorId="0D99641D">
            <wp:extent cx="2773144" cy="988695"/>
            <wp:effectExtent l="0" t="0" r="0" b="0"/>
            <wp:docPr id="881578421" name="Imagen 20" title=""/>
            <wp:cNvGraphicFramePr>
              <a:graphicFrameLocks noChangeAspect="1"/>
            </wp:cNvGraphicFramePr>
            <a:graphic>
              <a:graphicData uri="http://schemas.openxmlformats.org/drawingml/2006/picture">
                <pic:pic>
                  <pic:nvPicPr>
                    <pic:cNvPr id="0" name="Imagen 20"/>
                    <pic:cNvPicPr/>
                  </pic:nvPicPr>
                  <pic:blipFill>
                    <a:blip r:embed="Rce842f72254e41f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178FF" w:rsidR="00092B61" w:rsidRDefault="00092B61" w14:paraId="192970B5" w14:textId="77777777">
      <w:pPr>
        <w:pStyle w:val="Textoindependiente"/>
        <w:spacing w:before="2"/>
        <w:rPr>
          <w:sz w:val="20"/>
        </w:rPr>
      </w:pPr>
    </w:p>
    <w:tbl>
      <w:tblPr>
        <w:tblStyle w:val="TableNormal"/>
        <w:tblW w:w="0" w:type="auto"/>
        <w:tblInd w:w="108" w:type="dxa"/>
        <w:tblLayout w:type="fixed"/>
        <w:tblLook w:val="01E0" w:firstRow="1" w:lastRow="1" w:firstColumn="1" w:lastColumn="1" w:noHBand="0" w:noVBand="0"/>
      </w:tblPr>
      <w:tblGrid>
        <w:gridCol w:w="905"/>
        <w:gridCol w:w="4414"/>
      </w:tblGrid>
      <w:tr w:rsidRPr="009178FF" w:rsidR="009178FF" w14:paraId="5B5B186A" w14:textId="77777777">
        <w:trPr>
          <w:trHeight w:val="365"/>
        </w:trPr>
        <w:tc>
          <w:tcPr>
            <w:tcW w:w="905" w:type="dxa"/>
          </w:tcPr>
          <w:p w:rsidRPr="009178FF" w:rsidR="00092B61" w:rsidRDefault="00231E96" w14:paraId="65D584F3" w14:textId="77777777">
            <w:pPr>
              <w:pStyle w:val="TableParagraph"/>
              <w:spacing w:before="87"/>
              <w:ind w:left="180" w:right="89"/>
              <w:jc w:val="center"/>
              <w:rPr>
                <w:sz w:val="16"/>
              </w:rPr>
            </w:pPr>
            <w:r w:rsidRPr="009178FF">
              <w:rPr>
                <w:sz w:val="16"/>
              </w:rPr>
              <w:t>Elaboró:</w:t>
            </w:r>
          </w:p>
        </w:tc>
        <w:tc>
          <w:tcPr>
            <w:tcW w:w="4414" w:type="dxa"/>
            <w:tcBorders>
              <w:bottom w:val="dotted" w:color="7E7E7E" w:sz="4" w:space="0"/>
            </w:tcBorders>
          </w:tcPr>
          <w:p w:rsidRPr="009178FF" w:rsidR="00092B61" w:rsidRDefault="00231E96" w14:paraId="4B5A5D21" w14:textId="77777777">
            <w:pPr>
              <w:pStyle w:val="TableParagraph"/>
              <w:spacing w:line="178" w:lineRule="exact"/>
              <w:rPr>
                <w:sz w:val="16"/>
              </w:rPr>
            </w:pPr>
            <w:r w:rsidRPr="009178FF">
              <w:rPr>
                <w:sz w:val="16"/>
              </w:rPr>
              <w:t>Sebastián Ramírez Grisales</w:t>
            </w:r>
          </w:p>
          <w:p w:rsidRPr="009178FF" w:rsidR="00092B61" w:rsidRDefault="00231E96" w14:paraId="64B3A8AE" w14:textId="77777777">
            <w:pPr>
              <w:pStyle w:val="TableParagraph"/>
              <w:spacing w:line="167" w:lineRule="exact"/>
              <w:rPr>
                <w:sz w:val="16"/>
              </w:rPr>
            </w:pPr>
            <w:r w:rsidRPr="009178FF">
              <w:rPr>
                <w:sz w:val="16"/>
              </w:rPr>
              <w:t>Contratista – Subdirección de Gestión Contractual</w:t>
            </w:r>
          </w:p>
        </w:tc>
      </w:tr>
      <w:tr w:rsidRPr="009178FF" w:rsidR="009178FF" w14:paraId="66DBAF7A" w14:textId="77777777">
        <w:trPr>
          <w:trHeight w:val="367"/>
        </w:trPr>
        <w:tc>
          <w:tcPr>
            <w:tcW w:w="905" w:type="dxa"/>
          </w:tcPr>
          <w:p w:rsidRPr="009178FF" w:rsidR="00092B61" w:rsidRDefault="00231E96" w14:paraId="50C4885A" w14:textId="77777777">
            <w:pPr>
              <w:pStyle w:val="TableParagraph"/>
              <w:spacing w:before="90"/>
              <w:ind w:left="118" w:right="89"/>
              <w:jc w:val="center"/>
              <w:rPr>
                <w:sz w:val="16"/>
              </w:rPr>
            </w:pPr>
            <w:r w:rsidRPr="009178FF">
              <w:rPr>
                <w:sz w:val="16"/>
              </w:rPr>
              <w:t>Revisó:</w:t>
            </w:r>
          </w:p>
        </w:tc>
        <w:tc>
          <w:tcPr>
            <w:tcW w:w="4414" w:type="dxa"/>
            <w:tcBorders>
              <w:top w:val="dotted" w:color="7E7E7E" w:sz="4" w:space="0"/>
              <w:bottom w:val="dotted" w:color="7E7E7E" w:sz="4" w:space="0"/>
            </w:tcBorders>
          </w:tcPr>
          <w:p w:rsidRPr="009178FF" w:rsidR="00092B61" w:rsidRDefault="00231E96" w14:paraId="1EAFC97A" w14:textId="77777777">
            <w:pPr>
              <w:pStyle w:val="TableParagraph"/>
              <w:spacing w:line="181" w:lineRule="exact"/>
              <w:rPr>
                <w:sz w:val="16"/>
              </w:rPr>
            </w:pPr>
            <w:r w:rsidRPr="009178FF">
              <w:rPr>
                <w:sz w:val="16"/>
              </w:rPr>
              <w:t>Fabián Gonzalo Marín Cortés</w:t>
            </w:r>
          </w:p>
          <w:p w:rsidRPr="009178FF" w:rsidR="00092B61" w:rsidRDefault="00231E96" w14:paraId="58D10C8F" w14:textId="77777777">
            <w:pPr>
              <w:pStyle w:val="TableParagraph"/>
              <w:spacing w:before="1" w:line="165" w:lineRule="exact"/>
              <w:rPr>
                <w:sz w:val="16"/>
              </w:rPr>
            </w:pPr>
            <w:r w:rsidRPr="009178FF">
              <w:rPr>
                <w:sz w:val="16"/>
              </w:rPr>
              <w:t>Subdirector de Gestión Contractual</w:t>
            </w:r>
          </w:p>
        </w:tc>
      </w:tr>
      <w:tr w:rsidRPr="009178FF" w:rsidR="00092B61" w14:paraId="50CE8A2D" w14:textId="77777777">
        <w:trPr>
          <w:trHeight w:val="366"/>
        </w:trPr>
        <w:tc>
          <w:tcPr>
            <w:tcW w:w="905" w:type="dxa"/>
          </w:tcPr>
          <w:p w:rsidRPr="009178FF" w:rsidR="00092B61" w:rsidRDefault="00231E96" w14:paraId="14E7B9E2" w14:textId="77777777">
            <w:pPr>
              <w:pStyle w:val="TableParagraph"/>
              <w:spacing w:before="89"/>
              <w:ind w:left="145" w:right="89"/>
              <w:jc w:val="center"/>
              <w:rPr>
                <w:sz w:val="16"/>
              </w:rPr>
            </w:pPr>
            <w:r w:rsidRPr="009178FF">
              <w:rPr>
                <w:sz w:val="16"/>
              </w:rPr>
              <w:t>Aprobó:</w:t>
            </w:r>
          </w:p>
        </w:tc>
        <w:tc>
          <w:tcPr>
            <w:tcW w:w="4414" w:type="dxa"/>
            <w:tcBorders>
              <w:top w:val="dotted" w:color="7E7E7E" w:sz="4" w:space="0"/>
            </w:tcBorders>
          </w:tcPr>
          <w:p w:rsidRPr="009178FF" w:rsidR="00092B61" w:rsidRDefault="00231E96" w14:paraId="18D2CF6C" w14:textId="77777777">
            <w:pPr>
              <w:pStyle w:val="TableParagraph"/>
              <w:spacing w:line="181" w:lineRule="exact"/>
              <w:rPr>
                <w:sz w:val="16"/>
              </w:rPr>
            </w:pPr>
            <w:r w:rsidRPr="009178FF">
              <w:rPr>
                <w:sz w:val="16"/>
              </w:rPr>
              <w:t>Fabián Gonzalo Marín Cortés</w:t>
            </w:r>
          </w:p>
          <w:p w:rsidRPr="009178FF" w:rsidR="00092B61" w:rsidRDefault="00231E96" w14:paraId="6A6C1E2D" w14:textId="77777777">
            <w:pPr>
              <w:pStyle w:val="TableParagraph"/>
              <w:tabs>
                <w:tab w:val="left" w:pos="4413"/>
              </w:tabs>
              <w:spacing w:before="1" w:line="164" w:lineRule="exact"/>
              <w:ind w:left="-16"/>
              <w:rPr>
                <w:sz w:val="16"/>
              </w:rPr>
            </w:pPr>
            <w:r w:rsidRPr="009178FF">
              <w:rPr>
                <w:sz w:val="16"/>
                <w:u w:val="dotted" w:color="7E7E7E"/>
              </w:rPr>
              <w:t xml:space="preserve">  </w:t>
            </w:r>
            <w:r w:rsidRPr="009178FF">
              <w:rPr>
                <w:spacing w:val="-11"/>
                <w:sz w:val="16"/>
                <w:u w:val="dotted" w:color="7E7E7E"/>
              </w:rPr>
              <w:t xml:space="preserve"> </w:t>
            </w:r>
            <w:r w:rsidRPr="009178FF">
              <w:rPr>
                <w:sz w:val="16"/>
                <w:u w:val="dotted" w:color="7E7E7E"/>
              </w:rPr>
              <w:t>Subdirector de Gestión</w:t>
            </w:r>
            <w:r w:rsidRPr="009178FF">
              <w:rPr>
                <w:spacing w:val="-18"/>
                <w:sz w:val="16"/>
                <w:u w:val="dotted" w:color="7E7E7E"/>
              </w:rPr>
              <w:t xml:space="preserve"> </w:t>
            </w:r>
            <w:r w:rsidRPr="009178FF">
              <w:rPr>
                <w:sz w:val="16"/>
                <w:u w:val="dotted" w:color="7E7E7E"/>
              </w:rPr>
              <w:t>Contractual</w:t>
            </w:r>
            <w:r w:rsidRPr="009178FF">
              <w:rPr>
                <w:sz w:val="16"/>
                <w:u w:val="dotted" w:color="7E7E7E"/>
              </w:rPr>
              <w:tab/>
            </w:r>
          </w:p>
        </w:tc>
      </w:tr>
    </w:tbl>
    <w:p w:rsidRPr="009178FF" w:rsidR="009E4251" w:rsidRDefault="009E4251" w14:paraId="1E97B46B" w14:textId="77777777"/>
    <w:sectPr w:rsidRPr="009178FF" w:rsidR="009E4251">
      <w:headerReference w:type="default" r:id="rId12"/>
      <w:footerReference w:type="default" r:id="rId13"/>
      <w:pgSz w:w="12240" w:h="15840" w:orient="portrait"/>
      <w:pgMar w:top="1560" w:right="1300" w:bottom="1220" w:left="1400" w:header="766" w:footer="10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E1" w:rsidRDefault="00966CE1" w14:paraId="351F458E" w14:textId="77777777">
      <w:r>
        <w:separator/>
      </w:r>
    </w:p>
  </w:endnote>
  <w:endnote w:type="continuationSeparator" w:id="0">
    <w:p w:rsidR="00966CE1" w:rsidRDefault="00966CE1" w14:paraId="4A4C9A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092B61" w:rsidRDefault="00231E96" w14:paraId="3AEC386B" w14:textId="77777777">
    <w:pPr>
      <w:pStyle w:val="Textoindependiente"/>
      <w:spacing w:line="14" w:lineRule="auto"/>
      <w:rPr>
        <w:sz w:val="20"/>
      </w:rPr>
    </w:pPr>
    <w:r>
      <w:rPr>
        <w:noProof/>
        <w:lang w:val="en-US"/>
      </w:rPr>
      <w:drawing>
        <wp:anchor distT="0" distB="0" distL="0" distR="0" simplePos="0" relativeHeight="251657728" behindDoc="1" locked="0" layoutInCell="1" allowOverlap="1" wp14:anchorId="329ED484" wp14:editId="124B8C05">
          <wp:simplePos x="0" y="0"/>
          <wp:positionH relativeFrom="page">
            <wp:posOffset>2020951</wp:posOffset>
          </wp:positionH>
          <wp:positionV relativeFrom="page">
            <wp:posOffset>9395459</wp:posOffset>
          </wp:positionV>
          <wp:extent cx="3697732" cy="51847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697732" cy="518477"/>
                  </a:xfrm>
                  <a:prstGeom prst="rect">
                    <a:avLst/>
                  </a:prstGeom>
                </pic:spPr>
              </pic:pic>
            </a:graphicData>
          </a:graphic>
        </wp:anchor>
      </w:drawing>
    </w:r>
    <w:r w:rsidR="00966CE1">
      <w:pict w14:anchorId="77475AE7">
        <v:shapetype id="_x0000_t202" coordsize="21600,21600" o:spt="202" path="m,l,21600r21600,l21600,xe">
          <v:stroke joinstyle="miter"/>
          <v:path gradientshapeok="t" o:connecttype="rect"/>
        </v:shapetype>
        <v:shape id="_x0000_s2049" style="position:absolute;margin-left:465.35pt;margin-top:729.75pt;width:60.25pt;height:10.95pt;z-index:-251657728;mso-position-horizontal-relative:page;mso-position-vertical-relative:page" filled="f" stroked="f" type="#_x0000_t202">
          <v:textbox style="mso-next-textbox:#_x0000_s2049" inset="0,0,0,0">
            <w:txbxContent>
              <w:p w:rsidR="00092B61" w:rsidRDefault="00231E96" w14:paraId="07774DE0" w14:textId="47D19A00">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rsidR="007A25E6">
                  <w:rPr>
                    <w:b/>
                    <w:noProof/>
                    <w:color w:val="7E7E7E"/>
                    <w:sz w:val="16"/>
                  </w:rPr>
                  <w:t>3</w:t>
                </w:r>
                <w:r>
                  <w:fldChar w:fldCharType="end"/>
                </w:r>
                <w:r>
                  <w:rPr>
                    <w:b/>
                    <w:color w:val="7E7E7E"/>
                    <w:sz w:val="16"/>
                  </w:rPr>
                  <w:t xml:space="preserve"> </w:t>
                </w:r>
                <w:r>
                  <w:rPr>
                    <w:color w:val="7E7E7E"/>
                    <w:sz w:val="16"/>
                  </w:rPr>
                  <w:t xml:space="preserve">de </w:t>
                </w:r>
                <w:r>
                  <w:rPr>
                    <w:b/>
                    <w:color w:val="7E7E7E"/>
                    <w:sz w:val="16"/>
                  </w:rPr>
                  <w:t>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E1" w:rsidRDefault="00966CE1" w14:paraId="50528877" w14:textId="77777777">
      <w:r>
        <w:separator/>
      </w:r>
    </w:p>
  </w:footnote>
  <w:footnote w:type="continuationSeparator" w:id="0">
    <w:p w:rsidR="00966CE1" w:rsidRDefault="00966CE1" w14:paraId="7C8606A3" w14:textId="77777777">
      <w:r>
        <w:continuationSeparator/>
      </w:r>
    </w:p>
  </w:footnote>
  <w:footnote w:id="1">
    <w:p w:rsidRPr="009178FF" w:rsidR="009178FF" w:rsidP="009178FF" w:rsidRDefault="009178FF" w14:paraId="413A49D3" w14:textId="04CC2203">
      <w:pPr>
        <w:spacing w:before="80"/>
        <w:ind w:left="300" w:right="449" w:firstLine="707"/>
        <w:jc w:val="both"/>
      </w:pPr>
      <w:r>
        <w:rPr>
          <w:rStyle w:val="Refdenotaalpie"/>
        </w:rPr>
        <w:footnoteRef/>
      </w:r>
      <w:r>
        <w:t xml:space="preserve"> </w:t>
      </w:r>
      <w:r w:rsidRPr="009178FF">
        <w:rPr>
          <w:sz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2">
    <w:p w:rsidRPr="009178FF" w:rsidR="009178FF" w:rsidP="009178FF" w:rsidRDefault="009178FF" w14:paraId="4D1EEDB9" w14:textId="77777777">
      <w:pPr>
        <w:ind w:left="300" w:right="447" w:firstLine="707"/>
        <w:jc w:val="both"/>
        <w:rPr>
          <w:sz w:val="19"/>
        </w:rPr>
      </w:pPr>
      <w:r>
        <w:rPr>
          <w:rStyle w:val="Refdenotaalpie"/>
        </w:rPr>
        <w:footnoteRef/>
      </w:r>
      <w:r>
        <w:t xml:space="preserve"> </w:t>
      </w:r>
      <w:r w:rsidRPr="009178FF">
        <w:rPr>
          <w:sz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9178FF" w:rsidR="009178FF" w:rsidRDefault="009178FF" w14:paraId="023F81D3" w14:textId="719C4BBD">
      <w:pPr>
        <w:pStyle w:val="Textonotapie"/>
      </w:pPr>
    </w:p>
  </w:footnote>
  <w:footnote w:id="3">
    <w:p w:rsidRPr="009178FF" w:rsidR="009178FF" w:rsidP="009178FF" w:rsidRDefault="009178FF" w14:paraId="6F684478" w14:textId="77777777">
      <w:pPr>
        <w:spacing w:before="100"/>
        <w:ind w:left="300" w:right="448" w:firstLine="707"/>
        <w:jc w:val="both"/>
        <w:rPr>
          <w:sz w:val="19"/>
        </w:rPr>
      </w:pPr>
      <w:r>
        <w:rPr>
          <w:rStyle w:val="Refdenotaalpie"/>
        </w:rPr>
        <w:footnoteRef/>
      </w:r>
      <w:r>
        <w:t xml:space="preserve"> </w:t>
      </w:r>
      <w:r w:rsidRPr="009178FF">
        <w:rPr>
          <w:sz w:val="19"/>
        </w:rPr>
        <w:t>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9178FF">
        <w:rPr>
          <w:spacing w:val="-16"/>
          <w:sz w:val="19"/>
        </w:rPr>
        <w:t xml:space="preserve"> </w:t>
      </w:r>
      <w:r w:rsidRPr="009178FF">
        <w:rPr>
          <w:sz w:val="19"/>
        </w:rPr>
        <w:t>proponentes».</w:t>
      </w:r>
    </w:p>
    <w:p w:rsidRPr="009178FF" w:rsidR="009178FF" w:rsidRDefault="009178FF" w14:paraId="26473B43" w14:textId="00432E33">
      <w:pPr>
        <w:pStyle w:val="Textonotapie"/>
      </w:pPr>
    </w:p>
  </w:footnote>
  <w:footnote w:id="4">
    <w:p w:rsidRPr="009178FF" w:rsidR="009178FF" w:rsidP="009178FF" w:rsidRDefault="009178FF" w14:paraId="370169DC" w14:textId="77777777">
      <w:pPr>
        <w:spacing w:before="1"/>
        <w:ind w:left="300" w:right="455" w:firstLine="707"/>
        <w:jc w:val="both"/>
        <w:rPr>
          <w:sz w:val="19"/>
        </w:rPr>
      </w:pPr>
      <w:r>
        <w:rPr>
          <w:rStyle w:val="Refdenotaalpie"/>
        </w:rPr>
        <w:footnoteRef/>
      </w:r>
      <w:r>
        <w:t xml:space="preserve"> </w:t>
      </w:r>
      <w:r w:rsidRPr="009178FF">
        <w:rPr>
          <w:sz w:val="19"/>
        </w:rPr>
        <w:t>Consejo de Estado. Sala de Consulta y Servicio Civil. Concepto del 20 de mayo de 2010. Exp.1992. C.P. Enrique José Arboleda Perdomo.</w:t>
      </w:r>
    </w:p>
    <w:p w:rsidRPr="009178FF" w:rsidR="009178FF" w:rsidRDefault="009178FF" w14:paraId="4B76BEFB" w14:textId="24D374C5">
      <w:pPr>
        <w:pStyle w:val="Textonotapie"/>
        <w:rPr>
          <w:lang w:val="es-MX"/>
        </w:rPr>
      </w:pPr>
    </w:p>
  </w:footnote>
  <w:footnote w:id="5">
    <w:p w:rsidRPr="009178FF" w:rsidR="009178FF" w:rsidP="009178FF" w:rsidRDefault="009178FF" w14:paraId="217572F3" w14:textId="48EDAA0A">
      <w:pPr>
        <w:spacing w:before="80"/>
        <w:ind w:left="300" w:right="448" w:firstLine="707"/>
        <w:jc w:val="both"/>
        <w:rPr>
          <w:sz w:val="19"/>
        </w:rPr>
      </w:pPr>
      <w:r>
        <w:rPr>
          <w:rStyle w:val="Refdenotaalpie"/>
        </w:rPr>
        <w:footnoteRef/>
      </w:r>
      <w:r>
        <w:t xml:space="preserve"> </w:t>
      </w:r>
      <w:r w:rsidRPr="009178FF">
        <w:rPr>
          <w:sz w:val="19"/>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rsidRPr="009178FF" w:rsidR="009178FF" w:rsidP="009178FF" w:rsidRDefault="009178FF" w14:paraId="31C7952B" w14:textId="77777777">
      <w:pPr>
        <w:spacing w:before="1"/>
        <w:ind w:left="300" w:right="452" w:firstLine="707"/>
        <w:jc w:val="both"/>
        <w:rPr>
          <w:sz w:val="19"/>
        </w:rPr>
      </w:pPr>
      <w:r w:rsidRPr="009178FF">
        <w:rPr>
          <w:sz w:val="19"/>
        </w:rPr>
        <w:t>»En firme la inscripción, cualquier persona podrá demandar su nulidad en desarrollo de la acción prevista en el Código Contencioso Administrativo. Para el efecto será competente el Juez de lo Contencioso Administrativo en única instancia.</w:t>
      </w:r>
    </w:p>
    <w:p w:rsidRPr="009178FF" w:rsidR="009178FF" w:rsidP="009178FF" w:rsidRDefault="009178FF" w14:paraId="50B251A3" w14:textId="77777777">
      <w:pPr>
        <w:ind w:left="300" w:right="450" w:firstLine="707"/>
        <w:jc w:val="both"/>
        <w:rPr>
          <w:sz w:val="19"/>
        </w:rPr>
      </w:pPr>
      <w:r w:rsidRPr="009178FF">
        <w:rPr>
          <w:sz w:val="19"/>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rsidRPr="009178FF" w:rsidR="009178FF" w:rsidP="009178FF" w:rsidRDefault="009178FF" w14:paraId="63F2AAD6" w14:textId="77777777">
      <w:pPr>
        <w:spacing w:before="1"/>
        <w:ind w:left="300" w:right="449" w:firstLine="707"/>
        <w:jc w:val="both"/>
        <w:rPr>
          <w:sz w:val="19"/>
        </w:rPr>
      </w:pPr>
      <w:r w:rsidRPr="009178FF">
        <w:rPr>
          <w:sz w:val="19"/>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w:t>
      </w:r>
      <w:r w:rsidRPr="009178FF">
        <w:rPr>
          <w:spacing w:val="-9"/>
          <w:sz w:val="19"/>
        </w:rPr>
        <w:t xml:space="preserve"> </w:t>
      </w:r>
      <w:r w:rsidRPr="009178FF">
        <w:rPr>
          <w:sz w:val="19"/>
        </w:rPr>
        <w:t>RUP.</w:t>
      </w:r>
    </w:p>
    <w:p w:rsidR="009178FF" w:rsidP="009178FF" w:rsidRDefault="009178FF" w14:paraId="6F90BEAA" w14:textId="4BE60F6F">
      <w:pPr>
        <w:ind w:left="300" w:right="449" w:firstLine="707"/>
        <w:jc w:val="both"/>
        <w:rPr>
          <w:sz w:val="19"/>
        </w:rPr>
      </w:pPr>
      <w:r w:rsidRPr="009178FF">
        <w:rPr>
          <w:sz w:val="19"/>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rsidRPr="009178FF" w:rsidR="009178FF" w:rsidP="009178FF" w:rsidRDefault="009178FF" w14:paraId="20C64410" w14:textId="77777777">
      <w:pPr>
        <w:spacing w:before="82"/>
        <w:ind w:left="300" w:right="451" w:firstLine="707"/>
        <w:jc w:val="both"/>
        <w:rPr>
          <w:sz w:val="19"/>
        </w:rPr>
      </w:pPr>
      <w:r w:rsidRPr="009178FF">
        <w:rPr>
          <w:sz w:val="19"/>
        </w:rPr>
        <w:t>»Las mismas sanciones previstas en el inciso anterior se predicarán en el evento en que el Juez de lo Contencioso Administrativa declare la nulidad del acto de</w:t>
      </w:r>
      <w:r w:rsidRPr="009178FF">
        <w:rPr>
          <w:spacing w:val="-14"/>
          <w:sz w:val="19"/>
        </w:rPr>
        <w:t xml:space="preserve"> </w:t>
      </w:r>
      <w:r w:rsidRPr="009178FF">
        <w:rPr>
          <w:sz w:val="19"/>
        </w:rPr>
        <w:t>inscripción.</w:t>
      </w:r>
    </w:p>
    <w:p w:rsidRPr="009178FF" w:rsidR="009178FF" w:rsidP="009178FF" w:rsidRDefault="009178FF" w14:paraId="53EAF1EF" w14:textId="5F0111AB">
      <w:pPr>
        <w:spacing w:line="217" w:lineRule="exact"/>
        <w:ind w:left="1008"/>
        <w:jc w:val="both"/>
        <w:rPr>
          <w:sz w:val="19"/>
        </w:rPr>
      </w:pPr>
      <w:r w:rsidRPr="009178FF">
        <w:rPr>
          <w:sz w:val="19"/>
        </w:rPr>
        <w:t>»La información contenida en el registro es pública y su consulta será gratuita»</w:t>
      </w:r>
    </w:p>
    <w:p w:rsidRPr="009178FF" w:rsidR="009178FF" w:rsidRDefault="009178FF" w14:paraId="5812BC33" w14:textId="3EE445BD">
      <w:pPr>
        <w:pStyle w:val="Textonotapie"/>
        <w:rPr>
          <w:lang w:val="es-MX"/>
        </w:rPr>
      </w:pPr>
    </w:p>
  </w:footnote>
  <w:footnote w:id="6">
    <w:p w:rsidRPr="009178FF" w:rsidR="009178FF" w:rsidP="009178FF" w:rsidRDefault="009178FF" w14:paraId="0FFEB43C" w14:textId="77777777">
      <w:pPr>
        <w:ind w:left="300" w:right="449" w:firstLine="707"/>
        <w:jc w:val="both"/>
        <w:rPr>
          <w:sz w:val="19"/>
        </w:rPr>
      </w:pPr>
      <w:r>
        <w:rPr>
          <w:rStyle w:val="Refdenotaalpie"/>
        </w:rPr>
        <w:footnoteRef/>
      </w:r>
      <w:r>
        <w:t xml:space="preserve"> </w:t>
      </w:r>
      <w:r w:rsidRPr="009178FF">
        <w:rPr>
          <w:sz w:val="19"/>
          <w:vertAlign w:val="superscript"/>
        </w:rPr>
        <w:t>6</w:t>
      </w:r>
      <w:r w:rsidRPr="009178FF">
        <w:rPr>
          <w:sz w:val="19"/>
        </w:rPr>
        <w:t xml:space="preserve"> «Artículo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w:t>
      </w:r>
      <w:r w:rsidRPr="009178FF">
        <w:rPr>
          <w:spacing w:val="-6"/>
          <w:sz w:val="19"/>
        </w:rPr>
        <w:t xml:space="preserve"> </w:t>
      </w:r>
      <w:r w:rsidRPr="009178FF">
        <w:rPr>
          <w:sz w:val="19"/>
        </w:rPr>
        <w:t>juez.</w:t>
      </w:r>
    </w:p>
    <w:p w:rsidRPr="009178FF" w:rsidR="009178FF" w:rsidP="009178FF" w:rsidRDefault="009178FF" w14:paraId="395519FE" w14:textId="77777777">
      <w:pPr>
        <w:ind w:left="300" w:right="452" w:firstLine="707"/>
        <w:jc w:val="both"/>
        <w:rPr>
          <w:sz w:val="19"/>
        </w:rPr>
      </w:pPr>
      <w:r w:rsidRPr="009178FF">
        <w:rPr>
          <w:sz w:val="19"/>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w:t>
      </w:r>
      <w:r w:rsidRPr="009178FF">
        <w:rPr>
          <w:spacing w:val="-2"/>
          <w:sz w:val="19"/>
        </w:rPr>
        <w:t xml:space="preserve"> </w:t>
      </w:r>
      <w:r w:rsidRPr="009178FF">
        <w:rPr>
          <w:sz w:val="19"/>
        </w:rPr>
        <w:t>lugar.</w:t>
      </w:r>
    </w:p>
    <w:p w:rsidRPr="009178FF" w:rsidR="009178FF" w:rsidP="009178FF" w:rsidRDefault="009178FF" w14:paraId="10D307F5" w14:textId="77777777">
      <w:pPr>
        <w:spacing w:before="1"/>
        <w:ind w:left="300" w:right="450" w:firstLine="707"/>
        <w:jc w:val="both"/>
        <w:rPr>
          <w:sz w:val="19"/>
        </w:rPr>
      </w:pPr>
      <w:r w:rsidRPr="009178FF">
        <w:rPr>
          <w:sz w:val="19"/>
        </w:rPr>
        <w:t>»El recurso de apelación podrá interponerse directamente, o como subsidiario del de reposición y cuando proceda será obligatorio para acceder a la jurisdicción.</w:t>
      </w:r>
    </w:p>
    <w:p w:rsidRPr="009178FF" w:rsidR="009178FF" w:rsidP="009178FF" w:rsidRDefault="009178FF" w14:paraId="39B9EC68" w14:textId="22534088">
      <w:pPr>
        <w:spacing w:line="217" w:lineRule="exact"/>
        <w:ind w:left="1008"/>
        <w:jc w:val="both"/>
      </w:pPr>
      <w:r w:rsidRPr="009178FF">
        <w:rPr>
          <w:sz w:val="19"/>
        </w:rPr>
        <w:t>»Los recursos de reposición y de queja no serán obligatorios”.</w:t>
      </w:r>
    </w:p>
  </w:footnote>
  <w:footnote w:id="7">
    <w:p w:rsidR="009178FF" w:rsidP="009178FF" w:rsidRDefault="009178FF" w14:paraId="3C378C23" w14:textId="77777777">
      <w:pPr>
        <w:ind w:left="1008" w:right="1332"/>
        <w:jc w:val="both"/>
      </w:pPr>
    </w:p>
    <w:p w:rsidRPr="009178FF" w:rsidR="009178FF" w:rsidP="009178FF" w:rsidRDefault="009178FF" w14:paraId="357F8898" w14:textId="45788949">
      <w:pPr>
        <w:ind w:left="1008" w:right="1332"/>
        <w:jc w:val="both"/>
        <w:rPr>
          <w:sz w:val="19"/>
        </w:rPr>
      </w:pPr>
      <w:r>
        <w:rPr>
          <w:rStyle w:val="Refdenotaalpie"/>
        </w:rPr>
        <w:footnoteRef/>
      </w:r>
      <w:r>
        <w:t xml:space="preserve"> </w:t>
      </w:r>
      <w:r w:rsidRPr="009178FF">
        <w:rPr>
          <w:sz w:val="19"/>
        </w:rPr>
        <w:t>«Artículo 2.2.1.1.1.5.1. Inscripción, renovación, actualización y cancelación del RUP. […]</w:t>
      </w:r>
    </w:p>
    <w:p w:rsidRPr="009178FF" w:rsidR="009178FF" w:rsidP="009178FF" w:rsidRDefault="009178FF" w14:paraId="78A800AA" w14:textId="77777777">
      <w:pPr>
        <w:ind w:left="300" w:right="452" w:firstLine="707"/>
        <w:jc w:val="both"/>
        <w:rPr>
          <w:sz w:val="19"/>
        </w:rPr>
      </w:pPr>
      <w:r w:rsidRPr="009178FF">
        <w:rPr>
          <w:sz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9178FF" w:rsidR="009178FF" w:rsidRDefault="009178FF" w14:paraId="5EC9751C" w14:textId="6FB90287">
      <w:pPr>
        <w:pStyle w:val="Textonotapie"/>
      </w:pPr>
    </w:p>
  </w:footnote>
  <w:footnote w:id="8">
    <w:p w:rsidRPr="009178FF" w:rsidR="009178FF" w:rsidP="009178FF" w:rsidRDefault="009178FF" w14:paraId="5713EE7D" w14:textId="0A15AF50">
      <w:pPr>
        <w:spacing w:before="80"/>
        <w:ind w:left="1008"/>
        <w:rPr>
          <w:sz w:val="19"/>
        </w:rPr>
      </w:pPr>
      <w:r>
        <w:rPr>
          <w:rStyle w:val="Refdenotaalpie"/>
        </w:rPr>
        <w:footnoteRef/>
      </w:r>
      <w:r>
        <w:t xml:space="preserve"> </w:t>
      </w:r>
      <w:r w:rsidRPr="009178FF">
        <w:rPr>
          <w:sz w:val="19"/>
        </w:rPr>
        <w:t>Consejo de Estado. Sección Tercera. Subsección A. Sentencia del 19 de septiembre de 2019.</w:t>
      </w:r>
    </w:p>
    <w:p w:rsidRPr="009178FF" w:rsidR="009178FF" w:rsidP="009178FF" w:rsidRDefault="009178FF" w14:paraId="32B106D4" w14:textId="77777777">
      <w:pPr>
        <w:spacing w:before="2"/>
        <w:ind w:left="300"/>
        <w:rPr>
          <w:sz w:val="19"/>
        </w:rPr>
      </w:pPr>
      <w:r w:rsidRPr="009178FF">
        <w:rPr>
          <w:sz w:val="19"/>
        </w:rPr>
        <w:t>Exp. 59.432. C.P. Marta Nubia Velásquez Rico</w:t>
      </w:r>
    </w:p>
    <w:p w:rsidRPr="009178FF" w:rsidR="009178FF" w:rsidRDefault="009178FF" w14:paraId="561E1DF4" w14:textId="513520D1">
      <w:pPr>
        <w:pStyle w:val="Textonotapie"/>
      </w:pPr>
    </w:p>
  </w:footnote>
  <w:footnote w:id="9">
    <w:p w:rsidR="009178FF" w:rsidRDefault="009178FF" w14:paraId="657CD67C" w14:textId="3DBB0340">
      <w:pPr>
        <w:pStyle w:val="Textonotapie"/>
      </w:pPr>
      <w:r>
        <w:rPr>
          <w:rStyle w:val="Refdenotaalpie"/>
        </w:rPr>
        <w:footnoteRef/>
      </w:r>
      <w:r>
        <w:t xml:space="preserve"> Artículo 87. Firmeza de los actos administrativos. Los actos administrativos quedarán en firme: </w:t>
      </w:r>
    </w:p>
    <w:p w:rsidRPr="009178FF" w:rsidR="009178FF" w:rsidP="009178FF" w:rsidRDefault="009178FF" w14:paraId="4A787DE6" w14:textId="128C6331">
      <w:pPr>
        <w:pStyle w:val="Textonotapie"/>
        <w:numPr>
          <w:ilvl w:val="0"/>
          <w:numId w:val="2"/>
        </w:numPr>
        <w:rPr>
          <w:lang w:val="es-MX"/>
        </w:rPr>
      </w:pPr>
      <w:r>
        <w:t xml:space="preserve">Cuando contra ellos ningún recurso, desde el día siguiente al de su notificación, comunicación o publicación según el caso. </w:t>
      </w:r>
    </w:p>
    <w:p w:rsidRPr="009178FF" w:rsidR="009178FF" w:rsidP="009178FF" w:rsidRDefault="009178FF" w14:paraId="2EC6154F" w14:textId="7A23F8C0">
      <w:pPr>
        <w:pStyle w:val="Textonotapie"/>
        <w:numPr>
          <w:ilvl w:val="0"/>
          <w:numId w:val="2"/>
        </w:numPr>
        <w:rPr>
          <w:lang w:val="es-MX"/>
        </w:rPr>
      </w:pPr>
      <w:r>
        <w:t xml:space="preserve">Desde el día siguiente a la publicación, comunicación o notificación de la decisión sobre los recursos interpuestos. </w:t>
      </w:r>
    </w:p>
    <w:p w:rsidRPr="00A8596A" w:rsidR="009178FF" w:rsidP="009178FF" w:rsidRDefault="009178FF" w14:paraId="510AD316" w14:textId="295416B7">
      <w:pPr>
        <w:pStyle w:val="Textonotapie"/>
        <w:numPr>
          <w:ilvl w:val="0"/>
          <w:numId w:val="2"/>
        </w:numPr>
        <w:rPr>
          <w:lang w:val="es-MX"/>
        </w:rPr>
      </w:pPr>
      <w:r>
        <w:t xml:space="preserve">Desde el </w:t>
      </w:r>
      <w:r w:rsidR="00A8596A">
        <w:t>día</w:t>
      </w:r>
      <w:r>
        <w:t xml:space="preserve"> siguiente al </w:t>
      </w:r>
      <w:r w:rsidR="00A8596A">
        <w:t xml:space="preserve">siguiente al del vencimiento del término para interponer los recursos, si estos no fueron interpuestos, o se hubiere renunciado expresamente a ellos. </w:t>
      </w:r>
    </w:p>
    <w:p w:rsidRPr="00A8596A" w:rsidR="00A8596A" w:rsidP="009178FF" w:rsidRDefault="00A8596A" w14:paraId="0B7C90AD" w14:textId="0DEDBB22">
      <w:pPr>
        <w:pStyle w:val="Textonotapie"/>
        <w:numPr>
          <w:ilvl w:val="0"/>
          <w:numId w:val="2"/>
        </w:numPr>
        <w:rPr>
          <w:lang w:val="es-MX"/>
        </w:rPr>
      </w:pPr>
      <w:r>
        <w:t>Desde el día siguiente al de la notificación de la aceptación del desistimiento de los recursos.</w:t>
      </w:r>
    </w:p>
    <w:p w:rsidRPr="009178FF" w:rsidR="00A8596A" w:rsidP="009178FF" w:rsidRDefault="00A8596A" w14:paraId="1179D5D4" w14:textId="3B8D645F">
      <w:pPr>
        <w:pStyle w:val="Textonotapie"/>
        <w:numPr>
          <w:ilvl w:val="0"/>
          <w:numId w:val="2"/>
        </w:numPr>
        <w:rPr>
          <w:lang w:val="es-MX"/>
        </w:rPr>
      </w:pPr>
      <w:r>
        <w:rPr>
          <w:lang w:val="es-MX"/>
        </w:rPr>
        <w:t>Desde el día siguiente al de la protocolización a que alude el artículo 85 para el silencio administrativo positivo</w:t>
      </w:r>
    </w:p>
  </w:footnote>
  <w:footnote w:id="10">
    <w:p w:rsidRPr="009178FF" w:rsidR="00A8596A" w:rsidP="00A8596A" w:rsidRDefault="00A8596A" w14:paraId="7623ACFE" w14:textId="77777777">
      <w:pPr>
        <w:spacing w:before="80"/>
        <w:ind w:left="300" w:right="526" w:firstLine="707"/>
        <w:rPr>
          <w:sz w:val="19"/>
        </w:rPr>
      </w:pPr>
      <w:r>
        <w:rPr>
          <w:rStyle w:val="Refdenotaalpie"/>
        </w:rPr>
        <w:footnoteRef/>
      </w:r>
      <w:r>
        <w:t xml:space="preserve"> </w:t>
      </w:r>
      <w:r w:rsidRPr="009178FF">
        <w:rPr>
          <w:sz w:val="19"/>
        </w:rPr>
        <w:t>Consejo de Estado. Sección Cuarta. Sentencia del 19 de noviembre de 1999. Exp. 9.453. CP. Daniel Manrique</w:t>
      </w:r>
      <w:r w:rsidRPr="009178FF">
        <w:rPr>
          <w:spacing w:val="-4"/>
          <w:sz w:val="19"/>
        </w:rPr>
        <w:t xml:space="preserve"> </w:t>
      </w:r>
      <w:r w:rsidRPr="009178FF">
        <w:rPr>
          <w:sz w:val="19"/>
        </w:rPr>
        <w:t>Guzmán.</w:t>
      </w:r>
    </w:p>
    <w:p w:rsidRPr="00A8596A" w:rsidR="00A8596A" w:rsidRDefault="00A8596A" w14:paraId="6C174912" w14:textId="49A74F15">
      <w:pPr>
        <w:pStyle w:val="Textonotapie"/>
        <w:rPr>
          <w:lang w:val="es-MX"/>
        </w:rPr>
      </w:pPr>
    </w:p>
  </w:footnote>
  <w:footnote w:id="11">
    <w:p w:rsidRPr="009178FF" w:rsidR="00A8596A" w:rsidP="00A8596A" w:rsidRDefault="00A8596A" w14:paraId="0493C5B7" w14:textId="77777777">
      <w:pPr>
        <w:ind w:left="300" w:right="526" w:firstLine="707"/>
        <w:rPr>
          <w:sz w:val="19"/>
        </w:rPr>
      </w:pPr>
      <w:r>
        <w:rPr>
          <w:rStyle w:val="Refdenotaalpie"/>
        </w:rPr>
        <w:footnoteRef/>
      </w:r>
      <w:r>
        <w:t xml:space="preserve"> </w:t>
      </w:r>
      <w:r w:rsidRPr="009178FF">
        <w:rPr>
          <w:sz w:val="19"/>
        </w:rPr>
        <w:t xml:space="preserve">Ley 1882  de  2018:  «Artículo  5.  Modifíquese  el  Parágrafo  </w:t>
      </w:r>
      <w:hyperlink r:id="rId1">
        <w:r w:rsidRPr="009178FF">
          <w:rPr>
            <w:sz w:val="19"/>
          </w:rPr>
          <w:t>1</w:t>
        </w:r>
      </w:hyperlink>
      <w:r w:rsidRPr="009178FF">
        <w:rPr>
          <w:sz w:val="19"/>
        </w:rPr>
        <w:t xml:space="preserve">  e  inclúyanse  los  parágrafos </w:t>
      </w:r>
      <w:hyperlink r:id="rId2">
        <w:r w:rsidRPr="009178FF">
          <w:rPr>
            <w:sz w:val="19"/>
          </w:rPr>
          <w:t xml:space="preserve">3, </w:t>
        </w:r>
      </w:hyperlink>
      <w:hyperlink r:id="rId3">
        <w:r w:rsidRPr="009178FF">
          <w:rPr>
            <w:sz w:val="19"/>
          </w:rPr>
          <w:t xml:space="preserve">4 </w:t>
        </w:r>
      </w:hyperlink>
      <w:r w:rsidRPr="009178FF">
        <w:rPr>
          <w:sz w:val="19"/>
        </w:rPr>
        <w:t xml:space="preserve">y </w:t>
      </w:r>
      <w:hyperlink r:id="rId4">
        <w:r w:rsidRPr="009178FF">
          <w:rPr>
            <w:sz w:val="19"/>
          </w:rPr>
          <w:t xml:space="preserve">5 </w:t>
        </w:r>
      </w:hyperlink>
      <w:r w:rsidRPr="009178FF">
        <w:rPr>
          <w:sz w:val="19"/>
        </w:rPr>
        <w:t>de artículo 5° de la Ley 1150 de 2007, los cuales quedarán</w:t>
      </w:r>
      <w:r w:rsidRPr="009178FF">
        <w:rPr>
          <w:spacing w:val="-14"/>
          <w:sz w:val="19"/>
        </w:rPr>
        <w:t xml:space="preserve"> </w:t>
      </w:r>
      <w:r w:rsidRPr="009178FF">
        <w:rPr>
          <w:sz w:val="19"/>
        </w:rPr>
        <w:t>así:</w:t>
      </w:r>
    </w:p>
    <w:p w:rsidRPr="009178FF" w:rsidR="00A8596A" w:rsidP="00A8596A" w:rsidRDefault="00A8596A" w14:paraId="3414B740" w14:textId="77777777">
      <w:pPr>
        <w:spacing w:line="218" w:lineRule="exact"/>
        <w:ind w:left="1008"/>
        <w:rPr>
          <w:sz w:val="19"/>
        </w:rPr>
      </w:pPr>
      <w:r w:rsidRPr="009178FF">
        <w:rPr>
          <w:sz w:val="19"/>
        </w:rPr>
        <w:t>[…]</w:t>
      </w:r>
    </w:p>
    <w:p w:rsidRPr="009178FF" w:rsidR="00A8596A" w:rsidP="00A8596A" w:rsidRDefault="00A8596A" w14:paraId="19C6EDD1" w14:textId="77777777">
      <w:pPr>
        <w:ind w:left="1008" w:right="5373"/>
        <w:rPr>
          <w:sz w:val="19"/>
        </w:rPr>
      </w:pPr>
      <w:r w:rsidRPr="009178FF">
        <w:rPr>
          <w:sz w:val="19"/>
        </w:rPr>
        <w:t>»Artículo 5°. De la selección objetiva. […]</w:t>
      </w:r>
    </w:p>
    <w:p w:rsidRPr="009178FF" w:rsidR="00A8596A" w:rsidP="00A8596A" w:rsidRDefault="00A8596A" w14:paraId="1BFE0F4E" w14:textId="77777777">
      <w:pPr>
        <w:spacing w:before="80"/>
        <w:ind w:left="300" w:right="447"/>
        <w:jc w:val="both"/>
        <w:rPr>
          <w:sz w:val="19"/>
        </w:rPr>
      </w:pPr>
      <w:r w:rsidRPr="009178FF">
        <w:rPr>
          <w:sz w:val="19"/>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w:t>
      </w:r>
      <w:r>
        <w:rPr>
          <w:sz w:val="19"/>
        </w:rPr>
        <w:t xml:space="preserve"> </w:t>
      </w:r>
      <w:r w:rsidRPr="009178FF">
        <w:rPr>
          <w:sz w:val="19"/>
        </w:rPr>
        <w:t>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w:t>
      </w:r>
      <w:r w:rsidRPr="009178FF">
        <w:rPr>
          <w:spacing w:val="-3"/>
          <w:sz w:val="19"/>
        </w:rPr>
        <w:t xml:space="preserve"> </w:t>
      </w:r>
      <w:r w:rsidRPr="009178FF">
        <w:rPr>
          <w:sz w:val="19"/>
        </w:rPr>
        <w:t>señalado.</w:t>
      </w:r>
    </w:p>
    <w:p w:rsidRPr="009178FF" w:rsidR="00A8596A" w:rsidP="00A8596A" w:rsidRDefault="00A8596A" w14:paraId="7C9DE233" w14:textId="77777777">
      <w:pPr>
        <w:ind w:left="300" w:right="451" w:firstLine="707"/>
        <w:jc w:val="both"/>
        <w:rPr>
          <w:sz w:val="19"/>
        </w:rPr>
      </w:pPr>
      <w:r w:rsidRPr="009178FF">
        <w:rPr>
          <w:sz w:val="19"/>
        </w:rPr>
        <w:t>»</w:t>
      </w:r>
      <w:r w:rsidRPr="009178FF">
        <w:rPr>
          <w:i/>
          <w:sz w:val="19"/>
        </w:rPr>
        <w:t>Durante el término otorgado para subsanar las ofertas, los proponentes no podrán acreditar circunstancias ocurridas con posterioridad al cierre del proceso</w:t>
      </w:r>
      <w:r w:rsidRPr="009178FF">
        <w:rPr>
          <w:sz w:val="19"/>
        </w:rPr>
        <w:t>» (cursiva fuera de</w:t>
      </w:r>
      <w:r w:rsidRPr="009178FF">
        <w:rPr>
          <w:spacing w:val="-17"/>
          <w:sz w:val="19"/>
        </w:rPr>
        <w:t xml:space="preserve"> </w:t>
      </w:r>
      <w:r w:rsidRPr="009178FF">
        <w:rPr>
          <w:sz w:val="19"/>
        </w:rPr>
        <w:t>texto).</w:t>
      </w:r>
    </w:p>
    <w:p w:rsidRPr="009178FF" w:rsidR="00A8596A" w:rsidP="00A8596A" w:rsidRDefault="00A8596A" w14:paraId="7F9E1D0D" w14:textId="692D82E9">
      <w:pPr>
        <w:ind w:left="300" w:right="449" w:firstLine="707"/>
        <w:jc w:val="both"/>
        <w:rPr>
          <w:sz w:val="19"/>
        </w:rPr>
      </w:pPr>
    </w:p>
    <w:p w:rsidRPr="00A8596A" w:rsidR="00A8596A" w:rsidRDefault="00A8596A" w14:paraId="48EE727E" w14:textId="05871874">
      <w:pPr>
        <w:pStyle w:val="Textonotapie"/>
        <w:rPr>
          <w:lang w:val="es-MX"/>
        </w:rPr>
      </w:pPr>
    </w:p>
  </w:footnote>
  <w:footnote w:id="12">
    <w:p w:rsidRPr="009178FF" w:rsidR="00A8596A" w:rsidP="00A8596A" w:rsidRDefault="00A8596A" w14:paraId="3D3FCBF7" w14:textId="77777777">
      <w:pPr>
        <w:spacing w:before="1"/>
        <w:ind w:left="300" w:right="450" w:firstLine="707"/>
        <w:jc w:val="both"/>
        <w:rPr>
          <w:sz w:val="19"/>
        </w:rPr>
      </w:pPr>
      <w:r>
        <w:rPr>
          <w:rStyle w:val="Refdenotaalpie"/>
        </w:rPr>
        <w:footnoteRef/>
      </w:r>
      <w:r>
        <w:t xml:space="preserve"> </w:t>
      </w:r>
      <w:r w:rsidRPr="009178FF">
        <w:rPr>
          <w:sz w:val="19"/>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9178FF">
        <w:rPr>
          <w:i/>
          <w:sz w:val="19"/>
        </w:rPr>
        <w:t xml:space="preserve">ni que se acrediten circunstancias ocurridas con posterioridad al cierre del proceso» </w:t>
      </w:r>
      <w:r w:rsidRPr="009178FF">
        <w:rPr>
          <w:sz w:val="19"/>
        </w:rPr>
        <w:t>(cursiva fuera de</w:t>
      </w:r>
      <w:r w:rsidRPr="009178FF">
        <w:rPr>
          <w:spacing w:val="-16"/>
          <w:sz w:val="19"/>
        </w:rPr>
        <w:t xml:space="preserve"> </w:t>
      </w:r>
      <w:r w:rsidRPr="009178FF">
        <w:rPr>
          <w:sz w:val="19"/>
        </w:rPr>
        <w:t>texto).</w:t>
      </w:r>
    </w:p>
    <w:p w:rsidRPr="00A8596A" w:rsidR="00A8596A" w:rsidRDefault="00A8596A" w14:paraId="4849BE36" w14:textId="03782BFF">
      <w:pPr>
        <w:pStyle w:val="Textonotapie"/>
      </w:pPr>
    </w:p>
  </w:footnote>
  <w:footnote w:id="13">
    <w:p w:rsidRPr="009178FF" w:rsidR="00A8596A" w:rsidP="00A8596A" w:rsidRDefault="00A8596A" w14:paraId="58CE024B" w14:textId="77777777">
      <w:pPr>
        <w:ind w:left="300" w:right="449" w:firstLine="707"/>
        <w:jc w:val="both"/>
        <w:rPr>
          <w:sz w:val="19"/>
        </w:rPr>
      </w:pPr>
      <w:r>
        <w:rPr>
          <w:rStyle w:val="Refdenotaalpie"/>
        </w:rPr>
        <w:footnoteRef/>
      </w:r>
      <w:r>
        <w:t xml:space="preserve"> </w:t>
      </w:r>
      <w:r w:rsidRPr="009178FF">
        <w:rPr>
          <w:sz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w:t>
      </w:r>
      <w:r w:rsidRPr="009178FF">
        <w:rPr>
          <w:spacing w:val="-9"/>
          <w:sz w:val="19"/>
        </w:rPr>
        <w:t xml:space="preserve"> </w:t>
      </w:r>
      <w:r w:rsidRPr="009178FF">
        <w:rPr>
          <w:sz w:val="19"/>
        </w:rPr>
        <w:t>Cetina).</w:t>
      </w:r>
    </w:p>
    <w:p w:rsidRPr="00A8596A" w:rsidR="00A8596A" w:rsidRDefault="00A8596A" w14:paraId="079E78D1" w14:textId="06633881">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092B61" w:rsidRDefault="00231E96" w14:paraId="38C7450A" w14:textId="77777777">
    <w:pPr>
      <w:pStyle w:val="Textoindependiente"/>
      <w:spacing w:line="14" w:lineRule="auto"/>
      <w:rPr>
        <w:sz w:val="20"/>
      </w:rPr>
    </w:pPr>
    <w:r>
      <w:rPr>
        <w:noProof/>
        <w:lang w:val="en-US"/>
      </w:rPr>
      <w:drawing>
        <wp:anchor distT="0" distB="0" distL="0" distR="0" simplePos="0" relativeHeight="251656704" behindDoc="1" locked="0" layoutInCell="1" allowOverlap="1" wp14:anchorId="16CF9C3A" wp14:editId="35A91531">
          <wp:simplePos x="0" y="0"/>
          <wp:positionH relativeFrom="page">
            <wp:posOffset>5530642</wp:posOffset>
          </wp:positionH>
          <wp:positionV relativeFrom="page">
            <wp:posOffset>486269</wp:posOffset>
          </wp:positionV>
          <wp:extent cx="1128151" cy="436539"/>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r w:rsidR="17E92DB8">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043BB"/>
    <w:multiLevelType w:val="multilevel"/>
    <w:tmpl w:val="9C9A30F4"/>
    <w:lvl w:ilvl="0">
      <w:start w:val="1"/>
      <w:numFmt w:val="decimal"/>
      <w:lvlText w:val="%1."/>
      <w:lvlJc w:val="left"/>
      <w:pPr>
        <w:ind w:left="585" w:hanging="285"/>
        <w:jc w:val="right"/>
      </w:pPr>
      <w:rPr>
        <w:rFonts w:hint="default" w:ascii="Arial" w:hAnsi="Arial" w:eastAsia="Arial" w:cs="Arial"/>
        <w:b/>
        <w:bCs/>
        <w:color w:val="4E4D4D"/>
        <w:spacing w:val="-21"/>
        <w:w w:val="100"/>
        <w:sz w:val="22"/>
        <w:szCs w:val="22"/>
        <w:lang w:val="es-ES" w:eastAsia="en-US" w:bidi="ar-SA"/>
      </w:rPr>
    </w:lvl>
    <w:lvl w:ilvl="1">
      <w:start w:val="1"/>
      <w:numFmt w:val="decimal"/>
      <w:lvlText w:val="%1.%2."/>
      <w:lvlJc w:val="left"/>
      <w:pPr>
        <w:ind w:left="300" w:hanging="470"/>
      </w:pPr>
      <w:rPr>
        <w:rFonts w:hint="default" w:ascii="Arial" w:hAnsi="Arial" w:eastAsia="Arial" w:cs="Arial"/>
        <w:b/>
        <w:bCs/>
        <w:color w:val="4E4D4D"/>
        <w:spacing w:val="-19"/>
        <w:w w:val="100"/>
        <w:sz w:val="22"/>
        <w:szCs w:val="22"/>
        <w:lang w:val="es-ES" w:eastAsia="en-US" w:bidi="ar-SA"/>
      </w:rPr>
    </w:lvl>
    <w:lvl w:ilvl="2">
      <w:start w:val="1"/>
      <w:numFmt w:val="lowerRoman"/>
      <w:lvlText w:val="%3)"/>
      <w:lvlJc w:val="left"/>
      <w:pPr>
        <w:ind w:left="300" w:hanging="198"/>
      </w:pPr>
      <w:rPr>
        <w:rFonts w:hint="default" w:ascii="Arial" w:hAnsi="Arial" w:eastAsia="Arial" w:cs="Arial"/>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1" w15:restartNumberingAfterBreak="0">
    <w:nsid w:val="7E556759"/>
    <w:multiLevelType w:val="hybridMultilevel"/>
    <w:tmpl w:val="FC06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2B61"/>
    <w:rsid w:val="00092B61"/>
    <w:rsid w:val="00231E96"/>
    <w:rsid w:val="002E6722"/>
    <w:rsid w:val="007A25E6"/>
    <w:rsid w:val="008EDC3F"/>
    <w:rsid w:val="009178FF"/>
    <w:rsid w:val="00966CE1"/>
    <w:rsid w:val="009E4251"/>
    <w:rsid w:val="00A67139"/>
    <w:rsid w:val="00A8596A"/>
    <w:rsid w:val="00B649B4"/>
    <w:rsid w:val="00D20ABC"/>
    <w:rsid w:val="086FBB2A"/>
    <w:rsid w:val="08B1511C"/>
    <w:rsid w:val="17E92DB8"/>
    <w:rsid w:val="1C3F0FED"/>
    <w:rsid w:val="1FFC518A"/>
    <w:rsid w:val="2029E985"/>
    <w:rsid w:val="2C988A7C"/>
    <w:rsid w:val="31031597"/>
    <w:rsid w:val="33B09E9B"/>
    <w:rsid w:val="33D7D66D"/>
    <w:rsid w:val="372845AC"/>
    <w:rsid w:val="3ADE5363"/>
    <w:rsid w:val="3DE61012"/>
    <w:rsid w:val="411D0972"/>
    <w:rsid w:val="4436DD6D"/>
    <w:rsid w:val="49B63978"/>
    <w:rsid w:val="4D61F858"/>
    <w:rsid w:val="4EB2BD9E"/>
    <w:rsid w:val="4F71B68A"/>
    <w:rsid w:val="4FDAE88F"/>
    <w:rsid w:val="560E8D08"/>
    <w:rsid w:val="576255FA"/>
    <w:rsid w:val="5AD01634"/>
    <w:rsid w:val="671D13A9"/>
    <w:rsid w:val="6B86A25F"/>
    <w:rsid w:val="6C017BE7"/>
    <w:rsid w:val="77EEA9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5EE5E1"/>
  <w15:docId w15:val="{0481BA86-4F00-4C5E-BEDC-2AD8123FBB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pPr>
  </w:style>
  <w:style w:type="paragraph" w:styleId="TableParagraph" w:customStyle="1">
    <w:name w:val="Table Paragraph"/>
    <w:basedOn w:val="Normal"/>
    <w:uiPriority w:val="1"/>
    <w:qFormat/>
    <w:pPr>
      <w:ind w:left="107"/>
    </w:pPr>
  </w:style>
  <w:style w:type="paragraph" w:styleId="Textonotapie">
    <w:name w:val="footnote text"/>
    <w:basedOn w:val="Normal"/>
    <w:link w:val="TextonotapieCar"/>
    <w:uiPriority w:val="99"/>
    <w:semiHidden/>
    <w:unhideWhenUsed/>
    <w:rsid w:val="009178FF"/>
    <w:rPr>
      <w:sz w:val="20"/>
      <w:szCs w:val="20"/>
    </w:rPr>
  </w:style>
  <w:style w:type="character" w:styleId="TextonotapieCar" w:customStyle="1">
    <w:name w:val="Texto nota pie Car"/>
    <w:basedOn w:val="Fuentedeprrafopredeter"/>
    <w:link w:val="Textonotapie"/>
    <w:uiPriority w:val="99"/>
    <w:semiHidden/>
    <w:rsid w:val="009178FF"/>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17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ce842f72254e41f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25678&amp;5.p.4" TargetMode="External"/><Relationship Id="rId2" Type="http://schemas.openxmlformats.org/officeDocument/2006/relationships/hyperlink" Target="https://www.alcaldiabogota.gov.co/sisjur/normas/Norma1.jsp?i=25678&amp;5.p.3" TargetMode="External"/><Relationship Id="rId1" Type="http://schemas.openxmlformats.org/officeDocument/2006/relationships/hyperlink" Target="https://www.alcaldiabogota.gov.co/sisjur/normas/Norma1.jsp?i=25678&amp;5.p.1" TargetMode="External"/><Relationship Id="rId4" Type="http://schemas.openxmlformats.org/officeDocument/2006/relationships/hyperlink" Target="https://www.alcaldiabogota.gov.co/sisjur/normas/Norma1.jsp?i=25678&amp;5.p.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1F20-88ED-4730-93ED-C8296CA5005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F715D59-0809-4FBC-B48B-4910F49CE64D}">
  <ds:schemaRefs>
    <ds:schemaRef ds:uri="http://schemas.microsoft.com/sharepoint/v3/contenttype/forms"/>
  </ds:schemaRefs>
</ds:datastoreItem>
</file>

<file path=customXml/itemProps3.xml><?xml version="1.0" encoding="utf-8"?>
<ds:datastoreItem xmlns:ds="http://schemas.openxmlformats.org/officeDocument/2006/customXml" ds:itemID="{0CD38E6F-B29D-4F65-AFDA-102E210E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A9D5E-AEEC-432C-8DF5-B09F436ECA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2020-03-04T23:30:00.0000000Z</dcterms:created>
  <dcterms:modified xsi:type="dcterms:W3CDTF">2020-07-15T21:33:00.0499044Z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vt:lpwstr>
  </property>
  <property fmtid="{D5CDD505-2E9C-101B-9397-08002B2CF9AE}" pid="4" name="LastSaved">
    <vt:filetime>2020-03-04T00:00:00Z</vt:filetime>
  </property>
  <property fmtid="{D5CDD505-2E9C-101B-9397-08002B2CF9AE}" pid="5" name="ContentTypeId">
    <vt:lpwstr>0x010100F2E0F32964D9B84EA054B84E5D4157A0</vt:lpwstr>
  </property>
</Properties>
</file>