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248F2" w:rsidR="00B3325B" w:rsidP="00DE299E" w:rsidRDefault="00B3325B" w14:paraId="320EB8A2" w14:textId="77777777">
      <w:pPr>
        <w:pStyle w:val="Textoindependiente"/>
        <w:rPr>
          <w:rFonts w:ascii="Times New Roman"/>
          <w:sz w:val="20"/>
        </w:rPr>
      </w:pPr>
    </w:p>
    <w:p w:rsidR="0037778A" w:rsidP="34BC76A6" w:rsidRDefault="00DE299E" w14:paraId="793DE75C" w14:textId="757071E1">
      <w:pPr>
        <w:pStyle w:val="Normal"/>
        <w:ind w:left="300"/>
        <w:jc w:val="both"/>
        <w:rPr>
          <w:b w:val="1"/>
          <w:bCs w:val="1"/>
        </w:rPr>
      </w:pPr>
      <w:r w:rsidRPr="34BC76A6" w:rsidR="00DE299E">
        <w:rPr>
          <w:b w:val="1"/>
          <w:bCs w:val="1"/>
        </w:rPr>
        <w:t xml:space="preserve">SUBSANABILIDAD – </w:t>
      </w:r>
      <w:r w:rsidRPr="34BC76A6" w:rsidR="36C95405">
        <w:rPr>
          <w:b w:val="1"/>
          <w:bCs w:val="1"/>
        </w:rPr>
        <w:t xml:space="preserve">Constitución Política – Régimen jurídico anterior </w:t>
      </w:r>
    </w:p>
    <w:p w:rsidR="0037778A" w:rsidP="0037778A" w:rsidRDefault="0037778A" w14:paraId="15D2E74D" w14:textId="77777777">
      <w:pPr>
        <w:ind w:left="300"/>
        <w:jc w:val="both"/>
        <w:rPr>
          <w:b/>
          <w:bCs/>
        </w:rPr>
      </w:pPr>
    </w:p>
    <w:p w:rsidRPr="0037778A" w:rsidR="00DE299E" w:rsidP="0037778A" w:rsidRDefault="00DE299E" w14:paraId="7FA0560B" w14:textId="56A4542B">
      <w:pPr>
        <w:ind w:left="300"/>
        <w:jc w:val="both"/>
        <w:rPr>
          <w:b/>
          <w:bCs/>
        </w:rPr>
      </w:pPr>
      <w:r w:rsidRPr="000248F2">
        <w:rPr>
          <w:sz w:val="20"/>
          <w:szCs w:val="20"/>
        </w:rPr>
        <w:t xml:space="preserve">En un primer momento, antes de la entrada en vigencia de la Constitución Política de 1991, el régimen jurídico de la </w:t>
      </w:r>
      <w:proofErr w:type="spellStart"/>
      <w:r w:rsidRPr="000248F2">
        <w:rPr>
          <w:sz w:val="20"/>
          <w:szCs w:val="20"/>
        </w:rPr>
        <w:t>subsanabilidad</w:t>
      </w:r>
      <w:proofErr w:type="spellEnd"/>
      <w:r w:rsidRPr="000248F2">
        <w:rPr>
          <w:sz w:val="20"/>
          <w:szCs w:val="20"/>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rsidRPr="000248F2" w:rsidR="00DE299E" w:rsidP="0037778A" w:rsidRDefault="00DE299E" w14:paraId="4511DA4F" w14:textId="77777777">
      <w:pPr>
        <w:jc w:val="both"/>
        <w:rPr>
          <w:sz w:val="20"/>
          <w:szCs w:val="20"/>
        </w:rPr>
      </w:pPr>
    </w:p>
    <w:p w:rsidRPr="000248F2" w:rsidR="00DE299E" w:rsidP="34BC76A6" w:rsidRDefault="00DE299E" w14:paraId="58F0DB58" w14:textId="207A0895">
      <w:pPr>
        <w:pStyle w:val="Normal"/>
        <w:ind w:left="300"/>
        <w:jc w:val="both"/>
        <w:rPr>
          <w:b w:val="1"/>
          <w:bCs w:val="1"/>
        </w:rPr>
      </w:pPr>
      <w:r w:rsidRPr="34BC76A6" w:rsidR="00DE299E">
        <w:rPr>
          <w:b w:val="1"/>
          <w:bCs w:val="1"/>
        </w:rPr>
        <w:t xml:space="preserve">SUBSANABILIDAD – Ley 80 de 1993 </w:t>
      </w:r>
      <w:r w:rsidRPr="34BC76A6" w:rsidR="300306DA">
        <w:rPr>
          <w:b w:val="1"/>
          <w:bCs w:val="1"/>
        </w:rPr>
        <w:t>–</w:t>
      </w:r>
      <w:r w:rsidRPr="34BC76A6" w:rsidR="0CA1DCC5">
        <w:rPr>
          <w:b w:val="1"/>
          <w:bCs w:val="1"/>
        </w:rPr>
        <w:t xml:space="preserve"> Documentos – </w:t>
      </w:r>
      <w:r w:rsidRPr="34BC76A6" w:rsidR="67B5CDC8">
        <w:rPr>
          <w:b w:val="1"/>
          <w:bCs w:val="1"/>
        </w:rPr>
        <w:t xml:space="preserve">No </w:t>
      </w:r>
      <w:r w:rsidRPr="34BC76A6" w:rsidR="0CA1DCC5">
        <w:rPr>
          <w:b w:val="1"/>
          <w:bCs w:val="1"/>
        </w:rPr>
        <w:t>“Necesarios</w:t>
      </w:r>
      <w:r w:rsidRPr="34BC76A6" w:rsidR="0CA1DCC5">
        <w:rPr>
          <w:b w:val="1"/>
          <w:bCs w:val="1"/>
        </w:rPr>
        <w:t xml:space="preserve"> para la comparación de propuestas”</w:t>
      </w:r>
    </w:p>
    <w:p w:rsidRPr="000248F2" w:rsidR="00DE299E" w:rsidP="0037778A" w:rsidRDefault="00DE299E" w14:paraId="2B1BA639" w14:textId="77777777">
      <w:pPr>
        <w:jc w:val="both"/>
        <w:rPr>
          <w:b/>
          <w:bCs/>
          <w:sz w:val="20"/>
          <w:szCs w:val="20"/>
        </w:rPr>
      </w:pPr>
    </w:p>
    <w:p w:rsidR="003F6030" w:rsidP="0037778A" w:rsidRDefault="003F6030" w14:paraId="02D42F43" w14:textId="6FCD10F4">
      <w:pPr>
        <w:ind w:left="300"/>
        <w:jc w:val="both"/>
        <w:rPr>
          <w:sz w:val="20"/>
          <w:szCs w:val="20"/>
        </w:rPr>
      </w:pPr>
      <w:r w:rsidRPr="34BC76A6" w:rsidR="00DE299E">
        <w:rPr>
          <w:sz w:val="20"/>
          <w:szCs w:val="20"/>
        </w:rPr>
        <w:t xml:space="preserve">En un segundo momento 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 </w:t>
      </w:r>
      <w:r w:rsidRPr="34BC76A6" w:rsidR="000248F2">
        <w:rPr>
          <w:sz w:val="20"/>
          <w:szCs w:val="20"/>
        </w:rPr>
        <w:t xml:space="preserve">[…] </w:t>
      </w:r>
      <w:r w:rsidRPr="34BC76A6" w:rsidR="00DE299E">
        <w:rPr>
          <w:sz w:val="20"/>
          <w:szCs w:val="20"/>
        </w:rPr>
        <w:t xml:space="preserve">Bajo el amparo de esta norma, el régimen jurídico de </w:t>
      </w:r>
      <w:proofErr w:type="spellStart"/>
      <w:r w:rsidRPr="34BC76A6" w:rsidR="00DE299E">
        <w:rPr>
          <w:sz w:val="20"/>
          <w:szCs w:val="20"/>
        </w:rPr>
        <w:t>subsanabilidad</w:t>
      </w:r>
      <w:proofErr w:type="spellEnd"/>
      <w:r w:rsidRPr="34BC76A6" w:rsidR="00DE299E">
        <w:rPr>
          <w:sz w:val="20"/>
          <w:szCs w:val="20"/>
        </w:rPr>
        <w:t xml:space="preserve"> de las ofertas sufre un cambio fundamental, pues ya no era posible rechazar las ofertas por falta de requisitos o documentos que no fueran “necesarios para la comparación de propuestas”. </w:t>
      </w:r>
      <w:r w:rsidRPr="34BC76A6" w:rsidR="000248F2">
        <w:rPr>
          <w:sz w:val="20"/>
          <w:szCs w:val="20"/>
        </w:rPr>
        <w:t>[…]</w:t>
      </w:r>
      <w:r w:rsidRPr="34BC76A6" w:rsidR="00DE299E">
        <w:rPr>
          <w:sz w:val="20"/>
          <w:szCs w:val="20"/>
        </w:rPr>
        <w:t xml:space="preserve"> la ley introdujo un primer criterio jurídico, aunque indeterminado. </w:t>
      </w:r>
    </w:p>
    <w:p w:rsidRPr="000248F2" w:rsidR="00DE299E" w:rsidP="0037778A" w:rsidRDefault="000248F2" w14:paraId="5EC497B8" w14:textId="1EFA4921">
      <w:pPr>
        <w:ind w:left="300"/>
        <w:jc w:val="both"/>
        <w:rPr>
          <w:sz w:val="20"/>
          <w:szCs w:val="20"/>
        </w:rPr>
      </w:pPr>
      <w:r w:rsidRPr="000248F2">
        <w:rPr>
          <w:sz w:val="20"/>
          <w:szCs w:val="20"/>
        </w:rPr>
        <w:t>[…]</w:t>
      </w:r>
      <w:r w:rsidRPr="000248F2" w:rsidR="00DE299E">
        <w:rPr>
          <w:sz w:val="20"/>
          <w:szCs w:val="20"/>
        </w:rPr>
        <w:t xml:space="preserve"> Esta norma debía leerse en conjunto con otras de la Ley 80 de 1993, particularmente con el artículo 30.71, que ordena a la entidad señalar un plazo razonable para evaluar las propuestas y para pedir a los proponentes, de ser necesario, que aclaren o expliquen aspectos que ofrezcan dudas y resulten indispensables para llevar a cabo la evaluación</w:t>
      </w:r>
    </w:p>
    <w:p w:rsidRPr="000248F2" w:rsidR="00DE299E" w:rsidP="0037778A" w:rsidRDefault="00DE299E" w14:paraId="36FD64D5" w14:textId="77777777">
      <w:pPr>
        <w:jc w:val="both"/>
        <w:rPr>
          <w:sz w:val="20"/>
          <w:szCs w:val="20"/>
        </w:rPr>
      </w:pPr>
    </w:p>
    <w:p w:rsidRPr="000248F2" w:rsidR="00DE299E" w:rsidP="34BC76A6" w:rsidRDefault="00DE299E" w14:paraId="286BBF39" w14:textId="4DB83211">
      <w:pPr>
        <w:pStyle w:val="Normal"/>
        <w:ind w:left="300"/>
        <w:jc w:val="both"/>
        <w:rPr>
          <w:b w:val="1"/>
          <w:bCs w:val="1"/>
        </w:rPr>
      </w:pPr>
      <w:r w:rsidRPr="34BC76A6" w:rsidR="00DE299E">
        <w:rPr>
          <w:b w:val="1"/>
          <w:bCs w:val="1"/>
        </w:rPr>
        <w:t>SUBSANABILIDAD – Ley 1150 de 2007</w:t>
      </w:r>
      <w:r w:rsidRPr="34BC76A6" w:rsidR="4A121599">
        <w:rPr>
          <w:b w:val="1"/>
          <w:bCs w:val="1"/>
        </w:rPr>
        <w:t xml:space="preserve"> –</w:t>
      </w:r>
      <w:r w:rsidRPr="34BC76A6" w:rsidR="2A90DD15">
        <w:rPr>
          <w:b w:val="1"/>
          <w:bCs w:val="1"/>
        </w:rPr>
        <w:t xml:space="preserve"> </w:t>
      </w:r>
      <w:r w:rsidRPr="34BC76A6" w:rsidR="2A90DD15">
        <w:rPr>
          <w:b w:val="1"/>
          <w:bCs w:val="1"/>
        </w:rPr>
        <w:t>Documentos</w:t>
      </w:r>
      <w:r w:rsidRPr="34BC76A6" w:rsidR="4A121599">
        <w:rPr>
          <w:b w:val="1"/>
          <w:bCs w:val="1"/>
        </w:rPr>
        <w:t xml:space="preserve"> </w:t>
      </w:r>
      <w:r w:rsidRPr="34BC76A6" w:rsidR="15EB1ADD">
        <w:rPr>
          <w:b w:val="1"/>
          <w:bCs w:val="1"/>
        </w:rPr>
        <w:t>–</w:t>
      </w:r>
      <w:r w:rsidRPr="34BC76A6" w:rsidR="15EB1ADD">
        <w:rPr>
          <w:b w:val="1"/>
          <w:bCs w:val="1"/>
        </w:rPr>
        <w:t xml:space="preserve"> No </w:t>
      </w:r>
      <w:r w:rsidRPr="34BC76A6" w:rsidR="4A121599">
        <w:rPr>
          <w:b w:val="1"/>
          <w:bCs w:val="1"/>
        </w:rPr>
        <w:t>“</w:t>
      </w:r>
      <w:r w:rsidRPr="34BC76A6" w:rsidR="55680159">
        <w:rPr>
          <w:b w:val="1"/>
          <w:bCs w:val="1"/>
        </w:rPr>
        <w:t>Necesarios para la comparación de propuestas”</w:t>
      </w:r>
      <w:r w:rsidRPr="34BC76A6" w:rsidR="40BC7055">
        <w:rPr>
          <w:b w:val="1"/>
          <w:bCs w:val="1"/>
        </w:rPr>
        <w:t xml:space="preserve"> – No asignación de puntaje</w:t>
      </w:r>
    </w:p>
    <w:p w:rsidRPr="000248F2" w:rsidR="00DE299E" w:rsidP="34BC76A6" w:rsidRDefault="00DE299E" w14:paraId="321203F1" w14:textId="4A8C3601">
      <w:pPr>
        <w:pStyle w:val="Normal"/>
        <w:ind w:left="300"/>
        <w:jc w:val="both"/>
        <w:rPr>
          <w:b w:val="1"/>
          <w:bCs w:val="1"/>
        </w:rPr>
      </w:pPr>
    </w:p>
    <w:p w:rsidRPr="000248F2" w:rsidR="00DE299E" w:rsidP="0037778A" w:rsidRDefault="00DE299E" w14:paraId="782DEFBE" w14:textId="77777777">
      <w:pPr>
        <w:jc w:val="both"/>
        <w:rPr>
          <w:b/>
          <w:bCs/>
          <w:sz w:val="20"/>
          <w:szCs w:val="20"/>
        </w:rPr>
      </w:pPr>
    </w:p>
    <w:p w:rsidRPr="000248F2" w:rsidR="0037778A" w:rsidP="0037778A" w:rsidRDefault="0037778A" w14:paraId="3C5332FE" w14:textId="1C870AD7">
      <w:pPr>
        <w:ind w:left="300"/>
        <w:jc w:val="both"/>
        <w:rPr>
          <w:sz w:val="20"/>
          <w:szCs w:val="20"/>
        </w:rPr>
      </w:pPr>
      <w:r w:rsidRPr="34BC76A6" w:rsidR="00DE299E">
        <w:rPr>
          <w:sz w:val="20"/>
          <w:szCs w:val="20"/>
        </w:rPr>
        <w:t xml:space="preserve">En un tercer momento, y siguiendo la línea trazada por la Ley 80 de 1993, el legislador expidió la Ley 1150 de 2007 </w:t>
      </w:r>
      <w:r w:rsidRPr="34BC76A6" w:rsidR="000248F2">
        <w:rPr>
          <w:sz w:val="20"/>
          <w:szCs w:val="20"/>
        </w:rPr>
        <w:t xml:space="preserve">[…] </w:t>
      </w:r>
      <w:r w:rsidRPr="34BC76A6" w:rsidR="00DE299E">
        <w:rPr>
          <w:sz w:val="20"/>
          <w:szCs w:val="20"/>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rsidRPr="000248F2" w:rsidR="00DE299E" w:rsidP="0037778A" w:rsidRDefault="000248F2" w14:paraId="155338E6" w14:textId="62F25DF5">
      <w:pPr>
        <w:ind w:left="300"/>
        <w:jc w:val="both"/>
        <w:rPr>
          <w:sz w:val="20"/>
          <w:szCs w:val="20"/>
        </w:rPr>
      </w:pPr>
      <w:r w:rsidRPr="34BC76A6" w:rsidR="000248F2">
        <w:rPr>
          <w:sz w:val="20"/>
          <w:szCs w:val="20"/>
        </w:rPr>
        <w:t>[…]</w:t>
      </w:r>
      <w:r w:rsidRPr="34BC76A6" w:rsidR="00DE299E">
        <w:rPr>
          <w:sz w:val="20"/>
          <w:szCs w:val="20"/>
        </w:rPr>
        <w:t xml:space="preserve"> </w:t>
      </w:r>
      <w:r w:rsidRPr="34BC76A6" w:rsidR="1C1C61E8">
        <w:rPr>
          <w:sz w:val="20"/>
          <w:szCs w:val="20"/>
        </w:rPr>
        <w:t>L</w:t>
      </w:r>
      <w:r w:rsidRPr="34BC76A6" w:rsidR="00DE299E">
        <w:rPr>
          <w:sz w:val="20"/>
          <w:szCs w:val="20"/>
        </w:rPr>
        <w:t>a Administración contó con un criterio más claro y determinado para saber si la ausencia de documentos o requisitos de la oferta conlleva a su rechazo o al requerimiento del proponente para que lo subsane</w:t>
      </w:r>
    </w:p>
    <w:p w:rsidRPr="000248F2" w:rsidR="00DE299E" w:rsidP="0037778A" w:rsidRDefault="00DE299E" w14:paraId="34BA802F" w14:textId="77777777">
      <w:pPr>
        <w:jc w:val="both"/>
        <w:rPr>
          <w:sz w:val="20"/>
          <w:szCs w:val="20"/>
        </w:rPr>
      </w:pPr>
    </w:p>
    <w:p w:rsidRPr="000248F2" w:rsidR="00DE299E" w:rsidP="34BC76A6" w:rsidRDefault="00DE299E" w14:paraId="71D4607D" w14:textId="3BF835DB">
      <w:pPr>
        <w:pStyle w:val="Normal"/>
        <w:ind w:left="300"/>
        <w:jc w:val="both"/>
        <w:rPr>
          <w:b w:val="1"/>
          <w:bCs w:val="1"/>
        </w:rPr>
      </w:pPr>
      <w:r w:rsidRPr="34BC76A6" w:rsidR="00DE299E">
        <w:rPr>
          <w:b w:val="1"/>
          <w:bCs w:val="1"/>
        </w:rPr>
        <w:t xml:space="preserve">SUBSANABILIDAD – Colombia Compra Eficiente </w:t>
      </w:r>
      <w:r w:rsidRPr="34BC76A6" w:rsidR="3CEB6C34">
        <w:rPr>
          <w:b w:val="1"/>
          <w:bCs w:val="1"/>
        </w:rPr>
        <w:t>– Reiteración – Criterio – Ley 1150 de 2007</w:t>
      </w:r>
    </w:p>
    <w:p w:rsidRPr="000248F2" w:rsidR="00DE299E" w:rsidP="0037778A" w:rsidRDefault="00DE299E" w14:paraId="7B869E4E" w14:textId="77777777">
      <w:pPr>
        <w:ind w:left="300"/>
        <w:jc w:val="both"/>
        <w:rPr>
          <w:b/>
          <w:bCs/>
        </w:rPr>
      </w:pPr>
    </w:p>
    <w:p w:rsidRPr="000248F2" w:rsidR="00DE299E" w:rsidP="0037778A" w:rsidRDefault="00DE299E" w14:paraId="76742320" w14:textId="77777777">
      <w:pPr>
        <w:ind w:left="300"/>
        <w:jc w:val="both"/>
        <w:rPr>
          <w:sz w:val="20"/>
          <w:szCs w:val="20"/>
        </w:rPr>
      </w:pPr>
      <w:r w:rsidRPr="000248F2">
        <w:rPr>
          <w:sz w:val="20"/>
          <w:szCs w:val="20"/>
        </w:rPr>
        <w:t xml:space="preserve">Esa interpretación fue compartida por la Agencia Nacional de Contratación Pública – Colombia Compra Eficiente –, pues en la Circular Externa Única se precisó </w:t>
      </w:r>
      <w:proofErr w:type="gramStart"/>
      <w:r w:rsidRPr="000248F2">
        <w:rPr>
          <w:sz w:val="20"/>
          <w:szCs w:val="20"/>
        </w:rPr>
        <w:t>que</w:t>
      </w:r>
      <w:proofErr w:type="gramEnd"/>
      <w:r w:rsidRPr="000248F2">
        <w:rPr>
          <w:sz w:val="20"/>
          <w:szCs w:val="20"/>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0248F2" w:rsidR="00DE299E" w:rsidP="0037778A" w:rsidRDefault="00DE299E" w14:paraId="60746827" w14:textId="77777777">
      <w:pPr>
        <w:jc w:val="both"/>
        <w:rPr>
          <w:sz w:val="20"/>
          <w:szCs w:val="20"/>
        </w:rPr>
      </w:pPr>
    </w:p>
    <w:p w:rsidRPr="000248F2" w:rsidR="00DE299E" w:rsidP="34BC76A6" w:rsidRDefault="00DE299E" w14:paraId="6CCC7ECD" w14:textId="14E1EA66">
      <w:pPr>
        <w:pStyle w:val="Normal"/>
        <w:ind w:left="300"/>
        <w:jc w:val="both"/>
        <w:rPr>
          <w:b w:val="1"/>
          <w:bCs w:val="1"/>
        </w:rPr>
      </w:pPr>
      <w:r w:rsidRPr="34BC76A6" w:rsidR="00DE299E">
        <w:rPr>
          <w:b w:val="1"/>
          <w:bCs w:val="1"/>
        </w:rPr>
        <w:t>SUBSANABILIDAD – Ley 1882 de 2018</w:t>
      </w:r>
      <w:r w:rsidRPr="34BC76A6" w:rsidR="58C94447">
        <w:rPr>
          <w:b w:val="1"/>
          <w:bCs w:val="1"/>
        </w:rPr>
        <w:t xml:space="preserve"> – Modificación – Oportunidad </w:t>
      </w:r>
    </w:p>
    <w:p w:rsidRPr="000248F2" w:rsidR="00DE299E" w:rsidP="0037778A" w:rsidRDefault="00DE299E" w14:paraId="7C29681E" w14:textId="77777777">
      <w:pPr>
        <w:ind w:left="300"/>
        <w:jc w:val="both"/>
        <w:rPr>
          <w:b/>
          <w:bCs/>
        </w:rPr>
      </w:pPr>
    </w:p>
    <w:p w:rsidRPr="000248F2" w:rsidR="009D2F20" w:rsidP="34BC76A6" w:rsidRDefault="009D2F20" w14:paraId="6A7CFE78" w14:textId="6FEFF480">
      <w:pPr>
        <w:pStyle w:val="Normal"/>
        <w:ind w:left="300"/>
        <w:jc w:val="both"/>
        <w:rPr>
          <w:sz w:val="20"/>
          <w:szCs w:val="20"/>
        </w:rPr>
      </w:pPr>
      <w:r w:rsidRPr="34BC76A6" w:rsidR="76105720">
        <w:rPr>
          <w:sz w:val="20"/>
          <w:szCs w:val="20"/>
        </w:rPr>
        <w:t>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rsidRPr="000248F2" w:rsidR="00DE299E" w:rsidP="34BC76A6" w:rsidRDefault="00DE299E" w14:paraId="0EB565D5" w14:textId="13D6FF9F">
      <w:pPr>
        <w:pStyle w:val="Normal"/>
        <w:ind w:left="300"/>
        <w:jc w:val="both"/>
      </w:pPr>
    </w:p>
    <w:p w:rsidRPr="000248F2" w:rsidR="00DE299E" w:rsidP="0037778A" w:rsidRDefault="00DE299E" w14:paraId="437B93B0" w14:textId="77777777">
      <w:pPr>
        <w:jc w:val="both"/>
        <w:rPr>
          <w:sz w:val="20"/>
          <w:szCs w:val="20"/>
        </w:rPr>
      </w:pPr>
    </w:p>
    <w:p w:rsidRPr="000248F2" w:rsidR="00DE299E" w:rsidP="34BC76A6" w:rsidRDefault="00DE299E" w14:paraId="76DD9383" w14:textId="248C540B">
      <w:pPr>
        <w:pStyle w:val="Normal"/>
        <w:ind w:left="300"/>
        <w:jc w:val="both"/>
        <w:rPr>
          <w:b w:val="1"/>
          <w:bCs w:val="1"/>
        </w:rPr>
      </w:pPr>
      <w:r w:rsidRPr="34BC76A6" w:rsidR="00DE299E">
        <w:rPr>
          <w:b w:val="1"/>
          <w:bCs w:val="1"/>
        </w:rPr>
        <w:t xml:space="preserve">SUBSANABILIDAD – Aspectos subsanables </w:t>
      </w:r>
      <w:r w:rsidRPr="34BC76A6" w:rsidR="3F7FC226">
        <w:rPr>
          <w:b w:val="1"/>
          <w:bCs w:val="1"/>
        </w:rPr>
        <w:t>– Circunstancias posteriores – Cierre del proceso</w:t>
      </w:r>
    </w:p>
    <w:p w:rsidRPr="000248F2" w:rsidR="00DE299E" w:rsidP="0037778A" w:rsidRDefault="00DE299E" w14:paraId="2D70FADB" w14:textId="77777777">
      <w:pPr>
        <w:ind w:left="300"/>
        <w:jc w:val="both"/>
        <w:rPr>
          <w:b/>
          <w:bCs/>
        </w:rPr>
      </w:pPr>
    </w:p>
    <w:p w:rsidR="0037778A" w:rsidP="0037778A" w:rsidRDefault="0037778A" w14:paraId="18B789DD" w14:textId="736D4DDC">
      <w:pPr>
        <w:ind w:left="300"/>
        <w:jc w:val="both"/>
        <w:rPr>
          <w:sz w:val="20"/>
          <w:szCs w:val="20"/>
        </w:rPr>
      </w:pPr>
      <w:r w:rsidRPr="34BC76A6" w:rsidR="009D2F20">
        <w:rPr>
          <w:sz w:val="20"/>
          <w:szCs w:val="20"/>
        </w:rPr>
        <w:t>E</w:t>
      </w:r>
      <w:r w:rsidRPr="34BC76A6" w:rsidR="00DE299E">
        <w:rPr>
          <w:sz w:val="20"/>
          <w:szCs w:val="20"/>
        </w:rPr>
        <w:t>l segundo cambio importante de la Ley 1882 de 2018 fue la introducción de un criterio material, directamente relacionado con los aspectos subsanables: “los proponentes no podrán acreditar circunstancias ocurridas con posterior</w:t>
      </w:r>
      <w:r w:rsidRPr="34BC76A6" w:rsidR="000248F2">
        <w:rPr>
          <w:sz w:val="20"/>
          <w:szCs w:val="20"/>
        </w:rPr>
        <w:t>idad al cierre del proceso”. […]</w:t>
      </w:r>
      <w:r w:rsidRPr="34BC76A6" w:rsidR="00DE299E">
        <w:rPr>
          <w:sz w:val="20"/>
          <w:szCs w:val="20"/>
        </w:rPr>
        <w:t xml:space="preserve"> lo subsanable es la prueba de todas las circunstancias ocurridas antes del vencimiento del término para presentar las ofertas, ello es lo que implica la prohibición de acreditar circunstancias ocurridas con posterioridad al “cierre del </w:t>
      </w:r>
      <w:r w:rsidRPr="34BC76A6" w:rsidR="000248F2">
        <w:rPr>
          <w:sz w:val="20"/>
          <w:szCs w:val="20"/>
        </w:rPr>
        <w:t xml:space="preserve">proceso”. </w:t>
      </w:r>
    </w:p>
    <w:p w:rsidRPr="000248F2" w:rsidR="00DE299E" w:rsidP="0037778A" w:rsidRDefault="000248F2" w14:paraId="62C467B5" w14:textId="00BE54F9">
      <w:pPr>
        <w:ind w:left="300"/>
        <w:jc w:val="both"/>
        <w:rPr>
          <w:sz w:val="20"/>
          <w:szCs w:val="20"/>
        </w:rPr>
      </w:pPr>
      <w:r w:rsidRPr="34BC76A6" w:rsidR="000248F2">
        <w:rPr>
          <w:sz w:val="20"/>
          <w:szCs w:val="20"/>
        </w:rPr>
        <w:t>[…]</w:t>
      </w:r>
      <w:r w:rsidRPr="34BC76A6" w:rsidR="00DE299E">
        <w:rPr>
          <w:sz w:val="20"/>
          <w:szCs w:val="20"/>
        </w:rPr>
        <w:t xml:space="preserve"> </w:t>
      </w:r>
      <w:r w:rsidRPr="34BC76A6" w:rsidR="2859D301">
        <w:rPr>
          <w:sz w:val="20"/>
          <w:szCs w:val="20"/>
        </w:rPr>
        <w:t>U</w:t>
      </w:r>
      <w:r w:rsidRPr="34BC76A6" w:rsidR="00DE299E">
        <w:rPr>
          <w:sz w:val="20"/>
          <w:szCs w:val="20"/>
        </w:rPr>
        <w:t>na vez verificada la ausencia de requisitos y/o documentos de la oferta, para saber si se puede subsanar, la Administración se debe preguntar, en primer lugar, si lo que hace falta es un ítem que otorga puntaje o no y, en segundo lugar, si el cumplimiento del requisito constituye una circunstancia ocurrida con anterioridad o con posterioridad al cierre del proceso</w:t>
      </w:r>
    </w:p>
    <w:p w:rsidRPr="000248F2" w:rsidR="000248F2" w:rsidP="000248F2" w:rsidRDefault="000248F2" w14:paraId="6629F7B2" w14:textId="77777777">
      <w:pPr>
        <w:spacing w:before="93"/>
        <w:ind w:left="300"/>
        <w:jc w:val="both"/>
      </w:pPr>
    </w:p>
    <w:p w:rsidRPr="000248F2" w:rsidR="00DE299E" w:rsidRDefault="00DE299E" w14:paraId="23CB7A53" w14:textId="77777777">
      <w:pPr>
        <w:spacing w:before="93"/>
        <w:ind w:left="300"/>
      </w:pPr>
    </w:p>
    <w:p w:rsidRPr="000248F2" w:rsidR="00B3325B" w:rsidRDefault="00DE299E" w14:paraId="50208763" w14:textId="77777777">
      <w:pPr>
        <w:spacing w:before="93"/>
        <w:ind w:left="300"/>
        <w:rPr>
          <w:b/>
        </w:rPr>
      </w:pPr>
      <w:r w:rsidRPr="000248F2">
        <w:t xml:space="preserve">Bogotá D.C., </w:t>
      </w:r>
      <w:r w:rsidRPr="000248F2">
        <w:rPr>
          <w:b/>
        </w:rPr>
        <w:t>23/12/2019 Hora 11:34:13s</w:t>
      </w:r>
    </w:p>
    <w:p w:rsidRPr="000248F2" w:rsidR="00B3325B" w:rsidRDefault="00B3325B" w14:paraId="0AF6B483" w14:textId="77777777">
      <w:pPr>
        <w:pStyle w:val="Textoindependiente"/>
        <w:spacing w:before="10"/>
        <w:rPr>
          <w:b/>
          <w:sz w:val="21"/>
        </w:rPr>
      </w:pPr>
    </w:p>
    <w:p w:rsidRPr="000248F2" w:rsidR="00DE299E" w:rsidP="00DE299E" w:rsidRDefault="00DE299E" w14:paraId="3577CD5F" w14:textId="77777777">
      <w:pPr>
        <w:pStyle w:val="Ttulo1"/>
        <w:spacing w:before="1"/>
        <w:ind w:left="300" w:firstLine="0"/>
        <w:jc w:val="right"/>
      </w:pPr>
      <w:r w:rsidRPr="000248F2">
        <w:t>N° Radicado: 2201913000009530</w:t>
      </w:r>
    </w:p>
    <w:p w:rsidRPr="000248F2" w:rsidR="00DE299E" w:rsidP="00DE299E" w:rsidRDefault="00DE299E" w14:paraId="500E8FCD" w14:textId="77777777">
      <w:pPr>
        <w:pStyle w:val="Textoindependiente"/>
        <w:spacing w:before="10"/>
        <w:jc w:val="right"/>
        <w:rPr>
          <w:b/>
          <w:sz w:val="21"/>
        </w:rPr>
      </w:pPr>
    </w:p>
    <w:p w:rsidRPr="000248F2" w:rsidR="00DE299E" w:rsidRDefault="00DE299E" w14:paraId="59AF8097" w14:textId="77777777">
      <w:pPr>
        <w:ind w:left="300" w:right="2932"/>
      </w:pPr>
      <w:r w:rsidRPr="000248F2">
        <w:t xml:space="preserve">Señor </w:t>
      </w:r>
    </w:p>
    <w:p w:rsidRPr="000248F2" w:rsidR="00DE299E" w:rsidRDefault="00DE299E" w14:paraId="3CE507E2" w14:textId="77777777">
      <w:pPr>
        <w:ind w:left="300" w:right="2932"/>
        <w:rPr>
          <w:b/>
        </w:rPr>
      </w:pPr>
      <w:r w:rsidRPr="000248F2">
        <w:rPr>
          <w:b/>
        </w:rPr>
        <w:t xml:space="preserve">Ciudadano </w:t>
      </w:r>
    </w:p>
    <w:p w:rsidR="00B3325B" w:rsidP="000248F2" w:rsidRDefault="00DE299E" w14:paraId="65F6A8F6" w14:textId="65DD19B4">
      <w:pPr>
        <w:ind w:left="300" w:right="2932"/>
      </w:pPr>
      <w:r w:rsidRPr="000248F2">
        <w:t>Ciudad</w:t>
      </w:r>
    </w:p>
    <w:p w:rsidRPr="000248F2" w:rsidR="000248F2" w:rsidP="000248F2" w:rsidRDefault="000248F2" w14:paraId="6E2FF291" w14:textId="77777777">
      <w:pPr>
        <w:ind w:left="300" w:right="2932"/>
        <w:rPr>
          <w:b/>
        </w:rPr>
      </w:pPr>
    </w:p>
    <w:tbl>
      <w:tblPr>
        <w:tblStyle w:val="TableNormal"/>
        <w:tblW w:w="0" w:type="auto"/>
        <w:tblInd w:w="108" w:type="dxa"/>
        <w:tblLayout w:type="fixed"/>
        <w:tblLook w:val="01E0" w:firstRow="1" w:lastRow="1" w:firstColumn="1" w:lastColumn="1" w:noHBand="0" w:noVBand="0"/>
      </w:tblPr>
      <w:tblGrid>
        <w:gridCol w:w="2328"/>
        <w:gridCol w:w="6996"/>
      </w:tblGrid>
      <w:tr w:rsidRPr="000248F2" w:rsidR="000248F2" w14:paraId="77DC8E78" w14:textId="77777777">
        <w:trPr>
          <w:trHeight w:val="249"/>
        </w:trPr>
        <w:tc>
          <w:tcPr>
            <w:tcW w:w="2328" w:type="dxa"/>
          </w:tcPr>
          <w:p w:rsidRPr="000248F2" w:rsidR="00B3325B" w:rsidRDefault="00DE299E" w14:paraId="42BCC354" w14:textId="77777777">
            <w:pPr>
              <w:pStyle w:val="TableParagraph"/>
              <w:rPr>
                <w:b/>
              </w:rPr>
            </w:pPr>
            <w:r w:rsidRPr="000248F2">
              <w:rPr>
                <w:b/>
              </w:rPr>
              <w:t>Radicación:</w:t>
            </w:r>
          </w:p>
        </w:tc>
        <w:tc>
          <w:tcPr>
            <w:tcW w:w="6996" w:type="dxa"/>
          </w:tcPr>
          <w:p w:rsidRPr="000248F2" w:rsidR="00B3325B" w:rsidRDefault="00DE299E" w14:paraId="5E9E3ED0" w14:textId="77777777">
            <w:pPr>
              <w:pStyle w:val="TableParagraph"/>
              <w:ind w:left="562"/>
            </w:pPr>
            <w:r w:rsidRPr="000248F2">
              <w:t>Respuesta a consulta # 4201912000008198</w:t>
            </w:r>
          </w:p>
        </w:tc>
      </w:tr>
      <w:tr w:rsidRPr="000248F2" w:rsidR="000248F2" w14:paraId="3B8524CC" w14:textId="77777777">
        <w:trPr>
          <w:trHeight w:val="252"/>
        </w:trPr>
        <w:tc>
          <w:tcPr>
            <w:tcW w:w="2328" w:type="dxa"/>
          </w:tcPr>
          <w:p w:rsidRPr="000248F2" w:rsidR="00B3325B" w:rsidRDefault="00DE299E" w14:paraId="63529AC9" w14:textId="77777777">
            <w:pPr>
              <w:pStyle w:val="TableParagraph"/>
              <w:spacing w:line="233" w:lineRule="exact"/>
              <w:rPr>
                <w:b/>
              </w:rPr>
            </w:pPr>
            <w:r w:rsidRPr="000248F2">
              <w:rPr>
                <w:b/>
              </w:rPr>
              <w:t>Temas:</w:t>
            </w:r>
          </w:p>
        </w:tc>
        <w:tc>
          <w:tcPr>
            <w:tcW w:w="6996" w:type="dxa"/>
          </w:tcPr>
          <w:p w:rsidRPr="000248F2" w:rsidR="00B3325B" w:rsidRDefault="00DE299E" w14:paraId="73090156" w14:textId="77777777">
            <w:pPr>
              <w:pStyle w:val="TableParagraph"/>
              <w:spacing w:line="233" w:lineRule="exact"/>
              <w:ind w:left="562"/>
            </w:pPr>
            <w:r w:rsidRPr="000248F2">
              <w:t xml:space="preserve">Experiencia, </w:t>
            </w:r>
            <w:proofErr w:type="spellStart"/>
            <w:r w:rsidRPr="000248F2">
              <w:t>subsanabilidad</w:t>
            </w:r>
            <w:proofErr w:type="spellEnd"/>
          </w:p>
        </w:tc>
      </w:tr>
      <w:tr w:rsidRPr="000248F2" w:rsidR="00B3325B" w14:paraId="2BA3C6F0" w14:textId="77777777">
        <w:trPr>
          <w:trHeight w:val="501"/>
        </w:trPr>
        <w:tc>
          <w:tcPr>
            <w:tcW w:w="2328" w:type="dxa"/>
          </w:tcPr>
          <w:p w:rsidRPr="000248F2" w:rsidR="00B3325B" w:rsidRDefault="00DE299E" w14:paraId="7DE176F4" w14:textId="77777777">
            <w:pPr>
              <w:pStyle w:val="TableParagraph"/>
              <w:spacing w:before="1" w:line="252" w:lineRule="exact"/>
              <w:ind w:right="543"/>
              <w:rPr>
                <w:b/>
              </w:rPr>
            </w:pPr>
            <w:r w:rsidRPr="000248F2">
              <w:rPr>
                <w:b/>
              </w:rPr>
              <w:t>Tipo de asunto consultado:</w:t>
            </w:r>
          </w:p>
        </w:tc>
        <w:tc>
          <w:tcPr>
            <w:tcW w:w="6996" w:type="dxa"/>
          </w:tcPr>
          <w:p w:rsidRPr="000248F2" w:rsidR="00B3325B" w:rsidRDefault="00DE299E" w14:paraId="4D9D6E78" w14:textId="77777777">
            <w:pPr>
              <w:pStyle w:val="TableParagraph"/>
              <w:spacing w:before="1" w:line="252" w:lineRule="exact"/>
              <w:ind w:left="562"/>
            </w:pPr>
            <w:r w:rsidRPr="000248F2">
              <w:t>Certificados de experiencia de circunstancias ocurridas con posterioridad al cierre</w:t>
            </w:r>
          </w:p>
        </w:tc>
      </w:tr>
    </w:tbl>
    <w:p w:rsidRPr="000248F2" w:rsidR="00B3325B" w:rsidRDefault="00B3325B" w14:paraId="4513BAC1" w14:textId="77777777">
      <w:pPr>
        <w:pStyle w:val="Textoindependiente"/>
        <w:rPr>
          <w:b/>
          <w:sz w:val="14"/>
        </w:rPr>
      </w:pPr>
    </w:p>
    <w:p w:rsidRPr="000248F2" w:rsidR="00B3325B" w:rsidRDefault="00DE299E" w14:paraId="20F06897" w14:textId="77777777">
      <w:pPr>
        <w:pStyle w:val="Textoindependiente"/>
        <w:spacing w:before="93"/>
        <w:ind w:left="300"/>
        <w:jc w:val="both"/>
      </w:pPr>
      <w:r w:rsidRPr="000248F2">
        <w:t>Estimado señor,</w:t>
      </w:r>
    </w:p>
    <w:p w:rsidRPr="000248F2" w:rsidR="00B3325B" w:rsidRDefault="00B3325B" w14:paraId="41E9209A" w14:textId="77777777">
      <w:pPr>
        <w:pStyle w:val="Textoindependiente"/>
        <w:spacing w:before="11"/>
        <w:rPr>
          <w:sz w:val="21"/>
        </w:rPr>
      </w:pPr>
    </w:p>
    <w:p w:rsidRPr="000248F2" w:rsidR="00B3325B" w:rsidRDefault="00DE299E" w14:paraId="2794932E" w14:textId="77777777">
      <w:pPr>
        <w:pStyle w:val="Textoindependiente"/>
        <w:spacing w:line="276" w:lineRule="auto"/>
        <w:ind w:left="300" w:right="304"/>
        <w:jc w:val="both"/>
      </w:pPr>
      <w:r w:rsidRPr="000248F2">
        <w:t>La Agencia Nacional de Contratación Pública -Colombia Compra Eficiente- responde su consulta del 6 de diciembre de 2019, en ejercicio de la competencia otorgada por el numeral 8 del artículo 11 y el numeral 5 del artículo 3 del Decreto Ley 4170 de 2011.</w:t>
      </w:r>
    </w:p>
    <w:p w:rsidRPr="000248F2" w:rsidR="00B3325B" w:rsidRDefault="00B3325B" w14:paraId="09DF2062" w14:textId="77777777">
      <w:pPr>
        <w:pStyle w:val="Textoindependiente"/>
        <w:spacing w:before="4"/>
        <w:rPr>
          <w:sz w:val="25"/>
        </w:rPr>
      </w:pPr>
    </w:p>
    <w:p w:rsidRPr="000248F2" w:rsidR="00B3325B" w:rsidRDefault="00DE299E" w14:paraId="4FEA0CD1" w14:textId="77777777">
      <w:pPr>
        <w:pStyle w:val="Ttulo1"/>
        <w:numPr>
          <w:ilvl w:val="0"/>
          <w:numId w:val="1"/>
        </w:numPr>
        <w:tabs>
          <w:tab w:val="left" w:pos="661"/>
        </w:tabs>
        <w:spacing w:before="1"/>
        <w:ind w:hanging="361"/>
      </w:pPr>
      <w:r w:rsidRPr="000248F2">
        <w:t>Problema</w:t>
      </w:r>
      <w:r w:rsidRPr="000248F2">
        <w:rPr>
          <w:spacing w:val="-2"/>
        </w:rPr>
        <w:t xml:space="preserve"> </w:t>
      </w:r>
      <w:r w:rsidRPr="000248F2">
        <w:t>planteado</w:t>
      </w:r>
    </w:p>
    <w:p w:rsidRPr="000248F2" w:rsidR="00B3325B" w:rsidRDefault="00B3325B" w14:paraId="60FA9720" w14:textId="77777777">
      <w:pPr>
        <w:pStyle w:val="Textoindependiente"/>
        <w:spacing w:before="5"/>
        <w:rPr>
          <w:b/>
          <w:sz w:val="28"/>
        </w:rPr>
      </w:pPr>
    </w:p>
    <w:p w:rsidRPr="000248F2" w:rsidR="00B3325B" w:rsidRDefault="00DE299E" w14:paraId="0884815E" w14:textId="77777777">
      <w:pPr>
        <w:pStyle w:val="Textoindependiente"/>
        <w:ind w:left="300"/>
        <w:jc w:val="both"/>
      </w:pPr>
      <w:r w:rsidRPr="000248F2">
        <w:t>El solicitante pregunta:</w:t>
      </w:r>
    </w:p>
    <w:p w:rsidRPr="000248F2" w:rsidR="00B3325B" w:rsidRDefault="00B3325B" w14:paraId="5E63A559" w14:textId="77777777">
      <w:pPr>
        <w:pStyle w:val="Textoindependiente"/>
        <w:spacing w:before="8"/>
        <w:rPr>
          <w:sz w:val="28"/>
        </w:rPr>
      </w:pPr>
    </w:p>
    <w:p w:rsidRPr="000248F2" w:rsidR="00B3325B" w:rsidRDefault="00DE299E" w14:paraId="2FCB3BFF" w14:textId="77777777">
      <w:pPr>
        <w:pStyle w:val="Textoindependiente"/>
        <w:spacing w:line="276" w:lineRule="auto"/>
        <w:ind w:left="300" w:right="311"/>
        <w:jc w:val="both"/>
      </w:pPr>
      <w:r w:rsidRPr="000248F2">
        <w:rPr>
          <w:b/>
        </w:rPr>
        <w:t>“</w:t>
      </w:r>
      <w:r w:rsidRPr="000248F2">
        <w:t>En un proceso de licitación en el cual se solicita como requisito habilitante técnico (no ponderable)</w:t>
      </w:r>
      <w:r w:rsidRPr="000248F2">
        <w:rPr>
          <w:spacing w:val="-5"/>
        </w:rPr>
        <w:t xml:space="preserve"> </w:t>
      </w:r>
      <w:r w:rsidRPr="000248F2">
        <w:t>una</w:t>
      </w:r>
      <w:r w:rsidRPr="000248F2">
        <w:rPr>
          <w:spacing w:val="-3"/>
        </w:rPr>
        <w:t xml:space="preserve"> </w:t>
      </w:r>
      <w:r w:rsidRPr="000248F2">
        <w:t>certificación</w:t>
      </w:r>
      <w:r w:rsidRPr="000248F2">
        <w:rPr>
          <w:spacing w:val="-3"/>
        </w:rPr>
        <w:t xml:space="preserve"> </w:t>
      </w:r>
      <w:r w:rsidRPr="000248F2">
        <w:t>de</w:t>
      </w:r>
      <w:r w:rsidRPr="000248F2">
        <w:rPr>
          <w:spacing w:val="-6"/>
        </w:rPr>
        <w:t xml:space="preserve"> </w:t>
      </w:r>
      <w:r w:rsidRPr="000248F2">
        <w:t>experiencia</w:t>
      </w:r>
      <w:r w:rsidRPr="000248F2">
        <w:rPr>
          <w:spacing w:val="-3"/>
        </w:rPr>
        <w:t xml:space="preserve"> </w:t>
      </w:r>
      <w:r w:rsidRPr="000248F2">
        <w:t>y</w:t>
      </w:r>
      <w:r w:rsidRPr="000248F2">
        <w:rPr>
          <w:spacing w:val="-7"/>
        </w:rPr>
        <w:t xml:space="preserve"> </w:t>
      </w:r>
      <w:r w:rsidRPr="000248F2">
        <w:t>el</w:t>
      </w:r>
      <w:r w:rsidRPr="000248F2">
        <w:rPr>
          <w:spacing w:val="-2"/>
        </w:rPr>
        <w:t xml:space="preserve"> </w:t>
      </w:r>
      <w:r w:rsidRPr="000248F2">
        <w:t>proponente</w:t>
      </w:r>
      <w:r w:rsidRPr="000248F2">
        <w:rPr>
          <w:spacing w:val="-3"/>
        </w:rPr>
        <w:t xml:space="preserve"> </w:t>
      </w:r>
      <w:r w:rsidRPr="000248F2">
        <w:t>allega</w:t>
      </w:r>
      <w:r w:rsidRPr="000248F2">
        <w:rPr>
          <w:spacing w:val="-3"/>
        </w:rPr>
        <w:t xml:space="preserve"> </w:t>
      </w:r>
      <w:r w:rsidRPr="000248F2">
        <w:t>una</w:t>
      </w:r>
      <w:r w:rsidRPr="000248F2">
        <w:rPr>
          <w:spacing w:val="-5"/>
        </w:rPr>
        <w:t xml:space="preserve"> </w:t>
      </w:r>
      <w:r w:rsidRPr="000248F2">
        <w:t>certificación</w:t>
      </w:r>
      <w:r w:rsidRPr="000248F2">
        <w:rPr>
          <w:spacing w:val="-7"/>
        </w:rPr>
        <w:t xml:space="preserve"> </w:t>
      </w:r>
      <w:r w:rsidRPr="000248F2">
        <w:t>que</w:t>
      </w:r>
      <w:r w:rsidRPr="000248F2">
        <w:rPr>
          <w:spacing w:val="-3"/>
        </w:rPr>
        <w:t xml:space="preserve"> </w:t>
      </w:r>
      <w:r w:rsidRPr="000248F2">
        <w:t>no cumple con lo exigido en el pliego de condiciones ¿el proponente en el término de traslado puede allegar una certificación de una experiencia diferente a la inicialmente aportada (esta certificación tiene fecha anterior al cierre de presentación de ofertas) que sí cumple con lo exigido en el pliego para</w:t>
      </w:r>
      <w:r w:rsidRPr="000248F2">
        <w:rPr>
          <w:spacing w:val="-12"/>
        </w:rPr>
        <w:t xml:space="preserve"> </w:t>
      </w:r>
      <w:r w:rsidRPr="000248F2">
        <w:t>habilitarse?”</w:t>
      </w:r>
    </w:p>
    <w:p w:rsidRPr="000248F2" w:rsidR="00B3325B" w:rsidRDefault="00B3325B" w14:paraId="22C9785C" w14:textId="77777777">
      <w:pPr>
        <w:pStyle w:val="Textoindependiente"/>
        <w:spacing w:before="4"/>
        <w:rPr>
          <w:sz w:val="25"/>
        </w:rPr>
      </w:pPr>
    </w:p>
    <w:p w:rsidRPr="000248F2" w:rsidR="00B3325B" w:rsidRDefault="00DE299E" w14:paraId="261B2948" w14:textId="77777777">
      <w:pPr>
        <w:pStyle w:val="Ttulo1"/>
        <w:numPr>
          <w:ilvl w:val="0"/>
          <w:numId w:val="1"/>
        </w:numPr>
        <w:tabs>
          <w:tab w:val="left" w:pos="661"/>
        </w:tabs>
        <w:ind w:hanging="361"/>
      </w:pPr>
      <w:r w:rsidRPr="000248F2">
        <w:t>Consideraciones</w:t>
      </w:r>
    </w:p>
    <w:p w:rsidRPr="000248F2" w:rsidR="00B3325B" w:rsidRDefault="00B3325B" w14:paraId="7B0B6A0C" w14:textId="77777777">
      <w:pPr>
        <w:pStyle w:val="Textoindependiente"/>
        <w:spacing w:before="2"/>
        <w:rPr>
          <w:b/>
          <w:sz w:val="25"/>
        </w:rPr>
      </w:pPr>
    </w:p>
    <w:p w:rsidRPr="000248F2" w:rsidR="00B3325B" w:rsidP="0037778A" w:rsidRDefault="00DE299E" w14:paraId="4C809CC9" w14:textId="5430A61F">
      <w:pPr>
        <w:pStyle w:val="Textoindependiente"/>
        <w:spacing w:before="1" w:line="276" w:lineRule="auto"/>
        <w:ind w:left="300" w:right="304"/>
        <w:jc w:val="both"/>
        <w:rPr>
          <w:sz w:val="20"/>
        </w:rPr>
      </w:pPr>
      <w:r w:rsidRPr="000248F2">
        <w:t xml:space="preserve">La Agencia Nacional de Contratación Pública – Colombia Compra Eficiente, en el concepto con radicado No. 4201913000006471 del 28 de octubre de 2019, analizó el régimen jurídico de la </w:t>
      </w:r>
      <w:proofErr w:type="spellStart"/>
      <w:r w:rsidRPr="000248F2">
        <w:t>subsanabilidad</w:t>
      </w:r>
      <w:proofErr w:type="spellEnd"/>
      <w:r w:rsidRPr="000248F2">
        <w:t>. De igual forma, en los conceptos con radicados No. 4201912000006711 del 12 de noviembre de 2019, 4201912000006496 del 15 de noviembre de 2019, 4201912000007418 del 30 de octubre de 2019 reiteraron la tesis de esta Subdirección para subsanar los errores de los documentos presentados en la oferta. La idea propuesta en estos conceptos se expone a</w:t>
      </w:r>
      <w:r w:rsidRPr="000248F2">
        <w:rPr>
          <w:spacing w:val="-12"/>
        </w:rPr>
        <w:t xml:space="preserve"> </w:t>
      </w:r>
      <w:r w:rsidRPr="000248F2">
        <w:t>continuación.</w:t>
      </w:r>
    </w:p>
    <w:p w:rsidRPr="000248F2" w:rsidR="00B3325B" w:rsidRDefault="00B3325B" w14:paraId="7D0B963E" w14:textId="77777777">
      <w:pPr>
        <w:pStyle w:val="Textoindependiente"/>
        <w:spacing w:before="5"/>
        <w:rPr>
          <w:sz w:val="16"/>
        </w:rPr>
      </w:pPr>
    </w:p>
    <w:p w:rsidRPr="000248F2" w:rsidR="00B3325B" w:rsidRDefault="00DE299E" w14:paraId="408FD6D0" w14:textId="77777777">
      <w:pPr>
        <w:pStyle w:val="Textoindependiente"/>
        <w:spacing w:before="93" w:line="276" w:lineRule="auto"/>
        <w:ind w:left="300" w:right="308"/>
        <w:jc w:val="both"/>
      </w:pPr>
      <w:r w:rsidRPr="000248F2">
        <w:t xml:space="preserve">La posibilidad de enmendar, corregir o subsanar los errores en los que se incurren en los </w:t>
      </w:r>
      <w:r w:rsidRPr="000248F2">
        <w:lastRenderedPageBreak/>
        <w:t>documentos contentivos de la oferta es un tema que ha tenido diferentes momentos o etapas en el ordenamiento jurídico colombiano.</w:t>
      </w:r>
    </w:p>
    <w:p w:rsidRPr="000248F2" w:rsidR="00B3325B" w:rsidRDefault="00B3325B" w14:paraId="6930C100" w14:textId="77777777">
      <w:pPr>
        <w:pStyle w:val="Textoindependiente"/>
        <w:spacing w:before="5"/>
        <w:rPr>
          <w:sz w:val="25"/>
        </w:rPr>
      </w:pPr>
    </w:p>
    <w:p w:rsidRPr="000248F2" w:rsidR="00B3325B" w:rsidRDefault="00DE299E" w14:paraId="0E691C3B" w14:textId="77777777">
      <w:pPr>
        <w:pStyle w:val="Textoindependiente"/>
        <w:spacing w:line="276" w:lineRule="auto"/>
        <w:ind w:left="300" w:right="305"/>
        <w:jc w:val="both"/>
      </w:pPr>
      <w:r w:rsidRPr="000248F2">
        <w:t xml:space="preserve">En un </w:t>
      </w:r>
      <w:r w:rsidRPr="000248F2">
        <w:rPr>
          <w:i/>
        </w:rPr>
        <w:t>primer momento</w:t>
      </w:r>
      <w:r w:rsidRPr="000248F2">
        <w:t xml:space="preserve">, antes de la entrada en vigencia de la Constitución Política de 1991, el régimen jurídico de la </w:t>
      </w:r>
      <w:proofErr w:type="spellStart"/>
      <w:r w:rsidRPr="000248F2">
        <w:t>subsanabilidad</w:t>
      </w:r>
      <w:proofErr w:type="spellEnd"/>
      <w:r w:rsidRPr="000248F2">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rsidRPr="000248F2" w:rsidR="00B3325B" w:rsidRDefault="00B3325B" w14:paraId="716CC73E" w14:textId="77777777">
      <w:pPr>
        <w:pStyle w:val="Textoindependiente"/>
        <w:spacing w:before="2"/>
        <w:rPr>
          <w:sz w:val="25"/>
        </w:rPr>
      </w:pPr>
    </w:p>
    <w:p w:rsidRPr="000248F2" w:rsidR="00B3325B" w:rsidRDefault="00DE299E" w14:paraId="75247E1F" w14:textId="77777777">
      <w:pPr>
        <w:pStyle w:val="Textoindependiente"/>
        <w:spacing w:line="276" w:lineRule="auto"/>
        <w:ind w:left="300" w:right="304"/>
        <w:jc w:val="both"/>
      </w:pPr>
      <w:r w:rsidRPr="000248F2">
        <w:t xml:space="preserve">En un </w:t>
      </w:r>
      <w:r w:rsidRPr="000248F2">
        <w:rPr>
          <w:i/>
        </w:rPr>
        <w:t xml:space="preserve">segundo momento </w:t>
      </w:r>
      <w:r w:rsidRPr="000248F2">
        <w:t>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rsidRPr="000248F2" w:rsidR="00B3325B" w:rsidRDefault="00B3325B" w14:paraId="14075AFC" w14:textId="77777777">
      <w:pPr>
        <w:pStyle w:val="Textoindependiente"/>
        <w:spacing w:before="6"/>
        <w:rPr>
          <w:sz w:val="25"/>
        </w:rPr>
      </w:pPr>
    </w:p>
    <w:p w:rsidRPr="000248F2" w:rsidR="00B3325B" w:rsidRDefault="00DE299E" w14:paraId="793A226D" w14:textId="77777777">
      <w:pPr>
        <w:pStyle w:val="Textoindependiente"/>
        <w:spacing w:line="276" w:lineRule="auto"/>
        <w:ind w:left="300" w:right="315"/>
        <w:jc w:val="both"/>
      </w:pPr>
      <w:r w:rsidRPr="000248F2">
        <w:t>En este nuevo escenario constitucional, el numeral 15 del artículo 25 de la Ley 80 de 1993 dispuso lo siguiente:</w:t>
      </w:r>
    </w:p>
    <w:p w:rsidRPr="000248F2" w:rsidR="00B3325B" w:rsidRDefault="00B3325B" w14:paraId="4647A83B" w14:textId="77777777">
      <w:pPr>
        <w:pStyle w:val="Textoindependiente"/>
        <w:spacing w:before="3"/>
        <w:rPr>
          <w:sz w:val="25"/>
        </w:rPr>
      </w:pPr>
    </w:p>
    <w:p w:rsidRPr="000248F2" w:rsidR="00B3325B" w:rsidRDefault="00DE299E" w14:paraId="460DCA5B" w14:textId="77777777">
      <w:pPr>
        <w:pStyle w:val="Textoindependiente"/>
        <w:spacing w:before="1"/>
        <w:ind w:left="1008" w:right="1013"/>
        <w:jc w:val="both"/>
      </w:pPr>
      <w:r w:rsidRPr="000248F2">
        <w:t>15. Las autoridades no exigirán sellos, autenticaciones, documentos originales o autenticados, reconocimientos de firmas, traducciones oficiales, ni cualquier otra clase de formalidades o exigencias rituales, salvo cuando en forma perentoria y expresa lo exijan leyes</w:t>
      </w:r>
      <w:r w:rsidRPr="000248F2">
        <w:rPr>
          <w:spacing w:val="-15"/>
        </w:rPr>
        <w:t xml:space="preserve"> </w:t>
      </w:r>
      <w:r w:rsidRPr="000248F2">
        <w:t>especiales.</w:t>
      </w:r>
    </w:p>
    <w:p w:rsidRPr="000248F2" w:rsidR="00B3325B" w:rsidRDefault="00B3325B" w14:paraId="1A18E69E" w14:textId="77777777">
      <w:pPr>
        <w:pStyle w:val="Textoindependiente"/>
      </w:pPr>
    </w:p>
    <w:p w:rsidRPr="000248F2" w:rsidR="00B3325B" w:rsidRDefault="00DE299E" w14:paraId="485401E8" w14:textId="77777777">
      <w:pPr>
        <w:pStyle w:val="Textoindependiente"/>
        <w:ind w:left="1008" w:right="1015"/>
        <w:jc w:val="both"/>
      </w:pPr>
      <w:r w:rsidRPr="000248F2">
        <w:t>La ausencia de requisitos o la falta de documentos referentes a la futura contratación o al proponente, no necesarios para la comparación de propuestas, no servirá de título suficiente para el rechazo de los ofrecimientos hechos. (Negrillas fuera de texto).</w:t>
      </w:r>
    </w:p>
    <w:p w:rsidRPr="000248F2" w:rsidR="00B3325B" w:rsidRDefault="00B3325B" w14:paraId="59D9F832" w14:textId="77777777">
      <w:pPr>
        <w:pStyle w:val="Textoindependiente"/>
        <w:spacing w:before="3"/>
        <w:rPr>
          <w:sz w:val="25"/>
        </w:rPr>
      </w:pPr>
    </w:p>
    <w:p w:rsidRPr="000248F2" w:rsidR="00B3325B" w:rsidRDefault="00DE299E" w14:paraId="1A138AFB" w14:textId="77777777">
      <w:pPr>
        <w:pStyle w:val="Textoindependiente"/>
        <w:spacing w:line="276" w:lineRule="auto"/>
        <w:ind w:left="300" w:right="306"/>
        <w:jc w:val="both"/>
      </w:pPr>
      <w:r w:rsidRPr="000248F2">
        <w:t xml:space="preserve">Bajo el amparo de esta norma, el régimen jurídico de </w:t>
      </w:r>
      <w:proofErr w:type="spellStart"/>
      <w:r w:rsidRPr="000248F2">
        <w:t>subsanabilidad</w:t>
      </w:r>
      <w:proofErr w:type="spellEnd"/>
      <w:r w:rsidRPr="000248F2">
        <w:t xml:space="preserve"> de las ofertas sufre un cambio fundamental, pues ya no era posible rechazar las ofertas por falta de requisitos o documentos que no fueran “</w:t>
      </w:r>
      <w:r w:rsidRPr="000248F2">
        <w:rPr>
          <w:i/>
        </w:rPr>
        <w:t>necesarios para la comparación de propuestas</w:t>
      </w:r>
      <w:r w:rsidRPr="000248F2">
        <w:t>”. De esta manera, la ley introdujo un primer criterio jurídico, aunque 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w:t>
      </w:r>
      <w:r w:rsidRPr="000248F2">
        <w:rPr>
          <w:spacing w:val="-11"/>
        </w:rPr>
        <w:t xml:space="preserve"> </w:t>
      </w:r>
      <w:r w:rsidRPr="000248F2">
        <w:t>subsanar.</w:t>
      </w:r>
    </w:p>
    <w:p w:rsidR="0037778A" w:rsidRDefault="0037778A" w14:paraId="6828AE90" w14:textId="77777777">
      <w:pPr>
        <w:pStyle w:val="Textoindependiente"/>
        <w:spacing w:before="93" w:line="276" w:lineRule="auto"/>
        <w:ind w:left="300" w:right="302"/>
        <w:jc w:val="both"/>
      </w:pPr>
    </w:p>
    <w:p w:rsidRPr="000248F2" w:rsidR="00B3325B" w:rsidRDefault="00DE299E" w14:paraId="2714E33A" w14:textId="143B7F2C">
      <w:pPr>
        <w:pStyle w:val="Textoindependiente"/>
        <w:spacing w:before="93" w:line="276" w:lineRule="auto"/>
        <w:ind w:left="300" w:right="302"/>
        <w:jc w:val="both"/>
      </w:pPr>
      <w:r w:rsidRPr="000248F2">
        <w:t>Esta norma debía leerse en conjunto con otras de la Ley 80 de 1993, particularmente con el artículo 30.7</w:t>
      </w:r>
      <w:r w:rsidR="0037778A">
        <w:rPr>
          <w:rStyle w:val="Refdenotaalpie"/>
        </w:rPr>
        <w:footnoteReference w:id="1"/>
      </w:r>
      <w:r w:rsidRPr="000248F2">
        <w:t xml:space="preserve">, que ordena a la entidad señalar un plazo razonable para evaluar las </w:t>
      </w:r>
      <w:r w:rsidRPr="000248F2">
        <w:lastRenderedPageBreak/>
        <w:t>propuestas y para pedir a los proponentes, de ser necesario, que aclaren o expliquen aspectos que ofrezcan dudas y resulten indispensables para llevar a cabo la evaluación; y con el artículo 30.8</w:t>
      </w:r>
      <w:r w:rsidR="0037778A">
        <w:rPr>
          <w:rStyle w:val="Refdenotaalpie"/>
        </w:rPr>
        <w:footnoteReference w:id="2"/>
      </w:r>
      <w:r w:rsidRPr="000248F2">
        <w:t>, que consagró el término de 5 días hábiles para que los oferentes presenten observaciones al informe de evaluación de las propuestas, sin que sea posible completar, adicionar, modificar o mejorar su</w:t>
      </w:r>
      <w:r w:rsidRPr="000248F2">
        <w:rPr>
          <w:spacing w:val="-15"/>
        </w:rPr>
        <w:t xml:space="preserve"> </w:t>
      </w:r>
      <w:r w:rsidRPr="000248F2">
        <w:t>oferta.</w:t>
      </w:r>
    </w:p>
    <w:p w:rsidRPr="000248F2" w:rsidR="00B3325B" w:rsidRDefault="00B3325B" w14:paraId="675DE223" w14:textId="77777777">
      <w:pPr>
        <w:pStyle w:val="Textoindependiente"/>
        <w:spacing w:before="4"/>
        <w:rPr>
          <w:sz w:val="25"/>
        </w:rPr>
      </w:pPr>
    </w:p>
    <w:p w:rsidRPr="000248F2" w:rsidR="00B3325B" w:rsidRDefault="00DE299E" w14:paraId="17B95027" w14:textId="77777777">
      <w:pPr>
        <w:pStyle w:val="Textoindependiente"/>
        <w:spacing w:line="276" w:lineRule="auto"/>
        <w:ind w:left="300" w:right="303"/>
        <w:jc w:val="both"/>
      </w:pPr>
      <w:r w:rsidRPr="000248F2">
        <w:t>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w:t>
      </w:r>
    </w:p>
    <w:p w:rsidRPr="000248F2" w:rsidR="00B3325B" w:rsidRDefault="00B3325B" w14:paraId="3B44B02D" w14:textId="77777777">
      <w:pPr>
        <w:pStyle w:val="Textoindependiente"/>
        <w:spacing w:before="4"/>
        <w:rPr>
          <w:sz w:val="25"/>
        </w:rPr>
      </w:pPr>
    </w:p>
    <w:p w:rsidRPr="000248F2" w:rsidR="00B3325B" w:rsidRDefault="00DE299E" w14:paraId="5527772D" w14:textId="77777777">
      <w:pPr>
        <w:pStyle w:val="Textoindependiente"/>
        <w:spacing w:line="278" w:lineRule="auto"/>
        <w:ind w:left="300" w:right="310"/>
        <w:jc w:val="both"/>
      </w:pPr>
      <w:r w:rsidRPr="000248F2">
        <w:t xml:space="preserve">En un </w:t>
      </w:r>
      <w:r w:rsidRPr="000248F2">
        <w:rPr>
          <w:i/>
        </w:rPr>
        <w:t>tercer momento</w:t>
      </w:r>
      <w:r w:rsidRPr="000248F2">
        <w:t>, y siguiendo la línea trazada por la Ley 80 de 1993, el legislador expidió la Ley 1150 de 2007, que en el parágrafo 1º del artículo 5 determinó lo siguiente:</w:t>
      </w:r>
    </w:p>
    <w:p w:rsidRPr="000248F2" w:rsidR="00B3325B" w:rsidRDefault="00B3325B" w14:paraId="6613E877" w14:textId="77777777">
      <w:pPr>
        <w:pStyle w:val="Textoindependiente"/>
        <w:spacing w:before="9"/>
        <w:rPr>
          <w:sz w:val="24"/>
        </w:rPr>
      </w:pPr>
    </w:p>
    <w:p w:rsidRPr="000248F2" w:rsidR="00B3325B" w:rsidRDefault="00DE299E" w14:paraId="24CA0562" w14:textId="77777777">
      <w:pPr>
        <w:ind w:left="1005" w:right="1013"/>
        <w:jc w:val="both"/>
        <w:rPr>
          <w:sz w:val="21"/>
        </w:rPr>
      </w:pPr>
      <w:r w:rsidRPr="000248F2">
        <w:rPr>
          <w:sz w:val="21"/>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0248F2">
        <w:rPr>
          <w:b/>
          <w:sz w:val="21"/>
        </w:rPr>
        <w:t xml:space="preserve">, </w:t>
      </w:r>
      <w:r w:rsidRPr="000248F2">
        <w:rPr>
          <w:sz w:val="21"/>
        </w:rPr>
        <w:t xml:space="preserve">todos aquellos requisitos de la propuesta que no afecten la asignación de puntaje, podrán ser solicitados por las entidades en cualquier momento, hasta la adjudicación. No </w:t>
      </w:r>
      <w:proofErr w:type="gramStart"/>
      <w:r w:rsidRPr="000248F2">
        <w:rPr>
          <w:sz w:val="21"/>
        </w:rPr>
        <w:t>obstante</w:t>
      </w:r>
      <w:proofErr w:type="gramEnd"/>
      <w:r w:rsidRPr="000248F2">
        <w:rPr>
          <w:sz w:val="21"/>
        </w:rPr>
        <w:t xml:space="preserve"> lo anterior, en aquellos procesos de selección en los que se utilice el mecanismo de subasta, deberán ser solicitados hasta el momento previo a su realización.</w:t>
      </w:r>
    </w:p>
    <w:p w:rsidRPr="000248F2" w:rsidR="00B3325B" w:rsidRDefault="00B3325B" w14:paraId="753D4682" w14:textId="77777777">
      <w:pPr>
        <w:pStyle w:val="Textoindependiente"/>
        <w:spacing w:before="4"/>
        <w:rPr>
          <w:sz w:val="25"/>
        </w:rPr>
      </w:pPr>
    </w:p>
    <w:p w:rsidRPr="000248F2" w:rsidR="00B3325B" w:rsidRDefault="00DE299E" w14:paraId="4AC6D51F" w14:textId="77777777">
      <w:pPr>
        <w:pStyle w:val="Textoindependiente"/>
        <w:spacing w:before="1" w:line="276" w:lineRule="auto"/>
        <w:ind w:left="300" w:right="312"/>
        <w:jc w:val="both"/>
      </w:pPr>
      <w:r w:rsidRPr="000248F2">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rsidRPr="000248F2" w:rsidR="00B3325B" w:rsidRDefault="00B3325B" w14:paraId="48EAF5AE" w14:textId="77777777">
      <w:pPr>
        <w:pStyle w:val="Textoindependiente"/>
        <w:spacing w:before="3"/>
        <w:rPr>
          <w:sz w:val="25"/>
        </w:rPr>
      </w:pPr>
    </w:p>
    <w:p w:rsidRPr="000248F2" w:rsidR="00B3325B" w:rsidP="0037778A" w:rsidRDefault="00DE299E" w14:paraId="0ED5FA72" w14:textId="414A82CB">
      <w:pPr>
        <w:pStyle w:val="Textoindependiente"/>
        <w:spacing w:line="276" w:lineRule="auto"/>
        <w:ind w:left="300" w:right="305"/>
        <w:jc w:val="both"/>
      </w:pPr>
      <w:r w:rsidRPr="000248F2">
        <w:t>A partir de la Ley 1150 de 2007 la Administración contó con un criterio más claro y determinado para saber si la ausencia de documentos o requisitos de la oferta conlleva a su rechazo o al requerimiento del proponente para que lo subsane, pues bastará con</w:t>
      </w:r>
      <w:r w:rsidRPr="000248F2">
        <w:rPr>
          <w:spacing w:val="39"/>
        </w:rPr>
        <w:t xml:space="preserve"> </w:t>
      </w:r>
      <w:r w:rsidRPr="000248F2">
        <w:t>un</w:t>
      </w:r>
      <w:r w:rsidR="0037778A">
        <w:t xml:space="preserve"> </w:t>
      </w:r>
      <w:r w:rsidRPr="000248F2">
        <w:t>simple ejercicio de verificación que consiste en corroborar si lo omitido hace parte de los aspectos que otorgan puntaje o no.</w:t>
      </w:r>
    </w:p>
    <w:p w:rsidRPr="000248F2" w:rsidR="00B3325B" w:rsidRDefault="00B3325B" w14:paraId="41F5B231" w14:textId="77777777">
      <w:pPr>
        <w:pStyle w:val="Textoindependiente"/>
        <w:spacing w:before="1"/>
        <w:rPr>
          <w:sz w:val="25"/>
        </w:rPr>
      </w:pPr>
    </w:p>
    <w:p w:rsidRPr="000248F2" w:rsidR="00B3325B" w:rsidRDefault="00DE299E" w14:paraId="09C1E649" w14:textId="77777777">
      <w:pPr>
        <w:pStyle w:val="Textoindependiente"/>
        <w:spacing w:line="276" w:lineRule="auto"/>
        <w:ind w:left="300" w:right="312"/>
        <w:jc w:val="both"/>
      </w:pPr>
      <w:r w:rsidRPr="000248F2">
        <w:t xml:space="preserve">Si al verificar la Administración encuentra que lo omitido por el proponente es un aspecto </w:t>
      </w:r>
      <w:r w:rsidRPr="000248F2">
        <w:lastRenderedPageBreak/>
        <w:t>que otorga puntaje no es posible subsanarlo; pero si lo omitido no otorga puntaje la Administración debe requerir al proponente para que lo subsane.</w:t>
      </w:r>
    </w:p>
    <w:p w:rsidRPr="000248F2" w:rsidR="00B3325B" w:rsidRDefault="00B3325B" w14:paraId="6EAC21E2" w14:textId="77777777">
      <w:pPr>
        <w:pStyle w:val="Textoindependiente"/>
        <w:spacing w:before="2"/>
        <w:rPr>
          <w:sz w:val="25"/>
        </w:rPr>
      </w:pPr>
    </w:p>
    <w:p w:rsidRPr="000248F2" w:rsidR="00B3325B" w:rsidRDefault="00DE299E" w14:paraId="5C9CD11D" w14:textId="77777777">
      <w:pPr>
        <w:pStyle w:val="Textoindependiente"/>
        <w:spacing w:line="276" w:lineRule="auto"/>
        <w:ind w:left="300" w:right="305"/>
        <w:jc w:val="both"/>
      </w:pPr>
      <w:r w:rsidRPr="000248F2">
        <w:t>El artículo 5 de la Ley 1150 de 2007, además de consagrar un criterio más claro, y de paso reducir la discrecionalidad de la Administración, fijó un ámbito temporal para la subsanación de las ofertas: “</w:t>
      </w:r>
      <w:r w:rsidRPr="000248F2">
        <w:rPr>
          <w:i/>
        </w:rPr>
        <w:t>en cualquier momento, hasta la adjudicación</w:t>
      </w:r>
      <w:r w:rsidRPr="000248F2">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0248F2">
        <w:rPr>
          <w:spacing w:val="-40"/>
        </w:rPr>
        <w:t xml:space="preserve"> </w:t>
      </w:r>
      <w:r w:rsidRPr="000248F2">
        <w:t>términos:</w:t>
      </w:r>
    </w:p>
    <w:p w:rsidRPr="000248F2" w:rsidR="00B3325B" w:rsidRDefault="00B3325B" w14:paraId="070F22AD" w14:textId="77777777">
      <w:pPr>
        <w:pStyle w:val="Textoindependiente"/>
        <w:spacing w:before="1"/>
        <w:rPr>
          <w:sz w:val="24"/>
        </w:rPr>
      </w:pPr>
    </w:p>
    <w:p w:rsidRPr="000248F2" w:rsidR="00B3325B" w:rsidRDefault="00DE299E" w14:paraId="6AB1F1DB" w14:textId="2314C5F3">
      <w:pPr>
        <w:ind w:left="1005" w:right="1015"/>
        <w:jc w:val="both"/>
        <w:rPr>
          <w:sz w:val="21"/>
        </w:rPr>
      </w:pPr>
      <w:r w:rsidRPr="000248F2">
        <w:rPr>
          <w:sz w:val="21"/>
        </w:rPr>
        <w:t xml:space="preserve">Esto significa que en adelante las entidades y los oferentes </w:t>
      </w:r>
      <w:proofErr w:type="gramStart"/>
      <w:r w:rsidRPr="000248F2">
        <w:rPr>
          <w:sz w:val="21"/>
        </w:rPr>
        <w:t>aplican  directamente</w:t>
      </w:r>
      <w:proofErr w:type="gramEnd"/>
      <w:r w:rsidRPr="000248F2">
        <w:rPr>
          <w:sz w:val="21"/>
        </w:rPr>
        <w:t xml:space="preserv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w:t>
      </w:r>
      <w:r w:rsidRPr="000248F2">
        <w:rPr>
          <w:spacing w:val="-7"/>
          <w:sz w:val="21"/>
        </w:rPr>
        <w:t xml:space="preserve"> </w:t>
      </w:r>
      <w:r w:rsidRPr="000248F2">
        <w:rPr>
          <w:sz w:val="21"/>
        </w:rPr>
        <w:t>suficientemente</w:t>
      </w:r>
      <w:r w:rsidR="0037778A">
        <w:rPr>
          <w:rStyle w:val="Refdenotaalpie"/>
          <w:sz w:val="21"/>
        </w:rPr>
        <w:footnoteReference w:id="3"/>
      </w:r>
      <w:r w:rsidRPr="000248F2">
        <w:rPr>
          <w:sz w:val="21"/>
        </w:rPr>
        <w:t>.</w:t>
      </w:r>
    </w:p>
    <w:p w:rsidRPr="000248F2" w:rsidR="00B3325B" w:rsidRDefault="00B3325B" w14:paraId="47984270" w14:textId="77777777">
      <w:pPr>
        <w:pStyle w:val="Textoindependiente"/>
        <w:spacing w:before="2"/>
        <w:rPr>
          <w:sz w:val="25"/>
        </w:rPr>
      </w:pPr>
    </w:p>
    <w:p w:rsidRPr="000248F2" w:rsidR="00B3325B" w:rsidRDefault="00DE299E" w14:paraId="3739A166" w14:textId="77777777">
      <w:pPr>
        <w:pStyle w:val="Textoindependiente"/>
        <w:spacing w:line="276" w:lineRule="auto"/>
        <w:ind w:left="300" w:right="433"/>
        <w:jc w:val="both"/>
      </w:pPr>
      <w:r w:rsidRPr="000248F2">
        <w:t xml:space="preserve">Esa interpretación fue compartida por la Agencia Nacional de Contratación Pública – Colombia Compra Eficiente –, pues en la Circular Externa Única se precisó </w:t>
      </w:r>
      <w:proofErr w:type="gramStart"/>
      <w:r w:rsidRPr="000248F2">
        <w:t>que</w:t>
      </w:r>
      <w:proofErr w:type="gramEnd"/>
      <w:r w:rsidRPr="000248F2">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0248F2" w:rsidR="00B3325B" w:rsidRDefault="00B3325B" w14:paraId="38F1904F" w14:textId="77777777">
      <w:pPr>
        <w:pStyle w:val="Textoindependiente"/>
        <w:spacing w:before="2"/>
        <w:rPr>
          <w:sz w:val="25"/>
        </w:rPr>
      </w:pPr>
    </w:p>
    <w:p w:rsidRPr="000248F2" w:rsidR="00B3325B" w:rsidRDefault="00DE299E" w14:paraId="263A00C4" w14:textId="77777777">
      <w:pPr>
        <w:pStyle w:val="Textoindependiente"/>
        <w:spacing w:line="276" w:lineRule="auto"/>
        <w:ind w:left="300" w:right="307"/>
        <w:jc w:val="both"/>
      </w:pPr>
      <w:r w:rsidRPr="000248F2">
        <w:t xml:space="preserve">En un </w:t>
      </w:r>
      <w:r w:rsidRPr="000248F2">
        <w:rPr>
          <w:i/>
        </w:rPr>
        <w:t>cuarto momento</w:t>
      </w:r>
      <w:r w:rsidRPr="000248F2">
        <w:t>, el legislador expidió la Ley 1882 de 2018, con la finalidad de introducir cambios y ajustes para fortalecer la contratación pública. El artículo 5 modificó el parágrafo 1º del artículo 5 de la Ley 1150 de 2007:</w:t>
      </w:r>
    </w:p>
    <w:p w:rsidRPr="000248F2" w:rsidR="00B3325B" w:rsidRDefault="00B3325B" w14:paraId="1A3C1F6B" w14:textId="77777777">
      <w:pPr>
        <w:pStyle w:val="Textoindependiente"/>
        <w:spacing w:before="5"/>
        <w:rPr>
          <w:sz w:val="25"/>
        </w:rPr>
      </w:pPr>
    </w:p>
    <w:p w:rsidRPr="000248F2" w:rsidR="00B3325B" w:rsidP="0037778A" w:rsidRDefault="00DE299E" w14:paraId="230BD57F" w14:textId="61D7D536">
      <w:pPr>
        <w:ind w:left="1005" w:right="5162"/>
        <w:rPr>
          <w:sz w:val="20"/>
        </w:rPr>
      </w:pPr>
      <w:r w:rsidRPr="000248F2">
        <w:rPr>
          <w:sz w:val="21"/>
        </w:rPr>
        <w:t>Artículo 5°. De la selección objetiva. (... )</w:t>
      </w:r>
    </w:p>
    <w:p w:rsidRPr="000248F2" w:rsidR="00B3325B" w:rsidRDefault="00B3325B" w14:paraId="180A3C9C" w14:textId="77777777">
      <w:pPr>
        <w:pStyle w:val="Textoindependiente"/>
        <w:spacing w:before="4"/>
        <w:rPr>
          <w:sz w:val="16"/>
        </w:rPr>
      </w:pPr>
    </w:p>
    <w:p w:rsidRPr="000248F2" w:rsidR="00B3325B" w:rsidRDefault="00DE299E" w14:paraId="5BC3ED7C" w14:textId="77777777">
      <w:pPr>
        <w:spacing w:before="94"/>
        <w:ind w:left="1005" w:right="1012"/>
        <w:jc w:val="both"/>
        <w:rPr>
          <w:sz w:val="21"/>
        </w:rPr>
      </w:pPr>
      <w:r w:rsidRPr="000248F2">
        <w:rPr>
          <w:sz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w:t>
      </w:r>
      <w:r w:rsidRPr="000248F2">
        <w:rPr>
          <w:sz w:val="21"/>
        </w:rPr>
        <w:lastRenderedPageBreak/>
        <w:t>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rsidRPr="000248F2" w:rsidR="00B3325B" w:rsidRDefault="00B3325B" w14:paraId="067A8C76" w14:textId="77777777">
      <w:pPr>
        <w:pStyle w:val="Textoindependiente"/>
        <w:spacing w:before="5"/>
        <w:rPr>
          <w:sz w:val="25"/>
        </w:rPr>
      </w:pPr>
    </w:p>
    <w:p w:rsidRPr="000248F2" w:rsidR="00B3325B" w:rsidRDefault="00DE299E" w14:paraId="266B3940" w14:textId="77777777">
      <w:pPr>
        <w:pStyle w:val="Textoindependiente"/>
        <w:spacing w:line="276" w:lineRule="auto"/>
        <w:ind w:left="300" w:right="307"/>
        <w:jc w:val="both"/>
      </w:pPr>
      <w:r w:rsidRPr="000248F2">
        <w:t>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p>
    <w:p w:rsidRPr="000248F2" w:rsidR="00B3325B" w:rsidRDefault="00B3325B" w14:paraId="7A80106E" w14:textId="77777777">
      <w:pPr>
        <w:pStyle w:val="Textoindependiente"/>
        <w:spacing w:before="3"/>
        <w:rPr>
          <w:sz w:val="25"/>
        </w:rPr>
      </w:pPr>
    </w:p>
    <w:p w:rsidRPr="000248F2" w:rsidR="00B3325B" w:rsidRDefault="00DE299E" w14:paraId="1E035768" w14:textId="36ECE945">
      <w:pPr>
        <w:pStyle w:val="Textoindependiente"/>
        <w:spacing w:line="276" w:lineRule="auto"/>
        <w:ind w:left="300" w:right="304"/>
        <w:jc w:val="both"/>
      </w:pPr>
      <w:r w:rsidRPr="000248F2">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0037778A">
        <w:rPr>
          <w:rStyle w:val="Refdenotaalpie"/>
        </w:rPr>
        <w:footnoteReference w:id="4"/>
      </w:r>
      <w:r w:rsidRPr="000248F2">
        <w:t>; en el último los documentos o requisitos subsanables pueden y deben solicitarse hasta el momento previo a su realización.</w:t>
      </w:r>
    </w:p>
    <w:p w:rsidRPr="000248F2" w:rsidR="00B3325B" w:rsidRDefault="00B3325B" w14:paraId="013CE59C" w14:textId="77777777">
      <w:pPr>
        <w:pStyle w:val="Textoindependiente"/>
        <w:spacing w:before="6"/>
        <w:rPr>
          <w:sz w:val="25"/>
        </w:rPr>
      </w:pPr>
    </w:p>
    <w:p w:rsidRPr="000248F2" w:rsidR="00B3325B" w:rsidRDefault="00DE299E" w14:paraId="18414753" w14:textId="77777777">
      <w:pPr>
        <w:pStyle w:val="Textoindependiente"/>
        <w:spacing w:line="276" w:lineRule="auto"/>
        <w:ind w:left="300" w:right="312"/>
        <w:jc w:val="both"/>
      </w:pPr>
      <w:r w:rsidRPr="000248F2">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0248F2">
        <w:rPr>
          <w:spacing w:val="-8"/>
        </w:rPr>
        <w:t xml:space="preserve"> </w:t>
      </w:r>
      <w:r w:rsidRPr="000248F2">
        <w:t>evaluación.</w:t>
      </w:r>
    </w:p>
    <w:p w:rsidRPr="000248F2" w:rsidR="00B3325B" w:rsidRDefault="00B3325B" w14:paraId="1B59F0BB" w14:textId="77777777">
      <w:pPr>
        <w:pStyle w:val="Textoindependiente"/>
        <w:spacing w:before="1"/>
        <w:rPr>
          <w:sz w:val="25"/>
        </w:rPr>
      </w:pPr>
    </w:p>
    <w:p w:rsidRPr="000248F2" w:rsidR="00B3325B" w:rsidP="0037778A" w:rsidRDefault="00DE299E" w14:paraId="156ED1E8" w14:textId="322A9E1B">
      <w:pPr>
        <w:spacing w:line="276" w:lineRule="auto"/>
        <w:ind w:left="300" w:right="303"/>
        <w:jc w:val="both"/>
      </w:pPr>
      <w:r w:rsidR="00DE299E">
        <w:rPr/>
        <w:t>En efecto, la redacción de la norma permite que la Administración solicite a los oferentes subsanar y que estos lo hagan hasta antes del término del traslado del informe de evaluación: “</w:t>
      </w:r>
      <w:r w:rsidRPr="34BC76A6" w:rsidR="00DE299E">
        <w:rPr>
          <w:i w:val="1"/>
          <w:iCs w:val="1"/>
        </w:rPr>
        <w:t xml:space="preserve">deberán ser </w:t>
      </w:r>
      <w:r w:rsidRPr="34BC76A6" w:rsidR="00DE299E">
        <w:rPr>
          <w:b w:val="1"/>
          <w:bCs w:val="1"/>
          <w:i w:val="1"/>
          <w:iCs w:val="1"/>
        </w:rPr>
        <w:t xml:space="preserve">solicitados </w:t>
      </w:r>
      <w:r w:rsidRPr="34BC76A6" w:rsidR="00DE299E">
        <w:rPr>
          <w:i w:val="1"/>
          <w:iCs w:val="1"/>
        </w:rPr>
        <w:t xml:space="preserve">por las entidades estatales y deberán </w:t>
      </w:r>
      <w:r w:rsidRPr="34BC76A6" w:rsidR="00DE299E">
        <w:rPr>
          <w:i w:val="1"/>
          <w:iCs w:val="1"/>
        </w:rPr>
        <w:t>ser</w:t>
      </w:r>
      <w:r w:rsidRPr="34BC76A6" w:rsidR="0037778A">
        <w:rPr>
          <w:i w:val="1"/>
          <w:iCs w:val="1"/>
        </w:rPr>
        <w:t xml:space="preserve"> </w:t>
      </w:r>
      <w:r w:rsidRPr="34BC76A6" w:rsidR="00DE299E">
        <w:rPr>
          <w:b w:val="1"/>
          <w:bCs w:val="1"/>
          <w:i w:val="1"/>
          <w:iCs w:val="1"/>
        </w:rPr>
        <w:t xml:space="preserve">entregados </w:t>
      </w:r>
      <w:r w:rsidRPr="34BC76A6" w:rsidR="00DE299E">
        <w:rPr>
          <w:i w:val="1"/>
          <w:iCs w:val="1"/>
        </w:rPr>
        <w:t xml:space="preserve">por los proponentes </w:t>
      </w:r>
      <w:r w:rsidRPr="34BC76A6" w:rsidR="00DE299E">
        <w:rPr>
          <w:b w:val="1"/>
          <w:bCs w:val="1"/>
          <w:i w:val="1"/>
          <w:iCs w:val="1"/>
        </w:rPr>
        <w:t xml:space="preserve">hasta </w:t>
      </w:r>
      <w:r w:rsidRPr="34BC76A6" w:rsidR="00DE299E">
        <w:rPr>
          <w:i w:val="1"/>
          <w:iCs w:val="1"/>
        </w:rPr>
        <w:t>el término de traslado del informe de evaluación que corresponda a cada modalidad de selección</w:t>
      </w:r>
      <w:r w:rsidR="00DE299E">
        <w:rPr/>
        <w:t>”.</w:t>
      </w:r>
    </w:p>
    <w:p w:rsidRPr="000248F2" w:rsidR="00B3325B" w:rsidRDefault="00B3325B" w14:paraId="57777E88" w14:textId="77777777">
      <w:pPr>
        <w:pStyle w:val="Textoindependiente"/>
        <w:spacing w:before="1"/>
        <w:rPr>
          <w:sz w:val="25"/>
        </w:rPr>
      </w:pPr>
    </w:p>
    <w:p w:rsidRPr="000248F2" w:rsidR="00B3325B" w:rsidRDefault="00DE299E" w14:paraId="1E3E0BAA" w14:textId="77777777">
      <w:pPr>
        <w:pStyle w:val="Textoindependiente"/>
        <w:spacing w:line="276" w:lineRule="auto"/>
        <w:ind w:left="300" w:right="310"/>
        <w:jc w:val="both"/>
      </w:pPr>
      <w:r w:rsidRPr="000248F2">
        <w:t xml:space="preserve">No obstante, de la lectura de este aparte podrían, en la práctica, darse dos interpretaciones que dan lugar a dos formas de proceder en los procesos de selección, en lo que a la </w:t>
      </w:r>
      <w:proofErr w:type="spellStart"/>
      <w:r w:rsidRPr="000248F2">
        <w:t>subsanabilidad</w:t>
      </w:r>
      <w:proofErr w:type="spellEnd"/>
      <w:r w:rsidRPr="000248F2">
        <w:t xml:space="preserve"> de las ofertas se refiere. Primera, que la posibilidad para subsanar de los oferentes es el término del traslado del informe de evaluación, ya que es en este </w:t>
      </w:r>
      <w:r w:rsidRPr="000248F2">
        <w:lastRenderedPageBreak/>
        <w:t>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rsidRPr="000248F2" w:rsidR="00B3325B" w:rsidRDefault="00B3325B" w14:paraId="4D522D95" w14:textId="77777777">
      <w:pPr>
        <w:pStyle w:val="Textoindependiente"/>
        <w:spacing w:before="3"/>
        <w:rPr>
          <w:sz w:val="25"/>
        </w:rPr>
      </w:pPr>
    </w:p>
    <w:p w:rsidRPr="000248F2" w:rsidR="00B3325B" w:rsidRDefault="00DE299E" w14:paraId="64AB8924" w14:textId="77777777">
      <w:pPr>
        <w:pStyle w:val="Textoindependiente"/>
        <w:spacing w:line="276" w:lineRule="auto"/>
        <w:ind w:left="300" w:right="306"/>
        <w:jc w:val="both"/>
      </w:pPr>
      <w:r w:rsidRPr="000248F2">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rsidRPr="000248F2" w:rsidR="00B3325B" w:rsidRDefault="00B3325B" w14:paraId="23B90604" w14:textId="77777777">
      <w:pPr>
        <w:pStyle w:val="Textoindependiente"/>
        <w:spacing w:before="4"/>
        <w:rPr>
          <w:sz w:val="25"/>
        </w:rPr>
      </w:pPr>
    </w:p>
    <w:p w:rsidRPr="000248F2" w:rsidR="00B3325B" w:rsidRDefault="00DE299E" w14:paraId="0C289C6D" w14:textId="77777777">
      <w:pPr>
        <w:pStyle w:val="Textoindependiente"/>
        <w:spacing w:line="276" w:lineRule="auto"/>
        <w:ind w:left="300" w:right="310"/>
        <w:jc w:val="both"/>
      </w:pPr>
      <w:r w:rsidRPr="000248F2">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0248F2">
        <w:rPr>
          <w:spacing w:val="-6"/>
        </w:rPr>
        <w:t xml:space="preserve"> </w:t>
      </w:r>
      <w:r w:rsidRPr="000248F2">
        <w:t>ley.</w:t>
      </w:r>
    </w:p>
    <w:p w:rsidRPr="000248F2" w:rsidR="00B3325B" w:rsidRDefault="00B3325B" w14:paraId="0D05B454" w14:textId="77777777">
      <w:pPr>
        <w:pStyle w:val="Textoindependiente"/>
        <w:spacing w:before="2"/>
        <w:rPr>
          <w:sz w:val="25"/>
        </w:rPr>
      </w:pPr>
    </w:p>
    <w:p w:rsidRPr="000248F2" w:rsidR="00B3325B" w:rsidRDefault="00DE299E" w14:paraId="2EE3ACDE" w14:textId="77777777">
      <w:pPr>
        <w:pStyle w:val="Textoindependiente"/>
        <w:spacing w:line="276" w:lineRule="auto"/>
        <w:ind w:left="300" w:right="306"/>
        <w:jc w:val="both"/>
      </w:pPr>
      <w:r w:rsidRPr="000248F2">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Pr="000248F2" w:rsidR="00B3325B" w:rsidRDefault="00B3325B" w14:paraId="6F6B9CE2" w14:textId="77777777">
      <w:pPr>
        <w:pStyle w:val="Textoindependiente"/>
        <w:spacing w:before="6"/>
        <w:rPr>
          <w:sz w:val="25"/>
        </w:rPr>
      </w:pPr>
    </w:p>
    <w:p w:rsidRPr="000248F2" w:rsidR="00B3325B" w:rsidP="0037778A" w:rsidRDefault="00DE299E" w14:paraId="5AC4C423" w14:textId="54CEF320">
      <w:pPr>
        <w:pStyle w:val="Textoindependiente"/>
        <w:spacing w:line="276" w:lineRule="auto"/>
        <w:ind w:left="300" w:right="306"/>
        <w:jc w:val="both"/>
      </w:pPr>
      <w:r w:rsidRPr="000248F2">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w:t>
      </w:r>
      <w:r w:rsidR="0037778A">
        <w:t xml:space="preserve"> </w:t>
      </w:r>
      <w:r w:rsidRPr="000248F2">
        <w:t>una vez la Administración advierta el defecto le solicite directamente al oferente que subsane. Esta interpretación es más consistente con los principios de economía, transparencia y selección objetiva.</w:t>
      </w:r>
    </w:p>
    <w:p w:rsidRPr="000248F2" w:rsidR="00B3325B" w:rsidRDefault="00B3325B" w14:paraId="49A56222" w14:textId="77777777">
      <w:pPr>
        <w:pStyle w:val="Textoindependiente"/>
        <w:spacing w:before="5"/>
        <w:rPr>
          <w:sz w:val="25"/>
        </w:rPr>
      </w:pPr>
    </w:p>
    <w:p w:rsidRPr="000248F2" w:rsidR="00B3325B" w:rsidRDefault="00DE299E" w14:paraId="68B29003" w14:textId="77777777">
      <w:pPr>
        <w:spacing w:line="276" w:lineRule="auto"/>
        <w:ind w:left="300" w:right="305"/>
        <w:jc w:val="both"/>
      </w:pPr>
      <w:r w:rsidRPr="000248F2">
        <w:t>De otro lado, el segundo cambio importante de la Ley 1882 de 2018 fue la introducción de un criterio material, directamente relacionado con los aspectos subsanables: “</w:t>
      </w:r>
      <w:r w:rsidRPr="000248F2">
        <w:rPr>
          <w:i/>
        </w:rPr>
        <w:t>los proponentes no podrán acreditar circunstancias ocurridas con posterioridad al cierre del proceso</w:t>
      </w:r>
      <w:r w:rsidRPr="000248F2">
        <w:t>”</w:t>
      </w:r>
      <w:r w:rsidRPr="000248F2">
        <w:rPr>
          <w:b/>
        </w:rPr>
        <w:t xml:space="preserve">. </w:t>
      </w:r>
      <w:r w:rsidRPr="000248F2">
        <w:t xml:space="preserve">Lo anterior nos ofrece dos aspectos que merecen clarificación; primero, qué debe entenderse por circunstancias ocurridas con posterioridad; y segundo, qué es el </w:t>
      </w:r>
      <w:r w:rsidRPr="000248F2">
        <w:lastRenderedPageBreak/>
        <w:t>cierre del</w:t>
      </w:r>
      <w:r w:rsidRPr="000248F2">
        <w:rPr>
          <w:spacing w:val="-2"/>
        </w:rPr>
        <w:t xml:space="preserve"> </w:t>
      </w:r>
      <w:r w:rsidRPr="000248F2">
        <w:t>proceso.</w:t>
      </w:r>
    </w:p>
    <w:p w:rsidRPr="000248F2" w:rsidR="00B3325B" w:rsidRDefault="00B3325B" w14:paraId="254B9EE1" w14:textId="77777777">
      <w:pPr>
        <w:pStyle w:val="Textoindependiente"/>
        <w:spacing w:before="2"/>
        <w:rPr>
          <w:sz w:val="25"/>
        </w:rPr>
      </w:pPr>
    </w:p>
    <w:p w:rsidRPr="000248F2" w:rsidR="00B3325B" w:rsidRDefault="00DE299E" w14:paraId="611AE4C5" w14:textId="2DC4774F">
      <w:pPr>
        <w:pStyle w:val="Textoindependiente"/>
        <w:spacing w:line="276" w:lineRule="auto"/>
        <w:ind w:left="300" w:right="308"/>
        <w:jc w:val="both"/>
      </w:pPr>
      <w:r w:rsidRPr="000248F2">
        <w:t>La Sala de Consulta y Servicio Civil del Consejo de Estado ya había tenido la oportunidad de precisar estas expresiones, a propósito de un concepto en el que se refirió al artículo 10 del derogado Decreto 2474 de 2008</w:t>
      </w:r>
      <w:r w:rsidR="0037778A">
        <w:rPr>
          <w:rStyle w:val="Refdenotaalpie"/>
        </w:rPr>
        <w:footnoteReference w:id="5"/>
      </w:r>
      <w:r w:rsidRPr="000248F2">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w:t>
      </w:r>
      <w:r w:rsidRPr="000248F2">
        <w:rPr>
          <w:spacing w:val="-22"/>
        </w:rPr>
        <w:t xml:space="preserve"> </w:t>
      </w:r>
      <w:r w:rsidRPr="000248F2">
        <w:t>fecha:</w:t>
      </w:r>
    </w:p>
    <w:p w:rsidRPr="000248F2" w:rsidR="00B3325B" w:rsidRDefault="00B3325B" w14:paraId="5FC73AE6" w14:textId="77777777">
      <w:pPr>
        <w:pStyle w:val="Textoindependiente"/>
        <w:spacing w:before="3"/>
        <w:rPr>
          <w:sz w:val="25"/>
        </w:rPr>
      </w:pPr>
    </w:p>
    <w:p w:rsidRPr="000248F2" w:rsidR="00B3325B" w:rsidP="0037778A" w:rsidRDefault="00DE299E" w14:paraId="6C71BBA5" w14:textId="4B38314B">
      <w:pPr>
        <w:spacing w:before="1"/>
        <w:ind w:left="1005" w:right="1014"/>
        <w:jc w:val="both"/>
        <w:rPr>
          <w:sz w:val="20"/>
        </w:rPr>
      </w:pPr>
      <w:r w:rsidRPr="000248F2">
        <w:rPr>
          <w:sz w:val="21"/>
        </w:rPr>
        <w:t xml:space="preserve">Sin embargo, debe tenerse en cuenta que la última norma en cita -Decreto 2474 de 2008, aparte subrayado-, establece un límite a la </w:t>
      </w:r>
      <w:proofErr w:type="spellStart"/>
      <w:r w:rsidRPr="000248F2">
        <w:rPr>
          <w:sz w:val="21"/>
        </w:rPr>
        <w:t>subsanabilidad</w:t>
      </w:r>
      <w:proofErr w:type="spellEnd"/>
      <w:r w:rsidRPr="000248F2">
        <w:rPr>
          <w:sz w:val="21"/>
        </w:rPr>
        <w:t xml:space="preserve">, puesto que </w:t>
      </w:r>
      <w:proofErr w:type="gramStart"/>
      <w:r w:rsidRPr="000248F2">
        <w:rPr>
          <w:sz w:val="21"/>
        </w:rPr>
        <w:t>en  cualquier</w:t>
      </w:r>
      <w:proofErr w:type="gramEnd"/>
      <w:r w:rsidRPr="000248F2">
        <w:rPr>
          <w:sz w:val="21"/>
        </w:rPr>
        <w:t xml:space="preserve">  caso  debe  referirse   o   recaer   sobre   circunstancias   ocurridas antes del cierre del respectivo proceso, esto es, del vencimiento del plazo para presentar</w:t>
      </w:r>
      <w:r w:rsidRPr="000248F2">
        <w:rPr>
          <w:spacing w:val="-4"/>
          <w:sz w:val="21"/>
        </w:rPr>
        <w:t xml:space="preserve"> </w:t>
      </w:r>
      <w:r w:rsidRPr="000248F2">
        <w:rPr>
          <w:sz w:val="21"/>
        </w:rPr>
        <w:t>ofertas.</w:t>
      </w:r>
    </w:p>
    <w:p w:rsidRPr="000248F2" w:rsidR="00B3325B" w:rsidRDefault="00B3325B" w14:paraId="6238960A" w14:textId="77777777">
      <w:pPr>
        <w:pStyle w:val="Textoindependiente"/>
        <w:spacing w:before="4"/>
        <w:rPr>
          <w:sz w:val="16"/>
        </w:rPr>
      </w:pPr>
    </w:p>
    <w:p w:rsidRPr="000248F2" w:rsidR="00B3325B" w:rsidRDefault="00DE299E" w14:paraId="2FE0DA2C" w14:textId="45CDCC17">
      <w:pPr>
        <w:spacing w:before="94"/>
        <w:ind w:left="1005" w:right="1016"/>
        <w:jc w:val="both"/>
        <w:rPr>
          <w:sz w:val="21"/>
        </w:rPr>
      </w:pPr>
      <w:r w:rsidRPr="000248F2">
        <w:rPr>
          <w:sz w:val="2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w:t>
      </w:r>
      <w:r w:rsidRPr="000248F2">
        <w:rPr>
          <w:sz w:val="21"/>
        </w:rPr>
        <w:lastRenderedPageBreak/>
        <w:t>haga entrega del mismo o lo actualice, pero no para que se constituya la sociedad con posterioridad al cierre del proceso, pues si ello no se había hecho, significa simplemente que el oferente no tenía la condición para</w:t>
      </w:r>
      <w:r w:rsidRPr="000248F2">
        <w:rPr>
          <w:spacing w:val="-21"/>
          <w:sz w:val="21"/>
        </w:rPr>
        <w:t xml:space="preserve"> </w:t>
      </w:r>
      <w:r w:rsidRPr="000248F2">
        <w:rPr>
          <w:sz w:val="21"/>
        </w:rPr>
        <w:t>participar</w:t>
      </w:r>
      <w:r w:rsidR="0037778A">
        <w:rPr>
          <w:rStyle w:val="Refdenotaalpie"/>
          <w:sz w:val="21"/>
        </w:rPr>
        <w:footnoteReference w:id="6"/>
      </w:r>
      <w:r w:rsidRPr="000248F2">
        <w:rPr>
          <w:sz w:val="21"/>
        </w:rPr>
        <w:t>.</w:t>
      </w:r>
    </w:p>
    <w:p w:rsidRPr="000248F2" w:rsidR="00B3325B" w:rsidRDefault="00B3325B" w14:paraId="601E89F9" w14:textId="77777777">
      <w:pPr>
        <w:pStyle w:val="Textoindependiente"/>
        <w:rPr>
          <w:sz w:val="25"/>
        </w:rPr>
      </w:pPr>
    </w:p>
    <w:p w:rsidRPr="000248F2" w:rsidR="00B3325B" w:rsidRDefault="00DE299E" w14:paraId="0E9FF3F2" w14:textId="77777777">
      <w:pPr>
        <w:pStyle w:val="Textoindependiente"/>
        <w:spacing w:line="276" w:lineRule="auto"/>
        <w:ind w:left="300" w:right="306"/>
        <w:jc w:val="both"/>
      </w:pPr>
      <w:r w:rsidRPr="000248F2">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rsidRPr="000248F2" w:rsidR="00B3325B" w:rsidRDefault="00B3325B" w14:paraId="295E4044" w14:textId="77777777">
      <w:pPr>
        <w:pStyle w:val="Textoindependiente"/>
        <w:spacing w:before="4"/>
        <w:rPr>
          <w:sz w:val="25"/>
        </w:rPr>
      </w:pPr>
    </w:p>
    <w:p w:rsidRPr="000248F2" w:rsidR="00B3325B" w:rsidRDefault="00DE299E" w14:paraId="1FD430C5" w14:textId="77777777">
      <w:pPr>
        <w:pStyle w:val="Textoindependiente"/>
        <w:spacing w:before="1" w:line="276" w:lineRule="auto"/>
        <w:ind w:left="300" w:right="306"/>
        <w:jc w:val="both"/>
      </w:pPr>
      <w:r w:rsidRPr="000248F2">
        <w:t xml:space="preserve">Un mejor entendimiento del significado de la expresión “circunstancias ocurridas con posterioridad al cierre del proceso” nos lleva necesariamente a distinguir entre la prueba de un hecho y el hecho mismo. En el caso de la </w:t>
      </w:r>
      <w:proofErr w:type="spellStart"/>
      <w:r w:rsidRPr="000248F2">
        <w:t>subsanabilidad</w:t>
      </w:r>
      <w:proofErr w:type="spellEnd"/>
      <w:r w:rsidRPr="000248F2">
        <w:t xml:space="preserve">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rsidRPr="000248F2" w:rsidR="00B3325B" w:rsidRDefault="00B3325B" w14:paraId="2A5FB4A8" w14:textId="77777777">
      <w:pPr>
        <w:pStyle w:val="Textoindependiente"/>
        <w:spacing w:before="3"/>
        <w:rPr>
          <w:sz w:val="25"/>
        </w:rPr>
      </w:pPr>
    </w:p>
    <w:p w:rsidRPr="000248F2" w:rsidR="00B3325B" w:rsidP="0037778A" w:rsidRDefault="00DE299E" w14:paraId="24E77F02" w14:textId="4FB8F146">
      <w:pPr>
        <w:pStyle w:val="Textoindependiente"/>
        <w:spacing w:line="276" w:lineRule="auto"/>
        <w:ind w:left="300" w:right="305"/>
        <w:jc w:val="both"/>
      </w:pPr>
      <w:r w:rsidRPr="000248F2">
        <w:t>Por ejemplo: i) si un oferente olvidó adjuntar con su propuesta el certificado que da cuenta de su inscripción en el RUP, el requisito será subsanable siempre que la prueba aportada demuestre que el hecho, esto es, la inscripción en el registro, ocurrió con anterioridad al cierre del proceso; ii) si un oferente presentó la propuesta sin anexar la autorización al representante legal, por parte de la junta directiva de la sociedad, el certificado, aunque sea</w:t>
      </w:r>
      <w:r w:rsidRPr="000248F2">
        <w:rPr>
          <w:spacing w:val="10"/>
        </w:rPr>
        <w:t xml:space="preserve"> </w:t>
      </w:r>
      <w:r w:rsidRPr="000248F2">
        <w:t>posterior,</w:t>
      </w:r>
      <w:r w:rsidRPr="000248F2">
        <w:rPr>
          <w:spacing w:val="8"/>
        </w:rPr>
        <w:t xml:space="preserve"> </w:t>
      </w:r>
      <w:r w:rsidRPr="000248F2">
        <w:t>debe</w:t>
      </w:r>
      <w:r w:rsidRPr="000248F2">
        <w:rPr>
          <w:spacing w:val="10"/>
        </w:rPr>
        <w:t xml:space="preserve"> </w:t>
      </w:r>
      <w:r w:rsidRPr="000248F2">
        <w:t>dar</w:t>
      </w:r>
      <w:r w:rsidRPr="000248F2">
        <w:rPr>
          <w:spacing w:val="10"/>
        </w:rPr>
        <w:t xml:space="preserve"> </w:t>
      </w:r>
      <w:r w:rsidRPr="000248F2">
        <w:t>cuenta</w:t>
      </w:r>
      <w:r w:rsidRPr="000248F2">
        <w:rPr>
          <w:spacing w:val="9"/>
        </w:rPr>
        <w:t xml:space="preserve"> </w:t>
      </w:r>
      <w:r w:rsidRPr="000248F2">
        <w:t>de</w:t>
      </w:r>
      <w:r w:rsidRPr="000248F2">
        <w:rPr>
          <w:spacing w:val="10"/>
        </w:rPr>
        <w:t xml:space="preserve"> </w:t>
      </w:r>
      <w:r w:rsidRPr="000248F2">
        <w:t>que</w:t>
      </w:r>
      <w:r w:rsidRPr="000248F2">
        <w:rPr>
          <w:spacing w:val="10"/>
        </w:rPr>
        <w:t xml:space="preserve"> </w:t>
      </w:r>
      <w:r w:rsidRPr="000248F2">
        <w:t>el</w:t>
      </w:r>
      <w:r w:rsidRPr="000248F2">
        <w:rPr>
          <w:spacing w:val="9"/>
        </w:rPr>
        <w:t xml:space="preserve"> </w:t>
      </w:r>
      <w:r w:rsidRPr="000248F2">
        <w:t>hecho</w:t>
      </w:r>
      <w:r w:rsidRPr="000248F2">
        <w:rPr>
          <w:spacing w:val="10"/>
        </w:rPr>
        <w:t xml:space="preserve"> </w:t>
      </w:r>
      <w:r w:rsidRPr="000248F2">
        <w:t>que</w:t>
      </w:r>
      <w:r w:rsidRPr="000248F2">
        <w:rPr>
          <w:spacing w:val="9"/>
        </w:rPr>
        <w:t xml:space="preserve"> </w:t>
      </w:r>
      <w:r w:rsidRPr="000248F2">
        <w:t>pretende</w:t>
      </w:r>
      <w:r w:rsidRPr="000248F2">
        <w:rPr>
          <w:spacing w:val="11"/>
        </w:rPr>
        <w:t xml:space="preserve"> </w:t>
      </w:r>
      <w:r w:rsidRPr="000248F2">
        <w:t>acreditar</w:t>
      </w:r>
      <w:r w:rsidRPr="000248F2">
        <w:rPr>
          <w:spacing w:val="14"/>
        </w:rPr>
        <w:t xml:space="preserve"> </w:t>
      </w:r>
      <w:r w:rsidRPr="000248F2">
        <w:t>-la</w:t>
      </w:r>
      <w:r w:rsidRPr="000248F2">
        <w:rPr>
          <w:spacing w:val="9"/>
        </w:rPr>
        <w:t xml:space="preserve"> </w:t>
      </w:r>
      <w:r w:rsidRPr="000248F2">
        <w:t>autorización</w:t>
      </w:r>
      <w:r w:rsidRPr="000248F2">
        <w:rPr>
          <w:spacing w:val="10"/>
        </w:rPr>
        <w:t xml:space="preserve"> </w:t>
      </w:r>
      <w:r w:rsidRPr="000248F2">
        <w:t>de</w:t>
      </w:r>
      <w:r w:rsidR="0037778A">
        <w:t xml:space="preserve"> </w:t>
      </w:r>
      <w:r w:rsidRPr="000248F2">
        <w:t>la junta- ocurrió antes del vencimiento del término para ofertar</w:t>
      </w:r>
      <w:r w:rsidR="0037778A">
        <w:rPr>
          <w:rStyle w:val="Refdenotaalpie"/>
        </w:rPr>
        <w:footnoteReference w:id="7"/>
      </w:r>
      <w:r w:rsidRPr="000248F2">
        <w:t>; iii) si un oferente no anexó el Certificado de existencia y representación legal, el documento aportado con posterioridad debe dar cuenta de que la sociedad existe antes del cierre del proceso</w:t>
      </w:r>
      <w:r w:rsidR="0037778A">
        <w:rPr>
          <w:rStyle w:val="Refdenotaalpie"/>
        </w:rPr>
        <w:footnoteReference w:id="8"/>
      </w:r>
      <w:r w:rsidRPr="000248F2">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vi) si el oferente olvidó firmar la propuesta o presentar una copia de ella, puede subsanar sin que con ello se entienda que acreditó una </w:t>
      </w:r>
      <w:r w:rsidRPr="000248F2">
        <w:lastRenderedPageBreak/>
        <w:t>circunstancia ocurrida con posterioridad al cierre del proceso y vi) se podrán presentar certificaciones de experiencia que fueron allegados con posterioridad al cierre siempre y cuando acredite experiencia adquirida antes del</w:t>
      </w:r>
      <w:r w:rsidRPr="000248F2">
        <w:rPr>
          <w:spacing w:val="-8"/>
        </w:rPr>
        <w:t xml:space="preserve"> </w:t>
      </w:r>
      <w:r w:rsidRPr="000248F2">
        <w:t>cierre.</w:t>
      </w:r>
    </w:p>
    <w:p w:rsidRPr="000248F2" w:rsidR="00B3325B" w:rsidRDefault="00B3325B" w14:paraId="600034BC" w14:textId="77777777">
      <w:pPr>
        <w:pStyle w:val="Textoindependiente"/>
        <w:spacing w:before="6"/>
        <w:rPr>
          <w:sz w:val="25"/>
        </w:rPr>
      </w:pPr>
    </w:p>
    <w:p w:rsidRPr="000248F2" w:rsidR="00B3325B" w:rsidRDefault="00DE299E" w14:paraId="02F3F54E" w14:textId="77777777">
      <w:pPr>
        <w:pStyle w:val="Textoindependiente"/>
        <w:spacing w:line="276" w:lineRule="auto"/>
        <w:ind w:left="300" w:right="305"/>
        <w:jc w:val="both"/>
      </w:pPr>
      <w:r w:rsidRPr="000248F2">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0248F2">
        <w:rPr>
          <w:spacing w:val="-4"/>
        </w:rPr>
        <w:t xml:space="preserve"> </w:t>
      </w:r>
      <w:r w:rsidRPr="000248F2">
        <w:t>proceso.</w:t>
      </w:r>
    </w:p>
    <w:p w:rsidRPr="000248F2" w:rsidR="00B3325B" w:rsidRDefault="00B3325B" w14:paraId="64165F1E" w14:textId="77777777">
      <w:pPr>
        <w:pStyle w:val="Textoindependiente"/>
        <w:spacing w:before="2"/>
        <w:rPr>
          <w:sz w:val="25"/>
        </w:rPr>
      </w:pPr>
    </w:p>
    <w:p w:rsidRPr="000248F2" w:rsidR="00B3325B" w:rsidRDefault="00DE299E" w14:paraId="494BDB11" w14:textId="54B67D24">
      <w:pPr>
        <w:pStyle w:val="Textoindependiente"/>
        <w:spacing w:line="276" w:lineRule="auto"/>
        <w:ind w:left="300" w:right="306"/>
        <w:jc w:val="both"/>
      </w:pPr>
      <w:r w:rsidRPr="000248F2">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37778A">
        <w:rPr>
          <w:rStyle w:val="Refdenotaalpie"/>
        </w:rPr>
        <w:footnoteReference w:id="9"/>
      </w:r>
    </w:p>
    <w:p w:rsidRPr="000248F2" w:rsidR="00B3325B" w:rsidRDefault="00B3325B" w14:paraId="7E1FEB7F" w14:textId="77777777">
      <w:pPr>
        <w:pStyle w:val="Textoindependiente"/>
        <w:spacing w:before="3"/>
        <w:rPr>
          <w:sz w:val="25"/>
        </w:rPr>
      </w:pPr>
    </w:p>
    <w:p w:rsidRPr="000248F2" w:rsidR="00B3325B" w:rsidP="0037778A" w:rsidRDefault="00DE299E" w14:paraId="20B0FE30" w14:textId="70D44DEF">
      <w:pPr>
        <w:pStyle w:val="Textoindependiente"/>
        <w:spacing w:line="276" w:lineRule="auto"/>
        <w:ind w:left="300" w:right="307"/>
        <w:jc w:val="both"/>
      </w:pPr>
      <w:r w:rsidRPr="000248F2">
        <w:t xml:space="preserve">Visto lo anterior, una vez verificada la ausencia de requisitos y/o documentos de la oferta, para saber si se puede subsanar, la Administración se debe preguntar, en primer lugar, si lo que hace falta es un </w:t>
      </w:r>
      <w:r w:rsidRPr="000248F2">
        <w:rPr>
          <w:i/>
        </w:rPr>
        <w:t xml:space="preserve">ítem </w:t>
      </w:r>
      <w:r w:rsidRPr="000248F2">
        <w:t>que otorga puntaje o no y, en segundo lugar, si el cumplimiento</w:t>
      </w:r>
      <w:r w:rsidRPr="000248F2">
        <w:rPr>
          <w:spacing w:val="41"/>
        </w:rPr>
        <w:t xml:space="preserve"> </w:t>
      </w:r>
      <w:r w:rsidRPr="000248F2">
        <w:t>del</w:t>
      </w:r>
      <w:r w:rsidRPr="000248F2">
        <w:rPr>
          <w:spacing w:val="43"/>
        </w:rPr>
        <w:t xml:space="preserve"> </w:t>
      </w:r>
      <w:r w:rsidRPr="000248F2">
        <w:t>requisito</w:t>
      </w:r>
      <w:r w:rsidRPr="000248F2">
        <w:rPr>
          <w:spacing w:val="42"/>
        </w:rPr>
        <w:t xml:space="preserve"> </w:t>
      </w:r>
      <w:r w:rsidRPr="000248F2">
        <w:t>constituye</w:t>
      </w:r>
      <w:r w:rsidRPr="000248F2">
        <w:rPr>
          <w:spacing w:val="44"/>
        </w:rPr>
        <w:t xml:space="preserve"> </w:t>
      </w:r>
      <w:r w:rsidRPr="000248F2">
        <w:t>una</w:t>
      </w:r>
      <w:r w:rsidRPr="000248F2">
        <w:rPr>
          <w:spacing w:val="42"/>
        </w:rPr>
        <w:t xml:space="preserve"> </w:t>
      </w:r>
      <w:r w:rsidRPr="000248F2">
        <w:t>circunstancia</w:t>
      </w:r>
      <w:r w:rsidRPr="000248F2">
        <w:rPr>
          <w:spacing w:val="41"/>
        </w:rPr>
        <w:t xml:space="preserve"> </w:t>
      </w:r>
      <w:r w:rsidRPr="000248F2">
        <w:t>ocurrida</w:t>
      </w:r>
      <w:r w:rsidRPr="000248F2">
        <w:rPr>
          <w:spacing w:val="42"/>
        </w:rPr>
        <w:t xml:space="preserve"> </w:t>
      </w:r>
      <w:r w:rsidRPr="000248F2">
        <w:t>con</w:t>
      </w:r>
      <w:r w:rsidRPr="000248F2">
        <w:rPr>
          <w:spacing w:val="42"/>
        </w:rPr>
        <w:t xml:space="preserve"> </w:t>
      </w:r>
      <w:r w:rsidRPr="000248F2">
        <w:t>anterioridad</w:t>
      </w:r>
      <w:r w:rsidRPr="000248F2">
        <w:rPr>
          <w:spacing w:val="42"/>
        </w:rPr>
        <w:t xml:space="preserve"> </w:t>
      </w:r>
      <w:r w:rsidRPr="000248F2">
        <w:t>o</w:t>
      </w:r>
      <w:r w:rsidRPr="000248F2">
        <w:rPr>
          <w:spacing w:val="42"/>
        </w:rPr>
        <w:t xml:space="preserve"> </w:t>
      </w:r>
      <w:r w:rsidRPr="000248F2">
        <w:t>con</w:t>
      </w:r>
      <w:r w:rsidR="0037778A">
        <w:t xml:space="preserve"> </w:t>
      </w:r>
      <w:r w:rsidRPr="000248F2">
        <w:t>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w:t>
      </w:r>
    </w:p>
    <w:p w:rsidRPr="000248F2" w:rsidR="00B3325B" w:rsidRDefault="00B3325B" w14:paraId="4114431E" w14:textId="77777777">
      <w:pPr>
        <w:pStyle w:val="Textoindependiente"/>
        <w:spacing w:before="6"/>
        <w:rPr>
          <w:sz w:val="25"/>
        </w:rPr>
      </w:pPr>
    </w:p>
    <w:p w:rsidRPr="000248F2" w:rsidR="00B3325B" w:rsidRDefault="00DE299E" w14:paraId="415F9AE8" w14:textId="77777777">
      <w:pPr>
        <w:pStyle w:val="Textoindependiente"/>
        <w:spacing w:line="276" w:lineRule="auto"/>
        <w:ind w:left="300" w:right="309"/>
        <w:jc w:val="both"/>
      </w:pPr>
      <w:r w:rsidRPr="000248F2">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Pr="000248F2" w:rsidR="00B3325B" w:rsidRDefault="00B3325B" w14:paraId="0BC69B4A" w14:textId="77777777">
      <w:pPr>
        <w:pStyle w:val="Textoindependiente"/>
      </w:pPr>
    </w:p>
    <w:p w:rsidRPr="000248F2" w:rsidR="00B3325B" w:rsidRDefault="00DE299E" w14:paraId="5D4013AA" w14:textId="77777777">
      <w:pPr>
        <w:pStyle w:val="Ttulo1"/>
        <w:numPr>
          <w:ilvl w:val="0"/>
          <w:numId w:val="1"/>
        </w:numPr>
        <w:tabs>
          <w:tab w:val="left" w:pos="661"/>
        </w:tabs>
        <w:ind w:hanging="361"/>
      </w:pPr>
      <w:r w:rsidRPr="000248F2">
        <w:t>Respuesta</w:t>
      </w:r>
    </w:p>
    <w:p w:rsidRPr="000248F2" w:rsidR="00B3325B" w:rsidRDefault="00B3325B" w14:paraId="7E3F39EB" w14:textId="77777777">
      <w:pPr>
        <w:pStyle w:val="Textoindependiente"/>
        <w:spacing w:before="10"/>
        <w:rPr>
          <w:b/>
          <w:sz w:val="21"/>
        </w:rPr>
      </w:pPr>
    </w:p>
    <w:p w:rsidRPr="000248F2" w:rsidR="00B3325B" w:rsidRDefault="00DE299E" w14:paraId="5A9DF26B" w14:textId="77777777">
      <w:pPr>
        <w:pStyle w:val="Textoindependiente"/>
        <w:spacing w:before="1" w:line="276" w:lineRule="auto"/>
        <w:ind w:left="300" w:right="304"/>
        <w:jc w:val="both"/>
      </w:pPr>
      <w:r w:rsidRPr="000248F2">
        <w:t xml:space="preserve">El artículo 5 de la Ley 1150 de 2007 establece que los requisitos habilitantes son la capacidad jurídica y las condiciones de experiencia, capacidad financiera y de organización de los proponentes, y por lo tanto no otorgarán puntaje, salvo en el proceso de consultoría, </w:t>
      </w:r>
      <w:r w:rsidRPr="000248F2">
        <w:lastRenderedPageBreak/>
        <w:t>donde es posible asignar puntaje a la experiencia. En este sentido, la experiencia, al ser un requisito habilitante que no afecta la comparación de las ofertas, se puede subsanar hasta el término de traslado del informe de evaluación; y, por consiguiente, aportar la experiencia con la que contaba el proponente hasta antes del cierre del proceso.</w:t>
      </w:r>
    </w:p>
    <w:p w:rsidRPr="000248F2" w:rsidR="00B3325B" w:rsidRDefault="00B3325B" w14:paraId="7869CB0F" w14:textId="77777777">
      <w:pPr>
        <w:pStyle w:val="Textoindependiente"/>
        <w:spacing w:before="3"/>
        <w:rPr>
          <w:sz w:val="25"/>
        </w:rPr>
      </w:pPr>
    </w:p>
    <w:p w:rsidRPr="000248F2" w:rsidR="00B3325B" w:rsidRDefault="00DE299E" w14:paraId="0D9FF6A3" w14:textId="77777777">
      <w:pPr>
        <w:pStyle w:val="Textoindependiente"/>
        <w:spacing w:before="1" w:line="276" w:lineRule="auto"/>
        <w:ind w:left="300" w:right="307"/>
        <w:jc w:val="both"/>
      </w:pPr>
      <w:r w:rsidRPr="000248F2">
        <w:t>De esta forma, el oferente podrá acreditar su experiencia con certificaciones de contratos diferentes a los inicialmente aportados, siempre que acrediten la experiencia adquirida antes del cierre del proceso. Si las certificaciones prueban que la experiencia del proponente se adquirió con posterioridad al cierre del proceso no se podrá aportar, porque esto implicaría una mejora, adición o complemento de la oferta.</w:t>
      </w:r>
    </w:p>
    <w:p w:rsidRPr="000248F2" w:rsidR="00B3325B" w:rsidRDefault="00B3325B" w14:paraId="4CC58C2D" w14:textId="77777777">
      <w:pPr>
        <w:pStyle w:val="Textoindependiente"/>
        <w:spacing w:before="3"/>
        <w:rPr>
          <w:sz w:val="25"/>
        </w:rPr>
      </w:pPr>
    </w:p>
    <w:p w:rsidRPr="000248F2" w:rsidR="00B3325B" w:rsidRDefault="00DE299E" w14:paraId="519F86B1" w14:textId="77777777">
      <w:pPr>
        <w:pStyle w:val="Textoindependiente"/>
        <w:spacing w:after="6" w:line="278" w:lineRule="auto"/>
        <w:ind w:left="300" w:right="304"/>
        <w:jc w:val="both"/>
      </w:pPr>
      <w:r w:rsidRPr="000248F2">
        <w:t>Este concepto tiene el alcance previsto en el artículo 28 del Código de Procedimiento Administrativo y de lo Contencioso Administrativo.</w:t>
      </w:r>
    </w:p>
    <w:p w:rsidRPr="000248F2" w:rsidR="00B3325B" w:rsidRDefault="0059303A" w14:paraId="6FFF272A" w14:textId="77777777">
      <w:pPr>
        <w:pStyle w:val="Textoindependiente"/>
        <w:spacing w:line="20" w:lineRule="exact"/>
        <w:ind w:left="977"/>
        <w:rPr>
          <w:sz w:val="2"/>
        </w:rPr>
      </w:pPr>
      <w:r>
        <w:rPr>
          <w:sz w:val="2"/>
        </w:rPr>
      </w:r>
      <w:r>
        <w:rPr>
          <w:sz w:val="2"/>
        </w:rPr>
        <w:pict w14:anchorId="37EEDE7C">
          <v:group id="_x0000_s1026" style="width:369pt;height:.75pt;mso-position-horizontal-relative:char;mso-position-vertical-relative:line" coordsize="7380,15">
            <v:line id="_x0000_s1027" style="position:absolute" strokecolor="#dbdbdb" from="0,8" to="7380,8"/>
            <w10:wrap type="none"/>
            <w10:anchorlock/>
          </v:group>
        </w:pict>
      </w:r>
    </w:p>
    <w:p w:rsidRPr="000248F2" w:rsidR="00B3325B" w:rsidRDefault="00B3325B" w14:paraId="2A8E618F" w14:textId="77777777">
      <w:pPr>
        <w:pStyle w:val="Textoindependiente"/>
        <w:spacing w:before="3"/>
        <w:rPr>
          <w:sz w:val="19"/>
        </w:rPr>
      </w:pPr>
    </w:p>
    <w:p w:rsidRPr="000248F2" w:rsidR="00B3325B" w:rsidRDefault="00DE299E" w14:paraId="3341629F" w14:textId="77777777">
      <w:pPr>
        <w:pStyle w:val="Textoindependiente"/>
        <w:ind w:left="300"/>
      </w:pPr>
      <w:r w:rsidRPr="000248F2">
        <w:t>Atentamente,</w:t>
      </w:r>
    </w:p>
    <w:p w:rsidRPr="009D5D6D" w:rsidR="0037778A" w:rsidP="0037778A" w:rsidRDefault="0037778A" w14:paraId="4AC04DA4" w14:textId="77777777">
      <w:pPr>
        <w:pStyle w:val="Textoindependiente"/>
        <w:jc w:val="center"/>
      </w:pPr>
      <w:r w:rsidR="0037778A">
        <w:drawing>
          <wp:inline wp14:editId="5A039728" wp14:anchorId="049BDE42">
            <wp:extent cx="2773144" cy="988695"/>
            <wp:effectExtent l="0" t="0" r="0" b="0"/>
            <wp:docPr id="1364495341" name="Imagen 20" title=""/>
            <wp:cNvGraphicFramePr>
              <a:graphicFrameLocks noChangeAspect="1"/>
            </wp:cNvGraphicFramePr>
            <a:graphic>
              <a:graphicData uri="http://schemas.openxmlformats.org/drawingml/2006/picture">
                <pic:pic>
                  <pic:nvPicPr>
                    <pic:cNvPr id="0" name="Imagen 20"/>
                    <pic:cNvPicPr/>
                  </pic:nvPicPr>
                  <pic:blipFill>
                    <a:blip r:embed="Rbbe0e663702044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0248F2" w:rsidR="00B3325B" w:rsidRDefault="00DE299E" w14:paraId="75023D38" w14:textId="4734AC3C">
      <w:pPr>
        <w:pStyle w:val="Textoindependiente"/>
        <w:spacing w:line="482" w:lineRule="auto"/>
        <w:ind w:left="300" w:right="5612"/>
      </w:pPr>
      <w:bookmarkStart w:name="_GoBack" w:id="0"/>
      <w:bookmarkEnd w:id="0"/>
      <w:r w:rsidRPr="000248F2">
        <w:t>Proyectó: Sara Milena Núñez Aldana</w:t>
      </w:r>
    </w:p>
    <w:sectPr w:rsidRPr="000248F2" w:rsidR="00B3325B">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92" w:rsidRDefault="00D97292" w14:paraId="477A93FE" w14:textId="77777777">
      <w:r>
        <w:separator/>
      </w:r>
    </w:p>
  </w:endnote>
  <w:endnote w:type="continuationSeparator" w:id="0">
    <w:p w:rsidR="00D97292" w:rsidRDefault="00D97292" w14:paraId="54AC27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3325B" w:rsidRDefault="00DE299E" w14:paraId="687189F6" w14:textId="77777777">
    <w:pPr>
      <w:pStyle w:val="Textoindependiente"/>
      <w:spacing w:line="14" w:lineRule="auto"/>
      <w:rPr>
        <w:sz w:val="20"/>
      </w:rPr>
    </w:pPr>
    <w:r>
      <w:rPr>
        <w:noProof/>
        <w:lang w:val="en-US"/>
      </w:rPr>
      <w:drawing>
        <wp:anchor distT="0" distB="0" distL="0" distR="0" simplePos="0" relativeHeight="251677696" behindDoc="1" locked="0" layoutInCell="1" allowOverlap="1" wp14:anchorId="774493CD" wp14:editId="1CE718DC">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4BC76A6">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92" w:rsidRDefault="00D97292" w14:paraId="0FBFE388" w14:textId="77777777">
      <w:r>
        <w:separator/>
      </w:r>
    </w:p>
  </w:footnote>
  <w:footnote w:type="continuationSeparator" w:id="0">
    <w:p w:rsidR="00D97292" w:rsidRDefault="00D97292" w14:paraId="4523267F" w14:textId="77777777">
      <w:r>
        <w:continuationSeparator/>
      </w:r>
    </w:p>
  </w:footnote>
  <w:footnote w:id="1">
    <w:p w:rsidRPr="000248F2" w:rsidR="0037778A" w:rsidP="0037778A" w:rsidRDefault="0037778A" w14:paraId="0916C719" w14:textId="4CB3193A">
      <w:pPr>
        <w:spacing w:before="87" w:line="244" w:lineRule="auto"/>
        <w:ind w:left="300" w:right="308" w:firstLine="707"/>
        <w:jc w:val="both"/>
        <w:rPr>
          <w:sz w:val="18"/>
        </w:rPr>
      </w:pPr>
      <w:r>
        <w:rPr>
          <w:rStyle w:val="Refdenotaalpie"/>
        </w:rPr>
        <w:footnoteRef/>
      </w:r>
      <w:r>
        <w:t xml:space="preserve"> </w:t>
      </w:r>
      <w:r w:rsidRPr="000248F2">
        <w:rPr>
          <w:sz w:val="18"/>
        </w:rPr>
        <w:t>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p>
    <w:p w:rsidRPr="0037778A" w:rsidR="0037778A" w:rsidRDefault="0037778A" w14:paraId="788031C9" w14:textId="2E8C4B48">
      <w:pPr>
        <w:pStyle w:val="Textonotapie"/>
      </w:pPr>
    </w:p>
  </w:footnote>
  <w:footnote w:id="2">
    <w:p w:rsidRPr="000248F2" w:rsidR="0037778A" w:rsidP="0037778A" w:rsidRDefault="0037778A" w14:paraId="322DFCDD" w14:textId="77777777">
      <w:pPr>
        <w:ind w:left="300" w:right="313" w:firstLine="707"/>
        <w:jc w:val="both"/>
        <w:rPr>
          <w:sz w:val="18"/>
        </w:rPr>
      </w:pPr>
      <w:r>
        <w:rPr>
          <w:rStyle w:val="Refdenotaalpie"/>
        </w:rPr>
        <w:footnoteRef/>
      </w:r>
      <w:r>
        <w:t xml:space="preserve"> </w:t>
      </w:r>
      <w:r w:rsidRPr="000248F2">
        <w:rPr>
          <w:sz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Pr="0037778A" w:rsidR="0037778A" w:rsidRDefault="0037778A" w14:paraId="498A7847" w14:textId="6D249532">
      <w:pPr>
        <w:pStyle w:val="Textonotapie"/>
      </w:pPr>
    </w:p>
  </w:footnote>
  <w:footnote w:id="3">
    <w:p w:rsidRPr="000248F2" w:rsidR="0037778A" w:rsidP="0037778A" w:rsidRDefault="0037778A" w14:paraId="3669F03E" w14:textId="77777777">
      <w:pPr>
        <w:spacing w:before="87" w:line="254" w:lineRule="auto"/>
        <w:ind w:left="300" w:right="343" w:firstLine="707"/>
        <w:rPr>
          <w:sz w:val="18"/>
        </w:rPr>
      </w:pPr>
      <w:r>
        <w:rPr>
          <w:rStyle w:val="Refdenotaalpie"/>
        </w:rPr>
        <w:footnoteRef/>
      </w:r>
      <w:r>
        <w:t xml:space="preserve"> </w:t>
      </w:r>
      <w:r w:rsidRPr="000248F2">
        <w:rPr>
          <w:sz w:val="18"/>
        </w:rPr>
        <w:t>Consejo de Estado. Sección Tercera, Subsección C. Sentencia del 26 de febrero de 2014. C.P. Enrique Gil Botero, Rad. 1999-00113-01 (25.804).</w:t>
      </w:r>
    </w:p>
    <w:p w:rsidRPr="0037778A" w:rsidR="0037778A" w:rsidRDefault="0037778A" w14:paraId="6EFAC06D" w14:textId="4DCC6C77">
      <w:pPr>
        <w:pStyle w:val="Textonotapie"/>
        <w:rPr>
          <w:lang w:val="es-MX"/>
        </w:rPr>
      </w:pPr>
    </w:p>
  </w:footnote>
  <w:footnote w:id="4">
    <w:p w:rsidRPr="000248F2" w:rsidR="0037778A" w:rsidP="0037778A" w:rsidRDefault="0037778A" w14:paraId="2FC08572" w14:textId="77777777">
      <w:pPr>
        <w:spacing w:before="73"/>
        <w:ind w:left="300" w:right="308" w:firstLine="707"/>
        <w:jc w:val="both"/>
        <w:rPr>
          <w:sz w:val="18"/>
        </w:rPr>
      </w:pPr>
      <w:r>
        <w:rPr>
          <w:rStyle w:val="Refdenotaalpie"/>
        </w:rPr>
        <w:footnoteRef/>
      </w:r>
      <w:r>
        <w:t xml:space="preserve"> </w:t>
      </w:r>
      <w:r w:rsidRPr="000248F2">
        <w:rPr>
          <w:sz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rsidRPr="0037778A" w:rsidR="0037778A" w:rsidRDefault="0037778A" w14:paraId="39BDC8B8" w14:textId="227CFB47">
      <w:pPr>
        <w:pStyle w:val="Textonotapie"/>
      </w:pPr>
    </w:p>
  </w:footnote>
  <w:footnote w:id="5">
    <w:p w:rsidRPr="000248F2" w:rsidR="0037778A" w:rsidP="0037778A" w:rsidRDefault="0037778A" w14:paraId="17AFD0FC" w14:textId="77777777">
      <w:pPr>
        <w:spacing w:before="76" w:line="244" w:lineRule="auto"/>
        <w:ind w:left="300" w:right="303" w:firstLine="707"/>
        <w:jc w:val="both"/>
        <w:rPr>
          <w:sz w:val="18"/>
        </w:rPr>
      </w:pPr>
      <w:r>
        <w:rPr>
          <w:rStyle w:val="Refdenotaalpie"/>
        </w:rPr>
        <w:footnoteRef/>
      </w:r>
      <w:r>
        <w:t xml:space="preserve"> </w:t>
      </w:r>
      <w:r w:rsidRPr="000248F2">
        <w:rPr>
          <w:sz w:val="18"/>
        </w:rPr>
        <w:t xml:space="preserve">Decreto 2474 de 2008 (DEROGADO). “ART. 10. Reglas de </w:t>
      </w:r>
      <w:proofErr w:type="spellStart"/>
      <w:r w:rsidRPr="000248F2">
        <w:rPr>
          <w:sz w:val="18"/>
        </w:rPr>
        <w:t>subsanabilidad</w:t>
      </w:r>
      <w:proofErr w:type="spellEnd"/>
      <w:r w:rsidRPr="000248F2">
        <w:rPr>
          <w:sz w:val="18"/>
        </w:rPr>
        <w:t xml:space="preserve">.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0248F2">
          <w:rPr>
            <w:sz w:val="18"/>
          </w:rPr>
          <w:t xml:space="preserve">Ley 1150 de 2007 </w:t>
        </w:r>
      </w:hyperlink>
      <w:r w:rsidRPr="000248F2">
        <w:rPr>
          <w:sz w:val="18"/>
        </w:rPr>
        <w:t>y en el presente</w:t>
      </w:r>
      <w:r w:rsidRPr="000248F2">
        <w:rPr>
          <w:spacing w:val="-8"/>
          <w:sz w:val="18"/>
        </w:rPr>
        <w:t xml:space="preserve"> </w:t>
      </w:r>
      <w:r w:rsidRPr="000248F2">
        <w:rPr>
          <w:sz w:val="18"/>
        </w:rPr>
        <w:t>decreto.</w:t>
      </w:r>
    </w:p>
    <w:p w:rsidRPr="000248F2" w:rsidR="0037778A" w:rsidP="0037778A" w:rsidRDefault="0037778A" w14:paraId="4EF11329" w14:textId="77777777">
      <w:pPr>
        <w:pStyle w:val="Textoindependiente"/>
        <w:spacing w:before="10"/>
        <w:rPr>
          <w:sz w:val="17"/>
        </w:rPr>
      </w:pPr>
    </w:p>
    <w:p w:rsidRPr="000248F2" w:rsidR="0037778A" w:rsidP="0037778A" w:rsidRDefault="0037778A" w14:paraId="1178EDE7" w14:textId="77777777">
      <w:pPr>
        <w:ind w:left="300" w:right="308"/>
        <w:jc w:val="both"/>
        <w:rPr>
          <w:sz w:val="18"/>
        </w:rPr>
      </w:pPr>
      <w:r w:rsidRPr="000248F2">
        <w:rPr>
          <w:sz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Pr="000248F2" w:rsidR="0037778A" w:rsidP="0037778A" w:rsidRDefault="0037778A" w14:paraId="674B80DF" w14:textId="77777777">
      <w:pPr>
        <w:ind w:left="300" w:right="303"/>
        <w:jc w:val="both"/>
        <w:rPr>
          <w:sz w:val="18"/>
        </w:rPr>
      </w:pPr>
      <w:r w:rsidRPr="000248F2">
        <w:rPr>
          <w:sz w:val="18"/>
        </w:rPr>
        <w:t>Será rechazada la oferta del proponente que dentro del término previsto en el pliego o en la solicitud, no responda al requerimiento que le haga la entidad para subsanarla.</w:t>
      </w:r>
    </w:p>
    <w:p w:rsidRPr="000248F2" w:rsidR="0037778A" w:rsidP="0037778A" w:rsidRDefault="0037778A" w14:paraId="569BCF90" w14:textId="77777777">
      <w:pPr>
        <w:pStyle w:val="Textoindependiente"/>
        <w:spacing w:before="10"/>
        <w:rPr>
          <w:sz w:val="17"/>
        </w:rPr>
      </w:pPr>
    </w:p>
    <w:p w:rsidRPr="000248F2" w:rsidR="0037778A" w:rsidP="0037778A" w:rsidRDefault="0037778A" w14:paraId="3276BE60" w14:textId="77777777">
      <w:pPr>
        <w:ind w:left="300" w:right="313"/>
        <w:jc w:val="both"/>
        <w:rPr>
          <w:sz w:val="18"/>
        </w:rPr>
      </w:pPr>
      <w:r w:rsidRPr="000248F2">
        <w:rPr>
          <w:sz w:val="18"/>
        </w:rPr>
        <w:t>“Cuando se utilice el mecanismo de subasta esta posibilidad deberá ejercerse hasta el momento previo a su realización, de conformidad con el artículo 22 del presente decreto.</w:t>
      </w:r>
    </w:p>
    <w:p w:rsidRPr="000248F2" w:rsidR="0037778A" w:rsidP="0037778A" w:rsidRDefault="0037778A" w14:paraId="10723468" w14:textId="77777777">
      <w:pPr>
        <w:spacing w:before="1"/>
        <w:ind w:left="300" w:right="304"/>
        <w:jc w:val="both"/>
        <w:rPr>
          <w:sz w:val="18"/>
        </w:rPr>
      </w:pPr>
      <w:r w:rsidRPr="000248F2">
        <w:rPr>
          <w:sz w:val="18"/>
        </w:rPr>
        <w:t xml:space="preserve">“En ningún caso la entidad podrá señalar taxativamente los requisitos o documentos subsanables o no subsanables en el pliego de condiciones, </w:t>
      </w:r>
      <w:r w:rsidRPr="000248F2">
        <w:rPr>
          <w:b/>
          <w:sz w:val="18"/>
        </w:rPr>
        <w:t>ni permitir que se subsane la falta de capacidad para presentar la oferta, ni que se acrediten circunstancias ocurridas con posterioridad al cierre del proceso</w:t>
      </w:r>
      <w:r w:rsidRPr="000248F2">
        <w:rPr>
          <w:sz w:val="18"/>
        </w:rPr>
        <w:t>”. (Negrillas fuera de texto).</w:t>
      </w:r>
    </w:p>
    <w:p w:rsidRPr="0037778A" w:rsidR="0037778A" w:rsidRDefault="0037778A" w14:paraId="6521D834" w14:textId="135AA670">
      <w:pPr>
        <w:pStyle w:val="Textonotapie"/>
        <w:rPr>
          <w:lang w:val="es-MX"/>
        </w:rPr>
      </w:pPr>
    </w:p>
  </w:footnote>
  <w:footnote w:id="6">
    <w:p w:rsidRPr="0037778A" w:rsidR="0037778A" w:rsidP="0037778A" w:rsidRDefault="0037778A" w14:paraId="031B7430" w14:textId="21AB775B">
      <w:pPr>
        <w:spacing w:before="87" w:line="254" w:lineRule="auto"/>
        <w:ind w:left="300" w:right="343" w:firstLine="707"/>
        <w:rPr>
          <w:lang w:val="es-MX"/>
        </w:rPr>
      </w:pPr>
      <w:r>
        <w:rPr>
          <w:rStyle w:val="Refdenotaalpie"/>
        </w:rPr>
        <w:footnoteRef/>
      </w:r>
      <w:r>
        <w:t xml:space="preserve"> </w:t>
      </w:r>
      <w:r w:rsidRPr="000248F2">
        <w:rPr>
          <w:sz w:val="18"/>
        </w:rPr>
        <w:t>Consejo de Estado, Sala de Consulta y Servicio Civil, concepto del 6 de noviembre de 2008. C.P. William Zambrano Cetina. Rad. 2008-00079-00(1927).</w:t>
      </w:r>
    </w:p>
  </w:footnote>
  <w:footnote w:id="7">
    <w:p w:rsidRPr="000248F2" w:rsidR="0037778A" w:rsidP="0037778A" w:rsidRDefault="0037778A" w14:paraId="4FFC6B41" w14:textId="77777777">
      <w:pPr>
        <w:spacing w:before="89" w:line="252" w:lineRule="auto"/>
        <w:ind w:left="300" w:right="343" w:firstLine="707"/>
        <w:rPr>
          <w:sz w:val="18"/>
        </w:rPr>
      </w:pPr>
      <w:r>
        <w:rPr>
          <w:rStyle w:val="Refdenotaalpie"/>
        </w:rPr>
        <w:footnoteRef/>
      </w:r>
      <w:r>
        <w:t xml:space="preserve"> </w:t>
      </w:r>
      <w:r w:rsidRPr="000248F2">
        <w:rPr>
          <w:sz w:val="18"/>
        </w:rPr>
        <w:t xml:space="preserve">Ver Consejo de Estado, Sección Tercera, Subsección C. Sentencia del 26 de febrero de 2011. C.P. Jaime Orlando </w:t>
      </w:r>
      <w:proofErr w:type="spellStart"/>
      <w:r w:rsidRPr="000248F2">
        <w:rPr>
          <w:sz w:val="18"/>
        </w:rPr>
        <w:t>Santofimio</w:t>
      </w:r>
      <w:proofErr w:type="spellEnd"/>
      <w:r w:rsidRPr="000248F2">
        <w:rPr>
          <w:sz w:val="18"/>
        </w:rPr>
        <w:t>. Rad. 36.408.</w:t>
      </w:r>
    </w:p>
    <w:p w:rsidRPr="0037778A" w:rsidR="0037778A" w:rsidRDefault="0037778A" w14:paraId="2AD5B59B" w14:textId="44CB8D66">
      <w:pPr>
        <w:pStyle w:val="Textonotapie"/>
        <w:rPr>
          <w:lang w:val="es-MX"/>
        </w:rPr>
      </w:pPr>
    </w:p>
  </w:footnote>
  <w:footnote w:id="8">
    <w:p w:rsidRPr="0037778A" w:rsidR="0037778A" w:rsidRDefault="0037778A" w14:paraId="050CDB6E" w14:textId="2580E8F4">
      <w:pPr>
        <w:pStyle w:val="Textonotapie"/>
        <w:rPr>
          <w:lang w:val="es-MX"/>
        </w:rPr>
      </w:pPr>
      <w:r>
        <w:rPr>
          <w:rStyle w:val="Refdenotaalpie"/>
        </w:rPr>
        <w:footnoteRef/>
      </w:r>
      <w:r>
        <w:t xml:space="preserve"> </w:t>
      </w:r>
    </w:p>
  </w:footnote>
  <w:footnote w:id="9">
    <w:p w:rsidRPr="000248F2" w:rsidR="0037778A" w:rsidP="0037778A" w:rsidRDefault="0037778A" w14:paraId="4F7C0508" w14:textId="77777777">
      <w:pPr>
        <w:spacing w:line="252" w:lineRule="auto"/>
        <w:ind w:left="300" w:right="343" w:firstLine="707"/>
        <w:rPr>
          <w:sz w:val="18"/>
        </w:rPr>
      </w:pPr>
      <w:r>
        <w:rPr>
          <w:rStyle w:val="Refdenotaalpie"/>
        </w:rPr>
        <w:footnoteRef/>
      </w:r>
      <w:r>
        <w:t xml:space="preserve"> </w:t>
      </w:r>
      <w:r w:rsidRPr="000248F2">
        <w:rPr>
          <w:sz w:val="18"/>
        </w:rPr>
        <w:t>Consejo de Estado, Sala de Consulta y Servicio Civil, concepto del 20 de mayo de 2010. C.P. Enrique José Arboleda Perdomo. Rad.</w:t>
      </w:r>
      <w:r w:rsidRPr="000248F2">
        <w:rPr>
          <w:spacing w:val="-6"/>
          <w:sz w:val="18"/>
        </w:rPr>
        <w:t xml:space="preserve"> </w:t>
      </w:r>
      <w:r w:rsidRPr="000248F2">
        <w:rPr>
          <w:sz w:val="18"/>
        </w:rPr>
        <w:t>2010-00034-00(1992).</w:t>
      </w:r>
    </w:p>
    <w:p w:rsidRPr="0037778A" w:rsidR="0037778A" w:rsidRDefault="0037778A" w14:paraId="77EB9FD2" w14:textId="52743758">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3325B" w:rsidRDefault="00DE299E" w14:paraId="56E962AE" w14:textId="77777777">
    <w:pPr>
      <w:pStyle w:val="Textoindependiente"/>
      <w:spacing w:line="14" w:lineRule="auto"/>
      <w:rPr>
        <w:sz w:val="20"/>
      </w:rPr>
    </w:pPr>
    <w:r>
      <w:rPr>
        <w:noProof/>
        <w:lang w:val="en-US"/>
      </w:rPr>
      <w:drawing>
        <wp:anchor distT="0" distB="0" distL="0" distR="0" simplePos="0" relativeHeight="251657216" behindDoc="1" locked="0" layoutInCell="1" allowOverlap="1" wp14:anchorId="63660C0C" wp14:editId="5CE9253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4BC76A6">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26B47"/>
    <w:multiLevelType w:val="hybridMultilevel"/>
    <w:tmpl w:val="8C368322"/>
    <w:lvl w:ilvl="0" w:tplc="29FAE2D8">
      <w:start w:val="1"/>
      <w:numFmt w:val="decimal"/>
      <w:lvlText w:val="%1."/>
      <w:lvlJc w:val="left"/>
      <w:pPr>
        <w:ind w:left="660" w:hanging="360"/>
        <w:jc w:val="left"/>
      </w:pPr>
      <w:rPr>
        <w:rFonts w:hint="default" w:ascii="Arial" w:hAnsi="Arial" w:eastAsia="Arial" w:cs="Arial"/>
        <w:b/>
        <w:bCs/>
        <w:color w:val="4E4D4D"/>
        <w:spacing w:val="-8"/>
        <w:w w:val="100"/>
        <w:sz w:val="22"/>
        <w:szCs w:val="22"/>
        <w:lang w:val="es-ES" w:eastAsia="en-US" w:bidi="ar-SA"/>
      </w:rPr>
    </w:lvl>
    <w:lvl w:ilvl="1" w:tplc="31F2710E">
      <w:numFmt w:val="bullet"/>
      <w:lvlText w:val="•"/>
      <w:lvlJc w:val="left"/>
      <w:pPr>
        <w:ind w:left="1000" w:hanging="360"/>
      </w:pPr>
      <w:rPr>
        <w:rFonts w:hint="default"/>
        <w:lang w:val="es-ES" w:eastAsia="en-US" w:bidi="ar-SA"/>
      </w:rPr>
    </w:lvl>
    <w:lvl w:ilvl="2" w:tplc="92428902">
      <w:numFmt w:val="bullet"/>
      <w:lvlText w:val="•"/>
      <w:lvlJc w:val="left"/>
      <w:pPr>
        <w:ind w:left="1948" w:hanging="360"/>
      </w:pPr>
      <w:rPr>
        <w:rFonts w:hint="default"/>
        <w:lang w:val="es-ES" w:eastAsia="en-US" w:bidi="ar-SA"/>
      </w:rPr>
    </w:lvl>
    <w:lvl w:ilvl="3" w:tplc="8952A53E">
      <w:numFmt w:val="bullet"/>
      <w:lvlText w:val="•"/>
      <w:lvlJc w:val="left"/>
      <w:pPr>
        <w:ind w:left="2897" w:hanging="360"/>
      </w:pPr>
      <w:rPr>
        <w:rFonts w:hint="default"/>
        <w:lang w:val="es-ES" w:eastAsia="en-US" w:bidi="ar-SA"/>
      </w:rPr>
    </w:lvl>
    <w:lvl w:ilvl="4" w:tplc="D578128C">
      <w:numFmt w:val="bullet"/>
      <w:lvlText w:val="•"/>
      <w:lvlJc w:val="left"/>
      <w:pPr>
        <w:ind w:left="3846" w:hanging="360"/>
      </w:pPr>
      <w:rPr>
        <w:rFonts w:hint="default"/>
        <w:lang w:val="es-ES" w:eastAsia="en-US" w:bidi="ar-SA"/>
      </w:rPr>
    </w:lvl>
    <w:lvl w:ilvl="5" w:tplc="C5D29BD8">
      <w:numFmt w:val="bullet"/>
      <w:lvlText w:val="•"/>
      <w:lvlJc w:val="left"/>
      <w:pPr>
        <w:ind w:left="4795" w:hanging="360"/>
      </w:pPr>
      <w:rPr>
        <w:rFonts w:hint="default"/>
        <w:lang w:val="es-ES" w:eastAsia="en-US" w:bidi="ar-SA"/>
      </w:rPr>
    </w:lvl>
    <w:lvl w:ilvl="6" w:tplc="1EFE4708">
      <w:numFmt w:val="bullet"/>
      <w:lvlText w:val="•"/>
      <w:lvlJc w:val="left"/>
      <w:pPr>
        <w:ind w:left="5744" w:hanging="360"/>
      </w:pPr>
      <w:rPr>
        <w:rFonts w:hint="default"/>
        <w:lang w:val="es-ES" w:eastAsia="en-US" w:bidi="ar-SA"/>
      </w:rPr>
    </w:lvl>
    <w:lvl w:ilvl="7" w:tplc="916E9218">
      <w:numFmt w:val="bullet"/>
      <w:lvlText w:val="•"/>
      <w:lvlJc w:val="left"/>
      <w:pPr>
        <w:ind w:left="6693" w:hanging="360"/>
      </w:pPr>
      <w:rPr>
        <w:rFonts w:hint="default"/>
        <w:lang w:val="es-ES" w:eastAsia="en-US" w:bidi="ar-SA"/>
      </w:rPr>
    </w:lvl>
    <w:lvl w:ilvl="8" w:tplc="1CEE5004">
      <w:numFmt w:val="bullet"/>
      <w:lvlText w:val="•"/>
      <w:lvlJc w:val="left"/>
      <w:pPr>
        <w:ind w:left="764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3325B"/>
    <w:rsid w:val="000248F2"/>
    <w:rsid w:val="00100A1B"/>
    <w:rsid w:val="0037778A"/>
    <w:rsid w:val="003F6030"/>
    <w:rsid w:val="0059303A"/>
    <w:rsid w:val="005F5E1B"/>
    <w:rsid w:val="009D2F20"/>
    <w:rsid w:val="00B3325B"/>
    <w:rsid w:val="00D97292"/>
    <w:rsid w:val="00DE299E"/>
    <w:rsid w:val="01937248"/>
    <w:rsid w:val="037A5FBB"/>
    <w:rsid w:val="04B34CF1"/>
    <w:rsid w:val="084581A0"/>
    <w:rsid w:val="0C1478F2"/>
    <w:rsid w:val="0CA1DCC5"/>
    <w:rsid w:val="11D2F31C"/>
    <w:rsid w:val="139431A7"/>
    <w:rsid w:val="15EB1ADD"/>
    <w:rsid w:val="1C1C61E8"/>
    <w:rsid w:val="1C873121"/>
    <w:rsid w:val="20F7CE94"/>
    <w:rsid w:val="229D3A8A"/>
    <w:rsid w:val="2573A412"/>
    <w:rsid w:val="2859D301"/>
    <w:rsid w:val="2A90DD15"/>
    <w:rsid w:val="2E1FD2F9"/>
    <w:rsid w:val="2E2AE735"/>
    <w:rsid w:val="300306DA"/>
    <w:rsid w:val="323A4DE7"/>
    <w:rsid w:val="34BC76A6"/>
    <w:rsid w:val="36C95405"/>
    <w:rsid w:val="3735D6F5"/>
    <w:rsid w:val="3CEB6C34"/>
    <w:rsid w:val="3EB0FD55"/>
    <w:rsid w:val="3F7FC226"/>
    <w:rsid w:val="40BC7055"/>
    <w:rsid w:val="4185B8B3"/>
    <w:rsid w:val="4A121599"/>
    <w:rsid w:val="4FBEE97B"/>
    <w:rsid w:val="5021DD19"/>
    <w:rsid w:val="51F30441"/>
    <w:rsid w:val="55680159"/>
    <w:rsid w:val="55D1F73B"/>
    <w:rsid w:val="58C94447"/>
    <w:rsid w:val="594E95C3"/>
    <w:rsid w:val="5F146EF2"/>
    <w:rsid w:val="5FBD46A9"/>
    <w:rsid w:val="642388B8"/>
    <w:rsid w:val="65FC76EB"/>
    <w:rsid w:val="67B5CDC8"/>
    <w:rsid w:val="67E0E7D1"/>
    <w:rsid w:val="690BFDF0"/>
    <w:rsid w:val="6FBD4FC7"/>
    <w:rsid w:val="70338CC2"/>
    <w:rsid w:val="735F4F55"/>
    <w:rsid w:val="73F701BE"/>
    <w:rsid w:val="76105720"/>
    <w:rsid w:val="7D5602C7"/>
    <w:rsid w:val="7DC710F3"/>
    <w:rsid w:val="7F537C9E"/>
    <w:rsid w:val="7F55E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B16D49"/>
  <w15:docId w15:val="{BDCCD397-6187-42F8-8A98-FB7C985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link w:val="Ttulo1Car"/>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37778A"/>
    <w:rPr>
      <w:sz w:val="20"/>
      <w:szCs w:val="20"/>
    </w:rPr>
  </w:style>
  <w:style w:type="character" w:styleId="TextonotapieCar" w:customStyle="1">
    <w:name w:val="Texto nota pie Car"/>
    <w:basedOn w:val="Fuentedeprrafopredeter"/>
    <w:link w:val="Textonotapie"/>
    <w:uiPriority w:val="99"/>
    <w:semiHidden/>
    <w:rsid w:val="0037778A"/>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37778A"/>
    <w:rPr>
      <w:vertAlign w:val="superscript"/>
    </w:rPr>
  </w:style>
  <w:style w:type="character" w:styleId="Ttulo1Car" w:customStyle="1">
    <w:name w:val="Título 1 Car"/>
    <w:basedOn w:val="Fuentedeprrafopredeter"/>
    <w:link w:val="Ttulo1"/>
    <w:uiPriority w:val="1"/>
    <w:rsid w:val="0037778A"/>
    <w:rPr>
      <w:rFonts w:ascii="Arial" w:hAnsi="Arial" w:eastAsia="Arial" w:cs="Arial"/>
      <w:b/>
      <w:bCs/>
      <w:lang w:val="es-ES"/>
    </w:rPr>
  </w:style>
  <w:style w:type="character" w:styleId="TextoindependienteCar" w:customStyle="1">
    <w:name w:val="Texto independiente Car"/>
    <w:basedOn w:val="Fuentedeprrafopredeter"/>
    <w:link w:val="Textoindependiente"/>
    <w:uiPriority w:val="1"/>
    <w:rsid w:val="0037778A"/>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be0e6637020447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E1B8-1A4B-4EB5-B69B-FF1E76531675}">
  <ds:schemaRefs>
    <ds:schemaRef ds:uri="http://schemas.microsoft.com/sharepoint/v3/contenttype/forms"/>
  </ds:schemaRefs>
</ds:datastoreItem>
</file>

<file path=customXml/itemProps2.xml><?xml version="1.0" encoding="utf-8"?>
<ds:datastoreItem xmlns:ds="http://schemas.openxmlformats.org/officeDocument/2006/customXml" ds:itemID="{B34AF511-F168-422C-A85D-6C883370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FF059-ADC2-4B82-84A8-1FE75855908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75AD61F-BD35-4A8F-B693-D5BEB22911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2020-03-05T19:47:00.0000000Z</dcterms:created>
  <dcterms:modified xsi:type="dcterms:W3CDTF">2020-07-15T23:08:03.6727514Z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vt:lpwstr>
  </property>
  <property fmtid="{D5CDD505-2E9C-101B-9397-08002B2CF9AE}" pid="4" name="LastSaved">
    <vt:filetime>2020-03-05T00:00:00Z</vt:filetime>
  </property>
  <property fmtid="{D5CDD505-2E9C-101B-9397-08002B2CF9AE}" pid="5" name="ContentTypeId">
    <vt:lpwstr>0x010100F2E0F32964D9B84EA054B84E5D4157A0</vt:lpwstr>
  </property>
</Properties>
</file>