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0000060C" w:rsidP="00AA6DDD" w:rsidRDefault="0000060C" w14:paraId="74264DE9" w14:textId="77777777">
      <w:pPr>
        <w:spacing w:after="12"/>
        <w:ind w:left="181"/>
        <w:jc w:val="both"/>
        <w:rPr>
          <w:b/>
          <w:bCs/>
        </w:rPr>
      </w:pPr>
    </w:p>
    <w:p w:rsidRPr="0026137F" w:rsidR="00507EA9" w:rsidP="00AA6DDD" w:rsidRDefault="00507EA9" w14:paraId="1ADFE051" w14:textId="59D24ECF">
      <w:pPr>
        <w:spacing w:after="12"/>
        <w:ind w:left="181"/>
        <w:jc w:val="both"/>
        <w:rPr>
          <w:b/>
          <w:bCs/>
        </w:rPr>
      </w:pPr>
      <w:r w:rsidRPr="0026137F">
        <w:rPr>
          <w:b/>
          <w:bCs/>
        </w:rPr>
        <w:t>DOCUMENTOS TIPO – Operación aritmética – Inclusión de decimales</w:t>
      </w:r>
    </w:p>
    <w:p w:rsidRPr="0026137F" w:rsidR="00AA6DDD" w:rsidP="00AA6DDD" w:rsidRDefault="00AA6DDD" w14:paraId="5AD5D9A9" w14:textId="77777777">
      <w:pPr>
        <w:spacing w:after="12"/>
        <w:ind w:left="181"/>
        <w:jc w:val="both"/>
        <w:rPr>
          <w:b/>
          <w:bCs/>
          <w:sz w:val="20"/>
        </w:rPr>
      </w:pPr>
    </w:p>
    <w:p w:rsidRPr="0026137F" w:rsidR="00507EA9" w:rsidP="00AA6DDD" w:rsidRDefault="00507EA9" w14:paraId="19AD461D" w14:textId="77777777">
      <w:pPr>
        <w:spacing w:after="12"/>
        <w:ind w:left="181"/>
        <w:jc w:val="both"/>
        <w:rPr>
          <w:sz w:val="20"/>
        </w:rPr>
      </w:pPr>
      <w:r w:rsidRPr="0026137F">
        <w:rPr>
          <w:sz w:val="20"/>
        </w:rPr>
        <w:t>Cuando el valor obtenido de la operación aritmética incluya decimales se debe aproximar al número entero superior o inferior, de acuerdo con la regla fijada en el literal B del numeral 4.1.2. Así, si el “valor total” del ejemplo propuesto fuera $5.233.133.760,65 se aproximará por exceso al número entero siguiente $5.233.133.761,00, o si el “valor total” fuera $ 5.233.133.760, 21 se aproximará por defecto al número entero, así: $ 5.233.133.760,00.</w:t>
      </w:r>
    </w:p>
    <w:p w:rsidRPr="0026137F" w:rsidR="00AA6DDD" w:rsidP="00AA6DDD" w:rsidRDefault="00AA6DDD" w14:paraId="2D817798" w14:textId="77777777">
      <w:pPr>
        <w:spacing w:after="12"/>
        <w:ind w:left="181"/>
        <w:jc w:val="both"/>
        <w:rPr>
          <w:sz w:val="20"/>
        </w:rPr>
      </w:pPr>
    </w:p>
    <w:p w:rsidR="00507EA9" w:rsidP="7B7F8872" w:rsidRDefault="00507EA9" w14:paraId="14F5511C" w14:textId="1944D9CC">
      <w:pPr>
        <w:pStyle w:val="Normal"/>
        <w:spacing w:after="12"/>
        <w:ind w:left="181"/>
        <w:jc w:val="both"/>
        <w:rPr>
          <w:b w:val="1"/>
          <w:bCs w:val="1"/>
        </w:rPr>
      </w:pPr>
      <w:r w:rsidRPr="7B7F8872" w:rsidR="00507EA9">
        <w:rPr>
          <w:b w:val="1"/>
          <w:bCs w:val="1"/>
        </w:rPr>
        <w:t>DOCUMENTOS TIPO – Formulario 1</w:t>
      </w:r>
      <w:r w:rsidRPr="7B7F8872" w:rsidR="3A8AE39E">
        <w:rPr>
          <w:b w:val="1"/>
          <w:bCs w:val="1"/>
        </w:rPr>
        <w:t xml:space="preserve"> –</w:t>
      </w:r>
      <w:r w:rsidRPr="7B7F8872" w:rsidR="00507EA9">
        <w:rPr>
          <w:b w:val="1"/>
          <w:bCs w:val="1"/>
        </w:rPr>
        <w:t xml:space="preserve"> Verificación </w:t>
      </w:r>
      <w:r w:rsidRPr="7B7F8872" w:rsidR="6C083899">
        <w:rPr>
          <w:b w:val="1"/>
          <w:bCs w:val="1"/>
        </w:rPr>
        <w:t>–</w:t>
      </w:r>
      <w:r w:rsidRPr="7B7F8872" w:rsidR="72D9A3AF">
        <w:rPr>
          <w:b w:val="1"/>
          <w:bCs w:val="1"/>
        </w:rPr>
        <w:t xml:space="preserve"> </w:t>
      </w:r>
      <w:r w:rsidRPr="7B7F8872" w:rsidR="6C083899">
        <w:rPr>
          <w:b w:val="1"/>
          <w:bCs w:val="1"/>
        </w:rPr>
        <w:t>E</w:t>
      </w:r>
      <w:r w:rsidRPr="7B7F8872" w:rsidR="00507EA9">
        <w:rPr>
          <w:b w:val="1"/>
          <w:bCs w:val="1"/>
        </w:rPr>
        <w:t xml:space="preserve">ntidad estatal </w:t>
      </w:r>
      <w:r w:rsidRPr="7B7F8872" w:rsidR="21E46B4F">
        <w:rPr>
          <w:b w:val="1"/>
          <w:bCs w:val="1"/>
        </w:rPr>
        <w:t xml:space="preserve">– Valores ofertados – Corrección aritmética </w:t>
      </w:r>
    </w:p>
    <w:p w:rsidRPr="0026137F" w:rsidR="00AA6DDD" w:rsidP="00AA6DDD" w:rsidRDefault="00AA6DDD" w14:paraId="590C0142" w14:textId="77777777">
      <w:pPr>
        <w:spacing w:after="12"/>
        <w:ind w:left="181"/>
        <w:jc w:val="both"/>
        <w:rPr>
          <w:b/>
          <w:bCs/>
          <w:sz w:val="20"/>
        </w:rPr>
      </w:pPr>
    </w:p>
    <w:p w:rsidRPr="0026137F" w:rsidR="00507EA9" w:rsidP="00AA6DDD" w:rsidRDefault="00507EA9" w14:paraId="4B8C2B0D" w14:textId="77777777">
      <w:pPr>
        <w:spacing w:after="12"/>
        <w:ind w:left="181"/>
        <w:jc w:val="both"/>
        <w:rPr>
          <w:sz w:val="20"/>
        </w:rPr>
      </w:pPr>
      <w:r w:rsidRPr="0026137F">
        <w:rPr>
          <w:sz w:val="20"/>
        </w:rPr>
        <w:t>La entidad debe realizar la verificación de los valores ofertados y la corrección aritmética, cuando se requiera, para cada una de las cifras registradas en el “Formulario 1 – Formulario de Presupuesto Oficial” que tengan operaciones aritméticas y previo a seleccionar y aplicar el método de ponderación que corresponda, de acuerdo con el numeral 4.1.4 del “Documento Base”. Realizado lo anterior, la entidad tomará el valor total de la propuesta económica para asignar el puntaje por este criterio de ponderación.</w:t>
      </w:r>
    </w:p>
    <w:p w:rsidRPr="0026137F" w:rsidR="00507EA9" w:rsidRDefault="00507EA9" w14:paraId="5B5C5F46" w14:textId="77777777">
      <w:pPr>
        <w:spacing w:before="94"/>
        <w:ind w:left="180"/>
        <w:rPr>
          <w:sz w:val="20"/>
        </w:rPr>
      </w:pPr>
    </w:p>
    <w:p w:rsidRPr="0026137F" w:rsidR="00507EA9" w:rsidRDefault="00507EA9" w14:paraId="01BFDA33" w14:textId="77777777">
      <w:pPr>
        <w:spacing w:before="94"/>
        <w:ind w:left="180"/>
        <w:rPr>
          <w:sz w:val="20"/>
        </w:rPr>
      </w:pPr>
    </w:p>
    <w:p w:rsidRPr="0026137F" w:rsidR="00D94AB7" w:rsidRDefault="00507EA9" w14:paraId="38227ADE" w14:textId="77777777">
      <w:pPr>
        <w:spacing w:before="94"/>
        <w:ind w:left="180"/>
        <w:rPr>
          <w:b/>
          <w:sz w:val="20"/>
        </w:rPr>
      </w:pPr>
      <w:r w:rsidRPr="0026137F">
        <w:rPr>
          <w:sz w:val="20"/>
        </w:rPr>
        <w:t xml:space="preserve">Bogotá D.C., </w:t>
      </w:r>
      <w:r w:rsidRPr="0026137F">
        <w:rPr>
          <w:b/>
          <w:sz w:val="20"/>
        </w:rPr>
        <w:t>30/12/2019 Hora 9:55:5s</w:t>
      </w:r>
    </w:p>
    <w:p w:rsidRPr="0026137F" w:rsidR="00AA6DDD" w:rsidP="00AA6DDD" w:rsidRDefault="00AA6DDD" w14:paraId="4117AA95" w14:textId="77777777">
      <w:pPr>
        <w:ind w:left="4500" w:firstLine="540"/>
        <w:rPr>
          <w:b/>
          <w:sz w:val="20"/>
        </w:rPr>
      </w:pPr>
      <w:r w:rsidRPr="0026137F">
        <w:rPr>
          <w:b/>
          <w:sz w:val="20"/>
        </w:rPr>
        <w:t>N° Radicado: 2201913000009737</w:t>
      </w:r>
    </w:p>
    <w:p w:rsidRPr="0026137F" w:rsidR="00AA6DDD" w:rsidP="00AA6DDD" w:rsidRDefault="00AA6DDD" w14:paraId="7DD3CACA" w14:textId="77777777">
      <w:pPr>
        <w:spacing w:before="94"/>
        <w:ind w:left="180"/>
        <w:jc w:val="right"/>
        <w:rPr>
          <w:b/>
          <w:sz w:val="20"/>
        </w:rPr>
      </w:pPr>
    </w:p>
    <w:p w:rsidRPr="0026137F" w:rsidR="00D94AB7" w:rsidRDefault="00D94AB7" w14:paraId="61052DBF" w14:textId="77777777">
      <w:pPr>
        <w:pStyle w:val="Textoindependiente"/>
        <w:spacing w:before="1"/>
        <w:rPr>
          <w:b/>
          <w:sz w:val="18"/>
        </w:rPr>
      </w:pPr>
    </w:p>
    <w:p w:rsidRPr="0026137F" w:rsidR="00507EA9" w:rsidRDefault="00507EA9" w14:paraId="1EB8E4F6" w14:textId="77777777">
      <w:pPr>
        <w:ind w:left="180" w:right="2543"/>
        <w:jc w:val="both"/>
      </w:pPr>
      <w:r w:rsidRPr="0026137F">
        <w:t xml:space="preserve">Señor (a) </w:t>
      </w:r>
    </w:p>
    <w:p w:rsidRPr="0026137F" w:rsidR="00507EA9" w:rsidRDefault="00507EA9" w14:paraId="36346C69" w14:textId="77777777">
      <w:pPr>
        <w:ind w:left="180" w:right="2543"/>
        <w:jc w:val="both"/>
        <w:rPr>
          <w:b/>
        </w:rPr>
      </w:pPr>
      <w:r w:rsidRPr="0026137F">
        <w:rPr>
          <w:b/>
        </w:rPr>
        <w:t xml:space="preserve">Anónimo </w:t>
      </w:r>
    </w:p>
    <w:p w:rsidRPr="0026137F" w:rsidR="00AA6DDD" w:rsidP="00AA6DDD" w:rsidRDefault="00507EA9" w14:paraId="43F7F211" w14:textId="3165A388">
      <w:pPr>
        <w:ind w:left="180" w:right="2543"/>
        <w:jc w:val="both"/>
      </w:pPr>
      <w:r w:rsidRPr="0026137F">
        <w:t>Ciudad</w:t>
      </w:r>
    </w:p>
    <w:p w:rsidRPr="0026137F" w:rsidR="00AA6DDD" w:rsidP="00AA6DDD" w:rsidRDefault="00AA6DDD" w14:paraId="03B2308B" w14:textId="77777777">
      <w:pPr>
        <w:ind w:left="180" w:right="2543"/>
        <w:jc w:val="both"/>
      </w:pPr>
    </w:p>
    <w:p w:rsidRPr="0026137F" w:rsidR="00AA6DDD" w:rsidP="00AA6DDD" w:rsidRDefault="00AA6DDD" w14:paraId="65FCED68" w14:textId="77777777">
      <w:pPr>
        <w:ind w:left="180" w:right="2543"/>
        <w:jc w:val="both"/>
      </w:pPr>
    </w:p>
    <w:p w:rsidRPr="0026137F" w:rsidR="00AA6DDD" w:rsidP="00AA6DDD" w:rsidRDefault="00AA6DDD" w14:paraId="4F84C1CB" w14:textId="77777777">
      <w:pPr>
        <w:tabs>
          <w:tab w:val="left" w:pos="3720"/>
        </w:tabs>
        <w:spacing w:before="93"/>
        <w:ind w:left="180"/>
      </w:pPr>
      <w:r w:rsidRPr="0026137F">
        <w:rPr>
          <w:b/>
        </w:rPr>
        <w:t>Radicación:</w:t>
      </w:r>
      <w:r w:rsidRPr="0026137F">
        <w:rPr>
          <w:b/>
        </w:rPr>
        <w:tab/>
      </w:r>
      <w:r w:rsidRPr="0026137F">
        <w:t>Respuesta a consulta #</w:t>
      </w:r>
      <w:r w:rsidRPr="0026137F">
        <w:rPr>
          <w:spacing w:val="-7"/>
        </w:rPr>
        <w:t xml:space="preserve"> </w:t>
      </w:r>
      <w:r w:rsidRPr="0026137F">
        <w:t>4201912000008478</w:t>
      </w:r>
    </w:p>
    <w:p w:rsidRPr="0026137F" w:rsidR="00AA6DDD" w:rsidP="00AA6DDD" w:rsidRDefault="00AA6DDD" w14:paraId="330B6EE0" w14:textId="77777777">
      <w:pPr>
        <w:tabs>
          <w:tab w:val="left" w:pos="3720"/>
        </w:tabs>
        <w:ind w:left="180"/>
      </w:pPr>
      <w:r w:rsidRPr="0026137F">
        <w:rPr>
          <w:b/>
        </w:rPr>
        <w:t>Temas:</w:t>
      </w:r>
      <w:r w:rsidRPr="0026137F">
        <w:rPr>
          <w:b/>
        </w:rPr>
        <w:tab/>
      </w:r>
      <w:r w:rsidRPr="0026137F">
        <w:t>Documentos Tipo,</w:t>
      </w:r>
      <w:r w:rsidRPr="0026137F">
        <w:rPr>
          <w:spacing w:val="-3"/>
        </w:rPr>
        <w:t xml:space="preserve"> </w:t>
      </w:r>
      <w:r w:rsidRPr="0026137F">
        <w:t>otros</w:t>
      </w:r>
    </w:p>
    <w:p w:rsidRPr="0026137F" w:rsidR="00AA6DDD" w:rsidP="00AA6DDD" w:rsidRDefault="00AA6DDD" w14:paraId="58A950F4" w14:textId="77777777">
      <w:pPr>
        <w:tabs>
          <w:tab w:val="left" w:pos="3720"/>
        </w:tabs>
        <w:spacing w:before="2" w:line="253" w:lineRule="exact"/>
        <w:ind w:left="180"/>
      </w:pPr>
      <w:r w:rsidRPr="0026137F">
        <w:rPr>
          <w:b/>
        </w:rPr>
        <w:t>Tipo de</w:t>
      </w:r>
      <w:r w:rsidRPr="0026137F">
        <w:rPr>
          <w:b/>
          <w:spacing w:val="-4"/>
        </w:rPr>
        <w:t xml:space="preserve"> </w:t>
      </w:r>
      <w:r w:rsidRPr="0026137F">
        <w:rPr>
          <w:b/>
        </w:rPr>
        <w:t>asunto</w:t>
      </w:r>
      <w:r w:rsidRPr="0026137F">
        <w:rPr>
          <w:b/>
          <w:spacing w:val="-2"/>
        </w:rPr>
        <w:t xml:space="preserve"> </w:t>
      </w:r>
      <w:r w:rsidRPr="0026137F">
        <w:rPr>
          <w:b/>
        </w:rPr>
        <w:t>consultado:</w:t>
      </w:r>
      <w:r w:rsidRPr="0026137F">
        <w:rPr>
          <w:b/>
        </w:rPr>
        <w:tab/>
      </w:r>
      <w:r w:rsidRPr="0026137F">
        <w:t>Diferencia entre el valor total en letras y en</w:t>
      </w:r>
      <w:r w:rsidRPr="0026137F">
        <w:rPr>
          <w:spacing w:val="-20"/>
        </w:rPr>
        <w:t xml:space="preserve"> </w:t>
      </w:r>
      <w:r w:rsidRPr="0026137F">
        <w:t>números</w:t>
      </w:r>
    </w:p>
    <w:p w:rsidRPr="0026137F" w:rsidR="00AA6DDD" w:rsidP="00AA6DDD" w:rsidRDefault="00AA6DDD" w14:paraId="729388B7" w14:textId="77777777">
      <w:pPr>
        <w:pStyle w:val="Textoindependiente"/>
        <w:ind w:left="3721"/>
      </w:pPr>
      <w:r w:rsidRPr="0026137F">
        <w:t>del “Formulario 1 – Formulario de Presupuesto Oficial”</w:t>
      </w:r>
    </w:p>
    <w:p w:rsidR="00AA6DDD" w:rsidRDefault="00AA6DDD" w14:paraId="0142A23B" w14:textId="0EAD01C5">
      <w:pPr>
        <w:pStyle w:val="Textoindependiente"/>
        <w:ind w:left="180"/>
      </w:pPr>
    </w:p>
    <w:p w:rsidRPr="0026137F" w:rsidR="0026137F" w:rsidRDefault="0026137F" w14:paraId="1E29A6FA" w14:textId="77777777">
      <w:pPr>
        <w:pStyle w:val="Textoindependiente"/>
        <w:ind w:left="180"/>
      </w:pPr>
    </w:p>
    <w:p w:rsidRPr="0026137F" w:rsidR="00D94AB7" w:rsidRDefault="00507EA9" w14:paraId="5117F25A" w14:textId="77777777">
      <w:pPr>
        <w:pStyle w:val="Textoindependiente"/>
        <w:ind w:left="180"/>
      </w:pPr>
      <w:r w:rsidRPr="0026137F">
        <w:t>Estimado (a) Ciudadano (a),</w:t>
      </w:r>
    </w:p>
    <w:p w:rsidRPr="0026137F" w:rsidR="00D94AB7" w:rsidRDefault="00D94AB7" w14:paraId="1EB94029" w14:textId="77777777">
      <w:pPr>
        <w:pStyle w:val="Textoindependiente"/>
        <w:spacing w:before="7"/>
        <w:rPr>
          <w:sz w:val="28"/>
        </w:rPr>
      </w:pPr>
    </w:p>
    <w:p w:rsidRPr="0026137F" w:rsidR="00D94AB7" w:rsidRDefault="00507EA9" w14:paraId="43DF3A17" w14:textId="77777777">
      <w:pPr>
        <w:pStyle w:val="Textoindependiente"/>
        <w:spacing w:before="1" w:line="276" w:lineRule="auto"/>
        <w:ind w:left="180" w:right="203"/>
        <w:jc w:val="both"/>
      </w:pPr>
      <w:r w:rsidRPr="0026137F">
        <w:t>La Agencia Nacional de Contratación Pública - Colombia Compra Eficiente responde su consulta del 21 de diciembre de 2019, en ejercicio de la competencia otorgada por el numeral 5 del artículo 3 y numeral 8 del artículo 11 del Decreto 4170 de 2011.</w:t>
      </w:r>
    </w:p>
    <w:p w:rsidRPr="0026137F" w:rsidR="00D94AB7" w:rsidRDefault="00D94AB7" w14:paraId="65C44BFC" w14:textId="77777777">
      <w:pPr>
        <w:pStyle w:val="Textoindependiente"/>
        <w:spacing w:before="1"/>
        <w:rPr>
          <w:sz w:val="25"/>
        </w:rPr>
      </w:pPr>
    </w:p>
    <w:p w:rsidRPr="0026137F" w:rsidR="00D94AB7" w:rsidRDefault="00507EA9" w14:paraId="36A3F543" w14:textId="77777777">
      <w:pPr>
        <w:pStyle w:val="Ttulo1"/>
        <w:numPr>
          <w:ilvl w:val="0"/>
          <w:numId w:val="3"/>
        </w:numPr>
        <w:tabs>
          <w:tab w:val="left" w:pos="541"/>
        </w:tabs>
        <w:spacing w:before="1"/>
        <w:ind w:hanging="361"/>
      </w:pPr>
      <w:r w:rsidRPr="0026137F">
        <w:t>Problema</w:t>
      </w:r>
      <w:r w:rsidRPr="0026137F">
        <w:rPr>
          <w:spacing w:val="-2"/>
        </w:rPr>
        <w:t xml:space="preserve"> </w:t>
      </w:r>
      <w:r w:rsidRPr="0026137F">
        <w:t>planteado</w:t>
      </w:r>
    </w:p>
    <w:p w:rsidRPr="0026137F" w:rsidR="00D94AB7" w:rsidRDefault="00D94AB7" w14:paraId="4B04E8B3" w14:textId="77777777">
      <w:pPr>
        <w:pStyle w:val="Textoindependiente"/>
        <w:spacing w:before="8"/>
        <w:rPr>
          <w:b/>
          <w:sz w:val="28"/>
        </w:rPr>
      </w:pPr>
    </w:p>
    <w:p w:rsidRPr="0026137F" w:rsidR="00D94AB7" w:rsidRDefault="00507EA9" w14:paraId="1660014F" w14:textId="77777777">
      <w:pPr>
        <w:pStyle w:val="Textoindependiente"/>
        <w:spacing w:line="276" w:lineRule="auto"/>
        <w:ind w:left="180" w:right="204"/>
        <w:jc w:val="both"/>
      </w:pPr>
      <w:r w:rsidRPr="0026137F">
        <w:t xml:space="preserve">El peticionario solicita: “(…) concepto de Colombia Compra Eficiente, sobre si es posible rechazar una oferta económica diligenciada en base al ‘FORMULARIO 1-FORMULARIO DE PRESUPUESTO OFICIAL’ -implementado mediante el decreto 342 de 2019-, que diligenció su propuesta económica con el valor total en pesos, pero omitió diligenciar la casilla: valor </w:t>
      </w:r>
      <w:r w:rsidRPr="0026137F">
        <w:lastRenderedPageBreak/>
        <w:t>total en letras. Se solicita tal pronunciamiento toda vez que dentro de las causales de rechazo de las ofertas taxativamente no se encuentra referencia sobre este tema”.</w:t>
      </w:r>
    </w:p>
    <w:p w:rsidRPr="0026137F" w:rsidR="00D94AB7" w:rsidRDefault="00D94AB7" w14:paraId="7C1EE4D9" w14:textId="77777777">
      <w:pPr>
        <w:pStyle w:val="Textoindependiente"/>
        <w:spacing w:before="3"/>
        <w:rPr>
          <w:sz w:val="25"/>
        </w:rPr>
      </w:pPr>
    </w:p>
    <w:p w:rsidRPr="0026137F" w:rsidR="00D94AB7" w:rsidRDefault="00507EA9" w14:paraId="483E5F07" w14:textId="77777777">
      <w:pPr>
        <w:pStyle w:val="Ttulo1"/>
        <w:numPr>
          <w:ilvl w:val="0"/>
          <w:numId w:val="3"/>
        </w:numPr>
        <w:tabs>
          <w:tab w:val="left" w:pos="541"/>
        </w:tabs>
        <w:ind w:hanging="361"/>
      </w:pPr>
      <w:r w:rsidRPr="0026137F">
        <w:t>Consideraciones</w:t>
      </w:r>
    </w:p>
    <w:p w:rsidRPr="0026137F" w:rsidR="00D94AB7" w:rsidRDefault="00D94AB7" w14:paraId="1BD075AC" w14:textId="77777777">
      <w:pPr>
        <w:pStyle w:val="Textoindependiente"/>
        <w:spacing w:before="8"/>
        <w:rPr>
          <w:b/>
          <w:sz w:val="28"/>
        </w:rPr>
      </w:pPr>
    </w:p>
    <w:p w:rsidRPr="0026137F" w:rsidR="00D94AB7" w:rsidRDefault="00507EA9" w14:paraId="273F1111" w14:textId="77777777">
      <w:pPr>
        <w:pStyle w:val="Textoindependiente"/>
        <w:spacing w:line="276" w:lineRule="auto"/>
        <w:ind w:left="180" w:right="204"/>
        <w:jc w:val="both"/>
      </w:pPr>
      <w:r w:rsidRPr="0026137F">
        <w:t>La Subdirección de Gestión Contractual de la Agencia Nacional de Contratación Pública, en el concepto con radicado No. 4201912000006615 del 25 de septiembre de 2019, reiterado y desarrollado en el concepto con radicado No. 4201912000007109 del 16 de octubre</w:t>
      </w:r>
      <w:r w:rsidRPr="0026137F">
        <w:rPr>
          <w:spacing w:val="9"/>
        </w:rPr>
        <w:t xml:space="preserve"> </w:t>
      </w:r>
      <w:r w:rsidRPr="0026137F">
        <w:t>de</w:t>
      </w:r>
      <w:r w:rsidRPr="0026137F">
        <w:rPr>
          <w:spacing w:val="10"/>
        </w:rPr>
        <w:t xml:space="preserve"> </w:t>
      </w:r>
      <w:r w:rsidRPr="0026137F">
        <w:t>2019</w:t>
      </w:r>
      <w:r w:rsidRPr="0026137F">
        <w:rPr>
          <w:spacing w:val="11"/>
        </w:rPr>
        <w:t xml:space="preserve"> </w:t>
      </w:r>
      <w:r w:rsidRPr="0026137F">
        <w:t>y</w:t>
      </w:r>
      <w:r w:rsidRPr="0026137F">
        <w:rPr>
          <w:spacing w:val="7"/>
        </w:rPr>
        <w:t xml:space="preserve"> </w:t>
      </w:r>
      <w:r w:rsidRPr="0026137F">
        <w:t>en</w:t>
      </w:r>
      <w:r w:rsidRPr="0026137F">
        <w:rPr>
          <w:spacing w:val="11"/>
        </w:rPr>
        <w:t xml:space="preserve"> </w:t>
      </w:r>
      <w:r w:rsidRPr="0026137F">
        <w:t>el</w:t>
      </w:r>
      <w:r w:rsidRPr="0026137F">
        <w:rPr>
          <w:spacing w:val="10"/>
        </w:rPr>
        <w:t xml:space="preserve"> </w:t>
      </w:r>
      <w:r w:rsidRPr="0026137F">
        <w:t>concepto</w:t>
      </w:r>
      <w:r w:rsidRPr="0026137F">
        <w:rPr>
          <w:spacing w:val="10"/>
        </w:rPr>
        <w:t xml:space="preserve"> </w:t>
      </w:r>
      <w:r w:rsidRPr="0026137F">
        <w:t>identificado</w:t>
      </w:r>
      <w:r w:rsidRPr="0026137F">
        <w:rPr>
          <w:spacing w:val="10"/>
        </w:rPr>
        <w:t xml:space="preserve"> </w:t>
      </w:r>
      <w:r w:rsidRPr="0026137F">
        <w:t>con</w:t>
      </w:r>
      <w:r w:rsidRPr="0026137F">
        <w:rPr>
          <w:spacing w:val="7"/>
        </w:rPr>
        <w:t xml:space="preserve"> </w:t>
      </w:r>
      <w:r w:rsidRPr="0026137F">
        <w:t>el</w:t>
      </w:r>
      <w:r w:rsidRPr="0026137F">
        <w:rPr>
          <w:spacing w:val="11"/>
        </w:rPr>
        <w:t xml:space="preserve"> </w:t>
      </w:r>
      <w:r w:rsidRPr="0026137F">
        <w:t>radicado</w:t>
      </w:r>
      <w:r w:rsidRPr="0026137F">
        <w:rPr>
          <w:spacing w:val="7"/>
        </w:rPr>
        <w:t xml:space="preserve"> </w:t>
      </w:r>
      <w:r w:rsidRPr="0026137F">
        <w:t>No.</w:t>
      </w:r>
      <w:r w:rsidRPr="0026137F">
        <w:rPr>
          <w:spacing w:val="14"/>
        </w:rPr>
        <w:t xml:space="preserve"> </w:t>
      </w:r>
      <w:r w:rsidRPr="0026137F">
        <w:t>4201912000007794</w:t>
      </w:r>
      <w:r w:rsidRPr="0026137F">
        <w:rPr>
          <w:spacing w:val="11"/>
        </w:rPr>
        <w:t xml:space="preserve"> </w:t>
      </w:r>
      <w:r w:rsidRPr="0026137F">
        <w:t>del</w:t>
      </w:r>
    </w:p>
    <w:p w:rsidRPr="0026137F" w:rsidR="00D94AB7" w:rsidRDefault="00507EA9" w14:paraId="397E7AE3" w14:textId="77777777">
      <w:pPr>
        <w:pStyle w:val="Textoindependiente"/>
        <w:spacing w:line="276" w:lineRule="auto"/>
        <w:ind w:left="180" w:right="205"/>
        <w:jc w:val="both"/>
      </w:pPr>
      <w:r w:rsidRPr="0026137F">
        <w:t>20 de diciembre de 2019, estudió la obligatoriedad del “Formulario 1 – Formulario de Presupuesto Oficial”. La Tesis desarrollada en estos conceptos es la que se expone a continuación:</w:t>
      </w:r>
    </w:p>
    <w:p w:rsidRPr="0026137F" w:rsidR="00D94AB7" w:rsidRDefault="00D94AB7" w14:paraId="443D3BC5" w14:textId="77777777">
      <w:pPr>
        <w:pStyle w:val="Textoindependiente"/>
        <w:spacing w:before="4"/>
        <w:rPr>
          <w:sz w:val="25"/>
        </w:rPr>
      </w:pPr>
    </w:p>
    <w:p w:rsidRPr="0026137F" w:rsidR="00D94AB7" w:rsidRDefault="00507EA9" w14:paraId="7C2ABE38" w14:textId="77777777">
      <w:pPr>
        <w:pStyle w:val="Textoindependiente"/>
        <w:ind w:left="180"/>
        <w:jc w:val="both"/>
      </w:pPr>
      <w:r w:rsidRPr="0026137F">
        <w:t>El numeral “4.1.2 CORRECCIONES ARITMÉTICAS” del “Documento Base” dispone:</w:t>
      </w:r>
    </w:p>
    <w:p w:rsidRPr="0026137F" w:rsidR="00D94AB7" w:rsidRDefault="00D94AB7" w14:paraId="6B9E9793" w14:textId="77777777">
      <w:pPr>
        <w:pStyle w:val="Textoindependiente"/>
        <w:rPr>
          <w:sz w:val="20"/>
        </w:rPr>
      </w:pPr>
    </w:p>
    <w:p w:rsidRPr="0026137F" w:rsidR="00D94AB7" w:rsidRDefault="00D94AB7" w14:paraId="3E29C5AF" w14:textId="77777777">
      <w:pPr>
        <w:pStyle w:val="Textoindependiente"/>
        <w:spacing w:before="4"/>
        <w:rPr>
          <w:sz w:val="20"/>
        </w:rPr>
      </w:pPr>
    </w:p>
    <w:p w:rsidRPr="0026137F" w:rsidR="00D94AB7" w:rsidRDefault="00507EA9" w14:paraId="639197F9" w14:textId="77777777">
      <w:pPr>
        <w:ind w:left="888"/>
        <w:jc w:val="both"/>
        <w:rPr>
          <w:b/>
          <w:sz w:val="20"/>
        </w:rPr>
      </w:pPr>
      <w:r w:rsidRPr="0026137F">
        <w:rPr>
          <w:b/>
          <w:sz w:val="20"/>
        </w:rPr>
        <w:t>“4.1.2. CORRECCIONES ARITMÉTICAS</w:t>
      </w:r>
    </w:p>
    <w:p w:rsidRPr="0026137F" w:rsidR="00D94AB7" w:rsidRDefault="00D94AB7" w14:paraId="63801DA5" w14:textId="77777777">
      <w:pPr>
        <w:pStyle w:val="Textoindependiente"/>
        <w:spacing w:before="1"/>
        <w:rPr>
          <w:b/>
          <w:sz w:val="21"/>
        </w:rPr>
      </w:pPr>
    </w:p>
    <w:p w:rsidRPr="0026137F" w:rsidR="00D94AB7" w:rsidRDefault="00507EA9" w14:paraId="44FE3C40" w14:textId="77777777">
      <w:pPr>
        <w:ind w:left="888"/>
        <w:jc w:val="both"/>
        <w:rPr>
          <w:sz w:val="20"/>
        </w:rPr>
      </w:pPr>
      <w:r w:rsidRPr="0026137F">
        <w:rPr>
          <w:sz w:val="20"/>
        </w:rPr>
        <w:t>La Entidad sólo efectuará correcciones aritméticas originadas por:</w:t>
      </w:r>
    </w:p>
    <w:p w:rsidRPr="0026137F" w:rsidR="00D94AB7" w:rsidRDefault="00D94AB7" w14:paraId="685A4002" w14:textId="77777777">
      <w:pPr>
        <w:pStyle w:val="Textoindependiente"/>
        <w:spacing w:before="4"/>
        <w:rPr>
          <w:sz w:val="17"/>
        </w:rPr>
      </w:pPr>
    </w:p>
    <w:p w:rsidRPr="0026137F" w:rsidR="00D94AB7" w:rsidRDefault="00507EA9" w14:paraId="695687FB" w14:textId="77777777">
      <w:pPr>
        <w:pStyle w:val="Prrafodelista"/>
        <w:numPr>
          <w:ilvl w:val="0"/>
          <w:numId w:val="1"/>
        </w:numPr>
        <w:tabs>
          <w:tab w:val="left" w:pos="1608"/>
        </w:tabs>
        <w:ind w:right="915"/>
        <w:jc w:val="both"/>
        <w:rPr>
          <w:sz w:val="20"/>
        </w:rPr>
      </w:pPr>
      <w:r w:rsidRPr="0026137F">
        <w:rPr>
          <w:sz w:val="20"/>
        </w:rPr>
        <w:t>Todas las operaciones aritméticas a que haya lugar en la propuesta económica.</w:t>
      </w:r>
    </w:p>
    <w:p w:rsidRPr="0026137F" w:rsidR="00D94AB7" w:rsidRDefault="00507EA9" w14:paraId="37ABA0AB" w14:textId="77777777">
      <w:pPr>
        <w:pStyle w:val="Prrafodelista"/>
        <w:numPr>
          <w:ilvl w:val="0"/>
          <w:numId w:val="1"/>
        </w:numPr>
        <w:tabs>
          <w:tab w:val="left" w:pos="1608"/>
        </w:tabs>
        <w:ind w:right="914"/>
        <w:jc w:val="both"/>
        <w:rPr>
          <w:sz w:val="20"/>
        </w:rPr>
      </w:pPr>
      <w:r w:rsidRPr="0026137F">
        <w:rPr>
          <w:sz w:val="20"/>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w:t>
      </w:r>
      <w:r w:rsidRPr="0026137F">
        <w:rPr>
          <w:spacing w:val="-12"/>
          <w:sz w:val="20"/>
        </w:rPr>
        <w:t xml:space="preserve"> </w:t>
      </w:r>
      <w:r w:rsidRPr="0026137F">
        <w:rPr>
          <w:sz w:val="20"/>
        </w:rPr>
        <w:t>entero.</w:t>
      </w:r>
    </w:p>
    <w:p w:rsidRPr="0026137F" w:rsidR="00D94AB7" w:rsidRDefault="00D94AB7" w14:paraId="4E3F9CF5" w14:textId="77777777">
      <w:pPr>
        <w:pStyle w:val="Textoindependiente"/>
        <w:spacing w:before="6"/>
        <w:rPr>
          <w:sz w:val="30"/>
        </w:rPr>
      </w:pPr>
    </w:p>
    <w:p w:rsidRPr="0026137F" w:rsidR="00D94AB7" w:rsidRDefault="00507EA9" w14:paraId="79753EDD" w14:textId="77777777">
      <w:pPr>
        <w:ind w:left="888" w:right="919"/>
        <w:jc w:val="both"/>
        <w:rPr>
          <w:sz w:val="20"/>
        </w:rPr>
      </w:pPr>
      <w:r w:rsidRPr="0026137F">
        <w:rPr>
          <w:sz w:val="20"/>
        </w:rPr>
        <w:t>La Entidad a partir del valor total corregido de las propuestas asignará máximo setenta (70) puntos acumulables de conformidad con el procedimiento del numeral 4.1.4.”</w:t>
      </w:r>
    </w:p>
    <w:p w:rsidRPr="0026137F" w:rsidR="00D94AB7" w:rsidRDefault="00D94AB7" w14:paraId="21F998A7" w14:textId="77777777">
      <w:pPr>
        <w:pStyle w:val="Textoindependiente"/>
        <w:spacing w:before="9"/>
        <w:rPr>
          <w:sz w:val="20"/>
        </w:rPr>
      </w:pPr>
    </w:p>
    <w:p w:rsidRPr="0026137F" w:rsidR="00D94AB7" w:rsidRDefault="00507EA9" w14:paraId="7F61F596" w14:textId="6537C131">
      <w:pPr>
        <w:pStyle w:val="Textoindependiente"/>
        <w:spacing w:line="276" w:lineRule="auto"/>
        <w:ind w:left="180" w:right="203"/>
        <w:jc w:val="both"/>
      </w:pPr>
      <w:r w:rsidRPr="0026137F">
        <w:t>El “Documento Base o Pliego Tipo” contempla la forma de corregir las operaciones aritméticas y las aproximaciones de las cifras decimales. Por lo tanto, la entidad, durante la etapa de evaluación de las ofertas económicas de los proponentes habilitados, debe verificar, con base en la información registrada en el “Formulario 1 – Formulario de Presupuesto Oficial”, cada una de las operaciones aritméticas que permitan verificar el valor real ofertado por el proponente. Ejemplo</w:t>
      </w:r>
      <w:r w:rsidRPr="0026137F" w:rsidR="00AA6DDD">
        <w:rPr>
          <w:rStyle w:val="Refdenotaalpie"/>
        </w:rPr>
        <w:footnoteReference w:id="1"/>
      </w:r>
      <w:r w:rsidRPr="0026137F">
        <w:t>: el proponente oferta en el “Formulario 1 – Formulario</w:t>
      </w:r>
      <w:r w:rsidRPr="0026137F">
        <w:rPr>
          <w:spacing w:val="30"/>
        </w:rPr>
        <w:t xml:space="preserve"> </w:t>
      </w:r>
      <w:r w:rsidRPr="0026137F">
        <w:t>de</w:t>
      </w:r>
      <w:r w:rsidRPr="0026137F">
        <w:rPr>
          <w:spacing w:val="31"/>
        </w:rPr>
        <w:t xml:space="preserve"> </w:t>
      </w:r>
      <w:r w:rsidRPr="0026137F">
        <w:t>Presupuesto</w:t>
      </w:r>
      <w:r w:rsidRPr="0026137F">
        <w:rPr>
          <w:spacing w:val="31"/>
        </w:rPr>
        <w:t xml:space="preserve"> </w:t>
      </w:r>
      <w:r w:rsidRPr="0026137F">
        <w:t>Oficial”,</w:t>
      </w:r>
      <w:r w:rsidRPr="0026137F">
        <w:rPr>
          <w:spacing w:val="30"/>
        </w:rPr>
        <w:t xml:space="preserve"> </w:t>
      </w:r>
      <w:r w:rsidRPr="0026137F">
        <w:t>como</w:t>
      </w:r>
      <w:r w:rsidRPr="0026137F">
        <w:rPr>
          <w:spacing w:val="30"/>
        </w:rPr>
        <w:t xml:space="preserve"> </w:t>
      </w:r>
      <w:r w:rsidRPr="0026137F">
        <w:t>“valor</w:t>
      </w:r>
      <w:r w:rsidRPr="0026137F">
        <w:rPr>
          <w:spacing w:val="30"/>
        </w:rPr>
        <w:t xml:space="preserve"> </w:t>
      </w:r>
      <w:r w:rsidRPr="0026137F">
        <w:t>unitario”</w:t>
      </w:r>
      <w:r w:rsidRPr="0026137F">
        <w:rPr>
          <w:spacing w:val="30"/>
        </w:rPr>
        <w:t xml:space="preserve"> </w:t>
      </w:r>
      <w:r w:rsidRPr="0026137F">
        <w:t>del</w:t>
      </w:r>
      <w:r w:rsidRPr="0026137F">
        <w:rPr>
          <w:spacing w:val="38"/>
        </w:rPr>
        <w:t xml:space="preserve"> </w:t>
      </w:r>
      <w:r w:rsidRPr="0026137F">
        <w:rPr>
          <w:i/>
        </w:rPr>
        <w:t>ítem</w:t>
      </w:r>
      <w:r w:rsidRPr="0026137F">
        <w:rPr>
          <w:i/>
          <w:spacing w:val="31"/>
        </w:rPr>
        <w:t xml:space="preserve"> </w:t>
      </w:r>
      <w:r w:rsidRPr="0026137F">
        <w:t>450.1.2P,</w:t>
      </w:r>
      <w:r w:rsidRPr="0026137F">
        <w:rPr>
          <w:spacing w:val="30"/>
        </w:rPr>
        <w:t xml:space="preserve"> </w:t>
      </w:r>
      <w:r w:rsidRPr="0026137F">
        <w:t>la</w:t>
      </w:r>
      <w:r w:rsidRPr="0026137F">
        <w:rPr>
          <w:spacing w:val="31"/>
        </w:rPr>
        <w:t xml:space="preserve"> </w:t>
      </w:r>
      <w:r w:rsidRPr="0026137F">
        <w:t>suma</w:t>
      </w:r>
      <w:r w:rsidRPr="0026137F">
        <w:rPr>
          <w:spacing w:val="30"/>
        </w:rPr>
        <w:t xml:space="preserve"> </w:t>
      </w:r>
      <w:r w:rsidRPr="0026137F">
        <w:t>de</w:t>
      </w:r>
    </w:p>
    <w:p w:rsidRPr="0026137F" w:rsidR="00D94AB7" w:rsidRDefault="00507EA9" w14:paraId="6C178129" w14:textId="77777777">
      <w:pPr>
        <w:pStyle w:val="Textoindependiente"/>
        <w:spacing w:line="276" w:lineRule="auto"/>
        <w:ind w:left="180" w:right="209"/>
        <w:jc w:val="both"/>
      </w:pPr>
      <w:r w:rsidRPr="0026137F">
        <w:t xml:space="preserve">$618.720,00, por lo cual la entidad debe verificar que dicho valor corresponda al “valor total” </w:t>
      </w:r>
      <w:r w:rsidRPr="0026137F">
        <w:lastRenderedPageBreak/>
        <w:t xml:space="preserve">ofertado para ese </w:t>
      </w:r>
      <w:r w:rsidRPr="0026137F">
        <w:rPr>
          <w:i/>
        </w:rPr>
        <w:t xml:space="preserve">ítem, </w:t>
      </w:r>
      <w:r w:rsidRPr="0026137F">
        <w:t xml:space="preserve">de acuerdo con las cantidades requeridas, y que la sumatoria de la totalidad de </w:t>
      </w:r>
      <w:r w:rsidRPr="0026137F">
        <w:rPr>
          <w:i/>
        </w:rPr>
        <w:t xml:space="preserve">ítems </w:t>
      </w:r>
      <w:r w:rsidRPr="0026137F">
        <w:t>incluye la diferencia producto de la</w:t>
      </w:r>
      <w:r w:rsidRPr="0026137F">
        <w:rPr>
          <w:spacing w:val="-19"/>
        </w:rPr>
        <w:t xml:space="preserve"> </w:t>
      </w:r>
      <w:r w:rsidRPr="0026137F">
        <w:t>corrección:</w:t>
      </w:r>
    </w:p>
    <w:p w:rsidRPr="0026137F" w:rsidR="00D94AB7" w:rsidRDefault="00D94AB7" w14:paraId="5CC303E5" w14:textId="77777777">
      <w:pPr>
        <w:pStyle w:val="Textoindependiente"/>
        <w:spacing w:before="3"/>
        <w:rPr>
          <w:sz w:val="25"/>
        </w:rPr>
      </w:pPr>
    </w:p>
    <w:p w:rsidRPr="0026137F" w:rsidR="00D94AB7" w:rsidRDefault="00507EA9" w14:paraId="407947BA" w14:textId="77777777">
      <w:pPr>
        <w:pStyle w:val="Prrafodelista"/>
        <w:numPr>
          <w:ilvl w:val="0"/>
          <w:numId w:val="2"/>
        </w:numPr>
        <w:tabs>
          <w:tab w:val="left" w:pos="900"/>
          <w:tab w:val="left" w:pos="901"/>
        </w:tabs>
        <w:ind w:hanging="361"/>
      </w:pPr>
      <w:r w:rsidRPr="0026137F">
        <w:t>Valor ofertado por el</w:t>
      </w:r>
      <w:r w:rsidRPr="0026137F">
        <w:rPr>
          <w:spacing w:val="-7"/>
        </w:rPr>
        <w:t xml:space="preserve"> </w:t>
      </w:r>
      <w:r w:rsidRPr="0026137F">
        <w:t>proponente:</w:t>
      </w:r>
    </w:p>
    <w:p w:rsidRPr="0026137F" w:rsidR="00D94AB7" w:rsidRDefault="00D94AB7" w14:paraId="07C174C1" w14:textId="77777777">
      <w:pPr>
        <w:pStyle w:val="Textoindependiente"/>
        <w:spacing w:before="9"/>
        <w:rPr>
          <w:sz w:val="28"/>
        </w:rPr>
      </w:pPr>
    </w:p>
    <w:tbl>
      <w:tblPr>
        <w:tblStyle w:val="TableNormal"/>
        <w:tblW w:w="0" w:type="auto"/>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845"/>
        <w:gridCol w:w="968"/>
        <w:gridCol w:w="1051"/>
        <w:gridCol w:w="2531"/>
        <w:gridCol w:w="483"/>
        <w:gridCol w:w="873"/>
        <w:gridCol w:w="916"/>
        <w:gridCol w:w="1408"/>
      </w:tblGrid>
      <w:tr w:rsidRPr="0026137F" w:rsidR="0026137F" w14:paraId="5CA5A8D0" w14:textId="77777777">
        <w:trPr>
          <w:trHeight w:val="195"/>
        </w:trPr>
        <w:tc>
          <w:tcPr>
            <w:tcW w:w="845" w:type="dxa"/>
            <w:vMerge w:val="restart"/>
            <w:tcBorders>
              <w:left w:val="single" w:color="000000" w:sz="4" w:space="0"/>
              <w:right w:val="single" w:color="000000" w:sz="4" w:space="0"/>
            </w:tcBorders>
          </w:tcPr>
          <w:p w:rsidRPr="0026137F" w:rsidR="00D94AB7" w:rsidRDefault="00507EA9" w14:paraId="23A8BCD9" w14:textId="77777777">
            <w:pPr>
              <w:pStyle w:val="TableParagraph"/>
              <w:spacing w:before="13"/>
              <w:ind w:left="137"/>
              <w:rPr>
                <w:rFonts w:ascii="Arial"/>
                <w:b/>
                <w:sz w:val="14"/>
              </w:rPr>
            </w:pPr>
            <w:r w:rsidRPr="0026137F">
              <w:rPr>
                <w:rFonts w:ascii="Arial"/>
                <w:b/>
                <w:sz w:val="14"/>
              </w:rPr>
              <w:t>ITEM DE</w:t>
            </w:r>
          </w:p>
          <w:p w:rsidRPr="0026137F" w:rsidR="00D94AB7" w:rsidRDefault="00507EA9" w14:paraId="1B61952B" w14:textId="77777777">
            <w:pPr>
              <w:pStyle w:val="TableParagraph"/>
              <w:spacing w:before="27"/>
              <w:ind w:left="215"/>
              <w:rPr>
                <w:rFonts w:ascii="Arial"/>
                <w:b/>
                <w:sz w:val="14"/>
              </w:rPr>
            </w:pPr>
            <w:r w:rsidRPr="0026137F">
              <w:rPr>
                <w:rFonts w:ascii="Arial"/>
                <w:b/>
                <w:sz w:val="14"/>
              </w:rPr>
              <w:t>PAGO</w:t>
            </w:r>
          </w:p>
        </w:tc>
        <w:tc>
          <w:tcPr>
            <w:tcW w:w="2019" w:type="dxa"/>
            <w:gridSpan w:val="2"/>
            <w:tcBorders>
              <w:left w:val="single" w:color="000000" w:sz="4" w:space="0"/>
              <w:bottom w:val="single" w:color="000000" w:sz="4" w:space="0"/>
            </w:tcBorders>
          </w:tcPr>
          <w:p w:rsidRPr="0026137F" w:rsidR="00D94AB7" w:rsidRDefault="00507EA9" w14:paraId="09A45F47" w14:textId="77777777">
            <w:pPr>
              <w:pStyle w:val="TableParagraph"/>
              <w:spacing w:before="3"/>
              <w:ind w:left="322"/>
              <w:rPr>
                <w:rFonts w:ascii="Arial"/>
                <w:b/>
                <w:sz w:val="14"/>
              </w:rPr>
            </w:pPr>
            <w:r w:rsidRPr="0026137F">
              <w:rPr>
                <w:rFonts w:ascii="Arial"/>
                <w:b/>
                <w:sz w:val="14"/>
              </w:rPr>
              <w:t>ESPECIFICACIONES</w:t>
            </w:r>
          </w:p>
        </w:tc>
        <w:tc>
          <w:tcPr>
            <w:tcW w:w="2531" w:type="dxa"/>
            <w:vMerge w:val="restart"/>
            <w:tcBorders>
              <w:right w:val="single" w:color="000000" w:sz="4" w:space="0"/>
            </w:tcBorders>
          </w:tcPr>
          <w:p w:rsidRPr="0026137F" w:rsidR="00D94AB7" w:rsidRDefault="00507EA9" w14:paraId="01E7D34E" w14:textId="77777777">
            <w:pPr>
              <w:pStyle w:val="TableParagraph"/>
              <w:spacing w:before="106"/>
              <w:ind w:left="773"/>
              <w:rPr>
                <w:rFonts w:ascii="Arial"/>
                <w:b/>
                <w:sz w:val="14"/>
              </w:rPr>
            </w:pPr>
            <w:r w:rsidRPr="0026137F">
              <w:rPr>
                <w:rFonts w:ascii="Arial"/>
                <w:b/>
                <w:sz w:val="14"/>
              </w:rPr>
              <w:t>DESCRIPCION</w:t>
            </w:r>
          </w:p>
        </w:tc>
        <w:tc>
          <w:tcPr>
            <w:tcW w:w="483" w:type="dxa"/>
            <w:vMerge w:val="restart"/>
            <w:tcBorders>
              <w:left w:val="single" w:color="000000" w:sz="4" w:space="0"/>
              <w:right w:val="single" w:color="000000" w:sz="4" w:space="0"/>
            </w:tcBorders>
          </w:tcPr>
          <w:p w:rsidRPr="0026137F" w:rsidR="00D94AB7" w:rsidRDefault="00507EA9" w14:paraId="35A206C4" w14:textId="77777777">
            <w:pPr>
              <w:pStyle w:val="TableParagraph"/>
              <w:spacing w:before="106"/>
              <w:ind w:left="70"/>
              <w:rPr>
                <w:rFonts w:ascii="Arial"/>
                <w:b/>
                <w:sz w:val="14"/>
              </w:rPr>
            </w:pPr>
            <w:r w:rsidRPr="0026137F">
              <w:rPr>
                <w:rFonts w:ascii="Arial"/>
                <w:b/>
                <w:sz w:val="14"/>
              </w:rPr>
              <w:t>UND.</w:t>
            </w:r>
          </w:p>
        </w:tc>
        <w:tc>
          <w:tcPr>
            <w:tcW w:w="873" w:type="dxa"/>
            <w:vMerge w:val="restart"/>
            <w:tcBorders>
              <w:left w:val="single" w:color="000000" w:sz="4" w:space="0"/>
              <w:right w:val="single" w:color="000000" w:sz="4" w:space="0"/>
            </w:tcBorders>
          </w:tcPr>
          <w:p w:rsidRPr="0026137F" w:rsidR="00D94AB7" w:rsidRDefault="00507EA9" w14:paraId="23EA6639" w14:textId="77777777">
            <w:pPr>
              <w:pStyle w:val="TableParagraph"/>
              <w:spacing w:before="106"/>
              <w:ind w:left="70"/>
              <w:rPr>
                <w:rFonts w:ascii="Arial"/>
                <w:b/>
                <w:sz w:val="14"/>
              </w:rPr>
            </w:pPr>
            <w:r w:rsidRPr="0026137F">
              <w:rPr>
                <w:rFonts w:ascii="Arial"/>
                <w:b/>
                <w:sz w:val="14"/>
              </w:rPr>
              <w:t>CANTIDAD</w:t>
            </w:r>
          </w:p>
        </w:tc>
        <w:tc>
          <w:tcPr>
            <w:tcW w:w="916" w:type="dxa"/>
            <w:vMerge w:val="restart"/>
            <w:tcBorders>
              <w:left w:val="single" w:color="000000" w:sz="4" w:space="0"/>
              <w:right w:val="single" w:color="000000" w:sz="4" w:space="0"/>
            </w:tcBorders>
          </w:tcPr>
          <w:p w:rsidRPr="0026137F" w:rsidR="00D94AB7" w:rsidRDefault="00507EA9" w14:paraId="72605B17" w14:textId="77777777">
            <w:pPr>
              <w:pStyle w:val="TableParagraph"/>
              <w:spacing w:before="13"/>
              <w:ind w:left="212"/>
              <w:rPr>
                <w:rFonts w:ascii="Arial"/>
                <w:b/>
                <w:sz w:val="14"/>
              </w:rPr>
            </w:pPr>
            <w:r w:rsidRPr="0026137F">
              <w:rPr>
                <w:rFonts w:ascii="Arial"/>
                <w:b/>
                <w:sz w:val="14"/>
              </w:rPr>
              <w:t>VALOR</w:t>
            </w:r>
          </w:p>
          <w:p w:rsidRPr="0026137F" w:rsidR="00D94AB7" w:rsidRDefault="00507EA9" w14:paraId="75937F02" w14:textId="77777777">
            <w:pPr>
              <w:pStyle w:val="TableParagraph"/>
              <w:spacing w:before="27"/>
              <w:ind w:left="117"/>
              <w:rPr>
                <w:rFonts w:ascii="Arial"/>
                <w:b/>
                <w:sz w:val="14"/>
              </w:rPr>
            </w:pPr>
            <w:r w:rsidRPr="0026137F">
              <w:rPr>
                <w:rFonts w:ascii="Arial"/>
                <w:b/>
                <w:sz w:val="14"/>
              </w:rPr>
              <w:t>UNITARIO</w:t>
            </w:r>
          </w:p>
        </w:tc>
        <w:tc>
          <w:tcPr>
            <w:tcW w:w="1408" w:type="dxa"/>
            <w:vMerge w:val="restart"/>
            <w:tcBorders>
              <w:left w:val="single" w:color="000000" w:sz="4" w:space="0"/>
            </w:tcBorders>
          </w:tcPr>
          <w:p w:rsidRPr="0026137F" w:rsidR="00D94AB7" w:rsidRDefault="00507EA9" w14:paraId="367C6118" w14:textId="77777777">
            <w:pPr>
              <w:pStyle w:val="TableParagraph"/>
              <w:spacing w:before="106"/>
              <w:ind w:left="204"/>
              <w:rPr>
                <w:rFonts w:ascii="Arial"/>
                <w:b/>
                <w:sz w:val="14"/>
              </w:rPr>
            </w:pPr>
            <w:r w:rsidRPr="0026137F">
              <w:rPr>
                <w:rFonts w:ascii="Arial"/>
                <w:b/>
                <w:sz w:val="14"/>
              </w:rPr>
              <w:t>VALOR TOTAL</w:t>
            </w:r>
          </w:p>
        </w:tc>
      </w:tr>
      <w:tr w:rsidRPr="0026137F" w:rsidR="0026137F" w14:paraId="2BA77C9B" w14:textId="77777777">
        <w:trPr>
          <w:trHeight w:val="192"/>
        </w:trPr>
        <w:tc>
          <w:tcPr>
            <w:tcW w:w="845" w:type="dxa"/>
            <w:vMerge/>
            <w:tcBorders>
              <w:top w:val="nil"/>
              <w:left w:val="single" w:color="000000" w:sz="4" w:space="0"/>
              <w:right w:val="single" w:color="000000" w:sz="4" w:space="0"/>
            </w:tcBorders>
          </w:tcPr>
          <w:p w:rsidRPr="0026137F" w:rsidR="00D94AB7" w:rsidRDefault="00D94AB7" w14:paraId="5A4A1E42" w14:textId="77777777">
            <w:pPr>
              <w:rPr>
                <w:sz w:val="2"/>
                <w:szCs w:val="2"/>
              </w:rPr>
            </w:pPr>
          </w:p>
        </w:tc>
        <w:tc>
          <w:tcPr>
            <w:tcW w:w="968" w:type="dxa"/>
            <w:tcBorders>
              <w:top w:val="single" w:color="000000" w:sz="4" w:space="0"/>
              <w:left w:val="single" w:color="000000" w:sz="4" w:space="0"/>
              <w:right w:val="single" w:color="000000" w:sz="4" w:space="0"/>
            </w:tcBorders>
          </w:tcPr>
          <w:p w:rsidRPr="0026137F" w:rsidR="00D94AB7" w:rsidRDefault="00507EA9" w14:paraId="6877BCFD" w14:textId="77777777">
            <w:pPr>
              <w:pStyle w:val="TableParagraph"/>
              <w:spacing w:before="1"/>
              <w:ind w:left="142"/>
              <w:rPr>
                <w:rFonts w:ascii="Arial"/>
                <w:b/>
                <w:sz w:val="14"/>
              </w:rPr>
            </w:pPr>
            <w:r w:rsidRPr="0026137F">
              <w:rPr>
                <w:rFonts w:ascii="Arial"/>
                <w:b/>
                <w:sz w:val="14"/>
              </w:rPr>
              <w:t>GENERAL</w:t>
            </w:r>
          </w:p>
        </w:tc>
        <w:tc>
          <w:tcPr>
            <w:tcW w:w="1051" w:type="dxa"/>
            <w:tcBorders>
              <w:top w:val="single" w:color="000000" w:sz="4" w:space="0"/>
              <w:left w:val="single" w:color="000000" w:sz="4" w:space="0"/>
            </w:tcBorders>
          </w:tcPr>
          <w:p w:rsidRPr="0026137F" w:rsidR="00D94AB7" w:rsidRDefault="00507EA9" w14:paraId="549A2F25" w14:textId="77777777">
            <w:pPr>
              <w:pStyle w:val="TableParagraph"/>
              <w:spacing w:before="1"/>
              <w:ind w:left="71"/>
              <w:rPr>
                <w:rFonts w:ascii="Arial"/>
                <w:b/>
                <w:sz w:val="14"/>
              </w:rPr>
            </w:pPr>
            <w:r w:rsidRPr="0026137F">
              <w:rPr>
                <w:rFonts w:ascii="Arial"/>
                <w:b/>
                <w:sz w:val="14"/>
              </w:rPr>
              <w:t>PARTICULAR</w:t>
            </w:r>
          </w:p>
        </w:tc>
        <w:tc>
          <w:tcPr>
            <w:tcW w:w="2531" w:type="dxa"/>
            <w:vMerge/>
            <w:tcBorders>
              <w:top w:val="nil"/>
              <w:right w:val="single" w:color="000000" w:sz="4" w:space="0"/>
            </w:tcBorders>
          </w:tcPr>
          <w:p w:rsidRPr="0026137F" w:rsidR="00D94AB7" w:rsidRDefault="00D94AB7" w14:paraId="3A0F743C" w14:textId="77777777">
            <w:pPr>
              <w:rPr>
                <w:sz w:val="2"/>
                <w:szCs w:val="2"/>
              </w:rPr>
            </w:pPr>
          </w:p>
        </w:tc>
        <w:tc>
          <w:tcPr>
            <w:tcW w:w="483" w:type="dxa"/>
            <w:vMerge/>
            <w:tcBorders>
              <w:top w:val="nil"/>
              <w:left w:val="single" w:color="000000" w:sz="4" w:space="0"/>
              <w:right w:val="single" w:color="000000" w:sz="4" w:space="0"/>
            </w:tcBorders>
          </w:tcPr>
          <w:p w:rsidRPr="0026137F" w:rsidR="00D94AB7" w:rsidRDefault="00D94AB7" w14:paraId="7DEAFACF" w14:textId="77777777">
            <w:pPr>
              <w:rPr>
                <w:sz w:val="2"/>
                <w:szCs w:val="2"/>
              </w:rPr>
            </w:pPr>
          </w:p>
        </w:tc>
        <w:tc>
          <w:tcPr>
            <w:tcW w:w="873" w:type="dxa"/>
            <w:vMerge/>
            <w:tcBorders>
              <w:top w:val="nil"/>
              <w:left w:val="single" w:color="000000" w:sz="4" w:space="0"/>
              <w:right w:val="single" w:color="000000" w:sz="4" w:space="0"/>
            </w:tcBorders>
          </w:tcPr>
          <w:p w:rsidRPr="0026137F" w:rsidR="00D94AB7" w:rsidRDefault="00D94AB7" w14:paraId="3AA4CF4F" w14:textId="77777777">
            <w:pPr>
              <w:rPr>
                <w:sz w:val="2"/>
                <w:szCs w:val="2"/>
              </w:rPr>
            </w:pPr>
          </w:p>
        </w:tc>
        <w:tc>
          <w:tcPr>
            <w:tcW w:w="916" w:type="dxa"/>
            <w:vMerge/>
            <w:tcBorders>
              <w:top w:val="nil"/>
              <w:left w:val="single" w:color="000000" w:sz="4" w:space="0"/>
              <w:right w:val="single" w:color="000000" w:sz="4" w:space="0"/>
            </w:tcBorders>
          </w:tcPr>
          <w:p w:rsidRPr="0026137F" w:rsidR="00D94AB7" w:rsidRDefault="00D94AB7" w14:paraId="5FB1EA21" w14:textId="77777777">
            <w:pPr>
              <w:rPr>
                <w:sz w:val="2"/>
                <w:szCs w:val="2"/>
              </w:rPr>
            </w:pPr>
          </w:p>
        </w:tc>
        <w:tc>
          <w:tcPr>
            <w:tcW w:w="1408" w:type="dxa"/>
            <w:vMerge/>
            <w:tcBorders>
              <w:top w:val="nil"/>
              <w:left w:val="single" w:color="000000" w:sz="4" w:space="0"/>
            </w:tcBorders>
          </w:tcPr>
          <w:p w:rsidRPr="0026137F" w:rsidR="00D94AB7" w:rsidRDefault="00D94AB7" w14:paraId="476FEB6D" w14:textId="77777777">
            <w:pPr>
              <w:rPr>
                <w:sz w:val="2"/>
                <w:szCs w:val="2"/>
              </w:rPr>
            </w:pPr>
          </w:p>
        </w:tc>
      </w:tr>
      <w:tr w:rsidRPr="0026137F" w:rsidR="0026137F" w14:paraId="40A5A0D5" w14:textId="77777777">
        <w:trPr>
          <w:trHeight w:val="185"/>
        </w:trPr>
        <w:tc>
          <w:tcPr>
            <w:tcW w:w="9075" w:type="dxa"/>
            <w:gridSpan w:val="8"/>
            <w:tcBorders>
              <w:left w:val="nil"/>
            </w:tcBorders>
            <w:shd w:val="clear" w:color="auto" w:fill="808080"/>
          </w:tcPr>
          <w:p w:rsidRPr="0026137F" w:rsidR="00D94AB7" w:rsidRDefault="00D94AB7" w14:paraId="53640F23" w14:textId="77777777">
            <w:pPr>
              <w:pStyle w:val="TableParagraph"/>
              <w:rPr>
                <w:rFonts w:ascii="Times New Roman"/>
                <w:sz w:val="12"/>
              </w:rPr>
            </w:pPr>
          </w:p>
        </w:tc>
      </w:tr>
      <w:tr w:rsidRPr="0026137F" w:rsidR="00D94AB7" w14:paraId="18C51189" w14:textId="77777777">
        <w:trPr>
          <w:trHeight w:val="600"/>
        </w:trPr>
        <w:tc>
          <w:tcPr>
            <w:tcW w:w="845" w:type="dxa"/>
            <w:tcBorders>
              <w:left w:val="single" w:color="000000" w:sz="4" w:space="0"/>
              <w:bottom w:val="single" w:color="000000" w:sz="4" w:space="0"/>
              <w:right w:val="single" w:color="000000" w:sz="4" w:space="0"/>
            </w:tcBorders>
          </w:tcPr>
          <w:p w:rsidRPr="0026137F" w:rsidR="00D94AB7" w:rsidRDefault="00D94AB7" w14:paraId="2D17F388" w14:textId="77777777">
            <w:pPr>
              <w:pStyle w:val="TableParagraph"/>
              <w:spacing w:before="3"/>
              <w:rPr>
                <w:rFonts w:ascii="Arial"/>
                <w:sz w:val="16"/>
              </w:rPr>
            </w:pPr>
          </w:p>
          <w:p w:rsidRPr="0026137F" w:rsidR="00D94AB7" w:rsidRDefault="00507EA9" w14:paraId="0AE66E51" w14:textId="77777777">
            <w:pPr>
              <w:pStyle w:val="TableParagraph"/>
              <w:spacing w:before="1"/>
              <w:ind w:left="160"/>
              <w:rPr>
                <w:sz w:val="16"/>
              </w:rPr>
            </w:pPr>
            <w:r w:rsidRPr="0026137F">
              <w:rPr>
                <w:sz w:val="16"/>
              </w:rPr>
              <w:t>450.1.2P</w:t>
            </w:r>
          </w:p>
        </w:tc>
        <w:tc>
          <w:tcPr>
            <w:tcW w:w="968" w:type="dxa"/>
            <w:tcBorders>
              <w:left w:val="single" w:color="000000" w:sz="4" w:space="0"/>
              <w:bottom w:val="single" w:color="000000" w:sz="4" w:space="0"/>
              <w:right w:val="single" w:color="000000" w:sz="4" w:space="0"/>
            </w:tcBorders>
          </w:tcPr>
          <w:p w:rsidRPr="0026137F" w:rsidR="00D94AB7" w:rsidRDefault="00D94AB7" w14:paraId="4522DEF6" w14:textId="77777777">
            <w:pPr>
              <w:pStyle w:val="TableParagraph"/>
              <w:rPr>
                <w:rFonts w:ascii="Times New Roman"/>
                <w:sz w:val="20"/>
              </w:rPr>
            </w:pPr>
          </w:p>
        </w:tc>
        <w:tc>
          <w:tcPr>
            <w:tcW w:w="1051" w:type="dxa"/>
            <w:tcBorders>
              <w:left w:val="single" w:color="000000" w:sz="4" w:space="0"/>
              <w:bottom w:val="single" w:color="000000" w:sz="4" w:space="0"/>
              <w:right w:val="single" w:color="000000" w:sz="4" w:space="0"/>
            </w:tcBorders>
          </w:tcPr>
          <w:p w:rsidRPr="0026137F" w:rsidR="00D94AB7" w:rsidRDefault="00D94AB7" w14:paraId="65D04C6C" w14:textId="77777777">
            <w:pPr>
              <w:pStyle w:val="TableParagraph"/>
              <w:spacing w:before="3"/>
              <w:rPr>
                <w:rFonts w:ascii="Arial"/>
                <w:sz w:val="16"/>
              </w:rPr>
            </w:pPr>
          </w:p>
          <w:p w:rsidRPr="0026137F" w:rsidR="00D94AB7" w:rsidRDefault="00507EA9" w14:paraId="0310A8E6" w14:textId="77777777">
            <w:pPr>
              <w:pStyle w:val="TableParagraph"/>
              <w:spacing w:before="1"/>
              <w:ind w:left="71"/>
              <w:rPr>
                <w:sz w:val="16"/>
              </w:rPr>
            </w:pPr>
            <w:r w:rsidRPr="0026137F">
              <w:rPr>
                <w:sz w:val="16"/>
              </w:rPr>
              <w:t>450.1.2P</w:t>
            </w:r>
          </w:p>
        </w:tc>
        <w:tc>
          <w:tcPr>
            <w:tcW w:w="2531" w:type="dxa"/>
            <w:tcBorders>
              <w:left w:val="single" w:color="000000" w:sz="4" w:space="0"/>
              <w:bottom w:val="single" w:color="000000" w:sz="4" w:space="0"/>
              <w:right w:val="single" w:color="000000" w:sz="4" w:space="0"/>
            </w:tcBorders>
          </w:tcPr>
          <w:p w:rsidRPr="0026137F" w:rsidR="00D94AB7" w:rsidRDefault="00507EA9" w14:paraId="312C34FB" w14:textId="77777777">
            <w:pPr>
              <w:pStyle w:val="TableParagraph"/>
              <w:spacing w:before="83" w:line="278" w:lineRule="auto"/>
              <w:ind w:left="71" w:right="132"/>
              <w:rPr>
                <w:sz w:val="16"/>
              </w:rPr>
            </w:pPr>
            <w:r w:rsidRPr="0026137F">
              <w:rPr>
                <w:sz w:val="16"/>
              </w:rPr>
              <w:t>Mezcla densa en caliente Tipo MDC-25 para capa intermedia</w:t>
            </w:r>
          </w:p>
        </w:tc>
        <w:tc>
          <w:tcPr>
            <w:tcW w:w="483" w:type="dxa"/>
            <w:tcBorders>
              <w:left w:val="single" w:color="000000" w:sz="4" w:space="0"/>
              <w:bottom w:val="single" w:color="000000" w:sz="4" w:space="0"/>
              <w:right w:val="single" w:color="000000" w:sz="4" w:space="0"/>
            </w:tcBorders>
          </w:tcPr>
          <w:p w:rsidRPr="0026137F" w:rsidR="00D94AB7" w:rsidRDefault="00D94AB7" w14:paraId="07F94839" w14:textId="77777777">
            <w:pPr>
              <w:pStyle w:val="TableParagraph"/>
              <w:spacing w:before="3"/>
              <w:rPr>
                <w:rFonts w:ascii="Arial"/>
                <w:sz w:val="16"/>
              </w:rPr>
            </w:pPr>
          </w:p>
          <w:p w:rsidRPr="0026137F" w:rsidR="00D94AB7" w:rsidRDefault="00507EA9" w14:paraId="01545E52" w14:textId="77777777">
            <w:pPr>
              <w:pStyle w:val="TableParagraph"/>
              <w:spacing w:before="1"/>
              <w:ind w:left="151"/>
              <w:rPr>
                <w:sz w:val="16"/>
              </w:rPr>
            </w:pPr>
            <w:r w:rsidRPr="0026137F">
              <w:rPr>
                <w:sz w:val="16"/>
              </w:rPr>
              <w:t>m3</w:t>
            </w:r>
          </w:p>
        </w:tc>
        <w:tc>
          <w:tcPr>
            <w:tcW w:w="873" w:type="dxa"/>
            <w:tcBorders>
              <w:left w:val="single" w:color="000000" w:sz="4" w:space="0"/>
              <w:bottom w:val="single" w:color="000000" w:sz="4" w:space="0"/>
              <w:right w:val="single" w:color="000000" w:sz="4" w:space="0"/>
            </w:tcBorders>
          </w:tcPr>
          <w:p w:rsidRPr="0026137F" w:rsidR="00D94AB7" w:rsidRDefault="00D94AB7" w14:paraId="1CB31854" w14:textId="77777777">
            <w:pPr>
              <w:pStyle w:val="TableParagraph"/>
              <w:spacing w:before="3"/>
              <w:rPr>
                <w:rFonts w:ascii="Arial"/>
                <w:sz w:val="16"/>
              </w:rPr>
            </w:pPr>
          </w:p>
          <w:p w:rsidRPr="0026137F" w:rsidR="00D94AB7" w:rsidRDefault="00507EA9" w14:paraId="1DB90C43" w14:textId="77777777">
            <w:pPr>
              <w:pStyle w:val="TableParagraph"/>
              <w:spacing w:before="1"/>
              <w:ind w:left="293"/>
              <w:rPr>
                <w:sz w:val="16"/>
              </w:rPr>
            </w:pPr>
            <w:r w:rsidRPr="0026137F">
              <w:rPr>
                <w:sz w:val="16"/>
              </w:rPr>
              <w:t>8.458,00</w:t>
            </w:r>
          </w:p>
        </w:tc>
        <w:tc>
          <w:tcPr>
            <w:tcW w:w="916" w:type="dxa"/>
            <w:tcBorders>
              <w:left w:val="single" w:color="000000" w:sz="4" w:space="0"/>
              <w:bottom w:val="single" w:color="000000" w:sz="4" w:space="0"/>
              <w:right w:val="single" w:color="000000" w:sz="4" w:space="0"/>
            </w:tcBorders>
          </w:tcPr>
          <w:p w:rsidRPr="0026137F" w:rsidR="00D94AB7" w:rsidRDefault="00D94AB7" w14:paraId="5F1818BA" w14:textId="77777777">
            <w:pPr>
              <w:pStyle w:val="TableParagraph"/>
              <w:spacing w:before="3"/>
              <w:rPr>
                <w:rFonts w:ascii="Arial"/>
                <w:sz w:val="16"/>
              </w:rPr>
            </w:pPr>
          </w:p>
          <w:p w:rsidRPr="0026137F" w:rsidR="00D94AB7" w:rsidRDefault="00507EA9" w14:paraId="3A798A79" w14:textId="77777777">
            <w:pPr>
              <w:pStyle w:val="TableParagraph"/>
              <w:spacing w:before="1"/>
              <w:ind w:left="80"/>
              <w:rPr>
                <w:sz w:val="16"/>
              </w:rPr>
            </w:pPr>
            <w:r w:rsidRPr="0026137F">
              <w:rPr>
                <w:sz w:val="16"/>
              </w:rPr>
              <w:t>$ 618.720,00</w:t>
            </w:r>
          </w:p>
        </w:tc>
        <w:tc>
          <w:tcPr>
            <w:tcW w:w="1408" w:type="dxa"/>
            <w:tcBorders>
              <w:left w:val="single" w:color="000000" w:sz="4" w:space="0"/>
              <w:bottom w:val="single" w:color="000000" w:sz="4" w:space="0"/>
            </w:tcBorders>
          </w:tcPr>
          <w:p w:rsidRPr="0026137F" w:rsidR="00D94AB7" w:rsidRDefault="00D94AB7" w14:paraId="63C21F84" w14:textId="77777777">
            <w:pPr>
              <w:pStyle w:val="TableParagraph"/>
              <w:spacing w:before="3"/>
              <w:rPr>
                <w:rFonts w:ascii="Arial"/>
                <w:sz w:val="16"/>
              </w:rPr>
            </w:pPr>
          </w:p>
          <w:p w:rsidRPr="0026137F" w:rsidR="00D94AB7" w:rsidRDefault="00507EA9" w14:paraId="294009CF" w14:textId="77777777">
            <w:pPr>
              <w:pStyle w:val="TableParagraph"/>
              <w:spacing w:before="1"/>
              <w:ind w:left="206"/>
              <w:rPr>
                <w:sz w:val="16"/>
              </w:rPr>
            </w:pPr>
            <w:r w:rsidRPr="0026137F">
              <w:rPr>
                <w:sz w:val="16"/>
              </w:rPr>
              <w:t>$ 5.232.973.058,00</w:t>
            </w:r>
          </w:p>
        </w:tc>
      </w:tr>
    </w:tbl>
    <w:p w:rsidRPr="0026137F" w:rsidR="00D94AB7" w:rsidRDefault="00D94AB7" w14:paraId="5B3E653F" w14:textId="77777777">
      <w:pPr>
        <w:pStyle w:val="Textoindependiente"/>
        <w:rPr>
          <w:sz w:val="20"/>
        </w:rPr>
      </w:pPr>
    </w:p>
    <w:p w:rsidRPr="0026137F" w:rsidR="00D94AB7" w:rsidRDefault="00D94AB7" w14:paraId="03BF0FBC" w14:textId="77777777">
      <w:pPr>
        <w:pStyle w:val="Textoindependiente"/>
        <w:rPr>
          <w:sz w:val="20"/>
        </w:rPr>
      </w:pPr>
    </w:p>
    <w:p w:rsidRPr="0026137F" w:rsidR="00AA6DDD" w:rsidP="00AA6DDD" w:rsidRDefault="00AA6DDD" w14:paraId="03B2F64F" w14:textId="77777777">
      <w:pPr>
        <w:pStyle w:val="Textoindependiente"/>
        <w:spacing w:before="93" w:line="276" w:lineRule="auto"/>
        <w:ind w:left="180" w:right="207"/>
        <w:jc w:val="both"/>
      </w:pPr>
      <w:r w:rsidRPr="0026137F">
        <w:t xml:space="preserve">El valor producto de la multiplicación entre las cantidades requeridas y el “valor unitario” ofertado por el proponente no corresponde al “valor total” registrado por el proponente en el “Formulario 1 – Formulario de Presupuesto Oficial” para dicho </w:t>
      </w:r>
      <w:r w:rsidRPr="0026137F">
        <w:rPr>
          <w:i/>
        </w:rPr>
        <w:t>ítem</w:t>
      </w:r>
      <w:r w:rsidRPr="0026137F">
        <w:t>. En este evento la entidad debe efectuar la corrección aritmética e incluir el valor total que corresponde,</w:t>
      </w:r>
      <w:r w:rsidRPr="0026137F">
        <w:rPr>
          <w:spacing w:val="-44"/>
        </w:rPr>
        <w:t xml:space="preserve"> </w:t>
      </w:r>
      <w:r w:rsidRPr="0026137F">
        <w:t>así:</w:t>
      </w:r>
    </w:p>
    <w:p w:rsidRPr="0026137F" w:rsidR="00AA6DDD" w:rsidP="00AA6DDD" w:rsidRDefault="00AA6DDD" w14:paraId="039FEAE0" w14:textId="77777777">
      <w:pPr>
        <w:pStyle w:val="Textoindependiente"/>
        <w:spacing w:before="4"/>
        <w:rPr>
          <w:sz w:val="25"/>
        </w:rPr>
      </w:pPr>
    </w:p>
    <w:p w:rsidRPr="0026137F" w:rsidR="00AA6DDD" w:rsidP="00AA6DDD" w:rsidRDefault="00AA6DDD" w14:paraId="2902535E" w14:textId="77777777">
      <w:pPr>
        <w:pStyle w:val="Prrafodelista"/>
        <w:numPr>
          <w:ilvl w:val="0"/>
          <w:numId w:val="2"/>
        </w:numPr>
        <w:tabs>
          <w:tab w:val="left" w:pos="900"/>
          <w:tab w:val="left" w:pos="901"/>
        </w:tabs>
        <w:ind w:hanging="361"/>
      </w:pPr>
      <w:r w:rsidRPr="0026137F">
        <w:t>Valor con corrección</w:t>
      </w:r>
      <w:r w:rsidRPr="0026137F">
        <w:rPr>
          <w:spacing w:val="-5"/>
        </w:rPr>
        <w:t xml:space="preserve"> </w:t>
      </w:r>
      <w:r w:rsidRPr="0026137F">
        <w:t>aritmética</w:t>
      </w:r>
    </w:p>
    <w:p w:rsidRPr="0026137F" w:rsidR="00AA6DDD" w:rsidP="00AA6DDD" w:rsidRDefault="00AA6DDD" w14:paraId="5944F545" w14:textId="77777777">
      <w:pPr>
        <w:pStyle w:val="Textoindependiente"/>
        <w:rPr>
          <w:sz w:val="29"/>
        </w:rPr>
      </w:pPr>
    </w:p>
    <w:tbl>
      <w:tblPr>
        <w:tblStyle w:val="TableNormal"/>
        <w:tblW w:w="0" w:type="auto"/>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845"/>
        <w:gridCol w:w="968"/>
        <w:gridCol w:w="1051"/>
        <w:gridCol w:w="2531"/>
        <w:gridCol w:w="483"/>
        <w:gridCol w:w="873"/>
        <w:gridCol w:w="916"/>
        <w:gridCol w:w="1408"/>
      </w:tblGrid>
      <w:tr w:rsidRPr="0026137F" w:rsidR="0026137F" w:rsidTr="00953863" w14:paraId="2B8CC084" w14:textId="77777777">
        <w:trPr>
          <w:trHeight w:val="195"/>
        </w:trPr>
        <w:tc>
          <w:tcPr>
            <w:tcW w:w="845" w:type="dxa"/>
            <w:vMerge w:val="restart"/>
            <w:tcBorders>
              <w:left w:val="single" w:color="000000" w:sz="4" w:space="0"/>
              <w:right w:val="single" w:color="000000" w:sz="4" w:space="0"/>
            </w:tcBorders>
          </w:tcPr>
          <w:p w:rsidRPr="0026137F" w:rsidR="00AA6DDD" w:rsidP="00953863" w:rsidRDefault="00AA6DDD" w14:paraId="458233C7" w14:textId="77777777">
            <w:pPr>
              <w:pStyle w:val="TableParagraph"/>
              <w:spacing w:before="13" w:line="276" w:lineRule="auto"/>
              <w:ind w:left="215" w:right="110" w:hanging="78"/>
              <w:rPr>
                <w:rFonts w:ascii="Arial"/>
                <w:b/>
                <w:sz w:val="14"/>
              </w:rPr>
            </w:pPr>
            <w:r w:rsidRPr="0026137F">
              <w:rPr>
                <w:rFonts w:ascii="Arial"/>
                <w:b/>
                <w:sz w:val="14"/>
              </w:rPr>
              <w:t>ITEM DE PAGO</w:t>
            </w:r>
          </w:p>
        </w:tc>
        <w:tc>
          <w:tcPr>
            <w:tcW w:w="2019" w:type="dxa"/>
            <w:gridSpan w:val="2"/>
            <w:tcBorders>
              <w:left w:val="single" w:color="000000" w:sz="4" w:space="0"/>
              <w:bottom w:val="single" w:color="000000" w:sz="4" w:space="0"/>
            </w:tcBorders>
          </w:tcPr>
          <w:p w:rsidRPr="0026137F" w:rsidR="00AA6DDD" w:rsidP="00953863" w:rsidRDefault="00AA6DDD" w14:paraId="2F093FB9" w14:textId="77777777">
            <w:pPr>
              <w:pStyle w:val="TableParagraph"/>
              <w:spacing w:before="3"/>
              <w:ind w:left="322"/>
              <w:rPr>
                <w:rFonts w:ascii="Arial"/>
                <w:b/>
                <w:sz w:val="14"/>
              </w:rPr>
            </w:pPr>
            <w:r w:rsidRPr="0026137F">
              <w:rPr>
                <w:rFonts w:ascii="Arial"/>
                <w:b/>
                <w:sz w:val="14"/>
              </w:rPr>
              <w:t>ESPECIFICACIONES</w:t>
            </w:r>
          </w:p>
        </w:tc>
        <w:tc>
          <w:tcPr>
            <w:tcW w:w="2531" w:type="dxa"/>
            <w:vMerge w:val="restart"/>
            <w:tcBorders>
              <w:right w:val="single" w:color="000000" w:sz="4" w:space="0"/>
            </w:tcBorders>
          </w:tcPr>
          <w:p w:rsidRPr="0026137F" w:rsidR="00AA6DDD" w:rsidP="00953863" w:rsidRDefault="00AA6DDD" w14:paraId="10DE5B4D" w14:textId="77777777">
            <w:pPr>
              <w:pStyle w:val="TableParagraph"/>
              <w:spacing w:before="106"/>
              <w:ind w:left="773"/>
              <w:rPr>
                <w:rFonts w:ascii="Arial"/>
                <w:b/>
                <w:sz w:val="14"/>
              </w:rPr>
            </w:pPr>
            <w:r w:rsidRPr="0026137F">
              <w:rPr>
                <w:rFonts w:ascii="Arial"/>
                <w:b/>
                <w:sz w:val="14"/>
              </w:rPr>
              <w:t>DESCRIPCION</w:t>
            </w:r>
          </w:p>
        </w:tc>
        <w:tc>
          <w:tcPr>
            <w:tcW w:w="483" w:type="dxa"/>
            <w:vMerge w:val="restart"/>
            <w:tcBorders>
              <w:left w:val="single" w:color="000000" w:sz="4" w:space="0"/>
              <w:right w:val="single" w:color="000000" w:sz="4" w:space="0"/>
            </w:tcBorders>
          </w:tcPr>
          <w:p w:rsidRPr="0026137F" w:rsidR="00AA6DDD" w:rsidP="00953863" w:rsidRDefault="00AA6DDD" w14:paraId="3D614A33" w14:textId="77777777">
            <w:pPr>
              <w:pStyle w:val="TableParagraph"/>
              <w:spacing w:before="106"/>
              <w:ind w:left="70"/>
              <w:rPr>
                <w:rFonts w:ascii="Arial"/>
                <w:b/>
                <w:sz w:val="14"/>
              </w:rPr>
            </w:pPr>
            <w:r w:rsidRPr="0026137F">
              <w:rPr>
                <w:rFonts w:ascii="Arial"/>
                <w:b/>
                <w:sz w:val="14"/>
              </w:rPr>
              <w:t>UND.</w:t>
            </w:r>
          </w:p>
        </w:tc>
        <w:tc>
          <w:tcPr>
            <w:tcW w:w="873" w:type="dxa"/>
            <w:vMerge w:val="restart"/>
            <w:tcBorders>
              <w:left w:val="single" w:color="000000" w:sz="4" w:space="0"/>
              <w:right w:val="single" w:color="000000" w:sz="4" w:space="0"/>
            </w:tcBorders>
          </w:tcPr>
          <w:p w:rsidRPr="0026137F" w:rsidR="00AA6DDD" w:rsidP="00953863" w:rsidRDefault="00AA6DDD" w14:paraId="58686D54" w14:textId="77777777">
            <w:pPr>
              <w:pStyle w:val="TableParagraph"/>
              <w:spacing w:before="106"/>
              <w:ind w:left="70"/>
              <w:rPr>
                <w:rFonts w:ascii="Arial"/>
                <w:b/>
                <w:sz w:val="14"/>
              </w:rPr>
            </w:pPr>
            <w:r w:rsidRPr="0026137F">
              <w:rPr>
                <w:rFonts w:ascii="Arial"/>
                <w:b/>
                <w:sz w:val="14"/>
              </w:rPr>
              <w:t>CANTIDAD</w:t>
            </w:r>
          </w:p>
        </w:tc>
        <w:tc>
          <w:tcPr>
            <w:tcW w:w="916" w:type="dxa"/>
            <w:vMerge w:val="restart"/>
            <w:tcBorders>
              <w:left w:val="single" w:color="000000" w:sz="4" w:space="0"/>
              <w:right w:val="single" w:color="000000" w:sz="4" w:space="0"/>
            </w:tcBorders>
          </w:tcPr>
          <w:p w:rsidRPr="0026137F" w:rsidR="00AA6DDD" w:rsidP="00953863" w:rsidRDefault="00AA6DDD" w14:paraId="39371173" w14:textId="77777777">
            <w:pPr>
              <w:pStyle w:val="TableParagraph"/>
              <w:spacing w:before="13" w:line="276" w:lineRule="auto"/>
              <w:ind w:left="117" w:right="92" w:firstLine="95"/>
              <w:rPr>
                <w:rFonts w:ascii="Arial"/>
                <w:b/>
                <w:sz w:val="14"/>
              </w:rPr>
            </w:pPr>
            <w:r w:rsidRPr="0026137F">
              <w:rPr>
                <w:rFonts w:ascii="Arial"/>
                <w:b/>
                <w:sz w:val="14"/>
              </w:rPr>
              <w:t>VALOR UNITARIO</w:t>
            </w:r>
          </w:p>
        </w:tc>
        <w:tc>
          <w:tcPr>
            <w:tcW w:w="1408" w:type="dxa"/>
            <w:vMerge w:val="restart"/>
            <w:tcBorders>
              <w:left w:val="single" w:color="000000" w:sz="4" w:space="0"/>
            </w:tcBorders>
          </w:tcPr>
          <w:p w:rsidRPr="0026137F" w:rsidR="00AA6DDD" w:rsidP="00953863" w:rsidRDefault="00AA6DDD" w14:paraId="10A52BC4" w14:textId="77777777">
            <w:pPr>
              <w:pStyle w:val="TableParagraph"/>
              <w:spacing w:before="106"/>
              <w:ind w:left="204"/>
              <w:rPr>
                <w:rFonts w:ascii="Arial"/>
                <w:b/>
                <w:sz w:val="14"/>
              </w:rPr>
            </w:pPr>
            <w:r w:rsidRPr="0026137F">
              <w:rPr>
                <w:rFonts w:ascii="Arial"/>
                <w:b/>
                <w:sz w:val="14"/>
              </w:rPr>
              <w:t>VALOR TOTAL</w:t>
            </w:r>
          </w:p>
        </w:tc>
      </w:tr>
      <w:tr w:rsidRPr="0026137F" w:rsidR="0026137F" w:rsidTr="00953863" w14:paraId="4890F6A9" w14:textId="77777777">
        <w:trPr>
          <w:trHeight w:val="190"/>
        </w:trPr>
        <w:tc>
          <w:tcPr>
            <w:tcW w:w="845" w:type="dxa"/>
            <w:vMerge/>
            <w:tcBorders>
              <w:top w:val="nil"/>
              <w:left w:val="single" w:color="000000" w:sz="4" w:space="0"/>
              <w:right w:val="single" w:color="000000" w:sz="4" w:space="0"/>
            </w:tcBorders>
          </w:tcPr>
          <w:p w:rsidRPr="0026137F" w:rsidR="00AA6DDD" w:rsidP="00953863" w:rsidRDefault="00AA6DDD" w14:paraId="51C25847" w14:textId="77777777">
            <w:pPr>
              <w:rPr>
                <w:sz w:val="2"/>
                <w:szCs w:val="2"/>
              </w:rPr>
            </w:pPr>
          </w:p>
        </w:tc>
        <w:tc>
          <w:tcPr>
            <w:tcW w:w="968" w:type="dxa"/>
            <w:tcBorders>
              <w:top w:val="single" w:color="000000" w:sz="4" w:space="0"/>
              <w:left w:val="single" w:color="000000" w:sz="4" w:space="0"/>
              <w:right w:val="single" w:color="000000" w:sz="4" w:space="0"/>
            </w:tcBorders>
          </w:tcPr>
          <w:p w:rsidRPr="0026137F" w:rsidR="00AA6DDD" w:rsidP="00953863" w:rsidRDefault="00AA6DDD" w14:paraId="27C16AD8" w14:textId="77777777">
            <w:pPr>
              <w:pStyle w:val="TableParagraph"/>
              <w:spacing w:before="1"/>
              <w:ind w:left="142"/>
              <w:rPr>
                <w:rFonts w:ascii="Arial"/>
                <w:b/>
                <w:sz w:val="14"/>
              </w:rPr>
            </w:pPr>
            <w:r w:rsidRPr="0026137F">
              <w:rPr>
                <w:rFonts w:ascii="Arial"/>
                <w:b/>
                <w:sz w:val="14"/>
              </w:rPr>
              <w:t>GENERAL</w:t>
            </w:r>
          </w:p>
        </w:tc>
        <w:tc>
          <w:tcPr>
            <w:tcW w:w="1051" w:type="dxa"/>
            <w:tcBorders>
              <w:top w:val="single" w:color="000000" w:sz="4" w:space="0"/>
              <w:left w:val="single" w:color="000000" w:sz="4" w:space="0"/>
            </w:tcBorders>
          </w:tcPr>
          <w:p w:rsidRPr="0026137F" w:rsidR="00AA6DDD" w:rsidP="00953863" w:rsidRDefault="00AA6DDD" w14:paraId="422CAC26" w14:textId="77777777">
            <w:pPr>
              <w:pStyle w:val="TableParagraph"/>
              <w:spacing w:before="1"/>
              <w:ind w:left="71"/>
              <w:rPr>
                <w:rFonts w:ascii="Arial"/>
                <w:b/>
                <w:sz w:val="14"/>
              </w:rPr>
            </w:pPr>
            <w:r w:rsidRPr="0026137F">
              <w:rPr>
                <w:rFonts w:ascii="Arial"/>
                <w:b/>
                <w:sz w:val="14"/>
              </w:rPr>
              <w:t>PARTICULAR</w:t>
            </w:r>
          </w:p>
        </w:tc>
        <w:tc>
          <w:tcPr>
            <w:tcW w:w="2531" w:type="dxa"/>
            <w:vMerge/>
            <w:tcBorders>
              <w:top w:val="nil"/>
              <w:right w:val="single" w:color="000000" w:sz="4" w:space="0"/>
            </w:tcBorders>
          </w:tcPr>
          <w:p w:rsidRPr="0026137F" w:rsidR="00AA6DDD" w:rsidP="00953863" w:rsidRDefault="00AA6DDD" w14:paraId="46D4F2D0" w14:textId="77777777">
            <w:pPr>
              <w:rPr>
                <w:sz w:val="2"/>
                <w:szCs w:val="2"/>
              </w:rPr>
            </w:pPr>
          </w:p>
        </w:tc>
        <w:tc>
          <w:tcPr>
            <w:tcW w:w="483" w:type="dxa"/>
            <w:vMerge/>
            <w:tcBorders>
              <w:top w:val="nil"/>
              <w:left w:val="single" w:color="000000" w:sz="4" w:space="0"/>
              <w:right w:val="single" w:color="000000" w:sz="4" w:space="0"/>
            </w:tcBorders>
          </w:tcPr>
          <w:p w:rsidRPr="0026137F" w:rsidR="00AA6DDD" w:rsidP="00953863" w:rsidRDefault="00AA6DDD" w14:paraId="7273FA90" w14:textId="77777777">
            <w:pPr>
              <w:rPr>
                <w:sz w:val="2"/>
                <w:szCs w:val="2"/>
              </w:rPr>
            </w:pPr>
          </w:p>
        </w:tc>
        <w:tc>
          <w:tcPr>
            <w:tcW w:w="873" w:type="dxa"/>
            <w:vMerge/>
            <w:tcBorders>
              <w:top w:val="nil"/>
              <w:left w:val="single" w:color="000000" w:sz="4" w:space="0"/>
              <w:right w:val="single" w:color="000000" w:sz="4" w:space="0"/>
            </w:tcBorders>
          </w:tcPr>
          <w:p w:rsidRPr="0026137F" w:rsidR="00AA6DDD" w:rsidP="00953863" w:rsidRDefault="00AA6DDD" w14:paraId="666060D1" w14:textId="77777777">
            <w:pPr>
              <w:rPr>
                <w:sz w:val="2"/>
                <w:szCs w:val="2"/>
              </w:rPr>
            </w:pPr>
          </w:p>
        </w:tc>
        <w:tc>
          <w:tcPr>
            <w:tcW w:w="916" w:type="dxa"/>
            <w:vMerge/>
            <w:tcBorders>
              <w:top w:val="nil"/>
              <w:left w:val="single" w:color="000000" w:sz="4" w:space="0"/>
              <w:right w:val="single" w:color="000000" w:sz="4" w:space="0"/>
            </w:tcBorders>
          </w:tcPr>
          <w:p w:rsidRPr="0026137F" w:rsidR="00AA6DDD" w:rsidP="00953863" w:rsidRDefault="00AA6DDD" w14:paraId="1A6F3188" w14:textId="77777777">
            <w:pPr>
              <w:rPr>
                <w:sz w:val="2"/>
                <w:szCs w:val="2"/>
              </w:rPr>
            </w:pPr>
          </w:p>
        </w:tc>
        <w:tc>
          <w:tcPr>
            <w:tcW w:w="1408" w:type="dxa"/>
            <w:vMerge/>
            <w:tcBorders>
              <w:top w:val="nil"/>
              <w:left w:val="single" w:color="000000" w:sz="4" w:space="0"/>
            </w:tcBorders>
          </w:tcPr>
          <w:p w:rsidRPr="0026137F" w:rsidR="00AA6DDD" w:rsidP="00953863" w:rsidRDefault="00AA6DDD" w14:paraId="36CBEEB2" w14:textId="77777777">
            <w:pPr>
              <w:rPr>
                <w:sz w:val="2"/>
                <w:szCs w:val="2"/>
              </w:rPr>
            </w:pPr>
          </w:p>
        </w:tc>
      </w:tr>
      <w:tr w:rsidRPr="0026137F" w:rsidR="0026137F" w:rsidTr="00953863" w14:paraId="29E0C7B0" w14:textId="77777777">
        <w:trPr>
          <w:trHeight w:val="185"/>
        </w:trPr>
        <w:tc>
          <w:tcPr>
            <w:tcW w:w="9075" w:type="dxa"/>
            <w:gridSpan w:val="8"/>
            <w:tcBorders>
              <w:left w:val="nil"/>
            </w:tcBorders>
            <w:shd w:val="clear" w:color="auto" w:fill="808080"/>
          </w:tcPr>
          <w:p w:rsidRPr="0026137F" w:rsidR="00AA6DDD" w:rsidP="00953863" w:rsidRDefault="00AA6DDD" w14:paraId="7C537C9F" w14:textId="77777777">
            <w:pPr>
              <w:pStyle w:val="TableParagraph"/>
              <w:rPr>
                <w:rFonts w:ascii="Times New Roman"/>
                <w:sz w:val="12"/>
              </w:rPr>
            </w:pPr>
          </w:p>
        </w:tc>
      </w:tr>
      <w:tr w:rsidRPr="0026137F" w:rsidR="00AA6DDD" w:rsidTr="00953863" w14:paraId="33EDB730" w14:textId="77777777">
        <w:trPr>
          <w:trHeight w:val="600"/>
        </w:trPr>
        <w:tc>
          <w:tcPr>
            <w:tcW w:w="845" w:type="dxa"/>
            <w:tcBorders>
              <w:left w:val="single" w:color="000000" w:sz="4" w:space="0"/>
              <w:bottom w:val="single" w:color="000000" w:sz="4" w:space="0"/>
              <w:right w:val="single" w:color="000000" w:sz="4" w:space="0"/>
            </w:tcBorders>
          </w:tcPr>
          <w:p w:rsidRPr="0026137F" w:rsidR="00AA6DDD" w:rsidP="00953863" w:rsidRDefault="00AA6DDD" w14:paraId="2F598261" w14:textId="77777777">
            <w:pPr>
              <w:pStyle w:val="TableParagraph"/>
              <w:spacing w:before="6"/>
              <w:rPr>
                <w:rFonts w:ascii="Arial"/>
                <w:sz w:val="16"/>
              </w:rPr>
            </w:pPr>
          </w:p>
          <w:p w:rsidRPr="0026137F" w:rsidR="00AA6DDD" w:rsidP="00953863" w:rsidRDefault="00AA6DDD" w14:paraId="17EB9C1B" w14:textId="77777777">
            <w:pPr>
              <w:pStyle w:val="TableParagraph"/>
              <w:ind w:left="160"/>
              <w:rPr>
                <w:sz w:val="16"/>
              </w:rPr>
            </w:pPr>
            <w:r w:rsidRPr="0026137F">
              <w:rPr>
                <w:sz w:val="16"/>
              </w:rPr>
              <w:t>450.1.2P</w:t>
            </w:r>
          </w:p>
        </w:tc>
        <w:tc>
          <w:tcPr>
            <w:tcW w:w="968" w:type="dxa"/>
            <w:tcBorders>
              <w:left w:val="single" w:color="000000" w:sz="4" w:space="0"/>
              <w:bottom w:val="single" w:color="000000" w:sz="4" w:space="0"/>
              <w:right w:val="single" w:color="000000" w:sz="4" w:space="0"/>
            </w:tcBorders>
          </w:tcPr>
          <w:p w:rsidRPr="0026137F" w:rsidR="00AA6DDD" w:rsidP="00953863" w:rsidRDefault="00AA6DDD" w14:paraId="44D07B9E" w14:textId="77777777">
            <w:pPr>
              <w:pStyle w:val="TableParagraph"/>
              <w:rPr>
                <w:rFonts w:ascii="Times New Roman"/>
                <w:sz w:val="20"/>
              </w:rPr>
            </w:pPr>
          </w:p>
        </w:tc>
        <w:tc>
          <w:tcPr>
            <w:tcW w:w="1051" w:type="dxa"/>
            <w:tcBorders>
              <w:left w:val="single" w:color="000000" w:sz="4" w:space="0"/>
              <w:bottom w:val="single" w:color="000000" w:sz="4" w:space="0"/>
              <w:right w:val="single" w:color="000000" w:sz="4" w:space="0"/>
            </w:tcBorders>
          </w:tcPr>
          <w:p w:rsidRPr="0026137F" w:rsidR="00AA6DDD" w:rsidP="00953863" w:rsidRDefault="00AA6DDD" w14:paraId="0D234500" w14:textId="77777777">
            <w:pPr>
              <w:pStyle w:val="TableParagraph"/>
              <w:spacing w:before="6"/>
              <w:rPr>
                <w:rFonts w:ascii="Arial"/>
                <w:sz w:val="16"/>
              </w:rPr>
            </w:pPr>
          </w:p>
          <w:p w:rsidRPr="0026137F" w:rsidR="00AA6DDD" w:rsidP="00953863" w:rsidRDefault="00AA6DDD" w14:paraId="1D1ADA5B" w14:textId="77777777">
            <w:pPr>
              <w:pStyle w:val="TableParagraph"/>
              <w:ind w:left="71"/>
              <w:rPr>
                <w:sz w:val="16"/>
              </w:rPr>
            </w:pPr>
            <w:r w:rsidRPr="0026137F">
              <w:rPr>
                <w:sz w:val="16"/>
              </w:rPr>
              <w:t>450.1.2P</w:t>
            </w:r>
          </w:p>
        </w:tc>
        <w:tc>
          <w:tcPr>
            <w:tcW w:w="2531" w:type="dxa"/>
            <w:tcBorders>
              <w:left w:val="single" w:color="000000" w:sz="4" w:space="0"/>
              <w:bottom w:val="single" w:color="000000" w:sz="4" w:space="0"/>
              <w:right w:val="single" w:color="000000" w:sz="4" w:space="0"/>
            </w:tcBorders>
          </w:tcPr>
          <w:p w:rsidRPr="0026137F" w:rsidR="00AA6DDD" w:rsidP="00953863" w:rsidRDefault="00AA6DDD" w14:paraId="2A37A83B" w14:textId="77777777">
            <w:pPr>
              <w:pStyle w:val="TableParagraph"/>
              <w:spacing w:before="85" w:line="273" w:lineRule="auto"/>
              <w:ind w:left="71" w:right="132"/>
              <w:rPr>
                <w:sz w:val="16"/>
              </w:rPr>
            </w:pPr>
            <w:r w:rsidRPr="0026137F">
              <w:rPr>
                <w:sz w:val="16"/>
              </w:rPr>
              <w:t>Mezcla densa en caliente Tipo MDC-25 para capa intermedia</w:t>
            </w:r>
          </w:p>
        </w:tc>
        <w:tc>
          <w:tcPr>
            <w:tcW w:w="483" w:type="dxa"/>
            <w:tcBorders>
              <w:left w:val="single" w:color="000000" w:sz="4" w:space="0"/>
              <w:bottom w:val="single" w:color="000000" w:sz="4" w:space="0"/>
              <w:right w:val="single" w:color="000000" w:sz="4" w:space="0"/>
            </w:tcBorders>
          </w:tcPr>
          <w:p w:rsidRPr="0026137F" w:rsidR="00AA6DDD" w:rsidP="00953863" w:rsidRDefault="00AA6DDD" w14:paraId="343DAABD" w14:textId="77777777">
            <w:pPr>
              <w:pStyle w:val="TableParagraph"/>
              <w:spacing w:before="6"/>
              <w:rPr>
                <w:rFonts w:ascii="Arial"/>
                <w:sz w:val="16"/>
              </w:rPr>
            </w:pPr>
          </w:p>
          <w:p w:rsidRPr="0026137F" w:rsidR="00AA6DDD" w:rsidP="00953863" w:rsidRDefault="00AA6DDD" w14:paraId="3CCBDD31" w14:textId="77777777">
            <w:pPr>
              <w:pStyle w:val="TableParagraph"/>
              <w:ind w:left="151"/>
              <w:rPr>
                <w:sz w:val="16"/>
              </w:rPr>
            </w:pPr>
            <w:r w:rsidRPr="0026137F">
              <w:rPr>
                <w:sz w:val="16"/>
              </w:rPr>
              <w:t>m3</w:t>
            </w:r>
          </w:p>
        </w:tc>
        <w:tc>
          <w:tcPr>
            <w:tcW w:w="873" w:type="dxa"/>
            <w:tcBorders>
              <w:left w:val="single" w:color="000000" w:sz="4" w:space="0"/>
              <w:bottom w:val="single" w:color="000000" w:sz="4" w:space="0"/>
              <w:right w:val="single" w:color="000000" w:sz="4" w:space="0"/>
            </w:tcBorders>
          </w:tcPr>
          <w:p w:rsidRPr="0026137F" w:rsidR="00AA6DDD" w:rsidP="00953863" w:rsidRDefault="00AA6DDD" w14:paraId="73F1740B" w14:textId="77777777">
            <w:pPr>
              <w:pStyle w:val="TableParagraph"/>
              <w:spacing w:before="6"/>
              <w:rPr>
                <w:rFonts w:ascii="Arial"/>
                <w:sz w:val="16"/>
              </w:rPr>
            </w:pPr>
          </w:p>
          <w:p w:rsidRPr="0026137F" w:rsidR="00AA6DDD" w:rsidP="00953863" w:rsidRDefault="00AA6DDD" w14:paraId="10FDC2A2" w14:textId="77777777">
            <w:pPr>
              <w:pStyle w:val="TableParagraph"/>
              <w:ind w:left="293"/>
              <w:rPr>
                <w:sz w:val="16"/>
              </w:rPr>
            </w:pPr>
            <w:r w:rsidRPr="0026137F">
              <w:rPr>
                <w:sz w:val="16"/>
              </w:rPr>
              <w:t>8.458,00</w:t>
            </w:r>
          </w:p>
        </w:tc>
        <w:tc>
          <w:tcPr>
            <w:tcW w:w="916" w:type="dxa"/>
            <w:tcBorders>
              <w:left w:val="single" w:color="000000" w:sz="4" w:space="0"/>
              <w:bottom w:val="single" w:color="000000" w:sz="4" w:space="0"/>
              <w:right w:val="single" w:color="000000" w:sz="4" w:space="0"/>
            </w:tcBorders>
          </w:tcPr>
          <w:p w:rsidRPr="0026137F" w:rsidR="00AA6DDD" w:rsidP="00953863" w:rsidRDefault="00AA6DDD" w14:paraId="72208569" w14:textId="77777777">
            <w:pPr>
              <w:pStyle w:val="TableParagraph"/>
              <w:spacing w:before="6"/>
              <w:rPr>
                <w:rFonts w:ascii="Arial"/>
                <w:sz w:val="16"/>
              </w:rPr>
            </w:pPr>
          </w:p>
          <w:p w:rsidRPr="0026137F" w:rsidR="00AA6DDD" w:rsidP="00953863" w:rsidRDefault="00AA6DDD" w14:paraId="64AAEEB3" w14:textId="77777777">
            <w:pPr>
              <w:pStyle w:val="TableParagraph"/>
              <w:ind w:left="80"/>
              <w:rPr>
                <w:sz w:val="16"/>
              </w:rPr>
            </w:pPr>
            <w:r w:rsidRPr="0026137F">
              <w:rPr>
                <w:sz w:val="16"/>
              </w:rPr>
              <w:t>$ 618.720,00</w:t>
            </w:r>
          </w:p>
        </w:tc>
        <w:tc>
          <w:tcPr>
            <w:tcW w:w="1408" w:type="dxa"/>
            <w:tcBorders>
              <w:left w:val="single" w:color="000000" w:sz="4" w:space="0"/>
              <w:bottom w:val="single" w:color="000000" w:sz="4" w:space="0"/>
            </w:tcBorders>
          </w:tcPr>
          <w:p w:rsidRPr="0026137F" w:rsidR="00AA6DDD" w:rsidP="00953863" w:rsidRDefault="00AA6DDD" w14:paraId="0C94360D" w14:textId="77777777">
            <w:pPr>
              <w:pStyle w:val="TableParagraph"/>
              <w:spacing w:before="6"/>
              <w:rPr>
                <w:rFonts w:ascii="Arial"/>
                <w:sz w:val="16"/>
              </w:rPr>
            </w:pPr>
          </w:p>
          <w:p w:rsidRPr="0026137F" w:rsidR="00AA6DDD" w:rsidP="00953863" w:rsidRDefault="00AA6DDD" w14:paraId="2CEA4F37" w14:textId="77777777">
            <w:pPr>
              <w:pStyle w:val="TableParagraph"/>
              <w:ind w:left="206"/>
              <w:rPr>
                <w:sz w:val="16"/>
              </w:rPr>
            </w:pPr>
            <w:r w:rsidRPr="0026137F">
              <w:rPr>
                <w:sz w:val="16"/>
              </w:rPr>
              <w:t>$ 5.233.133.760,00</w:t>
            </w:r>
          </w:p>
        </w:tc>
      </w:tr>
    </w:tbl>
    <w:p w:rsidRPr="0026137F" w:rsidR="00AA6DDD" w:rsidP="00AA6DDD" w:rsidRDefault="00AA6DDD" w14:paraId="41998DD8" w14:textId="77777777">
      <w:pPr>
        <w:pStyle w:val="Textoindependiente"/>
        <w:spacing w:before="10"/>
        <w:rPr>
          <w:sz w:val="24"/>
        </w:rPr>
      </w:pPr>
    </w:p>
    <w:p w:rsidRPr="0026137F" w:rsidR="00AA6DDD" w:rsidP="00AA6DDD" w:rsidRDefault="00AA6DDD" w14:paraId="3AE37667" w14:textId="77777777">
      <w:pPr>
        <w:pStyle w:val="Textoindependiente"/>
        <w:spacing w:line="276" w:lineRule="auto"/>
        <w:ind w:left="180" w:right="203"/>
        <w:jc w:val="both"/>
      </w:pPr>
      <w:r w:rsidRPr="0026137F">
        <w:t>Cuando el valor obtenido de la operación aritmética incluya decimales se debe aproximar al número entero superior o inferior, de acuerdo con la regla fijada en el literal B del numeral 4.1.2. Así, si el “valor total” del ejemplo propuesto fuera $5.233.133.760,65 se aproximará por exceso al número entero siguiente $5.233.133.761,00, o si el “valor total” fuera $ 5.233.133.760, 21 se aproximará por defecto al número entero, así: $ 5.233.133.760,00.</w:t>
      </w:r>
    </w:p>
    <w:p w:rsidRPr="0026137F" w:rsidR="00AA6DDD" w:rsidP="00AA6DDD" w:rsidRDefault="00AA6DDD" w14:paraId="43422C94" w14:textId="77777777">
      <w:pPr>
        <w:pStyle w:val="Textoindependiente"/>
        <w:spacing w:before="4"/>
        <w:rPr>
          <w:sz w:val="25"/>
        </w:rPr>
      </w:pPr>
    </w:p>
    <w:p w:rsidRPr="0026137F" w:rsidR="00AA6DDD" w:rsidP="00AA6DDD" w:rsidRDefault="00AA6DDD" w14:paraId="5CB4F777" w14:textId="77777777">
      <w:pPr>
        <w:pStyle w:val="Textoindependiente"/>
        <w:spacing w:line="276" w:lineRule="auto"/>
        <w:ind w:left="180" w:right="203"/>
        <w:jc w:val="both"/>
      </w:pPr>
      <w:r w:rsidRPr="0026137F">
        <w:t>La entidad debe realizar la verificación de los valores ofertados y la corrección aritmética, cuando se requiera, para cada una de las cifras registradas en el “Formulario 1 – Formulario de Presupuesto Oficial” que tengan operaciones aritméticas y previo a seleccionar y aplicar el método de ponderación que corresponda, de acuerdo con el numeral 4.1.4 del “Documento Base”. Realizado lo anterior, la entidad tomará el valor total de la propuesta económica para asignar el puntaje por este criterio de ponderación.</w:t>
      </w:r>
    </w:p>
    <w:p w:rsidRPr="0026137F" w:rsidR="00AA6DDD" w:rsidP="00AA6DDD" w:rsidRDefault="00AA6DDD" w14:paraId="258677EF" w14:textId="77777777">
      <w:pPr>
        <w:pStyle w:val="Textoindependiente"/>
        <w:spacing w:before="5"/>
        <w:rPr>
          <w:sz w:val="25"/>
        </w:rPr>
      </w:pPr>
    </w:p>
    <w:p w:rsidRPr="0026137F" w:rsidR="00AA6DDD" w:rsidP="00AA6DDD" w:rsidRDefault="00AA6DDD" w14:paraId="32B3CE49" w14:textId="77777777">
      <w:pPr>
        <w:pStyle w:val="Ttulo1"/>
        <w:numPr>
          <w:ilvl w:val="0"/>
          <w:numId w:val="3"/>
        </w:numPr>
        <w:tabs>
          <w:tab w:val="left" w:pos="466"/>
        </w:tabs>
        <w:ind w:left="465" w:hanging="286"/>
      </w:pPr>
      <w:r w:rsidRPr="0026137F">
        <w:t>Respuesta</w:t>
      </w:r>
    </w:p>
    <w:p w:rsidRPr="0026137F" w:rsidR="00AA6DDD" w:rsidP="00AA6DDD" w:rsidRDefault="00AA6DDD" w14:paraId="36FDA4C8" w14:textId="77777777">
      <w:pPr>
        <w:pStyle w:val="Textoindependiente"/>
        <w:spacing w:before="5"/>
        <w:rPr>
          <w:b/>
          <w:sz w:val="28"/>
        </w:rPr>
      </w:pPr>
    </w:p>
    <w:p w:rsidRPr="0026137F" w:rsidR="00AA6DDD" w:rsidP="00AA6DDD" w:rsidRDefault="00AA6DDD" w14:paraId="3BA75377" w14:textId="77777777">
      <w:pPr>
        <w:pStyle w:val="Textoindependiente"/>
        <w:spacing w:line="276" w:lineRule="auto"/>
        <w:ind w:left="180" w:right="205"/>
        <w:jc w:val="both"/>
      </w:pPr>
      <w:r w:rsidRPr="0026137F">
        <w:t xml:space="preserve">El “Documento Base” de los Documentos Tipo no contempla una consecuencia en caso de diferencias entre el valor total de la oferta expresado en números y en letras, ni puede ser catalogado como una corrección aritmética, porque esta procede, de acuerdo con lo </w:t>
      </w:r>
      <w:r w:rsidRPr="0026137F">
        <w:lastRenderedPageBreak/>
        <w:t>expresado en el numeral 4.1.2 del “Documento Base”, para corregir las operaciones aritméticas y las aproximaciones de las cifras decimales.</w:t>
      </w:r>
    </w:p>
    <w:p w:rsidRPr="0026137F" w:rsidR="00AA6DDD" w:rsidP="00AA6DDD" w:rsidRDefault="00AA6DDD" w14:paraId="1D39C8A9" w14:textId="77777777">
      <w:pPr>
        <w:pStyle w:val="Textoindependiente"/>
        <w:spacing w:before="6"/>
        <w:rPr>
          <w:sz w:val="25"/>
        </w:rPr>
      </w:pPr>
    </w:p>
    <w:p w:rsidRPr="0026137F" w:rsidR="00AA6DDD" w:rsidP="00AA6DDD" w:rsidRDefault="00AA6DDD" w14:paraId="4CD3B95C" w14:textId="77777777">
      <w:pPr>
        <w:pStyle w:val="Textoindependiente"/>
        <w:spacing w:line="276" w:lineRule="auto"/>
        <w:ind w:left="180" w:right="207"/>
        <w:jc w:val="both"/>
      </w:pPr>
      <w:r w:rsidRPr="0026137F">
        <w:t>En consecuencia, las entidades en la evaluación deben verificar el valor de la propuesta y las operaciones aritméticas y si el resultado obtenido es números es diferente al expresado en letras, no puede rechazar o dejar de evaluar las ofertas económicas.</w:t>
      </w:r>
    </w:p>
    <w:p w:rsidRPr="0026137F" w:rsidR="00AA6DDD" w:rsidP="00AA6DDD" w:rsidRDefault="00AA6DDD" w14:paraId="1A76BA6C" w14:textId="77777777">
      <w:pPr>
        <w:pStyle w:val="Textoindependiente"/>
        <w:spacing w:before="5"/>
        <w:rPr>
          <w:sz w:val="16"/>
        </w:rPr>
      </w:pPr>
    </w:p>
    <w:p w:rsidRPr="0026137F" w:rsidR="00AA6DDD" w:rsidP="00AA6DDD" w:rsidRDefault="00AA6DDD" w14:paraId="57DA7349" w14:textId="77777777">
      <w:pPr>
        <w:pStyle w:val="Textoindependiente"/>
        <w:spacing w:before="93" w:line="278" w:lineRule="auto"/>
        <w:ind w:left="180"/>
      </w:pPr>
      <w:r w:rsidRPr="0026137F">
        <w:t>Este concepto tiene el alcance previsto en el artículo 28 del Código de Procedimiento Administrativo y de lo Contencioso Administrativo.</w:t>
      </w:r>
    </w:p>
    <w:p w:rsidRPr="0026137F" w:rsidR="00AA6DDD" w:rsidP="00AA6DDD" w:rsidRDefault="00AA6DDD" w14:paraId="72859E3E" w14:textId="0AA2C594">
      <w:pPr>
        <w:pStyle w:val="Textoindependiente"/>
        <w:spacing w:before="6"/>
      </w:pPr>
      <w:r w:rsidRPr="0026137F">
        <w:rPr>
          <w:noProof/>
          <w:lang w:val="en-US"/>
        </w:rPr>
        <mc:AlternateContent>
          <mc:Choice Requires="wps">
            <w:drawing>
              <wp:anchor distT="0" distB="0" distL="0" distR="0" simplePos="0" relativeHeight="487429120" behindDoc="1" locked="0" layoutInCell="1" allowOverlap="1" wp14:anchorId="11E47040" wp14:editId="14CCAA02">
                <wp:simplePos x="0" y="0"/>
                <wp:positionH relativeFrom="page">
                  <wp:posOffset>1514475</wp:posOffset>
                </wp:positionH>
                <wp:positionV relativeFrom="paragraph">
                  <wp:posOffset>194945</wp:posOffset>
                </wp:positionV>
                <wp:extent cx="4686300" cy="127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style="position:absolute;margin-left:119.25pt;margin-top:15.35pt;width:369pt;height:.1pt;z-index:-15887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6x+gIAAIsGAAAOAAAAZHJzL2Uyb0RvYy54bWysVduO0zAQfUfiHyw/grq5NL1q09XStAhp&#10;gZW2fIAbO02EYwfbbVoQ/87YSbppFySEaKXUzoyPz5y59PbuWHJ0YEoXUsQ4uPExYiKVtBC7GH/Z&#10;rAdTjLQhghIuBYvxiWl8t3j96rau5iyUueSUKQQgQs/rKsa5MdXc83Sas5LoG1kxAcZMqpIY2Kqd&#10;RxWpAb3kXuj7Y6+WilZKpkxreJs0Rrxw+FnGUvM5yzQziMcYuBn3VO65tU9vcUvmO0WqvEhbGuQf&#10;WJSkEHDpGSohhqC9Kl5AlUWqpJaZuUll6cksK1LmYoBoAv8qmqecVMzFAuLo6iyT/n+w6afDo0IF&#10;jXGIkSAlpGitGLOCo5FVp670HJyeqkdl49PVg0y/ajB4Fxa70eCDtvVHSQGF7I10ihwzVdqTECs6&#10;OuFPZ+HZ0aAUXkbj6XjoQ35SsAXhxOXFI/PubLrX5j2TDoccHrRp0kZh5USnLfUNQGQlhwy+HSAf&#10;hcPpyD3aNJ/dgs7tjYc2PqrRZDjtauHsBIL0sGaT8e+xhp2bxQp7WMB/1zEkeUc6PYqWNawQsW3i&#10;O50qqa0+G+DWCQQI4GQj/IMv3H3t25xpr1BQ/9eVrzCCyt82klTEWGb2CrtEdYydFPZFKQ9sI53J&#10;XGUOLnm2ctH3csf7rBoznLAXQNk0C3ep5drLrJDrgnOXWi4sldkoHDlttOQFtUbLRqvddskVOhDo&#10;6eSd/dpgAOzCTcm9oA4sZ4Su2rUhBW/W4M+dtlCErQS2HF3T/pj5s9V0NY0GUTheDSI/SQb362U0&#10;GK+DySgZJstlEvy01IJonheUMmHZdQMkiP6uQdtR1rT+eYRcRHER7Np9XgbrXdJwWkAs3W+jddeh&#10;TUtvJT1BtyrZTESY4LDIpfqOUQ3TMMb6254ohhH/IGDczIIosuPTbaLRJISN6lu2fQsRKUDF2GAo&#10;cLtcmmbk7itV7HK4KXBpFfIepkRW2HZ246Rh1W5g4rkI2ulsR2p/77ye/0MWvwAAAP//AwBQSwME&#10;FAAGAAgAAAAhABT6E4DhAAAACQEAAA8AAABkcnMvZG93bnJldi54bWxMj01Lw0AQhu9C/8Myghex&#10;m7bYj5hNEUtBECltFfS2yY5JaHY2ZDdp/PdOT/Y47zy880yyHmwtemx95UjBZByBQMqdqahQ8HHc&#10;PixB+KDJ6NoRKvhFD+t0dJPo2Lgz7bE/hEJwCflYKyhDaGIpfV6i1X7sGiTe/bjW6sBjW0jT6jOX&#10;21pOo2gura6IL5S6wZcS89Ohswo2r8Xu8yujzfu+64+n6q3Zuvtvpe5uh+cnEAGH8A/DRZ/VIWWn&#10;zHVkvKgVTGfLR0YVzKIFCAZWizkH2SVYgUwTef1B+gcAAP//AwBQSwECLQAUAAYACAAAACEAtoM4&#10;kv4AAADhAQAAEwAAAAAAAAAAAAAAAAAAAAAAW0NvbnRlbnRfVHlwZXNdLnhtbFBLAQItABQABgAI&#10;AAAAIQA4/SH/1gAAAJQBAAALAAAAAAAAAAAAAAAAAC8BAABfcmVscy8ucmVsc1BLAQItABQABgAI&#10;AAAAIQBF6v6x+gIAAIsGAAAOAAAAAAAAAAAAAAAAAC4CAABkcnMvZTJvRG9jLnhtbFBLAQItABQA&#10;BgAIAAAAIQAU+hOA4QAAAAkBAAAPAAAAAAAAAAAAAAAAAFQFAABkcnMvZG93bnJldi54bWxQSwUG&#10;AAAAAAQABADzAAAAYgYAAAAA&#10;" w14:anchorId="12E043C8">
                <v:path arrowok="t" o:connecttype="custom" o:connectlocs="0,0;4686300,0" o:connectangles="0,0"/>
                <w10:wrap type="topAndBottom" anchorx="page"/>
              </v:shape>
            </w:pict>
          </mc:Fallback>
        </mc:AlternateContent>
      </w:r>
    </w:p>
    <w:p w:rsidRPr="0026137F" w:rsidR="00AA6DDD" w:rsidP="00AA6DDD" w:rsidRDefault="00AA6DDD" w14:paraId="0B14B1DA" w14:textId="77777777">
      <w:pPr>
        <w:pStyle w:val="Textoindependiente"/>
        <w:spacing w:before="4"/>
        <w:rPr>
          <w:sz w:val="20"/>
        </w:rPr>
      </w:pPr>
    </w:p>
    <w:p w:rsidRPr="0026137F" w:rsidR="00AA6DDD" w:rsidP="00AA6DDD" w:rsidRDefault="00AA6DDD" w14:paraId="33F7BF74" w14:textId="77777777">
      <w:pPr>
        <w:pStyle w:val="Textoindependiente"/>
        <w:spacing w:before="1"/>
        <w:ind w:left="180"/>
      </w:pPr>
      <w:r w:rsidRPr="0026137F">
        <w:t>Atentamente,</w:t>
      </w:r>
    </w:p>
    <w:p w:rsidRPr="00B944A3" w:rsidR="0000060C" w:rsidP="0000060C" w:rsidRDefault="0000060C" w14:paraId="50AA7F28" w14:textId="77777777">
      <w:pPr>
        <w:pStyle w:val="Textoindependiente"/>
        <w:spacing w:before="1"/>
        <w:jc w:val="center"/>
        <w:rPr>
          <w:sz w:val="31"/>
        </w:rPr>
      </w:pPr>
      <w:r w:rsidR="0000060C">
        <w:drawing>
          <wp:inline wp14:editId="28DFDA0D" wp14:anchorId="3E4F9909">
            <wp:extent cx="2773144" cy="988695"/>
            <wp:effectExtent l="0" t="0" r="0" b="0"/>
            <wp:docPr id="1210214913" name="Imagen 20" title=""/>
            <wp:cNvGraphicFramePr>
              <a:graphicFrameLocks noChangeAspect="1"/>
            </wp:cNvGraphicFramePr>
            <a:graphic>
              <a:graphicData uri="http://schemas.openxmlformats.org/drawingml/2006/picture">
                <pic:pic>
                  <pic:nvPicPr>
                    <pic:cNvPr id="0" name="Imagen 20"/>
                    <pic:cNvPicPr/>
                  </pic:nvPicPr>
                  <pic:blipFill>
                    <a:blip r:embed="R2819abdfc6aa413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00060C" w:rsidR="00AA6DDD" w:rsidP="0000060C" w:rsidRDefault="00AA6DDD" w14:paraId="26F9860F" w14:textId="10D625AC">
      <w:pPr>
        <w:pStyle w:val="Textoindependiente"/>
        <w:spacing w:before="1"/>
        <w:ind w:left="180"/>
      </w:pPr>
      <w:bookmarkStart w:name="_GoBack" w:id="0"/>
      <w:bookmarkEnd w:id="0"/>
      <w:r w:rsidRPr="0000060C">
        <w:t>Proyectó: Sergio Mateo Avila</w:t>
      </w:r>
    </w:p>
    <w:sectPr w:rsidRPr="0000060C" w:rsidR="00AA6DDD">
      <w:headerReference w:type="default" r:id="rId12"/>
      <w:footerReference w:type="default" r:id="rId13"/>
      <w:pgSz w:w="12240" w:h="15840" w:orient="portrait"/>
      <w:pgMar w:top="1560" w:right="1400" w:bottom="2140" w:left="1520" w:header="737" w:footer="18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9CC" w:rsidRDefault="00CB59CC" w14:paraId="36D52450" w14:textId="77777777">
      <w:r>
        <w:separator/>
      </w:r>
    </w:p>
  </w:endnote>
  <w:endnote w:type="continuationSeparator" w:id="0">
    <w:p w:rsidR="00CB59CC" w:rsidRDefault="00CB59CC" w14:paraId="659C0B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Narrow"/>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D94AB7" w:rsidRDefault="00507EA9" w14:paraId="4D846B24" w14:textId="77777777">
    <w:pPr>
      <w:pStyle w:val="Textoindependiente"/>
      <w:spacing w:line="14" w:lineRule="auto"/>
      <w:rPr>
        <w:sz w:val="20"/>
      </w:rPr>
    </w:pPr>
    <w:r>
      <w:rPr>
        <w:noProof/>
        <w:lang w:val="en-US"/>
      </w:rPr>
      <w:drawing>
        <wp:anchor distT="0" distB="0" distL="0" distR="0" simplePos="0" relativeHeight="487426560" behindDoc="1" locked="0" layoutInCell="1" allowOverlap="1" wp14:anchorId="052D255A" wp14:editId="2FFE8DEA">
          <wp:simplePos x="0" y="0"/>
          <wp:positionH relativeFrom="page">
            <wp:posOffset>1137919</wp:posOffset>
          </wp:positionH>
          <wp:positionV relativeFrom="page">
            <wp:posOffset>8688387</wp:posOffset>
          </wp:positionV>
          <wp:extent cx="5612130" cy="78727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273"/>
                  </a:xfrm>
                  <a:prstGeom prst="rect">
                    <a:avLst/>
                  </a:prstGeom>
                </pic:spPr>
              </pic:pic>
            </a:graphicData>
          </a:graphic>
        </wp:anchor>
      </w:drawing>
    </w:r>
    <w:r w:rsidR="7B7F8872">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9CC" w:rsidRDefault="00CB59CC" w14:paraId="228CF08A" w14:textId="77777777">
      <w:r>
        <w:separator/>
      </w:r>
    </w:p>
  </w:footnote>
  <w:footnote w:type="continuationSeparator" w:id="0">
    <w:p w:rsidR="00CB59CC" w:rsidRDefault="00CB59CC" w14:paraId="2B34C04F" w14:textId="77777777">
      <w:r>
        <w:continuationSeparator/>
      </w:r>
    </w:p>
  </w:footnote>
  <w:footnote w:id="1">
    <w:p w:rsidRPr="00C30764" w:rsidR="00AA6DDD" w:rsidP="00AA6DDD" w:rsidRDefault="00AA6DDD" w14:paraId="230B3F92" w14:textId="77777777">
      <w:pPr>
        <w:spacing w:before="83" w:line="244" w:lineRule="auto"/>
        <w:ind w:left="180" w:right="204" w:firstLine="707"/>
        <w:jc w:val="both"/>
        <w:rPr>
          <w:sz w:val="20"/>
        </w:rPr>
      </w:pPr>
      <w:r w:rsidRPr="00C30764">
        <w:rPr>
          <w:rStyle w:val="Refdenotaalpie"/>
        </w:rPr>
        <w:footnoteRef/>
      </w:r>
      <w:r w:rsidRPr="00C30764">
        <w:t xml:space="preserve"> </w:t>
      </w:r>
      <w:r w:rsidRPr="00C30764">
        <w:rPr>
          <w:sz w:val="20"/>
        </w:rPr>
        <w:t>Tomado del formulario de presupuesto oficial del proceso de Licitación Pública No. LP-DO- 003-2018 que tiene por objeto la “GESTIÓN SOCIAL, PREDIAL, AMBIENTAL Y CONSTRUCCIÓN DE LA VARIANTE DE SAN GIL EN EL DEPARTAMENTO DE SANTANDER” tramitado por el</w:t>
      </w:r>
    </w:p>
    <w:p w:rsidRPr="00C30764" w:rsidR="00AA6DDD" w:rsidP="00AA6DDD" w:rsidRDefault="00AA6DDD" w14:paraId="01928B4D" w14:textId="77777777">
      <w:pPr>
        <w:spacing w:line="224" w:lineRule="exact"/>
        <w:ind w:left="180"/>
        <w:jc w:val="both"/>
        <w:rPr>
          <w:sz w:val="20"/>
        </w:rPr>
      </w:pPr>
      <w:r w:rsidRPr="00C30764">
        <w:rPr>
          <w:sz w:val="20"/>
        </w:rPr>
        <w:t>Instituto Nacional de Vías – INVIAS.</w:t>
      </w:r>
    </w:p>
    <w:p w:rsidRPr="00AA6DDD" w:rsidR="00AA6DDD" w:rsidRDefault="00AA6DDD" w14:paraId="26FB5888" w14:textId="36DEF935">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D94AB7" w:rsidRDefault="00507EA9" w14:paraId="3DD0FC48" w14:textId="77777777">
    <w:pPr>
      <w:pStyle w:val="Textoindependiente"/>
      <w:spacing w:line="14" w:lineRule="auto"/>
      <w:rPr>
        <w:sz w:val="20"/>
      </w:rPr>
    </w:pPr>
    <w:r>
      <w:rPr>
        <w:noProof/>
        <w:lang w:val="en-US"/>
      </w:rPr>
      <w:drawing>
        <wp:anchor distT="0" distB="0" distL="0" distR="0" simplePos="0" relativeHeight="487426048" behindDoc="1" locked="0" layoutInCell="1" allowOverlap="1" wp14:anchorId="610F4014" wp14:editId="211A334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7B7F8872">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298B"/>
    <w:multiLevelType w:val="hybridMultilevel"/>
    <w:tmpl w:val="03D4564C"/>
    <w:lvl w:ilvl="0" w:tplc="073CF158">
      <w:numFmt w:val="bullet"/>
      <w:lvlText w:val=""/>
      <w:lvlJc w:val="left"/>
      <w:pPr>
        <w:ind w:left="900" w:hanging="360"/>
      </w:pPr>
      <w:rPr>
        <w:rFonts w:hint="default" w:ascii="Wingdings" w:hAnsi="Wingdings" w:eastAsia="Wingdings" w:cs="Wingdings"/>
        <w:color w:val="4E4D4D"/>
        <w:w w:val="100"/>
        <w:sz w:val="22"/>
        <w:szCs w:val="22"/>
        <w:lang w:val="es-ES" w:eastAsia="en-US" w:bidi="ar-SA"/>
      </w:rPr>
    </w:lvl>
    <w:lvl w:ilvl="1" w:tplc="59BE419A">
      <w:numFmt w:val="bullet"/>
      <w:lvlText w:val="•"/>
      <w:lvlJc w:val="left"/>
      <w:pPr>
        <w:ind w:left="1742" w:hanging="360"/>
      </w:pPr>
      <w:rPr>
        <w:rFonts w:hint="default"/>
        <w:lang w:val="es-ES" w:eastAsia="en-US" w:bidi="ar-SA"/>
      </w:rPr>
    </w:lvl>
    <w:lvl w:ilvl="2" w:tplc="39782BDC">
      <w:numFmt w:val="bullet"/>
      <w:lvlText w:val="•"/>
      <w:lvlJc w:val="left"/>
      <w:pPr>
        <w:ind w:left="2584" w:hanging="360"/>
      </w:pPr>
      <w:rPr>
        <w:rFonts w:hint="default"/>
        <w:lang w:val="es-ES" w:eastAsia="en-US" w:bidi="ar-SA"/>
      </w:rPr>
    </w:lvl>
    <w:lvl w:ilvl="3" w:tplc="EE1C484A">
      <w:numFmt w:val="bullet"/>
      <w:lvlText w:val="•"/>
      <w:lvlJc w:val="left"/>
      <w:pPr>
        <w:ind w:left="3426" w:hanging="360"/>
      </w:pPr>
      <w:rPr>
        <w:rFonts w:hint="default"/>
        <w:lang w:val="es-ES" w:eastAsia="en-US" w:bidi="ar-SA"/>
      </w:rPr>
    </w:lvl>
    <w:lvl w:ilvl="4" w:tplc="C2ACF204">
      <w:numFmt w:val="bullet"/>
      <w:lvlText w:val="•"/>
      <w:lvlJc w:val="left"/>
      <w:pPr>
        <w:ind w:left="4268" w:hanging="360"/>
      </w:pPr>
      <w:rPr>
        <w:rFonts w:hint="default"/>
        <w:lang w:val="es-ES" w:eastAsia="en-US" w:bidi="ar-SA"/>
      </w:rPr>
    </w:lvl>
    <w:lvl w:ilvl="5" w:tplc="2F9A89B8">
      <w:numFmt w:val="bullet"/>
      <w:lvlText w:val="•"/>
      <w:lvlJc w:val="left"/>
      <w:pPr>
        <w:ind w:left="5110" w:hanging="360"/>
      </w:pPr>
      <w:rPr>
        <w:rFonts w:hint="default"/>
        <w:lang w:val="es-ES" w:eastAsia="en-US" w:bidi="ar-SA"/>
      </w:rPr>
    </w:lvl>
    <w:lvl w:ilvl="6" w:tplc="B9966364">
      <w:numFmt w:val="bullet"/>
      <w:lvlText w:val="•"/>
      <w:lvlJc w:val="left"/>
      <w:pPr>
        <w:ind w:left="5952" w:hanging="360"/>
      </w:pPr>
      <w:rPr>
        <w:rFonts w:hint="default"/>
        <w:lang w:val="es-ES" w:eastAsia="en-US" w:bidi="ar-SA"/>
      </w:rPr>
    </w:lvl>
    <w:lvl w:ilvl="7" w:tplc="892C04D0">
      <w:numFmt w:val="bullet"/>
      <w:lvlText w:val="•"/>
      <w:lvlJc w:val="left"/>
      <w:pPr>
        <w:ind w:left="6794" w:hanging="360"/>
      </w:pPr>
      <w:rPr>
        <w:rFonts w:hint="default"/>
        <w:lang w:val="es-ES" w:eastAsia="en-US" w:bidi="ar-SA"/>
      </w:rPr>
    </w:lvl>
    <w:lvl w:ilvl="8" w:tplc="04385B4A">
      <w:numFmt w:val="bullet"/>
      <w:lvlText w:val="•"/>
      <w:lvlJc w:val="left"/>
      <w:pPr>
        <w:ind w:left="7636" w:hanging="360"/>
      </w:pPr>
      <w:rPr>
        <w:rFonts w:hint="default"/>
        <w:lang w:val="es-ES" w:eastAsia="en-US" w:bidi="ar-SA"/>
      </w:rPr>
    </w:lvl>
  </w:abstractNum>
  <w:abstractNum w:abstractNumId="1" w15:restartNumberingAfterBreak="0">
    <w:nsid w:val="40984086"/>
    <w:multiLevelType w:val="hybridMultilevel"/>
    <w:tmpl w:val="4E988F16"/>
    <w:lvl w:ilvl="0" w:tplc="CA3E35B8">
      <w:start w:val="1"/>
      <w:numFmt w:val="upperLetter"/>
      <w:lvlText w:val="%1."/>
      <w:lvlJc w:val="left"/>
      <w:pPr>
        <w:ind w:left="1608" w:hanging="360"/>
        <w:jc w:val="left"/>
      </w:pPr>
      <w:rPr>
        <w:rFonts w:hint="default" w:ascii="Arial" w:hAnsi="Arial" w:eastAsia="Arial" w:cs="Arial"/>
        <w:color w:val="585858"/>
        <w:spacing w:val="-3"/>
        <w:w w:val="100"/>
        <w:sz w:val="20"/>
        <w:szCs w:val="20"/>
        <w:lang w:val="es-ES" w:eastAsia="en-US" w:bidi="ar-SA"/>
      </w:rPr>
    </w:lvl>
    <w:lvl w:ilvl="1" w:tplc="56521A9A">
      <w:numFmt w:val="bullet"/>
      <w:lvlText w:val="•"/>
      <w:lvlJc w:val="left"/>
      <w:pPr>
        <w:ind w:left="2372" w:hanging="360"/>
      </w:pPr>
      <w:rPr>
        <w:rFonts w:hint="default"/>
        <w:lang w:val="es-ES" w:eastAsia="en-US" w:bidi="ar-SA"/>
      </w:rPr>
    </w:lvl>
    <w:lvl w:ilvl="2" w:tplc="FB1AC210">
      <w:numFmt w:val="bullet"/>
      <w:lvlText w:val="•"/>
      <w:lvlJc w:val="left"/>
      <w:pPr>
        <w:ind w:left="3144" w:hanging="360"/>
      </w:pPr>
      <w:rPr>
        <w:rFonts w:hint="default"/>
        <w:lang w:val="es-ES" w:eastAsia="en-US" w:bidi="ar-SA"/>
      </w:rPr>
    </w:lvl>
    <w:lvl w:ilvl="3" w:tplc="529A383A">
      <w:numFmt w:val="bullet"/>
      <w:lvlText w:val="•"/>
      <w:lvlJc w:val="left"/>
      <w:pPr>
        <w:ind w:left="3916" w:hanging="360"/>
      </w:pPr>
      <w:rPr>
        <w:rFonts w:hint="default"/>
        <w:lang w:val="es-ES" w:eastAsia="en-US" w:bidi="ar-SA"/>
      </w:rPr>
    </w:lvl>
    <w:lvl w:ilvl="4" w:tplc="53AEA568">
      <w:numFmt w:val="bullet"/>
      <w:lvlText w:val="•"/>
      <w:lvlJc w:val="left"/>
      <w:pPr>
        <w:ind w:left="4688" w:hanging="360"/>
      </w:pPr>
      <w:rPr>
        <w:rFonts w:hint="default"/>
        <w:lang w:val="es-ES" w:eastAsia="en-US" w:bidi="ar-SA"/>
      </w:rPr>
    </w:lvl>
    <w:lvl w:ilvl="5" w:tplc="2AA43DE6">
      <w:numFmt w:val="bullet"/>
      <w:lvlText w:val="•"/>
      <w:lvlJc w:val="left"/>
      <w:pPr>
        <w:ind w:left="5460" w:hanging="360"/>
      </w:pPr>
      <w:rPr>
        <w:rFonts w:hint="default"/>
        <w:lang w:val="es-ES" w:eastAsia="en-US" w:bidi="ar-SA"/>
      </w:rPr>
    </w:lvl>
    <w:lvl w:ilvl="6" w:tplc="FB160EB8">
      <w:numFmt w:val="bullet"/>
      <w:lvlText w:val="•"/>
      <w:lvlJc w:val="left"/>
      <w:pPr>
        <w:ind w:left="6232" w:hanging="360"/>
      </w:pPr>
      <w:rPr>
        <w:rFonts w:hint="default"/>
        <w:lang w:val="es-ES" w:eastAsia="en-US" w:bidi="ar-SA"/>
      </w:rPr>
    </w:lvl>
    <w:lvl w:ilvl="7" w:tplc="00BECDC8">
      <w:numFmt w:val="bullet"/>
      <w:lvlText w:val="•"/>
      <w:lvlJc w:val="left"/>
      <w:pPr>
        <w:ind w:left="7004" w:hanging="360"/>
      </w:pPr>
      <w:rPr>
        <w:rFonts w:hint="default"/>
        <w:lang w:val="es-ES" w:eastAsia="en-US" w:bidi="ar-SA"/>
      </w:rPr>
    </w:lvl>
    <w:lvl w:ilvl="8" w:tplc="08FE412A">
      <w:numFmt w:val="bullet"/>
      <w:lvlText w:val="•"/>
      <w:lvlJc w:val="left"/>
      <w:pPr>
        <w:ind w:left="7776" w:hanging="360"/>
      </w:pPr>
      <w:rPr>
        <w:rFonts w:hint="default"/>
        <w:lang w:val="es-ES" w:eastAsia="en-US" w:bidi="ar-SA"/>
      </w:rPr>
    </w:lvl>
  </w:abstractNum>
  <w:abstractNum w:abstractNumId="2" w15:restartNumberingAfterBreak="0">
    <w:nsid w:val="56624204"/>
    <w:multiLevelType w:val="hybridMultilevel"/>
    <w:tmpl w:val="9B325778"/>
    <w:lvl w:ilvl="0" w:tplc="1CEE5204">
      <w:start w:val="1"/>
      <w:numFmt w:val="decimal"/>
      <w:lvlText w:val="%1."/>
      <w:lvlJc w:val="left"/>
      <w:pPr>
        <w:ind w:left="540" w:hanging="360"/>
        <w:jc w:val="left"/>
      </w:pPr>
      <w:rPr>
        <w:rFonts w:hint="default" w:ascii="Arial" w:hAnsi="Arial" w:eastAsia="Arial" w:cs="Arial"/>
        <w:b/>
        <w:bCs/>
        <w:color w:val="0D62A8"/>
        <w:spacing w:val="-8"/>
        <w:w w:val="100"/>
        <w:sz w:val="22"/>
        <w:szCs w:val="22"/>
        <w:lang w:val="es-ES" w:eastAsia="en-US" w:bidi="ar-SA"/>
      </w:rPr>
    </w:lvl>
    <w:lvl w:ilvl="1" w:tplc="EC4A6B0C">
      <w:numFmt w:val="bullet"/>
      <w:lvlText w:val="•"/>
      <w:lvlJc w:val="left"/>
      <w:pPr>
        <w:ind w:left="1418" w:hanging="360"/>
      </w:pPr>
      <w:rPr>
        <w:rFonts w:hint="default"/>
        <w:lang w:val="es-ES" w:eastAsia="en-US" w:bidi="ar-SA"/>
      </w:rPr>
    </w:lvl>
    <w:lvl w:ilvl="2" w:tplc="23EED4E2">
      <w:numFmt w:val="bullet"/>
      <w:lvlText w:val="•"/>
      <w:lvlJc w:val="left"/>
      <w:pPr>
        <w:ind w:left="2296" w:hanging="360"/>
      </w:pPr>
      <w:rPr>
        <w:rFonts w:hint="default"/>
        <w:lang w:val="es-ES" w:eastAsia="en-US" w:bidi="ar-SA"/>
      </w:rPr>
    </w:lvl>
    <w:lvl w:ilvl="3" w:tplc="62409FB8">
      <w:numFmt w:val="bullet"/>
      <w:lvlText w:val="•"/>
      <w:lvlJc w:val="left"/>
      <w:pPr>
        <w:ind w:left="3174" w:hanging="360"/>
      </w:pPr>
      <w:rPr>
        <w:rFonts w:hint="default"/>
        <w:lang w:val="es-ES" w:eastAsia="en-US" w:bidi="ar-SA"/>
      </w:rPr>
    </w:lvl>
    <w:lvl w:ilvl="4" w:tplc="078CEDE8">
      <w:numFmt w:val="bullet"/>
      <w:lvlText w:val="•"/>
      <w:lvlJc w:val="left"/>
      <w:pPr>
        <w:ind w:left="4052" w:hanging="360"/>
      </w:pPr>
      <w:rPr>
        <w:rFonts w:hint="default"/>
        <w:lang w:val="es-ES" w:eastAsia="en-US" w:bidi="ar-SA"/>
      </w:rPr>
    </w:lvl>
    <w:lvl w:ilvl="5" w:tplc="87C89FE2">
      <w:numFmt w:val="bullet"/>
      <w:lvlText w:val="•"/>
      <w:lvlJc w:val="left"/>
      <w:pPr>
        <w:ind w:left="4930" w:hanging="360"/>
      </w:pPr>
      <w:rPr>
        <w:rFonts w:hint="default"/>
        <w:lang w:val="es-ES" w:eastAsia="en-US" w:bidi="ar-SA"/>
      </w:rPr>
    </w:lvl>
    <w:lvl w:ilvl="6" w:tplc="4752A192">
      <w:numFmt w:val="bullet"/>
      <w:lvlText w:val="•"/>
      <w:lvlJc w:val="left"/>
      <w:pPr>
        <w:ind w:left="5808" w:hanging="360"/>
      </w:pPr>
      <w:rPr>
        <w:rFonts w:hint="default"/>
        <w:lang w:val="es-ES" w:eastAsia="en-US" w:bidi="ar-SA"/>
      </w:rPr>
    </w:lvl>
    <w:lvl w:ilvl="7" w:tplc="CFE894F8">
      <w:numFmt w:val="bullet"/>
      <w:lvlText w:val="•"/>
      <w:lvlJc w:val="left"/>
      <w:pPr>
        <w:ind w:left="6686" w:hanging="360"/>
      </w:pPr>
      <w:rPr>
        <w:rFonts w:hint="default"/>
        <w:lang w:val="es-ES" w:eastAsia="en-US" w:bidi="ar-SA"/>
      </w:rPr>
    </w:lvl>
    <w:lvl w:ilvl="8" w:tplc="743ED1E6">
      <w:numFmt w:val="bullet"/>
      <w:lvlText w:val="•"/>
      <w:lvlJc w:val="left"/>
      <w:pPr>
        <w:ind w:left="7564" w:hanging="360"/>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B7"/>
    <w:rsid w:val="0000060C"/>
    <w:rsid w:val="0026137F"/>
    <w:rsid w:val="00507EA9"/>
    <w:rsid w:val="00856769"/>
    <w:rsid w:val="00A30E9F"/>
    <w:rsid w:val="00AA6DDD"/>
    <w:rsid w:val="00AE4718"/>
    <w:rsid w:val="00C30764"/>
    <w:rsid w:val="00CB59CC"/>
    <w:rsid w:val="00D94AB7"/>
    <w:rsid w:val="21E46B4F"/>
    <w:rsid w:val="3A8AE39E"/>
    <w:rsid w:val="66E0EFF7"/>
    <w:rsid w:val="6C083899"/>
    <w:rsid w:val="724F429F"/>
    <w:rsid w:val="72D9A3AF"/>
    <w:rsid w:val="7B7F88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3D59"/>
  <w15:docId w15:val="{F7E634E3-FB7D-4D25-8666-1F3E2E4B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54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0" w:hanging="361"/>
    </w:pPr>
  </w:style>
  <w:style w:type="paragraph" w:styleId="TableParagraph" w:customStyle="1">
    <w:name w:val="Table Paragraph"/>
    <w:basedOn w:val="Normal"/>
    <w:uiPriority w:val="1"/>
    <w:qFormat/>
    <w:rPr>
      <w:rFonts w:ascii="Liberation Sans Narrow" w:hAnsi="Liberation Sans Narrow" w:eastAsia="Liberation Sans Narrow" w:cs="Liberation Sans Narrow"/>
    </w:rPr>
  </w:style>
  <w:style w:type="paragraph" w:styleId="Textonotapie">
    <w:name w:val="footnote text"/>
    <w:basedOn w:val="Normal"/>
    <w:link w:val="TextonotapieCar"/>
    <w:uiPriority w:val="99"/>
    <w:semiHidden/>
    <w:unhideWhenUsed/>
    <w:rsid w:val="00AA6DDD"/>
    <w:rPr>
      <w:sz w:val="20"/>
      <w:szCs w:val="20"/>
    </w:rPr>
  </w:style>
  <w:style w:type="character" w:styleId="TextonotapieCar" w:customStyle="1">
    <w:name w:val="Texto nota pie Car"/>
    <w:basedOn w:val="Fuentedeprrafopredeter"/>
    <w:link w:val="Textonotapie"/>
    <w:uiPriority w:val="99"/>
    <w:semiHidden/>
    <w:rsid w:val="00AA6DDD"/>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AA6DDD"/>
    <w:rPr>
      <w:vertAlign w:val="superscript"/>
    </w:rPr>
  </w:style>
  <w:style w:type="character" w:styleId="TextoindependienteCar" w:customStyle="1">
    <w:name w:val="Texto independiente Car"/>
    <w:basedOn w:val="Fuentedeprrafopredeter"/>
    <w:link w:val="Textoindependiente"/>
    <w:uiPriority w:val="1"/>
    <w:rsid w:val="0000060C"/>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2819abdfc6aa4135"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FA912-50FB-4499-A843-97AD957BDF2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DEFD673-9B0B-45B8-8685-B399800BCDDF}"/>
</file>

<file path=customXml/itemProps3.xml><?xml version="1.0" encoding="utf-8"?>
<ds:datastoreItem xmlns:ds="http://schemas.openxmlformats.org/officeDocument/2006/customXml" ds:itemID="{E03FDD08-119C-4921-BDC4-355B1793BAED}">
  <ds:schemaRefs>
    <ds:schemaRef ds:uri="http://schemas.microsoft.com/sharepoint/v3/contenttype/forms"/>
  </ds:schemaRefs>
</ds:datastoreItem>
</file>

<file path=customXml/itemProps4.xml><?xml version="1.0" encoding="utf-8"?>
<ds:datastoreItem xmlns:ds="http://schemas.openxmlformats.org/officeDocument/2006/customXml" ds:itemID="{CBBF5EC4-DDD5-4E43-8750-0F6ADE240F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2020-04-26T21:46:00.0000000Z</dcterms:created>
  <dcterms:modified xsi:type="dcterms:W3CDTF">2020-07-16T17:20:58.5263065Z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Microsoft Word</vt:lpwstr>
  </property>
  <property fmtid="{D5CDD505-2E9C-101B-9397-08002B2CF9AE}" pid="4" name="LastSaved">
    <vt:filetime>2020-03-11T00:00:00Z</vt:filetime>
  </property>
  <property fmtid="{D5CDD505-2E9C-101B-9397-08002B2CF9AE}" pid="5" name="ContentTypeId">
    <vt:lpwstr>0x010100F2E0F32964D9B84EA054B84E5D4157A0</vt:lpwstr>
  </property>
</Properties>
</file>