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2CC9" w14:textId="77777777" w:rsidR="00FB52E2" w:rsidRPr="00D75667" w:rsidRDefault="00FB52E2">
      <w:pPr>
        <w:pStyle w:val="Textoindependiente"/>
        <w:spacing w:before="9"/>
        <w:rPr>
          <w:rFonts w:ascii="Times New Roman"/>
          <w:color w:val="000000" w:themeColor="text1"/>
          <w:sz w:val="29"/>
        </w:rPr>
      </w:pPr>
    </w:p>
    <w:p w14:paraId="28670678" w14:textId="4810B1A3" w:rsidR="00684964" w:rsidRPr="00D75667" w:rsidRDefault="003863B6" w:rsidP="003863B6">
      <w:pPr>
        <w:pStyle w:val="Textoindependiente"/>
        <w:ind w:left="120" w:right="106"/>
        <w:jc w:val="both"/>
        <w:rPr>
          <w:b/>
          <w:bCs/>
          <w:color w:val="000000" w:themeColor="text1"/>
        </w:rPr>
      </w:pPr>
      <w:r w:rsidRPr="00D75667">
        <w:rPr>
          <w:b/>
          <w:bCs/>
          <w:color w:val="000000" w:themeColor="text1"/>
        </w:rPr>
        <w:t>REGISTRO ÚNICO DE PROPONENTES –</w:t>
      </w:r>
      <w:r w:rsidR="00684964" w:rsidRPr="00D75667">
        <w:rPr>
          <w:b/>
          <w:bCs/>
          <w:color w:val="000000" w:themeColor="text1"/>
        </w:rPr>
        <w:t xml:space="preserve"> Obligación </w:t>
      </w:r>
      <w:r w:rsidRPr="00D75667">
        <w:rPr>
          <w:b/>
          <w:bCs/>
          <w:color w:val="000000" w:themeColor="text1"/>
        </w:rPr>
        <w:t xml:space="preserve">– Registro – </w:t>
      </w:r>
      <w:r w:rsidR="006E0C72" w:rsidRPr="00D75667">
        <w:rPr>
          <w:b/>
          <w:bCs/>
          <w:color w:val="000000" w:themeColor="text1"/>
        </w:rPr>
        <w:t>Celebración</w:t>
      </w:r>
      <w:bookmarkStart w:id="0" w:name="_GoBack"/>
      <w:bookmarkEnd w:id="0"/>
      <w:r w:rsidRPr="00D75667">
        <w:rPr>
          <w:b/>
          <w:bCs/>
          <w:color w:val="000000" w:themeColor="text1"/>
        </w:rPr>
        <w:t xml:space="preserve"> de contratos </w:t>
      </w:r>
    </w:p>
    <w:p w14:paraId="136FEF5B" w14:textId="77777777" w:rsidR="00684964" w:rsidRPr="00D75667" w:rsidRDefault="00684964" w:rsidP="00684964">
      <w:pPr>
        <w:pStyle w:val="Textoindependiente"/>
        <w:spacing w:line="276" w:lineRule="auto"/>
        <w:ind w:right="110"/>
        <w:jc w:val="both"/>
        <w:rPr>
          <w:color w:val="000000" w:themeColor="text1"/>
        </w:rPr>
      </w:pPr>
    </w:p>
    <w:p w14:paraId="146A5755" w14:textId="0B9401DC" w:rsidR="003863B6" w:rsidRPr="00D75667" w:rsidRDefault="00684964" w:rsidP="00D75667">
      <w:pPr>
        <w:pStyle w:val="Textoindependiente"/>
        <w:spacing w:after="120"/>
        <w:ind w:left="119" w:right="108"/>
        <w:jc w:val="both"/>
        <w:rPr>
          <w:color w:val="000000" w:themeColor="text1"/>
          <w:sz w:val="20"/>
          <w:szCs w:val="20"/>
        </w:rPr>
      </w:pPr>
      <w:r w:rsidRPr="00D75667">
        <w:rPr>
          <w:color w:val="000000" w:themeColor="text1"/>
          <w:sz w:val="20"/>
          <w:szCs w:val="20"/>
        </w:rPr>
        <w:t>La Ley 1150 de 2007, en el artículo 6, establece como obligación para las personas naturales o jurídicas que aspiran celebrar contratos con las entidades estatales estar inscritas en el Registro Único de Proponentes. Esta obligación se reiteró por el artículo 2.2.1.1.1.5</w:t>
      </w:r>
      <w:r w:rsidR="003863B6" w:rsidRPr="00D75667">
        <w:rPr>
          <w:color w:val="000000" w:themeColor="text1"/>
          <w:sz w:val="20"/>
          <w:szCs w:val="20"/>
        </w:rPr>
        <w:t>.1 del Decreto 1082 de 2015</w:t>
      </w:r>
      <w:r w:rsidR="00D75667" w:rsidRPr="00D75667">
        <w:rPr>
          <w:color w:val="000000" w:themeColor="text1"/>
          <w:sz w:val="20"/>
          <w:szCs w:val="20"/>
        </w:rPr>
        <w:t xml:space="preserve">. </w:t>
      </w:r>
    </w:p>
    <w:p w14:paraId="4EA50E6D" w14:textId="77777777" w:rsidR="00684964" w:rsidRPr="00D75667" w:rsidRDefault="00684964" w:rsidP="00D75667">
      <w:pPr>
        <w:pStyle w:val="Textoindependiente"/>
        <w:spacing w:after="120"/>
        <w:ind w:left="119" w:right="108"/>
        <w:jc w:val="both"/>
        <w:rPr>
          <w:color w:val="000000" w:themeColor="text1"/>
          <w:sz w:val="20"/>
          <w:szCs w:val="20"/>
        </w:rPr>
      </w:pPr>
      <w:r w:rsidRPr="00D75667">
        <w:rPr>
          <w:color w:val="000000" w:themeColor="text1"/>
          <w:sz w:val="20"/>
          <w:szCs w:val="20"/>
        </w:rPr>
        <w:t>En este sentido, las personas naturales o jurídicas que aspiren celebrar contratos con entidades estatales deben estar inscritas en el Registro Único de Proponentes, al momento de presentar oferta en un proceso de contratación.</w:t>
      </w:r>
    </w:p>
    <w:p w14:paraId="2D274E6E" w14:textId="77777777" w:rsidR="00684964" w:rsidRPr="00D75667" w:rsidRDefault="00684964" w:rsidP="00684964">
      <w:pPr>
        <w:pStyle w:val="Textoindependiente"/>
        <w:ind w:right="110"/>
        <w:jc w:val="both"/>
        <w:rPr>
          <w:color w:val="000000" w:themeColor="text1"/>
          <w:sz w:val="20"/>
          <w:szCs w:val="20"/>
        </w:rPr>
      </w:pPr>
    </w:p>
    <w:p w14:paraId="57F89BD7" w14:textId="77777777" w:rsidR="00684964" w:rsidRPr="00D75667" w:rsidRDefault="003863B6" w:rsidP="003863B6">
      <w:pPr>
        <w:pStyle w:val="Textoindependiente"/>
        <w:ind w:left="120" w:right="106"/>
        <w:jc w:val="both"/>
        <w:rPr>
          <w:b/>
          <w:bCs/>
          <w:color w:val="000000" w:themeColor="text1"/>
        </w:rPr>
      </w:pPr>
      <w:r w:rsidRPr="00D75667">
        <w:rPr>
          <w:b/>
          <w:bCs/>
          <w:color w:val="000000" w:themeColor="text1"/>
        </w:rPr>
        <w:t>REGISTRO ÚNICO DE PROPONENTES – Inscripción – Documentos –</w:t>
      </w:r>
      <w:r w:rsidR="00684964" w:rsidRPr="00D75667">
        <w:rPr>
          <w:b/>
          <w:bCs/>
          <w:color w:val="000000" w:themeColor="text1"/>
        </w:rPr>
        <w:t xml:space="preserve"> Verificación</w:t>
      </w:r>
    </w:p>
    <w:p w14:paraId="777F64B0" w14:textId="77777777" w:rsidR="00684964" w:rsidRPr="00D75667" w:rsidRDefault="00684964" w:rsidP="00684964">
      <w:pPr>
        <w:pStyle w:val="Textoindependiente"/>
        <w:spacing w:before="2"/>
        <w:rPr>
          <w:color w:val="000000" w:themeColor="text1"/>
          <w:sz w:val="25"/>
        </w:rPr>
      </w:pPr>
    </w:p>
    <w:p w14:paraId="6D46AF1E" w14:textId="77777777" w:rsidR="00684964" w:rsidRPr="00D75667" w:rsidRDefault="003863B6" w:rsidP="003863B6">
      <w:pPr>
        <w:pStyle w:val="Textoindependiente"/>
        <w:ind w:left="120" w:right="106"/>
        <w:jc w:val="both"/>
        <w:rPr>
          <w:color w:val="000000" w:themeColor="text1"/>
          <w:sz w:val="20"/>
          <w:szCs w:val="20"/>
        </w:rPr>
      </w:pPr>
      <w:r w:rsidRPr="00D75667">
        <w:rPr>
          <w:color w:val="000000" w:themeColor="text1"/>
          <w:sz w:val="20"/>
          <w:szCs w:val="20"/>
        </w:rPr>
        <w:t>[…</w:t>
      </w:r>
      <w:r w:rsidR="00684964" w:rsidRPr="00D75667">
        <w:rPr>
          <w:color w:val="000000" w:themeColor="text1"/>
          <w:sz w:val="20"/>
          <w:szCs w:val="20"/>
        </w:rPr>
        <w:t>]</w:t>
      </w:r>
      <w:r w:rsidRPr="00D75667">
        <w:rPr>
          <w:color w:val="000000" w:themeColor="text1"/>
          <w:sz w:val="20"/>
          <w:szCs w:val="20"/>
        </w:rPr>
        <w:t xml:space="preserve"> E</w:t>
      </w:r>
      <w:r w:rsidR="00684964" w:rsidRPr="00D75667">
        <w:rPr>
          <w:color w:val="000000" w:themeColor="text1"/>
          <w:sz w:val="20"/>
          <w:szCs w:val="20"/>
        </w:rPr>
        <w:t>l numeral 6.1 del artículo 6 de la Ley 1150 de 2007 dispone que la Cámara de Comercio realizará la verificación documental de la información presentada por los interesados al momento de inscribirse en el RUP. Por su parte, el artículo 2.2.1.1.1.1.5.2 del Decreto 1082 de 2015 relaciona los documentos que debe aportar tanto la persona natural como jurídica para inscribirse en del Registro Único de Proponentes: i) certificados de experiencia, ii) identificación de los bienes y servicios que ofrecerá a las entidades estatales, identificados con el Clasificador de Bienes y Servicios en el tercer nivel, ii) si la persona debe llevar contabilidad, copia de la información contable del último año exigida por las normas tributarias, entre otros. Con fundamento en estos, la Cámara de Comercio, de acuerdo con el artículo 2.2.1.1.1.5.3 del Decreto 1082 de 2015, verificará y certificará los requisitos habilitantes de experiencia, capacidad jurídica, capacidad financiera. En este sentido, de acuerdo con lo establecido en el numeral 6.3, artículo 6, de la Ley 1150 de 2007, la Cámara de Comercio verificada la información aportada por el proponente, publicará el acto de inscripción del Registro Único de Proponentes, contra el cual la persona podrá interponer recurso de reposición dentro de los diez (10) días siguientes contados a partir de su publicación. En firme el acto administrativo que realiza la inscripción del Registro Único de Proponentes se podrá demandar su nulidad sin que la presentación de la demanda suspenda la inscripción del Registro Único de Proponentes.</w:t>
      </w:r>
    </w:p>
    <w:p w14:paraId="4BB9036A" w14:textId="77777777" w:rsidR="00684964" w:rsidRPr="00D75667" w:rsidRDefault="00684964" w:rsidP="00684964">
      <w:pPr>
        <w:pStyle w:val="Textoindependiente"/>
        <w:spacing w:before="2"/>
        <w:rPr>
          <w:color w:val="000000" w:themeColor="text1"/>
          <w:sz w:val="25"/>
        </w:rPr>
      </w:pPr>
    </w:p>
    <w:p w14:paraId="13C4DA8B" w14:textId="77777777" w:rsidR="00684964" w:rsidRPr="00D75667" w:rsidRDefault="003863B6" w:rsidP="003863B6">
      <w:pPr>
        <w:pStyle w:val="Textoindependiente"/>
        <w:ind w:left="120" w:right="106"/>
        <w:jc w:val="both"/>
        <w:rPr>
          <w:color w:val="000000" w:themeColor="text1"/>
          <w:sz w:val="25"/>
        </w:rPr>
      </w:pPr>
      <w:r w:rsidRPr="00D75667">
        <w:rPr>
          <w:b/>
          <w:bCs/>
          <w:color w:val="000000" w:themeColor="text1"/>
        </w:rPr>
        <w:t xml:space="preserve">REGISTRO ÚNICO DE PROPONENTES – </w:t>
      </w:r>
      <w:r w:rsidR="00684964" w:rsidRPr="00D75667">
        <w:rPr>
          <w:b/>
          <w:bCs/>
          <w:color w:val="000000" w:themeColor="text1"/>
        </w:rPr>
        <w:t>Firmeza de la inscripción</w:t>
      </w:r>
    </w:p>
    <w:p w14:paraId="0200C298" w14:textId="77777777" w:rsidR="00684964" w:rsidRPr="00D75667" w:rsidRDefault="00684964" w:rsidP="00684964">
      <w:pPr>
        <w:pStyle w:val="Textoindependiente"/>
        <w:spacing w:before="2"/>
        <w:rPr>
          <w:color w:val="000000" w:themeColor="text1"/>
          <w:sz w:val="25"/>
        </w:rPr>
      </w:pPr>
    </w:p>
    <w:p w14:paraId="7235E841" w14:textId="77777777" w:rsidR="00684964" w:rsidRPr="00D75667" w:rsidRDefault="00684964" w:rsidP="003863B6">
      <w:pPr>
        <w:pStyle w:val="Textoindependiente"/>
        <w:ind w:left="120" w:right="106"/>
        <w:jc w:val="both"/>
        <w:rPr>
          <w:color w:val="000000" w:themeColor="text1"/>
          <w:sz w:val="20"/>
          <w:szCs w:val="20"/>
        </w:rPr>
      </w:pPr>
      <w:r w:rsidRPr="00D75667">
        <w:rPr>
          <w:color w:val="000000" w:themeColor="text1"/>
          <w:sz w:val="20"/>
          <w:szCs w:val="20"/>
        </w:rPr>
        <w:t xml:space="preserve">La firmeza del acto administrativo de la inscripción del RUP, de acuerdo con el artículo 87 de la Ley 1437 de 2011, procederá: i) desde el día siguiente a la publicación, comunicación o notificación de la decisión sobre los recursos interpuestos, ii) desde el día siguiente al del vencimiento para interponer los recursos, si estos no fueron interpuestos, o se hubieren renunciado expresamente a ellos, iii) desde el día siguiente al de la notificación de la aceptación del desistimiento de los recursos, y, finalmente, v) desde el día siguiente al de la protocolización a que alude el artículo </w:t>
      </w:r>
      <w:hyperlink r:id="rId11" w:anchor="85">
        <w:r w:rsidRPr="00D75667">
          <w:rPr>
            <w:color w:val="000000" w:themeColor="text1"/>
            <w:sz w:val="20"/>
            <w:szCs w:val="20"/>
            <w:u w:val="single" w:color="4E4D4D"/>
          </w:rPr>
          <w:t>85</w:t>
        </w:r>
        <w:r w:rsidRPr="00D75667">
          <w:rPr>
            <w:color w:val="000000" w:themeColor="text1"/>
            <w:sz w:val="20"/>
            <w:szCs w:val="20"/>
          </w:rPr>
          <w:t xml:space="preserve"> </w:t>
        </w:r>
      </w:hyperlink>
      <w:r w:rsidRPr="00D75667">
        <w:rPr>
          <w:color w:val="000000" w:themeColor="text1"/>
          <w:sz w:val="20"/>
          <w:szCs w:val="20"/>
        </w:rPr>
        <w:t>para el silencio administrativo</w:t>
      </w:r>
      <w:r w:rsidRPr="00D75667">
        <w:rPr>
          <w:color w:val="000000" w:themeColor="text1"/>
          <w:spacing w:val="-20"/>
          <w:sz w:val="20"/>
          <w:szCs w:val="20"/>
        </w:rPr>
        <w:t xml:space="preserve"> </w:t>
      </w:r>
      <w:r w:rsidRPr="00D75667">
        <w:rPr>
          <w:color w:val="000000" w:themeColor="text1"/>
          <w:sz w:val="20"/>
          <w:szCs w:val="20"/>
        </w:rPr>
        <w:t>positivo. Conforme a lo anterior, la persona natural o jurídica podrá presentarse a los procesos de contratación cuando el acto administrativo que realiza la inscripción del RUP se encuentra en firme.</w:t>
      </w:r>
    </w:p>
    <w:p w14:paraId="191BF7CF" w14:textId="77777777" w:rsidR="00684964" w:rsidRPr="00D75667" w:rsidRDefault="00684964" w:rsidP="00684964">
      <w:pPr>
        <w:pStyle w:val="Textoindependiente"/>
        <w:spacing w:before="3"/>
        <w:rPr>
          <w:color w:val="000000" w:themeColor="text1"/>
          <w:sz w:val="25"/>
        </w:rPr>
      </w:pPr>
    </w:p>
    <w:p w14:paraId="60FE83DC" w14:textId="77777777" w:rsidR="00684964" w:rsidRPr="00D75667" w:rsidRDefault="003863B6" w:rsidP="003863B6">
      <w:pPr>
        <w:pStyle w:val="Textoindependiente"/>
        <w:ind w:left="120" w:right="106"/>
        <w:jc w:val="both"/>
        <w:rPr>
          <w:color w:val="000000" w:themeColor="text1"/>
          <w:sz w:val="20"/>
        </w:rPr>
      </w:pPr>
      <w:r w:rsidRPr="00D75667">
        <w:rPr>
          <w:b/>
          <w:bCs/>
          <w:color w:val="000000" w:themeColor="text1"/>
        </w:rPr>
        <w:t xml:space="preserve">REGISTRO ÚNICO DE PROPONENTES – </w:t>
      </w:r>
      <w:r w:rsidR="00684964" w:rsidRPr="00D75667">
        <w:rPr>
          <w:b/>
          <w:bCs/>
          <w:color w:val="000000" w:themeColor="text1"/>
        </w:rPr>
        <w:t>Su</w:t>
      </w:r>
      <w:r w:rsidRPr="00D75667">
        <w:rPr>
          <w:b/>
          <w:bCs/>
          <w:color w:val="000000" w:themeColor="text1"/>
        </w:rPr>
        <w:t>bsanabilidad de la inscripción –</w:t>
      </w:r>
      <w:r w:rsidR="00684964" w:rsidRPr="00D75667">
        <w:rPr>
          <w:b/>
          <w:bCs/>
          <w:color w:val="000000" w:themeColor="text1"/>
        </w:rPr>
        <w:t>Procedencia</w:t>
      </w:r>
    </w:p>
    <w:p w14:paraId="1F156996" w14:textId="77777777" w:rsidR="00684964" w:rsidRPr="00D75667" w:rsidRDefault="00684964" w:rsidP="00684964">
      <w:pPr>
        <w:pStyle w:val="Textoindependiente"/>
        <w:ind w:right="109"/>
        <w:jc w:val="both"/>
        <w:rPr>
          <w:color w:val="000000" w:themeColor="text1"/>
        </w:rPr>
      </w:pPr>
    </w:p>
    <w:p w14:paraId="13807118" w14:textId="77777777" w:rsidR="00684964" w:rsidRPr="00D75667" w:rsidRDefault="00684964" w:rsidP="00D75667">
      <w:pPr>
        <w:pStyle w:val="Textoindependiente"/>
        <w:spacing w:after="120"/>
        <w:ind w:left="119" w:right="108"/>
        <w:jc w:val="both"/>
        <w:rPr>
          <w:color w:val="000000" w:themeColor="text1"/>
          <w:sz w:val="20"/>
          <w:szCs w:val="20"/>
        </w:rPr>
      </w:pPr>
      <w:r w:rsidRPr="00D75667">
        <w:rPr>
          <w:color w:val="000000" w:themeColor="text1"/>
          <w:sz w:val="20"/>
          <w:szCs w:val="20"/>
        </w:rPr>
        <w:t xml:space="preserve">La subsanabilidad del acto administrativo de la inscripción del RUP cambia en los siguientes eventos: i) si el acto administrativo de inscripción se expidió por primera vez después del cierre no se podrá subsanar, debido a que el proponente no tenía la capacidad para contratar, ii) si la Cámara de Comercio simplemente expide una copia del acto administrativo de inscripción que estaba en firme con anterioridad al cierre, es posible subsanarlo, porque a pesar de que la copia del acto se expide </w:t>
      </w:r>
      <w:r w:rsidRPr="00D75667">
        <w:rPr>
          <w:color w:val="000000" w:themeColor="text1"/>
          <w:sz w:val="20"/>
          <w:szCs w:val="20"/>
        </w:rPr>
        <w:lastRenderedPageBreak/>
        <w:t>con posterioridad al del cierre, el proponente ya estaba inscrito en el RUP, y no estará acreditando una circunstancia ocurrida con posterioridad al cierre, ya que contaba con esa inscripción al momento del cierre. Finalmente, iii) el proponente podrá subsanar el acto administrativo de inscripción en el RUP si al momento del cierre se le olvidó presentarlo, ya que contaba con ese requisito antes del cierre del</w:t>
      </w:r>
      <w:r w:rsidRPr="00D75667">
        <w:rPr>
          <w:color w:val="000000" w:themeColor="text1"/>
          <w:spacing w:val="-6"/>
          <w:sz w:val="20"/>
          <w:szCs w:val="20"/>
        </w:rPr>
        <w:t xml:space="preserve"> </w:t>
      </w:r>
      <w:r w:rsidRPr="00D75667">
        <w:rPr>
          <w:color w:val="000000" w:themeColor="text1"/>
          <w:sz w:val="20"/>
          <w:szCs w:val="20"/>
        </w:rPr>
        <w:t>proceso.</w:t>
      </w:r>
    </w:p>
    <w:p w14:paraId="417F51C7" w14:textId="77777777" w:rsidR="00684964" w:rsidRPr="00D75667" w:rsidRDefault="00684964">
      <w:pPr>
        <w:spacing w:before="93"/>
        <w:ind w:left="120"/>
        <w:rPr>
          <w:color w:val="000000" w:themeColor="text1"/>
          <w:sz w:val="20"/>
          <w:szCs w:val="20"/>
        </w:rPr>
      </w:pPr>
    </w:p>
    <w:p w14:paraId="4C7111A4" w14:textId="77777777" w:rsidR="00FB52E2" w:rsidRPr="00D75667" w:rsidRDefault="00417C33">
      <w:pPr>
        <w:spacing w:before="93"/>
        <w:ind w:left="120"/>
        <w:rPr>
          <w:b/>
          <w:color w:val="000000" w:themeColor="text1"/>
        </w:rPr>
      </w:pPr>
      <w:r w:rsidRPr="00D75667">
        <w:rPr>
          <w:color w:val="000000" w:themeColor="text1"/>
        </w:rPr>
        <w:t xml:space="preserve">Bogotá D.C., </w:t>
      </w:r>
      <w:r w:rsidRPr="00D75667">
        <w:rPr>
          <w:b/>
          <w:color w:val="000000" w:themeColor="text1"/>
        </w:rPr>
        <w:t>20/08/2019 Hora 17:58:9s</w:t>
      </w:r>
    </w:p>
    <w:p w14:paraId="28BE8BF5" w14:textId="77777777" w:rsidR="00FB52E2" w:rsidRPr="00D75667" w:rsidRDefault="00FB52E2">
      <w:pPr>
        <w:pStyle w:val="Textoindependiente"/>
        <w:spacing w:before="10"/>
        <w:rPr>
          <w:b/>
          <w:color w:val="000000" w:themeColor="text1"/>
          <w:sz w:val="21"/>
        </w:rPr>
      </w:pPr>
    </w:p>
    <w:p w14:paraId="310C0581" w14:textId="77777777" w:rsidR="00BF638D" w:rsidRPr="00D75667" w:rsidRDefault="00BF638D" w:rsidP="00BF638D">
      <w:pPr>
        <w:pStyle w:val="Ttulo1"/>
        <w:ind w:left="120" w:firstLine="0"/>
        <w:jc w:val="right"/>
        <w:rPr>
          <w:color w:val="000000" w:themeColor="text1"/>
        </w:rPr>
      </w:pPr>
      <w:r w:rsidRPr="00D75667">
        <w:rPr>
          <w:color w:val="000000" w:themeColor="text1"/>
        </w:rPr>
        <w:t>N° Radicado: 2201913000006027</w:t>
      </w:r>
    </w:p>
    <w:p w14:paraId="353BF4FD" w14:textId="77777777" w:rsidR="00BF638D" w:rsidRPr="00D75667" w:rsidRDefault="00BF638D">
      <w:pPr>
        <w:pStyle w:val="Textoindependiente"/>
        <w:spacing w:before="10"/>
        <w:rPr>
          <w:b/>
          <w:color w:val="000000" w:themeColor="text1"/>
          <w:sz w:val="21"/>
        </w:rPr>
      </w:pPr>
    </w:p>
    <w:p w14:paraId="5832608E" w14:textId="77777777" w:rsidR="00FB52E2" w:rsidRPr="00D75667" w:rsidRDefault="00417C33">
      <w:pPr>
        <w:pStyle w:val="Textoindependiente"/>
        <w:spacing w:line="253" w:lineRule="exact"/>
        <w:ind w:left="120"/>
        <w:rPr>
          <w:color w:val="000000" w:themeColor="text1"/>
        </w:rPr>
      </w:pPr>
      <w:r w:rsidRPr="00D75667">
        <w:rPr>
          <w:color w:val="000000" w:themeColor="text1"/>
        </w:rPr>
        <w:t>Señor</w:t>
      </w:r>
    </w:p>
    <w:p w14:paraId="1FAF0ED7" w14:textId="77777777" w:rsidR="00FB52E2" w:rsidRPr="00D75667" w:rsidRDefault="00417C33">
      <w:pPr>
        <w:pStyle w:val="Ttulo1"/>
        <w:spacing w:line="253" w:lineRule="exact"/>
        <w:ind w:left="120" w:firstLine="0"/>
        <w:rPr>
          <w:color w:val="000000" w:themeColor="text1"/>
        </w:rPr>
      </w:pPr>
      <w:r w:rsidRPr="00D75667">
        <w:rPr>
          <w:color w:val="000000" w:themeColor="text1"/>
        </w:rPr>
        <w:t>Carlos Alberto Pabón Mahecha</w:t>
      </w:r>
    </w:p>
    <w:p w14:paraId="19D90D1F" w14:textId="77777777" w:rsidR="00FB52E2" w:rsidRPr="00D75667" w:rsidRDefault="00417C33">
      <w:pPr>
        <w:pStyle w:val="Textoindependiente"/>
        <w:spacing w:before="2"/>
        <w:ind w:left="120"/>
        <w:rPr>
          <w:color w:val="000000" w:themeColor="text1"/>
        </w:rPr>
      </w:pPr>
      <w:r w:rsidRPr="00D75667">
        <w:rPr>
          <w:color w:val="000000" w:themeColor="text1"/>
        </w:rPr>
        <w:t>Ciudad</w:t>
      </w:r>
    </w:p>
    <w:p w14:paraId="36D92EE3" w14:textId="77777777" w:rsidR="00BF638D" w:rsidRPr="00D75667" w:rsidRDefault="00BF638D">
      <w:pPr>
        <w:pStyle w:val="Textoindependiente"/>
        <w:spacing w:before="2"/>
        <w:ind w:left="120"/>
        <w:rPr>
          <w:color w:val="000000" w:themeColor="text1"/>
        </w:rPr>
      </w:pPr>
    </w:p>
    <w:p w14:paraId="44E87F06" w14:textId="77777777" w:rsidR="00FB52E2" w:rsidRPr="00D75667" w:rsidRDefault="00FB52E2">
      <w:pPr>
        <w:pStyle w:val="Textoindependiente"/>
        <w:rPr>
          <w:color w:val="000000" w:themeColor="text1"/>
          <w:sz w:val="30"/>
        </w:rPr>
      </w:pPr>
    </w:p>
    <w:p w14:paraId="265DEABD" w14:textId="77777777" w:rsidR="00FB52E2" w:rsidRPr="00D75667" w:rsidRDefault="00FB52E2">
      <w:pPr>
        <w:pStyle w:val="Textoindependiente"/>
        <w:rPr>
          <w:b/>
          <w:color w:val="000000" w:themeColor="text1"/>
          <w:sz w:val="20"/>
        </w:rPr>
      </w:pPr>
    </w:p>
    <w:p w14:paraId="7C031B2A" w14:textId="77777777" w:rsidR="00FB52E2" w:rsidRPr="00D75667" w:rsidRDefault="00FB52E2">
      <w:pPr>
        <w:pStyle w:val="Textoindependiente"/>
        <w:spacing w:before="9"/>
        <w:rPr>
          <w:b/>
          <w:color w:val="000000" w:themeColor="text1"/>
          <w:sz w:val="15"/>
        </w:rPr>
      </w:pPr>
    </w:p>
    <w:p w14:paraId="1E36178A" w14:textId="77777777" w:rsidR="00FB52E2" w:rsidRPr="00D75667" w:rsidRDefault="00417C33">
      <w:pPr>
        <w:tabs>
          <w:tab w:val="left" w:pos="3660"/>
        </w:tabs>
        <w:spacing w:before="93" w:line="253" w:lineRule="exact"/>
        <w:ind w:left="120"/>
        <w:jc w:val="both"/>
        <w:rPr>
          <w:color w:val="000000" w:themeColor="text1"/>
        </w:rPr>
      </w:pPr>
      <w:r w:rsidRPr="00D75667">
        <w:rPr>
          <w:b/>
          <w:color w:val="000000" w:themeColor="text1"/>
        </w:rPr>
        <w:t>Radicación:</w:t>
      </w:r>
      <w:r w:rsidRPr="00D75667">
        <w:rPr>
          <w:b/>
          <w:color w:val="000000" w:themeColor="text1"/>
        </w:rPr>
        <w:tab/>
      </w:r>
      <w:r w:rsidRPr="00D75667">
        <w:rPr>
          <w:color w:val="000000" w:themeColor="text1"/>
        </w:rPr>
        <w:t>Respuesta a consulta #</w:t>
      </w:r>
      <w:r w:rsidRPr="00D75667">
        <w:rPr>
          <w:color w:val="000000" w:themeColor="text1"/>
          <w:spacing w:val="-7"/>
        </w:rPr>
        <w:t xml:space="preserve"> </w:t>
      </w:r>
      <w:r w:rsidRPr="00D75667">
        <w:rPr>
          <w:color w:val="000000" w:themeColor="text1"/>
        </w:rPr>
        <w:t>4201913000004599</w:t>
      </w:r>
    </w:p>
    <w:p w14:paraId="1C31D796" w14:textId="77777777" w:rsidR="00FB52E2" w:rsidRPr="00D75667" w:rsidRDefault="00417C33">
      <w:pPr>
        <w:tabs>
          <w:tab w:val="left" w:pos="3660"/>
        </w:tabs>
        <w:spacing w:line="253" w:lineRule="exact"/>
        <w:ind w:left="120"/>
        <w:jc w:val="both"/>
        <w:rPr>
          <w:color w:val="000000" w:themeColor="text1"/>
        </w:rPr>
      </w:pPr>
      <w:r w:rsidRPr="00D75667">
        <w:rPr>
          <w:b/>
          <w:color w:val="000000" w:themeColor="text1"/>
        </w:rPr>
        <w:t>Temas:</w:t>
      </w:r>
      <w:r w:rsidRPr="00D75667">
        <w:rPr>
          <w:b/>
          <w:color w:val="000000" w:themeColor="text1"/>
        </w:rPr>
        <w:tab/>
      </w:r>
      <w:r w:rsidRPr="00D75667">
        <w:rPr>
          <w:color w:val="000000" w:themeColor="text1"/>
        </w:rPr>
        <w:t>RUP</w:t>
      </w:r>
    </w:p>
    <w:p w14:paraId="3F284FC9" w14:textId="77777777" w:rsidR="00FB52E2" w:rsidRPr="00D75667" w:rsidRDefault="00417C33">
      <w:pPr>
        <w:tabs>
          <w:tab w:val="left" w:pos="3660"/>
        </w:tabs>
        <w:spacing w:before="2" w:line="480" w:lineRule="auto"/>
        <w:ind w:left="120" w:right="690"/>
        <w:jc w:val="both"/>
        <w:rPr>
          <w:color w:val="000000" w:themeColor="text1"/>
        </w:rPr>
      </w:pPr>
      <w:r w:rsidRPr="00D75667">
        <w:rPr>
          <w:b/>
          <w:color w:val="000000" w:themeColor="text1"/>
        </w:rPr>
        <w:t>Tipo de</w:t>
      </w:r>
      <w:r w:rsidRPr="00D75667">
        <w:rPr>
          <w:b/>
          <w:color w:val="000000" w:themeColor="text1"/>
          <w:spacing w:val="-4"/>
        </w:rPr>
        <w:t xml:space="preserve"> </w:t>
      </w:r>
      <w:r w:rsidRPr="00D75667">
        <w:rPr>
          <w:b/>
          <w:color w:val="000000" w:themeColor="text1"/>
        </w:rPr>
        <w:t>asunto</w:t>
      </w:r>
      <w:r w:rsidRPr="00D75667">
        <w:rPr>
          <w:b/>
          <w:color w:val="000000" w:themeColor="text1"/>
          <w:spacing w:val="-2"/>
        </w:rPr>
        <w:t xml:space="preserve"> </w:t>
      </w:r>
      <w:r w:rsidRPr="00D75667">
        <w:rPr>
          <w:b/>
          <w:color w:val="000000" w:themeColor="text1"/>
        </w:rPr>
        <w:t>consultado:</w:t>
      </w:r>
      <w:r w:rsidRPr="00D75667">
        <w:rPr>
          <w:b/>
          <w:color w:val="000000" w:themeColor="text1"/>
        </w:rPr>
        <w:tab/>
      </w:r>
      <w:r w:rsidRPr="00D75667">
        <w:rPr>
          <w:color w:val="000000" w:themeColor="text1"/>
        </w:rPr>
        <w:t>Firmeza del Registro Único del Proponente- RUP Estimado señor</w:t>
      </w:r>
      <w:r w:rsidRPr="00D75667">
        <w:rPr>
          <w:color w:val="000000" w:themeColor="text1"/>
          <w:spacing w:val="-4"/>
        </w:rPr>
        <w:t xml:space="preserve"> </w:t>
      </w:r>
      <w:r w:rsidRPr="00D75667">
        <w:rPr>
          <w:color w:val="000000" w:themeColor="text1"/>
        </w:rPr>
        <w:t>Pabón,</w:t>
      </w:r>
    </w:p>
    <w:p w14:paraId="0889B800" w14:textId="77777777" w:rsidR="00FB52E2" w:rsidRPr="00D75667" w:rsidRDefault="00417C33">
      <w:pPr>
        <w:pStyle w:val="Textoindependiente"/>
        <w:ind w:left="120" w:right="106"/>
        <w:jc w:val="both"/>
        <w:rPr>
          <w:color w:val="000000" w:themeColor="text1"/>
        </w:rPr>
      </w:pPr>
      <w:r w:rsidRPr="00D75667">
        <w:rPr>
          <w:color w:val="000000" w:themeColor="text1"/>
        </w:rPr>
        <w:t>La Agencia Nacional de Contratación Pública - Colombia Compra Eficiente responde su consulta del 10 de julio de 2019 en ejercicio de la competencia otorgada por el numeral 5 del artículo 3 y numeral 8 del artículo 11 del Decreto 4170 de 2011.</w:t>
      </w:r>
    </w:p>
    <w:p w14:paraId="266493A5" w14:textId="77777777" w:rsidR="00FB52E2" w:rsidRPr="00D75667" w:rsidRDefault="00FB52E2">
      <w:pPr>
        <w:pStyle w:val="Textoindependiente"/>
        <w:spacing w:before="11"/>
        <w:rPr>
          <w:color w:val="000000" w:themeColor="text1"/>
          <w:sz w:val="21"/>
        </w:rPr>
      </w:pPr>
    </w:p>
    <w:p w14:paraId="7B80EAE4" w14:textId="77777777" w:rsidR="00FB52E2" w:rsidRPr="00D75667" w:rsidRDefault="00417C33">
      <w:pPr>
        <w:pStyle w:val="Ttulo1"/>
        <w:numPr>
          <w:ilvl w:val="0"/>
          <w:numId w:val="2"/>
        </w:numPr>
        <w:tabs>
          <w:tab w:val="left" w:pos="766"/>
        </w:tabs>
        <w:ind w:hanging="361"/>
        <w:rPr>
          <w:color w:val="000000" w:themeColor="text1"/>
          <w:sz w:val="20"/>
        </w:rPr>
      </w:pPr>
      <w:r w:rsidRPr="00D75667">
        <w:rPr>
          <w:color w:val="000000" w:themeColor="text1"/>
        </w:rPr>
        <w:t>Problema</w:t>
      </w:r>
      <w:r w:rsidRPr="00D75667">
        <w:rPr>
          <w:color w:val="000000" w:themeColor="text1"/>
          <w:spacing w:val="-2"/>
        </w:rPr>
        <w:t xml:space="preserve"> </w:t>
      </w:r>
      <w:r w:rsidRPr="00D75667">
        <w:rPr>
          <w:color w:val="000000" w:themeColor="text1"/>
        </w:rPr>
        <w:t>Planteado</w:t>
      </w:r>
    </w:p>
    <w:p w14:paraId="1BC037BF" w14:textId="77777777" w:rsidR="00FB52E2" w:rsidRPr="00D75667" w:rsidRDefault="00FB52E2">
      <w:pPr>
        <w:pStyle w:val="Textoindependiente"/>
        <w:spacing w:before="10"/>
        <w:rPr>
          <w:b/>
          <w:color w:val="000000" w:themeColor="text1"/>
          <w:sz w:val="21"/>
        </w:rPr>
      </w:pPr>
    </w:p>
    <w:p w14:paraId="38276B3C" w14:textId="77777777" w:rsidR="00FB52E2" w:rsidRPr="00D75667" w:rsidRDefault="00417C33">
      <w:pPr>
        <w:pStyle w:val="Textoindependiente"/>
        <w:spacing w:before="1"/>
        <w:ind w:left="120" w:right="107"/>
        <w:jc w:val="both"/>
        <w:rPr>
          <w:color w:val="000000" w:themeColor="text1"/>
        </w:rPr>
      </w:pPr>
      <w:r w:rsidRPr="00D75667">
        <w:rPr>
          <w:color w:val="000000" w:themeColor="text1"/>
        </w:rPr>
        <w:t>“¿Para un concurso de méritos el Registro Único de Proponentes debe estar en firme máximo hasta el traslado de la evaluación de los procesos, de lo contrario no cumpliría con los requisitos mínimos habilitantes, de acuerdo a lo establecido en la Ley 1882 del 15 de Enero de 2018?”</w:t>
      </w:r>
    </w:p>
    <w:p w14:paraId="5B49B643" w14:textId="77777777" w:rsidR="00FB52E2" w:rsidRPr="00D75667" w:rsidRDefault="00FB52E2">
      <w:pPr>
        <w:pStyle w:val="Textoindependiente"/>
        <w:rPr>
          <w:color w:val="000000" w:themeColor="text1"/>
        </w:rPr>
      </w:pPr>
    </w:p>
    <w:p w14:paraId="35E1FD89" w14:textId="77777777" w:rsidR="00FB52E2" w:rsidRPr="00D75667" w:rsidRDefault="00417C33">
      <w:pPr>
        <w:pStyle w:val="Ttulo1"/>
        <w:numPr>
          <w:ilvl w:val="0"/>
          <w:numId w:val="2"/>
        </w:numPr>
        <w:tabs>
          <w:tab w:val="left" w:pos="766"/>
        </w:tabs>
        <w:ind w:hanging="361"/>
        <w:rPr>
          <w:color w:val="000000" w:themeColor="text1"/>
        </w:rPr>
      </w:pPr>
      <w:r w:rsidRPr="00D75667">
        <w:rPr>
          <w:color w:val="000000" w:themeColor="text1"/>
        </w:rPr>
        <w:t>Consideraciones</w:t>
      </w:r>
    </w:p>
    <w:p w14:paraId="39C83867" w14:textId="77777777" w:rsidR="00FB52E2" w:rsidRPr="00D75667" w:rsidRDefault="00FB52E2">
      <w:pPr>
        <w:pStyle w:val="Textoindependiente"/>
        <w:spacing w:before="2"/>
        <w:rPr>
          <w:b/>
          <w:color w:val="000000" w:themeColor="text1"/>
        </w:rPr>
      </w:pPr>
    </w:p>
    <w:p w14:paraId="512893C5" w14:textId="77777777" w:rsidR="00FB52E2" w:rsidRPr="00D75667" w:rsidRDefault="00417C33">
      <w:pPr>
        <w:pStyle w:val="Textoindependiente"/>
        <w:spacing w:line="276" w:lineRule="auto"/>
        <w:ind w:left="120" w:right="110"/>
        <w:jc w:val="both"/>
        <w:rPr>
          <w:color w:val="000000" w:themeColor="text1"/>
        </w:rPr>
      </w:pPr>
      <w:bookmarkStart w:id="1" w:name="_Hlk36631569"/>
      <w:r w:rsidRPr="00D75667">
        <w:rPr>
          <w:color w:val="000000" w:themeColor="text1"/>
        </w:rPr>
        <w:t>La Ley 1150 de 2007, en el artículo 6</w:t>
      </w:r>
      <w:r w:rsidR="00BF638D" w:rsidRPr="00D75667">
        <w:rPr>
          <w:rStyle w:val="Refdenotaalpie"/>
          <w:color w:val="000000" w:themeColor="text1"/>
        </w:rPr>
        <w:footnoteReference w:id="1"/>
      </w:r>
      <w:r w:rsidRPr="00D75667">
        <w:rPr>
          <w:color w:val="000000" w:themeColor="text1"/>
        </w:rPr>
        <w:t>, establece como obligación para las personas naturales o jurídicas que aspiran celebrar contratos con las entidades estatales estar inscritas en el Registro Único de Proponentes. Esta obligación se reiteró por el artículo 2.2.1.1.1.5.1 del Decreto 1082 de 2015, al establecer que:</w:t>
      </w:r>
    </w:p>
    <w:p w14:paraId="59B18D64" w14:textId="77777777" w:rsidR="00FB52E2" w:rsidRPr="00D75667" w:rsidRDefault="00FB52E2">
      <w:pPr>
        <w:pStyle w:val="Textoindependiente"/>
        <w:spacing w:before="3"/>
        <w:rPr>
          <w:color w:val="000000" w:themeColor="text1"/>
          <w:sz w:val="25"/>
        </w:rPr>
      </w:pPr>
    </w:p>
    <w:p w14:paraId="0B8A152A" w14:textId="77777777" w:rsidR="00FB52E2" w:rsidRPr="00D75667" w:rsidRDefault="00417C33">
      <w:pPr>
        <w:pStyle w:val="Textoindependiente"/>
        <w:spacing w:before="1" w:line="276" w:lineRule="auto"/>
        <w:ind w:left="828" w:right="819"/>
        <w:jc w:val="both"/>
        <w:rPr>
          <w:color w:val="000000" w:themeColor="text1"/>
        </w:rPr>
      </w:pPr>
      <w:r w:rsidRPr="00D75667">
        <w:rPr>
          <w:color w:val="000000" w:themeColor="text1"/>
        </w:rPr>
        <w:t xml:space="preserve">Las personas naturales y jurídicas, nacionales o extranjeras, con domicilio en </w:t>
      </w:r>
      <w:r w:rsidRPr="00D75667">
        <w:rPr>
          <w:color w:val="000000" w:themeColor="text1"/>
        </w:rPr>
        <w:lastRenderedPageBreak/>
        <w:t>Colombia, interesadas en participar en Procesos de Contratación convocados por las Entidades Estatales, deben estar inscritas en el RUP, salvo las excepciones previstas de forma taxativa en la</w:t>
      </w:r>
      <w:r w:rsidRPr="00D75667">
        <w:rPr>
          <w:color w:val="000000" w:themeColor="text1"/>
          <w:spacing w:val="-11"/>
        </w:rPr>
        <w:t xml:space="preserve"> </w:t>
      </w:r>
      <w:r w:rsidRPr="00D75667">
        <w:rPr>
          <w:color w:val="000000" w:themeColor="text1"/>
        </w:rPr>
        <w:t>ley.</w:t>
      </w:r>
    </w:p>
    <w:p w14:paraId="4B5AABF2" w14:textId="77777777" w:rsidR="00FB52E2" w:rsidRPr="00D75667" w:rsidRDefault="00FB52E2">
      <w:pPr>
        <w:pStyle w:val="Textoindependiente"/>
        <w:rPr>
          <w:color w:val="000000" w:themeColor="text1"/>
          <w:sz w:val="20"/>
        </w:rPr>
      </w:pPr>
    </w:p>
    <w:p w14:paraId="70834BE3" w14:textId="77777777" w:rsidR="00FB52E2" w:rsidRPr="00D75667" w:rsidRDefault="00417C33">
      <w:pPr>
        <w:pStyle w:val="Textoindependiente"/>
        <w:spacing w:before="83" w:line="276" w:lineRule="auto"/>
        <w:ind w:left="120" w:right="113"/>
        <w:jc w:val="both"/>
        <w:rPr>
          <w:color w:val="000000" w:themeColor="text1"/>
        </w:rPr>
      </w:pPr>
      <w:r w:rsidRPr="00D75667">
        <w:rPr>
          <w:color w:val="000000" w:themeColor="text1"/>
        </w:rPr>
        <w:t>En este sentido, las personas naturales o jurídicas que aspiren celebrar contratos con entidades estatales deben estar inscritas en el Registro Único de Proponentes, al momento de presentar oferta en un proceso de contratación.</w:t>
      </w:r>
    </w:p>
    <w:p w14:paraId="78032FA8" w14:textId="77777777" w:rsidR="00FB52E2" w:rsidRPr="00D75667" w:rsidRDefault="00FB52E2">
      <w:pPr>
        <w:pStyle w:val="Textoindependiente"/>
        <w:spacing w:before="2"/>
        <w:rPr>
          <w:color w:val="000000" w:themeColor="text1"/>
          <w:sz w:val="25"/>
        </w:rPr>
      </w:pPr>
    </w:p>
    <w:p w14:paraId="2D484B53" w14:textId="77777777" w:rsidR="00FB52E2" w:rsidRPr="00D75667" w:rsidRDefault="00417C33">
      <w:pPr>
        <w:pStyle w:val="Textoindependiente"/>
        <w:spacing w:line="276" w:lineRule="auto"/>
        <w:ind w:left="120" w:right="104"/>
        <w:jc w:val="both"/>
        <w:rPr>
          <w:color w:val="000000" w:themeColor="text1"/>
        </w:rPr>
      </w:pPr>
      <w:r w:rsidRPr="00D75667">
        <w:rPr>
          <w:color w:val="000000" w:themeColor="text1"/>
        </w:rPr>
        <w:t>Ahora, el numeral 6.1 del artículo 6 de la Ley 1150 de 2007 dispone que la Cámara de Comercio realizará la verificación documental de la información presentada por los interesados al momento de inscribirse en el RUP</w:t>
      </w:r>
      <w:r w:rsidR="00BF638D" w:rsidRPr="00D75667">
        <w:rPr>
          <w:rStyle w:val="Refdenotaalpie"/>
          <w:color w:val="000000" w:themeColor="text1"/>
        </w:rPr>
        <w:footnoteReference w:id="2"/>
      </w:r>
      <w:r w:rsidRPr="00D75667">
        <w:rPr>
          <w:color w:val="000000" w:themeColor="text1"/>
        </w:rPr>
        <w:t xml:space="preserve">. Por su parte, el artículo 2.2.1.1.1.1.5.2 </w:t>
      </w:r>
      <w:r w:rsidRPr="00D75667">
        <w:rPr>
          <w:color w:val="000000" w:themeColor="text1"/>
        </w:rPr>
        <w:lastRenderedPageBreak/>
        <w:t>del Decreto 1082 de 2015 relaciona los documentos que debe aportar tanto la persona natural como jurídica para inscribirse en del Registro Único de Proponentes: i) certificados de experiencia, ii) identificación de los bienes y servicios que ofrecerá a las entidades estatales, identificados con el Clasificador de Bienes y Servicios en el tercer nivel, ii) si la persona debe llevar contabilidad, copia de la información contable del último año exigida por las normas tributarias, entre otros.</w:t>
      </w:r>
    </w:p>
    <w:p w14:paraId="14775FAD" w14:textId="77777777" w:rsidR="00FB52E2" w:rsidRPr="00D75667" w:rsidRDefault="00FB52E2">
      <w:pPr>
        <w:pStyle w:val="Textoindependiente"/>
        <w:spacing w:before="4"/>
        <w:rPr>
          <w:color w:val="000000" w:themeColor="text1"/>
          <w:sz w:val="25"/>
        </w:rPr>
      </w:pPr>
    </w:p>
    <w:p w14:paraId="429E24AC" w14:textId="77777777" w:rsidR="00FB52E2" w:rsidRPr="00D75667" w:rsidRDefault="00417C33">
      <w:pPr>
        <w:pStyle w:val="Textoindependiente"/>
        <w:spacing w:line="276" w:lineRule="auto"/>
        <w:ind w:left="120" w:right="110"/>
        <w:jc w:val="both"/>
        <w:rPr>
          <w:color w:val="000000" w:themeColor="text1"/>
        </w:rPr>
      </w:pPr>
      <w:r w:rsidRPr="00D75667">
        <w:rPr>
          <w:color w:val="000000" w:themeColor="text1"/>
        </w:rPr>
        <w:t>Con fundamento en estos, la Cámara de Comercio, de acuerdo con el artículo 2.2.1.1.1.5.3 del Decreto 1082 de 2015, verificará y certificará los requisitos habilitantes de experiencia, capacidad jurídica, capacidad financiera.</w:t>
      </w:r>
    </w:p>
    <w:p w14:paraId="47F1B67F" w14:textId="77777777" w:rsidR="00FB52E2" w:rsidRPr="00D75667" w:rsidRDefault="00FB52E2">
      <w:pPr>
        <w:pStyle w:val="Textoindependiente"/>
        <w:spacing w:before="3"/>
        <w:rPr>
          <w:color w:val="000000" w:themeColor="text1"/>
          <w:sz w:val="25"/>
        </w:rPr>
      </w:pPr>
    </w:p>
    <w:p w14:paraId="1EF30213" w14:textId="77777777" w:rsidR="00FB52E2" w:rsidRPr="00D75667" w:rsidRDefault="00417C33" w:rsidP="00BF638D">
      <w:pPr>
        <w:pStyle w:val="Textoindependiente"/>
        <w:spacing w:line="278" w:lineRule="auto"/>
        <w:ind w:left="120" w:right="110"/>
        <w:jc w:val="both"/>
        <w:rPr>
          <w:color w:val="000000" w:themeColor="text1"/>
        </w:rPr>
      </w:pPr>
      <w:r w:rsidRPr="00D75667">
        <w:rPr>
          <w:color w:val="000000" w:themeColor="text1"/>
        </w:rPr>
        <w:t>En este sentido, de acuerdo con lo establecido en el numeral 6.3</w:t>
      </w:r>
      <w:r w:rsidR="00BF638D" w:rsidRPr="00D75667">
        <w:rPr>
          <w:rStyle w:val="Refdenotaalpie"/>
          <w:color w:val="000000" w:themeColor="text1"/>
        </w:rPr>
        <w:footnoteReference w:id="3"/>
      </w:r>
      <w:r w:rsidRPr="00D75667">
        <w:rPr>
          <w:color w:val="000000" w:themeColor="text1"/>
        </w:rPr>
        <w:t>, artículo 6, de la Ley 1150 de 2007, la Cámara de Comercio verificada la información aportada por el</w:t>
      </w:r>
      <w:r w:rsidR="00BF638D" w:rsidRPr="00D75667">
        <w:rPr>
          <w:color w:val="000000" w:themeColor="text1"/>
        </w:rPr>
        <w:t xml:space="preserve"> </w:t>
      </w:r>
      <w:r w:rsidRPr="00D75667">
        <w:rPr>
          <w:color w:val="000000" w:themeColor="text1"/>
        </w:rPr>
        <w:t xml:space="preserve">proponente, publicará el acto de inscripción del Registro Único de Proponentes, contra el cual la persona podrá interponer recurso de reposición dentro de los diez (10) días siguientes contados a partir de su publicación. En firme el acto administrativo que realiza la inscripción del Registro Único de Proponentes se podrá demandar su nulidad sin que la presentación de la demanda </w:t>
      </w:r>
      <w:r w:rsidRPr="00D75667">
        <w:rPr>
          <w:color w:val="000000" w:themeColor="text1"/>
        </w:rPr>
        <w:lastRenderedPageBreak/>
        <w:t>suspenda la inscripción del Registro Único de Proponentes.</w:t>
      </w:r>
    </w:p>
    <w:p w14:paraId="76D4AF19" w14:textId="77777777" w:rsidR="00FB52E2" w:rsidRPr="00D75667" w:rsidRDefault="00FB52E2">
      <w:pPr>
        <w:pStyle w:val="Textoindependiente"/>
        <w:spacing w:before="2"/>
        <w:rPr>
          <w:color w:val="000000" w:themeColor="text1"/>
          <w:sz w:val="25"/>
        </w:rPr>
      </w:pPr>
    </w:p>
    <w:p w14:paraId="584E513C" w14:textId="77777777" w:rsidR="00FB52E2" w:rsidRPr="00D75667" w:rsidRDefault="00417C33">
      <w:pPr>
        <w:pStyle w:val="Textoindependiente"/>
        <w:spacing w:line="276" w:lineRule="auto"/>
        <w:ind w:left="120" w:right="103"/>
        <w:jc w:val="both"/>
        <w:rPr>
          <w:color w:val="000000" w:themeColor="text1"/>
        </w:rPr>
      </w:pPr>
      <w:r w:rsidRPr="00D75667">
        <w:rPr>
          <w:color w:val="000000" w:themeColor="text1"/>
        </w:rPr>
        <w:t xml:space="preserve">La firmeza del acto administrativo de la inscripción del RUP, de acuerdo con el artículo 87 de la Ley 1437 de 2011, procederá: i) desde el día siguiente a la publicación, comunicación o notificación de la decisión sobre los recursos interpuestos, ii) desde el día siguiente al del vencimiento para interponer los recursos, si estos no fueron interpuestos, o se hubieren renunciado expresamente a ellos, iii) desde el día siguiente al de la notificación de la aceptación del desistimiento de los recursos, y, finalmente, v) desde el día siguiente al de la protocolización a que alude el artículo </w:t>
      </w:r>
      <w:hyperlink r:id="rId12" w:anchor="85">
        <w:r w:rsidRPr="00D75667">
          <w:rPr>
            <w:rFonts w:ascii="Calibri" w:hAnsi="Calibri"/>
            <w:color w:val="000000" w:themeColor="text1"/>
            <w:sz w:val="24"/>
            <w:u w:val="single" w:color="4E4D4D"/>
          </w:rPr>
          <w:t>85</w:t>
        </w:r>
        <w:r w:rsidRPr="00D75667">
          <w:rPr>
            <w:rFonts w:ascii="Calibri" w:hAnsi="Calibri"/>
            <w:color w:val="000000" w:themeColor="text1"/>
            <w:sz w:val="24"/>
          </w:rPr>
          <w:t xml:space="preserve"> </w:t>
        </w:r>
      </w:hyperlink>
      <w:r w:rsidRPr="00D75667">
        <w:rPr>
          <w:color w:val="000000" w:themeColor="text1"/>
        </w:rPr>
        <w:t>para el silencio administrativo</w:t>
      </w:r>
      <w:r w:rsidRPr="00D75667">
        <w:rPr>
          <w:color w:val="000000" w:themeColor="text1"/>
          <w:spacing w:val="-20"/>
        </w:rPr>
        <w:t xml:space="preserve"> </w:t>
      </w:r>
      <w:r w:rsidRPr="00D75667">
        <w:rPr>
          <w:color w:val="000000" w:themeColor="text1"/>
        </w:rPr>
        <w:t>positivo.</w:t>
      </w:r>
    </w:p>
    <w:p w14:paraId="4F8F4E14" w14:textId="77777777" w:rsidR="00FB52E2" w:rsidRPr="00D75667" w:rsidRDefault="00FB52E2">
      <w:pPr>
        <w:pStyle w:val="Textoindependiente"/>
        <w:spacing w:before="2"/>
        <w:rPr>
          <w:color w:val="000000" w:themeColor="text1"/>
          <w:sz w:val="17"/>
        </w:rPr>
      </w:pPr>
    </w:p>
    <w:p w14:paraId="47B32297" w14:textId="77777777" w:rsidR="00FB52E2" w:rsidRPr="00D75667" w:rsidRDefault="00417C33" w:rsidP="00BF638D">
      <w:pPr>
        <w:pStyle w:val="Textoindependiente"/>
        <w:spacing w:before="93" w:line="276" w:lineRule="auto"/>
        <w:ind w:left="120" w:right="107"/>
        <w:jc w:val="both"/>
        <w:rPr>
          <w:color w:val="000000" w:themeColor="text1"/>
        </w:rPr>
      </w:pPr>
      <w:r w:rsidRPr="00D75667">
        <w:rPr>
          <w:color w:val="000000" w:themeColor="text1"/>
        </w:rPr>
        <w:t>Conforme a lo anterior, la persona natural o jurídica podrá presentarse a los procesos de contratación cuando el acto administrativo que realiza la inscripción del RUP se encuentra en firme, porque es un requisito para las personas naturales y jurídicas, nacionales o extranjeras con domicilio en Colombia, que aspiran celebrar contratos con las entidades</w:t>
      </w:r>
      <w:r w:rsidR="00BF638D" w:rsidRPr="00D75667">
        <w:rPr>
          <w:color w:val="000000" w:themeColor="text1"/>
        </w:rPr>
        <w:t xml:space="preserve"> </w:t>
      </w:r>
      <w:r w:rsidRPr="00D75667">
        <w:rPr>
          <w:color w:val="000000" w:themeColor="text1"/>
        </w:rPr>
        <w:t>estatales, estar inscritas en el RUP, salvo las excepciones previstas de forma taxativa en la ley.</w:t>
      </w:r>
    </w:p>
    <w:p w14:paraId="3E42E614" w14:textId="77777777" w:rsidR="00FB52E2" w:rsidRPr="00D75667" w:rsidRDefault="00FB52E2">
      <w:pPr>
        <w:pStyle w:val="Textoindependiente"/>
        <w:spacing w:before="3"/>
        <w:rPr>
          <w:color w:val="000000" w:themeColor="text1"/>
          <w:sz w:val="25"/>
        </w:rPr>
      </w:pPr>
    </w:p>
    <w:p w14:paraId="27816456" w14:textId="77777777" w:rsidR="00FB52E2" w:rsidRPr="00D75667" w:rsidRDefault="00417C33">
      <w:pPr>
        <w:pStyle w:val="Textoindependiente"/>
        <w:spacing w:line="276" w:lineRule="auto"/>
        <w:ind w:left="120" w:right="109"/>
        <w:jc w:val="both"/>
        <w:rPr>
          <w:color w:val="000000" w:themeColor="text1"/>
        </w:rPr>
      </w:pPr>
      <w:r w:rsidRPr="00D75667">
        <w:rPr>
          <w:color w:val="000000" w:themeColor="text1"/>
        </w:rPr>
        <w:t>Ahora, para determinar si es viable aceptar la subsanación del RUP cuando este fue expedido por la Cámara de Comercio con fecha posterior al cierre del proceso, se entendería de 3 formas distintas: i) la Cámara de Comercio expide por primera vez el acto administrativo de inscripción del Registro Único de Proponentes, ii) la Cámara de Comercio expide una copia del acto administrativo de la inscripción del RUP que se realizó con anterioridad, y finalmente, iii) el proponente aporta el RUP que ya tenía en su poder al momento del cierre, pero se le olvidó presentarlo. A continuación, se explicará cada supuesto, y las consecuencias qué implica cada caso.</w:t>
      </w:r>
    </w:p>
    <w:p w14:paraId="29F2ED44" w14:textId="77777777" w:rsidR="00FB52E2" w:rsidRPr="00D75667" w:rsidRDefault="00FB52E2">
      <w:pPr>
        <w:pStyle w:val="Textoindependiente"/>
        <w:spacing w:before="3"/>
        <w:rPr>
          <w:color w:val="000000" w:themeColor="text1"/>
          <w:sz w:val="25"/>
        </w:rPr>
      </w:pPr>
    </w:p>
    <w:p w14:paraId="6785221E" w14:textId="77777777" w:rsidR="00FB52E2" w:rsidRPr="00D75667" w:rsidRDefault="00417C33">
      <w:pPr>
        <w:pStyle w:val="Prrafodelista"/>
        <w:numPr>
          <w:ilvl w:val="0"/>
          <w:numId w:val="1"/>
        </w:numPr>
        <w:tabs>
          <w:tab w:val="left" w:pos="406"/>
        </w:tabs>
        <w:ind w:hanging="296"/>
        <w:rPr>
          <w:color w:val="000000" w:themeColor="text1"/>
        </w:rPr>
      </w:pPr>
      <w:r w:rsidRPr="00D75667">
        <w:rPr>
          <w:color w:val="000000" w:themeColor="text1"/>
        </w:rPr>
        <w:t>La Cámara de Comercio expide por primera vez el acto administrativo de</w:t>
      </w:r>
      <w:r w:rsidRPr="00D75667">
        <w:rPr>
          <w:color w:val="000000" w:themeColor="text1"/>
          <w:spacing w:val="-39"/>
        </w:rPr>
        <w:t xml:space="preserve"> </w:t>
      </w:r>
      <w:r w:rsidRPr="00D75667">
        <w:rPr>
          <w:color w:val="000000" w:themeColor="text1"/>
        </w:rPr>
        <w:t>inscripción.</w:t>
      </w:r>
    </w:p>
    <w:p w14:paraId="797ABF9F" w14:textId="77777777" w:rsidR="00FB52E2" w:rsidRPr="00D75667" w:rsidRDefault="00FB52E2">
      <w:pPr>
        <w:pStyle w:val="Textoindependiente"/>
        <w:spacing w:before="7"/>
        <w:rPr>
          <w:color w:val="000000" w:themeColor="text1"/>
          <w:sz w:val="28"/>
        </w:rPr>
      </w:pPr>
    </w:p>
    <w:p w14:paraId="75163816" w14:textId="77777777" w:rsidR="00FB52E2" w:rsidRPr="00D75667" w:rsidRDefault="00417C33">
      <w:pPr>
        <w:pStyle w:val="Textoindependiente"/>
        <w:spacing w:line="276" w:lineRule="auto"/>
        <w:ind w:left="120" w:right="106"/>
        <w:jc w:val="both"/>
        <w:rPr>
          <w:color w:val="000000" w:themeColor="text1"/>
        </w:rPr>
      </w:pPr>
      <w:r w:rsidRPr="00D75667">
        <w:rPr>
          <w:color w:val="000000" w:themeColor="text1"/>
        </w:rPr>
        <w:t>El artículo 6 de la Ley 1150 de 2007 y el artículo 2.2.1.1.1.5.3 del Decreto 1082 de 2015 previeron como obligación para todas las personas naturales o jurídicas, nacionales o extranjeras, que quieran participar en un proceso de contratación estar inscritas en el Registro Único de Proponentes -RUP-. La inscripción se materializa cuando el acto administrativo está en firme.</w:t>
      </w:r>
    </w:p>
    <w:p w14:paraId="7072919C" w14:textId="77777777" w:rsidR="00FB52E2" w:rsidRPr="00D75667" w:rsidRDefault="00FB52E2">
      <w:pPr>
        <w:pStyle w:val="Textoindependiente"/>
        <w:spacing w:before="3"/>
        <w:rPr>
          <w:color w:val="000000" w:themeColor="text1"/>
          <w:sz w:val="25"/>
        </w:rPr>
      </w:pPr>
    </w:p>
    <w:p w14:paraId="764903FB" w14:textId="77777777" w:rsidR="00FB52E2" w:rsidRPr="00D75667" w:rsidRDefault="00417C33" w:rsidP="00BF638D">
      <w:pPr>
        <w:pStyle w:val="Textoindependiente"/>
        <w:spacing w:line="276" w:lineRule="auto"/>
        <w:ind w:left="120" w:right="104"/>
        <w:jc w:val="both"/>
        <w:rPr>
          <w:color w:val="000000" w:themeColor="text1"/>
        </w:rPr>
      </w:pPr>
      <w:r w:rsidRPr="00D75667">
        <w:rPr>
          <w:color w:val="000000" w:themeColor="text1"/>
        </w:rPr>
        <w:t>Ahora, el artículo 5 de la Ley 1882 de 2018</w:t>
      </w:r>
      <w:r w:rsidR="00BF638D" w:rsidRPr="00D75667">
        <w:rPr>
          <w:rStyle w:val="Refdenotaalpie"/>
          <w:color w:val="000000" w:themeColor="text1"/>
        </w:rPr>
        <w:footnoteReference w:id="4"/>
      </w:r>
      <w:r w:rsidRPr="00D75667">
        <w:rPr>
          <w:color w:val="000000" w:themeColor="text1"/>
        </w:rPr>
        <w:t xml:space="preserve"> establece que los proponentes no podrán </w:t>
      </w:r>
      <w:r w:rsidRPr="00D75667">
        <w:rPr>
          <w:color w:val="000000" w:themeColor="text1"/>
        </w:rPr>
        <w:lastRenderedPageBreak/>
        <w:t>acreditar circunstancias con posterioridad al cierre. El Consejo de Estado, en la Sala de Consulta y Servicio Civil, en el concepto No. 1001-03-06-000-200800079-00(1927)</w:t>
      </w:r>
      <w:r w:rsidR="00BF638D" w:rsidRPr="00D75667">
        <w:rPr>
          <w:rStyle w:val="Refdenotaalpie"/>
          <w:color w:val="000000" w:themeColor="text1"/>
        </w:rPr>
        <w:footnoteReference w:id="5"/>
      </w:r>
      <w:r w:rsidRPr="00D75667">
        <w:rPr>
          <w:color w:val="000000" w:themeColor="text1"/>
        </w:rPr>
        <w:t>,</w:t>
      </w:r>
      <w:r w:rsidR="00BF638D" w:rsidRPr="00D75667">
        <w:rPr>
          <w:color w:val="000000" w:themeColor="text1"/>
        </w:rPr>
        <w:t xml:space="preserve"> </w:t>
      </w:r>
      <w:r w:rsidRPr="00D75667">
        <w:rPr>
          <w:color w:val="000000" w:themeColor="text1"/>
        </w:rPr>
        <w:t>consejero ponente William Zambrano Cetina, determinó frente a la imposibilidad de acreditar situaciones con posterioridad al cierre que el proponente debe cumplir para la fecha en que se cierra el proceso de contratación con los requisitos que se requieren para presentar la oferta. En este sentido, al del cierre del proceso, la persona natural o jurídica que quiere participar acreditará la inscripción del Registro único de Proponentes, para lo cual no basta con la solicitud o radicación de los documentos para el trámite, sino con el acto administrativo en firme.</w:t>
      </w:r>
    </w:p>
    <w:p w14:paraId="63016FF8" w14:textId="77777777" w:rsidR="00FB52E2" w:rsidRPr="00D75667" w:rsidRDefault="00FB52E2">
      <w:pPr>
        <w:pStyle w:val="Textoindependiente"/>
        <w:spacing w:before="3"/>
        <w:rPr>
          <w:color w:val="000000" w:themeColor="text1"/>
          <w:sz w:val="25"/>
        </w:rPr>
      </w:pPr>
    </w:p>
    <w:p w14:paraId="49316FF6" w14:textId="77777777" w:rsidR="00FB52E2" w:rsidRPr="00D75667" w:rsidRDefault="00417C33">
      <w:pPr>
        <w:pStyle w:val="Textoindependiente"/>
        <w:spacing w:line="276" w:lineRule="auto"/>
        <w:ind w:left="120" w:right="108"/>
        <w:jc w:val="both"/>
        <w:rPr>
          <w:color w:val="000000" w:themeColor="text1"/>
        </w:rPr>
      </w:pPr>
      <w:r w:rsidRPr="00D75667">
        <w:rPr>
          <w:color w:val="000000" w:themeColor="text1"/>
        </w:rPr>
        <w:t>Por lo tanto, si la Cámara de Comercio expide el acto administrativo de la inscripción del RUP por primera vez después del cierre, el proponente no podrá aportarlo al proceso porque el proponente al momento de presentar la oferta no tenía la capacidad para contratar, y el proponente no puede acreditar ocurridas situaciones con posterioridad al cierre.</w:t>
      </w:r>
    </w:p>
    <w:p w14:paraId="08A10C4F" w14:textId="77777777" w:rsidR="00FB52E2" w:rsidRPr="00D75667" w:rsidRDefault="00FB52E2">
      <w:pPr>
        <w:pStyle w:val="Textoindependiente"/>
        <w:spacing w:before="3"/>
        <w:rPr>
          <w:color w:val="000000" w:themeColor="text1"/>
          <w:sz w:val="25"/>
        </w:rPr>
      </w:pPr>
    </w:p>
    <w:p w14:paraId="2561E14E" w14:textId="77777777" w:rsidR="00FB52E2" w:rsidRPr="00D75667" w:rsidRDefault="00417C33">
      <w:pPr>
        <w:pStyle w:val="Prrafodelista"/>
        <w:numPr>
          <w:ilvl w:val="0"/>
          <w:numId w:val="1"/>
        </w:numPr>
        <w:tabs>
          <w:tab w:val="left" w:pos="406"/>
        </w:tabs>
        <w:spacing w:line="276" w:lineRule="auto"/>
        <w:ind w:right="113"/>
        <w:rPr>
          <w:color w:val="000000" w:themeColor="text1"/>
        </w:rPr>
      </w:pPr>
      <w:r w:rsidRPr="00D75667">
        <w:rPr>
          <w:color w:val="000000" w:themeColor="text1"/>
        </w:rPr>
        <w:t>La Cámara de Comercio expide una copia del acto administrativo de la inscripción del RUP que se realizó con anterioridad al cierre del proceso de</w:t>
      </w:r>
      <w:r w:rsidRPr="00D75667">
        <w:rPr>
          <w:color w:val="000000" w:themeColor="text1"/>
          <w:spacing w:val="-21"/>
        </w:rPr>
        <w:t xml:space="preserve"> </w:t>
      </w:r>
      <w:r w:rsidRPr="00D75667">
        <w:rPr>
          <w:color w:val="000000" w:themeColor="text1"/>
        </w:rPr>
        <w:t>contratación</w:t>
      </w:r>
    </w:p>
    <w:p w14:paraId="370D466D" w14:textId="77777777" w:rsidR="00FB52E2" w:rsidRPr="00D75667" w:rsidRDefault="00FB52E2">
      <w:pPr>
        <w:pStyle w:val="Textoindependiente"/>
        <w:spacing w:before="4"/>
        <w:rPr>
          <w:color w:val="000000" w:themeColor="text1"/>
          <w:sz w:val="25"/>
        </w:rPr>
      </w:pPr>
    </w:p>
    <w:p w14:paraId="13539C51" w14:textId="77777777" w:rsidR="00FB52E2" w:rsidRPr="00D75667" w:rsidRDefault="00417C33">
      <w:pPr>
        <w:pStyle w:val="Textoindependiente"/>
        <w:spacing w:line="276" w:lineRule="auto"/>
        <w:ind w:left="120" w:right="111"/>
        <w:jc w:val="both"/>
        <w:rPr>
          <w:color w:val="000000" w:themeColor="text1"/>
        </w:rPr>
      </w:pPr>
      <w:r w:rsidRPr="00D75667">
        <w:rPr>
          <w:color w:val="000000" w:themeColor="text1"/>
        </w:rPr>
        <w:t>Si la Cámara de Comercio solo expide una copia del acto administrativo de inscripción en el RUP, que publicó con anterioridad, el proponente podrá subsanarlo porque a pesar de que la copia del acto administrativo se expidió con posterioridad al cierre del proceso, la inscripción se realizó con anterioridad. Lo importante para la entidad estatal será determinar si la inscripción del RUP fue antes del cierre del proceso, información que se verificará en la copia expedida por la Cámara de</w:t>
      </w:r>
      <w:r w:rsidRPr="00D75667">
        <w:rPr>
          <w:color w:val="000000" w:themeColor="text1"/>
          <w:spacing w:val="-15"/>
        </w:rPr>
        <w:t xml:space="preserve"> </w:t>
      </w:r>
      <w:r w:rsidRPr="00D75667">
        <w:rPr>
          <w:color w:val="000000" w:themeColor="text1"/>
        </w:rPr>
        <w:t>Comercio.</w:t>
      </w:r>
    </w:p>
    <w:p w14:paraId="09A0854E" w14:textId="77777777" w:rsidR="00FB52E2" w:rsidRPr="00D75667" w:rsidRDefault="00FB52E2">
      <w:pPr>
        <w:pStyle w:val="Textoindependiente"/>
        <w:spacing w:before="4"/>
        <w:rPr>
          <w:color w:val="000000" w:themeColor="text1"/>
          <w:sz w:val="25"/>
        </w:rPr>
      </w:pPr>
    </w:p>
    <w:p w14:paraId="6E26A573" w14:textId="77777777" w:rsidR="00FB52E2" w:rsidRPr="00D75667" w:rsidRDefault="00417C33">
      <w:pPr>
        <w:pStyle w:val="Prrafodelista"/>
        <w:numPr>
          <w:ilvl w:val="0"/>
          <w:numId w:val="1"/>
        </w:numPr>
        <w:tabs>
          <w:tab w:val="left" w:pos="545"/>
          <w:tab w:val="left" w:pos="546"/>
        </w:tabs>
        <w:ind w:left="545" w:hanging="426"/>
        <w:rPr>
          <w:color w:val="000000" w:themeColor="text1"/>
        </w:rPr>
      </w:pPr>
      <w:r w:rsidRPr="00D75667">
        <w:rPr>
          <w:color w:val="000000" w:themeColor="text1"/>
        </w:rPr>
        <w:t>El proponente no aporta el RUP que ya tenía en su poder al momento del</w:t>
      </w:r>
      <w:r w:rsidRPr="00D75667">
        <w:rPr>
          <w:color w:val="000000" w:themeColor="text1"/>
          <w:spacing w:val="-29"/>
        </w:rPr>
        <w:t xml:space="preserve"> </w:t>
      </w:r>
      <w:r w:rsidRPr="00D75667">
        <w:rPr>
          <w:color w:val="000000" w:themeColor="text1"/>
        </w:rPr>
        <w:t>cierre</w:t>
      </w:r>
    </w:p>
    <w:p w14:paraId="5BA61BBF" w14:textId="77777777" w:rsidR="00FB52E2" w:rsidRPr="00D75667" w:rsidRDefault="00FB52E2">
      <w:pPr>
        <w:pStyle w:val="Textoindependiente"/>
        <w:spacing w:before="4"/>
        <w:rPr>
          <w:color w:val="000000" w:themeColor="text1"/>
          <w:sz w:val="26"/>
        </w:rPr>
      </w:pPr>
    </w:p>
    <w:p w14:paraId="0E8348AE" w14:textId="77777777" w:rsidR="00FB52E2" w:rsidRPr="00D75667" w:rsidRDefault="00417C33">
      <w:pPr>
        <w:pStyle w:val="Textoindependiente"/>
        <w:ind w:left="120" w:right="112"/>
        <w:jc w:val="both"/>
        <w:rPr>
          <w:color w:val="000000" w:themeColor="text1"/>
        </w:rPr>
      </w:pPr>
      <w:r w:rsidRPr="00D75667">
        <w:rPr>
          <w:color w:val="000000" w:themeColor="text1"/>
        </w:rPr>
        <w:t xml:space="preserve">Si el proponente, al momento del cierre del proceso de contratación no aporta el acto </w:t>
      </w:r>
      <w:r w:rsidRPr="00D75667">
        <w:rPr>
          <w:color w:val="000000" w:themeColor="text1"/>
        </w:rPr>
        <w:lastRenderedPageBreak/>
        <w:t>administrativo que acredita la inscripción en el RUP, porque se le olvida, podrá subsanarlo hasta el traslado del informe de evaluación. Lo anterior, en razón a que al momento del cierre sí contaba con la inscripción y no acredita una circunstancia con posterioridad al cierre.</w:t>
      </w:r>
    </w:p>
    <w:p w14:paraId="5D87E9F7" w14:textId="77777777" w:rsidR="00FB52E2" w:rsidRPr="00D75667" w:rsidRDefault="00FB52E2">
      <w:pPr>
        <w:pStyle w:val="Textoindependiente"/>
        <w:spacing w:before="11"/>
        <w:rPr>
          <w:color w:val="000000" w:themeColor="text1"/>
          <w:sz w:val="21"/>
        </w:rPr>
      </w:pPr>
    </w:p>
    <w:p w14:paraId="42278FC2" w14:textId="77777777" w:rsidR="00FB52E2" w:rsidRPr="00D75667" w:rsidRDefault="00417C33">
      <w:pPr>
        <w:pStyle w:val="Ttulo1"/>
        <w:numPr>
          <w:ilvl w:val="0"/>
          <w:numId w:val="2"/>
        </w:numPr>
        <w:tabs>
          <w:tab w:val="left" w:pos="766"/>
        </w:tabs>
        <w:ind w:hanging="361"/>
        <w:rPr>
          <w:color w:val="000000" w:themeColor="text1"/>
        </w:rPr>
      </w:pPr>
      <w:r w:rsidRPr="00D75667">
        <w:rPr>
          <w:color w:val="000000" w:themeColor="text1"/>
        </w:rPr>
        <w:t>Respuesta</w:t>
      </w:r>
    </w:p>
    <w:p w14:paraId="02C2D5F4" w14:textId="77777777" w:rsidR="00FB52E2" w:rsidRPr="00D75667" w:rsidRDefault="00FB52E2">
      <w:pPr>
        <w:pStyle w:val="Textoindependiente"/>
        <w:spacing w:before="11"/>
        <w:rPr>
          <w:b/>
          <w:color w:val="000000" w:themeColor="text1"/>
          <w:sz w:val="21"/>
        </w:rPr>
      </w:pPr>
    </w:p>
    <w:p w14:paraId="0796A844" w14:textId="77777777" w:rsidR="00FB52E2" w:rsidRPr="00D75667" w:rsidRDefault="00417C33">
      <w:pPr>
        <w:pStyle w:val="Textoindependiente"/>
        <w:ind w:left="120" w:right="104"/>
        <w:jc w:val="both"/>
        <w:rPr>
          <w:color w:val="000000" w:themeColor="text1"/>
        </w:rPr>
      </w:pPr>
      <w:r w:rsidRPr="00D75667">
        <w:rPr>
          <w:color w:val="000000" w:themeColor="text1"/>
        </w:rPr>
        <w:t xml:space="preserve">Toda persona natural o jurídica, nacional o extranjera, con domicilio en Colombia, que quiera participar en un proceso de contratación deberá estar inscrita </w:t>
      </w:r>
      <w:r w:rsidRPr="00D75667">
        <w:rPr>
          <w:color w:val="000000" w:themeColor="text1"/>
          <w:spacing w:val="3"/>
        </w:rPr>
        <w:t xml:space="preserve">en </w:t>
      </w:r>
      <w:r w:rsidRPr="00D75667">
        <w:rPr>
          <w:color w:val="000000" w:themeColor="text1"/>
        </w:rPr>
        <w:t>el Registro único de proponentes, es decir, que a la fecha del cierre del proceso de contratación tenga en firme el acto administrativo de inscripción del Registro Único de Proponentes expedido por la Cámara de</w:t>
      </w:r>
      <w:r w:rsidRPr="00D75667">
        <w:rPr>
          <w:color w:val="000000" w:themeColor="text1"/>
          <w:spacing w:val="-5"/>
        </w:rPr>
        <w:t xml:space="preserve"> </w:t>
      </w:r>
      <w:r w:rsidRPr="00D75667">
        <w:rPr>
          <w:color w:val="000000" w:themeColor="text1"/>
        </w:rPr>
        <w:t>Comercio.</w:t>
      </w:r>
    </w:p>
    <w:p w14:paraId="39C1FC24" w14:textId="77777777" w:rsidR="00FB52E2" w:rsidRPr="00D75667" w:rsidRDefault="00FB52E2">
      <w:pPr>
        <w:pStyle w:val="Textoindependiente"/>
        <w:rPr>
          <w:color w:val="000000" w:themeColor="text1"/>
          <w:sz w:val="20"/>
        </w:rPr>
      </w:pPr>
    </w:p>
    <w:p w14:paraId="61F2CDD4" w14:textId="77777777" w:rsidR="00FB52E2" w:rsidRPr="00D75667" w:rsidRDefault="00417C33">
      <w:pPr>
        <w:pStyle w:val="Textoindependiente"/>
        <w:spacing w:before="83"/>
        <w:ind w:left="120" w:right="109"/>
        <w:jc w:val="both"/>
        <w:rPr>
          <w:color w:val="000000" w:themeColor="text1"/>
        </w:rPr>
      </w:pPr>
      <w:r w:rsidRPr="00D75667">
        <w:rPr>
          <w:color w:val="000000" w:themeColor="text1"/>
        </w:rPr>
        <w:t>La subsanabilidad del acto administrativo de la inscripción del RUP cambia en los siguientes eventos: i) si el acto administrativo de inscripción se expidió por primera vez después del cierre no se podrá subsanar, debido a que el proponente no tenía la capacidad para contratar, ii) si la Cámara de Comercio simplemente expide una copia del acto administrativo de inscripción que estaba en firme con anterioridad al cierre, es posible subsanarlo, porque a pesar de que la copia del acto se expide con posterioridad al del cierre, el proponente ya estaba inscrito en el RUP, y no estará acreditando una circunstancia ocurrida con posterioridad al cierre, ya que contaba con esa inscripción al momento del cierre. Finalmente, iii) el proponente podrá subsanar el acto administrativo de inscripción en el RUP si al momento del cierre se le olvidó presentarlo, ya que contaba con ese requisito antes del cierre del</w:t>
      </w:r>
      <w:r w:rsidRPr="00D75667">
        <w:rPr>
          <w:color w:val="000000" w:themeColor="text1"/>
          <w:spacing w:val="-6"/>
        </w:rPr>
        <w:t xml:space="preserve"> </w:t>
      </w:r>
      <w:r w:rsidRPr="00D75667">
        <w:rPr>
          <w:color w:val="000000" w:themeColor="text1"/>
        </w:rPr>
        <w:t>proceso.</w:t>
      </w:r>
    </w:p>
    <w:bookmarkEnd w:id="1"/>
    <w:p w14:paraId="3ACF29FD" w14:textId="77777777" w:rsidR="00FB52E2" w:rsidRPr="00D75667" w:rsidRDefault="00FB52E2">
      <w:pPr>
        <w:pStyle w:val="Textoindependiente"/>
        <w:spacing w:before="10"/>
        <w:rPr>
          <w:color w:val="000000" w:themeColor="text1"/>
          <w:sz w:val="19"/>
        </w:rPr>
      </w:pPr>
    </w:p>
    <w:p w14:paraId="388A9EEF" w14:textId="77777777" w:rsidR="00FB52E2" w:rsidRPr="00D75667" w:rsidRDefault="00417C33">
      <w:pPr>
        <w:pStyle w:val="Textoindependiente"/>
        <w:ind w:left="120" w:right="75"/>
        <w:rPr>
          <w:color w:val="000000" w:themeColor="text1"/>
        </w:rPr>
      </w:pPr>
      <w:r w:rsidRPr="00D75667">
        <w:rPr>
          <w:color w:val="000000" w:themeColor="text1"/>
        </w:rPr>
        <w:t>Este concepto tiene el alcance previsto en el artículo 28 del Código de Procedimiento Administrativo y de lo Contencioso Administrativo.</w:t>
      </w:r>
    </w:p>
    <w:p w14:paraId="3900105D" w14:textId="58A26E6F" w:rsidR="00FB52E2" w:rsidRPr="00D75667" w:rsidRDefault="00F301C8">
      <w:pPr>
        <w:pStyle w:val="Textoindependiente"/>
        <w:spacing w:before="7"/>
        <w:rPr>
          <w:color w:val="000000" w:themeColor="text1"/>
          <w:sz w:val="19"/>
        </w:rPr>
      </w:pPr>
      <w:r>
        <w:rPr>
          <w:noProof/>
          <w:color w:val="000000" w:themeColor="text1"/>
          <w:lang w:val="en-US"/>
        </w:rPr>
        <mc:AlternateContent>
          <mc:Choice Requires="wps">
            <w:drawing>
              <wp:anchor distT="0" distB="0" distL="0" distR="0" simplePos="0" relativeHeight="251657728" behindDoc="1" locked="0" layoutInCell="1" allowOverlap="1" wp14:anchorId="52809BF2" wp14:editId="758DB695">
                <wp:simplePos x="0" y="0"/>
                <wp:positionH relativeFrom="page">
                  <wp:posOffset>1514475</wp:posOffset>
                </wp:positionH>
                <wp:positionV relativeFrom="paragraph">
                  <wp:posOffset>173355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7F0A3" id="Freeform 2" o:spid="_x0000_s1026" style="position:absolute;margin-left:119.25pt;margin-top:13.6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2AEB7CCA" w14:textId="77777777" w:rsidR="00FB52E2" w:rsidRPr="00D75667" w:rsidRDefault="00417C33">
      <w:pPr>
        <w:pStyle w:val="Textoindependiente"/>
        <w:spacing w:before="197" w:after="25"/>
        <w:ind w:left="120"/>
        <w:rPr>
          <w:color w:val="000000" w:themeColor="text1"/>
        </w:rPr>
      </w:pPr>
      <w:r w:rsidRPr="00D75667">
        <w:rPr>
          <w:color w:val="000000" w:themeColor="text1"/>
        </w:rPr>
        <w:t>Atentamente,</w:t>
      </w:r>
    </w:p>
    <w:p w14:paraId="271F1E1C" w14:textId="312EDF5D" w:rsidR="00FB52E2" w:rsidRDefault="00D75667" w:rsidP="00D75667">
      <w:pPr>
        <w:pStyle w:val="Textoindependiente"/>
        <w:ind w:left="157"/>
        <w:jc w:val="center"/>
        <w:rPr>
          <w:color w:val="000000" w:themeColor="text1"/>
          <w:sz w:val="20"/>
        </w:rPr>
      </w:pPr>
      <w:r w:rsidRPr="00046E3A">
        <w:rPr>
          <w:noProof/>
          <w:lang w:val="en-US"/>
        </w:rPr>
        <w:drawing>
          <wp:inline distT="0" distB="0" distL="0" distR="0" wp14:anchorId="4B8CADC2" wp14:editId="6EF2CBAF">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E3BC8F3" w14:textId="77777777" w:rsidR="00D75667" w:rsidRPr="00D75667" w:rsidRDefault="00D75667" w:rsidP="00D75667">
      <w:pPr>
        <w:pStyle w:val="Textoindependiente"/>
        <w:ind w:left="157"/>
        <w:jc w:val="center"/>
        <w:rPr>
          <w:color w:val="000000" w:themeColor="text1"/>
          <w:sz w:val="20"/>
        </w:rPr>
      </w:pPr>
    </w:p>
    <w:p w14:paraId="6FD2F202" w14:textId="77777777" w:rsidR="00FB52E2" w:rsidRPr="00D75667" w:rsidRDefault="00417C33">
      <w:pPr>
        <w:pStyle w:val="Textoindependiente"/>
        <w:spacing w:before="24"/>
        <w:ind w:left="120"/>
        <w:rPr>
          <w:color w:val="000000" w:themeColor="text1"/>
        </w:rPr>
      </w:pPr>
      <w:r w:rsidRPr="00D75667">
        <w:rPr>
          <w:color w:val="000000" w:themeColor="text1"/>
        </w:rPr>
        <w:t>Proyectó: Ana María Pérez Cárdenas</w:t>
      </w:r>
    </w:p>
    <w:sectPr w:rsidR="00FB52E2" w:rsidRPr="00D75667">
      <w:headerReference w:type="default" r:id="rId14"/>
      <w:footerReference w:type="default" r:id="rId15"/>
      <w:pgSz w:w="12240" w:h="15840"/>
      <w:pgMar w:top="1340" w:right="1500" w:bottom="2100" w:left="1580" w:header="451"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E3EC" w14:textId="77777777" w:rsidR="00692A67" w:rsidRDefault="00692A67">
      <w:r>
        <w:separator/>
      </w:r>
    </w:p>
  </w:endnote>
  <w:endnote w:type="continuationSeparator" w:id="0">
    <w:p w14:paraId="28296E51" w14:textId="77777777" w:rsidR="00692A67" w:rsidRDefault="0069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21CD" w14:textId="77777777" w:rsidR="00FB52E2" w:rsidRDefault="00417C33">
    <w:pPr>
      <w:pStyle w:val="Textoindependiente"/>
      <w:spacing w:line="14" w:lineRule="auto"/>
      <w:rPr>
        <w:sz w:val="20"/>
      </w:rPr>
    </w:pPr>
    <w:r>
      <w:rPr>
        <w:noProof/>
        <w:lang w:val="en-US"/>
      </w:rPr>
      <w:drawing>
        <wp:anchor distT="0" distB="0" distL="0" distR="0" simplePos="0" relativeHeight="251666432" behindDoc="1" locked="0" layoutInCell="1" allowOverlap="1" wp14:anchorId="317766EB" wp14:editId="4CB413AC">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3132" w14:textId="77777777" w:rsidR="00692A67" w:rsidRDefault="00692A67">
      <w:r>
        <w:separator/>
      </w:r>
    </w:p>
  </w:footnote>
  <w:footnote w:type="continuationSeparator" w:id="0">
    <w:p w14:paraId="793AB5D2" w14:textId="77777777" w:rsidR="00692A67" w:rsidRDefault="00692A67">
      <w:r>
        <w:continuationSeparator/>
      </w:r>
    </w:p>
  </w:footnote>
  <w:footnote w:id="1">
    <w:p w14:paraId="41A754DE" w14:textId="77777777" w:rsidR="00BF638D" w:rsidRPr="00D75667" w:rsidRDefault="00BF638D" w:rsidP="00BF638D">
      <w:pPr>
        <w:spacing w:before="82"/>
        <w:ind w:left="120" w:right="107" w:firstLine="707"/>
        <w:jc w:val="both"/>
        <w:rPr>
          <w:color w:val="000000" w:themeColor="text1"/>
          <w:sz w:val="18"/>
          <w:szCs w:val="18"/>
        </w:rPr>
      </w:pPr>
      <w:r w:rsidRPr="00D75667">
        <w:rPr>
          <w:rStyle w:val="Refdenotaalpie"/>
          <w:color w:val="000000" w:themeColor="text1"/>
          <w:sz w:val="18"/>
          <w:szCs w:val="18"/>
        </w:rPr>
        <w:footnoteRef/>
      </w:r>
      <w:r w:rsidRPr="00D75667">
        <w:rPr>
          <w:color w:val="000000" w:themeColor="text1"/>
          <w:sz w:val="18"/>
          <w:szCs w:val="18"/>
        </w:rPr>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B6FA123" w14:textId="77777777" w:rsidR="00BF638D" w:rsidRPr="00D75667" w:rsidRDefault="00BF638D" w:rsidP="00BF638D">
      <w:pPr>
        <w:pStyle w:val="Textonotapie"/>
        <w:ind w:firstLine="720"/>
        <w:rPr>
          <w:color w:val="000000" w:themeColor="text1"/>
          <w:sz w:val="18"/>
          <w:szCs w:val="18"/>
          <w:lang w:val="es-CO"/>
        </w:rPr>
      </w:pPr>
      <w:r w:rsidRPr="00D75667">
        <w:rPr>
          <w:color w:val="000000" w:themeColor="text1"/>
          <w:sz w:val="18"/>
          <w:szCs w:val="18"/>
        </w:rPr>
        <w:t xml:space="preserve"> </w:t>
      </w:r>
    </w:p>
  </w:footnote>
  <w:footnote w:id="2">
    <w:p w14:paraId="1485A96A" w14:textId="77777777" w:rsidR="00BF638D" w:rsidRPr="00D75667" w:rsidRDefault="00BF638D" w:rsidP="00BF638D">
      <w:pPr>
        <w:spacing w:before="99"/>
        <w:ind w:left="120" w:right="107" w:firstLine="707"/>
        <w:jc w:val="both"/>
        <w:rPr>
          <w:color w:val="000000" w:themeColor="text1"/>
          <w:sz w:val="18"/>
          <w:szCs w:val="18"/>
        </w:rPr>
      </w:pPr>
      <w:r w:rsidRPr="00D75667">
        <w:rPr>
          <w:rStyle w:val="Refdenotaalpie"/>
          <w:color w:val="000000" w:themeColor="text1"/>
          <w:sz w:val="18"/>
          <w:szCs w:val="18"/>
        </w:rPr>
        <w:footnoteRef/>
      </w:r>
      <w:r w:rsidRPr="00D75667">
        <w:rPr>
          <w:color w:val="000000" w:themeColor="text1"/>
          <w:sz w:val="18"/>
          <w:szCs w:val="18"/>
        </w:rPr>
        <w:t xml:space="preserve"> Ley 1150 de 2007, artículo 6 “6.1.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66C0F7FC" w14:textId="77777777" w:rsidR="00BF638D" w:rsidRPr="00D75667" w:rsidRDefault="00BF638D" w:rsidP="00BF638D">
      <w:pPr>
        <w:pStyle w:val="Textoindependiente"/>
        <w:spacing w:before="6"/>
        <w:rPr>
          <w:color w:val="000000" w:themeColor="text1"/>
          <w:sz w:val="18"/>
          <w:szCs w:val="18"/>
        </w:rPr>
      </w:pPr>
    </w:p>
    <w:p w14:paraId="13F66C65" w14:textId="77777777" w:rsidR="00BF638D" w:rsidRPr="00D75667" w:rsidRDefault="00BF638D" w:rsidP="00BF638D">
      <w:pPr>
        <w:ind w:left="120" w:right="105"/>
        <w:jc w:val="both"/>
        <w:rPr>
          <w:color w:val="000000" w:themeColor="text1"/>
          <w:sz w:val="18"/>
          <w:szCs w:val="18"/>
        </w:rPr>
      </w:pPr>
      <w:r w:rsidRPr="00D75667">
        <w:rPr>
          <w:color w:val="000000" w:themeColor="text1"/>
          <w:sz w:val="18"/>
          <w:szCs w:val="18"/>
        </w:rPr>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r:id="rId1" w:anchor="5">
        <w:r w:rsidRPr="00D75667">
          <w:rPr>
            <w:color w:val="000000" w:themeColor="text1"/>
            <w:sz w:val="18"/>
            <w:szCs w:val="18"/>
            <w:u w:val="single" w:color="4A4848"/>
          </w:rPr>
          <w:t>5</w:t>
        </w:r>
        <w:r w:rsidRPr="00D75667">
          <w:rPr>
            <w:color w:val="000000" w:themeColor="text1"/>
            <w:sz w:val="18"/>
            <w:szCs w:val="18"/>
          </w:rPr>
          <w:t xml:space="preserve"> </w:t>
        </w:r>
      </w:hyperlink>
      <w:r w:rsidRPr="00D75667">
        <w:rPr>
          <w:color w:val="000000" w:themeColor="text1"/>
          <w:sz w:val="18"/>
          <w:szCs w:val="18"/>
        </w:rPr>
        <w:t>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FA91D1B" w14:textId="77777777" w:rsidR="00BF638D" w:rsidRPr="00D75667" w:rsidRDefault="00BF638D" w:rsidP="00BF638D">
      <w:pPr>
        <w:pStyle w:val="Textoindependiente"/>
        <w:spacing w:before="1"/>
        <w:rPr>
          <w:color w:val="000000" w:themeColor="text1"/>
          <w:sz w:val="18"/>
          <w:szCs w:val="18"/>
        </w:rPr>
      </w:pPr>
    </w:p>
    <w:p w14:paraId="45CE7A69" w14:textId="77777777" w:rsidR="00BF638D" w:rsidRPr="00D75667" w:rsidRDefault="00BF638D" w:rsidP="00BF638D">
      <w:pPr>
        <w:spacing w:before="1"/>
        <w:ind w:left="120" w:right="109"/>
        <w:jc w:val="both"/>
        <w:rPr>
          <w:color w:val="000000" w:themeColor="text1"/>
          <w:sz w:val="18"/>
          <w:szCs w:val="18"/>
        </w:rPr>
      </w:pPr>
      <w:r w:rsidRPr="00D75667">
        <w:rPr>
          <w:color w:val="000000" w:themeColor="text1"/>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D3AF3AD" w14:textId="77777777" w:rsidR="00BF638D" w:rsidRPr="00D75667" w:rsidRDefault="00BF638D" w:rsidP="00BF638D">
      <w:pPr>
        <w:pStyle w:val="Textoindependiente"/>
        <w:rPr>
          <w:color w:val="000000" w:themeColor="text1"/>
          <w:sz w:val="18"/>
          <w:szCs w:val="18"/>
        </w:rPr>
      </w:pPr>
    </w:p>
    <w:p w14:paraId="79A2EC0A" w14:textId="77777777" w:rsidR="00BF638D" w:rsidRPr="00D75667" w:rsidRDefault="00BF638D" w:rsidP="00BF638D">
      <w:pPr>
        <w:ind w:left="120" w:right="108"/>
        <w:jc w:val="both"/>
        <w:rPr>
          <w:color w:val="000000" w:themeColor="text1"/>
          <w:sz w:val="18"/>
          <w:szCs w:val="18"/>
        </w:rPr>
      </w:pPr>
      <w:r w:rsidRPr="00D75667">
        <w:rPr>
          <w:color w:val="000000" w:themeColor="text1"/>
          <w:sz w:val="18"/>
          <w:szCs w:val="18"/>
        </w:rPr>
        <w:t>“Cuando la información presentada ante la Cámara de Comercio no sea suficiente, sea inconsistente o no contenga la totalidad de los elementos señalados en el reglamento para su existencia y validez, esta se abstendrá de realizar la inscripción, renovación o actualización que corresponda, sin perjuicio de las acciones legales a que haya lugar.</w:t>
      </w:r>
    </w:p>
    <w:p w14:paraId="7A4644AC" w14:textId="77777777" w:rsidR="00BF638D" w:rsidRPr="00D75667" w:rsidRDefault="00BF638D" w:rsidP="00BF638D">
      <w:pPr>
        <w:pStyle w:val="Textoindependiente"/>
        <w:rPr>
          <w:color w:val="000000" w:themeColor="text1"/>
          <w:sz w:val="18"/>
          <w:szCs w:val="18"/>
        </w:rPr>
      </w:pPr>
    </w:p>
    <w:p w14:paraId="74C5833A" w14:textId="77777777" w:rsidR="00BF638D" w:rsidRPr="00D75667" w:rsidRDefault="00BF638D" w:rsidP="00BF638D">
      <w:pPr>
        <w:ind w:left="120" w:right="115"/>
        <w:jc w:val="both"/>
        <w:rPr>
          <w:color w:val="000000" w:themeColor="text1"/>
          <w:sz w:val="18"/>
          <w:szCs w:val="18"/>
        </w:rPr>
      </w:pPr>
      <w:r w:rsidRPr="00D75667">
        <w:rPr>
          <w:color w:val="000000" w:themeColor="text1"/>
          <w:sz w:val="18"/>
          <w:szCs w:val="18"/>
        </w:rPr>
        <w:t>“La información deberá mantenerse actualizada y renovarse en la forma y con la periodicidad que señale el reglamento. La información contenida en el registro es pública y su consulta será gratuita”.</w:t>
      </w:r>
    </w:p>
    <w:p w14:paraId="584834F1" w14:textId="77777777" w:rsidR="00BF638D" w:rsidRPr="00D75667" w:rsidRDefault="00BF638D" w:rsidP="00BF638D">
      <w:pPr>
        <w:ind w:left="120" w:right="115"/>
        <w:jc w:val="both"/>
        <w:rPr>
          <w:color w:val="000000" w:themeColor="text1"/>
          <w:sz w:val="18"/>
          <w:szCs w:val="18"/>
        </w:rPr>
      </w:pPr>
    </w:p>
    <w:p w14:paraId="6523D88A" w14:textId="77777777" w:rsidR="00BF638D" w:rsidRPr="00D75667" w:rsidRDefault="00BF638D" w:rsidP="00BF638D">
      <w:pPr>
        <w:ind w:left="142" w:right="109"/>
        <w:jc w:val="both"/>
        <w:rPr>
          <w:color w:val="000000" w:themeColor="text1"/>
          <w:sz w:val="18"/>
          <w:szCs w:val="18"/>
        </w:rPr>
      </w:pPr>
      <w:r w:rsidRPr="00D75667">
        <w:rPr>
          <w:color w:val="000000" w:themeColor="text1"/>
          <w:sz w:val="18"/>
          <w:szCs w:val="18"/>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w:t>
      </w:r>
      <w:r w:rsidRPr="00D75667">
        <w:rPr>
          <w:color w:val="000000" w:themeColor="text1"/>
          <w:spacing w:val="12"/>
          <w:sz w:val="18"/>
          <w:szCs w:val="18"/>
        </w:rPr>
        <w:t xml:space="preserve"> </w:t>
      </w:r>
      <w:r w:rsidRPr="00D75667">
        <w:rPr>
          <w:color w:val="000000" w:themeColor="text1"/>
          <w:sz w:val="18"/>
          <w:szCs w:val="18"/>
        </w:rPr>
        <w:t>durante</w:t>
      </w:r>
      <w:r w:rsidRPr="00D75667">
        <w:rPr>
          <w:color w:val="000000" w:themeColor="text1"/>
          <w:spacing w:val="12"/>
          <w:sz w:val="18"/>
          <w:szCs w:val="18"/>
        </w:rPr>
        <w:t xml:space="preserve"> </w:t>
      </w:r>
      <w:r w:rsidRPr="00D75667">
        <w:rPr>
          <w:color w:val="000000" w:themeColor="text1"/>
          <w:sz w:val="18"/>
          <w:szCs w:val="18"/>
        </w:rPr>
        <w:t>los</w:t>
      </w:r>
      <w:r w:rsidRPr="00D75667">
        <w:rPr>
          <w:color w:val="000000" w:themeColor="text1"/>
          <w:spacing w:val="13"/>
          <w:sz w:val="18"/>
          <w:szCs w:val="18"/>
        </w:rPr>
        <w:t xml:space="preserve"> </w:t>
      </w:r>
      <w:r w:rsidRPr="00D75667">
        <w:rPr>
          <w:color w:val="000000" w:themeColor="text1"/>
          <w:sz w:val="18"/>
          <w:szCs w:val="18"/>
        </w:rPr>
        <w:t>diez</w:t>
      </w:r>
      <w:r w:rsidRPr="00D75667">
        <w:rPr>
          <w:color w:val="000000" w:themeColor="text1"/>
          <w:spacing w:val="13"/>
          <w:sz w:val="18"/>
          <w:szCs w:val="18"/>
        </w:rPr>
        <w:t xml:space="preserve"> </w:t>
      </w:r>
      <w:r w:rsidRPr="00D75667">
        <w:rPr>
          <w:color w:val="000000" w:themeColor="text1"/>
          <w:sz w:val="18"/>
          <w:szCs w:val="18"/>
        </w:rPr>
        <w:t>(10)</w:t>
      </w:r>
      <w:r w:rsidRPr="00D75667">
        <w:rPr>
          <w:color w:val="000000" w:themeColor="text1"/>
          <w:spacing w:val="13"/>
          <w:sz w:val="18"/>
          <w:szCs w:val="18"/>
        </w:rPr>
        <w:t xml:space="preserve"> </w:t>
      </w:r>
      <w:r w:rsidRPr="00D75667">
        <w:rPr>
          <w:color w:val="000000" w:themeColor="text1"/>
          <w:sz w:val="18"/>
          <w:szCs w:val="18"/>
        </w:rPr>
        <w:t>días</w:t>
      </w:r>
      <w:r w:rsidRPr="00D75667">
        <w:rPr>
          <w:color w:val="000000" w:themeColor="text1"/>
          <w:spacing w:val="13"/>
          <w:sz w:val="18"/>
          <w:szCs w:val="18"/>
        </w:rPr>
        <w:t xml:space="preserve"> </w:t>
      </w:r>
      <w:r w:rsidRPr="00D75667">
        <w:rPr>
          <w:color w:val="000000" w:themeColor="text1"/>
          <w:sz w:val="18"/>
          <w:szCs w:val="18"/>
        </w:rPr>
        <w:t>hábiles</w:t>
      </w:r>
      <w:r w:rsidRPr="00D75667">
        <w:rPr>
          <w:color w:val="000000" w:themeColor="text1"/>
          <w:spacing w:val="13"/>
          <w:sz w:val="18"/>
          <w:szCs w:val="18"/>
        </w:rPr>
        <w:t xml:space="preserve"> </w:t>
      </w:r>
      <w:r w:rsidRPr="00D75667">
        <w:rPr>
          <w:color w:val="000000" w:themeColor="text1"/>
          <w:sz w:val="18"/>
          <w:szCs w:val="18"/>
        </w:rPr>
        <w:t>siguientes</w:t>
      </w:r>
      <w:r w:rsidRPr="00D75667">
        <w:rPr>
          <w:color w:val="000000" w:themeColor="text1"/>
          <w:spacing w:val="12"/>
          <w:sz w:val="18"/>
          <w:szCs w:val="18"/>
        </w:rPr>
        <w:t xml:space="preserve"> </w:t>
      </w:r>
      <w:r w:rsidRPr="00D75667">
        <w:rPr>
          <w:color w:val="000000" w:themeColor="text1"/>
          <w:sz w:val="18"/>
          <w:szCs w:val="18"/>
        </w:rPr>
        <w:t>a</w:t>
      </w:r>
      <w:r w:rsidRPr="00D75667">
        <w:rPr>
          <w:color w:val="000000" w:themeColor="text1"/>
          <w:spacing w:val="13"/>
          <w:sz w:val="18"/>
          <w:szCs w:val="18"/>
        </w:rPr>
        <w:t xml:space="preserve"> </w:t>
      </w:r>
      <w:r w:rsidRPr="00D75667">
        <w:rPr>
          <w:color w:val="000000" w:themeColor="text1"/>
          <w:sz w:val="18"/>
          <w:szCs w:val="18"/>
        </w:rPr>
        <w:t>la</w:t>
      </w:r>
      <w:r w:rsidRPr="00D75667">
        <w:rPr>
          <w:color w:val="000000" w:themeColor="text1"/>
          <w:spacing w:val="10"/>
          <w:sz w:val="18"/>
          <w:szCs w:val="18"/>
        </w:rPr>
        <w:t xml:space="preserve"> </w:t>
      </w:r>
      <w:r w:rsidRPr="00D75667">
        <w:rPr>
          <w:color w:val="000000" w:themeColor="text1"/>
          <w:sz w:val="18"/>
          <w:szCs w:val="18"/>
        </w:rPr>
        <w:t>publicación,</w:t>
      </w:r>
      <w:r w:rsidRPr="00D75667">
        <w:rPr>
          <w:color w:val="000000" w:themeColor="text1"/>
          <w:spacing w:val="12"/>
          <w:sz w:val="18"/>
          <w:szCs w:val="18"/>
        </w:rPr>
        <w:t xml:space="preserve"> </w:t>
      </w:r>
      <w:r w:rsidRPr="00D75667">
        <w:rPr>
          <w:color w:val="000000" w:themeColor="text1"/>
          <w:sz w:val="18"/>
          <w:szCs w:val="18"/>
        </w:rPr>
        <w:t>sin</w:t>
      </w:r>
      <w:r w:rsidRPr="00D75667">
        <w:rPr>
          <w:color w:val="000000" w:themeColor="text1"/>
          <w:spacing w:val="13"/>
          <w:sz w:val="18"/>
          <w:szCs w:val="18"/>
        </w:rPr>
        <w:t xml:space="preserve"> </w:t>
      </w:r>
      <w:r w:rsidRPr="00D75667">
        <w:rPr>
          <w:color w:val="000000" w:themeColor="text1"/>
          <w:sz w:val="18"/>
          <w:szCs w:val="18"/>
        </w:rPr>
        <w:t>que</w:t>
      </w:r>
      <w:r w:rsidRPr="00D75667">
        <w:rPr>
          <w:color w:val="000000" w:themeColor="text1"/>
          <w:spacing w:val="13"/>
          <w:sz w:val="18"/>
          <w:szCs w:val="18"/>
        </w:rPr>
        <w:t xml:space="preserve"> </w:t>
      </w:r>
      <w:r w:rsidRPr="00D75667">
        <w:rPr>
          <w:color w:val="000000" w:themeColor="text1"/>
          <w:sz w:val="18"/>
          <w:szCs w:val="18"/>
        </w:rPr>
        <w:t>para</w:t>
      </w:r>
      <w:r w:rsidRPr="00D75667">
        <w:rPr>
          <w:color w:val="000000" w:themeColor="text1"/>
          <w:spacing w:val="13"/>
          <w:sz w:val="18"/>
          <w:szCs w:val="18"/>
        </w:rPr>
        <w:t xml:space="preserve"> </w:t>
      </w:r>
      <w:r w:rsidRPr="00D75667">
        <w:rPr>
          <w:color w:val="000000" w:themeColor="text1"/>
          <w:sz w:val="18"/>
          <w:szCs w:val="18"/>
        </w:rPr>
        <w:t>ello</w:t>
      </w:r>
      <w:r w:rsidRPr="00D75667">
        <w:rPr>
          <w:color w:val="000000" w:themeColor="text1"/>
          <w:spacing w:val="13"/>
          <w:sz w:val="18"/>
          <w:szCs w:val="18"/>
        </w:rPr>
        <w:t xml:space="preserve"> </w:t>
      </w:r>
      <w:r w:rsidRPr="00D75667">
        <w:rPr>
          <w:color w:val="000000" w:themeColor="text1"/>
          <w:sz w:val="18"/>
          <w:szCs w:val="18"/>
        </w:rPr>
        <w:t>requiera</w:t>
      </w:r>
      <w:r w:rsidRPr="00D75667">
        <w:rPr>
          <w:color w:val="000000" w:themeColor="text1"/>
          <w:spacing w:val="13"/>
          <w:sz w:val="18"/>
          <w:szCs w:val="18"/>
        </w:rPr>
        <w:t xml:space="preserve"> </w:t>
      </w:r>
      <w:r w:rsidRPr="00D75667">
        <w:rPr>
          <w:color w:val="000000" w:themeColor="text1"/>
          <w:sz w:val="18"/>
          <w:szCs w:val="18"/>
        </w:rPr>
        <w:t>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2B3721EA" w14:textId="77777777" w:rsidR="00BF638D" w:rsidRPr="00D75667" w:rsidRDefault="00BF638D" w:rsidP="00BF638D">
      <w:pPr>
        <w:pStyle w:val="Textoindependiente"/>
        <w:spacing w:before="2"/>
        <w:rPr>
          <w:color w:val="000000" w:themeColor="text1"/>
          <w:sz w:val="18"/>
          <w:szCs w:val="18"/>
        </w:rPr>
      </w:pPr>
    </w:p>
    <w:p w14:paraId="7D1CEA8A" w14:textId="77777777" w:rsidR="00BF638D" w:rsidRPr="00D75667" w:rsidRDefault="00BF638D" w:rsidP="00BF638D">
      <w:pPr>
        <w:ind w:left="120" w:right="110"/>
        <w:jc w:val="both"/>
        <w:rPr>
          <w:color w:val="000000" w:themeColor="text1"/>
          <w:sz w:val="18"/>
          <w:szCs w:val="18"/>
        </w:rPr>
      </w:pPr>
      <w:r w:rsidRPr="00D75667">
        <w:rPr>
          <w:color w:val="000000" w:themeColor="text1"/>
          <w:sz w:val="18"/>
          <w:szCs w:val="18"/>
        </w:rPr>
        <w:t>“En firme la inscripción, cualquier persona podrá demandar su nulidad en desarrollo de la acción prevista en el Código Contencioso Administrativo. Para el efecto será competente el Juez de lo Contencioso Administrativo en única</w:t>
      </w:r>
      <w:r w:rsidRPr="00D75667">
        <w:rPr>
          <w:color w:val="000000" w:themeColor="text1"/>
          <w:spacing w:val="-3"/>
          <w:sz w:val="18"/>
          <w:szCs w:val="18"/>
        </w:rPr>
        <w:t xml:space="preserve"> </w:t>
      </w:r>
      <w:r w:rsidRPr="00D75667">
        <w:rPr>
          <w:color w:val="000000" w:themeColor="text1"/>
          <w:sz w:val="18"/>
          <w:szCs w:val="18"/>
        </w:rPr>
        <w:t>instancia.</w:t>
      </w:r>
    </w:p>
    <w:p w14:paraId="595EBCD9" w14:textId="77777777" w:rsidR="00BF638D" w:rsidRPr="00D75667" w:rsidRDefault="00BF638D" w:rsidP="00BF638D">
      <w:pPr>
        <w:spacing w:before="149"/>
        <w:ind w:left="120" w:right="104"/>
        <w:jc w:val="both"/>
        <w:rPr>
          <w:color w:val="000000" w:themeColor="text1"/>
          <w:sz w:val="18"/>
          <w:szCs w:val="18"/>
        </w:rPr>
      </w:pPr>
      <w:r w:rsidRPr="00D75667">
        <w:rPr>
          <w:color w:val="000000" w:themeColor="text1"/>
          <w:sz w:val="18"/>
          <w:szCs w:val="18"/>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w:t>
      </w:r>
      <w:r w:rsidRPr="00D75667">
        <w:rPr>
          <w:color w:val="000000" w:themeColor="text1"/>
          <w:spacing w:val="-2"/>
          <w:sz w:val="18"/>
          <w:szCs w:val="18"/>
        </w:rPr>
        <w:t xml:space="preserve"> </w:t>
      </w:r>
      <w:r w:rsidRPr="00D75667">
        <w:rPr>
          <w:color w:val="000000" w:themeColor="text1"/>
          <w:sz w:val="18"/>
          <w:szCs w:val="18"/>
        </w:rPr>
        <w:t>futuro.</w:t>
      </w:r>
    </w:p>
    <w:p w14:paraId="227FAF78" w14:textId="77777777" w:rsidR="00BF638D" w:rsidRPr="00D75667" w:rsidRDefault="00BF638D" w:rsidP="00BF638D">
      <w:pPr>
        <w:spacing w:before="150"/>
        <w:ind w:left="120" w:right="108"/>
        <w:jc w:val="both"/>
        <w:rPr>
          <w:color w:val="000000" w:themeColor="text1"/>
          <w:sz w:val="18"/>
          <w:szCs w:val="18"/>
        </w:rPr>
      </w:pPr>
      <w:r w:rsidRPr="00D75667">
        <w:rPr>
          <w:color w:val="000000" w:themeColor="text1"/>
          <w:sz w:val="18"/>
          <w:szCs w:val="18"/>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w:t>
      </w:r>
      <w:r w:rsidRPr="00D75667">
        <w:rPr>
          <w:color w:val="000000" w:themeColor="text1"/>
          <w:spacing w:val="-7"/>
          <w:sz w:val="18"/>
          <w:szCs w:val="18"/>
        </w:rPr>
        <w:t xml:space="preserve"> </w:t>
      </w:r>
      <w:r w:rsidRPr="00D75667">
        <w:rPr>
          <w:color w:val="000000" w:themeColor="text1"/>
          <w:sz w:val="18"/>
          <w:szCs w:val="18"/>
        </w:rPr>
        <w:t>RUP.</w:t>
      </w:r>
    </w:p>
    <w:p w14:paraId="177B51E2" w14:textId="77777777" w:rsidR="00BF638D" w:rsidRPr="00D75667" w:rsidRDefault="00BF638D" w:rsidP="00BF638D">
      <w:pPr>
        <w:spacing w:before="152"/>
        <w:ind w:left="120" w:right="105"/>
        <w:jc w:val="both"/>
        <w:rPr>
          <w:color w:val="000000" w:themeColor="text1"/>
          <w:sz w:val="18"/>
          <w:szCs w:val="18"/>
        </w:rPr>
      </w:pPr>
      <w:r w:rsidRPr="00D75667">
        <w:rPr>
          <w:color w:val="000000" w:themeColor="text1"/>
          <w:sz w:val="18"/>
          <w:szCs w:val="18"/>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w:t>
      </w:r>
      <w:r w:rsidRPr="00D75667">
        <w:rPr>
          <w:color w:val="000000" w:themeColor="text1"/>
          <w:spacing w:val="-2"/>
          <w:sz w:val="18"/>
          <w:szCs w:val="18"/>
        </w:rPr>
        <w:t xml:space="preserve"> </w:t>
      </w:r>
      <w:r w:rsidRPr="00D75667">
        <w:rPr>
          <w:color w:val="000000" w:themeColor="text1"/>
          <w:sz w:val="18"/>
          <w:szCs w:val="18"/>
        </w:rPr>
        <w:t>permanente.</w:t>
      </w:r>
    </w:p>
    <w:p w14:paraId="710102EC" w14:textId="77777777" w:rsidR="00BF638D" w:rsidRPr="00D75667" w:rsidRDefault="00BF638D" w:rsidP="00BF638D">
      <w:pPr>
        <w:pStyle w:val="Textoindependiente"/>
        <w:spacing w:before="11"/>
        <w:rPr>
          <w:color w:val="000000" w:themeColor="text1"/>
          <w:sz w:val="18"/>
          <w:szCs w:val="18"/>
        </w:rPr>
      </w:pPr>
    </w:p>
    <w:p w14:paraId="4ED9FDF0" w14:textId="77777777" w:rsidR="00BF638D" w:rsidRPr="00D75667" w:rsidRDefault="00BF638D" w:rsidP="00BF638D">
      <w:pPr>
        <w:ind w:left="120" w:right="109"/>
        <w:jc w:val="both"/>
        <w:rPr>
          <w:color w:val="000000" w:themeColor="text1"/>
          <w:sz w:val="18"/>
          <w:szCs w:val="18"/>
        </w:rPr>
      </w:pPr>
      <w:r w:rsidRPr="00D75667">
        <w:rPr>
          <w:color w:val="000000" w:themeColor="text1"/>
          <w:sz w:val="18"/>
          <w:szCs w:val="18"/>
        </w:rPr>
        <w:t>“Las mismas sanciones previstas en el inciso anterior se predicarán en el evento en que el Juez de lo Contencioso Administrativa declare la nulidad del acto de inscripción.</w:t>
      </w:r>
    </w:p>
    <w:p w14:paraId="1BEFB0BD" w14:textId="77777777" w:rsidR="00BF638D" w:rsidRPr="00D75667" w:rsidRDefault="00BF638D" w:rsidP="00BF638D">
      <w:pPr>
        <w:pStyle w:val="Textoindependiente"/>
        <w:spacing w:before="2"/>
        <w:rPr>
          <w:color w:val="000000" w:themeColor="text1"/>
          <w:sz w:val="18"/>
          <w:szCs w:val="18"/>
        </w:rPr>
      </w:pPr>
    </w:p>
    <w:p w14:paraId="555C0040" w14:textId="77777777" w:rsidR="00BF638D" w:rsidRPr="00D75667" w:rsidRDefault="00BF638D" w:rsidP="00BF638D">
      <w:pPr>
        <w:spacing w:before="1"/>
        <w:ind w:left="120"/>
        <w:jc w:val="both"/>
        <w:rPr>
          <w:color w:val="000000" w:themeColor="text1"/>
          <w:sz w:val="18"/>
          <w:szCs w:val="18"/>
        </w:rPr>
      </w:pPr>
      <w:r w:rsidRPr="00D75667">
        <w:rPr>
          <w:color w:val="000000" w:themeColor="text1"/>
          <w:sz w:val="18"/>
          <w:szCs w:val="18"/>
        </w:rPr>
        <w:t>“La información contenida en el registro es pública y su consulta será gratuita”.</w:t>
      </w:r>
    </w:p>
    <w:p w14:paraId="45827CED" w14:textId="77777777" w:rsidR="00BF638D" w:rsidRPr="00D75667" w:rsidRDefault="00BF638D" w:rsidP="00BF638D">
      <w:pPr>
        <w:ind w:left="120" w:right="115"/>
        <w:jc w:val="both"/>
        <w:rPr>
          <w:color w:val="000000" w:themeColor="text1"/>
          <w:sz w:val="18"/>
          <w:szCs w:val="18"/>
        </w:rPr>
      </w:pPr>
    </w:p>
    <w:p w14:paraId="39FF7C98" w14:textId="77777777" w:rsidR="00BF638D" w:rsidRPr="00D75667" w:rsidRDefault="00BF638D" w:rsidP="00BF638D">
      <w:pPr>
        <w:pStyle w:val="Textonotapie"/>
        <w:ind w:firstLine="720"/>
        <w:rPr>
          <w:color w:val="000000" w:themeColor="text1"/>
          <w:sz w:val="18"/>
          <w:szCs w:val="18"/>
          <w:lang w:val="es-CO"/>
        </w:rPr>
      </w:pPr>
      <w:r w:rsidRPr="00D75667">
        <w:rPr>
          <w:color w:val="000000" w:themeColor="text1"/>
          <w:sz w:val="18"/>
          <w:szCs w:val="18"/>
        </w:rPr>
        <w:t xml:space="preserve"> </w:t>
      </w:r>
    </w:p>
  </w:footnote>
  <w:footnote w:id="3">
    <w:p w14:paraId="195BADA9" w14:textId="77777777" w:rsidR="00BF638D" w:rsidRPr="00D75667" w:rsidRDefault="00BF638D" w:rsidP="00BF638D">
      <w:pPr>
        <w:tabs>
          <w:tab w:val="left" w:pos="998"/>
        </w:tabs>
        <w:spacing w:before="69"/>
        <w:ind w:left="-30" w:right="108"/>
        <w:jc w:val="both"/>
        <w:rPr>
          <w:color w:val="000000" w:themeColor="text1"/>
          <w:sz w:val="18"/>
          <w:szCs w:val="18"/>
        </w:rPr>
      </w:pPr>
      <w:r w:rsidRPr="00D75667">
        <w:rPr>
          <w:color w:val="000000" w:themeColor="text1"/>
          <w:sz w:val="18"/>
          <w:szCs w:val="18"/>
        </w:rPr>
        <w:tab/>
      </w:r>
      <w:r w:rsidRPr="00D75667">
        <w:rPr>
          <w:rStyle w:val="Refdenotaalpie"/>
          <w:color w:val="000000" w:themeColor="text1"/>
          <w:sz w:val="18"/>
          <w:szCs w:val="18"/>
        </w:rPr>
        <w:footnoteRef/>
      </w:r>
      <w:r w:rsidRPr="00D75667">
        <w:rPr>
          <w:color w:val="000000" w:themeColor="text1"/>
          <w:sz w:val="18"/>
          <w:szCs w:val="18"/>
        </w:rPr>
        <w:t xml:space="preserve"> Ley 1882 de 2018: “Artículo 5°. Modifíquese el Parágrafo </w:t>
      </w:r>
      <w:hyperlink r:id="rId2">
        <w:r w:rsidRPr="00D75667">
          <w:rPr>
            <w:color w:val="000000" w:themeColor="text1"/>
            <w:sz w:val="18"/>
            <w:szCs w:val="18"/>
            <w:u w:val="single" w:color="4A4848"/>
          </w:rPr>
          <w:t>1</w:t>
        </w:r>
        <w:r w:rsidRPr="00D75667">
          <w:rPr>
            <w:color w:val="000000" w:themeColor="text1"/>
            <w:sz w:val="18"/>
            <w:szCs w:val="18"/>
          </w:rPr>
          <w:t xml:space="preserve"> </w:t>
        </w:r>
      </w:hyperlink>
      <w:r w:rsidRPr="00D75667">
        <w:rPr>
          <w:color w:val="000000" w:themeColor="text1"/>
          <w:sz w:val="18"/>
          <w:szCs w:val="18"/>
        </w:rPr>
        <w:t>e inclúyanse los parágrafos</w:t>
      </w:r>
      <w:hyperlink r:id="rId3">
        <w:r w:rsidRPr="00D75667">
          <w:rPr>
            <w:color w:val="000000" w:themeColor="text1"/>
            <w:sz w:val="18"/>
            <w:szCs w:val="18"/>
          </w:rPr>
          <w:t xml:space="preserve"> </w:t>
        </w:r>
        <w:r w:rsidRPr="00D75667">
          <w:rPr>
            <w:color w:val="000000" w:themeColor="text1"/>
            <w:sz w:val="18"/>
            <w:szCs w:val="18"/>
            <w:u w:val="single" w:color="4A4848"/>
          </w:rPr>
          <w:t>3</w:t>
        </w:r>
        <w:r w:rsidRPr="00D75667">
          <w:rPr>
            <w:color w:val="000000" w:themeColor="text1"/>
            <w:sz w:val="18"/>
            <w:szCs w:val="18"/>
          </w:rPr>
          <w:t>,</w:t>
        </w:r>
      </w:hyperlink>
      <w:hyperlink r:id="rId4">
        <w:r w:rsidRPr="00D75667">
          <w:rPr>
            <w:color w:val="000000" w:themeColor="text1"/>
            <w:sz w:val="18"/>
            <w:szCs w:val="18"/>
          </w:rPr>
          <w:t xml:space="preserve"> </w:t>
        </w:r>
        <w:r w:rsidRPr="00D75667">
          <w:rPr>
            <w:color w:val="000000" w:themeColor="text1"/>
            <w:sz w:val="18"/>
            <w:szCs w:val="18"/>
            <w:u w:val="single" w:color="4A4848"/>
          </w:rPr>
          <w:t>4</w:t>
        </w:r>
        <w:r w:rsidRPr="00D75667">
          <w:rPr>
            <w:color w:val="000000" w:themeColor="text1"/>
            <w:sz w:val="18"/>
            <w:szCs w:val="18"/>
          </w:rPr>
          <w:t xml:space="preserve"> </w:t>
        </w:r>
      </w:hyperlink>
      <w:r w:rsidRPr="00D75667">
        <w:rPr>
          <w:color w:val="000000" w:themeColor="text1"/>
          <w:sz w:val="18"/>
          <w:szCs w:val="18"/>
        </w:rPr>
        <w:t>y</w:t>
      </w:r>
      <w:hyperlink r:id="rId5">
        <w:r w:rsidRPr="00D75667">
          <w:rPr>
            <w:color w:val="000000" w:themeColor="text1"/>
            <w:sz w:val="18"/>
            <w:szCs w:val="18"/>
          </w:rPr>
          <w:t xml:space="preserve"> </w:t>
        </w:r>
        <w:r w:rsidRPr="00D75667">
          <w:rPr>
            <w:color w:val="000000" w:themeColor="text1"/>
            <w:sz w:val="18"/>
            <w:szCs w:val="18"/>
            <w:u w:val="single" w:color="4A4848"/>
          </w:rPr>
          <w:t>5</w:t>
        </w:r>
        <w:r w:rsidRPr="00D75667">
          <w:rPr>
            <w:color w:val="000000" w:themeColor="text1"/>
            <w:sz w:val="18"/>
            <w:szCs w:val="18"/>
          </w:rPr>
          <w:t xml:space="preserve"> </w:t>
        </w:r>
      </w:hyperlink>
      <w:r w:rsidRPr="00D75667">
        <w:rPr>
          <w:color w:val="000000" w:themeColor="text1"/>
          <w:sz w:val="18"/>
          <w:szCs w:val="18"/>
        </w:rPr>
        <w:t>de artículo 5° de la Ley 1150 de 2007, los cuales quedarán</w:t>
      </w:r>
      <w:r w:rsidRPr="00D75667">
        <w:rPr>
          <w:color w:val="000000" w:themeColor="text1"/>
          <w:spacing w:val="-15"/>
          <w:sz w:val="18"/>
          <w:szCs w:val="18"/>
        </w:rPr>
        <w:t xml:space="preserve"> </w:t>
      </w:r>
      <w:r w:rsidRPr="00D75667">
        <w:rPr>
          <w:color w:val="000000" w:themeColor="text1"/>
          <w:sz w:val="18"/>
          <w:szCs w:val="18"/>
        </w:rPr>
        <w:t>así:</w:t>
      </w:r>
    </w:p>
    <w:p w14:paraId="6D21E916" w14:textId="77777777" w:rsidR="00BF638D" w:rsidRPr="00D75667" w:rsidRDefault="00BF638D" w:rsidP="00BF638D">
      <w:pPr>
        <w:pStyle w:val="Textoindependiente"/>
        <w:spacing w:before="9"/>
        <w:rPr>
          <w:color w:val="000000" w:themeColor="text1"/>
          <w:sz w:val="18"/>
          <w:szCs w:val="18"/>
        </w:rPr>
      </w:pPr>
    </w:p>
    <w:p w14:paraId="48F7CFC7" w14:textId="77777777" w:rsidR="00BF638D" w:rsidRPr="00D75667" w:rsidRDefault="00BF638D" w:rsidP="00BF638D">
      <w:pPr>
        <w:spacing w:before="1"/>
        <w:ind w:left="120"/>
        <w:jc w:val="both"/>
        <w:rPr>
          <w:color w:val="000000" w:themeColor="text1"/>
          <w:sz w:val="18"/>
          <w:szCs w:val="18"/>
        </w:rPr>
      </w:pPr>
      <w:r w:rsidRPr="00D75667">
        <w:rPr>
          <w:color w:val="000000" w:themeColor="text1"/>
          <w:sz w:val="18"/>
          <w:szCs w:val="18"/>
        </w:rPr>
        <w:t>“Artículo 5°. De la selección objetiva.</w:t>
      </w:r>
    </w:p>
    <w:p w14:paraId="65EAD697" w14:textId="77777777" w:rsidR="00BF638D" w:rsidRPr="00D75667" w:rsidRDefault="00BF638D" w:rsidP="00BF638D">
      <w:pPr>
        <w:pStyle w:val="Textoindependiente"/>
        <w:spacing w:before="9"/>
        <w:rPr>
          <w:color w:val="000000" w:themeColor="text1"/>
          <w:sz w:val="18"/>
          <w:szCs w:val="18"/>
        </w:rPr>
      </w:pPr>
    </w:p>
    <w:p w14:paraId="7D373BC3" w14:textId="77777777" w:rsidR="00BF638D" w:rsidRPr="00D75667" w:rsidRDefault="00BF638D" w:rsidP="00BF638D">
      <w:pPr>
        <w:spacing w:before="1"/>
        <w:ind w:left="120" w:right="108"/>
        <w:jc w:val="both"/>
        <w:rPr>
          <w:color w:val="000000" w:themeColor="text1"/>
          <w:sz w:val="18"/>
          <w:szCs w:val="18"/>
        </w:rPr>
      </w:pPr>
      <w:r w:rsidRPr="00D75667">
        <w:rPr>
          <w:color w:val="000000" w:themeColor="text1"/>
          <w:sz w:val="18"/>
          <w:szCs w:val="18"/>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Ia documentación solicitada por la entidad estatal hasta el plazo anteriormente señalado.</w:t>
      </w:r>
    </w:p>
    <w:p w14:paraId="4AFCB109" w14:textId="77777777" w:rsidR="00BF638D" w:rsidRPr="00D75667" w:rsidRDefault="00BF638D" w:rsidP="00BF638D">
      <w:pPr>
        <w:pStyle w:val="Textoindependiente"/>
        <w:spacing w:before="11"/>
        <w:rPr>
          <w:color w:val="000000" w:themeColor="text1"/>
          <w:sz w:val="18"/>
          <w:szCs w:val="18"/>
        </w:rPr>
      </w:pPr>
    </w:p>
    <w:p w14:paraId="5B207039" w14:textId="77777777" w:rsidR="00BF638D" w:rsidRPr="00D75667" w:rsidRDefault="00BF638D" w:rsidP="00BF638D">
      <w:pPr>
        <w:ind w:left="120" w:right="106"/>
        <w:jc w:val="both"/>
        <w:rPr>
          <w:color w:val="000000" w:themeColor="text1"/>
          <w:sz w:val="18"/>
          <w:szCs w:val="18"/>
        </w:rPr>
      </w:pPr>
      <w:r w:rsidRPr="00D75667">
        <w:rPr>
          <w:color w:val="000000" w:themeColor="text1"/>
          <w:sz w:val="18"/>
          <w:szCs w:val="18"/>
        </w:rPr>
        <w:t>“Durante el término otorgado para subsanar las ofertas, los proponentes no podrán acreditar circunstancias ocurridas con posterioridad al cierre del proceso.</w:t>
      </w:r>
    </w:p>
    <w:p w14:paraId="067E1F44" w14:textId="77777777" w:rsidR="00BF638D" w:rsidRPr="00D75667" w:rsidRDefault="00BF638D" w:rsidP="00BF638D">
      <w:pPr>
        <w:pStyle w:val="Textonotapie"/>
        <w:ind w:firstLine="720"/>
        <w:rPr>
          <w:color w:val="000000" w:themeColor="text1"/>
          <w:sz w:val="18"/>
          <w:szCs w:val="18"/>
          <w:lang w:val="es-CO"/>
        </w:rPr>
      </w:pPr>
      <w:r w:rsidRPr="00D75667">
        <w:rPr>
          <w:color w:val="000000" w:themeColor="text1"/>
          <w:sz w:val="18"/>
          <w:szCs w:val="18"/>
        </w:rPr>
        <w:t xml:space="preserve"> </w:t>
      </w:r>
    </w:p>
  </w:footnote>
  <w:footnote w:id="4">
    <w:p w14:paraId="2F821E0A" w14:textId="77777777" w:rsidR="00BF638D" w:rsidRPr="00D75667" w:rsidRDefault="00BF638D" w:rsidP="00684964">
      <w:pPr>
        <w:pStyle w:val="Prrafodelista"/>
        <w:tabs>
          <w:tab w:val="left" w:pos="998"/>
        </w:tabs>
        <w:spacing w:before="69"/>
        <w:ind w:left="827" w:right="108" w:firstLine="0"/>
        <w:rPr>
          <w:color w:val="000000" w:themeColor="text1"/>
          <w:sz w:val="18"/>
          <w:szCs w:val="18"/>
        </w:rPr>
      </w:pPr>
      <w:r w:rsidRPr="00D75667">
        <w:rPr>
          <w:rStyle w:val="Refdenotaalpie"/>
          <w:color w:val="000000" w:themeColor="text1"/>
          <w:sz w:val="18"/>
          <w:szCs w:val="18"/>
        </w:rPr>
        <w:footnoteRef/>
      </w:r>
      <w:r w:rsidRPr="00D75667">
        <w:rPr>
          <w:color w:val="000000" w:themeColor="text1"/>
          <w:sz w:val="18"/>
          <w:szCs w:val="18"/>
        </w:rPr>
        <w:t xml:space="preserve"> Ley 1882 de 2018: “Artículo 5°. Modifíquese el Parágrafo </w:t>
      </w:r>
      <w:hyperlink r:id="rId6">
        <w:r w:rsidRPr="00D75667">
          <w:rPr>
            <w:color w:val="000000" w:themeColor="text1"/>
            <w:sz w:val="18"/>
            <w:szCs w:val="18"/>
            <w:u w:val="single" w:color="4A4848"/>
          </w:rPr>
          <w:t>1</w:t>
        </w:r>
        <w:r w:rsidRPr="00D75667">
          <w:rPr>
            <w:color w:val="000000" w:themeColor="text1"/>
            <w:sz w:val="18"/>
            <w:szCs w:val="18"/>
          </w:rPr>
          <w:t xml:space="preserve"> </w:t>
        </w:r>
      </w:hyperlink>
      <w:r w:rsidRPr="00D75667">
        <w:rPr>
          <w:color w:val="000000" w:themeColor="text1"/>
          <w:sz w:val="18"/>
          <w:szCs w:val="18"/>
        </w:rPr>
        <w:t>e inclúyanse los parágrafos</w:t>
      </w:r>
      <w:hyperlink r:id="rId7">
        <w:r w:rsidRPr="00D75667">
          <w:rPr>
            <w:color w:val="000000" w:themeColor="text1"/>
            <w:sz w:val="18"/>
            <w:szCs w:val="18"/>
          </w:rPr>
          <w:t xml:space="preserve"> </w:t>
        </w:r>
        <w:r w:rsidRPr="00D75667">
          <w:rPr>
            <w:color w:val="000000" w:themeColor="text1"/>
            <w:sz w:val="18"/>
            <w:szCs w:val="18"/>
            <w:u w:val="single" w:color="4A4848"/>
          </w:rPr>
          <w:t>3</w:t>
        </w:r>
        <w:r w:rsidRPr="00D75667">
          <w:rPr>
            <w:color w:val="000000" w:themeColor="text1"/>
            <w:sz w:val="18"/>
            <w:szCs w:val="18"/>
          </w:rPr>
          <w:t>,</w:t>
        </w:r>
      </w:hyperlink>
      <w:hyperlink r:id="rId8">
        <w:r w:rsidRPr="00D75667">
          <w:rPr>
            <w:color w:val="000000" w:themeColor="text1"/>
            <w:sz w:val="18"/>
            <w:szCs w:val="18"/>
          </w:rPr>
          <w:t xml:space="preserve"> </w:t>
        </w:r>
        <w:r w:rsidRPr="00D75667">
          <w:rPr>
            <w:color w:val="000000" w:themeColor="text1"/>
            <w:sz w:val="18"/>
            <w:szCs w:val="18"/>
            <w:u w:val="single" w:color="4A4848"/>
          </w:rPr>
          <w:t>4</w:t>
        </w:r>
        <w:r w:rsidRPr="00D75667">
          <w:rPr>
            <w:color w:val="000000" w:themeColor="text1"/>
            <w:sz w:val="18"/>
            <w:szCs w:val="18"/>
          </w:rPr>
          <w:t xml:space="preserve"> </w:t>
        </w:r>
      </w:hyperlink>
      <w:r w:rsidRPr="00D75667">
        <w:rPr>
          <w:color w:val="000000" w:themeColor="text1"/>
          <w:sz w:val="18"/>
          <w:szCs w:val="18"/>
        </w:rPr>
        <w:t>y</w:t>
      </w:r>
      <w:hyperlink r:id="rId9">
        <w:r w:rsidRPr="00D75667">
          <w:rPr>
            <w:color w:val="000000" w:themeColor="text1"/>
            <w:sz w:val="18"/>
            <w:szCs w:val="18"/>
          </w:rPr>
          <w:t xml:space="preserve"> </w:t>
        </w:r>
        <w:r w:rsidRPr="00D75667">
          <w:rPr>
            <w:color w:val="000000" w:themeColor="text1"/>
            <w:sz w:val="18"/>
            <w:szCs w:val="18"/>
            <w:u w:val="single" w:color="4A4848"/>
          </w:rPr>
          <w:t>5</w:t>
        </w:r>
        <w:r w:rsidRPr="00D75667">
          <w:rPr>
            <w:color w:val="000000" w:themeColor="text1"/>
            <w:sz w:val="18"/>
            <w:szCs w:val="18"/>
          </w:rPr>
          <w:t xml:space="preserve"> </w:t>
        </w:r>
      </w:hyperlink>
      <w:r w:rsidRPr="00D75667">
        <w:rPr>
          <w:color w:val="000000" w:themeColor="text1"/>
          <w:sz w:val="18"/>
          <w:szCs w:val="18"/>
        </w:rPr>
        <w:t>de artículo 5° de la Ley 1150 de 2007, los cuales quedarán</w:t>
      </w:r>
      <w:r w:rsidRPr="00D75667">
        <w:rPr>
          <w:color w:val="000000" w:themeColor="text1"/>
          <w:spacing w:val="-15"/>
          <w:sz w:val="18"/>
          <w:szCs w:val="18"/>
        </w:rPr>
        <w:t xml:space="preserve"> </w:t>
      </w:r>
      <w:r w:rsidRPr="00D75667">
        <w:rPr>
          <w:color w:val="000000" w:themeColor="text1"/>
          <w:sz w:val="18"/>
          <w:szCs w:val="18"/>
        </w:rPr>
        <w:t>así:</w:t>
      </w:r>
    </w:p>
    <w:p w14:paraId="2DC73129" w14:textId="77777777" w:rsidR="00BF638D" w:rsidRPr="00D75667" w:rsidRDefault="00BF638D" w:rsidP="00BF638D">
      <w:pPr>
        <w:pStyle w:val="Textoindependiente"/>
        <w:spacing w:before="9"/>
        <w:rPr>
          <w:color w:val="000000" w:themeColor="text1"/>
          <w:sz w:val="18"/>
          <w:szCs w:val="18"/>
        </w:rPr>
      </w:pPr>
    </w:p>
    <w:p w14:paraId="4DB5CF54" w14:textId="77777777" w:rsidR="00BF638D" w:rsidRPr="00D75667" w:rsidRDefault="00BF638D" w:rsidP="00BF638D">
      <w:pPr>
        <w:spacing w:before="1"/>
        <w:ind w:left="120"/>
        <w:jc w:val="both"/>
        <w:rPr>
          <w:color w:val="000000" w:themeColor="text1"/>
          <w:sz w:val="18"/>
          <w:szCs w:val="18"/>
        </w:rPr>
      </w:pPr>
      <w:r w:rsidRPr="00D75667">
        <w:rPr>
          <w:color w:val="000000" w:themeColor="text1"/>
          <w:sz w:val="18"/>
          <w:szCs w:val="18"/>
        </w:rPr>
        <w:t>“Artículo 5°. De la selección objetiva.</w:t>
      </w:r>
    </w:p>
    <w:p w14:paraId="52DFB6C3" w14:textId="77777777" w:rsidR="00BF638D" w:rsidRPr="00D75667" w:rsidRDefault="00BF638D" w:rsidP="00BF638D">
      <w:pPr>
        <w:pStyle w:val="Textoindependiente"/>
        <w:spacing w:before="9"/>
        <w:rPr>
          <w:color w:val="000000" w:themeColor="text1"/>
          <w:sz w:val="18"/>
          <w:szCs w:val="18"/>
        </w:rPr>
      </w:pPr>
    </w:p>
    <w:p w14:paraId="6B732A3C" w14:textId="77777777" w:rsidR="00BF638D" w:rsidRPr="00D75667" w:rsidRDefault="00BF638D" w:rsidP="00BF638D">
      <w:pPr>
        <w:spacing w:before="1"/>
        <w:ind w:left="120" w:right="108"/>
        <w:jc w:val="both"/>
        <w:rPr>
          <w:color w:val="000000" w:themeColor="text1"/>
          <w:sz w:val="18"/>
          <w:szCs w:val="18"/>
        </w:rPr>
      </w:pPr>
      <w:r w:rsidRPr="00D75667">
        <w:rPr>
          <w:color w:val="000000" w:themeColor="text1"/>
          <w:sz w:val="18"/>
          <w:szCs w:val="18"/>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Ia documentación solicitada por la entidad estatal hasta el plazo anteriormente señalado.</w:t>
      </w:r>
    </w:p>
    <w:p w14:paraId="3C282001" w14:textId="77777777" w:rsidR="00BF638D" w:rsidRPr="00D75667" w:rsidRDefault="00BF638D" w:rsidP="00BF638D">
      <w:pPr>
        <w:pStyle w:val="Textoindependiente"/>
        <w:spacing w:before="11"/>
        <w:rPr>
          <w:color w:val="000000" w:themeColor="text1"/>
          <w:sz w:val="18"/>
          <w:szCs w:val="18"/>
        </w:rPr>
      </w:pPr>
    </w:p>
    <w:p w14:paraId="6A60A8E4" w14:textId="77777777" w:rsidR="00BF638D" w:rsidRPr="00D75667" w:rsidRDefault="00BF638D" w:rsidP="00BF638D">
      <w:pPr>
        <w:ind w:left="120" w:right="106"/>
        <w:jc w:val="both"/>
        <w:rPr>
          <w:color w:val="000000" w:themeColor="text1"/>
          <w:sz w:val="18"/>
          <w:szCs w:val="18"/>
        </w:rPr>
      </w:pPr>
      <w:r w:rsidRPr="00D75667">
        <w:rPr>
          <w:color w:val="000000" w:themeColor="text1"/>
          <w:sz w:val="18"/>
          <w:szCs w:val="18"/>
        </w:rPr>
        <w:t>“Durante el término otorgado para subsanar las ofertas, los proponentes no podrán acreditar circunstancias ocurridas con posterioridad al cierre del proceso.</w:t>
      </w:r>
    </w:p>
    <w:p w14:paraId="193C2D90" w14:textId="77777777" w:rsidR="00BF638D" w:rsidRPr="00D75667" w:rsidRDefault="00BF638D" w:rsidP="00BF638D">
      <w:pPr>
        <w:pStyle w:val="Textonotapie"/>
        <w:rPr>
          <w:color w:val="000000" w:themeColor="text1"/>
          <w:sz w:val="18"/>
          <w:szCs w:val="18"/>
        </w:rPr>
      </w:pPr>
    </w:p>
  </w:footnote>
  <w:footnote w:id="5">
    <w:p w14:paraId="34ACB505" w14:textId="77777777" w:rsidR="00BF638D" w:rsidRPr="00D75667" w:rsidRDefault="00684964" w:rsidP="00BF638D">
      <w:pPr>
        <w:tabs>
          <w:tab w:val="left" w:pos="1043"/>
        </w:tabs>
        <w:ind w:right="103" w:hanging="120"/>
        <w:jc w:val="both"/>
        <w:rPr>
          <w:color w:val="000000" w:themeColor="text1"/>
          <w:sz w:val="18"/>
          <w:szCs w:val="18"/>
        </w:rPr>
      </w:pPr>
      <w:r w:rsidRPr="00D75667">
        <w:rPr>
          <w:color w:val="000000" w:themeColor="text1"/>
          <w:sz w:val="18"/>
          <w:szCs w:val="18"/>
        </w:rPr>
        <w:tab/>
      </w:r>
      <w:r w:rsidRPr="00D75667">
        <w:rPr>
          <w:color w:val="000000" w:themeColor="text1"/>
          <w:sz w:val="18"/>
          <w:szCs w:val="18"/>
        </w:rPr>
        <w:tab/>
      </w:r>
      <w:r w:rsidR="00BF638D" w:rsidRPr="00D75667">
        <w:rPr>
          <w:rStyle w:val="Refdenotaalpie"/>
          <w:color w:val="000000" w:themeColor="text1"/>
          <w:sz w:val="18"/>
          <w:szCs w:val="18"/>
        </w:rPr>
        <w:footnoteRef/>
      </w:r>
      <w:r w:rsidR="00BF638D" w:rsidRPr="00D75667">
        <w:rPr>
          <w:color w:val="000000" w:themeColor="text1"/>
          <w:sz w:val="18"/>
          <w:szCs w:val="18"/>
        </w:rPr>
        <w:t xml:space="preserve"> “La subsanabilidad de referirse o recaer sobre circunstancias ocurridas antes del cierre del respectivo proceso, esto es, del vencimiento del plazo para presentar ofertas. (…)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w:t>
      </w:r>
      <w:r w:rsidR="00BF638D" w:rsidRPr="00D75667">
        <w:rPr>
          <w:color w:val="000000" w:themeColor="text1"/>
          <w:spacing w:val="9"/>
          <w:sz w:val="18"/>
          <w:szCs w:val="18"/>
        </w:rPr>
        <w:t xml:space="preserve"> </w:t>
      </w:r>
      <w:r w:rsidR="00BF638D" w:rsidRPr="00D75667">
        <w:rPr>
          <w:color w:val="000000" w:themeColor="text1"/>
          <w:sz w:val="18"/>
          <w:szCs w:val="18"/>
        </w:rPr>
        <w:t>especifique</w:t>
      </w:r>
      <w:r w:rsidR="00BF638D" w:rsidRPr="00D75667">
        <w:rPr>
          <w:color w:val="000000" w:themeColor="text1"/>
          <w:spacing w:val="9"/>
          <w:sz w:val="18"/>
          <w:szCs w:val="18"/>
        </w:rPr>
        <w:t xml:space="preserve"> </w:t>
      </w:r>
      <w:r w:rsidR="00BF638D" w:rsidRPr="00D75667">
        <w:rPr>
          <w:color w:val="000000" w:themeColor="text1"/>
          <w:sz w:val="18"/>
          <w:szCs w:val="18"/>
        </w:rPr>
        <w:t>aspectos</w:t>
      </w:r>
      <w:r w:rsidR="00BF638D" w:rsidRPr="00D75667">
        <w:rPr>
          <w:color w:val="000000" w:themeColor="text1"/>
          <w:spacing w:val="10"/>
          <w:sz w:val="18"/>
          <w:szCs w:val="18"/>
        </w:rPr>
        <w:t xml:space="preserve"> </w:t>
      </w:r>
      <w:r w:rsidR="00BF638D" w:rsidRPr="00D75667">
        <w:rPr>
          <w:color w:val="000000" w:themeColor="text1"/>
          <w:sz w:val="18"/>
          <w:szCs w:val="18"/>
        </w:rPr>
        <w:t>relacionados</w:t>
      </w:r>
      <w:r w:rsidR="00BF638D" w:rsidRPr="00D75667">
        <w:rPr>
          <w:color w:val="000000" w:themeColor="text1"/>
          <w:spacing w:val="9"/>
          <w:sz w:val="18"/>
          <w:szCs w:val="18"/>
        </w:rPr>
        <w:t xml:space="preserve"> </w:t>
      </w:r>
      <w:r w:rsidR="00BF638D" w:rsidRPr="00D75667">
        <w:rPr>
          <w:color w:val="000000" w:themeColor="text1"/>
          <w:sz w:val="18"/>
          <w:szCs w:val="18"/>
        </w:rPr>
        <w:t>con</w:t>
      </w:r>
      <w:r w:rsidR="00BF638D" w:rsidRPr="00D75667">
        <w:rPr>
          <w:color w:val="000000" w:themeColor="text1"/>
          <w:spacing w:val="9"/>
          <w:sz w:val="18"/>
          <w:szCs w:val="18"/>
        </w:rPr>
        <w:t xml:space="preserve"> </w:t>
      </w:r>
      <w:r w:rsidR="00BF638D" w:rsidRPr="00D75667">
        <w:rPr>
          <w:color w:val="000000" w:themeColor="text1"/>
          <w:sz w:val="18"/>
          <w:szCs w:val="18"/>
        </w:rPr>
        <w:t>ella</w:t>
      </w:r>
      <w:r w:rsidR="00BF638D" w:rsidRPr="00D75667">
        <w:rPr>
          <w:color w:val="000000" w:themeColor="text1"/>
          <w:spacing w:val="10"/>
          <w:sz w:val="18"/>
          <w:szCs w:val="18"/>
        </w:rPr>
        <w:t xml:space="preserve"> </w:t>
      </w:r>
      <w:r w:rsidR="00BF638D" w:rsidRPr="00D75667">
        <w:rPr>
          <w:color w:val="000000" w:themeColor="text1"/>
          <w:sz w:val="18"/>
          <w:szCs w:val="18"/>
        </w:rPr>
        <w:t>(complementar</w:t>
      </w:r>
      <w:r w:rsidR="00BF638D" w:rsidRPr="00D75667">
        <w:rPr>
          <w:color w:val="000000" w:themeColor="text1"/>
          <w:spacing w:val="11"/>
          <w:sz w:val="18"/>
          <w:szCs w:val="18"/>
        </w:rPr>
        <w:t xml:space="preserve"> </w:t>
      </w:r>
      <w:r w:rsidR="00BF638D" w:rsidRPr="00D75667">
        <w:rPr>
          <w:color w:val="000000" w:themeColor="text1"/>
          <w:sz w:val="18"/>
          <w:szCs w:val="18"/>
        </w:rPr>
        <w:t>certificaciones,</w:t>
      </w:r>
      <w:r w:rsidR="00BF638D" w:rsidRPr="00D75667">
        <w:rPr>
          <w:color w:val="000000" w:themeColor="text1"/>
          <w:spacing w:val="10"/>
          <w:sz w:val="18"/>
          <w:szCs w:val="18"/>
        </w:rPr>
        <w:t xml:space="preserve"> </w:t>
      </w:r>
      <w:r w:rsidR="00BF638D" w:rsidRPr="00D75667">
        <w:rPr>
          <w:color w:val="000000" w:themeColor="text1"/>
          <w:sz w:val="18"/>
          <w:szCs w:val="18"/>
        </w:rPr>
        <w:t>aclarar</w:t>
      </w:r>
      <w:r w:rsidR="00BF638D" w:rsidRPr="00D75667">
        <w:rPr>
          <w:color w:val="000000" w:themeColor="text1"/>
          <w:spacing w:val="7"/>
          <w:sz w:val="18"/>
          <w:szCs w:val="18"/>
        </w:rPr>
        <w:t xml:space="preserve"> </w:t>
      </w:r>
      <w:r w:rsidR="00BF638D" w:rsidRPr="00D75667">
        <w:rPr>
          <w:color w:val="000000" w:themeColor="text1"/>
          <w:sz w:val="18"/>
          <w:szCs w:val="18"/>
        </w:rPr>
        <w:t>fechas,</w:t>
      </w:r>
      <w:r w:rsidR="00BF638D" w:rsidRPr="00D75667">
        <w:rPr>
          <w:color w:val="000000" w:themeColor="text1"/>
          <w:spacing w:val="9"/>
          <w:sz w:val="18"/>
          <w:szCs w:val="18"/>
        </w:rPr>
        <w:t xml:space="preserve"> </w:t>
      </w:r>
      <w:r w:rsidR="00BF638D" w:rsidRPr="00D75667">
        <w:rPr>
          <w:color w:val="000000" w:themeColor="text1"/>
          <w:sz w:val="18"/>
          <w:szCs w:val="18"/>
        </w:rPr>
        <w:t>acreditación</w:t>
      </w:r>
      <w:r w:rsidR="00BF638D" w:rsidRPr="00D75667">
        <w:rPr>
          <w:color w:val="000000" w:themeColor="text1"/>
          <w:spacing w:val="10"/>
          <w:sz w:val="18"/>
          <w:szCs w:val="18"/>
        </w:rPr>
        <w:t xml:space="preserve"> </w:t>
      </w:r>
      <w:r w:rsidR="00BF638D" w:rsidRPr="00D75667">
        <w:rPr>
          <w:color w:val="000000" w:themeColor="text1"/>
          <w:sz w:val="18"/>
          <w:szCs w:val="18"/>
        </w:rPr>
        <w:t>de  la misma etc.); pero no podría, por vía de las normas en cita, extender el tiempo para avalar experiencia que sólo se llega a cumplir después del cierre del proceso contractual (…)”.</w:t>
      </w:r>
    </w:p>
    <w:p w14:paraId="60A95423" w14:textId="77777777" w:rsidR="00BF638D" w:rsidRPr="00D75667" w:rsidRDefault="00BF638D" w:rsidP="00BF638D">
      <w:pPr>
        <w:pStyle w:val="Textonotapie"/>
        <w:rPr>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378F" w14:textId="77777777" w:rsidR="00FB52E2" w:rsidRDefault="00417C33">
    <w:pPr>
      <w:pStyle w:val="Textoindependiente"/>
      <w:spacing w:line="14" w:lineRule="auto"/>
      <w:rPr>
        <w:sz w:val="20"/>
      </w:rPr>
    </w:pPr>
    <w:r>
      <w:rPr>
        <w:noProof/>
        <w:lang w:val="en-US"/>
      </w:rPr>
      <w:drawing>
        <wp:anchor distT="0" distB="0" distL="0" distR="0" simplePos="0" relativeHeight="251657216" behindDoc="1" locked="0" layoutInCell="1" allowOverlap="1" wp14:anchorId="3B7CC0A9" wp14:editId="3BF7EE22">
          <wp:simplePos x="0" y="0"/>
          <wp:positionH relativeFrom="page">
            <wp:posOffset>5304473</wp:posOffset>
          </wp:positionH>
          <wp:positionV relativeFrom="page">
            <wp:posOffset>286637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C54"/>
    <w:multiLevelType w:val="hybridMultilevel"/>
    <w:tmpl w:val="E4EE0E1C"/>
    <w:lvl w:ilvl="0" w:tplc="BF386A50">
      <w:start w:val="1"/>
      <w:numFmt w:val="lowerRoman"/>
      <w:lvlText w:val="%1)"/>
      <w:lvlJc w:val="left"/>
      <w:pPr>
        <w:ind w:left="405" w:hanging="295"/>
      </w:pPr>
      <w:rPr>
        <w:rFonts w:ascii="Arial" w:eastAsia="Arial" w:hAnsi="Arial" w:cs="Arial" w:hint="default"/>
        <w:color w:val="4E4D4D"/>
        <w:spacing w:val="-12"/>
        <w:w w:val="100"/>
        <w:sz w:val="22"/>
        <w:szCs w:val="22"/>
        <w:lang w:val="es-ES" w:eastAsia="en-US" w:bidi="ar-SA"/>
      </w:rPr>
    </w:lvl>
    <w:lvl w:ilvl="1" w:tplc="D8D0350A">
      <w:numFmt w:val="bullet"/>
      <w:lvlText w:val="•"/>
      <w:lvlJc w:val="left"/>
      <w:pPr>
        <w:ind w:left="1276" w:hanging="295"/>
      </w:pPr>
      <w:rPr>
        <w:rFonts w:hint="default"/>
        <w:lang w:val="es-ES" w:eastAsia="en-US" w:bidi="ar-SA"/>
      </w:rPr>
    </w:lvl>
    <w:lvl w:ilvl="2" w:tplc="4A68C9D4">
      <w:numFmt w:val="bullet"/>
      <w:lvlText w:val="•"/>
      <w:lvlJc w:val="left"/>
      <w:pPr>
        <w:ind w:left="2152" w:hanging="295"/>
      </w:pPr>
      <w:rPr>
        <w:rFonts w:hint="default"/>
        <w:lang w:val="es-ES" w:eastAsia="en-US" w:bidi="ar-SA"/>
      </w:rPr>
    </w:lvl>
    <w:lvl w:ilvl="3" w:tplc="78E429B2">
      <w:numFmt w:val="bullet"/>
      <w:lvlText w:val="•"/>
      <w:lvlJc w:val="left"/>
      <w:pPr>
        <w:ind w:left="3028" w:hanging="295"/>
      </w:pPr>
      <w:rPr>
        <w:rFonts w:hint="default"/>
        <w:lang w:val="es-ES" w:eastAsia="en-US" w:bidi="ar-SA"/>
      </w:rPr>
    </w:lvl>
    <w:lvl w:ilvl="4" w:tplc="1C7ACA98">
      <w:numFmt w:val="bullet"/>
      <w:lvlText w:val="•"/>
      <w:lvlJc w:val="left"/>
      <w:pPr>
        <w:ind w:left="3904" w:hanging="295"/>
      </w:pPr>
      <w:rPr>
        <w:rFonts w:hint="default"/>
        <w:lang w:val="es-ES" w:eastAsia="en-US" w:bidi="ar-SA"/>
      </w:rPr>
    </w:lvl>
    <w:lvl w:ilvl="5" w:tplc="CC64CBE4">
      <w:numFmt w:val="bullet"/>
      <w:lvlText w:val="•"/>
      <w:lvlJc w:val="left"/>
      <w:pPr>
        <w:ind w:left="4780" w:hanging="295"/>
      </w:pPr>
      <w:rPr>
        <w:rFonts w:hint="default"/>
        <w:lang w:val="es-ES" w:eastAsia="en-US" w:bidi="ar-SA"/>
      </w:rPr>
    </w:lvl>
    <w:lvl w:ilvl="6" w:tplc="8CDA1F66">
      <w:numFmt w:val="bullet"/>
      <w:lvlText w:val="•"/>
      <w:lvlJc w:val="left"/>
      <w:pPr>
        <w:ind w:left="5656" w:hanging="295"/>
      </w:pPr>
      <w:rPr>
        <w:rFonts w:hint="default"/>
        <w:lang w:val="es-ES" w:eastAsia="en-US" w:bidi="ar-SA"/>
      </w:rPr>
    </w:lvl>
    <w:lvl w:ilvl="7" w:tplc="EE96B982">
      <w:numFmt w:val="bullet"/>
      <w:lvlText w:val="•"/>
      <w:lvlJc w:val="left"/>
      <w:pPr>
        <w:ind w:left="6532" w:hanging="295"/>
      </w:pPr>
      <w:rPr>
        <w:rFonts w:hint="default"/>
        <w:lang w:val="es-ES" w:eastAsia="en-US" w:bidi="ar-SA"/>
      </w:rPr>
    </w:lvl>
    <w:lvl w:ilvl="8" w:tplc="4BCAD65E">
      <w:numFmt w:val="bullet"/>
      <w:lvlText w:val="•"/>
      <w:lvlJc w:val="left"/>
      <w:pPr>
        <w:ind w:left="7408" w:hanging="295"/>
      </w:pPr>
      <w:rPr>
        <w:rFonts w:hint="default"/>
        <w:lang w:val="es-ES" w:eastAsia="en-US" w:bidi="ar-SA"/>
      </w:rPr>
    </w:lvl>
  </w:abstractNum>
  <w:abstractNum w:abstractNumId="1" w15:restartNumberingAfterBreak="0">
    <w:nsid w:val="2AE2600A"/>
    <w:multiLevelType w:val="hybridMultilevel"/>
    <w:tmpl w:val="7A4C28FC"/>
    <w:lvl w:ilvl="0" w:tplc="BEF40678">
      <w:start w:val="1"/>
      <w:numFmt w:val="decimal"/>
      <w:lvlText w:val="%1."/>
      <w:lvlJc w:val="left"/>
      <w:pPr>
        <w:ind w:left="765" w:hanging="360"/>
      </w:pPr>
      <w:rPr>
        <w:rFonts w:hint="default"/>
        <w:b/>
        <w:bCs/>
        <w:spacing w:val="-2"/>
        <w:w w:val="100"/>
        <w:lang w:val="es-ES" w:eastAsia="en-US" w:bidi="ar-SA"/>
      </w:rPr>
    </w:lvl>
    <w:lvl w:ilvl="1" w:tplc="8A30FEB8">
      <w:start w:val="3"/>
      <w:numFmt w:val="decimal"/>
      <w:lvlText w:val="%2"/>
      <w:lvlJc w:val="left"/>
      <w:pPr>
        <w:ind w:left="120" w:hanging="150"/>
      </w:pPr>
      <w:rPr>
        <w:rFonts w:hint="default"/>
        <w:spacing w:val="-10"/>
        <w:w w:val="100"/>
        <w:position w:val="8"/>
        <w:lang w:val="es-ES" w:eastAsia="en-US" w:bidi="ar-SA"/>
      </w:rPr>
    </w:lvl>
    <w:lvl w:ilvl="2" w:tplc="6830553C">
      <w:numFmt w:val="bullet"/>
      <w:lvlText w:val="•"/>
      <w:lvlJc w:val="left"/>
      <w:pPr>
        <w:ind w:left="1693" w:hanging="150"/>
      </w:pPr>
      <w:rPr>
        <w:rFonts w:hint="default"/>
        <w:lang w:val="es-ES" w:eastAsia="en-US" w:bidi="ar-SA"/>
      </w:rPr>
    </w:lvl>
    <w:lvl w:ilvl="3" w:tplc="5F5CBCDA">
      <w:numFmt w:val="bullet"/>
      <w:lvlText w:val="•"/>
      <w:lvlJc w:val="left"/>
      <w:pPr>
        <w:ind w:left="2626" w:hanging="150"/>
      </w:pPr>
      <w:rPr>
        <w:rFonts w:hint="default"/>
        <w:lang w:val="es-ES" w:eastAsia="en-US" w:bidi="ar-SA"/>
      </w:rPr>
    </w:lvl>
    <w:lvl w:ilvl="4" w:tplc="8A74F2B6">
      <w:numFmt w:val="bullet"/>
      <w:lvlText w:val="•"/>
      <w:lvlJc w:val="left"/>
      <w:pPr>
        <w:ind w:left="3560" w:hanging="150"/>
      </w:pPr>
      <w:rPr>
        <w:rFonts w:hint="default"/>
        <w:lang w:val="es-ES" w:eastAsia="en-US" w:bidi="ar-SA"/>
      </w:rPr>
    </w:lvl>
    <w:lvl w:ilvl="5" w:tplc="E8941A0A">
      <w:numFmt w:val="bullet"/>
      <w:lvlText w:val="•"/>
      <w:lvlJc w:val="left"/>
      <w:pPr>
        <w:ind w:left="4493" w:hanging="150"/>
      </w:pPr>
      <w:rPr>
        <w:rFonts w:hint="default"/>
        <w:lang w:val="es-ES" w:eastAsia="en-US" w:bidi="ar-SA"/>
      </w:rPr>
    </w:lvl>
    <w:lvl w:ilvl="6" w:tplc="7868A234">
      <w:numFmt w:val="bullet"/>
      <w:lvlText w:val="•"/>
      <w:lvlJc w:val="left"/>
      <w:pPr>
        <w:ind w:left="5426" w:hanging="150"/>
      </w:pPr>
      <w:rPr>
        <w:rFonts w:hint="default"/>
        <w:lang w:val="es-ES" w:eastAsia="en-US" w:bidi="ar-SA"/>
      </w:rPr>
    </w:lvl>
    <w:lvl w:ilvl="7" w:tplc="2E18B322">
      <w:numFmt w:val="bullet"/>
      <w:lvlText w:val="•"/>
      <w:lvlJc w:val="left"/>
      <w:pPr>
        <w:ind w:left="6360" w:hanging="150"/>
      </w:pPr>
      <w:rPr>
        <w:rFonts w:hint="default"/>
        <w:lang w:val="es-ES" w:eastAsia="en-US" w:bidi="ar-SA"/>
      </w:rPr>
    </w:lvl>
    <w:lvl w:ilvl="8" w:tplc="C186CFD6">
      <w:numFmt w:val="bullet"/>
      <w:lvlText w:val="•"/>
      <w:lvlJc w:val="left"/>
      <w:pPr>
        <w:ind w:left="7293" w:hanging="15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E2"/>
    <w:rsid w:val="00086613"/>
    <w:rsid w:val="003863B6"/>
    <w:rsid w:val="00417C33"/>
    <w:rsid w:val="00592936"/>
    <w:rsid w:val="00684964"/>
    <w:rsid w:val="00692A67"/>
    <w:rsid w:val="006E0C72"/>
    <w:rsid w:val="00895E75"/>
    <w:rsid w:val="00BF638D"/>
    <w:rsid w:val="00D75667"/>
    <w:rsid w:val="00F301C8"/>
    <w:rsid w:val="00FB52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E95E"/>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765"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2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F638D"/>
    <w:rPr>
      <w:sz w:val="20"/>
      <w:szCs w:val="20"/>
    </w:rPr>
  </w:style>
  <w:style w:type="character" w:customStyle="1" w:styleId="TextonotapieCar">
    <w:name w:val="Texto nota pie Car"/>
    <w:basedOn w:val="Fuentedeprrafopredeter"/>
    <w:link w:val="Textonotapie"/>
    <w:uiPriority w:val="99"/>
    <w:semiHidden/>
    <w:rsid w:val="00BF638D"/>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F638D"/>
    <w:rPr>
      <w:vertAlign w:val="superscript"/>
    </w:rPr>
  </w:style>
  <w:style w:type="character" w:customStyle="1" w:styleId="TextoindependienteCar">
    <w:name w:val="Texto independiente Car"/>
    <w:basedOn w:val="Fuentedeprrafopredeter"/>
    <w:link w:val="Textoindependiente"/>
    <w:uiPriority w:val="1"/>
    <w:rsid w:val="00BF638D"/>
    <w:rPr>
      <w:rFonts w:ascii="Arial" w:eastAsia="Arial" w:hAnsi="Arial" w:cs="Arial"/>
      <w:lang w:val="es-ES"/>
    </w:rPr>
  </w:style>
  <w:style w:type="paragraph" w:styleId="Encabezado">
    <w:name w:val="header"/>
    <w:basedOn w:val="Normal"/>
    <w:link w:val="EncabezadoCar"/>
    <w:uiPriority w:val="99"/>
    <w:unhideWhenUsed/>
    <w:rsid w:val="00684964"/>
    <w:pPr>
      <w:tabs>
        <w:tab w:val="center" w:pos="4419"/>
        <w:tab w:val="right" w:pos="8838"/>
      </w:tabs>
    </w:pPr>
  </w:style>
  <w:style w:type="character" w:customStyle="1" w:styleId="EncabezadoCar">
    <w:name w:val="Encabezado Car"/>
    <w:basedOn w:val="Fuentedeprrafopredeter"/>
    <w:link w:val="Encabezado"/>
    <w:uiPriority w:val="99"/>
    <w:rsid w:val="00684964"/>
    <w:rPr>
      <w:rFonts w:ascii="Arial" w:eastAsia="Arial" w:hAnsi="Arial" w:cs="Arial"/>
      <w:lang w:val="es-ES"/>
    </w:rPr>
  </w:style>
  <w:style w:type="paragraph" w:styleId="Piedepgina">
    <w:name w:val="footer"/>
    <w:basedOn w:val="Normal"/>
    <w:link w:val="PiedepginaCar"/>
    <w:uiPriority w:val="99"/>
    <w:unhideWhenUsed/>
    <w:rsid w:val="00684964"/>
    <w:pPr>
      <w:tabs>
        <w:tab w:val="center" w:pos="4419"/>
        <w:tab w:val="right" w:pos="8838"/>
      </w:tabs>
    </w:pPr>
  </w:style>
  <w:style w:type="character" w:customStyle="1" w:styleId="PiedepginaCar">
    <w:name w:val="Pie de página Car"/>
    <w:basedOn w:val="Fuentedeprrafopredeter"/>
    <w:link w:val="Piedepgina"/>
    <w:uiPriority w:val="99"/>
    <w:rsid w:val="0068496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_pr00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_pr001.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alcaldiabogota.gov.co/sisjur/normas/Norma1.jsp?i=25678&amp;5.p.4" TargetMode="External"/><Relationship Id="rId3" Type="http://schemas.openxmlformats.org/officeDocument/2006/relationships/hyperlink" Target="https://www.alcaldiabogota.gov.co/sisjur/normas/Norma1.jsp?i=25678&amp;5.p.3" TargetMode="External"/><Relationship Id="rId7" Type="http://schemas.openxmlformats.org/officeDocument/2006/relationships/hyperlink" Target="https://www.alcaldiabogota.gov.co/sisjur/normas/Norma1.jsp?i=25678&amp;5.p.3" TargetMode="External"/><Relationship Id="rId2" Type="http://schemas.openxmlformats.org/officeDocument/2006/relationships/hyperlink" Target="https://www.alcaldiabogota.gov.co/sisjur/normas/Norma1.jsp?i=25678&amp;5.p.1" TargetMode="External"/><Relationship Id="rId1" Type="http://schemas.openxmlformats.org/officeDocument/2006/relationships/hyperlink" Target="http://www.secretariasenado.gov.co/senado/basedoc/ley_1150_2007.html" TargetMode="External"/><Relationship Id="rId6" Type="http://schemas.openxmlformats.org/officeDocument/2006/relationships/hyperlink" Target="https://www.alcaldiabogota.gov.co/sisjur/normas/Norma1.jsp?i=25678&amp;5.p.1" TargetMode="External"/><Relationship Id="rId5" Type="http://schemas.openxmlformats.org/officeDocument/2006/relationships/hyperlink" Target="https://www.alcaldiabogota.gov.co/sisjur/normas/Norma1.jsp?i=25678&amp;5.p.5" TargetMode="External"/><Relationship Id="rId4" Type="http://schemas.openxmlformats.org/officeDocument/2006/relationships/hyperlink" Target="https://www.alcaldiabogota.gov.co/sisjur/normas/Norma1.jsp?i=25678&amp;5.p.4" TargetMode="External"/><Relationship Id="rId9" Type="http://schemas.openxmlformats.org/officeDocument/2006/relationships/hyperlink" Target="https://www.alcaldiabogota.gov.co/sisjur/normas/Norma1.jsp?i=25678&amp;5.p.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F581-6691-4971-96EE-5B13CBBC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57D78-811A-47C9-B054-87910B8AAA76}">
  <ds:schemaRefs>
    <ds:schemaRef ds:uri="http://schemas.microsoft.com/sharepoint/v3/contenttype/forms"/>
  </ds:schemaRefs>
</ds:datastoreItem>
</file>

<file path=customXml/itemProps3.xml><?xml version="1.0" encoding="utf-8"?>
<ds:datastoreItem xmlns:ds="http://schemas.openxmlformats.org/officeDocument/2006/customXml" ds:itemID="{D4ADE7F6-CD02-4E05-9266-FAF8B1F9DCA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19C6BD1-4C04-434A-82E2-E6C27A76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3</cp:revision>
  <dcterms:created xsi:type="dcterms:W3CDTF">2020-08-13T17:56:00Z</dcterms:created>
  <dcterms:modified xsi:type="dcterms:W3CDTF">2020-08-13T18:33:00Z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