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00BC739B" w:rsidP="00BC739B" w:rsidRDefault="00BC739B" w14:paraId="590B1B6D" w14:textId="77777777">
      <w:pPr>
        <w:pStyle w:val="Textoindependiente"/>
        <w:ind w:left="301" w:right="306"/>
        <w:jc w:val="both"/>
        <w:rPr>
          <w:b/>
        </w:rPr>
      </w:pPr>
    </w:p>
    <w:p w:rsidRPr="00120709" w:rsidR="00557709" w:rsidP="00BC739B" w:rsidRDefault="00120709" w14:paraId="0189DEB9" w14:textId="6F4C3145">
      <w:pPr>
        <w:pStyle w:val="Textoindependiente"/>
        <w:ind w:left="301" w:right="306"/>
        <w:jc w:val="both"/>
        <w:rPr>
          <w:b/>
        </w:rPr>
      </w:pPr>
      <w:r>
        <w:rPr>
          <w:b/>
        </w:rPr>
        <w:t>ENTIDADES SIN ÁNIMO DE LUCRO</w:t>
      </w:r>
      <w:r w:rsidRPr="00120709" w:rsidR="00557709">
        <w:rPr>
          <w:b/>
        </w:rPr>
        <w:t xml:space="preserve"> –</w:t>
      </w:r>
      <w:r>
        <w:rPr>
          <w:b/>
        </w:rPr>
        <w:t xml:space="preserve"> Reconocida idoneidad – Contratación </w:t>
      </w:r>
      <w:r w:rsidRPr="00120709" w:rsidR="00557709">
        <w:rPr>
          <w:b/>
        </w:rPr>
        <w:t xml:space="preserve">– Regulación </w:t>
      </w:r>
    </w:p>
    <w:p w:rsidRPr="00120709" w:rsidR="00557709" w:rsidP="00BC739B" w:rsidRDefault="00557709" w14:paraId="0189DEBA" w14:textId="77777777">
      <w:pPr>
        <w:pStyle w:val="Textoindependiente"/>
        <w:ind w:left="301" w:right="306"/>
        <w:jc w:val="both"/>
      </w:pPr>
    </w:p>
    <w:p w:rsidRPr="00120709" w:rsidR="00557709" w:rsidP="00BC739B" w:rsidRDefault="00557709" w14:paraId="0189DEBB" w14:textId="77777777">
      <w:pPr>
        <w:pStyle w:val="Textoindependiente"/>
        <w:ind w:left="301" w:right="306"/>
        <w:jc w:val="both"/>
        <w:rPr>
          <w:sz w:val="20"/>
          <w:szCs w:val="20"/>
        </w:rPr>
      </w:pPr>
      <w:r w:rsidRPr="00120709">
        <w:rPr>
          <w:sz w:val="20"/>
          <w:szCs w:val="20"/>
        </w:rPr>
        <w:t>El decreto regula los aspectos fundamentales de la contratación derivada del 355 de la Constitución, por lo cual las entidades estatales deben utilizar exclusivamente esa norma, y solo en caso supletivo las “normas generales aplicables a la contratación pública”2. Teniendo esto en cuenta, se harán las consideraciones pertinentes respecto al RUP, y luego respecto de la experiencia de los socios.</w:t>
      </w:r>
    </w:p>
    <w:p w:rsidRPr="00120709" w:rsidR="00557709" w:rsidP="00BC739B" w:rsidRDefault="00557709" w14:paraId="0189DEBC" w14:textId="77777777">
      <w:pPr>
        <w:pStyle w:val="Textoindependiente"/>
        <w:ind w:left="301" w:right="306"/>
        <w:jc w:val="both"/>
      </w:pPr>
    </w:p>
    <w:p w:rsidRPr="00120709" w:rsidR="00557709" w:rsidP="51402CDF" w:rsidRDefault="00557709" w14:paraId="0189DEBD" w14:textId="3256BB55">
      <w:pPr>
        <w:pStyle w:val="Textoindependiente"/>
        <w:ind w:left="301" w:right="306"/>
        <w:jc w:val="both"/>
        <w:rPr>
          <w:b w:val="1"/>
          <w:bCs w:val="1"/>
        </w:rPr>
      </w:pPr>
      <w:r w:rsidRPr="51402CDF" w:rsidR="00557709">
        <w:rPr>
          <w:b w:val="1"/>
          <w:bCs w:val="1"/>
        </w:rPr>
        <w:t xml:space="preserve">REGISTRO </w:t>
      </w:r>
      <w:r w:rsidRPr="51402CDF" w:rsidR="28AC6F35">
        <w:rPr>
          <w:b w:val="1"/>
          <w:bCs w:val="1"/>
        </w:rPr>
        <w:t>Ú</w:t>
      </w:r>
      <w:r w:rsidRPr="51402CDF" w:rsidR="00557709">
        <w:rPr>
          <w:b w:val="1"/>
          <w:bCs w:val="1"/>
        </w:rPr>
        <w:t>NICO DE PROPONENTES – Plena prueba – Requisitos habilitantes</w:t>
      </w:r>
    </w:p>
    <w:p w:rsidRPr="00120709" w:rsidR="00557709" w:rsidP="00BC739B" w:rsidRDefault="00557709" w14:paraId="0189DEBE" w14:textId="77777777">
      <w:pPr>
        <w:pStyle w:val="Textoindependiente"/>
        <w:ind w:left="301" w:right="306"/>
        <w:jc w:val="both"/>
        <w:rPr>
          <w:b/>
        </w:rPr>
      </w:pPr>
    </w:p>
    <w:p w:rsidRPr="00120709" w:rsidR="00557709" w:rsidP="00BC739B" w:rsidRDefault="00557709" w14:paraId="0189DEBF" w14:textId="77777777">
      <w:pPr>
        <w:pStyle w:val="Textoindependiente"/>
        <w:ind w:left="301" w:right="306"/>
        <w:jc w:val="both"/>
        <w:rPr>
          <w:sz w:val="20"/>
          <w:szCs w:val="20"/>
        </w:rPr>
      </w:pPr>
      <w:r w:rsidRPr="00120709">
        <w:rPr>
          <w:sz w:val="20"/>
          <w:szCs w:val="20"/>
        </w:rPr>
        <w:t>Fue creado por el artículo 6 de la Ley 1150 de 20073, y se constituye como el medio idóneo para verificar las condiciones de los proponentes en procesos de contratación pública. El Certificado del RUP es plena prueba de los requisitos habilitantes, a los que se refiere el artículo 5 de la Ley 1150 de 2007.</w:t>
      </w:r>
    </w:p>
    <w:p w:rsidRPr="00120709" w:rsidR="00557709" w:rsidP="00BC739B" w:rsidRDefault="00557709" w14:paraId="0189DEC0" w14:textId="77777777">
      <w:pPr>
        <w:pStyle w:val="Textoindependiente"/>
        <w:ind w:left="301" w:right="306"/>
        <w:jc w:val="both"/>
        <w:rPr>
          <w:b/>
        </w:rPr>
      </w:pPr>
    </w:p>
    <w:p w:rsidRPr="00120709" w:rsidR="00557709" w:rsidP="51402CDF" w:rsidRDefault="00557709" w14:paraId="0189DEC1" w14:textId="11364A11">
      <w:pPr>
        <w:pStyle w:val="Textoindependiente"/>
        <w:ind w:left="301" w:right="306"/>
        <w:jc w:val="both"/>
        <w:rPr>
          <w:b w:val="1"/>
          <w:bCs w:val="1"/>
        </w:rPr>
      </w:pPr>
      <w:r w:rsidRPr="51402CDF" w:rsidR="00557709">
        <w:rPr>
          <w:b w:val="1"/>
          <w:bCs w:val="1"/>
        </w:rPr>
        <w:t>DECRETO 092 DE 2017 –</w:t>
      </w:r>
      <w:r w:rsidRPr="51402CDF" w:rsidR="00120709">
        <w:rPr>
          <w:b w:val="1"/>
          <w:bCs w:val="1"/>
        </w:rPr>
        <w:t xml:space="preserve"> </w:t>
      </w:r>
      <w:r w:rsidRPr="51402CDF" w:rsidR="163D0039">
        <w:rPr>
          <w:b w:val="1"/>
          <w:bCs w:val="1"/>
        </w:rPr>
        <w:t>Exigibilidad del</w:t>
      </w:r>
      <w:r w:rsidRPr="51402CDF" w:rsidR="00120709">
        <w:rPr>
          <w:b w:val="1"/>
          <w:bCs w:val="1"/>
        </w:rPr>
        <w:t xml:space="preserve"> RUP –</w:t>
      </w:r>
      <w:r w:rsidRPr="51402CDF" w:rsidR="00557709">
        <w:rPr>
          <w:b w:val="1"/>
          <w:bCs w:val="1"/>
        </w:rPr>
        <w:t xml:space="preserve"> Exclusión </w:t>
      </w:r>
    </w:p>
    <w:p w:rsidRPr="00120709" w:rsidR="00557709" w:rsidP="00BC739B" w:rsidRDefault="00557709" w14:paraId="0189DEC2" w14:textId="77777777">
      <w:pPr>
        <w:pStyle w:val="Textoindependiente"/>
        <w:ind w:left="301" w:right="306"/>
        <w:jc w:val="both"/>
      </w:pPr>
    </w:p>
    <w:p w:rsidRPr="00120709" w:rsidR="00557709" w:rsidP="00BC739B" w:rsidRDefault="00557709" w14:paraId="0189DEC3" w14:textId="77777777">
      <w:pPr>
        <w:pStyle w:val="Textoindependiente"/>
        <w:ind w:left="301" w:right="306"/>
        <w:jc w:val="both"/>
      </w:pPr>
      <w:r w:rsidRPr="00120709">
        <w:rPr>
          <w:sz w:val="20"/>
          <w:szCs w:val="20"/>
        </w:rPr>
        <w:t>El Decreto 92 de 2017, en el artículo 10, tiene una regla especial y excluye el uso del Registro Único de Proponentes para l</w:t>
      </w:r>
      <w:r w:rsidR="00120709">
        <w:rPr>
          <w:sz w:val="20"/>
          <w:szCs w:val="20"/>
        </w:rPr>
        <w:t>a contratación reglamentada. L</w:t>
      </w:r>
      <w:r w:rsidRPr="00120709">
        <w:rPr>
          <w:sz w:val="20"/>
          <w:szCs w:val="20"/>
        </w:rPr>
        <w:t>as entidades estatales que contratan con fundamento en el artículo 355 de la Constitución no deben exigir RUP a los contratistas ni a los proponentes. En estos procesos de contratación, el RUP no es un requisito habilitante, por lo tanto, si una ESAL no posee RUP no puede ser rechazada.</w:t>
      </w:r>
    </w:p>
    <w:p w:rsidRPr="00120709" w:rsidR="00557709" w:rsidP="00BC739B" w:rsidRDefault="00557709" w14:paraId="0189DEC4" w14:textId="77777777">
      <w:pPr>
        <w:pStyle w:val="Textoindependiente"/>
        <w:ind w:left="301" w:right="306"/>
        <w:jc w:val="both"/>
      </w:pPr>
    </w:p>
    <w:p w:rsidRPr="00120709" w:rsidR="00557709" w:rsidP="51402CDF" w:rsidRDefault="00557709" w14:paraId="0189DEC5" w14:textId="57E06DDF">
      <w:pPr>
        <w:pStyle w:val="Textoindependiente"/>
        <w:ind w:left="301" w:right="306"/>
        <w:jc w:val="both"/>
        <w:rPr>
          <w:b w:val="1"/>
          <w:bCs w:val="1"/>
        </w:rPr>
      </w:pPr>
      <w:r w:rsidRPr="51402CDF" w:rsidR="00557709">
        <w:rPr>
          <w:b w:val="1"/>
          <w:bCs w:val="1"/>
        </w:rPr>
        <w:t>DECRETO 092 DE 2017 – Socios</w:t>
      </w:r>
      <w:r w:rsidRPr="51402CDF" w:rsidR="2DAA9E51">
        <w:rPr>
          <w:b w:val="1"/>
          <w:bCs w:val="1"/>
        </w:rPr>
        <w:t xml:space="preserve"> –</w:t>
      </w:r>
      <w:r w:rsidRPr="51402CDF" w:rsidR="00557709">
        <w:rPr>
          <w:b w:val="1"/>
          <w:bCs w:val="1"/>
        </w:rPr>
        <w:t xml:space="preserve"> ESAL – RUP</w:t>
      </w:r>
    </w:p>
    <w:p w:rsidRPr="00120709" w:rsidR="00557709" w:rsidP="00BC739B" w:rsidRDefault="00557709" w14:paraId="0189DEC6" w14:textId="77777777">
      <w:pPr>
        <w:pStyle w:val="Textoindependiente"/>
        <w:ind w:left="301" w:right="306"/>
        <w:jc w:val="both"/>
      </w:pPr>
    </w:p>
    <w:p w:rsidRPr="00120709" w:rsidR="00557709" w:rsidP="00BC739B" w:rsidRDefault="00557709" w14:paraId="0189DEC7" w14:textId="77777777">
      <w:pPr>
        <w:pStyle w:val="Textoindependiente"/>
        <w:ind w:left="301" w:right="306"/>
        <w:jc w:val="both"/>
        <w:rPr>
          <w:sz w:val="20"/>
          <w:szCs w:val="20"/>
        </w:rPr>
      </w:pPr>
      <w:r w:rsidRPr="00120709">
        <w:rPr>
          <w:sz w:val="20"/>
          <w:szCs w:val="20"/>
        </w:rPr>
        <w:t>El Decreto 92 de 2017 no se opone a que las entidades estatales definan una regla para que las ESAL presenten la experiencia de sus constituyentes, pero en este caso corresponde a la entidad la verificación directa de la experiencia y demás condiciones de los proponentes5, pues como ya se ha dicho en estos procesos no deben utilizar el RUP.</w:t>
      </w:r>
    </w:p>
    <w:p w:rsidRPr="00120709" w:rsidR="00F17A75" w:rsidP="00BC739B" w:rsidRDefault="00F17A75" w14:paraId="0189DEC8" w14:textId="77777777">
      <w:pPr>
        <w:pStyle w:val="Textoindependiente"/>
        <w:rPr>
          <w:rFonts w:ascii="Times New Roman"/>
          <w:sz w:val="20"/>
        </w:rPr>
      </w:pPr>
    </w:p>
    <w:p w:rsidRPr="00120709" w:rsidR="00F17A75" w:rsidP="00BC739B" w:rsidRDefault="00F17A75" w14:paraId="0189DEC9" w14:textId="77777777">
      <w:pPr>
        <w:pStyle w:val="Textoindependiente"/>
        <w:rPr>
          <w:rFonts w:ascii="Times New Roman"/>
          <w:sz w:val="20"/>
        </w:rPr>
      </w:pPr>
    </w:p>
    <w:p w:rsidRPr="00120709" w:rsidR="00F17A75" w:rsidP="00BC739B" w:rsidRDefault="00F17A75" w14:paraId="0189DECA" w14:textId="77777777">
      <w:pPr>
        <w:pStyle w:val="Textoindependiente"/>
        <w:rPr>
          <w:rFonts w:ascii="Times New Roman"/>
          <w:sz w:val="20"/>
        </w:rPr>
      </w:pPr>
    </w:p>
    <w:p w:rsidRPr="00120709" w:rsidR="00F17A75" w:rsidP="00BC739B" w:rsidRDefault="00165A45" w14:paraId="0189DECB" w14:textId="77777777">
      <w:pPr>
        <w:ind w:left="300"/>
        <w:rPr>
          <w:b/>
        </w:rPr>
      </w:pPr>
      <w:r w:rsidRPr="00120709">
        <w:t xml:space="preserve">Bogotá D.C., </w:t>
      </w:r>
      <w:r w:rsidRPr="00120709">
        <w:rPr>
          <w:b/>
        </w:rPr>
        <w:t>12/11/2019 Hora 17:51:15s</w:t>
      </w:r>
    </w:p>
    <w:p w:rsidRPr="00120709" w:rsidR="00F17A75" w:rsidRDefault="00165A45" w14:paraId="0189DECC" w14:textId="77777777">
      <w:pPr>
        <w:pStyle w:val="Ttulo1"/>
        <w:spacing w:before="37"/>
        <w:ind w:left="5839" w:firstLine="0"/>
      </w:pPr>
      <w:r w:rsidRPr="00120709">
        <w:t>N° Radicado: 2201913000008406</w:t>
      </w:r>
    </w:p>
    <w:p w:rsidRPr="00120709" w:rsidR="00F17A75" w:rsidRDefault="00F17A75" w14:paraId="0189DECD" w14:textId="77777777">
      <w:pPr>
        <w:pStyle w:val="Textoindependiente"/>
        <w:spacing w:before="7"/>
        <w:rPr>
          <w:b/>
          <w:sz w:val="20"/>
        </w:rPr>
      </w:pPr>
    </w:p>
    <w:p w:rsidRPr="00120709" w:rsidR="00F17A75" w:rsidRDefault="00165A45" w14:paraId="0189DECE" w14:textId="77777777">
      <w:pPr>
        <w:pStyle w:val="Textoindependiente"/>
        <w:spacing w:before="93"/>
        <w:ind w:left="300"/>
      </w:pPr>
      <w:r w:rsidRPr="00120709">
        <w:t>Señor</w:t>
      </w:r>
    </w:p>
    <w:p w:rsidRPr="00120709" w:rsidR="00F17A75" w:rsidRDefault="00165A45" w14:paraId="0189DECF" w14:textId="77777777">
      <w:pPr>
        <w:pStyle w:val="Ttulo1"/>
        <w:spacing w:before="37"/>
        <w:ind w:left="300" w:firstLine="0"/>
      </w:pPr>
      <w:r w:rsidRPr="00120709">
        <w:t xml:space="preserve">Edwin González </w:t>
      </w:r>
      <w:proofErr w:type="spellStart"/>
      <w:r w:rsidRPr="00120709">
        <w:t>Kerguelén</w:t>
      </w:r>
      <w:proofErr w:type="spellEnd"/>
    </w:p>
    <w:p w:rsidRPr="00120709" w:rsidR="00F17A75" w:rsidRDefault="00165A45" w14:paraId="0189DED0" w14:textId="77777777">
      <w:pPr>
        <w:pStyle w:val="Textoindependiente"/>
        <w:spacing w:before="39"/>
        <w:ind w:left="300"/>
      </w:pPr>
      <w:r w:rsidRPr="00120709">
        <w:t>Ciudad</w:t>
      </w:r>
    </w:p>
    <w:p w:rsidRPr="00120709" w:rsidR="00F17A75" w:rsidRDefault="00F17A75" w14:paraId="0189DED1" w14:textId="77777777">
      <w:pPr>
        <w:pStyle w:val="Textoindependiente"/>
        <w:rPr>
          <w:sz w:val="20"/>
        </w:rPr>
      </w:pPr>
    </w:p>
    <w:p w:rsidRPr="00120709" w:rsidR="00F17A75" w:rsidRDefault="00F17A75" w14:paraId="0189DED2" w14:textId="77777777">
      <w:pPr>
        <w:pStyle w:val="Textoindependiente"/>
        <w:rPr>
          <w:sz w:val="20"/>
        </w:rPr>
      </w:pPr>
    </w:p>
    <w:p w:rsidRPr="00120709" w:rsidR="00F17A75" w:rsidRDefault="00F17A75" w14:paraId="0189DED3" w14:textId="77777777">
      <w:pPr>
        <w:pStyle w:val="Textoindependiente"/>
        <w:spacing w:before="6"/>
        <w:rPr>
          <w:sz w:val="14"/>
        </w:rPr>
      </w:pPr>
    </w:p>
    <w:tbl>
      <w:tblPr>
        <w:tblStyle w:val="TableNormal"/>
        <w:tblW w:w="0" w:type="auto"/>
        <w:tblInd w:w="108" w:type="dxa"/>
        <w:tblLayout w:type="fixed"/>
        <w:tblLook w:val="01E0" w:firstRow="1" w:lastRow="1" w:firstColumn="1" w:lastColumn="1" w:noHBand="0" w:noVBand="0"/>
      </w:tblPr>
      <w:tblGrid>
        <w:gridCol w:w="3196"/>
        <w:gridCol w:w="6127"/>
      </w:tblGrid>
      <w:tr w:rsidRPr="00120709" w:rsidR="00120709" w14:paraId="0189DED6" w14:textId="77777777">
        <w:trPr>
          <w:trHeight w:val="267"/>
        </w:trPr>
        <w:tc>
          <w:tcPr>
            <w:tcW w:w="3196" w:type="dxa"/>
          </w:tcPr>
          <w:p w:rsidRPr="00120709" w:rsidR="00F17A75" w:rsidRDefault="00165A45" w14:paraId="0189DED4" w14:textId="77777777">
            <w:pPr>
              <w:pStyle w:val="TableParagraph"/>
              <w:spacing w:before="0" w:line="246" w:lineRule="exact"/>
              <w:ind w:left="200"/>
              <w:rPr>
                <w:b/>
              </w:rPr>
            </w:pPr>
            <w:r w:rsidRPr="00120709">
              <w:rPr>
                <w:b/>
              </w:rPr>
              <w:t>Radicación:</w:t>
            </w:r>
          </w:p>
        </w:tc>
        <w:tc>
          <w:tcPr>
            <w:tcW w:w="6127" w:type="dxa"/>
          </w:tcPr>
          <w:p w:rsidRPr="00120709" w:rsidR="00F17A75" w:rsidRDefault="00165A45" w14:paraId="0189DED5" w14:textId="77777777">
            <w:pPr>
              <w:pStyle w:val="TableParagraph"/>
              <w:spacing w:before="0" w:line="246" w:lineRule="exact"/>
            </w:pPr>
            <w:r w:rsidRPr="00120709">
              <w:t>Respuesta a consulta # 4201913000007132</w:t>
            </w:r>
          </w:p>
        </w:tc>
      </w:tr>
      <w:tr w:rsidRPr="00120709" w:rsidR="00120709" w14:paraId="0189DED9" w14:textId="77777777">
        <w:trPr>
          <w:trHeight w:val="289"/>
        </w:trPr>
        <w:tc>
          <w:tcPr>
            <w:tcW w:w="3196" w:type="dxa"/>
          </w:tcPr>
          <w:p w:rsidRPr="00120709" w:rsidR="00F17A75" w:rsidRDefault="00165A45" w14:paraId="0189DED7" w14:textId="77777777">
            <w:pPr>
              <w:pStyle w:val="TableParagraph"/>
              <w:ind w:left="200"/>
              <w:rPr>
                <w:b/>
              </w:rPr>
            </w:pPr>
            <w:r w:rsidRPr="00120709">
              <w:rPr>
                <w:b/>
              </w:rPr>
              <w:t>Temas:</w:t>
            </w:r>
          </w:p>
        </w:tc>
        <w:tc>
          <w:tcPr>
            <w:tcW w:w="6127" w:type="dxa"/>
          </w:tcPr>
          <w:p w:rsidRPr="00120709" w:rsidR="00F17A75" w:rsidRDefault="00165A45" w14:paraId="0189DED8" w14:textId="77777777">
            <w:pPr>
              <w:pStyle w:val="TableParagraph"/>
            </w:pPr>
            <w:r w:rsidRPr="00120709">
              <w:t>Decreto 92 de 2017</w:t>
            </w:r>
          </w:p>
        </w:tc>
      </w:tr>
      <w:tr w:rsidRPr="00120709" w:rsidR="00F17A75" w14:paraId="0189DEDD" w14:textId="77777777">
        <w:trPr>
          <w:trHeight w:val="560"/>
        </w:trPr>
        <w:tc>
          <w:tcPr>
            <w:tcW w:w="3196" w:type="dxa"/>
          </w:tcPr>
          <w:p w:rsidRPr="00120709" w:rsidR="00F17A75" w:rsidRDefault="00165A45" w14:paraId="0189DEDA" w14:textId="77777777">
            <w:pPr>
              <w:pStyle w:val="TableParagraph"/>
              <w:ind w:left="200"/>
              <w:rPr>
                <w:b/>
              </w:rPr>
            </w:pPr>
            <w:r w:rsidRPr="00120709">
              <w:rPr>
                <w:b/>
              </w:rPr>
              <w:t>Tipo de asunto consultado:</w:t>
            </w:r>
          </w:p>
        </w:tc>
        <w:tc>
          <w:tcPr>
            <w:tcW w:w="6127" w:type="dxa"/>
          </w:tcPr>
          <w:p w:rsidRPr="00120709" w:rsidR="00F17A75" w:rsidRDefault="00165A45" w14:paraId="0189DEDB" w14:textId="77777777">
            <w:pPr>
              <w:pStyle w:val="TableParagraph"/>
            </w:pPr>
            <w:r w:rsidRPr="00120709">
              <w:t>RUP y experiencia en procesos de contratación regidos</w:t>
            </w:r>
          </w:p>
          <w:p w:rsidRPr="00120709" w:rsidR="00F17A75" w:rsidRDefault="00165A45" w14:paraId="0189DEDC" w14:textId="77777777">
            <w:pPr>
              <w:pStyle w:val="TableParagraph"/>
              <w:spacing w:before="39" w:line="233" w:lineRule="exact"/>
            </w:pPr>
            <w:r w:rsidRPr="00120709">
              <w:t>por el Decreto 92 de 2017</w:t>
            </w:r>
          </w:p>
        </w:tc>
      </w:tr>
    </w:tbl>
    <w:p w:rsidRPr="00120709" w:rsidR="00F17A75" w:rsidRDefault="00F17A75" w14:paraId="0189DEDE" w14:textId="77777777">
      <w:pPr>
        <w:pStyle w:val="Textoindependiente"/>
        <w:rPr>
          <w:sz w:val="20"/>
        </w:rPr>
      </w:pPr>
    </w:p>
    <w:p w:rsidRPr="00120709" w:rsidR="00F17A75" w:rsidRDefault="00F17A75" w14:paraId="0189DEDF" w14:textId="77777777">
      <w:pPr>
        <w:pStyle w:val="Textoindependiente"/>
        <w:spacing w:before="9"/>
        <w:rPr>
          <w:sz w:val="25"/>
        </w:rPr>
      </w:pPr>
    </w:p>
    <w:p w:rsidRPr="00120709" w:rsidR="00F17A75" w:rsidRDefault="00165A45" w14:paraId="0189DEE0" w14:textId="77777777">
      <w:pPr>
        <w:pStyle w:val="Textoindependiente"/>
        <w:spacing w:before="93"/>
        <w:ind w:left="300"/>
        <w:jc w:val="both"/>
      </w:pPr>
      <w:r w:rsidRPr="00120709">
        <w:lastRenderedPageBreak/>
        <w:t>Estimado señor González,</w:t>
      </w:r>
    </w:p>
    <w:p w:rsidRPr="00120709" w:rsidR="00F17A75" w:rsidRDefault="00F17A75" w14:paraId="0189DEE1" w14:textId="77777777">
      <w:pPr>
        <w:pStyle w:val="Textoindependiente"/>
        <w:spacing w:before="7"/>
        <w:rPr>
          <w:sz w:val="28"/>
        </w:rPr>
      </w:pPr>
    </w:p>
    <w:p w:rsidRPr="00120709" w:rsidR="00F17A75" w:rsidRDefault="00165A45" w14:paraId="0189DEE2" w14:textId="77777777">
      <w:pPr>
        <w:pStyle w:val="Textoindependiente"/>
        <w:spacing w:line="276" w:lineRule="auto"/>
        <w:ind w:left="300" w:right="304"/>
        <w:jc w:val="both"/>
      </w:pPr>
      <w:r w:rsidRPr="00120709">
        <w:t>La Agencia Nacional de Contratación Pública -Colombia Compra Eficiente- responde su consulta del 17 de octubre de 2019, en ejercicio de la competencia otorgada por el numeral 8 del artículo 11 y el numeral 5 del artículo 3 del Decreto Ley 4170 de 2011.</w:t>
      </w:r>
    </w:p>
    <w:p w:rsidRPr="00120709" w:rsidR="00F17A75" w:rsidRDefault="00F17A75" w14:paraId="0189DEE3" w14:textId="77777777">
      <w:pPr>
        <w:pStyle w:val="Textoindependiente"/>
        <w:spacing w:before="3"/>
        <w:rPr>
          <w:sz w:val="25"/>
        </w:rPr>
      </w:pPr>
    </w:p>
    <w:p w:rsidRPr="00120709" w:rsidR="00F17A75" w:rsidRDefault="00165A45" w14:paraId="0189DEE4" w14:textId="77777777">
      <w:pPr>
        <w:pStyle w:val="Ttulo1"/>
        <w:numPr>
          <w:ilvl w:val="0"/>
          <w:numId w:val="3"/>
        </w:numPr>
        <w:tabs>
          <w:tab w:val="left" w:pos="661"/>
        </w:tabs>
        <w:ind w:hanging="361"/>
      </w:pPr>
      <w:r w:rsidRPr="00120709">
        <w:t>Problema</w:t>
      </w:r>
      <w:r w:rsidRPr="00120709">
        <w:rPr>
          <w:spacing w:val="-2"/>
        </w:rPr>
        <w:t xml:space="preserve"> </w:t>
      </w:r>
      <w:r w:rsidRPr="00120709">
        <w:t>Planteado</w:t>
      </w:r>
    </w:p>
    <w:p w:rsidRPr="00120709" w:rsidR="00F17A75" w:rsidRDefault="00F17A75" w14:paraId="0189DEE5" w14:textId="77777777">
      <w:pPr>
        <w:pStyle w:val="Textoindependiente"/>
        <w:spacing w:before="7"/>
        <w:rPr>
          <w:b/>
          <w:sz w:val="28"/>
        </w:rPr>
      </w:pPr>
    </w:p>
    <w:p w:rsidRPr="00120709" w:rsidR="00F17A75" w:rsidRDefault="00165A45" w14:paraId="0189DEE6" w14:textId="77777777">
      <w:pPr>
        <w:pStyle w:val="Textoindependiente"/>
        <w:spacing w:before="1" w:line="276" w:lineRule="auto"/>
        <w:ind w:left="300" w:right="303"/>
        <w:jc w:val="both"/>
      </w:pPr>
      <w:r w:rsidRPr="00120709">
        <w:t>Dentro de un proceso de contratación regulado por el Decreto 92 de 2017: I) ¿es exigible el Registro Único de Proponentes?, II) ¿es viable acreditar la experiencia de los constituyentes, tal como lo regula el Decreto 1082 de 2015, articulo 2.2.1.1.1.5.2?</w:t>
      </w:r>
    </w:p>
    <w:p w:rsidRPr="00120709" w:rsidR="00F17A75" w:rsidRDefault="00F17A75" w14:paraId="0189DEE7" w14:textId="77777777">
      <w:pPr>
        <w:pStyle w:val="Textoindependiente"/>
        <w:spacing w:before="2"/>
        <w:rPr>
          <w:sz w:val="25"/>
        </w:rPr>
      </w:pPr>
    </w:p>
    <w:p w:rsidRPr="00120709" w:rsidR="00F17A75" w:rsidRDefault="00165A45" w14:paraId="0189DEE8" w14:textId="77777777">
      <w:pPr>
        <w:pStyle w:val="Ttulo1"/>
        <w:numPr>
          <w:ilvl w:val="0"/>
          <w:numId w:val="3"/>
        </w:numPr>
        <w:tabs>
          <w:tab w:val="left" w:pos="661"/>
        </w:tabs>
        <w:ind w:hanging="361"/>
      </w:pPr>
      <w:r w:rsidRPr="00120709">
        <w:t>Consideraciones</w:t>
      </w:r>
    </w:p>
    <w:p w:rsidRPr="00120709" w:rsidR="00F17A75" w:rsidRDefault="00F17A75" w14:paraId="0189DEE9" w14:textId="77777777">
      <w:pPr>
        <w:pStyle w:val="Textoindependiente"/>
        <w:spacing w:before="8"/>
        <w:rPr>
          <w:b/>
          <w:sz w:val="28"/>
        </w:rPr>
      </w:pPr>
    </w:p>
    <w:p w:rsidRPr="00120709" w:rsidR="00F17A75" w:rsidP="00557709" w:rsidRDefault="00165A45" w14:paraId="0189DEEA" w14:textId="77777777">
      <w:pPr>
        <w:pStyle w:val="Textoindependiente"/>
        <w:spacing w:line="278" w:lineRule="auto"/>
        <w:ind w:left="300" w:right="309"/>
        <w:jc w:val="both"/>
      </w:pPr>
      <w:r w:rsidRPr="00120709">
        <w:t>El Decreto 92 de 2017 fue expedido en virtud de la autorización contenida en el artículo 355</w:t>
      </w:r>
      <w:r w:rsidRPr="00120709">
        <w:rPr>
          <w:spacing w:val="28"/>
        </w:rPr>
        <w:t xml:space="preserve"> </w:t>
      </w:r>
      <w:r w:rsidRPr="00120709">
        <w:t>de</w:t>
      </w:r>
      <w:r w:rsidRPr="00120709">
        <w:rPr>
          <w:spacing w:val="28"/>
        </w:rPr>
        <w:t xml:space="preserve"> </w:t>
      </w:r>
      <w:r w:rsidRPr="00120709">
        <w:t>la</w:t>
      </w:r>
      <w:r w:rsidRPr="00120709">
        <w:rPr>
          <w:spacing w:val="25"/>
        </w:rPr>
        <w:t xml:space="preserve"> </w:t>
      </w:r>
      <w:r w:rsidRPr="00120709">
        <w:t>Constitución</w:t>
      </w:r>
      <w:r w:rsidRPr="00120709">
        <w:rPr>
          <w:spacing w:val="31"/>
        </w:rPr>
        <w:t xml:space="preserve"> </w:t>
      </w:r>
      <w:r w:rsidRPr="00120709">
        <w:t>Política</w:t>
      </w:r>
      <w:r w:rsidRPr="00120709" w:rsidR="00557709">
        <w:rPr>
          <w:rStyle w:val="Refdenotaalpie"/>
        </w:rPr>
        <w:footnoteReference w:id="1"/>
      </w:r>
      <w:r w:rsidRPr="00120709">
        <w:t>,</w:t>
      </w:r>
      <w:r w:rsidRPr="00120709">
        <w:rPr>
          <w:spacing w:val="27"/>
        </w:rPr>
        <w:t xml:space="preserve"> </w:t>
      </w:r>
      <w:r w:rsidRPr="00120709">
        <w:t>y</w:t>
      </w:r>
      <w:r w:rsidRPr="00120709">
        <w:rPr>
          <w:spacing w:val="25"/>
        </w:rPr>
        <w:t xml:space="preserve"> </w:t>
      </w:r>
      <w:r w:rsidRPr="00120709">
        <w:t>su</w:t>
      </w:r>
      <w:r w:rsidRPr="00120709">
        <w:rPr>
          <w:spacing w:val="28"/>
        </w:rPr>
        <w:t xml:space="preserve"> </w:t>
      </w:r>
      <w:r w:rsidRPr="00120709">
        <w:t>aplicación</w:t>
      </w:r>
      <w:r w:rsidRPr="00120709">
        <w:rPr>
          <w:spacing w:val="25"/>
        </w:rPr>
        <w:t xml:space="preserve"> </w:t>
      </w:r>
      <w:r w:rsidRPr="00120709">
        <w:t>está</w:t>
      </w:r>
      <w:r w:rsidRPr="00120709">
        <w:rPr>
          <w:spacing w:val="28"/>
        </w:rPr>
        <w:t xml:space="preserve"> </w:t>
      </w:r>
      <w:r w:rsidRPr="00120709">
        <w:t>restringida</w:t>
      </w:r>
      <w:r w:rsidRPr="00120709">
        <w:rPr>
          <w:spacing w:val="28"/>
        </w:rPr>
        <w:t xml:space="preserve"> </w:t>
      </w:r>
      <w:r w:rsidRPr="00120709">
        <w:t>a:</w:t>
      </w:r>
      <w:r w:rsidRPr="00120709">
        <w:rPr>
          <w:spacing w:val="27"/>
        </w:rPr>
        <w:t xml:space="preserve"> </w:t>
      </w:r>
      <w:r w:rsidRPr="00120709">
        <w:t>i)</w:t>
      </w:r>
      <w:r w:rsidRPr="00120709">
        <w:rPr>
          <w:spacing w:val="27"/>
        </w:rPr>
        <w:t xml:space="preserve"> </w:t>
      </w:r>
      <w:r w:rsidRPr="00120709">
        <w:t>la</w:t>
      </w:r>
      <w:r w:rsidRPr="00120709">
        <w:rPr>
          <w:spacing w:val="25"/>
        </w:rPr>
        <w:t xml:space="preserve"> </w:t>
      </w:r>
      <w:r w:rsidRPr="00120709">
        <w:t>contratación</w:t>
      </w:r>
      <w:r w:rsidRPr="00120709">
        <w:rPr>
          <w:spacing w:val="29"/>
        </w:rPr>
        <w:t xml:space="preserve"> </w:t>
      </w:r>
      <w:r w:rsidRPr="00120709">
        <w:t>con</w:t>
      </w:r>
      <w:r w:rsidRPr="00120709" w:rsidR="00557709">
        <w:t xml:space="preserve"> </w:t>
      </w:r>
      <w:r w:rsidRPr="00120709">
        <w:t>Entidades sin Ánimo de Lucro - ESAL para impulsar programas y actividades de interés público acordes con los respectivos planes de desarrollo y ii) la contratación a la cual por expresa disposición del legislador le es aplicable este régimen, como el caso de los convenios de asociación de los que trata el artículo 96 de la Ley 489 de 1998.</w:t>
      </w:r>
    </w:p>
    <w:p w:rsidRPr="00120709" w:rsidR="00F17A75" w:rsidRDefault="00F17A75" w14:paraId="0189DEEB" w14:textId="77777777">
      <w:pPr>
        <w:pStyle w:val="Textoindependiente"/>
        <w:spacing w:before="4"/>
        <w:rPr>
          <w:sz w:val="25"/>
        </w:rPr>
      </w:pPr>
    </w:p>
    <w:p w:rsidRPr="00120709" w:rsidR="00F17A75" w:rsidRDefault="00165A45" w14:paraId="0189DEEC" w14:textId="77777777">
      <w:pPr>
        <w:pStyle w:val="Textoindependiente"/>
        <w:spacing w:line="276" w:lineRule="auto"/>
        <w:ind w:left="300" w:right="303"/>
        <w:jc w:val="both"/>
      </w:pPr>
      <w:r w:rsidRPr="00120709">
        <w:t>El decreto regula los aspectos fundamentales de la contratación derivada del 355 de la Constitución, por lo cual las entidades estatales deben utilizar exclusivamente esa norma, y solo en caso supletivo las “normas generales aplicables a la contratación pública”</w:t>
      </w:r>
      <w:r w:rsidRPr="00120709" w:rsidR="00557709">
        <w:rPr>
          <w:rStyle w:val="Refdenotaalpie"/>
        </w:rPr>
        <w:footnoteReference w:id="2"/>
      </w:r>
      <w:r w:rsidRPr="00120709">
        <w:t>. Teniendo esto en cuenta, se harán las consideraciones pertinentes respecto al RUP, y luego respecto de la experiencia de los socios.</w:t>
      </w:r>
    </w:p>
    <w:p w:rsidRPr="00120709" w:rsidR="00F17A75" w:rsidRDefault="00F17A75" w14:paraId="0189DEED" w14:textId="77777777">
      <w:pPr>
        <w:pStyle w:val="Textoindependiente"/>
        <w:spacing w:before="3"/>
        <w:rPr>
          <w:sz w:val="25"/>
        </w:rPr>
      </w:pPr>
    </w:p>
    <w:p w:rsidRPr="00120709" w:rsidR="00F17A75" w:rsidRDefault="00165A45" w14:paraId="0189DEEE" w14:textId="77777777">
      <w:pPr>
        <w:pStyle w:val="Ttulo1"/>
        <w:numPr>
          <w:ilvl w:val="1"/>
          <w:numId w:val="3"/>
        </w:numPr>
        <w:tabs>
          <w:tab w:val="left" w:pos="666"/>
        </w:tabs>
      </w:pPr>
      <w:r w:rsidRPr="00120709">
        <w:t>Registro Único de Proponentes – RUP en el Decreto 92 de</w:t>
      </w:r>
      <w:r w:rsidRPr="00120709">
        <w:rPr>
          <w:spacing w:val="-14"/>
        </w:rPr>
        <w:t xml:space="preserve"> </w:t>
      </w:r>
      <w:r w:rsidRPr="00120709">
        <w:t>2017</w:t>
      </w:r>
    </w:p>
    <w:p w:rsidRPr="00120709" w:rsidR="00F17A75" w:rsidRDefault="00F17A75" w14:paraId="0189DEEF" w14:textId="77777777">
      <w:pPr>
        <w:pStyle w:val="Textoindependiente"/>
        <w:spacing w:before="8"/>
        <w:rPr>
          <w:b/>
          <w:sz w:val="28"/>
        </w:rPr>
      </w:pPr>
    </w:p>
    <w:p w:rsidRPr="00120709" w:rsidR="00F17A75" w:rsidP="00557709" w:rsidRDefault="00165A45" w14:paraId="0189DEF0" w14:textId="77777777">
      <w:pPr>
        <w:pStyle w:val="Textoindependiente"/>
        <w:spacing w:line="276" w:lineRule="auto"/>
        <w:ind w:left="300" w:right="304"/>
        <w:jc w:val="both"/>
        <w:rPr>
          <w:sz w:val="16"/>
        </w:rPr>
      </w:pPr>
      <w:r w:rsidRPr="00120709">
        <w:t>El Registro Único de Proponentes - RUP fue creado por el artículo 6 de la Ley 1150 de 2007</w:t>
      </w:r>
      <w:r w:rsidRPr="00120709" w:rsidR="00557709">
        <w:rPr>
          <w:rStyle w:val="Refdenotaalpie"/>
        </w:rPr>
        <w:footnoteReference w:id="3"/>
      </w:r>
      <w:r w:rsidRPr="00120709">
        <w:t xml:space="preserve">, </w:t>
      </w:r>
      <w:r w:rsidRPr="00120709">
        <w:lastRenderedPageBreak/>
        <w:t xml:space="preserve">y se constituye como el medio idóneo para verificar las condiciones de los proponentes en procesos de contratación pública. El Certificado del RUP es plena prueba de los requisitos habilitantes, a los que se refiere el </w:t>
      </w:r>
      <w:r w:rsidRPr="00120709" w:rsidR="00557709">
        <w:t>artículo</w:t>
      </w:r>
      <w:r w:rsidRPr="00120709">
        <w:t xml:space="preserve"> 5 de la Ley 1150 de 2007</w:t>
      </w:r>
      <w:r w:rsidRPr="00120709" w:rsidR="00557709">
        <w:rPr>
          <w:rStyle w:val="Refdenotaalpie"/>
        </w:rPr>
        <w:footnoteReference w:id="4"/>
      </w:r>
      <w:r w:rsidRPr="00120709">
        <w:t>.</w:t>
      </w:r>
    </w:p>
    <w:p w:rsidRPr="00120709" w:rsidR="00F17A75" w:rsidRDefault="00165A45" w14:paraId="0189DEF1" w14:textId="77777777">
      <w:pPr>
        <w:pStyle w:val="Textoindependiente"/>
        <w:spacing w:before="93" w:line="276" w:lineRule="auto"/>
        <w:ind w:left="300" w:right="308"/>
        <w:jc w:val="both"/>
      </w:pPr>
      <w:r w:rsidRPr="00120709">
        <w:t>Ahora bien, el Decreto 92 de 2017, en el artículo 10, tiene una regla especial y excluye el uso del Registro Único de Proponentes para la contratación reglamentada por dicha norma:</w:t>
      </w:r>
    </w:p>
    <w:p w:rsidRPr="00120709" w:rsidR="00F17A75" w:rsidRDefault="00F17A75" w14:paraId="0189DEF2" w14:textId="77777777">
      <w:pPr>
        <w:pStyle w:val="Textoindependiente"/>
        <w:spacing w:before="4"/>
        <w:rPr>
          <w:sz w:val="25"/>
        </w:rPr>
      </w:pPr>
    </w:p>
    <w:p w:rsidRPr="00120709" w:rsidR="00F17A75" w:rsidRDefault="00165A45" w14:paraId="0189DEF3" w14:textId="77777777">
      <w:pPr>
        <w:spacing w:before="1"/>
        <w:ind w:left="1008" w:right="1016"/>
        <w:jc w:val="both"/>
        <w:rPr>
          <w:sz w:val="21"/>
        </w:rPr>
      </w:pPr>
      <w:r w:rsidRPr="00120709">
        <w:rPr>
          <w:sz w:val="21"/>
        </w:rPr>
        <w:t>Artículo 10. Exclusión del Registro Único de Proponentes (RUP). Las Entidades Estatales no requerirán la inscripción de las entidades privadas sin ánimo de lucro en el RUP para la contratación a la que hace referencia el presente decreto.</w:t>
      </w:r>
    </w:p>
    <w:p w:rsidRPr="00120709" w:rsidR="00F17A75" w:rsidRDefault="00F17A75" w14:paraId="0189DEF4" w14:textId="77777777">
      <w:pPr>
        <w:pStyle w:val="Textoindependiente"/>
        <w:spacing w:before="4"/>
        <w:rPr>
          <w:sz w:val="25"/>
        </w:rPr>
      </w:pPr>
    </w:p>
    <w:p w:rsidRPr="00120709" w:rsidR="00F17A75" w:rsidRDefault="00165A45" w14:paraId="0189DEF5" w14:textId="77777777">
      <w:pPr>
        <w:pStyle w:val="Textoindependiente"/>
        <w:spacing w:line="276" w:lineRule="auto"/>
        <w:ind w:left="300" w:right="304"/>
        <w:jc w:val="both"/>
      </w:pPr>
      <w:r w:rsidRPr="00120709">
        <w:t>Se concluye entonces, que las entidades estatales que contratan con fundamento en el artículo 355 de la Constitución no deben exigir RUP a los contratistas ni a los proponentes. En estos procesos de contratación, el RUP no es un requisito habilitante, por lo tanto, si una ESAL no posee RUP no puede ser rechazada. Claro está que nada se opone a que una ESAL, que esté inscrita en el RUP, presente el respectivo certificado, con el fin de que con él se verifiquen sus condiciones, sin embargo, como se ha explicado, su presentación no es</w:t>
      </w:r>
      <w:r w:rsidRPr="00120709">
        <w:rPr>
          <w:spacing w:val="-3"/>
        </w:rPr>
        <w:t xml:space="preserve"> </w:t>
      </w:r>
      <w:r w:rsidRPr="00120709">
        <w:t>obligatoria.</w:t>
      </w:r>
    </w:p>
    <w:p w:rsidRPr="00120709" w:rsidR="00F17A75" w:rsidRDefault="00F17A75" w14:paraId="0189DEF6" w14:textId="77777777">
      <w:pPr>
        <w:pStyle w:val="Textoindependiente"/>
        <w:spacing w:before="4"/>
        <w:rPr>
          <w:sz w:val="25"/>
        </w:rPr>
      </w:pPr>
    </w:p>
    <w:p w:rsidRPr="00120709" w:rsidR="00F17A75" w:rsidRDefault="00165A45" w14:paraId="0189DEF7" w14:textId="77777777">
      <w:pPr>
        <w:pStyle w:val="Ttulo1"/>
        <w:numPr>
          <w:ilvl w:val="1"/>
          <w:numId w:val="3"/>
        </w:numPr>
        <w:tabs>
          <w:tab w:val="left" w:pos="666"/>
        </w:tabs>
      </w:pPr>
      <w:r w:rsidRPr="00120709">
        <w:t>Experiencia de los</w:t>
      </w:r>
      <w:r w:rsidRPr="00120709">
        <w:rPr>
          <w:spacing w:val="-2"/>
        </w:rPr>
        <w:t xml:space="preserve"> </w:t>
      </w:r>
      <w:r w:rsidRPr="00120709">
        <w:t>socios</w:t>
      </w:r>
    </w:p>
    <w:p w:rsidRPr="00120709" w:rsidR="00F17A75" w:rsidRDefault="00F17A75" w14:paraId="0189DEF8" w14:textId="77777777">
      <w:pPr>
        <w:pStyle w:val="Textoindependiente"/>
        <w:spacing w:before="5"/>
        <w:rPr>
          <w:b/>
          <w:sz w:val="28"/>
        </w:rPr>
      </w:pPr>
    </w:p>
    <w:p w:rsidRPr="00120709" w:rsidR="00F17A75" w:rsidRDefault="00165A45" w14:paraId="0189DEF9" w14:textId="77777777">
      <w:pPr>
        <w:pStyle w:val="Textoindependiente"/>
        <w:spacing w:line="276" w:lineRule="auto"/>
        <w:ind w:left="300" w:right="304"/>
        <w:jc w:val="both"/>
      </w:pPr>
      <w:r w:rsidRPr="00120709">
        <w:t>Para las entidades y para los contratos regidos por la Ley 80 de 1993, el Decreto 1082 de 2015, en el artículo 2.2.1.1.1.5.2, establece que los proponentes deben acreditar ante el RUP su experiencia, es decir los contratos que han ejecutado; sin embargo, también permite que el interesado registre la experiencia de sus accionistas, socios o constituyentes, si la constitución es menor a tres años.</w:t>
      </w:r>
    </w:p>
    <w:p w:rsidRPr="00120709" w:rsidR="00F17A75" w:rsidRDefault="00F17A75" w14:paraId="0189DEFA" w14:textId="77777777">
      <w:pPr>
        <w:pStyle w:val="Textoindependiente"/>
        <w:spacing w:before="6"/>
        <w:rPr>
          <w:sz w:val="25"/>
        </w:rPr>
      </w:pPr>
    </w:p>
    <w:p w:rsidRPr="00120709" w:rsidR="00F17A75" w:rsidRDefault="00165A45" w14:paraId="0189DEFB" w14:textId="77777777">
      <w:pPr>
        <w:ind w:left="1008" w:right="1019"/>
        <w:jc w:val="both"/>
        <w:rPr>
          <w:sz w:val="21"/>
        </w:rPr>
      </w:pPr>
      <w:r w:rsidRPr="00120709">
        <w:rPr>
          <w:sz w:val="21"/>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120709" w:rsidR="00F17A75" w:rsidRDefault="00165A45" w14:paraId="0189DEFC" w14:textId="77777777">
      <w:pPr>
        <w:ind w:left="1008"/>
        <w:rPr>
          <w:sz w:val="21"/>
        </w:rPr>
      </w:pPr>
      <w:r w:rsidRPr="00120709">
        <w:rPr>
          <w:sz w:val="21"/>
        </w:rPr>
        <w:t>(…)</w:t>
      </w:r>
    </w:p>
    <w:p w:rsidRPr="00120709" w:rsidR="00F17A75" w:rsidRDefault="00F17A75" w14:paraId="0189DEFD" w14:textId="77777777">
      <w:pPr>
        <w:pStyle w:val="Textoindependiente"/>
        <w:spacing w:before="11"/>
        <w:rPr>
          <w:sz w:val="20"/>
        </w:rPr>
      </w:pPr>
    </w:p>
    <w:p w:rsidRPr="00120709" w:rsidR="00F17A75" w:rsidRDefault="00165A45" w14:paraId="0189DEFE" w14:textId="77777777">
      <w:pPr>
        <w:pStyle w:val="Prrafodelista"/>
        <w:numPr>
          <w:ilvl w:val="0"/>
          <w:numId w:val="2"/>
        </w:numPr>
        <w:tabs>
          <w:tab w:val="left" w:pos="1412"/>
          <w:tab w:val="left" w:pos="1413"/>
        </w:tabs>
        <w:ind w:right="5633" w:firstLine="0"/>
        <w:jc w:val="left"/>
        <w:rPr>
          <w:sz w:val="21"/>
        </w:rPr>
      </w:pPr>
      <w:r w:rsidRPr="00120709">
        <w:rPr>
          <w:sz w:val="21"/>
        </w:rPr>
        <w:t>Si es una persona jurídica: (…)</w:t>
      </w:r>
    </w:p>
    <w:p w:rsidRPr="00120709" w:rsidR="00F17A75" w:rsidRDefault="00F17A75" w14:paraId="0189DEFF" w14:textId="77777777">
      <w:pPr>
        <w:pStyle w:val="Textoindependiente"/>
        <w:rPr>
          <w:sz w:val="20"/>
        </w:rPr>
      </w:pPr>
    </w:p>
    <w:p w:rsidRPr="00120709" w:rsidR="00F17A75" w:rsidRDefault="00165A45" w14:paraId="0189DF00" w14:textId="77777777">
      <w:pPr>
        <w:spacing w:before="94"/>
        <w:ind w:left="1008" w:right="1014"/>
        <w:jc w:val="both"/>
        <w:rPr>
          <w:sz w:val="21"/>
        </w:rPr>
      </w:pPr>
      <w:r w:rsidRPr="00120709">
        <w:rPr>
          <w:sz w:val="21"/>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w:t>
      </w:r>
      <w:r w:rsidRPr="00120709">
        <w:rPr>
          <w:spacing w:val="-5"/>
          <w:sz w:val="21"/>
        </w:rPr>
        <w:t xml:space="preserve"> </w:t>
      </w:r>
      <w:r w:rsidRPr="00120709">
        <w:rPr>
          <w:sz w:val="21"/>
        </w:rPr>
        <w:t>constituyentes.</w:t>
      </w:r>
    </w:p>
    <w:p w:rsidRPr="00120709" w:rsidR="00F17A75" w:rsidRDefault="00F17A75" w14:paraId="0189DF01" w14:textId="77777777">
      <w:pPr>
        <w:pStyle w:val="Textoindependiente"/>
        <w:spacing w:before="2"/>
        <w:rPr>
          <w:sz w:val="21"/>
        </w:rPr>
      </w:pPr>
    </w:p>
    <w:p w:rsidRPr="00120709" w:rsidR="00F17A75" w:rsidRDefault="00165A45" w14:paraId="0189DF02" w14:textId="77777777">
      <w:pPr>
        <w:pStyle w:val="Textoindependiente"/>
        <w:spacing w:line="276" w:lineRule="auto"/>
        <w:ind w:left="300" w:right="303"/>
        <w:jc w:val="both"/>
      </w:pPr>
      <w:r w:rsidRPr="00120709">
        <w:t>Según esta norma, la regla para acreditar la experiencia de los accionistas, socios o constituyentes está vinculada al RUP, pues allí se registra la experiencia de la sociedad y la de sus constituyentes, socios o</w:t>
      </w:r>
      <w:r w:rsidRPr="00120709">
        <w:rPr>
          <w:spacing w:val="-7"/>
        </w:rPr>
        <w:t xml:space="preserve"> </w:t>
      </w:r>
      <w:r w:rsidRPr="00120709">
        <w:t>accionistas.</w:t>
      </w:r>
    </w:p>
    <w:p w:rsidRPr="00120709" w:rsidR="00F17A75" w:rsidRDefault="00F17A75" w14:paraId="0189DF03" w14:textId="77777777">
      <w:pPr>
        <w:pStyle w:val="Textoindependiente"/>
        <w:spacing w:before="2"/>
        <w:rPr>
          <w:sz w:val="25"/>
        </w:rPr>
      </w:pPr>
    </w:p>
    <w:p w:rsidRPr="00120709" w:rsidR="00F17A75" w:rsidRDefault="00165A45" w14:paraId="0189DF04" w14:textId="77777777">
      <w:pPr>
        <w:pStyle w:val="Textoindependiente"/>
        <w:spacing w:line="276" w:lineRule="auto"/>
        <w:ind w:left="300" w:right="304"/>
        <w:jc w:val="both"/>
      </w:pPr>
      <w:r w:rsidRPr="00120709">
        <w:t xml:space="preserve">Sin embargo, como los procesos de contratación regulados por el Decreto 92 de 2017 están excluidos del RUP, y aplican las normas de la contratación </w:t>
      </w:r>
      <w:proofErr w:type="spellStart"/>
      <w:r w:rsidRPr="00120709">
        <w:t>publica</w:t>
      </w:r>
      <w:proofErr w:type="spellEnd"/>
      <w:r w:rsidRPr="00120709">
        <w:t xml:space="preserve"> solo de forma supletiva, la regla del artículo </w:t>
      </w:r>
      <w:r w:rsidRPr="00120709">
        <w:rPr>
          <w:sz w:val="21"/>
        </w:rPr>
        <w:t xml:space="preserve">2.2.1.1.1.5.2. del Decreto 1082 de 2015 </w:t>
      </w:r>
      <w:r w:rsidRPr="00120709">
        <w:t>no puede aplicarse directamente, No obstante, no está prohibido que las entidades estatales, en los procedimientos de contratación regidos por el Decreto 92 de 2017, consideren como válida la experiencia de los socios, accionistas o constituyentes, si así lo definan en los documentos del proceso.</w:t>
      </w:r>
    </w:p>
    <w:p w:rsidRPr="00120709" w:rsidR="00F17A75" w:rsidRDefault="00F17A75" w14:paraId="0189DF05" w14:textId="77777777">
      <w:pPr>
        <w:pStyle w:val="Textoindependiente"/>
        <w:spacing w:before="4"/>
        <w:rPr>
          <w:sz w:val="25"/>
        </w:rPr>
      </w:pPr>
    </w:p>
    <w:p w:rsidRPr="00120709" w:rsidR="00F17A75" w:rsidRDefault="00165A45" w14:paraId="0189DF06" w14:textId="77777777">
      <w:pPr>
        <w:pStyle w:val="Textoindependiente"/>
        <w:spacing w:line="276" w:lineRule="auto"/>
        <w:ind w:left="300" w:right="304"/>
        <w:jc w:val="both"/>
      </w:pPr>
      <w:r w:rsidRPr="00120709">
        <w:t xml:space="preserve">Las consideraciones anteriores conducen a afirmar que la regla prevista para la experiencia de constituyentes, socios o accionistas puede ser aplicable a aquellos contratos que no requieren de RUP, siempre y cuando así lo determine la entidad estatal en los documentos del procedimiento contractual. En este orden de ideas, el Decreto 92 de 2017 no se opone </w:t>
      </w:r>
      <w:r w:rsidRPr="00120709">
        <w:lastRenderedPageBreak/>
        <w:t>a que las entidades estatales definan una regla para que las ESAL presenten la experiencia de sus constituyentes, pero en este caso corresponde a la entidad la verificación directa de la experiencia y demás condiciones de los proponentes</w:t>
      </w:r>
      <w:r w:rsidRPr="00120709" w:rsidR="00557709">
        <w:rPr>
          <w:rStyle w:val="Refdenotaalpie"/>
        </w:rPr>
        <w:footnoteReference w:id="5"/>
      </w:r>
      <w:r w:rsidRPr="00120709">
        <w:t>, pues como ya se ha dicho en estos procesos no deben utilizar el</w:t>
      </w:r>
      <w:r w:rsidRPr="00120709">
        <w:rPr>
          <w:spacing w:val="-14"/>
        </w:rPr>
        <w:t xml:space="preserve"> </w:t>
      </w:r>
      <w:r w:rsidRPr="00120709">
        <w:t>RUP.</w:t>
      </w:r>
    </w:p>
    <w:p w:rsidRPr="00120709" w:rsidR="00F17A75" w:rsidRDefault="00F17A75" w14:paraId="0189DF07" w14:textId="77777777">
      <w:pPr>
        <w:pStyle w:val="Textoindependiente"/>
        <w:spacing w:before="5"/>
        <w:rPr>
          <w:sz w:val="25"/>
        </w:rPr>
      </w:pPr>
    </w:p>
    <w:p w:rsidRPr="00120709" w:rsidR="00F17A75" w:rsidRDefault="00165A45" w14:paraId="0189DF08" w14:textId="77777777">
      <w:pPr>
        <w:pStyle w:val="Ttulo1"/>
        <w:numPr>
          <w:ilvl w:val="0"/>
          <w:numId w:val="2"/>
        </w:numPr>
        <w:tabs>
          <w:tab w:val="left" w:pos="661"/>
        </w:tabs>
        <w:spacing w:before="1"/>
        <w:ind w:left="660" w:hanging="361"/>
        <w:jc w:val="left"/>
      </w:pPr>
      <w:r w:rsidRPr="00120709">
        <w:t>Respuesta</w:t>
      </w:r>
    </w:p>
    <w:p w:rsidRPr="00120709" w:rsidR="00F17A75" w:rsidRDefault="00F17A75" w14:paraId="0189DF09" w14:textId="77777777">
      <w:pPr>
        <w:pStyle w:val="Textoindependiente"/>
        <w:spacing w:before="5"/>
        <w:rPr>
          <w:b/>
          <w:sz w:val="28"/>
        </w:rPr>
      </w:pPr>
    </w:p>
    <w:p w:rsidRPr="00120709" w:rsidR="00557709" w:rsidP="00462EB6" w:rsidRDefault="00165A45" w14:paraId="0189DF0A" w14:textId="77777777">
      <w:pPr>
        <w:pStyle w:val="Prrafodelista"/>
        <w:numPr>
          <w:ilvl w:val="0"/>
          <w:numId w:val="1"/>
        </w:numPr>
        <w:tabs>
          <w:tab w:val="left" w:pos="576"/>
        </w:tabs>
        <w:spacing w:before="5" w:line="278" w:lineRule="auto"/>
        <w:ind w:right="308" w:firstLine="0"/>
        <w:rPr>
          <w:sz w:val="16"/>
        </w:rPr>
      </w:pPr>
      <w:r w:rsidRPr="00120709">
        <w:t>No es exigible el Registro Único de Proponentes para procesos de contratación regulados por el Decreto 92 de</w:t>
      </w:r>
      <w:r w:rsidRPr="00120709">
        <w:rPr>
          <w:spacing w:val="-7"/>
        </w:rPr>
        <w:t xml:space="preserve"> </w:t>
      </w:r>
      <w:r w:rsidRPr="00120709">
        <w:t>2017.</w:t>
      </w:r>
    </w:p>
    <w:p w:rsidRPr="00120709" w:rsidR="00F17A75" w:rsidRDefault="00165A45" w14:paraId="0189DF0B" w14:textId="77777777">
      <w:pPr>
        <w:pStyle w:val="Prrafodelista"/>
        <w:numPr>
          <w:ilvl w:val="0"/>
          <w:numId w:val="1"/>
        </w:numPr>
        <w:tabs>
          <w:tab w:val="left" w:pos="576"/>
        </w:tabs>
        <w:spacing w:before="93" w:line="276" w:lineRule="auto"/>
        <w:ind w:right="303" w:firstLine="0"/>
        <w:jc w:val="both"/>
      </w:pPr>
      <w:r w:rsidRPr="00120709">
        <w:t>En los procesos de contratación regulados por el Decreto 92 de 2017 los proponentes pueden acreditar la experiencia de sus constituyentes, siempre y cuando así lo dispongan la convocatoria o pliegos de</w:t>
      </w:r>
      <w:r w:rsidRPr="00120709">
        <w:rPr>
          <w:spacing w:val="-6"/>
        </w:rPr>
        <w:t xml:space="preserve"> </w:t>
      </w:r>
      <w:r w:rsidRPr="00120709">
        <w:t>condiciones.</w:t>
      </w:r>
    </w:p>
    <w:p w:rsidRPr="00120709" w:rsidR="00F17A75" w:rsidRDefault="00F17A75" w14:paraId="0189DF0C" w14:textId="77777777">
      <w:pPr>
        <w:pStyle w:val="Textoindependiente"/>
        <w:rPr>
          <w:sz w:val="24"/>
        </w:rPr>
      </w:pPr>
    </w:p>
    <w:p w:rsidRPr="00120709" w:rsidR="00F17A75" w:rsidRDefault="00F17A75" w14:paraId="0189DF0D" w14:textId="77777777">
      <w:pPr>
        <w:pStyle w:val="Textoindependiente"/>
        <w:spacing w:before="7"/>
        <w:rPr>
          <w:sz w:val="26"/>
        </w:rPr>
      </w:pPr>
    </w:p>
    <w:p w:rsidRPr="00120709" w:rsidR="00F17A75" w:rsidRDefault="00165A45" w14:paraId="0189DF0E" w14:textId="77777777">
      <w:pPr>
        <w:pStyle w:val="Textoindependiente"/>
        <w:spacing w:before="1" w:line="278" w:lineRule="auto"/>
        <w:ind w:left="300"/>
      </w:pPr>
      <w:r w:rsidRPr="00120709">
        <w:t>Este concepto tiene el alcance previsto en el artículo 28 del Código de Procedimiento Administrativo y de lo Contencioso Administrativo.</w:t>
      </w:r>
    </w:p>
    <w:p w:rsidRPr="00120709" w:rsidR="00F17A75" w:rsidRDefault="00BB7253" w14:paraId="0189DF0F" w14:textId="77777777">
      <w:pPr>
        <w:pStyle w:val="Textoindependiente"/>
        <w:spacing w:before="5"/>
      </w:pPr>
      <w:r w:rsidRPr="00120709">
        <w:rPr>
          <w:noProof/>
          <w:lang w:val="es-CO" w:eastAsia="es-CO"/>
        </w:rPr>
        <mc:AlternateContent>
          <mc:Choice Requires="wps">
            <w:drawing>
              <wp:anchor distT="0" distB="0" distL="0" distR="0" simplePos="0" relativeHeight="487590400" behindDoc="1" locked="0" layoutInCell="1" allowOverlap="1" wp14:anchorId="0189DF13" wp14:editId="0189DF14">
                <wp:simplePos x="0" y="0"/>
                <wp:positionH relativeFrom="page">
                  <wp:posOffset>1514475</wp:posOffset>
                </wp:positionH>
                <wp:positionV relativeFrom="paragraph">
                  <wp:posOffset>194310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3pt;width:36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" w14:anchorId="00BD8ECB">
                <v:path arrowok="t" o:connecttype="custom" o:connectlocs="0,0;4686300,0" o:connectangles="0,0"/>
                <w10:wrap type="topAndBottom" anchorx="page"/>
              </v:shape>
            </w:pict>
          </mc:Fallback>
        </mc:AlternateContent>
      </w:r>
    </w:p>
    <w:p w:rsidRPr="00120709" w:rsidR="00F17A75" w:rsidRDefault="00F17A75" w14:paraId="0189DF10" w14:textId="77777777">
      <w:pPr>
        <w:pStyle w:val="Textoindependiente"/>
        <w:spacing w:before="5"/>
        <w:rPr>
          <w:sz w:val="20"/>
        </w:rPr>
      </w:pPr>
    </w:p>
    <w:p w:rsidR="00F17A75" w:rsidRDefault="00165A45" w14:paraId="0189DF11" w14:textId="1C87A4B4">
      <w:pPr>
        <w:pStyle w:val="Textoindependiente"/>
        <w:ind w:left="300"/>
      </w:pPr>
      <w:r w:rsidRPr="00120709">
        <w:t>Atentamente,</w:t>
      </w:r>
    </w:p>
    <w:p w:rsidR="00BC739B" w:rsidP="00BC739B" w:rsidRDefault="00BC739B" w14:paraId="1AC656BF" w14:textId="4498FD02">
      <w:pPr>
        <w:pStyle w:val="Textoindependiente"/>
        <w:ind w:left="300"/>
        <w:jc w:val="center"/>
      </w:pPr>
      <w:r w:rsidR="00BC739B">
        <w:drawing>
          <wp:inline wp14:editId="163D0039" wp14:anchorId="2A7E3DB0">
            <wp:extent cx="2773045" cy="988695"/>
            <wp:effectExtent l="0" t="0" r="0" b="0"/>
            <wp:docPr id="1363160287" name="Imagen 6" title=""/>
            <wp:cNvGraphicFramePr>
              <a:graphicFrameLocks/>
            </wp:cNvGraphicFramePr>
            <a:graphic>
              <a:graphicData uri="http://schemas.openxmlformats.org/drawingml/2006/picture">
                <pic:pic>
                  <pic:nvPicPr>
                    <pic:cNvPr id="0" name="Imagen 6"/>
                    <pic:cNvPicPr/>
                  </pic:nvPicPr>
                  <pic:blipFill>
                    <a:blip r:embed="R3acc17eb2b1049f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120709" w:rsidR="00BC739B" w:rsidP="00BC739B" w:rsidRDefault="00BC739B" w14:paraId="3C2F0BE5" w14:textId="77777777">
      <w:pPr>
        <w:pStyle w:val="Textoindependiente"/>
        <w:ind w:left="300"/>
        <w:jc w:val="center"/>
      </w:pPr>
    </w:p>
    <w:p w:rsidRPr="00120709" w:rsidR="00F17A75" w:rsidRDefault="00165A45" w14:paraId="0189DF12" w14:textId="77777777">
      <w:pPr>
        <w:pStyle w:val="Textoindependiente"/>
        <w:spacing w:before="79"/>
        <w:ind w:left="300"/>
      </w:pPr>
      <w:r w:rsidRPr="00120709">
        <w:t>Proyectó: Felipe Muñoz Tocarruncho</w:t>
      </w:r>
    </w:p>
    <w:sectPr w:rsidRPr="00120709" w:rsidR="00F17A75">
      <w:headerReference w:type="default" r:id="rId12"/>
      <w:footerReference w:type="default" r:id="rId13"/>
      <w:pgSz w:w="12240" w:h="15840" w:orient="portrait"/>
      <w:pgMar w:top="1560" w:right="1300" w:bottom="2140" w:left="1400" w:header="592"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3416" w:rsidRDefault="00D03416" w14:paraId="0189DF19" w14:textId="77777777">
      <w:r>
        <w:separator/>
      </w:r>
    </w:p>
  </w:endnote>
  <w:endnote w:type="continuationSeparator" w:id="0">
    <w:p w:rsidR="00D03416" w:rsidRDefault="00D03416" w14:paraId="0189DF1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F17A75" w:rsidRDefault="00165A45" w14:paraId="0189DF1C" w14:textId="77777777">
    <w:pPr>
      <w:pStyle w:val="Textoindependiente"/>
      <w:spacing w:line="14" w:lineRule="auto"/>
      <w:rPr>
        <w:sz w:val="20"/>
      </w:rPr>
    </w:pPr>
    <w:r>
      <w:rPr>
        <w:noProof/>
        <w:lang w:val="es-CO" w:eastAsia="es-CO"/>
      </w:rPr>
      <w:drawing>
        <wp:anchor distT="0" distB="0" distL="0" distR="0" simplePos="0" relativeHeight="487497728" behindDoc="1" locked="0" layoutInCell="1" allowOverlap="1" wp14:anchorId="0189DF1F" wp14:editId="0189DF20">
          <wp:simplePos x="0" y="0"/>
          <wp:positionH relativeFrom="page">
            <wp:posOffset>1137919</wp:posOffset>
          </wp:positionH>
          <wp:positionV relativeFrom="page">
            <wp:posOffset>8688108</wp:posOffset>
          </wp:positionV>
          <wp:extent cx="5612130" cy="78739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399"/>
                  </a:xfrm>
                  <a:prstGeom prst="rect">
                    <a:avLst/>
                  </a:prstGeom>
                </pic:spPr>
              </pic:pic>
            </a:graphicData>
          </a:graphic>
        </wp:anchor>
      </w:drawing>
    </w:r>
    <w:r w:rsidR="51402CDF">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3416" w:rsidRDefault="00D03416" w14:paraId="0189DF17" w14:textId="77777777">
      <w:r>
        <w:separator/>
      </w:r>
    </w:p>
  </w:footnote>
  <w:footnote w:type="continuationSeparator" w:id="0">
    <w:p w:rsidR="00D03416" w:rsidRDefault="00D03416" w14:paraId="0189DF18" w14:textId="77777777">
      <w:r>
        <w:continuationSeparator/>
      </w:r>
    </w:p>
  </w:footnote>
  <w:footnote w:id="1">
    <w:p w:rsidRPr="00120709" w:rsidR="00557709" w:rsidP="00557709" w:rsidRDefault="00557709" w14:paraId="0189DF21" w14:textId="77777777">
      <w:pPr>
        <w:spacing w:before="73"/>
        <w:ind w:left="300" w:right="357" w:firstLine="707"/>
        <w:rPr>
          <w:sz w:val="18"/>
        </w:rPr>
      </w:pPr>
      <w:r w:rsidRPr="00120709">
        <w:rPr>
          <w:rStyle w:val="Refdenotaalpie"/>
        </w:rPr>
        <w:footnoteRef/>
      </w:r>
      <w:r w:rsidRPr="00120709">
        <w:t xml:space="preserve"> </w:t>
      </w:r>
      <w:r w:rsidRPr="00120709">
        <w:rPr>
          <w:sz w:val="18"/>
        </w:rPr>
        <w:t>“Articulo 355. Ninguna de las ramas u órganos del poder público podrá decretar auxilios o donaciones en favor de personas naturales o jurídicas de derecho</w:t>
      </w:r>
      <w:r w:rsidRPr="00120709">
        <w:rPr>
          <w:spacing w:val="-13"/>
          <w:sz w:val="18"/>
        </w:rPr>
        <w:t xml:space="preserve"> </w:t>
      </w:r>
      <w:r w:rsidRPr="00120709">
        <w:rPr>
          <w:sz w:val="18"/>
        </w:rPr>
        <w:t>privado.</w:t>
      </w:r>
    </w:p>
    <w:p w:rsidRPr="00120709" w:rsidR="00557709" w:rsidP="00557709" w:rsidRDefault="00557709" w14:paraId="0189DF22" w14:textId="77777777">
      <w:pPr>
        <w:pStyle w:val="Textoindependiente"/>
        <w:spacing w:before="1"/>
        <w:rPr>
          <w:sz w:val="18"/>
        </w:rPr>
      </w:pPr>
    </w:p>
    <w:p w:rsidRPr="00120709" w:rsidR="00557709" w:rsidP="00557709" w:rsidRDefault="00557709" w14:paraId="0189DF23" w14:textId="77777777">
      <w:pPr>
        <w:spacing w:before="1"/>
        <w:ind w:left="300" w:right="306"/>
        <w:jc w:val="both"/>
        <w:rPr>
          <w:sz w:val="18"/>
        </w:rPr>
      </w:pPr>
      <w:r w:rsidRPr="00120709">
        <w:rPr>
          <w:sz w:val="18"/>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w:t>
      </w:r>
      <w:r w:rsidRPr="00120709">
        <w:rPr>
          <w:spacing w:val="-5"/>
          <w:sz w:val="18"/>
        </w:rPr>
        <w:t xml:space="preserve"> </w:t>
      </w:r>
      <w:r w:rsidRPr="00120709">
        <w:rPr>
          <w:sz w:val="18"/>
        </w:rPr>
        <w:t>materia”.</w:t>
      </w:r>
    </w:p>
    <w:p w:rsidRPr="00120709" w:rsidR="00557709" w:rsidRDefault="00557709" w14:paraId="0189DF24" w14:textId="77777777">
      <w:pPr>
        <w:pStyle w:val="Textonotapie"/>
        <w:rPr>
          <w:lang w:val="es-MX"/>
        </w:rPr>
      </w:pPr>
    </w:p>
  </w:footnote>
  <w:footnote w:id="2">
    <w:p w:rsidRPr="00120709" w:rsidR="00557709" w:rsidP="00557709" w:rsidRDefault="00557709" w14:paraId="0189DF25" w14:textId="77777777">
      <w:pPr>
        <w:spacing w:before="97"/>
        <w:ind w:left="300" w:right="357" w:firstLine="707"/>
        <w:jc w:val="both"/>
        <w:rPr>
          <w:sz w:val="18"/>
        </w:rPr>
      </w:pPr>
      <w:r w:rsidRPr="00120709">
        <w:rPr>
          <w:rStyle w:val="Refdenotaalpie"/>
        </w:rPr>
        <w:footnoteRef/>
      </w:r>
      <w:r w:rsidRPr="00120709">
        <w:t xml:space="preserve"> </w:t>
      </w:r>
      <w:r w:rsidRPr="00120709">
        <w:rPr>
          <w:sz w:val="18"/>
        </w:rPr>
        <w:t>Decreto 92 de 2017: “artículo 8. Aplicación de normas generales del sistema de contratación pública. La contratación a la que hace referencia el presente decreto está sujeta a las normas generales aplicables a la contratación pública excepto en lo reglamentado en el presente decreto”.</w:t>
      </w:r>
    </w:p>
    <w:p w:rsidRPr="00120709" w:rsidR="00557709" w:rsidRDefault="00557709" w14:paraId="0189DF26" w14:textId="77777777">
      <w:pPr>
        <w:pStyle w:val="Textonotapie"/>
      </w:pPr>
    </w:p>
  </w:footnote>
  <w:footnote w:id="3">
    <w:p w:rsidRPr="00120709" w:rsidR="00557709" w:rsidP="00557709" w:rsidRDefault="00557709" w14:paraId="0189DF27" w14:textId="77777777">
      <w:pPr>
        <w:spacing w:before="1"/>
        <w:ind w:left="300" w:right="308" w:firstLine="707"/>
        <w:jc w:val="both"/>
        <w:rPr>
          <w:sz w:val="18"/>
        </w:rPr>
      </w:pPr>
      <w:r w:rsidRPr="00120709">
        <w:rPr>
          <w:rStyle w:val="Refdenotaalpie"/>
        </w:rPr>
        <w:footnoteRef/>
      </w:r>
      <w:r w:rsidRPr="00120709">
        <w:t xml:space="preserve"> </w:t>
      </w:r>
      <w:r w:rsidRPr="00120709">
        <w:rPr>
          <w:sz w:val="18"/>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120709" w:rsidR="00557709" w:rsidP="00557709" w:rsidRDefault="00557709" w14:paraId="0189DF28" w14:textId="77777777">
      <w:pPr>
        <w:pStyle w:val="Textoindependiente"/>
        <w:spacing w:before="11"/>
        <w:rPr>
          <w:sz w:val="17"/>
        </w:rPr>
      </w:pPr>
    </w:p>
    <w:p w:rsidRPr="00120709" w:rsidR="00557709" w:rsidP="00557709" w:rsidRDefault="00557709" w14:paraId="0189DF29" w14:textId="77777777">
      <w:pPr>
        <w:ind w:left="300" w:right="303"/>
        <w:jc w:val="both"/>
        <w:rPr>
          <w:sz w:val="18"/>
        </w:rPr>
      </w:pPr>
      <w:r w:rsidRPr="00120709">
        <w:rPr>
          <w:sz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rsidRPr="00120709" w:rsidR="00557709" w:rsidP="00557709" w:rsidRDefault="00557709" w14:paraId="0189DF2A" w14:textId="77777777">
      <w:pPr>
        <w:spacing w:line="207" w:lineRule="exact"/>
        <w:ind w:left="300"/>
        <w:rPr>
          <w:sz w:val="18"/>
        </w:rPr>
      </w:pPr>
      <w:r w:rsidRPr="00120709">
        <w:rPr>
          <w:sz w:val="18"/>
        </w:rPr>
        <w:t>(…)</w:t>
      </w:r>
    </w:p>
    <w:p w:rsidRPr="00120709" w:rsidR="00557709" w:rsidP="00557709" w:rsidRDefault="00557709" w14:paraId="0189DF2B" w14:textId="77777777">
      <w:pPr>
        <w:pStyle w:val="Textoindependiente"/>
        <w:spacing w:before="1"/>
        <w:rPr>
          <w:sz w:val="18"/>
        </w:rPr>
      </w:pPr>
    </w:p>
    <w:p w:rsidRPr="00120709" w:rsidR="00557709" w:rsidP="00557709" w:rsidRDefault="00557709" w14:paraId="0189DF2C" w14:textId="77777777">
      <w:pPr>
        <w:ind w:left="300" w:right="306"/>
        <w:jc w:val="both"/>
        <w:rPr>
          <w:sz w:val="18"/>
        </w:rPr>
      </w:pPr>
      <w:r w:rsidRPr="00120709">
        <w:rPr>
          <w:sz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rsidRPr="00120709" w:rsidR="00557709" w:rsidRDefault="00557709" w14:paraId="0189DF2D" w14:textId="77777777">
      <w:pPr>
        <w:pStyle w:val="Textonotapie"/>
      </w:pPr>
    </w:p>
  </w:footnote>
  <w:footnote w:id="4">
    <w:p w:rsidRPr="00120709" w:rsidR="00557709" w:rsidP="00557709" w:rsidRDefault="00557709" w14:paraId="0189DF2E" w14:textId="77777777">
      <w:pPr>
        <w:spacing w:before="77"/>
        <w:ind w:left="300" w:right="307"/>
        <w:jc w:val="both"/>
        <w:rPr>
          <w:sz w:val="18"/>
        </w:rPr>
      </w:pPr>
      <w:r w:rsidRPr="00120709">
        <w:rPr>
          <w:rStyle w:val="Refdenotaalpie"/>
        </w:rPr>
        <w:footnoteRef/>
      </w:r>
      <w:r w:rsidRPr="00120709">
        <w:t xml:space="preserve"> </w:t>
      </w:r>
      <w:r w:rsidRPr="00120709">
        <w:rPr>
          <w:sz w:val="18"/>
        </w:rPr>
        <w:t>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rsidRPr="00120709" w:rsidR="00557709" w:rsidP="00557709" w:rsidRDefault="00557709" w14:paraId="0189DF2F" w14:textId="77777777">
      <w:pPr>
        <w:pStyle w:val="Textoindependiente"/>
        <w:spacing w:before="11"/>
        <w:rPr>
          <w:sz w:val="17"/>
        </w:rPr>
      </w:pPr>
    </w:p>
    <w:p w:rsidRPr="00120709" w:rsidR="00557709" w:rsidP="00557709" w:rsidRDefault="00557709" w14:paraId="0189DF30" w14:textId="77777777">
      <w:pPr>
        <w:ind w:left="300" w:right="307"/>
        <w:jc w:val="both"/>
        <w:rPr>
          <w:sz w:val="18"/>
        </w:rPr>
      </w:pPr>
      <w:r w:rsidRPr="00120709">
        <w:rPr>
          <w:sz w:val="18"/>
        </w:rPr>
        <w:t>“1. La capacidad jurídica y las condiciones de experiencia, capacidad financiera y de organización de los proponentes serán objeto de verificación de cumplimiento como requisitos habilitantes para la participación en el proceso de selección</w:t>
      </w:r>
      <w:r w:rsidRPr="00120709">
        <w:rPr>
          <w:spacing w:val="-5"/>
          <w:sz w:val="18"/>
        </w:rPr>
        <w:t xml:space="preserve"> </w:t>
      </w:r>
      <w:r w:rsidRPr="00120709">
        <w:rPr>
          <w:sz w:val="18"/>
        </w:rPr>
        <w:t>(…)”</w:t>
      </w:r>
    </w:p>
    <w:p w:rsidRPr="00120709" w:rsidR="00557709" w:rsidP="00557709" w:rsidRDefault="00557709" w14:paraId="0189DF31" w14:textId="77777777">
      <w:pPr>
        <w:ind w:left="300" w:firstLine="707"/>
        <w:rPr>
          <w:sz w:val="18"/>
        </w:rPr>
      </w:pPr>
    </w:p>
    <w:p w:rsidRPr="00120709" w:rsidR="00557709" w:rsidRDefault="00557709" w14:paraId="0189DF32" w14:textId="77777777">
      <w:pPr>
        <w:pStyle w:val="Textonotapie"/>
      </w:pPr>
    </w:p>
  </w:footnote>
  <w:footnote w:id="5">
    <w:p w:rsidRPr="00120709" w:rsidR="00557709" w:rsidP="00557709" w:rsidRDefault="00557709" w14:paraId="0189DF33" w14:textId="77777777">
      <w:pPr>
        <w:spacing w:before="73"/>
        <w:ind w:left="1008"/>
        <w:rPr>
          <w:sz w:val="18"/>
        </w:rPr>
      </w:pPr>
      <w:r w:rsidRPr="00120709">
        <w:rPr>
          <w:rStyle w:val="Refdenotaalpie"/>
        </w:rPr>
        <w:footnoteRef/>
      </w:r>
      <w:r w:rsidRPr="00120709">
        <w:t xml:space="preserve"> </w:t>
      </w:r>
      <w:r w:rsidRPr="00120709">
        <w:rPr>
          <w:sz w:val="18"/>
        </w:rPr>
        <w:t>Ley 1150 de 2007, artículo 6 inciso 2</w:t>
      </w:r>
    </w:p>
    <w:p w:rsidRPr="00120709" w:rsidR="00557709" w:rsidRDefault="00557709" w14:paraId="0189DF34" w14:textId="77777777">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F17A75" w:rsidRDefault="00165A45" w14:paraId="0189DF1B" w14:textId="77777777">
    <w:pPr>
      <w:pStyle w:val="Textoindependiente"/>
      <w:spacing w:line="14" w:lineRule="auto"/>
      <w:rPr>
        <w:sz w:val="20"/>
      </w:rPr>
    </w:pPr>
    <w:r>
      <w:rPr>
        <w:noProof/>
        <w:lang w:val="es-CO" w:eastAsia="es-CO"/>
      </w:rPr>
      <w:drawing>
        <wp:anchor distT="0" distB="0" distL="0" distR="0" simplePos="0" relativeHeight="487497216" behindDoc="1" locked="0" layoutInCell="1" allowOverlap="1" wp14:anchorId="0189DF1D" wp14:editId="0189DF1E">
          <wp:simplePos x="0" y="0"/>
          <wp:positionH relativeFrom="page">
            <wp:posOffset>5304473</wp:posOffset>
          </wp:positionH>
          <wp:positionV relativeFrom="page">
            <wp:posOffset>376172</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51402CDF">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B6C7E"/>
    <w:multiLevelType w:val="hybridMultilevel"/>
    <w:tmpl w:val="C0C87002"/>
    <w:lvl w:ilvl="0" w:tplc="73F60336">
      <w:start w:val="2"/>
      <w:numFmt w:val="decimal"/>
      <w:lvlText w:val="%1."/>
      <w:lvlJc w:val="left"/>
      <w:pPr>
        <w:ind w:left="1008" w:hanging="405"/>
        <w:jc w:val="right"/>
      </w:pPr>
      <w:rPr>
        <w:rFonts w:hint="default"/>
        <w:spacing w:val="-1"/>
        <w:w w:val="100"/>
        <w:lang w:val="es-ES" w:eastAsia="en-US" w:bidi="ar-SA"/>
      </w:rPr>
    </w:lvl>
    <w:lvl w:ilvl="1" w:tplc="AD78508E">
      <w:numFmt w:val="bullet"/>
      <w:lvlText w:val="•"/>
      <w:lvlJc w:val="left"/>
      <w:pPr>
        <w:ind w:left="1854" w:hanging="405"/>
      </w:pPr>
      <w:rPr>
        <w:rFonts w:hint="default"/>
        <w:lang w:val="es-ES" w:eastAsia="en-US" w:bidi="ar-SA"/>
      </w:rPr>
    </w:lvl>
    <w:lvl w:ilvl="2" w:tplc="E9947B32">
      <w:numFmt w:val="bullet"/>
      <w:lvlText w:val="•"/>
      <w:lvlJc w:val="left"/>
      <w:pPr>
        <w:ind w:left="2708" w:hanging="405"/>
      </w:pPr>
      <w:rPr>
        <w:rFonts w:hint="default"/>
        <w:lang w:val="es-ES" w:eastAsia="en-US" w:bidi="ar-SA"/>
      </w:rPr>
    </w:lvl>
    <w:lvl w:ilvl="3" w:tplc="BA4210FE">
      <w:numFmt w:val="bullet"/>
      <w:lvlText w:val="•"/>
      <w:lvlJc w:val="left"/>
      <w:pPr>
        <w:ind w:left="3562" w:hanging="405"/>
      </w:pPr>
      <w:rPr>
        <w:rFonts w:hint="default"/>
        <w:lang w:val="es-ES" w:eastAsia="en-US" w:bidi="ar-SA"/>
      </w:rPr>
    </w:lvl>
    <w:lvl w:ilvl="4" w:tplc="33E67918">
      <w:numFmt w:val="bullet"/>
      <w:lvlText w:val="•"/>
      <w:lvlJc w:val="left"/>
      <w:pPr>
        <w:ind w:left="4416" w:hanging="405"/>
      </w:pPr>
      <w:rPr>
        <w:rFonts w:hint="default"/>
        <w:lang w:val="es-ES" w:eastAsia="en-US" w:bidi="ar-SA"/>
      </w:rPr>
    </w:lvl>
    <w:lvl w:ilvl="5" w:tplc="268C4F5A">
      <w:numFmt w:val="bullet"/>
      <w:lvlText w:val="•"/>
      <w:lvlJc w:val="left"/>
      <w:pPr>
        <w:ind w:left="5270" w:hanging="405"/>
      </w:pPr>
      <w:rPr>
        <w:rFonts w:hint="default"/>
        <w:lang w:val="es-ES" w:eastAsia="en-US" w:bidi="ar-SA"/>
      </w:rPr>
    </w:lvl>
    <w:lvl w:ilvl="6" w:tplc="AAF60A6A">
      <w:numFmt w:val="bullet"/>
      <w:lvlText w:val="•"/>
      <w:lvlJc w:val="left"/>
      <w:pPr>
        <w:ind w:left="6124" w:hanging="405"/>
      </w:pPr>
      <w:rPr>
        <w:rFonts w:hint="default"/>
        <w:lang w:val="es-ES" w:eastAsia="en-US" w:bidi="ar-SA"/>
      </w:rPr>
    </w:lvl>
    <w:lvl w:ilvl="7" w:tplc="DBFE553A">
      <w:numFmt w:val="bullet"/>
      <w:lvlText w:val="•"/>
      <w:lvlJc w:val="left"/>
      <w:pPr>
        <w:ind w:left="6978" w:hanging="405"/>
      </w:pPr>
      <w:rPr>
        <w:rFonts w:hint="default"/>
        <w:lang w:val="es-ES" w:eastAsia="en-US" w:bidi="ar-SA"/>
      </w:rPr>
    </w:lvl>
    <w:lvl w:ilvl="8" w:tplc="F3081868">
      <w:numFmt w:val="bullet"/>
      <w:lvlText w:val="•"/>
      <w:lvlJc w:val="left"/>
      <w:pPr>
        <w:ind w:left="7832" w:hanging="405"/>
      </w:pPr>
      <w:rPr>
        <w:rFonts w:hint="default"/>
        <w:lang w:val="es-ES" w:eastAsia="en-US" w:bidi="ar-SA"/>
      </w:rPr>
    </w:lvl>
  </w:abstractNum>
  <w:abstractNum w:abstractNumId="1" w15:restartNumberingAfterBreak="0">
    <w:nsid w:val="66884878"/>
    <w:multiLevelType w:val="multilevel"/>
    <w:tmpl w:val="9D64981E"/>
    <w:lvl w:ilvl="0">
      <w:start w:val="1"/>
      <w:numFmt w:val="decimal"/>
      <w:lvlText w:val="%1."/>
      <w:lvlJc w:val="left"/>
      <w:pPr>
        <w:ind w:left="660" w:hanging="360"/>
        <w:jc w:val="left"/>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6"/>
        <w:jc w:val="left"/>
      </w:pPr>
      <w:rPr>
        <w:rFonts w:hint="default" w:ascii="Arial" w:hAnsi="Arial" w:eastAsia="Arial" w:cs="Arial"/>
        <w:b/>
        <w:bCs/>
        <w:color w:val="4E4D4D"/>
        <w:spacing w:val="-1"/>
        <w:w w:val="100"/>
        <w:sz w:val="22"/>
        <w:szCs w:val="22"/>
        <w:lang w:val="es-ES" w:eastAsia="en-US" w:bidi="ar-SA"/>
      </w:rPr>
    </w:lvl>
    <w:lvl w:ilvl="2">
      <w:numFmt w:val="bullet"/>
      <w:lvlText w:val="•"/>
      <w:lvlJc w:val="left"/>
      <w:pPr>
        <w:ind w:left="2436" w:hanging="366"/>
      </w:pPr>
      <w:rPr>
        <w:rFonts w:hint="default"/>
        <w:lang w:val="es-ES" w:eastAsia="en-US" w:bidi="ar-SA"/>
      </w:rPr>
    </w:lvl>
    <w:lvl w:ilvl="3">
      <w:numFmt w:val="bullet"/>
      <w:lvlText w:val="•"/>
      <w:lvlJc w:val="left"/>
      <w:pPr>
        <w:ind w:left="3324" w:hanging="366"/>
      </w:pPr>
      <w:rPr>
        <w:rFonts w:hint="default"/>
        <w:lang w:val="es-ES" w:eastAsia="en-US" w:bidi="ar-SA"/>
      </w:rPr>
    </w:lvl>
    <w:lvl w:ilvl="4">
      <w:numFmt w:val="bullet"/>
      <w:lvlText w:val="•"/>
      <w:lvlJc w:val="left"/>
      <w:pPr>
        <w:ind w:left="4212" w:hanging="366"/>
      </w:pPr>
      <w:rPr>
        <w:rFonts w:hint="default"/>
        <w:lang w:val="es-ES" w:eastAsia="en-US" w:bidi="ar-SA"/>
      </w:rPr>
    </w:lvl>
    <w:lvl w:ilvl="5">
      <w:numFmt w:val="bullet"/>
      <w:lvlText w:val="•"/>
      <w:lvlJc w:val="left"/>
      <w:pPr>
        <w:ind w:left="5100" w:hanging="366"/>
      </w:pPr>
      <w:rPr>
        <w:rFonts w:hint="default"/>
        <w:lang w:val="es-ES" w:eastAsia="en-US" w:bidi="ar-SA"/>
      </w:rPr>
    </w:lvl>
    <w:lvl w:ilvl="6">
      <w:numFmt w:val="bullet"/>
      <w:lvlText w:val="•"/>
      <w:lvlJc w:val="left"/>
      <w:pPr>
        <w:ind w:left="5988" w:hanging="366"/>
      </w:pPr>
      <w:rPr>
        <w:rFonts w:hint="default"/>
        <w:lang w:val="es-ES" w:eastAsia="en-US" w:bidi="ar-SA"/>
      </w:rPr>
    </w:lvl>
    <w:lvl w:ilvl="7">
      <w:numFmt w:val="bullet"/>
      <w:lvlText w:val="•"/>
      <w:lvlJc w:val="left"/>
      <w:pPr>
        <w:ind w:left="6876" w:hanging="366"/>
      </w:pPr>
      <w:rPr>
        <w:rFonts w:hint="default"/>
        <w:lang w:val="es-ES" w:eastAsia="en-US" w:bidi="ar-SA"/>
      </w:rPr>
    </w:lvl>
    <w:lvl w:ilvl="8">
      <w:numFmt w:val="bullet"/>
      <w:lvlText w:val="•"/>
      <w:lvlJc w:val="left"/>
      <w:pPr>
        <w:ind w:left="7764" w:hanging="366"/>
      </w:pPr>
      <w:rPr>
        <w:rFonts w:hint="default"/>
        <w:lang w:val="es-ES" w:eastAsia="en-US" w:bidi="ar-SA"/>
      </w:rPr>
    </w:lvl>
  </w:abstractNum>
  <w:abstractNum w:abstractNumId="2" w15:restartNumberingAfterBreak="0">
    <w:nsid w:val="780F388E"/>
    <w:multiLevelType w:val="hybridMultilevel"/>
    <w:tmpl w:val="BB10DAF0"/>
    <w:lvl w:ilvl="0" w:tplc="ABBAB31E">
      <w:start w:val="1"/>
      <w:numFmt w:val="upperRoman"/>
      <w:lvlText w:val="%1)"/>
      <w:lvlJc w:val="left"/>
      <w:pPr>
        <w:ind w:left="300" w:hanging="275"/>
        <w:jc w:val="left"/>
      </w:pPr>
      <w:rPr>
        <w:rFonts w:hint="default" w:ascii="Arial" w:hAnsi="Arial" w:eastAsia="Arial" w:cs="Arial"/>
        <w:color w:val="4E4D4D"/>
        <w:spacing w:val="-3"/>
        <w:w w:val="100"/>
        <w:sz w:val="22"/>
        <w:szCs w:val="22"/>
        <w:lang w:val="es-ES" w:eastAsia="en-US" w:bidi="ar-SA"/>
      </w:rPr>
    </w:lvl>
    <w:lvl w:ilvl="1" w:tplc="FF8A02B0">
      <w:numFmt w:val="bullet"/>
      <w:lvlText w:val="•"/>
      <w:lvlJc w:val="left"/>
      <w:pPr>
        <w:ind w:left="1224" w:hanging="275"/>
      </w:pPr>
      <w:rPr>
        <w:rFonts w:hint="default"/>
        <w:lang w:val="es-ES" w:eastAsia="en-US" w:bidi="ar-SA"/>
      </w:rPr>
    </w:lvl>
    <w:lvl w:ilvl="2" w:tplc="9B4E94B6">
      <w:numFmt w:val="bullet"/>
      <w:lvlText w:val="•"/>
      <w:lvlJc w:val="left"/>
      <w:pPr>
        <w:ind w:left="2148" w:hanging="275"/>
      </w:pPr>
      <w:rPr>
        <w:rFonts w:hint="default"/>
        <w:lang w:val="es-ES" w:eastAsia="en-US" w:bidi="ar-SA"/>
      </w:rPr>
    </w:lvl>
    <w:lvl w:ilvl="3" w:tplc="9EA21480">
      <w:numFmt w:val="bullet"/>
      <w:lvlText w:val="•"/>
      <w:lvlJc w:val="left"/>
      <w:pPr>
        <w:ind w:left="3072" w:hanging="275"/>
      </w:pPr>
      <w:rPr>
        <w:rFonts w:hint="default"/>
        <w:lang w:val="es-ES" w:eastAsia="en-US" w:bidi="ar-SA"/>
      </w:rPr>
    </w:lvl>
    <w:lvl w:ilvl="4" w:tplc="CCA448A0">
      <w:numFmt w:val="bullet"/>
      <w:lvlText w:val="•"/>
      <w:lvlJc w:val="left"/>
      <w:pPr>
        <w:ind w:left="3996" w:hanging="275"/>
      </w:pPr>
      <w:rPr>
        <w:rFonts w:hint="default"/>
        <w:lang w:val="es-ES" w:eastAsia="en-US" w:bidi="ar-SA"/>
      </w:rPr>
    </w:lvl>
    <w:lvl w:ilvl="5" w:tplc="916C6660">
      <w:numFmt w:val="bullet"/>
      <w:lvlText w:val="•"/>
      <w:lvlJc w:val="left"/>
      <w:pPr>
        <w:ind w:left="4920" w:hanging="275"/>
      </w:pPr>
      <w:rPr>
        <w:rFonts w:hint="default"/>
        <w:lang w:val="es-ES" w:eastAsia="en-US" w:bidi="ar-SA"/>
      </w:rPr>
    </w:lvl>
    <w:lvl w:ilvl="6" w:tplc="E7126494">
      <w:numFmt w:val="bullet"/>
      <w:lvlText w:val="•"/>
      <w:lvlJc w:val="left"/>
      <w:pPr>
        <w:ind w:left="5844" w:hanging="275"/>
      </w:pPr>
      <w:rPr>
        <w:rFonts w:hint="default"/>
        <w:lang w:val="es-ES" w:eastAsia="en-US" w:bidi="ar-SA"/>
      </w:rPr>
    </w:lvl>
    <w:lvl w:ilvl="7" w:tplc="10FE5EB8">
      <w:numFmt w:val="bullet"/>
      <w:lvlText w:val="•"/>
      <w:lvlJc w:val="left"/>
      <w:pPr>
        <w:ind w:left="6768" w:hanging="275"/>
      </w:pPr>
      <w:rPr>
        <w:rFonts w:hint="default"/>
        <w:lang w:val="es-ES" w:eastAsia="en-US" w:bidi="ar-SA"/>
      </w:rPr>
    </w:lvl>
    <w:lvl w:ilvl="8" w:tplc="550ACE50">
      <w:numFmt w:val="bullet"/>
      <w:lvlText w:val="•"/>
      <w:lvlJc w:val="left"/>
      <w:pPr>
        <w:ind w:left="7692" w:hanging="275"/>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A75"/>
    <w:rsid w:val="00010BFD"/>
    <w:rsid w:val="00120709"/>
    <w:rsid w:val="00165A45"/>
    <w:rsid w:val="001A202E"/>
    <w:rsid w:val="00557709"/>
    <w:rsid w:val="00AE2A84"/>
    <w:rsid w:val="00BB7253"/>
    <w:rsid w:val="00BC739B"/>
    <w:rsid w:val="00D03416"/>
    <w:rsid w:val="00DA49B8"/>
    <w:rsid w:val="00F17A75"/>
    <w:rsid w:val="102081DC"/>
    <w:rsid w:val="163D0039"/>
    <w:rsid w:val="28AC6F35"/>
    <w:rsid w:val="2DAA9E51"/>
    <w:rsid w:val="51402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DEB9"/>
  <w15:docId w15:val="{D3D4333F-4AC0-4F16-99FA-7C3B0F2B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6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1"/>
    </w:pPr>
  </w:style>
  <w:style w:type="paragraph" w:styleId="TableParagraph" w:customStyle="1">
    <w:name w:val="Table Paragraph"/>
    <w:basedOn w:val="Normal"/>
    <w:uiPriority w:val="1"/>
    <w:qFormat/>
    <w:pPr>
      <w:spacing w:before="15"/>
      <w:ind w:left="124"/>
    </w:pPr>
  </w:style>
  <w:style w:type="paragraph" w:styleId="Textonotapie">
    <w:name w:val="footnote text"/>
    <w:basedOn w:val="Normal"/>
    <w:link w:val="TextonotapieCar"/>
    <w:uiPriority w:val="99"/>
    <w:semiHidden/>
    <w:unhideWhenUsed/>
    <w:rsid w:val="00557709"/>
    <w:rPr>
      <w:sz w:val="20"/>
      <w:szCs w:val="20"/>
    </w:rPr>
  </w:style>
  <w:style w:type="character" w:styleId="TextonotapieCar" w:customStyle="1">
    <w:name w:val="Texto nota pie Car"/>
    <w:basedOn w:val="Fuentedeprrafopredeter"/>
    <w:link w:val="Textonotapie"/>
    <w:uiPriority w:val="99"/>
    <w:semiHidden/>
    <w:rsid w:val="00557709"/>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557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3acc17eb2b1049f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E8503F2-7121-4FD8-BA64-EF2A36A0BACF}">
  <ds:schemaRefs>
    <ds:schemaRef ds:uri="http://schemas.openxmlformats.org/officeDocument/2006/bibliography"/>
  </ds:schemaRefs>
</ds:datastoreItem>
</file>

<file path=customXml/itemProps2.xml><?xml version="1.0" encoding="utf-8"?>
<ds:datastoreItem xmlns:ds="http://schemas.openxmlformats.org/officeDocument/2006/customXml" ds:itemID="{B4CE3DB7-36F8-43AE-9C58-A8667C779809}"/>
</file>

<file path=customXml/itemProps3.xml><?xml version="1.0" encoding="utf-8"?>
<ds:datastoreItem xmlns:ds="http://schemas.openxmlformats.org/officeDocument/2006/customXml" ds:itemID="{02B12D68-9629-4446-AF86-80F72569A7EA}">
  <ds:schemaRefs>
    <ds:schemaRef ds:uri="http://schemas.microsoft.com/sharepoint/v3/contenttype/forms"/>
  </ds:schemaRefs>
</ds:datastoreItem>
</file>

<file path=customXml/itemProps4.xml><?xml version="1.0" encoding="utf-8"?>
<ds:datastoreItem xmlns:ds="http://schemas.openxmlformats.org/officeDocument/2006/customXml" ds:itemID="{20547690-DE7A-4234-85DC-A0470E1D0F3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felipe.munoz@colombiacompra.gov.co</dc:creator>
  <lastModifiedBy>Nina María Padrón</lastModifiedBy>
  <revision>6</revision>
  <dcterms:created xsi:type="dcterms:W3CDTF">2020-05-21T13:48:00.0000000Z</dcterms:created>
  <dcterms:modified xsi:type="dcterms:W3CDTF">2020-07-14T14:31:58.3246122Z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vt:lpwstr>
  </property>
  <property fmtid="{D5CDD505-2E9C-101B-9397-08002B2CF9AE}" pid="4" name="LastSaved">
    <vt:filetime>2020-03-20T00:00:00Z</vt:filetime>
  </property>
  <property fmtid="{D5CDD505-2E9C-101B-9397-08002B2CF9AE}" pid="5" name="ContentTypeId">
    <vt:lpwstr>0x010100F2E0F32964D9B84EA054B84E5D4157A0</vt:lpwstr>
  </property>
</Properties>
</file>