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F865F2" w:rsidP="00211C07" w:rsidRDefault="00F865F2" w14:paraId="5D158AC0" w14:textId="02D761D1">
      <w:pPr>
        <w:ind w:right="307"/>
        <w:jc w:val="both"/>
        <w:rPr>
          <w:sz w:val="21"/>
          <w:szCs w:val="21"/>
        </w:rPr>
      </w:pPr>
    </w:p>
    <w:p w:rsidRPr="002B19C5" w:rsidR="00211C07" w:rsidP="00211C07" w:rsidRDefault="00211C07" w14:paraId="1BD03691" w14:textId="77777777">
      <w:pPr>
        <w:ind w:right="307"/>
        <w:jc w:val="both"/>
        <w:rPr>
          <w:sz w:val="21"/>
          <w:szCs w:val="21"/>
        </w:rPr>
      </w:pPr>
    </w:p>
    <w:p w:rsidRPr="002B19C5" w:rsidR="00F865F2" w:rsidP="00FD2043" w:rsidRDefault="00F865F2" w14:paraId="5D158AC1" w14:textId="77777777">
      <w:pPr>
        <w:ind w:left="300" w:right="307"/>
        <w:jc w:val="both"/>
        <w:rPr>
          <w:b/>
        </w:rPr>
      </w:pPr>
      <w:r w:rsidRPr="002B19C5">
        <w:rPr>
          <w:b/>
        </w:rPr>
        <w:t xml:space="preserve">DESCONCENTRACIÓN – Definición </w:t>
      </w:r>
    </w:p>
    <w:p w:rsidRPr="002B19C5" w:rsidR="00F865F2" w:rsidP="00FD2043" w:rsidRDefault="00F865F2" w14:paraId="5D158AC2" w14:textId="77777777">
      <w:pPr>
        <w:ind w:left="300" w:right="307"/>
        <w:jc w:val="both"/>
        <w:rPr>
          <w:sz w:val="21"/>
          <w:szCs w:val="21"/>
        </w:rPr>
      </w:pPr>
    </w:p>
    <w:p w:rsidRPr="002B19C5" w:rsidR="00F865F2" w:rsidP="00FD2043" w:rsidRDefault="00F865F2" w14:paraId="5D158AC3" w14:textId="77777777">
      <w:pPr>
        <w:ind w:left="300" w:right="307"/>
        <w:jc w:val="both"/>
        <w:rPr>
          <w:sz w:val="20"/>
          <w:szCs w:val="20"/>
        </w:rPr>
      </w:pPr>
      <w:r w:rsidRPr="002B19C5">
        <w:rPr>
          <w:sz w:val="20"/>
          <w:szCs w:val="20"/>
        </w:rPr>
        <w:t>Por otro lado, la desconcentración se diferencia de la delegación porque las funciones no se transfieren entre servidores que hacen parte de la Administración pública, sino que la función se asigna a una dependencia de la entidad o sedes, con responsabilidad para el jefe de este respecto de la orientación a quien asume la función.</w:t>
      </w:r>
    </w:p>
    <w:p w:rsidRPr="002B19C5" w:rsidR="00F865F2" w:rsidP="00FD2043" w:rsidRDefault="00F865F2" w14:paraId="5D158AC4" w14:textId="77777777">
      <w:pPr>
        <w:pStyle w:val="Textoindependiente"/>
        <w:rPr>
          <w:rFonts w:ascii="Times New Roman"/>
          <w:sz w:val="21"/>
        </w:rPr>
      </w:pPr>
    </w:p>
    <w:p w:rsidRPr="002B19C5" w:rsidR="00F865F2" w:rsidP="23208F8B" w:rsidRDefault="00211C07" w14:paraId="5D158AC5" w14:textId="3F0C4A02">
      <w:pPr>
        <w:pStyle w:val="Textoindependiente"/>
        <w:rPr>
          <w:b w:val="1"/>
          <w:bCs w:val="1"/>
          <w:sz w:val="22"/>
          <w:szCs w:val="22"/>
        </w:rPr>
      </w:pPr>
      <w:r w:rsidRPr="23208F8B" w:rsidR="00211C07">
        <w:rPr>
          <w:b w:val="1"/>
          <w:bCs w:val="1"/>
          <w:sz w:val="22"/>
          <w:szCs w:val="22"/>
        </w:rPr>
        <w:t xml:space="preserve">     </w:t>
      </w:r>
      <w:r w:rsidRPr="23208F8B" w:rsidR="6CAA8B97">
        <w:rPr>
          <w:b w:val="1"/>
          <w:bCs w:val="1"/>
          <w:sz w:val="22"/>
          <w:szCs w:val="22"/>
        </w:rPr>
        <w:t>COMPETENCIA PARA CONTRATAR</w:t>
      </w:r>
      <w:r w:rsidRPr="23208F8B" w:rsidR="0680AAD8">
        <w:rPr>
          <w:b w:val="1"/>
          <w:bCs w:val="1"/>
          <w:sz w:val="22"/>
          <w:szCs w:val="22"/>
        </w:rPr>
        <w:t xml:space="preserve"> – </w:t>
      </w:r>
      <w:r w:rsidRPr="23208F8B" w:rsidR="0032158F">
        <w:rPr>
          <w:b w:val="1"/>
          <w:bCs w:val="1"/>
          <w:sz w:val="22"/>
          <w:szCs w:val="22"/>
        </w:rPr>
        <w:t>Delegabilidad</w:t>
      </w:r>
      <w:r w:rsidRPr="23208F8B" w:rsidR="00F865F2">
        <w:rPr>
          <w:b w:val="1"/>
          <w:bCs w:val="1"/>
          <w:sz w:val="22"/>
          <w:szCs w:val="22"/>
        </w:rPr>
        <w:t xml:space="preserve"> – Etapas </w:t>
      </w:r>
    </w:p>
    <w:p w:rsidRPr="002B19C5" w:rsidR="00F865F2" w:rsidP="00FD2043" w:rsidRDefault="00F865F2" w14:paraId="5D158AC6" w14:textId="77777777">
      <w:pPr>
        <w:pStyle w:val="Textoindependiente"/>
        <w:rPr>
          <w:b/>
          <w:sz w:val="22"/>
          <w:szCs w:val="22"/>
        </w:rPr>
      </w:pPr>
    </w:p>
    <w:p w:rsidRPr="002B19C5" w:rsidR="00F865F2" w:rsidP="00FD2043" w:rsidRDefault="00F865F2" w14:paraId="5D158AC7" w14:textId="77777777">
      <w:pPr>
        <w:ind w:left="300" w:right="305"/>
        <w:jc w:val="both"/>
        <w:rPr>
          <w:sz w:val="20"/>
          <w:szCs w:val="20"/>
        </w:rPr>
      </w:pPr>
      <w:r w:rsidRPr="002B19C5">
        <w:rPr>
          <w:sz w:val="20"/>
          <w:szCs w:val="20"/>
        </w:rPr>
        <w:t xml:space="preserve">El Consejo de Estado, Sección Tercera, radicado 49.065, Consejera Ponente: Marta Nubia Velásquez Rico, analizó la delegación en la Ley 80 de 1993. Concluyó que se puede delegar la competencia para adelantar las etapas precontractuales, contractual y </w:t>
      </w:r>
      <w:proofErr w:type="spellStart"/>
      <w:r w:rsidRPr="002B19C5">
        <w:rPr>
          <w:sz w:val="20"/>
          <w:szCs w:val="20"/>
        </w:rPr>
        <w:t>poscontractual</w:t>
      </w:r>
      <w:proofErr w:type="spellEnd"/>
      <w:r w:rsidRPr="002B19C5">
        <w:rPr>
          <w:sz w:val="20"/>
          <w:szCs w:val="20"/>
        </w:rPr>
        <w:t xml:space="preserve"> del proceso, y específicamente la adjudicación, liquidación, terminación,</w:t>
      </w:r>
      <w:r w:rsidRPr="002B19C5" w:rsidR="00D3306C">
        <w:rPr>
          <w:sz w:val="20"/>
          <w:szCs w:val="20"/>
        </w:rPr>
        <w:t xml:space="preserve"> </w:t>
      </w:r>
      <w:r w:rsidRPr="002B19C5">
        <w:rPr>
          <w:sz w:val="20"/>
          <w:szCs w:val="20"/>
        </w:rPr>
        <w:t>modificación, adición, prórroga de los negocios y los demás actos inherentes a la actividad contractual, donde se incluye la potestad sancionatoria</w:t>
      </w:r>
    </w:p>
    <w:p w:rsidRPr="002B19C5" w:rsidR="00D3306C" w:rsidP="00FD2043" w:rsidRDefault="00D3306C" w14:paraId="5D158AC8" w14:textId="77777777">
      <w:pPr>
        <w:ind w:left="300" w:right="305"/>
        <w:jc w:val="both"/>
        <w:rPr>
          <w:sz w:val="21"/>
          <w:szCs w:val="21"/>
        </w:rPr>
      </w:pPr>
    </w:p>
    <w:p w:rsidRPr="002B19C5" w:rsidR="00D3306C" w:rsidP="23208F8B" w:rsidRDefault="00D3306C" w14:paraId="5D158AC9" w14:textId="4ECA87DD">
      <w:pPr>
        <w:ind w:left="300" w:right="305"/>
        <w:jc w:val="both"/>
        <w:rPr>
          <w:b w:val="1"/>
          <w:bCs w:val="1"/>
        </w:rPr>
      </w:pPr>
      <w:r w:rsidRPr="23208F8B" w:rsidR="22B7F6CF">
        <w:rPr>
          <w:b w:val="1"/>
          <w:bCs w:val="1"/>
        </w:rPr>
        <w:t>COMPETENCIA PARA CONTRATAR</w:t>
      </w:r>
      <w:r w:rsidRPr="23208F8B" w:rsidR="00211C07">
        <w:rPr>
          <w:b w:val="1"/>
          <w:bCs w:val="1"/>
        </w:rPr>
        <w:t xml:space="preserve"> –</w:t>
      </w:r>
      <w:r w:rsidRPr="23208F8B" w:rsidR="00D3306C">
        <w:rPr>
          <w:b w:val="1"/>
          <w:bCs w:val="1"/>
        </w:rPr>
        <w:t xml:space="preserve"> Delegatarios </w:t>
      </w:r>
    </w:p>
    <w:p w:rsidRPr="002B19C5" w:rsidR="00D3306C" w:rsidP="00FD2043" w:rsidRDefault="00D3306C" w14:paraId="5D158ACA" w14:textId="77777777">
      <w:pPr>
        <w:pStyle w:val="Ttulo2"/>
        <w:ind w:left="301" w:right="306"/>
      </w:pPr>
    </w:p>
    <w:p w:rsidRPr="002B19C5" w:rsidR="00D3306C" w:rsidP="00FD2043" w:rsidRDefault="00D3306C" w14:paraId="5D158ACB" w14:textId="77777777">
      <w:pPr>
        <w:pStyle w:val="Ttulo2"/>
        <w:ind w:left="301" w:right="306"/>
        <w:rPr>
          <w:sz w:val="20"/>
          <w:szCs w:val="20"/>
        </w:rPr>
      </w:pPr>
      <w:r w:rsidRPr="002B19C5">
        <w:rPr>
          <w:sz w:val="20"/>
          <w:szCs w:val="20"/>
        </w:rPr>
        <w:t>A partir de esto se concluye que para el artículo</w:t>
      </w:r>
      <w:r w:rsidRPr="002B19C5">
        <w:rPr>
          <w:spacing w:val="6"/>
          <w:sz w:val="20"/>
          <w:szCs w:val="20"/>
        </w:rPr>
        <w:t xml:space="preserve"> </w:t>
      </w:r>
      <w:r w:rsidRPr="002B19C5">
        <w:rPr>
          <w:sz w:val="20"/>
          <w:szCs w:val="20"/>
        </w:rPr>
        <w:t>12</w:t>
      </w:r>
      <w:r w:rsidRPr="002B19C5">
        <w:rPr>
          <w:spacing w:val="6"/>
          <w:sz w:val="20"/>
          <w:szCs w:val="20"/>
        </w:rPr>
        <w:t xml:space="preserve"> </w:t>
      </w:r>
      <w:r w:rsidRPr="002B19C5">
        <w:rPr>
          <w:sz w:val="20"/>
          <w:szCs w:val="20"/>
        </w:rPr>
        <w:t>de</w:t>
      </w:r>
      <w:r w:rsidRPr="002B19C5">
        <w:rPr>
          <w:spacing w:val="7"/>
          <w:sz w:val="20"/>
          <w:szCs w:val="20"/>
        </w:rPr>
        <w:t xml:space="preserve"> </w:t>
      </w:r>
      <w:r w:rsidRPr="002B19C5">
        <w:rPr>
          <w:sz w:val="20"/>
          <w:szCs w:val="20"/>
        </w:rPr>
        <w:t>la</w:t>
      </w:r>
      <w:r w:rsidRPr="002B19C5">
        <w:rPr>
          <w:spacing w:val="6"/>
          <w:sz w:val="20"/>
          <w:szCs w:val="20"/>
        </w:rPr>
        <w:t xml:space="preserve"> </w:t>
      </w:r>
      <w:r w:rsidRPr="002B19C5">
        <w:rPr>
          <w:sz w:val="20"/>
          <w:szCs w:val="20"/>
        </w:rPr>
        <w:t>Ley</w:t>
      </w:r>
      <w:r w:rsidRPr="002B19C5">
        <w:rPr>
          <w:spacing w:val="5"/>
          <w:sz w:val="20"/>
          <w:szCs w:val="20"/>
        </w:rPr>
        <w:t xml:space="preserve"> </w:t>
      </w:r>
      <w:r w:rsidRPr="002B19C5">
        <w:rPr>
          <w:sz w:val="20"/>
          <w:szCs w:val="20"/>
        </w:rPr>
        <w:t>80</w:t>
      </w:r>
      <w:r w:rsidRPr="002B19C5">
        <w:rPr>
          <w:spacing w:val="6"/>
          <w:sz w:val="20"/>
          <w:szCs w:val="20"/>
        </w:rPr>
        <w:t xml:space="preserve"> </w:t>
      </w:r>
      <w:r w:rsidRPr="002B19C5">
        <w:rPr>
          <w:sz w:val="20"/>
          <w:szCs w:val="20"/>
        </w:rPr>
        <w:t>de</w:t>
      </w:r>
      <w:r w:rsidRPr="002B19C5">
        <w:rPr>
          <w:spacing w:val="6"/>
          <w:sz w:val="20"/>
          <w:szCs w:val="20"/>
        </w:rPr>
        <w:t xml:space="preserve"> </w:t>
      </w:r>
      <w:r w:rsidRPr="002B19C5">
        <w:rPr>
          <w:sz w:val="20"/>
          <w:szCs w:val="20"/>
        </w:rPr>
        <w:t>1993,</w:t>
      </w:r>
      <w:r w:rsidRPr="002B19C5">
        <w:rPr>
          <w:spacing w:val="6"/>
          <w:sz w:val="20"/>
          <w:szCs w:val="20"/>
        </w:rPr>
        <w:t xml:space="preserve"> </w:t>
      </w:r>
      <w:r w:rsidRPr="002B19C5">
        <w:rPr>
          <w:sz w:val="20"/>
          <w:szCs w:val="20"/>
        </w:rPr>
        <w:t>cuando</w:t>
      </w:r>
      <w:r w:rsidRPr="002B19C5">
        <w:rPr>
          <w:spacing w:val="6"/>
          <w:sz w:val="20"/>
          <w:szCs w:val="20"/>
        </w:rPr>
        <w:t xml:space="preserve"> </w:t>
      </w:r>
      <w:r w:rsidRPr="002B19C5">
        <w:rPr>
          <w:sz w:val="20"/>
          <w:szCs w:val="20"/>
        </w:rPr>
        <w:t>identifica</w:t>
      </w:r>
      <w:r w:rsidRPr="002B19C5">
        <w:rPr>
          <w:spacing w:val="5"/>
          <w:sz w:val="20"/>
          <w:szCs w:val="20"/>
        </w:rPr>
        <w:t xml:space="preserve"> </w:t>
      </w:r>
      <w:r w:rsidRPr="002B19C5">
        <w:rPr>
          <w:sz w:val="20"/>
          <w:szCs w:val="20"/>
        </w:rPr>
        <w:t>los</w:t>
      </w:r>
      <w:r w:rsidRPr="002B19C5">
        <w:rPr>
          <w:spacing w:val="6"/>
          <w:sz w:val="20"/>
          <w:szCs w:val="20"/>
        </w:rPr>
        <w:t xml:space="preserve"> </w:t>
      </w:r>
      <w:r w:rsidRPr="002B19C5">
        <w:rPr>
          <w:sz w:val="20"/>
          <w:szCs w:val="20"/>
        </w:rPr>
        <w:t>servidores</w:t>
      </w:r>
      <w:r w:rsidRPr="002B19C5">
        <w:rPr>
          <w:spacing w:val="7"/>
          <w:sz w:val="20"/>
          <w:szCs w:val="20"/>
        </w:rPr>
        <w:t xml:space="preserve"> </w:t>
      </w:r>
      <w:r w:rsidRPr="002B19C5">
        <w:rPr>
          <w:sz w:val="20"/>
          <w:szCs w:val="20"/>
        </w:rPr>
        <w:t>públicos</w:t>
      </w:r>
      <w:r w:rsidRPr="002B19C5">
        <w:rPr>
          <w:spacing w:val="6"/>
          <w:sz w:val="20"/>
          <w:szCs w:val="20"/>
        </w:rPr>
        <w:t xml:space="preserve"> </w:t>
      </w:r>
      <w:r w:rsidRPr="002B19C5">
        <w:rPr>
          <w:sz w:val="20"/>
          <w:szCs w:val="20"/>
        </w:rPr>
        <w:t>que</w:t>
      </w:r>
      <w:r w:rsidRPr="002B19C5">
        <w:rPr>
          <w:spacing w:val="7"/>
          <w:sz w:val="20"/>
          <w:szCs w:val="20"/>
        </w:rPr>
        <w:t xml:space="preserve"> </w:t>
      </w:r>
      <w:r w:rsidRPr="002B19C5">
        <w:rPr>
          <w:sz w:val="20"/>
          <w:szCs w:val="20"/>
        </w:rPr>
        <w:t>pueden</w:t>
      </w:r>
      <w:r w:rsidRPr="002B19C5">
        <w:rPr>
          <w:spacing w:val="7"/>
          <w:sz w:val="20"/>
          <w:szCs w:val="20"/>
        </w:rPr>
        <w:t xml:space="preserve"> </w:t>
      </w:r>
      <w:r w:rsidRPr="002B19C5">
        <w:rPr>
          <w:sz w:val="20"/>
          <w:szCs w:val="20"/>
        </w:rPr>
        <w:t xml:space="preserve">ser delegatarios de la función de celebrar contratos, se debe entender que corresponde a los del nivel directivo y sus equivalentes; y no a los del nivel asesor, ya que este no es equivalente sino diferente al nivel referido, y tampoco a los del nivel ejecutivo, el cual fue suprimido de los niveles jerárquicos que plantean las normas citadas. Es decir que, a pesar de la discrepancia entre la Ley 80 de 1993 y la Ley 489 de 1998, se debe tener en cuenta lo señalado por la Corte Constitucional en la sentencia C-439 de 2016, magistrado ponente: Luis Guillermo Guerrero Pérez, respecto de la prevalencia de la norma especial, que en este caso es la Ley 80 de 1993, que solo señala al nivel directivo, ejecutivo y sus equivalentes, pero no señala el nivel asesor, que si está previsto en la Ley 489 de 1998 para efectos de la delegación. </w:t>
      </w:r>
    </w:p>
    <w:p w:rsidRPr="002B19C5" w:rsidR="00D3306C" w:rsidP="00FD2043" w:rsidRDefault="00D3306C" w14:paraId="5D158ACC" w14:textId="77777777">
      <w:pPr>
        <w:pStyle w:val="Ttulo2"/>
        <w:ind w:right="303"/>
      </w:pPr>
    </w:p>
    <w:p w:rsidRPr="002B19C5" w:rsidR="00D3306C" w:rsidP="23208F8B" w:rsidRDefault="00D3306C" w14:paraId="5D158ACD" w14:textId="24310003">
      <w:pPr>
        <w:pStyle w:val="Ttulo2"/>
        <w:ind w:right="303"/>
        <w:rPr>
          <w:b w:val="1"/>
          <w:bCs w:val="1"/>
        </w:rPr>
      </w:pPr>
      <w:r w:rsidRPr="23208F8B" w:rsidR="033004D4">
        <w:rPr>
          <w:b w:val="1"/>
          <w:bCs w:val="1"/>
        </w:rPr>
        <w:t>COMPETENCIA PARA CONTRATAR</w:t>
      </w:r>
      <w:r w:rsidRPr="23208F8B" w:rsidR="00D3306C">
        <w:rPr>
          <w:b w:val="1"/>
          <w:bCs w:val="1"/>
        </w:rPr>
        <w:t xml:space="preserve"> – Límites </w:t>
      </w:r>
    </w:p>
    <w:p w:rsidRPr="002B19C5" w:rsidR="00D3306C" w:rsidP="00FD2043" w:rsidRDefault="00D3306C" w14:paraId="5D158ACE" w14:textId="77777777">
      <w:pPr>
        <w:ind w:left="300" w:right="305"/>
        <w:jc w:val="both"/>
        <w:rPr>
          <w:sz w:val="21"/>
          <w:szCs w:val="21"/>
        </w:rPr>
      </w:pPr>
    </w:p>
    <w:p w:rsidRPr="002B19C5" w:rsidR="00F865F2" w:rsidP="00FD2043" w:rsidRDefault="00D3306C" w14:paraId="5D158ACF" w14:textId="77777777">
      <w:pPr>
        <w:ind w:left="301" w:right="306"/>
        <w:jc w:val="both"/>
        <w:rPr>
          <w:sz w:val="20"/>
          <w:szCs w:val="20"/>
          <w:vertAlign w:val="superscript"/>
        </w:rPr>
      </w:pPr>
      <w:r w:rsidRPr="002B19C5">
        <w:rPr>
          <w:sz w:val="20"/>
          <w:szCs w:val="20"/>
        </w:rPr>
        <w:t>La delegación tiene, entre otros, dos límites relevantes respecto de su consulta: i) solo se puede delegar una función en el servidor público que la Ley designe, porque la Constitución Política le concedió a la Ley esa responsabilidad</w:t>
      </w:r>
      <w:r w:rsidRPr="002B19C5">
        <w:rPr>
          <w:sz w:val="20"/>
          <w:szCs w:val="20"/>
          <w:vertAlign w:val="superscript"/>
        </w:rPr>
        <w:t xml:space="preserve"> </w:t>
      </w:r>
      <w:r w:rsidRPr="002B19C5">
        <w:rPr>
          <w:sz w:val="20"/>
          <w:szCs w:val="20"/>
        </w:rPr>
        <w:t>y ii) el delegatario únicamente puede ejercer las funciones precisamente detalladas en el acto de delegación</w:t>
      </w:r>
      <w:r w:rsidRPr="002B19C5">
        <w:rPr>
          <w:sz w:val="20"/>
          <w:szCs w:val="20"/>
          <w:vertAlign w:val="superscript"/>
        </w:rPr>
        <w:t xml:space="preserve">. </w:t>
      </w:r>
    </w:p>
    <w:p w:rsidRPr="002B19C5" w:rsidR="00125369" w:rsidP="00FD2043" w:rsidRDefault="00125369" w14:paraId="5D158AD0" w14:textId="77777777">
      <w:pPr>
        <w:ind w:left="301" w:right="306"/>
        <w:jc w:val="both"/>
        <w:rPr>
          <w:sz w:val="21"/>
          <w:szCs w:val="21"/>
          <w:vertAlign w:val="superscript"/>
        </w:rPr>
      </w:pPr>
    </w:p>
    <w:p w:rsidRPr="002B19C5" w:rsidR="00125369" w:rsidP="23208F8B" w:rsidRDefault="00125369" w14:paraId="5D158AD1" w14:textId="221BB8FF">
      <w:pPr>
        <w:pStyle w:val="Ttulo2"/>
        <w:ind w:right="303"/>
        <w:rPr>
          <w:b w:val="1"/>
          <w:bCs w:val="1"/>
        </w:rPr>
      </w:pPr>
      <w:r w:rsidRPr="23208F8B" w:rsidR="00125369">
        <w:rPr>
          <w:b w:val="1"/>
          <w:bCs w:val="1"/>
        </w:rPr>
        <w:t>DELEGACIÓN</w:t>
      </w:r>
      <w:r w:rsidRPr="23208F8B" w:rsidR="21371553">
        <w:rPr>
          <w:b w:val="1"/>
          <w:bCs w:val="1"/>
          <w:sz w:val="22"/>
          <w:szCs w:val="22"/>
        </w:rPr>
        <w:t xml:space="preserve"> –</w:t>
      </w:r>
      <w:r w:rsidRPr="23208F8B" w:rsidR="00125369">
        <w:rPr>
          <w:b w:val="1"/>
          <w:bCs w:val="1"/>
        </w:rPr>
        <w:t xml:space="preserve"> </w:t>
      </w:r>
      <w:r w:rsidRPr="23208F8B" w:rsidR="34B7742F">
        <w:rPr>
          <w:b w:val="1"/>
          <w:bCs w:val="1"/>
        </w:rPr>
        <w:t xml:space="preserve">Competencia para contratar </w:t>
      </w:r>
      <w:r w:rsidRPr="23208F8B" w:rsidR="00125369">
        <w:rPr>
          <w:b w:val="1"/>
          <w:bCs w:val="1"/>
        </w:rPr>
        <w:t>– Gobernadores</w:t>
      </w:r>
    </w:p>
    <w:p w:rsidRPr="002B19C5" w:rsidR="00125369" w:rsidP="00FD2043" w:rsidRDefault="00125369" w14:paraId="5D158AD3" w14:textId="2D36863C">
      <w:pPr>
        <w:ind w:right="306"/>
        <w:jc w:val="both"/>
        <w:rPr>
          <w:vertAlign w:val="superscript"/>
        </w:rPr>
      </w:pPr>
    </w:p>
    <w:p w:rsidRPr="002B19C5" w:rsidR="00125369" w:rsidP="00FD2043" w:rsidRDefault="002B19C5" w14:paraId="5D158AD4" w14:textId="3618723D">
      <w:pPr>
        <w:ind w:left="300" w:right="305"/>
        <w:jc w:val="both"/>
        <w:rPr>
          <w:sz w:val="20"/>
          <w:szCs w:val="20"/>
        </w:rPr>
      </w:pPr>
      <w:r w:rsidRPr="23208F8B" w:rsidR="002B19C5">
        <w:rPr>
          <w:sz w:val="20"/>
          <w:szCs w:val="20"/>
        </w:rPr>
        <w:t xml:space="preserve">[…] </w:t>
      </w:r>
      <w:r w:rsidRPr="23208F8B" w:rsidR="2496E61B">
        <w:rPr>
          <w:sz w:val="20"/>
          <w:szCs w:val="20"/>
        </w:rPr>
        <w:t>S</w:t>
      </w:r>
      <w:r w:rsidRPr="23208F8B" w:rsidR="00125369">
        <w:rPr>
          <w:sz w:val="20"/>
          <w:szCs w:val="20"/>
        </w:rPr>
        <w:t>obre la posibilidad de que el gobernador pueda delegar la celebración de los contratos, es indispensable precisar que estos, en virtud del artículo 303 de la Constitución Política, es el representante legal y máxima autoridad del Departamento</w:t>
      </w:r>
      <w:r w:rsidRPr="23208F8B" w:rsidR="00125369">
        <w:rPr>
          <w:sz w:val="20"/>
          <w:szCs w:val="20"/>
          <w:vertAlign w:val="superscript"/>
        </w:rPr>
        <w:t>14</w:t>
      </w:r>
      <w:r w:rsidRPr="23208F8B" w:rsidR="00125369">
        <w:rPr>
          <w:sz w:val="20"/>
          <w:szCs w:val="20"/>
        </w:rPr>
        <w:t>. En este sentido, teniendo en cuenta que la normativa explicada anteriormente precisa que los representantes legales de las entidades están facultados para delegar total o parcialmente la celebración de contratos, sin excluir las entidades del orden territorial como lo es la gobernación. Por consiguiente, los gobernadores, al ser los representantes legales del Departamento, están facultados para delegar la actividad contractual.</w:t>
      </w:r>
    </w:p>
    <w:p w:rsidRPr="002B19C5" w:rsidR="00D3306C" w:rsidRDefault="00D3306C" w14:paraId="5D158AD6" w14:textId="77777777">
      <w:pPr>
        <w:pStyle w:val="Textoindependiente"/>
        <w:spacing w:before="6"/>
        <w:rPr>
          <w:rFonts w:ascii="Times New Roman"/>
          <w:sz w:val="21"/>
        </w:rPr>
      </w:pPr>
    </w:p>
    <w:p w:rsidRPr="002B19C5" w:rsidR="00D3306C" w:rsidRDefault="00D3306C" w14:paraId="5D158AD7" w14:textId="77777777">
      <w:pPr>
        <w:pStyle w:val="Textoindependiente"/>
        <w:spacing w:before="6"/>
        <w:rPr>
          <w:rFonts w:ascii="Times New Roman"/>
          <w:sz w:val="21"/>
        </w:rPr>
      </w:pPr>
    </w:p>
    <w:p w:rsidRPr="002B19C5" w:rsidR="00D02A99" w:rsidRDefault="00350352" w14:paraId="5D158AD8" w14:textId="77777777">
      <w:pPr>
        <w:spacing w:line="253" w:lineRule="exact"/>
        <w:ind w:left="300"/>
        <w:rPr>
          <w:b/>
        </w:rPr>
      </w:pPr>
      <w:r w:rsidRPr="002B19C5">
        <w:t xml:space="preserve">Bogotá D.C., </w:t>
      </w:r>
      <w:r w:rsidRPr="002B19C5">
        <w:rPr>
          <w:b/>
        </w:rPr>
        <w:t>09/12/2019 Hora 20:10:36s</w:t>
      </w:r>
    </w:p>
    <w:p w:rsidRPr="002B19C5" w:rsidR="00D02A99" w:rsidRDefault="00350352" w14:paraId="5D158AD9" w14:textId="77777777">
      <w:pPr>
        <w:pStyle w:val="Ttulo1"/>
        <w:ind w:left="5839" w:firstLine="0"/>
      </w:pPr>
      <w:r w:rsidRPr="002B19C5">
        <w:t>N° Radicado: 2201913000009082</w:t>
      </w:r>
    </w:p>
    <w:p w:rsidRPr="002B19C5" w:rsidR="00D02A99" w:rsidRDefault="00D02A99" w14:paraId="5D158ADA" w14:textId="77777777">
      <w:pPr>
        <w:pStyle w:val="Textoindependiente"/>
        <w:rPr>
          <w:b/>
          <w:sz w:val="14"/>
        </w:rPr>
      </w:pPr>
    </w:p>
    <w:p w:rsidRPr="002B19C5" w:rsidR="00D02A99" w:rsidRDefault="00350352" w14:paraId="5D158ADB" w14:textId="77777777">
      <w:pPr>
        <w:pStyle w:val="Ttulo2"/>
        <w:spacing w:before="93" w:line="253" w:lineRule="exact"/>
        <w:ind w:right="0"/>
        <w:jc w:val="left"/>
      </w:pPr>
      <w:r w:rsidRPr="002B19C5">
        <w:t>Señor</w:t>
      </w:r>
    </w:p>
    <w:p w:rsidRPr="002B19C5" w:rsidR="00D02A99" w:rsidRDefault="00350352" w14:paraId="5D158ADC" w14:textId="77777777">
      <w:pPr>
        <w:spacing w:line="253" w:lineRule="exact"/>
        <w:ind w:left="300"/>
        <w:rPr>
          <w:b/>
        </w:rPr>
      </w:pPr>
      <w:r w:rsidRPr="002B19C5">
        <w:rPr>
          <w:b/>
        </w:rPr>
        <w:t>Jaime Wilder Guerrero Rodríguez</w:t>
      </w:r>
    </w:p>
    <w:p w:rsidRPr="002B19C5" w:rsidR="00D02A99" w:rsidRDefault="00350352" w14:paraId="5D158ADD" w14:textId="77777777">
      <w:pPr>
        <w:spacing w:line="253" w:lineRule="exact"/>
        <w:ind w:left="300"/>
      </w:pPr>
      <w:r w:rsidRPr="002B19C5">
        <w:t>Ciudad</w:t>
      </w:r>
    </w:p>
    <w:p w:rsidRPr="002B19C5" w:rsidR="00D02A99" w:rsidRDefault="00D02A99" w14:paraId="5D158ADE" w14:textId="77777777">
      <w:pPr>
        <w:pStyle w:val="Textoindependiente"/>
        <w:spacing w:before="6"/>
        <w:rPr>
          <w:sz w:val="22"/>
        </w:rPr>
      </w:pPr>
    </w:p>
    <w:tbl>
      <w:tblPr>
        <w:tblStyle w:val="TableNormal"/>
        <w:tblW w:w="0" w:type="auto"/>
        <w:tblInd w:w="108" w:type="dxa"/>
        <w:tblLayout w:type="fixed"/>
        <w:tblLook w:val="01E0" w:firstRow="1" w:lastRow="1" w:firstColumn="1" w:lastColumn="1" w:noHBand="0" w:noVBand="0"/>
      </w:tblPr>
      <w:tblGrid>
        <w:gridCol w:w="2328"/>
        <w:gridCol w:w="6994"/>
      </w:tblGrid>
      <w:tr w:rsidRPr="002B19C5" w:rsidR="002B19C5" w:rsidTr="2082592F" w14:paraId="5D158AE1" w14:textId="77777777">
        <w:trPr>
          <w:trHeight w:val="250"/>
        </w:trPr>
        <w:tc>
          <w:tcPr>
            <w:tcW w:w="2328" w:type="dxa"/>
            <w:tcMar/>
          </w:tcPr>
          <w:p w:rsidRPr="002B19C5" w:rsidR="00D02A99" w:rsidRDefault="00350352" w14:paraId="5D158ADF" w14:textId="77777777">
            <w:pPr>
              <w:pStyle w:val="TableParagraph"/>
              <w:rPr>
                <w:b/>
              </w:rPr>
            </w:pPr>
            <w:r w:rsidRPr="002B19C5">
              <w:rPr>
                <w:b/>
              </w:rPr>
              <w:t>Radicación:</w:t>
            </w:r>
          </w:p>
        </w:tc>
        <w:tc>
          <w:tcPr>
            <w:tcW w:w="6994" w:type="dxa"/>
            <w:tcMar/>
          </w:tcPr>
          <w:p w:rsidRPr="002B19C5" w:rsidR="00D02A99" w:rsidRDefault="00350352" w14:paraId="5D158AE0" w14:textId="77777777">
            <w:pPr>
              <w:pStyle w:val="TableParagraph"/>
              <w:ind w:left="562"/>
            </w:pPr>
            <w:r w:rsidRPr="002B19C5">
              <w:t>Respuesta a consulta # 4201913000007747</w:t>
            </w:r>
          </w:p>
        </w:tc>
      </w:tr>
      <w:tr w:rsidRPr="002B19C5" w:rsidR="002B19C5" w:rsidTr="2082592F" w14:paraId="5D158AE4" w14:textId="77777777">
        <w:trPr>
          <w:trHeight w:val="253"/>
        </w:trPr>
        <w:tc>
          <w:tcPr>
            <w:tcW w:w="2328" w:type="dxa"/>
            <w:tcMar/>
          </w:tcPr>
          <w:p w:rsidRPr="002B19C5" w:rsidR="00D02A99" w:rsidRDefault="00350352" w14:paraId="5D158AE2" w14:textId="77777777">
            <w:pPr>
              <w:pStyle w:val="TableParagraph"/>
              <w:spacing w:line="234" w:lineRule="exact"/>
              <w:rPr>
                <w:b/>
              </w:rPr>
            </w:pPr>
            <w:r w:rsidRPr="002B19C5">
              <w:rPr>
                <w:b/>
              </w:rPr>
              <w:t>Temas:</w:t>
            </w:r>
          </w:p>
        </w:tc>
        <w:tc>
          <w:tcPr>
            <w:tcW w:w="6994" w:type="dxa"/>
            <w:tcMar/>
          </w:tcPr>
          <w:p w:rsidRPr="002B19C5" w:rsidR="00D02A99" w:rsidRDefault="00350352" w14:paraId="5D158AE3" w14:textId="77777777">
            <w:pPr>
              <w:pStyle w:val="TableParagraph"/>
              <w:spacing w:line="234" w:lineRule="exact"/>
              <w:ind w:left="562"/>
            </w:pPr>
            <w:r w:rsidRPr="002B19C5">
              <w:t>Delegación</w:t>
            </w:r>
          </w:p>
        </w:tc>
      </w:tr>
      <w:tr w:rsidRPr="002B19C5" w:rsidR="00D02A99" w:rsidTr="2082592F" w14:paraId="5D158AE7" w14:textId="77777777">
        <w:trPr>
          <w:trHeight w:val="501"/>
        </w:trPr>
        <w:tc>
          <w:tcPr>
            <w:tcW w:w="2328" w:type="dxa"/>
            <w:tcMar/>
          </w:tcPr>
          <w:p w:rsidRPr="002B19C5" w:rsidR="00D02A99" w:rsidRDefault="00350352" w14:paraId="5D158AE5" w14:textId="77777777">
            <w:pPr>
              <w:pStyle w:val="TableParagraph"/>
              <w:spacing w:before="1" w:line="252" w:lineRule="exact"/>
              <w:ind w:right="543"/>
              <w:rPr>
                <w:b/>
              </w:rPr>
            </w:pPr>
            <w:r w:rsidRPr="002B19C5">
              <w:rPr>
                <w:b/>
              </w:rPr>
              <w:t>Tipo de asunto consultado:</w:t>
            </w:r>
          </w:p>
        </w:tc>
        <w:tc>
          <w:tcPr>
            <w:tcW w:w="6994" w:type="dxa"/>
            <w:tcMar/>
          </w:tcPr>
          <w:p w:rsidRPr="002B19C5" w:rsidR="00D02A99" w:rsidRDefault="00350352" w14:paraId="5D158AE6" w14:textId="77777777">
            <w:pPr>
              <w:pStyle w:val="TableParagraph"/>
              <w:spacing w:before="1" w:line="252" w:lineRule="exact"/>
              <w:ind w:left="562"/>
            </w:pPr>
            <w:r w:rsidRPr="002B19C5">
              <w:t>Alcance de la facultad de delegación para contratar y los funcionarios a quienes se les puede delegar esta facultad</w:t>
            </w:r>
          </w:p>
        </w:tc>
      </w:tr>
    </w:tbl>
    <w:p w:rsidR="2082592F" w:rsidRDefault="2082592F" w14:paraId="0394187B" w14:textId="01D23DE2"/>
    <w:p w:rsidRPr="002B19C5" w:rsidR="00D02A99" w:rsidRDefault="00D02A99" w14:paraId="5D158AE8" w14:textId="77777777">
      <w:pPr>
        <w:pStyle w:val="Textoindependiente"/>
        <w:spacing w:before="2"/>
        <w:rPr>
          <w:sz w:val="25"/>
        </w:rPr>
      </w:pPr>
    </w:p>
    <w:p w:rsidRPr="002B19C5" w:rsidR="00D02A99" w:rsidRDefault="00350352" w14:paraId="5D158AE9" w14:textId="77777777">
      <w:pPr>
        <w:ind w:left="300"/>
      </w:pPr>
      <w:r w:rsidRPr="002B19C5">
        <w:t>Estimado señor Guerrero,</w:t>
      </w:r>
    </w:p>
    <w:p w:rsidRPr="002B19C5" w:rsidR="00D02A99" w:rsidRDefault="00D02A99" w14:paraId="5D158AEA" w14:textId="77777777">
      <w:pPr>
        <w:pStyle w:val="Textoindependiente"/>
        <w:spacing w:before="7"/>
        <w:rPr>
          <w:sz w:val="28"/>
        </w:rPr>
      </w:pPr>
    </w:p>
    <w:p w:rsidRPr="002B19C5" w:rsidR="00D02A99" w:rsidRDefault="00350352" w14:paraId="5D158AEB" w14:textId="77777777">
      <w:pPr>
        <w:spacing w:line="276" w:lineRule="auto"/>
        <w:ind w:left="300" w:right="308"/>
        <w:jc w:val="both"/>
      </w:pPr>
      <w:r w:rsidRPr="002B19C5">
        <w:t>La Agencia Nacional de Contratación Pública -Colombia Compra Eficiente responde su consulta del 16 de noviembre de 2019, en ejercicio de la competencia otorgada por el numeral 8 del artículo 11 y el numeral 5 del artículo 3 del Decreto Ley 4170 de 2011.</w:t>
      </w:r>
    </w:p>
    <w:p w:rsidRPr="002B19C5" w:rsidR="00D02A99" w:rsidRDefault="00D02A99" w14:paraId="5D158AEC" w14:textId="77777777">
      <w:pPr>
        <w:pStyle w:val="Textoindependiente"/>
        <w:spacing w:before="5"/>
        <w:rPr>
          <w:sz w:val="25"/>
        </w:rPr>
      </w:pPr>
    </w:p>
    <w:p w:rsidRPr="002B19C5" w:rsidR="00D02A99" w:rsidRDefault="00350352" w14:paraId="5D158AED" w14:textId="77777777">
      <w:pPr>
        <w:pStyle w:val="Prrafodelista"/>
        <w:numPr>
          <w:ilvl w:val="0"/>
          <w:numId w:val="2"/>
        </w:numPr>
        <w:tabs>
          <w:tab w:val="left" w:pos="661"/>
        </w:tabs>
        <w:ind w:hanging="361"/>
        <w:rPr>
          <w:b/>
        </w:rPr>
      </w:pPr>
      <w:r w:rsidRPr="002B19C5">
        <w:rPr>
          <w:b/>
        </w:rPr>
        <w:t>Problema</w:t>
      </w:r>
      <w:r w:rsidRPr="002B19C5">
        <w:rPr>
          <w:b/>
          <w:spacing w:val="-2"/>
        </w:rPr>
        <w:t xml:space="preserve"> </w:t>
      </w:r>
      <w:r w:rsidRPr="002B19C5">
        <w:rPr>
          <w:b/>
        </w:rPr>
        <w:t>planteado</w:t>
      </w:r>
    </w:p>
    <w:p w:rsidRPr="002B19C5" w:rsidR="00D02A99" w:rsidRDefault="00D02A99" w14:paraId="5D158AEE" w14:textId="77777777">
      <w:pPr>
        <w:pStyle w:val="Textoindependiente"/>
        <w:spacing w:before="6"/>
        <w:rPr>
          <w:b/>
          <w:sz w:val="28"/>
        </w:rPr>
      </w:pPr>
    </w:p>
    <w:p w:rsidRPr="002B19C5" w:rsidR="00D02A99" w:rsidRDefault="00350352" w14:paraId="5D158AEF" w14:textId="77777777">
      <w:pPr>
        <w:spacing w:line="278" w:lineRule="auto"/>
        <w:ind w:left="300" w:right="311"/>
        <w:jc w:val="both"/>
      </w:pPr>
      <w:r w:rsidRPr="002B19C5">
        <w:t xml:space="preserve">“¿Los jefes o representantes de las entidades del orden territorial Gobernadores pueden delegar la celebración de contratos, </w:t>
      </w:r>
      <w:proofErr w:type="gramStart"/>
      <w:r w:rsidRPr="002B19C5">
        <w:t>cuál es su fundamento Constitucional y Legal?</w:t>
      </w:r>
      <w:proofErr w:type="gramEnd"/>
      <w:r w:rsidRPr="002B19C5">
        <w:t>”.</w:t>
      </w:r>
    </w:p>
    <w:p w:rsidRPr="002B19C5" w:rsidR="00D02A99" w:rsidRDefault="00D02A99" w14:paraId="5D158AF0" w14:textId="77777777">
      <w:pPr>
        <w:pStyle w:val="Textoindependiente"/>
        <w:rPr>
          <w:sz w:val="25"/>
        </w:rPr>
      </w:pPr>
    </w:p>
    <w:p w:rsidRPr="002B19C5" w:rsidR="00D02A99" w:rsidRDefault="00350352" w14:paraId="5D158AF1" w14:textId="77777777">
      <w:pPr>
        <w:pStyle w:val="Prrafodelista"/>
        <w:numPr>
          <w:ilvl w:val="0"/>
          <w:numId w:val="2"/>
        </w:numPr>
        <w:tabs>
          <w:tab w:val="left" w:pos="661"/>
        </w:tabs>
        <w:ind w:hanging="361"/>
        <w:rPr>
          <w:b/>
        </w:rPr>
      </w:pPr>
      <w:r w:rsidRPr="002B19C5">
        <w:rPr>
          <w:b/>
        </w:rPr>
        <w:t>Consideraciones</w:t>
      </w:r>
    </w:p>
    <w:p w:rsidRPr="002B19C5" w:rsidR="00D02A99" w:rsidRDefault="00D02A99" w14:paraId="5D158AF2" w14:textId="77777777">
      <w:pPr>
        <w:pStyle w:val="Textoindependiente"/>
        <w:spacing w:before="5"/>
        <w:rPr>
          <w:b/>
          <w:sz w:val="28"/>
        </w:rPr>
      </w:pPr>
    </w:p>
    <w:p w:rsidRPr="002B19C5" w:rsidR="00D02A99" w:rsidRDefault="00350352" w14:paraId="5D158AF3" w14:textId="77777777">
      <w:pPr>
        <w:spacing w:line="276" w:lineRule="auto"/>
        <w:ind w:left="300" w:right="311"/>
        <w:jc w:val="both"/>
      </w:pPr>
      <w:r w:rsidRPr="002B19C5">
        <w:t>La Agencia Nacional de Contratación – Colombia Compra Eficiente, en el concepto con radicado No. 4201912000006841 del 28 de octubre de 2019, estudió y analizó la normativa y jurisprudencia acerca de la delegación para contratar. La tesis propuesta en este concepto es la que se expone a continuación.</w:t>
      </w:r>
    </w:p>
    <w:p w:rsidRPr="002B19C5" w:rsidR="00D02A99" w:rsidRDefault="00D02A99" w14:paraId="5D158AF4" w14:textId="77777777">
      <w:pPr>
        <w:pStyle w:val="Textoindependiente"/>
        <w:spacing w:before="4"/>
        <w:rPr>
          <w:sz w:val="25"/>
        </w:rPr>
      </w:pPr>
    </w:p>
    <w:p w:rsidRPr="002B19C5" w:rsidR="00D02A99" w:rsidP="00681C4A" w:rsidRDefault="00350352" w14:paraId="5D158AF5" w14:textId="77777777">
      <w:pPr>
        <w:spacing w:line="276" w:lineRule="auto"/>
        <w:ind w:left="300" w:right="310"/>
        <w:jc w:val="both"/>
      </w:pPr>
      <w:r w:rsidRPr="002B19C5">
        <w:t>La Constitución Política, en el artículo 211, le confiere a la Ley, entre otros asuntos, la responsabilidad de señalar las funciones que se pueden delegar y los requisitos para que sea viable</w:t>
      </w:r>
      <w:r w:rsidRPr="002B19C5" w:rsidR="00681C4A">
        <w:rPr>
          <w:rStyle w:val="Refdenotaalpie"/>
        </w:rPr>
        <w:footnoteReference w:id="1"/>
      </w:r>
      <w:r w:rsidRPr="002B19C5">
        <w:t>. Por tanto, la Ley 80 de 1993, en el artículo 12, regula la delegación para</w:t>
      </w:r>
      <w:r w:rsidRPr="002B19C5" w:rsidR="00681C4A">
        <w:t xml:space="preserve"> c</w:t>
      </w:r>
      <w:r w:rsidRPr="002B19C5">
        <w:t xml:space="preserve">ontratar, especificando que se refiere a la competencia para celebrar contratos y, por otra parte, indica que es posible desconcentrar la realización de los procesos contractuales de </w:t>
      </w:r>
      <w:r w:rsidRPr="002B19C5">
        <w:lastRenderedPageBreak/>
        <w:t>las entidades, lo cual es función de los jefes o representantes legales de las entidades enunciadas en el artículo 2 de la Ley 80 de 1993, el cual define el concepto de entidad estatal para efectos de la misma norma, quienes pueden delegar esa función en los empleos públicos cuyo nivel jerárquico dentro de la entidad sea directivo, ejecutivo o equivalentes</w:t>
      </w:r>
      <w:r w:rsidRPr="002B19C5" w:rsidR="00681C4A">
        <w:rPr>
          <w:rStyle w:val="Refdenotaalpie"/>
        </w:rPr>
        <w:footnoteReference w:id="2"/>
      </w:r>
      <w:r w:rsidRPr="002B19C5">
        <w:rPr>
          <w:rFonts w:ascii="Carlito" w:hAnsi="Carlito"/>
          <w:sz w:val="18"/>
        </w:rPr>
        <w:t>.</w:t>
      </w:r>
    </w:p>
    <w:p w:rsidRPr="002B19C5" w:rsidR="00D02A99" w:rsidRDefault="00D02A99" w14:paraId="5D158AF6" w14:textId="77777777">
      <w:pPr>
        <w:pStyle w:val="Textoindependiente"/>
        <w:spacing w:before="8"/>
        <w:rPr>
          <w:rFonts w:ascii="Carlito"/>
          <w:sz w:val="23"/>
        </w:rPr>
      </w:pPr>
    </w:p>
    <w:p w:rsidRPr="002B19C5" w:rsidR="00D02A99" w:rsidP="00F71230" w:rsidRDefault="00350352" w14:paraId="5D158AF7" w14:textId="77777777">
      <w:pPr>
        <w:spacing w:line="276" w:lineRule="auto"/>
        <w:ind w:left="300" w:right="306"/>
        <w:jc w:val="both"/>
      </w:pPr>
      <w:r w:rsidRPr="002B19C5">
        <w:t>Lo anterior lo reafirma el numeral 10 del artículo 25 de la Ley 80 de 1993, que hace referencia al artículo 12 de la misma Ley y agrega que los consejos directivos, las juntas o el reglamento de la respectiva entidad fijarán cuantías para determinar cuáles contratos se pueden delegar</w:t>
      </w:r>
      <w:r w:rsidRPr="002B19C5" w:rsidR="00681C4A">
        <w:rPr>
          <w:rStyle w:val="Refdenotaalpie"/>
        </w:rPr>
        <w:footnoteReference w:id="3"/>
      </w:r>
      <w:r w:rsidRPr="002B19C5">
        <w:t>. No obstante, una norma posterior, el</w:t>
      </w:r>
      <w:r w:rsidRPr="002B19C5" w:rsidR="00F71230">
        <w:t xml:space="preserve"> Decreto Ley 2150 de 1995, en el </w:t>
      </w:r>
      <w:r w:rsidRPr="002B19C5">
        <w:t>artículo 37, también estableció lineamientos respecto de la delegación para contratar, y señaló que la competencia delegable es respecto de la realización del proceso de contratación y la celebración del contrato estatal, y que no se tendrá en cuenta la cuantía de los contratos, eliminando parte de lo regulado por el numeral 10 del artículo 25 de la Ley 80 de 1993</w:t>
      </w:r>
      <w:r w:rsidRPr="002B19C5" w:rsidR="00681C4A">
        <w:rPr>
          <w:rStyle w:val="Refdenotaalpie"/>
        </w:rPr>
        <w:footnoteReference w:id="4"/>
      </w:r>
      <w:r w:rsidRPr="002B19C5">
        <w:t xml:space="preserve">, lo </w:t>
      </w:r>
      <w:r w:rsidRPr="002B19C5">
        <w:lastRenderedPageBreak/>
        <w:t>cual comporta una derogatoria tácita parcial de lo señalado en la norma respecto de las cuantías de los contratos, porque esto es incompatible con la norma posterior</w:t>
      </w:r>
      <w:r w:rsidRPr="002B19C5" w:rsidR="00681C4A">
        <w:rPr>
          <w:rStyle w:val="Refdenotaalpie"/>
        </w:rPr>
        <w:footnoteReference w:id="5"/>
      </w:r>
      <w:r w:rsidRPr="002B19C5">
        <w:t>, y a su vez implica que el Decreto prevalece sobre la Ley anterior</w:t>
      </w:r>
      <w:r w:rsidRPr="002B19C5" w:rsidR="00681C4A">
        <w:rPr>
          <w:rStyle w:val="Refdenotaalpie"/>
        </w:rPr>
        <w:footnoteReference w:id="6"/>
      </w:r>
      <w:r w:rsidRPr="002B19C5">
        <w:t>.</w:t>
      </w:r>
    </w:p>
    <w:p w:rsidRPr="002B19C5" w:rsidR="00D02A99" w:rsidRDefault="00D02A99" w14:paraId="5D158AF8" w14:textId="77777777">
      <w:pPr>
        <w:pStyle w:val="Textoindependiente"/>
        <w:spacing w:before="3"/>
        <w:rPr>
          <w:sz w:val="25"/>
        </w:rPr>
      </w:pPr>
    </w:p>
    <w:p w:rsidRPr="002B19C5" w:rsidR="00D02A99" w:rsidRDefault="00350352" w14:paraId="5D158AF9" w14:textId="77777777">
      <w:pPr>
        <w:spacing w:line="276" w:lineRule="auto"/>
        <w:ind w:left="300" w:right="307"/>
        <w:jc w:val="both"/>
      </w:pPr>
      <w:r w:rsidRPr="002B19C5">
        <w:t>La Ley 80 de 1993, como Estatuto General de Contratación de la Administración Pública, se erige como una norma especial en materia de contratación pública, porque su alcance es regular es el de manera concreta y completa el tema que trata; sin embargo, no es la única</w:t>
      </w:r>
      <w:r w:rsidRPr="002B19C5">
        <w:rPr>
          <w:spacing w:val="15"/>
        </w:rPr>
        <w:t xml:space="preserve"> </w:t>
      </w:r>
      <w:r w:rsidRPr="002B19C5">
        <w:t>que</w:t>
      </w:r>
      <w:r w:rsidRPr="002B19C5">
        <w:rPr>
          <w:spacing w:val="13"/>
        </w:rPr>
        <w:t xml:space="preserve"> </w:t>
      </w:r>
      <w:r w:rsidRPr="002B19C5">
        <w:t>regula</w:t>
      </w:r>
      <w:r w:rsidRPr="002B19C5">
        <w:rPr>
          <w:spacing w:val="13"/>
        </w:rPr>
        <w:t xml:space="preserve"> </w:t>
      </w:r>
      <w:r w:rsidRPr="002B19C5">
        <w:t>la</w:t>
      </w:r>
      <w:r w:rsidRPr="002B19C5">
        <w:rPr>
          <w:spacing w:val="13"/>
        </w:rPr>
        <w:t xml:space="preserve"> </w:t>
      </w:r>
      <w:r w:rsidRPr="002B19C5">
        <w:t>delegación.</w:t>
      </w:r>
      <w:r w:rsidRPr="002B19C5">
        <w:rPr>
          <w:spacing w:val="14"/>
        </w:rPr>
        <w:t xml:space="preserve"> </w:t>
      </w:r>
      <w:r w:rsidRPr="002B19C5">
        <w:t>El</w:t>
      </w:r>
      <w:r w:rsidRPr="002B19C5">
        <w:rPr>
          <w:spacing w:val="14"/>
        </w:rPr>
        <w:t xml:space="preserve"> </w:t>
      </w:r>
      <w:r w:rsidRPr="002B19C5">
        <w:t>artículo</w:t>
      </w:r>
      <w:r w:rsidRPr="002B19C5">
        <w:rPr>
          <w:spacing w:val="16"/>
        </w:rPr>
        <w:t xml:space="preserve"> </w:t>
      </w:r>
      <w:r w:rsidRPr="002B19C5">
        <w:t>21</w:t>
      </w:r>
      <w:r w:rsidRPr="002B19C5">
        <w:rPr>
          <w:spacing w:val="15"/>
        </w:rPr>
        <w:t xml:space="preserve"> </w:t>
      </w:r>
      <w:r w:rsidRPr="002B19C5">
        <w:t>de</w:t>
      </w:r>
      <w:r w:rsidRPr="002B19C5">
        <w:rPr>
          <w:spacing w:val="13"/>
        </w:rPr>
        <w:t xml:space="preserve"> </w:t>
      </w:r>
      <w:r w:rsidRPr="002B19C5">
        <w:t>la</w:t>
      </w:r>
      <w:r w:rsidRPr="002B19C5">
        <w:rPr>
          <w:spacing w:val="15"/>
        </w:rPr>
        <w:t xml:space="preserve"> </w:t>
      </w:r>
      <w:r w:rsidRPr="002B19C5">
        <w:t>Ley</w:t>
      </w:r>
      <w:r w:rsidRPr="002B19C5">
        <w:rPr>
          <w:spacing w:val="13"/>
        </w:rPr>
        <w:t xml:space="preserve"> </w:t>
      </w:r>
      <w:r w:rsidRPr="002B19C5">
        <w:t>1150</w:t>
      </w:r>
      <w:r w:rsidRPr="002B19C5">
        <w:rPr>
          <w:spacing w:val="16"/>
        </w:rPr>
        <w:t xml:space="preserve"> </w:t>
      </w:r>
      <w:r w:rsidRPr="002B19C5">
        <w:t>de</w:t>
      </w:r>
      <w:r w:rsidRPr="002B19C5">
        <w:rPr>
          <w:spacing w:val="15"/>
        </w:rPr>
        <w:t xml:space="preserve"> </w:t>
      </w:r>
      <w:r w:rsidRPr="002B19C5">
        <w:t>2007</w:t>
      </w:r>
      <w:r w:rsidRPr="002B19C5">
        <w:rPr>
          <w:spacing w:val="15"/>
        </w:rPr>
        <w:t xml:space="preserve"> </w:t>
      </w:r>
      <w:r w:rsidRPr="002B19C5">
        <w:t>adicionó</w:t>
      </w:r>
      <w:r w:rsidRPr="002B19C5">
        <w:rPr>
          <w:spacing w:val="16"/>
        </w:rPr>
        <w:t xml:space="preserve"> </w:t>
      </w:r>
      <w:r w:rsidRPr="002B19C5">
        <w:t>el</w:t>
      </w:r>
      <w:r w:rsidRPr="002B19C5">
        <w:rPr>
          <w:spacing w:val="15"/>
        </w:rPr>
        <w:t xml:space="preserve"> </w:t>
      </w:r>
      <w:r w:rsidRPr="002B19C5">
        <w:t>artículo</w:t>
      </w:r>
    </w:p>
    <w:p w:rsidRPr="002B19C5" w:rsidR="00D02A99" w:rsidP="00681C4A" w:rsidRDefault="00350352" w14:paraId="5D158AFA" w14:textId="77777777">
      <w:pPr>
        <w:spacing w:line="276" w:lineRule="auto"/>
        <w:ind w:left="300" w:right="311"/>
        <w:jc w:val="both"/>
      </w:pPr>
      <w:r w:rsidRPr="002B19C5">
        <w:t>12 de la Ley 80 de 1993 incluyendo el deber de control y vigilancia que tienen los representantes legales de las entidades que hayan delegado la competencia para contratar, respecto del proceso contractual, y define la desconcentración en materia contractual</w:t>
      </w:r>
      <w:r w:rsidRPr="002B19C5" w:rsidR="00681C4A">
        <w:rPr>
          <w:rStyle w:val="Refdenotaalpie"/>
        </w:rPr>
        <w:footnoteReference w:id="7"/>
      </w:r>
      <w:r w:rsidRPr="002B19C5">
        <w:t>.</w:t>
      </w:r>
    </w:p>
    <w:p w:rsidRPr="002B19C5" w:rsidR="00D02A99" w:rsidRDefault="00350352" w14:paraId="5D158AFB" w14:textId="77777777">
      <w:pPr>
        <w:pStyle w:val="Ttulo2"/>
        <w:spacing w:before="125" w:line="276" w:lineRule="auto"/>
        <w:ind w:right="310"/>
      </w:pPr>
      <w:r w:rsidRPr="002B19C5">
        <w:t>Además, la Ley 489 de 1998, en los artículos 8 y 9, define los conceptos de delegación y desconcentración administrativas. Dispone que, a través de la delegación, una autoridad administrativa, como el jefe o representante legal de una entidad, transfiere una función a un colaborador o a otra autoridad cuyas funciones tengan un grado de correspondencia con la función que se le delega. Además, la norma enuncia algunos altos cargos del Estado, quienes solo podrán delegar sus funciones en cargos del nivel directivo o asesor del organismo del que hagan</w:t>
      </w:r>
      <w:r w:rsidRPr="002B19C5">
        <w:rPr>
          <w:spacing w:val="-4"/>
        </w:rPr>
        <w:t xml:space="preserve"> </w:t>
      </w:r>
      <w:r w:rsidRPr="002B19C5">
        <w:t>parte</w:t>
      </w:r>
      <w:r w:rsidRPr="002B19C5" w:rsidR="00681C4A">
        <w:rPr>
          <w:rStyle w:val="Refdenotaalpie"/>
        </w:rPr>
        <w:footnoteReference w:id="8"/>
      </w:r>
      <w:r w:rsidRPr="002B19C5">
        <w:t>.</w:t>
      </w:r>
    </w:p>
    <w:p w:rsidRPr="002B19C5" w:rsidR="00D02A99" w:rsidRDefault="00D02A99" w14:paraId="5D158AFC" w14:textId="77777777">
      <w:pPr>
        <w:pStyle w:val="Textoindependiente"/>
        <w:spacing w:before="3"/>
        <w:rPr>
          <w:sz w:val="25"/>
        </w:rPr>
      </w:pPr>
    </w:p>
    <w:p w:rsidRPr="002B19C5" w:rsidR="00D02A99" w:rsidRDefault="00350352" w14:paraId="5D158AFD" w14:textId="77777777">
      <w:pPr>
        <w:spacing w:line="276" w:lineRule="auto"/>
        <w:ind w:left="300" w:right="307"/>
        <w:jc w:val="both"/>
      </w:pPr>
      <w:r w:rsidRPr="002B19C5">
        <w:t>Por otro lado, la desconcentración se diferencia de la delegación porque las funciones no se transfieren entre servidores que hacen parte de la Administración pública, sino que la función se asigna a una dependencia de la entidad o sedes, con responsabilidad para el jefe de este respecto de la orientación a quien asume la función</w:t>
      </w:r>
      <w:r w:rsidRPr="002B19C5" w:rsidR="00681C4A">
        <w:rPr>
          <w:rStyle w:val="Refdenotaalpie"/>
        </w:rPr>
        <w:footnoteReference w:id="9"/>
      </w:r>
      <w:r w:rsidRPr="002B19C5">
        <w:t>.</w:t>
      </w:r>
    </w:p>
    <w:p w:rsidRPr="002B19C5" w:rsidR="00D02A99" w:rsidRDefault="00D02A99" w14:paraId="5D158AFE" w14:textId="77777777">
      <w:pPr>
        <w:pStyle w:val="Textoindependiente"/>
        <w:spacing w:before="4"/>
        <w:rPr>
          <w:sz w:val="25"/>
        </w:rPr>
      </w:pPr>
    </w:p>
    <w:p w:rsidRPr="002B19C5" w:rsidR="00D02A99" w:rsidRDefault="00350352" w14:paraId="5D158AFF" w14:textId="77777777">
      <w:pPr>
        <w:spacing w:before="1" w:line="276" w:lineRule="auto"/>
        <w:ind w:left="300" w:right="307"/>
        <w:jc w:val="both"/>
      </w:pPr>
      <w:r w:rsidRPr="002B19C5">
        <w:t>En este punto, y haciendo referencia a su consulta, es necesario determinar i) las facultades que incluye la función de celebrar contratos en cabeza del jefe o representante legal de la entidad, y cuáles se pueden delegar; y ii) la interpretación de los artículos 12 de la Ley 80 de 1993 y 9 de la Ley 489 de 1998 ya citados, respecto de la diferencia entre estas normas sobre los cargos públicos en los que se puede delegar una función.</w:t>
      </w:r>
    </w:p>
    <w:p w:rsidRPr="002B19C5" w:rsidR="00D02A99" w:rsidRDefault="00D02A99" w14:paraId="5D158B00" w14:textId="77777777">
      <w:pPr>
        <w:pStyle w:val="Textoindependiente"/>
        <w:spacing w:before="2"/>
        <w:rPr>
          <w:sz w:val="25"/>
        </w:rPr>
      </w:pPr>
    </w:p>
    <w:p w:rsidRPr="002B19C5" w:rsidR="00D02A99" w:rsidRDefault="00350352" w14:paraId="5D158B01" w14:textId="77777777">
      <w:pPr>
        <w:spacing w:before="1" w:line="276" w:lineRule="auto"/>
        <w:ind w:left="300" w:right="307"/>
        <w:jc w:val="both"/>
      </w:pPr>
      <w:r w:rsidRPr="002B19C5">
        <w:t>En primer lugar, el artículo 12 de la Ley 80 de 1993 no señala qué etapas del proceso o qué actuaciones puede delegar el jefe o representante legal de la entidad, solo menciona que puede delegar la competencia para celebrar contratos; en ese sentido, se hace necesario consultar la interpretación de la jurisprudencia al</w:t>
      </w:r>
      <w:r w:rsidRPr="002B19C5">
        <w:rPr>
          <w:spacing w:val="-14"/>
        </w:rPr>
        <w:t xml:space="preserve"> </w:t>
      </w:r>
      <w:r w:rsidRPr="002B19C5">
        <w:t>respecto.</w:t>
      </w:r>
    </w:p>
    <w:p w:rsidRPr="002B19C5" w:rsidR="00D02A99" w:rsidRDefault="00D02A99" w14:paraId="5D158B02" w14:textId="77777777">
      <w:pPr>
        <w:pStyle w:val="Textoindependiente"/>
        <w:spacing w:before="4"/>
        <w:rPr>
          <w:sz w:val="25"/>
        </w:rPr>
      </w:pPr>
    </w:p>
    <w:p w:rsidRPr="002B19C5" w:rsidR="00D02A99" w:rsidP="00F71230" w:rsidRDefault="00350352" w14:paraId="5D158B03" w14:textId="77777777">
      <w:pPr>
        <w:spacing w:line="276" w:lineRule="auto"/>
        <w:ind w:left="300" w:right="305"/>
        <w:jc w:val="both"/>
      </w:pPr>
      <w:r w:rsidRPr="002B19C5">
        <w:t xml:space="preserve">El Consejo de Estado, Sección Tercera, radicado 49.065, Consejera Ponente: Marta Nubia Velásquez Rico, analizó la delegación en la Ley 80 de 1993. Concluyó que se puede delegar la competencia para adelantar las etapas precontractuales, contractual y </w:t>
      </w:r>
      <w:proofErr w:type="spellStart"/>
      <w:r w:rsidRPr="002B19C5">
        <w:t>poscontractual</w:t>
      </w:r>
      <w:proofErr w:type="spellEnd"/>
      <w:r w:rsidRPr="002B19C5">
        <w:t xml:space="preserve"> del proceso, y específicamente la adjudicación, liquidación, </w:t>
      </w:r>
      <w:proofErr w:type="gramStart"/>
      <w:r w:rsidRPr="002B19C5">
        <w:t>terminación,,</w:t>
      </w:r>
      <w:proofErr w:type="gramEnd"/>
      <w:r w:rsidRPr="002B19C5">
        <w:t xml:space="preserve"> adición, prórroga de los negocios y los demás actos inherentes a la actividad contractual, donde se incluye la potestad sancionatoria:</w:t>
      </w:r>
    </w:p>
    <w:p w:rsidRPr="002B19C5" w:rsidR="00D02A99" w:rsidRDefault="00D02A99" w14:paraId="5D158B04" w14:textId="77777777">
      <w:pPr>
        <w:pStyle w:val="Textoindependiente"/>
        <w:spacing w:before="10"/>
        <w:rPr>
          <w:sz w:val="20"/>
        </w:rPr>
      </w:pPr>
    </w:p>
    <w:p w:rsidRPr="002B19C5" w:rsidR="00D02A99" w:rsidRDefault="00350352" w14:paraId="5D158B05" w14:textId="77777777">
      <w:pPr>
        <w:ind w:left="1008" w:right="984"/>
        <w:jc w:val="both"/>
        <w:rPr>
          <w:sz w:val="21"/>
        </w:rPr>
      </w:pPr>
      <w:r w:rsidRPr="002B19C5">
        <w:rPr>
          <w:sz w:val="21"/>
        </w:rPr>
        <w:t>(...) i) a partir de la entrada en vigencia del Decreto 2150 de 1995 se tornó delegable la competencia para realizar licitaciones o concursos -etapa precontractual-, lo que, a la luz del artículo 12 de la Ley 80 de 1993 y del artículo 7º del Decreto 679 de 1994, había sido objeto de desconcentración y ii) a partir de la vigencia del mismo Decreto la delegación no quedó restringida a la cuantía y/o a la naturaleza de los contratos, como lo exigían normas anteriores.</w:t>
      </w:r>
    </w:p>
    <w:p w:rsidRPr="002B19C5" w:rsidR="00D02A99" w:rsidRDefault="00D02A99" w14:paraId="5D158B06" w14:textId="77777777">
      <w:pPr>
        <w:pStyle w:val="Textoindependiente"/>
        <w:spacing w:before="11"/>
        <w:rPr>
          <w:sz w:val="20"/>
        </w:rPr>
      </w:pPr>
    </w:p>
    <w:p w:rsidRPr="002B19C5" w:rsidR="00D02A99" w:rsidRDefault="00350352" w14:paraId="5D158B07" w14:textId="77777777">
      <w:pPr>
        <w:ind w:left="1008" w:right="986"/>
        <w:jc w:val="both"/>
        <w:rPr>
          <w:sz w:val="21"/>
        </w:rPr>
      </w:pPr>
      <w:r w:rsidRPr="002B19C5">
        <w:rPr>
          <w:sz w:val="21"/>
        </w:rPr>
        <w:t>En conclusión, los jefes o representantes de las entidades fueron autorizados para delegar tanto la competencia para la celebración de contratos -etapa contractual- como la competencia para la realización de licitaciones o concursos</w:t>
      </w:r>
    </w:p>
    <w:p w:rsidRPr="002B19C5" w:rsidR="00D02A99" w:rsidRDefault="00350352" w14:paraId="5D158B08" w14:textId="77777777">
      <w:pPr>
        <w:spacing w:before="1"/>
        <w:ind w:left="1008" w:right="988"/>
        <w:jc w:val="both"/>
        <w:rPr>
          <w:sz w:val="21"/>
        </w:rPr>
      </w:pPr>
      <w:r w:rsidRPr="002B19C5">
        <w:rPr>
          <w:sz w:val="21"/>
        </w:rPr>
        <w:t xml:space="preserve">-etapa precontractual-, sin consideración a la naturaleza o a la cuantía de los </w:t>
      </w:r>
      <w:r w:rsidRPr="002B19C5">
        <w:rPr>
          <w:sz w:val="21"/>
        </w:rPr>
        <w:lastRenderedPageBreak/>
        <w:t>respectivos negocios. Lo anterior, sin perjuicio de la discrecionalidad con la que cuentan los delegantes, en tanto estos deciden si delegan o no las funciones propias de su cargo y, en caso de hacerlo, pueden fijar los parámetros y las condiciones en los que debe enmarcarse el ejercicio de los delegatarios.</w:t>
      </w:r>
    </w:p>
    <w:p w:rsidRPr="002B19C5" w:rsidR="00D02A99" w:rsidRDefault="00D02A99" w14:paraId="5D158B09" w14:textId="77777777">
      <w:pPr>
        <w:pStyle w:val="Textoindependiente"/>
        <w:rPr>
          <w:sz w:val="22"/>
        </w:rPr>
      </w:pPr>
    </w:p>
    <w:p w:rsidRPr="002B19C5" w:rsidR="00D02A99" w:rsidRDefault="00350352" w14:paraId="5D158B0A" w14:textId="77777777">
      <w:pPr>
        <w:spacing w:line="276" w:lineRule="auto"/>
        <w:ind w:left="300" w:right="306"/>
        <w:jc w:val="both"/>
      </w:pPr>
      <w:r w:rsidRPr="002B19C5">
        <w:t>En segundo lugar, entre los artículos 12 de la Ley 80 de 1993 y 9 de la Ley 489 de 1998 se observa una diferencia respecto de los cargos públicos en los que se puede delegar una competencia, puesto que la Ley 80 de 1993, identifica los niveles “directivo”, “ejecutivo” o “equivalentes”, como la jerarquía a la que deben pertenecer los servidores públicos que vayan a ejercer como delegatarios; pero la Ley 489 de 1998 establece que los cargos públicos en los que algunos altos funcionarios del Gobierno nacional pueden delegar sus funciones deben ser de los niveles “ejecutivo” y “asesor”. Por consiguiente, es necesario remitirse a la normativa que rige la función pública y que cataloga los cargos públicos de acuerdo con su nivel jerárquico dentro de un organismo del Estado del orden nacional y territorial.</w:t>
      </w:r>
    </w:p>
    <w:p w:rsidRPr="002B19C5" w:rsidR="00D02A99" w:rsidRDefault="00D02A99" w14:paraId="5D158B0B" w14:textId="77777777">
      <w:pPr>
        <w:pStyle w:val="Textoindependiente"/>
        <w:spacing w:before="4"/>
        <w:rPr>
          <w:sz w:val="25"/>
        </w:rPr>
      </w:pPr>
    </w:p>
    <w:p w:rsidRPr="002B19C5" w:rsidR="00D02A99" w:rsidP="00F71230" w:rsidRDefault="00350352" w14:paraId="5D158B0C" w14:textId="77777777">
      <w:pPr>
        <w:spacing w:line="276" w:lineRule="auto"/>
        <w:ind w:left="300" w:right="308"/>
        <w:jc w:val="both"/>
      </w:pPr>
      <w:r w:rsidRPr="002B19C5">
        <w:t>Sobre el nivel “ejecutivo”, los Decretos 770 y 785 de 2005, que regulan las funciones y requisitos de los empleos públicos de entidades del orden nacional y territorial, respectivamente, en sus disposiciones transitorias señalan como responsabilidad del Gobierno nacional la modificación de las plantas de personal para que se elimine el nivel “ejecutivo” y se utilicen los niveles jerárquicos señalados por los Decretos, dentro de los cuales no figura el nivel “ejecutivo”, sino el nivel “directivo” y “asesor”, entre otros</w:t>
      </w:r>
      <w:r w:rsidRPr="002B19C5" w:rsidR="00F71230">
        <w:rPr>
          <w:rStyle w:val="Refdenotaalpie"/>
        </w:rPr>
        <w:footnoteReference w:id="10"/>
      </w:r>
      <w:r w:rsidRPr="002B19C5">
        <w:t>. Las</w:t>
      </w:r>
      <w:r w:rsidRPr="002B19C5" w:rsidR="00F71230">
        <w:t xml:space="preserve"> </w:t>
      </w:r>
      <w:r w:rsidRPr="002B19C5">
        <w:lastRenderedPageBreak/>
        <w:t>definiciones del nivel “directivo” y del nivel “asesor”, en los Decretos citados, están claramente diferenciadas, por lo cual el nivel directivo no es equivalente al nivel asesor, son diferentes y comprenden funciones generales que no se asimilan entre sí, y se dividen de acuerdo con lo requerido para cada cargo</w:t>
      </w:r>
      <w:r w:rsidRPr="002B19C5" w:rsidR="00F71230">
        <w:rPr>
          <w:rStyle w:val="Refdenotaalpie"/>
        </w:rPr>
        <w:footnoteReference w:id="11"/>
      </w:r>
      <w:r w:rsidRPr="002B19C5">
        <w:t>. A partir de esto se concluye que para el artículo</w:t>
      </w:r>
      <w:r w:rsidRPr="002B19C5">
        <w:rPr>
          <w:spacing w:val="6"/>
        </w:rPr>
        <w:t xml:space="preserve"> </w:t>
      </w:r>
      <w:r w:rsidRPr="002B19C5">
        <w:t>12</w:t>
      </w:r>
      <w:r w:rsidRPr="002B19C5">
        <w:rPr>
          <w:spacing w:val="6"/>
        </w:rPr>
        <w:t xml:space="preserve"> </w:t>
      </w:r>
      <w:r w:rsidRPr="002B19C5">
        <w:t>de</w:t>
      </w:r>
      <w:r w:rsidRPr="002B19C5">
        <w:rPr>
          <w:spacing w:val="7"/>
        </w:rPr>
        <w:t xml:space="preserve"> </w:t>
      </w:r>
      <w:r w:rsidRPr="002B19C5">
        <w:t>la</w:t>
      </w:r>
      <w:r w:rsidRPr="002B19C5">
        <w:rPr>
          <w:spacing w:val="6"/>
        </w:rPr>
        <w:t xml:space="preserve"> </w:t>
      </w:r>
      <w:r w:rsidRPr="002B19C5">
        <w:t>Ley</w:t>
      </w:r>
      <w:r w:rsidRPr="002B19C5">
        <w:rPr>
          <w:spacing w:val="5"/>
        </w:rPr>
        <w:t xml:space="preserve"> </w:t>
      </w:r>
      <w:r w:rsidRPr="002B19C5">
        <w:t>80</w:t>
      </w:r>
      <w:r w:rsidRPr="002B19C5">
        <w:rPr>
          <w:spacing w:val="6"/>
        </w:rPr>
        <w:t xml:space="preserve"> </w:t>
      </w:r>
      <w:r w:rsidRPr="002B19C5">
        <w:t>de</w:t>
      </w:r>
      <w:r w:rsidRPr="002B19C5">
        <w:rPr>
          <w:spacing w:val="6"/>
        </w:rPr>
        <w:t xml:space="preserve"> </w:t>
      </w:r>
      <w:r w:rsidRPr="002B19C5">
        <w:t>1993,</w:t>
      </w:r>
      <w:r w:rsidRPr="002B19C5">
        <w:rPr>
          <w:spacing w:val="6"/>
        </w:rPr>
        <w:t xml:space="preserve"> </w:t>
      </w:r>
      <w:r w:rsidRPr="002B19C5">
        <w:t>cuando</w:t>
      </w:r>
      <w:r w:rsidRPr="002B19C5">
        <w:rPr>
          <w:spacing w:val="6"/>
        </w:rPr>
        <w:t xml:space="preserve"> </w:t>
      </w:r>
      <w:r w:rsidRPr="002B19C5">
        <w:t>identifica</w:t>
      </w:r>
      <w:r w:rsidRPr="002B19C5">
        <w:rPr>
          <w:spacing w:val="5"/>
        </w:rPr>
        <w:t xml:space="preserve"> </w:t>
      </w:r>
      <w:r w:rsidRPr="002B19C5">
        <w:t>los</w:t>
      </w:r>
      <w:r w:rsidRPr="002B19C5">
        <w:rPr>
          <w:spacing w:val="6"/>
        </w:rPr>
        <w:t xml:space="preserve"> </w:t>
      </w:r>
      <w:r w:rsidRPr="002B19C5">
        <w:t>servidores</w:t>
      </w:r>
      <w:r w:rsidRPr="002B19C5">
        <w:rPr>
          <w:spacing w:val="7"/>
        </w:rPr>
        <w:t xml:space="preserve"> </w:t>
      </w:r>
      <w:r w:rsidRPr="002B19C5">
        <w:t>públicos</w:t>
      </w:r>
      <w:r w:rsidRPr="002B19C5">
        <w:rPr>
          <w:spacing w:val="6"/>
        </w:rPr>
        <w:t xml:space="preserve"> </w:t>
      </w:r>
      <w:r w:rsidRPr="002B19C5">
        <w:t>que</w:t>
      </w:r>
      <w:r w:rsidRPr="002B19C5">
        <w:rPr>
          <w:spacing w:val="7"/>
        </w:rPr>
        <w:t xml:space="preserve"> </w:t>
      </w:r>
      <w:r w:rsidRPr="002B19C5">
        <w:t>pueden</w:t>
      </w:r>
      <w:r w:rsidRPr="002B19C5">
        <w:rPr>
          <w:spacing w:val="7"/>
        </w:rPr>
        <w:t xml:space="preserve"> </w:t>
      </w:r>
      <w:r w:rsidRPr="002B19C5">
        <w:t>ser</w:t>
      </w:r>
      <w:r w:rsidRPr="002B19C5" w:rsidR="00F71230">
        <w:t xml:space="preserve"> </w:t>
      </w:r>
      <w:r w:rsidRPr="002B19C5">
        <w:t>delegatarios de la función de celebrar contratos, se debe entender que corresponde a los del nivel directivo y sus equivalentes; y no a los del nivel asesor, ya que este no es equivalente sino diferente al nivel referido, y tampoco a los del nivel ejecutivo, el cual fue suprimido de los niveles jerárquicos que plantean las normas citadas.</w:t>
      </w:r>
    </w:p>
    <w:p w:rsidRPr="002B19C5" w:rsidR="00D02A99" w:rsidRDefault="00D02A99" w14:paraId="5D158B0D" w14:textId="77777777">
      <w:pPr>
        <w:pStyle w:val="Textoindependiente"/>
        <w:spacing w:before="4"/>
        <w:rPr>
          <w:sz w:val="25"/>
        </w:rPr>
      </w:pPr>
    </w:p>
    <w:p w:rsidRPr="002B19C5" w:rsidR="00D02A99" w:rsidRDefault="00350352" w14:paraId="5D158B0E" w14:textId="77777777">
      <w:pPr>
        <w:spacing w:line="276" w:lineRule="auto"/>
        <w:ind w:left="300" w:right="304"/>
        <w:jc w:val="both"/>
      </w:pPr>
      <w:r w:rsidRPr="002B19C5">
        <w:t>Es decir que, a pesar de la discrepancia entre la Ley 80 de 1993 y la Ley 489 de 1998, se debe tener en cuenta lo señalado por la Corte Constitucional en la sentencia C-439 de 2016, magistrado ponente: Luis Guillermo Guerrero Pérez, respecto de la prevalencia de la norma especial, que en este caso es la Ley 80 de 1993, que solo señala al nivel directivo, ejecutivo y sus equivalentes, pero no señala el nivel asesor, que si está previsto en la Ley 489 de 1998 para efectos de la delegación:</w:t>
      </w:r>
    </w:p>
    <w:p w:rsidRPr="002B19C5" w:rsidR="00D02A99" w:rsidRDefault="00D02A99" w14:paraId="5D158B0F" w14:textId="77777777">
      <w:pPr>
        <w:pStyle w:val="Textoindependiente"/>
        <w:spacing w:before="1"/>
        <w:rPr>
          <w:sz w:val="25"/>
        </w:rPr>
      </w:pPr>
    </w:p>
    <w:p w:rsidRPr="002B19C5" w:rsidR="00D02A99" w:rsidRDefault="00350352" w14:paraId="5D158B10" w14:textId="77777777">
      <w:pPr>
        <w:pStyle w:val="Prrafodelista"/>
        <w:numPr>
          <w:ilvl w:val="1"/>
          <w:numId w:val="1"/>
        </w:numPr>
        <w:tabs>
          <w:tab w:val="left" w:pos="1416"/>
        </w:tabs>
        <w:spacing w:before="1"/>
        <w:ind w:right="984" w:firstLine="0"/>
        <w:jc w:val="both"/>
        <w:rPr>
          <w:sz w:val="21"/>
        </w:rPr>
      </w:pPr>
      <w:r w:rsidRPr="002B19C5">
        <w:rPr>
          <w:sz w:val="21"/>
        </w:rPr>
        <w:t xml:space="preserve">Sobre el criterio de especialidad, se destacó en la Sentencia C-451 de 2015, </w:t>
      </w:r>
      <w:r w:rsidRPr="002B19C5">
        <w:rPr>
          <w:sz w:val="21"/>
        </w:rPr>
        <w:lastRenderedPageBreak/>
        <w:t>que el mismo “permite reconocer la vigencia de una norma sobre la base de que regula de manera particular y específica una situación, supuesto o materia, excluyendo la aplicación de las disposiciones generales”. Respecto al alcance del criterio de especialidad, en el mismo fallo se trajo a colación lo dicho por la Corporación en la Sentencia C-078 de 1997, al referirse esta al carácter especial de las normas tributarias y su aplicación preferente sobre las normas del anterior Código Contencioso Administrativo. Esta última sentencia dijo sobe el</w:t>
      </w:r>
      <w:r w:rsidRPr="002B19C5">
        <w:rPr>
          <w:spacing w:val="-31"/>
          <w:sz w:val="21"/>
        </w:rPr>
        <w:t xml:space="preserve"> </w:t>
      </w:r>
      <w:r w:rsidRPr="002B19C5">
        <w:rPr>
          <w:sz w:val="21"/>
        </w:rPr>
        <w:t>particular:</w:t>
      </w:r>
    </w:p>
    <w:p w:rsidRPr="002B19C5" w:rsidR="00D02A99" w:rsidRDefault="00D02A99" w14:paraId="5D158B11" w14:textId="77777777">
      <w:pPr>
        <w:pStyle w:val="Textoindependiente"/>
        <w:spacing w:before="1"/>
        <w:rPr>
          <w:sz w:val="21"/>
        </w:rPr>
      </w:pPr>
    </w:p>
    <w:p w:rsidRPr="002B19C5" w:rsidR="00D02A99" w:rsidRDefault="00350352" w14:paraId="5D158B12" w14:textId="77777777">
      <w:pPr>
        <w:ind w:left="1008" w:right="990" w:firstLine="57"/>
        <w:jc w:val="both"/>
        <w:rPr>
          <w:sz w:val="21"/>
        </w:rPr>
      </w:pPr>
      <w:r w:rsidRPr="002B19C5">
        <w:rPr>
          <w:sz w:val="21"/>
        </w:rPr>
        <w:t>“Ahora bien, con el objeto de contribuir a la solución de las contradicciones o antinomias que puedan presentarse entre las diferentes normas legales, las leyes 57 y 153 de 1887 fijaron diversos principios de interpretación de la ley, que en este caso pueden ser de recibo.</w:t>
      </w:r>
    </w:p>
    <w:p w:rsidRPr="002B19C5" w:rsidR="00D02A99" w:rsidRDefault="00D02A99" w14:paraId="5D158B13" w14:textId="77777777">
      <w:pPr>
        <w:pStyle w:val="Textoindependiente"/>
        <w:spacing w:before="1"/>
        <w:rPr>
          <w:sz w:val="21"/>
        </w:rPr>
      </w:pPr>
    </w:p>
    <w:p w:rsidRPr="002B19C5" w:rsidR="00D02A99" w:rsidRDefault="00350352" w14:paraId="5D158B14" w14:textId="77777777">
      <w:pPr>
        <w:ind w:left="1008" w:right="987"/>
        <w:jc w:val="both"/>
        <w:rPr>
          <w:sz w:val="21"/>
        </w:rPr>
      </w:pPr>
      <w:r w:rsidRPr="002B19C5">
        <w:rPr>
          <w:sz w:val="21"/>
        </w:rPr>
        <w:t>Entre los principios contemplados por las dos leyes mencionadas se encuentra el de que cuando en los códigos adoptados se halle disposiciones incompatibles entre sí ‘la disposición relativa a un asunto especial prefiere a la que tenga carácter general’ (numeral 1° del artículo 5° de la Ley 57 de 1887). Esta máxima es la que debe aplicarse a la situación bajo análisis: el Código Contencioso Administrativo regula de manera general el instituto de la revocación directa de los actos administrativos y el Estatuto Tributario se refiere a ella para el caso específico de los actos de carácter</w:t>
      </w:r>
      <w:r w:rsidRPr="002B19C5">
        <w:rPr>
          <w:spacing w:val="-9"/>
          <w:sz w:val="21"/>
        </w:rPr>
        <w:t xml:space="preserve"> </w:t>
      </w:r>
      <w:r w:rsidRPr="002B19C5">
        <w:rPr>
          <w:sz w:val="21"/>
        </w:rPr>
        <w:t>impositivo”.</w:t>
      </w:r>
    </w:p>
    <w:p w:rsidRPr="002B19C5" w:rsidR="00D02A99" w:rsidRDefault="00D02A99" w14:paraId="5D158B15" w14:textId="77777777">
      <w:pPr>
        <w:pStyle w:val="Textoindependiente"/>
        <w:spacing w:before="10"/>
        <w:rPr>
          <w:sz w:val="20"/>
        </w:rPr>
      </w:pPr>
    </w:p>
    <w:p w:rsidRPr="002B19C5" w:rsidR="00D02A99" w:rsidRDefault="00350352" w14:paraId="5D158B16" w14:textId="77777777">
      <w:pPr>
        <w:pStyle w:val="Prrafodelista"/>
        <w:numPr>
          <w:ilvl w:val="1"/>
          <w:numId w:val="1"/>
        </w:numPr>
        <w:tabs>
          <w:tab w:val="left" w:pos="1418"/>
        </w:tabs>
        <w:spacing w:before="1"/>
        <w:ind w:right="984" w:firstLine="0"/>
        <w:jc w:val="both"/>
        <w:rPr>
          <w:sz w:val="21"/>
        </w:rPr>
      </w:pPr>
      <w:r w:rsidRPr="002B19C5">
        <w:rPr>
          <w:sz w:val="21"/>
        </w:rPr>
        <w:t>Así las cosas, frente a este último criterio, el de especialidad, cabe entonces entender que el mismo opera con un propósito de ordenación legislativa entre normas de igual jerarquía, en el sentido que, ante dos disposiciones incompatibles, una general y una especial, permite darle prevalencia a la segunda, en razón a que se entiende que la norma general se aplica a todos los campos con excepción de aquél que es regulado por la norma especial. Ello, sobre la base de que la norma especial sustrae o excluye una parte de la materia gobernada por la ley de mayor amplitud regulatoria, para someterla a una regulación diferente y específica, sea esta contraria o contradictoria, que prevalece sobre la</w:t>
      </w:r>
      <w:r w:rsidRPr="002B19C5">
        <w:rPr>
          <w:spacing w:val="-4"/>
          <w:sz w:val="21"/>
        </w:rPr>
        <w:t xml:space="preserve"> </w:t>
      </w:r>
      <w:r w:rsidRPr="002B19C5">
        <w:rPr>
          <w:sz w:val="21"/>
        </w:rPr>
        <w:t>otra.</w:t>
      </w:r>
    </w:p>
    <w:p w:rsidRPr="002B19C5" w:rsidR="00D02A99" w:rsidRDefault="00D02A99" w14:paraId="5D158B17" w14:textId="77777777">
      <w:pPr>
        <w:jc w:val="both"/>
        <w:rPr>
          <w:sz w:val="21"/>
        </w:rPr>
        <w:sectPr w:rsidRPr="002B19C5" w:rsidR="00D02A99">
          <w:headerReference w:type="default" r:id="rId11"/>
          <w:footerReference w:type="default" r:id="rId12"/>
          <w:pgSz w:w="12240" w:h="15840" w:orient="portrait"/>
          <w:pgMar w:top="1560" w:right="1300" w:bottom="2140" w:left="1400" w:header="737" w:footer="1880" w:gutter="0"/>
          <w:cols w:space="720"/>
        </w:sectPr>
      </w:pPr>
    </w:p>
    <w:p w:rsidRPr="002B19C5" w:rsidR="00D02A99" w:rsidRDefault="00350352" w14:paraId="5D158B18" w14:textId="77777777">
      <w:pPr>
        <w:pStyle w:val="Prrafodelista"/>
        <w:numPr>
          <w:ilvl w:val="1"/>
          <w:numId w:val="1"/>
        </w:numPr>
        <w:tabs>
          <w:tab w:val="left" w:pos="1428"/>
        </w:tabs>
        <w:spacing w:before="124"/>
        <w:ind w:right="985" w:firstLine="0"/>
        <w:jc w:val="both"/>
        <w:rPr>
          <w:sz w:val="21"/>
        </w:rPr>
      </w:pPr>
      <w:r w:rsidRPr="002B19C5">
        <w:rPr>
          <w:sz w:val="21"/>
        </w:rPr>
        <w:lastRenderedPageBreak/>
        <w:t>En relación con este último punto, la propia jurisprudencia constitucional ha destacado que el principio de especialidad se aplica entre normas de igual jerarquía, sin que dicho principio tenga cabida entre preceptos de distinta jerarquía, como ocurre entre una la ley ordinaria y una ley estatutaria, o entre la Constitución y la ley en general, pues en tales eventos es claro que prevalece y se aplica siempre la norma</w:t>
      </w:r>
      <w:r w:rsidRPr="002B19C5">
        <w:rPr>
          <w:spacing w:val="-8"/>
          <w:sz w:val="21"/>
        </w:rPr>
        <w:t xml:space="preserve"> </w:t>
      </w:r>
      <w:r w:rsidRPr="002B19C5">
        <w:rPr>
          <w:sz w:val="21"/>
        </w:rPr>
        <w:t>superior.</w:t>
      </w:r>
    </w:p>
    <w:p w:rsidRPr="002B19C5" w:rsidR="00D02A99" w:rsidRDefault="00D02A99" w14:paraId="5D158B19" w14:textId="77777777">
      <w:pPr>
        <w:pStyle w:val="Textoindependiente"/>
        <w:rPr>
          <w:sz w:val="21"/>
        </w:rPr>
      </w:pPr>
    </w:p>
    <w:p w:rsidRPr="002B19C5" w:rsidR="00D02A99" w:rsidRDefault="00350352" w14:paraId="5D158B1A" w14:textId="77777777">
      <w:pPr>
        <w:spacing w:before="1" w:line="276" w:lineRule="auto"/>
        <w:ind w:left="300" w:right="308"/>
        <w:jc w:val="both"/>
      </w:pPr>
      <w:r w:rsidRPr="002B19C5">
        <w:t>Finalmente, es posible determinar que la delegación tiene, entre otros, dos límites relevantes respecto de su consulta: i) solo se puede delegar una función en el servidor público que la Ley designe, porque la Constitución Política le concedió a la Ley esa responsabilidad</w:t>
      </w:r>
      <w:r w:rsidRPr="002B19C5" w:rsidR="00F71230">
        <w:rPr>
          <w:rStyle w:val="Refdenotaalpie"/>
        </w:rPr>
        <w:footnoteReference w:id="12"/>
      </w:r>
      <w:r w:rsidRPr="002B19C5">
        <w:t>y ii) el delegatario únicamente puede ejercer las funciones precisamente detalladas en el acto de delegación</w:t>
      </w:r>
      <w:r w:rsidRPr="002B19C5" w:rsidR="00F71230">
        <w:rPr>
          <w:rStyle w:val="Refdenotaalpie"/>
        </w:rPr>
        <w:footnoteReference w:id="13"/>
      </w:r>
      <w:r w:rsidRPr="002B19C5">
        <w:t>.</w:t>
      </w:r>
    </w:p>
    <w:p w:rsidRPr="002B19C5" w:rsidR="00D02A99" w:rsidRDefault="00D02A99" w14:paraId="5D158B1B" w14:textId="77777777">
      <w:pPr>
        <w:pStyle w:val="Textoindependiente"/>
        <w:spacing w:before="3"/>
        <w:rPr>
          <w:sz w:val="25"/>
        </w:rPr>
      </w:pPr>
    </w:p>
    <w:p w:rsidRPr="002B19C5" w:rsidR="00D02A99" w:rsidRDefault="00350352" w14:paraId="5D158B1C" w14:textId="77777777">
      <w:pPr>
        <w:spacing w:line="276" w:lineRule="auto"/>
        <w:ind w:left="300" w:right="305"/>
        <w:jc w:val="both"/>
      </w:pPr>
      <w:r w:rsidRPr="002B19C5">
        <w:t>Ahora, sobre la posibilidad de que el gobernador pueda delegar la celebración de los contratos, es indispensable precisar que estos, en virtud del artículo 303 de la Constitución Política, es el representante legal y máxima autoridad del Departamento</w:t>
      </w:r>
      <w:r w:rsidRPr="002B19C5" w:rsidR="00F71230">
        <w:rPr>
          <w:rStyle w:val="Refdenotaalpie"/>
        </w:rPr>
        <w:footnoteReference w:id="14"/>
      </w:r>
      <w:r w:rsidRPr="002B19C5">
        <w:t>. En este sentido, teniendo en cuenta que la normativa explicada anteriormente precisa que los representantes legales de las entidades están facultados para delegar total o parcialmente la celebración de contratos, sin excluir las entidades del orden territorial como lo es la gobernación. Por consiguiente, los gobernadores, al ser los representantes legales del Departamento, están facultados para delegar la actividad contractual.</w:t>
      </w:r>
    </w:p>
    <w:p w:rsidRPr="002B19C5" w:rsidR="00D02A99" w:rsidRDefault="00D02A99" w14:paraId="5D158B1D" w14:textId="77777777">
      <w:pPr>
        <w:pStyle w:val="Textoindependiente"/>
        <w:spacing w:before="5"/>
        <w:rPr>
          <w:sz w:val="25"/>
        </w:rPr>
      </w:pPr>
    </w:p>
    <w:p w:rsidRPr="002B19C5" w:rsidR="00D02A99" w:rsidRDefault="00350352" w14:paraId="5D158B1E" w14:textId="77777777">
      <w:pPr>
        <w:pStyle w:val="Prrafodelista"/>
        <w:numPr>
          <w:ilvl w:val="0"/>
          <w:numId w:val="2"/>
        </w:numPr>
        <w:tabs>
          <w:tab w:val="left" w:pos="661"/>
        </w:tabs>
        <w:ind w:hanging="361"/>
        <w:rPr>
          <w:b/>
        </w:rPr>
      </w:pPr>
      <w:r w:rsidRPr="002B19C5">
        <w:rPr>
          <w:b/>
        </w:rPr>
        <w:t>Respuesta</w:t>
      </w:r>
    </w:p>
    <w:p w:rsidRPr="002B19C5" w:rsidR="00D02A99" w:rsidRDefault="00D02A99" w14:paraId="5D158B1F" w14:textId="77777777">
      <w:pPr>
        <w:pStyle w:val="Textoindependiente"/>
        <w:spacing w:before="5"/>
        <w:rPr>
          <w:b/>
          <w:sz w:val="28"/>
        </w:rPr>
      </w:pPr>
    </w:p>
    <w:p w:rsidRPr="002B19C5" w:rsidR="00D02A99" w:rsidP="00F71230" w:rsidRDefault="00350352" w14:paraId="5D158B20" w14:textId="4A07E1EF">
      <w:pPr>
        <w:spacing w:before="1" w:line="276" w:lineRule="auto"/>
        <w:ind w:left="300" w:right="302"/>
        <w:jc w:val="both"/>
      </w:pPr>
      <w:r w:rsidRPr="002B19C5">
        <w:t xml:space="preserve">La delegación para contratar contemplada en el artículo 12 de la Ley 80 de 1993, incluye la etapa precontractual, contractual y </w:t>
      </w:r>
      <w:proofErr w:type="spellStart"/>
      <w:r w:rsidRPr="002B19C5">
        <w:t>poscontractual</w:t>
      </w:r>
      <w:proofErr w:type="spellEnd"/>
      <w:r w:rsidRPr="002B19C5">
        <w:t xml:space="preserve">, de acuerdo con la jurisprudencia citada. </w:t>
      </w:r>
      <w:r w:rsidRPr="002B19C5">
        <w:lastRenderedPageBreak/>
        <w:t>Además, faculta al jefe o representante legal de la entidad la posibili</w:t>
      </w:r>
      <w:r w:rsidRPr="002B19C5" w:rsidR="00F71230">
        <w:t>dad de delegar la c</w:t>
      </w:r>
      <w:r w:rsidRPr="002B19C5">
        <w:t xml:space="preserve">ompetencia para contratar. Esta faculta </w:t>
      </w:r>
      <w:proofErr w:type="spellStart"/>
      <w:r w:rsidRPr="002B19C5">
        <w:t>esta</w:t>
      </w:r>
      <w:proofErr w:type="spellEnd"/>
      <w:r w:rsidRPr="002B19C5">
        <w:t xml:space="preserve"> dada para todos los representantes legales de las entidades que define el artículo 2 de la Ley 80 de 1993, dentro de las que se encuentran los departamentos</w:t>
      </w:r>
      <w:r w:rsidR="00211C07">
        <w:rPr>
          <w:rStyle w:val="Refdenotaalpie"/>
        </w:rPr>
        <w:footnoteReference w:id="15"/>
      </w:r>
      <w:r w:rsidRPr="002B19C5">
        <w:t>.</w:t>
      </w:r>
    </w:p>
    <w:p w:rsidRPr="002B19C5" w:rsidR="00D02A99" w:rsidRDefault="00D02A99" w14:paraId="5D158B21" w14:textId="77777777">
      <w:pPr>
        <w:pStyle w:val="Textoindependiente"/>
        <w:spacing w:before="2"/>
        <w:rPr>
          <w:sz w:val="25"/>
        </w:rPr>
      </w:pPr>
    </w:p>
    <w:p w:rsidRPr="002B19C5" w:rsidR="00D02A99" w:rsidRDefault="00350352" w14:paraId="5D158B22" w14:textId="77777777">
      <w:pPr>
        <w:spacing w:line="276" w:lineRule="auto"/>
        <w:ind w:left="300" w:right="307"/>
        <w:jc w:val="both"/>
      </w:pPr>
      <w:r w:rsidRPr="002B19C5">
        <w:t>Sobre los cargos en los que un jefe o representante legal puede delegar la competencia para contratar, es posible respecto de los servidores públicos del nivel “directivo” y sus “equivalentes”, ya que los Decretos 770 y 785 de 2005 suprimieron el nivel ejecutivo, y el nivel asesor no es equivalente sino diferente del nivel directivo, por lo que, de acuerdo con la Ley 80 de 1993, norma especial que prevalece frente a la Ley 489 de 1998 la cual añade el nivel asesor para la delegación, solo es posible delegar la competencia para contratar en el nivel directivo y sus equivalentes.</w:t>
      </w:r>
    </w:p>
    <w:p w:rsidRPr="002B19C5" w:rsidR="00D02A99" w:rsidRDefault="00D02A99" w14:paraId="5D158B23" w14:textId="77777777">
      <w:pPr>
        <w:pStyle w:val="Textoindependiente"/>
        <w:spacing w:before="4"/>
        <w:rPr>
          <w:sz w:val="25"/>
        </w:rPr>
      </w:pPr>
    </w:p>
    <w:p w:rsidRPr="002B19C5" w:rsidR="00D02A99" w:rsidRDefault="00350352" w14:paraId="5D158B24" w14:textId="77777777">
      <w:pPr>
        <w:spacing w:line="278" w:lineRule="auto"/>
        <w:ind w:left="300" w:right="312"/>
        <w:jc w:val="both"/>
      </w:pPr>
      <w:r w:rsidRPr="002B19C5">
        <w:t>Este concepto tiene el alcance previsto en el artículo 28 del Código de Procedimiento Administrativo y de lo Contencioso Administrativo.</w:t>
      </w:r>
    </w:p>
    <w:p w:rsidRPr="002B19C5" w:rsidR="00D02A99" w:rsidRDefault="0032158F" w14:paraId="5D158B25" w14:textId="77777777">
      <w:pPr>
        <w:pStyle w:val="Textoindependiente"/>
        <w:spacing w:before="5"/>
        <w:rPr>
          <w:sz w:val="22"/>
        </w:rPr>
      </w:pPr>
      <w:r w:rsidRPr="002B19C5">
        <w:rPr>
          <w:noProof/>
          <w:lang w:val="en-US"/>
        </w:rPr>
        <mc:AlternateContent>
          <mc:Choice Requires="wps">
            <w:drawing>
              <wp:anchor distT="0" distB="0" distL="0" distR="0" simplePos="0" relativeHeight="487591936" behindDoc="1" locked="0" layoutInCell="1" allowOverlap="1" wp14:anchorId="5D158B37" wp14:editId="5D158B38">
                <wp:simplePos x="0" y="0"/>
                <wp:positionH relativeFrom="page">
                  <wp:posOffset>1514475</wp:posOffset>
                </wp:positionH>
                <wp:positionV relativeFrom="paragraph">
                  <wp:posOffset>194310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w14:anchorId="5485E9E0">
              <v:shape id="Freeform 3" style="position:absolute;margin-left:119.25pt;margin-top:15.3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NmugcL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" w14:anchorId="0A506E8B">
                <v:path arrowok="t" o:connecttype="custom" o:connectlocs="0,0;4686300,0" o:connectangles="0,0"/>
                <w10:wrap type="topAndBottom" anchorx="page"/>
              </v:shape>
            </w:pict>
          </mc:Fallback>
        </mc:AlternateContent>
      </w:r>
    </w:p>
    <w:p w:rsidRPr="002B19C5" w:rsidR="00D02A99" w:rsidRDefault="00D02A99" w14:paraId="5D158B26" w14:textId="77777777">
      <w:pPr>
        <w:pStyle w:val="Textoindependiente"/>
        <w:spacing w:before="5"/>
        <w:rPr>
          <w:sz w:val="20"/>
        </w:rPr>
      </w:pPr>
    </w:p>
    <w:p w:rsidRPr="002B19C5" w:rsidR="00D02A99" w:rsidRDefault="00350352" w14:paraId="5D158B27" w14:textId="3FD0C06A">
      <w:pPr>
        <w:ind w:left="300"/>
      </w:pPr>
      <w:r w:rsidRPr="002B19C5">
        <w:t>Atentamente,</w:t>
      </w:r>
    </w:p>
    <w:p w:rsidRPr="009D5D6D" w:rsidR="00211C07" w:rsidP="00211C07" w:rsidRDefault="00211C07" w14:paraId="46727DB2" w14:textId="77777777">
      <w:pPr>
        <w:pStyle w:val="Textoindependiente"/>
        <w:jc w:val="center"/>
      </w:pPr>
      <w:r w:rsidR="00211C07">
        <w:drawing>
          <wp:inline wp14:editId="2C5FF782" wp14:anchorId="3AC2C727">
            <wp:extent cx="2773144" cy="988695"/>
            <wp:effectExtent l="0" t="0" r="0" b="0"/>
            <wp:docPr id="1445878002" name="Imagen 20" title=""/>
            <wp:cNvGraphicFramePr>
              <a:graphicFrameLocks noChangeAspect="1"/>
            </wp:cNvGraphicFramePr>
            <a:graphic>
              <a:graphicData uri="http://schemas.openxmlformats.org/drawingml/2006/picture">
                <pic:pic>
                  <pic:nvPicPr>
                    <pic:cNvPr id="0" name="Imagen 20"/>
                    <pic:cNvPicPr/>
                  </pic:nvPicPr>
                  <pic:blipFill>
                    <a:blip r:embed="R6d8506230d8142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2B19C5" w:rsidR="00D02A99" w:rsidRDefault="00350352" w14:paraId="5D158B29" w14:textId="77777777">
      <w:pPr>
        <w:ind w:left="300"/>
      </w:pPr>
      <w:r w:rsidRPr="002B19C5">
        <w:t>Proyectó: Sergio Mateo Avila</w:t>
      </w:r>
    </w:p>
    <w:p w:rsidRPr="002B19C5" w:rsidR="00D02A99" w:rsidRDefault="00D02A99" w14:paraId="5D158B2A" w14:textId="77777777">
      <w:pPr>
        <w:pStyle w:val="Textoindependiente"/>
        <w:rPr>
          <w:sz w:val="20"/>
        </w:rPr>
      </w:pPr>
    </w:p>
    <w:p w:rsidRPr="002B19C5" w:rsidR="00D02A99" w:rsidRDefault="00D02A99" w14:paraId="5D158B2B" w14:textId="77777777">
      <w:pPr>
        <w:pStyle w:val="Textoindependiente"/>
        <w:rPr>
          <w:sz w:val="20"/>
        </w:rPr>
      </w:pPr>
    </w:p>
    <w:p w:rsidRPr="002B19C5" w:rsidR="00D02A99" w:rsidRDefault="00D02A99" w14:paraId="5D158B2C" w14:textId="77777777">
      <w:pPr>
        <w:pStyle w:val="Textoindependiente"/>
        <w:rPr>
          <w:sz w:val="20"/>
        </w:rPr>
      </w:pPr>
    </w:p>
    <w:p w:rsidRPr="002B19C5" w:rsidR="00D02A99" w:rsidRDefault="00D02A99" w14:paraId="5D158B2D" w14:textId="77777777">
      <w:pPr>
        <w:pStyle w:val="Textoindependiente"/>
        <w:rPr>
          <w:sz w:val="20"/>
        </w:rPr>
      </w:pPr>
    </w:p>
    <w:p w:rsidRPr="002B19C5" w:rsidR="00D02A99" w:rsidRDefault="00D02A99" w14:paraId="5D158B2E" w14:textId="77777777">
      <w:pPr>
        <w:pStyle w:val="Textoindependiente"/>
        <w:rPr>
          <w:sz w:val="20"/>
        </w:rPr>
      </w:pPr>
    </w:p>
    <w:p w:rsidRPr="002B19C5" w:rsidR="00D02A99" w:rsidRDefault="00D02A99" w14:paraId="5D158B2F" w14:textId="77777777">
      <w:pPr>
        <w:pStyle w:val="Textoindependiente"/>
        <w:rPr>
          <w:sz w:val="20"/>
        </w:rPr>
      </w:pPr>
    </w:p>
    <w:p w:rsidRPr="002B19C5" w:rsidR="00D02A99" w:rsidRDefault="00D02A99" w14:paraId="5D158B30" w14:textId="77777777">
      <w:pPr>
        <w:pStyle w:val="Textoindependiente"/>
        <w:rPr>
          <w:sz w:val="20"/>
        </w:rPr>
      </w:pPr>
    </w:p>
    <w:p w:rsidRPr="002B19C5" w:rsidR="00D02A99" w:rsidRDefault="00D02A99" w14:paraId="5D158B31" w14:textId="77777777">
      <w:pPr>
        <w:pStyle w:val="Textoindependiente"/>
        <w:rPr>
          <w:sz w:val="20"/>
        </w:rPr>
      </w:pPr>
    </w:p>
    <w:p w:rsidRPr="002B19C5" w:rsidR="00D02A99" w:rsidRDefault="00D02A99" w14:paraId="5D158B32" w14:textId="71106F71">
      <w:pPr>
        <w:pStyle w:val="Textoindependiente"/>
        <w:spacing w:before="4"/>
        <w:rPr>
          <w:sz w:val="17"/>
        </w:rPr>
      </w:pPr>
      <w:bookmarkStart w:name="_GoBack" w:id="0"/>
      <w:bookmarkEnd w:id="0"/>
    </w:p>
    <w:sectPr w:rsidRPr="002B19C5" w:rsidR="00D02A99">
      <w:pgSz w:w="12240" w:h="15840" w:orient="portrait"/>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6D" w:rsidRDefault="008B1F6D" w14:paraId="42A1ADBC" w14:textId="77777777">
      <w:r>
        <w:separator/>
      </w:r>
    </w:p>
  </w:endnote>
  <w:endnote w:type="continuationSeparator" w:id="0">
    <w:p w:rsidR="008B1F6D" w:rsidRDefault="008B1F6D" w14:paraId="52BA7A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02A99" w:rsidRDefault="00350352" w14:paraId="5D158B42" w14:textId="77777777">
    <w:pPr>
      <w:pStyle w:val="Textoindependiente"/>
      <w:spacing w:line="14" w:lineRule="auto"/>
      <w:rPr>
        <w:sz w:val="20"/>
      </w:rPr>
    </w:pPr>
    <w:r>
      <w:rPr>
        <w:noProof/>
        <w:lang w:val="en-US"/>
      </w:rPr>
      <w:drawing>
        <wp:anchor distT="0" distB="0" distL="0" distR="0" simplePos="0" relativeHeight="487455232" behindDoc="1" locked="0" layoutInCell="1" allowOverlap="1" wp14:anchorId="5D158B45" wp14:editId="5D158B46">
          <wp:simplePos x="0" y="0"/>
          <wp:positionH relativeFrom="page">
            <wp:posOffset>1137919</wp:posOffset>
          </wp:positionH>
          <wp:positionV relativeFrom="page">
            <wp:posOffset>8688387</wp:posOffset>
          </wp:positionV>
          <wp:extent cx="5612130" cy="78712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3208F8B">
      <w:rPr/>
      <w:t/>
    </w:r>
    <w:r w:rsidR="2082592F">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6D" w:rsidRDefault="008B1F6D" w14:paraId="543BFE52" w14:textId="77777777">
      <w:r>
        <w:separator/>
      </w:r>
    </w:p>
  </w:footnote>
  <w:footnote w:type="continuationSeparator" w:id="0">
    <w:p w:rsidR="008B1F6D" w:rsidRDefault="008B1F6D" w14:paraId="214F322D" w14:textId="77777777">
      <w:r>
        <w:continuationSeparator/>
      </w:r>
    </w:p>
  </w:footnote>
  <w:footnote w:id="1">
    <w:p w:rsidRPr="00211C07" w:rsidR="00681C4A" w:rsidP="00211C07" w:rsidRDefault="00681C4A" w14:paraId="5D158B47" w14:textId="77777777">
      <w:pPr>
        <w:pStyle w:val="Textonotapie"/>
        <w:ind w:firstLine="720"/>
      </w:pPr>
      <w:r w:rsidRPr="00211C07">
        <w:rPr>
          <w:rStyle w:val="Refdenotaalpie"/>
        </w:rPr>
        <w:footnoteRef/>
      </w:r>
      <w:r w:rsidRPr="00211C07">
        <w:t xml:space="preserve"> Constitución Política: “Artículo 211.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rsidRPr="00211C07" w:rsidR="00681C4A" w:rsidP="00681C4A" w:rsidRDefault="00681C4A" w14:paraId="5D158B48" w14:textId="77777777">
      <w:pPr>
        <w:pStyle w:val="Textoindependiente"/>
        <w:spacing w:before="77"/>
        <w:ind w:left="300" w:right="310"/>
        <w:jc w:val="both"/>
      </w:pPr>
      <w:r w:rsidRPr="00211C07">
        <w:t>“La delegación exime de responsabilidad al delegante, la cual corresponderá exclusivamente al delegatario, cuyos actos o resoluciones podrá siempre reformar o revocar aquel, reasumiendo la responsabilidad consiguiente.</w:t>
      </w:r>
    </w:p>
    <w:p w:rsidRPr="00211C07" w:rsidR="00681C4A" w:rsidP="00681C4A" w:rsidRDefault="00681C4A" w14:paraId="5D158B49" w14:textId="77777777">
      <w:pPr>
        <w:pStyle w:val="Textoindependiente"/>
        <w:spacing w:before="2"/>
      </w:pPr>
    </w:p>
    <w:p w:rsidRPr="00211C07" w:rsidR="00681C4A" w:rsidP="00681C4A" w:rsidRDefault="00681C4A" w14:paraId="5D158B4A" w14:textId="77777777">
      <w:pPr>
        <w:pStyle w:val="Textoindependiente"/>
        <w:ind w:left="300"/>
        <w:jc w:val="both"/>
      </w:pPr>
      <w:r w:rsidRPr="00211C07">
        <w:t>“La ley establecerá los recursos que se pueden interponer contra los actos de los delegatarios”.</w:t>
      </w:r>
    </w:p>
    <w:p w:rsidRPr="00211C07" w:rsidR="00681C4A" w:rsidRDefault="00681C4A" w14:paraId="5D158B4B" w14:textId="77777777">
      <w:pPr>
        <w:pStyle w:val="Textonotapie"/>
        <w:rPr>
          <w:lang w:val="es-CO"/>
        </w:rPr>
      </w:pPr>
    </w:p>
  </w:footnote>
  <w:footnote w:id="2">
    <w:p w:rsidRPr="00211C07" w:rsidR="00681C4A" w:rsidP="00681C4A" w:rsidRDefault="00681C4A" w14:paraId="5D158B4C" w14:textId="77777777">
      <w:pPr>
        <w:pStyle w:val="Textoindependiente"/>
        <w:spacing w:line="254" w:lineRule="auto"/>
        <w:ind w:left="300" w:right="315" w:firstLine="707"/>
      </w:pPr>
      <w:r w:rsidRPr="00211C07">
        <w:rPr>
          <w:rStyle w:val="Refdenotaalpie"/>
        </w:rPr>
        <w:footnoteRef/>
      </w:r>
      <w:r w:rsidRPr="00211C07">
        <w:t xml:space="preserve"> Ley 80 de 1993: “Artículo 2. De la definición de entidades, servidores y servicios públicos. Para los solos efectos de esta ley:</w:t>
      </w:r>
    </w:p>
    <w:p w:rsidRPr="00211C07" w:rsidR="00681C4A" w:rsidP="00681C4A" w:rsidRDefault="00681C4A" w14:paraId="5D158B4D" w14:textId="77777777">
      <w:pPr>
        <w:pStyle w:val="Textoindependiente"/>
        <w:spacing w:before="10"/>
        <w:rPr>
          <w:sz w:val="16"/>
        </w:rPr>
      </w:pPr>
    </w:p>
    <w:p w:rsidRPr="00211C07" w:rsidR="00681C4A" w:rsidP="00681C4A" w:rsidRDefault="00681C4A" w14:paraId="5D158B4E" w14:textId="77777777">
      <w:pPr>
        <w:pStyle w:val="Textoindependiente"/>
        <w:ind w:left="300"/>
        <w:jc w:val="both"/>
      </w:pPr>
      <w:r w:rsidRPr="00211C07">
        <w:t>“1o. Se denominan entidades estatales:</w:t>
      </w:r>
    </w:p>
    <w:p w:rsidRPr="00211C07" w:rsidR="00681C4A" w:rsidP="00681C4A" w:rsidRDefault="00681C4A" w14:paraId="5D158B4F" w14:textId="77777777">
      <w:pPr>
        <w:pStyle w:val="Textoindependiente"/>
        <w:spacing w:before="1"/>
      </w:pPr>
    </w:p>
    <w:p w:rsidRPr="00211C07" w:rsidR="00681C4A" w:rsidP="00681C4A" w:rsidRDefault="00681C4A" w14:paraId="5D158B50" w14:textId="77777777">
      <w:pPr>
        <w:pStyle w:val="Textoindependiente"/>
        <w:ind w:left="300" w:right="306"/>
        <w:jc w:val="both"/>
      </w:pPr>
      <w:r w:rsidRPr="00211C07">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211C07" w:rsidR="00681C4A" w:rsidP="00681C4A" w:rsidRDefault="00681C4A" w14:paraId="5D158B51" w14:textId="77777777">
      <w:pPr>
        <w:pStyle w:val="Textoindependiente"/>
        <w:spacing w:before="10"/>
        <w:rPr>
          <w:sz w:val="17"/>
        </w:rPr>
      </w:pPr>
    </w:p>
    <w:p w:rsidRPr="00211C07" w:rsidR="00681C4A" w:rsidP="00681C4A" w:rsidRDefault="00681C4A" w14:paraId="5D158B52" w14:textId="77777777">
      <w:pPr>
        <w:pStyle w:val="Textoindependiente"/>
        <w:ind w:left="300" w:right="315"/>
      </w:pPr>
      <w:r w:rsidRPr="00211C07">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rsidRPr="00211C07" w:rsidR="00681C4A" w:rsidP="00681C4A" w:rsidRDefault="00681C4A" w14:paraId="5D158B53" w14:textId="77777777">
      <w:pPr>
        <w:pStyle w:val="Textoindependiente"/>
        <w:spacing w:before="1"/>
      </w:pPr>
    </w:p>
    <w:p w:rsidRPr="00211C07" w:rsidR="00681C4A" w:rsidP="00681C4A" w:rsidRDefault="00681C4A" w14:paraId="5D158B54" w14:textId="77777777">
      <w:pPr>
        <w:pStyle w:val="Textoindependiente"/>
        <w:spacing w:before="1"/>
        <w:ind w:left="300" w:right="308"/>
        <w:jc w:val="both"/>
      </w:pPr>
      <w:r w:rsidRPr="00211C07">
        <w:t>“Artículo 12. De la delegación para contratar.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p>
    <w:p w:rsidRPr="00211C07" w:rsidR="00681C4A" w:rsidRDefault="00681C4A" w14:paraId="5D158B55" w14:textId="77777777">
      <w:pPr>
        <w:pStyle w:val="Textonotapie"/>
        <w:rPr>
          <w:lang w:val="es-CO"/>
        </w:rPr>
      </w:pPr>
    </w:p>
  </w:footnote>
  <w:footnote w:id="3">
    <w:p w:rsidRPr="00211C07" w:rsidR="00681C4A" w:rsidP="00681C4A" w:rsidRDefault="00681C4A" w14:paraId="5D158B56" w14:textId="77777777">
      <w:pPr>
        <w:pStyle w:val="Textoindependiente"/>
        <w:spacing w:before="79"/>
        <w:ind w:left="1008"/>
      </w:pPr>
      <w:r w:rsidRPr="00211C07">
        <w:rPr>
          <w:rStyle w:val="Refdenotaalpie"/>
        </w:rPr>
        <w:footnoteRef/>
      </w:r>
      <w:r w:rsidRPr="00211C07">
        <w:t xml:space="preserve"> Ley 80 de 1993: “Artículo 25. Del principio de economía. En virtud de este principio:</w:t>
      </w:r>
    </w:p>
    <w:p w:rsidRPr="00211C07" w:rsidR="00681C4A" w:rsidP="00681C4A" w:rsidRDefault="00681C4A" w14:paraId="5D158B57" w14:textId="77777777">
      <w:pPr>
        <w:pStyle w:val="Textoindependiente"/>
        <w:spacing w:before="11"/>
        <w:ind w:left="300"/>
      </w:pPr>
      <w:r w:rsidRPr="00211C07">
        <w:t>(...)</w:t>
      </w:r>
    </w:p>
    <w:p w:rsidRPr="00211C07" w:rsidR="00681C4A" w:rsidP="00681C4A" w:rsidRDefault="00681C4A" w14:paraId="5D158B58" w14:textId="77777777">
      <w:pPr>
        <w:pStyle w:val="Textoindependiente"/>
        <w:spacing w:before="94"/>
        <w:ind w:left="300" w:right="310"/>
        <w:jc w:val="both"/>
      </w:pPr>
      <w:r w:rsidRPr="00211C07">
        <w:t>“10.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cuantías las fijará el reglamento”.</w:t>
      </w:r>
    </w:p>
    <w:p w:rsidRPr="00211C07" w:rsidR="00681C4A" w:rsidRDefault="00681C4A" w14:paraId="5D158B59" w14:textId="77777777">
      <w:pPr>
        <w:pStyle w:val="Textonotapie"/>
        <w:rPr>
          <w:lang w:val="es-CO"/>
        </w:rPr>
      </w:pPr>
    </w:p>
  </w:footnote>
  <w:footnote w:id="4">
    <w:p w:rsidRPr="00211C07" w:rsidR="00681C4A" w:rsidRDefault="00681C4A" w14:paraId="5D158B5A" w14:textId="77777777">
      <w:pPr>
        <w:pStyle w:val="Textonotapie"/>
      </w:pPr>
      <w:r w:rsidRPr="00211C07">
        <w:rPr>
          <w:rStyle w:val="Refdenotaalpie"/>
        </w:rPr>
        <w:footnoteRef/>
      </w:r>
      <w:r w:rsidRPr="00211C07">
        <w:t xml:space="preserve"> Decreto Ley 2150 de 1995: “Artículo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los mismos, en los servidores públicos que desempeñen cargos del nivel directivo o ejecutivo o en sus equivalentes”.</w:t>
      </w:r>
    </w:p>
    <w:p w:rsidRPr="00211C07" w:rsidR="00681C4A" w:rsidRDefault="00681C4A" w14:paraId="5D158B5B" w14:textId="77777777">
      <w:pPr>
        <w:pStyle w:val="Textonotapie"/>
        <w:rPr>
          <w:lang w:val="es-CO"/>
        </w:rPr>
      </w:pPr>
    </w:p>
  </w:footnote>
  <w:footnote w:id="5">
    <w:p w:rsidRPr="00211C07" w:rsidR="00681C4A" w:rsidRDefault="00681C4A" w14:paraId="5D158B5C" w14:textId="77777777">
      <w:pPr>
        <w:pStyle w:val="Textonotapie"/>
        <w:rPr>
          <w:lang w:val="es-CO"/>
        </w:rPr>
      </w:pPr>
      <w:r w:rsidRPr="00211C07">
        <w:rPr>
          <w:rStyle w:val="Refdenotaalpie"/>
        </w:rPr>
        <w:footnoteRef/>
      </w:r>
      <w:r w:rsidRPr="00211C07">
        <w:t xml:space="preserve"> Corte Constitucional, Sentencia C-159 de 2004: “Es expresa, cuando la ley dice expresamente que deroga la antigua. Y tácita, cuando la nueva ley contiene disposiciones que no pueden conciliarse con las de la ley anterior. 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 Contrario a lo anterior, la derogación tácita supone un cambio de legislación, una incompatibilidad con respecto a lo regulado en la nueva ley y la ley que antes regía. Hecho que hace necesaria la interpretación de ambas leyes, para establecer qué ley rige la materia, o si la derogación es total o</w:t>
      </w:r>
      <w:r w:rsidRPr="00211C07">
        <w:rPr>
          <w:spacing w:val="-11"/>
        </w:rPr>
        <w:t xml:space="preserve"> </w:t>
      </w:r>
      <w:r w:rsidRPr="00211C07">
        <w:t>parcial”.</w:t>
      </w:r>
    </w:p>
  </w:footnote>
  <w:footnote w:id="6">
    <w:p w:rsidRPr="00211C07" w:rsidR="00681C4A" w:rsidP="00681C4A" w:rsidRDefault="00681C4A" w14:paraId="5D158B5D" w14:textId="77777777">
      <w:pPr>
        <w:pStyle w:val="Textoindependiente"/>
        <w:spacing w:line="247" w:lineRule="auto"/>
        <w:ind w:left="300" w:right="307" w:firstLine="707"/>
        <w:jc w:val="both"/>
      </w:pPr>
      <w:r w:rsidRPr="00211C07">
        <w:rPr>
          <w:rStyle w:val="Refdenotaalpie"/>
        </w:rPr>
        <w:footnoteRef/>
      </w:r>
      <w:r w:rsidRPr="00211C07">
        <w:t xml:space="preserve"> Ley 153 de 1887: “Articulo 2. La ley posterior prevalece sobre la ley anterior. En caso de que una ley posterior sea contraria a otra anterior, y ambas preexistentes al hecho que se juzga, se aplicará la ley posterior”.</w:t>
      </w:r>
    </w:p>
    <w:p w:rsidRPr="00211C07" w:rsidR="00681C4A" w:rsidRDefault="00681C4A" w14:paraId="5D158B5E" w14:textId="77777777">
      <w:pPr>
        <w:pStyle w:val="Textonotapie"/>
        <w:rPr>
          <w:lang w:val="es-CO"/>
        </w:rPr>
      </w:pPr>
    </w:p>
  </w:footnote>
  <w:footnote w:id="7">
    <w:p w:rsidRPr="00211C07" w:rsidR="00681C4A" w:rsidP="00681C4A" w:rsidRDefault="00681C4A" w14:paraId="5D158B5F" w14:textId="77777777">
      <w:pPr>
        <w:pStyle w:val="Textoindependiente"/>
        <w:spacing w:line="252" w:lineRule="auto"/>
        <w:ind w:left="300" w:right="315" w:firstLine="707"/>
      </w:pPr>
      <w:r w:rsidRPr="00211C07">
        <w:rPr>
          <w:rStyle w:val="Refdenotaalpie"/>
        </w:rPr>
        <w:footnoteRef/>
      </w:r>
      <w:r w:rsidRPr="00211C07">
        <w:t xml:space="preserve"> Ley 1150 de 2007: “Artículo 21. De la delegación y la desconcentración para contratar. El artículo 12 de la Ley 80 de 1993, tendrá un inciso 2o y un parágrafo del siguiente tenor:</w:t>
      </w:r>
    </w:p>
    <w:p w:rsidRPr="00211C07" w:rsidR="00681C4A" w:rsidP="00681C4A" w:rsidRDefault="00681C4A" w14:paraId="5D158B60" w14:textId="77777777">
      <w:pPr>
        <w:pStyle w:val="Textoindependiente"/>
        <w:spacing w:line="197" w:lineRule="exact"/>
        <w:ind w:left="300"/>
      </w:pPr>
      <w:r w:rsidRPr="00211C07">
        <w:t>(...)</w:t>
      </w:r>
    </w:p>
    <w:p w:rsidRPr="00211C07" w:rsidR="00681C4A" w:rsidP="00681C4A" w:rsidRDefault="00681C4A" w14:paraId="5D158B61" w14:textId="77777777">
      <w:pPr>
        <w:pStyle w:val="Textoindependiente"/>
        <w:spacing w:before="1"/>
      </w:pPr>
    </w:p>
    <w:p w:rsidRPr="00211C07" w:rsidR="00681C4A" w:rsidP="00681C4A" w:rsidRDefault="00681C4A" w14:paraId="5D158B62" w14:textId="77777777">
      <w:pPr>
        <w:pStyle w:val="Textoindependiente"/>
        <w:ind w:left="300" w:right="308"/>
        <w:jc w:val="both"/>
      </w:pPr>
      <w:r w:rsidRPr="00211C07">
        <w:t>“En ningún caso, los jefes y representantes legales de las entidades estatales quedarán exonerados por virtud de la delegación de sus deberes de control y vigilancia de la actividad precontractual y contractual.</w:t>
      </w:r>
    </w:p>
    <w:p w:rsidRPr="00211C07" w:rsidR="00681C4A" w:rsidP="00681C4A" w:rsidRDefault="00681C4A" w14:paraId="5D158B63" w14:textId="77777777">
      <w:pPr>
        <w:pStyle w:val="Textoindependiente"/>
        <w:spacing w:before="11"/>
        <w:rPr>
          <w:sz w:val="17"/>
        </w:rPr>
      </w:pPr>
    </w:p>
    <w:p w:rsidRPr="00211C07" w:rsidR="00681C4A" w:rsidP="00681C4A" w:rsidRDefault="00681C4A" w14:paraId="5D158B64" w14:textId="77777777">
      <w:pPr>
        <w:pStyle w:val="Textoindependiente"/>
        <w:ind w:left="300" w:right="308"/>
        <w:jc w:val="both"/>
      </w:pPr>
      <w:r w:rsidRPr="00211C07">
        <w:t>“Parágrafo.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administrativa no procederá ningún recurso”.</w:t>
      </w:r>
    </w:p>
    <w:p w:rsidRPr="00211C07" w:rsidR="00681C4A" w:rsidRDefault="00681C4A" w14:paraId="5D158B65" w14:textId="77777777">
      <w:pPr>
        <w:pStyle w:val="Textonotapie"/>
        <w:rPr>
          <w:lang w:val="es-CO"/>
        </w:rPr>
      </w:pPr>
    </w:p>
  </w:footnote>
  <w:footnote w:id="8">
    <w:p w:rsidRPr="00211C07" w:rsidR="00681C4A" w:rsidP="00681C4A" w:rsidRDefault="00681C4A" w14:paraId="5D158B66" w14:textId="77777777">
      <w:pPr>
        <w:pStyle w:val="Textoindependiente"/>
        <w:spacing w:before="90" w:line="247" w:lineRule="auto"/>
        <w:ind w:left="300" w:right="312" w:firstLine="707"/>
        <w:jc w:val="both"/>
      </w:pPr>
      <w:r w:rsidRPr="00211C07">
        <w:rPr>
          <w:rStyle w:val="Refdenotaalpie"/>
        </w:rPr>
        <w:footnoteRef/>
      </w:r>
      <w:r w:rsidRPr="00211C07">
        <w:t xml:space="preserve"> Ley 489 de 1998: “Articulo 9. Delegación. Las autoridades administrativas, en virtud de lo dispuesto en la Constitución Política y de conformidad con la presente ley, podrán mediante acto de delegación, transferir el ejercicio de funciones a sus colaboradores o a otras autoridades, con funciones afines o complementarias.</w:t>
      </w:r>
    </w:p>
    <w:p w:rsidRPr="00211C07" w:rsidR="00681C4A" w:rsidP="00681C4A" w:rsidRDefault="00681C4A" w14:paraId="5D158B67" w14:textId="77777777">
      <w:pPr>
        <w:pStyle w:val="Textoindependiente"/>
        <w:spacing w:before="5"/>
        <w:rPr>
          <w:sz w:val="17"/>
        </w:rPr>
      </w:pPr>
    </w:p>
    <w:p w:rsidRPr="00211C07" w:rsidR="00681C4A" w:rsidP="00681C4A" w:rsidRDefault="00681C4A" w14:paraId="5D158B68" w14:textId="77777777">
      <w:pPr>
        <w:pStyle w:val="Textoindependiente"/>
        <w:ind w:left="300" w:right="302"/>
        <w:jc w:val="both"/>
      </w:pPr>
      <w:r w:rsidRPr="00211C07">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w:t>
      </w:r>
      <w:r w:rsidRPr="00211C07">
        <w:rPr>
          <w:spacing w:val="-35"/>
        </w:rPr>
        <w:t xml:space="preserve"> </w:t>
      </w:r>
      <w:r w:rsidRPr="00211C07">
        <w:t>ley”.</w:t>
      </w:r>
    </w:p>
    <w:p w:rsidRPr="00211C07" w:rsidR="00681C4A" w:rsidRDefault="00681C4A" w14:paraId="5D158B69" w14:textId="77777777">
      <w:pPr>
        <w:pStyle w:val="Textonotapie"/>
        <w:rPr>
          <w:lang w:val="es-CO"/>
        </w:rPr>
      </w:pPr>
    </w:p>
  </w:footnote>
  <w:footnote w:id="9">
    <w:p w:rsidRPr="00211C07" w:rsidR="00681C4A" w:rsidRDefault="00681C4A" w14:paraId="5D158B6A" w14:textId="77777777">
      <w:pPr>
        <w:pStyle w:val="Textonotapie"/>
        <w:rPr>
          <w:lang w:val="es-CO"/>
        </w:rPr>
      </w:pPr>
      <w:r w:rsidRPr="00211C07">
        <w:rPr>
          <w:rStyle w:val="Refdenotaalpie"/>
        </w:rPr>
        <w:footnoteRef/>
      </w:r>
      <w:r w:rsidRPr="00211C07">
        <w:t xml:space="preserve"> Ley 489 de 1998: “Articulo 8. Desconcentración administrativa. 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footnote>
  <w:footnote w:id="10">
    <w:p w:rsidRPr="00211C07" w:rsidR="00F71230" w:rsidP="00F71230" w:rsidRDefault="00F71230" w14:paraId="5D158B6B" w14:textId="77777777">
      <w:pPr>
        <w:pStyle w:val="Textoindependiente"/>
        <w:spacing w:before="99"/>
        <w:ind w:left="300" w:right="308" w:firstLine="707"/>
        <w:jc w:val="both"/>
      </w:pPr>
      <w:r w:rsidRPr="00211C07">
        <w:rPr>
          <w:rStyle w:val="Refdenotaalpie"/>
        </w:rPr>
        <w:footnoteRef/>
      </w:r>
      <w:r w:rsidRPr="00211C07">
        <w:t xml:space="preserve"> Decreto 770 de 2005: “Artículo 3. Niveles jerárquicos de los empleos. Según la naturaleza general de sus funciones, las competencias y los requisitos exigidos para su desempeño, los empleos de las entidades u organismos a los cuales se refiere el presente decreto se clasifican en los siguientes niveles jerárquicos: Nivel Directivo, Nivel Asesor, Nivel Profesional, Nivel Técnico y Nivel</w:t>
      </w:r>
      <w:r w:rsidRPr="00211C07">
        <w:rPr>
          <w:spacing w:val="-18"/>
        </w:rPr>
        <w:t xml:space="preserve"> </w:t>
      </w:r>
      <w:r w:rsidRPr="00211C07">
        <w:t>Asistencial.</w:t>
      </w:r>
    </w:p>
    <w:p w:rsidRPr="00211C07" w:rsidR="00F71230" w:rsidP="00F71230" w:rsidRDefault="00F71230" w14:paraId="5D158B6C" w14:textId="77777777">
      <w:pPr>
        <w:pStyle w:val="Textoindependiente"/>
        <w:spacing w:before="2"/>
        <w:ind w:left="300"/>
      </w:pPr>
      <w:r w:rsidRPr="00211C07">
        <w:t>(...)</w:t>
      </w:r>
    </w:p>
    <w:p w:rsidRPr="00211C07" w:rsidR="00F71230" w:rsidP="00F71230" w:rsidRDefault="00F71230" w14:paraId="5D158B6D" w14:textId="77777777">
      <w:pPr>
        <w:pStyle w:val="Textoindependiente"/>
        <w:spacing w:before="10"/>
        <w:rPr>
          <w:sz w:val="17"/>
        </w:rPr>
      </w:pPr>
    </w:p>
    <w:p w:rsidRPr="00211C07" w:rsidR="00F71230" w:rsidP="00F71230" w:rsidRDefault="00F71230" w14:paraId="5D158B6E" w14:textId="77777777">
      <w:pPr>
        <w:pStyle w:val="Textoindependiente"/>
        <w:spacing w:before="77"/>
        <w:ind w:left="300" w:right="314"/>
        <w:jc w:val="both"/>
      </w:pPr>
      <w:r w:rsidRPr="00211C07">
        <w:t>“Artículo 13. Transitorio. El Gobierno Nacional, en un término no superior a doce (12) meses contados a partir de la vigencia del presente decreto, modificará las plantas de personal de los organismos y entidades a los cuales se aplica el presente decreto, para adecuar los empleos a la nueva nomenclatura y clasificación. Hasta que dichas modificaciones se realicen continuarán vigentes las denominaciones de empleo correspondientes al nivel ejecutivo. Vencido este plazo no podrán existir en las respectivas plantas de personal cargos con denominaciones del mencionado nivel jerárquico.</w:t>
      </w:r>
    </w:p>
    <w:p w:rsidRPr="00211C07" w:rsidR="00F71230" w:rsidP="00F71230" w:rsidRDefault="00F71230" w14:paraId="5D158B6F" w14:textId="77777777">
      <w:pPr>
        <w:pStyle w:val="Textoindependiente"/>
        <w:spacing w:before="11"/>
        <w:rPr>
          <w:sz w:val="17"/>
        </w:rPr>
      </w:pPr>
    </w:p>
    <w:p w:rsidRPr="00211C07" w:rsidR="00F71230" w:rsidP="00F71230" w:rsidRDefault="00F71230" w14:paraId="5D158B70" w14:textId="77777777">
      <w:pPr>
        <w:pStyle w:val="Textoindependiente"/>
        <w:ind w:left="300" w:right="312"/>
        <w:jc w:val="both"/>
      </w:pPr>
      <w:r w:rsidRPr="00211C07">
        <w:t>“Si durante este período se presentare vacante definitiva en alguno de los empleos pertenecientes al nivel ejecutivo, este deberá ser suprimido, salvo que por necesidades del servicio se efectúen las equivalencias del caso, dentro del Nivel Profesional.</w:t>
      </w:r>
    </w:p>
    <w:p w:rsidRPr="00211C07" w:rsidR="00F71230" w:rsidP="00F71230" w:rsidRDefault="00F71230" w14:paraId="5D158B71" w14:textId="77777777">
      <w:pPr>
        <w:pStyle w:val="Textoindependiente"/>
        <w:spacing w:before="4"/>
      </w:pPr>
    </w:p>
    <w:p w:rsidRPr="00211C07" w:rsidR="00F71230" w:rsidP="00F71230" w:rsidRDefault="00F71230" w14:paraId="5D158B72" w14:textId="77777777">
      <w:pPr>
        <w:pStyle w:val="Textoindependiente"/>
        <w:spacing w:line="237" w:lineRule="auto"/>
        <w:ind w:left="300" w:right="308"/>
        <w:jc w:val="both"/>
      </w:pPr>
      <w:r w:rsidRPr="00211C07">
        <w:t>“La aplicación de las equivalencias relacionadas con la nomenclatura de empleos, en ningún caso conllevará incrementos salariales”.</w:t>
      </w:r>
    </w:p>
    <w:p w:rsidRPr="00211C07" w:rsidR="00F71230" w:rsidP="00F71230" w:rsidRDefault="00F71230" w14:paraId="5D158B73" w14:textId="77777777">
      <w:pPr>
        <w:pStyle w:val="Textoindependiente"/>
        <w:spacing w:before="1"/>
      </w:pPr>
    </w:p>
    <w:p w:rsidRPr="00211C07" w:rsidR="00F71230" w:rsidP="00F71230" w:rsidRDefault="00F71230" w14:paraId="5D158B74" w14:textId="77777777">
      <w:pPr>
        <w:pStyle w:val="Textoindependiente"/>
        <w:ind w:left="300" w:right="308" w:firstLine="707"/>
        <w:jc w:val="both"/>
      </w:pPr>
      <w:r w:rsidRPr="00211C07">
        <w:t>Decreto 785 de 2005: “Artículo 3. Niveles jerárquicos de los empleos. Según la naturaleza general de sus funciones, las competencias y los requisitos exigidos para su desempeño, los empleos de las entidades territoriales se clasifican en los siguientes niveles jerárquicos: Nivel Directivo, Nivel Asesor, Nivel Profesional, Nivel Técnico y Nivel Asistencial.</w:t>
      </w:r>
    </w:p>
    <w:p w:rsidRPr="00211C07" w:rsidR="00F71230" w:rsidP="00F71230" w:rsidRDefault="00F71230" w14:paraId="5D158B75" w14:textId="77777777">
      <w:pPr>
        <w:pStyle w:val="Textoindependiente"/>
        <w:spacing w:line="207" w:lineRule="exact"/>
        <w:ind w:left="300"/>
      </w:pPr>
      <w:r w:rsidRPr="00211C07">
        <w:t>(...)</w:t>
      </w:r>
    </w:p>
    <w:p w:rsidRPr="00211C07" w:rsidR="00F71230" w:rsidP="00F71230" w:rsidRDefault="00F71230" w14:paraId="5D158B76" w14:textId="77777777">
      <w:pPr>
        <w:pStyle w:val="Textoindependiente"/>
        <w:spacing w:before="1"/>
      </w:pPr>
    </w:p>
    <w:p w:rsidRPr="00211C07" w:rsidR="00F71230" w:rsidP="00F71230" w:rsidRDefault="00F71230" w14:paraId="5D158B77" w14:textId="77777777">
      <w:pPr>
        <w:pStyle w:val="Textoindependiente"/>
        <w:spacing w:before="1"/>
        <w:ind w:left="300" w:right="311"/>
        <w:jc w:val="both"/>
      </w:pPr>
      <w:r w:rsidRPr="00211C07">
        <w:t>Artículo 33. Transitorio. Las autoridades territoriales competentes, en un término no superior a doce (12) meses contados a partir de la vigencia del presente Decreto Ley, procederán a modificar las plantas de personal para adecuar los empleos a la nueva nomenclatura y clasificación.</w:t>
      </w:r>
    </w:p>
    <w:p w:rsidRPr="00211C07" w:rsidR="00F71230" w:rsidP="00F71230" w:rsidRDefault="00F71230" w14:paraId="5D158B78" w14:textId="77777777">
      <w:pPr>
        <w:pStyle w:val="Textoindependiente"/>
        <w:spacing w:before="11"/>
        <w:rPr>
          <w:sz w:val="17"/>
        </w:rPr>
      </w:pPr>
    </w:p>
    <w:p w:rsidRPr="00211C07" w:rsidR="00F71230" w:rsidP="00F71230" w:rsidRDefault="00F71230" w14:paraId="5D158B79" w14:textId="77777777">
      <w:pPr>
        <w:pStyle w:val="Textoindependiente"/>
        <w:ind w:left="300"/>
      </w:pPr>
      <w:r w:rsidRPr="00211C07">
        <w:t>“Hasta que dichas modificaciones se realicen continuarán vigentes las siguientes denominaciones de empleo correspondientes al nivel ejecutivo, así:</w:t>
      </w:r>
    </w:p>
    <w:p w:rsidRPr="00211C07" w:rsidR="00F71230" w:rsidP="00F71230" w:rsidRDefault="00F71230" w14:paraId="5D158B7A" w14:textId="77777777">
      <w:pPr>
        <w:pStyle w:val="Textoindependiente"/>
        <w:spacing w:line="206" w:lineRule="exact"/>
        <w:ind w:left="300"/>
      </w:pPr>
      <w:r w:rsidRPr="00211C07">
        <w:t>(...)</w:t>
      </w:r>
    </w:p>
    <w:p w:rsidRPr="00211C07" w:rsidR="00F71230" w:rsidP="00F71230" w:rsidRDefault="00F71230" w14:paraId="5D158B7B" w14:textId="77777777">
      <w:pPr>
        <w:pStyle w:val="Textoindependiente"/>
        <w:spacing w:before="1"/>
      </w:pPr>
    </w:p>
    <w:p w:rsidRPr="00211C07" w:rsidR="00F71230" w:rsidP="00F71230" w:rsidRDefault="00F71230" w14:paraId="5D158B7C" w14:textId="77777777">
      <w:pPr>
        <w:pStyle w:val="Textoindependiente"/>
        <w:ind w:left="300" w:right="344"/>
      </w:pPr>
      <w:r w:rsidRPr="00211C07">
        <w:t>“Parágrafo. Vencido el plazo señalado en este artículo, no podrán existir en las respectivas plantas de personal cargos con denominaciones del mencionado nivel jerárquico. Si durante este período se presentare vacante definitiva en alguno de los empleos pertenecientes al nivel ejecutivo, este deberá ser suprimido, salvo que por necesidades del servicio se efectúen las equivalencias del caso, dentro del nivel profesional”.</w:t>
      </w:r>
    </w:p>
    <w:p w:rsidRPr="00211C07" w:rsidR="00F71230" w:rsidP="00F71230" w:rsidRDefault="00F71230" w14:paraId="5D158B7D" w14:textId="77777777">
      <w:pPr>
        <w:pStyle w:val="Textoindependiente"/>
        <w:ind w:left="300" w:right="310"/>
        <w:jc w:val="both"/>
      </w:pPr>
    </w:p>
    <w:p w:rsidRPr="00211C07" w:rsidR="00F71230" w:rsidRDefault="00F71230" w14:paraId="5D158B7E" w14:textId="77777777">
      <w:pPr>
        <w:pStyle w:val="Textonotapie"/>
        <w:rPr>
          <w:lang w:val="es-CO"/>
        </w:rPr>
      </w:pPr>
    </w:p>
  </w:footnote>
  <w:footnote w:id="11">
    <w:p w:rsidRPr="00211C07" w:rsidR="00F71230" w:rsidP="00F71230" w:rsidRDefault="00F71230" w14:paraId="5D158B7F" w14:textId="77777777">
      <w:pPr>
        <w:pStyle w:val="Textoindependiente"/>
        <w:spacing w:before="1" w:line="252" w:lineRule="auto"/>
        <w:ind w:left="300" w:right="314" w:firstLine="707"/>
        <w:jc w:val="both"/>
      </w:pPr>
      <w:r w:rsidRPr="00211C07">
        <w:rPr>
          <w:rStyle w:val="Refdenotaalpie"/>
        </w:rPr>
        <w:footnoteRef/>
      </w:r>
      <w:r w:rsidRPr="00211C07">
        <w:t xml:space="preserve"> Decreto 770 de 2005: “Artículo 4. Naturaleza general de las funciones. A los empleos agrupados en los niveles jerárquicos de que trata el artículo anterior, les corresponden las siguientes funciones generales:</w:t>
      </w:r>
    </w:p>
    <w:p w:rsidRPr="00211C07" w:rsidR="00F71230" w:rsidP="00F71230" w:rsidRDefault="00F71230" w14:paraId="5D158B80" w14:textId="77777777">
      <w:pPr>
        <w:pStyle w:val="Textoindependiente"/>
        <w:spacing w:before="2"/>
        <w:rPr>
          <w:sz w:val="17"/>
        </w:rPr>
      </w:pPr>
    </w:p>
    <w:p w:rsidRPr="00211C07" w:rsidR="00F71230" w:rsidP="00F71230" w:rsidRDefault="00F71230" w14:paraId="5D158B81" w14:textId="77777777">
      <w:pPr>
        <w:pStyle w:val="Textoindependiente"/>
        <w:ind w:left="300"/>
      </w:pPr>
      <w:r w:rsidRPr="00211C07">
        <w:t>“4.1 Nivel Directivo. Comprende los empleos a los cuales corresponden funciones de dirección general, de formulación de políticas institucionales y de adopción de planes, programas y proyectos.</w:t>
      </w:r>
    </w:p>
    <w:p w:rsidRPr="00211C07" w:rsidR="00F71230" w:rsidP="00F71230" w:rsidRDefault="00F71230" w14:paraId="5D158B82" w14:textId="77777777">
      <w:pPr>
        <w:pStyle w:val="Textoindependiente"/>
        <w:spacing w:before="11"/>
        <w:rPr>
          <w:sz w:val="17"/>
        </w:rPr>
      </w:pPr>
    </w:p>
    <w:p w:rsidRPr="00211C07" w:rsidR="00F71230" w:rsidP="00F71230" w:rsidRDefault="00F71230" w14:paraId="5D158B83" w14:textId="77777777">
      <w:pPr>
        <w:pStyle w:val="Textoindependiente"/>
        <w:ind w:left="300" w:right="315"/>
      </w:pPr>
      <w:r w:rsidRPr="00211C07">
        <w:t>“4.2 Nivel Asesor. Agrupa los empleos cuyas funciones consisten en asistir, aconsejar y asesorar directamente a los empleados públicos de la alta dirección de la rama ejecutiva del orden nacional”.</w:t>
      </w:r>
    </w:p>
    <w:p w:rsidRPr="00211C07" w:rsidR="00F71230" w:rsidP="00F71230" w:rsidRDefault="00F71230" w14:paraId="5D158B84" w14:textId="77777777">
      <w:pPr>
        <w:pStyle w:val="Textoindependiente"/>
        <w:spacing w:before="1"/>
      </w:pPr>
    </w:p>
    <w:p w:rsidRPr="00211C07" w:rsidR="00F71230" w:rsidP="00F71230" w:rsidRDefault="00F71230" w14:paraId="5D158B85" w14:textId="77777777">
      <w:pPr>
        <w:pStyle w:val="Textoindependiente"/>
        <w:spacing w:before="1"/>
        <w:ind w:left="300"/>
      </w:pPr>
      <w:r w:rsidRPr="00211C07">
        <w:t>Decreto 785 de 2005: “Artículo 4. Naturaleza general de las funciones. A los empleos agrupados en los niveles jerárquicos de que trata el artículo anterior, les corresponden las siguientes funciones generales:</w:t>
      </w:r>
    </w:p>
    <w:p w:rsidRPr="00211C07" w:rsidR="00F71230" w:rsidP="00F71230" w:rsidRDefault="00F71230" w14:paraId="5D158B86" w14:textId="77777777">
      <w:pPr>
        <w:pStyle w:val="Textoindependiente"/>
        <w:spacing w:before="10"/>
        <w:rPr>
          <w:sz w:val="17"/>
        </w:rPr>
      </w:pPr>
    </w:p>
    <w:p w:rsidRPr="00211C07" w:rsidR="00F71230" w:rsidP="00F71230" w:rsidRDefault="00F71230" w14:paraId="5D158B87" w14:textId="77777777">
      <w:pPr>
        <w:pStyle w:val="Textoindependiente"/>
        <w:ind w:left="300"/>
      </w:pPr>
      <w:r w:rsidRPr="00211C07">
        <w:t>“4.1. Nivel Directivo. Comprende los empleos a los cuales corresponden funciones de Dirección General, de formulación de políticas institucionales y de adopción de planes, programas y proyectos.</w:t>
      </w:r>
    </w:p>
    <w:p w:rsidRPr="00211C07" w:rsidR="00F71230" w:rsidP="00F71230" w:rsidRDefault="00F71230" w14:paraId="5D158B88" w14:textId="77777777">
      <w:pPr>
        <w:pStyle w:val="Textoindependiente"/>
        <w:spacing w:before="2"/>
      </w:pPr>
    </w:p>
    <w:p w:rsidRPr="00211C07" w:rsidR="00F71230" w:rsidP="00F71230" w:rsidRDefault="00F71230" w14:paraId="5D158B89" w14:textId="77777777">
      <w:pPr>
        <w:pStyle w:val="Textoindependiente"/>
        <w:tabs>
          <w:tab w:val="left" w:pos="914"/>
        </w:tabs>
        <w:ind w:left="300" w:right="315"/>
      </w:pPr>
      <w:r w:rsidRPr="00211C07">
        <w:t>“4.2.</w:t>
      </w:r>
      <w:r w:rsidRPr="00211C07">
        <w:tab/>
      </w:r>
      <w:r w:rsidRPr="00211C07">
        <w:t>Nivel Asesor. Agrupa los empleos cuyas funciones consisten en asistir, aconsejar y asesorar directamente a los empleados públicos de la alta dirección</w:t>
      </w:r>
      <w:r w:rsidRPr="00211C07">
        <w:rPr>
          <w:spacing w:val="-15"/>
        </w:rPr>
        <w:t xml:space="preserve"> </w:t>
      </w:r>
      <w:r w:rsidRPr="00211C07">
        <w:t>territorial”.</w:t>
      </w:r>
    </w:p>
    <w:p w:rsidRPr="00211C07" w:rsidR="00F71230" w:rsidRDefault="00F71230" w14:paraId="5D158B8A" w14:textId="77777777">
      <w:pPr>
        <w:pStyle w:val="Textonotapie"/>
        <w:rPr>
          <w:lang w:val="es-CO"/>
        </w:rPr>
      </w:pPr>
    </w:p>
  </w:footnote>
  <w:footnote w:id="12">
    <w:p w:rsidRPr="00211C07" w:rsidR="00F71230" w:rsidP="00F71230" w:rsidRDefault="00F71230" w14:paraId="5D158B8B" w14:textId="77777777">
      <w:pPr>
        <w:pStyle w:val="Textonotapie"/>
        <w:ind w:firstLine="300"/>
      </w:pPr>
      <w:r w:rsidRPr="00211C07">
        <w:rPr>
          <w:rStyle w:val="Refdenotaalpie"/>
        </w:rPr>
        <w:footnoteRef/>
      </w:r>
      <w:r w:rsidRPr="00211C07">
        <w:t xml:space="preserve"> Corte Constitucional, Sentencia C-159 de 2004: “El artículo 211 de la Constitución Política, señala que la ley fijará las condiciones para que las autoridades administrativas puedan delegar en sus subalternos o en otras autoridades; es decir, al órgano legislativo, le corresponde dentro del ámbito de sus funciones y, en el marco que le fija la Constitución, señalar las condiciones a las cuales se sujetará ese acto de delegación, y, además, señalar de manera expresa, en quiénes podrá recaer, es decir, cuáles serán los funcionarios destinatarios de tal delegación”.</w:t>
      </w:r>
    </w:p>
    <w:p w:rsidRPr="00211C07" w:rsidR="00F71230" w:rsidRDefault="00F71230" w14:paraId="5D158B8C" w14:textId="77777777">
      <w:pPr>
        <w:pStyle w:val="Textonotapie"/>
        <w:rPr>
          <w:lang w:val="es-CO"/>
        </w:rPr>
      </w:pPr>
    </w:p>
  </w:footnote>
  <w:footnote w:id="13">
    <w:p w:rsidRPr="00211C07" w:rsidR="00F71230" w:rsidP="00F71230" w:rsidRDefault="00F71230" w14:paraId="5D158B8D" w14:textId="77777777">
      <w:pPr>
        <w:pStyle w:val="Textoindependiente"/>
        <w:spacing w:line="242" w:lineRule="auto"/>
        <w:ind w:left="300" w:right="303" w:firstLine="707"/>
        <w:jc w:val="both"/>
      </w:pPr>
      <w:r w:rsidRPr="00211C07">
        <w:rPr>
          <w:rStyle w:val="Refdenotaalpie"/>
        </w:rPr>
        <w:footnoteRef/>
      </w:r>
      <w:r w:rsidRPr="00211C07">
        <w:t xml:space="preserve"> Consejo de Estado, sección segunda, radicado interno 1338-2012, Consejero Ponente: William Hernández Gómez: “El acto de delegación se encuentra sometido a una solemnidad consistente en que la transferencia de funciones se haga por escrito, siendo este el primer requisito que debe satisfacer, aunado a la determinación de la autoridad </w:t>
      </w:r>
      <w:proofErr w:type="gramStart"/>
      <w:r w:rsidRPr="00211C07">
        <w:t>delegataria</w:t>
      </w:r>
      <w:proofErr w:type="gramEnd"/>
      <w:r w:rsidRPr="00211C07">
        <w:t xml:space="preserve"> así como de las atribuciones precisas que estén siendo delegadas, según lo dispone el artículo 10 de la Ley 489 de 1998”.</w:t>
      </w:r>
    </w:p>
    <w:p w:rsidRPr="00211C07" w:rsidR="00F71230" w:rsidRDefault="00F71230" w14:paraId="5D158B8E" w14:textId="77777777">
      <w:pPr>
        <w:pStyle w:val="Textonotapie"/>
        <w:rPr>
          <w:lang w:val="es-CO"/>
        </w:rPr>
      </w:pPr>
    </w:p>
  </w:footnote>
  <w:footnote w:id="14">
    <w:p w:rsidRPr="00211C07" w:rsidR="00F71230" w:rsidP="00F71230" w:rsidRDefault="00F71230" w14:paraId="5D158B8F" w14:textId="77777777">
      <w:pPr>
        <w:pStyle w:val="Textoindependiente"/>
        <w:spacing w:line="242" w:lineRule="auto"/>
        <w:ind w:left="300" w:right="309" w:firstLine="707"/>
        <w:jc w:val="both"/>
      </w:pPr>
      <w:r w:rsidRPr="00211C07">
        <w:rPr>
          <w:rStyle w:val="Refdenotaalpie"/>
        </w:rPr>
        <w:footnoteRef/>
      </w:r>
      <w:r w:rsidRPr="00211C07">
        <w:t xml:space="preserve"> Constitución Política: Artículo 303.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w:t>
      </w:r>
      <w:r w:rsidRPr="00211C07">
        <w:rPr>
          <w:spacing w:val="-9"/>
        </w:rPr>
        <w:t xml:space="preserve"> </w:t>
      </w:r>
      <w:r w:rsidRPr="00211C07">
        <w:t>siguiente.</w:t>
      </w:r>
    </w:p>
    <w:p w:rsidRPr="00211C07" w:rsidR="00F71230" w:rsidRDefault="00F71230" w14:paraId="5D158B90" w14:textId="77777777">
      <w:pPr>
        <w:pStyle w:val="Textonotapie"/>
        <w:rPr>
          <w:lang w:val="es-CO"/>
        </w:rPr>
      </w:pPr>
    </w:p>
  </w:footnote>
  <w:footnote w:id="15">
    <w:p w:rsidRPr="002B19C5" w:rsidR="00211C07" w:rsidP="00211C07" w:rsidRDefault="00211C07" w14:paraId="593C7F97" w14:textId="64D88E78">
      <w:pPr>
        <w:pStyle w:val="Textoindependiente"/>
        <w:spacing w:before="87" w:line="491" w:lineRule="auto"/>
        <w:ind w:left="300" w:right="3358" w:firstLine="707"/>
      </w:pPr>
      <w:r>
        <w:rPr>
          <w:rStyle w:val="Refdenotaalpie"/>
        </w:rPr>
        <w:footnoteRef/>
      </w:r>
      <w:r>
        <w:t xml:space="preserve"> </w:t>
      </w:r>
      <w:r w:rsidRPr="002B19C5">
        <w:t>Ley 80 de 1993: “Artículo 2. Para los solos efectos de esta ley: “1o. Se denominan entidades estatales:</w:t>
      </w:r>
    </w:p>
    <w:p w:rsidRPr="002B19C5" w:rsidR="00211C07" w:rsidP="00211C07" w:rsidRDefault="00211C07" w14:paraId="345E8AAA" w14:textId="77777777">
      <w:pPr>
        <w:pStyle w:val="Textoindependiente"/>
        <w:ind w:left="300" w:right="308"/>
        <w:jc w:val="both"/>
      </w:pPr>
      <w:r w:rsidRPr="002B19C5">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w:t>
      </w:r>
      <w:r>
        <w:t xml:space="preserve"> </w:t>
      </w:r>
      <w:r w:rsidRPr="002B19C5">
        <w:t>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211C07" w:rsidR="00211C07" w:rsidP="00211C07" w:rsidRDefault="00211C07" w14:paraId="2B735828" w14:textId="093E415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02A99" w:rsidRDefault="00350352" w14:paraId="5D158B41" w14:textId="77777777">
    <w:pPr>
      <w:pStyle w:val="Textoindependiente"/>
      <w:spacing w:line="14" w:lineRule="auto"/>
      <w:rPr>
        <w:sz w:val="20"/>
      </w:rPr>
    </w:pPr>
    <w:r>
      <w:rPr>
        <w:noProof/>
        <w:lang w:val="en-US"/>
      </w:rPr>
      <w:drawing>
        <wp:anchor distT="0" distB="0" distL="0" distR="0" simplePos="0" relativeHeight="487454720" behindDoc="1" locked="0" layoutInCell="1" allowOverlap="1" wp14:anchorId="5D158B43" wp14:editId="5D158B44">
          <wp:simplePos x="0" y="0"/>
          <wp:positionH relativeFrom="page">
            <wp:posOffset>5304473</wp:posOffset>
          </wp:positionH>
          <wp:positionV relativeFrom="page">
            <wp:posOffset>468247</wp:posOffset>
          </wp:positionV>
          <wp:extent cx="1346374" cy="521377"/>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3208F8B">
      <w:rPr/>
      <w:t/>
    </w:r>
    <w:r w:rsidR="2082592F">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0307E"/>
    <w:multiLevelType w:val="hybridMultilevel"/>
    <w:tmpl w:val="01766CE8"/>
    <w:lvl w:ilvl="0" w:tplc="7792A4B2">
      <w:start w:val="1"/>
      <w:numFmt w:val="decimal"/>
      <w:lvlText w:val="%1."/>
      <w:lvlJc w:val="left"/>
      <w:pPr>
        <w:ind w:left="660" w:hanging="360"/>
        <w:jc w:val="left"/>
      </w:pPr>
      <w:rPr>
        <w:rFonts w:hint="default" w:ascii="Arial" w:hAnsi="Arial" w:eastAsia="Arial" w:cs="Arial"/>
        <w:b/>
        <w:bCs/>
        <w:color w:val="0D62A8"/>
        <w:spacing w:val="-8"/>
        <w:w w:val="100"/>
        <w:sz w:val="22"/>
        <w:szCs w:val="22"/>
        <w:lang w:val="es-ES" w:eastAsia="en-US" w:bidi="ar-SA"/>
      </w:rPr>
    </w:lvl>
    <w:lvl w:ilvl="1" w:tplc="AE0A5748">
      <w:numFmt w:val="bullet"/>
      <w:lvlText w:val="•"/>
      <w:lvlJc w:val="left"/>
      <w:pPr>
        <w:ind w:left="1548" w:hanging="360"/>
      </w:pPr>
      <w:rPr>
        <w:rFonts w:hint="default"/>
        <w:lang w:val="es-ES" w:eastAsia="en-US" w:bidi="ar-SA"/>
      </w:rPr>
    </w:lvl>
    <w:lvl w:ilvl="2" w:tplc="C3A888F4">
      <w:numFmt w:val="bullet"/>
      <w:lvlText w:val="•"/>
      <w:lvlJc w:val="left"/>
      <w:pPr>
        <w:ind w:left="2436" w:hanging="360"/>
      </w:pPr>
      <w:rPr>
        <w:rFonts w:hint="default"/>
        <w:lang w:val="es-ES" w:eastAsia="en-US" w:bidi="ar-SA"/>
      </w:rPr>
    </w:lvl>
    <w:lvl w:ilvl="3" w:tplc="8C2CFC1C">
      <w:numFmt w:val="bullet"/>
      <w:lvlText w:val="•"/>
      <w:lvlJc w:val="left"/>
      <w:pPr>
        <w:ind w:left="3324" w:hanging="360"/>
      </w:pPr>
      <w:rPr>
        <w:rFonts w:hint="default"/>
        <w:lang w:val="es-ES" w:eastAsia="en-US" w:bidi="ar-SA"/>
      </w:rPr>
    </w:lvl>
    <w:lvl w:ilvl="4" w:tplc="8166AFA4">
      <w:numFmt w:val="bullet"/>
      <w:lvlText w:val="•"/>
      <w:lvlJc w:val="left"/>
      <w:pPr>
        <w:ind w:left="4212" w:hanging="360"/>
      </w:pPr>
      <w:rPr>
        <w:rFonts w:hint="default"/>
        <w:lang w:val="es-ES" w:eastAsia="en-US" w:bidi="ar-SA"/>
      </w:rPr>
    </w:lvl>
    <w:lvl w:ilvl="5" w:tplc="C4AEB9B6">
      <w:numFmt w:val="bullet"/>
      <w:lvlText w:val="•"/>
      <w:lvlJc w:val="left"/>
      <w:pPr>
        <w:ind w:left="5100" w:hanging="360"/>
      </w:pPr>
      <w:rPr>
        <w:rFonts w:hint="default"/>
        <w:lang w:val="es-ES" w:eastAsia="en-US" w:bidi="ar-SA"/>
      </w:rPr>
    </w:lvl>
    <w:lvl w:ilvl="6" w:tplc="F8848FF6">
      <w:numFmt w:val="bullet"/>
      <w:lvlText w:val="•"/>
      <w:lvlJc w:val="left"/>
      <w:pPr>
        <w:ind w:left="5988" w:hanging="360"/>
      </w:pPr>
      <w:rPr>
        <w:rFonts w:hint="default"/>
        <w:lang w:val="es-ES" w:eastAsia="en-US" w:bidi="ar-SA"/>
      </w:rPr>
    </w:lvl>
    <w:lvl w:ilvl="7" w:tplc="6B2273DA">
      <w:numFmt w:val="bullet"/>
      <w:lvlText w:val="•"/>
      <w:lvlJc w:val="left"/>
      <w:pPr>
        <w:ind w:left="6876" w:hanging="360"/>
      </w:pPr>
      <w:rPr>
        <w:rFonts w:hint="default"/>
        <w:lang w:val="es-ES" w:eastAsia="en-US" w:bidi="ar-SA"/>
      </w:rPr>
    </w:lvl>
    <w:lvl w:ilvl="8" w:tplc="FB1ADEB2">
      <w:numFmt w:val="bullet"/>
      <w:lvlText w:val="•"/>
      <w:lvlJc w:val="left"/>
      <w:pPr>
        <w:ind w:left="7764" w:hanging="360"/>
      </w:pPr>
      <w:rPr>
        <w:rFonts w:hint="default"/>
        <w:lang w:val="es-ES" w:eastAsia="en-US" w:bidi="ar-SA"/>
      </w:rPr>
    </w:lvl>
  </w:abstractNum>
  <w:abstractNum w:abstractNumId="1" w15:restartNumberingAfterBreak="0">
    <w:nsid w:val="75226347"/>
    <w:multiLevelType w:val="multilevel"/>
    <w:tmpl w:val="4582FC88"/>
    <w:lvl w:ilvl="0">
      <w:start w:val="6"/>
      <w:numFmt w:val="decimal"/>
      <w:lvlText w:val="%1"/>
      <w:lvlJc w:val="left"/>
      <w:pPr>
        <w:ind w:left="1008" w:hanging="408"/>
        <w:jc w:val="left"/>
      </w:pPr>
      <w:rPr>
        <w:rFonts w:hint="default"/>
        <w:lang w:val="es-ES" w:eastAsia="en-US" w:bidi="ar-SA"/>
      </w:rPr>
    </w:lvl>
    <w:lvl w:ilvl="1">
      <w:start w:val="4"/>
      <w:numFmt w:val="decimal"/>
      <w:lvlText w:val="%1.%2."/>
      <w:lvlJc w:val="left"/>
      <w:pPr>
        <w:ind w:left="1008" w:hanging="408"/>
        <w:jc w:val="left"/>
      </w:pPr>
      <w:rPr>
        <w:rFonts w:hint="default" w:ascii="Arial" w:hAnsi="Arial" w:eastAsia="Arial" w:cs="Arial"/>
        <w:color w:val="4E4D4D"/>
        <w:spacing w:val="-1"/>
        <w:w w:val="100"/>
        <w:sz w:val="21"/>
        <w:szCs w:val="21"/>
        <w:lang w:val="es-ES" w:eastAsia="en-US" w:bidi="ar-SA"/>
      </w:rPr>
    </w:lvl>
    <w:lvl w:ilvl="2">
      <w:numFmt w:val="bullet"/>
      <w:lvlText w:val="•"/>
      <w:lvlJc w:val="left"/>
      <w:pPr>
        <w:ind w:left="2708" w:hanging="408"/>
      </w:pPr>
      <w:rPr>
        <w:rFonts w:hint="default"/>
        <w:lang w:val="es-ES" w:eastAsia="en-US" w:bidi="ar-SA"/>
      </w:rPr>
    </w:lvl>
    <w:lvl w:ilvl="3">
      <w:numFmt w:val="bullet"/>
      <w:lvlText w:val="•"/>
      <w:lvlJc w:val="left"/>
      <w:pPr>
        <w:ind w:left="3562" w:hanging="408"/>
      </w:pPr>
      <w:rPr>
        <w:rFonts w:hint="default"/>
        <w:lang w:val="es-ES" w:eastAsia="en-US" w:bidi="ar-SA"/>
      </w:rPr>
    </w:lvl>
    <w:lvl w:ilvl="4">
      <w:numFmt w:val="bullet"/>
      <w:lvlText w:val="•"/>
      <w:lvlJc w:val="left"/>
      <w:pPr>
        <w:ind w:left="4416" w:hanging="408"/>
      </w:pPr>
      <w:rPr>
        <w:rFonts w:hint="default"/>
        <w:lang w:val="es-ES" w:eastAsia="en-US" w:bidi="ar-SA"/>
      </w:rPr>
    </w:lvl>
    <w:lvl w:ilvl="5">
      <w:numFmt w:val="bullet"/>
      <w:lvlText w:val="•"/>
      <w:lvlJc w:val="left"/>
      <w:pPr>
        <w:ind w:left="5270" w:hanging="408"/>
      </w:pPr>
      <w:rPr>
        <w:rFonts w:hint="default"/>
        <w:lang w:val="es-ES" w:eastAsia="en-US" w:bidi="ar-SA"/>
      </w:rPr>
    </w:lvl>
    <w:lvl w:ilvl="6">
      <w:numFmt w:val="bullet"/>
      <w:lvlText w:val="•"/>
      <w:lvlJc w:val="left"/>
      <w:pPr>
        <w:ind w:left="6124" w:hanging="408"/>
      </w:pPr>
      <w:rPr>
        <w:rFonts w:hint="default"/>
        <w:lang w:val="es-ES" w:eastAsia="en-US" w:bidi="ar-SA"/>
      </w:rPr>
    </w:lvl>
    <w:lvl w:ilvl="7">
      <w:numFmt w:val="bullet"/>
      <w:lvlText w:val="•"/>
      <w:lvlJc w:val="left"/>
      <w:pPr>
        <w:ind w:left="6978" w:hanging="408"/>
      </w:pPr>
      <w:rPr>
        <w:rFonts w:hint="default"/>
        <w:lang w:val="es-ES" w:eastAsia="en-US" w:bidi="ar-SA"/>
      </w:rPr>
    </w:lvl>
    <w:lvl w:ilvl="8">
      <w:numFmt w:val="bullet"/>
      <w:lvlText w:val="•"/>
      <w:lvlJc w:val="left"/>
      <w:pPr>
        <w:ind w:left="7832" w:hanging="408"/>
      </w:pPr>
      <w:rPr>
        <w:rFonts w:hint="default"/>
        <w:lang w:val="es-ES" w:eastAsia="en-US" w:bidi="ar-SA"/>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99"/>
    <w:rsid w:val="00125369"/>
    <w:rsid w:val="001F3E2D"/>
    <w:rsid w:val="002062E5"/>
    <w:rsid w:val="00211C07"/>
    <w:rsid w:val="0021586E"/>
    <w:rsid w:val="002B19C5"/>
    <w:rsid w:val="0032158F"/>
    <w:rsid w:val="00350352"/>
    <w:rsid w:val="00550C13"/>
    <w:rsid w:val="00681C4A"/>
    <w:rsid w:val="008B1F6D"/>
    <w:rsid w:val="00D02A99"/>
    <w:rsid w:val="00D3306C"/>
    <w:rsid w:val="00D6412A"/>
    <w:rsid w:val="00F71230"/>
    <w:rsid w:val="00F865F2"/>
    <w:rsid w:val="00FD2043"/>
    <w:rsid w:val="033004D4"/>
    <w:rsid w:val="0680AAD8"/>
    <w:rsid w:val="2082592F"/>
    <w:rsid w:val="21371553"/>
    <w:rsid w:val="22B7F6CF"/>
    <w:rsid w:val="23208F8B"/>
    <w:rsid w:val="2496E61B"/>
    <w:rsid w:val="34B7742F"/>
    <w:rsid w:val="36D7A7AC"/>
    <w:rsid w:val="5A367742"/>
    <w:rsid w:val="6CAA8B97"/>
    <w:rsid w:val="6F0EC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8ABD"/>
  <w15:docId w15:val="{FEF3FBB2-F541-44B4-B761-C3B9C2ABE8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paragraph" w:styleId="Ttulo2">
    <w:name w:val="heading 2"/>
    <w:basedOn w:val="Normal"/>
    <w:uiPriority w:val="1"/>
    <w:qFormat/>
    <w:pPr>
      <w:ind w:left="300" w:right="307"/>
      <w:jc w:val="both"/>
      <w:outlineLvl w:val="1"/>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30" w:lineRule="exact"/>
      <w:ind w:left="200"/>
    </w:pPr>
  </w:style>
  <w:style w:type="paragraph" w:styleId="Textonotapie">
    <w:name w:val="footnote text"/>
    <w:basedOn w:val="Normal"/>
    <w:link w:val="TextonotapieCar"/>
    <w:uiPriority w:val="99"/>
    <w:semiHidden/>
    <w:unhideWhenUsed/>
    <w:rsid w:val="00681C4A"/>
    <w:rPr>
      <w:sz w:val="20"/>
      <w:szCs w:val="20"/>
    </w:rPr>
  </w:style>
  <w:style w:type="character" w:styleId="TextonotapieCar" w:customStyle="1">
    <w:name w:val="Texto nota pie Car"/>
    <w:basedOn w:val="Fuentedeprrafopredeter"/>
    <w:link w:val="Textonotapie"/>
    <w:uiPriority w:val="99"/>
    <w:semiHidden/>
    <w:rsid w:val="00681C4A"/>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681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6d8506230d81429e"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D98C-0CA9-46E0-A150-FED4E0A006F3}">
  <ds:schemaRefs>
    <ds:schemaRef ds:uri="http://schemas.microsoft.com/sharepoint/v3/contenttype/forms"/>
  </ds:schemaRefs>
</ds:datastoreItem>
</file>

<file path=customXml/itemProps2.xml><?xml version="1.0" encoding="utf-8"?>
<ds:datastoreItem xmlns:ds="http://schemas.openxmlformats.org/officeDocument/2006/customXml" ds:itemID="{1E22DF20-69ED-447F-B051-33C6B178A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3324F-6094-4E57-B43B-E866D84F134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0AAB26B-E2E8-47E2-AB7C-B4337721AC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8</revision>
  <dcterms:created xsi:type="dcterms:W3CDTF">2020-04-02T13:05:00.0000000Z</dcterms:created>
  <dcterms:modified xsi:type="dcterms:W3CDTF">2020-07-29T13:17:55.0452494Z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