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E535C3" w14:textId="77777777" w:rsidR="00B30F52" w:rsidRDefault="00B30F52" w:rsidP="00B30F52">
      <w:pPr>
        <w:rPr>
          <w:rFonts w:ascii="Arial" w:hAnsi="Arial" w:cs="Arial"/>
          <w:b/>
          <w:color w:val="000000" w:themeColor="text1"/>
          <w:lang w:eastAsia="es-ES"/>
        </w:rPr>
      </w:pPr>
    </w:p>
    <w:p w14:paraId="194C63DE" w14:textId="77777777" w:rsidR="00B30F52" w:rsidRDefault="00B30F52" w:rsidP="00B30F52">
      <w:pPr>
        <w:rPr>
          <w:rFonts w:ascii="Arial" w:hAnsi="Arial" w:cs="Arial"/>
          <w:b/>
          <w:color w:val="000000" w:themeColor="text1"/>
          <w:lang w:eastAsia="es-ES"/>
        </w:rPr>
      </w:pPr>
    </w:p>
    <w:p w14:paraId="229FEFF3" w14:textId="77777777" w:rsidR="00B30F52" w:rsidRDefault="00B30F52" w:rsidP="00B30F52">
      <w:pPr>
        <w:rPr>
          <w:rFonts w:ascii="Arial" w:hAnsi="Arial" w:cs="Arial"/>
          <w:b/>
          <w:color w:val="000000" w:themeColor="text1"/>
          <w:lang w:eastAsia="es-ES"/>
        </w:rPr>
      </w:pPr>
      <w:r>
        <w:rPr>
          <w:rFonts w:ascii="Arial" w:hAnsi="Arial" w:cs="Arial"/>
          <w:b/>
          <w:color w:val="000000" w:themeColor="text1"/>
          <w:lang w:eastAsia="es-ES"/>
        </w:rPr>
        <w:t xml:space="preserve">CAPACIDAD RESIDUAL – Definición </w:t>
      </w:r>
    </w:p>
    <w:p w14:paraId="6CC50EDF" w14:textId="77777777" w:rsidR="00B30F52" w:rsidRPr="00BF2006" w:rsidRDefault="00B30F52" w:rsidP="00B30F52">
      <w:pPr>
        <w:rPr>
          <w:rFonts w:ascii="Arial" w:hAnsi="Arial" w:cs="Arial"/>
          <w:b/>
          <w:color w:val="000000" w:themeColor="text1"/>
          <w:sz w:val="20"/>
          <w:szCs w:val="20"/>
          <w:lang w:eastAsia="es-ES"/>
        </w:rPr>
      </w:pPr>
    </w:p>
    <w:p w14:paraId="5ED879CB" w14:textId="77777777" w:rsidR="00B30F52" w:rsidRPr="00BF2006" w:rsidRDefault="00B30F52" w:rsidP="00B30F52">
      <w:pPr>
        <w:jc w:val="both"/>
        <w:rPr>
          <w:rFonts w:ascii="Arial" w:hAnsi="Arial" w:cs="Arial"/>
          <w:color w:val="000000" w:themeColor="text1"/>
          <w:sz w:val="20"/>
          <w:szCs w:val="20"/>
        </w:rPr>
      </w:pPr>
      <w:r w:rsidRPr="00BF2006">
        <w:rPr>
          <w:rFonts w:ascii="Arial" w:hAnsi="Arial" w:cs="Arial"/>
          <w:color w:val="000000" w:themeColor="text1"/>
          <w:sz w:val="20"/>
          <w:szCs w:val="20"/>
        </w:rPr>
        <w:t>De acuerdo con lo establecido en el artículo 2.2.1.1.1.3.1 del Decreto 1082 de 2015, la capacidad residual es la aptitud de los oferentes para cumplir de manera oportuna y cabal el objeto de un contrato de obra, sin que los demás compromisos contractuales que han adquirido afecten su habilidad de cumplir el objeto del contrato que está en proceso de selección</w:t>
      </w:r>
      <w:r w:rsidRPr="00BF2006">
        <w:rPr>
          <w:rFonts w:ascii="Arial" w:hAnsi="Arial" w:cs="Arial"/>
          <w:color w:val="000000" w:themeColor="text1"/>
          <w:sz w:val="20"/>
          <w:szCs w:val="20"/>
          <w:vertAlign w:val="superscript"/>
        </w:rPr>
        <w:footnoteReference w:id="1"/>
      </w:r>
      <w:r w:rsidRPr="00BF2006">
        <w:rPr>
          <w:rFonts w:ascii="Arial" w:hAnsi="Arial" w:cs="Arial"/>
          <w:color w:val="000000" w:themeColor="text1"/>
          <w:sz w:val="20"/>
          <w:szCs w:val="20"/>
        </w:rPr>
        <w:t>. En este orden de ideas, el Consejo de Estado ha definido la capacidad residual como «[…] la diferencia que existe entre el potencial de contratación que se tiene y los compromisos que haya adquirido y que se encuentren en ejecución, para la fecha de presentación de la oferta»</w:t>
      </w:r>
    </w:p>
    <w:p w14:paraId="31C55975" w14:textId="77777777" w:rsidR="00B30F52" w:rsidRPr="00BF2006" w:rsidRDefault="00B30F52" w:rsidP="00B30F52">
      <w:pPr>
        <w:jc w:val="both"/>
        <w:rPr>
          <w:rFonts w:ascii="Arial" w:hAnsi="Arial" w:cs="Arial"/>
          <w:color w:val="000000" w:themeColor="text1"/>
          <w:sz w:val="20"/>
          <w:szCs w:val="20"/>
        </w:rPr>
      </w:pPr>
    </w:p>
    <w:p w14:paraId="7B05A8E1" w14:textId="77777777" w:rsidR="00B30F52" w:rsidRPr="00BF2006" w:rsidRDefault="00B30F52" w:rsidP="00B30F52">
      <w:pPr>
        <w:jc w:val="both"/>
        <w:rPr>
          <w:rFonts w:ascii="Arial" w:hAnsi="Arial" w:cs="Arial"/>
          <w:b/>
          <w:bCs/>
          <w:color w:val="000000" w:themeColor="text1"/>
          <w:sz w:val="22"/>
          <w:szCs w:val="22"/>
        </w:rPr>
      </w:pPr>
      <w:r w:rsidRPr="00BF2006">
        <w:rPr>
          <w:rFonts w:ascii="Arial" w:hAnsi="Arial" w:cs="Arial"/>
          <w:b/>
          <w:bCs/>
          <w:color w:val="000000" w:themeColor="text1"/>
          <w:sz w:val="22"/>
          <w:szCs w:val="22"/>
        </w:rPr>
        <w:t xml:space="preserve">CAPACIDAD RESIDUAL – Estado de resultado </w:t>
      </w:r>
    </w:p>
    <w:p w14:paraId="232CB59A" w14:textId="77777777" w:rsidR="00B30F52" w:rsidRPr="00BF2006" w:rsidRDefault="00B30F52" w:rsidP="00B30F52">
      <w:pPr>
        <w:jc w:val="both"/>
        <w:rPr>
          <w:rFonts w:ascii="Arial" w:hAnsi="Arial" w:cs="Arial"/>
          <w:b/>
          <w:bCs/>
          <w:color w:val="000000" w:themeColor="text1"/>
          <w:sz w:val="20"/>
          <w:szCs w:val="20"/>
        </w:rPr>
      </w:pPr>
    </w:p>
    <w:p w14:paraId="053FA426" w14:textId="77777777" w:rsidR="00B30F52" w:rsidRPr="00BF2006" w:rsidRDefault="00B30F52" w:rsidP="00B30F52">
      <w:pPr>
        <w:pStyle w:val="Ttulo2"/>
        <w:spacing w:after="120"/>
        <w:ind w:left="0"/>
        <w:rPr>
          <w:sz w:val="20"/>
          <w:szCs w:val="20"/>
        </w:rPr>
      </w:pPr>
      <w:r w:rsidRPr="00BF2006">
        <w:rPr>
          <w:sz w:val="20"/>
          <w:szCs w:val="20"/>
        </w:rPr>
        <w:t xml:space="preserve">el texto definitivo que se encuentra vigente es el contenido en el artículo 2.2.1.1.1.6.4. del Decreto 1082 de 2015, que recoge el desarrollo legislativo de Capacidad Residual, en especial los componentes establecidos por la Ley 1682 de 2013. </w:t>
      </w:r>
    </w:p>
    <w:p w14:paraId="7588F90D" w14:textId="77777777" w:rsidR="00B30F52" w:rsidRPr="00BF2006" w:rsidRDefault="00B30F52" w:rsidP="00B30F52">
      <w:pPr>
        <w:pStyle w:val="Ttulo2"/>
        <w:ind w:left="0"/>
        <w:rPr>
          <w:sz w:val="20"/>
          <w:szCs w:val="20"/>
        </w:rPr>
      </w:pPr>
      <w:r w:rsidRPr="00BF2006">
        <w:rPr>
          <w:sz w:val="20"/>
          <w:szCs w:val="20"/>
        </w:rPr>
        <w:t>Respecto del objeto del presente concepto es relevante lo contenido en el numeral 3 del citado artículo, el cual establece el estado de resultados como uno de los documentos mediante los cuales se debe acreditar la capacidad residual. Este numeral, a su vez establece las reglas aplicables para considerar que el estado de resultados es válido dentro de un proceso contractual:</w:t>
      </w:r>
    </w:p>
    <w:p w14:paraId="22C77138" w14:textId="77777777" w:rsidR="00B30F52" w:rsidRPr="00BF2006" w:rsidRDefault="00B30F52" w:rsidP="00B30F52">
      <w:pPr>
        <w:pStyle w:val="Ttulo2"/>
        <w:ind w:left="0" w:firstLine="408"/>
        <w:rPr>
          <w:sz w:val="20"/>
          <w:szCs w:val="20"/>
        </w:rPr>
      </w:pPr>
    </w:p>
    <w:p w14:paraId="584F30CF" w14:textId="77777777" w:rsidR="00B30F52" w:rsidRPr="00BF2006" w:rsidRDefault="00B30F52" w:rsidP="00B30F52">
      <w:pPr>
        <w:pStyle w:val="Textoindependiente"/>
        <w:jc w:val="both"/>
      </w:pPr>
      <w:r w:rsidRPr="00BF2006">
        <w:rPr>
          <w:rFonts w:eastAsia="Calibri"/>
          <w:color w:val="000000" w:themeColor="text1"/>
        </w:rPr>
        <w:t xml:space="preserve">[…] </w:t>
      </w:r>
      <w:r w:rsidRPr="00BF2006">
        <w:rPr>
          <w:color w:val="000000"/>
          <w:bdr w:val="none" w:sz="0" w:space="0" w:color="auto" w:frame="1"/>
        </w:rPr>
        <w:t>3. Balance general auditado del año inmediatamente anterior y estado de resultados auditado del año en que haya obtenido el mayor ingreso operacional en los últimos cinco (5) años. Los estados financieros deben estar suscritos por el auditor o contador si no está obligado a tener revisor fiscal. Si se trata de proponentes obligados a tener RUP, las Entidades Estatales solo deben solicitar como documento adicional el estado de resultados del año en que el proponente obtuvo el mayor ingreso operacional en los últimos cinco (5) años […</w:t>
      </w:r>
      <w:r w:rsidRPr="00BF2006">
        <w:rPr>
          <w:rFonts w:eastAsia="Calibri"/>
          <w:color w:val="000000" w:themeColor="text1"/>
        </w:rPr>
        <w:t>]</w:t>
      </w:r>
      <w:r w:rsidRPr="00BF2006">
        <w:rPr>
          <w:color w:val="000000"/>
          <w:bdr w:val="none" w:sz="0" w:space="0" w:color="auto" w:frame="1"/>
        </w:rPr>
        <w:t> </w:t>
      </w:r>
    </w:p>
    <w:p w14:paraId="71104944" w14:textId="77777777" w:rsidR="00B30F52" w:rsidRPr="00BF2006" w:rsidRDefault="00B30F52" w:rsidP="00B30F52">
      <w:pPr>
        <w:pStyle w:val="Ttulo2"/>
        <w:ind w:left="0"/>
        <w:rPr>
          <w:color w:val="000000"/>
          <w:sz w:val="20"/>
          <w:szCs w:val="20"/>
          <w:bdr w:val="none" w:sz="0" w:space="0" w:color="auto" w:frame="1"/>
        </w:rPr>
      </w:pPr>
    </w:p>
    <w:p w14:paraId="18D7AE44" w14:textId="77777777" w:rsidR="00B30F52" w:rsidRPr="00BF2006" w:rsidRDefault="00B30F52" w:rsidP="00B30F52">
      <w:pPr>
        <w:pStyle w:val="Ttulo2"/>
        <w:ind w:left="0"/>
        <w:rPr>
          <w:b/>
          <w:bCs/>
          <w:color w:val="000000"/>
          <w:bdr w:val="none" w:sz="0" w:space="0" w:color="auto" w:frame="1"/>
        </w:rPr>
      </w:pPr>
      <w:r w:rsidRPr="00BF2006">
        <w:rPr>
          <w:b/>
          <w:bCs/>
          <w:color w:val="000000"/>
          <w:bdr w:val="none" w:sz="0" w:space="0" w:color="auto" w:frame="1"/>
        </w:rPr>
        <w:t>ESTADO DE RESULTADO – Obligación de firma</w:t>
      </w:r>
    </w:p>
    <w:p w14:paraId="25452439" w14:textId="77777777" w:rsidR="00B30F52" w:rsidRPr="00BF2006" w:rsidRDefault="00B30F52" w:rsidP="00B30F52">
      <w:pPr>
        <w:pStyle w:val="Ttulo2"/>
        <w:ind w:left="0"/>
        <w:rPr>
          <w:b/>
          <w:bCs/>
          <w:color w:val="000000"/>
          <w:sz w:val="20"/>
          <w:szCs w:val="20"/>
          <w:bdr w:val="none" w:sz="0" w:space="0" w:color="auto" w:frame="1"/>
        </w:rPr>
      </w:pPr>
    </w:p>
    <w:p w14:paraId="688B570D" w14:textId="77777777" w:rsidR="00B30F52" w:rsidRPr="00BF2006" w:rsidRDefault="00B30F52" w:rsidP="00B30F52">
      <w:pPr>
        <w:spacing w:after="120"/>
        <w:jc w:val="both"/>
        <w:rPr>
          <w:rFonts w:ascii="Arial" w:hAnsi="Arial" w:cs="Arial"/>
          <w:color w:val="000000"/>
          <w:sz w:val="20"/>
          <w:szCs w:val="20"/>
          <w:bdr w:val="none" w:sz="0" w:space="0" w:color="auto" w:frame="1"/>
        </w:rPr>
      </w:pPr>
      <w:r w:rsidRPr="00BF2006">
        <w:rPr>
          <w:rFonts w:ascii="Arial" w:hAnsi="Arial" w:cs="Arial"/>
          <w:color w:val="000000"/>
          <w:sz w:val="20"/>
          <w:szCs w:val="20"/>
          <w:bdr w:val="none" w:sz="0" w:space="0" w:color="auto" w:frame="1"/>
        </w:rPr>
        <w:t>Tal como se desprende de lo explicado anteriormente, uno de los elementos exigidos para demostrar la capacidad residual, de conformidad con el numeral 3 del artículo </w:t>
      </w:r>
      <w:r w:rsidRPr="00BF2006">
        <w:rPr>
          <w:rFonts w:ascii="Arial" w:hAnsi="Arial" w:cs="Arial"/>
          <w:color w:val="000000"/>
          <w:sz w:val="20"/>
          <w:szCs w:val="20"/>
          <w:bdr w:val="none" w:sz="0" w:space="0" w:color="auto" w:frame="1"/>
          <w:lang w:val="es-MX"/>
        </w:rPr>
        <w:t xml:space="preserve">2.2.1.1.1.6.4. del Decreto 1082 de 2015, es el «[…] estado de resultado auditado del año en que haya obtenido el mayor ingreso operacional en los últimos cinco (5) años». La misma norma indica, de manera expresa, que los estados financieros «[…] </w:t>
      </w:r>
      <w:r w:rsidRPr="00BF2006">
        <w:rPr>
          <w:rFonts w:ascii="Arial" w:hAnsi="Arial" w:cs="Arial"/>
          <w:color w:val="000000"/>
          <w:sz w:val="20"/>
          <w:szCs w:val="20"/>
          <w:bdr w:val="none" w:sz="0" w:space="0" w:color="auto" w:frame="1"/>
        </w:rPr>
        <w:t>deben estar suscritos por el interesado o su representante legal y el revisor fiscal si está obligado a tenerlo, o el auditor o contador si no está obligado a tener revisor fiscal». </w:t>
      </w:r>
    </w:p>
    <w:p w14:paraId="44977E57" w14:textId="77777777" w:rsidR="00B30F52" w:rsidRPr="00BF2006" w:rsidRDefault="00B30F52" w:rsidP="00B30F52">
      <w:pPr>
        <w:spacing w:after="120"/>
        <w:jc w:val="both"/>
        <w:rPr>
          <w:rFonts w:ascii="Arial" w:hAnsi="Arial" w:cs="Arial"/>
          <w:color w:val="000000"/>
          <w:sz w:val="20"/>
          <w:szCs w:val="20"/>
          <w:bdr w:val="none" w:sz="0" w:space="0" w:color="auto" w:frame="1"/>
          <w:lang w:val="es-MX"/>
        </w:rPr>
      </w:pPr>
      <w:r w:rsidRPr="00BF2006">
        <w:rPr>
          <w:rFonts w:ascii="Arial" w:hAnsi="Arial" w:cs="Arial"/>
          <w:color w:val="000000"/>
          <w:sz w:val="20"/>
          <w:szCs w:val="20"/>
          <w:bdr w:val="none" w:sz="0" w:space="0" w:color="auto" w:frame="1"/>
          <w:lang w:val="es-MX"/>
        </w:rPr>
        <w:lastRenderedPageBreak/>
        <w:t xml:space="preserve">Lo anterior es coincidente con lo previsto en la </w:t>
      </w:r>
      <w:r w:rsidRPr="00BF2006">
        <w:rPr>
          <w:rFonts w:ascii="Arial" w:hAnsi="Arial" w:cs="Arial"/>
          <w:i/>
          <w:iCs/>
          <w:color w:val="000000"/>
          <w:sz w:val="20"/>
          <w:szCs w:val="20"/>
          <w:bdr w:val="none" w:sz="0" w:space="0" w:color="auto" w:frame="1"/>
          <w:lang w:val="es-MX"/>
        </w:rPr>
        <w:t>Guía para Determinar y Verificar la Capacidad Residual del Proponente en los Procesos de Contratación de Obra Pública</w:t>
      </w:r>
      <w:r w:rsidRPr="00BF2006">
        <w:rPr>
          <w:rFonts w:ascii="Arial" w:hAnsi="Arial" w:cs="Arial"/>
          <w:color w:val="000000"/>
          <w:sz w:val="20"/>
          <w:szCs w:val="20"/>
          <w:bdr w:val="none" w:sz="0" w:space="0" w:color="auto" w:frame="1"/>
          <w:lang w:val="es-MX"/>
        </w:rPr>
        <w:t xml:space="preserve">, expedida por esta Agencia, la cual indica que para calcular la capacidad residual del proponente, se debe presentar, entre otra información: «[…] El estado de resultados auditado que contiene el mejor ingreso operacional de los últimos cinco (5) años y el balance general auditado del último año, suscrito por el interesado o su representante legal y el revisor fiscal si está obligado a tenerlo, o el auditor o contador si no está obligado a tener revisor fiscal».  </w:t>
      </w:r>
    </w:p>
    <w:p w14:paraId="02D6A9AC" w14:textId="77777777" w:rsidR="00B30F52" w:rsidRPr="007230A2" w:rsidRDefault="00B30F52" w:rsidP="00B30F52">
      <w:pPr>
        <w:spacing w:after="120"/>
        <w:jc w:val="both"/>
        <w:rPr>
          <w:rFonts w:ascii="Arial" w:hAnsi="Arial" w:cs="Arial"/>
          <w:color w:val="000000" w:themeColor="text1"/>
          <w:sz w:val="22"/>
          <w:szCs w:val="22"/>
        </w:rPr>
      </w:pPr>
    </w:p>
    <w:p w14:paraId="0037EBB4" w14:textId="77777777" w:rsidR="00B30F52" w:rsidRPr="009D78D6" w:rsidRDefault="00B30F52" w:rsidP="00B30F52">
      <w:pPr>
        <w:rPr>
          <w:rFonts w:ascii="Arial" w:hAnsi="Arial" w:cs="Arial"/>
          <w:b/>
          <w:color w:val="000000" w:themeColor="text1"/>
          <w:lang w:eastAsia="es-ES"/>
        </w:rPr>
      </w:pPr>
    </w:p>
    <w:p w14:paraId="7C59FF0D" w14:textId="77777777" w:rsidR="00B30F52" w:rsidRDefault="00B30F52" w:rsidP="00B30F52">
      <w:pPr>
        <w:rPr>
          <w:rFonts w:ascii="Arial" w:hAnsi="Arial" w:cs="Arial"/>
          <w:color w:val="000000" w:themeColor="text1"/>
          <w:sz w:val="22"/>
        </w:rPr>
      </w:pPr>
    </w:p>
    <w:p w14:paraId="239AA26F" w14:textId="77777777" w:rsidR="00B30F52" w:rsidRDefault="00B30F52" w:rsidP="00B30F52">
      <w:pPr>
        <w:rPr>
          <w:rFonts w:ascii="Arial" w:hAnsi="Arial" w:cs="Arial"/>
          <w:color w:val="000000" w:themeColor="text1"/>
          <w:sz w:val="22"/>
        </w:rPr>
      </w:pPr>
    </w:p>
    <w:p w14:paraId="7E564A9F" w14:textId="77777777" w:rsidR="00B30F52" w:rsidRDefault="00B30F52" w:rsidP="00B30F52">
      <w:pPr>
        <w:rPr>
          <w:rFonts w:ascii="Arial" w:hAnsi="Arial" w:cs="Arial"/>
          <w:color w:val="000000" w:themeColor="text1"/>
          <w:sz w:val="22"/>
        </w:rPr>
      </w:pPr>
    </w:p>
    <w:p w14:paraId="4F79AED8" w14:textId="77777777" w:rsidR="00B30F52" w:rsidRDefault="00B30F52" w:rsidP="00B30F52">
      <w:pPr>
        <w:rPr>
          <w:rFonts w:ascii="Arial" w:hAnsi="Arial" w:cs="Arial"/>
          <w:color w:val="000000" w:themeColor="text1"/>
          <w:sz w:val="22"/>
        </w:rPr>
      </w:pPr>
    </w:p>
    <w:p w14:paraId="0A3582B1" w14:textId="77777777" w:rsidR="00B30F52" w:rsidRDefault="00B30F52" w:rsidP="00B30F52">
      <w:pPr>
        <w:rPr>
          <w:rFonts w:ascii="Arial" w:hAnsi="Arial" w:cs="Arial"/>
          <w:color w:val="000000" w:themeColor="text1"/>
          <w:sz w:val="22"/>
        </w:rPr>
      </w:pPr>
    </w:p>
    <w:p w14:paraId="41E37B32" w14:textId="77777777" w:rsidR="00B30F52" w:rsidRDefault="00B30F52" w:rsidP="00B30F52">
      <w:pPr>
        <w:rPr>
          <w:rFonts w:ascii="Arial" w:hAnsi="Arial" w:cs="Arial"/>
          <w:color w:val="000000" w:themeColor="text1"/>
          <w:sz w:val="22"/>
        </w:rPr>
      </w:pPr>
    </w:p>
    <w:p w14:paraId="4EF9FE29" w14:textId="77777777" w:rsidR="00B30F52" w:rsidRDefault="00B30F52" w:rsidP="00B30F52">
      <w:pPr>
        <w:rPr>
          <w:rFonts w:ascii="Arial" w:hAnsi="Arial" w:cs="Arial"/>
          <w:color w:val="000000" w:themeColor="text1"/>
          <w:sz w:val="22"/>
        </w:rPr>
      </w:pPr>
    </w:p>
    <w:p w14:paraId="6798524B" w14:textId="77777777" w:rsidR="00B30F52" w:rsidRDefault="00B30F52" w:rsidP="00B30F52">
      <w:pPr>
        <w:rPr>
          <w:rFonts w:ascii="Arial" w:hAnsi="Arial" w:cs="Arial"/>
          <w:color w:val="000000" w:themeColor="text1"/>
          <w:sz w:val="22"/>
        </w:rPr>
      </w:pPr>
    </w:p>
    <w:p w14:paraId="5999FA8F" w14:textId="77777777" w:rsidR="00B30F52" w:rsidRDefault="00B30F52" w:rsidP="00B30F52">
      <w:pPr>
        <w:rPr>
          <w:rFonts w:ascii="Arial" w:hAnsi="Arial" w:cs="Arial"/>
          <w:color w:val="000000" w:themeColor="text1"/>
          <w:sz w:val="22"/>
        </w:rPr>
      </w:pPr>
    </w:p>
    <w:p w14:paraId="032E2EB3" w14:textId="77777777" w:rsidR="00B30F52" w:rsidRDefault="00B30F52" w:rsidP="00B30F52">
      <w:pPr>
        <w:rPr>
          <w:rFonts w:ascii="Arial" w:hAnsi="Arial" w:cs="Arial"/>
          <w:color w:val="000000" w:themeColor="text1"/>
          <w:sz w:val="22"/>
        </w:rPr>
      </w:pPr>
    </w:p>
    <w:p w14:paraId="1DC227FA" w14:textId="77777777" w:rsidR="00B30F52" w:rsidRDefault="00B30F52" w:rsidP="00B30F52">
      <w:pPr>
        <w:rPr>
          <w:rFonts w:ascii="Arial" w:hAnsi="Arial" w:cs="Arial"/>
          <w:color w:val="000000" w:themeColor="text1"/>
          <w:sz w:val="22"/>
        </w:rPr>
      </w:pPr>
    </w:p>
    <w:p w14:paraId="3C8455F9" w14:textId="77777777" w:rsidR="00B30F52" w:rsidRDefault="00B30F52" w:rsidP="00B30F52">
      <w:pPr>
        <w:rPr>
          <w:rFonts w:ascii="Arial" w:hAnsi="Arial" w:cs="Arial"/>
          <w:color w:val="000000" w:themeColor="text1"/>
          <w:sz w:val="22"/>
        </w:rPr>
      </w:pPr>
    </w:p>
    <w:p w14:paraId="3BE30C1F" w14:textId="77777777" w:rsidR="00B30F52" w:rsidRDefault="00B30F52" w:rsidP="00B30F52">
      <w:pPr>
        <w:rPr>
          <w:rFonts w:ascii="Arial" w:hAnsi="Arial" w:cs="Arial"/>
          <w:color w:val="000000" w:themeColor="text1"/>
          <w:sz w:val="22"/>
        </w:rPr>
      </w:pPr>
    </w:p>
    <w:p w14:paraId="1054D2DD" w14:textId="77777777" w:rsidR="00B30F52" w:rsidRDefault="00B30F52" w:rsidP="00B30F52">
      <w:pPr>
        <w:rPr>
          <w:rFonts w:ascii="Arial" w:hAnsi="Arial" w:cs="Arial"/>
          <w:color w:val="000000" w:themeColor="text1"/>
          <w:sz w:val="22"/>
        </w:rPr>
      </w:pPr>
    </w:p>
    <w:p w14:paraId="212A1458" w14:textId="77777777" w:rsidR="00B30F52" w:rsidRDefault="00B30F52" w:rsidP="00B30F52">
      <w:pPr>
        <w:rPr>
          <w:rFonts w:ascii="Arial" w:hAnsi="Arial" w:cs="Arial"/>
          <w:color w:val="000000" w:themeColor="text1"/>
          <w:sz w:val="22"/>
        </w:rPr>
      </w:pPr>
    </w:p>
    <w:p w14:paraId="665B4650" w14:textId="77777777" w:rsidR="00B30F52" w:rsidRDefault="00B30F52" w:rsidP="00B30F52">
      <w:pPr>
        <w:rPr>
          <w:rFonts w:ascii="Arial" w:hAnsi="Arial" w:cs="Arial"/>
          <w:color w:val="000000" w:themeColor="text1"/>
          <w:sz w:val="22"/>
        </w:rPr>
      </w:pPr>
    </w:p>
    <w:p w14:paraId="56A55CCD" w14:textId="77777777" w:rsidR="00B30F52" w:rsidRDefault="00B30F52" w:rsidP="00B30F52">
      <w:pPr>
        <w:rPr>
          <w:rFonts w:ascii="Arial" w:hAnsi="Arial" w:cs="Arial"/>
          <w:color w:val="000000" w:themeColor="text1"/>
          <w:sz w:val="22"/>
        </w:rPr>
      </w:pPr>
    </w:p>
    <w:p w14:paraId="20E61A56" w14:textId="77777777" w:rsidR="00B30F52" w:rsidRDefault="00B30F52" w:rsidP="00B30F52">
      <w:pPr>
        <w:rPr>
          <w:rFonts w:ascii="Arial" w:hAnsi="Arial" w:cs="Arial"/>
          <w:color w:val="000000" w:themeColor="text1"/>
          <w:sz w:val="22"/>
        </w:rPr>
      </w:pPr>
    </w:p>
    <w:p w14:paraId="368D245E" w14:textId="77777777" w:rsidR="00B30F52" w:rsidRDefault="00B30F52" w:rsidP="00B30F52">
      <w:pPr>
        <w:rPr>
          <w:rFonts w:ascii="Arial" w:hAnsi="Arial" w:cs="Arial"/>
          <w:color w:val="000000" w:themeColor="text1"/>
          <w:sz w:val="22"/>
        </w:rPr>
      </w:pPr>
    </w:p>
    <w:p w14:paraId="5FB8FCCB" w14:textId="77777777" w:rsidR="00B30F52" w:rsidRDefault="00B30F52" w:rsidP="00B30F52">
      <w:pPr>
        <w:rPr>
          <w:rFonts w:ascii="Arial" w:hAnsi="Arial" w:cs="Arial"/>
          <w:color w:val="000000" w:themeColor="text1"/>
          <w:sz w:val="22"/>
        </w:rPr>
      </w:pPr>
    </w:p>
    <w:p w14:paraId="56C6DEFF" w14:textId="77777777" w:rsidR="00B30F52" w:rsidRDefault="00B30F52" w:rsidP="00B30F52">
      <w:pPr>
        <w:rPr>
          <w:rFonts w:ascii="Arial" w:hAnsi="Arial" w:cs="Arial"/>
          <w:color w:val="000000" w:themeColor="text1"/>
          <w:sz w:val="22"/>
        </w:rPr>
      </w:pPr>
    </w:p>
    <w:p w14:paraId="2665C204" w14:textId="77777777" w:rsidR="00B30F52" w:rsidRDefault="00B30F52" w:rsidP="00B30F52">
      <w:pPr>
        <w:rPr>
          <w:rFonts w:ascii="Arial" w:hAnsi="Arial" w:cs="Arial"/>
          <w:color w:val="000000" w:themeColor="text1"/>
          <w:sz w:val="22"/>
        </w:rPr>
      </w:pPr>
    </w:p>
    <w:p w14:paraId="28D0E414" w14:textId="77777777" w:rsidR="00B30F52" w:rsidRDefault="00B30F52" w:rsidP="00B30F52">
      <w:pPr>
        <w:rPr>
          <w:rFonts w:ascii="Arial" w:hAnsi="Arial" w:cs="Arial"/>
          <w:color w:val="000000" w:themeColor="text1"/>
          <w:sz w:val="22"/>
        </w:rPr>
      </w:pPr>
    </w:p>
    <w:p w14:paraId="70CA97D3" w14:textId="77777777" w:rsidR="00B30F52" w:rsidRDefault="00B30F52" w:rsidP="00B30F52">
      <w:pPr>
        <w:rPr>
          <w:rFonts w:ascii="Arial" w:hAnsi="Arial" w:cs="Arial"/>
          <w:color w:val="000000" w:themeColor="text1"/>
          <w:sz w:val="22"/>
        </w:rPr>
      </w:pPr>
    </w:p>
    <w:p w14:paraId="272F5B36" w14:textId="77777777" w:rsidR="00B30F52" w:rsidRDefault="00B30F52" w:rsidP="00B30F52">
      <w:pPr>
        <w:rPr>
          <w:rFonts w:ascii="Arial" w:hAnsi="Arial" w:cs="Arial"/>
          <w:color w:val="000000" w:themeColor="text1"/>
          <w:sz w:val="22"/>
        </w:rPr>
      </w:pPr>
    </w:p>
    <w:p w14:paraId="5ECAED46" w14:textId="77777777" w:rsidR="00B30F52" w:rsidRDefault="00B30F52" w:rsidP="00B30F52">
      <w:pPr>
        <w:rPr>
          <w:rFonts w:ascii="Arial" w:hAnsi="Arial" w:cs="Arial"/>
          <w:color w:val="000000" w:themeColor="text1"/>
          <w:sz w:val="22"/>
        </w:rPr>
      </w:pPr>
    </w:p>
    <w:p w14:paraId="29FD7B49" w14:textId="77777777" w:rsidR="00B30F52" w:rsidRDefault="00B30F52" w:rsidP="00B30F52">
      <w:pPr>
        <w:rPr>
          <w:rFonts w:ascii="Arial" w:hAnsi="Arial" w:cs="Arial"/>
          <w:color w:val="000000" w:themeColor="text1"/>
          <w:sz w:val="22"/>
        </w:rPr>
      </w:pPr>
    </w:p>
    <w:p w14:paraId="7C6F65B9" w14:textId="77777777" w:rsidR="00B30F52" w:rsidRDefault="00B30F52" w:rsidP="00B30F52">
      <w:pPr>
        <w:rPr>
          <w:rFonts w:ascii="Arial" w:hAnsi="Arial" w:cs="Arial"/>
          <w:color w:val="000000" w:themeColor="text1"/>
          <w:sz w:val="22"/>
        </w:rPr>
      </w:pPr>
    </w:p>
    <w:p w14:paraId="589E71FA" w14:textId="77777777" w:rsidR="00B30F52" w:rsidRDefault="00B30F52" w:rsidP="00B30F52">
      <w:pPr>
        <w:rPr>
          <w:rFonts w:ascii="Arial" w:hAnsi="Arial" w:cs="Arial"/>
          <w:color w:val="000000" w:themeColor="text1"/>
          <w:sz w:val="22"/>
        </w:rPr>
      </w:pPr>
    </w:p>
    <w:p w14:paraId="518762C1" w14:textId="77777777" w:rsidR="00B30F52" w:rsidRDefault="00B30F52" w:rsidP="00B30F52">
      <w:pPr>
        <w:rPr>
          <w:rFonts w:ascii="Arial" w:hAnsi="Arial" w:cs="Arial"/>
          <w:color w:val="000000" w:themeColor="text1"/>
          <w:sz w:val="22"/>
        </w:rPr>
      </w:pPr>
    </w:p>
    <w:p w14:paraId="51E46545" w14:textId="77777777" w:rsidR="00B30F52" w:rsidRDefault="00B30F52" w:rsidP="00B30F52">
      <w:pPr>
        <w:rPr>
          <w:rFonts w:ascii="Arial" w:hAnsi="Arial" w:cs="Arial"/>
          <w:color w:val="000000" w:themeColor="text1"/>
          <w:sz w:val="22"/>
        </w:rPr>
      </w:pPr>
    </w:p>
    <w:p w14:paraId="420DFC21" w14:textId="77777777" w:rsidR="00B30F52" w:rsidRDefault="00B30F52" w:rsidP="00B30F52">
      <w:pPr>
        <w:rPr>
          <w:rFonts w:ascii="Arial" w:hAnsi="Arial" w:cs="Arial"/>
          <w:color w:val="000000" w:themeColor="text1"/>
          <w:sz w:val="22"/>
        </w:rPr>
      </w:pPr>
    </w:p>
    <w:p w14:paraId="2D8E65B1" w14:textId="77777777" w:rsidR="00B30F52" w:rsidRDefault="00B30F52" w:rsidP="00B30F52">
      <w:pPr>
        <w:rPr>
          <w:rFonts w:ascii="Arial" w:hAnsi="Arial" w:cs="Arial"/>
          <w:color w:val="000000" w:themeColor="text1"/>
          <w:sz w:val="22"/>
        </w:rPr>
      </w:pPr>
    </w:p>
    <w:p w14:paraId="4ADFF9C3" w14:textId="77777777" w:rsidR="00B30F52" w:rsidRDefault="00B30F52" w:rsidP="00B30F52">
      <w:pPr>
        <w:rPr>
          <w:rFonts w:ascii="Arial" w:hAnsi="Arial" w:cs="Arial"/>
          <w:color w:val="000000" w:themeColor="text1"/>
          <w:sz w:val="22"/>
        </w:rPr>
      </w:pPr>
    </w:p>
    <w:p w14:paraId="0D7D8C1A" w14:textId="77777777" w:rsidR="00B30F52" w:rsidRDefault="00B30F52" w:rsidP="00B30F52">
      <w:pPr>
        <w:rPr>
          <w:rFonts w:ascii="Arial" w:hAnsi="Arial" w:cs="Arial"/>
          <w:color w:val="000000" w:themeColor="text1"/>
          <w:sz w:val="22"/>
        </w:rPr>
      </w:pPr>
    </w:p>
    <w:p w14:paraId="24748841" w14:textId="77777777" w:rsidR="00B30F52" w:rsidRDefault="00B30F52" w:rsidP="00B30F52">
      <w:pPr>
        <w:rPr>
          <w:rFonts w:ascii="Arial" w:hAnsi="Arial" w:cs="Arial"/>
          <w:color w:val="000000" w:themeColor="text1"/>
          <w:sz w:val="22"/>
        </w:rPr>
      </w:pPr>
    </w:p>
    <w:p w14:paraId="259BF20B" w14:textId="77777777" w:rsidR="00B30F52" w:rsidRDefault="00B30F52" w:rsidP="00B30F52">
      <w:pPr>
        <w:rPr>
          <w:rFonts w:ascii="Arial" w:hAnsi="Arial" w:cs="Arial"/>
          <w:color w:val="000000" w:themeColor="text1"/>
          <w:sz w:val="22"/>
        </w:rPr>
      </w:pPr>
    </w:p>
    <w:p w14:paraId="6AA14DF6" w14:textId="77777777" w:rsidR="00B30F52" w:rsidRDefault="00B30F52" w:rsidP="00B30F52">
      <w:pPr>
        <w:rPr>
          <w:rFonts w:ascii="Arial" w:hAnsi="Arial" w:cs="Arial"/>
          <w:color w:val="000000" w:themeColor="text1"/>
          <w:sz w:val="22"/>
        </w:rPr>
      </w:pPr>
    </w:p>
    <w:p w14:paraId="4938B886" w14:textId="77777777" w:rsidR="00B30F52" w:rsidRPr="00491015" w:rsidRDefault="00B30F52" w:rsidP="00B30F52">
      <w:pPr>
        <w:jc w:val="right"/>
      </w:pPr>
      <w:r>
        <w:rPr>
          <w:rFonts w:ascii="Arial" w:hAnsi="Arial" w:cs="Arial"/>
          <w:b/>
          <w:color w:val="000000" w:themeColor="text1"/>
          <w:sz w:val="22"/>
        </w:rPr>
        <w:tab/>
      </w:r>
      <w:r>
        <w:rPr>
          <w:rFonts w:ascii="Arial" w:hAnsi="Arial" w:cs="Arial"/>
          <w:b/>
          <w:color w:val="000000" w:themeColor="text1"/>
          <w:sz w:val="22"/>
        </w:rPr>
        <w:tab/>
      </w:r>
      <w:r>
        <w:rPr>
          <w:rFonts w:ascii="Arial" w:hAnsi="Arial" w:cs="Arial"/>
          <w:b/>
          <w:color w:val="000000" w:themeColor="text1"/>
          <w:sz w:val="22"/>
        </w:rPr>
        <w:tab/>
      </w:r>
      <w:r>
        <w:rPr>
          <w:rFonts w:ascii="Arial" w:hAnsi="Arial" w:cs="Arial"/>
          <w:b/>
          <w:color w:val="000000" w:themeColor="text1"/>
          <w:sz w:val="22"/>
        </w:rPr>
        <w:tab/>
      </w:r>
      <w:r>
        <w:rPr>
          <w:rFonts w:ascii="Arial" w:hAnsi="Arial" w:cs="Arial"/>
          <w:b/>
          <w:color w:val="000000" w:themeColor="text1"/>
          <w:sz w:val="22"/>
        </w:rPr>
        <w:tab/>
      </w:r>
      <w:r>
        <w:rPr>
          <w:rFonts w:ascii="Arial" w:hAnsi="Arial" w:cs="Arial"/>
          <w:b/>
          <w:color w:val="000000" w:themeColor="text1"/>
          <w:sz w:val="22"/>
        </w:rPr>
        <w:tab/>
      </w:r>
      <w:r w:rsidRPr="002E17B2">
        <w:rPr>
          <w:rFonts w:ascii="Arial" w:hAnsi="Arial" w:cs="Arial"/>
          <w:bCs/>
          <w:color w:val="000000" w:themeColor="text1"/>
          <w:sz w:val="22"/>
        </w:rPr>
        <w:tab/>
      </w:r>
      <w:r>
        <w:rPr>
          <w:rFonts w:ascii="Arial" w:hAnsi="Arial" w:cs="Arial"/>
          <w:bCs/>
          <w:color w:val="000000" w:themeColor="text1"/>
          <w:sz w:val="22"/>
        </w:rPr>
        <w:tab/>
      </w:r>
      <w:r w:rsidRPr="00491015">
        <w:fldChar w:fldCharType="begin"/>
      </w:r>
      <w:r w:rsidRPr="00491015">
        <w:instrText xml:space="preserve"> INCLUDEPICTURE "/var/folders/tb/0fmk9b510f57pz5rwhv8lnpw0000gp/T/com.microsoft.Word/WebArchiveCopyPasteTempFiles/page1image36322128" \* MERGEFORMATINET </w:instrText>
      </w:r>
      <w:r w:rsidRPr="00491015">
        <w:fldChar w:fldCharType="separate"/>
      </w:r>
      <w:r w:rsidRPr="00491015">
        <w:rPr>
          <w:noProof/>
        </w:rPr>
        <w:drawing>
          <wp:inline distT="0" distB="0" distL="0" distR="0" wp14:anchorId="6838CE45" wp14:editId="664E2074">
            <wp:extent cx="2395220" cy="605155"/>
            <wp:effectExtent l="0" t="0" r="5080" b="4445"/>
            <wp:docPr id="4" name="Imagen 4" descr="page1image36322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3632212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95220" cy="605155"/>
                    </a:xfrm>
                    <a:prstGeom prst="rect">
                      <a:avLst/>
                    </a:prstGeom>
                    <a:noFill/>
                    <a:ln>
                      <a:noFill/>
                    </a:ln>
                  </pic:spPr>
                </pic:pic>
              </a:graphicData>
            </a:graphic>
          </wp:inline>
        </w:drawing>
      </w:r>
      <w:r w:rsidRPr="00491015">
        <w:fldChar w:fldCharType="end"/>
      </w:r>
    </w:p>
    <w:p w14:paraId="200BC493" w14:textId="77777777" w:rsidR="00B30F52" w:rsidRPr="002E17B2" w:rsidRDefault="00B30F52" w:rsidP="00B30F52">
      <w:pPr>
        <w:rPr>
          <w:rFonts w:ascii="Segoe UI" w:hAnsi="Segoe UI" w:cs="Segoe UI"/>
          <w:b/>
          <w:color w:val="201F1E"/>
          <w:sz w:val="18"/>
          <w:szCs w:val="18"/>
          <w:shd w:val="clear" w:color="auto" w:fill="E1DFDD"/>
        </w:rPr>
      </w:pPr>
    </w:p>
    <w:p w14:paraId="7E80F159" w14:textId="77777777" w:rsidR="00B30F52" w:rsidRPr="006C15D5" w:rsidRDefault="00B30F52" w:rsidP="00B30F52">
      <w:pPr>
        <w:jc w:val="right"/>
        <w:rPr>
          <w:rFonts w:ascii="Arial" w:hAnsi="Arial" w:cs="Arial"/>
          <w:b/>
          <w:color w:val="000000" w:themeColor="text1"/>
          <w:sz w:val="22"/>
        </w:rPr>
      </w:pPr>
      <w:r>
        <w:rPr>
          <w:rFonts w:ascii="Arial" w:hAnsi="Arial" w:cs="Arial"/>
          <w:b/>
          <w:color w:val="000000" w:themeColor="text1"/>
          <w:sz w:val="22"/>
        </w:rPr>
        <w:tab/>
      </w:r>
    </w:p>
    <w:p w14:paraId="33B7DB25" w14:textId="77777777" w:rsidR="00B30F52" w:rsidRPr="006C15D5" w:rsidRDefault="00B30F52" w:rsidP="00B30F52">
      <w:pPr>
        <w:rPr>
          <w:rFonts w:ascii="Arial" w:eastAsia="Calibri" w:hAnsi="Arial" w:cs="Arial"/>
          <w:color w:val="000000" w:themeColor="text1"/>
          <w:sz w:val="22"/>
        </w:rPr>
      </w:pPr>
      <w:r w:rsidRPr="006C15D5">
        <w:rPr>
          <w:rFonts w:ascii="Arial" w:eastAsia="Calibri" w:hAnsi="Arial" w:cs="Arial"/>
          <w:color w:val="000000" w:themeColor="text1"/>
          <w:sz w:val="22"/>
        </w:rPr>
        <w:t>Señor</w:t>
      </w:r>
    </w:p>
    <w:p w14:paraId="2F5EDF01" w14:textId="77777777" w:rsidR="00B30F52" w:rsidRDefault="00B30F52" w:rsidP="00B30F52">
      <w:pPr>
        <w:rPr>
          <w:rFonts w:ascii="Arial" w:eastAsia="Calibri" w:hAnsi="Arial" w:cs="Arial"/>
          <w:b/>
          <w:color w:val="000000" w:themeColor="text1"/>
          <w:sz w:val="22"/>
        </w:rPr>
      </w:pPr>
      <w:r>
        <w:rPr>
          <w:rFonts w:ascii="Arial" w:eastAsia="Calibri" w:hAnsi="Arial" w:cs="Arial"/>
          <w:b/>
          <w:color w:val="000000" w:themeColor="text1"/>
          <w:sz w:val="22"/>
        </w:rPr>
        <w:t>William Alexander Gonzalez Gallego</w:t>
      </w:r>
    </w:p>
    <w:p w14:paraId="659DE48E" w14:textId="77777777" w:rsidR="00B30F52" w:rsidRPr="006C15D5" w:rsidRDefault="00B30F52" w:rsidP="00B30F52">
      <w:pPr>
        <w:rPr>
          <w:rFonts w:ascii="Arial" w:eastAsia="Calibri" w:hAnsi="Arial" w:cs="Arial"/>
          <w:color w:val="000000" w:themeColor="text1"/>
          <w:sz w:val="22"/>
        </w:rPr>
      </w:pPr>
      <w:r>
        <w:rPr>
          <w:rFonts w:ascii="Arial" w:eastAsia="Calibri" w:hAnsi="Arial" w:cs="Arial"/>
          <w:bCs/>
          <w:color w:val="000000" w:themeColor="text1"/>
          <w:sz w:val="22"/>
        </w:rPr>
        <w:t xml:space="preserve">San Jose de Guaviare, Guaviare </w:t>
      </w:r>
    </w:p>
    <w:p w14:paraId="75560874" w14:textId="77777777" w:rsidR="00B30F52" w:rsidRDefault="00B30F52" w:rsidP="00B30F52">
      <w:pPr>
        <w:rPr>
          <w:rFonts w:ascii="Arial" w:eastAsia="Calibri" w:hAnsi="Arial" w:cs="Arial"/>
          <w:color w:val="000000" w:themeColor="text1"/>
          <w:sz w:val="22"/>
        </w:rPr>
      </w:pPr>
    </w:p>
    <w:p w14:paraId="008F476D" w14:textId="77777777" w:rsidR="00B30F52" w:rsidRDefault="00B30F52" w:rsidP="00B30F52">
      <w:pPr>
        <w:ind w:left="2124" w:firstLine="708"/>
        <w:rPr>
          <w:rFonts w:ascii="Arial" w:eastAsia="Calibri" w:hAnsi="Arial" w:cs="Arial"/>
          <w:b/>
          <w:color w:val="000000" w:themeColor="text1"/>
          <w:sz w:val="22"/>
        </w:rPr>
      </w:pPr>
      <w:r w:rsidRPr="006C15D5">
        <w:rPr>
          <w:rFonts w:ascii="Arial" w:eastAsia="Calibri" w:hAnsi="Arial" w:cs="Arial"/>
          <w:b/>
          <w:color w:val="000000" w:themeColor="text1"/>
          <w:sz w:val="22"/>
        </w:rPr>
        <w:t xml:space="preserve">Concepto C </w:t>
      </w:r>
      <w:r>
        <w:rPr>
          <w:rFonts w:ascii="Arial" w:eastAsia="Calibri" w:hAnsi="Arial" w:cs="Arial"/>
          <w:b/>
          <w:color w:val="000000" w:themeColor="text1"/>
          <w:sz w:val="22"/>
        </w:rPr>
        <w:t>–</w:t>
      </w:r>
      <w:r w:rsidRPr="006C15D5">
        <w:rPr>
          <w:rFonts w:ascii="Arial" w:eastAsia="Calibri" w:hAnsi="Arial" w:cs="Arial"/>
          <w:b/>
          <w:color w:val="000000" w:themeColor="text1"/>
          <w:sz w:val="22"/>
        </w:rPr>
        <w:t xml:space="preserve"> </w:t>
      </w:r>
      <w:r>
        <w:rPr>
          <w:rFonts w:ascii="Arial" w:eastAsia="Calibri" w:hAnsi="Arial" w:cs="Arial"/>
          <w:b/>
          <w:color w:val="000000" w:themeColor="text1"/>
          <w:sz w:val="22"/>
        </w:rPr>
        <w:t xml:space="preserve">003 </w:t>
      </w:r>
      <w:r w:rsidRPr="00BF3AEF">
        <w:rPr>
          <w:rFonts w:ascii="Arial" w:eastAsia="Calibri" w:hAnsi="Arial" w:cs="Arial"/>
          <w:b/>
          <w:color w:val="000000" w:themeColor="text1"/>
          <w:sz w:val="22"/>
        </w:rPr>
        <w:t>de 202</w:t>
      </w:r>
      <w:r>
        <w:rPr>
          <w:rFonts w:ascii="Arial" w:eastAsia="Calibri" w:hAnsi="Arial" w:cs="Arial"/>
          <w:b/>
          <w:color w:val="000000" w:themeColor="text1"/>
          <w:sz w:val="22"/>
        </w:rPr>
        <w:t>1</w:t>
      </w:r>
    </w:p>
    <w:p w14:paraId="13B3C8B0" w14:textId="77777777" w:rsidR="00B30F52" w:rsidRPr="006C15D5" w:rsidRDefault="00B30F52" w:rsidP="00B30F52">
      <w:pPr>
        <w:rPr>
          <w:rFonts w:ascii="Arial" w:eastAsia="Calibri" w:hAnsi="Arial" w:cs="Arial"/>
          <w:color w:val="000000" w:themeColor="text1"/>
          <w:sz w:val="22"/>
        </w:rPr>
      </w:pPr>
    </w:p>
    <w:tbl>
      <w:tblPr>
        <w:tblStyle w:val="Tablaconcuadrcula"/>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552"/>
        <w:gridCol w:w="6374"/>
      </w:tblGrid>
      <w:tr w:rsidR="00B30F52" w:rsidRPr="00E96F75" w14:paraId="05733AC8" w14:textId="77777777" w:rsidTr="007C6F1C">
        <w:tc>
          <w:tcPr>
            <w:tcW w:w="2552" w:type="dxa"/>
            <w:hideMark/>
          </w:tcPr>
          <w:p w14:paraId="7326C23B" w14:textId="77777777" w:rsidR="00B30F52" w:rsidRPr="006C15D5" w:rsidRDefault="00B30F52" w:rsidP="007C6F1C">
            <w:pPr>
              <w:rPr>
                <w:rFonts w:ascii="Arial" w:eastAsia="Calibri" w:hAnsi="Arial" w:cs="Arial"/>
                <w:color w:val="000000" w:themeColor="text1"/>
              </w:rPr>
            </w:pPr>
            <w:r w:rsidRPr="006C15D5">
              <w:rPr>
                <w:rFonts w:ascii="Arial" w:eastAsia="Calibri" w:hAnsi="Arial" w:cs="Arial"/>
                <w:b/>
                <w:color w:val="000000" w:themeColor="text1"/>
              </w:rPr>
              <w:t>Temas:</w:t>
            </w:r>
            <w:r w:rsidRPr="006C15D5">
              <w:rPr>
                <w:rFonts w:ascii="Arial" w:eastAsia="Calibri" w:hAnsi="Arial" w:cs="Arial"/>
                <w:color w:val="000000" w:themeColor="text1"/>
              </w:rPr>
              <w:t xml:space="preserve">           </w:t>
            </w:r>
          </w:p>
          <w:p w14:paraId="30F642EA" w14:textId="77777777" w:rsidR="00B30F52" w:rsidRPr="006C15D5" w:rsidRDefault="00B30F52" w:rsidP="007C6F1C">
            <w:pPr>
              <w:rPr>
                <w:rFonts w:ascii="Arial" w:eastAsia="Calibri" w:hAnsi="Arial" w:cs="Arial"/>
                <w:color w:val="000000" w:themeColor="text1"/>
              </w:rPr>
            </w:pPr>
            <w:r w:rsidRPr="006C15D5">
              <w:rPr>
                <w:rFonts w:ascii="Arial" w:eastAsia="Calibri" w:hAnsi="Arial" w:cs="Arial"/>
                <w:color w:val="000000" w:themeColor="text1"/>
              </w:rPr>
              <w:t xml:space="preserve">                           </w:t>
            </w:r>
          </w:p>
        </w:tc>
        <w:tc>
          <w:tcPr>
            <w:tcW w:w="6374" w:type="dxa"/>
            <w:hideMark/>
          </w:tcPr>
          <w:p w14:paraId="7271D569" w14:textId="77777777" w:rsidR="00B30F52" w:rsidRPr="007230A2" w:rsidRDefault="00B30F52" w:rsidP="007C6F1C">
            <w:pPr>
              <w:pStyle w:val="Ttulo2"/>
              <w:ind w:left="0"/>
              <w:outlineLvl w:val="1"/>
              <w:rPr>
                <w:b/>
                <w:color w:val="000000" w:themeColor="text1"/>
                <w:lang w:eastAsia="es-ES"/>
              </w:rPr>
            </w:pPr>
            <w:r w:rsidRPr="007230A2">
              <w:rPr>
                <w:bCs/>
                <w:color w:val="000000" w:themeColor="text1"/>
                <w:lang w:eastAsia="es-ES"/>
              </w:rPr>
              <w:t xml:space="preserve">CAPACIDAD RESIDUAL – Definición / </w:t>
            </w:r>
            <w:r w:rsidRPr="007230A2">
              <w:rPr>
                <w:bCs/>
                <w:color w:val="000000" w:themeColor="text1"/>
              </w:rPr>
              <w:t xml:space="preserve">CAPACIDAD RESIDUAL – Estado de resultado / </w:t>
            </w:r>
            <w:r w:rsidRPr="007230A2">
              <w:rPr>
                <w:bCs/>
                <w:color w:val="000000"/>
                <w:bdr w:val="none" w:sz="0" w:space="0" w:color="auto" w:frame="1"/>
              </w:rPr>
              <w:t xml:space="preserve">ESTADO DE RESULTADO – </w:t>
            </w:r>
            <w:r>
              <w:rPr>
                <w:bCs/>
                <w:color w:val="000000"/>
                <w:bdr w:val="none" w:sz="0" w:space="0" w:color="auto" w:frame="1"/>
              </w:rPr>
              <w:t>Obligación de firma</w:t>
            </w:r>
          </w:p>
          <w:p w14:paraId="14150526" w14:textId="77777777" w:rsidR="00B30F52" w:rsidRPr="00E96F75" w:rsidRDefault="00B30F52" w:rsidP="007C6F1C">
            <w:pPr>
              <w:spacing w:line="276" w:lineRule="auto"/>
              <w:jc w:val="both"/>
              <w:rPr>
                <w:rFonts w:ascii="Arial" w:eastAsia="Calibri" w:hAnsi="Arial" w:cs="Arial"/>
                <w:bCs/>
                <w:color w:val="000000" w:themeColor="text1"/>
                <w:lang w:val="es-ES_tradnl"/>
              </w:rPr>
            </w:pPr>
          </w:p>
        </w:tc>
      </w:tr>
      <w:tr w:rsidR="00B30F52" w:rsidRPr="00E96F75" w14:paraId="5710572C" w14:textId="77777777" w:rsidTr="007C6F1C">
        <w:tc>
          <w:tcPr>
            <w:tcW w:w="2552" w:type="dxa"/>
          </w:tcPr>
          <w:p w14:paraId="30A2B212" w14:textId="77777777" w:rsidR="00B30F52" w:rsidRPr="006C15D5" w:rsidRDefault="00B30F52" w:rsidP="007C6F1C">
            <w:pPr>
              <w:spacing w:before="120"/>
              <w:rPr>
                <w:rFonts w:ascii="Arial" w:eastAsia="Calibri" w:hAnsi="Arial" w:cs="Arial"/>
                <w:b/>
                <w:color w:val="000000" w:themeColor="text1"/>
              </w:rPr>
            </w:pPr>
            <w:r w:rsidRPr="006C15D5">
              <w:rPr>
                <w:rFonts w:ascii="Arial" w:eastAsia="Calibri" w:hAnsi="Arial" w:cs="Arial"/>
                <w:b/>
                <w:color w:val="000000" w:themeColor="text1"/>
              </w:rPr>
              <w:t>Radicación:</w:t>
            </w:r>
            <w:r w:rsidRPr="006C15D5">
              <w:rPr>
                <w:rFonts w:ascii="Arial" w:eastAsia="Calibri" w:hAnsi="Arial" w:cs="Arial"/>
                <w:color w:val="000000" w:themeColor="text1"/>
              </w:rPr>
              <w:t xml:space="preserve">                              </w:t>
            </w:r>
          </w:p>
        </w:tc>
        <w:tc>
          <w:tcPr>
            <w:tcW w:w="6374" w:type="dxa"/>
          </w:tcPr>
          <w:p w14:paraId="6C9624D8" w14:textId="77777777" w:rsidR="00B30F52" w:rsidRPr="00E96F75" w:rsidRDefault="00B30F52" w:rsidP="007C6F1C">
            <w:pPr>
              <w:spacing w:before="120"/>
              <w:jc w:val="both"/>
              <w:rPr>
                <w:rFonts w:ascii="Arial" w:eastAsia="Calibri" w:hAnsi="Arial" w:cs="Arial"/>
                <w:bCs/>
                <w:color w:val="000000" w:themeColor="text1"/>
              </w:rPr>
            </w:pPr>
            <w:r w:rsidRPr="00E96F75">
              <w:rPr>
                <w:rFonts w:ascii="Arial" w:eastAsia="Calibri" w:hAnsi="Arial" w:cs="Arial"/>
                <w:bCs/>
                <w:color w:val="000000" w:themeColor="text1"/>
              </w:rPr>
              <w:t>Respuesta a consulta P20210</w:t>
            </w:r>
            <w:r>
              <w:rPr>
                <w:rFonts w:ascii="Arial" w:eastAsia="Calibri" w:hAnsi="Arial" w:cs="Arial"/>
                <w:bCs/>
                <w:color w:val="000000" w:themeColor="text1"/>
              </w:rPr>
              <w:t>211001160</w:t>
            </w:r>
          </w:p>
        </w:tc>
      </w:tr>
      <w:tr w:rsidR="00B30F52" w:rsidRPr="003F6D32" w14:paraId="3C72DE8B" w14:textId="77777777" w:rsidTr="007C6F1C">
        <w:trPr>
          <w:trHeight w:val="80"/>
        </w:trPr>
        <w:tc>
          <w:tcPr>
            <w:tcW w:w="2552" w:type="dxa"/>
          </w:tcPr>
          <w:p w14:paraId="28ED119F" w14:textId="77777777" w:rsidR="00B30F52" w:rsidRPr="006C15D5" w:rsidRDefault="00B30F52" w:rsidP="007C6F1C">
            <w:pPr>
              <w:spacing w:before="120"/>
              <w:rPr>
                <w:rFonts w:ascii="Arial" w:eastAsia="Calibri" w:hAnsi="Arial" w:cs="Arial"/>
                <w:b/>
                <w:color w:val="000000" w:themeColor="text1"/>
              </w:rPr>
            </w:pPr>
          </w:p>
        </w:tc>
        <w:tc>
          <w:tcPr>
            <w:tcW w:w="6374" w:type="dxa"/>
          </w:tcPr>
          <w:p w14:paraId="29C9C40D" w14:textId="77777777" w:rsidR="00B30F52" w:rsidRPr="006C15D5" w:rsidRDefault="00B30F52" w:rsidP="007C6F1C">
            <w:pPr>
              <w:spacing w:before="120"/>
              <w:jc w:val="both"/>
              <w:rPr>
                <w:rFonts w:ascii="Arial" w:eastAsia="Calibri" w:hAnsi="Arial" w:cs="Arial"/>
                <w:color w:val="000000" w:themeColor="text1"/>
              </w:rPr>
            </w:pPr>
          </w:p>
        </w:tc>
      </w:tr>
    </w:tbl>
    <w:p w14:paraId="1DD060B3" w14:textId="77777777" w:rsidR="00B30F52" w:rsidRPr="006C15D5" w:rsidRDefault="00B30F52" w:rsidP="00B30F52">
      <w:pPr>
        <w:jc w:val="both"/>
        <w:rPr>
          <w:rFonts w:ascii="Arial" w:eastAsia="Calibri" w:hAnsi="Arial" w:cs="Arial"/>
          <w:color w:val="000000" w:themeColor="text1"/>
          <w:sz w:val="22"/>
        </w:rPr>
      </w:pPr>
    </w:p>
    <w:p w14:paraId="5E1A8393" w14:textId="77777777" w:rsidR="00B30F52" w:rsidRPr="006C15D5" w:rsidRDefault="00B30F52" w:rsidP="00B30F52">
      <w:pPr>
        <w:rPr>
          <w:rFonts w:ascii="Arial" w:eastAsia="Calibri" w:hAnsi="Arial" w:cs="Arial"/>
          <w:color w:val="000000" w:themeColor="text1"/>
          <w:sz w:val="22"/>
        </w:rPr>
      </w:pPr>
      <w:r w:rsidRPr="006C15D5">
        <w:rPr>
          <w:rFonts w:ascii="Arial" w:eastAsia="Calibri" w:hAnsi="Arial" w:cs="Arial"/>
          <w:color w:val="000000" w:themeColor="text1"/>
          <w:sz w:val="22"/>
        </w:rPr>
        <w:t>Estimad</w:t>
      </w:r>
      <w:r>
        <w:rPr>
          <w:rFonts w:ascii="Arial" w:eastAsia="Calibri" w:hAnsi="Arial" w:cs="Arial"/>
          <w:color w:val="000000" w:themeColor="text1"/>
          <w:sz w:val="22"/>
        </w:rPr>
        <w:t>o</w:t>
      </w:r>
      <w:r w:rsidRPr="006C15D5">
        <w:rPr>
          <w:rFonts w:ascii="Arial" w:eastAsia="Calibri" w:hAnsi="Arial" w:cs="Arial"/>
          <w:color w:val="000000" w:themeColor="text1"/>
          <w:sz w:val="22"/>
        </w:rPr>
        <w:t xml:space="preserve"> señor </w:t>
      </w:r>
      <w:r>
        <w:rPr>
          <w:rFonts w:ascii="Arial" w:eastAsia="Calibri" w:hAnsi="Arial" w:cs="Arial"/>
          <w:color w:val="000000" w:themeColor="text1"/>
          <w:sz w:val="22"/>
        </w:rPr>
        <w:t>Gonzalez</w:t>
      </w:r>
      <w:r w:rsidRPr="006C15D5">
        <w:rPr>
          <w:rFonts w:ascii="Arial" w:eastAsia="Calibri" w:hAnsi="Arial" w:cs="Arial"/>
          <w:color w:val="000000" w:themeColor="text1"/>
          <w:sz w:val="22"/>
        </w:rPr>
        <w:t>:</w:t>
      </w:r>
    </w:p>
    <w:p w14:paraId="3A36825B" w14:textId="77777777" w:rsidR="00B30F52" w:rsidRPr="006C15D5" w:rsidRDefault="00B30F52" w:rsidP="00B30F52">
      <w:pPr>
        <w:rPr>
          <w:rFonts w:ascii="Arial" w:eastAsia="Calibri" w:hAnsi="Arial" w:cs="Arial"/>
          <w:color w:val="000000" w:themeColor="text1"/>
          <w:sz w:val="22"/>
        </w:rPr>
      </w:pPr>
    </w:p>
    <w:p w14:paraId="5833C2BC" w14:textId="77777777" w:rsidR="00B30F52" w:rsidRPr="006C15D5" w:rsidRDefault="00B30F52" w:rsidP="00B30F52">
      <w:pPr>
        <w:spacing w:line="276" w:lineRule="auto"/>
        <w:jc w:val="both"/>
        <w:rPr>
          <w:rFonts w:ascii="Arial" w:eastAsia="Calibri" w:hAnsi="Arial" w:cs="Arial"/>
          <w:color w:val="000000" w:themeColor="text1"/>
          <w:sz w:val="22"/>
        </w:rPr>
      </w:pPr>
      <w:r w:rsidRPr="006C15D5">
        <w:rPr>
          <w:rFonts w:ascii="Arial" w:eastAsia="Calibri" w:hAnsi="Arial" w:cs="Arial"/>
          <w:color w:val="000000" w:themeColor="text1"/>
          <w:sz w:val="22"/>
        </w:rPr>
        <w:t xml:space="preserve">En ejercicio de la competencia otorgada por los artículos 11, numeral 8º, y 3º, numeral 5º, del Decreto Ley 4170 de 2011, la Agencia Nacional de Contratación Pública − Colombia Compra Eficiente responde su consulta del </w:t>
      </w:r>
      <w:r>
        <w:rPr>
          <w:rFonts w:ascii="Arial" w:eastAsia="Calibri" w:hAnsi="Arial" w:cs="Arial"/>
          <w:color w:val="000000" w:themeColor="text1"/>
          <w:sz w:val="22"/>
        </w:rPr>
        <w:t xml:space="preserve">11 de febrero de 2021. </w:t>
      </w:r>
    </w:p>
    <w:p w14:paraId="54C292CB" w14:textId="77777777" w:rsidR="00B30F52" w:rsidRPr="006C15D5" w:rsidRDefault="00B30F52" w:rsidP="00B30F52">
      <w:pPr>
        <w:jc w:val="both"/>
        <w:rPr>
          <w:rFonts w:ascii="Arial" w:eastAsia="Calibri" w:hAnsi="Arial" w:cs="Arial"/>
          <w:color w:val="000000" w:themeColor="text1"/>
          <w:sz w:val="22"/>
        </w:rPr>
      </w:pPr>
    </w:p>
    <w:p w14:paraId="4786502F" w14:textId="77777777" w:rsidR="00B30F52" w:rsidRDefault="00B30F52" w:rsidP="00B30F52">
      <w:pPr>
        <w:pStyle w:val="Prrafodelista"/>
        <w:numPr>
          <w:ilvl w:val="0"/>
          <w:numId w:val="1"/>
        </w:numPr>
        <w:tabs>
          <w:tab w:val="left" w:pos="284"/>
        </w:tabs>
        <w:spacing w:line="276" w:lineRule="auto"/>
        <w:ind w:left="0" w:firstLine="0"/>
        <w:jc w:val="both"/>
        <w:rPr>
          <w:rFonts w:ascii="Arial" w:eastAsia="Calibri" w:hAnsi="Arial" w:cs="Arial"/>
          <w:b/>
          <w:color w:val="000000" w:themeColor="text1"/>
          <w:sz w:val="22"/>
        </w:rPr>
      </w:pPr>
      <w:r w:rsidRPr="006C15D5">
        <w:rPr>
          <w:rFonts w:ascii="Arial" w:eastAsia="Calibri" w:hAnsi="Arial" w:cs="Arial"/>
          <w:b/>
          <w:color w:val="000000" w:themeColor="text1"/>
          <w:sz w:val="22"/>
        </w:rPr>
        <w:t>Problema</w:t>
      </w:r>
      <w:r>
        <w:rPr>
          <w:rFonts w:ascii="Arial" w:eastAsia="Calibri" w:hAnsi="Arial" w:cs="Arial"/>
          <w:b/>
          <w:color w:val="000000" w:themeColor="text1"/>
          <w:sz w:val="22"/>
        </w:rPr>
        <w:t xml:space="preserve"> </w:t>
      </w:r>
      <w:r w:rsidRPr="006C15D5">
        <w:rPr>
          <w:rFonts w:ascii="Arial" w:eastAsia="Calibri" w:hAnsi="Arial" w:cs="Arial"/>
          <w:b/>
          <w:color w:val="000000" w:themeColor="text1"/>
          <w:sz w:val="22"/>
        </w:rPr>
        <w:t>planteado</w:t>
      </w:r>
    </w:p>
    <w:p w14:paraId="06BEFE22" w14:textId="77777777" w:rsidR="00B30F52" w:rsidRPr="003025BB" w:rsidRDefault="00B30F52" w:rsidP="00B30F52">
      <w:pPr>
        <w:pStyle w:val="Prrafodelista"/>
        <w:tabs>
          <w:tab w:val="left" w:pos="284"/>
        </w:tabs>
        <w:ind w:left="0"/>
        <w:jc w:val="both"/>
        <w:rPr>
          <w:rFonts w:ascii="Arial" w:eastAsia="Calibri" w:hAnsi="Arial" w:cs="Arial"/>
          <w:color w:val="000000" w:themeColor="text1"/>
          <w:sz w:val="22"/>
        </w:rPr>
      </w:pPr>
      <w:r w:rsidRPr="006C15D5">
        <w:rPr>
          <w:rFonts w:ascii="Arial" w:eastAsia="Calibri" w:hAnsi="Arial" w:cs="Arial"/>
          <w:b/>
          <w:color w:val="000000" w:themeColor="text1"/>
          <w:sz w:val="22"/>
        </w:rPr>
        <w:t xml:space="preserve"> </w:t>
      </w:r>
    </w:p>
    <w:p w14:paraId="682816C5" w14:textId="77777777" w:rsidR="00B30F52" w:rsidRPr="007230A2" w:rsidRDefault="00B30F52" w:rsidP="00B30F52">
      <w:pPr>
        <w:spacing w:line="276" w:lineRule="auto"/>
        <w:jc w:val="both"/>
        <w:rPr>
          <w:rFonts w:ascii="Arial" w:hAnsi="Arial" w:cs="Arial"/>
          <w:sz w:val="22"/>
          <w:szCs w:val="22"/>
        </w:rPr>
      </w:pPr>
      <w:r w:rsidRPr="00090DE0">
        <w:rPr>
          <w:rFonts w:ascii="Arial" w:eastAsia="Calibri" w:hAnsi="Arial" w:cs="Arial"/>
          <w:color w:val="000000" w:themeColor="text1"/>
          <w:sz w:val="22"/>
          <w:szCs w:val="22"/>
        </w:rPr>
        <w:t>Usted realiza la</w:t>
      </w:r>
      <w:r w:rsidRPr="007230A2">
        <w:rPr>
          <w:rFonts w:ascii="Arial" w:eastAsia="Calibri" w:hAnsi="Arial" w:cs="Arial"/>
          <w:color w:val="000000" w:themeColor="text1"/>
          <w:sz w:val="22"/>
          <w:szCs w:val="22"/>
        </w:rPr>
        <w:t xml:space="preserve"> siguiente pregunta: </w:t>
      </w:r>
      <w:r w:rsidRPr="002A1B2B">
        <w:rPr>
          <w:rFonts w:ascii="Arial" w:eastAsia="Calibri" w:hAnsi="Arial" w:cs="Arial"/>
          <w:color w:val="000000" w:themeColor="text1"/>
          <w:sz w:val="22"/>
          <w:szCs w:val="22"/>
          <w:lang w:val="es-ES"/>
        </w:rPr>
        <w:t>«</w:t>
      </w:r>
      <w:r>
        <w:rPr>
          <w:rFonts w:ascii="Arial" w:hAnsi="Arial" w:cs="Arial"/>
          <w:color w:val="000000"/>
          <w:sz w:val="22"/>
          <w:szCs w:val="22"/>
          <w:bdr w:val="none" w:sz="0" w:space="0" w:color="auto" w:frame="1"/>
        </w:rPr>
        <w:t>S</w:t>
      </w:r>
      <w:r w:rsidRPr="007230A2">
        <w:rPr>
          <w:rFonts w:ascii="Arial" w:hAnsi="Arial" w:cs="Arial"/>
          <w:color w:val="000000"/>
          <w:sz w:val="22"/>
          <w:szCs w:val="22"/>
          <w:bdr w:val="none" w:sz="0" w:space="0" w:color="auto" w:frame="1"/>
        </w:rPr>
        <w:t>olicito se me aclara</w:t>
      </w:r>
      <w:r>
        <w:rPr>
          <w:rFonts w:ascii="Arial" w:hAnsi="Arial" w:cs="Arial"/>
          <w:color w:val="000000"/>
          <w:sz w:val="22"/>
          <w:szCs w:val="22"/>
          <w:bdr w:val="none" w:sz="0" w:space="0" w:color="auto" w:frame="1"/>
        </w:rPr>
        <w:t xml:space="preserve"> </w:t>
      </w:r>
      <w:r w:rsidRPr="007230A2">
        <w:rPr>
          <w:rFonts w:ascii="Arial" w:hAnsi="Arial" w:cs="Arial"/>
          <w:color w:val="000000"/>
          <w:sz w:val="22"/>
          <w:szCs w:val="22"/>
          <w:bdr w:val="none" w:sz="0" w:space="0" w:color="auto" w:frame="1"/>
        </w:rPr>
        <w:t>(sic) quienes (sic) deben suscribir los estados de resultados de personas naturales o jurídicas no obligados a tener revisor fiscal, ya sea, por un lado, representante legal y contador público o representante legal, contador público y auditor (contador externo)</w:t>
      </w:r>
      <w:r w:rsidRPr="002A1B2B">
        <w:rPr>
          <w:rFonts w:ascii="Arial" w:eastAsia="Calibri" w:hAnsi="Arial" w:cs="Arial"/>
          <w:color w:val="000000" w:themeColor="text1"/>
          <w:sz w:val="22"/>
          <w:szCs w:val="22"/>
          <w:lang w:val="es-ES"/>
        </w:rPr>
        <w:t>»</w:t>
      </w:r>
      <w:r>
        <w:rPr>
          <w:rFonts w:ascii="Arial" w:eastAsia="Calibri" w:hAnsi="Arial" w:cs="Arial"/>
          <w:color w:val="000000" w:themeColor="text1"/>
          <w:sz w:val="22"/>
          <w:szCs w:val="22"/>
          <w:lang w:val="es-ES"/>
        </w:rPr>
        <w:t>.</w:t>
      </w:r>
      <w:r w:rsidRPr="007230A2">
        <w:rPr>
          <w:rFonts w:ascii="Arial" w:hAnsi="Arial" w:cs="Arial"/>
          <w:color w:val="000000"/>
          <w:sz w:val="22"/>
          <w:szCs w:val="22"/>
          <w:bdr w:val="none" w:sz="0" w:space="0" w:color="auto" w:frame="1"/>
        </w:rPr>
        <w:t> </w:t>
      </w:r>
    </w:p>
    <w:p w14:paraId="64FE7B26" w14:textId="77777777" w:rsidR="00B30F52" w:rsidRPr="007230A2" w:rsidRDefault="00B30F52" w:rsidP="00B30F52">
      <w:pPr>
        <w:pStyle w:val="NormalWeb"/>
        <w:shd w:val="clear" w:color="auto" w:fill="FFFFFF"/>
        <w:spacing w:before="0" w:beforeAutospacing="0" w:line="276" w:lineRule="auto"/>
        <w:contextualSpacing/>
        <w:jc w:val="both"/>
        <w:textAlignment w:val="baseline"/>
        <w:rPr>
          <w:rFonts w:ascii="Arial" w:hAnsi="Arial" w:cs="Arial"/>
          <w:color w:val="000000"/>
          <w:sz w:val="22"/>
          <w:szCs w:val="22"/>
          <w:bdr w:val="none" w:sz="0" w:space="0" w:color="auto" w:frame="1"/>
        </w:rPr>
      </w:pPr>
    </w:p>
    <w:p w14:paraId="11C75D1D" w14:textId="77777777" w:rsidR="00B30F52" w:rsidRPr="007230A2" w:rsidRDefault="00B30F52" w:rsidP="00B30F52">
      <w:pPr>
        <w:pStyle w:val="NormalWeb"/>
        <w:numPr>
          <w:ilvl w:val="0"/>
          <w:numId w:val="1"/>
        </w:numPr>
        <w:shd w:val="clear" w:color="auto" w:fill="FFFFFF"/>
        <w:spacing w:before="0" w:beforeAutospacing="0" w:after="0" w:afterAutospacing="0" w:line="276" w:lineRule="auto"/>
        <w:contextualSpacing/>
        <w:jc w:val="both"/>
        <w:textAlignment w:val="baseline"/>
        <w:rPr>
          <w:rFonts w:ascii="Arial" w:hAnsi="Arial" w:cs="Arial"/>
          <w:b/>
          <w:bCs/>
          <w:color w:val="000000"/>
          <w:sz w:val="22"/>
          <w:szCs w:val="22"/>
          <w:bdr w:val="none" w:sz="0" w:space="0" w:color="auto" w:frame="1"/>
        </w:rPr>
      </w:pPr>
      <w:r w:rsidRPr="007230A2">
        <w:rPr>
          <w:rFonts w:ascii="Arial" w:eastAsia="Calibri" w:hAnsi="Arial" w:cs="Arial"/>
          <w:b/>
          <w:bCs/>
          <w:color w:val="000000" w:themeColor="text1"/>
          <w:sz w:val="22"/>
          <w:szCs w:val="22"/>
        </w:rPr>
        <w:t>Consideraciones</w:t>
      </w:r>
    </w:p>
    <w:p w14:paraId="284BE220" w14:textId="77777777" w:rsidR="00B30F52" w:rsidRPr="007230A2" w:rsidRDefault="00B30F52" w:rsidP="00B30F52">
      <w:pPr>
        <w:tabs>
          <w:tab w:val="left" w:pos="426"/>
        </w:tabs>
        <w:spacing w:line="276" w:lineRule="auto"/>
        <w:jc w:val="both"/>
        <w:rPr>
          <w:rFonts w:ascii="Arial" w:eastAsia="Calibri" w:hAnsi="Arial" w:cs="Arial"/>
          <w:color w:val="000000" w:themeColor="text1"/>
          <w:sz w:val="22"/>
          <w:szCs w:val="22"/>
        </w:rPr>
      </w:pPr>
    </w:p>
    <w:p w14:paraId="022EAF22" w14:textId="77777777" w:rsidR="00B30F52" w:rsidRPr="007230A2" w:rsidRDefault="00B30F52" w:rsidP="00B30F52">
      <w:pPr>
        <w:spacing w:line="276" w:lineRule="auto"/>
        <w:jc w:val="both"/>
        <w:rPr>
          <w:rFonts w:ascii="Arial" w:hAnsi="Arial" w:cs="Arial"/>
          <w:sz w:val="22"/>
          <w:szCs w:val="22"/>
        </w:rPr>
      </w:pPr>
      <w:r w:rsidRPr="007230A2">
        <w:rPr>
          <w:rFonts w:ascii="Arial" w:eastAsia="Calibri" w:hAnsi="Arial" w:cs="Arial"/>
          <w:color w:val="000000" w:themeColor="text1"/>
          <w:sz w:val="22"/>
          <w:szCs w:val="22"/>
        </w:rPr>
        <w:t xml:space="preserve">Para responder a sus interrogantes se estudiarán los siguientes temas: i) </w:t>
      </w:r>
      <w:r>
        <w:rPr>
          <w:rFonts w:ascii="Arial" w:eastAsia="Calibri" w:hAnsi="Arial" w:cs="Arial"/>
          <w:color w:val="000000" w:themeColor="text1"/>
          <w:sz w:val="22"/>
          <w:szCs w:val="22"/>
        </w:rPr>
        <w:t>el e</w:t>
      </w:r>
      <w:r w:rsidRPr="007230A2">
        <w:rPr>
          <w:rFonts w:ascii="Arial" w:eastAsia="Calibri" w:hAnsi="Arial" w:cs="Arial"/>
          <w:color w:val="000000" w:themeColor="text1"/>
          <w:sz w:val="22"/>
          <w:szCs w:val="22"/>
        </w:rPr>
        <w:t xml:space="preserve">stado de resultados como </w:t>
      </w:r>
      <w:r>
        <w:rPr>
          <w:rFonts w:ascii="Arial" w:eastAsia="Calibri" w:hAnsi="Arial" w:cs="Arial"/>
          <w:color w:val="000000" w:themeColor="text1"/>
          <w:sz w:val="22"/>
          <w:szCs w:val="22"/>
        </w:rPr>
        <w:t xml:space="preserve">forma </w:t>
      </w:r>
      <w:r w:rsidRPr="007230A2">
        <w:rPr>
          <w:rFonts w:ascii="Arial" w:eastAsia="Calibri" w:hAnsi="Arial" w:cs="Arial"/>
          <w:color w:val="000000" w:themeColor="text1"/>
          <w:sz w:val="22"/>
          <w:szCs w:val="22"/>
        </w:rPr>
        <w:t>de demostrar la capacidad residual para contratar y ii)</w:t>
      </w:r>
      <w:r>
        <w:rPr>
          <w:rFonts w:ascii="Arial" w:eastAsia="Calibri" w:hAnsi="Arial" w:cs="Arial"/>
          <w:color w:val="000000" w:themeColor="text1"/>
          <w:sz w:val="22"/>
          <w:szCs w:val="22"/>
        </w:rPr>
        <w:t xml:space="preserve"> los s</w:t>
      </w:r>
      <w:r w:rsidRPr="007230A2">
        <w:rPr>
          <w:rFonts w:ascii="Arial" w:hAnsi="Arial" w:cs="Arial"/>
          <w:color w:val="000000"/>
          <w:sz w:val="22"/>
          <w:szCs w:val="22"/>
          <w:bdr w:val="none" w:sz="0" w:space="0" w:color="auto" w:frame="1"/>
        </w:rPr>
        <w:t>ujetos encargados de suscribir el estado de resultado necesario para probar la capacidad residual</w:t>
      </w:r>
      <w:r>
        <w:rPr>
          <w:rFonts w:ascii="Arial" w:hAnsi="Arial" w:cs="Arial"/>
          <w:color w:val="000000"/>
          <w:sz w:val="22"/>
          <w:szCs w:val="22"/>
          <w:bdr w:val="none" w:sz="0" w:space="0" w:color="auto" w:frame="1"/>
        </w:rPr>
        <w:t>.</w:t>
      </w:r>
      <w:r w:rsidRPr="007230A2">
        <w:rPr>
          <w:rFonts w:ascii="Arial" w:hAnsi="Arial" w:cs="Arial"/>
          <w:color w:val="000000"/>
          <w:sz w:val="22"/>
          <w:szCs w:val="22"/>
          <w:bdr w:val="none" w:sz="0" w:space="0" w:color="auto" w:frame="1"/>
        </w:rPr>
        <w:t> </w:t>
      </w:r>
    </w:p>
    <w:p w14:paraId="54016618" w14:textId="77777777" w:rsidR="00B30F52" w:rsidRPr="0058255B" w:rsidRDefault="00B30F52" w:rsidP="00B30F52">
      <w:pPr>
        <w:spacing w:before="120" w:line="276" w:lineRule="auto"/>
        <w:ind w:firstLine="708"/>
        <w:jc w:val="both"/>
      </w:pPr>
      <w:r w:rsidRPr="007230A2">
        <w:rPr>
          <w:rFonts w:ascii="Arial" w:hAnsi="Arial" w:cs="Arial"/>
          <w:noProof/>
          <w:sz w:val="22"/>
          <w:szCs w:val="22"/>
          <w:lang w:val="es-ES_tradnl"/>
        </w:rPr>
        <w:t xml:space="preserve">La Agencia Nacional de Contratación Pública ― Colombia Compra Eficiente </w:t>
      </w:r>
      <w:r w:rsidRPr="0058255B">
        <w:rPr>
          <w:rFonts w:ascii="Arial" w:hAnsi="Arial" w:cs="Arial"/>
          <w:sz w:val="22"/>
          <w:szCs w:val="22"/>
          <w:lang w:val="es-MX"/>
        </w:rPr>
        <w:t>analizó aspectos relativos a la acreditación del requisito de capacidad residual en los Conceptos</w:t>
      </w:r>
      <w:r>
        <w:rPr>
          <w:rFonts w:ascii="Arial" w:hAnsi="Arial" w:cs="Arial"/>
          <w:sz w:val="22"/>
          <w:szCs w:val="22"/>
          <w:lang w:val="es-MX"/>
        </w:rPr>
        <w:t xml:space="preserve"> </w:t>
      </w:r>
      <w:r w:rsidRPr="0058255B">
        <w:rPr>
          <w:rFonts w:ascii="Arial" w:hAnsi="Arial" w:cs="Arial"/>
          <w:sz w:val="22"/>
          <w:szCs w:val="22"/>
          <w:lang w:val="es-MX"/>
        </w:rPr>
        <w:t xml:space="preserve">del 21 de agosto y el 30 de octubre de 2019 −radicados Nos. </w:t>
      </w:r>
      <w:r w:rsidRPr="0058255B">
        <w:rPr>
          <w:rFonts w:ascii="Arial" w:hAnsi="Arial" w:cs="Arial"/>
          <w:sz w:val="22"/>
          <w:szCs w:val="22"/>
          <w:lang w:val="es-MX"/>
        </w:rPr>
        <w:lastRenderedPageBreak/>
        <w:t>2201913000006054 y 2201913000008148–, C-033 del 13 de marzo de 2020, C-133 del 30 de marzo de 2020, C-196 del 8 de abril de 2020, C-297 del 4 de junio de 2020, C-489 del 23 de julio de 2020, C-522 del 6 de agosto de 2020, C-547 del 21 de agosto de 2020, C-642 de 30 de octubre de 2020, C-668 del 20 de noviembre de 2020</w:t>
      </w:r>
      <w:r>
        <w:rPr>
          <w:rFonts w:ascii="Arial" w:hAnsi="Arial" w:cs="Arial"/>
          <w:sz w:val="22"/>
          <w:szCs w:val="22"/>
          <w:lang w:val="es-MX"/>
        </w:rPr>
        <w:t>,</w:t>
      </w:r>
      <w:r w:rsidRPr="0058255B">
        <w:rPr>
          <w:rFonts w:ascii="Arial" w:hAnsi="Arial" w:cs="Arial"/>
          <w:sz w:val="22"/>
          <w:szCs w:val="22"/>
          <w:lang w:val="es-MX"/>
        </w:rPr>
        <w:t xml:space="preserve"> C-720 del 11 de diciembre de 2020</w:t>
      </w:r>
      <w:r>
        <w:rPr>
          <w:rFonts w:ascii="Arial" w:hAnsi="Arial" w:cs="Arial"/>
          <w:sz w:val="22"/>
          <w:szCs w:val="22"/>
          <w:lang w:val="es-MX"/>
        </w:rPr>
        <w:t xml:space="preserve"> y el C-789 del 19 de enero de 2021. Algunos de los argumentos expuestos en estos conceptos se reiteran a continuación. </w:t>
      </w:r>
    </w:p>
    <w:p w14:paraId="54B69025" w14:textId="77777777" w:rsidR="00B30F52" w:rsidRPr="007230A2" w:rsidRDefault="00B30F52" w:rsidP="00B30F52">
      <w:pPr>
        <w:spacing w:line="276" w:lineRule="auto"/>
        <w:jc w:val="both"/>
        <w:rPr>
          <w:rFonts w:ascii="Arial" w:hAnsi="Arial" w:cs="Arial"/>
          <w:color w:val="000000"/>
          <w:sz w:val="22"/>
          <w:szCs w:val="22"/>
          <w:shd w:val="clear" w:color="auto" w:fill="FFFFFF"/>
        </w:rPr>
      </w:pPr>
    </w:p>
    <w:p w14:paraId="7AC4BBB9" w14:textId="77777777" w:rsidR="00B30F52" w:rsidRDefault="00B30F52" w:rsidP="00B30F52">
      <w:pPr>
        <w:tabs>
          <w:tab w:val="left" w:pos="426"/>
          <w:tab w:val="left" w:pos="851"/>
        </w:tabs>
        <w:spacing w:line="276" w:lineRule="auto"/>
        <w:jc w:val="both"/>
        <w:rPr>
          <w:rStyle w:val="apple-converted-space"/>
          <w:rFonts w:ascii="Arial" w:hAnsi="Arial" w:cs="Arial"/>
          <w:b/>
          <w:bCs/>
          <w:color w:val="000000"/>
          <w:sz w:val="22"/>
          <w:szCs w:val="22"/>
          <w:bdr w:val="none" w:sz="0" w:space="0" w:color="auto" w:frame="1"/>
        </w:rPr>
      </w:pPr>
      <w:r w:rsidRPr="007230A2">
        <w:rPr>
          <w:rFonts w:ascii="Arial" w:hAnsi="Arial" w:cs="Arial"/>
          <w:b/>
          <w:bCs/>
          <w:color w:val="000000"/>
          <w:sz w:val="22"/>
          <w:szCs w:val="22"/>
          <w:bdr w:val="none" w:sz="0" w:space="0" w:color="auto" w:frame="1"/>
        </w:rPr>
        <w:t>2.1.</w:t>
      </w:r>
      <w:r w:rsidRPr="007230A2">
        <w:rPr>
          <w:rStyle w:val="apple-converted-space"/>
          <w:rFonts w:ascii="Arial" w:hAnsi="Arial" w:cs="Arial"/>
          <w:b/>
          <w:bCs/>
          <w:color w:val="000000"/>
          <w:sz w:val="22"/>
          <w:szCs w:val="22"/>
          <w:bdr w:val="none" w:sz="0" w:space="0" w:color="auto" w:frame="1"/>
        </w:rPr>
        <w:t> E</w:t>
      </w:r>
      <w:r>
        <w:rPr>
          <w:rStyle w:val="apple-converted-space"/>
          <w:rFonts w:ascii="Arial" w:hAnsi="Arial" w:cs="Arial"/>
          <w:b/>
          <w:bCs/>
          <w:color w:val="000000"/>
          <w:sz w:val="22"/>
          <w:szCs w:val="22"/>
          <w:bdr w:val="none" w:sz="0" w:space="0" w:color="auto" w:frame="1"/>
        </w:rPr>
        <w:t>l e</w:t>
      </w:r>
      <w:r w:rsidRPr="007230A2">
        <w:rPr>
          <w:rStyle w:val="apple-converted-space"/>
          <w:rFonts w:ascii="Arial" w:hAnsi="Arial" w:cs="Arial"/>
          <w:b/>
          <w:bCs/>
          <w:color w:val="000000"/>
          <w:sz w:val="22"/>
          <w:szCs w:val="22"/>
          <w:bdr w:val="none" w:sz="0" w:space="0" w:color="auto" w:frame="1"/>
        </w:rPr>
        <w:t xml:space="preserve">stado de resultados como </w:t>
      </w:r>
      <w:r>
        <w:rPr>
          <w:rStyle w:val="apple-converted-space"/>
          <w:rFonts w:ascii="Arial" w:hAnsi="Arial" w:cs="Arial"/>
          <w:b/>
          <w:bCs/>
          <w:color w:val="000000"/>
          <w:sz w:val="22"/>
          <w:szCs w:val="22"/>
          <w:bdr w:val="none" w:sz="0" w:space="0" w:color="auto" w:frame="1"/>
        </w:rPr>
        <w:t>forma</w:t>
      </w:r>
      <w:r w:rsidRPr="007230A2">
        <w:rPr>
          <w:rStyle w:val="apple-converted-space"/>
          <w:rFonts w:ascii="Arial" w:hAnsi="Arial" w:cs="Arial"/>
          <w:b/>
          <w:bCs/>
          <w:color w:val="000000"/>
          <w:sz w:val="22"/>
          <w:szCs w:val="22"/>
          <w:bdr w:val="none" w:sz="0" w:space="0" w:color="auto" w:frame="1"/>
        </w:rPr>
        <w:t xml:space="preserve"> de demostrar la capacidad residual para contratar </w:t>
      </w:r>
      <w:r>
        <w:rPr>
          <w:rStyle w:val="apple-converted-space"/>
          <w:rFonts w:ascii="Arial" w:hAnsi="Arial" w:cs="Arial"/>
          <w:b/>
          <w:bCs/>
          <w:color w:val="000000"/>
          <w:sz w:val="22"/>
          <w:szCs w:val="22"/>
          <w:bdr w:val="none" w:sz="0" w:space="0" w:color="auto" w:frame="1"/>
        </w:rPr>
        <w:t>con el Estado</w:t>
      </w:r>
    </w:p>
    <w:p w14:paraId="686291B4" w14:textId="77777777" w:rsidR="00B30F52" w:rsidRDefault="00B30F52" w:rsidP="00B30F52">
      <w:pPr>
        <w:tabs>
          <w:tab w:val="left" w:pos="426"/>
          <w:tab w:val="left" w:pos="851"/>
        </w:tabs>
        <w:jc w:val="both"/>
        <w:rPr>
          <w:rStyle w:val="apple-converted-space"/>
          <w:rFonts w:ascii="Arial" w:hAnsi="Arial" w:cs="Arial"/>
          <w:b/>
          <w:bCs/>
          <w:color w:val="000000"/>
          <w:sz w:val="22"/>
          <w:szCs w:val="22"/>
          <w:bdr w:val="none" w:sz="0" w:space="0" w:color="auto" w:frame="1"/>
        </w:rPr>
      </w:pPr>
    </w:p>
    <w:p w14:paraId="287C9D01" w14:textId="77777777" w:rsidR="00B30F52" w:rsidRPr="007230A2" w:rsidRDefault="00B30F52" w:rsidP="00B30F52">
      <w:pPr>
        <w:tabs>
          <w:tab w:val="left" w:pos="426"/>
          <w:tab w:val="left" w:pos="851"/>
        </w:tabs>
        <w:spacing w:line="276" w:lineRule="auto"/>
        <w:jc w:val="both"/>
        <w:rPr>
          <w:rFonts w:ascii="Arial" w:hAnsi="Arial" w:cs="Arial"/>
          <w:b/>
          <w:bCs/>
          <w:color w:val="000000"/>
          <w:sz w:val="22"/>
          <w:szCs w:val="22"/>
          <w:bdr w:val="none" w:sz="0" w:space="0" w:color="auto" w:frame="1"/>
        </w:rPr>
      </w:pPr>
      <w:r w:rsidRPr="007230A2">
        <w:rPr>
          <w:rFonts w:ascii="Arial" w:hAnsi="Arial" w:cs="Arial"/>
          <w:sz w:val="22"/>
          <w:szCs w:val="22"/>
        </w:rPr>
        <w:t>La exigencia de Capacidad Residual o K de contratación fue creada con la Ley 1150 de 2007, que en el parágrafo 1 articulo 6 dispone:</w:t>
      </w:r>
    </w:p>
    <w:p w14:paraId="4F9FF772" w14:textId="77777777" w:rsidR="00B30F52" w:rsidRPr="007230A2" w:rsidRDefault="00B30F52" w:rsidP="00B30F52">
      <w:pPr>
        <w:pStyle w:val="Textoindependiente"/>
        <w:spacing w:before="9"/>
        <w:rPr>
          <w:sz w:val="22"/>
          <w:szCs w:val="22"/>
        </w:rPr>
      </w:pPr>
    </w:p>
    <w:p w14:paraId="46E4A036" w14:textId="77777777" w:rsidR="00B30F52" w:rsidRPr="00B0534A" w:rsidRDefault="00B30F52" w:rsidP="00B30F52">
      <w:pPr>
        <w:pStyle w:val="Textoindependiente"/>
        <w:ind w:left="709" w:right="709"/>
        <w:jc w:val="both"/>
        <w:rPr>
          <w:sz w:val="21"/>
          <w:szCs w:val="21"/>
        </w:rPr>
      </w:pPr>
      <w:r w:rsidRPr="00B0534A">
        <w:rPr>
          <w:sz w:val="21"/>
          <w:szCs w:val="21"/>
        </w:rPr>
        <w:t>Parágrafo 1. Para poder participar en los procesos de selección de los contratos de obra y demás que señale el reglamento, la capacidad residual del proponente o K de contratación deberá ser igual o superior al que la entidad haya establecido para el efecto en los pliegos de condiciones.</w:t>
      </w:r>
    </w:p>
    <w:p w14:paraId="4BE3229D" w14:textId="77777777" w:rsidR="00B30F52" w:rsidRPr="00B0534A" w:rsidRDefault="00B30F52" w:rsidP="00B30F52">
      <w:pPr>
        <w:pStyle w:val="Textoindependiente"/>
        <w:spacing w:before="4"/>
        <w:ind w:left="709" w:right="709"/>
        <w:rPr>
          <w:sz w:val="21"/>
          <w:szCs w:val="21"/>
        </w:rPr>
      </w:pPr>
    </w:p>
    <w:p w14:paraId="63B3C98F" w14:textId="77777777" w:rsidR="00B30F52" w:rsidRPr="00B0534A" w:rsidRDefault="00B30F52" w:rsidP="00B30F52">
      <w:pPr>
        <w:pStyle w:val="Textoindependiente"/>
        <w:spacing w:before="94"/>
        <w:ind w:left="709" w:right="709"/>
        <w:jc w:val="both"/>
        <w:rPr>
          <w:color w:val="000000"/>
          <w:sz w:val="21"/>
          <w:szCs w:val="21"/>
          <w:bdr w:val="none" w:sz="0" w:space="0" w:color="auto" w:frame="1"/>
        </w:rPr>
      </w:pPr>
      <w:r w:rsidRPr="00B0534A">
        <w:rPr>
          <w:sz w:val="21"/>
          <w:szCs w:val="21"/>
        </w:rPr>
        <w:t>Para establecer la capacidad residual del proponente o K de contratación, se deberán considerar todos los contratos que tenga en ejecución el proponente al momento de presentar la oferta. El desarrollo y ejecución del contrato podrá dar lugar a que los valores que sean cancelados al contratista se consideren para establecer el real K de contratación, en cada oportunidad. El Gobierno Nacional reglamentará la</w:t>
      </w:r>
      <w:r w:rsidRPr="00B0534A">
        <w:rPr>
          <w:spacing w:val="-6"/>
          <w:sz w:val="21"/>
          <w:szCs w:val="21"/>
        </w:rPr>
        <w:t xml:space="preserve"> </w:t>
      </w:r>
      <w:r w:rsidRPr="00B0534A">
        <w:rPr>
          <w:sz w:val="21"/>
          <w:szCs w:val="21"/>
        </w:rPr>
        <w:t>materia</w:t>
      </w:r>
      <w:r w:rsidRPr="00B0534A">
        <w:rPr>
          <w:color w:val="000000"/>
          <w:sz w:val="21"/>
          <w:szCs w:val="21"/>
          <w:bdr w:val="none" w:sz="0" w:space="0" w:color="auto" w:frame="1"/>
        </w:rPr>
        <w:t>.</w:t>
      </w:r>
    </w:p>
    <w:p w14:paraId="03485BB4" w14:textId="77777777" w:rsidR="00B30F52" w:rsidRPr="007230A2" w:rsidRDefault="00B30F52" w:rsidP="00B30F52">
      <w:pPr>
        <w:pStyle w:val="Textoindependiente"/>
        <w:spacing w:before="94"/>
        <w:jc w:val="both"/>
      </w:pPr>
    </w:p>
    <w:p w14:paraId="09F2B953" w14:textId="77777777" w:rsidR="00B30F52" w:rsidRPr="007230A2" w:rsidRDefault="00B30F52" w:rsidP="00B30F52">
      <w:pPr>
        <w:pStyle w:val="Ttulo2"/>
        <w:spacing w:line="276" w:lineRule="auto"/>
        <w:ind w:left="0" w:firstLine="709"/>
      </w:pPr>
      <w:r w:rsidRPr="007230A2">
        <w:t>Esta disposición fue inicialmente reglamentada en el Decreto 4881 de 2008, articulo 2, que definía capacidad residual como:</w:t>
      </w:r>
    </w:p>
    <w:p w14:paraId="3FBC49B8" w14:textId="77777777" w:rsidR="00B30F52" w:rsidRPr="007230A2" w:rsidRDefault="00B30F52" w:rsidP="00B30F52">
      <w:pPr>
        <w:pStyle w:val="Textoindependiente"/>
        <w:spacing w:before="9"/>
        <w:ind w:left="709" w:right="709"/>
      </w:pPr>
    </w:p>
    <w:p w14:paraId="3564FAE4" w14:textId="77777777" w:rsidR="00B30F52" w:rsidRPr="00B0534A" w:rsidRDefault="00B30F52" w:rsidP="00B30F52">
      <w:pPr>
        <w:pStyle w:val="Textoindependiente"/>
        <w:spacing w:before="1"/>
        <w:ind w:left="709" w:right="709"/>
        <w:jc w:val="both"/>
        <w:rPr>
          <w:sz w:val="21"/>
          <w:szCs w:val="21"/>
        </w:rPr>
      </w:pPr>
      <w:r w:rsidRPr="00B0534A">
        <w:rPr>
          <w:sz w:val="21"/>
          <w:szCs w:val="21"/>
        </w:rPr>
        <w:t>2. Capacidad residual. Es la capacidad real de contratación que resulta de restarle a la capacidad máxima de contratación, la sumatoria de los valores de los contratos que tenga en ejecución el contratista. El cálculo de la capacidad residual se exigirá por las entidades estatales para el momento en que se presente la propuesta, cualquiera que sea la modalidad del contrato.</w:t>
      </w:r>
    </w:p>
    <w:p w14:paraId="7DF9CC53" w14:textId="77777777" w:rsidR="00B30F52" w:rsidRPr="00B0534A" w:rsidRDefault="00B30F52" w:rsidP="00B30F52">
      <w:pPr>
        <w:pStyle w:val="Textoindependiente"/>
        <w:ind w:left="709" w:right="709"/>
        <w:rPr>
          <w:sz w:val="21"/>
          <w:szCs w:val="21"/>
        </w:rPr>
      </w:pPr>
    </w:p>
    <w:p w14:paraId="732081A3" w14:textId="77777777" w:rsidR="00B30F52" w:rsidRPr="00B0534A" w:rsidRDefault="00B30F52" w:rsidP="00B30F52">
      <w:pPr>
        <w:pStyle w:val="Textoindependiente"/>
        <w:spacing w:before="1"/>
        <w:ind w:left="709" w:right="709"/>
        <w:jc w:val="both"/>
        <w:rPr>
          <w:sz w:val="21"/>
          <w:szCs w:val="21"/>
        </w:rPr>
      </w:pPr>
      <w:r w:rsidRPr="00B0534A">
        <w:rPr>
          <w:sz w:val="21"/>
          <w:szCs w:val="21"/>
        </w:rPr>
        <w:t>Para establecer la capacidad residual del proponente o K de contratación, la entidad contratante deberá considerar los contratos relevantes que tenga en ejecución el proponente al momento de presentar la oferta, de acuerdo con lo señalado en el respectivo pliego de condiciones, incluyendo los que tenga por su participación en sociedades, consorcios o uniones temporales, según se haya dispuesto en el pliego de condiciones del proceso</w:t>
      </w:r>
      <w:r w:rsidRPr="00B0534A">
        <w:rPr>
          <w:color w:val="000000"/>
          <w:sz w:val="21"/>
          <w:szCs w:val="21"/>
          <w:bdr w:val="none" w:sz="0" w:space="0" w:color="auto" w:frame="1"/>
        </w:rPr>
        <w:t>.</w:t>
      </w:r>
    </w:p>
    <w:p w14:paraId="411A4339" w14:textId="77777777" w:rsidR="00B30F52" w:rsidRPr="007230A2" w:rsidRDefault="00B30F52" w:rsidP="00B30F52">
      <w:pPr>
        <w:pStyle w:val="Textoindependiente"/>
        <w:rPr>
          <w:sz w:val="22"/>
          <w:szCs w:val="22"/>
        </w:rPr>
      </w:pPr>
    </w:p>
    <w:p w14:paraId="2791C909" w14:textId="77777777" w:rsidR="00B30F52" w:rsidRPr="007230A2" w:rsidRDefault="00B30F52" w:rsidP="00B30F52">
      <w:pPr>
        <w:pStyle w:val="Ttulo2"/>
        <w:spacing w:before="1" w:line="276" w:lineRule="auto"/>
        <w:ind w:left="0" w:firstLine="709"/>
      </w:pPr>
      <w:r w:rsidRPr="007230A2">
        <w:t>Posteriormente el Decreto 734 de 2012</w:t>
      </w:r>
      <w:r w:rsidRPr="007230A2">
        <w:rPr>
          <w:rStyle w:val="Refdenotaalpie"/>
        </w:rPr>
        <w:footnoteReference w:id="2"/>
      </w:r>
      <w:r w:rsidRPr="007230A2">
        <w:t xml:space="preserve"> derogó el Decreto 4881 de 2008, y </w:t>
      </w:r>
      <w:r w:rsidRPr="007230A2">
        <w:lastRenderedPageBreak/>
        <w:t>estableció una nueva definición para capacidad residual:</w:t>
      </w:r>
    </w:p>
    <w:p w14:paraId="1EDA2441" w14:textId="77777777" w:rsidR="00B30F52" w:rsidRPr="007230A2" w:rsidRDefault="00B30F52" w:rsidP="00B30F52">
      <w:pPr>
        <w:pStyle w:val="Textoindependiente"/>
        <w:spacing w:before="4"/>
        <w:rPr>
          <w:sz w:val="22"/>
          <w:szCs w:val="22"/>
        </w:rPr>
      </w:pPr>
    </w:p>
    <w:p w14:paraId="31AD9E1E" w14:textId="77777777" w:rsidR="00B30F52" w:rsidRPr="00B0534A" w:rsidRDefault="00B30F52" w:rsidP="00B30F52">
      <w:pPr>
        <w:pStyle w:val="Textoindependiente"/>
        <w:ind w:left="709" w:right="709"/>
        <w:jc w:val="both"/>
        <w:rPr>
          <w:sz w:val="21"/>
          <w:szCs w:val="21"/>
        </w:rPr>
      </w:pPr>
      <w:r w:rsidRPr="00B0534A">
        <w:rPr>
          <w:sz w:val="21"/>
          <w:szCs w:val="21"/>
        </w:rPr>
        <w:t>1. Capacidad residual para la contratación de cualquier obra. Es el indicador que resulta de restarle al indicador financiero de capital de trabajo, la sumatoria de todos los valores de los contratos que tenga en ejecución el contratista en la actividad de construcción al momento de participar en un determinado proceso de selección con el fin de señalar su nivel de saturación y que se acreditará ante la entidad de acuerdo a los parámetros señalados en el presente decreto y en los respectivos pliegos de</w:t>
      </w:r>
      <w:r w:rsidRPr="00B0534A">
        <w:rPr>
          <w:spacing w:val="-14"/>
          <w:sz w:val="21"/>
          <w:szCs w:val="21"/>
        </w:rPr>
        <w:t xml:space="preserve"> </w:t>
      </w:r>
      <w:r w:rsidRPr="00B0534A">
        <w:rPr>
          <w:sz w:val="21"/>
          <w:szCs w:val="21"/>
        </w:rPr>
        <w:t>condiciones.</w:t>
      </w:r>
    </w:p>
    <w:p w14:paraId="6C97A9D4" w14:textId="77777777" w:rsidR="00B30F52" w:rsidRPr="00B0534A" w:rsidRDefault="00B30F52" w:rsidP="00B30F52">
      <w:pPr>
        <w:pStyle w:val="Textoindependiente"/>
        <w:spacing w:before="1"/>
        <w:ind w:left="709" w:right="709"/>
        <w:rPr>
          <w:sz w:val="21"/>
          <w:szCs w:val="21"/>
        </w:rPr>
      </w:pPr>
    </w:p>
    <w:p w14:paraId="115B2E6B" w14:textId="77777777" w:rsidR="00B30F52" w:rsidRPr="00B0534A" w:rsidRDefault="00B30F52" w:rsidP="00B30F52">
      <w:pPr>
        <w:pStyle w:val="Textoindependiente"/>
        <w:ind w:left="709" w:right="709"/>
        <w:jc w:val="both"/>
        <w:rPr>
          <w:sz w:val="21"/>
          <w:szCs w:val="21"/>
        </w:rPr>
      </w:pPr>
      <w:r w:rsidRPr="00B0534A">
        <w:rPr>
          <w:sz w:val="21"/>
          <w:szCs w:val="21"/>
        </w:rPr>
        <w:t>El referido nivel de saturación debe ser igual o superior al que la entidad estatal establezca en los respectivos pliegos de</w:t>
      </w:r>
      <w:r w:rsidRPr="00B0534A">
        <w:rPr>
          <w:spacing w:val="-11"/>
          <w:sz w:val="21"/>
          <w:szCs w:val="21"/>
        </w:rPr>
        <w:t xml:space="preserve"> </w:t>
      </w:r>
      <w:r w:rsidRPr="00B0534A">
        <w:rPr>
          <w:sz w:val="21"/>
          <w:szCs w:val="21"/>
        </w:rPr>
        <w:t>condiciones.</w:t>
      </w:r>
    </w:p>
    <w:p w14:paraId="721070D8" w14:textId="77777777" w:rsidR="00B30F52" w:rsidRPr="00B0534A" w:rsidRDefault="00B30F52" w:rsidP="00B30F52">
      <w:pPr>
        <w:pStyle w:val="Textoindependiente"/>
        <w:spacing w:before="1"/>
        <w:ind w:left="709" w:right="709"/>
        <w:rPr>
          <w:sz w:val="21"/>
          <w:szCs w:val="21"/>
        </w:rPr>
      </w:pPr>
    </w:p>
    <w:p w14:paraId="7BC61496" w14:textId="77777777" w:rsidR="00B30F52" w:rsidRPr="00B0534A" w:rsidRDefault="00B30F52" w:rsidP="00B30F52">
      <w:pPr>
        <w:pStyle w:val="Textoindependiente"/>
        <w:ind w:left="709" w:right="709"/>
        <w:jc w:val="both"/>
        <w:rPr>
          <w:sz w:val="21"/>
          <w:szCs w:val="21"/>
        </w:rPr>
      </w:pPr>
      <w:r w:rsidRPr="00B0534A">
        <w:rPr>
          <w:sz w:val="21"/>
          <w:szCs w:val="21"/>
        </w:rPr>
        <w:t>Para establecer la capacidad residual del proponente, la entidad contratante deberá considerar los contratos que tenga en ejecución el proponente al momento de presentar la oferta, de acuerdo con lo señalado en el respectivo pliego de condiciones, incluyendo los que tenga por su participación en sociedades, consorcios o uniones temporales y sobre estos se aplicará la información que sobre el capital de trabajo incorpora el RUP. El pliego también definirá la forma en que se tendrá en cuenta el porcentaje de ejecución de contratos no finalizados que se consideren en el cálculo de la capacidad residual para obtener su resultado.</w:t>
      </w:r>
    </w:p>
    <w:p w14:paraId="7910C416" w14:textId="77777777" w:rsidR="00B30F52" w:rsidRPr="00B0534A" w:rsidRDefault="00B30F52" w:rsidP="00B30F52">
      <w:pPr>
        <w:pStyle w:val="Textoindependiente"/>
        <w:spacing w:before="1"/>
        <w:ind w:left="709" w:right="709"/>
        <w:rPr>
          <w:sz w:val="21"/>
          <w:szCs w:val="21"/>
        </w:rPr>
      </w:pPr>
    </w:p>
    <w:p w14:paraId="133F7B1A" w14:textId="77777777" w:rsidR="00B30F52" w:rsidRPr="00B0534A" w:rsidRDefault="00B30F52" w:rsidP="00B30F52">
      <w:pPr>
        <w:pStyle w:val="Textoindependiente"/>
        <w:ind w:left="709" w:right="709"/>
        <w:jc w:val="both"/>
        <w:rPr>
          <w:sz w:val="21"/>
          <w:szCs w:val="21"/>
        </w:rPr>
      </w:pPr>
      <w:r w:rsidRPr="00B0534A">
        <w:rPr>
          <w:sz w:val="21"/>
          <w:szCs w:val="21"/>
        </w:rPr>
        <w:t>La Capacidad Residual (CR) tiene como objetivo evaluar el equilibrio patrimonial a corto plazo de un oferente a una contratación de una obra específica. El valor de este indicador solo tendrá vigencia al momento de la presentación de oferta y para la contratación específica de la oferta en cuestión</w:t>
      </w:r>
      <w:r w:rsidRPr="00B0534A">
        <w:rPr>
          <w:rFonts w:eastAsia="Calibri"/>
          <w:color w:val="000000" w:themeColor="text1"/>
          <w:sz w:val="21"/>
          <w:szCs w:val="21"/>
        </w:rPr>
        <w:t>.</w:t>
      </w:r>
      <w:r w:rsidRPr="00B0534A">
        <w:rPr>
          <w:color w:val="000000"/>
          <w:sz w:val="21"/>
          <w:szCs w:val="21"/>
          <w:bdr w:val="none" w:sz="0" w:space="0" w:color="auto" w:frame="1"/>
        </w:rPr>
        <w:t> </w:t>
      </w:r>
    </w:p>
    <w:p w14:paraId="056258B5" w14:textId="77777777" w:rsidR="00B30F52" w:rsidRPr="007230A2" w:rsidRDefault="00B30F52" w:rsidP="00B30F52">
      <w:pPr>
        <w:pStyle w:val="Textoindependiente"/>
        <w:spacing w:before="11"/>
        <w:rPr>
          <w:sz w:val="22"/>
          <w:szCs w:val="22"/>
        </w:rPr>
      </w:pPr>
    </w:p>
    <w:p w14:paraId="28F1DD70" w14:textId="77777777" w:rsidR="00B30F52" w:rsidRPr="007230A2" w:rsidRDefault="00B30F52" w:rsidP="00B30F52">
      <w:pPr>
        <w:pStyle w:val="Ttulo2"/>
        <w:spacing w:line="276" w:lineRule="auto"/>
        <w:ind w:left="0" w:firstLine="709"/>
      </w:pPr>
      <w:r w:rsidRPr="007230A2">
        <w:t xml:space="preserve">Luego, la Ley 1682 de 2013, estableció, de forma más precisa, los componentes </w:t>
      </w:r>
      <w:r>
        <w:t>que se deben</w:t>
      </w:r>
      <w:r w:rsidRPr="007230A2">
        <w:t xml:space="preserve"> tener en cuenta para calcular la Capacidad Residual en procesos</w:t>
      </w:r>
      <w:r>
        <w:t xml:space="preserve"> contractuales para</w:t>
      </w:r>
      <w:r w:rsidRPr="007230A2">
        <w:t xml:space="preserve"> obra pública:</w:t>
      </w:r>
    </w:p>
    <w:p w14:paraId="61C8E8AD" w14:textId="77777777" w:rsidR="00B30F52" w:rsidRPr="007230A2" w:rsidRDefault="00B30F52" w:rsidP="00B30F52">
      <w:pPr>
        <w:pStyle w:val="Textoindependiente"/>
        <w:spacing w:before="9"/>
        <w:rPr>
          <w:sz w:val="22"/>
          <w:szCs w:val="22"/>
        </w:rPr>
      </w:pPr>
    </w:p>
    <w:p w14:paraId="739330A0" w14:textId="77777777" w:rsidR="00B30F52" w:rsidRPr="00B0534A" w:rsidRDefault="00B30F52" w:rsidP="00B30F52">
      <w:pPr>
        <w:pStyle w:val="Textoindependiente"/>
        <w:spacing w:before="1"/>
        <w:ind w:left="709" w:right="709"/>
        <w:jc w:val="both"/>
        <w:rPr>
          <w:sz w:val="21"/>
          <w:szCs w:val="21"/>
        </w:rPr>
      </w:pPr>
      <w:r w:rsidRPr="00B0534A">
        <w:rPr>
          <w:sz w:val="21"/>
          <w:szCs w:val="21"/>
        </w:rPr>
        <w:t>Artículo 72. Capacidad residual de contratación para contratos de obra pública. La capacidad residual de contratación cuando se realicen contratos de obra pública se obtendrá de sustraer de la capacidad de contratación, el saldo del valor de los contratos en ejecución.</w:t>
      </w:r>
    </w:p>
    <w:p w14:paraId="70BD6D06" w14:textId="77777777" w:rsidR="00B30F52" w:rsidRPr="00B0534A" w:rsidRDefault="00B30F52" w:rsidP="00B30F52">
      <w:pPr>
        <w:pStyle w:val="Textoindependiente"/>
        <w:spacing w:before="11"/>
        <w:ind w:left="709" w:right="709"/>
        <w:rPr>
          <w:sz w:val="21"/>
          <w:szCs w:val="21"/>
        </w:rPr>
      </w:pPr>
    </w:p>
    <w:p w14:paraId="2E0C659C" w14:textId="77777777" w:rsidR="00B30F52" w:rsidRPr="00B0534A" w:rsidRDefault="00B30F52" w:rsidP="00B30F52">
      <w:pPr>
        <w:pStyle w:val="Textoindependiente"/>
        <w:ind w:left="709" w:right="709"/>
        <w:jc w:val="both"/>
        <w:rPr>
          <w:sz w:val="21"/>
          <w:szCs w:val="21"/>
        </w:rPr>
      </w:pPr>
      <w:r w:rsidRPr="00B0534A">
        <w:rPr>
          <w:sz w:val="21"/>
          <w:szCs w:val="21"/>
        </w:rPr>
        <w:t>La capacidad de contratación se deberá calcular mediante la evaluación de los siguientes factores: Experiencia (E), Capacidad Financiera (CF), Capacidad Técnica (CT), y Capacidad de Organización (CO).</w:t>
      </w:r>
    </w:p>
    <w:p w14:paraId="2CA2D0D7" w14:textId="77777777" w:rsidR="00B30F52" w:rsidRPr="00B0534A" w:rsidRDefault="00B30F52" w:rsidP="00B30F52">
      <w:pPr>
        <w:pStyle w:val="Textoindependiente"/>
        <w:spacing w:before="11"/>
        <w:ind w:left="709" w:right="709"/>
        <w:rPr>
          <w:sz w:val="21"/>
          <w:szCs w:val="21"/>
        </w:rPr>
      </w:pPr>
    </w:p>
    <w:p w14:paraId="7D32804C" w14:textId="77777777" w:rsidR="00B30F52" w:rsidRPr="00B0534A" w:rsidRDefault="00B30F52" w:rsidP="00B30F52">
      <w:pPr>
        <w:pStyle w:val="Textoindependiente"/>
        <w:ind w:left="709" w:right="709"/>
        <w:jc w:val="both"/>
        <w:rPr>
          <w:sz w:val="21"/>
          <w:szCs w:val="21"/>
        </w:rPr>
      </w:pPr>
      <w:r w:rsidRPr="00B0534A">
        <w:rPr>
          <w:sz w:val="21"/>
          <w:szCs w:val="21"/>
        </w:rPr>
        <w:t xml:space="preserve">El Gobierno Nacional reglamentará la materia, dentro de los sesenta (60) días siguientes a la promulgación de la presente ley, acudiendo al concepto técnico de la Sociedad Colombiana de ingenieros, en virtud de la Ley 46 de 1904, para propender por una reglamentación equitativa en la implementación de mínimos </w:t>
      </w:r>
      <w:r w:rsidRPr="00B0534A">
        <w:rPr>
          <w:sz w:val="21"/>
          <w:szCs w:val="21"/>
        </w:rPr>
        <w:lastRenderedPageBreak/>
        <w:t>y máximos que garanticen los derechos de los pequeños contratistas</w:t>
      </w:r>
      <w:r w:rsidRPr="00B0534A">
        <w:rPr>
          <w:rFonts w:eastAsia="Calibri"/>
          <w:color w:val="000000" w:themeColor="text1"/>
          <w:sz w:val="21"/>
          <w:szCs w:val="21"/>
        </w:rPr>
        <w:t>.</w:t>
      </w:r>
      <w:r w:rsidRPr="00B0534A">
        <w:rPr>
          <w:color w:val="000000"/>
          <w:sz w:val="21"/>
          <w:szCs w:val="21"/>
          <w:bdr w:val="none" w:sz="0" w:space="0" w:color="auto" w:frame="1"/>
        </w:rPr>
        <w:t> </w:t>
      </w:r>
    </w:p>
    <w:p w14:paraId="1570ECA8" w14:textId="77777777" w:rsidR="00B30F52" w:rsidRPr="007230A2" w:rsidRDefault="00B30F52" w:rsidP="00B30F52">
      <w:pPr>
        <w:pStyle w:val="Textoindependiente"/>
        <w:spacing w:before="3"/>
        <w:rPr>
          <w:sz w:val="22"/>
          <w:szCs w:val="22"/>
        </w:rPr>
      </w:pPr>
    </w:p>
    <w:p w14:paraId="2833A50D" w14:textId="77777777" w:rsidR="00B30F52" w:rsidRPr="007230A2" w:rsidRDefault="00B30F52" w:rsidP="00B30F52">
      <w:pPr>
        <w:pStyle w:val="Ttulo2"/>
        <w:spacing w:line="276" w:lineRule="auto"/>
        <w:ind w:left="0" w:firstLine="709"/>
      </w:pPr>
      <w:r w:rsidRPr="007230A2">
        <w:t>Cabe resaltar que en virtud de esta</w:t>
      </w:r>
      <w:r>
        <w:t xml:space="preserve"> última</w:t>
      </w:r>
      <w:r w:rsidRPr="007230A2">
        <w:t xml:space="preserve"> norma todas las entidades estatales que adelanten procesos de contratación de obra pública, sin importar la modalidad de selección del contratista, están obligadas a verificar la capacidad residual de los proponentes, como requisito habilitante para participar en el</w:t>
      </w:r>
      <w:r>
        <w:t xml:space="preserve"> respectivo</w:t>
      </w:r>
      <w:r w:rsidRPr="007230A2">
        <w:t xml:space="preserve"> proceso</w:t>
      </w:r>
      <w:r>
        <w:t xml:space="preserve"> contractual</w:t>
      </w:r>
      <w:r w:rsidRPr="007230A2">
        <w:t>.</w:t>
      </w:r>
    </w:p>
    <w:p w14:paraId="604FAA27" w14:textId="77777777" w:rsidR="00B30F52" w:rsidRPr="007230A2" w:rsidRDefault="00B30F52" w:rsidP="00B30F52">
      <w:pPr>
        <w:spacing w:before="120" w:line="276" w:lineRule="auto"/>
        <w:ind w:firstLine="709"/>
        <w:jc w:val="both"/>
        <w:rPr>
          <w:rFonts w:ascii="Arial" w:hAnsi="Arial" w:cs="Arial"/>
          <w:sz w:val="22"/>
          <w:szCs w:val="22"/>
        </w:rPr>
      </w:pPr>
      <w:r>
        <w:rPr>
          <w:rFonts w:ascii="Arial" w:hAnsi="Arial" w:cs="Arial"/>
          <w:sz w:val="22"/>
          <w:szCs w:val="22"/>
        </w:rPr>
        <w:t>Más tarde</w:t>
      </w:r>
      <w:r w:rsidRPr="007230A2">
        <w:rPr>
          <w:rFonts w:ascii="Arial" w:hAnsi="Arial" w:cs="Arial"/>
          <w:sz w:val="22"/>
          <w:szCs w:val="22"/>
        </w:rPr>
        <w:t xml:space="preserve">, el Decreto 1510 de 2013 </w:t>
      </w:r>
      <w:r>
        <w:rPr>
          <w:rFonts w:ascii="Arial" w:hAnsi="Arial" w:cs="Arial"/>
          <w:sz w:val="22"/>
          <w:szCs w:val="22"/>
        </w:rPr>
        <w:t>recoge lo</w:t>
      </w:r>
      <w:r w:rsidRPr="007230A2">
        <w:rPr>
          <w:rFonts w:ascii="Arial" w:hAnsi="Arial" w:cs="Arial"/>
          <w:sz w:val="22"/>
          <w:szCs w:val="22"/>
        </w:rPr>
        <w:t xml:space="preserve"> regulado en la Ley 1682 de 2013, y establece una nueva definición de la Capacidad Residual</w:t>
      </w:r>
      <w:r>
        <w:rPr>
          <w:rFonts w:ascii="Arial" w:hAnsi="Arial" w:cs="Arial"/>
          <w:sz w:val="22"/>
          <w:szCs w:val="22"/>
        </w:rPr>
        <w:t xml:space="preserve"> en</w:t>
      </w:r>
      <w:r w:rsidRPr="007230A2">
        <w:rPr>
          <w:rFonts w:ascii="Arial" w:hAnsi="Arial" w:cs="Arial"/>
          <w:sz w:val="22"/>
          <w:szCs w:val="22"/>
        </w:rPr>
        <w:t xml:space="preserve"> </w:t>
      </w:r>
      <w:r>
        <w:rPr>
          <w:rFonts w:ascii="Arial" w:hAnsi="Arial" w:cs="Arial"/>
          <w:sz w:val="22"/>
          <w:szCs w:val="22"/>
        </w:rPr>
        <w:t>su</w:t>
      </w:r>
      <w:r w:rsidRPr="007230A2">
        <w:rPr>
          <w:rFonts w:ascii="Arial" w:hAnsi="Arial" w:cs="Arial"/>
          <w:sz w:val="22"/>
          <w:szCs w:val="22"/>
        </w:rPr>
        <w:t xml:space="preserve"> artículo 3</w:t>
      </w:r>
      <w:r>
        <w:rPr>
          <w:rFonts w:ascii="Arial" w:hAnsi="Arial" w:cs="Arial"/>
          <w:sz w:val="22"/>
          <w:szCs w:val="22"/>
        </w:rPr>
        <w:t>, el cual señala:</w:t>
      </w:r>
    </w:p>
    <w:p w14:paraId="6B3F907A" w14:textId="77777777" w:rsidR="00B30F52" w:rsidRPr="00B0534A" w:rsidRDefault="00B30F52" w:rsidP="00B30F52">
      <w:pPr>
        <w:pStyle w:val="Textoindependiente"/>
        <w:spacing w:before="9"/>
        <w:rPr>
          <w:sz w:val="21"/>
          <w:szCs w:val="21"/>
        </w:rPr>
      </w:pPr>
    </w:p>
    <w:p w14:paraId="00969142" w14:textId="77777777" w:rsidR="00B30F52" w:rsidRPr="00B0534A" w:rsidRDefault="00B30F52" w:rsidP="00B30F52">
      <w:pPr>
        <w:pStyle w:val="Textoindependiente"/>
        <w:ind w:left="709" w:right="709"/>
        <w:jc w:val="both"/>
        <w:rPr>
          <w:sz w:val="21"/>
          <w:szCs w:val="21"/>
        </w:rPr>
      </w:pPr>
      <w:r w:rsidRPr="00B0534A">
        <w:rPr>
          <w:sz w:val="21"/>
          <w:szCs w:val="21"/>
        </w:rPr>
        <w:t>Artículo 3. Definiciones. Los términos no definidos en el presente decreto y utilizados frecuentemente deben entenderse de acuerdo con su significado natural y obvio. Para la interpretación del presente decreto, las expresiones aquí utilizadas con mayúscula inicial deben ser entendidas con el significado que a continuación se indica. Los términos definidos son utilizados en singular y en plural de acuerdo como lo requiera el contexto en el cual son utilizados.</w:t>
      </w:r>
    </w:p>
    <w:p w14:paraId="2B4F4B0C" w14:textId="77777777" w:rsidR="00B30F52" w:rsidRPr="00B0534A" w:rsidRDefault="00B30F52" w:rsidP="00B30F52">
      <w:pPr>
        <w:pStyle w:val="Textoindependiente"/>
        <w:spacing w:before="4"/>
        <w:ind w:left="709" w:right="709"/>
        <w:rPr>
          <w:sz w:val="21"/>
          <w:szCs w:val="21"/>
        </w:rPr>
      </w:pPr>
    </w:p>
    <w:p w14:paraId="1BFEDC6F" w14:textId="77777777" w:rsidR="00B30F52" w:rsidRPr="00B0534A" w:rsidRDefault="00B30F52" w:rsidP="00B30F52">
      <w:pPr>
        <w:pStyle w:val="Textoindependiente"/>
        <w:ind w:left="709" w:right="709"/>
        <w:jc w:val="both"/>
        <w:rPr>
          <w:color w:val="000000"/>
          <w:sz w:val="21"/>
          <w:szCs w:val="21"/>
          <w:bdr w:val="none" w:sz="0" w:space="0" w:color="auto" w:frame="1"/>
        </w:rPr>
      </w:pPr>
      <w:r w:rsidRPr="00B0534A">
        <w:rPr>
          <w:sz w:val="21"/>
          <w:szCs w:val="21"/>
        </w:rPr>
        <w:t>Capacidad Residual o K de Contratación es la aptitud de un oferente para cumplir oportuna y cabalmente con el objeto de un contrato de obra, sin que sus otros compromisos contractuales afecten su habilidad de cumplir con el contrato que está en proceso de selección</w:t>
      </w:r>
      <w:r w:rsidRPr="00B0534A">
        <w:rPr>
          <w:rFonts w:eastAsia="Calibri"/>
          <w:color w:val="000000" w:themeColor="text1"/>
          <w:sz w:val="21"/>
          <w:szCs w:val="21"/>
        </w:rPr>
        <w:t>.</w:t>
      </w:r>
      <w:r w:rsidRPr="00B0534A">
        <w:rPr>
          <w:color w:val="000000"/>
          <w:sz w:val="21"/>
          <w:szCs w:val="21"/>
          <w:bdr w:val="none" w:sz="0" w:space="0" w:color="auto" w:frame="1"/>
        </w:rPr>
        <w:t> </w:t>
      </w:r>
    </w:p>
    <w:p w14:paraId="1B5B61D6" w14:textId="77777777" w:rsidR="00B30F52" w:rsidRPr="007230A2" w:rsidRDefault="00B30F52" w:rsidP="00B30F52">
      <w:pPr>
        <w:pStyle w:val="Textoindependiente"/>
        <w:ind w:left="1008" w:right="956"/>
        <w:jc w:val="both"/>
      </w:pPr>
    </w:p>
    <w:p w14:paraId="1BC4FFDC" w14:textId="77777777" w:rsidR="00B30F52" w:rsidRDefault="00B30F52" w:rsidP="00B30F52">
      <w:pPr>
        <w:pStyle w:val="Ttulo2"/>
        <w:spacing w:after="120" w:line="276" w:lineRule="auto"/>
        <w:ind w:left="0" w:firstLine="709"/>
      </w:pPr>
      <w:r w:rsidRPr="007230A2">
        <w:t>Finalmente, este artículo fue modificado por el artículo 1 del Decreto 791 de 2014 y compilado en el Decreto Único del Sector de Planeación Nacional.</w:t>
      </w:r>
      <w:r>
        <w:t xml:space="preserve"> Así las cosas, e</w:t>
      </w:r>
      <w:r w:rsidRPr="007230A2">
        <w:t xml:space="preserve">l texto definitivo que se encuentra vigente es el </w:t>
      </w:r>
      <w:r>
        <w:t xml:space="preserve">contenido en </w:t>
      </w:r>
      <w:r w:rsidRPr="007230A2">
        <w:t>el artículo 2.2.1.1.1.6.4. del Decreto 1082 de 2015</w:t>
      </w:r>
      <w:r>
        <w:rPr>
          <w:rStyle w:val="Refdenotaalpie"/>
        </w:rPr>
        <w:footnoteReference w:id="3"/>
      </w:r>
      <w:r w:rsidRPr="007230A2">
        <w:t xml:space="preserve">, que recoge el desarrollo legislativo de Capacidad Residual, en especial los componentes </w:t>
      </w:r>
      <w:r>
        <w:t>establecidos por</w:t>
      </w:r>
      <w:r w:rsidRPr="007230A2">
        <w:t xml:space="preserve"> la Ley 1682 de 2013</w:t>
      </w:r>
      <w:r>
        <w:t xml:space="preserve">. </w:t>
      </w:r>
    </w:p>
    <w:p w14:paraId="6F986416" w14:textId="77777777" w:rsidR="00B30F52" w:rsidRDefault="00B30F52" w:rsidP="00B30F52">
      <w:pPr>
        <w:pStyle w:val="Ttulo2"/>
        <w:spacing w:line="276" w:lineRule="auto"/>
        <w:ind w:left="0" w:firstLine="708"/>
      </w:pPr>
      <w:r>
        <w:t>Respecto del objeto del presente concepto es relevante lo contenido en el numeral 3 del citado artículo, el cual establece el estado de resultados como uno de los documentos mediante los cuales se debe acreditar la capacidad residual. Este numeral, a su vez establece las reglas aplicables para considerar que el estado de resultados es válido dentro de un proceso contractual:</w:t>
      </w:r>
    </w:p>
    <w:p w14:paraId="44449B49" w14:textId="77777777" w:rsidR="00B30F52" w:rsidRDefault="00B30F52" w:rsidP="00B30F52">
      <w:pPr>
        <w:pStyle w:val="Ttulo2"/>
        <w:ind w:left="0" w:firstLine="408"/>
      </w:pPr>
    </w:p>
    <w:p w14:paraId="17062859" w14:textId="77777777" w:rsidR="00B30F52" w:rsidRPr="00B0534A" w:rsidRDefault="00B30F52" w:rsidP="00B30F52">
      <w:pPr>
        <w:pStyle w:val="Textoindependiente"/>
        <w:ind w:left="709" w:right="709"/>
        <w:jc w:val="both"/>
        <w:rPr>
          <w:sz w:val="21"/>
          <w:szCs w:val="21"/>
        </w:rPr>
      </w:pPr>
      <w:r w:rsidRPr="00B0534A">
        <w:rPr>
          <w:rFonts w:eastAsia="Calibri"/>
          <w:color w:val="000000" w:themeColor="text1"/>
          <w:sz w:val="21"/>
          <w:szCs w:val="21"/>
        </w:rPr>
        <w:t xml:space="preserve">[…] </w:t>
      </w:r>
      <w:r w:rsidRPr="00B0534A">
        <w:rPr>
          <w:color w:val="000000"/>
          <w:sz w:val="21"/>
          <w:szCs w:val="21"/>
          <w:bdr w:val="none" w:sz="0" w:space="0" w:color="auto" w:frame="1"/>
        </w:rPr>
        <w:t xml:space="preserve">3. Balance general auditado del año inmediatamente anterior y estado de resultados auditado del año en que haya obtenido el mayor ingreso operacional </w:t>
      </w:r>
      <w:r w:rsidRPr="00B0534A">
        <w:rPr>
          <w:color w:val="000000"/>
          <w:sz w:val="21"/>
          <w:szCs w:val="21"/>
          <w:bdr w:val="none" w:sz="0" w:space="0" w:color="auto" w:frame="1"/>
        </w:rPr>
        <w:lastRenderedPageBreak/>
        <w:t>en los últimos cinco (5) años. Los estados financieros deben estar suscritos por el auditor o contador si no está obligado a tener revisor fiscal. Si se trata de proponentes obligados a tener RUP, las Entidades Estatales solo deben solicitar como documento adicional el estado de resultados del año en que el proponente obtuvo el mayor ingreso operacional en los últimos cinco (5) años […</w:t>
      </w:r>
      <w:r w:rsidRPr="00B0534A">
        <w:rPr>
          <w:rFonts w:eastAsia="Calibri"/>
          <w:color w:val="000000" w:themeColor="text1"/>
          <w:sz w:val="21"/>
          <w:szCs w:val="21"/>
        </w:rPr>
        <w:t>]</w:t>
      </w:r>
      <w:r w:rsidRPr="00B0534A">
        <w:rPr>
          <w:color w:val="000000"/>
          <w:sz w:val="21"/>
          <w:szCs w:val="21"/>
          <w:bdr w:val="none" w:sz="0" w:space="0" w:color="auto" w:frame="1"/>
        </w:rPr>
        <w:t> </w:t>
      </w:r>
    </w:p>
    <w:p w14:paraId="6246963A" w14:textId="77777777" w:rsidR="00B30F52" w:rsidRPr="007230A2" w:rsidRDefault="00B30F52" w:rsidP="00B30F52">
      <w:pPr>
        <w:pStyle w:val="Ttulo2"/>
        <w:ind w:left="0" w:firstLine="408"/>
      </w:pPr>
      <w:r>
        <w:t xml:space="preserve"> </w:t>
      </w:r>
    </w:p>
    <w:p w14:paraId="48FE1C3E" w14:textId="77777777" w:rsidR="00B30F52" w:rsidRPr="007230A2" w:rsidRDefault="00B30F52" w:rsidP="00B30F52">
      <w:pPr>
        <w:spacing w:after="120" w:line="276" w:lineRule="auto"/>
        <w:ind w:firstLine="709"/>
        <w:jc w:val="both"/>
        <w:rPr>
          <w:rFonts w:ascii="Arial" w:hAnsi="Arial" w:cs="Arial"/>
          <w:color w:val="000000" w:themeColor="text1"/>
          <w:sz w:val="22"/>
          <w:szCs w:val="22"/>
        </w:rPr>
      </w:pPr>
      <w:r>
        <w:rPr>
          <w:rFonts w:ascii="Arial" w:hAnsi="Arial" w:cs="Arial"/>
          <w:color w:val="000000" w:themeColor="text1"/>
          <w:sz w:val="22"/>
          <w:szCs w:val="22"/>
        </w:rPr>
        <w:t>D</w:t>
      </w:r>
      <w:r w:rsidRPr="007230A2">
        <w:rPr>
          <w:rFonts w:ascii="Arial" w:hAnsi="Arial" w:cs="Arial"/>
          <w:color w:val="000000" w:themeColor="text1"/>
          <w:sz w:val="22"/>
          <w:szCs w:val="22"/>
        </w:rPr>
        <w:t xml:space="preserve">e acuerdo con lo establecido en el artículo 2.2.1.1.1.3.1 del Decreto 1082 de 2015, </w:t>
      </w:r>
      <w:r>
        <w:rPr>
          <w:rFonts w:ascii="Arial" w:hAnsi="Arial" w:cs="Arial"/>
          <w:color w:val="000000" w:themeColor="text1"/>
          <w:sz w:val="22"/>
          <w:szCs w:val="22"/>
        </w:rPr>
        <w:t>la</w:t>
      </w:r>
      <w:r w:rsidRPr="007230A2">
        <w:rPr>
          <w:rFonts w:ascii="Arial" w:hAnsi="Arial" w:cs="Arial"/>
          <w:color w:val="000000" w:themeColor="text1"/>
          <w:sz w:val="22"/>
          <w:szCs w:val="22"/>
        </w:rPr>
        <w:t xml:space="preserve"> capacidad residual</w:t>
      </w:r>
      <w:r>
        <w:rPr>
          <w:rFonts w:ascii="Arial" w:hAnsi="Arial" w:cs="Arial"/>
          <w:color w:val="000000" w:themeColor="text1"/>
          <w:sz w:val="22"/>
          <w:szCs w:val="22"/>
        </w:rPr>
        <w:t xml:space="preserve"> </w:t>
      </w:r>
      <w:r w:rsidRPr="007230A2">
        <w:rPr>
          <w:rFonts w:ascii="Arial" w:hAnsi="Arial" w:cs="Arial"/>
          <w:color w:val="000000" w:themeColor="text1"/>
          <w:sz w:val="22"/>
          <w:szCs w:val="22"/>
        </w:rPr>
        <w:t xml:space="preserve">es la aptitud de los oferentes para cumplir de manera oportuna y </w:t>
      </w:r>
      <w:r>
        <w:rPr>
          <w:rFonts w:ascii="Arial" w:hAnsi="Arial" w:cs="Arial"/>
          <w:color w:val="000000" w:themeColor="text1"/>
          <w:sz w:val="22"/>
          <w:szCs w:val="22"/>
        </w:rPr>
        <w:t xml:space="preserve">cabal </w:t>
      </w:r>
      <w:r w:rsidRPr="007230A2">
        <w:rPr>
          <w:rFonts w:ascii="Arial" w:hAnsi="Arial" w:cs="Arial"/>
          <w:color w:val="000000" w:themeColor="text1"/>
          <w:sz w:val="22"/>
          <w:szCs w:val="22"/>
        </w:rPr>
        <w:t>el objeto de un contrato de obra, sin que los demás compromisos contractuales que han adquirido afecten su habilidad de cumplir el objeto del contrato que está en proceso de selección</w:t>
      </w:r>
      <w:r w:rsidRPr="007230A2">
        <w:rPr>
          <w:rFonts w:ascii="Arial" w:hAnsi="Arial" w:cs="Arial"/>
          <w:color w:val="000000" w:themeColor="text1"/>
          <w:sz w:val="22"/>
          <w:szCs w:val="22"/>
          <w:vertAlign w:val="superscript"/>
        </w:rPr>
        <w:footnoteReference w:id="4"/>
      </w:r>
      <w:r w:rsidRPr="007230A2">
        <w:rPr>
          <w:rFonts w:ascii="Arial" w:hAnsi="Arial" w:cs="Arial"/>
          <w:color w:val="000000" w:themeColor="text1"/>
          <w:sz w:val="22"/>
          <w:szCs w:val="22"/>
        </w:rPr>
        <w:t xml:space="preserve">. </w:t>
      </w:r>
      <w:r>
        <w:rPr>
          <w:rFonts w:ascii="Arial" w:hAnsi="Arial" w:cs="Arial"/>
          <w:color w:val="000000" w:themeColor="text1"/>
          <w:sz w:val="22"/>
          <w:szCs w:val="22"/>
        </w:rPr>
        <w:t>En este orden de ideas</w:t>
      </w:r>
      <w:r w:rsidRPr="007230A2">
        <w:rPr>
          <w:rFonts w:ascii="Arial" w:hAnsi="Arial" w:cs="Arial"/>
          <w:color w:val="000000" w:themeColor="text1"/>
          <w:sz w:val="22"/>
          <w:szCs w:val="22"/>
        </w:rPr>
        <w:t>, el Consejo de Estado ha definido la capacidad residual como «</w:t>
      </w:r>
      <w:r>
        <w:rPr>
          <w:rFonts w:ascii="Arial" w:hAnsi="Arial" w:cs="Arial"/>
          <w:color w:val="000000" w:themeColor="text1"/>
          <w:sz w:val="22"/>
          <w:szCs w:val="22"/>
        </w:rPr>
        <w:t xml:space="preserve">[…] </w:t>
      </w:r>
      <w:r w:rsidRPr="007230A2">
        <w:rPr>
          <w:rFonts w:ascii="Arial" w:hAnsi="Arial" w:cs="Arial"/>
          <w:color w:val="000000" w:themeColor="text1"/>
          <w:sz w:val="22"/>
          <w:szCs w:val="22"/>
        </w:rPr>
        <w:t>la diferencia que existe entre el potencial de contratación que se tiene y los compromisos que haya adquirido y que se encuentren en ejecución, para la fecha de presentación de la oferta»</w:t>
      </w:r>
      <w:r w:rsidRPr="007230A2">
        <w:rPr>
          <w:rStyle w:val="Refdenotaalpie"/>
          <w:rFonts w:ascii="Arial" w:eastAsia="Calibri" w:hAnsi="Arial" w:cs="Arial"/>
          <w:color w:val="000000" w:themeColor="text1"/>
          <w:sz w:val="22"/>
        </w:rPr>
        <w:footnoteReference w:id="5"/>
      </w:r>
      <w:r w:rsidRPr="007230A2">
        <w:rPr>
          <w:rFonts w:ascii="Arial" w:hAnsi="Arial" w:cs="Arial"/>
          <w:color w:val="000000" w:themeColor="text1"/>
          <w:sz w:val="22"/>
          <w:szCs w:val="22"/>
        </w:rPr>
        <w:t>.</w:t>
      </w:r>
    </w:p>
    <w:p w14:paraId="578E42F3" w14:textId="77777777" w:rsidR="00B30F52" w:rsidRPr="007230A2" w:rsidRDefault="00B30F52" w:rsidP="00B30F52">
      <w:pPr>
        <w:spacing w:before="120" w:line="276" w:lineRule="auto"/>
        <w:ind w:firstLine="708"/>
        <w:jc w:val="both"/>
        <w:rPr>
          <w:rFonts w:ascii="Arial" w:hAnsi="Arial" w:cs="Arial"/>
          <w:color w:val="000000"/>
          <w:sz w:val="22"/>
          <w:szCs w:val="22"/>
        </w:rPr>
      </w:pPr>
      <w:r w:rsidRPr="007230A2">
        <w:rPr>
          <w:rFonts w:ascii="Arial" w:hAnsi="Arial" w:cs="Arial"/>
          <w:color w:val="000000"/>
          <w:sz w:val="22"/>
          <w:szCs w:val="22"/>
          <w:bdr w:val="none" w:sz="0" w:space="0" w:color="auto" w:frame="1"/>
          <w:lang w:val="es-MX"/>
        </w:rPr>
        <w:t>En atención a lo anterior, se puede concluir, en línea con la </w:t>
      </w:r>
      <w:r w:rsidRPr="00B0534A">
        <w:rPr>
          <w:rFonts w:ascii="Arial" w:hAnsi="Arial" w:cs="Arial"/>
          <w:i/>
          <w:iCs/>
          <w:color w:val="000000"/>
          <w:sz w:val="22"/>
          <w:szCs w:val="22"/>
          <w:bdr w:val="none" w:sz="0" w:space="0" w:color="auto" w:frame="1"/>
          <w:lang w:val="es-MX"/>
        </w:rPr>
        <w:t>Guía para Determinar y Verificar la Capacidad Residual del Proponente en los Procesos de Contratación de Obra Pública</w:t>
      </w:r>
      <w:r w:rsidRPr="007230A2">
        <w:rPr>
          <w:rFonts w:ascii="Arial" w:hAnsi="Arial" w:cs="Arial"/>
          <w:color w:val="000000"/>
          <w:sz w:val="22"/>
          <w:szCs w:val="22"/>
          <w:bdr w:val="none" w:sz="0" w:space="0" w:color="auto" w:frame="1"/>
          <w:lang w:val="es-MX"/>
        </w:rPr>
        <w:t xml:space="preserve">, expedida por esta Agencia, que </w:t>
      </w:r>
      <w:r>
        <w:rPr>
          <w:rFonts w:ascii="Arial" w:hAnsi="Arial" w:cs="Arial"/>
          <w:color w:val="000000"/>
          <w:sz w:val="22"/>
          <w:szCs w:val="22"/>
          <w:bdr w:val="none" w:sz="0" w:space="0" w:color="auto" w:frame="1"/>
          <w:lang w:val="es-MX"/>
        </w:rPr>
        <w:t xml:space="preserve">«[…] </w:t>
      </w:r>
      <w:r w:rsidRPr="007230A2">
        <w:rPr>
          <w:rFonts w:ascii="Arial" w:hAnsi="Arial" w:cs="Arial"/>
          <w:color w:val="000000"/>
          <w:sz w:val="22"/>
          <w:szCs w:val="22"/>
          <w:bdr w:val="none" w:sz="0" w:space="0" w:color="auto" w:frame="1"/>
          <w:lang w:val="es-MX"/>
        </w:rPr>
        <w:t>la Capacidad Residual es la aptitud de un contratista para cumplir oportuna y cabalmente con el objeto de un contrato de obra, sin que sus otros compromisos contractuales afecten su habilidad de responder con el contrato objeto del Proceso de Contratación</w:t>
      </w:r>
      <w:r>
        <w:rPr>
          <w:rFonts w:ascii="Arial" w:hAnsi="Arial" w:cs="Arial"/>
          <w:color w:val="000000"/>
          <w:sz w:val="22"/>
          <w:szCs w:val="22"/>
          <w:bdr w:val="none" w:sz="0" w:space="0" w:color="auto" w:frame="1"/>
          <w:lang w:val="es-MX"/>
        </w:rPr>
        <w:t>»</w:t>
      </w:r>
      <w:r w:rsidRPr="007230A2">
        <w:rPr>
          <w:rFonts w:ascii="Arial" w:hAnsi="Arial" w:cs="Arial"/>
          <w:color w:val="000000"/>
          <w:sz w:val="22"/>
          <w:szCs w:val="22"/>
          <w:bdr w:val="none" w:sz="0" w:space="0" w:color="auto" w:frame="1"/>
          <w:lang w:val="es-MX"/>
        </w:rPr>
        <w:t>. Es decir, mide la suficiencia que tiene el proponente para asumir nuevas obligaciones que se derivan del contrato objeto del proceso de contratación, en relación con las obligaciones que ya adquirió frente a otros contratos.</w:t>
      </w:r>
      <w:r w:rsidRPr="007230A2">
        <w:rPr>
          <w:rFonts w:ascii="Arial" w:hAnsi="Arial" w:cs="Arial"/>
          <w:color w:val="000000"/>
          <w:sz w:val="22"/>
          <w:szCs w:val="22"/>
          <w:bdr w:val="none" w:sz="0" w:space="0" w:color="auto" w:frame="1"/>
        </w:rPr>
        <w:t>  </w:t>
      </w:r>
    </w:p>
    <w:p w14:paraId="07AB489C" w14:textId="77777777" w:rsidR="00B30F52" w:rsidRPr="007230A2" w:rsidRDefault="00B30F52" w:rsidP="00B30F52">
      <w:pPr>
        <w:pStyle w:val="NormalWeb"/>
        <w:shd w:val="clear" w:color="auto" w:fill="FFFFFF"/>
        <w:spacing w:before="0" w:beforeAutospacing="0" w:after="0" w:afterAutospacing="0"/>
        <w:jc w:val="both"/>
        <w:textAlignment w:val="baseline"/>
        <w:rPr>
          <w:rFonts w:ascii="Arial" w:hAnsi="Arial" w:cs="Arial"/>
          <w:b/>
          <w:bCs/>
          <w:color w:val="000000"/>
          <w:sz w:val="22"/>
          <w:szCs w:val="22"/>
          <w:bdr w:val="none" w:sz="0" w:space="0" w:color="auto" w:frame="1"/>
        </w:rPr>
      </w:pPr>
    </w:p>
    <w:p w14:paraId="510D4477" w14:textId="77777777" w:rsidR="00B30F52" w:rsidRDefault="00B30F52" w:rsidP="00B30F52">
      <w:pPr>
        <w:pStyle w:val="NormalWeb"/>
        <w:spacing w:before="0" w:beforeAutospacing="0" w:after="0" w:afterAutospacing="0" w:line="276" w:lineRule="auto"/>
        <w:jc w:val="both"/>
        <w:rPr>
          <w:rFonts w:ascii="Arial" w:hAnsi="Arial" w:cs="Arial"/>
          <w:b/>
          <w:bCs/>
          <w:color w:val="000000"/>
          <w:sz w:val="22"/>
          <w:szCs w:val="22"/>
          <w:bdr w:val="none" w:sz="0" w:space="0" w:color="auto" w:frame="1"/>
        </w:rPr>
      </w:pPr>
      <w:r w:rsidRPr="007230A2">
        <w:rPr>
          <w:rFonts w:ascii="Arial" w:hAnsi="Arial" w:cs="Arial"/>
          <w:b/>
          <w:bCs/>
          <w:color w:val="000000"/>
          <w:sz w:val="22"/>
          <w:szCs w:val="22"/>
          <w:bdr w:val="none" w:sz="0" w:space="0" w:color="auto" w:frame="1"/>
        </w:rPr>
        <w:t>2.2</w:t>
      </w:r>
      <w:r w:rsidRPr="007230A2">
        <w:rPr>
          <w:rFonts w:ascii="Arial" w:hAnsi="Arial" w:cs="Arial"/>
          <w:color w:val="000000"/>
          <w:sz w:val="22"/>
          <w:szCs w:val="22"/>
          <w:bdr w:val="none" w:sz="0" w:space="0" w:color="auto" w:frame="1"/>
        </w:rPr>
        <w:t>. </w:t>
      </w:r>
      <w:r w:rsidRPr="007230A2">
        <w:rPr>
          <w:rFonts w:ascii="Arial" w:hAnsi="Arial" w:cs="Arial"/>
          <w:b/>
          <w:bCs/>
          <w:color w:val="000000"/>
          <w:sz w:val="22"/>
          <w:szCs w:val="22"/>
          <w:bdr w:val="none" w:sz="0" w:space="0" w:color="auto" w:frame="1"/>
        </w:rPr>
        <w:t>Sujetos encargados de suscribir el estado de resultado necesario para probar la capacidad residual</w:t>
      </w:r>
    </w:p>
    <w:p w14:paraId="05086120" w14:textId="77777777" w:rsidR="00B30F52" w:rsidRPr="007230A2" w:rsidRDefault="00B30F52" w:rsidP="00B30F52">
      <w:pPr>
        <w:pStyle w:val="NormalWeb"/>
        <w:spacing w:before="0" w:beforeAutospacing="0" w:after="0" w:afterAutospacing="0"/>
        <w:jc w:val="both"/>
        <w:rPr>
          <w:rFonts w:ascii="Arial" w:hAnsi="Arial" w:cs="Arial"/>
          <w:color w:val="000000"/>
          <w:sz w:val="22"/>
          <w:szCs w:val="22"/>
        </w:rPr>
      </w:pPr>
      <w:r w:rsidRPr="007230A2">
        <w:rPr>
          <w:rFonts w:ascii="Arial" w:hAnsi="Arial" w:cs="Arial"/>
          <w:b/>
          <w:bCs/>
          <w:color w:val="000000"/>
          <w:sz w:val="22"/>
          <w:szCs w:val="22"/>
          <w:bdr w:val="none" w:sz="0" w:space="0" w:color="auto" w:frame="1"/>
        </w:rPr>
        <w:t> </w:t>
      </w:r>
    </w:p>
    <w:p w14:paraId="2D82BE93" w14:textId="77777777" w:rsidR="00B30F52" w:rsidRDefault="00B30F52" w:rsidP="00B30F52">
      <w:pPr>
        <w:spacing w:after="120" w:line="276" w:lineRule="auto"/>
        <w:jc w:val="both"/>
        <w:rPr>
          <w:rFonts w:ascii="Arial" w:hAnsi="Arial" w:cs="Arial"/>
          <w:color w:val="000000"/>
          <w:sz w:val="22"/>
          <w:szCs w:val="22"/>
          <w:bdr w:val="none" w:sz="0" w:space="0" w:color="auto" w:frame="1"/>
        </w:rPr>
      </w:pPr>
      <w:r w:rsidRPr="007230A2">
        <w:rPr>
          <w:rFonts w:ascii="Arial" w:hAnsi="Arial" w:cs="Arial"/>
          <w:color w:val="000000"/>
          <w:sz w:val="22"/>
          <w:szCs w:val="22"/>
          <w:bdr w:val="none" w:sz="0" w:space="0" w:color="auto" w:frame="1"/>
        </w:rPr>
        <w:t xml:space="preserve">Tal como se desprende de lo explicado </w:t>
      </w:r>
      <w:r>
        <w:rPr>
          <w:rFonts w:ascii="Arial" w:hAnsi="Arial" w:cs="Arial"/>
          <w:color w:val="000000"/>
          <w:sz w:val="22"/>
          <w:szCs w:val="22"/>
          <w:bdr w:val="none" w:sz="0" w:space="0" w:color="auto" w:frame="1"/>
        </w:rPr>
        <w:t>anteriormente</w:t>
      </w:r>
      <w:r w:rsidRPr="007230A2">
        <w:rPr>
          <w:rFonts w:ascii="Arial" w:hAnsi="Arial" w:cs="Arial"/>
          <w:color w:val="000000"/>
          <w:sz w:val="22"/>
          <w:szCs w:val="22"/>
          <w:bdr w:val="none" w:sz="0" w:space="0" w:color="auto" w:frame="1"/>
        </w:rPr>
        <w:t>, uno de los elementos exigidos para demostrar la capacidad residual</w:t>
      </w:r>
      <w:r>
        <w:rPr>
          <w:rFonts w:ascii="Arial" w:hAnsi="Arial" w:cs="Arial"/>
          <w:color w:val="000000"/>
          <w:sz w:val="22"/>
          <w:szCs w:val="22"/>
          <w:bdr w:val="none" w:sz="0" w:space="0" w:color="auto" w:frame="1"/>
        </w:rPr>
        <w:t>,</w:t>
      </w:r>
      <w:r w:rsidRPr="007230A2">
        <w:rPr>
          <w:rFonts w:ascii="Arial" w:hAnsi="Arial" w:cs="Arial"/>
          <w:color w:val="000000"/>
          <w:sz w:val="22"/>
          <w:szCs w:val="22"/>
          <w:bdr w:val="none" w:sz="0" w:space="0" w:color="auto" w:frame="1"/>
        </w:rPr>
        <w:t xml:space="preserve"> de conformidad con el numeral 3 del artículo </w:t>
      </w:r>
      <w:r w:rsidRPr="007230A2">
        <w:rPr>
          <w:rFonts w:ascii="Arial" w:hAnsi="Arial" w:cs="Arial"/>
          <w:color w:val="000000"/>
          <w:sz w:val="22"/>
          <w:szCs w:val="22"/>
          <w:bdr w:val="none" w:sz="0" w:space="0" w:color="auto" w:frame="1"/>
          <w:lang w:val="es-MX"/>
        </w:rPr>
        <w:t xml:space="preserve">2.2.1.1.1.6.4. del Decreto 1082 de 2015, </w:t>
      </w:r>
      <w:r>
        <w:rPr>
          <w:rFonts w:ascii="Arial" w:hAnsi="Arial" w:cs="Arial"/>
          <w:color w:val="000000"/>
          <w:sz w:val="22"/>
          <w:szCs w:val="22"/>
          <w:bdr w:val="none" w:sz="0" w:space="0" w:color="auto" w:frame="1"/>
          <w:lang w:val="es-MX"/>
        </w:rPr>
        <w:t xml:space="preserve">es </w:t>
      </w:r>
      <w:r w:rsidRPr="007230A2">
        <w:rPr>
          <w:rFonts w:ascii="Arial" w:hAnsi="Arial" w:cs="Arial"/>
          <w:color w:val="000000"/>
          <w:sz w:val="22"/>
          <w:szCs w:val="22"/>
          <w:bdr w:val="none" w:sz="0" w:space="0" w:color="auto" w:frame="1"/>
          <w:lang w:val="es-MX"/>
        </w:rPr>
        <w:t xml:space="preserve">el </w:t>
      </w:r>
      <w:r>
        <w:rPr>
          <w:rFonts w:ascii="Arial" w:hAnsi="Arial" w:cs="Arial"/>
          <w:color w:val="000000"/>
          <w:sz w:val="22"/>
          <w:szCs w:val="22"/>
          <w:bdr w:val="none" w:sz="0" w:space="0" w:color="auto" w:frame="1"/>
          <w:lang w:val="es-MX"/>
        </w:rPr>
        <w:t xml:space="preserve">«[…] </w:t>
      </w:r>
      <w:r w:rsidRPr="007230A2">
        <w:rPr>
          <w:rFonts w:ascii="Arial" w:hAnsi="Arial" w:cs="Arial"/>
          <w:color w:val="000000"/>
          <w:sz w:val="22"/>
          <w:szCs w:val="22"/>
          <w:bdr w:val="none" w:sz="0" w:space="0" w:color="auto" w:frame="1"/>
          <w:lang w:val="es-MX"/>
        </w:rPr>
        <w:t>estado de resultado auditado del año en que haya obtenido el mayor ingreso operacional en los últimos cinco (5) años</w:t>
      </w:r>
      <w:r>
        <w:rPr>
          <w:rFonts w:ascii="Arial" w:hAnsi="Arial" w:cs="Arial"/>
          <w:color w:val="000000"/>
          <w:sz w:val="22"/>
          <w:szCs w:val="22"/>
          <w:bdr w:val="none" w:sz="0" w:space="0" w:color="auto" w:frame="1"/>
          <w:lang w:val="es-MX"/>
        </w:rPr>
        <w:t>»</w:t>
      </w:r>
      <w:r w:rsidRPr="007230A2">
        <w:rPr>
          <w:rFonts w:ascii="Arial" w:hAnsi="Arial" w:cs="Arial"/>
          <w:color w:val="000000"/>
          <w:sz w:val="22"/>
          <w:szCs w:val="22"/>
          <w:bdr w:val="none" w:sz="0" w:space="0" w:color="auto" w:frame="1"/>
          <w:lang w:val="es-MX"/>
        </w:rPr>
        <w:t xml:space="preserve">. La misma norma </w:t>
      </w:r>
      <w:r w:rsidRPr="007230A2">
        <w:rPr>
          <w:rFonts w:ascii="Arial" w:hAnsi="Arial" w:cs="Arial"/>
          <w:color w:val="000000"/>
          <w:sz w:val="22"/>
          <w:szCs w:val="22"/>
          <w:bdr w:val="none" w:sz="0" w:space="0" w:color="auto" w:frame="1"/>
          <w:lang w:val="es-MX"/>
        </w:rPr>
        <w:lastRenderedPageBreak/>
        <w:t xml:space="preserve">indica, de manera expresa, que los estados financieros </w:t>
      </w:r>
      <w:r>
        <w:rPr>
          <w:rFonts w:ascii="Arial" w:hAnsi="Arial" w:cs="Arial"/>
          <w:color w:val="000000"/>
          <w:sz w:val="22"/>
          <w:szCs w:val="22"/>
          <w:bdr w:val="none" w:sz="0" w:space="0" w:color="auto" w:frame="1"/>
          <w:lang w:val="es-MX"/>
        </w:rPr>
        <w:t xml:space="preserve">«[…] </w:t>
      </w:r>
      <w:r w:rsidRPr="007230A2">
        <w:rPr>
          <w:rFonts w:ascii="Arial" w:hAnsi="Arial" w:cs="Arial"/>
          <w:color w:val="000000"/>
          <w:sz w:val="22"/>
          <w:szCs w:val="22"/>
          <w:bdr w:val="none" w:sz="0" w:space="0" w:color="auto" w:frame="1"/>
        </w:rPr>
        <w:t>deben estar suscritos por el interesado o su representante legal y el revisor fiscal si está obligado a tenerlo, o el auditor o contador si no está obligado a tener revisor fiscal</w:t>
      </w:r>
      <w:r>
        <w:rPr>
          <w:rFonts w:ascii="Arial" w:hAnsi="Arial" w:cs="Arial"/>
          <w:color w:val="000000"/>
          <w:sz w:val="22"/>
          <w:szCs w:val="22"/>
          <w:bdr w:val="none" w:sz="0" w:space="0" w:color="auto" w:frame="1"/>
        </w:rPr>
        <w:t>»</w:t>
      </w:r>
      <w:r w:rsidRPr="007230A2">
        <w:rPr>
          <w:rFonts w:ascii="Arial" w:hAnsi="Arial" w:cs="Arial"/>
          <w:color w:val="000000"/>
          <w:sz w:val="22"/>
          <w:szCs w:val="22"/>
          <w:bdr w:val="none" w:sz="0" w:space="0" w:color="auto" w:frame="1"/>
        </w:rPr>
        <w:t>. </w:t>
      </w:r>
    </w:p>
    <w:p w14:paraId="0BD5DEDA" w14:textId="77777777" w:rsidR="00B30F52" w:rsidRDefault="00B30F52" w:rsidP="00B30F52">
      <w:pPr>
        <w:spacing w:after="120" w:line="276" w:lineRule="auto"/>
        <w:jc w:val="both"/>
        <w:rPr>
          <w:rFonts w:ascii="Arial" w:hAnsi="Arial" w:cs="Arial"/>
          <w:color w:val="000000"/>
          <w:sz w:val="22"/>
          <w:szCs w:val="22"/>
          <w:bdr w:val="none" w:sz="0" w:space="0" w:color="auto" w:frame="1"/>
          <w:lang w:val="es-MX"/>
        </w:rPr>
      </w:pPr>
      <w:r>
        <w:rPr>
          <w:rFonts w:ascii="Arial" w:hAnsi="Arial" w:cs="Arial"/>
          <w:color w:val="000000"/>
          <w:sz w:val="22"/>
          <w:szCs w:val="22"/>
          <w:bdr w:val="none" w:sz="0" w:space="0" w:color="auto" w:frame="1"/>
        </w:rPr>
        <w:tab/>
      </w:r>
      <w:r w:rsidRPr="007230A2">
        <w:rPr>
          <w:rFonts w:ascii="Arial" w:hAnsi="Arial" w:cs="Arial"/>
          <w:color w:val="000000"/>
          <w:sz w:val="22"/>
          <w:szCs w:val="22"/>
          <w:bdr w:val="none" w:sz="0" w:space="0" w:color="auto" w:frame="1"/>
          <w:lang w:val="es-MX"/>
        </w:rPr>
        <w:t xml:space="preserve">Lo anterior es coincidente con lo previsto en la </w:t>
      </w:r>
      <w:r w:rsidRPr="00B0534A">
        <w:rPr>
          <w:rFonts w:ascii="Arial" w:hAnsi="Arial" w:cs="Arial"/>
          <w:i/>
          <w:iCs/>
          <w:color w:val="000000"/>
          <w:sz w:val="22"/>
          <w:szCs w:val="22"/>
          <w:bdr w:val="none" w:sz="0" w:space="0" w:color="auto" w:frame="1"/>
          <w:lang w:val="es-MX"/>
        </w:rPr>
        <w:t>Guía para Determinar y Verificar la Capacidad Residual del Proponente en los Procesos de Contratación de Obra Pública</w:t>
      </w:r>
      <w:r w:rsidRPr="007230A2">
        <w:rPr>
          <w:rFonts w:ascii="Arial" w:hAnsi="Arial" w:cs="Arial"/>
          <w:color w:val="000000"/>
          <w:sz w:val="22"/>
          <w:szCs w:val="22"/>
          <w:bdr w:val="none" w:sz="0" w:space="0" w:color="auto" w:frame="1"/>
          <w:lang w:val="es-MX"/>
        </w:rPr>
        <w:t xml:space="preserve">, expedida por esta Agencia, la cual indica que para calcular la capacidad residual del proponente, se debe presentar, entre otra información: </w:t>
      </w:r>
      <w:r>
        <w:rPr>
          <w:rFonts w:ascii="Arial" w:hAnsi="Arial" w:cs="Arial"/>
          <w:color w:val="000000"/>
          <w:sz w:val="22"/>
          <w:szCs w:val="22"/>
          <w:bdr w:val="none" w:sz="0" w:space="0" w:color="auto" w:frame="1"/>
          <w:lang w:val="es-MX"/>
        </w:rPr>
        <w:t xml:space="preserve">«[…] </w:t>
      </w:r>
      <w:r w:rsidRPr="007230A2">
        <w:rPr>
          <w:rFonts w:ascii="Arial" w:hAnsi="Arial" w:cs="Arial"/>
          <w:color w:val="000000"/>
          <w:sz w:val="22"/>
          <w:szCs w:val="22"/>
          <w:bdr w:val="none" w:sz="0" w:space="0" w:color="auto" w:frame="1"/>
          <w:lang w:val="es-MX"/>
        </w:rPr>
        <w:t>El estado de resultados auditado que contiene el mejor ingreso operacional de los últimos cinco (5) años y el balance general auditado del último año, suscrito por el interesado o su representante legal y el revisor fiscal si está obligado a tenerlo, o el auditor o contador si no está obligado a tener revisor fiscal</w:t>
      </w:r>
      <w:r>
        <w:rPr>
          <w:rFonts w:ascii="Arial" w:hAnsi="Arial" w:cs="Arial"/>
          <w:color w:val="000000"/>
          <w:sz w:val="22"/>
          <w:szCs w:val="22"/>
          <w:bdr w:val="none" w:sz="0" w:space="0" w:color="auto" w:frame="1"/>
          <w:lang w:val="es-MX"/>
        </w:rPr>
        <w:t>»</w:t>
      </w:r>
      <w:r w:rsidRPr="007230A2">
        <w:rPr>
          <w:rFonts w:ascii="Arial" w:hAnsi="Arial" w:cs="Arial"/>
          <w:color w:val="000000"/>
          <w:sz w:val="22"/>
          <w:szCs w:val="22"/>
          <w:bdr w:val="none" w:sz="0" w:space="0" w:color="auto" w:frame="1"/>
          <w:lang w:val="es-MX"/>
        </w:rPr>
        <w:t>. </w:t>
      </w:r>
      <w:r>
        <w:rPr>
          <w:rFonts w:ascii="Arial" w:hAnsi="Arial" w:cs="Arial"/>
          <w:color w:val="000000"/>
          <w:sz w:val="22"/>
          <w:szCs w:val="22"/>
          <w:bdr w:val="none" w:sz="0" w:space="0" w:color="auto" w:frame="1"/>
          <w:lang w:val="es-MX"/>
        </w:rPr>
        <w:t xml:space="preserve"> </w:t>
      </w:r>
    </w:p>
    <w:p w14:paraId="26D315AE" w14:textId="77777777" w:rsidR="00B30F52" w:rsidRPr="007230A2" w:rsidRDefault="00B30F52" w:rsidP="00B30F52">
      <w:pPr>
        <w:spacing w:line="276" w:lineRule="auto"/>
        <w:jc w:val="both"/>
        <w:rPr>
          <w:rFonts w:ascii="Arial" w:hAnsi="Arial" w:cs="Arial"/>
          <w:color w:val="000000"/>
          <w:sz w:val="22"/>
          <w:szCs w:val="22"/>
        </w:rPr>
      </w:pPr>
      <w:r>
        <w:rPr>
          <w:rFonts w:ascii="Arial" w:hAnsi="Arial" w:cs="Arial"/>
          <w:color w:val="000000"/>
          <w:sz w:val="22"/>
          <w:szCs w:val="22"/>
          <w:bdr w:val="none" w:sz="0" w:space="0" w:color="auto" w:frame="1"/>
          <w:lang w:val="es-MX"/>
        </w:rPr>
        <w:tab/>
      </w:r>
      <w:r>
        <w:rPr>
          <w:rFonts w:ascii="Arial" w:hAnsi="Arial" w:cs="Arial"/>
          <w:color w:val="000000"/>
          <w:sz w:val="22"/>
          <w:szCs w:val="22"/>
          <w:bdr w:val="none" w:sz="0" w:space="0" w:color="auto" w:frame="1"/>
        </w:rPr>
        <w:t>Respecto de los sujetos que están obligados a tener revisor fiscal, son relevantes el artículo 203 del Código de Comercio</w:t>
      </w:r>
      <w:r>
        <w:rPr>
          <w:rStyle w:val="Refdenotaalpie"/>
          <w:rFonts w:ascii="Arial" w:hAnsi="Arial" w:cs="Arial"/>
          <w:color w:val="000000"/>
          <w:sz w:val="22"/>
          <w:bdr w:val="none" w:sz="0" w:space="0" w:color="auto" w:frame="1"/>
        </w:rPr>
        <w:footnoteReference w:id="6"/>
      </w:r>
      <w:r>
        <w:rPr>
          <w:rFonts w:ascii="Arial" w:hAnsi="Arial" w:cs="Arial"/>
          <w:color w:val="000000"/>
          <w:sz w:val="22"/>
          <w:szCs w:val="22"/>
          <w:bdr w:val="none" w:sz="0" w:space="0" w:color="auto" w:frame="1"/>
        </w:rPr>
        <w:t>, el parágrafo segundo del artículo 13 de la Ley 43 de 1990</w:t>
      </w:r>
      <w:r>
        <w:rPr>
          <w:rStyle w:val="Refdenotaalpie"/>
          <w:rFonts w:ascii="Arial" w:hAnsi="Arial" w:cs="Arial"/>
          <w:color w:val="000000"/>
          <w:sz w:val="22"/>
          <w:bdr w:val="none" w:sz="0" w:space="0" w:color="auto" w:frame="1"/>
        </w:rPr>
        <w:footnoteReference w:id="7"/>
      </w:r>
      <w:r>
        <w:rPr>
          <w:rFonts w:ascii="Arial" w:hAnsi="Arial" w:cs="Arial"/>
          <w:color w:val="000000"/>
          <w:sz w:val="22"/>
          <w:szCs w:val="22"/>
          <w:bdr w:val="none" w:sz="0" w:space="0" w:color="auto" w:frame="1"/>
        </w:rPr>
        <w:t xml:space="preserve"> y el artículo 28 de la Ley 1258 de 2008</w:t>
      </w:r>
      <w:r>
        <w:rPr>
          <w:rStyle w:val="Refdenotaalpie"/>
          <w:rFonts w:ascii="Arial" w:hAnsi="Arial" w:cs="Arial"/>
          <w:color w:val="000000"/>
          <w:sz w:val="22"/>
          <w:bdr w:val="none" w:sz="0" w:space="0" w:color="auto" w:frame="1"/>
        </w:rPr>
        <w:footnoteReference w:id="8"/>
      </w:r>
      <w:r>
        <w:rPr>
          <w:rFonts w:ascii="Arial" w:hAnsi="Arial" w:cs="Arial"/>
          <w:color w:val="000000"/>
          <w:sz w:val="22"/>
          <w:szCs w:val="22"/>
          <w:bdr w:val="none" w:sz="0" w:space="0" w:color="auto" w:frame="1"/>
        </w:rPr>
        <w:t>, reglamentado por el artículo 1 del Decreto 2020 de 2009</w:t>
      </w:r>
      <w:r>
        <w:rPr>
          <w:rStyle w:val="Refdenotaalpie"/>
          <w:rFonts w:ascii="Arial" w:hAnsi="Arial" w:cs="Arial"/>
          <w:color w:val="000000"/>
          <w:sz w:val="22"/>
          <w:bdr w:val="none" w:sz="0" w:space="0" w:color="auto" w:frame="1"/>
        </w:rPr>
        <w:footnoteReference w:id="9"/>
      </w:r>
      <w:r>
        <w:rPr>
          <w:rFonts w:ascii="Arial" w:hAnsi="Arial" w:cs="Arial"/>
          <w:color w:val="000000"/>
          <w:sz w:val="22"/>
          <w:szCs w:val="22"/>
          <w:bdr w:val="none" w:sz="0" w:space="0" w:color="auto" w:frame="1"/>
        </w:rPr>
        <w:t xml:space="preserve">. Estos artículos determinan cuales son las sociedades que están obligadas a contar con revisor fiscal, determinado además que este deberá ser un contador público independiente con tarjeta profesional vigente. </w:t>
      </w:r>
    </w:p>
    <w:p w14:paraId="0AF38ECE" w14:textId="77777777" w:rsidR="00B30F52" w:rsidRPr="007230A2" w:rsidRDefault="00B30F52" w:rsidP="00B30F52">
      <w:pPr>
        <w:spacing w:before="120" w:line="276" w:lineRule="auto"/>
        <w:ind w:firstLine="708"/>
        <w:jc w:val="both"/>
        <w:rPr>
          <w:rFonts w:ascii="Arial" w:hAnsi="Arial" w:cs="Arial"/>
          <w:color w:val="000000"/>
          <w:sz w:val="22"/>
          <w:szCs w:val="22"/>
        </w:rPr>
      </w:pPr>
      <w:r>
        <w:rPr>
          <w:rFonts w:ascii="Arial" w:hAnsi="Arial" w:cs="Arial"/>
          <w:color w:val="000000"/>
          <w:sz w:val="22"/>
          <w:szCs w:val="22"/>
          <w:bdr w:val="none" w:sz="0" w:space="0" w:color="auto" w:frame="1"/>
          <w:lang w:val="es-MX"/>
        </w:rPr>
        <w:lastRenderedPageBreak/>
        <w:t>De este modo, la normativa vigente establece que, para efectos de acreditar la capacidad residual, el proponente tiene el deber de aportar sus estados de resultados suscritos por el interesado, su representante legal, el contador o auditor, esto en el caso en el caso de no estar obligado por la ley a contar con revisor fiscal. Por otro lado, las sociedades que por disposición de la ley están obligadas a contar con un revisor fiscal, pueden acreditar su capacidad residual en el marco de procesos de selección de obra pública, aportando el estado de resultados suscrito por ya sea por el interesado, su representante legal o el respectivo revisor fiscal.</w:t>
      </w:r>
    </w:p>
    <w:p w14:paraId="3CBA191A" w14:textId="77777777" w:rsidR="00B30F52" w:rsidRPr="007230A2" w:rsidRDefault="00B30F52" w:rsidP="00B30F52">
      <w:pPr>
        <w:pStyle w:val="NormalWeb"/>
        <w:shd w:val="clear" w:color="auto" w:fill="FFFFFF"/>
        <w:spacing w:before="0" w:beforeAutospacing="0" w:after="0" w:afterAutospacing="0"/>
        <w:jc w:val="both"/>
        <w:textAlignment w:val="baseline"/>
        <w:rPr>
          <w:rFonts w:ascii="Arial" w:hAnsi="Arial" w:cs="Arial"/>
          <w:color w:val="000000"/>
          <w:sz w:val="22"/>
          <w:szCs w:val="22"/>
        </w:rPr>
      </w:pPr>
    </w:p>
    <w:p w14:paraId="4A61D0FD" w14:textId="77777777" w:rsidR="00B30F52" w:rsidRPr="007230A2" w:rsidRDefault="00B30F52" w:rsidP="00B30F52">
      <w:pPr>
        <w:pStyle w:val="NormalWeb"/>
        <w:numPr>
          <w:ilvl w:val="0"/>
          <w:numId w:val="1"/>
        </w:numPr>
        <w:shd w:val="clear" w:color="auto" w:fill="FFFFFF"/>
        <w:spacing w:before="0" w:beforeAutospacing="0" w:after="0" w:afterAutospacing="0" w:line="276" w:lineRule="auto"/>
        <w:ind w:right="709"/>
        <w:jc w:val="both"/>
        <w:textAlignment w:val="baseline"/>
        <w:rPr>
          <w:rFonts w:ascii="Arial" w:hAnsi="Arial" w:cs="Arial"/>
          <w:color w:val="000000"/>
          <w:sz w:val="22"/>
          <w:szCs w:val="22"/>
        </w:rPr>
      </w:pPr>
      <w:r w:rsidRPr="007230A2">
        <w:rPr>
          <w:rFonts w:ascii="Arial" w:hAnsi="Arial" w:cs="Arial"/>
          <w:b/>
          <w:bCs/>
          <w:color w:val="000000"/>
          <w:sz w:val="22"/>
          <w:szCs w:val="22"/>
          <w:bdr w:val="none" w:sz="0" w:space="0" w:color="auto" w:frame="1"/>
        </w:rPr>
        <w:t>Respuesta:  </w:t>
      </w:r>
    </w:p>
    <w:p w14:paraId="259B4BE2" w14:textId="77777777" w:rsidR="00B30F52" w:rsidRPr="007230A2" w:rsidRDefault="00B30F52" w:rsidP="00B30F52">
      <w:pPr>
        <w:pStyle w:val="NormalWeb"/>
        <w:shd w:val="clear" w:color="auto" w:fill="FFFFFF"/>
        <w:spacing w:before="0" w:beforeAutospacing="0" w:after="0" w:afterAutospacing="0"/>
        <w:ind w:left="709" w:right="709"/>
        <w:jc w:val="both"/>
        <w:textAlignment w:val="baseline"/>
        <w:rPr>
          <w:rFonts w:ascii="Arial" w:hAnsi="Arial" w:cs="Arial"/>
          <w:color w:val="000000"/>
          <w:sz w:val="22"/>
          <w:szCs w:val="22"/>
        </w:rPr>
      </w:pPr>
    </w:p>
    <w:p w14:paraId="51BAEC00" w14:textId="77777777" w:rsidR="00B30F52" w:rsidRDefault="00B30F52" w:rsidP="00B30F52">
      <w:pPr>
        <w:pStyle w:val="Prrafodelista"/>
        <w:ind w:left="709" w:right="709"/>
        <w:jc w:val="both"/>
        <w:rPr>
          <w:rFonts w:ascii="Arial" w:hAnsi="Arial" w:cs="Arial"/>
          <w:color w:val="000000"/>
          <w:sz w:val="21"/>
          <w:szCs w:val="21"/>
          <w:bdr w:val="none" w:sz="0" w:space="0" w:color="auto" w:frame="1"/>
        </w:rPr>
      </w:pPr>
      <w:r w:rsidRPr="007230A2">
        <w:rPr>
          <w:rFonts w:ascii="Arial" w:hAnsi="Arial" w:cs="Arial"/>
          <w:color w:val="000000"/>
          <w:sz w:val="21"/>
          <w:szCs w:val="21"/>
          <w:bdr w:val="none" w:sz="0" w:space="0" w:color="auto" w:frame="1"/>
        </w:rPr>
        <w:t xml:space="preserve">Solicito se me aclara </w:t>
      </w:r>
      <w:r>
        <w:rPr>
          <w:rFonts w:ascii="Arial" w:hAnsi="Arial" w:cs="Arial"/>
          <w:color w:val="000000"/>
          <w:sz w:val="21"/>
          <w:szCs w:val="21"/>
          <w:bdr w:val="none" w:sz="0" w:space="0" w:color="auto" w:frame="1"/>
        </w:rPr>
        <w:t>[</w:t>
      </w:r>
      <w:r w:rsidRPr="007230A2">
        <w:rPr>
          <w:rFonts w:ascii="Arial" w:hAnsi="Arial" w:cs="Arial"/>
          <w:color w:val="000000"/>
          <w:sz w:val="21"/>
          <w:szCs w:val="21"/>
          <w:bdr w:val="none" w:sz="0" w:space="0" w:color="auto" w:frame="1"/>
        </w:rPr>
        <w:t>sic</w:t>
      </w:r>
      <w:r>
        <w:rPr>
          <w:rFonts w:ascii="Arial" w:hAnsi="Arial" w:cs="Arial"/>
          <w:color w:val="000000"/>
          <w:sz w:val="21"/>
          <w:szCs w:val="21"/>
          <w:bdr w:val="none" w:sz="0" w:space="0" w:color="auto" w:frame="1"/>
        </w:rPr>
        <w:t xml:space="preserve">] </w:t>
      </w:r>
      <w:r w:rsidRPr="007230A2">
        <w:rPr>
          <w:rFonts w:ascii="Arial" w:hAnsi="Arial" w:cs="Arial"/>
          <w:color w:val="000000"/>
          <w:sz w:val="21"/>
          <w:szCs w:val="21"/>
          <w:bdr w:val="none" w:sz="0" w:space="0" w:color="auto" w:frame="1"/>
        </w:rPr>
        <w:t xml:space="preserve">quienes </w:t>
      </w:r>
      <w:r>
        <w:rPr>
          <w:rFonts w:ascii="Arial" w:hAnsi="Arial" w:cs="Arial"/>
          <w:color w:val="000000"/>
          <w:sz w:val="21"/>
          <w:szCs w:val="21"/>
          <w:bdr w:val="none" w:sz="0" w:space="0" w:color="auto" w:frame="1"/>
        </w:rPr>
        <w:t>[</w:t>
      </w:r>
      <w:r w:rsidRPr="007230A2">
        <w:rPr>
          <w:rFonts w:ascii="Arial" w:hAnsi="Arial" w:cs="Arial"/>
          <w:color w:val="000000"/>
          <w:sz w:val="21"/>
          <w:szCs w:val="21"/>
          <w:bdr w:val="none" w:sz="0" w:space="0" w:color="auto" w:frame="1"/>
        </w:rPr>
        <w:t>sic</w:t>
      </w:r>
      <w:r>
        <w:rPr>
          <w:rFonts w:ascii="Arial" w:hAnsi="Arial" w:cs="Arial"/>
          <w:color w:val="000000"/>
          <w:sz w:val="21"/>
          <w:szCs w:val="21"/>
          <w:bdr w:val="none" w:sz="0" w:space="0" w:color="auto" w:frame="1"/>
        </w:rPr>
        <w:t>]</w:t>
      </w:r>
      <w:r w:rsidRPr="007230A2">
        <w:rPr>
          <w:rFonts w:ascii="Arial" w:hAnsi="Arial" w:cs="Arial"/>
          <w:color w:val="000000"/>
          <w:sz w:val="21"/>
          <w:szCs w:val="21"/>
          <w:bdr w:val="none" w:sz="0" w:space="0" w:color="auto" w:frame="1"/>
        </w:rPr>
        <w:t xml:space="preserve"> deben suscribir los estados de resultados de personas naturales o jurídicas no obligados a tener revisor fiscal, ya sea, por un lado, representante legal y contador público o representante legal, contador público y auditor (contador externo)</w:t>
      </w:r>
      <w:r w:rsidRPr="007230A2">
        <w:rPr>
          <w:rFonts w:ascii="Arial" w:eastAsia="Calibri" w:hAnsi="Arial" w:cs="Arial"/>
          <w:color w:val="000000" w:themeColor="text1"/>
          <w:sz w:val="21"/>
          <w:szCs w:val="21"/>
          <w:lang w:val="es-ES"/>
        </w:rPr>
        <w:t>.</w:t>
      </w:r>
      <w:r w:rsidRPr="007230A2">
        <w:rPr>
          <w:rFonts w:ascii="Arial" w:hAnsi="Arial" w:cs="Arial"/>
          <w:color w:val="000000"/>
          <w:sz w:val="21"/>
          <w:szCs w:val="21"/>
          <w:bdr w:val="none" w:sz="0" w:space="0" w:color="auto" w:frame="1"/>
        </w:rPr>
        <w:t> </w:t>
      </w:r>
    </w:p>
    <w:p w14:paraId="0AFCA01C" w14:textId="77777777" w:rsidR="00B30F52" w:rsidRPr="007230A2" w:rsidRDefault="00B30F52" w:rsidP="00B30F52">
      <w:pPr>
        <w:pStyle w:val="Prrafodelista"/>
        <w:ind w:left="709" w:right="709"/>
        <w:jc w:val="both"/>
        <w:rPr>
          <w:rFonts w:ascii="Arial" w:hAnsi="Arial" w:cs="Arial"/>
          <w:sz w:val="21"/>
          <w:szCs w:val="21"/>
        </w:rPr>
      </w:pPr>
    </w:p>
    <w:p w14:paraId="1896F910" w14:textId="77777777" w:rsidR="00B30F52" w:rsidRPr="007230A2" w:rsidRDefault="00B30F52" w:rsidP="00B30F52">
      <w:pPr>
        <w:spacing w:line="276" w:lineRule="auto"/>
        <w:jc w:val="both"/>
        <w:rPr>
          <w:rFonts w:ascii="Arial" w:hAnsi="Arial" w:cs="Arial"/>
          <w:color w:val="000000"/>
          <w:sz w:val="22"/>
          <w:szCs w:val="22"/>
        </w:rPr>
      </w:pPr>
      <w:r w:rsidRPr="007230A2">
        <w:rPr>
          <w:rFonts w:ascii="Arial" w:hAnsi="Arial" w:cs="Arial"/>
          <w:color w:val="000000"/>
          <w:sz w:val="22"/>
          <w:szCs w:val="22"/>
          <w:bdr w:val="none" w:sz="0" w:space="0" w:color="auto" w:frame="1"/>
        </w:rPr>
        <w:t xml:space="preserve">Con </w:t>
      </w:r>
      <w:r>
        <w:rPr>
          <w:rFonts w:ascii="Arial" w:hAnsi="Arial" w:cs="Arial"/>
          <w:color w:val="000000"/>
          <w:sz w:val="22"/>
          <w:szCs w:val="22"/>
          <w:bdr w:val="none" w:sz="0" w:space="0" w:color="auto" w:frame="1"/>
        </w:rPr>
        <w:t>fundamento</w:t>
      </w:r>
      <w:r w:rsidRPr="007230A2">
        <w:rPr>
          <w:rFonts w:ascii="Arial" w:hAnsi="Arial" w:cs="Arial"/>
          <w:color w:val="000000"/>
          <w:sz w:val="22"/>
          <w:szCs w:val="22"/>
          <w:bdr w:val="none" w:sz="0" w:space="0" w:color="auto" w:frame="1"/>
        </w:rPr>
        <w:t xml:space="preserve"> en l</w:t>
      </w:r>
      <w:r>
        <w:rPr>
          <w:rFonts w:ascii="Arial" w:hAnsi="Arial" w:cs="Arial"/>
          <w:color w:val="000000"/>
          <w:sz w:val="22"/>
          <w:szCs w:val="22"/>
          <w:bdr w:val="none" w:sz="0" w:space="0" w:color="auto" w:frame="1"/>
        </w:rPr>
        <w:t>as consideraciones expuestas</w:t>
      </w:r>
      <w:r w:rsidRPr="007230A2">
        <w:rPr>
          <w:rFonts w:ascii="Arial" w:hAnsi="Arial" w:cs="Arial"/>
          <w:color w:val="000000"/>
          <w:sz w:val="22"/>
          <w:szCs w:val="22"/>
          <w:bdr w:val="none" w:sz="0" w:space="0" w:color="auto" w:frame="1"/>
        </w:rPr>
        <w:t>, a efectos de responder su consulta, se indica que el numeral 3 del artículo 2.2.1.1.1.6.4 del Decreto 1082 de 2015 y la </w:t>
      </w:r>
      <w:r w:rsidRPr="00B0534A">
        <w:rPr>
          <w:rFonts w:ascii="Arial" w:hAnsi="Arial" w:cs="Arial"/>
          <w:i/>
          <w:iCs/>
          <w:color w:val="000000"/>
          <w:sz w:val="22"/>
          <w:szCs w:val="22"/>
          <w:bdr w:val="none" w:sz="0" w:space="0" w:color="auto" w:frame="1"/>
          <w:lang w:val="es-MX"/>
        </w:rPr>
        <w:t>Guía para Determinar y Verificar la Capacidad Residual del Proponente en los Procesos de Contratación de Obra Pública</w:t>
      </w:r>
      <w:r w:rsidRPr="007230A2">
        <w:rPr>
          <w:rFonts w:ascii="Arial" w:hAnsi="Arial" w:cs="Arial"/>
          <w:color w:val="000000"/>
          <w:sz w:val="22"/>
          <w:szCs w:val="22"/>
          <w:bdr w:val="none" w:sz="0" w:space="0" w:color="auto" w:frame="1"/>
          <w:lang w:val="es-MX"/>
        </w:rPr>
        <w:t xml:space="preserve">, expedida por esta Agencia, son coincidentes en determinar que </w:t>
      </w:r>
      <w:r>
        <w:rPr>
          <w:rFonts w:ascii="Arial" w:hAnsi="Arial" w:cs="Arial"/>
          <w:color w:val="000000"/>
          <w:sz w:val="22"/>
          <w:szCs w:val="22"/>
          <w:bdr w:val="none" w:sz="0" w:space="0" w:color="auto" w:frame="1"/>
          <w:lang w:val="es-MX"/>
        </w:rPr>
        <w:t>los</w:t>
      </w:r>
      <w:r w:rsidRPr="007230A2">
        <w:rPr>
          <w:rFonts w:ascii="Arial" w:hAnsi="Arial" w:cs="Arial"/>
          <w:color w:val="000000"/>
          <w:sz w:val="22"/>
          <w:szCs w:val="22"/>
          <w:bdr w:val="none" w:sz="0" w:space="0" w:color="auto" w:frame="1"/>
          <w:lang w:val="es-MX"/>
        </w:rPr>
        <w:t xml:space="preserve"> estado</w:t>
      </w:r>
      <w:r>
        <w:rPr>
          <w:rFonts w:ascii="Arial" w:hAnsi="Arial" w:cs="Arial"/>
          <w:color w:val="000000"/>
          <w:sz w:val="22"/>
          <w:szCs w:val="22"/>
          <w:bdr w:val="none" w:sz="0" w:space="0" w:color="auto" w:frame="1"/>
          <w:lang w:val="es-MX"/>
        </w:rPr>
        <w:t>s</w:t>
      </w:r>
      <w:r w:rsidRPr="007230A2">
        <w:rPr>
          <w:rFonts w:ascii="Arial" w:hAnsi="Arial" w:cs="Arial"/>
          <w:color w:val="000000"/>
          <w:sz w:val="22"/>
          <w:szCs w:val="22"/>
          <w:bdr w:val="none" w:sz="0" w:space="0" w:color="auto" w:frame="1"/>
          <w:lang w:val="es-MX"/>
        </w:rPr>
        <w:t xml:space="preserve"> de resultado</w:t>
      </w:r>
      <w:r>
        <w:rPr>
          <w:rFonts w:ascii="Arial" w:hAnsi="Arial" w:cs="Arial"/>
          <w:color w:val="000000"/>
          <w:sz w:val="22"/>
          <w:szCs w:val="22"/>
          <w:bdr w:val="none" w:sz="0" w:space="0" w:color="auto" w:frame="1"/>
          <w:lang w:val="es-MX"/>
        </w:rPr>
        <w:t>s,</w:t>
      </w:r>
      <w:r w:rsidRPr="007230A2">
        <w:rPr>
          <w:rFonts w:ascii="Arial" w:hAnsi="Arial" w:cs="Arial"/>
          <w:color w:val="000000"/>
          <w:sz w:val="22"/>
          <w:szCs w:val="22"/>
          <w:bdr w:val="none" w:sz="0" w:space="0" w:color="auto" w:frame="1"/>
          <w:lang w:val="es-MX"/>
        </w:rPr>
        <w:t xml:space="preserve"> para demostrar la capacidad residual</w:t>
      </w:r>
      <w:r>
        <w:rPr>
          <w:rFonts w:ascii="Arial" w:hAnsi="Arial" w:cs="Arial"/>
          <w:color w:val="000000"/>
          <w:sz w:val="22"/>
          <w:szCs w:val="22"/>
          <w:bdr w:val="none" w:sz="0" w:space="0" w:color="auto" w:frame="1"/>
          <w:lang w:val="es-MX"/>
        </w:rPr>
        <w:t>,</w:t>
      </w:r>
      <w:r w:rsidRPr="007230A2">
        <w:rPr>
          <w:rFonts w:ascii="Arial" w:hAnsi="Arial" w:cs="Arial"/>
          <w:color w:val="000000"/>
          <w:sz w:val="22"/>
          <w:szCs w:val="22"/>
          <w:bdr w:val="none" w:sz="0" w:space="0" w:color="auto" w:frame="1"/>
          <w:lang w:val="es-MX"/>
        </w:rPr>
        <w:t> </w:t>
      </w:r>
      <w:r w:rsidRPr="007230A2">
        <w:rPr>
          <w:rFonts w:ascii="Arial" w:hAnsi="Arial" w:cs="Arial"/>
          <w:color w:val="000000"/>
          <w:sz w:val="22"/>
          <w:szCs w:val="22"/>
          <w:bdr w:val="none" w:sz="0" w:space="0" w:color="auto" w:frame="1"/>
        </w:rPr>
        <w:t>debe</w:t>
      </w:r>
      <w:r>
        <w:rPr>
          <w:rFonts w:ascii="Arial" w:hAnsi="Arial" w:cs="Arial"/>
          <w:color w:val="000000"/>
          <w:sz w:val="22"/>
          <w:szCs w:val="22"/>
          <w:bdr w:val="none" w:sz="0" w:space="0" w:color="auto" w:frame="1"/>
        </w:rPr>
        <w:t>n</w:t>
      </w:r>
      <w:r w:rsidRPr="007230A2">
        <w:rPr>
          <w:rFonts w:ascii="Arial" w:hAnsi="Arial" w:cs="Arial"/>
          <w:color w:val="000000"/>
          <w:sz w:val="22"/>
          <w:szCs w:val="22"/>
          <w:bdr w:val="none" w:sz="0" w:space="0" w:color="auto" w:frame="1"/>
        </w:rPr>
        <w:t xml:space="preserve"> estar </w:t>
      </w:r>
      <w:r>
        <w:rPr>
          <w:rFonts w:ascii="Arial" w:hAnsi="Arial" w:cs="Arial"/>
          <w:color w:val="000000"/>
          <w:sz w:val="22"/>
          <w:szCs w:val="22"/>
          <w:bdr w:val="none" w:sz="0" w:space="0" w:color="auto" w:frame="1"/>
        </w:rPr>
        <w:t xml:space="preserve">«[…] </w:t>
      </w:r>
      <w:r w:rsidRPr="007230A2">
        <w:rPr>
          <w:rFonts w:ascii="Arial" w:hAnsi="Arial" w:cs="Arial"/>
          <w:color w:val="000000"/>
          <w:sz w:val="22"/>
          <w:szCs w:val="22"/>
          <w:bdr w:val="none" w:sz="0" w:space="0" w:color="auto" w:frame="1"/>
        </w:rPr>
        <w:t>suscritos por el interesado o su representante legal y el revisor fiscal si está obligado a tenerlo, o el auditor o contador si no está obligado a tener revisor fiscal</w:t>
      </w:r>
      <w:r>
        <w:rPr>
          <w:rFonts w:ascii="Arial" w:hAnsi="Arial" w:cs="Arial"/>
          <w:color w:val="000000"/>
          <w:sz w:val="22"/>
          <w:szCs w:val="22"/>
          <w:bdr w:val="none" w:sz="0" w:space="0" w:color="auto" w:frame="1"/>
        </w:rPr>
        <w:t>»</w:t>
      </w:r>
      <w:r w:rsidRPr="007230A2">
        <w:rPr>
          <w:rFonts w:ascii="Arial" w:hAnsi="Arial" w:cs="Arial"/>
          <w:color w:val="000000"/>
          <w:sz w:val="22"/>
          <w:szCs w:val="22"/>
          <w:bdr w:val="none" w:sz="0" w:space="0" w:color="auto" w:frame="1"/>
        </w:rPr>
        <w:t>. </w:t>
      </w:r>
    </w:p>
    <w:p w14:paraId="72DD98B3" w14:textId="77777777" w:rsidR="00B30F52" w:rsidRPr="007230A2" w:rsidRDefault="00B30F52" w:rsidP="00B30F52">
      <w:pPr>
        <w:spacing w:before="120" w:line="276" w:lineRule="auto"/>
        <w:ind w:firstLine="708"/>
        <w:jc w:val="both"/>
        <w:rPr>
          <w:rFonts w:ascii="Arial" w:hAnsi="Arial" w:cs="Arial"/>
          <w:color w:val="000000"/>
          <w:sz w:val="22"/>
          <w:szCs w:val="22"/>
        </w:rPr>
      </w:pPr>
      <w:r w:rsidRPr="007230A2">
        <w:rPr>
          <w:rFonts w:ascii="Arial" w:hAnsi="Arial" w:cs="Arial"/>
          <w:color w:val="000000"/>
          <w:sz w:val="22"/>
          <w:szCs w:val="22"/>
          <w:bdr w:val="none" w:sz="0" w:space="0" w:color="auto" w:frame="1"/>
        </w:rPr>
        <w:t>Por lo tanto, si el proponente no está obligado a tener revisor fiscal, el estado de resultado debe estar suscrito, primero, por el interesado o su representante legal y, segundo, por el auditor o por contador.</w:t>
      </w:r>
      <w:r>
        <w:rPr>
          <w:rFonts w:ascii="Arial" w:hAnsi="Arial" w:cs="Arial"/>
          <w:color w:val="000000"/>
          <w:sz w:val="22"/>
          <w:szCs w:val="22"/>
          <w:bdr w:val="none" w:sz="0" w:space="0" w:color="auto" w:frame="1"/>
        </w:rPr>
        <w:t xml:space="preserve"> En el caso contrario, es decir, si está obligado a tener revisor fiscal, el estado de resultado debe estar suscrito, primero, </w:t>
      </w:r>
      <w:r w:rsidRPr="00E65C61">
        <w:rPr>
          <w:rFonts w:ascii="Arial" w:hAnsi="Arial" w:cs="Arial"/>
          <w:color w:val="000000"/>
          <w:sz w:val="22"/>
          <w:szCs w:val="22"/>
          <w:bdr w:val="none" w:sz="0" w:space="0" w:color="auto" w:frame="1"/>
        </w:rPr>
        <w:t>por el interesado o su representante legal y</w:t>
      </w:r>
      <w:r>
        <w:rPr>
          <w:rFonts w:ascii="Arial" w:hAnsi="Arial" w:cs="Arial"/>
          <w:color w:val="000000"/>
          <w:sz w:val="22"/>
          <w:szCs w:val="22"/>
          <w:bdr w:val="none" w:sz="0" w:space="0" w:color="auto" w:frame="1"/>
        </w:rPr>
        <w:t>, segundo, por</w:t>
      </w:r>
      <w:r w:rsidRPr="00E65C61">
        <w:rPr>
          <w:rFonts w:ascii="Arial" w:hAnsi="Arial" w:cs="Arial"/>
          <w:color w:val="000000"/>
          <w:sz w:val="22"/>
          <w:szCs w:val="22"/>
          <w:bdr w:val="none" w:sz="0" w:space="0" w:color="auto" w:frame="1"/>
        </w:rPr>
        <w:t xml:space="preserve"> el revisor fiscal</w:t>
      </w:r>
      <w:r>
        <w:rPr>
          <w:rFonts w:ascii="Arial" w:hAnsi="Arial" w:cs="Arial"/>
          <w:color w:val="000000"/>
          <w:sz w:val="22"/>
          <w:szCs w:val="22"/>
          <w:bdr w:val="none" w:sz="0" w:space="0" w:color="auto" w:frame="1"/>
        </w:rPr>
        <w:t>. De este modo, no existe posibilidad que la entidad contratante exija uno u otro, ya que el referido artículo faculta al interesado para que sea este quien, en función de su situación específica, determine cuál de los sujetos habilitados por la norma suscribirá el estado de resultados requerido para acreditar la capacidad residual.</w:t>
      </w:r>
    </w:p>
    <w:p w14:paraId="3A380C94" w14:textId="77777777" w:rsidR="00B30F52" w:rsidRPr="00B0534A" w:rsidRDefault="00B30F52" w:rsidP="00B30F52">
      <w:pPr>
        <w:rPr>
          <w:rFonts w:ascii="Arial" w:hAnsi="Arial" w:cs="Arial"/>
          <w:b/>
          <w:bCs/>
          <w:color w:val="000000" w:themeColor="text1"/>
          <w:sz w:val="18"/>
          <w:szCs w:val="18"/>
        </w:rPr>
      </w:pPr>
    </w:p>
    <w:p w14:paraId="134765DB" w14:textId="77777777" w:rsidR="00B30F52" w:rsidRPr="007230A2" w:rsidRDefault="00B30F52" w:rsidP="00B30F52">
      <w:pPr>
        <w:spacing w:line="276" w:lineRule="auto"/>
        <w:jc w:val="both"/>
        <w:rPr>
          <w:rFonts w:ascii="Arial" w:eastAsia="Calibri" w:hAnsi="Arial" w:cs="Arial"/>
          <w:color w:val="000000" w:themeColor="text1"/>
          <w:sz w:val="22"/>
          <w:szCs w:val="22"/>
        </w:rPr>
      </w:pPr>
      <w:r w:rsidRPr="007230A2">
        <w:rPr>
          <w:rFonts w:ascii="Arial" w:eastAsia="Calibri" w:hAnsi="Arial" w:cs="Arial"/>
          <w:color w:val="000000" w:themeColor="text1"/>
          <w:sz w:val="22"/>
          <w:szCs w:val="22"/>
        </w:rPr>
        <w:t>Este concepto tiene el alcance previsto en el artículo 28 del Código de Procedimiento Administrativo y de lo Contencioso Administrativo.</w:t>
      </w:r>
    </w:p>
    <w:p w14:paraId="351B3F1A" w14:textId="77777777" w:rsidR="00B30F52" w:rsidRPr="006C15D5" w:rsidRDefault="00B30F52" w:rsidP="00B30F52">
      <w:pPr>
        <w:ind w:firstLine="709"/>
        <w:jc w:val="both"/>
        <w:rPr>
          <w:rFonts w:ascii="Arial" w:eastAsia="Calibri" w:hAnsi="Arial" w:cs="Arial"/>
          <w:color w:val="000000" w:themeColor="text1"/>
          <w:sz w:val="22"/>
        </w:rPr>
      </w:pPr>
      <w:r>
        <w:rPr>
          <w:rFonts w:ascii="Arial" w:hAnsi="Arial" w:cs="Arial"/>
          <w:noProof/>
          <w:color w:val="000000" w:themeColor="text1"/>
          <w:sz w:val="22"/>
          <w:lang w:eastAsia="es-CO"/>
        </w:rPr>
        <w:drawing>
          <wp:anchor distT="0" distB="0" distL="114300" distR="114300" simplePos="0" relativeHeight="251659264" behindDoc="0" locked="0" layoutInCell="1" allowOverlap="1" wp14:anchorId="5E3FF7DA" wp14:editId="57144DBF">
            <wp:simplePos x="0" y="0"/>
            <wp:positionH relativeFrom="margin">
              <wp:align>center</wp:align>
            </wp:positionH>
            <wp:positionV relativeFrom="paragraph">
              <wp:posOffset>22860</wp:posOffset>
            </wp:positionV>
            <wp:extent cx="2715260" cy="1066800"/>
            <wp:effectExtent l="0" t="0" r="889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8">
                      <a:extLst>
                        <a:ext uri="{28A0092B-C50C-407E-A947-70E740481C1C}">
                          <a14:useLocalDpi xmlns:a14="http://schemas.microsoft.com/office/drawing/2010/main" val="0"/>
                        </a:ext>
                      </a:extLst>
                    </a:blip>
                    <a:stretch>
                      <a:fillRect/>
                    </a:stretch>
                  </pic:blipFill>
                  <pic:spPr>
                    <a:xfrm>
                      <a:off x="0" y="0"/>
                      <a:ext cx="2715260" cy="1066800"/>
                    </a:xfrm>
                    <a:prstGeom prst="rect">
                      <a:avLst/>
                    </a:prstGeom>
                  </pic:spPr>
                </pic:pic>
              </a:graphicData>
            </a:graphic>
            <wp14:sizeRelH relativeFrom="page">
              <wp14:pctWidth>0</wp14:pctWidth>
            </wp14:sizeRelH>
            <wp14:sizeRelV relativeFrom="page">
              <wp14:pctHeight>0</wp14:pctHeight>
            </wp14:sizeRelV>
          </wp:anchor>
        </w:drawing>
      </w:r>
    </w:p>
    <w:p w14:paraId="7150994A" w14:textId="77777777" w:rsidR="00B30F52" w:rsidRDefault="00B30F52" w:rsidP="00B30F52">
      <w:pPr>
        <w:jc w:val="both"/>
        <w:rPr>
          <w:rFonts w:ascii="Arial" w:hAnsi="Arial" w:cs="Arial"/>
          <w:color w:val="000000" w:themeColor="text1"/>
          <w:sz w:val="22"/>
          <w:lang w:eastAsia="es-CO"/>
        </w:rPr>
      </w:pPr>
      <w:r w:rsidRPr="006C15D5">
        <w:rPr>
          <w:rFonts w:ascii="Arial" w:hAnsi="Arial" w:cs="Arial"/>
          <w:color w:val="000000" w:themeColor="text1"/>
          <w:sz w:val="22"/>
          <w:lang w:eastAsia="es-CO"/>
        </w:rPr>
        <w:t>Atentamente,</w:t>
      </w:r>
    </w:p>
    <w:p w14:paraId="3C15ABB6" w14:textId="77777777" w:rsidR="00B30F52" w:rsidRDefault="00B30F52" w:rsidP="00B30F52">
      <w:pPr>
        <w:jc w:val="center"/>
        <w:rPr>
          <w:rFonts w:ascii="Arial" w:hAnsi="Arial" w:cs="Arial"/>
          <w:color w:val="000000" w:themeColor="text1"/>
          <w:sz w:val="22"/>
          <w:lang w:eastAsia="es-CO"/>
        </w:rPr>
      </w:pPr>
    </w:p>
    <w:p w14:paraId="26693A76" w14:textId="77777777" w:rsidR="00B30F52" w:rsidRDefault="00B30F52" w:rsidP="00B30F52">
      <w:pPr>
        <w:jc w:val="center"/>
        <w:rPr>
          <w:rFonts w:ascii="Arial" w:hAnsi="Arial" w:cs="Arial"/>
          <w:color w:val="000000" w:themeColor="text1"/>
          <w:sz w:val="18"/>
          <w:szCs w:val="20"/>
          <w:lang w:eastAsia="es-CO"/>
        </w:rPr>
      </w:pPr>
    </w:p>
    <w:p w14:paraId="2DF49670" w14:textId="77777777" w:rsidR="00B30F52" w:rsidRDefault="00B30F52" w:rsidP="00B30F52">
      <w:pPr>
        <w:jc w:val="center"/>
        <w:rPr>
          <w:rFonts w:ascii="Arial" w:hAnsi="Arial" w:cs="Arial"/>
          <w:color w:val="000000" w:themeColor="text1"/>
          <w:sz w:val="18"/>
          <w:szCs w:val="20"/>
          <w:lang w:eastAsia="es-CO"/>
        </w:rPr>
      </w:pPr>
    </w:p>
    <w:p w14:paraId="1B3C0ACD" w14:textId="77777777" w:rsidR="00B30F52" w:rsidRDefault="00B30F52" w:rsidP="00B30F52">
      <w:pPr>
        <w:jc w:val="center"/>
        <w:rPr>
          <w:rFonts w:ascii="Arial" w:hAnsi="Arial" w:cs="Arial"/>
          <w:color w:val="000000" w:themeColor="text1"/>
          <w:sz w:val="18"/>
          <w:szCs w:val="20"/>
          <w:lang w:eastAsia="es-CO"/>
        </w:rPr>
      </w:pPr>
    </w:p>
    <w:p w14:paraId="69771238" w14:textId="77777777" w:rsidR="00B30F52" w:rsidRDefault="00B30F52" w:rsidP="00B30F52">
      <w:pPr>
        <w:jc w:val="center"/>
        <w:rPr>
          <w:rFonts w:ascii="Arial" w:hAnsi="Arial" w:cs="Arial"/>
          <w:color w:val="000000" w:themeColor="text1"/>
          <w:sz w:val="18"/>
          <w:szCs w:val="20"/>
          <w:lang w:eastAsia="es-CO"/>
        </w:rPr>
      </w:pPr>
    </w:p>
    <w:p w14:paraId="1802CD95" w14:textId="77777777" w:rsidR="00B30F52" w:rsidRDefault="00B30F52" w:rsidP="00B30F52">
      <w:pPr>
        <w:jc w:val="center"/>
        <w:rPr>
          <w:rFonts w:ascii="Arial" w:hAnsi="Arial" w:cs="Arial"/>
          <w:color w:val="000000" w:themeColor="text1"/>
          <w:sz w:val="18"/>
          <w:szCs w:val="20"/>
          <w:lang w:eastAsia="es-CO"/>
        </w:rPr>
      </w:pPr>
    </w:p>
    <w:p w14:paraId="3E957B6F" w14:textId="77777777" w:rsidR="00B30F52" w:rsidRDefault="00B30F52" w:rsidP="00B30F52">
      <w:pPr>
        <w:jc w:val="center"/>
        <w:rPr>
          <w:rFonts w:ascii="Arial" w:hAnsi="Arial" w:cs="Arial"/>
          <w:color w:val="000000" w:themeColor="text1"/>
          <w:sz w:val="18"/>
          <w:szCs w:val="20"/>
          <w:lang w:eastAsia="es-C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2"/>
        <w:gridCol w:w="4413"/>
      </w:tblGrid>
      <w:tr w:rsidR="00B30F52" w:rsidRPr="003F6D32" w14:paraId="7EA69DC7" w14:textId="77777777" w:rsidTr="007C6F1C">
        <w:trPr>
          <w:trHeight w:val="315"/>
        </w:trPr>
        <w:tc>
          <w:tcPr>
            <w:tcW w:w="812" w:type="dxa"/>
            <w:vAlign w:val="center"/>
            <w:hideMark/>
          </w:tcPr>
          <w:p w14:paraId="07AD34E8" w14:textId="77777777" w:rsidR="00B30F52" w:rsidRPr="006C15D5" w:rsidRDefault="00B30F52" w:rsidP="007C6F1C">
            <w:pPr>
              <w:rPr>
                <w:rFonts w:ascii="Arial" w:hAnsi="Arial" w:cs="Arial"/>
                <w:color w:val="000000" w:themeColor="text1"/>
                <w:sz w:val="16"/>
                <w:szCs w:val="16"/>
                <w:lang w:eastAsia="es-ES"/>
              </w:rPr>
            </w:pPr>
            <w:r w:rsidRPr="006C15D5">
              <w:rPr>
                <w:rFonts w:ascii="Arial" w:hAnsi="Arial" w:cs="Arial"/>
                <w:color w:val="000000" w:themeColor="text1"/>
                <w:sz w:val="16"/>
                <w:szCs w:val="16"/>
                <w:lang w:eastAsia="es-ES"/>
              </w:rPr>
              <w:t>Elaboró:</w:t>
            </w:r>
          </w:p>
        </w:tc>
        <w:tc>
          <w:tcPr>
            <w:tcW w:w="4413" w:type="dxa"/>
            <w:tcBorders>
              <w:top w:val="nil"/>
              <w:left w:val="nil"/>
              <w:bottom w:val="dotted" w:sz="4" w:space="0" w:color="7F7F7F" w:themeColor="text1" w:themeTint="80"/>
              <w:right w:val="nil"/>
            </w:tcBorders>
            <w:vAlign w:val="center"/>
            <w:hideMark/>
          </w:tcPr>
          <w:p w14:paraId="1AD36B1F" w14:textId="77777777" w:rsidR="00B30F52" w:rsidRPr="006C15D5" w:rsidRDefault="00B30F52" w:rsidP="007C6F1C">
            <w:pPr>
              <w:rPr>
                <w:rFonts w:ascii="Arial" w:hAnsi="Arial" w:cs="Arial"/>
                <w:color w:val="000000" w:themeColor="text1"/>
                <w:sz w:val="16"/>
                <w:szCs w:val="16"/>
                <w:lang w:eastAsia="es-ES"/>
              </w:rPr>
            </w:pPr>
            <w:r>
              <w:rPr>
                <w:rFonts w:ascii="Arial" w:hAnsi="Arial" w:cs="Arial"/>
                <w:color w:val="000000" w:themeColor="text1"/>
                <w:sz w:val="16"/>
                <w:szCs w:val="16"/>
                <w:lang w:eastAsia="es-ES"/>
              </w:rPr>
              <w:t xml:space="preserve">Camilo Perdomo Villamil </w:t>
            </w:r>
          </w:p>
          <w:p w14:paraId="3BC138A3" w14:textId="77777777" w:rsidR="00B30F52" w:rsidRPr="006C15D5" w:rsidRDefault="00B30F52" w:rsidP="007C6F1C">
            <w:pPr>
              <w:rPr>
                <w:rFonts w:ascii="Arial" w:hAnsi="Arial" w:cs="Arial"/>
                <w:color w:val="000000" w:themeColor="text1"/>
                <w:sz w:val="16"/>
                <w:szCs w:val="16"/>
                <w:lang w:eastAsia="es-ES"/>
              </w:rPr>
            </w:pPr>
            <w:r w:rsidRPr="006C15D5">
              <w:rPr>
                <w:rFonts w:ascii="Arial" w:hAnsi="Arial" w:cs="Arial"/>
                <w:color w:val="000000" w:themeColor="text1"/>
                <w:sz w:val="16"/>
                <w:szCs w:val="16"/>
                <w:lang w:eastAsia="es-ES"/>
              </w:rPr>
              <w:t>Contratista de la Subdirección de Gestión Contractual</w:t>
            </w:r>
          </w:p>
        </w:tc>
      </w:tr>
      <w:tr w:rsidR="00B30F52" w:rsidRPr="003F6D32" w14:paraId="46B2E7BF" w14:textId="77777777" w:rsidTr="007C6F1C">
        <w:trPr>
          <w:trHeight w:val="330"/>
        </w:trPr>
        <w:tc>
          <w:tcPr>
            <w:tcW w:w="812" w:type="dxa"/>
            <w:vAlign w:val="center"/>
            <w:hideMark/>
          </w:tcPr>
          <w:p w14:paraId="58FFCFF5" w14:textId="77777777" w:rsidR="00B30F52" w:rsidRPr="006C15D5" w:rsidRDefault="00B30F52" w:rsidP="007C6F1C">
            <w:pPr>
              <w:rPr>
                <w:rFonts w:ascii="Arial" w:hAnsi="Arial" w:cs="Arial"/>
                <w:color w:val="000000" w:themeColor="text1"/>
                <w:sz w:val="16"/>
                <w:szCs w:val="16"/>
                <w:lang w:eastAsia="es-ES"/>
              </w:rPr>
            </w:pPr>
            <w:r w:rsidRPr="006C15D5">
              <w:rPr>
                <w:rFonts w:ascii="Arial" w:hAnsi="Arial" w:cs="Arial"/>
                <w:color w:val="000000" w:themeColor="text1"/>
                <w:sz w:val="16"/>
                <w:szCs w:val="16"/>
                <w:lang w:eastAsia="es-ES"/>
              </w:rPr>
              <w:t>Revisó:</w:t>
            </w:r>
          </w:p>
        </w:tc>
        <w:tc>
          <w:tcPr>
            <w:tcW w:w="4413" w:type="dxa"/>
            <w:tcBorders>
              <w:top w:val="dotted" w:sz="4" w:space="0" w:color="7F7F7F" w:themeColor="text1" w:themeTint="80"/>
              <w:left w:val="nil"/>
              <w:bottom w:val="dotted" w:sz="4" w:space="0" w:color="7F7F7F" w:themeColor="text1" w:themeTint="80"/>
              <w:right w:val="nil"/>
            </w:tcBorders>
            <w:vAlign w:val="center"/>
            <w:hideMark/>
          </w:tcPr>
          <w:p w14:paraId="68D9BCCC" w14:textId="77777777" w:rsidR="00B30F52" w:rsidRDefault="00B30F52" w:rsidP="007C6F1C">
            <w:pPr>
              <w:rPr>
                <w:rFonts w:ascii="Arial" w:hAnsi="Arial" w:cs="Arial"/>
                <w:color w:val="000000" w:themeColor="text1"/>
                <w:sz w:val="16"/>
                <w:szCs w:val="16"/>
                <w:lang w:eastAsia="es-ES"/>
              </w:rPr>
            </w:pPr>
            <w:r>
              <w:rPr>
                <w:rFonts w:ascii="Arial" w:hAnsi="Arial" w:cs="Arial"/>
                <w:color w:val="000000" w:themeColor="text1"/>
                <w:sz w:val="16"/>
                <w:szCs w:val="16"/>
                <w:lang w:eastAsia="es-ES"/>
              </w:rPr>
              <w:t xml:space="preserve">Alejandro Sarmiento Cantillo </w:t>
            </w:r>
          </w:p>
          <w:p w14:paraId="042CD34D" w14:textId="77777777" w:rsidR="00B30F52" w:rsidRPr="006C15D5" w:rsidRDefault="00B30F52" w:rsidP="007C6F1C">
            <w:pPr>
              <w:rPr>
                <w:rFonts w:ascii="Arial" w:hAnsi="Arial" w:cs="Arial"/>
                <w:color w:val="000000" w:themeColor="text1"/>
                <w:sz w:val="16"/>
                <w:szCs w:val="16"/>
                <w:lang w:eastAsia="es-ES"/>
              </w:rPr>
            </w:pPr>
            <w:r>
              <w:rPr>
                <w:rFonts w:ascii="Arial" w:hAnsi="Arial" w:cs="Arial"/>
                <w:color w:val="000000" w:themeColor="text1"/>
                <w:sz w:val="16"/>
                <w:szCs w:val="16"/>
                <w:lang w:eastAsia="es-ES"/>
              </w:rPr>
              <w:t>Gestor T1–11 de la</w:t>
            </w:r>
            <w:r w:rsidRPr="004D6EB0">
              <w:rPr>
                <w:rFonts w:ascii="Arial" w:hAnsi="Arial" w:cs="Arial"/>
                <w:color w:val="000000" w:themeColor="text1"/>
                <w:sz w:val="16"/>
                <w:szCs w:val="16"/>
                <w:lang w:eastAsia="es-ES"/>
              </w:rPr>
              <w:t xml:space="preserve"> Subdirección de Gestión Contractual</w:t>
            </w:r>
          </w:p>
        </w:tc>
      </w:tr>
      <w:tr w:rsidR="00B30F52" w:rsidRPr="003F6D32" w14:paraId="05D019D3" w14:textId="77777777" w:rsidTr="007C6F1C">
        <w:trPr>
          <w:trHeight w:val="300"/>
        </w:trPr>
        <w:tc>
          <w:tcPr>
            <w:tcW w:w="812" w:type="dxa"/>
            <w:vAlign w:val="center"/>
            <w:hideMark/>
          </w:tcPr>
          <w:p w14:paraId="58715BC2" w14:textId="77777777" w:rsidR="00B30F52" w:rsidRPr="006C15D5" w:rsidRDefault="00B30F52" w:rsidP="007C6F1C">
            <w:pPr>
              <w:rPr>
                <w:rFonts w:ascii="Arial" w:hAnsi="Arial" w:cs="Arial"/>
                <w:color w:val="000000" w:themeColor="text1"/>
                <w:sz w:val="16"/>
                <w:szCs w:val="16"/>
                <w:lang w:eastAsia="es-ES"/>
              </w:rPr>
            </w:pPr>
            <w:r w:rsidRPr="006C15D5">
              <w:rPr>
                <w:rFonts w:ascii="Arial" w:hAnsi="Arial" w:cs="Arial"/>
                <w:color w:val="000000" w:themeColor="text1"/>
                <w:sz w:val="16"/>
                <w:szCs w:val="16"/>
                <w:lang w:eastAsia="es-ES"/>
              </w:rPr>
              <w:t>Aprobó:</w:t>
            </w:r>
          </w:p>
        </w:tc>
        <w:tc>
          <w:tcPr>
            <w:tcW w:w="4413" w:type="dxa"/>
            <w:tcBorders>
              <w:top w:val="dotted" w:sz="4" w:space="0" w:color="7F7F7F" w:themeColor="text1" w:themeTint="80"/>
              <w:left w:val="nil"/>
              <w:bottom w:val="dotted" w:sz="4" w:space="0" w:color="7F7F7F" w:themeColor="text1" w:themeTint="80"/>
              <w:right w:val="nil"/>
            </w:tcBorders>
            <w:vAlign w:val="center"/>
            <w:hideMark/>
          </w:tcPr>
          <w:p w14:paraId="0FDA055C" w14:textId="77777777" w:rsidR="00B30F52" w:rsidRDefault="00B30F52" w:rsidP="007C6F1C">
            <w:pPr>
              <w:rPr>
                <w:rFonts w:ascii="Arial" w:hAnsi="Arial" w:cs="Arial"/>
                <w:color w:val="000000" w:themeColor="text1"/>
                <w:sz w:val="16"/>
                <w:szCs w:val="16"/>
                <w:lang w:eastAsia="es-ES"/>
              </w:rPr>
            </w:pPr>
            <w:r>
              <w:rPr>
                <w:rFonts w:ascii="Arial" w:hAnsi="Arial" w:cs="Arial"/>
                <w:color w:val="000000" w:themeColor="text1"/>
                <w:sz w:val="16"/>
                <w:szCs w:val="16"/>
                <w:lang w:eastAsia="es-ES"/>
              </w:rPr>
              <w:t>Jorge Augusto Tirado Navarro</w:t>
            </w:r>
          </w:p>
          <w:p w14:paraId="3A0C52C5" w14:textId="77777777" w:rsidR="00B30F52" w:rsidRPr="006C15D5" w:rsidRDefault="00B30F52" w:rsidP="007C6F1C">
            <w:pPr>
              <w:rPr>
                <w:rFonts w:ascii="Arial" w:hAnsi="Arial" w:cs="Arial"/>
                <w:color w:val="000000" w:themeColor="text1"/>
                <w:sz w:val="16"/>
                <w:szCs w:val="16"/>
                <w:lang w:eastAsia="es-ES"/>
              </w:rPr>
            </w:pPr>
            <w:r w:rsidRPr="006C15D5">
              <w:rPr>
                <w:rFonts w:ascii="Arial" w:hAnsi="Arial" w:cs="Arial"/>
                <w:color w:val="000000" w:themeColor="text1"/>
                <w:sz w:val="16"/>
                <w:szCs w:val="16"/>
                <w:lang w:eastAsia="es-ES"/>
              </w:rPr>
              <w:t>Subdirector de Gestión Contractual</w:t>
            </w:r>
            <w:r>
              <w:rPr>
                <w:rFonts w:ascii="Arial" w:hAnsi="Arial" w:cs="Arial"/>
                <w:color w:val="000000" w:themeColor="text1"/>
                <w:sz w:val="16"/>
                <w:szCs w:val="16"/>
                <w:lang w:eastAsia="es-ES"/>
              </w:rPr>
              <w:t xml:space="preserve"> ANCP – CCE</w:t>
            </w:r>
          </w:p>
        </w:tc>
      </w:tr>
    </w:tbl>
    <w:p w14:paraId="1B7B675B" w14:textId="77777777" w:rsidR="00B30F52" w:rsidRDefault="00B30F52" w:rsidP="00B30F52"/>
    <w:p w14:paraId="62123813" w14:textId="77777777" w:rsidR="00B30F52" w:rsidRDefault="00B30F52"/>
    <w:sectPr w:rsidR="00B30F52" w:rsidSect="00B0534A">
      <w:headerReference w:type="default" r:id="rId9"/>
      <w:footerReference w:type="default" r:id="rId10"/>
      <w:pgSz w:w="12240" w:h="15840"/>
      <w:pgMar w:top="1928" w:right="1701" w:bottom="1418" w:left="1701" w:header="34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6F46D9" w14:textId="77777777" w:rsidR="00086EEB" w:rsidRDefault="00086EEB" w:rsidP="00B30F52">
      <w:r>
        <w:separator/>
      </w:r>
    </w:p>
  </w:endnote>
  <w:endnote w:type="continuationSeparator" w:id="0">
    <w:p w14:paraId="1EAA2843" w14:textId="77777777" w:rsidR="00086EEB" w:rsidRDefault="00086EEB" w:rsidP="00B30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BE31B8" w14:textId="77777777" w:rsidR="007F212F" w:rsidRDefault="00086EEB" w:rsidP="007F212F">
    <w:pPr>
      <w:pStyle w:val="Sinespaciado"/>
      <w:jc w:val="right"/>
      <w:rPr>
        <w:rFonts w:ascii="Arial" w:hAnsi="Arial" w:cs="Arial"/>
        <w:sz w:val="18"/>
        <w:szCs w:val="18"/>
      </w:rPr>
    </w:pPr>
  </w:p>
  <w:p w14:paraId="5A864A9E" w14:textId="77777777" w:rsidR="007F212F" w:rsidRDefault="00086EEB" w:rsidP="007F212F">
    <w:pPr>
      <w:pStyle w:val="Sinespaciado"/>
      <w:jc w:val="right"/>
      <w:rPr>
        <w:rFonts w:ascii="Arial" w:hAnsi="Arial" w:cs="Arial"/>
        <w:sz w:val="18"/>
        <w:szCs w:val="18"/>
      </w:rPr>
    </w:pPr>
  </w:p>
  <w:p w14:paraId="6CE96304" w14:textId="77777777" w:rsidR="007F212F" w:rsidRPr="008217B7" w:rsidRDefault="00086EEB" w:rsidP="007F212F">
    <w:pPr>
      <w:pStyle w:val="Piedepgina"/>
      <w:jc w:val="right"/>
      <w:rPr>
        <w:rFonts w:ascii="Arial" w:hAnsi="Arial" w:cs="Arial"/>
        <w:color w:val="7F7F7F" w:themeColor="text1" w:themeTint="80"/>
        <w:sz w:val="16"/>
        <w:szCs w:val="16"/>
      </w:rPr>
    </w:pPr>
    <w:r w:rsidRPr="008217B7">
      <w:rPr>
        <w:rFonts w:ascii="Arial" w:hAnsi="Arial" w:cs="Arial"/>
        <w:bCs/>
        <w:color w:val="7F7F7F" w:themeColor="text1" w:themeTint="80"/>
        <w:sz w:val="16"/>
        <w:szCs w:val="16"/>
      </w:rPr>
      <w:t xml:space="preserve">Página </w:t>
    </w:r>
    <w:r w:rsidRPr="00084B97">
      <w:rPr>
        <w:rFonts w:ascii="Arial" w:hAnsi="Arial" w:cs="Arial"/>
        <w:b/>
        <w:bCs/>
        <w:color w:val="7F7F7F" w:themeColor="text1" w:themeTint="80"/>
        <w:sz w:val="16"/>
        <w:szCs w:val="16"/>
      </w:rPr>
      <w:fldChar w:fldCharType="begin"/>
    </w:r>
    <w:r w:rsidRPr="00084B97">
      <w:rPr>
        <w:rFonts w:ascii="Arial" w:hAnsi="Arial" w:cs="Arial"/>
        <w:b/>
        <w:bCs/>
        <w:color w:val="7F7F7F" w:themeColor="text1" w:themeTint="80"/>
        <w:sz w:val="16"/>
        <w:szCs w:val="16"/>
      </w:rPr>
      <w:instrText>PAGE  \* Arabic  \* MERGEFORMAT</w:instrText>
    </w:r>
    <w:r w:rsidRPr="00084B97">
      <w:rPr>
        <w:rFonts w:ascii="Arial" w:hAnsi="Arial" w:cs="Arial"/>
        <w:b/>
        <w:bCs/>
        <w:color w:val="7F7F7F" w:themeColor="text1" w:themeTint="80"/>
        <w:sz w:val="16"/>
        <w:szCs w:val="16"/>
      </w:rPr>
      <w:fldChar w:fldCharType="separate"/>
    </w:r>
    <w:r w:rsidRPr="00084B97">
      <w:rPr>
        <w:rFonts w:ascii="Arial" w:hAnsi="Arial" w:cs="Arial"/>
        <w:b/>
        <w:bCs/>
        <w:color w:val="7F7F7F" w:themeColor="text1" w:themeTint="80"/>
        <w:sz w:val="16"/>
        <w:szCs w:val="16"/>
      </w:rPr>
      <w:t>1</w:t>
    </w:r>
    <w:r w:rsidRPr="00084B97">
      <w:rPr>
        <w:rFonts w:ascii="Arial" w:hAnsi="Arial" w:cs="Arial"/>
        <w:b/>
        <w:bCs/>
        <w:color w:val="7F7F7F" w:themeColor="text1" w:themeTint="80"/>
        <w:sz w:val="16"/>
        <w:szCs w:val="16"/>
      </w:rPr>
      <w:fldChar w:fldCharType="end"/>
    </w:r>
    <w:r w:rsidRPr="008217B7">
      <w:rPr>
        <w:rFonts w:ascii="Arial" w:hAnsi="Arial" w:cs="Arial"/>
        <w:color w:val="7F7F7F" w:themeColor="text1" w:themeTint="80"/>
        <w:sz w:val="16"/>
        <w:szCs w:val="16"/>
      </w:rPr>
      <w:t xml:space="preserve"> de </w:t>
    </w:r>
    <w:r w:rsidRPr="00084B97">
      <w:rPr>
        <w:rFonts w:ascii="Arial" w:hAnsi="Arial" w:cs="Arial"/>
        <w:b/>
        <w:bCs/>
        <w:color w:val="7F7F7F" w:themeColor="text1" w:themeTint="80"/>
        <w:sz w:val="16"/>
        <w:szCs w:val="16"/>
      </w:rPr>
      <w:fldChar w:fldCharType="begin"/>
    </w:r>
    <w:r w:rsidRPr="00084B97">
      <w:rPr>
        <w:rFonts w:ascii="Arial" w:hAnsi="Arial" w:cs="Arial"/>
        <w:b/>
        <w:bCs/>
        <w:color w:val="7F7F7F" w:themeColor="text1" w:themeTint="80"/>
        <w:sz w:val="16"/>
        <w:szCs w:val="16"/>
      </w:rPr>
      <w:instrText>NUMPAGES  \* Arabic  \* MERGEFORMAT</w:instrText>
    </w:r>
    <w:r w:rsidRPr="00084B97">
      <w:rPr>
        <w:rFonts w:ascii="Arial" w:hAnsi="Arial" w:cs="Arial"/>
        <w:b/>
        <w:bCs/>
        <w:color w:val="7F7F7F" w:themeColor="text1" w:themeTint="80"/>
        <w:sz w:val="16"/>
        <w:szCs w:val="16"/>
      </w:rPr>
      <w:fldChar w:fldCharType="separate"/>
    </w:r>
    <w:r w:rsidRPr="00084B97">
      <w:rPr>
        <w:rFonts w:ascii="Arial" w:hAnsi="Arial" w:cs="Arial"/>
        <w:b/>
        <w:bCs/>
        <w:color w:val="7F7F7F" w:themeColor="text1" w:themeTint="80"/>
        <w:sz w:val="16"/>
        <w:szCs w:val="16"/>
      </w:rPr>
      <w:t>2</w:t>
    </w:r>
    <w:r w:rsidRPr="00084B97">
      <w:rPr>
        <w:rFonts w:ascii="Arial" w:hAnsi="Arial" w:cs="Arial"/>
        <w:b/>
        <w:bCs/>
        <w:color w:val="7F7F7F" w:themeColor="text1" w:themeTint="80"/>
        <w:sz w:val="16"/>
        <w:szCs w:val="16"/>
      </w:rPr>
      <w:fldChar w:fldCharType="end"/>
    </w:r>
  </w:p>
  <w:p w14:paraId="50888591" w14:textId="77777777" w:rsidR="007F212F" w:rsidRDefault="00086EEB" w:rsidP="007F212F">
    <w:pPr>
      <w:pStyle w:val="Piedepgina"/>
      <w:jc w:val="center"/>
      <w:rPr>
        <w:lang w:val="es-ES"/>
      </w:rPr>
    </w:pPr>
    <w:r>
      <w:rPr>
        <w:noProof/>
      </w:rPr>
      <w:drawing>
        <wp:inline distT="0" distB="0" distL="0" distR="0" wp14:anchorId="2660D4B3" wp14:editId="6BCCAAB8">
          <wp:extent cx="3700130" cy="519139"/>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e_pagina_pie_pagina_excel.png"/>
                  <pic:cNvPicPr/>
                </pic:nvPicPr>
                <pic:blipFill>
                  <a:blip r:embed="rId1">
                    <a:extLst>
                      <a:ext uri="{28A0092B-C50C-407E-A947-70E740481C1C}">
                        <a14:useLocalDpi xmlns:a14="http://schemas.microsoft.com/office/drawing/2010/main" val="0"/>
                      </a:ext>
                    </a:extLst>
                  </a:blip>
                  <a:stretch>
                    <a:fillRect/>
                  </a:stretch>
                </pic:blipFill>
                <pic:spPr>
                  <a:xfrm>
                    <a:off x="0" y="0"/>
                    <a:ext cx="3779589" cy="530287"/>
                  </a:xfrm>
                  <a:prstGeom prst="rect">
                    <a:avLst/>
                  </a:prstGeom>
                </pic:spPr>
              </pic:pic>
            </a:graphicData>
          </a:graphic>
        </wp:inline>
      </w:drawing>
    </w:r>
  </w:p>
  <w:p w14:paraId="2078E1EC" w14:textId="77777777" w:rsidR="007F212F" w:rsidRPr="00E756AC" w:rsidRDefault="00086EEB" w:rsidP="007F212F">
    <w:pPr>
      <w:pStyle w:val="Piedepgina"/>
      <w:jc w:val="center"/>
      <w:rPr>
        <w:sz w:val="18"/>
        <w:szCs w:val="18"/>
        <w:lang w:val="es-ES"/>
      </w:rPr>
    </w:pPr>
  </w:p>
  <w:p w14:paraId="587FD0D5" w14:textId="77777777" w:rsidR="007F212F" w:rsidRPr="00E756AC" w:rsidRDefault="00086EEB" w:rsidP="007F212F">
    <w:pPr>
      <w:pStyle w:val="Piedepgina"/>
      <w:jc w:val="center"/>
      <w:rPr>
        <w:sz w:val="18"/>
        <w:szCs w:val="18"/>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2BD0B2" w14:textId="77777777" w:rsidR="00086EEB" w:rsidRDefault="00086EEB" w:rsidP="00B30F52">
      <w:r>
        <w:separator/>
      </w:r>
    </w:p>
  </w:footnote>
  <w:footnote w:type="continuationSeparator" w:id="0">
    <w:p w14:paraId="3FEAEFC5" w14:textId="77777777" w:rsidR="00086EEB" w:rsidRDefault="00086EEB" w:rsidP="00B30F52">
      <w:r>
        <w:continuationSeparator/>
      </w:r>
    </w:p>
  </w:footnote>
  <w:footnote w:id="1">
    <w:p w14:paraId="40F77346" w14:textId="77777777" w:rsidR="00B30F52" w:rsidRPr="00011A98" w:rsidRDefault="00B30F52" w:rsidP="00B30F52">
      <w:pPr>
        <w:pStyle w:val="Textonotapie"/>
        <w:ind w:firstLine="708"/>
        <w:jc w:val="both"/>
        <w:rPr>
          <w:rFonts w:ascii="Arial" w:eastAsia="Calibri" w:hAnsi="Arial" w:cs="Arial"/>
          <w:color w:val="000000" w:themeColor="text1"/>
          <w:sz w:val="19"/>
          <w:szCs w:val="19"/>
        </w:rPr>
      </w:pPr>
      <w:r w:rsidRPr="00011A98">
        <w:rPr>
          <w:rStyle w:val="Refdenotaalpie"/>
          <w:rFonts w:ascii="Arial" w:hAnsi="Arial" w:cs="Arial"/>
          <w:color w:val="000000" w:themeColor="text1"/>
          <w:sz w:val="19"/>
          <w:szCs w:val="19"/>
        </w:rPr>
        <w:footnoteRef/>
      </w:r>
      <w:r w:rsidRPr="00011A98">
        <w:rPr>
          <w:rFonts w:ascii="Arial" w:hAnsi="Arial" w:cs="Arial"/>
          <w:color w:val="000000" w:themeColor="text1"/>
          <w:sz w:val="19"/>
          <w:szCs w:val="19"/>
        </w:rPr>
        <w:t xml:space="preserve"> </w:t>
      </w:r>
      <w:r w:rsidRPr="00011A98">
        <w:rPr>
          <w:rFonts w:ascii="Arial" w:eastAsia="Calibri" w:hAnsi="Arial" w:cs="Arial"/>
          <w:color w:val="000000" w:themeColor="text1"/>
          <w:sz w:val="19"/>
          <w:szCs w:val="19"/>
        </w:rPr>
        <w:t xml:space="preserve">Decreto 1082 de 2015: «Articulo 2.2.1.1.1.3.1. Definiciones. Los términos no definidos en el Título I de la Parte 2 del presente decreto y utilizados frecuentemente deben entenderse de acuerdo con su significado natural y obvio. Para la interpretación del presente Título I, las expresiones aquí utilizadas con mayúscula inicial deben ser entendidas con el significado que a continuación se indica. Los términos definidos son utilizados en singular y en plural de acuerdo como lo requiera el contexto en el cual son utilizados. </w:t>
      </w:r>
    </w:p>
    <w:p w14:paraId="700E2AEE" w14:textId="77777777" w:rsidR="00B30F52" w:rsidRPr="00011A98" w:rsidRDefault="00B30F52" w:rsidP="00B30F52">
      <w:pPr>
        <w:pStyle w:val="Textonotapie"/>
        <w:ind w:firstLine="708"/>
        <w:jc w:val="both"/>
        <w:rPr>
          <w:rFonts w:ascii="Arial" w:eastAsia="Calibri" w:hAnsi="Arial" w:cs="Arial"/>
          <w:color w:val="000000" w:themeColor="text1"/>
          <w:sz w:val="19"/>
          <w:szCs w:val="19"/>
        </w:rPr>
      </w:pPr>
      <w:r>
        <w:rPr>
          <w:rFonts w:ascii="Arial" w:eastAsia="Calibri" w:hAnsi="Arial" w:cs="Arial"/>
          <w:color w:val="000000" w:themeColor="text1"/>
          <w:sz w:val="19"/>
          <w:szCs w:val="19"/>
        </w:rPr>
        <w:t>»</w:t>
      </w:r>
      <w:r w:rsidRPr="00011A98">
        <w:rPr>
          <w:rFonts w:ascii="Arial" w:eastAsia="Calibri" w:hAnsi="Arial" w:cs="Arial"/>
          <w:color w:val="000000" w:themeColor="text1"/>
          <w:sz w:val="19"/>
          <w:szCs w:val="19"/>
        </w:rPr>
        <w:t>[…]</w:t>
      </w:r>
    </w:p>
    <w:p w14:paraId="6A91D8E1" w14:textId="77777777" w:rsidR="00B30F52" w:rsidRPr="00011A98" w:rsidRDefault="00B30F52" w:rsidP="00B30F52">
      <w:pPr>
        <w:pStyle w:val="Textonotapie"/>
        <w:ind w:firstLine="708"/>
        <w:jc w:val="both"/>
        <w:rPr>
          <w:rFonts w:ascii="Arial" w:hAnsi="Arial" w:cs="Arial"/>
          <w:color w:val="000000" w:themeColor="text1"/>
          <w:sz w:val="19"/>
          <w:szCs w:val="19"/>
          <w:lang w:val="es-CO"/>
        </w:rPr>
      </w:pPr>
      <w:r w:rsidRPr="00011A98">
        <w:rPr>
          <w:rFonts w:ascii="Arial" w:eastAsia="Calibri" w:hAnsi="Arial" w:cs="Arial"/>
          <w:color w:val="000000" w:themeColor="text1"/>
          <w:sz w:val="19"/>
          <w:szCs w:val="19"/>
        </w:rPr>
        <w:t>»Capacidad Residual o K de Contratación: Aptitud de un oferente para cumplir oportuna y cabalmente con el objeto de un contrato de obra, sin que sus otros compromisos contractuales afecten su habilidad de cumplir con el contrato que está en proceso de selección».</w:t>
      </w:r>
      <w:r w:rsidRPr="00011A98">
        <w:rPr>
          <w:rFonts w:ascii="Arial" w:hAnsi="Arial" w:cs="Arial"/>
          <w:color w:val="000000" w:themeColor="text1"/>
          <w:sz w:val="19"/>
          <w:szCs w:val="19"/>
          <w:lang w:val="es-CO"/>
        </w:rPr>
        <w:t xml:space="preserve"> </w:t>
      </w:r>
    </w:p>
    <w:p w14:paraId="783A29A5" w14:textId="77777777" w:rsidR="00B30F52" w:rsidRPr="00B0534A" w:rsidRDefault="00B30F52" w:rsidP="00B30F52">
      <w:pPr>
        <w:pStyle w:val="Textonotapie"/>
        <w:jc w:val="both"/>
        <w:rPr>
          <w:rFonts w:ascii="Arial" w:hAnsi="Arial" w:cs="Arial"/>
          <w:color w:val="000000" w:themeColor="text1"/>
          <w:sz w:val="14"/>
          <w:szCs w:val="14"/>
          <w:lang w:val="es-CO"/>
        </w:rPr>
      </w:pPr>
    </w:p>
  </w:footnote>
  <w:footnote w:id="2">
    <w:p w14:paraId="6A5C8D15" w14:textId="77777777" w:rsidR="00B30F52" w:rsidRPr="007230A2" w:rsidRDefault="00B30F52" w:rsidP="00B30F52">
      <w:pPr>
        <w:spacing w:before="73"/>
        <w:ind w:left="709" w:firstLine="408"/>
        <w:rPr>
          <w:rFonts w:ascii="Arial" w:hAnsi="Arial" w:cs="Arial"/>
          <w:sz w:val="19"/>
          <w:szCs w:val="19"/>
        </w:rPr>
      </w:pPr>
      <w:r w:rsidRPr="007230A2">
        <w:rPr>
          <w:rStyle w:val="Refdenotaalpie"/>
          <w:rFonts w:ascii="Arial" w:hAnsi="Arial" w:cs="Arial"/>
          <w:sz w:val="19"/>
          <w:szCs w:val="19"/>
        </w:rPr>
        <w:footnoteRef/>
      </w:r>
      <w:r w:rsidRPr="007230A2">
        <w:rPr>
          <w:rFonts w:ascii="Arial" w:hAnsi="Arial" w:cs="Arial"/>
          <w:sz w:val="19"/>
          <w:szCs w:val="19"/>
        </w:rPr>
        <w:t xml:space="preserve"> Vigente a partir del 13 de abril de 2012.</w:t>
      </w:r>
    </w:p>
    <w:p w14:paraId="7B9D5F6D" w14:textId="77777777" w:rsidR="00B30F52" w:rsidRPr="00217A3C" w:rsidRDefault="00B30F52" w:rsidP="00B30F52">
      <w:pPr>
        <w:pStyle w:val="Textonotapie"/>
        <w:rPr>
          <w:lang w:val="es-CO"/>
        </w:rPr>
      </w:pPr>
    </w:p>
  </w:footnote>
  <w:footnote w:id="3">
    <w:p w14:paraId="5F62E204" w14:textId="77777777" w:rsidR="00B30F52" w:rsidRPr="00B0534A" w:rsidRDefault="00B30F52" w:rsidP="00B30F52">
      <w:pPr>
        <w:ind w:firstLine="708"/>
        <w:jc w:val="both"/>
        <w:rPr>
          <w:rFonts w:ascii="Arial" w:hAnsi="Arial" w:cs="Arial"/>
          <w:color w:val="000000"/>
          <w:sz w:val="19"/>
          <w:szCs w:val="19"/>
        </w:rPr>
      </w:pPr>
      <w:r w:rsidRPr="00B0534A">
        <w:rPr>
          <w:rStyle w:val="Refdenotaalpie"/>
          <w:rFonts w:ascii="Arial" w:hAnsi="Arial" w:cs="Arial"/>
          <w:sz w:val="19"/>
          <w:szCs w:val="19"/>
        </w:rPr>
        <w:footnoteRef/>
      </w:r>
      <w:r w:rsidRPr="00B0534A">
        <w:rPr>
          <w:rFonts w:ascii="Arial" w:hAnsi="Arial" w:cs="Arial"/>
          <w:sz w:val="19"/>
          <w:szCs w:val="19"/>
        </w:rPr>
        <w:t xml:space="preserve"> </w:t>
      </w:r>
      <w:r w:rsidRPr="00B0534A">
        <w:rPr>
          <w:rFonts w:ascii="Arial" w:eastAsia="Calibri" w:hAnsi="Arial" w:cs="Arial"/>
          <w:color w:val="000000" w:themeColor="text1"/>
          <w:sz w:val="19"/>
          <w:szCs w:val="19"/>
          <w:lang w:val="es-ES"/>
        </w:rPr>
        <w:t>«</w:t>
      </w:r>
      <w:r w:rsidRPr="00B0534A">
        <w:rPr>
          <w:rFonts w:ascii="Arial" w:hAnsi="Arial" w:cs="Arial"/>
          <w:color w:val="000000"/>
          <w:sz w:val="19"/>
          <w:szCs w:val="19"/>
          <w:bdr w:val="none" w:sz="0" w:space="0" w:color="auto" w:frame="1"/>
          <w:lang w:val="es-MX"/>
        </w:rPr>
        <w:t>Artículo 2.2.1.1.1.6.4. Capacidad Residual. El interesado en celebrar contratos de obra pública con Entidades Estatales debe acreditar su Capacidad Residual o K de Contratación con los siguientes documentos:</w:t>
      </w:r>
      <w:r w:rsidRPr="00B0534A">
        <w:rPr>
          <w:rFonts w:ascii="Arial" w:hAnsi="Arial" w:cs="Arial"/>
          <w:color w:val="000000"/>
          <w:sz w:val="19"/>
          <w:szCs w:val="19"/>
          <w:bdr w:val="none" w:sz="0" w:space="0" w:color="auto" w:frame="1"/>
        </w:rPr>
        <w:t>  </w:t>
      </w:r>
    </w:p>
    <w:p w14:paraId="6F859262" w14:textId="77777777" w:rsidR="00B30F52" w:rsidRPr="00B0534A" w:rsidRDefault="00B30F52" w:rsidP="00B30F52">
      <w:pPr>
        <w:ind w:firstLine="708"/>
        <w:jc w:val="both"/>
        <w:rPr>
          <w:rFonts w:ascii="Arial" w:hAnsi="Arial" w:cs="Arial"/>
          <w:color w:val="000000"/>
          <w:sz w:val="19"/>
          <w:szCs w:val="19"/>
        </w:rPr>
      </w:pPr>
      <w:r w:rsidRPr="00B0534A">
        <w:rPr>
          <w:rFonts w:ascii="Arial" w:hAnsi="Arial" w:cs="Arial"/>
          <w:color w:val="000000"/>
          <w:sz w:val="19"/>
          <w:szCs w:val="19"/>
          <w:bdr w:val="none" w:sz="0" w:space="0" w:color="auto" w:frame="1"/>
        </w:rPr>
        <w:t>  </w:t>
      </w:r>
      <w:r w:rsidRPr="0006770D">
        <w:rPr>
          <w:rFonts w:ascii="Arial" w:hAnsi="Arial" w:cs="Arial"/>
          <w:color w:val="000000"/>
          <w:sz w:val="19"/>
          <w:szCs w:val="19"/>
          <w:bdr w:val="none" w:sz="0" w:space="0" w:color="auto" w:frame="1"/>
          <w:lang w:val="es-MX"/>
        </w:rPr>
        <w:t>»</w:t>
      </w:r>
      <w:r w:rsidRPr="00B0534A">
        <w:rPr>
          <w:rFonts w:ascii="Arial" w:hAnsi="Arial" w:cs="Arial"/>
          <w:color w:val="000000"/>
          <w:sz w:val="19"/>
          <w:szCs w:val="19"/>
          <w:bdr w:val="none" w:sz="0" w:space="0" w:color="auto" w:frame="1"/>
          <w:lang w:val="es-MX"/>
        </w:rPr>
        <w:t>1. La lista de los contratos de obras civiles en ejecución suscritos con Entidades Estatales y con entidades privadas, así como el valor y plazo de tales contratos, incluyendo contratos de concesión y los contratos de obra suscritos con concesionarios.</w:t>
      </w:r>
      <w:r w:rsidRPr="00B0534A">
        <w:rPr>
          <w:rFonts w:ascii="Arial" w:hAnsi="Arial" w:cs="Arial"/>
          <w:color w:val="000000"/>
          <w:sz w:val="19"/>
          <w:szCs w:val="19"/>
          <w:bdr w:val="none" w:sz="0" w:space="0" w:color="auto" w:frame="1"/>
        </w:rPr>
        <w:t>  </w:t>
      </w:r>
    </w:p>
    <w:p w14:paraId="724DBF1F" w14:textId="77777777" w:rsidR="00B30F52" w:rsidRPr="007230A2" w:rsidRDefault="00B30F52" w:rsidP="00B30F52">
      <w:pPr>
        <w:jc w:val="both"/>
        <w:rPr>
          <w:lang w:val="es-ES"/>
        </w:rPr>
      </w:pPr>
      <w:r w:rsidRPr="00B0534A">
        <w:rPr>
          <w:rFonts w:ascii="Arial" w:hAnsi="Arial" w:cs="Arial"/>
          <w:color w:val="000000"/>
          <w:sz w:val="19"/>
          <w:szCs w:val="19"/>
          <w:bdr w:val="none" w:sz="0" w:space="0" w:color="auto" w:frame="1"/>
        </w:rPr>
        <w:t>  </w:t>
      </w:r>
      <w:r w:rsidRPr="0006770D">
        <w:rPr>
          <w:rFonts w:ascii="Arial" w:hAnsi="Arial" w:cs="Arial"/>
          <w:color w:val="000000"/>
          <w:sz w:val="19"/>
          <w:szCs w:val="19"/>
          <w:bdr w:val="none" w:sz="0" w:space="0" w:color="auto" w:frame="1"/>
        </w:rPr>
        <w:tab/>
      </w:r>
      <w:r w:rsidRPr="0006770D">
        <w:rPr>
          <w:rFonts w:ascii="Arial" w:hAnsi="Arial" w:cs="Arial"/>
          <w:color w:val="000000"/>
          <w:sz w:val="19"/>
          <w:szCs w:val="19"/>
          <w:bdr w:val="none" w:sz="0" w:space="0" w:color="auto" w:frame="1"/>
          <w:lang w:val="es-MX"/>
        </w:rPr>
        <w:t>»</w:t>
      </w:r>
      <w:r w:rsidRPr="00B0534A">
        <w:rPr>
          <w:rFonts w:ascii="Arial" w:hAnsi="Arial" w:cs="Arial"/>
          <w:color w:val="000000"/>
          <w:sz w:val="19"/>
          <w:szCs w:val="19"/>
          <w:bdr w:val="none" w:sz="0" w:space="0" w:color="auto" w:frame="1"/>
          <w:lang w:val="es-MX"/>
        </w:rPr>
        <w:t>2. La lista de los contratos de obras civiles en ejecución, suscritos por sociedades, consorcios o uniones temporales, en los cuales el proponente tenga participación, con Entidades Estatales y con entidades privadas, así como el valor y plazo de tales contratos, incluyendo los contratos de concesión y los contratos de obra suscritos con concesionarios. </w:t>
      </w:r>
      <w:r w:rsidRPr="0006770D">
        <w:rPr>
          <w:rFonts w:ascii="Arial" w:hAnsi="Arial" w:cs="Arial"/>
          <w:color w:val="000000"/>
          <w:sz w:val="19"/>
          <w:szCs w:val="19"/>
          <w:bdr w:val="none" w:sz="0" w:space="0" w:color="auto" w:frame="1"/>
          <w:lang w:val="es-MX"/>
        </w:rPr>
        <w:t>[</w:t>
      </w:r>
      <w:r w:rsidRPr="00B0534A">
        <w:rPr>
          <w:rFonts w:ascii="Arial" w:hAnsi="Arial" w:cs="Arial"/>
          <w:color w:val="000000"/>
          <w:sz w:val="19"/>
          <w:szCs w:val="19"/>
          <w:bdr w:val="none" w:sz="0" w:space="0" w:color="auto" w:frame="1"/>
          <w:lang w:val="es-MX"/>
        </w:rPr>
        <w:t>…</w:t>
      </w:r>
      <w:r w:rsidRPr="0006770D">
        <w:rPr>
          <w:rFonts w:ascii="Arial" w:hAnsi="Arial" w:cs="Arial"/>
          <w:color w:val="000000"/>
          <w:sz w:val="19"/>
          <w:szCs w:val="19"/>
          <w:bdr w:val="none" w:sz="0" w:space="0" w:color="auto" w:frame="1"/>
          <w:lang w:val="es-MX"/>
        </w:rPr>
        <w:t>]».</w:t>
      </w:r>
    </w:p>
  </w:footnote>
  <w:footnote w:id="4">
    <w:p w14:paraId="2BA9FC7A" w14:textId="77777777" w:rsidR="00B30F52" w:rsidRPr="00011A98" w:rsidRDefault="00B30F52" w:rsidP="00B30F52">
      <w:pPr>
        <w:pStyle w:val="Textonotapie"/>
        <w:ind w:firstLine="708"/>
        <w:jc w:val="both"/>
        <w:rPr>
          <w:rFonts w:ascii="Arial" w:eastAsia="Calibri" w:hAnsi="Arial" w:cs="Arial"/>
          <w:color w:val="000000" w:themeColor="text1"/>
          <w:sz w:val="19"/>
          <w:szCs w:val="19"/>
        </w:rPr>
      </w:pPr>
      <w:r w:rsidRPr="00011A98">
        <w:rPr>
          <w:rStyle w:val="Refdenotaalpie"/>
          <w:rFonts w:ascii="Arial" w:hAnsi="Arial" w:cs="Arial"/>
          <w:color w:val="000000" w:themeColor="text1"/>
          <w:sz w:val="19"/>
          <w:szCs w:val="19"/>
        </w:rPr>
        <w:footnoteRef/>
      </w:r>
      <w:r w:rsidRPr="00011A98">
        <w:rPr>
          <w:rFonts w:ascii="Arial" w:hAnsi="Arial" w:cs="Arial"/>
          <w:color w:val="000000" w:themeColor="text1"/>
          <w:sz w:val="19"/>
          <w:szCs w:val="19"/>
        </w:rPr>
        <w:t xml:space="preserve"> </w:t>
      </w:r>
      <w:r w:rsidRPr="00011A98">
        <w:rPr>
          <w:rFonts w:ascii="Arial" w:eastAsia="Calibri" w:hAnsi="Arial" w:cs="Arial"/>
          <w:color w:val="000000" w:themeColor="text1"/>
          <w:sz w:val="19"/>
          <w:szCs w:val="19"/>
        </w:rPr>
        <w:t xml:space="preserve">Decreto 1082 de 2015: «Articulo 2.2.1.1.1.3.1. Definiciones. Los términos no definidos en el Título I de la Parte 2 del presente decreto y utilizados frecuentemente deben entenderse de acuerdo con su significado natural y obvio. Para la interpretación del presente Título I, las expresiones aquí utilizadas con mayúscula inicial deben ser entendidas con el significado que a continuación se indica. Los términos definidos son utilizados en singular y en plural de acuerdo como lo requiera el contexto en el cual son utilizados. </w:t>
      </w:r>
    </w:p>
    <w:p w14:paraId="3347A3AC" w14:textId="77777777" w:rsidR="00B30F52" w:rsidRPr="00011A98" w:rsidRDefault="00B30F52" w:rsidP="00B30F52">
      <w:pPr>
        <w:pStyle w:val="Textonotapie"/>
        <w:ind w:firstLine="708"/>
        <w:jc w:val="both"/>
        <w:rPr>
          <w:rFonts w:ascii="Arial" w:eastAsia="Calibri" w:hAnsi="Arial" w:cs="Arial"/>
          <w:color w:val="000000" w:themeColor="text1"/>
          <w:sz w:val="19"/>
          <w:szCs w:val="19"/>
        </w:rPr>
      </w:pPr>
      <w:r>
        <w:rPr>
          <w:rFonts w:ascii="Arial" w:eastAsia="Calibri" w:hAnsi="Arial" w:cs="Arial"/>
          <w:color w:val="000000" w:themeColor="text1"/>
          <w:sz w:val="19"/>
          <w:szCs w:val="19"/>
        </w:rPr>
        <w:t>»</w:t>
      </w:r>
      <w:r w:rsidRPr="00011A98">
        <w:rPr>
          <w:rFonts w:ascii="Arial" w:eastAsia="Calibri" w:hAnsi="Arial" w:cs="Arial"/>
          <w:color w:val="000000" w:themeColor="text1"/>
          <w:sz w:val="19"/>
          <w:szCs w:val="19"/>
        </w:rPr>
        <w:t>[…]</w:t>
      </w:r>
    </w:p>
    <w:p w14:paraId="5E5EBEAC" w14:textId="77777777" w:rsidR="00B30F52" w:rsidRPr="00011A98" w:rsidRDefault="00B30F52" w:rsidP="00B30F52">
      <w:pPr>
        <w:pStyle w:val="Textonotapie"/>
        <w:ind w:firstLine="708"/>
        <w:jc w:val="both"/>
        <w:rPr>
          <w:rFonts w:ascii="Arial" w:hAnsi="Arial" w:cs="Arial"/>
          <w:color w:val="000000" w:themeColor="text1"/>
          <w:sz w:val="19"/>
          <w:szCs w:val="19"/>
          <w:lang w:val="es-CO"/>
        </w:rPr>
      </w:pPr>
      <w:r w:rsidRPr="00011A98">
        <w:rPr>
          <w:rFonts w:ascii="Arial" w:eastAsia="Calibri" w:hAnsi="Arial" w:cs="Arial"/>
          <w:color w:val="000000" w:themeColor="text1"/>
          <w:sz w:val="19"/>
          <w:szCs w:val="19"/>
        </w:rPr>
        <w:t>»Capacidad Residual o K de Contratación: Aptitud de un oferente para cumplir oportuna y cabalmente con el objeto de un contrato de obra, sin que sus otros compromisos contractuales afecten su habilidad de cumplir con el contrato que está en proceso de selección».</w:t>
      </w:r>
      <w:r w:rsidRPr="00011A98">
        <w:rPr>
          <w:rFonts w:ascii="Arial" w:hAnsi="Arial" w:cs="Arial"/>
          <w:color w:val="000000" w:themeColor="text1"/>
          <w:sz w:val="19"/>
          <w:szCs w:val="19"/>
          <w:lang w:val="es-CO"/>
        </w:rPr>
        <w:t xml:space="preserve"> </w:t>
      </w:r>
    </w:p>
    <w:p w14:paraId="73C5A75F" w14:textId="77777777" w:rsidR="00B30F52" w:rsidRPr="00B0534A" w:rsidRDefault="00B30F52" w:rsidP="00B30F52">
      <w:pPr>
        <w:pStyle w:val="Textonotapie"/>
        <w:jc w:val="both"/>
        <w:rPr>
          <w:rFonts w:ascii="Arial" w:hAnsi="Arial" w:cs="Arial"/>
          <w:color w:val="000000" w:themeColor="text1"/>
          <w:sz w:val="14"/>
          <w:szCs w:val="14"/>
          <w:lang w:val="es-CO"/>
        </w:rPr>
      </w:pPr>
    </w:p>
  </w:footnote>
  <w:footnote w:id="5">
    <w:p w14:paraId="00B2CE05" w14:textId="77777777" w:rsidR="00B30F52" w:rsidRPr="00011A98" w:rsidRDefault="00B30F52" w:rsidP="00B30F52">
      <w:pPr>
        <w:pStyle w:val="Textonotapie"/>
        <w:spacing w:line="276" w:lineRule="auto"/>
        <w:ind w:firstLine="708"/>
        <w:jc w:val="both"/>
        <w:rPr>
          <w:rFonts w:ascii="Arial" w:hAnsi="Arial" w:cs="Arial"/>
          <w:color w:val="000000" w:themeColor="text1"/>
          <w:sz w:val="19"/>
          <w:szCs w:val="19"/>
          <w:lang w:val="es-CO"/>
        </w:rPr>
      </w:pPr>
      <w:r w:rsidRPr="00011A98">
        <w:rPr>
          <w:rFonts w:ascii="Arial" w:eastAsia="Calibri" w:hAnsi="Arial" w:cs="Arial"/>
          <w:color w:val="000000" w:themeColor="text1"/>
          <w:sz w:val="19"/>
          <w:szCs w:val="19"/>
          <w:vertAlign w:val="superscript"/>
        </w:rPr>
        <w:footnoteRef/>
      </w:r>
      <w:r w:rsidRPr="00011A98">
        <w:rPr>
          <w:rFonts w:ascii="Arial" w:eastAsia="Calibri" w:hAnsi="Arial" w:cs="Arial"/>
          <w:color w:val="000000" w:themeColor="text1"/>
          <w:sz w:val="19"/>
          <w:szCs w:val="19"/>
          <w:vertAlign w:val="superscript"/>
        </w:rPr>
        <w:t xml:space="preserve"> </w:t>
      </w:r>
      <w:r w:rsidRPr="00011A98">
        <w:rPr>
          <w:rFonts w:ascii="Arial" w:eastAsia="Calibri" w:hAnsi="Arial" w:cs="Arial"/>
          <w:color w:val="000000" w:themeColor="text1"/>
          <w:sz w:val="19"/>
          <w:szCs w:val="19"/>
        </w:rPr>
        <w:t xml:space="preserve">CONSEJO DE ESTADO. Sección Tercera. Sentencia del 26 de junio de 2003. </w:t>
      </w:r>
      <w:r>
        <w:rPr>
          <w:rFonts w:ascii="Arial" w:eastAsia="Calibri" w:hAnsi="Arial" w:cs="Arial"/>
          <w:color w:val="000000" w:themeColor="text1"/>
          <w:sz w:val="19"/>
          <w:szCs w:val="19"/>
        </w:rPr>
        <w:t xml:space="preserve">Exp. </w:t>
      </w:r>
      <w:r w:rsidRPr="00011A98">
        <w:rPr>
          <w:rFonts w:ascii="Arial" w:eastAsia="Calibri" w:hAnsi="Arial" w:cs="Arial"/>
          <w:color w:val="000000" w:themeColor="text1"/>
          <w:sz w:val="19"/>
          <w:szCs w:val="19"/>
        </w:rPr>
        <w:t>13.354. C</w:t>
      </w:r>
      <w:r>
        <w:rPr>
          <w:rFonts w:ascii="Arial" w:eastAsia="Calibri" w:hAnsi="Arial" w:cs="Arial"/>
          <w:color w:val="000000" w:themeColor="text1"/>
          <w:sz w:val="19"/>
          <w:szCs w:val="19"/>
        </w:rPr>
        <w:t>.</w:t>
      </w:r>
      <w:r w:rsidRPr="00011A98">
        <w:rPr>
          <w:rFonts w:ascii="Arial" w:eastAsia="Calibri" w:hAnsi="Arial" w:cs="Arial"/>
          <w:color w:val="000000" w:themeColor="text1"/>
          <w:sz w:val="19"/>
          <w:szCs w:val="19"/>
        </w:rPr>
        <w:t xml:space="preserve"> P</w:t>
      </w:r>
      <w:r>
        <w:rPr>
          <w:rFonts w:ascii="Arial" w:eastAsia="Calibri" w:hAnsi="Arial" w:cs="Arial"/>
          <w:color w:val="000000" w:themeColor="text1"/>
          <w:sz w:val="19"/>
          <w:szCs w:val="19"/>
        </w:rPr>
        <w:t>.</w:t>
      </w:r>
      <w:r w:rsidRPr="00011A98">
        <w:rPr>
          <w:rFonts w:ascii="Arial" w:eastAsia="Calibri" w:hAnsi="Arial" w:cs="Arial"/>
          <w:color w:val="000000" w:themeColor="text1"/>
          <w:sz w:val="19"/>
          <w:szCs w:val="19"/>
        </w:rPr>
        <w:t xml:space="preserve"> María Elena Giraldo Gómez. </w:t>
      </w:r>
    </w:p>
  </w:footnote>
  <w:footnote w:id="6">
    <w:p w14:paraId="66963582" w14:textId="77777777" w:rsidR="00B30F52" w:rsidRPr="008E114D" w:rsidRDefault="00B30F52" w:rsidP="00B30F52">
      <w:pPr>
        <w:pStyle w:val="Textonotapie"/>
        <w:ind w:firstLine="708"/>
        <w:jc w:val="both"/>
        <w:rPr>
          <w:rFonts w:ascii="Arial" w:hAnsi="Arial" w:cs="Arial"/>
          <w:sz w:val="19"/>
          <w:szCs w:val="19"/>
        </w:rPr>
      </w:pPr>
      <w:r w:rsidRPr="008E114D">
        <w:rPr>
          <w:rStyle w:val="Refdenotaalpie"/>
          <w:rFonts w:ascii="Arial" w:hAnsi="Arial" w:cs="Arial"/>
          <w:sz w:val="19"/>
          <w:szCs w:val="19"/>
        </w:rPr>
        <w:footnoteRef/>
      </w:r>
      <w:r w:rsidRPr="008E114D">
        <w:rPr>
          <w:rFonts w:ascii="Arial" w:hAnsi="Arial" w:cs="Arial"/>
          <w:sz w:val="19"/>
          <w:szCs w:val="19"/>
        </w:rPr>
        <w:t xml:space="preserve"> Código de Comercio</w:t>
      </w:r>
      <w:r>
        <w:rPr>
          <w:rFonts w:ascii="Arial" w:hAnsi="Arial" w:cs="Arial"/>
          <w:sz w:val="19"/>
          <w:szCs w:val="19"/>
        </w:rPr>
        <w:t>:</w:t>
      </w:r>
      <w:r w:rsidRPr="008E114D">
        <w:rPr>
          <w:rFonts w:ascii="Arial" w:hAnsi="Arial" w:cs="Arial"/>
          <w:sz w:val="19"/>
          <w:szCs w:val="19"/>
        </w:rPr>
        <w:t xml:space="preserve"> «Artículo 203. Sociedades que están obligadas a tener revisor fiscal. Deberán tener revisor fiscal:</w:t>
      </w:r>
    </w:p>
    <w:p w14:paraId="2B8FB610" w14:textId="77777777" w:rsidR="00B30F52" w:rsidRPr="008E114D" w:rsidRDefault="00B30F52" w:rsidP="00B30F52">
      <w:pPr>
        <w:pStyle w:val="Textonotapie"/>
        <w:ind w:firstLine="708"/>
        <w:jc w:val="both"/>
        <w:rPr>
          <w:rFonts w:ascii="Arial" w:hAnsi="Arial" w:cs="Arial"/>
          <w:sz w:val="19"/>
          <w:szCs w:val="19"/>
        </w:rPr>
      </w:pPr>
      <w:r w:rsidRPr="008E114D">
        <w:rPr>
          <w:rFonts w:ascii="Arial" w:hAnsi="Arial" w:cs="Arial"/>
          <w:sz w:val="19"/>
          <w:szCs w:val="19"/>
        </w:rPr>
        <w:t>»1) Las sociedades por acciones;</w:t>
      </w:r>
    </w:p>
    <w:p w14:paraId="43485017" w14:textId="77777777" w:rsidR="00B30F52" w:rsidRPr="008E114D" w:rsidRDefault="00B30F52" w:rsidP="00B30F52">
      <w:pPr>
        <w:pStyle w:val="Textonotapie"/>
        <w:ind w:firstLine="708"/>
        <w:jc w:val="both"/>
        <w:rPr>
          <w:rFonts w:ascii="Arial" w:hAnsi="Arial" w:cs="Arial"/>
          <w:sz w:val="19"/>
          <w:szCs w:val="19"/>
        </w:rPr>
      </w:pPr>
      <w:r w:rsidRPr="008E114D">
        <w:rPr>
          <w:rFonts w:ascii="Arial" w:hAnsi="Arial" w:cs="Arial"/>
          <w:sz w:val="19"/>
          <w:szCs w:val="19"/>
        </w:rPr>
        <w:t>»2) Las sucursales de compañías extranjeras, y</w:t>
      </w:r>
    </w:p>
    <w:p w14:paraId="483558BF" w14:textId="77777777" w:rsidR="00B30F52" w:rsidRDefault="00B30F52" w:rsidP="00B30F52">
      <w:pPr>
        <w:pStyle w:val="Textonotapie"/>
        <w:ind w:firstLine="708"/>
        <w:jc w:val="both"/>
      </w:pPr>
      <w:r w:rsidRPr="008E114D">
        <w:rPr>
          <w:rFonts w:ascii="Arial" w:hAnsi="Arial" w:cs="Arial"/>
          <w:sz w:val="19"/>
          <w:szCs w:val="19"/>
        </w:rPr>
        <w:t>»3) Las sociedades en las que, por ley o por los estatutos, la administración no corresponda a todos los socios, cuando así lo disponga cualquier número de socios excluidos de la administración que representen no menos del veinte por ciento del capital».</w:t>
      </w:r>
    </w:p>
  </w:footnote>
  <w:footnote w:id="7">
    <w:p w14:paraId="419A81C9" w14:textId="77777777" w:rsidR="00B30F52" w:rsidRPr="00B0534A" w:rsidRDefault="00B30F52" w:rsidP="00B30F52">
      <w:pPr>
        <w:pStyle w:val="NormalWeb"/>
        <w:spacing w:before="0" w:beforeAutospacing="0" w:after="0" w:afterAutospacing="0" w:line="276" w:lineRule="auto"/>
        <w:jc w:val="both"/>
        <w:rPr>
          <w:sz w:val="14"/>
          <w:szCs w:val="14"/>
        </w:rPr>
      </w:pPr>
    </w:p>
    <w:p w14:paraId="5F71D329" w14:textId="77777777" w:rsidR="00B30F52" w:rsidRPr="00B0534A" w:rsidRDefault="00B30F52" w:rsidP="00B30F52">
      <w:pPr>
        <w:pStyle w:val="NormalWeb"/>
        <w:spacing w:before="0" w:beforeAutospacing="0" w:after="0" w:afterAutospacing="0"/>
        <w:ind w:firstLine="708"/>
        <w:jc w:val="both"/>
        <w:rPr>
          <w:rFonts w:ascii="Arial" w:hAnsi="Arial" w:cs="Arial"/>
          <w:color w:val="000000"/>
          <w:sz w:val="19"/>
          <w:szCs w:val="19"/>
          <w:lang w:eastAsia="es-CO"/>
        </w:rPr>
      </w:pPr>
      <w:r w:rsidRPr="00B0534A">
        <w:rPr>
          <w:rStyle w:val="Refdenotaalpie"/>
          <w:rFonts w:ascii="Arial" w:hAnsi="Arial" w:cs="Arial"/>
          <w:sz w:val="19"/>
          <w:szCs w:val="19"/>
        </w:rPr>
        <w:footnoteRef/>
      </w:r>
      <w:r w:rsidRPr="00B0534A">
        <w:rPr>
          <w:rFonts w:ascii="Arial" w:hAnsi="Arial" w:cs="Arial"/>
          <w:sz w:val="19"/>
          <w:szCs w:val="19"/>
        </w:rPr>
        <w:t xml:space="preserve"> Ley 43 de 1990: «</w:t>
      </w:r>
      <w:r w:rsidRPr="00B0534A">
        <w:rPr>
          <w:rFonts w:ascii="Arial" w:hAnsi="Arial" w:cs="Arial"/>
          <w:color w:val="000000"/>
          <w:sz w:val="19"/>
          <w:szCs w:val="19"/>
          <w:lang w:eastAsia="es-CO"/>
        </w:rPr>
        <w:t>Artículo 13. Además de lo exigido por las leyes anteriores, se requiere tener la calidad de Contador Público en los siguientes casos: </w:t>
      </w:r>
    </w:p>
    <w:p w14:paraId="2CBEAF40" w14:textId="77777777" w:rsidR="00B30F52" w:rsidRPr="00B0534A" w:rsidRDefault="00B30F52" w:rsidP="00B30F52">
      <w:pPr>
        <w:jc w:val="both"/>
        <w:rPr>
          <w:rFonts w:ascii="Arial" w:hAnsi="Arial" w:cs="Arial"/>
          <w:color w:val="000000"/>
          <w:sz w:val="19"/>
          <w:szCs w:val="19"/>
          <w:lang w:eastAsia="es-CO"/>
        </w:rPr>
      </w:pPr>
      <w:r w:rsidRPr="00B0534A">
        <w:rPr>
          <w:rFonts w:ascii="Arial" w:hAnsi="Arial" w:cs="Arial"/>
          <w:color w:val="000000"/>
          <w:sz w:val="19"/>
          <w:szCs w:val="19"/>
          <w:lang w:eastAsia="es-CO"/>
        </w:rPr>
        <w:t>  </w:t>
      </w:r>
      <w:r w:rsidRPr="00B0534A">
        <w:rPr>
          <w:rFonts w:ascii="Arial" w:hAnsi="Arial" w:cs="Arial"/>
          <w:color w:val="000000"/>
          <w:sz w:val="19"/>
          <w:szCs w:val="19"/>
          <w:lang w:eastAsia="es-CO"/>
        </w:rPr>
        <w:tab/>
        <w:t>»[…]</w:t>
      </w:r>
    </w:p>
    <w:p w14:paraId="2A55FE8C" w14:textId="77777777" w:rsidR="00B30F52" w:rsidRDefault="00B30F52" w:rsidP="00B30F52">
      <w:pPr>
        <w:jc w:val="both"/>
      </w:pPr>
      <w:r w:rsidRPr="00B0534A">
        <w:rPr>
          <w:rFonts w:ascii="Arial" w:hAnsi="Arial" w:cs="Arial"/>
          <w:color w:val="000000"/>
          <w:sz w:val="19"/>
          <w:szCs w:val="19"/>
          <w:lang w:eastAsia="es-CO"/>
        </w:rPr>
        <w:t>  </w:t>
      </w:r>
      <w:r w:rsidRPr="00B0534A">
        <w:rPr>
          <w:rFonts w:ascii="Arial" w:hAnsi="Arial" w:cs="Arial"/>
          <w:color w:val="000000"/>
          <w:sz w:val="19"/>
          <w:szCs w:val="19"/>
          <w:lang w:eastAsia="es-CO"/>
        </w:rPr>
        <w:tab/>
        <w:t>»Parágrafo 2° Será obligatorio tener revisor fiscal en todas las sociedades comerciales, de cualquier naturaleza, cuyos activos brutos al 31 de diciembre del año inmediatamente anterior sean o excedan el equivalente de cinco mil salarios mínimos y/o cuyos ingresos brutos durante el año inmediatamente anterior sean o excedan al equivalente a tres mil salarios mínimos». </w:t>
      </w:r>
      <w:r>
        <w:t xml:space="preserve"> </w:t>
      </w:r>
    </w:p>
  </w:footnote>
  <w:footnote w:id="8">
    <w:p w14:paraId="40130199" w14:textId="77777777" w:rsidR="00B30F52" w:rsidRPr="00B0534A" w:rsidRDefault="00B30F52" w:rsidP="00B30F52">
      <w:pPr>
        <w:pStyle w:val="Textonotapie"/>
        <w:ind w:firstLine="708"/>
        <w:rPr>
          <w:sz w:val="14"/>
          <w:szCs w:val="14"/>
        </w:rPr>
      </w:pPr>
    </w:p>
    <w:p w14:paraId="34312206" w14:textId="77777777" w:rsidR="00B30F52" w:rsidRPr="008E114D" w:rsidRDefault="00B30F52" w:rsidP="00B30F52">
      <w:pPr>
        <w:pStyle w:val="Textonotapie"/>
        <w:ind w:firstLine="708"/>
        <w:jc w:val="both"/>
        <w:rPr>
          <w:rFonts w:ascii="Arial" w:hAnsi="Arial" w:cs="Arial"/>
          <w:sz w:val="19"/>
          <w:szCs w:val="19"/>
        </w:rPr>
      </w:pPr>
      <w:r w:rsidRPr="008E114D">
        <w:rPr>
          <w:rStyle w:val="Refdenotaalpie"/>
          <w:rFonts w:ascii="Arial" w:hAnsi="Arial" w:cs="Arial"/>
          <w:sz w:val="19"/>
          <w:szCs w:val="19"/>
        </w:rPr>
        <w:footnoteRef/>
      </w:r>
      <w:r w:rsidRPr="008E114D">
        <w:rPr>
          <w:rFonts w:ascii="Arial" w:hAnsi="Arial" w:cs="Arial"/>
          <w:sz w:val="19"/>
          <w:szCs w:val="19"/>
        </w:rPr>
        <w:t xml:space="preserve"> Ley 1258 de 2008: «Artículo 28. Revisoría fiscal. En caso de que por exigencia de la ley se tenga que proveer el cargo de revisor fiscal, la persona que ocupe dicho cargo deberá ser contador público titulado con tarjeta profesional vigente.</w:t>
      </w:r>
    </w:p>
    <w:p w14:paraId="5BF3190B" w14:textId="77777777" w:rsidR="00B30F52" w:rsidRDefault="00B30F52" w:rsidP="00B30F52">
      <w:pPr>
        <w:pStyle w:val="Textonotapie"/>
        <w:ind w:firstLine="708"/>
        <w:jc w:val="both"/>
      </w:pPr>
      <w:r w:rsidRPr="008E114D">
        <w:rPr>
          <w:rFonts w:ascii="Arial" w:hAnsi="Arial" w:cs="Arial"/>
          <w:sz w:val="19"/>
          <w:szCs w:val="19"/>
        </w:rPr>
        <w:t>»En todo caso las utilidades se justificarán en estados financieros elaborados de acuerdo con los principios de contabilidad generalmente aceptados y dictaminados por un contador público independiente».</w:t>
      </w:r>
      <w:r>
        <w:t xml:space="preserve"> </w:t>
      </w:r>
    </w:p>
  </w:footnote>
  <w:footnote w:id="9">
    <w:p w14:paraId="1814A52C" w14:textId="77777777" w:rsidR="00B30F52" w:rsidRPr="00B0534A" w:rsidRDefault="00B30F52" w:rsidP="00B30F52">
      <w:pPr>
        <w:pStyle w:val="Textonotapie"/>
        <w:ind w:firstLine="708"/>
        <w:rPr>
          <w:sz w:val="12"/>
          <w:szCs w:val="12"/>
        </w:rPr>
      </w:pPr>
    </w:p>
    <w:p w14:paraId="6B114B38" w14:textId="77777777" w:rsidR="00B30F52" w:rsidRPr="008E114D" w:rsidRDefault="00B30F52" w:rsidP="00B30F52">
      <w:pPr>
        <w:pStyle w:val="Textonotapie"/>
        <w:ind w:firstLine="708"/>
        <w:jc w:val="both"/>
        <w:rPr>
          <w:rFonts w:ascii="Arial" w:hAnsi="Arial" w:cs="Arial"/>
          <w:sz w:val="19"/>
          <w:szCs w:val="19"/>
        </w:rPr>
      </w:pPr>
      <w:r w:rsidRPr="008E114D">
        <w:rPr>
          <w:rStyle w:val="Refdenotaalpie"/>
          <w:rFonts w:ascii="Arial" w:hAnsi="Arial" w:cs="Arial"/>
          <w:sz w:val="19"/>
          <w:szCs w:val="19"/>
        </w:rPr>
        <w:footnoteRef/>
      </w:r>
      <w:r w:rsidRPr="008E114D">
        <w:rPr>
          <w:rFonts w:ascii="Arial" w:hAnsi="Arial" w:cs="Arial"/>
          <w:sz w:val="19"/>
          <w:szCs w:val="19"/>
        </w:rPr>
        <w:t xml:space="preserve"> Decreto 2020 de 2009: «Artículo 1°. De acuerdo con lo establecido por el artículo 28 de la Ley 1258 de 2008, la Sociedad por Acciones Simplificada únicamente estará obligada a tener Revisor Fiscal cuando (i) reúna los presupuestos de activos o de ingresos señalados para el efecto en el parágrafo 2° del artículo 13 de la Ley 43 de 1990, o (ii) cuando otra ley especial así lo exija».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7F9311" w14:textId="77777777" w:rsidR="007F212F" w:rsidRDefault="00086EEB">
    <w:pPr>
      <w:pStyle w:val="Encabezado"/>
    </w:pPr>
    <w:r>
      <w:rPr>
        <w:noProof/>
        <w:lang w:val="es-CO" w:eastAsia="es-CO"/>
      </w:rPr>
      <w:drawing>
        <wp:anchor distT="0" distB="0" distL="114300" distR="114300" simplePos="0" relativeHeight="251659264" behindDoc="1" locked="0" layoutInCell="1" allowOverlap="1" wp14:anchorId="2955CD72" wp14:editId="5BB769C0">
          <wp:simplePos x="0" y="0"/>
          <wp:positionH relativeFrom="column">
            <wp:posOffset>4382135</wp:posOffset>
          </wp:positionH>
          <wp:positionV relativeFrom="paragraph">
            <wp:posOffset>483226</wp:posOffset>
          </wp:positionV>
          <wp:extent cx="1257300" cy="516255"/>
          <wp:effectExtent l="0" t="0" r="0" b="0"/>
          <wp:wrapTight wrapText="bothSides">
            <wp:wrapPolygon edited="0">
              <wp:start x="327" y="0"/>
              <wp:lineTo x="327" y="18332"/>
              <wp:lineTo x="1964" y="19129"/>
              <wp:lineTo x="11127" y="20723"/>
              <wp:lineTo x="12764" y="20723"/>
              <wp:lineTo x="19636" y="19129"/>
              <wp:lineTo x="21273" y="18332"/>
              <wp:lineTo x="20945" y="0"/>
              <wp:lineTo x="327" y="0"/>
            </wp:wrapPolygon>
          </wp:wrapTight>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E Logo.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257300" cy="5162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06310"/>
    <w:multiLevelType w:val="multilevel"/>
    <w:tmpl w:val="D2D0F12E"/>
    <w:lvl w:ilvl="0">
      <w:start w:val="1"/>
      <w:numFmt w:val="decimal"/>
      <w:lvlText w:val="%1."/>
      <w:lvlJc w:val="left"/>
      <w:pPr>
        <w:ind w:left="360"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9"/>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F52"/>
    <w:rsid w:val="00086EEB"/>
    <w:rsid w:val="00B30F5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4:docId w14:val="0247B1AC"/>
  <w15:chartTrackingRefBased/>
  <w15:docId w15:val="{86FDA042-2960-E048-8905-93E0B971C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F52"/>
    <w:rPr>
      <w:rFonts w:ascii="Times New Roman" w:eastAsia="Times New Roman" w:hAnsi="Times New Roman" w:cs="Times New Roman"/>
      <w:lang w:eastAsia="es-MX"/>
    </w:rPr>
  </w:style>
  <w:style w:type="paragraph" w:styleId="Ttulo2">
    <w:name w:val="heading 2"/>
    <w:basedOn w:val="Normal"/>
    <w:link w:val="Ttulo2Car"/>
    <w:uiPriority w:val="1"/>
    <w:qFormat/>
    <w:rsid w:val="00B30F52"/>
    <w:pPr>
      <w:widowControl w:val="0"/>
      <w:autoSpaceDE w:val="0"/>
      <w:autoSpaceDN w:val="0"/>
      <w:ind w:left="300"/>
      <w:jc w:val="both"/>
      <w:outlineLvl w:val="1"/>
    </w:pPr>
    <w:rPr>
      <w:rFonts w:ascii="Arial" w:eastAsia="Arial" w:hAnsi="Arial" w:cs="Arial"/>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1"/>
    <w:rsid w:val="00B30F52"/>
    <w:rPr>
      <w:rFonts w:ascii="Arial" w:eastAsia="Arial" w:hAnsi="Arial" w:cs="Arial"/>
      <w:sz w:val="22"/>
      <w:szCs w:val="22"/>
      <w:lang w:val="es-ES"/>
    </w:rPr>
  </w:style>
  <w:style w:type="paragraph" w:styleId="Piedepgina">
    <w:name w:val="footer"/>
    <w:basedOn w:val="Normal"/>
    <w:link w:val="PiedepginaCar"/>
    <w:uiPriority w:val="99"/>
    <w:unhideWhenUsed/>
    <w:rsid w:val="00B30F52"/>
    <w:pPr>
      <w:tabs>
        <w:tab w:val="center" w:pos="4419"/>
        <w:tab w:val="right" w:pos="8838"/>
      </w:tabs>
    </w:pPr>
    <w:rPr>
      <w:rFonts w:asciiTheme="minorHAnsi" w:eastAsiaTheme="minorHAnsi" w:hAnsiTheme="minorHAnsi" w:cstheme="minorBidi"/>
      <w:szCs w:val="22"/>
      <w:lang w:val="es-MX" w:eastAsia="en-US"/>
    </w:rPr>
  </w:style>
  <w:style w:type="character" w:customStyle="1" w:styleId="PiedepginaCar">
    <w:name w:val="Pie de página Car"/>
    <w:basedOn w:val="Fuentedeprrafopredeter"/>
    <w:link w:val="Piedepgina"/>
    <w:uiPriority w:val="99"/>
    <w:rsid w:val="00B30F52"/>
    <w:rPr>
      <w:szCs w:val="22"/>
      <w:lang w:val="es-MX"/>
    </w:rPr>
  </w:style>
  <w:style w:type="paragraph" w:styleId="Encabezado">
    <w:name w:val="header"/>
    <w:basedOn w:val="Normal"/>
    <w:link w:val="EncabezadoCar"/>
    <w:uiPriority w:val="99"/>
    <w:unhideWhenUsed/>
    <w:rsid w:val="00B30F52"/>
    <w:pPr>
      <w:tabs>
        <w:tab w:val="center" w:pos="4252"/>
        <w:tab w:val="right" w:pos="8504"/>
      </w:tabs>
    </w:pPr>
    <w:rPr>
      <w:rFonts w:asciiTheme="minorHAnsi" w:eastAsiaTheme="minorHAnsi" w:hAnsiTheme="minorHAnsi" w:cstheme="minorBidi"/>
      <w:szCs w:val="22"/>
      <w:lang w:val="es-MX" w:eastAsia="en-US"/>
    </w:rPr>
  </w:style>
  <w:style w:type="character" w:customStyle="1" w:styleId="EncabezadoCar">
    <w:name w:val="Encabezado Car"/>
    <w:basedOn w:val="Fuentedeprrafopredeter"/>
    <w:link w:val="Encabezado"/>
    <w:uiPriority w:val="99"/>
    <w:rsid w:val="00B30F52"/>
    <w:rPr>
      <w:szCs w:val="22"/>
      <w:lang w:val="es-MX"/>
    </w:rPr>
  </w:style>
  <w:style w:type="table" w:styleId="Tablaconcuadrcula">
    <w:name w:val="Table Grid"/>
    <w:basedOn w:val="Tablanormal"/>
    <w:uiPriority w:val="39"/>
    <w:rsid w:val="00B30F5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
    <w:basedOn w:val="Normal"/>
    <w:link w:val="PrrafodelistaCar"/>
    <w:uiPriority w:val="34"/>
    <w:qFormat/>
    <w:rsid w:val="00B30F52"/>
    <w:pPr>
      <w:ind w:left="720"/>
      <w:contextualSpacing/>
    </w:pPr>
    <w:rPr>
      <w:rFonts w:asciiTheme="minorHAnsi" w:eastAsiaTheme="minorHAnsi" w:hAnsiTheme="minorHAnsi" w:cstheme="minorBidi"/>
      <w:szCs w:val="22"/>
      <w:lang w:val="es-MX" w:eastAsia="en-US"/>
    </w:rPr>
  </w:style>
  <w:style w:type="paragraph" w:styleId="Sinespaciado">
    <w:name w:val="No Spacing"/>
    <w:aliases w:val="No Indent"/>
    <w:link w:val="SinespaciadoCar"/>
    <w:uiPriority w:val="3"/>
    <w:qFormat/>
    <w:rsid w:val="00B30F52"/>
    <w:rPr>
      <w:szCs w:val="22"/>
      <w:lang w:val="es-MX"/>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B30F52"/>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Car"/>
    <w:basedOn w:val="Normal"/>
    <w:link w:val="TextonotapieCar"/>
    <w:uiPriority w:val="99"/>
    <w:unhideWhenUsed/>
    <w:qFormat/>
    <w:rsid w:val="00B30F52"/>
    <w:rPr>
      <w:rFonts w:asciiTheme="minorHAnsi" w:eastAsiaTheme="minorHAnsi" w:hAnsiTheme="minorHAnsi" w:cstheme="minorBidi"/>
      <w:sz w:val="20"/>
      <w:szCs w:val="20"/>
      <w:lang w:val="es-MX" w:eastAsia="en-US"/>
    </w:rPr>
  </w:style>
  <w:style w:type="character" w:customStyle="1" w:styleId="TextonotapieCar1">
    <w:name w:val="Texto nota pie Car1"/>
    <w:basedOn w:val="Fuentedeprrafopredeter"/>
    <w:uiPriority w:val="99"/>
    <w:semiHidden/>
    <w:rsid w:val="00B30F52"/>
    <w:rPr>
      <w:rFonts w:ascii="Times New Roman" w:eastAsia="Times New Roman" w:hAnsi="Times New Roman" w:cs="Times New Roman"/>
      <w:sz w:val="20"/>
      <w:szCs w:val="20"/>
      <w:lang w:eastAsia="es-MX"/>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B30F52"/>
    <w:rPr>
      <w:szCs w:val="22"/>
      <w:lang w:val="es-MX"/>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
    <w:basedOn w:val="Fuentedeprrafopredeter"/>
    <w:link w:val="Appelnotedebasde"/>
    <w:uiPriority w:val="99"/>
    <w:unhideWhenUsed/>
    <w:qFormat/>
    <w:rsid w:val="00B30F52"/>
    <w:rPr>
      <w:vertAlign w:val="superscript"/>
    </w:rPr>
  </w:style>
  <w:style w:type="paragraph" w:styleId="Textoindependiente">
    <w:name w:val="Body Text"/>
    <w:basedOn w:val="Normal"/>
    <w:link w:val="TextoindependienteCar"/>
    <w:uiPriority w:val="1"/>
    <w:qFormat/>
    <w:rsid w:val="00B30F52"/>
    <w:pPr>
      <w:widowControl w:val="0"/>
      <w:autoSpaceDE w:val="0"/>
      <w:autoSpaceDN w:val="0"/>
    </w:pPr>
    <w:rPr>
      <w:rFonts w:ascii="Arial" w:eastAsia="Arial" w:hAnsi="Arial" w:cs="Arial"/>
      <w:sz w:val="20"/>
      <w:szCs w:val="20"/>
      <w:lang w:val="es-ES" w:eastAsia="en-US"/>
    </w:rPr>
  </w:style>
  <w:style w:type="character" w:customStyle="1" w:styleId="TextoindependienteCar">
    <w:name w:val="Texto independiente Car"/>
    <w:basedOn w:val="Fuentedeprrafopredeter"/>
    <w:link w:val="Textoindependiente"/>
    <w:uiPriority w:val="1"/>
    <w:rsid w:val="00B30F52"/>
    <w:rPr>
      <w:rFonts w:ascii="Arial" w:eastAsia="Arial" w:hAnsi="Arial" w:cs="Arial"/>
      <w:sz w:val="20"/>
      <w:szCs w:val="20"/>
      <w:lang w:val="es-ES"/>
    </w:rPr>
  </w:style>
  <w:style w:type="paragraph" w:styleId="NormalWeb">
    <w:name w:val="Normal (Web)"/>
    <w:basedOn w:val="Normal"/>
    <w:link w:val="NormalWebCar"/>
    <w:uiPriority w:val="99"/>
    <w:unhideWhenUsed/>
    <w:rsid w:val="00B30F52"/>
    <w:pPr>
      <w:spacing w:before="100" w:beforeAutospacing="1" w:after="100" w:afterAutospacing="1"/>
    </w:pPr>
  </w:style>
  <w:style w:type="paragraph" w:customStyle="1" w:styleId="Appelnotedebasde">
    <w:name w:val="Appel note de bas de..."/>
    <w:basedOn w:val="Normal"/>
    <w:link w:val="Refdenotaalpie"/>
    <w:uiPriority w:val="99"/>
    <w:rsid w:val="00B30F52"/>
    <w:pPr>
      <w:spacing w:after="160" w:line="240" w:lineRule="exact"/>
    </w:pPr>
    <w:rPr>
      <w:rFonts w:asciiTheme="minorHAnsi" w:eastAsiaTheme="minorHAnsi" w:hAnsiTheme="minorHAnsi" w:cstheme="minorBidi"/>
      <w:vertAlign w:val="superscript"/>
      <w:lang w:eastAsia="en-US"/>
    </w:rPr>
  </w:style>
  <w:style w:type="character" w:customStyle="1" w:styleId="NormalWebCar">
    <w:name w:val="Normal (Web) Car"/>
    <w:link w:val="NormalWeb"/>
    <w:uiPriority w:val="99"/>
    <w:rsid w:val="00B30F52"/>
    <w:rPr>
      <w:rFonts w:ascii="Times New Roman" w:eastAsia="Times New Roman" w:hAnsi="Times New Roman" w:cs="Times New Roman"/>
      <w:lang w:eastAsia="es-MX"/>
    </w:rPr>
  </w:style>
  <w:style w:type="character" w:customStyle="1" w:styleId="apple-converted-space">
    <w:name w:val="apple-converted-space"/>
    <w:basedOn w:val="Fuentedeprrafopredeter"/>
    <w:rsid w:val="00B30F52"/>
  </w:style>
  <w:style w:type="character" w:customStyle="1" w:styleId="SinespaciadoCar">
    <w:name w:val="Sin espaciado Car"/>
    <w:aliases w:val="No Indent Car"/>
    <w:link w:val="Sinespaciado"/>
    <w:uiPriority w:val="3"/>
    <w:rsid w:val="00B30F52"/>
    <w:rPr>
      <w:szCs w:val="22"/>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16" ma:contentTypeDescription="Crear nuevo documento." ma:contentTypeScope="" ma:versionID="4d0aff64a573d8785e6a72518a5ad9d8">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f36a2f457a6205ac8ec841d28bbb076c"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0891CED-6727-4EB9-933F-64B778ECABEB}"/>
</file>

<file path=customXml/itemProps2.xml><?xml version="1.0" encoding="utf-8"?>
<ds:datastoreItem xmlns:ds="http://schemas.openxmlformats.org/officeDocument/2006/customXml" ds:itemID="{8E031177-1062-45F4-A551-617859A1A9AA}"/>
</file>

<file path=customXml/itemProps3.xml><?xml version="1.0" encoding="utf-8"?>
<ds:datastoreItem xmlns:ds="http://schemas.openxmlformats.org/officeDocument/2006/customXml" ds:itemID="{31F998D5-08B7-4B72-AE9E-C5D183EBEAD0}"/>
</file>

<file path=docProps/app.xml><?xml version="1.0" encoding="utf-8"?>
<Properties xmlns="http://schemas.openxmlformats.org/officeDocument/2006/extended-properties" xmlns:vt="http://schemas.openxmlformats.org/officeDocument/2006/docPropsVTypes">
  <Template>Normal.dotm</Template>
  <TotalTime>0</TotalTime>
  <Pages>10</Pages>
  <Words>2846</Words>
  <Characters>15654</Characters>
  <Application>Microsoft Office Word</Application>
  <DocSecurity>0</DocSecurity>
  <Lines>130</Lines>
  <Paragraphs>36</Paragraphs>
  <ScaleCrop>false</ScaleCrop>
  <Company/>
  <LinksUpToDate>false</LinksUpToDate>
  <CharactersWithSpaces>18464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nicolle saenz camargo</dc:creator>
  <cp:keywords/>
  <dc:description/>
  <cp:lastModifiedBy>nicolle saenz camargo</cp:lastModifiedBy>
  <cp:revision>1</cp:revision>
  <dcterms:created xsi:type="dcterms:W3CDTF">2021-03-29T15:26:00Z</dcterms:created>
  <dcterms:modified xsi:type="dcterms:W3CDTF">2021-03-29T15:26:00Z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ies>
</file>