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4BE857" w14:textId="5409E295" w:rsidR="005743F2" w:rsidRDefault="00084DC1" w:rsidP="006E7A37">
      <w:pPr>
        <w:spacing w:before="0" w:after="0"/>
        <w:jc w:val="right"/>
        <w:rPr>
          <w:rFonts w:ascii="Arial" w:hAnsi="Arial" w:cs="Arial"/>
          <w:b/>
          <w:color w:val="000000" w:themeColor="text1"/>
          <w:sz w:val="16"/>
          <w:szCs w:val="16"/>
          <w:lang w:val="es-ES" w:eastAsia="es-ES"/>
        </w:rPr>
      </w:pPr>
      <w:bookmarkStart w:id="0" w:name="_Hlk28946138"/>
      <w:bookmarkStart w:id="1" w:name="_Hlk29548183"/>
      <w:r w:rsidRPr="00EA0F85">
        <w:rPr>
          <w:rFonts w:ascii="Arial" w:hAnsi="Arial" w:cs="Arial"/>
          <w:b/>
          <w:color w:val="000000" w:themeColor="text1"/>
          <w:sz w:val="16"/>
          <w:szCs w:val="16"/>
          <w:lang w:eastAsia="es-ES"/>
        </w:rPr>
        <w:tab/>
      </w:r>
      <w:r w:rsidRPr="00EA0F85">
        <w:rPr>
          <w:rFonts w:ascii="Arial" w:hAnsi="Arial" w:cs="Arial"/>
          <w:b/>
          <w:color w:val="000000" w:themeColor="text1"/>
          <w:sz w:val="16"/>
          <w:szCs w:val="16"/>
          <w:lang w:val="es-ES" w:eastAsia="es-ES"/>
        </w:rPr>
        <w:t>CCE-DES-FM-17</w:t>
      </w:r>
    </w:p>
    <w:p w14:paraId="1A465E39" w14:textId="77777777" w:rsidR="006E7A37" w:rsidRPr="00EA0F85" w:rsidRDefault="006E7A37" w:rsidP="006E7A37">
      <w:pPr>
        <w:spacing w:before="0" w:after="0"/>
        <w:jc w:val="right"/>
        <w:rPr>
          <w:rFonts w:ascii="Arial" w:hAnsi="Arial" w:cs="Arial"/>
          <w:b/>
          <w:color w:val="000000" w:themeColor="text1"/>
          <w:sz w:val="16"/>
          <w:szCs w:val="16"/>
          <w:lang w:val="es-ES" w:eastAsia="es-ES"/>
        </w:rPr>
      </w:pPr>
    </w:p>
    <w:p w14:paraId="0CCCF906" w14:textId="4E8C535C" w:rsidR="005743F2" w:rsidRPr="00EA0F85" w:rsidRDefault="005743F2" w:rsidP="006E7A37">
      <w:pPr>
        <w:spacing w:before="0" w:after="0" w:line="240" w:lineRule="auto"/>
        <w:rPr>
          <w:rFonts w:ascii="Arial" w:eastAsia="Calibri" w:hAnsi="Arial" w:cs="Arial"/>
          <w:b/>
          <w:bCs/>
          <w:color w:val="000000" w:themeColor="text1"/>
          <w:sz w:val="22"/>
          <w:szCs w:val="22"/>
          <w:lang w:val="es-ES"/>
        </w:rPr>
      </w:pPr>
      <w:r w:rsidRPr="34E7FC01">
        <w:rPr>
          <w:rFonts w:ascii="Arial" w:eastAsia="Calibri" w:hAnsi="Arial" w:cs="Arial"/>
          <w:b/>
          <w:bCs/>
          <w:color w:val="000000" w:themeColor="text1"/>
          <w:sz w:val="22"/>
          <w:szCs w:val="22"/>
          <w:lang w:val="es-ES"/>
        </w:rPr>
        <w:t>DEBIDO PROCESO ADMINISTRATIVO</w:t>
      </w:r>
      <w:r w:rsidR="002C223B" w:rsidRPr="34E7FC01">
        <w:rPr>
          <w:rFonts w:ascii="Arial" w:eastAsia="Calibri" w:hAnsi="Arial" w:cs="Arial"/>
          <w:b/>
          <w:bCs/>
          <w:color w:val="000000" w:themeColor="text1"/>
          <w:sz w:val="22"/>
          <w:szCs w:val="22"/>
          <w:lang w:val="es-ES"/>
        </w:rPr>
        <w:t xml:space="preserve"> – Aplicación </w:t>
      </w:r>
      <w:r w:rsidR="59E3D15C" w:rsidRPr="34E7FC01">
        <w:rPr>
          <w:rFonts w:ascii="Arial" w:eastAsia="Calibri" w:hAnsi="Arial" w:cs="Arial"/>
          <w:b/>
          <w:bCs/>
          <w:color w:val="000000" w:themeColor="text1"/>
          <w:sz w:val="22"/>
          <w:szCs w:val="22"/>
          <w:lang w:val="es-ES"/>
        </w:rPr>
        <w:t>– M</w:t>
      </w:r>
      <w:r w:rsidR="002C223B" w:rsidRPr="34E7FC01">
        <w:rPr>
          <w:rFonts w:ascii="Arial" w:eastAsia="Calibri" w:hAnsi="Arial" w:cs="Arial"/>
          <w:b/>
          <w:bCs/>
          <w:color w:val="000000" w:themeColor="text1"/>
          <w:sz w:val="22"/>
          <w:szCs w:val="22"/>
          <w:lang w:val="es-ES"/>
        </w:rPr>
        <w:t>ateria contractual</w:t>
      </w:r>
    </w:p>
    <w:p w14:paraId="468E08FE" w14:textId="4495F5C2" w:rsidR="005743F2" w:rsidRPr="00EA0F85" w:rsidRDefault="005743F2" w:rsidP="0016260B">
      <w:pPr>
        <w:spacing w:before="0" w:after="0" w:line="240" w:lineRule="auto"/>
        <w:rPr>
          <w:rFonts w:ascii="Arial" w:eastAsia="Calibri" w:hAnsi="Arial" w:cs="Arial"/>
          <w:b/>
          <w:color w:val="000000" w:themeColor="text1"/>
          <w:sz w:val="20"/>
          <w:szCs w:val="20"/>
          <w:lang w:val="es-ES"/>
        </w:rPr>
      </w:pPr>
    </w:p>
    <w:p w14:paraId="6ABC9F33" w14:textId="09C3E5BF" w:rsidR="005743F2" w:rsidRPr="00EA0F85" w:rsidRDefault="005743F2" w:rsidP="0016260B">
      <w:pPr>
        <w:spacing w:before="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 xml:space="preserve">Las garantías del debido proceso aplican por expreso mandato constitucional a toda actuación administrativa, pero ello debe ser interpretado en consideración a los principios que caracterizan cada escenario y las diferencias entre procesos judiciales y procedimientos administrativos. </w:t>
      </w:r>
    </w:p>
    <w:p w14:paraId="308AF8FB" w14:textId="280D4731" w:rsidR="005743F2" w:rsidRDefault="005743F2" w:rsidP="0016260B">
      <w:pPr>
        <w:spacing w:before="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Con base en estas consideraciones la Corte ha resaltado la importancia de aplicar en todos los casos los principios y garantías derivados del debido proceso, pero armonizando los mandatos del artículo 29 superior con los principios del artículo 209 constitucional de tal manera que no se pierda de vista que «mediante el procedimiento administrativo se logra el cumplimiento de la función administrativa […]».</w:t>
      </w:r>
    </w:p>
    <w:p w14:paraId="2070FA18" w14:textId="7F168B78" w:rsidR="00532900" w:rsidRPr="00EA0F85" w:rsidRDefault="00532900" w:rsidP="0016260B">
      <w:pPr>
        <w:spacing w:before="0" w:line="240" w:lineRule="auto"/>
        <w:rPr>
          <w:rFonts w:ascii="Arial" w:eastAsia="Calibri" w:hAnsi="Arial" w:cs="Arial"/>
          <w:bCs/>
          <w:color w:val="000000" w:themeColor="text1"/>
          <w:sz w:val="20"/>
          <w:szCs w:val="20"/>
          <w:lang w:val="es-ES"/>
        </w:rPr>
      </w:pPr>
      <w:r>
        <w:rPr>
          <w:rFonts w:ascii="Arial" w:eastAsia="Calibri" w:hAnsi="Arial" w:cs="Arial"/>
          <w:bCs/>
          <w:color w:val="000000" w:themeColor="text1"/>
          <w:sz w:val="20"/>
          <w:szCs w:val="20"/>
          <w:lang w:val="es-ES"/>
        </w:rPr>
        <w:t>[…]</w:t>
      </w:r>
    </w:p>
    <w:p w14:paraId="53D9EF42" w14:textId="51E94C27" w:rsidR="005743F2" w:rsidRPr="00EA0F85" w:rsidRDefault="005743F2" w:rsidP="0016260B">
      <w:pPr>
        <w:spacing w:before="0" w:after="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Con base en las antedichas consideraciones, la máxima corporación de lo contencioso administrativo concluyó «no cabe duda alguna en relación con la aplicación del debido proceso en materia contractual y especialmente cuando se trate de decisiones sancionatorias»</w:t>
      </w:r>
    </w:p>
    <w:p w14:paraId="6EFB669F" w14:textId="77777777" w:rsidR="00084DC1" w:rsidRPr="00EA0F85" w:rsidRDefault="00084DC1" w:rsidP="0016260B">
      <w:pPr>
        <w:spacing w:before="0" w:after="0" w:line="240" w:lineRule="auto"/>
        <w:rPr>
          <w:rFonts w:ascii="Arial" w:eastAsia="Calibri" w:hAnsi="Arial" w:cs="Arial"/>
          <w:bCs/>
          <w:color w:val="000000" w:themeColor="text1"/>
          <w:sz w:val="20"/>
          <w:szCs w:val="20"/>
          <w:lang w:val="es-ES"/>
        </w:rPr>
      </w:pPr>
    </w:p>
    <w:p w14:paraId="4525A308" w14:textId="66CB0046" w:rsidR="00084DC1" w:rsidRPr="00EA0F85" w:rsidRDefault="00084DC1" w:rsidP="0016260B">
      <w:pPr>
        <w:spacing w:before="0" w:after="0" w:line="240" w:lineRule="auto"/>
        <w:rPr>
          <w:rFonts w:ascii="Arial" w:eastAsia="Calibri" w:hAnsi="Arial" w:cs="Arial"/>
          <w:b/>
          <w:color w:val="000000" w:themeColor="text1"/>
          <w:sz w:val="22"/>
          <w:lang w:val="es-ES"/>
        </w:rPr>
      </w:pPr>
      <w:r w:rsidRPr="00EA0F85">
        <w:rPr>
          <w:rFonts w:ascii="Arial" w:eastAsia="Calibri" w:hAnsi="Arial" w:cs="Arial"/>
          <w:b/>
          <w:color w:val="000000" w:themeColor="text1"/>
          <w:sz w:val="22"/>
          <w:lang w:val="es-ES"/>
        </w:rPr>
        <w:t>DECLARATORIA DE INCUMPLIMIENTO – Finalidad</w:t>
      </w:r>
    </w:p>
    <w:p w14:paraId="14D6692E" w14:textId="77777777" w:rsidR="00563A7C" w:rsidRPr="00EA0F85" w:rsidRDefault="00563A7C" w:rsidP="0016260B">
      <w:pPr>
        <w:spacing w:before="0" w:after="0" w:line="240" w:lineRule="auto"/>
        <w:rPr>
          <w:rFonts w:ascii="Arial" w:eastAsia="Calibri" w:hAnsi="Arial" w:cs="Arial"/>
          <w:b/>
          <w:color w:val="000000" w:themeColor="text1"/>
          <w:sz w:val="22"/>
          <w:lang w:val="es-ES"/>
        </w:rPr>
      </w:pPr>
    </w:p>
    <w:p w14:paraId="1EEB46BF" w14:textId="77777777" w:rsidR="00726C9E" w:rsidRDefault="00084DC1" w:rsidP="00726C9E">
      <w:pPr>
        <w:spacing w:before="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 xml:space="preserve">La declaratoria de incumplimiento bien para multar al contratista </w:t>
      </w:r>
      <w:r w:rsidR="00FA20BE" w:rsidRPr="00EA0F85">
        <w:rPr>
          <w:rFonts w:ascii="Arial" w:eastAsia="Calibri" w:hAnsi="Arial" w:cs="Arial"/>
          <w:bCs/>
          <w:color w:val="000000" w:themeColor="text1"/>
          <w:sz w:val="20"/>
          <w:szCs w:val="20"/>
          <w:lang w:val="es-ES"/>
        </w:rPr>
        <w:t>o</w:t>
      </w:r>
      <w:r w:rsidRPr="00EA0F85">
        <w:rPr>
          <w:rFonts w:ascii="Arial" w:eastAsia="Calibri" w:hAnsi="Arial" w:cs="Arial"/>
          <w:bCs/>
          <w:color w:val="000000" w:themeColor="text1"/>
          <w:sz w:val="20"/>
          <w:szCs w:val="20"/>
          <w:lang w:val="es-ES"/>
        </w:rPr>
        <w:t xml:space="preserve"> para hacer efectiva la cláusula penal […]</w:t>
      </w:r>
      <w:r w:rsidR="00726C9E">
        <w:rPr>
          <w:rFonts w:ascii="Arial" w:eastAsia="Calibri" w:hAnsi="Arial" w:cs="Arial"/>
          <w:bCs/>
          <w:color w:val="000000" w:themeColor="text1"/>
          <w:sz w:val="20"/>
          <w:szCs w:val="20"/>
          <w:lang w:val="es-ES"/>
        </w:rPr>
        <w:t>.</w:t>
      </w:r>
    </w:p>
    <w:p w14:paraId="4FEC40AC" w14:textId="4305C043" w:rsidR="00084DC1" w:rsidRPr="00EA0F85" w:rsidRDefault="00563A7C" w:rsidP="0016260B">
      <w:pPr>
        <w:spacing w:before="0" w:after="0" w:line="240" w:lineRule="auto"/>
        <w:rPr>
          <w:rFonts w:ascii="Arial" w:eastAsia="Calibri" w:hAnsi="Arial" w:cs="Arial"/>
          <w:bCs/>
          <w:color w:val="000000" w:themeColor="text1"/>
          <w:sz w:val="20"/>
          <w:szCs w:val="20"/>
          <w:lang w:val="es-ES"/>
        </w:rPr>
      </w:pPr>
      <w:r w:rsidRPr="00EA0F85">
        <w:rPr>
          <w:rFonts w:ascii="Arial" w:eastAsia="Calibri" w:hAnsi="Arial" w:cs="Arial"/>
          <w:bCs/>
          <w:iCs/>
          <w:color w:val="000000" w:themeColor="text1"/>
          <w:sz w:val="20"/>
          <w:szCs w:val="20"/>
          <w:lang w:val="es-ES"/>
        </w:rPr>
        <w:t xml:space="preserve">Este tipo de facultades tiene una configuración jurídica particular que parte de una combinación entre el principio de legalidad y la autonomía de la voluntad, de tal suerte </w:t>
      </w:r>
      <w:proofErr w:type="gramStart"/>
      <w:r w:rsidRPr="00EA0F85">
        <w:rPr>
          <w:rFonts w:ascii="Arial" w:eastAsia="Calibri" w:hAnsi="Arial" w:cs="Arial"/>
          <w:bCs/>
          <w:iCs/>
          <w:color w:val="000000" w:themeColor="text1"/>
          <w:sz w:val="20"/>
          <w:szCs w:val="20"/>
          <w:lang w:val="es-ES"/>
        </w:rPr>
        <w:t>que</w:t>
      </w:r>
      <w:proofErr w:type="gramEnd"/>
      <w:r w:rsidRPr="00EA0F85">
        <w:rPr>
          <w:rFonts w:ascii="Arial" w:eastAsia="Calibri" w:hAnsi="Arial" w:cs="Arial"/>
          <w:bCs/>
          <w:iCs/>
          <w:color w:val="000000" w:themeColor="text1"/>
          <w:sz w:val="20"/>
          <w:szCs w:val="20"/>
          <w:lang w:val="es-ES"/>
        </w:rPr>
        <w:t xml:space="preserve"> si bien el legislador autorizó a las entidades para declarar el incumplimiento con la intención de multar al contratista para conminarlo al cumplimiento o para hacer efectiva la cláusula penal, lo cierto es que es indispensable que en uno u otro caso se hayan pactado en forma inequívoca dentro del contrato</w:t>
      </w:r>
      <w:r w:rsidR="00084DC1" w:rsidRPr="00EA0F85">
        <w:rPr>
          <w:rFonts w:ascii="Arial" w:eastAsia="Calibri" w:hAnsi="Arial" w:cs="Arial"/>
          <w:bCs/>
          <w:color w:val="000000" w:themeColor="text1"/>
          <w:sz w:val="20"/>
          <w:szCs w:val="20"/>
          <w:lang w:val="es-ES"/>
        </w:rPr>
        <w:t>.</w:t>
      </w:r>
    </w:p>
    <w:p w14:paraId="20D90F91" w14:textId="77777777" w:rsidR="00084DC1" w:rsidRPr="00EA0F85" w:rsidRDefault="00084DC1" w:rsidP="0016260B">
      <w:pPr>
        <w:spacing w:before="0" w:after="0" w:line="240" w:lineRule="auto"/>
        <w:rPr>
          <w:rFonts w:ascii="Arial" w:eastAsia="Calibri" w:hAnsi="Arial" w:cs="Arial"/>
          <w:bCs/>
          <w:color w:val="000000" w:themeColor="text1"/>
          <w:sz w:val="20"/>
          <w:szCs w:val="20"/>
          <w:lang w:val="es-ES"/>
        </w:rPr>
      </w:pPr>
    </w:p>
    <w:p w14:paraId="4236FB3A" w14:textId="269E6A8E" w:rsidR="00084DC1" w:rsidRPr="00EA0F85" w:rsidRDefault="00084DC1" w:rsidP="01BF2BD7">
      <w:pPr>
        <w:spacing w:before="0" w:after="0" w:line="240" w:lineRule="auto"/>
        <w:rPr>
          <w:rFonts w:ascii="Arial" w:eastAsia="Calibri" w:hAnsi="Arial" w:cs="Arial"/>
          <w:b/>
          <w:bCs/>
          <w:color w:val="000000" w:themeColor="text1"/>
          <w:sz w:val="22"/>
          <w:szCs w:val="22"/>
          <w:lang w:val="es-ES"/>
        </w:rPr>
      </w:pPr>
      <w:r w:rsidRPr="01BF2BD7">
        <w:rPr>
          <w:rFonts w:ascii="Arial" w:eastAsia="Calibri" w:hAnsi="Arial" w:cs="Arial"/>
          <w:b/>
          <w:bCs/>
          <w:color w:val="000000" w:themeColor="text1"/>
          <w:sz w:val="22"/>
          <w:szCs w:val="22"/>
          <w:lang w:val="es-ES"/>
        </w:rPr>
        <w:t>MULTA – Principio de tipicidad</w:t>
      </w:r>
    </w:p>
    <w:p w14:paraId="5250B9D5" w14:textId="77777777" w:rsidR="00084DC1" w:rsidRPr="00EA0F85" w:rsidRDefault="00084DC1" w:rsidP="0016260B">
      <w:pPr>
        <w:spacing w:before="0" w:after="0" w:line="240" w:lineRule="auto"/>
        <w:rPr>
          <w:rFonts w:ascii="Arial" w:eastAsia="Calibri" w:hAnsi="Arial" w:cs="Arial"/>
          <w:color w:val="000000" w:themeColor="text1"/>
          <w:sz w:val="20"/>
          <w:szCs w:val="20"/>
          <w:lang w:val="es-ES"/>
        </w:rPr>
      </w:pPr>
    </w:p>
    <w:p w14:paraId="7DF61171" w14:textId="7B8F265E" w:rsidR="00084DC1" w:rsidRDefault="00563A7C" w:rsidP="0016260B">
      <w:pPr>
        <w:spacing w:before="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E</w:t>
      </w:r>
      <w:r w:rsidR="00084DC1" w:rsidRPr="00EA0F85">
        <w:rPr>
          <w:rFonts w:ascii="Arial" w:eastAsia="Calibri" w:hAnsi="Arial" w:cs="Arial"/>
          <w:bCs/>
          <w:color w:val="000000" w:themeColor="text1"/>
          <w:sz w:val="20"/>
          <w:szCs w:val="20"/>
          <w:lang w:val="es-ES"/>
        </w:rPr>
        <w:t>l Consejo de Estado indicó que «el núcleo mínimo de este derecho exige que una norma –legal o contractual– contemple la falta y la sanción. Si ni siquiera lo hace el contrato, la administración no puede imponer sanciones, so pena de violar el debido proceso».</w:t>
      </w:r>
    </w:p>
    <w:p w14:paraId="3DBFE57A" w14:textId="153A50F2" w:rsidR="00F8557B" w:rsidRPr="00EA0F85" w:rsidRDefault="00F8557B" w:rsidP="0016260B">
      <w:pPr>
        <w:spacing w:before="0" w:line="240" w:lineRule="auto"/>
        <w:rPr>
          <w:rFonts w:ascii="Arial" w:eastAsia="Calibri" w:hAnsi="Arial" w:cs="Arial"/>
          <w:bCs/>
          <w:color w:val="000000" w:themeColor="text1"/>
          <w:sz w:val="20"/>
          <w:szCs w:val="20"/>
          <w:lang w:val="es-ES"/>
        </w:rPr>
      </w:pPr>
      <w:r>
        <w:rPr>
          <w:rFonts w:ascii="Arial" w:eastAsia="Calibri" w:hAnsi="Arial" w:cs="Arial"/>
          <w:bCs/>
          <w:color w:val="000000" w:themeColor="text1"/>
          <w:sz w:val="20"/>
          <w:szCs w:val="20"/>
          <w:lang w:val="es-ES"/>
        </w:rPr>
        <w:t>[…]</w:t>
      </w:r>
    </w:p>
    <w:p w14:paraId="64081FEC" w14:textId="77777777" w:rsidR="00084DC1" w:rsidRPr="00EA0F85" w:rsidRDefault="00084DC1" w:rsidP="0016260B">
      <w:pPr>
        <w:spacing w:before="0" w:after="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De otro lado, la Corte Constitucional precisó que la tipicidad hacía referencia a «la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w:t>
      </w:r>
    </w:p>
    <w:p w14:paraId="26BD94F3" w14:textId="77777777" w:rsidR="00084DC1" w:rsidRPr="00EA0F85" w:rsidRDefault="00084DC1" w:rsidP="0016260B">
      <w:pPr>
        <w:spacing w:before="0" w:after="0" w:line="240" w:lineRule="auto"/>
        <w:rPr>
          <w:rFonts w:ascii="Arial" w:eastAsia="Calibri" w:hAnsi="Arial" w:cs="Arial"/>
          <w:bCs/>
          <w:color w:val="000000" w:themeColor="text1"/>
          <w:sz w:val="19"/>
          <w:szCs w:val="19"/>
          <w:lang w:val="es-ES"/>
        </w:rPr>
      </w:pPr>
    </w:p>
    <w:p w14:paraId="5207FD8D" w14:textId="0FAA07B1" w:rsidR="00084DC1" w:rsidRPr="00EA0F85" w:rsidRDefault="00084DC1" w:rsidP="34E7FC01">
      <w:pPr>
        <w:spacing w:before="0" w:after="0" w:line="240" w:lineRule="auto"/>
        <w:rPr>
          <w:rFonts w:ascii="Arial" w:eastAsia="Calibri" w:hAnsi="Arial" w:cs="Arial"/>
          <w:b/>
          <w:bCs/>
          <w:color w:val="000000" w:themeColor="text1"/>
          <w:sz w:val="22"/>
          <w:szCs w:val="22"/>
          <w:lang w:val="es-ES"/>
        </w:rPr>
      </w:pPr>
      <w:r w:rsidRPr="01BF2BD7">
        <w:rPr>
          <w:rFonts w:ascii="Arial" w:eastAsia="Calibri" w:hAnsi="Arial" w:cs="Arial"/>
          <w:b/>
          <w:bCs/>
          <w:color w:val="000000" w:themeColor="text1"/>
          <w:sz w:val="22"/>
          <w:szCs w:val="22"/>
          <w:lang w:val="es-ES"/>
        </w:rPr>
        <w:t xml:space="preserve">MULTA </w:t>
      </w:r>
      <w:r w:rsidR="01C714B4" w:rsidRPr="01BF2BD7">
        <w:rPr>
          <w:rFonts w:ascii="Arial" w:eastAsia="Calibri" w:hAnsi="Arial" w:cs="Arial"/>
          <w:b/>
          <w:bCs/>
          <w:color w:val="000000" w:themeColor="text1"/>
          <w:sz w:val="22"/>
          <w:szCs w:val="22"/>
          <w:lang w:val="es-ES"/>
        </w:rPr>
        <w:t>–</w:t>
      </w:r>
      <w:r w:rsidRPr="01BF2BD7">
        <w:rPr>
          <w:rFonts w:ascii="Arial" w:eastAsia="Calibri" w:hAnsi="Arial" w:cs="Arial"/>
          <w:b/>
          <w:bCs/>
          <w:color w:val="000000" w:themeColor="text1"/>
          <w:sz w:val="22"/>
          <w:szCs w:val="22"/>
          <w:lang w:val="es-ES"/>
        </w:rPr>
        <w:t xml:space="preserve"> C</w:t>
      </w:r>
      <w:r w:rsidR="0CF6FB89" w:rsidRPr="01BF2BD7">
        <w:rPr>
          <w:rFonts w:ascii="Arial" w:eastAsia="Calibri" w:hAnsi="Arial" w:cs="Arial"/>
          <w:b/>
          <w:bCs/>
          <w:color w:val="000000" w:themeColor="text1"/>
          <w:sz w:val="22"/>
          <w:szCs w:val="22"/>
          <w:lang w:val="es-ES"/>
        </w:rPr>
        <w:t>láusula penal</w:t>
      </w:r>
      <w:r w:rsidRPr="01BF2BD7">
        <w:rPr>
          <w:rFonts w:ascii="Arial" w:eastAsia="Calibri" w:hAnsi="Arial" w:cs="Arial"/>
          <w:b/>
          <w:bCs/>
          <w:color w:val="000000" w:themeColor="text1"/>
          <w:sz w:val="22"/>
          <w:szCs w:val="22"/>
          <w:lang w:val="es-ES"/>
        </w:rPr>
        <w:t xml:space="preserve"> – Similitudes </w:t>
      </w:r>
      <w:r w:rsidR="06B48492" w:rsidRPr="01BF2BD7">
        <w:rPr>
          <w:rFonts w:ascii="Arial" w:eastAsia="Calibri" w:hAnsi="Arial" w:cs="Arial"/>
          <w:b/>
          <w:bCs/>
          <w:color w:val="000000" w:themeColor="text1"/>
          <w:sz w:val="22"/>
          <w:szCs w:val="22"/>
          <w:lang w:val="es-ES"/>
        </w:rPr>
        <w:t>– D</w:t>
      </w:r>
      <w:r w:rsidRPr="01BF2BD7">
        <w:rPr>
          <w:rFonts w:ascii="Arial" w:eastAsia="Calibri" w:hAnsi="Arial" w:cs="Arial"/>
          <w:b/>
          <w:bCs/>
          <w:color w:val="000000" w:themeColor="text1"/>
          <w:sz w:val="22"/>
          <w:szCs w:val="22"/>
          <w:lang w:val="es-ES"/>
        </w:rPr>
        <w:t>iferencias</w:t>
      </w:r>
    </w:p>
    <w:p w14:paraId="1796EACF" w14:textId="77777777" w:rsidR="00084DC1" w:rsidRPr="00EA0F85" w:rsidRDefault="00084DC1" w:rsidP="0016260B">
      <w:pPr>
        <w:spacing w:before="0" w:after="0" w:line="240" w:lineRule="auto"/>
        <w:rPr>
          <w:rFonts w:ascii="Arial" w:eastAsia="Calibri" w:hAnsi="Arial" w:cs="Arial"/>
          <w:color w:val="000000" w:themeColor="text1"/>
          <w:sz w:val="20"/>
          <w:szCs w:val="20"/>
          <w:lang w:val="es-ES"/>
        </w:rPr>
      </w:pPr>
    </w:p>
    <w:p w14:paraId="13BABFD9" w14:textId="4D3438E3" w:rsidR="00084DC1" w:rsidRPr="00EA0F85" w:rsidRDefault="00084DC1" w:rsidP="0016260B">
      <w:pPr>
        <w:spacing w:before="0" w:after="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En este punto, conviene resaltar lo dicho por la Sección Tercera del Consejo de Estado, en relación con las diferencias entre las multas y la cláusula penal, esto es: «[a]</w:t>
      </w:r>
      <w:proofErr w:type="spellStart"/>
      <w:r w:rsidRPr="00EA0F85">
        <w:rPr>
          <w:rFonts w:ascii="Arial" w:eastAsia="Calibri" w:hAnsi="Arial" w:cs="Arial"/>
          <w:bCs/>
          <w:color w:val="000000" w:themeColor="text1"/>
          <w:sz w:val="20"/>
          <w:szCs w:val="20"/>
          <w:lang w:val="es-ES"/>
        </w:rPr>
        <w:t>unque</w:t>
      </w:r>
      <w:proofErr w:type="spellEnd"/>
      <w:r w:rsidRPr="00EA0F85">
        <w:rPr>
          <w:rFonts w:ascii="Arial" w:eastAsia="Calibri" w:hAnsi="Arial" w:cs="Arial"/>
          <w:bCs/>
          <w:color w:val="000000" w:themeColor="text1"/>
          <w:sz w:val="20"/>
          <w:szCs w:val="20"/>
          <w:lang w:val="es-ES"/>
        </w:rPr>
        <w:t xml:space="preserv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p>
    <w:p w14:paraId="7E5EA798" w14:textId="580E54DE" w:rsidR="00084DC1" w:rsidRPr="00EA0F85" w:rsidRDefault="00084DC1" w:rsidP="0016260B">
      <w:pPr>
        <w:spacing w:before="0" w:after="0" w:line="240" w:lineRule="auto"/>
        <w:rPr>
          <w:rFonts w:ascii="Arial" w:eastAsia="Calibri" w:hAnsi="Arial" w:cs="Arial"/>
          <w:bCs/>
          <w:color w:val="000000" w:themeColor="text1"/>
          <w:sz w:val="20"/>
          <w:szCs w:val="20"/>
          <w:lang w:val="es-ES"/>
        </w:rPr>
      </w:pPr>
    </w:p>
    <w:p w14:paraId="66239DCF" w14:textId="319A42A6" w:rsidR="00AF4944" w:rsidRPr="00EA0F85" w:rsidRDefault="00AF4944" w:rsidP="34E7FC01">
      <w:pPr>
        <w:spacing w:before="0" w:after="0" w:line="240" w:lineRule="auto"/>
        <w:rPr>
          <w:rFonts w:ascii="Arial" w:eastAsia="Calibri" w:hAnsi="Arial" w:cs="Arial"/>
          <w:b/>
          <w:bCs/>
          <w:color w:val="000000" w:themeColor="text1"/>
          <w:sz w:val="22"/>
          <w:szCs w:val="22"/>
          <w:lang w:val="es-ES"/>
        </w:rPr>
      </w:pPr>
      <w:r w:rsidRPr="34E7FC01">
        <w:rPr>
          <w:rFonts w:ascii="Arial" w:eastAsia="Calibri" w:hAnsi="Arial" w:cs="Arial"/>
          <w:b/>
          <w:bCs/>
          <w:color w:val="000000" w:themeColor="text1"/>
          <w:sz w:val="22"/>
          <w:szCs w:val="22"/>
          <w:lang w:val="es-ES"/>
        </w:rPr>
        <w:t xml:space="preserve">INCUMPLIMIENTO CONTRACTUAL – Declaratoria </w:t>
      </w:r>
      <w:r w:rsidR="0083EBE9" w:rsidRPr="34E7FC01">
        <w:rPr>
          <w:rFonts w:ascii="Arial" w:eastAsia="Calibri" w:hAnsi="Arial" w:cs="Arial"/>
          <w:b/>
          <w:bCs/>
          <w:color w:val="000000" w:themeColor="text1"/>
          <w:sz w:val="22"/>
          <w:szCs w:val="22"/>
          <w:lang w:val="es-ES"/>
        </w:rPr>
        <w:t>– I</w:t>
      </w:r>
      <w:r w:rsidRPr="34E7FC01">
        <w:rPr>
          <w:rFonts w:ascii="Arial" w:eastAsia="Calibri" w:hAnsi="Arial" w:cs="Arial"/>
          <w:b/>
          <w:bCs/>
          <w:color w:val="000000" w:themeColor="text1"/>
          <w:sz w:val="22"/>
          <w:szCs w:val="22"/>
          <w:lang w:val="es-ES"/>
        </w:rPr>
        <w:t>ncumplimiento parcial</w:t>
      </w:r>
    </w:p>
    <w:p w14:paraId="38DAA1AA" w14:textId="617AB605" w:rsidR="00AF4944" w:rsidRPr="00EA0F85" w:rsidRDefault="00AF4944" w:rsidP="0016260B">
      <w:pPr>
        <w:spacing w:before="0" w:after="0" w:line="240" w:lineRule="auto"/>
        <w:rPr>
          <w:rFonts w:ascii="Arial" w:eastAsia="Calibri" w:hAnsi="Arial" w:cs="Arial"/>
          <w:bCs/>
          <w:color w:val="000000" w:themeColor="text1"/>
          <w:sz w:val="20"/>
          <w:szCs w:val="20"/>
          <w:lang w:val="es-ES"/>
        </w:rPr>
      </w:pPr>
    </w:p>
    <w:p w14:paraId="21CE8860" w14:textId="0B5109CD" w:rsidR="00AF4944" w:rsidRPr="00AF4944" w:rsidRDefault="00AF4944" w:rsidP="0016260B">
      <w:pPr>
        <w:spacing w:before="0" w:line="240" w:lineRule="auto"/>
        <w:rPr>
          <w:rFonts w:ascii="Arial" w:eastAsia="Calibri" w:hAnsi="Arial" w:cs="Arial"/>
          <w:bCs/>
          <w:color w:val="000000" w:themeColor="text1"/>
          <w:sz w:val="20"/>
          <w:szCs w:val="20"/>
          <w:lang w:val="es-ES"/>
        </w:rPr>
      </w:pPr>
      <w:r w:rsidRPr="00AF4944">
        <w:rPr>
          <w:rFonts w:ascii="Arial" w:eastAsia="Calibri" w:hAnsi="Arial" w:cs="Arial"/>
          <w:bCs/>
          <w:color w:val="000000" w:themeColor="text1"/>
          <w:sz w:val="20"/>
          <w:szCs w:val="20"/>
          <w:lang w:val="es-ES"/>
        </w:rPr>
        <w:t xml:space="preserve">Sobre esta disposición se debe hacer notar que no categoriza el tipo de incumplimiento. Como consecuencia, la declaratoria de cualquier incumplimiento, sea este total o parcial, debe hacerse con la debida observancia de las reglas procedimentales </w:t>
      </w:r>
      <w:r w:rsidRPr="00EA0F85">
        <w:rPr>
          <w:rFonts w:ascii="Arial" w:eastAsia="Calibri" w:hAnsi="Arial" w:cs="Arial"/>
          <w:bCs/>
          <w:color w:val="000000" w:themeColor="text1"/>
          <w:sz w:val="20"/>
          <w:szCs w:val="20"/>
          <w:lang w:val="es-ES"/>
        </w:rPr>
        <w:t>establecidas en el artículo 86 de la Ley 1474 de 2011</w:t>
      </w:r>
      <w:r w:rsidRPr="00AF4944">
        <w:rPr>
          <w:rFonts w:ascii="Arial" w:eastAsia="Calibri" w:hAnsi="Arial" w:cs="Arial"/>
          <w:bCs/>
          <w:color w:val="000000" w:themeColor="text1"/>
          <w:sz w:val="20"/>
          <w:szCs w:val="20"/>
          <w:lang w:val="es-ES"/>
        </w:rPr>
        <w:t xml:space="preserve">. Esto es así como consecuencia del «principio general de interpretación jurídica según el cual donde la norma no distingue, no le corresponde distinguir al intérprete». A la misma conclusión puede arribarse cuando se tiene en consideración la necesidad de respetar el debido proceso en «todas las actuaciones administrativas» como lo ordena el artículo 29 superior. </w:t>
      </w:r>
    </w:p>
    <w:p w14:paraId="0B528420" w14:textId="77777777" w:rsidR="00AF4944" w:rsidRPr="00AF4944" w:rsidRDefault="00AF4944" w:rsidP="0016260B">
      <w:pPr>
        <w:spacing w:before="0" w:after="0" w:line="240" w:lineRule="auto"/>
        <w:rPr>
          <w:rFonts w:ascii="Arial" w:eastAsia="Calibri" w:hAnsi="Arial" w:cs="Arial"/>
          <w:bCs/>
          <w:color w:val="000000" w:themeColor="text1"/>
          <w:sz w:val="20"/>
          <w:szCs w:val="20"/>
          <w:lang w:val="es-ES"/>
        </w:rPr>
      </w:pPr>
      <w:r w:rsidRPr="00AF4944">
        <w:rPr>
          <w:rFonts w:ascii="Arial" w:eastAsia="Calibri" w:hAnsi="Arial" w:cs="Arial"/>
          <w:bCs/>
          <w:color w:val="000000" w:themeColor="text1"/>
          <w:sz w:val="20"/>
          <w:szCs w:val="20"/>
          <w:lang w:val="es-ES"/>
        </w:rPr>
        <w:t xml:space="preserve">A la luz de lo dicho, no puede quedar duda alguna en relación con el punto. Esto es, que se puede declarar el incumplimiento, total o parcial, cuantificando los perjuicios </w:t>
      </w:r>
      <w:proofErr w:type="gramStart"/>
      <w:r w:rsidRPr="00AF4944">
        <w:rPr>
          <w:rFonts w:ascii="Arial" w:eastAsia="Calibri" w:hAnsi="Arial" w:cs="Arial"/>
          <w:bCs/>
          <w:color w:val="000000" w:themeColor="text1"/>
          <w:sz w:val="20"/>
          <w:szCs w:val="20"/>
          <w:lang w:val="es-ES"/>
        </w:rPr>
        <w:t>del mismo</w:t>
      </w:r>
      <w:proofErr w:type="gramEnd"/>
      <w:r w:rsidRPr="00AF4944">
        <w:rPr>
          <w:rFonts w:ascii="Arial" w:eastAsia="Calibri" w:hAnsi="Arial" w:cs="Arial"/>
          <w:bCs/>
          <w:color w:val="000000" w:themeColor="text1"/>
          <w:sz w:val="20"/>
          <w:szCs w:val="20"/>
          <w:lang w:val="es-ES"/>
        </w:rPr>
        <w:t xml:space="preserve"> siempre que se haga previa citación del contratista y respetando el debido proceso. </w:t>
      </w:r>
    </w:p>
    <w:p w14:paraId="52B0DD38" w14:textId="77777777" w:rsidR="00AF4944" w:rsidRPr="00EA0F85" w:rsidRDefault="00AF4944" w:rsidP="0016260B">
      <w:pPr>
        <w:spacing w:before="0" w:after="0" w:line="240" w:lineRule="auto"/>
        <w:rPr>
          <w:rFonts w:ascii="Arial" w:eastAsia="Calibri" w:hAnsi="Arial" w:cs="Arial"/>
          <w:bCs/>
          <w:color w:val="000000" w:themeColor="text1"/>
          <w:sz w:val="20"/>
          <w:szCs w:val="20"/>
          <w:lang w:val="es-ES"/>
        </w:rPr>
      </w:pPr>
    </w:p>
    <w:p w14:paraId="1050622A" w14:textId="5FB9F1B9" w:rsidR="00084DC1" w:rsidRPr="00EA0F85" w:rsidRDefault="00084DC1" w:rsidP="34E7FC01">
      <w:pPr>
        <w:spacing w:before="0" w:after="0" w:line="240" w:lineRule="auto"/>
        <w:rPr>
          <w:rFonts w:ascii="Arial" w:eastAsia="Calibri" w:hAnsi="Arial" w:cs="Arial"/>
          <w:b/>
          <w:bCs/>
          <w:color w:val="000000" w:themeColor="text1"/>
          <w:sz w:val="22"/>
          <w:szCs w:val="22"/>
          <w:lang w:val="es-ES"/>
        </w:rPr>
      </w:pPr>
      <w:r w:rsidRPr="34E7FC01">
        <w:rPr>
          <w:rFonts w:ascii="Arial" w:eastAsia="Calibri" w:hAnsi="Arial" w:cs="Arial"/>
          <w:b/>
          <w:bCs/>
          <w:color w:val="000000" w:themeColor="text1"/>
          <w:sz w:val="22"/>
          <w:szCs w:val="22"/>
          <w:lang w:val="es-ES"/>
        </w:rPr>
        <w:t xml:space="preserve">INCUMPLIMIENTO CONTRACTUAL – </w:t>
      </w:r>
      <w:r w:rsidR="002C223B" w:rsidRPr="34E7FC01">
        <w:rPr>
          <w:rFonts w:ascii="Arial" w:eastAsia="Calibri" w:hAnsi="Arial" w:cs="Arial"/>
          <w:b/>
          <w:bCs/>
          <w:color w:val="000000" w:themeColor="text1"/>
          <w:sz w:val="22"/>
          <w:szCs w:val="22"/>
          <w:lang w:val="es-ES"/>
        </w:rPr>
        <w:t>D</w:t>
      </w:r>
      <w:r w:rsidR="00AF4944" w:rsidRPr="34E7FC01">
        <w:rPr>
          <w:rFonts w:ascii="Arial" w:eastAsia="Calibri" w:hAnsi="Arial" w:cs="Arial"/>
          <w:b/>
          <w:bCs/>
          <w:color w:val="000000" w:themeColor="text1"/>
          <w:sz w:val="22"/>
          <w:szCs w:val="22"/>
          <w:lang w:val="es-ES"/>
        </w:rPr>
        <w:t xml:space="preserve">ebido proceso – Etapas </w:t>
      </w:r>
      <w:r w:rsidR="002C223B" w:rsidRPr="34E7FC01">
        <w:rPr>
          <w:rFonts w:ascii="Arial" w:eastAsia="Calibri" w:hAnsi="Arial" w:cs="Arial"/>
          <w:b/>
          <w:bCs/>
          <w:color w:val="000000" w:themeColor="text1"/>
          <w:sz w:val="22"/>
          <w:szCs w:val="22"/>
          <w:lang w:val="es-ES"/>
        </w:rPr>
        <w:t>– A</w:t>
      </w:r>
      <w:r w:rsidR="00AF4944" w:rsidRPr="34E7FC01">
        <w:rPr>
          <w:rFonts w:ascii="Arial" w:eastAsia="Calibri" w:hAnsi="Arial" w:cs="Arial"/>
          <w:b/>
          <w:bCs/>
          <w:color w:val="000000" w:themeColor="text1"/>
          <w:sz w:val="22"/>
          <w:szCs w:val="22"/>
          <w:lang w:val="es-ES"/>
        </w:rPr>
        <w:t xml:space="preserve">rtículo 86 </w:t>
      </w:r>
      <w:r w:rsidR="7194853E" w:rsidRPr="34E7FC01">
        <w:rPr>
          <w:rFonts w:ascii="Arial" w:eastAsia="Calibri" w:hAnsi="Arial" w:cs="Arial"/>
          <w:b/>
          <w:bCs/>
          <w:color w:val="000000" w:themeColor="text1"/>
          <w:sz w:val="22"/>
          <w:szCs w:val="22"/>
          <w:lang w:val="es-ES"/>
        </w:rPr>
        <w:t xml:space="preserve">– </w:t>
      </w:r>
      <w:r w:rsidR="00AF4944" w:rsidRPr="34E7FC01">
        <w:rPr>
          <w:rFonts w:ascii="Arial" w:eastAsia="Calibri" w:hAnsi="Arial" w:cs="Arial"/>
          <w:b/>
          <w:bCs/>
          <w:color w:val="000000" w:themeColor="text1"/>
          <w:sz w:val="22"/>
          <w:szCs w:val="22"/>
          <w:lang w:val="es-ES"/>
        </w:rPr>
        <w:t>Ley 1474 de 2011</w:t>
      </w:r>
    </w:p>
    <w:p w14:paraId="76D2A71E" w14:textId="77777777" w:rsidR="00084DC1" w:rsidRPr="00EA0F85" w:rsidRDefault="00084DC1" w:rsidP="0016260B">
      <w:pPr>
        <w:spacing w:before="0" w:after="0" w:line="240" w:lineRule="auto"/>
        <w:rPr>
          <w:rFonts w:ascii="Arial" w:eastAsia="Calibri" w:hAnsi="Arial" w:cs="Arial"/>
          <w:color w:val="000000" w:themeColor="text1"/>
          <w:sz w:val="20"/>
          <w:szCs w:val="20"/>
          <w:lang w:val="es-ES"/>
        </w:rPr>
      </w:pPr>
    </w:p>
    <w:p w14:paraId="458752C8" w14:textId="4EC83CE1" w:rsidR="00084DC1" w:rsidRPr="00EA0F85" w:rsidRDefault="00AF4944" w:rsidP="0016260B">
      <w:pPr>
        <w:spacing w:before="0" w:after="0" w:line="240" w:lineRule="auto"/>
        <w:rPr>
          <w:rFonts w:ascii="Arial" w:eastAsia="Calibri" w:hAnsi="Arial" w:cs="Arial"/>
          <w:bCs/>
          <w:color w:val="000000" w:themeColor="text1"/>
          <w:sz w:val="20"/>
          <w:szCs w:val="20"/>
          <w:lang w:val="es-ES"/>
        </w:rPr>
      </w:pPr>
      <w:r w:rsidRPr="00EA0F85">
        <w:rPr>
          <w:rFonts w:ascii="Arial" w:eastAsia="Calibri" w:hAnsi="Arial" w:cs="Arial"/>
          <w:bCs/>
          <w:color w:val="000000" w:themeColor="text1"/>
          <w:sz w:val="20"/>
          <w:szCs w:val="20"/>
          <w:lang w:val="es-ES"/>
        </w:rPr>
        <w:t xml:space="preserve">El artículo en mención establece las etapas del procedimiento que se debe seguir. i) Citación a audiencia.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w:t>
      </w:r>
      <w:proofErr w:type="spellStart"/>
      <w:r w:rsidRPr="00EA0F85">
        <w:rPr>
          <w:rFonts w:ascii="Arial" w:eastAsia="Calibri" w:hAnsi="Arial" w:cs="Arial"/>
          <w:bCs/>
          <w:color w:val="000000" w:themeColor="text1"/>
          <w:sz w:val="20"/>
          <w:szCs w:val="20"/>
          <w:lang w:val="es-ES"/>
        </w:rPr>
        <w:t>ii</w:t>
      </w:r>
      <w:proofErr w:type="spellEnd"/>
      <w:r w:rsidRPr="00EA0F85">
        <w:rPr>
          <w:rFonts w:ascii="Arial" w:eastAsia="Calibri" w:hAnsi="Arial" w:cs="Arial"/>
          <w:bCs/>
          <w:color w:val="000000" w:themeColor="text1"/>
          <w:sz w:val="20"/>
          <w:szCs w:val="20"/>
          <w:lang w:val="es-ES"/>
        </w:rPr>
        <w:t xml:space="preserve">) Audiencia.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proofErr w:type="spellStart"/>
      <w:r w:rsidRPr="00EA0F85">
        <w:rPr>
          <w:rFonts w:ascii="Arial" w:eastAsia="Calibri" w:hAnsi="Arial" w:cs="Arial"/>
          <w:bCs/>
          <w:color w:val="000000" w:themeColor="text1"/>
          <w:sz w:val="20"/>
          <w:szCs w:val="20"/>
          <w:lang w:val="es-ES"/>
        </w:rPr>
        <w:t>iii</w:t>
      </w:r>
      <w:proofErr w:type="spellEnd"/>
      <w:r w:rsidRPr="00EA0F85">
        <w:rPr>
          <w:rFonts w:ascii="Arial" w:eastAsia="Calibri" w:hAnsi="Arial" w:cs="Arial"/>
          <w:bCs/>
          <w:color w:val="000000" w:themeColor="text1"/>
          <w:sz w:val="20"/>
          <w:szCs w:val="20"/>
          <w:lang w:val="es-ES"/>
        </w:rPr>
        <w:t>) Decisión.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3C7FE13A" w14:textId="77777777" w:rsidR="005743F2" w:rsidRPr="00EA0F85" w:rsidRDefault="005743F2" w:rsidP="0016260B">
      <w:pPr>
        <w:spacing w:before="0" w:after="0" w:line="240" w:lineRule="auto"/>
        <w:rPr>
          <w:rFonts w:ascii="Arial" w:eastAsia="Calibri" w:hAnsi="Arial" w:cs="Arial"/>
          <w:bCs/>
          <w:color w:val="000000" w:themeColor="text1"/>
          <w:sz w:val="19"/>
          <w:szCs w:val="19"/>
          <w:lang w:val="es-ES"/>
        </w:rPr>
      </w:pPr>
    </w:p>
    <w:p w14:paraId="2CAAE5DF" w14:textId="17B52054" w:rsidR="00B776DD" w:rsidRPr="00B776DD" w:rsidRDefault="00B776DD" w:rsidP="34E7FC01">
      <w:pPr>
        <w:spacing w:before="0" w:after="0" w:line="240" w:lineRule="auto"/>
        <w:rPr>
          <w:rFonts w:ascii="Arial" w:eastAsia="Calibri" w:hAnsi="Arial" w:cs="Arial"/>
          <w:color w:val="000000" w:themeColor="text1"/>
          <w:sz w:val="22"/>
          <w:szCs w:val="22"/>
          <w:lang w:val="es-ES"/>
        </w:rPr>
      </w:pPr>
      <w:r w:rsidRPr="34E7FC01">
        <w:rPr>
          <w:rFonts w:ascii="Arial" w:eastAsia="Calibri" w:hAnsi="Arial" w:cs="Arial"/>
          <w:b/>
          <w:bCs/>
          <w:color w:val="000000" w:themeColor="text1"/>
          <w:sz w:val="22"/>
          <w:szCs w:val="22"/>
          <w:lang w:val="es-ES"/>
        </w:rPr>
        <w:t xml:space="preserve">INCUMPLIMIENTO CONTRACTUAL – Principio de proporcionalidad – </w:t>
      </w:r>
      <w:r w:rsidR="29E1FA24" w:rsidRPr="34E7FC01">
        <w:rPr>
          <w:rFonts w:ascii="Arial" w:eastAsia="Calibri" w:hAnsi="Arial" w:cs="Arial"/>
          <w:b/>
          <w:bCs/>
          <w:color w:val="000000" w:themeColor="text1"/>
          <w:sz w:val="22"/>
          <w:szCs w:val="22"/>
          <w:lang w:val="es-ES"/>
        </w:rPr>
        <w:t>R</w:t>
      </w:r>
      <w:r w:rsidRPr="34E7FC01">
        <w:rPr>
          <w:rFonts w:ascii="Arial" w:eastAsia="Calibri" w:hAnsi="Arial" w:cs="Arial"/>
          <w:b/>
          <w:bCs/>
          <w:color w:val="000000" w:themeColor="text1"/>
          <w:sz w:val="22"/>
          <w:szCs w:val="22"/>
          <w:lang w:val="es-ES"/>
        </w:rPr>
        <w:t xml:space="preserve">emisión </w:t>
      </w:r>
      <w:r w:rsidR="1BA6DE82" w:rsidRPr="34E7FC01">
        <w:rPr>
          <w:rFonts w:ascii="Arial" w:eastAsia="Calibri" w:hAnsi="Arial" w:cs="Arial"/>
          <w:b/>
          <w:bCs/>
          <w:color w:val="000000" w:themeColor="text1"/>
          <w:sz w:val="22"/>
          <w:szCs w:val="22"/>
          <w:lang w:val="es-ES"/>
        </w:rPr>
        <w:t>–</w:t>
      </w:r>
      <w:r w:rsidRPr="34E7FC01">
        <w:rPr>
          <w:rFonts w:ascii="Arial" w:eastAsia="Calibri" w:hAnsi="Arial" w:cs="Arial"/>
          <w:b/>
          <w:bCs/>
          <w:color w:val="000000" w:themeColor="text1"/>
          <w:sz w:val="22"/>
          <w:szCs w:val="22"/>
          <w:lang w:val="es-ES"/>
        </w:rPr>
        <w:t xml:space="preserve"> </w:t>
      </w:r>
      <w:r w:rsidR="32BFA084" w:rsidRPr="34E7FC01">
        <w:rPr>
          <w:rFonts w:ascii="Arial" w:eastAsia="Calibri" w:hAnsi="Arial" w:cs="Arial"/>
          <w:b/>
          <w:bCs/>
          <w:color w:val="000000" w:themeColor="text1"/>
          <w:sz w:val="22"/>
          <w:szCs w:val="22"/>
          <w:lang w:val="es-ES"/>
        </w:rPr>
        <w:t>D</w:t>
      </w:r>
      <w:r w:rsidRPr="34E7FC01">
        <w:rPr>
          <w:rFonts w:ascii="Arial" w:eastAsia="Calibri" w:hAnsi="Arial" w:cs="Arial"/>
          <w:b/>
          <w:bCs/>
          <w:color w:val="000000" w:themeColor="text1"/>
          <w:sz w:val="22"/>
          <w:szCs w:val="22"/>
          <w:lang w:val="es-ES"/>
        </w:rPr>
        <w:t xml:space="preserve">erecho privado </w:t>
      </w:r>
    </w:p>
    <w:p w14:paraId="4A0977DC" w14:textId="34BCB742" w:rsidR="00FD136B" w:rsidRDefault="00FD136B" w:rsidP="0016260B">
      <w:pPr>
        <w:autoSpaceDE w:val="0"/>
        <w:autoSpaceDN w:val="0"/>
        <w:adjustRightInd w:val="0"/>
        <w:spacing w:before="0" w:after="0" w:line="240" w:lineRule="auto"/>
        <w:rPr>
          <w:rFonts w:ascii="Arial" w:hAnsi="Arial" w:cs="Arial"/>
          <w:color w:val="000000"/>
          <w:sz w:val="20"/>
          <w:szCs w:val="20"/>
          <w:lang w:val="es-ES"/>
        </w:rPr>
      </w:pPr>
    </w:p>
    <w:p w14:paraId="46CF2901" w14:textId="1562E1DC" w:rsidR="00B776DD" w:rsidRPr="00B776DD" w:rsidRDefault="00B776DD" w:rsidP="0016260B">
      <w:pPr>
        <w:autoSpaceDE w:val="0"/>
        <w:autoSpaceDN w:val="0"/>
        <w:adjustRightInd w:val="0"/>
        <w:spacing w:before="0" w:after="0" w:line="240" w:lineRule="auto"/>
        <w:rPr>
          <w:rFonts w:ascii="Arial" w:hAnsi="Arial" w:cs="Arial"/>
          <w:color w:val="000000"/>
          <w:sz w:val="20"/>
          <w:szCs w:val="20"/>
          <w:lang w:val="es-ES"/>
        </w:rPr>
      </w:pPr>
      <w:r>
        <w:rPr>
          <w:rFonts w:ascii="Arial" w:hAnsi="Arial" w:cs="Arial"/>
          <w:color w:val="000000"/>
          <w:sz w:val="20"/>
          <w:szCs w:val="20"/>
          <w:lang w:val="es-ES"/>
        </w:rPr>
        <w:t xml:space="preserve">[…] </w:t>
      </w:r>
      <w:r w:rsidRPr="00B776DD">
        <w:rPr>
          <w:rFonts w:ascii="Arial" w:hAnsi="Arial" w:cs="Arial"/>
          <w:color w:val="000000"/>
          <w:sz w:val="20"/>
          <w:szCs w:val="20"/>
          <w:lang w:val="es-ES"/>
        </w:rPr>
        <w:t>en el procedimiento sancionatorio las entidades estatales deben actuar de acuerdo con el principio de proporcionalidad. Se deben atender las circunstancias de cada caso en particular y revisar cuidadosamente la forma como se pactaron las penalidades asociadas al incumplimiento. Sin perjuicio de lo anterior, también se deben tener en cuenta las normas de derecho privado a las que remite la Ley 80 de 1993 –art. 32, 40 y 13, particularmente – y que complementan dicho estatuto contractual; de manera que, en relación con el tema que se analiza, resulta especialmente relevante destacar los artículos 1596 del Código Civil  y 867 del Código de Comercio , los cuales contienen parámetros para efectos de tasar el monto de las penas pactadas en el contrato; disposiciones que deben ser observadas por las entidades estatales, so pena de que se declare la nulidad parcial de los actos administrativos que aplican dichas cláusulas contractuales</w:t>
      </w:r>
    </w:p>
    <w:p w14:paraId="2A2DE623" w14:textId="20E23419" w:rsidR="005743F2" w:rsidRDefault="005743F2" w:rsidP="0016260B">
      <w:pPr>
        <w:autoSpaceDE w:val="0"/>
        <w:autoSpaceDN w:val="0"/>
        <w:adjustRightInd w:val="0"/>
        <w:spacing w:before="0" w:after="0" w:line="240" w:lineRule="auto"/>
        <w:rPr>
          <w:rFonts w:ascii="Arial" w:hAnsi="Arial" w:cs="Arial"/>
          <w:color w:val="000000"/>
          <w:sz w:val="20"/>
          <w:szCs w:val="20"/>
          <w:lang w:val="es-CO"/>
        </w:rPr>
      </w:pPr>
    </w:p>
    <w:p w14:paraId="20F55536" w14:textId="77777777" w:rsidR="00B776DD" w:rsidRPr="00EA0F85" w:rsidRDefault="00B776DD" w:rsidP="0016260B">
      <w:pPr>
        <w:autoSpaceDE w:val="0"/>
        <w:autoSpaceDN w:val="0"/>
        <w:adjustRightInd w:val="0"/>
        <w:spacing w:before="0" w:after="0" w:line="240" w:lineRule="auto"/>
        <w:rPr>
          <w:rFonts w:ascii="Arial" w:hAnsi="Arial" w:cs="Arial"/>
          <w:color w:val="000000"/>
          <w:sz w:val="20"/>
          <w:szCs w:val="20"/>
          <w:lang w:val="es-CO"/>
        </w:rPr>
      </w:pPr>
    </w:p>
    <w:p w14:paraId="4093F4AC" w14:textId="5F9B868E" w:rsidR="00504B77" w:rsidRPr="00EA0F85" w:rsidRDefault="00504B77" w:rsidP="0016260B">
      <w:pPr>
        <w:spacing w:before="0" w:after="0" w:line="240" w:lineRule="auto"/>
        <w:rPr>
          <w:rFonts w:ascii="Arial" w:eastAsia="Calibri" w:hAnsi="Arial" w:cs="Arial"/>
          <w:color w:val="000000" w:themeColor="text1"/>
          <w:sz w:val="22"/>
          <w:szCs w:val="22"/>
          <w:lang w:val="es-ES"/>
        </w:rPr>
      </w:pPr>
      <w:r w:rsidRPr="00EA0F85">
        <w:rPr>
          <w:rFonts w:ascii="Arial" w:hAnsi="Arial" w:cs="Arial"/>
          <w:color w:val="000000" w:themeColor="text1"/>
          <w:sz w:val="22"/>
          <w:szCs w:val="22"/>
          <w:lang w:val="es-ES"/>
        </w:rPr>
        <w:t xml:space="preserve">Bogotá D.C., </w:t>
      </w:r>
      <w:r w:rsidR="001914D7">
        <w:rPr>
          <w:rFonts w:ascii="Arial" w:hAnsi="Arial" w:cs="Arial"/>
          <w:b/>
          <w:color w:val="000000" w:themeColor="text1"/>
          <w:sz w:val="22"/>
          <w:szCs w:val="22"/>
          <w:lang w:val="es-ES"/>
        </w:rPr>
        <w:t>19/06/2020 Hora 17:36:37 s</w:t>
      </w:r>
    </w:p>
    <w:p w14:paraId="73477FA7" w14:textId="77777777" w:rsidR="00841799" w:rsidRDefault="00841799" w:rsidP="00841799">
      <w:pPr>
        <w:spacing w:before="0" w:after="0" w:line="240" w:lineRule="auto"/>
        <w:jc w:val="right"/>
        <w:rPr>
          <w:rFonts w:ascii="Arial" w:hAnsi="Arial" w:cs="Arial"/>
          <w:b/>
          <w:color w:val="000000" w:themeColor="text1"/>
          <w:sz w:val="22"/>
          <w:szCs w:val="22"/>
          <w:lang w:val="es-ES"/>
        </w:rPr>
      </w:pPr>
    </w:p>
    <w:p w14:paraId="071E34F8" w14:textId="463FD372" w:rsidR="00504B77" w:rsidRPr="00EA0F85" w:rsidRDefault="00504B77" w:rsidP="0016260B">
      <w:pPr>
        <w:spacing w:before="0" w:after="0" w:line="240" w:lineRule="auto"/>
        <w:jc w:val="right"/>
        <w:rPr>
          <w:rFonts w:ascii="Arial" w:hAnsi="Arial" w:cs="Arial"/>
          <w:b/>
          <w:color w:val="000000" w:themeColor="text1"/>
          <w:sz w:val="22"/>
          <w:szCs w:val="22"/>
          <w:lang w:val="es-ES"/>
        </w:rPr>
      </w:pPr>
      <w:proofErr w:type="spellStart"/>
      <w:r w:rsidRPr="00EA0F85">
        <w:rPr>
          <w:rFonts w:ascii="Arial" w:hAnsi="Arial" w:cs="Arial"/>
          <w:b/>
          <w:color w:val="000000" w:themeColor="text1"/>
          <w:sz w:val="22"/>
          <w:szCs w:val="22"/>
          <w:lang w:val="es-ES"/>
        </w:rPr>
        <w:t>N°</w:t>
      </w:r>
      <w:proofErr w:type="spellEnd"/>
      <w:r w:rsidRPr="00EA0F85">
        <w:rPr>
          <w:rFonts w:ascii="Arial" w:hAnsi="Arial" w:cs="Arial"/>
          <w:b/>
          <w:color w:val="000000" w:themeColor="text1"/>
          <w:sz w:val="22"/>
          <w:szCs w:val="22"/>
          <w:lang w:val="es-ES"/>
        </w:rPr>
        <w:t xml:space="preserve"> Radicado: </w:t>
      </w:r>
      <w:r w:rsidR="001914D7">
        <w:rPr>
          <w:rFonts w:ascii="Arial" w:hAnsi="Arial" w:cs="Arial"/>
          <w:b/>
          <w:color w:val="000000" w:themeColor="text1"/>
          <w:sz w:val="22"/>
          <w:szCs w:val="22"/>
          <w:lang w:val="es-ES"/>
        </w:rPr>
        <w:t>2202013000005237</w:t>
      </w:r>
    </w:p>
    <w:p w14:paraId="02C1EB6A" w14:textId="18F90E00" w:rsidR="00E41E10" w:rsidRPr="00EA0F85" w:rsidRDefault="00E41E10" w:rsidP="0016260B">
      <w:pPr>
        <w:spacing w:before="0" w:after="0" w:line="240" w:lineRule="auto"/>
        <w:rPr>
          <w:rFonts w:ascii="Arial" w:hAnsi="Arial" w:cs="Arial"/>
          <w:sz w:val="22"/>
          <w:lang w:val="es-CO"/>
        </w:rPr>
      </w:pPr>
      <w:r w:rsidRPr="00EA0F85">
        <w:rPr>
          <w:rFonts w:ascii="Arial" w:hAnsi="Arial" w:cs="Arial"/>
          <w:sz w:val="22"/>
          <w:lang w:val="es-CO"/>
        </w:rPr>
        <w:t xml:space="preserve">Señor </w:t>
      </w:r>
    </w:p>
    <w:p w14:paraId="6470FF8C" w14:textId="3C7D4224" w:rsidR="00E41E10" w:rsidRPr="00EA0F85" w:rsidRDefault="00E41E10" w:rsidP="0016260B">
      <w:pPr>
        <w:spacing w:before="0" w:after="0" w:line="240" w:lineRule="auto"/>
        <w:rPr>
          <w:rFonts w:ascii="Arial" w:hAnsi="Arial" w:cs="Arial"/>
          <w:b/>
          <w:sz w:val="22"/>
          <w:lang w:val="es-CO"/>
        </w:rPr>
      </w:pPr>
      <w:r w:rsidRPr="00EA0F85">
        <w:rPr>
          <w:rFonts w:ascii="Arial" w:hAnsi="Arial" w:cs="Arial"/>
          <w:b/>
          <w:sz w:val="22"/>
          <w:lang w:val="es-ES"/>
        </w:rPr>
        <w:t>HECTOR ALVEIRO PEÑA</w:t>
      </w:r>
    </w:p>
    <w:p w14:paraId="5E0886FC" w14:textId="3F721082" w:rsidR="00E41E10" w:rsidRDefault="00E41E10" w:rsidP="00841799">
      <w:pPr>
        <w:spacing w:before="0" w:after="0" w:line="240" w:lineRule="auto"/>
        <w:rPr>
          <w:rFonts w:ascii="Arial" w:hAnsi="Arial" w:cs="Arial"/>
          <w:sz w:val="22"/>
          <w:lang w:val="es-CO"/>
        </w:rPr>
      </w:pPr>
      <w:r w:rsidRPr="00EA0F85">
        <w:rPr>
          <w:rFonts w:ascii="Arial" w:hAnsi="Arial" w:cs="Arial"/>
          <w:sz w:val="22"/>
          <w:lang w:val="es-CO"/>
        </w:rPr>
        <w:t>Universidad Nacional de Colombia</w:t>
      </w:r>
    </w:p>
    <w:p w14:paraId="15F0236C" w14:textId="77777777" w:rsidR="00841799" w:rsidRPr="00EA0F85" w:rsidRDefault="00841799" w:rsidP="0016260B">
      <w:pPr>
        <w:spacing w:before="0" w:after="0" w:line="240" w:lineRule="auto"/>
        <w:rPr>
          <w:rFonts w:ascii="Arial" w:hAnsi="Arial" w:cs="Arial"/>
          <w:sz w:val="22"/>
          <w:lang w:val="es-CO"/>
        </w:rPr>
      </w:pPr>
    </w:p>
    <w:p w14:paraId="3F0C3AAA" w14:textId="265B3FAC" w:rsidR="00084DC1" w:rsidRDefault="00084DC1" w:rsidP="00841799">
      <w:pPr>
        <w:spacing w:before="0" w:after="0" w:line="240" w:lineRule="auto"/>
        <w:ind w:firstLine="2694"/>
        <w:rPr>
          <w:rFonts w:ascii="Arial" w:eastAsia="Calibri" w:hAnsi="Arial" w:cs="Arial"/>
          <w:b/>
          <w:color w:val="000000" w:themeColor="text1"/>
          <w:sz w:val="22"/>
          <w:lang w:val="es-ES"/>
        </w:rPr>
      </w:pPr>
      <w:r w:rsidRPr="00EA0F85">
        <w:rPr>
          <w:rFonts w:ascii="Arial" w:eastAsia="Calibri" w:hAnsi="Arial" w:cs="Arial"/>
          <w:b/>
          <w:color w:val="000000" w:themeColor="text1"/>
          <w:sz w:val="22"/>
          <w:lang w:val="es-ES"/>
        </w:rPr>
        <w:t xml:space="preserve">Concepto C ─ </w:t>
      </w:r>
      <w:r w:rsidR="00491150">
        <w:rPr>
          <w:rFonts w:ascii="Arial" w:eastAsia="Calibri" w:hAnsi="Arial" w:cs="Arial"/>
          <w:b/>
          <w:color w:val="000000" w:themeColor="text1"/>
          <w:sz w:val="22"/>
          <w:lang w:val="es-ES"/>
        </w:rPr>
        <w:t>010</w:t>
      </w:r>
      <w:r w:rsidRPr="00EA0F85">
        <w:rPr>
          <w:rFonts w:ascii="Arial" w:eastAsia="Calibri" w:hAnsi="Arial" w:cs="Arial"/>
          <w:b/>
          <w:color w:val="000000" w:themeColor="text1"/>
          <w:sz w:val="22"/>
          <w:lang w:val="es-ES"/>
        </w:rPr>
        <w:t xml:space="preserve"> de 2020</w:t>
      </w:r>
    </w:p>
    <w:p w14:paraId="5D611AA0" w14:textId="77777777" w:rsidR="00841799" w:rsidRPr="00EA0F85" w:rsidRDefault="00841799" w:rsidP="0016260B">
      <w:pPr>
        <w:spacing w:before="0" w:after="0" w:line="240" w:lineRule="auto"/>
        <w:ind w:firstLine="2694"/>
        <w:rPr>
          <w:rFonts w:ascii="Arial" w:eastAsia="Calibri" w:hAnsi="Arial" w:cs="Arial"/>
          <w:b/>
          <w:color w:val="000000" w:themeColor="text1"/>
          <w:sz w:val="22"/>
          <w:lang w:val="es-ES"/>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084DC1" w:rsidRPr="001914D7" w14:paraId="69260F21" w14:textId="77777777" w:rsidTr="0016260B">
        <w:trPr>
          <w:trHeight w:val="2686"/>
        </w:trPr>
        <w:tc>
          <w:tcPr>
            <w:tcW w:w="2689" w:type="dxa"/>
            <w:hideMark/>
          </w:tcPr>
          <w:p w14:paraId="53336AFE" w14:textId="77777777" w:rsidR="00084DC1" w:rsidRPr="00EA0F85" w:rsidRDefault="00084DC1" w:rsidP="00B1479B">
            <w:pPr>
              <w:rPr>
                <w:rFonts w:ascii="Arial" w:eastAsia="Calibri" w:hAnsi="Arial" w:cs="Arial"/>
                <w:color w:val="000000" w:themeColor="text1"/>
                <w:sz w:val="22"/>
              </w:rPr>
            </w:pPr>
            <w:proofErr w:type="spellStart"/>
            <w:r w:rsidRPr="00EA0F85">
              <w:rPr>
                <w:rFonts w:ascii="Arial" w:eastAsia="Calibri" w:hAnsi="Arial" w:cs="Arial"/>
                <w:b/>
                <w:color w:val="000000" w:themeColor="text1"/>
                <w:sz w:val="22"/>
              </w:rPr>
              <w:t>Temas</w:t>
            </w:r>
            <w:proofErr w:type="spellEnd"/>
            <w:r w:rsidRPr="00EA0F85">
              <w:rPr>
                <w:rFonts w:ascii="Arial" w:eastAsia="Calibri" w:hAnsi="Arial" w:cs="Arial"/>
                <w:b/>
                <w:color w:val="000000" w:themeColor="text1"/>
                <w:sz w:val="22"/>
              </w:rPr>
              <w:t>:</w:t>
            </w:r>
          </w:p>
        </w:tc>
        <w:tc>
          <w:tcPr>
            <w:tcW w:w="6237" w:type="dxa"/>
            <w:hideMark/>
          </w:tcPr>
          <w:p w14:paraId="769C66F0" w14:textId="2A232228" w:rsidR="00084DC1" w:rsidRPr="00EA0F85" w:rsidRDefault="007B637A" w:rsidP="00B1479B">
            <w:pPr>
              <w:rPr>
                <w:rFonts w:ascii="Arial" w:eastAsia="Calibri" w:hAnsi="Arial" w:cs="Arial"/>
                <w:color w:val="000000" w:themeColor="text1"/>
                <w:sz w:val="22"/>
                <w:lang w:val="es-ES"/>
              </w:rPr>
            </w:pPr>
            <w:r w:rsidRPr="007B637A">
              <w:rPr>
                <w:rFonts w:ascii="Arial" w:eastAsia="Calibri" w:hAnsi="Arial" w:cs="Arial"/>
                <w:color w:val="000000" w:themeColor="text1"/>
                <w:sz w:val="22"/>
                <w:lang w:val="es-ES"/>
              </w:rPr>
              <w:t xml:space="preserve">DEBIDO PROCESO ADMINISTRATIVO – Aplicación en materia contractual </w:t>
            </w:r>
            <w:r w:rsidR="00084DC1" w:rsidRPr="00EA0F85">
              <w:rPr>
                <w:rFonts w:ascii="Arial" w:eastAsia="Calibri" w:hAnsi="Arial" w:cs="Arial"/>
                <w:color w:val="000000" w:themeColor="text1"/>
                <w:sz w:val="22"/>
                <w:lang w:val="es-ES"/>
              </w:rPr>
              <w:t xml:space="preserve">/ DECLARATORIA DE INCUMPLIMIENTO ― Finalidad / MULTAS ― Principio de tipicidad / MULTAS Y CLÁUSULA PENAL ― Similitudes y diferencias / </w:t>
            </w:r>
            <w:r w:rsidR="00FD136B" w:rsidRPr="00EA0F85">
              <w:rPr>
                <w:rFonts w:ascii="Arial" w:eastAsia="Calibri" w:hAnsi="Arial" w:cs="Arial"/>
                <w:color w:val="000000" w:themeColor="text1"/>
                <w:sz w:val="22"/>
                <w:lang w:val="es-ES"/>
              </w:rPr>
              <w:t xml:space="preserve">INCUMPLIMIENTO CONTRACTUAL – Declaratoria de incumplimiento parcial / INCUMPLIMIENTO </w:t>
            </w:r>
            <w:r w:rsidR="00FD136B" w:rsidRPr="00841799">
              <w:rPr>
                <w:rFonts w:ascii="Arial" w:eastAsia="Calibri" w:hAnsi="Arial" w:cs="Arial"/>
                <w:color w:val="000000" w:themeColor="text1"/>
                <w:sz w:val="22"/>
                <w:lang w:val="es-ES"/>
              </w:rPr>
              <w:t xml:space="preserve">CONTRACTUAL – </w:t>
            </w:r>
            <w:r w:rsidR="000E5CA8" w:rsidRPr="0016260B">
              <w:rPr>
                <w:rFonts w:ascii="Arial" w:eastAsia="Calibri" w:hAnsi="Arial" w:cs="Arial"/>
                <w:color w:val="000000" w:themeColor="text1"/>
                <w:sz w:val="22"/>
                <w:lang w:val="es-ES"/>
              </w:rPr>
              <w:t>Debido proceso – Etapas – Artículo 86 Ley 1474 de 2011</w:t>
            </w:r>
            <w:r w:rsidR="00FD136B" w:rsidRPr="00EA0F85">
              <w:rPr>
                <w:rFonts w:ascii="Arial" w:eastAsia="Calibri" w:hAnsi="Arial" w:cs="Arial"/>
                <w:color w:val="000000" w:themeColor="text1"/>
                <w:sz w:val="22"/>
                <w:lang w:val="es-ES"/>
              </w:rPr>
              <w:t xml:space="preserve"> / </w:t>
            </w:r>
            <w:r w:rsidR="00B776DD" w:rsidRPr="00B776DD">
              <w:rPr>
                <w:rFonts w:ascii="Arial" w:eastAsia="Calibri" w:hAnsi="Arial" w:cs="Arial"/>
                <w:color w:val="000000" w:themeColor="text1"/>
                <w:sz w:val="22"/>
                <w:lang w:val="es-ES"/>
              </w:rPr>
              <w:t>INCUMPLIMIENTO CONTRACTUAL – Principio de proporcionalidad – remisión al derecho privado</w:t>
            </w:r>
          </w:p>
        </w:tc>
      </w:tr>
      <w:tr w:rsidR="00084DC1" w:rsidRPr="00EA0F85" w14:paraId="64039F95" w14:textId="77777777" w:rsidTr="0016260B">
        <w:trPr>
          <w:trHeight w:val="589"/>
        </w:trPr>
        <w:tc>
          <w:tcPr>
            <w:tcW w:w="2689" w:type="dxa"/>
          </w:tcPr>
          <w:p w14:paraId="741F4E42" w14:textId="77777777" w:rsidR="00084DC1" w:rsidRPr="00EA0F85" w:rsidRDefault="00084DC1" w:rsidP="00B1479B">
            <w:pPr>
              <w:rPr>
                <w:rFonts w:ascii="Arial" w:eastAsia="Calibri" w:hAnsi="Arial" w:cs="Arial"/>
                <w:b/>
                <w:color w:val="000000" w:themeColor="text1"/>
                <w:sz w:val="22"/>
              </w:rPr>
            </w:pPr>
            <w:proofErr w:type="spellStart"/>
            <w:r w:rsidRPr="00EA0F85">
              <w:rPr>
                <w:rFonts w:ascii="Arial" w:eastAsia="Calibri" w:hAnsi="Arial" w:cs="Arial"/>
                <w:b/>
                <w:color w:val="000000" w:themeColor="text1"/>
                <w:sz w:val="22"/>
              </w:rPr>
              <w:t>Radicación</w:t>
            </w:r>
            <w:proofErr w:type="spellEnd"/>
            <w:r w:rsidRPr="00EA0F85">
              <w:rPr>
                <w:rFonts w:ascii="Arial" w:eastAsia="Calibri" w:hAnsi="Arial" w:cs="Arial"/>
                <w:b/>
                <w:color w:val="000000" w:themeColor="text1"/>
                <w:sz w:val="22"/>
              </w:rPr>
              <w:t>:</w:t>
            </w:r>
            <w:r w:rsidRPr="00EA0F85">
              <w:rPr>
                <w:rFonts w:ascii="Arial" w:eastAsia="Calibri" w:hAnsi="Arial" w:cs="Arial"/>
                <w:color w:val="000000" w:themeColor="text1"/>
                <w:sz w:val="22"/>
              </w:rPr>
              <w:t xml:space="preserve">                              </w:t>
            </w:r>
          </w:p>
        </w:tc>
        <w:tc>
          <w:tcPr>
            <w:tcW w:w="6237" w:type="dxa"/>
          </w:tcPr>
          <w:p w14:paraId="7AB05FBE" w14:textId="6609DF1C" w:rsidR="00084DC1" w:rsidRPr="00EA0F85" w:rsidRDefault="00E41E10" w:rsidP="00B1479B">
            <w:pPr>
              <w:rPr>
                <w:rFonts w:ascii="Arial" w:eastAsia="Calibri" w:hAnsi="Arial" w:cs="Arial"/>
                <w:bCs/>
                <w:noProof/>
                <w:sz w:val="22"/>
                <w:szCs w:val="22"/>
                <w:lang w:val="es-ES" w:eastAsia="en-US"/>
              </w:rPr>
            </w:pPr>
            <w:r w:rsidRPr="00EA0F85">
              <w:rPr>
                <w:rFonts w:ascii="Arial" w:eastAsia="Calibri" w:hAnsi="Arial" w:cs="Arial"/>
                <w:bCs/>
                <w:noProof/>
                <w:sz w:val="22"/>
                <w:szCs w:val="22"/>
                <w:lang w:val="es-ES" w:eastAsia="en-US"/>
              </w:rPr>
              <w:t>Respuesta a consulta # 4202013000003199</w:t>
            </w:r>
          </w:p>
          <w:p w14:paraId="54949ACD" w14:textId="291A8D6D" w:rsidR="00E41E10" w:rsidRPr="00EA0F85" w:rsidRDefault="00E41E10" w:rsidP="00B1479B">
            <w:pPr>
              <w:rPr>
                <w:rFonts w:ascii="Arial" w:eastAsia="Calibri" w:hAnsi="Arial" w:cs="Arial"/>
                <w:color w:val="000000" w:themeColor="text1"/>
                <w:sz w:val="22"/>
              </w:rPr>
            </w:pPr>
          </w:p>
        </w:tc>
      </w:tr>
    </w:tbl>
    <w:p w14:paraId="7A0E13A8" w14:textId="199ACB0A" w:rsidR="00084DC1" w:rsidRPr="00EA0F85" w:rsidRDefault="00084DC1" w:rsidP="00084DC1">
      <w:pPr>
        <w:rPr>
          <w:rFonts w:ascii="Arial" w:eastAsia="Calibri" w:hAnsi="Arial" w:cs="Arial"/>
          <w:color w:val="000000" w:themeColor="text1"/>
          <w:sz w:val="22"/>
        </w:rPr>
      </w:pPr>
      <w:proofErr w:type="spellStart"/>
      <w:r w:rsidRPr="00EA0F85">
        <w:rPr>
          <w:rFonts w:ascii="Arial" w:eastAsia="Calibri" w:hAnsi="Arial" w:cs="Arial"/>
          <w:color w:val="000000" w:themeColor="text1"/>
          <w:sz w:val="22"/>
        </w:rPr>
        <w:t>Estimado</w:t>
      </w:r>
      <w:proofErr w:type="spellEnd"/>
      <w:r w:rsidRPr="00EA0F85">
        <w:rPr>
          <w:rFonts w:ascii="Arial" w:eastAsia="Calibri" w:hAnsi="Arial" w:cs="Arial"/>
          <w:color w:val="000000" w:themeColor="text1"/>
          <w:sz w:val="22"/>
        </w:rPr>
        <w:t xml:space="preserve"> </w:t>
      </w:r>
      <w:proofErr w:type="spellStart"/>
      <w:r w:rsidRPr="00EA0F85">
        <w:rPr>
          <w:rFonts w:ascii="Arial" w:eastAsia="Calibri" w:hAnsi="Arial" w:cs="Arial"/>
          <w:color w:val="000000" w:themeColor="text1"/>
          <w:sz w:val="22"/>
        </w:rPr>
        <w:t>señor</w:t>
      </w:r>
      <w:proofErr w:type="spellEnd"/>
      <w:r w:rsidRPr="00EA0F85">
        <w:rPr>
          <w:rFonts w:ascii="Arial" w:eastAsia="Calibri" w:hAnsi="Arial" w:cs="Arial"/>
          <w:color w:val="000000" w:themeColor="text1"/>
          <w:sz w:val="22"/>
        </w:rPr>
        <w:t xml:space="preserve"> </w:t>
      </w:r>
      <w:r w:rsidR="00504B77" w:rsidRPr="00EA0F85">
        <w:rPr>
          <w:rFonts w:ascii="Arial" w:eastAsia="Calibri" w:hAnsi="Arial" w:cs="Arial"/>
          <w:color w:val="000000" w:themeColor="text1"/>
          <w:sz w:val="22"/>
        </w:rPr>
        <w:t>Peña</w:t>
      </w:r>
      <w:r w:rsidRPr="00EA0F85">
        <w:rPr>
          <w:rFonts w:ascii="Arial" w:eastAsia="Calibri" w:hAnsi="Arial" w:cs="Arial"/>
          <w:color w:val="000000" w:themeColor="text1"/>
          <w:sz w:val="22"/>
        </w:rPr>
        <w:t>:</w:t>
      </w:r>
    </w:p>
    <w:p w14:paraId="080F5B0C" w14:textId="43109337" w:rsidR="00084DC1" w:rsidRDefault="00084DC1" w:rsidP="00D25608">
      <w:pPr>
        <w:spacing w:before="0" w:after="0"/>
        <w:rPr>
          <w:rFonts w:ascii="Arial" w:eastAsia="Calibri" w:hAnsi="Arial" w:cs="Arial"/>
          <w:color w:val="000000" w:themeColor="text1"/>
          <w:sz w:val="22"/>
          <w:lang w:val="es-ES"/>
        </w:rPr>
      </w:pPr>
      <w:r w:rsidRPr="00EA0F85">
        <w:rPr>
          <w:rFonts w:ascii="Arial" w:eastAsia="Calibri" w:hAnsi="Arial" w:cs="Arial"/>
          <w:color w:val="000000" w:themeColor="text1"/>
          <w:sz w:val="22"/>
          <w:lang w:val="es-ES"/>
        </w:rPr>
        <w:t xml:space="preserve">En ejercicio de la competencia otorgada por los artículos 11, numeral 8º, y 3º, numeral 5º, del Decreto Ley 4170 de 2011, la Agencia Nacional de Contratación Pública − Colombia Compra Eficiente responde su consulta del </w:t>
      </w:r>
      <w:r w:rsidR="002745D0">
        <w:rPr>
          <w:rFonts w:ascii="Arial" w:eastAsia="Calibri" w:hAnsi="Arial" w:cs="Arial"/>
          <w:color w:val="000000" w:themeColor="text1"/>
          <w:sz w:val="22"/>
          <w:lang w:val="es-ES"/>
        </w:rPr>
        <w:t>2</w:t>
      </w:r>
      <w:r w:rsidRPr="00EA0F85">
        <w:rPr>
          <w:rFonts w:ascii="Arial" w:eastAsia="Calibri" w:hAnsi="Arial" w:cs="Arial"/>
          <w:color w:val="000000" w:themeColor="text1"/>
          <w:sz w:val="22"/>
          <w:lang w:val="es-ES"/>
        </w:rPr>
        <w:t xml:space="preserve">9 de </w:t>
      </w:r>
      <w:r w:rsidR="002745D0">
        <w:rPr>
          <w:rFonts w:ascii="Arial" w:eastAsia="Calibri" w:hAnsi="Arial" w:cs="Arial"/>
          <w:color w:val="000000" w:themeColor="text1"/>
          <w:sz w:val="22"/>
          <w:lang w:val="es-ES"/>
        </w:rPr>
        <w:t>abril</w:t>
      </w:r>
      <w:r w:rsidRPr="00EA0F85">
        <w:rPr>
          <w:rFonts w:ascii="Arial" w:eastAsia="Calibri" w:hAnsi="Arial" w:cs="Arial"/>
          <w:color w:val="000000" w:themeColor="text1"/>
          <w:sz w:val="22"/>
          <w:lang w:val="es-ES"/>
        </w:rPr>
        <w:t xml:space="preserve"> de 2020. </w:t>
      </w:r>
    </w:p>
    <w:p w14:paraId="6DEC8D47" w14:textId="77777777" w:rsidR="00D25608" w:rsidRPr="00EA0F85" w:rsidRDefault="00D25608" w:rsidP="00D25608">
      <w:pPr>
        <w:spacing w:before="0" w:after="0"/>
        <w:rPr>
          <w:rFonts w:ascii="Arial" w:eastAsia="Calibri" w:hAnsi="Arial" w:cs="Arial"/>
          <w:color w:val="000000" w:themeColor="text1"/>
          <w:sz w:val="22"/>
          <w:lang w:val="es-ES"/>
        </w:rPr>
      </w:pPr>
    </w:p>
    <w:p w14:paraId="4E097C7C" w14:textId="7F90F3A1" w:rsidR="00084DC1" w:rsidRPr="00B776DD" w:rsidRDefault="00084DC1" w:rsidP="00D25608">
      <w:pPr>
        <w:pStyle w:val="Prrafodelista"/>
        <w:numPr>
          <w:ilvl w:val="0"/>
          <w:numId w:val="6"/>
        </w:numPr>
        <w:tabs>
          <w:tab w:val="left" w:pos="284"/>
        </w:tabs>
        <w:spacing w:before="0" w:after="0"/>
        <w:ind w:left="0" w:firstLine="0"/>
        <w:rPr>
          <w:rFonts w:ascii="Arial" w:eastAsia="Calibri" w:hAnsi="Arial" w:cs="Arial"/>
          <w:b/>
          <w:color w:val="000000" w:themeColor="text1"/>
          <w:sz w:val="22"/>
        </w:rPr>
      </w:pPr>
      <w:r w:rsidRPr="00EA0F85">
        <w:rPr>
          <w:rFonts w:ascii="Arial" w:eastAsia="Calibri" w:hAnsi="Arial" w:cs="Arial"/>
          <w:b/>
          <w:color w:val="000000" w:themeColor="text1"/>
          <w:sz w:val="22"/>
        </w:rPr>
        <w:t xml:space="preserve">Problemas planteados </w:t>
      </w:r>
    </w:p>
    <w:p w14:paraId="53A57C3B" w14:textId="77777777" w:rsidR="00B776DD" w:rsidRDefault="00B776DD" w:rsidP="00D25608">
      <w:pPr>
        <w:tabs>
          <w:tab w:val="left" w:pos="709"/>
        </w:tabs>
        <w:spacing w:before="0" w:after="0"/>
        <w:rPr>
          <w:rFonts w:ascii="Arial" w:eastAsia="Calibri" w:hAnsi="Arial" w:cs="Arial"/>
          <w:color w:val="000000" w:themeColor="text1"/>
          <w:sz w:val="22"/>
          <w:lang w:val="es-ES"/>
        </w:rPr>
      </w:pPr>
    </w:p>
    <w:p w14:paraId="30B5CF7E" w14:textId="22D475C1" w:rsidR="00FF4BC7" w:rsidRDefault="00FF4BC7" w:rsidP="008D6D49">
      <w:pPr>
        <w:tabs>
          <w:tab w:val="left" w:pos="709"/>
        </w:tabs>
        <w:spacing w:before="0" w:after="0"/>
        <w:rPr>
          <w:rFonts w:ascii="Arial" w:eastAsia="Calibri" w:hAnsi="Arial" w:cs="Arial"/>
          <w:color w:val="000000" w:themeColor="text1"/>
          <w:sz w:val="22"/>
          <w:lang w:val="es-ES"/>
        </w:rPr>
      </w:pPr>
      <w:r w:rsidRPr="00EA0F85">
        <w:rPr>
          <w:rFonts w:ascii="Arial" w:eastAsia="Calibri" w:hAnsi="Arial" w:cs="Arial"/>
          <w:color w:val="000000" w:themeColor="text1"/>
          <w:sz w:val="22"/>
          <w:lang w:val="es-ES"/>
        </w:rPr>
        <w:t>Usted formula la siguiente pregunta: ¿Es necesario adelantar la audiencia de imposición de multas, sanciones y declaratorias de incumplimiento de que trata el artículo 86 de la Ley 1474 de 2011 cuando se trata de un incumplimiento parcial?</w:t>
      </w:r>
    </w:p>
    <w:p w14:paraId="4BB642C2" w14:textId="77777777" w:rsidR="00734675" w:rsidRPr="00EA0F85" w:rsidRDefault="00734675" w:rsidP="008D6D49">
      <w:pPr>
        <w:tabs>
          <w:tab w:val="left" w:pos="709"/>
        </w:tabs>
        <w:spacing w:before="0" w:after="0"/>
        <w:rPr>
          <w:rFonts w:ascii="Arial" w:eastAsia="Calibri" w:hAnsi="Arial" w:cs="Arial"/>
          <w:color w:val="000000" w:themeColor="text1"/>
          <w:sz w:val="22"/>
          <w:lang w:val="es-ES"/>
        </w:rPr>
      </w:pPr>
    </w:p>
    <w:p w14:paraId="16849DA2" w14:textId="2A2BD78E" w:rsidR="00084DC1" w:rsidRDefault="00084DC1" w:rsidP="008D6D49">
      <w:pPr>
        <w:pStyle w:val="Prrafodelista"/>
        <w:numPr>
          <w:ilvl w:val="0"/>
          <w:numId w:val="6"/>
        </w:numPr>
        <w:tabs>
          <w:tab w:val="left" w:pos="426"/>
        </w:tabs>
        <w:spacing w:before="0" w:after="0"/>
        <w:ind w:left="284" w:hanging="284"/>
        <w:rPr>
          <w:rFonts w:ascii="Arial" w:eastAsia="Calibri" w:hAnsi="Arial" w:cs="Arial"/>
          <w:b/>
          <w:color w:val="000000" w:themeColor="text1"/>
          <w:sz w:val="22"/>
        </w:rPr>
      </w:pPr>
      <w:r w:rsidRPr="00EA0F85">
        <w:rPr>
          <w:rFonts w:ascii="Arial" w:eastAsia="Calibri" w:hAnsi="Arial" w:cs="Arial"/>
          <w:b/>
          <w:color w:val="000000" w:themeColor="text1"/>
          <w:sz w:val="22"/>
        </w:rPr>
        <w:t>Consideraciones</w:t>
      </w:r>
    </w:p>
    <w:p w14:paraId="5D17849B" w14:textId="77777777" w:rsidR="008D6D49" w:rsidRDefault="008D6D49" w:rsidP="008D6D49">
      <w:pPr>
        <w:tabs>
          <w:tab w:val="left" w:pos="426"/>
        </w:tabs>
        <w:spacing w:before="0" w:after="0"/>
        <w:rPr>
          <w:rFonts w:ascii="Arial" w:eastAsia="Calibri" w:hAnsi="Arial" w:cs="Arial"/>
          <w:bCs/>
          <w:sz w:val="22"/>
          <w:lang w:val="es-ES"/>
        </w:rPr>
      </w:pPr>
    </w:p>
    <w:p w14:paraId="78A00BCB" w14:textId="159054F2" w:rsidR="00084DC1" w:rsidRPr="0016260B" w:rsidRDefault="00084DC1" w:rsidP="008D6D49">
      <w:pPr>
        <w:tabs>
          <w:tab w:val="left" w:pos="426"/>
        </w:tabs>
        <w:spacing w:before="0" w:after="0"/>
        <w:rPr>
          <w:rFonts w:ascii="Arial" w:eastAsia="Calibri" w:hAnsi="Arial" w:cs="Arial"/>
          <w:bCs/>
          <w:sz w:val="22"/>
          <w:lang w:val="es-MX"/>
        </w:rPr>
      </w:pPr>
      <w:r w:rsidRPr="0016260B">
        <w:rPr>
          <w:rFonts w:ascii="Arial" w:eastAsia="Calibri" w:hAnsi="Arial" w:cs="Arial"/>
          <w:bCs/>
          <w:sz w:val="22"/>
          <w:lang w:val="es-ES"/>
        </w:rPr>
        <w:t xml:space="preserve">Para resolver su inquietud, es necesario hacer referencia, por un lado, al </w:t>
      </w:r>
      <w:r w:rsidR="0016260B" w:rsidRPr="0016260B">
        <w:rPr>
          <w:rFonts w:ascii="Arial" w:eastAsia="Calibri" w:hAnsi="Arial" w:cs="Arial"/>
          <w:bCs/>
          <w:sz w:val="22"/>
          <w:lang w:val="es-ES"/>
        </w:rPr>
        <w:t xml:space="preserve">debido proceso en los procedimientos administrativos contractuales, el </w:t>
      </w:r>
      <w:r w:rsidRPr="0016260B">
        <w:rPr>
          <w:rFonts w:ascii="Arial" w:eastAsia="Calibri" w:hAnsi="Arial" w:cs="Arial"/>
          <w:bCs/>
          <w:sz w:val="22"/>
          <w:lang w:val="es-ES"/>
        </w:rPr>
        <w:t xml:space="preserve">régimen sancionatorio </w:t>
      </w:r>
      <w:r w:rsidR="0016260B" w:rsidRPr="0016260B">
        <w:rPr>
          <w:rFonts w:ascii="Arial" w:eastAsia="Calibri" w:hAnsi="Arial" w:cs="Arial"/>
          <w:bCs/>
          <w:sz w:val="22"/>
          <w:lang w:val="es-ES"/>
        </w:rPr>
        <w:t xml:space="preserve">en materia </w:t>
      </w:r>
      <w:r w:rsidRPr="0016260B">
        <w:rPr>
          <w:rFonts w:ascii="Arial" w:eastAsia="Calibri" w:hAnsi="Arial" w:cs="Arial"/>
          <w:bCs/>
          <w:sz w:val="22"/>
          <w:lang w:val="es-ES"/>
        </w:rPr>
        <w:t>contractual</w:t>
      </w:r>
      <w:r w:rsidR="0016260B">
        <w:rPr>
          <w:rFonts w:ascii="Arial" w:eastAsia="Calibri" w:hAnsi="Arial" w:cs="Arial"/>
          <w:bCs/>
          <w:sz w:val="22"/>
          <w:lang w:val="es-ES"/>
        </w:rPr>
        <w:t>, así como</w:t>
      </w:r>
      <w:r w:rsidRPr="0016260B">
        <w:rPr>
          <w:rFonts w:ascii="Arial" w:eastAsia="Calibri" w:hAnsi="Arial" w:cs="Arial"/>
          <w:bCs/>
          <w:sz w:val="22"/>
          <w:lang w:val="es-ES"/>
        </w:rPr>
        <w:t xml:space="preserve"> </w:t>
      </w:r>
      <w:r w:rsidR="0016260B" w:rsidRPr="0016260B">
        <w:rPr>
          <w:rFonts w:ascii="Arial" w:eastAsia="Calibri" w:hAnsi="Arial" w:cs="Arial"/>
          <w:bCs/>
          <w:sz w:val="22"/>
          <w:lang w:val="es-ES"/>
        </w:rPr>
        <w:t xml:space="preserve">los procedimientos que deben ser </w:t>
      </w:r>
      <w:r w:rsidR="0016260B">
        <w:rPr>
          <w:rFonts w:ascii="Arial" w:eastAsia="Calibri" w:hAnsi="Arial" w:cs="Arial"/>
          <w:bCs/>
          <w:sz w:val="22"/>
          <w:lang w:val="es-ES"/>
        </w:rPr>
        <w:t>seguidos</w:t>
      </w:r>
      <w:r w:rsidR="0016260B" w:rsidRPr="0016260B">
        <w:rPr>
          <w:rFonts w:ascii="Arial" w:eastAsia="Calibri" w:hAnsi="Arial" w:cs="Arial"/>
          <w:bCs/>
          <w:sz w:val="22"/>
          <w:lang w:val="es-ES"/>
        </w:rPr>
        <w:t xml:space="preserve"> para</w:t>
      </w:r>
      <w:r w:rsidR="0016260B">
        <w:rPr>
          <w:rFonts w:ascii="Arial" w:eastAsia="Calibri" w:hAnsi="Arial" w:cs="Arial"/>
          <w:bCs/>
          <w:sz w:val="22"/>
          <w:lang w:val="es-ES"/>
        </w:rPr>
        <w:t xml:space="preserve"> la imposición de dichas sanciones. </w:t>
      </w:r>
      <w:r w:rsidR="0016260B" w:rsidRPr="0016260B">
        <w:rPr>
          <w:rFonts w:ascii="Arial" w:eastAsia="Calibri" w:hAnsi="Arial" w:cs="Arial"/>
          <w:bCs/>
          <w:sz w:val="22"/>
          <w:lang w:val="es-ES"/>
        </w:rPr>
        <w:t xml:space="preserve"> </w:t>
      </w:r>
    </w:p>
    <w:p w14:paraId="2EF15093" w14:textId="77777777" w:rsidR="00084DC1" w:rsidRPr="00EA0F85" w:rsidRDefault="00084DC1" w:rsidP="0016260B">
      <w:pPr>
        <w:tabs>
          <w:tab w:val="left" w:pos="426"/>
        </w:tabs>
        <w:spacing w:before="0" w:after="0"/>
        <w:rPr>
          <w:rFonts w:ascii="Arial" w:eastAsia="Calibri" w:hAnsi="Arial" w:cs="Arial"/>
          <w:bCs/>
          <w:color w:val="000000" w:themeColor="text1"/>
          <w:sz w:val="22"/>
          <w:lang w:val="es-ES"/>
        </w:rPr>
      </w:pPr>
    </w:p>
    <w:p w14:paraId="16502D89" w14:textId="327A79A6" w:rsidR="00D66934" w:rsidRPr="0016260B" w:rsidRDefault="00D66934" w:rsidP="0016260B">
      <w:pPr>
        <w:pStyle w:val="Prrafodelista"/>
        <w:numPr>
          <w:ilvl w:val="1"/>
          <w:numId w:val="8"/>
        </w:numPr>
        <w:tabs>
          <w:tab w:val="left" w:pos="426"/>
        </w:tabs>
        <w:spacing w:before="0" w:after="0"/>
        <w:ind w:left="0" w:firstLine="0"/>
        <w:rPr>
          <w:rFonts w:ascii="Arial" w:eastAsia="Calibri" w:hAnsi="Arial" w:cs="Arial"/>
          <w:b/>
          <w:color w:val="000000" w:themeColor="text1"/>
          <w:sz w:val="22"/>
        </w:rPr>
      </w:pPr>
      <w:r w:rsidRPr="0016260B">
        <w:rPr>
          <w:rFonts w:ascii="Arial" w:eastAsia="Calibri" w:hAnsi="Arial" w:cs="Arial"/>
          <w:b/>
          <w:color w:val="000000" w:themeColor="text1"/>
          <w:sz w:val="22"/>
        </w:rPr>
        <w:t>Debido proceso en</w:t>
      </w:r>
      <w:r w:rsidR="00BC1F6C" w:rsidRPr="0016260B">
        <w:rPr>
          <w:rFonts w:ascii="Arial" w:eastAsia="Calibri" w:hAnsi="Arial" w:cs="Arial"/>
          <w:b/>
          <w:color w:val="000000" w:themeColor="text1"/>
          <w:sz w:val="22"/>
        </w:rPr>
        <w:t xml:space="preserve"> los procedimientos administrativos</w:t>
      </w:r>
      <w:r w:rsidR="00C92B5A" w:rsidRPr="0016260B">
        <w:rPr>
          <w:rFonts w:ascii="Arial" w:eastAsia="Calibri" w:hAnsi="Arial" w:cs="Arial"/>
          <w:b/>
          <w:color w:val="000000" w:themeColor="text1"/>
          <w:sz w:val="22"/>
        </w:rPr>
        <w:t xml:space="preserve"> contractuales</w:t>
      </w:r>
    </w:p>
    <w:p w14:paraId="48E00E1F" w14:textId="0D36FA3B" w:rsidR="00D66934" w:rsidRPr="00EA0F85" w:rsidRDefault="00D66934" w:rsidP="00D66934">
      <w:pPr>
        <w:tabs>
          <w:tab w:val="left" w:pos="426"/>
        </w:tabs>
        <w:spacing w:before="0" w:after="0"/>
        <w:rPr>
          <w:rFonts w:ascii="Arial" w:eastAsia="Calibri" w:hAnsi="Arial" w:cs="Arial"/>
          <w:b/>
          <w:color w:val="000000" w:themeColor="text1"/>
          <w:sz w:val="22"/>
          <w:lang w:val="es-ES"/>
        </w:rPr>
      </w:pPr>
    </w:p>
    <w:p w14:paraId="112A5D23" w14:textId="62784944" w:rsidR="00D66934" w:rsidRPr="00EA0F85" w:rsidRDefault="00BC1F6C" w:rsidP="00B776DD">
      <w:pPr>
        <w:tabs>
          <w:tab w:val="left" w:pos="426"/>
        </w:tabs>
        <w:spacing w:before="0"/>
        <w:rPr>
          <w:rFonts w:ascii="Arial" w:eastAsia="Calibri" w:hAnsi="Arial" w:cs="Arial"/>
          <w:bCs/>
          <w:color w:val="000000" w:themeColor="text1"/>
          <w:sz w:val="22"/>
          <w:lang w:val="es-ES"/>
        </w:rPr>
      </w:pPr>
      <w:r w:rsidRPr="00EA0F85">
        <w:rPr>
          <w:rFonts w:ascii="Arial" w:eastAsia="Calibri" w:hAnsi="Arial" w:cs="Arial"/>
          <w:bCs/>
          <w:color w:val="000000" w:themeColor="text1"/>
          <w:sz w:val="22"/>
          <w:lang w:val="es-ES"/>
        </w:rPr>
        <w:t>La Constitución Política contempla el debido proceso como derecho fundamental y sobre su ámbito de aplicación señala que «El debido proceso se aplicará a toda clase de actuaciones judiciales y administrativas». La claridad de esta norma no ha dejado lugar a ninguna duda sobre la extensión de las garantías del debido proceso a toda clase de actuaciones administrativas y es ello lo que ha llevado a la Corte Constitucional a afirmar que «[u]</w:t>
      </w:r>
      <w:proofErr w:type="spellStart"/>
      <w:r w:rsidRPr="00EA0F85">
        <w:rPr>
          <w:rFonts w:ascii="Arial" w:eastAsia="Calibri" w:hAnsi="Arial" w:cs="Arial"/>
          <w:bCs/>
          <w:color w:val="000000" w:themeColor="text1"/>
          <w:sz w:val="22"/>
          <w:lang w:val="es-ES"/>
        </w:rPr>
        <w:t>na</w:t>
      </w:r>
      <w:proofErr w:type="spellEnd"/>
      <w:r w:rsidRPr="00EA0F85">
        <w:rPr>
          <w:rFonts w:ascii="Arial" w:eastAsia="Calibri" w:hAnsi="Arial" w:cs="Arial"/>
          <w:bCs/>
          <w:color w:val="000000" w:themeColor="text1"/>
          <w:sz w:val="22"/>
          <w:lang w:val="es-ES"/>
        </w:rPr>
        <w:t xml:space="preserve"> de </w:t>
      </w:r>
      <w:r w:rsidRPr="00EA0F85">
        <w:rPr>
          <w:rFonts w:ascii="Arial" w:eastAsia="Calibri" w:hAnsi="Arial" w:cs="Arial"/>
          <w:bCs/>
          <w:color w:val="000000" w:themeColor="text1"/>
          <w:sz w:val="22"/>
          <w:lang w:val="es-ES"/>
        </w:rPr>
        <w:lastRenderedPageBreak/>
        <w:t>las notas más destacadas de la Constitución Política de 1991 es la extensión de las garantías propias del debido proceso a las actuaciones administrativas»</w:t>
      </w:r>
      <w:r w:rsidRPr="00EA0F85">
        <w:rPr>
          <w:rStyle w:val="Refdenotaalpie"/>
          <w:rFonts w:ascii="Arial" w:eastAsia="Calibri" w:hAnsi="Arial" w:cs="Arial"/>
          <w:bCs/>
          <w:color w:val="000000" w:themeColor="text1"/>
          <w:sz w:val="22"/>
          <w:lang w:val="es-ES"/>
        </w:rPr>
        <w:footnoteReference w:id="1"/>
      </w:r>
      <w:r w:rsidR="00346701">
        <w:rPr>
          <w:rFonts w:ascii="Arial" w:eastAsia="Calibri" w:hAnsi="Arial" w:cs="Arial"/>
          <w:bCs/>
          <w:color w:val="000000" w:themeColor="text1"/>
          <w:sz w:val="22"/>
          <w:lang w:val="es-ES"/>
        </w:rPr>
        <w:t>.</w:t>
      </w:r>
    </w:p>
    <w:p w14:paraId="7C788239" w14:textId="72066F5C" w:rsidR="00BC1F6C" w:rsidRPr="00EA0F85" w:rsidRDefault="00753D85" w:rsidP="00564BAD">
      <w:pPr>
        <w:tabs>
          <w:tab w:val="left" w:pos="426"/>
        </w:tabs>
        <w:spacing w:before="0" w:after="0"/>
        <w:ind w:firstLine="709"/>
        <w:rPr>
          <w:rFonts w:ascii="Arial" w:eastAsia="Calibri" w:hAnsi="Arial" w:cs="Arial"/>
          <w:bCs/>
          <w:color w:val="000000" w:themeColor="text1"/>
          <w:sz w:val="22"/>
          <w:lang w:val="es-ES"/>
        </w:rPr>
      </w:pPr>
      <w:r w:rsidRPr="00EA0F85">
        <w:rPr>
          <w:rFonts w:ascii="Arial" w:eastAsia="Calibri" w:hAnsi="Arial" w:cs="Arial"/>
          <w:bCs/>
          <w:color w:val="000000" w:themeColor="text1"/>
          <w:sz w:val="22"/>
          <w:lang w:val="es-ES"/>
        </w:rPr>
        <w:t xml:space="preserve">Sin embargo, dicha extensión tiene algunas particularidades que también han sido reseñadas por la Corte Constitucional en los siguientes términos: </w:t>
      </w:r>
    </w:p>
    <w:p w14:paraId="5466C0A8" w14:textId="04F9DE7A" w:rsidR="00753D85" w:rsidRPr="00EA0F85" w:rsidRDefault="00753D85" w:rsidP="00D66934">
      <w:pPr>
        <w:tabs>
          <w:tab w:val="left" w:pos="426"/>
        </w:tabs>
        <w:spacing w:before="0" w:after="0"/>
        <w:rPr>
          <w:rFonts w:ascii="Arial" w:eastAsia="Calibri" w:hAnsi="Arial" w:cs="Arial"/>
          <w:bCs/>
          <w:color w:val="000000" w:themeColor="text1"/>
          <w:sz w:val="22"/>
          <w:lang w:val="es-ES"/>
        </w:rPr>
      </w:pPr>
    </w:p>
    <w:p w14:paraId="28DA0C3B" w14:textId="3B9F9756" w:rsidR="00753D85" w:rsidRPr="00753D85" w:rsidRDefault="00753D85" w:rsidP="0016260B">
      <w:pPr>
        <w:tabs>
          <w:tab w:val="left" w:pos="426"/>
        </w:tabs>
        <w:spacing w:before="0" w:after="0" w:line="240" w:lineRule="auto"/>
        <w:ind w:left="709" w:right="709"/>
        <w:rPr>
          <w:rFonts w:ascii="Arial" w:eastAsia="Calibri" w:hAnsi="Arial" w:cs="Arial"/>
          <w:bCs/>
          <w:color w:val="000000" w:themeColor="text1"/>
          <w:sz w:val="21"/>
          <w:szCs w:val="21"/>
          <w:lang w:val="es-ES"/>
        </w:rPr>
      </w:pPr>
      <w:r w:rsidRPr="00753D85">
        <w:rPr>
          <w:rFonts w:ascii="Arial" w:eastAsia="Calibri" w:hAnsi="Arial" w:cs="Arial"/>
          <w:bCs/>
          <w:color w:val="000000" w:themeColor="text1"/>
          <w:sz w:val="21"/>
          <w:szCs w:val="21"/>
          <w:lang w:val="es-ES"/>
        </w:rPr>
        <w:t>La extensión de las garantías del debido proceso al ámbito administrativo no implica, sin embargo, que su alcance sea idéntico en la administración de justicia y en el ejercicio de la función pública. A pesar de la importancia que tiene para el orden constitucional la vigencia del debido proceso en todos los escenarios en los que el ciudadano puede ver afectados sus derechos por actuaciones públicas (sin importar de qué rama provienen), es necesario que la interpretación de las garantías que lo componen tome en consideración los principios que caracterizan cada escenario, así como las diferencias que existen entre ellos</w:t>
      </w:r>
      <w:r w:rsidRPr="00EA0F85">
        <w:rPr>
          <w:rStyle w:val="Refdenotaalpie"/>
          <w:rFonts w:ascii="Arial" w:eastAsia="Calibri" w:hAnsi="Arial" w:cs="Arial"/>
          <w:bCs/>
          <w:color w:val="000000" w:themeColor="text1"/>
          <w:sz w:val="21"/>
          <w:szCs w:val="21"/>
          <w:lang w:val="es-ES"/>
        </w:rPr>
        <w:footnoteReference w:id="2"/>
      </w:r>
      <w:r w:rsidR="00346701">
        <w:rPr>
          <w:rFonts w:ascii="Arial" w:eastAsia="Calibri" w:hAnsi="Arial" w:cs="Arial"/>
          <w:bCs/>
          <w:color w:val="000000" w:themeColor="text1"/>
          <w:sz w:val="21"/>
          <w:szCs w:val="21"/>
          <w:lang w:val="es-ES"/>
        </w:rPr>
        <w:t>.</w:t>
      </w:r>
    </w:p>
    <w:p w14:paraId="3940C55E" w14:textId="5B66A7E3" w:rsidR="00753D85" w:rsidRPr="00EA0F85" w:rsidRDefault="00753D85" w:rsidP="00753D85">
      <w:pPr>
        <w:tabs>
          <w:tab w:val="left" w:pos="426"/>
        </w:tabs>
        <w:spacing w:before="0" w:after="0"/>
        <w:rPr>
          <w:rFonts w:ascii="Arial" w:eastAsia="Calibri" w:hAnsi="Arial" w:cs="Arial"/>
          <w:b/>
          <w:color w:val="000000" w:themeColor="text1"/>
          <w:sz w:val="22"/>
          <w:lang w:val="es-ES"/>
        </w:rPr>
      </w:pPr>
    </w:p>
    <w:p w14:paraId="030A55DB" w14:textId="4D4716D6" w:rsidR="00753D85" w:rsidRPr="00EA0F85" w:rsidRDefault="00753D85" w:rsidP="0016260B">
      <w:pPr>
        <w:tabs>
          <w:tab w:val="left" w:pos="426"/>
        </w:tabs>
        <w:spacing w:before="0"/>
        <w:ind w:firstLine="709"/>
        <w:rPr>
          <w:rFonts w:ascii="Arial" w:eastAsia="Calibri" w:hAnsi="Arial" w:cs="Arial"/>
          <w:bCs/>
          <w:color w:val="000000" w:themeColor="text1"/>
          <w:sz w:val="22"/>
          <w:lang w:val="es-ES"/>
        </w:rPr>
      </w:pPr>
      <w:r w:rsidRPr="00EA0F85">
        <w:rPr>
          <w:rFonts w:ascii="Arial" w:eastAsia="Calibri" w:hAnsi="Arial" w:cs="Arial"/>
          <w:bCs/>
          <w:color w:val="000000" w:themeColor="text1"/>
          <w:sz w:val="22"/>
          <w:lang w:val="es-ES"/>
        </w:rPr>
        <w:t xml:space="preserve">En ese orden de ideas, las garantías del debido proceso aplican por expreso mandato constitucional a toda actuación administrativa, pero ello debe ser interpretado en consideración a los principios que caracterizan cada escenario y las diferencias entre procesos judiciales y procedimientos administrativos. </w:t>
      </w:r>
    </w:p>
    <w:p w14:paraId="4CA70ED4" w14:textId="747D8BB7" w:rsidR="00753D85" w:rsidRPr="00EA0F85" w:rsidRDefault="00753D85" w:rsidP="0016260B">
      <w:pPr>
        <w:tabs>
          <w:tab w:val="left" w:pos="426"/>
        </w:tabs>
        <w:spacing w:before="0"/>
        <w:ind w:firstLine="709"/>
        <w:rPr>
          <w:rFonts w:ascii="Arial" w:eastAsia="Calibri" w:hAnsi="Arial" w:cs="Arial"/>
          <w:bCs/>
          <w:color w:val="000000" w:themeColor="text1"/>
          <w:sz w:val="22"/>
          <w:lang w:val="es-ES"/>
        </w:rPr>
      </w:pPr>
      <w:r w:rsidRPr="00EA0F85">
        <w:rPr>
          <w:rFonts w:ascii="Arial" w:eastAsia="Calibri" w:hAnsi="Arial" w:cs="Arial"/>
          <w:bCs/>
          <w:color w:val="000000" w:themeColor="text1"/>
          <w:sz w:val="22"/>
          <w:lang w:val="es-ES"/>
        </w:rPr>
        <w:t>Con base en estas consideraciones la Corte ha resaltado la importancia de aplicar en todos los casos los principios y garantías derivados del debido proceso, pero armonizando los mandatos del artículo 29 superior con los principios del artículo 209 constitucional</w:t>
      </w:r>
      <w:r w:rsidR="005034C3">
        <w:rPr>
          <w:rFonts w:ascii="Arial" w:eastAsia="Calibri" w:hAnsi="Arial" w:cs="Arial"/>
          <w:bCs/>
          <w:color w:val="000000" w:themeColor="text1"/>
          <w:sz w:val="22"/>
          <w:lang w:val="es-ES"/>
        </w:rPr>
        <w:t>,</w:t>
      </w:r>
      <w:r w:rsidRPr="00EA0F85">
        <w:rPr>
          <w:rFonts w:ascii="Arial" w:eastAsia="Calibri" w:hAnsi="Arial" w:cs="Arial"/>
          <w:bCs/>
          <w:color w:val="000000" w:themeColor="text1"/>
          <w:sz w:val="22"/>
          <w:lang w:val="es-ES"/>
        </w:rPr>
        <w:t xml:space="preserve"> de manera que no se pierda de vista que «mediante el procedimiento administrativo se logra el cumplimiento de la función administrativa […]»</w:t>
      </w:r>
      <w:r w:rsidRPr="00EA0F85">
        <w:rPr>
          <w:rStyle w:val="Refdenotaalpie"/>
          <w:rFonts w:ascii="Arial" w:eastAsia="Calibri" w:hAnsi="Arial" w:cs="Arial"/>
          <w:bCs/>
          <w:color w:val="000000" w:themeColor="text1"/>
          <w:sz w:val="22"/>
          <w:lang w:val="es-ES"/>
        </w:rPr>
        <w:footnoteReference w:id="3"/>
      </w:r>
      <w:r w:rsidRPr="00EA0F85">
        <w:rPr>
          <w:rFonts w:ascii="Arial" w:eastAsia="Calibri" w:hAnsi="Arial" w:cs="Arial"/>
          <w:bCs/>
          <w:color w:val="000000" w:themeColor="text1"/>
          <w:sz w:val="22"/>
          <w:lang w:val="es-ES"/>
        </w:rPr>
        <w:t>.</w:t>
      </w:r>
    </w:p>
    <w:p w14:paraId="6C0DBB73" w14:textId="0F65E4A5" w:rsidR="00C92B5A" w:rsidRPr="00EA0F85" w:rsidRDefault="00346701" w:rsidP="0016260B">
      <w:pPr>
        <w:tabs>
          <w:tab w:val="left" w:pos="426"/>
        </w:tabs>
        <w:spacing w:before="0"/>
        <w:ind w:firstLine="426"/>
        <w:rPr>
          <w:rFonts w:ascii="Arial" w:eastAsia="Calibri" w:hAnsi="Arial" w:cs="Arial"/>
          <w:bCs/>
          <w:color w:val="000000" w:themeColor="text1"/>
          <w:sz w:val="22"/>
          <w:lang w:val="es-ES"/>
        </w:rPr>
      </w:pPr>
      <w:r>
        <w:rPr>
          <w:rFonts w:ascii="Arial" w:eastAsia="Calibri" w:hAnsi="Arial" w:cs="Arial"/>
          <w:bCs/>
          <w:color w:val="000000" w:themeColor="text1"/>
          <w:sz w:val="22"/>
          <w:lang w:val="es-ES"/>
        </w:rPr>
        <w:tab/>
      </w:r>
      <w:r w:rsidR="00C92B5A" w:rsidRPr="00EA0F85">
        <w:rPr>
          <w:rFonts w:ascii="Arial" w:eastAsia="Calibri" w:hAnsi="Arial" w:cs="Arial"/>
          <w:bCs/>
          <w:color w:val="000000" w:themeColor="text1"/>
          <w:sz w:val="22"/>
          <w:lang w:val="es-ES"/>
        </w:rPr>
        <w:t xml:space="preserve">El artículo 17 de la Ley 1150 de 2007 </w:t>
      </w:r>
      <w:r w:rsidR="005034C3">
        <w:rPr>
          <w:rFonts w:ascii="Arial" w:eastAsia="Calibri" w:hAnsi="Arial" w:cs="Arial"/>
          <w:bCs/>
          <w:color w:val="000000" w:themeColor="text1"/>
          <w:sz w:val="22"/>
          <w:lang w:val="es-ES"/>
        </w:rPr>
        <w:t>resulta relevante respecto al</w:t>
      </w:r>
      <w:r w:rsidR="00C92B5A" w:rsidRPr="00EA0F85">
        <w:rPr>
          <w:rFonts w:ascii="Arial" w:eastAsia="Calibri" w:hAnsi="Arial" w:cs="Arial"/>
          <w:bCs/>
          <w:color w:val="000000" w:themeColor="text1"/>
          <w:sz w:val="22"/>
          <w:lang w:val="es-ES"/>
        </w:rPr>
        <w:t xml:space="preserve"> desarrollo legislativo</w:t>
      </w:r>
      <w:r w:rsidR="005034C3">
        <w:rPr>
          <w:rFonts w:ascii="Arial" w:eastAsia="Calibri" w:hAnsi="Arial" w:cs="Arial"/>
          <w:bCs/>
          <w:color w:val="000000" w:themeColor="text1"/>
          <w:sz w:val="22"/>
          <w:lang w:val="es-ES"/>
        </w:rPr>
        <w:t xml:space="preserve"> que,</w:t>
      </w:r>
      <w:r w:rsidR="00C92B5A" w:rsidRPr="00EA0F85">
        <w:rPr>
          <w:rFonts w:ascii="Arial" w:eastAsia="Calibri" w:hAnsi="Arial" w:cs="Arial"/>
          <w:bCs/>
          <w:color w:val="000000" w:themeColor="text1"/>
          <w:sz w:val="22"/>
          <w:lang w:val="es-ES"/>
        </w:rPr>
        <w:t xml:space="preserve"> en materia de contratación estatal</w:t>
      </w:r>
      <w:r w:rsidR="005034C3">
        <w:rPr>
          <w:rFonts w:ascii="Arial" w:eastAsia="Calibri" w:hAnsi="Arial" w:cs="Arial"/>
          <w:bCs/>
          <w:color w:val="000000" w:themeColor="text1"/>
          <w:sz w:val="22"/>
          <w:lang w:val="es-ES"/>
        </w:rPr>
        <w:t>, se ha dado</w:t>
      </w:r>
      <w:r w:rsidR="00C92B5A" w:rsidRPr="00EA0F85">
        <w:rPr>
          <w:rFonts w:ascii="Arial" w:eastAsia="Calibri" w:hAnsi="Arial" w:cs="Arial"/>
          <w:bCs/>
          <w:color w:val="000000" w:themeColor="text1"/>
          <w:sz w:val="22"/>
          <w:lang w:val="es-ES"/>
        </w:rPr>
        <w:t xml:space="preserve"> al principio y derecho constitucional al debido proceso. El mencionado artículo prescribe que «El debido proceso será un principio rector en materia sancionatoria de las actuaciones contractuales».</w:t>
      </w:r>
    </w:p>
    <w:p w14:paraId="10033739" w14:textId="70C984D9" w:rsidR="00C92B5A" w:rsidRPr="00EA0F85" w:rsidRDefault="00346701" w:rsidP="00C92B5A">
      <w:pPr>
        <w:tabs>
          <w:tab w:val="left" w:pos="426"/>
        </w:tabs>
        <w:spacing w:before="0" w:after="0"/>
        <w:rPr>
          <w:rFonts w:ascii="Arial" w:eastAsia="Calibri" w:hAnsi="Arial" w:cs="Arial"/>
          <w:bCs/>
          <w:color w:val="000000" w:themeColor="text1"/>
          <w:sz w:val="22"/>
          <w:lang w:val="es-ES"/>
        </w:rPr>
      </w:pPr>
      <w:r>
        <w:rPr>
          <w:rFonts w:ascii="Arial" w:eastAsia="Calibri" w:hAnsi="Arial" w:cs="Arial"/>
          <w:bCs/>
          <w:color w:val="000000" w:themeColor="text1"/>
          <w:sz w:val="22"/>
          <w:lang w:val="es-ES"/>
        </w:rPr>
        <w:tab/>
      </w:r>
      <w:r w:rsidR="00C92B5A" w:rsidRPr="00EA0F85">
        <w:rPr>
          <w:rFonts w:ascii="Arial" w:eastAsia="Calibri" w:hAnsi="Arial" w:cs="Arial"/>
          <w:bCs/>
          <w:color w:val="000000" w:themeColor="text1"/>
          <w:sz w:val="22"/>
          <w:lang w:val="es-ES"/>
        </w:rPr>
        <w:tab/>
      </w:r>
      <w:r w:rsidR="005034C3">
        <w:rPr>
          <w:rFonts w:ascii="Arial" w:eastAsia="Calibri" w:hAnsi="Arial" w:cs="Arial"/>
          <w:bCs/>
          <w:color w:val="000000" w:themeColor="text1"/>
          <w:sz w:val="22"/>
          <w:lang w:val="es-ES"/>
        </w:rPr>
        <w:t>Apoyándose en esta</w:t>
      </w:r>
      <w:r w:rsidR="00C92B5A" w:rsidRPr="00EA0F85">
        <w:rPr>
          <w:rFonts w:ascii="Arial" w:eastAsia="Calibri" w:hAnsi="Arial" w:cs="Arial"/>
          <w:bCs/>
          <w:color w:val="000000" w:themeColor="text1"/>
          <w:sz w:val="22"/>
          <w:lang w:val="es-ES"/>
        </w:rPr>
        <w:t xml:space="preserve"> norma, así como de las garantías derivadas directamente de la </w:t>
      </w:r>
      <w:r w:rsidR="005034C3">
        <w:rPr>
          <w:rFonts w:ascii="Arial" w:eastAsia="Calibri" w:hAnsi="Arial" w:cs="Arial"/>
          <w:bCs/>
          <w:color w:val="000000" w:themeColor="text1"/>
          <w:sz w:val="22"/>
          <w:lang w:val="es-ES"/>
        </w:rPr>
        <w:t>C</w:t>
      </w:r>
      <w:r w:rsidR="00C92B5A" w:rsidRPr="00EA0F85">
        <w:rPr>
          <w:rFonts w:ascii="Arial" w:eastAsia="Calibri" w:hAnsi="Arial" w:cs="Arial"/>
          <w:bCs/>
          <w:color w:val="000000" w:themeColor="text1"/>
          <w:sz w:val="22"/>
          <w:lang w:val="es-ES"/>
        </w:rPr>
        <w:t>onstitución y otras normas procedimentales, el Consejo de Estado ha tenido la oportunidad de aclarar que</w:t>
      </w:r>
      <w:r w:rsidR="005034C3">
        <w:rPr>
          <w:rFonts w:ascii="Arial" w:eastAsia="Calibri" w:hAnsi="Arial" w:cs="Arial"/>
          <w:bCs/>
          <w:color w:val="000000" w:themeColor="text1"/>
          <w:sz w:val="22"/>
          <w:lang w:val="es-ES"/>
        </w:rPr>
        <w:t>:</w:t>
      </w:r>
      <w:r w:rsidR="00C92B5A" w:rsidRPr="00EA0F85">
        <w:rPr>
          <w:rFonts w:ascii="Arial" w:eastAsia="Calibri" w:hAnsi="Arial" w:cs="Arial"/>
          <w:bCs/>
          <w:color w:val="000000" w:themeColor="text1"/>
          <w:sz w:val="22"/>
          <w:lang w:val="es-ES"/>
        </w:rPr>
        <w:t xml:space="preserve"> </w:t>
      </w:r>
    </w:p>
    <w:p w14:paraId="611A05BE" w14:textId="77777777" w:rsidR="00C92B5A" w:rsidRPr="00EA0F85" w:rsidRDefault="00C92B5A" w:rsidP="00C92B5A">
      <w:pPr>
        <w:spacing w:before="0" w:after="0" w:line="240" w:lineRule="auto"/>
        <w:jc w:val="left"/>
        <w:rPr>
          <w:lang w:val="es-ES"/>
        </w:rPr>
      </w:pPr>
    </w:p>
    <w:p w14:paraId="2D672A4A" w14:textId="7DFA5D28" w:rsidR="00C92B5A" w:rsidRPr="00EA0F85" w:rsidRDefault="00C92B5A" w:rsidP="00C92B5A">
      <w:pPr>
        <w:pStyle w:val="Textoindependiente21"/>
        <w:spacing w:line="240" w:lineRule="auto"/>
        <w:ind w:left="708" w:right="758" w:firstLine="0"/>
        <w:rPr>
          <w:rFonts w:cs="Arial"/>
          <w:bCs/>
          <w:sz w:val="21"/>
          <w:szCs w:val="21"/>
          <w:lang w:val="es-ES"/>
        </w:rPr>
      </w:pPr>
      <w:r w:rsidRPr="00EA0F85">
        <w:rPr>
          <w:rFonts w:cs="Arial"/>
          <w:color w:val="000000"/>
          <w:sz w:val="21"/>
          <w:szCs w:val="21"/>
        </w:rPr>
        <w:t xml:space="preserve">Al respecto, </w:t>
      </w:r>
      <w:r w:rsidRPr="00EA0F85">
        <w:rPr>
          <w:rFonts w:cs="Arial"/>
          <w:bCs/>
          <w:sz w:val="21"/>
          <w:szCs w:val="21"/>
          <w:lang w:val="es-ES"/>
        </w:rPr>
        <w:t xml:space="preserve">la jurisprudencia de la Corporación ha sido categórica en afirmar que en materia contractual también se debe respetar este derecho fundamental al debido proceso, siempre que la administración en su papel de parte contratante dentro de un negocio jurídico, pretenda ejercer su poder de autotutela declarativa mediante la expedición de actos administrativos de carácter particular y concreto, en tal forma que se garantice el pleno conocimiento del contratista sobre la </w:t>
      </w:r>
      <w:r w:rsidRPr="00EA0F85">
        <w:rPr>
          <w:rFonts w:cs="Arial"/>
          <w:bCs/>
          <w:sz w:val="21"/>
          <w:szCs w:val="21"/>
          <w:lang w:val="es-ES"/>
        </w:rPr>
        <w:lastRenderedPageBreak/>
        <w:t>actuación adelantada por la administración y su posibilidad de ejercer en debida forma el derecho de audiencia y de defensa</w:t>
      </w:r>
      <w:r w:rsidRPr="00EA0F85">
        <w:rPr>
          <w:rStyle w:val="Refdenotaalpie"/>
          <w:rFonts w:cs="Arial"/>
          <w:bCs/>
          <w:sz w:val="21"/>
          <w:szCs w:val="21"/>
          <w:lang w:val="es-ES"/>
        </w:rPr>
        <w:footnoteReference w:id="4"/>
      </w:r>
      <w:r w:rsidR="005034C3">
        <w:rPr>
          <w:rFonts w:cs="Arial"/>
          <w:bCs/>
          <w:sz w:val="21"/>
          <w:szCs w:val="21"/>
          <w:lang w:val="es-ES"/>
        </w:rPr>
        <w:t>.</w:t>
      </w:r>
    </w:p>
    <w:p w14:paraId="7FE0F522" w14:textId="77777777" w:rsidR="00C92B5A" w:rsidRPr="00EA0F85" w:rsidRDefault="00C92B5A" w:rsidP="00C92B5A">
      <w:pPr>
        <w:pStyle w:val="Textoindependiente21"/>
        <w:spacing w:line="240" w:lineRule="auto"/>
        <w:ind w:right="758" w:firstLine="0"/>
        <w:rPr>
          <w:rFonts w:cs="Arial"/>
          <w:bCs/>
          <w:sz w:val="21"/>
          <w:szCs w:val="21"/>
          <w:lang w:val="es-ES"/>
        </w:rPr>
      </w:pPr>
    </w:p>
    <w:p w14:paraId="0F5535DA" w14:textId="08D4D021" w:rsidR="00753D85" w:rsidRPr="00753D85" w:rsidRDefault="00564BAD" w:rsidP="0016260B">
      <w:pPr>
        <w:tabs>
          <w:tab w:val="left" w:pos="426"/>
        </w:tabs>
        <w:spacing w:before="0"/>
        <w:rPr>
          <w:rFonts w:ascii="Arial" w:eastAsia="Calibri" w:hAnsi="Arial" w:cs="Arial"/>
          <w:bCs/>
          <w:color w:val="000000" w:themeColor="text1"/>
          <w:sz w:val="22"/>
          <w:lang w:val="es-ES"/>
        </w:rPr>
      </w:pPr>
      <w:r w:rsidRPr="00EA0F85">
        <w:rPr>
          <w:rFonts w:ascii="Arial" w:eastAsia="Calibri" w:hAnsi="Arial" w:cs="Arial"/>
          <w:bCs/>
          <w:color w:val="000000" w:themeColor="text1"/>
          <w:sz w:val="22"/>
          <w:lang w:val="es-ES"/>
        </w:rPr>
        <w:tab/>
        <w:t>Con base en las antedichas consideraciones, la máxima corporación de lo contencioso administrativo concluyó «no cabe duda alguna en relación con la aplicación del debido proceso en materia contractual y especialmente cuando se trate de decisiones sancionatorias»</w:t>
      </w:r>
      <w:r w:rsidRPr="00EA0F85">
        <w:rPr>
          <w:rStyle w:val="Refdenotaalpie"/>
          <w:rFonts w:ascii="Arial" w:eastAsia="Calibri" w:hAnsi="Arial" w:cs="Arial"/>
          <w:bCs/>
          <w:color w:val="000000" w:themeColor="text1"/>
          <w:sz w:val="22"/>
          <w:lang w:val="es-ES"/>
        </w:rPr>
        <w:footnoteReference w:id="5"/>
      </w:r>
      <w:r w:rsidR="005034C3">
        <w:rPr>
          <w:rFonts w:ascii="Arial" w:eastAsia="Calibri" w:hAnsi="Arial" w:cs="Arial"/>
          <w:bCs/>
          <w:color w:val="000000" w:themeColor="text1"/>
          <w:sz w:val="22"/>
          <w:lang w:val="es-ES"/>
        </w:rPr>
        <w:t>.</w:t>
      </w:r>
      <w:r w:rsidRPr="00EA0F85">
        <w:rPr>
          <w:rFonts w:ascii="Arial" w:eastAsia="Calibri" w:hAnsi="Arial" w:cs="Arial"/>
          <w:bCs/>
          <w:color w:val="000000" w:themeColor="text1"/>
          <w:sz w:val="22"/>
          <w:lang w:val="es-ES"/>
        </w:rPr>
        <w:t xml:space="preserve"> </w:t>
      </w:r>
    </w:p>
    <w:p w14:paraId="76F51B6C" w14:textId="4C705F1C" w:rsidR="008C0C74" w:rsidRPr="00EA0F85" w:rsidRDefault="008C0C74" w:rsidP="00D66934">
      <w:pPr>
        <w:tabs>
          <w:tab w:val="left" w:pos="426"/>
        </w:tabs>
        <w:spacing w:before="0" w:after="0"/>
        <w:rPr>
          <w:rFonts w:ascii="Arial" w:eastAsia="Calibri" w:hAnsi="Arial" w:cs="Arial"/>
          <w:bCs/>
          <w:color w:val="000000" w:themeColor="text1"/>
          <w:sz w:val="22"/>
          <w:lang w:val="es-ES"/>
        </w:rPr>
      </w:pPr>
      <w:r w:rsidRPr="00EA0F85">
        <w:rPr>
          <w:rFonts w:ascii="Arial" w:eastAsia="Calibri" w:hAnsi="Arial" w:cs="Arial"/>
          <w:bCs/>
          <w:color w:val="000000" w:themeColor="text1"/>
          <w:sz w:val="22"/>
          <w:lang w:val="es-ES"/>
        </w:rPr>
        <w:tab/>
        <w:t xml:space="preserve">Estas consideraciones son fundamentales pues de entrada permiten poner de presente que la </w:t>
      </w:r>
      <w:r w:rsidR="005034C3">
        <w:rPr>
          <w:rFonts w:ascii="Arial" w:eastAsia="Calibri" w:hAnsi="Arial" w:cs="Arial"/>
          <w:bCs/>
          <w:color w:val="000000" w:themeColor="text1"/>
          <w:sz w:val="22"/>
          <w:lang w:val="es-ES"/>
        </w:rPr>
        <w:t>A</w:t>
      </w:r>
      <w:r w:rsidRPr="00EA0F85">
        <w:rPr>
          <w:rFonts w:ascii="Arial" w:eastAsia="Calibri" w:hAnsi="Arial" w:cs="Arial"/>
          <w:bCs/>
          <w:color w:val="000000" w:themeColor="text1"/>
          <w:sz w:val="22"/>
          <w:lang w:val="es-ES"/>
        </w:rPr>
        <w:t>dministración se encuentra obligada a respetar las garantías del debido proceso</w:t>
      </w:r>
      <w:r w:rsidR="005034C3">
        <w:rPr>
          <w:rFonts w:ascii="Arial" w:eastAsia="Calibri" w:hAnsi="Arial" w:cs="Arial"/>
          <w:bCs/>
          <w:color w:val="000000" w:themeColor="text1"/>
          <w:sz w:val="22"/>
          <w:lang w:val="es-ES"/>
        </w:rPr>
        <w:t xml:space="preserve"> </w:t>
      </w:r>
      <w:r w:rsidR="005034C3" w:rsidRPr="00EA0F85">
        <w:rPr>
          <w:rFonts w:ascii="Arial" w:eastAsia="Calibri" w:hAnsi="Arial" w:cs="Arial"/>
          <w:bCs/>
          <w:color w:val="000000" w:themeColor="text1"/>
          <w:sz w:val="22"/>
          <w:lang w:val="es-ES"/>
        </w:rPr>
        <w:t>en materia contractual</w:t>
      </w:r>
      <w:r w:rsidRPr="00EA0F85">
        <w:rPr>
          <w:rFonts w:ascii="Arial" w:eastAsia="Calibri" w:hAnsi="Arial" w:cs="Arial"/>
          <w:bCs/>
          <w:color w:val="000000" w:themeColor="text1"/>
          <w:sz w:val="22"/>
          <w:lang w:val="es-ES"/>
        </w:rPr>
        <w:t xml:space="preserve"> sin importar la declaratoria a realizar o el asunto a decidir.  </w:t>
      </w:r>
    </w:p>
    <w:p w14:paraId="2CCE6E07" w14:textId="77777777" w:rsidR="00D66934" w:rsidRPr="00EA0F85" w:rsidRDefault="00D66934" w:rsidP="00D66934">
      <w:pPr>
        <w:tabs>
          <w:tab w:val="left" w:pos="426"/>
        </w:tabs>
        <w:spacing w:before="0" w:after="0"/>
        <w:rPr>
          <w:rFonts w:ascii="Arial" w:eastAsia="Calibri" w:hAnsi="Arial" w:cs="Arial"/>
          <w:b/>
          <w:color w:val="000000" w:themeColor="text1"/>
          <w:sz w:val="22"/>
          <w:lang w:val="es-ES"/>
        </w:rPr>
      </w:pPr>
    </w:p>
    <w:p w14:paraId="56D53306" w14:textId="7DD3FC05" w:rsidR="00084DC1" w:rsidRPr="00EA0F85" w:rsidRDefault="00084DC1" w:rsidP="0016260B">
      <w:pPr>
        <w:pStyle w:val="Prrafodelista"/>
        <w:numPr>
          <w:ilvl w:val="1"/>
          <w:numId w:val="8"/>
        </w:numPr>
        <w:tabs>
          <w:tab w:val="left" w:pos="426"/>
        </w:tabs>
        <w:spacing w:before="0" w:after="0"/>
        <w:ind w:left="0" w:firstLine="0"/>
        <w:rPr>
          <w:rFonts w:ascii="Arial" w:eastAsia="Calibri" w:hAnsi="Arial" w:cs="Arial"/>
          <w:b/>
          <w:color w:val="000000" w:themeColor="text1"/>
          <w:sz w:val="22"/>
        </w:rPr>
      </w:pPr>
      <w:r w:rsidRPr="00EA0F85">
        <w:rPr>
          <w:rFonts w:ascii="Arial" w:eastAsia="Calibri" w:hAnsi="Arial" w:cs="Arial"/>
          <w:b/>
          <w:color w:val="000000" w:themeColor="text1"/>
          <w:sz w:val="22"/>
        </w:rPr>
        <w:t>Régimen sancionatorio</w:t>
      </w:r>
    </w:p>
    <w:p w14:paraId="06EAC7DB" w14:textId="77777777" w:rsidR="008D6D49" w:rsidRDefault="008D6D49" w:rsidP="00084DC1">
      <w:pPr>
        <w:tabs>
          <w:tab w:val="left" w:pos="426"/>
        </w:tabs>
        <w:rPr>
          <w:rFonts w:ascii="Arial" w:eastAsia="Calibri" w:hAnsi="Arial" w:cs="Arial"/>
          <w:bCs/>
          <w:color w:val="000000" w:themeColor="text1"/>
          <w:sz w:val="22"/>
          <w:lang w:val="es-ES"/>
        </w:rPr>
      </w:pPr>
    </w:p>
    <w:p w14:paraId="4C134D03" w14:textId="5F0611EE" w:rsidR="00084DC1" w:rsidRPr="00EA0F85" w:rsidRDefault="00084DC1" w:rsidP="00084DC1">
      <w:pPr>
        <w:tabs>
          <w:tab w:val="left" w:pos="426"/>
        </w:tabs>
        <w:rPr>
          <w:rFonts w:ascii="Arial" w:eastAsia="Calibri" w:hAnsi="Arial" w:cs="Arial"/>
          <w:bCs/>
          <w:color w:val="000000" w:themeColor="text1"/>
          <w:sz w:val="22"/>
          <w:lang w:val="es-ES"/>
        </w:rPr>
      </w:pPr>
      <w:r w:rsidRPr="00EA0F85">
        <w:rPr>
          <w:rFonts w:ascii="Arial" w:eastAsia="Calibri" w:hAnsi="Arial" w:cs="Arial"/>
          <w:bCs/>
          <w:color w:val="000000" w:themeColor="text1"/>
          <w:sz w:val="22"/>
          <w:lang w:val="es-ES"/>
        </w:rPr>
        <w:t xml:space="preserve">En los conceptos del </w:t>
      </w:r>
      <w:r w:rsidR="00FF4BC7" w:rsidRPr="00EA0F85">
        <w:rPr>
          <w:rFonts w:ascii="Arial" w:eastAsia="Calibri" w:hAnsi="Arial" w:cs="Arial"/>
          <w:bCs/>
          <w:color w:val="000000" w:themeColor="text1"/>
          <w:sz w:val="22"/>
          <w:lang w:val="es-ES"/>
        </w:rPr>
        <w:t xml:space="preserve">28 de agosto, </w:t>
      </w:r>
      <w:r w:rsidRPr="00EA0F85">
        <w:rPr>
          <w:rFonts w:ascii="Arial" w:eastAsia="Calibri" w:hAnsi="Arial" w:cs="Arial"/>
          <w:bCs/>
          <w:color w:val="000000" w:themeColor="text1"/>
          <w:sz w:val="22"/>
          <w:lang w:val="es-ES"/>
        </w:rPr>
        <w:t xml:space="preserve">16 de octubre y el 5 de diciembre de 2019 −radicados No. </w:t>
      </w:r>
      <w:r w:rsidR="00FF4BC7" w:rsidRPr="00EA0F85">
        <w:rPr>
          <w:rFonts w:ascii="Arial" w:eastAsia="Calibri" w:hAnsi="Arial" w:cs="Arial"/>
          <w:bCs/>
          <w:color w:val="000000" w:themeColor="text1"/>
          <w:sz w:val="22"/>
          <w:lang w:val="es-ES" w:bidi="es-ES"/>
        </w:rPr>
        <w:t xml:space="preserve">4201913000004732, </w:t>
      </w:r>
      <w:r w:rsidRPr="00EA0F85">
        <w:rPr>
          <w:rFonts w:ascii="Arial" w:eastAsia="Calibri" w:hAnsi="Arial" w:cs="Arial"/>
          <w:bCs/>
          <w:color w:val="000000" w:themeColor="text1"/>
          <w:sz w:val="22"/>
          <w:lang w:val="es-ES"/>
        </w:rPr>
        <w:t>2201913000007661 y 2201913000008964</w:t>
      </w:r>
      <w:r w:rsidR="005034C3">
        <w:rPr>
          <w:rFonts w:ascii="Arial" w:eastAsia="Calibri" w:hAnsi="Arial" w:cs="Arial"/>
          <w:bCs/>
          <w:color w:val="000000" w:themeColor="text1"/>
          <w:sz w:val="22"/>
          <w:lang w:val="es-ES"/>
        </w:rPr>
        <w:t>–</w:t>
      </w:r>
      <w:r w:rsidR="00FF4BC7" w:rsidRPr="00EA0F85">
        <w:rPr>
          <w:rFonts w:ascii="Arial" w:eastAsia="Calibri" w:hAnsi="Arial" w:cs="Arial"/>
          <w:bCs/>
          <w:color w:val="000000" w:themeColor="text1"/>
          <w:sz w:val="22"/>
          <w:lang w:val="es-ES"/>
        </w:rPr>
        <w:t xml:space="preserve"> y C-219 de 2020</w:t>
      </w:r>
      <w:r w:rsidRPr="00EA0F85">
        <w:rPr>
          <w:rFonts w:ascii="Arial" w:eastAsia="Calibri" w:hAnsi="Arial" w:cs="Arial"/>
          <w:bCs/>
          <w:color w:val="000000" w:themeColor="text1"/>
          <w:sz w:val="22"/>
          <w:lang w:val="es-ES"/>
        </w:rPr>
        <w:t xml:space="preserve"> la Agencia Nacional de Contratación Pública – Colombia Compra Eficiente se pronunció </w:t>
      </w:r>
      <w:r w:rsidR="008C0C74" w:rsidRPr="00EA0F85">
        <w:rPr>
          <w:rFonts w:ascii="Arial" w:eastAsia="Calibri" w:hAnsi="Arial" w:cs="Arial"/>
          <w:bCs/>
          <w:color w:val="000000" w:themeColor="text1"/>
          <w:sz w:val="22"/>
          <w:lang w:val="es-ES"/>
        </w:rPr>
        <w:t xml:space="preserve">sobre </w:t>
      </w:r>
      <w:r w:rsidRPr="00EA0F85">
        <w:rPr>
          <w:rFonts w:ascii="Arial" w:eastAsia="Calibri" w:hAnsi="Arial" w:cs="Arial"/>
          <w:bCs/>
          <w:color w:val="000000" w:themeColor="text1"/>
          <w:sz w:val="22"/>
          <w:lang w:val="es-ES"/>
        </w:rPr>
        <w:t>el régimen sancionatorio en materia contractual como herramienta para la dirección general del negocio y la realización de las actividades propias de vigilancia y control. La tesis propuesta se reiterará a continuación.</w:t>
      </w:r>
    </w:p>
    <w:p w14:paraId="1B7E5225" w14:textId="51928CB6" w:rsidR="00084DC1" w:rsidRPr="00EA0F85" w:rsidRDefault="0046562C" w:rsidP="00564BAD">
      <w:pPr>
        <w:ind w:right="142" w:firstLine="709"/>
        <w:rPr>
          <w:rFonts w:ascii="Arial" w:hAnsi="Arial" w:cs="Arial"/>
          <w:iCs/>
          <w:color w:val="000000" w:themeColor="text1"/>
          <w:sz w:val="22"/>
          <w:lang w:val="es-ES"/>
        </w:rPr>
      </w:pPr>
      <w:r w:rsidRPr="00EA0F85">
        <w:rPr>
          <w:rFonts w:ascii="Arial" w:hAnsi="Arial" w:cs="Arial"/>
          <w:iCs/>
          <w:color w:val="000000" w:themeColor="text1"/>
          <w:sz w:val="22"/>
          <w:lang w:val="es-ES"/>
        </w:rPr>
        <w:t>En la etapa de ejecución de los contratos</w:t>
      </w:r>
      <w:r w:rsidR="00084DC1" w:rsidRPr="00EA0F85">
        <w:rPr>
          <w:rFonts w:ascii="Arial" w:hAnsi="Arial" w:cs="Arial"/>
          <w:iCs/>
          <w:color w:val="000000" w:themeColor="text1"/>
          <w:sz w:val="22"/>
          <w:lang w:val="es-ES"/>
        </w:rPr>
        <w:t xml:space="preserve">, las entidades estatales cuentan con </w:t>
      </w:r>
      <w:r w:rsidRPr="00EA0F85">
        <w:rPr>
          <w:rFonts w:ascii="Arial" w:hAnsi="Arial" w:cs="Arial"/>
          <w:iCs/>
          <w:color w:val="000000" w:themeColor="text1"/>
          <w:sz w:val="22"/>
          <w:lang w:val="es-ES"/>
        </w:rPr>
        <w:t xml:space="preserve">facultades para ejercer la dirección general del negocio y realizar las actividades propias de vigilancia y control. </w:t>
      </w:r>
      <w:r w:rsidR="006C28DF">
        <w:rPr>
          <w:rFonts w:ascii="Arial" w:hAnsi="Arial" w:cs="Arial"/>
          <w:iCs/>
          <w:color w:val="000000" w:themeColor="text1"/>
          <w:sz w:val="22"/>
          <w:lang w:val="es-ES"/>
        </w:rPr>
        <w:t>Algunas de ellas</w:t>
      </w:r>
      <w:r w:rsidR="006C28DF" w:rsidRPr="00EA0F85">
        <w:rPr>
          <w:rFonts w:ascii="Arial" w:hAnsi="Arial" w:cs="Arial"/>
          <w:iCs/>
          <w:color w:val="000000" w:themeColor="text1"/>
          <w:sz w:val="22"/>
          <w:lang w:val="es-ES"/>
        </w:rPr>
        <w:t xml:space="preserve"> </w:t>
      </w:r>
      <w:r w:rsidRPr="00EA0F85">
        <w:rPr>
          <w:rFonts w:ascii="Arial" w:hAnsi="Arial" w:cs="Arial"/>
          <w:iCs/>
          <w:color w:val="000000" w:themeColor="text1"/>
          <w:sz w:val="22"/>
          <w:lang w:val="es-ES"/>
        </w:rPr>
        <w:t xml:space="preserve">se pueden agrupar en </w:t>
      </w:r>
      <w:r w:rsidR="00084DC1" w:rsidRPr="00EA0F85">
        <w:rPr>
          <w:rFonts w:ascii="Arial" w:hAnsi="Arial" w:cs="Arial"/>
          <w:iCs/>
          <w:color w:val="000000" w:themeColor="text1"/>
          <w:sz w:val="22"/>
          <w:lang w:val="es-ES"/>
        </w:rPr>
        <w:t xml:space="preserve">dos grupos de figuras jurídicas: i) las cláusulas excepcionales y </w:t>
      </w:r>
      <w:proofErr w:type="spellStart"/>
      <w:r w:rsidR="00084DC1" w:rsidRPr="00EA0F85">
        <w:rPr>
          <w:rFonts w:ascii="Arial" w:hAnsi="Arial" w:cs="Arial"/>
          <w:iCs/>
          <w:color w:val="000000" w:themeColor="text1"/>
          <w:sz w:val="22"/>
          <w:lang w:val="es-ES"/>
        </w:rPr>
        <w:t>ii</w:t>
      </w:r>
      <w:proofErr w:type="spellEnd"/>
      <w:r w:rsidR="00084DC1" w:rsidRPr="00EA0F85">
        <w:rPr>
          <w:rFonts w:ascii="Arial" w:hAnsi="Arial" w:cs="Arial"/>
          <w:iCs/>
          <w:color w:val="000000" w:themeColor="text1"/>
          <w:sz w:val="22"/>
          <w:lang w:val="es-ES"/>
        </w:rPr>
        <w:t>) la declaratoria de incumplimiento</w:t>
      </w:r>
      <w:r w:rsidR="006C28DF">
        <w:rPr>
          <w:rFonts w:ascii="Arial" w:hAnsi="Arial" w:cs="Arial"/>
          <w:iCs/>
          <w:color w:val="000000" w:themeColor="text1"/>
          <w:sz w:val="22"/>
          <w:lang w:val="es-ES"/>
        </w:rPr>
        <w:t>,</w:t>
      </w:r>
      <w:r w:rsidR="00084DC1" w:rsidRPr="00EA0F85">
        <w:rPr>
          <w:rFonts w:ascii="Arial" w:hAnsi="Arial" w:cs="Arial"/>
          <w:iCs/>
          <w:color w:val="000000" w:themeColor="text1"/>
          <w:sz w:val="22"/>
          <w:lang w:val="es-ES"/>
        </w:rPr>
        <w:t xml:space="preserve"> bien para multar al contratista </w:t>
      </w:r>
      <w:r w:rsidRPr="00EA0F85">
        <w:rPr>
          <w:rFonts w:ascii="Arial" w:hAnsi="Arial" w:cs="Arial"/>
          <w:iCs/>
          <w:color w:val="000000" w:themeColor="text1"/>
          <w:sz w:val="22"/>
          <w:lang w:val="es-ES"/>
        </w:rPr>
        <w:t>o</w:t>
      </w:r>
      <w:r w:rsidR="00084DC1" w:rsidRPr="00EA0F85">
        <w:rPr>
          <w:rFonts w:ascii="Arial" w:hAnsi="Arial" w:cs="Arial"/>
          <w:iCs/>
          <w:color w:val="000000" w:themeColor="text1"/>
          <w:sz w:val="22"/>
          <w:lang w:val="es-ES"/>
        </w:rPr>
        <w:t xml:space="preserve"> para hacer efectiva la cláusula penal.</w:t>
      </w:r>
    </w:p>
    <w:p w14:paraId="683AAA1D" w14:textId="2C78F7AE" w:rsidR="00084DC1" w:rsidRPr="00EA0F85" w:rsidRDefault="0046562C" w:rsidP="0016260B">
      <w:pPr>
        <w:ind w:right="142" w:firstLine="708"/>
        <w:rPr>
          <w:rFonts w:ascii="Arial" w:hAnsi="Arial" w:cs="Arial"/>
          <w:iCs/>
          <w:color w:val="000000" w:themeColor="text1"/>
          <w:sz w:val="22"/>
          <w:lang w:val="es-ES"/>
        </w:rPr>
      </w:pPr>
      <w:r w:rsidRPr="00EA0F85">
        <w:rPr>
          <w:rFonts w:ascii="Arial" w:hAnsi="Arial" w:cs="Arial"/>
          <w:iCs/>
          <w:color w:val="000000" w:themeColor="text1"/>
          <w:sz w:val="22"/>
          <w:lang w:val="es-ES"/>
        </w:rPr>
        <w:t xml:space="preserve">Su consulta se refiere al segundo grupo de facultades y el análisis de este concepto se concentrará en ellas. Este tipo de facultades </w:t>
      </w:r>
      <w:r w:rsidR="00F00EB4" w:rsidRPr="00EA0F85">
        <w:rPr>
          <w:rFonts w:ascii="Arial" w:hAnsi="Arial" w:cs="Arial"/>
          <w:iCs/>
          <w:color w:val="000000" w:themeColor="text1"/>
          <w:sz w:val="22"/>
          <w:lang w:val="es-ES"/>
        </w:rPr>
        <w:t xml:space="preserve">tiene una configuración jurídica </w:t>
      </w:r>
      <w:r w:rsidR="00084DC1" w:rsidRPr="00EA0F85">
        <w:rPr>
          <w:rFonts w:ascii="Arial" w:hAnsi="Arial" w:cs="Arial"/>
          <w:iCs/>
          <w:color w:val="000000" w:themeColor="text1"/>
          <w:sz w:val="22"/>
          <w:lang w:val="es-ES"/>
        </w:rPr>
        <w:t xml:space="preserve">particular </w:t>
      </w:r>
      <w:r w:rsidR="00F00EB4" w:rsidRPr="00EA0F85">
        <w:rPr>
          <w:rFonts w:ascii="Arial" w:hAnsi="Arial" w:cs="Arial"/>
          <w:iCs/>
          <w:color w:val="000000" w:themeColor="text1"/>
          <w:sz w:val="22"/>
          <w:lang w:val="es-ES"/>
        </w:rPr>
        <w:t xml:space="preserve">que parte de una </w:t>
      </w:r>
      <w:r w:rsidR="00084DC1" w:rsidRPr="00EA0F85">
        <w:rPr>
          <w:rFonts w:ascii="Arial" w:hAnsi="Arial" w:cs="Arial"/>
          <w:iCs/>
          <w:color w:val="000000" w:themeColor="text1"/>
          <w:sz w:val="22"/>
          <w:lang w:val="es-ES"/>
        </w:rPr>
        <w:t xml:space="preserve">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lo cierto es que es indispensable que </w:t>
      </w:r>
      <w:r w:rsidR="006C28DF">
        <w:rPr>
          <w:rFonts w:ascii="Arial" w:hAnsi="Arial" w:cs="Arial"/>
          <w:iCs/>
          <w:color w:val="000000" w:themeColor="text1"/>
          <w:sz w:val="22"/>
          <w:lang w:val="es-ES"/>
        </w:rPr>
        <w:t>ambas posibilidades</w:t>
      </w:r>
      <w:r w:rsidR="00084DC1" w:rsidRPr="00EA0F85">
        <w:rPr>
          <w:rFonts w:ascii="Arial" w:hAnsi="Arial" w:cs="Arial"/>
          <w:iCs/>
          <w:color w:val="000000" w:themeColor="text1"/>
          <w:sz w:val="22"/>
          <w:lang w:val="es-ES"/>
        </w:rPr>
        <w:t xml:space="preserve"> se hayan pactado </w:t>
      </w:r>
      <w:r w:rsidR="006C28DF">
        <w:rPr>
          <w:rFonts w:ascii="Arial" w:hAnsi="Arial" w:cs="Arial"/>
          <w:iCs/>
          <w:color w:val="000000" w:themeColor="text1"/>
          <w:sz w:val="22"/>
          <w:lang w:val="es-ES"/>
        </w:rPr>
        <w:t xml:space="preserve">expresamente en </w:t>
      </w:r>
      <w:r w:rsidR="00084DC1" w:rsidRPr="00EA0F85">
        <w:rPr>
          <w:rFonts w:ascii="Arial" w:hAnsi="Arial" w:cs="Arial"/>
          <w:iCs/>
          <w:color w:val="000000" w:themeColor="text1"/>
          <w:sz w:val="22"/>
          <w:lang w:val="es-ES"/>
        </w:rPr>
        <w:t>el contrato</w:t>
      </w:r>
      <w:r w:rsidR="005A6792">
        <w:rPr>
          <w:rFonts w:ascii="Arial" w:hAnsi="Arial" w:cs="Arial"/>
          <w:iCs/>
          <w:color w:val="000000" w:themeColor="text1"/>
          <w:sz w:val="22"/>
          <w:lang w:val="es-ES"/>
        </w:rPr>
        <w:t>, para poder acudir a ellas</w:t>
      </w:r>
      <w:r w:rsidR="00084DC1" w:rsidRPr="00EA0F85">
        <w:rPr>
          <w:rFonts w:ascii="Arial" w:hAnsi="Arial" w:cs="Arial"/>
          <w:color w:val="000000" w:themeColor="text1"/>
          <w:sz w:val="22"/>
          <w:vertAlign w:val="superscript"/>
        </w:rPr>
        <w:footnoteReference w:id="6"/>
      </w:r>
      <w:r w:rsidR="005A6792">
        <w:rPr>
          <w:rFonts w:ascii="Arial" w:hAnsi="Arial" w:cs="Arial"/>
          <w:iCs/>
          <w:color w:val="000000" w:themeColor="text1"/>
          <w:sz w:val="22"/>
          <w:lang w:val="es-ES"/>
        </w:rPr>
        <w:t>.</w:t>
      </w:r>
      <w:r w:rsidR="00084DC1" w:rsidRPr="00EA0F85">
        <w:rPr>
          <w:rFonts w:ascii="Arial" w:hAnsi="Arial" w:cs="Arial"/>
          <w:iCs/>
          <w:color w:val="000000" w:themeColor="text1"/>
          <w:sz w:val="22"/>
          <w:lang w:val="es-ES"/>
        </w:rPr>
        <w:t xml:space="preserve"> En esa línea se pronunció la Sección Tercera del Consejo de Estado, en la Sentencia del </w:t>
      </w:r>
      <w:r w:rsidR="00084DC1" w:rsidRPr="00EA0F85">
        <w:rPr>
          <w:rFonts w:ascii="Arial" w:hAnsi="Arial" w:cs="Arial"/>
          <w:iCs/>
          <w:color w:val="000000" w:themeColor="text1"/>
          <w:sz w:val="22"/>
          <w:lang w:val="es-ES"/>
        </w:rPr>
        <w:lastRenderedPageBreak/>
        <w:t xml:space="preserve">15 de noviembre de 2011, expediente 20.916, con ponencia de Olga Mélida Valle de </w:t>
      </w:r>
      <w:proofErr w:type="spellStart"/>
      <w:r w:rsidR="00084DC1" w:rsidRPr="00EA0F85">
        <w:rPr>
          <w:rFonts w:ascii="Arial" w:hAnsi="Arial" w:cs="Arial"/>
          <w:iCs/>
          <w:color w:val="000000" w:themeColor="text1"/>
          <w:sz w:val="22"/>
          <w:lang w:val="es-ES"/>
        </w:rPr>
        <w:t>De</w:t>
      </w:r>
      <w:proofErr w:type="spellEnd"/>
      <w:r w:rsidR="00084DC1" w:rsidRPr="00EA0F85">
        <w:rPr>
          <w:rFonts w:ascii="Arial" w:hAnsi="Arial" w:cs="Arial"/>
          <w:iCs/>
          <w:color w:val="000000" w:themeColor="text1"/>
          <w:sz w:val="22"/>
          <w:lang w:val="es-ES"/>
        </w:rPr>
        <w:t xml:space="preserve"> La Hoz:</w:t>
      </w:r>
    </w:p>
    <w:p w14:paraId="2D9D1558" w14:textId="77777777" w:rsidR="00084DC1" w:rsidRPr="00EA0F85" w:rsidRDefault="00084DC1" w:rsidP="0016260B">
      <w:pPr>
        <w:pStyle w:val="Prrafodelista"/>
        <w:spacing w:before="0" w:after="0" w:line="240" w:lineRule="auto"/>
        <w:ind w:right="-425"/>
        <w:rPr>
          <w:rFonts w:ascii="Arial" w:hAnsi="Arial" w:cs="Arial"/>
          <w:iCs/>
          <w:color w:val="000000" w:themeColor="text1"/>
          <w:sz w:val="22"/>
        </w:rPr>
      </w:pPr>
    </w:p>
    <w:p w14:paraId="7E489FA4" w14:textId="77777777"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r w:rsidRPr="00EA0F85">
        <w:rPr>
          <w:rFonts w:ascii="Arial" w:hAnsi="Arial" w:cs="Arial"/>
          <w:iCs/>
          <w:color w:val="000000" w:themeColor="text1"/>
          <w:sz w:val="21"/>
          <w:szCs w:val="21"/>
        </w:rPr>
        <w:t xml:space="preserve">De otro lado, según se ha expuesto, otras sanciones contractuales, como 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 </w:t>
      </w:r>
    </w:p>
    <w:p w14:paraId="43214C24" w14:textId="77777777" w:rsidR="00084DC1" w:rsidRPr="00EA0F85" w:rsidRDefault="00084DC1" w:rsidP="0016260B">
      <w:pPr>
        <w:spacing w:before="0" w:after="0"/>
        <w:ind w:left="709" w:right="758"/>
        <w:rPr>
          <w:rFonts w:ascii="Arial" w:hAnsi="Arial" w:cs="Arial"/>
          <w:iCs/>
          <w:color w:val="000000" w:themeColor="text1"/>
          <w:sz w:val="21"/>
          <w:szCs w:val="21"/>
          <w:lang w:val="es-ES"/>
        </w:rPr>
      </w:pPr>
    </w:p>
    <w:p w14:paraId="6F72DAC4" w14:textId="37C2AA4C" w:rsidR="00084DC1" w:rsidRPr="00EA0F85" w:rsidRDefault="00084DC1" w:rsidP="00084DC1">
      <w:pPr>
        <w:ind w:right="142" w:firstLine="708"/>
        <w:rPr>
          <w:rFonts w:ascii="Arial" w:hAnsi="Arial" w:cs="Arial"/>
          <w:iCs/>
          <w:color w:val="000000" w:themeColor="text1"/>
          <w:sz w:val="22"/>
          <w:lang w:val="es-ES"/>
        </w:rPr>
      </w:pPr>
      <w:r w:rsidRPr="00EA0F85">
        <w:rPr>
          <w:rFonts w:ascii="Arial" w:hAnsi="Arial" w:cs="Arial"/>
          <w:iCs/>
          <w:color w:val="000000" w:themeColor="text1"/>
          <w:sz w:val="22"/>
          <w:lang w:val="es-ES"/>
        </w:rPr>
        <w:t>De igual forma, en la Sentencia del 23 de junio de 2010, expediente 16.367</w:t>
      </w:r>
      <w:r w:rsidR="005A6792">
        <w:rPr>
          <w:rFonts w:ascii="Arial" w:hAnsi="Arial" w:cs="Arial"/>
          <w:iCs/>
          <w:color w:val="000000" w:themeColor="text1"/>
          <w:sz w:val="22"/>
          <w:lang w:val="es-ES"/>
        </w:rPr>
        <w:t>, con</w:t>
      </w:r>
      <w:r w:rsidRPr="00EA0F85">
        <w:rPr>
          <w:rFonts w:ascii="Arial" w:hAnsi="Arial" w:cs="Arial"/>
          <w:iCs/>
          <w:color w:val="000000" w:themeColor="text1"/>
          <w:sz w:val="22"/>
          <w:lang w:val="es-ES"/>
        </w:rPr>
        <w:t xml:space="preserve"> ponencia de Enrique Gil Botero, la Sección Tercera del Consejo de Estado indicó que «el núcleo mínimo de este derecho exige que una norma –legal o contractual– contemple la falta y la sanción. Si ni siquiera lo hace el contrato, la administración no puede imponer sanciones, so pena de violar el debido proceso». </w:t>
      </w:r>
    </w:p>
    <w:p w14:paraId="243F7B4E" w14:textId="77777777" w:rsidR="00084DC1" w:rsidRPr="00EA0F85" w:rsidRDefault="00084DC1" w:rsidP="00084DC1">
      <w:pPr>
        <w:ind w:right="142" w:firstLine="567"/>
        <w:rPr>
          <w:rFonts w:ascii="Arial" w:hAnsi="Arial" w:cs="Arial"/>
          <w:iCs/>
          <w:color w:val="000000" w:themeColor="text1"/>
          <w:sz w:val="22"/>
          <w:lang w:val="es-ES"/>
        </w:rPr>
      </w:pPr>
      <w:r w:rsidRPr="00EA0F85">
        <w:rPr>
          <w:rFonts w:ascii="Arial" w:hAnsi="Arial" w:cs="Arial"/>
          <w:iCs/>
          <w:color w:val="000000" w:themeColor="text1"/>
          <w:sz w:val="22"/>
          <w:lang w:val="es-ES"/>
        </w:rPr>
        <w:t xml:space="preserve">Así mismo, frente al tema </w:t>
      </w:r>
      <w:r w:rsidRPr="00EA0F85">
        <w:rPr>
          <w:rFonts w:ascii="Arial" w:hAnsi="Arial" w:cs="Arial"/>
          <w:i/>
          <w:color w:val="000000" w:themeColor="text1"/>
          <w:sz w:val="22"/>
          <w:lang w:val="es-ES"/>
        </w:rPr>
        <w:t xml:space="preserve">sub examine </w:t>
      </w:r>
      <w:r w:rsidRPr="00EA0F85">
        <w:rPr>
          <w:rFonts w:ascii="Arial" w:hAnsi="Arial" w:cs="Arial"/>
          <w:iCs/>
          <w:color w:val="000000" w:themeColor="text1"/>
          <w:sz w:val="22"/>
          <w:lang w:val="es-ES"/>
        </w:rPr>
        <w:t>el máximo Tribunal de lo Contencioso Administrativo, en sentencia del 13 de noviembre de 2008</w:t>
      </w:r>
      <w:r w:rsidRPr="00EA0F85">
        <w:rPr>
          <w:rStyle w:val="Refdenotaalpie"/>
          <w:rFonts w:ascii="Arial" w:hAnsi="Arial" w:cs="Arial"/>
          <w:iCs/>
          <w:color w:val="000000" w:themeColor="text1"/>
          <w:sz w:val="22"/>
        </w:rPr>
        <w:footnoteReference w:id="7"/>
      </w:r>
      <w:r w:rsidRPr="00EA0F85">
        <w:rPr>
          <w:rFonts w:ascii="Arial" w:hAnsi="Arial" w:cs="Arial"/>
          <w:iCs/>
          <w:color w:val="000000" w:themeColor="text1"/>
          <w:sz w:val="22"/>
          <w:lang w:val="es-ES"/>
        </w:rPr>
        <w:t xml:space="preserve">, indicó </w:t>
      </w:r>
      <w:proofErr w:type="gramStart"/>
      <w:r w:rsidRPr="00EA0F85">
        <w:rPr>
          <w:rFonts w:ascii="Arial" w:hAnsi="Arial" w:cs="Arial"/>
          <w:i/>
          <w:color w:val="000000" w:themeColor="text1"/>
          <w:sz w:val="22"/>
          <w:lang w:val="es-ES"/>
        </w:rPr>
        <w:t>in extenso</w:t>
      </w:r>
      <w:proofErr w:type="gramEnd"/>
      <w:r w:rsidRPr="00EA0F85">
        <w:rPr>
          <w:rFonts w:ascii="Arial" w:hAnsi="Arial" w:cs="Arial"/>
          <w:i/>
          <w:color w:val="000000" w:themeColor="text1"/>
          <w:sz w:val="22"/>
          <w:lang w:val="es-ES"/>
        </w:rPr>
        <w:t xml:space="preserve"> </w:t>
      </w:r>
      <w:r w:rsidRPr="00EA0F85">
        <w:rPr>
          <w:rFonts w:ascii="Arial" w:hAnsi="Arial" w:cs="Arial"/>
          <w:iCs/>
          <w:color w:val="000000" w:themeColor="text1"/>
          <w:sz w:val="22"/>
          <w:lang w:val="es-ES"/>
        </w:rPr>
        <w:t>lo siguiente:</w:t>
      </w:r>
    </w:p>
    <w:p w14:paraId="326A1A9B" w14:textId="77777777" w:rsidR="00084DC1" w:rsidRPr="00EA0F85" w:rsidRDefault="00084DC1" w:rsidP="0016260B">
      <w:pPr>
        <w:pStyle w:val="Prrafodelista"/>
        <w:spacing w:before="0" w:after="0" w:line="240" w:lineRule="auto"/>
        <w:ind w:right="-425"/>
        <w:rPr>
          <w:rFonts w:ascii="Arial" w:hAnsi="Arial" w:cs="Arial"/>
          <w:iCs/>
          <w:color w:val="000000" w:themeColor="text1"/>
          <w:sz w:val="22"/>
        </w:rPr>
      </w:pPr>
    </w:p>
    <w:p w14:paraId="2B8B79C9" w14:textId="77777777"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r w:rsidRPr="00EA0F85">
        <w:rPr>
          <w:rFonts w:ascii="Arial" w:hAnsi="Arial" w:cs="Arial"/>
          <w:iCs/>
          <w:color w:val="000000" w:themeColor="text1"/>
          <w:sz w:val="21"/>
          <w:szCs w:val="21"/>
        </w:rPr>
        <w:t>La otra, la débil, donde se enmarcan la mayoría de las sanciones contractuales, hace relación a que lo determinante no es que una Ley sea quien contemple las faltas y las sanciones, sino que sea una norma –por ejemplo, un reglamento- quien en forma previa y clara las estipule. A este grupo pertenecen buena parte de las sanciones administrativas, como las educativas, las cuales no están consagradas en una ley expedida por el legislador o por el ejecutivo al amparo de facultades extraordinarias, sino en simples reglamentos administrativos internos.</w:t>
      </w:r>
    </w:p>
    <w:p w14:paraId="20CBE6D1" w14:textId="77777777"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r w:rsidRPr="00EA0F85">
        <w:rPr>
          <w:rFonts w:ascii="Arial" w:hAnsi="Arial" w:cs="Arial"/>
          <w:iCs/>
          <w:color w:val="000000" w:themeColor="text1"/>
          <w:sz w:val="21"/>
          <w:szCs w:val="21"/>
        </w:rPr>
        <w:t xml:space="preserve"> </w:t>
      </w:r>
    </w:p>
    <w:p w14:paraId="4962AEC0" w14:textId="77777777"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r w:rsidRPr="00EA0F85">
        <w:rPr>
          <w:rFonts w:ascii="Arial" w:hAnsi="Arial" w:cs="Arial"/>
          <w:iCs/>
          <w:color w:val="000000" w:themeColor="text1"/>
          <w:sz w:val="21"/>
          <w:szCs w:val="21"/>
        </w:rPr>
        <w:t>Algunas de las sanciones contractuales podrían enmarcarse en esta clasificación, pues es claro que la ley –bien la que expide el Congreso o bien los decretos con fuerza de ley- no las contempla de manera directa –salvo excepciones-. Tal es el caso de las multas y de la cláusula penal pecuniaria, que están autorizadas por la ley, pero no previstas en ella, sino en cada contrato, en caso de que las partes las pacten.</w:t>
      </w:r>
    </w:p>
    <w:p w14:paraId="69D6D8E2" w14:textId="77777777"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p>
    <w:p w14:paraId="724B4DD6" w14:textId="7ED5F961"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r w:rsidRPr="00EA0F85">
        <w:rPr>
          <w:rFonts w:ascii="Arial" w:hAnsi="Arial" w:cs="Arial"/>
          <w:iCs/>
          <w:color w:val="000000" w:themeColor="text1"/>
          <w:sz w:val="21"/>
          <w:szCs w:val="21"/>
        </w:rPr>
        <w:t xml:space="preserve">Obsérvese cómo el </w:t>
      </w:r>
      <w:r w:rsidR="005A6792">
        <w:rPr>
          <w:rFonts w:ascii="Arial" w:hAnsi="Arial" w:cs="Arial"/>
          <w:iCs/>
          <w:color w:val="000000" w:themeColor="text1"/>
          <w:sz w:val="21"/>
          <w:szCs w:val="21"/>
        </w:rPr>
        <w:t>«</w:t>
      </w:r>
      <w:r w:rsidRPr="00EA0F85">
        <w:rPr>
          <w:rFonts w:ascii="Arial" w:hAnsi="Arial" w:cs="Arial"/>
          <w:iCs/>
          <w:color w:val="000000" w:themeColor="text1"/>
          <w:sz w:val="21"/>
          <w:szCs w:val="21"/>
        </w:rPr>
        <w:t>principio de legalidad</w:t>
      </w:r>
      <w:r w:rsidR="005A6792">
        <w:rPr>
          <w:rFonts w:ascii="Arial" w:hAnsi="Arial" w:cs="Arial"/>
          <w:iCs/>
          <w:color w:val="000000" w:themeColor="text1"/>
          <w:sz w:val="21"/>
          <w:szCs w:val="21"/>
        </w:rPr>
        <w:t>»</w:t>
      </w:r>
      <w:r w:rsidRPr="00EA0F85">
        <w:rPr>
          <w:rFonts w:ascii="Arial" w:hAnsi="Arial" w:cs="Arial"/>
          <w:iCs/>
          <w:color w:val="000000" w:themeColor="text1"/>
          <w:sz w:val="21"/>
          <w:szCs w:val="21"/>
        </w:rPr>
        <w:t xml:space="preserve"> –es decir, la predeterminación de las conductas en la Ley-, en materia contractual se reduce a la simple </w:t>
      </w:r>
      <w:r w:rsidR="005A6792">
        <w:rPr>
          <w:rFonts w:ascii="Arial" w:hAnsi="Arial" w:cs="Arial"/>
          <w:iCs/>
          <w:color w:val="000000" w:themeColor="text1"/>
          <w:sz w:val="21"/>
          <w:szCs w:val="21"/>
        </w:rPr>
        <w:t>«</w:t>
      </w:r>
      <w:r w:rsidRPr="00EA0F85">
        <w:rPr>
          <w:rFonts w:ascii="Arial" w:hAnsi="Arial" w:cs="Arial"/>
          <w:iCs/>
          <w:color w:val="000000" w:themeColor="text1"/>
          <w:sz w:val="21"/>
          <w:szCs w:val="21"/>
        </w:rPr>
        <w:t>tipicidad</w:t>
      </w:r>
      <w:r w:rsidR="005A6792">
        <w:rPr>
          <w:rFonts w:ascii="Arial" w:hAnsi="Arial" w:cs="Arial"/>
          <w:iCs/>
          <w:color w:val="000000" w:themeColor="text1"/>
          <w:sz w:val="21"/>
          <w:szCs w:val="21"/>
        </w:rPr>
        <w:t>»</w:t>
      </w:r>
      <w:r w:rsidRPr="00EA0F85">
        <w:rPr>
          <w:rFonts w:ascii="Arial" w:hAnsi="Arial" w:cs="Arial"/>
          <w:iCs/>
          <w:color w:val="000000" w:themeColor="text1"/>
          <w:sz w:val="21"/>
          <w:szCs w:val="21"/>
        </w:rPr>
        <w:t xml:space="preserve"> de la conducta –es decir, a la descripción y especificación normativa del comportamiento prohibido-, pues lo determinante no es que la Ley contemple la falta y la sanción, sino que estén previamente definidas en cualquier norma, sin que importe que sea o no una ley quien lo haga.</w:t>
      </w:r>
    </w:p>
    <w:p w14:paraId="4DF5EE9F" w14:textId="77777777"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p>
    <w:p w14:paraId="6ED0288B" w14:textId="77777777" w:rsidR="00084DC1" w:rsidRPr="00EA0F85" w:rsidRDefault="00084DC1" w:rsidP="0016260B">
      <w:pPr>
        <w:pStyle w:val="Prrafodelista"/>
        <w:spacing w:before="0" w:after="0" w:line="240" w:lineRule="auto"/>
        <w:ind w:left="709" w:right="758"/>
        <w:rPr>
          <w:rFonts w:ascii="Arial" w:hAnsi="Arial" w:cs="Arial"/>
          <w:iCs/>
          <w:color w:val="000000" w:themeColor="text1"/>
          <w:sz w:val="21"/>
          <w:szCs w:val="21"/>
        </w:rPr>
      </w:pPr>
      <w:r w:rsidRPr="00EA0F85">
        <w:rPr>
          <w:rFonts w:ascii="Arial" w:hAnsi="Arial" w:cs="Arial"/>
          <w:iCs/>
          <w:color w:val="000000" w:themeColor="text1"/>
          <w:sz w:val="21"/>
          <w:szCs w:val="21"/>
        </w:rPr>
        <w:t>Por tanto, en materia contractual opera una especie de combinación entre el principio de legalidad y el de la autonomía de la voluntad: el primero exige que las conductas reprochables entre las partes del contrato se contemplen previamente, con su correspondiente sanción, y el segundo permite que sean las partes –no la ley; pero autorizadas por ella- quienes definan esas conductas y la sanción. Se trata, no cabe duda, de un supuesto de ius puniendi sui generis al que regula el art. 29 CP., en lo que respecta, por lo menos, a la legalidad.</w:t>
      </w:r>
    </w:p>
    <w:p w14:paraId="42B05415" w14:textId="77777777" w:rsidR="00084DC1" w:rsidRPr="00EA0F85" w:rsidRDefault="00084DC1" w:rsidP="0016260B">
      <w:pPr>
        <w:pStyle w:val="Prrafodelista"/>
        <w:spacing w:before="0" w:after="0" w:line="240" w:lineRule="auto"/>
        <w:ind w:right="-425"/>
        <w:rPr>
          <w:rFonts w:ascii="Arial" w:hAnsi="Arial" w:cs="Arial"/>
          <w:iCs/>
          <w:color w:val="000000" w:themeColor="text1"/>
          <w:sz w:val="22"/>
        </w:rPr>
      </w:pPr>
    </w:p>
    <w:p w14:paraId="01967F93" w14:textId="77777777" w:rsidR="00084DC1" w:rsidRPr="00EA0F85" w:rsidRDefault="00084DC1" w:rsidP="00084DC1">
      <w:pPr>
        <w:ind w:right="142" w:firstLine="708"/>
        <w:rPr>
          <w:rFonts w:ascii="Arial" w:hAnsi="Arial" w:cs="Arial"/>
          <w:iCs/>
          <w:color w:val="000000" w:themeColor="text1"/>
          <w:sz w:val="22"/>
          <w:lang w:val="es-ES"/>
        </w:rPr>
      </w:pPr>
      <w:r w:rsidRPr="00EA0F85">
        <w:rPr>
          <w:rFonts w:ascii="Arial" w:hAnsi="Arial" w:cs="Arial"/>
          <w:iCs/>
          <w:color w:val="000000" w:themeColor="text1"/>
          <w:sz w:val="22"/>
          <w:lang w:val="es-ES"/>
        </w:rPr>
        <w:t>De otro lado, la Corte Constitucional</w:t>
      </w:r>
      <w:r w:rsidRPr="00EA0F85">
        <w:rPr>
          <w:rStyle w:val="Refdenotaalpie"/>
          <w:rFonts w:ascii="Arial" w:hAnsi="Arial" w:cs="Arial"/>
          <w:iCs/>
          <w:color w:val="000000" w:themeColor="text1"/>
          <w:sz w:val="22"/>
        </w:rPr>
        <w:footnoteReference w:id="8"/>
      </w:r>
      <w:r w:rsidRPr="00EA0F85">
        <w:rPr>
          <w:rFonts w:ascii="Arial" w:hAnsi="Arial" w:cs="Arial"/>
          <w:iCs/>
          <w:color w:val="000000" w:themeColor="text1"/>
          <w:sz w:val="22"/>
          <w:lang w:val="es-ES"/>
        </w:rPr>
        <w:t xml:space="preserve"> precisó que la tipicidad hacía referencia a «la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 </w:t>
      </w:r>
    </w:p>
    <w:p w14:paraId="05A8EAFF" w14:textId="77777777" w:rsidR="00084DC1" w:rsidRPr="00EA0F85" w:rsidRDefault="00084DC1" w:rsidP="00084DC1">
      <w:pPr>
        <w:ind w:right="142" w:firstLine="709"/>
        <w:rPr>
          <w:rFonts w:ascii="Arial" w:hAnsi="Arial" w:cs="Arial"/>
          <w:iCs/>
          <w:color w:val="000000" w:themeColor="text1"/>
          <w:sz w:val="22"/>
          <w:lang w:val="es-ES"/>
        </w:rPr>
      </w:pPr>
      <w:r w:rsidRPr="00EA0F85">
        <w:rPr>
          <w:rFonts w:ascii="Arial" w:hAnsi="Arial" w:cs="Arial"/>
          <w:iCs/>
          <w:color w:val="000000" w:themeColor="text1"/>
          <w:sz w:val="22"/>
          <w:lang w:val="es-ES"/>
        </w:rPr>
        <w:t xml:space="preserve">Por su parte, el artículo 17 de la Ley 1150 de 2007 es claro en precisar que la declaración de incumplimiento tiene como propósito «hacer efectiva la cláusula penal pecuniaria incluida en el contrato». </w:t>
      </w:r>
    </w:p>
    <w:p w14:paraId="3C4BDBC8" w14:textId="4463A0BB" w:rsidR="00084DC1" w:rsidRPr="00EA0F85" w:rsidRDefault="00084DC1" w:rsidP="00084DC1">
      <w:pPr>
        <w:ind w:right="142" w:firstLine="709"/>
        <w:rPr>
          <w:rFonts w:ascii="Arial" w:hAnsi="Arial" w:cs="Arial"/>
          <w:iCs/>
          <w:color w:val="000000" w:themeColor="text1"/>
          <w:sz w:val="22"/>
          <w:lang w:val="es-ES"/>
        </w:rPr>
      </w:pPr>
      <w:r w:rsidRPr="00EA0F85">
        <w:rPr>
          <w:rFonts w:ascii="Arial" w:hAnsi="Arial" w:cs="Arial"/>
          <w:iCs/>
          <w:color w:val="000000" w:themeColor="text1"/>
          <w:sz w:val="22"/>
          <w:lang w:val="es-ES"/>
        </w:rPr>
        <w:t>En este punto, conviene resaltar lo dicho por la Sección Tercera del Consejo de Estado</w:t>
      </w:r>
      <w:r w:rsidRPr="00EA0F85">
        <w:rPr>
          <w:rFonts w:ascii="Arial" w:hAnsi="Arial" w:cs="Arial"/>
          <w:color w:val="000000" w:themeColor="text1"/>
          <w:sz w:val="22"/>
          <w:vertAlign w:val="superscript"/>
        </w:rPr>
        <w:footnoteReference w:id="9"/>
      </w:r>
      <w:r w:rsidRPr="00EA0F85">
        <w:rPr>
          <w:rFonts w:ascii="Arial" w:hAnsi="Arial" w:cs="Arial"/>
          <w:iCs/>
          <w:color w:val="000000" w:themeColor="text1"/>
          <w:sz w:val="22"/>
          <w:lang w:val="es-ES"/>
        </w:rPr>
        <w:t>, en relación con las diferencias entre la multa y la cláusula penal, esto es: «[a]</w:t>
      </w:r>
      <w:proofErr w:type="spellStart"/>
      <w:r w:rsidRPr="00EA0F85">
        <w:rPr>
          <w:rFonts w:ascii="Arial" w:hAnsi="Arial" w:cs="Arial"/>
          <w:iCs/>
          <w:color w:val="000000" w:themeColor="text1"/>
          <w:sz w:val="22"/>
          <w:lang w:val="es-ES"/>
        </w:rPr>
        <w:t>unque</w:t>
      </w:r>
      <w:proofErr w:type="spellEnd"/>
      <w:r w:rsidRPr="00EA0F85">
        <w:rPr>
          <w:rFonts w:ascii="Arial" w:hAnsi="Arial" w:cs="Arial"/>
          <w:iCs/>
          <w:color w:val="000000" w:themeColor="text1"/>
          <w:sz w:val="22"/>
          <w:lang w:val="es-ES"/>
        </w:rPr>
        <w:t xml:space="preserve"> las multas y la cláusula penal pecuniaria tienen una finalidad común </w:t>
      </w:r>
      <w:r w:rsidR="00A11029">
        <w:rPr>
          <w:rFonts w:ascii="Arial" w:hAnsi="Arial" w:cs="Arial"/>
          <w:iCs/>
          <w:color w:val="000000" w:themeColor="text1"/>
          <w:sz w:val="22"/>
          <w:lang w:val="es-ES"/>
        </w:rPr>
        <w:t>–</w:t>
      </w:r>
      <w:r w:rsidRPr="00EA0F85">
        <w:rPr>
          <w:rFonts w:ascii="Arial" w:hAnsi="Arial" w:cs="Arial"/>
          <w:iCs/>
          <w:color w:val="000000" w:themeColor="text1"/>
          <w:sz w:val="22"/>
          <w:lang w:val="es-ES"/>
        </w:rPr>
        <w:t>en lo sustancial</w:t>
      </w:r>
      <w:r w:rsidR="00A11029">
        <w:rPr>
          <w:rFonts w:ascii="Arial" w:hAnsi="Arial" w:cs="Arial"/>
          <w:iCs/>
          <w:color w:val="000000" w:themeColor="text1"/>
          <w:sz w:val="22"/>
          <w:lang w:val="es-ES"/>
        </w:rPr>
        <w:t>–</w:t>
      </w:r>
      <w:r w:rsidRPr="00EA0F85">
        <w:rPr>
          <w:rFonts w:ascii="Arial" w:hAnsi="Arial" w:cs="Arial"/>
          <w:iCs/>
          <w:color w:val="000000" w:themeColor="text1"/>
          <w:sz w:val="22"/>
          <w:lang w:val="es-ES"/>
        </w:rPr>
        <w:t>,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p>
    <w:p w14:paraId="35C3E5ED" w14:textId="614239D7" w:rsidR="008C0C74" w:rsidRDefault="008C0C74" w:rsidP="005743F2">
      <w:pPr>
        <w:ind w:right="142" w:firstLine="709"/>
        <w:rPr>
          <w:rFonts w:ascii="Arial" w:hAnsi="Arial" w:cs="Arial"/>
          <w:iCs/>
          <w:color w:val="000000" w:themeColor="text1"/>
          <w:sz w:val="22"/>
          <w:lang w:val="es-ES"/>
        </w:rPr>
      </w:pPr>
      <w:r w:rsidRPr="00EA0F85">
        <w:rPr>
          <w:rFonts w:ascii="Arial" w:hAnsi="Arial" w:cs="Arial"/>
          <w:iCs/>
          <w:color w:val="000000" w:themeColor="text1"/>
          <w:sz w:val="22"/>
          <w:lang w:val="es-ES"/>
        </w:rPr>
        <w:t>Hechas las anteriores consideraciones generales sobre la naturaleza y función de la declara</w:t>
      </w:r>
      <w:r w:rsidR="005A6792">
        <w:rPr>
          <w:rFonts w:ascii="Arial" w:hAnsi="Arial" w:cs="Arial"/>
          <w:iCs/>
          <w:color w:val="000000" w:themeColor="text1"/>
          <w:sz w:val="22"/>
          <w:lang w:val="es-ES"/>
        </w:rPr>
        <w:t>ción</w:t>
      </w:r>
      <w:r w:rsidRPr="00EA0F85">
        <w:rPr>
          <w:rFonts w:ascii="Arial" w:hAnsi="Arial" w:cs="Arial"/>
          <w:iCs/>
          <w:color w:val="000000" w:themeColor="text1"/>
          <w:sz w:val="22"/>
          <w:lang w:val="es-ES"/>
        </w:rPr>
        <w:t xml:space="preserve"> de incumplimiento y sus potenciales consecuencias, es necesario analizar el procedimiento necesario para </w:t>
      </w:r>
      <w:r w:rsidR="005A6792">
        <w:rPr>
          <w:rFonts w:ascii="Arial" w:hAnsi="Arial" w:cs="Arial"/>
          <w:iCs/>
          <w:color w:val="000000" w:themeColor="text1"/>
          <w:sz w:val="22"/>
          <w:lang w:val="es-ES"/>
        </w:rPr>
        <w:t>declararlo</w:t>
      </w:r>
      <w:r w:rsidRPr="00EA0F85">
        <w:rPr>
          <w:rFonts w:ascii="Arial" w:hAnsi="Arial" w:cs="Arial"/>
          <w:iCs/>
          <w:color w:val="000000" w:themeColor="text1"/>
          <w:sz w:val="22"/>
          <w:lang w:val="es-ES"/>
        </w:rPr>
        <w:t xml:space="preserve">. </w:t>
      </w:r>
    </w:p>
    <w:p w14:paraId="029406F8" w14:textId="77777777" w:rsidR="005A6792" w:rsidRPr="00EA0F85" w:rsidRDefault="005A6792" w:rsidP="00B776DD">
      <w:pPr>
        <w:spacing w:before="0" w:after="0"/>
        <w:ind w:right="142" w:firstLine="709"/>
        <w:rPr>
          <w:rFonts w:ascii="Arial" w:hAnsi="Arial" w:cs="Arial"/>
          <w:iCs/>
          <w:color w:val="000000" w:themeColor="text1"/>
          <w:sz w:val="22"/>
          <w:lang w:val="es-ES"/>
        </w:rPr>
      </w:pPr>
    </w:p>
    <w:p w14:paraId="2D0DA232" w14:textId="739C0954" w:rsidR="005A6792" w:rsidRPr="00B776DD" w:rsidRDefault="005A6792" w:rsidP="00B776DD">
      <w:pPr>
        <w:pStyle w:val="Prrafodelista"/>
        <w:numPr>
          <w:ilvl w:val="1"/>
          <w:numId w:val="8"/>
        </w:numPr>
        <w:tabs>
          <w:tab w:val="left" w:pos="426"/>
        </w:tabs>
        <w:spacing w:before="0" w:after="0"/>
        <w:ind w:left="0" w:firstLine="0"/>
        <w:rPr>
          <w:rFonts w:ascii="Arial" w:eastAsia="Calibri" w:hAnsi="Arial" w:cs="Arial"/>
          <w:b/>
          <w:color w:val="000000" w:themeColor="text1"/>
          <w:sz w:val="22"/>
        </w:rPr>
      </w:pPr>
      <w:r>
        <w:rPr>
          <w:rFonts w:ascii="Arial" w:eastAsia="Calibri" w:hAnsi="Arial" w:cs="Arial"/>
          <w:b/>
          <w:color w:val="000000" w:themeColor="text1"/>
          <w:sz w:val="22"/>
        </w:rPr>
        <w:t>P</w:t>
      </w:r>
      <w:r w:rsidR="008C0C74" w:rsidRPr="00EA0F85">
        <w:rPr>
          <w:rFonts w:ascii="Arial" w:eastAsia="Calibri" w:hAnsi="Arial" w:cs="Arial"/>
          <w:b/>
          <w:color w:val="000000" w:themeColor="text1"/>
          <w:sz w:val="22"/>
        </w:rPr>
        <w:t>rocedimiento para la imposición de multas, sanciones y declaratorias de incumplimiento</w:t>
      </w:r>
    </w:p>
    <w:p w14:paraId="2D355649" w14:textId="77777777" w:rsidR="00B776DD" w:rsidRDefault="00B776DD" w:rsidP="00B776DD">
      <w:pPr>
        <w:spacing w:before="0" w:after="0"/>
        <w:ind w:right="142"/>
        <w:rPr>
          <w:rFonts w:ascii="Arial" w:hAnsi="Arial" w:cs="Arial"/>
          <w:iCs/>
          <w:color w:val="000000" w:themeColor="text1"/>
          <w:sz w:val="22"/>
          <w:lang w:val="es-ES"/>
        </w:rPr>
      </w:pPr>
    </w:p>
    <w:p w14:paraId="676DFBA9" w14:textId="32C791E9" w:rsidR="008C0C74" w:rsidRPr="0016260B" w:rsidRDefault="008C0C74" w:rsidP="008C0C74">
      <w:pPr>
        <w:ind w:right="142"/>
        <w:rPr>
          <w:rFonts w:ascii="Arial" w:hAnsi="Arial" w:cs="Arial"/>
          <w:iCs/>
          <w:color w:val="000000" w:themeColor="text1"/>
          <w:sz w:val="22"/>
          <w:lang w:val="es-ES"/>
        </w:rPr>
      </w:pPr>
      <w:r w:rsidRPr="00257510">
        <w:rPr>
          <w:rFonts w:ascii="Arial" w:hAnsi="Arial" w:cs="Arial"/>
          <w:iCs/>
          <w:color w:val="000000" w:themeColor="text1"/>
          <w:sz w:val="22"/>
          <w:lang w:val="es-ES"/>
        </w:rPr>
        <w:t xml:space="preserve">El </w:t>
      </w:r>
      <w:r w:rsidRPr="0016260B">
        <w:rPr>
          <w:rFonts w:ascii="Arial" w:hAnsi="Arial" w:cs="Arial"/>
          <w:iCs/>
          <w:color w:val="000000" w:themeColor="text1"/>
          <w:sz w:val="22"/>
          <w:lang w:val="es-ES"/>
        </w:rPr>
        <w:t xml:space="preserve">artículo 86 de la Ley 1474 de 2011 establece unas reglas </w:t>
      </w:r>
      <w:r w:rsidR="005F6003">
        <w:rPr>
          <w:rFonts w:ascii="Arial" w:hAnsi="Arial" w:cs="Arial"/>
          <w:iCs/>
          <w:color w:val="000000" w:themeColor="text1"/>
          <w:sz w:val="22"/>
          <w:lang w:val="es-ES"/>
        </w:rPr>
        <w:t xml:space="preserve">claras </w:t>
      </w:r>
      <w:r w:rsidRPr="0016260B">
        <w:rPr>
          <w:rFonts w:ascii="Arial" w:hAnsi="Arial" w:cs="Arial"/>
          <w:iCs/>
          <w:color w:val="000000" w:themeColor="text1"/>
          <w:sz w:val="22"/>
          <w:lang w:val="es-ES"/>
        </w:rPr>
        <w:t>de procedimiento</w:t>
      </w:r>
      <w:r w:rsidR="009F0C45" w:rsidRPr="0016260B">
        <w:rPr>
          <w:rFonts w:ascii="Arial" w:hAnsi="Arial" w:cs="Arial"/>
          <w:iCs/>
          <w:color w:val="000000" w:themeColor="text1"/>
          <w:sz w:val="22"/>
          <w:lang w:val="es-ES"/>
        </w:rPr>
        <w:t xml:space="preserve"> en las cuales el legislador compatibilizó de manera concreta los derechos y garantías derivadas del debido proceso, que protegen a los contratistas del Estado, con los principios de la función administrativa. </w:t>
      </w:r>
    </w:p>
    <w:p w14:paraId="76C3823C" w14:textId="77777777" w:rsidR="009F0C45" w:rsidRPr="0016260B" w:rsidRDefault="009F0C45" w:rsidP="009F0C45">
      <w:pPr>
        <w:ind w:right="142" w:firstLine="709"/>
        <w:rPr>
          <w:rFonts w:ascii="Arial" w:hAnsi="Arial" w:cs="Arial"/>
          <w:iCs/>
          <w:color w:val="000000" w:themeColor="text1"/>
          <w:sz w:val="22"/>
          <w:lang w:val="es-ES"/>
        </w:rPr>
      </w:pPr>
      <w:r w:rsidRPr="0016260B">
        <w:rPr>
          <w:rFonts w:ascii="Arial" w:hAnsi="Arial" w:cs="Arial"/>
          <w:iCs/>
          <w:color w:val="000000" w:themeColor="text1"/>
          <w:sz w:val="22"/>
          <w:lang w:val="es-ES"/>
        </w:rPr>
        <w:lastRenderedPageBreak/>
        <w:t xml:space="preserve">Esta norma de procedimiento preceptúa que las «entidades sometidas al Estatuto General de Contratación de la Administración Pública podrán declarar el incumplimiento […]. Para tal efecto observarán el siguiente procedimiento». </w:t>
      </w:r>
    </w:p>
    <w:p w14:paraId="12EC4E5C" w14:textId="70FADF07" w:rsidR="009F0C45" w:rsidRPr="0016260B" w:rsidRDefault="009F0C45" w:rsidP="00FA20BE">
      <w:pPr>
        <w:ind w:right="142" w:firstLine="709"/>
        <w:rPr>
          <w:rFonts w:ascii="Arial" w:hAnsi="Arial" w:cs="Arial"/>
          <w:iCs/>
          <w:color w:val="000000" w:themeColor="text1"/>
          <w:sz w:val="22"/>
          <w:lang w:val="es-ES"/>
        </w:rPr>
      </w:pPr>
      <w:r w:rsidRPr="0016260B">
        <w:rPr>
          <w:rFonts w:ascii="Arial" w:hAnsi="Arial" w:cs="Arial"/>
          <w:iCs/>
          <w:color w:val="000000" w:themeColor="text1"/>
          <w:sz w:val="22"/>
          <w:lang w:val="es-ES"/>
        </w:rPr>
        <w:t xml:space="preserve">Sobre esta disposición se debe </w:t>
      </w:r>
      <w:r w:rsidR="00E110FC">
        <w:rPr>
          <w:rFonts w:ascii="Arial" w:hAnsi="Arial" w:cs="Arial"/>
          <w:iCs/>
          <w:color w:val="000000" w:themeColor="text1"/>
          <w:sz w:val="22"/>
          <w:lang w:val="es-ES"/>
        </w:rPr>
        <w:t>destacar</w:t>
      </w:r>
      <w:r w:rsidRPr="0016260B">
        <w:rPr>
          <w:rFonts w:ascii="Arial" w:hAnsi="Arial" w:cs="Arial"/>
          <w:iCs/>
          <w:color w:val="000000" w:themeColor="text1"/>
          <w:sz w:val="22"/>
          <w:lang w:val="es-ES"/>
        </w:rPr>
        <w:t xml:space="preserve"> que no categoriza el tipo de incumplimiento. Como consecuencia, la declaratoria de cualquier incumplimiento, sea este total o parcial, debe hacerse con la debida observancia de las reglas procedimentales </w:t>
      </w:r>
      <w:r w:rsidR="00AF4944" w:rsidRPr="0016260B">
        <w:rPr>
          <w:rFonts w:ascii="Arial" w:hAnsi="Arial" w:cs="Arial"/>
          <w:iCs/>
          <w:color w:val="000000" w:themeColor="text1"/>
          <w:sz w:val="22"/>
          <w:lang w:val="es-ES"/>
        </w:rPr>
        <w:t>establecidas en el artículo 86 de la Ley 1474 de 2011</w:t>
      </w:r>
      <w:r w:rsidRPr="0016260B">
        <w:rPr>
          <w:rFonts w:ascii="Arial" w:hAnsi="Arial" w:cs="Arial"/>
          <w:iCs/>
          <w:color w:val="000000" w:themeColor="text1"/>
          <w:sz w:val="22"/>
          <w:lang w:val="es-ES"/>
        </w:rPr>
        <w:t xml:space="preserve">. </w:t>
      </w:r>
      <w:r w:rsidR="00FA20BE" w:rsidRPr="0016260B">
        <w:rPr>
          <w:rFonts w:ascii="Arial" w:hAnsi="Arial" w:cs="Arial"/>
          <w:iCs/>
          <w:color w:val="000000" w:themeColor="text1"/>
          <w:sz w:val="22"/>
          <w:lang w:val="es-ES"/>
        </w:rPr>
        <w:t>Esto es así como consecuencia del «principio general de interpretación jurídica según el cual donde la norma no distingue, no le corresponde distinguir al intérprete»</w:t>
      </w:r>
      <w:r w:rsidR="00FA20BE" w:rsidRPr="0016260B">
        <w:rPr>
          <w:rStyle w:val="Refdenotaalpie"/>
          <w:rFonts w:ascii="Arial" w:hAnsi="Arial" w:cs="Arial"/>
          <w:iCs/>
          <w:color w:val="000000" w:themeColor="text1"/>
          <w:sz w:val="22"/>
          <w:lang w:val="es-ES"/>
        </w:rPr>
        <w:footnoteReference w:id="10"/>
      </w:r>
      <w:r w:rsidR="00257510">
        <w:rPr>
          <w:rFonts w:ascii="Arial" w:hAnsi="Arial" w:cs="Arial"/>
          <w:iCs/>
          <w:color w:val="000000" w:themeColor="text1"/>
          <w:sz w:val="22"/>
          <w:lang w:val="es-ES"/>
        </w:rPr>
        <w:t>.</w:t>
      </w:r>
      <w:r w:rsidR="00FA20BE" w:rsidRPr="0016260B">
        <w:rPr>
          <w:rFonts w:ascii="Arial" w:hAnsi="Arial" w:cs="Arial"/>
          <w:iCs/>
          <w:color w:val="000000" w:themeColor="text1"/>
          <w:sz w:val="22"/>
          <w:lang w:val="es-ES"/>
        </w:rPr>
        <w:t xml:space="preserve"> </w:t>
      </w:r>
      <w:r w:rsidRPr="0016260B">
        <w:rPr>
          <w:rFonts w:ascii="Arial" w:hAnsi="Arial" w:cs="Arial"/>
          <w:iCs/>
          <w:color w:val="000000" w:themeColor="text1"/>
          <w:sz w:val="22"/>
          <w:lang w:val="es-ES"/>
        </w:rPr>
        <w:t>A la misma con</w:t>
      </w:r>
      <w:r w:rsidR="00FA20BE" w:rsidRPr="0016260B">
        <w:rPr>
          <w:rFonts w:ascii="Arial" w:hAnsi="Arial" w:cs="Arial"/>
          <w:iCs/>
          <w:color w:val="000000" w:themeColor="text1"/>
          <w:sz w:val="22"/>
          <w:lang w:val="es-ES"/>
        </w:rPr>
        <w:t>clusión puede arribarse cuando se tiene en consideración</w:t>
      </w:r>
      <w:r w:rsidRPr="0016260B">
        <w:rPr>
          <w:rFonts w:ascii="Arial" w:hAnsi="Arial" w:cs="Arial"/>
          <w:iCs/>
          <w:color w:val="000000" w:themeColor="text1"/>
          <w:sz w:val="22"/>
          <w:lang w:val="es-ES"/>
        </w:rPr>
        <w:t xml:space="preserve"> la necesidad de respetar el debido proceso en «todas las actuaciones administrativas» como lo ordena el artículo 29 superior. </w:t>
      </w:r>
    </w:p>
    <w:p w14:paraId="15CFFE02" w14:textId="634AF465" w:rsidR="00FA20BE" w:rsidRPr="00EA0F85" w:rsidRDefault="00FA20BE" w:rsidP="00FA20BE">
      <w:pPr>
        <w:ind w:right="142" w:firstLine="709"/>
        <w:rPr>
          <w:rFonts w:ascii="Arial" w:hAnsi="Arial" w:cs="Arial"/>
          <w:iCs/>
          <w:color w:val="000000" w:themeColor="text1"/>
          <w:sz w:val="22"/>
          <w:lang w:val="es-ES"/>
        </w:rPr>
      </w:pPr>
      <w:r w:rsidRPr="0016260B">
        <w:rPr>
          <w:rFonts w:ascii="Arial" w:hAnsi="Arial" w:cs="Arial"/>
          <w:iCs/>
          <w:color w:val="000000" w:themeColor="text1"/>
          <w:sz w:val="22"/>
          <w:lang w:val="es-ES"/>
        </w:rPr>
        <w:t xml:space="preserve">A la luz de lo dicho, no puede quedar duda alguna </w:t>
      </w:r>
      <w:r w:rsidR="00257510">
        <w:rPr>
          <w:rFonts w:ascii="Arial" w:hAnsi="Arial" w:cs="Arial"/>
          <w:iCs/>
          <w:color w:val="000000" w:themeColor="text1"/>
          <w:sz w:val="22"/>
          <w:lang w:val="es-ES"/>
        </w:rPr>
        <w:t>respecto a esta idea</w:t>
      </w:r>
      <w:r w:rsidRPr="0016260B">
        <w:rPr>
          <w:rFonts w:ascii="Arial" w:hAnsi="Arial" w:cs="Arial"/>
          <w:iCs/>
          <w:color w:val="000000" w:themeColor="text1"/>
          <w:sz w:val="22"/>
          <w:lang w:val="es-ES"/>
        </w:rPr>
        <w:t xml:space="preserve">. Esto es, que se puede declarar el incumplimiento, total o parcial, </w:t>
      </w:r>
      <w:r w:rsidR="00084DC1" w:rsidRPr="0016260B">
        <w:rPr>
          <w:rFonts w:ascii="Arial" w:hAnsi="Arial" w:cs="Arial"/>
          <w:iCs/>
          <w:color w:val="000000" w:themeColor="text1"/>
          <w:sz w:val="22"/>
          <w:lang w:val="es-ES"/>
        </w:rPr>
        <w:t xml:space="preserve">cuantificando los perjuicios </w:t>
      </w:r>
      <w:proofErr w:type="gramStart"/>
      <w:r w:rsidR="00084DC1" w:rsidRPr="0016260B">
        <w:rPr>
          <w:rFonts w:ascii="Arial" w:hAnsi="Arial" w:cs="Arial"/>
          <w:iCs/>
          <w:color w:val="000000" w:themeColor="text1"/>
          <w:sz w:val="22"/>
          <w:lang w:val="es-ES"/>
        </w:rPr>
        <w:t>del mismo</w:t>
      </w:r>
      <w:proofErr w:type="gramEnd"/>
      <w:r w:rsidR="00084DC1" w:rsidRPr="0016260B">
        <w:rPr>
          <w:rFonts w:ascii="Arial" w:hAnsi="Arial" w:cs="Arial"/>
          <w:iCs/>
          <w:color w:val="000000" w:themeColor="text1"/>
          <w:sz w:val="22"/>
          <w:lang w:val="es-ES"/>
        </w:rPr>
        <w:t xml:space="preserve"> </w:t>
      </w:r>
      <w:r w:rsidRPr="0016260B">
        <w:rPr>
          <w:rFonts w:ascii="Arial" w:hAnsi="Arial" w:cs="Arial"/>
          <w:iCs/>
          <w:color w:val="000000" w:themeColor="text1"/>
          <w:sz w:val="22"/>
          <w:lang w:val="es-ES"/>
        </w:rPr>
        <w:t xml:space="preserve">siempre que se haga </w:t>
      </w:r>
      <w:r w:rsidR="00084DC1" w:rsidRPr="0016260B">
        <w:rPr>
          <w:rFonts w:ascii="Arial" w:hAnsi="Arial" w:cs="Arial"/>
          <w:iCs/>
          <w:color w:val="000000" w:themeColor="text1"/>
          <w:sz w:val="22"/>
          <w:lang w:val="es-ES"/>
        </w:rPr>
        <w:t>previa citación del contratista y respetando el debido proceso.</w:t>
      </w:r>
      <w:r w:rsidR="00084DC1" w:rsidRPr="00EA0F85">
        <w:rPr>
          <w:rFonts w:ascii="Arial" w:hAnsi="Arial" w:cs="Arial"/>
          <w:iCs/>
          <w:color w:val="000000" w:themeColor="text1"/>
          <w:sz w:val="22"/>
          <w:lang w:val="es-ES"/>
        </w:rPr>
        <w:t xml:space="preserve"> </w:t>
      </w:r>
    </w:p>
    <w:p w14:paraId="453B4DE6" w14:textId="4D8EC1A6" w:rsidR="00084DC1" w:rsidRPr="00EA0F85" w:rsidRDefault="00AF4944" w:rsidP="00FA20BE">
      <w:pPr>
        <w:ind w:right="142" w:firstLine="709"/>
        <w:rPr>
          <w:rFonts w:ascii="Arial" w:hAnsi="Arial" w:cs="Arial"/>
          <w:iCs/>
          <w:color w:val="000000" w:themeColor="text1"/>
          <w:sz w:val="22"/>
          <w:lang w:val="es-ES"/>
        </w:rPr>
      </w:pPr>
      <w:r w:rsidRPr="00EA0F85">
        <w:rPr>
          <w:rFonts w:ascii="Arial" w:hAnsi="Arial" w:cs="Arial"/>
          <w:iCs/>
          <w:color w:val="000000" w:themeColor="text1"/>
          <w:sz w:val="22"/>
          <w:lang w:val="es-ES"/>
        </w:rPr>
        <w:t>El artículo en mención</w:t>
      </w:r>
      <w:r w:rsidR="00084DC1" w:rsidRPr="00EA0F85">
        <w:rPr>
          <w:rFonts w:ascii="Arial" w:hAnsi="Arial" w:cs="Arial"/>
          <w:iCs/>
          <w:color w:val="000000" w:themeColor="text1"/>
          <w:sz w:val="22"/>
          <w:lang w:val="es-ES"/>
        </w:rPr>
        <w:t xml:space="preserve"> establece las etapas del procedimiento que se debe</w:t>
      </w:r>
      <w:r w:rsidRPr="00EA0F85">
        <w:rPr>
          <w:rFonts w:ascii="Arial" w:hAnsi="Arial" w:cs="Arial"/>
          <w:iCs/>
          <w:color w:val="000000" w:themeColor="text1"/>
          <w:sz w:val="22"/>
          <w:lang w:val="es-ES"/>
        </w:rPr>
        <w:t xml:space="preserve"> </w:t>
      </w:r>
      <w:r w:rsidR="00084DC1" w:rsidRPr="00EA0F85">
        <w:rPr>
          <w:rFonts w:ascii="Arial" w:hAnsi="Arial" w:cs="Arial"/>
          <w:iCs/>
          <w:color w:val="000000" w:themeColor="text1"/>
          <w:sz w:val="22"/>
          <w:lang w:val="es-ES"/>
        </w:rPr>
        <w:t xml:space="preserve">seguir.  i) </w:t>
      </w:r>
      <w:r w:rsidR="00084DC1" w:rsidRPr="00EA0F85">
        <w:rPr>
          <w:rFonts w:ascii="Arial" w:hAnsi="Arial" w:cs="Arial"/>
          <w:i/>
          <w:iCs/>
          <w:color w:val="000000" w:themeColor="text1"/>
          <w:sz w:val="22"/>
          <w:lang w:val="es-ES"/>
        </w:rPr>
        <w:t>Citación a audiencia</w:t>
      </w:r>
      <w:r w:rsidR="00084DC1" w:rsidRPr="00EA0F85">
        <w:rPr>
          <w:rFonts w:ascii="Arial" w:hAnsi="Arial" w:cs="Arial"/>
          <w:iCs/>
          <w:color w:val="000000" w:themeColor="text1"/>
          <w:sz w:val="22"/>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w:t>
      </w:r>
      <w:proofErr w:type="spellStart"/>
      <w:r w:rsidR="00084DC1" w:rsidRPr="00EA0F85">
        <w:rPr>
          <w:rFonts w:ascii="Arial" w:hAnsi="Arial" w:cs="Arial"/>
          <w:iCs/>
          <w:color w:val="000000" w:themeColor="text1"/>
          <w:sz w:val="22"/>
          <w:lang w:val="es-ES"/>
        </w:rPr>
        <w:t>ii</w:t>
      </w:r>
      <w:proofErr w:type="spellEnd"/>
      <w:r w:rsidR="00084DC1" w:rsidRPr="00EA0F85">
        <w:rPr>
          <w:rFonts w:ascii="Arial" w:hAnsi="Arial" w:cs="Arial"/>
          <w:iCs/>
          <w:color w:val="000000" w:themeColor="text1"/>
          <w:sz w:val="22"/>
          <w:lang w:val="es-ES"/>
        </w:rPr>
        <w:t xml:space="preserve">) </w:t>
      </w:r>
      <w:r w:rsidR="00084DC1" w:rsidRPr="00EA0F85">
        <w:rPr>
          <w:rFonts w:ascii="Arial" w:hAnsi="Arial" w:cs="Arial"/>
          <w:i/>
          <w:iCs/>
          <w:color w:val="000000" w:themeColor="text1"/>
          <w:sz w:val="22"/>
          <w:lang w:val="es-ES"/>
        </w:rPr>
        <w:t>Audiencia</w:t>
      </w:r>
      <w:r w:rsidR="00084DC1" w:rsidRPr="00EA0F85">
        <w:rPr>
          <w:rFonts w:ascii="Arial" w:hAnsi="Arial" w:cs="Arial"/>
          <w:iCs/>
          <w:color w:val="000000" w:themeColor="text1"/>
          <w:sz w:val="22"/>
          <w:lang w:val="es-ES"/>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proofErr w:type="spellStart"/>
      <w:r w:rsidR="00084DC1" w:rsidRPr="00EA0F85">
        <w:rPr>
          <w:rFonts w:ascii="Arial" w:hAnsi="Arial" w:cs="Arial"/>
          <w:iCs/>
          <w:color w:val="000000" w:themeColor="text1"/>
          <w:sz w:val="22"/>
          <w:lang w:val="es-ES"/>
        </w:rPr>
        <w:t>iii</w:t>
      </w:r>
      <w:proofErr w:type="spellEnd"/>
      <w:r w:rsidR="00084DC1" w:rsidRPr="00EA0F85">
        <w:rPr>
          <w:rFonts w:ascii="Arial" w:hAnsi="Arial" w:cs="Arial"/>
          <w:iCs/>
          <w:color w:val="000000" w:themeColor="text1"/>
          <w:sz w:val="22"/>
          <w:lang w:val="es-ES"/>
        </w:rPr>
        <w:t xml:space="preserve">) </w:t>
      </w:r>
      <w:r w:rsidR="00084DC1" w:rsidRPr="00EA0F85">
        <w:rPr>
          <w:rFonts w:ascii="Arial" w:hAnsi="Arial" w:cs="Arial"/>
          <w:i/>
          <w:iCs/>
          <w:color w:val="000000" w:themeColor="text1"/>
          <w:sz w:val="22"/>
          <w:lang w:val="es-ES"/>
        </w:rPr>
        <w:t>Decisión</w:t>
      </w:r>
      <w:r w:rsidR="00084DC1" w:rsidRPr="00EA0F85">
        <w:rPr>
          <w:rFonts w:ascii="Arial" w:hAnsi="Arial" w:cs="Arial"/>
          <w:iCs/>
          <w:color w:val="000000" w:themeColor="text1"/>
          <w:sz w:val="22"/>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efectuarse.</w:t>
      </w:r>
    </w:p>
    <w:p w14:paraId="0F283AA9" w14:textId="70BD3E58" w:rsidR="00084DC1" w:rsidRPr="00905562" w:rsidRDefault="00084DC1" w:rsidP="00084DC1">
      <w:pPr>
        <w:ind w:right="142" w:firstLine="709"/>
        <w:rPr>
          <w:rFonts w:ascii="Arial" w:hAnsi="Arial" w:cs="Arial"/>
          <w:iCs/>
          <w:color w:val="000000" w:themeColor="text1"/>
          <w:sz w:val="22"/>
          <w:lang w:val="es-ES"/>
        </w:rPr>
      </w:pPr>
      <w:r w:rsidRPr="00EA0F85">
        <w:rPr>
          <w:rFonts w:ascii="Arial" w:hAnsi="Arial" w:cs="Arial"/>
          <w:iCs/>
          <w:color w:val="000000" w:themeColor="text1"/>
          <w:sz w:val="22"/>
          <w:lang w:val="es-ES"/>
        </w:rPr>
        <w:t xml:space="preserve">En este sentido, la entidad está facultada para cuantificar los perjuicios causados por el incumplimiento del contratista, previa declaración </w:t>
      </w:r>
      <w:r w:rsidR="00FA20BE" w:rsidRPr="00EA0F85">
        <w:rPr>
          <w:rFonts w:ascii="Arial" w:hAnsi="Arial" w:cs="Arial"/>
          <w:iCs/>
          <w:color w:val="000000" w:themeColor="text1"/>
          <w:sz w:val="22"/>
          <w:lang w:val="es-ES"/>
        </w:rPr>
        <w:t>de este</w:t>
      </w:r>
      <w:r w:rsidR="00257510">
        <w:rPr>
          <w:rFonts w:ascii="Arial" w:hAnsi="Arial" w:cs="Arial"/>
          <w:iCs/>
          <w:color w:val="000000" w:themeColor="text1"/>
          <w:sz w:val="22"/>
          <w:lang w:val="es-ES"/>
        </w:rPr>
        <w:t>,</w:t>
      </w:r>
      <w:r w:rsidRPr="00EA0F85">
        <w:rPr>
          <w:rFonts w:ascii="Arial" w:hAnsi="Arial" w:cs="Arial"/>
          <w:iCs/>
          <w:color w:val="000000" w:themeColor="text1"/>
          <w:sz w:val="22"/>
          <w:lang w:val="es-ES"/>
        </w:rPr>
        <w:t xml:space="preserve"> y luego de haberse surtido el trámite antes referido. Esta facultad, en palabras de la Corte Constitucional, «[…] está reglada y se ejerce conforme a un procedimiento administrativo, del que debe darse cuenta en un acto administrativo motivado, de tal suerte que la cuantificación de los perjuicios no obedece a la mera discrecionalidad de la entidad estatal, ni es fruto de su </w:t>
      </w:r>
      <w:r w:rsidRPr="00905562">
        <w:rPr>
          <w:rFonts w:ascii="Arial" w:hAnsi="Arial" w:cs="Arial"/>
          <w:iCs/>
          <w:color w:val="000000" w:themeColor="text1"/>
          <w:sz w:val="22"/>
          <w:lang w:val="es-ES"/>
        </w:rPr>
        <w:t>capricho […]»</w:t>
      </w:r>
      <w:r w:rsidRPr="00905562">
        <w:rPr>
          <w:rStyle w:val="Refdenotaalpie"/>
          <w:rFonts w:ascii="Arial" w:hAnsi="Arial" w:cs="Arial"/>
          <w:iCs/>
          <w:color w:val="000000" w:themeColor="text1"/>
          <w:sz w:val="22"/>
        </w:rPr>
        <w:footnoteReference w:id="11"/>
      </w:r>
      <w:r w:rsidRPr="00905562">
        <w:rPr>
          <w:rFonts w:ascii="Arial" w:hAnsi="Arial" w:cs="Arial"/>
          <w:iCs/>
          <w:color w:val="000000" w:themeColor="text1"/>
          <w:sz w:val="22"/>
          <w:lang w:val="es-ES"/>
        </w:rPr>
        <w:t>.</w:t>
      </w:r>
    </w:p>
    <w:p w14:paraId="7D324340" w14:textId="574D6B8D" w:rsidR="00905562" w:rsidRPr="0016260B" w:rsidRDefault="00FB15FC" w:rsidP="0016260B">
      <w:pPr>
        <w:spacing w:after="0"/>
        <w:ind w:right="142" w:firstLine="709"/>
        <w:rPr>
          <w:rFonts w:ascii="Arial" w:hAnsi="Arial" w:cs="Arial"/>
          <w:iCs/>
          <w:color w:val="000000" w:themeColor="text1"/>
          <w:sz w:val="22"/>
          <w:lang w:val="es-ES_tradnl"/>
        </w:rPr>
      </w:pPr>
      <w:r w:rsidRPr="0016260B">
        <w:rPr>
          <w:rFonts w:ascii="Arial" w:hAnsi="Arial" w:cs="Arial"/>
          <w:iCs/>
          <w:color w:val="000000" w:themeColor="text1"/>
          <w:sz w:val="22"/>
          <w:lang w:val="es-ES_tradnl"/>
        </w:rPr>
        <w:lastRenderedPageBreak/>
        <w:t>De otro lado</w:t>
      </w:r>
      <w:r w:rsidR="00EA11F5" w:rsidRPr="0016260B">
        <w:rPr>
          <w:rFonts w:ascii="Arial" w:hAnsi="Arial" w:cs="Arial"/>
          <w:iCs/>
          <w:color w:val="000000" w:themeColor="text1"/>
          <w:sz w:val="22"/>
          <w:lang w:val="es-ES_tradnl"/>
        </w:rPr>
        <w:t>, en el procedimiento sancionatorio</w:t>
      </w:r>
      <w:r w:rsidRPr="0016260B">
        <w:rPr>
          <w:rFonts w:ascii="Arial" w:hAnsi="Arial" w:cs="Arial"/>
          <w:iCs/>
          <w:color w:val="000000" w:themeColor="text1"/>
          <w:sz w:val="22"/>
          <w:lang w:val="es-ES_tradnl"/>
        </w:rPr>
        <w:t xml:space="preserve"> las entidades estatales deben actuar de acuerdo </w:t>
      </w:r>
      <w:r w:rsidR="00B776DD">
        <w:rPr>
          <w:rFonts w:ascii="Arial" w:hAnsi="Arial" w:cs="Arial"/>
          <w:iCs/>
          <w:color w:val="000000" w:themeColor="text1"/>
          <w:sz w:val="22"/>
          <w:lang w:val="es-ES_tradnl"/>
        </w:rPr>
        <w:t>con el</w:t>
      </w:r>
      <w:r w:rsidRPr="0016260B">
        <w:rPr>
          <w:rFonts w:ascii="Arial" w:hAnsi="Arial" w:cs="Arial"/>
          <w:iCs/>
          <w:color w:val="000000" w:themeColor="text1"/>
          <w:sz w:val="22"/>
          <w:lang w:val="es-ES_tradnl"/>
        </w:rPr>
        <w:t xml:space="preserve"> principio de proporcionalidad</w:t>
      </w:r>
      <w:r w:rsidR="00B776DD">
        <w:rPr>
          <w:rFonts w:ascii="Arial" w:hAnsi="Arial" w:cs="Arial"/>
          <w:iCs/>
          <w:color w:val="000000" w:themeColor="text1"/>
          <w:sz w:val="22"/>
          <w:lang w:val="es-ES_tradnl"/>
        </w:rPr>
        <w:t xml:space="preserve">. Se deben atender </w:t>
      </w:r>
      <w:r w:rsidRPr="0016260B">
        <w:rPr>
          <w:rFonts w:ascii="Arial" w:hAnsi="Arial" w:cs="Arial"/>
          <w:iCs/>
          <w:color w:val="000000" w:themeColor="text1"/>
          <w:sz w:val="22"/>
          <w:lang w:val="es-ES_tradnl"/>
        </w:rPr>
        <w:t xml:space="preserve">las circunstancias de cada caso en particular y </w:t>
      </w:r>
      <w:r w:rsidR="00B776DD">
        <w:rPr>
          <w:rFonts w:ascii="Arial" w:hAnsi="Arial" w:cs="Arial"/>
          <w:iCs/>
          <w:color w:val="000000" w:themeColor="text1"/>
          <w:sz w:val="22"/>
          <w:lang w:val="es-ES_tradnl"/>
        </w:rPr>
        <w:t>revisar</w:t>
      </w:r>
      <w:r w:rsidRPr="0016260B">
        <w:rPr>
          <w:rFonts w:ascii="Arial" w:hAnsi="Arial" w:cs="Arial"/>
          <w:iCs/>
          <w:color w:val="000000" w:themeColor="text1"/>
          <w:sz w:val="22"/>
          <w:lang w:val="es-ES_tradnl"/>
        </w:rPr>
        <w:t xml:space="preserve"> cuidadosamente la forma como se pactaron las penalidades asociadas al incumplimiento. Sin perjuicio de lo anterior, también se debe</w:t>
      </w:r>
      <w:r w:rsidR="00853EA1" w:rsidRPr="0016260B">
        <w:rPr>
          <w:rFonts w:ascii="Arial" w:hAnsi="Arial" w:cs="Arial"/>
          <w:iCs/>
          <w:color w:val="000000" w:themeColor="text1"/>
          <w:sz w:val="22"/>
          <w:lang w:val="es-ES_tradnl"/>
        </w:rPr>
        <w:t>n</w:t>
      </w:r>
      <w:r w:rsidRPr="0016260B">
        <w:rPr>
          <w:rFonts w:ascii="Arial" w:hAnsi="Arial" w:cs="Arial"/>
          <w:iCs/>
          <w:color w:val="000000" w:themeColor="text1"/>
          <w:sz w:val="22"/>
          <w:lang w:val="es-ES_tradnl"/>
        </w:rPr>
        <w:t xml:space="preserve"> tener en cuenta las normas de derecho privado a las que remite </w:t>
      </w:r>
      <w:r w:rsidR="00853EA1" w:rsidRPr="0016260B">
        <w:rPr>
          <w:rFonts w:ascii="Arial" w:hAnsi="Arial" w:cs="Arial"/>
          <w:iCs/>
          <w:color w:val="000000" w:themeColor="text1"/>
          <w:sz w:val="22"/>
          <w:lang w:val="es-ES_tradnl"/>
        </w:rPr>
        <w:t xml:space="preserve">la Ley 80 de 1993 </w:t>
      </w:r>
      <w:r w:rsidRPr="0016260B">
        <w:rPr>
          <w:rFonts w:ascii="Arial" w:hAnsi="Arial" w:cs="Arial"/>
          <w:iCs/>
          <w:color w:val="000000" w:themeColor="text1"/>
          <w:sz w:val="22"/>
          <w:lang w:val="es-ES_tradnl"/>
        </w:rPr>
        <w:t>–art. 32, 40 y 13, particularmente</w:t>
      </w:r>
      <w:r w:rsidR="00853EA1" w:rsidRPr="0016260B">
        <w:rPr>
          <w:rStyle w:val="Refdenotaalpie"/>
          <w:rFonts w:ascii="Arial" w:hAnsi="Arial" w:cs="Arial"/>
          <w:iCs/>
          <w:color w:val="000000" w:themeColor="text1"/>
          <w:sz w:val="22"/>
          <w:lang w:val="es-ES_tradnl"/>
        </w:rPr>
        <w:footnoteReference w:id="12"/>
      </w:r>
      <w:r w:rsidRPr="0016260B">
        <w:rPr>
          <w:rFonts w:ascii="Arial" w:hAnsi="Arial" w:cs="Arial"/>
          <w:iCs/>
          <w:color w:val="000000" w:themeColor="text1"/>
          <w:sz w:val="22"/>
          <w:lang w:val="es-ES_tradnl"/>
        </w:rPr>
        <w:t>– y que complementan dicho estatuto contractual; de manera que</w:t>
      </w:r>
      <w:r w:rsidR="00853EA1" w:rsidRPr="0016260B">
        <w:rPr>
          <w:rFonts w:ascii="Arial" w:hAnsi="Arial" w:cs="Arial"/>
          <w:iCs/>
          <w:color w:val="000000" w:themeColor="text1"/>
          <w:sz w:val="22"/>
          <w:lang w:val="es-ES_tradnl"/>
        </w:rPr>
        <w:t>,</w:t>
      </w:r>
      <w:r w:rsidRPr="0016260B">
        <w:rPr>
          <w:rFonts w:ascii="Arial" w:hAnsi="Arial" w:cs="Arial"/>
          <w:iCs/>
          <w:color w:val="000000" w:themeColor="text1"/>
          <w:sz w:val="22"/>
          <w:lang w:val="es-ES_tradnl"/>
        </w:rPr>
        <w:t xml:space="preserve"> en relación con el tema que se analiza, resulta especialmente relevante destacar los artículos </w:t>
      </w:r>
      <w:r w:rsidR="00823F6F" w:rsidRPr="0016260B">
        <w:rPr>
          <w:rFonts w:ascii="Arial" w:hAnsi="Arial" w:cs="Arial"/>
          <w:iCs/>
          <w:color w:val="000000" w:themeColor="text1"/>
          <w:sz w:val="22"/>
          <w:lang w:val="es-ES_tradnl"/>
        </w:rPr>
        <w:t>1596 del Código Civil</w:t>
      </w:r>
      <w:r w:rsidR="00823F6F" w:rsidRPr="0016260B">
        <w:rPr>
          <w:rStyle w:val="Refdenotaalpie"/>
          <w:rFonts w:ascii="Arial" w:hAnsi="Arial" w:cs="Arial"/>
          <w:iCs/>
          <w:color w:val="000000" w:themeColor="text1"/>
          <w:sz w:val="22"/>
          <w:lang w:val="es-ES_tradnl"/>
        </w:rPr>
        <w:footnoteReference w:id="13"/>
      </w:r>
      <w:r w:rsidR="00823F6F" w:rsidRPr="0016260B">
        <w:rPr>
          <w:rFonts w:ascii="Arial" w:hAnsi="Arial" w:cs="Arial"/>
          <w:iCs/>
          <w:color w:val="000000" w:themeColor="text1"/>
          <w:sz w:val="22"/>
          <w:lang w:val="es-ES_tradnl"/>
        </w:rPr>
        <w:t xml:space="preserve"> y 867 del Código de Comercio</w:t>
      </w:r>
      <w:r w:rsidR="00853EA1" w:rsidRPr="0016260B">
        <w:rPr>
          <w:rStyle w:val="Refdenotaalpie"/>
          <w:rFonts w:ascii="Arial" w:hAnsi="Arial" w:cs="Arial"/>
          <w:iCs/>
          <w:color w:val="000000" w:themeColor="text1"/>
          <w:sz w:val="22"/>
          <w:lang w:val="es-ES_tradnl"/>
        </w:rPr>
        <w:footnoteReference w:id="14"/>
      </w:r>
      <w:r w:rsidR="00905562" w:rsidRPr="0016260B">
        <w:rPr>
          <w:rFonts w:ascii="Arial" w:hAnsi="Arial" w:cs="Arial"/>
          <w:iCs/>
          <w:color w:val="000000" w:themeColor="text1"/>
          <w:sz w:val="22"/>
          <w:lang w:val="es-ES_tradnl"/>
        </w:rPr>
        <w:t xml:space="preserve">, los cuales contienen parámetros para efectos de tasar el monto de las </w:t>
      </w:r>
      <w:r w:rsidR="00905562" w:rsidRPr="0016260B">
        <w:rPr>
          <w:rFonts w:ascii="Arial" w:hAnsi="Arial" w:cs="Arial"/>
          <w:i/>
          <w:color w:val="000000" w:themeColor="text1"/>
          <w:sz w:val="22"/>
          <w:lang w:val="es-ES_tradnl"/>
        </w:rPr>
        <w:t xml:space="preserve">penas </w:t>
      </w:r>
      <w:r w:rsidR="00905562" w:rsidRPr="0016260B">
        <w:rPr>
          <w:rFonts w:ascii="Arial" w:hAnsi="Arial" w:cs="Arial"/>
          <w:iCs/>
          <w:color w:val="000000" w:themeColor="text1"/>
          <w:sz w:val="22"/>
          <w:lang w:val="es-ES_tradnl"/>
        </w:rPr>
        <w:t>pactadas en el contrato; disposiciones que deben ser observadas por las entidades estatales, so pena de que se declare la nulidad parcial de los actos administrativos que aplican dichas cláusulas contractuales</w:t>
      </w:r>
      <w:r w:rsidR="00B776DD">
        <w:rPr>
          <w:rFonts w:ascii="Arial" w:hAnsi="Arial" w:cs="Arial"/>
          <w:iCs/>
          <w:color w:val="000000" w:themeColor="text1"/>
          <w:sz w:val="22"/>
          <w:lang w:val="es-ES_tradnl"/>
        </w:rPr>
        <w:t>.</w:t>
      </w:r>
      <w:r w:rsidR="00905562" w:rsidRPr="0016260B">
        <w:rPr>
          <w:rFonts w:ascii="Arial" w:hAnsi="Arial" w:cs="Arial"/>
          <w:iCs/>
          <w:color w:val="000000" w:themeColor="text1"/>
          <w:sz w:val="22"/>
          <w:lang w:val="es-ES_tradnl"/>
        </w:rPr>
        <w:t xml:space="preserve"> </w:t>
      </w:r>
      <w:r w:rsidR="00B776DD">
        <w:rPr>
          <w:rFonts w:ascii="Arial" w:hAnsi="Arial" w:cs="Arial"/>
          <w:iCs/>
          <w:color w:val="000000" w:themeColor="text1"/>
          <w:sz w:val="22"/>
          <w:lang w:val="es-ES_tradnl"/>
        </w:rPr>
        <w:t>Así</w:t>
      </w:r>
      <w:r w:rsidR="00905562" w:rsidRPr="0016260B">
        <w:rPr>
          <w:rFonts w:ascii="Arial" w:hAnsi="Arial" w:cs="Arial"/>
          <w:iCs/>
          <w:color w:val="000000" w:themeColor="text1"/>
          <w:sz w:val="22"/>
          <w:lang w:val="es-ES_tradnl"/>
        </w:rPr>
        <w:t xml:space="preserve"> lo ha señalado la jurisdicción de lo contencioso administrativo:</w:t>
      </w:r>
    </w:p>
    <w:p w14:paraId="2FD33F19" w14:textId="1CED9BC1" w:rsidR="00905562" w:rsidRDefault="00905562" w:rsidP="0016260B">
      <w:pPr>
        <w:spacing w:before="0" w:after="0"/>
        <w:ind w:right="142" w:firstLine="709"/>
        <w:rPr>
          <w:rFonts w:ascii="Arial" w:hAnsi="Arial" w:cs="Arial"/>
          <w:iCs/>
          <w:color w:val="000000" w:themeColor="text1"/>
          <w:sz w:val="22"/>
          <w:highlight w:val="green"/>
          <w:lang w:val="es-ES_tradnl"/>
        </w:rPr>
      </w:pPr>
    </w:p>
    <w:p w14:paraId="70216E46" w14:textId="77777777" w:rsidR="00905562" w:rsidRPr="0016260B" w:rsidRDefault="00905562" w:rsidP="0016260B">
      <w:pPr>
        <w:pStyle w:val="Prrafodelista"/>
        <w:spacing w:before="0" w:after="0" w:line="240" w:lineRule="auto"/>
        <w:ind w:left="709" w:right="758"/>
        <w:rPr>
          <w:rFonts w:ascii="Arial" w:hAnsi="Arial" w:cs="Arial"/>
          <w:iCs/>
          <w:color w:val="000000" w:themeColor="text1"/>
          <w:sz w:val="21"/>
          <w:szCs w:val="21"/>
        </w:rPr>
      </w:pPr>
      <w:r w:rsidRPr="0016260B">
        <w:rPr>
          <w:rFonts w:ascii="Arial" w:hAnsi="Arial" w:cs="Arial"/>
          <w:iCs/>
          <w:color w:val="000000" w:themeColor="text1"/>
          <w:sz w:val="21"/>
          <w:szCs w:val="21"/>
        </w:rPr>
        <w:t>Conforme a lo anterior, se debe tener presente que el decreto-ley 222 de 1983 -al igual que hoy acontece con la Ley 1.150 de 2007-, facultaron a las entidades públicas para que -previo pacto- impusieran y ejecutaran la cláusula penal pecuniaria frente a sus contratistas -al verificar un incumplimiento contractual-. Pero es necesario considerar, igualmente, que la normatividad -arts. 1596 del CC y 867 Co de Co.-, la doctrina y la jurisprudencia del Consejo de Estado, han dispuesto y analizado la posibilidad de graduar -disminuyendo y aumentando- dicha cláusula.</w:t>
      </w:r>
    </w:p>
    <w:p w14:paraId="4D90543D" w14:textId="77777777" w:rsidR="00905562" w:rsidRPr="0016260B" w:rsidRDefault="00905562" w:rsidP="0016260B">
      <w:pPr>
        <w:pStyle w:val="Prrafodelista"/>
        <w:spacing w:before="0" w:after="0" w:line="240" w:lineRule="auto"/>
        <w:ind w:left="709" w:right="758"/>
        <w:rPr>
          <w:rFonts w:ascii="Arial" w:hAnsi="Arial" w:cs="Arial"/>
          <w:iCs/>
          <w:color w:val="000000" w:themeColor="text1"/>
          <w:sz w:val="21"/>
          <w:szCs w:val="21"/>
        </w:rPr>
      </w:pPr>
    </w:p>
    <w:p w14:paraId="627CFDCC" w14:textId="42621E28" w:rsidR="00905562" w:rsidRPr="0016260B" w:rsidRDefault="00905562" w:rsidP="0016260B">
      <w:pPr>
        <w:pStyle w:val="Prrafodelista"/>
        <w:spacing w:before="0" w:after="0" w:line="240" w:lineRule="auto"/>
        <w:ind w:left="709" w:right="758"/>
        <w:rPr>
          <w:rFonts w:ascii="Arial" w:hAnsi="Arial" w:cs="Arial"/>
          <w:iCs/>
          <w:color w:val="000000" w:themeColor="text1"/>
          <w:sz w:val="21"/>
          <w:szCs w:val="21"/>
        </w:rPr>
      </w:pPr>
      <w:r w:rsidRPr="0016260B">
        <w:rPr>
          <w:rFonts w:ascii="Arial" w:hAnsi="Arial" w:cs="Arial"/>
          <w:iCs/>
          <w:color w:val="000000" w:themeColor="text1"/>
          <w:sz w:val="21"/>
          <w:szCs w:val="21"/>
        </w:rPr>
        <w:t>De allí que, si el contratista afectado con la imposición de la cláusula penal considera que el monto establecido por tal concepto es excesivo, injusto o desproporcionado, puede acudir al juez para que revise la decisión administrativa</w:t>
      </w:r>
      <w:r w:rsidR="007B637A">
        <w:rPr>
          <w:rStyle w:val="Refdenotaalpie"/>
          <w:rFonts w:ascii="Arial" w:hAnsi="Arial" w:cs="Arial"/>
          <w:iCs/>
          <w:color w:val="000000" w:themeColor="text1"/>
          <w:sz w:val="21"/>
          <w:szCs w:val="21"/>
        </w:rPr>
        <w:footnoteReference w:id="15"/>
      </w:r>
      <w:r w:rsidRPr="0016260B">
        <w:rPr>
          <w:rFonts w:ascii="Arial" w:hAnsi="Arial" w:cs="Arial"/>
          <w:iCs/>
          <w:color w:val="000000" w:themeColor="text1"/>
          <w:sz w:val="21"/>
          <w:szCs w:val="21"/>
        </w:rPr>
        <w:t>.</w:t>
      </w:r>
    </w:p>
    <w:p w14:paraId="2FF4F996" w14:textId="77777777" w:rsidR="005743F2" w:rsidRPr="00EA0F85" w:rsidRDefault="005743F2" w:rsidP="0016260B">
      <w:pPr>
        <w:spacing w:before="0" w:after="0"/>
        <w:ind w:firstLine="709"/>
        <w:rPr>
          <w:rFonts w:ascii="Arial" w:eastAsia="Calibri" w:hAnsi="Arial" w:cs="Arial"/>
          <w:color w:val="000000" w:themeColor="text1"/>
          <w:sz w:val="22"/>
          <w:lang w:val="es-ES"/>
        </w:rPr>
      </w:pPr>
    </w:p>
    <w:p w14:paraId="2908BB16" w14:textId="152FDB1F" w:rsidR="00084DC1" w:rsidRPr="00B776DD" w:rsidRDefault="00084DC1" w:rsidP="00B776DD">
      <w:pPr>
        <w:pStyle w:val="Prrafodelista"/>
        <w:numPr>
          <w:ilvl w:val="0"/>
          <w:numId w:val="6"/>
        </w:numPr>
        <w:tabs>
          <w:tab w:val="left" w:pos="284"/>
        </w:tabs>
        <w:spacing w:before="0" w:after="240" w:line="240" w:lineRule="auto"/>
        <w:ind w:left="0" w:firstLine="0"/>
        <w:jc w:val="left"/>
        <w:rPr>
          <w:rFonts w:ascii="Arial" w:hAnsi="Arial" w:cs="Arial"/>
          <w:b/>
          <w:bCs/>
          <w:color w:val="000000" w:themeColor="text1"/>
          <w:sz w:val="22"/>
          <w:lang w:val="es-CO"/>
        </w:rPr>
      </w:pPr>
      <w:r w:rsidRPr="00EA0F85">
        <w:rPr>
          <w:rFonts w:ascii="Arial" w:hAnsi="Arial" w:cs="Arial"/>
          <w:b/>
          <w:bCs/>
          <w:color w:val="000000" w:themeColor="text1"/>
          <w:sz w:val="22"/>
          <w:lang w:val="es-CO"/>
        </w:rPr>
        <w:t xml:space="preserve">Respuesta </w:t>
      </w:r>
    </w:p>
    <w:p w14:paraId="6D441EF2" w14:textId="3C9ECED8" w:rsidR="00FA20BE" w:rsidRPr="00EA0F85" w:rsidRDefault="008C0C74" w:rsidP="009563AD">
      <w:pPr>
        <w:tabs>
          <w:tab w:val="left" w:pos="709"/>
        </w:tabs>
        <w:spacing w:before="0" w:after="240" w:line="240" w:lineRule="auto"/>
        <w:ind w:left="1416" w:right="709" w:hanging="707"/>
        <w:rPr>
          <w:rFonts w:ascii="Arial" w:eastAsia="Calibri" w:hAnsi="Arial" w:cs="Arial"/>
          <w:color w:val="000000" w:themeColor="text1"/>
          <w:sz w:val="21"/>
          <w:szCs w:val="21"/>
          <w:lang w:val="es-ES"/>
        </w:rPr>
      </w:pPr>
      <w:r w:rsidRPr="00EA0F85">
        <w:rPr>
          <w:rFonts w:ascii="Arial" w:eastAsia="Calibri" w:hAnsi="Arial" w:cs="Arial"/>
          <w:color w:val="000000" w:themeColor="text1"/>
          <w:sz w:val="21"/>
          <w:szCs w:val="21"/>
          <w:lang w:val="es-ES"/>
        </w:rPr>
        <w:t>(i) ¿Es necesario adelantar la audiencia de imposición de multas, sanciones y declaratorias de incumplimiento de que trata el artículo 86 de la Ley 1474 de 2011 cuando se trata de un incumplimiento parcial?</w:t>
      </w:r>
    </w:p>
    <w:p w14:paraId="2B83DC0B" w14:textId="7ED2BFF2" w:rsidR="00257510" w:rsidRPr="00B776DD" w:rsidRDefault="00AF4944" w:rsidP="00B776DD">
      <w:pPr>
        <w:ind w:right="142"/>
        <w:rPr>
          <w:rFonts w:ascii="Arial" w:hAnsi="Arial" w:cs="Arial"/>
          <w:iCs/>
          <w:color w:val="000000" w:themeColor="text1"/>
          <w:sz w:val="22"/>
          <w:lang w:val="es-ES"/>
        </w:rPr>
      </w:pPr>
      <w:r w:rsidRPr="00EA0F85">
        <w:rPr>
          <w:rFonts w:ascii="Arial" w:hAnsi="Arial" w:cs="Arial"/>
          <w:iCs/>
          <w:color w:val="000000" w:themeColor="text1"/>
          <w:sz w:val="22"/>
          <w:lang w:val="es-ES"/>
        </w:rPr>
        <w:t>El artículo 86 de la Ley 1474 de 2011</w:t>
      </w:r>
      <w:r w:rsidR="00FA20BE" w:rsidRPr="00EA0F85">
        <w:rPr>
          <w:rFonts w:ascii="Arial" w:hAnsi="Arial" w:cs="Arial"/>
          <w:iCs/>
          <w:color w:val="000000" w:themeColor="text1"/>
          <w:sz w:val="22"/>
          <w:lang w:val="es-ES"/>
        </w:rPr>
        <w:t xml:space="preserve"> no categoriza el tipo de incumplimiento. Como consecuencia, la declaratoria de cualquier incumplimiento, sea este total o parcial, debe hacerse con la debida observancia de las reglas procedimentales allí establecidas. Esto es así como consecuencia del «principio general de interpretación jurídica según el cual donde la norma no distingue, no le corresponde distinguir al intérprete».</w:t>
      </w:r>
      <w:r w:rsidR="00FA20BE" w:rsidRPr="00EA0F85">
        <w:rPr>
          <w:rStyle w:val="Refdenotaalpie"/>
          <w:rFonts w:ascii="Arial" w:hAnsi="Arial" w:cs="Arial"/>
          <w:iCs/>
          <w:color w:val="000000" w:themeColor="text1"/>
          <w:sz w:val="22"/>
          <w:lang w:val="es-ES"/>
        </w:rPr>
        <w:footnoteReference w:id="16"/>
      </w:r>
      <w:r w:rsidR="00FA20BE" w:rsidRPr="00EA0F85">
        <w:rPr>
          <w:rFonts w:ascii="Arial" w:hAnsi="Arial" w:cs="Arial"/>
          <w:iCs/>
          <w:color w:val="000000" w:themeColor="text1"/>
          <w:sz w:val="22"/>
          <w:lang w:val="es-ES"/>
        </w:rPr>
        <w:t xml:space="preserve"> A la misma conclusión </w:t>
      </w:r>
      <w:r w:rsidR="00042884">
        <w:rPr>
          <w:rFonts w:ascii="Arial" w:hAnsi="Arial" w:cs="Arial"/>
          <w:iCs/>
          <w:color w:val="000000" w:themeColor="text1"/>
          <w:sz w:val="22"/>
          <w:lang w:val="es-ES"/>
        </w:rPr>
        <w:t>se</w:t>
      </w:r>
      <w:r w:rsidR="00042884" w:rsidRPr="00EA0F85">
        <w:rPr>
          <w:rFonts w:ascii="Arial" w:hAnsi="Arial" w:cs="Arial"/>
          <w:iCs/>
          <w:color w:val="000000" w:themeColor="text1"/>
          <w:sz w:val="22"/>
          <w:lang w:val="es-ES"/>
        </w:rPr>
        <w:t xml:space="preserve"> </w:t>
      </w:r>
      <w:r w:rsidR="00FA20BE" w:rsidRPr="00EA0F85">
        <w:rPr>
          <w:rFonts w:ascii="Arial" w:hAnsi="Arial" w:cs="Arial"/>
          <w:iCs/>
          <w:color w:val="000000" w:themeColor="text1"/>
          <w:sz w:val="22"/>
          <w:lang w:val="es-ES"/>
        </w:rPr>
        <w:t xml:space="preserve">arriba </w:t>
      </w:r>
      <w:r w:rsidR="00042884">
        <w:rPr>
          <w:rFonts w:ascii="Arial" w:hAnsi="Arial" w:cs="Arial"/>
          <w:iCs/>
          <w:color w:val="000000" w:themeColor="text1"/>
          <w:sz w:val="22"/>
          <w:lang w:val="es-ES"/>
        </w:rPr>
        <w:t>si</w:t>
      </w:r>
      <w:r w:rsidR="00FA20BE" w:rsidRPr="00EA0F85">
        <w:rPr>
          <w:rFonts w:ascii="Arial" w:hAnsi="Arial" w:cs="Arial"/>
          <w:iCs/>
          <w:color w:val="000000" w:themeColor="text1"/>
          <w:sz w:val="22"/>
          <w:lang w:val="es-ES"/>
        </w:rPr>
        <w:t xml:space="preserve"> se tiene en consideración la necesidad de respetar el debido proceso en «todas las actuaciones administrativas» como lo ordena el artículo 29 </w:t>
      </w:r>
      <w:r w:rsidR="00042884">
        <w:rPr>
          <w:rFonts w:ascii="Arial" w:hAnsi="Arial" w:cs="Arial"/>
          <w:iCs/>
          <w:color w:val="000000" w:themeColor="text1"/>
          <w:sz w:val="22"/>
          <w:lang w:val="es-ES"/>
        </w:rPr>
        <w:t>S</w:t>
      </w:r>
      <w:r w:rsidR="00FA20BE" w:rsidRPr="00EA0F85">
        <w:rPr>
          <w:rFonts w:ascii="Arial" w:hAnsi="Arial" w:cs="Arial"/>
          <w:iCs/>
          <w:color w:val="000000" w:themeColor="text1"/>
          <w:sz w:val="22"/>
          <w:lang w:val="es-ES"/>
        </w:rPr>
        <w:t xml:space="preserve">uperior. </w:t>
      </w:r>
    </w:p>
    <w:p w14:paraId="1590DE5D" w14:textId="2189F83F" w:rsidR="00084DC1" w:rsidRDefault="00084DC1" w:rsidP="00B776DD">
      <w:pPr>
        <w:rPr>
          <w:rFonts w:ascii="Arial" w:eastAsia="Calibri" w:hAnsi="Arial" w:cs="Arial"/>
          <w:color w:val="000000" w:themeColor="text1"/>
          <w:sz w:val="22"/>
          <w:lang w:val="es-ES"/>
        </w:rPr>
      </w:pPr>
      <w:r w:rsidRPr="00EA0F85">
        <w:rPr>
          <w:rFonts w:ascii="Arial" w:eastAsia="Calibri" w:hAnsi="Arial" w:cs="Arial"/>
          <w:color w:val="000000" w:themeColor="text1"/>
          <w:sz w:val="22"/>
          <w:lang w:val="es-ES"/>
        </w:rPr>
        <w:t>Este concepto tiene el alcance previsto en el artículo 28 del Código de Procedimiento Administrativo y de lo Contencioso Administrativo.</w:t>
      </w:r>
    </w:p>
    <w:p w14:paraId="45055C95" w14:textId="77777777" w:rsidR="008D6D49" w:rsidRPr="00EA0F85" w:rsidRDefault="008D6D49" w:rsidP="00B776DD">
      <w:pPr>
        <w:rPr>
          <w:rFonts w:ascii="Arial" w:eastAsia="Calibri" w:hAnsi="Arial" w:cs="Arial"/>
          <w:color w:val="000000" w:themeColor="text1"/>
          <w:sz w:val="22"/>
          <w:lang w:val="es-ES"/>
        </w:rPr>
      </w:pPr>
    </w:p>
    <w:p w14:paraId="71AF5493" w14:textId="77777777" w:rsidR="00084DC1" w:rsidRPr="00EA0F85" w:rsidRDefault="00084DC1" w:rsidP="00084DC1">
      <w:pPr>
        <w:rPr>
          <w:rFonts w:ascii="Arial" w:hAnsi="Arial" w:cs="Arial"/>
          <w:color w:val="000000" w:themeColor="text1"/>
          <w:sz w:val="22"/>
          <w:lang w:eastAsia="es-CO"/>
        </w:rPr>
      </w:pPr>
      <w:proofErr w:type="spellStart"/>
      <w:r w:rsidRPr="00EA0F85">
        <w:rPr>
          <w:rFonts w:ascii="Arial" w:hAnsi="Arial" w:cs="Arial"/>
          <w:color w:val="000000" w:themeColor="text1"/>
          <w:sz w:val="22"/>
          <w:lang w:eastAsia="es-CO"/>
        </w:rPr>
        <w:t>Atentamente</w:t>
      </w:r>
      <w:proofErr w:type="spellEnd"/>
      <w:r w:rsidRPr="00EA0F85">
        <w:rPr>
          <w:rFonts w:ascii="Arial" w:hAnsi="Arial" w:cs="Arial"/>
          <w:color w:val="000000" w:themeColor="text1"/>
          <w:sz w:val="22"/>
          <w:lang w:eastAsia="es-CO"/>
        </w:rPr>
        <w:t>,</w:t>
      </w:r>
    </w:p>
    <w:bookmarkEnd w:id="0"/>
    <w:bookmarkEnd w:id="1"/>
    <w:p w14:paraId="6E4C6D7B" w14:textId="77777777" w:rsidR="00084DC1" w:rsidRPr="00EA0F85" w:rsidRDefault="00084DC1" w:rsidP="00084DC1">
      <w:pPr>
        <w:jc w:val="center"/>
        <w:rPr>
          <w:rFonts w:ascii="Arial" w:hAnsi="Arial" w:cs="Arial"/>
          <w:color w:val="000000" w:themeColor="text1"/>
          <w:sz w:val="18"/>
          <w:szCs w:val="20"/>
          <w:lang w:eastAsia="es-CO"/>
        </w:rPr>
      </w:pPr>
      <w:r>
        <w:rPr>
          <w:noProof/>
        </w:rPr>
        <w:drawing>
          <wp:inline distT="0" distB="0" distL="0" distR="0" wp14:anchorId="3606B35E" wp14:editId="01C714B4">
            <wp:extent cx="2272742" cy="1256306"/>
            <wp:effectExtent l="0" t="0" r="0" b="1270"/>
            <wp:docPr id="29305815" name="Imagen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a:blip r:embed="rId12">
                      <a:extLst>
                        <a:ext uri="{28A0092B-C50C-407E-A947-70E740481C1C}">
                          <a14:useLocalDpi xmlns:a14="http://schemas.microsoft.com/office/drawing/2010/main" val="0"/>
                        </a:ext>
                      </a:extLst>
                    </a:blip>
                    <a:stretch>
                      <a:fillRect/>
                    </a:stretch>
                  </pic:blipFill>
                  <pic:spPr>
                    <a:xfrm>
                      <a:off x="0" y="0"/>
                      <a:ext cx="2272742" cy="1256306"/>
                    </a:xfrm>
                    <a:prstGeom prst="rect">
                      <a:avLst/>
                    </a:prstGeom>
                  </pic:spPr>
                </pic:pic>
              </a:graphicData>
            </a:graphic>
          </wp:inline>
        </w:drawing>
      </w:r>
    </w:p>
    <w:tbl>
      <w:tblPr>
        <w:tblW w:w="0" w:type="auto"/>
        <w:tblInd w:w="-108" w:type="dxa"/>
        <w:tblBorders>
          <w:top w:val="nil"/>
          <w:left w:val="nil"/>
          <w:bottom w:val="nil"/>
          <w:right w:val="nil"/>
        </w:tblBorders>
        <w:tblLayout w:type="fixed"/>
        <w:tblLook w:val="0000" w:firstRow="0" w:lastRow="0" w:firstColumn="0" w:lastColumn="0" w:noHBand="0" w:noVBand="0"/>
      </w:tblPr>
      <w:tblGrid>
        <w:gridCol w:w="2223"/>
        <w:gridCol w:w="2223"/>
      </w:tblGrid>
      <w:tr w:rsidR="008D6D49" w14:paraId="54ADDA41" w14:textId="77777777">
        <w:trPr>
          <w:trHeight w:val="258"/>
        </w:trPr>
        <w:tc>
          <w:tcPr>
            <w:tcW w:w="2223" w:type="dxa"/>
          </w:tcPr>
          <w:p w14:paraId="7AF3CB9A" w14:textId="77777777" w:rsidR="008D6D49" w:rsidRDefault="008D6D49">
            <w:pPr>
              <w:pStyle w:val="Default"/>
              <w:rPr>
                <w:sz w:val="16"/>
                <w:szCs w:val="16"/>
              </w:rPr>
            </w:pPr>
            <w:r>
              <w:rPr>
                <w:sz w:val="16"/>
                <w:szCs w:val="16"/>
              </w:rPr>
              <w:t xml:space="preserve">Elaboró: </w:t>
            </w:r>
          </w:p>
        </w:tc>
        <w:tc>
          <w:tcPr>
            <w:tcW w:w="2223" w:type="dxa"/>
          </w:tcPr>
          <w:p w14:paraId="75D6C7AE" w14:textId="77777777" w:rsidR="008D6D49" w:rsidRDefault="008D6D49">
            <w:pPr>
              <w:pStyle w:val="Default"/>
              <w:rPr>
                <w:sz w:val="16"/>
                <w:szCs w:val="16"/>
              </w:rPr>
            </w:pPr>
            <w:r>
              <w:rPr>
                <w:sz w:val="16"/>
                <w:szCs w:val="16"/>
              </w:rPr>
              <w:t xml:space="preserve">Sebastián Barreto Cifuentes </w:t>
            </w:r>
          </w:p>
          <w:p w14:paraId="4BB75E6A" w14:textId="77777777" w:rsidR="008D6D49" w:rsidRDefault="008D6D49">
            <w:pPr>
              <w:pStyle w:val="Default"/>
              <w:rPr>
                <w:sz w:val="16"/>
                <w:szCs w:val="16"/>
              </w:rPr>
            </w:pPr>
            <w:r>
              <w:rPr>
                <w:sz w:val="16"/>
                <w:szCs w:val="16"/>
              </w:rPr>
              <w:t xml:space="preserve">Contratista – Dirección y Subdirección de Gestión Contractual </w:t>
            </w:r>
          </w:p>
        </w:tc>
      </w:tr>
      <w:tr w:rsidR="008D6D49" w14:paraId="3C210C82" w14:textId="77777777">
        <w:trPr>
          <w:trHeight w:val="166"/>
        </w:trPr>
        <w:tc>
          <w:tcPr>
            <w:tcW w:w="2223" w:type="dxa"/>
          </w:tcPr>
          <w:p w14:paraId="2C9ACFF9" w14:textId="77777777" w:rsidR="008D6D49" w:rsidRDefault="008D6D49">
            <w:pPr>
              <w:pStyle w:val="Default"/>
              <w:rPr>
                <w:sz w:val="16"/>
                <w:szCs w:val="16"/>
              </w:rPr>
            </w:pPr>
            <w:r>
              <w:rPr>
                <w:sz w:val="16"/>
                <w:szCs w:val="16"/>
              </w:rPr>
              <w:t xml:space="preserve">Revisó: </w:t>
            </w:r>
          </w:p>
        </w:tc>
        <w:tc>
          <w:tcPr>
            <w:tcW w:w="2223" w:type="dxa"/>
          </w:tcPr>
          <w:p w14:paraId="4A294D90" w14:textId="77777777" w:rsidR="008D6D49" w:rsidRDefault="008D6D49">
            <w:pPr>
              <w:pStyle w:val="Default"/>
              <w:rPr>
                <w:sz w:val="16"/>
                <w:szCs w:val="16"/>
              </w:rPr>
            </w:pPr>
            <w:r>
              <w:rPr>
                <w:sz w:val="16"/>
                <w:szCs w:val="16"/>
              </w:rPr>
              <w:t xml:space="preserve">Sebastián Ramírez Grisales </w:t>
            </w:r>
          </w:p>
          <w:p w14:paraId="2D915971" w14:textId="77777777" w:rsidR="008D6D49" w:rsidRDefault="008D6D49">
            <w:pPr>
              <w:pStyle w:val="Default"/>
              <w:rPr>
                <w:sz w:val="16"/>
                <w:szCs w:val="16"/>
              </w:rPr>
            </w:pPr>
            <w:r>
              <w:rPr>
                <w:sz w:val="16"/>
                <w:szCs w:val="16"/>
              </w:rPr>
              <w:t xml:space="preserve">Contratista – Subdirección de Gestión Contractual </w:t>
            </w:r>
          </w:p>
        </w:tc>
      </w:tr>
      <w:tr w:rsidR="008D6D49" w14:paraId="1721443C" w14:textId="77777777">
        <w:trPr>
          <w:trHeight w:val="167"/>
        </w:trPr>
        <w:tc>
          <w:tcPr>
            <w:tcW w:w="2223" w:type="dxa"/>
          </w:tcPr>
          <w:p w14:paraId="5AE9A381" w14:textId="77777777" w:rsidR="008D6D49" w:rsidRDefault="008D6D49">
            <w:pPr>
              <w:pStyle w:val="Default"/>
              <w:rPr>
                <w:sz w:val="16"/>
                <w:szCs w:val="16"/>
              </w:rPr>
            </w:pPr>
            <w:r>
              <w:rPr>
                <w:sz w:val="16"/>
                <w:szCs w:val="16"/>
              </w:rPr>
              <w:t xml:space="preserve">Aprobó: </w:t>
            </w:r>
          </w:p>
        </w:tc>
        <w:tc>
          <w:tcPr>
            <w:tcW w:w="2223" w:type="dxa"/>
          </w:tcPr>
          <w:p w14:paraId="50326241" w14:textId="77777777" w:rsidR="008D6D49" w:rsidRDefault="008D6D49">
            <w:pPr>
              <w:pStyle w:val="Default"/>
              <w:rPr>
                <w:sz w:val="16"/>
                <w:szCs w:val="16"/>
              </w:rPr>
            </w:pPr>
            <w:r>
              <w:rPr>
                <w:sz w:val="16"/>
                <w:szCs w:val="16"/>
              </w:rPr>
              <w:t xml:space="preserve">Fabián Gonzalo Marín Cortés </w:t>
            </w:r>
          </w:p>
          <w:p w14:paraId="37F04203" w14:textId="77777777" w:rsidR="008D6D49" w:rsidRDefault="008D6D49">
            <w:pPr>
              <w:pStyle w:val="Default"/>
              <w:rPr>
                <w:sz w:val="16"/>
                <w:szCs w:val="16"/>
              </w:rPr>
            </w:pPr>
            <w:r>
              <w:rPr>
                <w:sz w:val="16"/>
                <w:szCs w:val="16"/>
              </w:rPr>
              <w:t xml:space="preserve">Subdirector de Gestión Contractual </w:t>
            </w:r>
          </w:p>
        </w:tc>
      </w:tr>
    </w:tbl>
    <w:p w14:paraId="35B56F46" w14:textId="77777777" w:rsidR="00746E08" w:rsidRPr="00EA0F85" w:rsidRDefault="00746E08" w:rsidP="00C67D7D">
      <w:pPr>
        <w:rPr>
          <w:lang w:val="es-ES"/>
        </w:rPr>
      </w:pPr>
    </w:p>
    <w:sectPr w:rsidR="00746E08" w:rsidRPr="00EA0F85" w:rsidSect="00B776DD">
      <w:headerReference w:type="default" r:id="rId13"/>
      <w:footerReference w:type="default" r:id="rId14"/>
      <w:pgSz w:w="12240" w:h="15840"/>
      <w:pgMar w:top="1928" w:right="1644" w:bottom="1361" w:left="1644"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43D5BC" w14:textId="77777777" w:rsidR="002C5EA4" w:rsidRDefault="002C5EA4">
      <w:r>
        <w:separator/>
      </w:r>
    </w:p>
  </w:endnote>
  <w:endnote w:type="continuationSeparator" w:id="0">
    <w:p w14:paraId="4D1AD073" w14:textId="77777777" w:rsidR="002C5EA4" w:rsidRDefault="002C5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785F3" w14:textId="2EF28465" w:rsidR="009D3CF6" w:rsidRPr="008217B7" w:rsidRDefault="009D3CF6"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48FC6A04" w14:textId="5FD1A7C9" w:rsidR="009D3CF6" w:rsidRDefault="01BF2BD7" w:rsidP="00322937">
    <w:pPr>
      <w:pStyle w:val="Piedepgina"/>
      <w:jc w:val="center"/>
      <w:rPr>
        <w:lang w:val="es-ES"/>
      </w:rPr>
    </w:pPr>
    <w:r>
      <w:rPr>
        <w:noProof/>
      </w:rPr>
      <w:drawing>
        <wp:inline distT="0" distB="0" distL="0" distR="0" wp14:anchorId="608B196D" wp14:editId="4FFE0CD1">
          <wp:extent cx="3700130" cy="519139"/>
          <wp:effectExtent l="0" t="0" r="0" b="0"/>
          <wp:docPr id="67865315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A60CCF" w14:textId="77777777" w:rsidR="002C5EA4" w:rsidRDefault="002C5EA4">
      <w:r>
        <w:separator/>
      </w:r>
    </w:p>
  </w:footnote>
  <w:footnote w:type="continuationSeparator" w:id="0">
    <w:p w14:paraId="6A7E5BE8" w14:textId="77777777" w:rsidR="002C5EA4" w:rsidRDefault="002C5EA4">
      <w:r>
        <w:continuationSeparator/>
      </w:r>
    </w:p>
  </w:footnote>
  <w:footnote w:id="1">
    <w:p w14:paraId="2FC759A5" w14:textId="55C44F3D" w:rsidR="00BC1F6C" w:rsidRPr="00853EA1" w:rsidRDefault="00BC1F6C" w:rsidP="00853EA1">
      <w:pPr>
        <w:pStyle w:val="Textonotapie"/>
        <w:spacing w:before="0" w:after="0" w:line="240" w:lineRule="auto"/>
        <w:ind w:firstLine="708"/>
        <w:rPr>
          <w:rFonts w:ascii="Arial" w:hAnsi="Arial" w:cs="Arial"/>
          <w:sz w:val="19"/>
          <w:szCs w:val="19"/>
          <w:lang w:val="es-ES"/>
        </w:rPr>
      </w:pPr>
      <w:r w:rsidRPr="00853EA1">
        <w:rPr>
          <w:rStyle w:val="Refdenotaalpie"/>
          <w:rFonts w:ascii="Arial" w:hAnsi="Arial" w:cs="Arial"/>
          <w:sz w:val="19"/>
          <w:szCs w:val="19"/>
        </w:rPr>
        <w:footnoteRef/>
      </w:r>
      <w:r w:rsidRPr="00853EA1">
        <w:rPr>
          <w:rFonts w:ascii="Arial" w:hAnsi="Arial" w:cs="Arial"/>
          <w:sz w:val="19"/>
          <w:szCs w:val="19"/>
        </w:rPr>
        <w:t xml:space="preserve"> Corte Constitucional. Sentencia C-034 de 2014. M.P. María Victoria Calle Correa. </w:t>
      </w:r>
    </w:p>
  </w:footnote>
  <w:footnote w:id="2">
    <w:p w14:paraId="78D7B99B" w14:textId="591C4411" w:rsidR="00753D85" w:rsidRPr="00853EA1" w:rsidRDefault="00753D85" w:rsidP="00853EA1">
      <w:pPr>
        <w:pStyle w:val="Textonotapie"/>
        <w:spacing w:before="0" w:after="0" w:line="240" w:lineRule="auto"/>
        <w:ind w:firstLine="708"/>
        <w:rPr>
          <w:rFonts w:ascii="Arial" w:hAnsi="Arial" w:cs="Arial"/>
          <w:sz w:val="19"/>
          <w:szCs w:val="19"/>
        </w:rPr>
      </w:pPr>
      <w:r w:rsidRPr="00853EA1">
        <w:rPr>
          <w:rStyle w:val="Refdenotaalpie"/>
          <w:rFonts w:ascii="Arial" w:hAnsi="Arial" w:cs="Arial"/>
          <w:sz w:val="19"/>
          <w:szCs w:val="19"/>
        </w:rPr>
        <w:footnoteRef/>
      </w:r>
      <w:r w:rsidRPr="00853EA1">
        <w:rPr>
          <w:rFonts w:ascii="Arial" w:hAnsi="Arial" w:cs="Arial"/>
          <w:sz w:val="19"/>
          <w:szCs w:val="19"/>
        </w:rPr>
        <w:t xml:space="preserve">  Ibídem. </w:t>
      </w:r>
    </w:p>
    <w:p w14:paraId="2C6C1D8A" w14:textId="77777777" w:rsidR="00F431F8" w:rsidRPr="00905562" w:rsidRDefault="00F431F8" w:rsidP="00905562">
      <w:pPr>
        <w:pStyle w:val="Textonotapie"/>
        <w:spacing w:before="0" w:after="0" w:line="240" w:lineRule="auto"/>
        <w:ind w:firstLine="708"/>
        <w:rPr>
          <w:rFonts w:ascii="Arial" w:hAnsi="Arial" w:cs="Arial"/>
          <w:sz w:val="19"/>
          <w:szCs w:val="19"/>
          <w:lang w:val="es-ES"/>
        </w:rPr>
      </w:pPr>
    </w:p>
  </w:footnote>
  <w:footnote w:id="3">
    <w:p w14:paraId="59F2CC10" w14:textId="4AB5F70C" w:rsidR="00753D85" w:rsidRPr="00853EA1" w:rsidRDefault="00753D85" w:rsidP="00905562">
      <w:pPr>
        <w:pStyle w:val="Textonotapie"/>
        <w:spacing w:before="0" w:after="0" w:line="240" w:lineRule="auto"/>
        <w:ind w:firstLine="708"/>
        <w:rPr>
          <w:rFonts w:ascii="Arial" w:hAnsi="Arial" w:cs="Arial"/>
          <w:sz w:val="19"/>
          <w:szCs w:val="19"/>
        </w:rPr>
      </w:pPr>
      <w:r w:rsidRPr="00905562">
        <w:rPr>
          <w:rStyle w:val="Refdenotaalpie"/>
          <w:rFonts w:ascii="Arial" w:hAnsi="Arial" w:cs="Arial"/>
          <w:sz w:val="19"/>
          <w:szCs w:val="19"/>
        </w:rPr>
        <w:footnoteRef/>
      </w:r>
      <w:r w:rsidRPr="00905562">
        <w:rPr>
          <w:rFonts w:ascii="Arial" w:hAnsi="Arial" w:cs="Arial"/>
          <w:sz w:val="19"/>
          <w:szCs w:val="19"/>
        </w:rPr>
        <w:t xml:space="preserve"> Corte Constitucional, Sentencia C-640 de 2002, M.P. Marco Gerardo Monroy Cabra.</w:t>
      </w:r>
    </w:p>
    <w:p w14:paraId="41D35EE0" w14:textId="77777777" w:rsidR="00F431F8" w:rsidRPr="00853EA1" w:rsidRDefault="00F431F8">
      <w:pPr>
        <w:pStyle w:val="Textonotapie"/>
        <w:spacing w:before="0" w:after="0" w:line="240" w:lineRule="auto"/>
        <w:ind w:firstLine="708"/>
        <w:rPr>
          <w:rFonts w:ascii="Arial" w:hAnsi="Arial" w:cs="Arial"/>
          <w:sz w:val="19"/>
          <w:szCs w:val="19"/>
          <w:lang w:val="es-ES"/>
        </w:rPr>
      </w:pPr>
    </w:p>
  </w:footnote>
  <w:footnote w:id="4">
    <w:p w14:paraId="3A2F84C9" w14:textId="31BE908B" w:rsidR="00C92B5A" w:rsidRPr="0016260B" w:rsidRDefault="00C92B5A">
      <w:pPr>
        <w:pStyle w:val="Textonotapie"/>
        <w:spacing w:before="0" w:after="0" w:line="240" w:lineRule="auto"/>
        <w:ind w:firstLine="708"/>
        <w:rPr>
          <w:rStyle w:val="Refdenotaalpie"/>
          <w:rFonts w:ascii="Arial" w:hAnsi="Arial" w:cs="Arial"/>
          <w:sz w:val="19"/>
          <w:szCs w:val="19"/>
        </w:rPr>
      </w:pPr>
      <w:r w:rsidRPr="00905562">
        <w:rPr>
          <w:rStyle w:val="Refdenotaalpie"/>
          <w:rFonts w:ascii="Arial" w:hAnsi="Arial" w:cs="Arial"/>
          <w:sz w:val="19"/>
          <w:szCs w:val="19"/>
        </w:rPr>
        <w:footnoteRef/>
      </w:r>
      <w:r w:rsidRPr="00905562">
        <w:rPr>
          <w:rStyle w:val="Refdenotaalpie"/>
          <w:rFonts w:ascii="Arial" w:hAnsi="Arial" w:cs="Arial"/>
          <w:sz w:val="19"/>
          <w:szCs w:val="19"/>
        </w:rPr>
        <w:t xml:space="preserve">  </w:t>
      </w:r>
      <w:r w:rsidRPr="00905562">
        <w:rPr>
          <w:rFonts w:ascii="Arial" w:hAnsi="Arial" w:cs="Arial"/>
          <w:sz w:val="19"/>
          <w:szCs w:val="19"/>
        </w:rPr>
        <w:t xml:space="preserve">Consejo de Estado. Sección Tercera. </w:t>
      </w:r>
      <w:r w:rsidR="00D14E05" w:rsidRPr="00853EA1">
        <w:rPr>
          <w:rFonts w:ascii="Arial" w:hAnsi="Arial" w:cs="Arial"/>
          <w:sz w:val="19"/>
          <w:szCs w:val="19"/>
        </w:rPr>
        <w:t>Subsección B. Sentencia de 30 de enero de 2013. Exp</w:t>
      </w:r>
      <w:r w:rsidR="00F431F8" w:rsidRPr="00853EA1">
        <w:rPr>
          <w:rFonts w:ascii="Arial" w:hAnsi="Arial" w:cs="Arial"/>
          <w:sz w:val="19"/>
          <w:szCs w:val="19"/>
        </w:rPr>
        <w:t>.</w:t>
      </w:r>
      <w:r w:rsidR="00D14E05" w:rsidRPr="00853EA1">
        <w:rPr>
          <w:rFonts w:ascii="Arial" w:hAnsi="Arial" w:cs="Arial"/>
          <w:sz w:val="19"/>
          <w:szCs w:val="19"/>
        </w:rPr>
        <w:t xml:space="preserve"> 24</w:t>
      </w:r>
      <w:r w:rsidR="00F431F8" w:rsidRPr="00853EA1">
        <w:rPr>
          <w:rFonts w:ascii="Arial" w:hAnsi="Arial" w:cs="Arial"/>
          <w:sz w:val="19"/>
          <w:szCs w:val="19"/>
        </w:rPr>
        <w:t>.</w:t>
      </w:r>
      <w:r w:rsidR="00D14E05" w:rsidRPr="00853EA1">
        <w:rPr>
          <w:rFonts w:ascii="Arial" w:hAnsi="Arial" w:cs="Arial"/>
          <w:sz w:val="19"/>
          <w:szCs w:val="19"/>
        </w:rPr>
        <w:t xml:space="preserve">743. </w:t>
      </w:r>
      <w:r w:rsidR="00F431F8" w:rsidRPr="00853EA1">
        <w:rPr>
          <w:rFonts w:ascii="Arial" w:hAnsi="Arial" w:cs="Arial"/>
          <w:sz w:val="19"/>
          <w:szCs w:val="19"/>
        </w:rPr>
        <w:t>C</w:t>
      </w:r>
      <w:r w:rsidR="00D14E05" w:rsidRPr="00853EA1">
        <w:rPr>
          <w:rFonts w:ascii="Arial" w:hAnsi="Arial" w:cs="Arial"/>
          <w:sz w:val="19"/>
          <w:szCs w:val="19"/>
        </w:rPr>
        <w:t xml:space="preserve">.P. Danilo Rojas Betancourth. </w:t>
      </w:r>
    </w:p>
  </w:footnote>
  <w:footnote w:id="5">
    <w:p w14:paraId="333EAC65" w14:textId="327919C4" w:rsidR="00564BAD" w:rsidRPr="00905562" w:rsidRDefault="00564BAD" w:rsidP="0016260B">
      <w:pPr>
        <w:pStyle w:val="Textonotapie"/>
        <w:spacing w:before="0" w:after="0" w:line="240" w:lineRule="auto"/>
        <w:ind w:firstLine="708"/>
        <w:rPr>
          <w:rFonts w:ascii="Arial" w:hAnsi="Arial" w:cs="Arial"/>
          <w:sz w:val="19"/>
          <w:szCs w:val="19"/>
        </w:rPr>
      </w:pPr>
      <w:r w:rsidRPr="00905562">
        <w:rPr>
          <w:rStyle w:val="Refdenotaalpie"/>
          <w:rFonts w:ascii="Arial" w:hAnsi="Arial" w:cs="Arial"/>
          <w:sz w:val="19"/>
          <w:szCs w:val="19"/>
        </w:rPr>
        <w:footnoteRef/>
      </w:r>
      <w:r w:rsidRPr="00905562">
        <w:rPr>
          <w:rFonts w:ascii="Arial" w:hAnsi="Arial" w:cs="Arial"/>
          <w:sz w:val="19"/>
          <w:szCs w:val="19"/>
        </w:rPr>
        <w:t xml:space="preserve"> Ibídem.  </w:t>
      </w:r>
    </w:p>
    <w:p w14:paraId="6ADE4FD7" w14:textId="77777777" w:rsidR="006C28DF" w:rsidRPr="00853EA1" w:rsidRDefault="006C28DF" w:rsidP="0016260B">
      <w:pPr>
        <w:pStyle w:val="Textonotapie"/>
        <w:spacing w:before="0" w:after="0" w:line="240" w:lineRule="auto"/>
        <w:ind w:firstLine="708"/>
        <w:rPr>
          <w:rFonts w:ascii="Arial" w:hAnsi="Arial" w:cs="Arial"/>
          <w:sz w:val="19"/>
          <w:szCs w:val="19"/>
          <w:lang w:val="es-ES"/>
        </w:rPr>
      </w:pPr>
    </w:p>
  </w:footnote>
  <w:footnote w:id="6">
    <w:p w14:paraId="5899EEB5" w14:textId="77777777" w:rsidR="00084DC1" w:rsidRPr="00905562" w:rsidRDefault="00084DC1" w:rsidP="00905562">
      <w:pPr>
        <w:pStyle w:val="Textonotapie"/>
        <w:spacing w:before="0" w:after="0" w:line="240" w:lineRule="auto"/>
        <w:rPr>
          <w:rFonts w:ascii="Arial" w:hAnsi="Arial" w:cs="Arial"/>
          <w:color w:val="000000" w:themeColor="text1"/>
          <w:sz w:val="19"/>
          <w:szCs w:val="19"/>
        </w:rPr>
      </w:pPr>
      <w:r w:rsidRPr="00853EA1">
        <w:rPr>
          <w:rFonts w:ascii="Arial" w:hAnsi="Arial" w:cs="Arial"/>
          <w:iCs/>
          <w:color w:val="000000" w:themeColor="text1"/>
          <w:sz w:val="19"/>
          <w:szCs w:val="19"/>
        </w:rPr>
        <w:tab/>
      </w:r>
      <w:r w:rsidRPr="00905562">
        <w:rPr>
          <w:rFonts w:ascii="Arial" w:hAnsi="Arial" w:cs="Arial"/>
          <w:iCs/>
          <w:color w:val="000000" w:themeColor="text1"/>
          <w:sz w:val="19"/>
          <w:szCs w:val="19"/>
          <w:vertAlign w:val="superscript"/>
        </w:rPr>
        <w:footnoteRef/>
      </w:r>
      <w:r w:rsidRPr="00905562">
        <w:rPr>
          <w:rFonts w:ascii="Arial" w:hAnsi="Arial" w:cs="Arial"/>
          <w:iCs/>
          <w:color w:val="000000" w:themeColor="text1"/>
          <w:sz w:val="19"/>
          <w:szCs w:val="19"/>
        </w:rPr>
        <w:t xml:space="preserve"> Motivo por el cual son típicas cláusulas accidentales dentro de los contratos estatales, en los términos del artículo 1501 del Código Civil.</w:t>
      </w:r>
    </w:p>
  </w:footnote>
  <w:footnote w:id="7">
    <w:p w14:paraId="33839A1A" w14:textId="1795AE8A" w:rsidR="00084DC1" w:rsidRPr="00905562" w:rsidRDefault="00084DC1" w:rsidP="00905562">
      <w:pPr>
        <w:pStyle w:val="Textonotapie"/>
        <w:spacing w:before="0" w:after="0" w:line="240" w:lineRule="auto"/>
        <w:ind w:firstLine="708"/>
        <w:rPr>
          <w:rFonts w:ascii="Arial" w:hAnsi="Arial" w:cs="Arial"/>
          <w:color w:val="000000" w:themeColor="text1"/>
          <w:sz w:val="19"/>
          <w:szCs w:val="19"/>
        </w:rPr>
      </w:pPr>
      <w:r w:rsidRPr="00905562">
        <w:rPr>
          <w:rStyle w:val="Refdenotaalpie"/>
          <w:rFonts w:ascii="Arial" w:hAnsi="Arial" w:cs="Arial"/>
          <w:color w:val="000000" w:themeColor="text1"/>
          <w:sz w:val="19"/>
          <w:szCs w:val="19"/>
        </w:rPr>
        <w:footnoteRef/>
      </w:r>
      <w:r w:rsidRPr="00905562">
        <w:rPr>
          <w:rFonts w:ascii="Arial" w:hAnsi="Arial" w:cs="Arial"/>
          <w:color w:val="000000" w:themeColor="text1"/>
          <w:sz w:val="19"/>
          <w:szCs w:val="19"/>
        </w:rPr>
        <w:t xml:space="preserve"> Consejo de Estado. Sección Tercera. Exp. 17.009. M.P. Enrique Gil Botero.</w:t>
      </w:r>
    </w:p>
  </w:footnote>
  <w:footnote w:id="8">
    <w:p w14:paraId="5ABBA31F" w14:textId="2F788C58" w:rsidR="00084DC1" w:rsidRPr="00853EA1" w:rsidRDefault="00084DC1" w:rsidP="00905562">
      <w:pPr>
        <w:pStyle w:val="Textonotapie"/>
        <w:spacing w:before="0" w:after="0" w:line="240" w:lineRule="auto"/>
        <w:ind w:firstLine="708"/>
        <w:rPr>
          <w:rFonts w:ascii="Arial" w:hAnsi="Arial" w:cs="Arial"/>
          <w:color w:val="000000" w:themeColor="text1"/>
          <w:sz w:val="19"/>
          <w:szCs w:val="19"/>
        </w:rPr>
      </w:pPr>
      <w:r w:rsidRPr="00905562">
        <w:rPr>
          <w:rStyle w:val="Refdenotaalpie"/>
          <w:rFonts w:ascii="Arial" w:hAnsi="Arial" w:cs="Arial"/>
          <w:color w:val="000000" w:themeColor="text1"/>
          <w:sz w:val="19"/>
          <w:szCs w:val="19"/>
        </w:rPr>
        <w:footnoteRef/>
      </w:r>
      <w:r w:rsidRPr="00905562">
        <w:rPr>
          <w:rFonts w:ascii="Arial" w:hAnsi="Arial" w:cs="Arial"/>
          <w:color w:val="000000" w:themeColor="text1"/>
          <w:sz w:val="19"/>
          <w:szCs w:val="19"/>
        </w:rPr>
        <w:t xml:space="preserve"> Corte Constitucional. Sentencia C-827 de 2001. M.P. Álvaro Tafur Galvis.</w:t>
      </w:r>
    </w:p>
    <w:p w14:paraId="3EACDF97" w14:textId="77777777" w:rsidR="005A6792" w:rsidRPr="00853EA1" w:rsidRDefault="005A6792">
      <w:pPr>
        <w:pStyle w:val="Textonotapie"/>
        <w:spacing w:before="0" w:after="0" w:line="240" w:lineRule="auto"/>
        <w:ind w:firstLine="708"/>
        <w:rPr>
          <w:rFonts w:ascii="Arial" w:hAnsi="Arial" w:cs="Arial"/>
          <w:color w:val="000000" w:themeColor="text1"/>
          <w:sz w:val="19"/>
          <w:szCs w:val="19"/>
        </w:rPr>
      </w:pPr>
    </w:p>
  </w:footnote>
  <w:footnote w:id="9">
    <w:p w14:paraId="6B6DC7A2" w14:textId="2FB6DD4A" w:rsidR="00084DC1" w:rsidRPr="00853EA1" w:rsidRDefault="00084DC1">
      <w:pPr>
        <w:pStyle w:val="Textonotapie"/>
        <w:spacing w:before="0" w:after="0" w:line="240" w:lineRule="auto"/>
        <w:rPr>
          <w:rFonts w:ascii="Arial" w:hAnsi="Arial" w:cs="Arial"/>
          <w:color w:val="000000" w:themeColor="text1"/>
          <w:sz w:val="19"/>
          <w:szCs w:val="19"/>
        </w:rPr>
      </w:pPr>
      <w:r w:rsidRPr="00853EA1">
        <w:rPr>
          <w:rFonts w:ascii="Arial" w:hAnsi="Arial" w:cs="Arial"/>
          <w:color w:val="000000" w:themeColor="text1"/>
          <w:sz w:val="19"/>
          <w:szCs w:val="19"/>
          <w:vertAlign w:val="superscript"/>
        </w:rPr>
        <w:tab/>
      </w:r>
      <w:r w:rsidRPr="00905562">
        <w:rPr>
          <w:rFonts w:ascii="Arial" w:hAnsi="Arial" w:cs="Arial"/>
          <w:color w:val="000000" w:themeColor="text1"/>
          <w:sz w:val="19"/>
          <w:szCs w:val="19"/>
          <w:vertAlign w:val="superscript"/>
        </w:rPr>
        <w:footnoteRef/>
      </w:r>
      <w:r w:rsidRPr="00905562">
        <w:rPr>
          <w:rFonts w:ascii="Arial" w:hAnsi="Arial" w:cs="Arial"/>
          <w:color w:val="000000" w:themeColor="text1"/>
          <w:sz w:val="19"/>
          <w:szCs w:val="19"/>
          <w:vertAlign w:val="superscript"/>
        </w:rPr>
        <w:t xml:space="preserve"> </w:t>
      </w:r>
      <w:r w:rsidR="00D14E05" w:rsidRPr="00905562">
        <w:rPr>
          <w:rFonts w:ascii="Arial" w:hAnsi="Arial" w:cs="Arial"/>
          <w:color w:val="000000" w:themeColor="text1"/>
          <w:sz w:val="19"/>
          <w:szCs w:val="19"/>
          <w:vertAlign w:val="superscript"/>
        </w:rPr>
        <w:t xml:space="preserve"> </w:t>
      </w:r>
      <w:r w:rsidR="00D14E05" w:rsidRPr="00853EA1">
        <w:rPr>
          <w:rFonts w:ascii="Arial" w:hAnsi="Arial" w:cs="Arial"/>
          <w:color w:val="000000" w:themeColor="text1"/>
          <w:sz w:val="19"/>
          <w:szCs w:val="19"/>
        </w:rPr>
        <w:t>S</w:t>
      </w:r>
      <w:r w:rsidRPr="00853EA1">
        <w:rPr>
          <w:rFonts w:ascii="Arial" w:hAnsi="Arial" w:cs="Arial"/>
          <w:color w:val="000000" w:themeColor="text1"/>
          <w:sz w:val="19"/>
          <w:szCs w:val="19"/>
        </w:rPr>
        <w:t>entencia del 13 de noviembre de 2008</w:t>
      </w:r>
      <w:r w:rsidR="005A6792" w:rsidRPr="00853EA1">
        <w:rPr>
          <w:rFonts w:ascii="Arial" w:hAnsi="Arial" w:cs="Arial"/>
          <w:color w:val="000000" w:themeColor="text1"/>
          <w:sz w:val="19"/>
          <w:szCs w:val="19"/>
        </w:rPr>
        <w:t>.</w:t>
      </w:r>
      <w:r w:rsidRPr="00853EA1">
        <w:rPr>
          <w:rFonts w:ascii="Arial" w:hAnsi="Arial" w:cs="Arial"/>
          <w:color w:val="000000" w:themeColor="text1"/>
          <w:sz w:val="19"/>
          <w:szCs w:val="19"/>
        </w:rPr>
        <w:t xml:space="preserve"> </w:t>
      </w:r>
      <w:r w:rsidR="005A6792" w:rsidRPr="00853EA1">
        <w:rPr>
          <w:rFonts w:ascii="Arial" w:hAnsi="Arial" w:cs="Arial"/>
          <w:color w:val="000000" w:themeColor="text1"/>
          <w:sz w:val="19"/>
          <w:szCs w:val="19"/>
        </w:rPr>
        <w:t>Exp.</w:t>
      </w:r>
      <w:r w:rsidRPr="00853EA1">
        <w:rPr>
          <w:rFonts w:ascii="Arial" w:hAnsi="Arial" w:cs="Arial"/>
          <w:color w:val="000000" w:themeColor="text1"/>
          <w:sz w:val="19"/>
          <w:szCs w:val="19"/>
        </w:rPr>
        <w:t xml:space="preserve"> 17.009</w:t>
      </w:r>
      <w:r w:rsidR="005A6792" w:rsidRPr="00853EA1">
        <w:rPr>
          <w:rFonts w:ascii="Arial" w:hAnsi="Arial" w:cs="Arial"/>
          <w:color w:val="000000" w:themeColor="text1"/>
          <w:sz w:val="19"/>
          <w:szCs w:val="19"/>
        </w:rPr>
        <w:t>.</w:t>
      </w:r>
      <w:r w:rsidRPr="00853EA1">
        <w:rPr>
          <w:rFonts w:ascii="Arial" w:hAnsi="Arial" w:cs="Arial"/>
          <w:color w:val="000000" w:themeColor="text1"/>
          <w:sz w:val="19"/>
          <w:szCs w:val="19"/>
        </w:rPr>
        <w:t xml:space="preserve"> C.P. Enrique Gil Botero.</w:t>
      </w:r>
    </w:p>
  </w:footnote>
  <w:footnote w:id="10">
    <w:p w14:paraId="07B9A1BA" w14:textId="376077E5" w:rsidR="00FA20BE" w:rsidRPr="00853EA1" w:rsidRDefault="00FA20BE" w:rsidP="0016260B">
      <w:pPr>
        <w:pStyle w:val="Textonotapie"/>
        <w:spacing w:before="0" w:after="0" w:line="240" w:lineRule="auto"/>
        <w:ind w:firstLine="708"/>
        <w:rPr>
          <w:rFonts w:ascii="Arial" w:hAnsi="Arial" w:cs="Arial"/>
          <w:sz w:val="19"/>
          <w:szCs w:val="19"/>
          <w:lang w:val="es-ES"/>
        </w:rPr>
      </w:pPr>
      <w:r w:rsidRPr="00905562">
        <w:rPr>
          <w:rStyle w:val="Refdenotaalpie"/>
          <w:rFonts w:ascii="Arial" w:hAnsi="Arial" w:cs="Arial"/>
          <w:sz w:val="19"/>
          <w:szCs w:val="19"/>
        </w:rPr>
        <w:footnoteRef/>
      </w:r>
      <w:r w:rsidRPr="00905562">
        <w:rPr>
          <w:rFonts w:ascii="Arial" w:hAnsi="Arial" w:cs="Arial"/>
          <w:sz w:val="19"/>
          <w:szCs w:val="19"/>
        </w:rPr>
        <w:t xml:space="preserve"> Corte Constitucional. Sentencia C-317 de 2012. M.P. María Victoria Calle Correa. </w:t>
      </w:r>
    </w:p>
  </w:footnote>
  <w:footnote w:id="11">
    <w:p w14:paraId="627F9B4C" w14:textId="5166EB35" w:rsidR="00853EA1" w:rsidRDefault="00084DC1" w:rsidP="00853EA1">
      <w:pPr>
        <w:pStyle w:val="Textonotapie"/>
        <w:spacing w:before="0" w:after="0" w:line="240" w:lineRule="auto"/>
        <w:ind w:firstLine="708"/>
        <w:rPr>
          <w:rFonts w:ascii="Arial" w:hAnsi="Arial" w:cs="Arial"/>
          <w:color w:val="000000" w:themeColor="text1"/>
          <w:sz w:val="19"/>
          <w:szCs w:val="19"/>
        </w:rPr>
      </w:pPr>
      <w:r w:rsidRPr="00905562">
        <w:rPr>
          <w:rStyle w:val="Refdenotaalpie"/>
          <w:rFonts w:ascii="Arial" w:hAnsi="Arial" w:cs="Arial"/>
          <w:color w:val="000000" w:themeColor="text1"/>
          <w:sz w:val="19"/>
          <w:szCs w:val="19"/>
        </w:rPr>
        <w:footnoteRef/>
      </w:r>
      <w:r w:rsidRPr="00905562">
        <w:rPr>
          <w:rFonts w:ascii="Arial" w:hAnsi="Arial" w:cs="Arial"/>
          <w:color w:val="000000" w:themeColor="text1"/>
          <w:sz w:val="19"/>
          <w:szCs w:val="19"/>
        </w:rPr>
        <w:t xml:space="preserve"> Corte Constitucional. Sentencia C-499 de 2015. M.P. Mauricio González Cuervo.</w:t>
      </w:r>
    </w:p>
    <w:p w14:paraId="745A231F" w14:textId="77777777" w:rsidR="00853EA1" w:rsidRPr="00905562" w:rsidRDefault="00853EA1" w:rsidP="00905562">
      <w:pPr>
        <w:pStyle w:val="Textonotapie"/>
        <w:spacing w:before="0" w:after="0" w:line="240" w:lineRule="auto"/>
        <w:ind w:firstLine="708"/>
        <w:rPr>
          <w:rFonts w:ascii="Arial" w:hAnsi="Arial" w:cs="Arial"/>
          <w:color w:val="000000" w:themeColor="text1"/>
          <w:sz w:val="19"/>
          <w:szCs w:val="19"/>
        </w:rPr>
      </w:pPr>
    </w:p>
  </w:footnote>
  <w:footnote w:id="12">
    <w:p w14:paraId="635C0417" w14:textId="7F35BB1F" w:rsidR="00853EA1" w:rsidRPr="0016260B" w:rsidRDefault="00853EA1" w:rsidP="0016260B">
      <w:pPr>
        <w:pStyle w:val="Textonotapie"/>
        <w:spacing w:before="0" w:after="0" w:line="240" w:lineRule="auto"/>
        <w:ind w:firstLine="708"/>
        <w:rPr>
          <w:rFonts w:ascii="Arial" w:hAnsi="Arial" w:cs="Arial"/>
          <w:sz w:val="19"/>
          <w:szCs w:val="19"/>
        </w:rPr>
      </w:pPr>
      <w:r>
        <w:rPr>
          <w:rStyle w:val="Refdenotaalpie"/>
        </w:rPr>
        <w:footnoteRef/>
      </w:r>
      <w:r>
        <w:t xml:space="preserve"> </w:t>
      </w:r>
      <w:r w:rsidRPr="0016260B">
        <w:rPr>
          <w:rFonts w:ascii="Arial" w:hAnsi="Arial" w:cs="Arial"/>
          <w:sz w:val="19"/>
          <w:szCs w:val="19"/>
        </w:rPr>
        <w:t xml:space="preserve">El inciso primero del último artículo establece: «Artículo 13. </w:t>
      </w:r>
      <w:bookmarkStart w:id="2" w:name="13"/>
      <w:r>
        <w:rPr>
          <w:rFonts w:ascii="Arial" w:hAnsi="Arial" w:cs="Arial"/>
          <w:sz w:val="19"/>
          <w:szCs w:val="19"/>
        </w:rPr>
        <w:t>D</w:t>
      </w:r>
      <w:r w:rsidRPr="00905562">
        <w:rPr>
          <w:rFonts w:ascii="Arial" w:hAnsi="Arial" w:cs="Arial"/>
          <w:sz w:val="19"/>
          <w:szCs w:val="19"/>
        </w:rPr>
        <w:t>e la normatividad aplicable a los contratos estatales</w:t>
      </w:r>
      <w:r w:rsidRPr="0016260B">
        <w:rPr>
          <w:rFonts w:ascii="Arial" w:hAnsi="Arial" w:cs="Arial"/>
          <w:sz w:val="19"/>
          <w:szCs w:val="19"/>
        </w:rPr>
        <w:t>.</w:t>
      </w:r>
      <w:bookmarkEnd w:id="2"/>
      <w:r w:rsidRPr="0016260B">
        <w:rPr>
          <w:rFonts w:ascii="Arial" w:hAnsi="Arial" w:cs="Arial"/>
          <w:sz w:val="19"/>
          <w:szCs w:val="19"/>
        </w:rPr>
        <w:t> Los contratos que celebren las entidades a que se refiere el artículo </w:t>
      </w:r>
      <w:hyperlink r:id="rId1" w:anchor="2" w:history="1">
        <w:r w:rsidRPr="0016260B">
          <w:rPr>
            <w:rFonts w:ascii="Arial" w:hAnsi="Arial" w:cs="Arial"/>
            <w:sz w:val="19"/>
            <w:szCs w:val="19"/>
          </w:rPr>
          <w:t>2</w:t>
        </w:r>
      </w:hyperlink>
      <w:r w:rsidRPr="0016260B">
        <w:rPr>
          <w:rFonts w:ascii="Arial" w:hAnsi="Arial" w:cs="Arial"/>
          <w:sz w:val="19"/>
          <w:szCs w:val="19"/>
        </w:rPr>
        <w:t>o. del presente estatuto se regirán por las disposiciones comerciales y civiles pertinentes, salvo en las materias particularmente reguladas en esta ley».</w:t>
      </w:r>
    </w:p>
    <w:p w14:paraId="1206D9F7" w14:textId="77777777" w:rsidR="00853EA1" w:rsidRPr="0016260B" w:rsidRDefault="00853EA1" w:rsidP="0016260B">
      <w:pPr>
        <w:pStyle w:val="Textonotapie"/>
        <w:spacing w:before="0" w:after="0" w:line="240" w:lineRule="auto"/>
        <w:ind w:firstLine="708"/>
        <w:rPr>
          <w:rFonts w:ascii="Arial" w:hAnsi="Arial" w:cs="Arial"/>
          <w:sz w:val="19"/>
          <w:szCs w:val="19"/>
        </w:rPr>
      </w:pPr>
    </w:p>
  </w:footnote>
  <w:footnote w:id="13">
    <w:p w14:paraId="145DEB01" w14:textId="012C0379" w:rsidR="00853EA1" w:rsidRPr="0016260B" w:rsidRDefault="00823F6F" w:rsidP="00905562">
      <w:pPr>
        <w:pStyle w:val="Textonotapie"/>
        <w:spacing w:before="0" w:after="0" w:line="240" w:lineRule="auto"/>
        <w:ind w:firstLine="708"/>
        <w:rPr>
          <w:rFonts w:ascii="Arial" w:hAnsi="Arial" w:cs="Arial"/>
          <w:sz w:val="19"/>
          <w:szCs w:val="19"/>
        </w:rPr>
      </w:pPr>
      <w:r w:rsidRPr="0016260B">
        <w:rPr>
          <w:rStyle w:val="Refdenotaalpie"/>
          <w:rFonts w:ascii="Arial" w:hAnsi="Arial" w:cs="Arial"/>
          <w:sz w:val="19"/>
          <w:szCs w:val="19"/>
        </w:rPr>
        <w:footnoteRef/>
      </w:r>
      <w:r w:rsidRPr="0016260B">
        <w:rPr>
          <w:rFonts w:ascii="Arial" w:hAnsi="Arial" w:cs="Arial"/>
          <w:sz w:val="19"/>
          <w:szCs w:val="19"/>
        </w:rPr>
        <w:t xml:space="preserve"> </w:t>
      </w:r>
      <w:r w:rsidR="00853EA1" w:rsidRPr="0016260B">
        <w:rPr>
          <w:rFonts w:ascii="Arial" w:hAnsi="Arial" w:cs="Arial"/>
          <w:sz w:val="19"/>
          <w:szCs w:val="19"/>
        </w:rPr>
        <w:t>«Artículo 1596. Rebaja de pena por cumplimiento parcial. Si el deudor cumple solamente una parte de la obligación principal y el acreedor acepta esta parte, tendrá derecho para que se rebaje proporcionalmente la pena estipulada por falta de cumplimiento de la obligación principal».</w:t>
      </w:r>
    </w:p>
    <w:p w14:paraId="02AEA63C" w14:textId="77777777" w:rsidR="00853EA1" w:rsidRPr="0016260B" w:rsidRDefault="00853EA1" w:rsidP="0016260B">
      <w:pPr>
        <w:pStyle w:val="Textonotapie"/>
        <w:spacing w:before="0" w:after="0" w:line="240" w:lineRule="auto"/>
        <w:ind w:firstLine="708"/>
        <w:rPr>
          <w:rFonts w:ascii="Arial" w:hAnsi="Arial" w:cs="Arial"/>
          <w:sz w:val="19"/>
          <w:szCs w:val="19"/>
          <w:lang w:val="es-CO"/>
        </w:rPr>
      </w:pPr>
    </w:p>
  </w:footnote>
  <w:footnote w:id="14">
    <w:p w14:paraId="0EF4BF30" w14:textId="77777777" w:rsidR="00853EA1" w:rsidRPr="0016260B" w:rsidRDefault="00853EA1" w:rsidP="00905562">
      <w:pPr>
        <w:pStyle w:val="Textonotapie"/>
        <w:spacing w:before="0" w:after="0" w:line="240" w:lineRule="auto"/>
        <w:ind w:firstLine="708"/>
        <w:rPr>
          <w:rFonts w:ascii="Arial" w:hAnsi="Arial" w:cs="Arial"/>
          <w:sz w:val="19"/>
          <w:szCs w:val="19"/>
        </w:rPr>
      </w:pPr>
      <w:r w:rsidRPr="0016260B">
        <w:rPr>
          <w:rStyle w:val="Refdenotaalpie"/>
          <w:rFonts w:ascii="Arial" w:hAnsi="Arial" w:cs="Arial"/>
          <w:sz w:val="19"/>
          <w:szCs w:val="19"/>
        </w:rPr>
        <w:footnoteRef/>
      </w:r>
      <w:r w:rsidRPr="0016260B">
        <w:rPr>
          <w:rFonts w:ascii="Arial" w:hAnsi="Arial" w:cs="Arial"/>
          <w:sz w:val="19"/>
          <w:szCs w:val="19"/>
        </w:rPr>
        <w:t xml:space="preserve"> «Artículo 867. Cuando se estipule el pago de una prestación determinada para el caso de incumplimiento, o de mora, se entenderá que las partes no pueden retractarse. </w:t>
      </w:r>
    </w:p>
    <w:p w14:paraId="07F9594B" w14:textId="1B2230A3" w:rsidR="00853EA1" w:rsidRPr="0016260B" w:rsidRDefault="00853EA1" w:rsidP="00905562">
      <w:pPr>
        <w:pStyle w:val="Textonotapie"/>
        <w:spacing w:before="0" w:after="0" w:line="240" w:lineRule="auto"/>
        <w:ind w:firstLine="708"/>
        <w:rPr>
          <w:rFonts w:ascii="Arial" w:hAnsi="Arial" w:cs="Arial"/>
          <w:sz w:val="19"/>
          <w:szCs w:val="19"/>
        </w:rPr>
      </w:pPr>
      <w:r>
        <w:rPr>
          <w:rFonts w:ascii="Arial" w:hAnsi="Arial" w:cs="Arial"/>
          <w:sz w:val="19"/>
          <w:szCs w:val="19"/>
        </w:rPr>
        <w:t>»</w:t>
      </w:r>
      <w:r w:rsidRPr="0016260B">
        <w:rPr>
          <w:rFonts w:ascii="Arial" w:hAnsi="Arial" w:cs="Arial"/>
          <w:sz w:val="19"/>
          <w:szCs w:val="19"/>
        </w:rPr>
        <w:t xml:space="preserve">Cuando la prestación principal esté determinada o sea determinable en una suma cierta de dinero la pena no podrá ser superior al monto de aquella. </w:t>
      </w:r>
    </w:p>
    <w:p w14:paraId="08D52FFC" w14:textId="689A90DB" w:rsidR="00853EA1" w:rsidRPr="0016260B" w:rsidRDefault="00853EA1">
      <w:pPr>
        <w:pStyle w:val="Textonotapie"/>
        <w:spacing w:before="0" w:after="0" w:line="240" w:lineRule="auto"/>
        <w:ind w:firstLine="708"/>
        <w:rPr>
          <w:rFonts w:ascii="Arial" w:hAnsi="Arial" w:cs="Arial"/>
          <w:sz w:val="19"/>
          <w:szCs w:val="19"/>
        </w:rPr>
      </w:pPr>
      <w:r>
        <w:rPr>
          <w:rFonts w:ascii="Arial" w:hAnsi="Arial" w:cs="Arial"/>
          <w:sz w:val="19"/>
          <w:szCs w:val="19"/>
        </w:rPr>
        <w:t>»</w:t>
      </w:r>
      <w:r w:rsidRPr="0016260B">
        <w:rPr>
          <w:rFonts w:ascii="Arial" w:hAnsi="Arial" w:cs="Arial"/>
          <w:i/>
          <w:iCs/>
          <w:sz w:val="19"/>
          <w:szCs w:val="19"/>
        </w:rPr>
        <w:t>Cuando la prestación principal no esté determinada ni sea determinable en una suma cierta de dinero, podrá el juez reducir equitativamente la pena, si la considera manifiestamente excesiva habida cuenta del interés que tenga el acreedor en que se cumpla la obligación. Lo mismo hará cuando la obligación principal se haya cumplido en parte</w:t>
      </w:r>
      <w:r w:rsidRPr="0016260B">
        <w:rPr>
          <w:rFonts w:ascii="Arial" w:hAnsi="Arial" w:cs="Arial"/>
          <w:sz w:val="19"/>
          <w:szCs w:val="19"/>
        </w:rPr>
        <w:t>»</w:t>
      </w:r>
      <w:r>
        <w:rPr>
          <w:rFonts w:ascii="Arial" w:hAnsi="Arial" w:cs="Arial"/>
          <w:sz w:val="19"/>
          <w:szCs w:val="19"/>
        </w:rPr>
        <w:t xml:space="preserve"> (Cursiva fuera del original)</w:t>
      </w:r>
      <w:r w:rsidRPr="0016260B">
        <w:rPr>
          <w:rFonts w:ascii="Arial" w:hAnsi="Arial" w:cs="Arial"/>
          <w:sz w:val="19"/>
          <w:szCs w:val="19"/>
        </w:rPr>
        <w:t>.</w:t>
      </w:r>
    </w:p>
    <w:p w14:paraId="2A5844F8" w14:textId="77777777" w:rsidR="00853EA1" w:rsidRPr="0016260B" w:rsidRDefault="00853EA1" w:rsidP="0016260B">
      <w:pPr>
        <w:pStyle w:val="Textonotapie"/>
        <w:spacing w:before="0" w:after="0" w:line="240" w:lineRule="auto"/>
        <w:ind w:firstLine="708"/>
        <w:rPr>
          <w:rFonts w:ascii="Arial" w:hAnsi="Arial" w:cs="Arial"/>
          <w:sz w:val="19"/>
          <w:szCs w:val="19"/>
          <w:lang w:val="es-CO"/>
        </w:rPr>
      </w:pPr>
    </w:p>
  </w:footnote>
  <w:footnote w:id="15">
    <w:p w14:paraId="492BAE8F" w14:textId="3D5C97E2" w:rsidR="007B637A" w:rsidRPr="007B637A" w:rsidRDefault="007B637A" w:rsidP="007B637A">
      <w:pPr>
        <w:pStyle w:val="Textonotapie"/>
        <w:ind w:firstLine="708"/>
        <w:rPr>
          <w:rFonts w:ascii="Arial" w:hAnsi="Arial" w:cs="Arial"/>
          <w:sz w:val="19"/>
          <w:szCs w:val="19"/>
          <w:lang w:val="es-ES"/>
        </w:rPr>
      </w:pPr>
      <w:r w:rsidRPr="007B637A">
        <w:rPr>
          <w:rStyle w:val="Refdenotaalpie"/>
          <w:rFonts w:ascii="Arial" w:hAnsi="Arial" w:cs="Arial"/>
          <w:sz w:val="19"/>
          <w:szCs w:val="19"/>
        </w:rPr>
        <w:footnoteRef/>
      </w:r>
      <w:r w:rsidRPr="007B637A">
        <w:rPr>
          <w:rFonts w:ascii="Arial" w:hAnsi="Arial" w:cs="Arial"/>
          <w:sz w:val="19"/>
          <w:szCs w:val="19"/>
        </w:rPr>
        <w:t xml:space="preserve">  </w:t>
      </w:r>
      <w:r>
        <w:rPr>
          <w:rFonts w:ascii="Arial" w:hAnsi="Arial" w:cs="Arial"/>
          <w:sz w:val="19"/>
          <w:szCs w:val="19"/>
        </w:rPr>
        <w:t xml:space="preserve">CONSEJO DE ESTADO. Sección Tercera. Sentencia del 13 de Noviembre de 2008. Exp: 17.009 C.P. Enrique Gil Botero. </w:t>
      </w:r>
    </w:p>
  </w:footnote>
  <w:footnote w:id="16">
    <w:p w14:paraId="5DEE6154" w14:textId="77777777" w:rsidR="00FA20BE" w:rsidRPr="00905562" w:rsidRDefault="00FA20BE" w:rsidP="0016260B">
      <w:pPr>
        <w:pStyle w:val="Textonotapie"/>
        <w:spacing w:before="0" w:after="0" w:line="240" w:lineRule="auto"/>
        <w:ind w:firstLine="708"/>
        <w:rPr>
          <w:rFonts w:ascii="Arial" w:hAnsi="Arial" w:cs="Arial"/>
          <w:sz w:val="19"/>
          <w:szCs w:val="19"/>
          <w:lang w:val="es-ES"/>
        </w:rPr>
      </w:pPr>
      <w:r w:rsidRPr="00905562">
        <w:rPr>
          <w:rStyle w:val="Refdenotaalpie"/>
          <w:rFonts w:ascii="Arial" w:hAnsi="Arial" w:cs="Arial"/>
          <w:sz w:val="19"/>
          <w:szCs w:val="19"/>
        </w:rPr>
        <w:footnoteRef/>
      </w:r>
      <w:r w:rsidRPr="00905562">
        <w:rPr>
          <w:rFonts w:ascii="Arial" w:hAnsi="Arial" w:cs="Arial"/>
          <w:sz w:val="19"/>
          <w:szCs w:val="19"/>
        </w:rPr>
        <w:t xml:space="preserve"> Corte Constitucional. Sentencia C-317 de 2012. M.P. María Victoria Calle Correa.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9D3CF6" w:rsidRDefault="009D3CF6">
    <w:pPr>
      <w:pStyle w:val="Encabezado"/>
    </w:pPr>
    <w:r>
      <w:rPr>
        <w:noProof/>
        <w:lang w:val="es-CO" w:eastAsia="es-CO"/>
      </w:rPr>
      <w:drawing>
        <wp:anchor distT="0" distB="0" distL="114300" distR="114300" simplePos="0" relativeHeight="251661312" behindDoc="1" locked="0" layoutInCell="1" allowOverlap="1" wp14:anchorId="1A706351" wp14:editId="4EED25DA">
          <wp:simplePos x="0" y="0"/>
          <wp:positionH relativeFrom="margin">
            <wp:align>right</wp:align>
          </wp:positionH>
          <wp:positionV relativeFrom="paragraph">
            <wp:posOffset>363330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C06310"/>
    <w:multiLevelType w:val="multilevel"/>
    <w:tmpl w:val="FF4A413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6"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3"/>
  </w:num>
  <w:num w:numId="2">
    <w:abstractNumId w:val="2"/>
  </w:num>
  <w:num w:numId="3">
    <w:abstractNumId w:val="4"/>
  </w:num>
  <w:num w:numId="4">
    <w:abstractNumId w:val="5"/>
  </w:num>
  <w:num w:numId="5">
    <w:abstractNumId w:val="7"/>
  </w:num>
  <w:num w:numId="6">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15E80"/>
    <w:rsid w:val="00017253"/>
    <w:rsid w:val="000210DF"/>
    <w:rsid w:val="00042884"/>
    <w:rsid w:val="0004769B"/>
    <w:rsid w:val="000641A8"/>
    <w:rsid w:val="0006474E"/>
    <w:rsid w:val="00084B97"/>
    <w:rsid w:val="00084DC1"/>
    <w:rsid w:val="00087EF7"/>
    <w:rsid w:val="000942EB"/>
    <w:rsid w:val="000B103F"/>
    <w:rsid w:val="000E5CA8"/>
    <w:rsid w:val="000F14E8"/>
    <w:rsid w:val="00103915"/>
    <w:rsid w:val="00113410"/>
    <w:rsid w:val="001155B8"/>
    <w:rsid w:val="0011766B"/>
    <w:rsid w:val="00120D67"/>
    <w:rsid w:val="00122B23"/>
    <w:rsid w:val="00122B9A"/>
    <w:rsid w:val="00137FFA"/>
    <w:rsid w:val="00141B41"/>
    <w:rsid w:val="00151F08"/>
    <w:rsid w:val="0016260B"/>
    <w:rsid w:val="00180188"/>
    <w:rsid w:val="00190961"/>
    <w:rsid w:val="001914D7"/>
    <w:rsid w:val="001A0A19"/>
    <w:rsid w:val="001A0E7A"/>
    <w:rsid w:val="001A7421"/>
    <w:rsid w:val="001B0444"/>
    <w:rsid w:val="001B2DAD"/>
    <w:rsid w:val="001D30D8"/>
    <w:rsid w:val="00200BB9"/>
    <w:rsid w:val="0020632A"/>
    <w:rsid w:val="002110EB"/>
    <w:rsid w:val="00211338"/>
    <w:rsid w:val="00220E20"/>
    <w:rsid w:val="002339D3"/>
    <w:rsid w:val="00234B84"/>
    <w:rsid w:val="00236F9E"/>
    <w:rsid w:val="002503AB"/>
    <w:rsid w:val="00257510"/>
    <w:rsid w:val="002745D0"/>
    <w:rsid w:val="002773DE"/>
    <w:rsid w:val="002914E1"/>
    <w:rsid w:val="002C223B"/>
    <w:rsid w:val="002C4C0C"/>
    <w:rsid w:val="002C5EA4"/>
    <w:rsid w:val="002F4470"/>
    <w:rsid w:val="002F566C"/>
    <w:rsid w:val="003033BA"/>
    <w:rsid w:val="0030589C"/>
    <w:rsid w:val="00322937"/>
    <w:rsid w:val="00323674"/>
    <w:rsid w:val="0034177C"/>
    <w:rsid w:val="00346701"/>
    <w:rsid w:val="0034680A"/>
    <w:rsid w:val="00350DA7"/>
    <w:rsid w:val="00353DD5"/>
    <w:rsid w:val="00355084"/>
    <w:rsid w:val="00381F34"/>
    <w:rsid w:val="00386456"/>
    <w:rsid w:val="003901B3"/>
    <w:rsid w:val="003A0878"/>
    <w:rsid w:val="003A581E"/>
    <w:rsid w:val="003A5E82"/>
    <w:rsid w:val="003B027A"/>
    <w:rsid w:val="003B267F"/>
    <w:rsid w:val="003D3D9D"/>
    <w:rsid w:val="00413C8D"/>
    <w:rsid w:val="00423F9F"/>
    <w:rsid w:val="00425FD7"/>
    <w:rsid w:val="00426263"/>
    <w:rsid w:val="00434140"/>
    <w:rsid w:val="004422D6"/>
    <w:rsid w:val="0044490E"/>
    <w:rsid w:val="0046562C"/>
    <w:rsid w:val="0046603E"/>
    <w:rsid w:val="00480D03"/>
    <w:rsid w:val="00490A62"/>
    <w:rsid w:val="00491150"/>
    <w:rsid w:val="0049241A"/>
    <w:rsid w:val="004A0F49"/>
    <w:rsid w:val="004A34D2"/>
    <w:rsid w:val="004B32D7"/>
    <w:rsid w:val="005034C3"/>
    <w:rsid w:val="00504B77"/>
    <w:rsid w:val="0051074C"/>
    <w:rsid w:val="00513AF2"/>
    <w:rsid w:val="00520EAA"/>
    <w:rsid w:val="005216C1"/>
    <w:rsid w:val="00525FE7"/>
    <w:rsid w:val="00532900"/>
    <w:rsid w:val="0054413A"/>
    <w:rsid w:val="005564CA"/>
    <w:rsid w:val="0056182B"/>
    <w:rsid w:val="005622EB"/>
    <w:rsid w:val="00563A7C"/>
    <w:rsid w:val="00564BAD"/>
    <w:rsid w:val="005743F2"/>
    <w:rsid w:val="005756AA"/>
    <w:rsid w:val="00576A5A"/>
    <w:rsid w:val="00581B53"/>
    <w:rsid w:val="005835D8"/>
    <w:rsid w:val="00584E71"/>
    <w:rsid w:val="00596896"/>
    <w:rsid w:val="005A6792"/>
    <w:rsid w:val="005B5BE2"/>
    <w:rsid w:val="005D35B6"/>
    <w:rsid w:val="005D4AEF"/>
    <w:rsid w:val="005D51FA"/>
    <w:rsid w:val="005D791B"/>
    <w:rsid w:val="005F3834"/>
    <w:rsid w:val="005F6003"/>
    <w:rsid w:val="00612C51"/>
    <w:rsid w:val="00614817"/>
    <w:rsid w:val="00630D7C"/>
    <w:rsid w:val="00633DBF"/>
    <w:rsid w:val="00655371"/>
    <w:rsid w:val="0067157B"/>
    <w:rsid w:val="00672272"/>
    <w:rsid w:val="00686537"/>
    <w:rsid w:val="00697665"/>
    <w:rsid w:val="006A0EB7"/>
    <w:rsid w:val="006A7CB5"/>
    <w:rsid w:val="006A7FD0"/>
    <w:rsid w:val="006C1BC8"/>
    <w:rsid w:val="006C28DF"/>
    <w:rsid w:val="006C47AA"/>
    <w:rsid w:val="006C6EE9"/>
    <w:rsid w:val="006D7687"/>
    <w:rsid w:val="006E0572"/>
    <w:rsid w:val="006E170C"/>
    <w:rsid w:val="006E1E98"/>
    <w:rsid w:val="006E7A37"/>
    <w:rsid w:val="00705631"/>
    <w:rsid w:val="00715EAA"/>
    <w:rsid w:val="00726C9E"/>
    <w:rsid w:val="00733BCA"/>
    <w:rsid w:val="0073441F"/>
    <w:rsid w:val="00734675"/>
    <w:rsid w:val="00742DD2"/>
    <w:rsid w:val="00746E08"/>
    <w:rsid w:val="00747C96"/>
    <w:rsid w:val="0075094E"/>
    <w:rsid w:val="007522E8"/>
    <w:rsid w:val="00753D85"/>
    <w:rsid w:val="0075647A"/>
    <w:rsid w:val="007634AD"/>
    <w:rsid w:val="00775563"/>
    <w:rsid w:val="00776800"/>
    <w:rsid w:val="0078122E"/>
    <w:rsid w:val="00792E66"/>
    <w:rsid w:val="00795647"/>
    <w:rsid w:val="00796927"/>
    <w:rsid w:val="007B0854"/>
    <w:rsid w:val="007B1AD5"/>
    <w:rsid w:val="007B637A"/>
    <w:rsid w:val="007C2357"/>
    <w:rsid w:val="007D6C71"/>
    <w:rsid w:val="007E1312"/>
    <w:rsid w:val="007F0C64"/>
    <w:rsid w:val="007F6B46"/>
    <w:rsid w:val="007F72CB"/>
    <w:rsid w:val="00800C47"/>
    <w:rsid w:val="00802D29"/>
    <w:rsid w:val="0082065D"/>
    <w:rsid w:val="008217B7"/>
    <w:rsid w:val="00823F6F"/>
    <w:rsid w:val="00830303"/>
    <w:rsid w:val="0083119B"/>
    <w:rsid w:val="00836EAB"/>
    <w:rsid w:val="0083EBE9"/>
    <w:rsid w:val="00841799"/>
    <w:rsid w:val="008420C6"/>
    <w:rsid w:val="0085092D"/>
    <w:rsid w:val="00850F79"/>
    <w:rsid w:val="00853EA1"/>
    <w:rsid w:val="00854DB7"/>
    <w:rsid w:val="00861F54"/>
    <w:rsid w:val="008632AF"/>
    <w:rsid w:val="008749A9"/>
    <w:rsid w:val="00881812"/>
    <w:rsid w:val="0088434E"/>
    <w:rsid w:val="0089774F"/>
    <w:rsid w:val="008B3AED"/>
    <w:rsid w:val="008C0C74"/>
    <w:rsid w:val="008D6D49"/>
    <w:rsid w:val="008E1C15"/>
    <w:rsid w:val="008F538E"/>
    <w:rsid w:val="009037EE"/>
    <w:rsid w:val="009047C5"/>
    <w:rsid w:val="00905562"/>
    <w:rsid w:val="00906A56"/>
    <w:rsid w:val="00910B07"/>
    <w:rsid w:val="009173EE"/>
    <w:rsid w:val="0092552C"/>
    <w:rsid w:val="009349EC"/>
    <w:rsid w:val="009428AF"/>
    <w:rsid w:val="00945F6B"/>
    <w:rsid w:val="0095385A"/>
    <w:rsid w:val="009563AD"/>
    <w:rsid w:val="00963CFF"/>
    <w:rsid w:val="00970437"/>
    <w:rsid w:val="00984AB9"/>
    <w:rsid w:val="00994DF5"/>
    <w:rsid w:val="009B512E"/>
    <w:rsid w:val="009B5190"/>
    <w:rsid w:val="009B6580"/>
    <w:rsid w:val="009D3CF6"/>
    <w:rsid w:val="009D4945"/>
    <w:rsid w:val="009E30D4"/>
    <w:rsid w:val="009E64D5"/>
    <w:rsid w:val="009E6921"/>
    <w:rsid w:val="009F0C45"/>
    <w:rsid w:val="009F3BE6"/>
    <w:rsid w:val="009F59C2"/>
    <w:rsid w:val="00A11029"/>
    <w:rsid w:val="00A13886"/>
    <w:rsid w:val="00A24560"/>
    <w:rsid w:val="00A34538"/>
    <w:rsid w:val="00A37FB6"/>
    <w:rsid w:val="00A6764D"/>
    <w:rsid w:val="00A757E2"/>
    <w:rsid w:val="00A8421B"/>
    <w:rsid w:val="00AA08E7"/>
    <w:rsid w:val="00AA442B"/>
    <w:rsid w:val="00AA669D"/>
    <w:rsid w:val="00AB3DA0"/>
    <w:rsid w:val="00AB5C7F"/>
    <w:rsid w:val="00AC514C"/>
    <w:rsid w:val="00AD1A73"/>
    <w:rsid w:val="00AF4944"/>
    <w:rsid w:val="00B000D8"/>
    <w:rsid w:val="00B13EC0"/>
    <w:rsid w:val="00B22E22"/>
    <w:rsid w:val="00B44E8E"/>
    <w:rsid w:val="00B525CB"/>
    <w:rsid w:val="00B56A27"/>
    <w:rsid w:val="00B63872"/>
    <w:rsid w:val="00B63CB2"/>
    <w:rsid w:val="00B64EDB"/>
    <w:rsid w:val="00B71C79"/>
    <w:rsid w:val="00B7315F"/>
    <w:rsid w:val="00B776DD"/>
    <w:rsid w:val="00B91AF0"/>
    <w:rsid w:val="00B91B8E"/>
    <w:rsid w:val="00BC1F6C"/>
    <w:rsid w:val="00BC2704"/>
    <w:rsid w:val="00BD78FE"/>
    <w:rsid w:val="00BF5E9C"/>
    <w:rsid w:val="00C0469E"/>
    <w:rsid w:val="00C27711"/>
    <w:rsid w:val="00C42D0E"/>
    <w:rsid w:val="00C4437C"/>
    <w:rsid w:val="00C67D7D"/>
    <w:rsid w:val="00C8458D"/>
    <w:rsid w:val="00C92B5A"/>
    <w:rsid w:val="00C975A5"/>
    <w:rsid w:val="00C97AAA"/>
    <w:rsid w:val="00CC00CD"/>
    <w:rsid w:val="00D014AE"/>
    <w:rsid w:val="00D01760"/>
    <w:rsid w:val="00D04563"/>
    <w:rsid w:val="00D14E05"/>
    <w:rsid w:val="00D16551"/>
    <w:rsid w:val="00D16E39"/>
    <w:rsid w:val="00D220D3"/>
    <w:rsid w:val="00D223B6"/>
    <w:rsid w:val="00D25608"/>
    <w:rsid w:val="00D35FC1"/>
    <w:rsid w:val="00D60327"/>
    <w:rsid w:val="00D66934"/>
    <w:rsid w:val="00D72E9D"/>
    <w:rsid w:val="00D82CE5"/>
    <w:rsid w:val="00D92770"/>
    <w:rsid w:val="00DA5AB1"/>
    <w:rsid w:val="00DC3544"/>
    <w:rsid w:val="00DC62E5"/>
    <w:rsid w:val="00DD47A2"/>
    <w:rsid w:val="00DD735D"/>
    <w:rsid w:val="00DE3119"/>
    <w:rsid w:val="00DF236B"/>
    <w:rsid w:val="00DF7086"/>
    <w:rsid w:val="00E110FC"/>
    <w:rsid w:val="00E13AB8"/>
    <w:rsid w:val="00E25CB3"/>
    <w:rsid w:val="00E33B62"/>
    <w:rsid w:val="00E36139"/>
    <w:rsid w:val="00E4143A"/>
    <w:rsid w:val="00E41E10"/>
    <w:rsid w:val="00E43624"/>
    <w:rsid w:val="00E54365"/>
    <w:rsid w:val="00E922A2"/>
    <w:rsid w:val="00EA0F85"/>
    <w:rsid w:val="00EA11F5"/>
    <w:rsid w:val="00EB6630"/>
    <w:rsid w:val="00EC081B"/>
    <w:rsid w:val="00EC77E0"/>
    <w:rsid w:val="00ED05A8"/>
    <w:rsid w:val="00EE2C9C"/>
    <w:rsid w:val="00EE59B5"/>
    <w:rsid w:val="00EF169E"/>
    <w:rsid w:val="00EF442A"/>
    <w:rsid w:val="00F00EB4"/>
    <w:rsid w:val="00F04156"/>
    <w:rsid w:val="00F11955"/>
    <w:rsid w:val="00F172E0"/>
    <w:rsid w:val="00F2197E"/>
    <w:rsid w:val="00F428F5"/>
    <w:rsid w:val="00F431F8"/>
    <w:rsid w:val="00F67DBF"/>
    <w:rsid w:val="00F84899"/>
    <w:rsid w:val="00F8557B"/>
    <w:rsid w:val="00F859F0"/>
    <w:rsid w:val="00F90DB0"/>
    <w:rsid w:val="00FA0BE5"/>
    <w:rsid w:val="00FA20BE"/>
    <w:rsid w:val="00FB15FC"/>
    <w:rsid w:val="00FD0F39"/>
    <w:rsid w:val="00FD136B"/>
    <w:rsid w:val="00FD46B4"/>
    <w:rsid w:val="00FE141E"/>
    <w:rsid w:val="00FE42ED"/>
    <w:rsid w:val="00FE7664"/>
    <w:rsid w:val="00FF4BC7"/>
    <w:rsid w:val="01BF2BD7"/>
    <w:rsid w:val="01C714B4"/>
    <w:rsid w:val="06B48492"/>
    <w:rsid w:val="0CF6FB89"/>
    <w:rsid w:val="1BA6DE82"/>
    <w:rsid w:val="29E1FA24"/>
    <w:rsid w:val="32BFA084"/>
    <w:rsid w:val="34E7FC01"/>
    <w:rsid w:val="59E3D15C"/>
    <w:rsid w:val="5AD45B8E"/>
    <w:rsid w:val="6C41D2DE"/>
    <w:rsid w:val="7194853E"/>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before="12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3EE"/>
    <w:rPr>
      <w:rFonts w:ascii="Times New Roman" w:eastAsia="Times New Roman" w:hAnsi="Times New Roman" w:cs="Times New Roman"/>
      <w:sz w:val="24"/>
      <w:szCs w:val="24"/>
      <w:lang w:val="en-GB" w:eastAsia="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semiHidden/>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after="200"/>
      <w:ind w:left="720" w:hanging="360"/>
      <w:outlineLvl w:val="1"/>
    </w:pPr>
    <w:rPr>
      <w:rFonts w:ascii="Arial"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984AB9"/>
  </w:style>
  <w:style w:type="character" w:styleId="Textoennegrita">
    <w:name w:val="Strong"/>
    <w:basedOn w:val="Fuentedeprrafopredeter"/>
    <w:uiPriority w:val="22"/>
    <w:qFormat/>
    <w:rsid w:val="00792E66"/>
    <w:rPr>
      <w:b/>
      <w:bCs/>
    </w:rPr>
  </w:style>
  <w:style w:type="character" w:styleId="nfasis">
    <w:name w:val="Emphasis"/>
    <w:basedOn w:val="Fuentedeprrafopredeter"/>
    <w:uiPriority w:val="20"/>
    <w:qFormat/>
    <w:rsid w:val="00792E66"/>
    <w:rPr>
      <w:i/>
      <w:iCs/>
    </w:rPr>
  </w:style>
  <w:style w:type="paragraph" w:customStyle="1" w:styleId="Appelnotedebasde">
    <w:name w:val="Appel note de bas de..."/>
    <w:basedOn w:val="Normal"/>
    <w:link w:val="Refdenotaalpie"/>
    <w:uiPriority w:val="99"/>
    <w:rsid w:val="00E54365"/>
    <w:pPr>
      <w:spacing w:before="0" w:after="160" w:line="240" w:lineRule="exact"/>
      <w:jc w:val="left"/>
    </w:pPr>
    <w:rPr>
      <w:rFonts w:asciiTheme="minorHAnsi" w:eastAsiaTheme="minorHAnsi" w:hAnsiTheme="minorHAnsi" w:cstheme="minorBidi"/>
      <w:sz w:val="22"/>
      <w:szCs w:val="22"/>
      <w:vertAlign w:val="superscript"/>
      <w:lang w:val="es-CO" w:eastAsia="en-US"/>
    </w:rPr>
  </w:style>
  <w:style w:type="character" w:customStyle="1" w:styleId="NormalWebCar">
    <w:name w:val="Normal (Web) Car"/>
    <w:link w:val="NormalWeb"/>
    <w:uiPriority w:val="99"/>
    <w:rsid w:val="00084DC1"/>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753D85"/>
    <w:pPr>
      <w:spacing w:before="100" w:beforeAutospacing="1" w:after="100" w:afterAutospacing="1" w:line="240" w:lineRule="auto"/>
      <w:jc w:val="left"/>
    </w:pPr>
  </w:style>
  <w:style w:type="character" w:customStyle="1" w:styleId="TextoindependienteCar">
    <w:name w:val="Texto independiente Car"/>
    <w:basedOn w:val="Fuentedeprrafopredeter"/>
    <w:link w:val="Textoindependiente"/>
    <w:uiPriority w:val="99"/>
    <w:semiHidden/>
    <w:rsid w:val="00753D85"/>
    <w:rPr>
      <w:rFonts w:ascii="Times New Roman" w:eastAsia="Times New Roman" w:hAnsi="Times New Roman" w:cs="Times New Roman"/>
      <w:sz w:val="24"/>
      <w:szCs w:val="24"/>
      <w:lang w:val="en-GB" w:eastAsia="en-GB"/>
    </w:rPr>
  </w:style>
  <w:style w:type="paragraph" w:customStyle="1" w:styleId="Textoindependiente21">
    <w:name w:val="Texto independiente 21"/>
    <w:basedOn w:val="Normal"/>
    <w:rsid w:val="00C92B5A"/>
    <w:pPr>
      <w:overflowPunct w:val="0"/>
      <w:autoSpaceDE w:val="0"/>
      <w:autoSpaceDN w:val="0"/>
      <w:adjustRightInd w:val="0"/>
      <w:spacing w:before="0" w:after="0" w:line="360" w:lineRule="auto"/>
      <w:ind w:firstLine="710"/>
      <w:textAlignment w:val="baseline"/>
    </w:pPr>
    <w:rPr>
      <w:rFonts w:ascii="Arial" w:hAnsi="Arial"/>
      <w:szCs w:val="20"/>
      <w:lang w:val="es-CO" w:eastAsia="es-ES"/>
    </w:rPr>
  </w:style>
  <w:style w:type="paragraph" w:customStyle="1" w:styleId="Default">
    <w:name w:val="Default"/>
    <w:rsid w:val="008D6D49"/>
    <w:pPr>
      <w:autoSpaceDE w:val="0"/>
      <w:autoSpaceDN w:val="0"/>
      <w:adjustRightInd w:val="0"/>
      <w:spacing w:before="0" w:after="0" w:line="240" w:lineRule="auto"/>
      <w:jc w:val="left"/>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76757">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65540146">
      <w:bodyDiv w:val="1"/>
      <w:marLeft w:val="0"/>
      <w:marRight w:val="0"/>
      <w:marTop w:val="0"/>
      <w:marBottom w:val="0"/>
      <w:divBdr>
        <w:top w:val="none" w:sz="0" w:space="0" w:color="auto"/>
        <w:left w:val="none" w:sz="0" w:space="0" w:color="auto"/>
        <w:bottom w:val="none" w:sz="0" w:space="0" w:color="auto"/>
        <w:right w:val="none" w:sz="0" w:space="0" w:color="auto"/>
      </w:divBdr>
    </w:div>
    <w:div w:id="85808315">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6965828">
      <w:bodyDiv w:val="1"/>
      <w:marLeft w:val="0"/>
      <w:marRight w:val="0"/>
      <w:marTop w:val="0"/>
      <w:marBottom w:val="0"/>
      <w:divBdr>
        <w:top w:val="none" w:sz="0" w:space="0" w:color="auto"/>
        <w:left w:val="none" w:sz="0" w:space="0" w:color="auto"/>
        <w:bottom w:val="none" w:sz="0" w:space="0" w:color="auto"/>
        <w:right w:val="none" w:sz="0" w:space="0" w:color="auto"/>
      </w:divBdr>
    </w:div>
    <w:div w:id="179929087">
      <w:bodyDiv w:val="1"/>
      <w:marLeft w:val="0"/>
      <w:marRight w:val="0"/>
      <w:marTop w:val="0"/>
      <w:marBottom w:val="0"/>
      <w:divBdr>
        <w:top w:val="none" w:sz="0" w:space="0" w:color="auto"/>
        <w:left w:val="none" w:sz="0" w:space="0" w:color="auto"/>
        <w:bottom w:val="none" w:sz="0" w:space="0" w:color="auto"/>
        <w:right w:val="none" w:sz="0" w:space="0" w:color="auto"/>
      </w:divBdr>
      <w:divsChild>
        <w:div w:id="404572909">
          <w:marLeft w:val="0"/>
          <w:marRight w:val="0"/>
          <w:marTop w:val="0"/>
          <w:marBottom w:val="0"/>
          <w:divBdr>
            <w:top w:val="none" w:sz="0" w:space="0" w:color="auto"/>
            <w:left w:val="none" w:sz="0" w:space="0" w:color="auto"/>
            <w:bottom w:val="none" w:sz="0" w:space="0" w:color="auto"/>
            <w:right w:val="none" w:sz="0" w:space="0" w:color="auto"/>
          </w:divBdr>
        </w:div>
        <w:div w:id="2088721344">
          <w:marLeft w:val="0"/>
          <w:marRight w:val="0"/>
          <w:marTop w:val="0"/>
          <w:marBottom w:val="0"/>
          <w:divBdr>
            <w:top w:val="none" w:sz="0" w:space="0" w:color="auto"/>
            <w:left w:val="none" w:sz="0" w:space="0" w:color="auto"/>
            <w:bottom w:val="none" w:sz="0" w:space="0" w:color="auto"/>
            <w:right w:val="none" w:sz="0" w:space="0" w:color="auto"/>
          </w:divBdr>
        </w:div>
        <w:div w:id="1807044410">
          <w:marLeft w:val="0"/>
          <w:marRight w:val="0"/>
          <w:marTop w:val="0"/>
          <w:marBottom w:val="0"/>
          <w:divBdr>
            <w:top w:val="none" w:sz="0" w:space="0" w:color="auto"/>
            <w:left w:val="none" w:sz="0" w:space="0" w:color="auto"/>
            <w:bottom w:val="none" w:sz="0" w:space="0" w:color="auto"/>
            <w:right w:val="none" w:sz="0" w:space="0" w:color="auto"/>
          </w:divBdr>
        </w:div>
      </w:divsChild>
    </w:div>
    <w:div w:id="184943521">
      <w:bodyDiv w:val="1"/>
      <w:marLeft w:val="0"/>
      <w:marRight w:val="0"/>
      <w:marTop w:val="0"/>
      <w:marBottom w:val="0"/>
      <w:divBdr>
        <w:top w:val="none" w:sz="0" w:space="0" w:color="auto"/>
        <w:left w:val="none" w:sz="0" w:space="0" w:color="auto"/>
        <w:bottom w:val="none" w:sz="0" w:space="0" w:color="auto"/>
        <w:right w:val="none" w:sz="0" w:space="0" w:color="auto"/>
      </w:divBdr>
    </w:div>
    <w:div w:id="2162033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7952074">
      <w:bodyDiv w:val="1"/>
      <w:marLeft w:val="0"/>
      <w:marRight w:val="0"/>
      <w:marTop w:val="0"/>
      <w:marBottom w:val="0"/>
      <w:divBdr>
        <w:top w:val="none" w:sz="0" w:space="0" w:color="auto"/>
        <w:left w:val="none" w:sz="0" w:space="0" w:color="auto"/>
        <w:bottom w:val="none" w:sz="0" w:space="0" w:color="auto"/>
        <w:right w:val="none" w:sz="0" w:space="0" w:color="auto"/>
      </w:divBdr>
    </w:div>
    <w:div w:id="362751634">
      <w:bodyDiv w:val="1"/>
      <w:marLeft w:val="0"/>
      <w:marRight w:val="0"/>
      <w:marTop w:val="0"/>
      <w:marBottom w:val="0"/>
      <w:divBdr>
        <w:top w:val="none" w:sz="0" w:space="0" w:color="auto"/>
        <w:left w:val="none" w:sz="0" w:space="0" w:color="auto"/>
        <w:bottom w:val="none" w:sz="0" w:space="0" w:color="auto"/>
        <w:right w:val="none" w:sz="0" w:space="0" w:color="auto"/>
      </w:divBdr>
    </w:div>
    <w:div w:id="371078511">
      <w:bodyDiv w:val="1"/>
      <w:marLeft w:val="0"/>
      <w:marRight w:val="0"/>
      <w:marTop w:val="0"/>
      <w:marBottom w:val="0"/>
      <w:divBdr>
        <w:top w:val="none" w:sz="0" w:space="0" w:color="auto"/>
        <w:left w:val="none" w:sz="0" w:space="0" w:color="auto"/>
        <w:bottom w:val="none" w:sz="0" w:space="0" w:color="auto"/>
        <w:right w:val="none" w:sz="0" w:space="0" w:color="auto"/>
      </w:divBdr>
    </w:div>
    <w:div w:id="381373406">
      <w:bodyDiv w:val="1"/>
      <w:marLeft w:val="0"/>
      <w:marRight w:val="0"/>
      <w:marTop w:val="0"/>
      <w:marBottom w:val="0"/>
      <w:divBdr>
        <w:top w:val="none" w:sz="0" w:space="0" w:color="auto"/>
        <w:left w:val="none" w:sz="0" w:space="0" w:color="auto"/>
        <w:bottom w:val="none" w:sz="0" w:space="0" w:color="auto"/>
        <w:right w:val="none" w:sz="0" w:space="0" w:color="auto"/>
      </w:divBdr>
    </w:div>
    <w:div w:id="531654358">
      <w:bodyDiv w:val="1"/>
      <w:marLeft w:val="0"/>
      <w:marRight w:val="0"/>
      <w:marTop w:val="0"/>
      <w:marBottom w:val="0"/>
      <w:divBdr>
        <w:top w:val="none" w:sz="0" w:space="0" w:color="auto"/>
        <w:left w:val="none" w:sz="0" w:space="0" w:color="auto"/>
        <w:bottom w:val="none" w:sz="0" w:space="0" w:color="auto"/>
        <w:right w:val="none" w:sz="0" w:space="0" w:color="auto"/>
      </w:divBdr>
      <w:divsChild>
        <w:div w:id="1821338746">
          <w:marLeft w:val="0"/>
          <w:marRight w:val="0"/>
          <w:marTop w:val="0"/>
          <w:marBottom w:val="0"/>
          <w:divBdr>
            <w:top w:val="none" w:sz="0" w:space="0" w:color="auto"/>
            <w:left w:val="none" w:sz="0" w:space="0" w:color="auto"/>
            <w:bottom w:val="none" w:sz="0" w:space="0" w:color="auto"/>
            <w:right w:val="none" w:sz="0" w:space="0" w:color="auto"/>
          </w:divBdr>
          <w:divsChild>
            <w:div w:id="1848402016">
              <w:marLeft w:val="0"/>
              <w:marRight w:val="0"/>
              <w:marTop w:val="0"/>
              <w:marBottom w:val="0"/>
              <w:divBdr>
                <w:top w:val="none" w:sz="0" w:space="0" w:color="auto"/>
                <w:left w:val="none" w:sz="0" w:space="0" w:color="auto"/>
                <w:bottom w:val="none" w:sz="0" w:space="0" w:color="auto"/>
                <w:right w:val="none" w:sz="0" w:space="0" w:color="auto"/>
              </w:divBdr>
              <w:divsChild>
                <w:div w:id="175127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461353">
      <w:bodyDiv w:val="1"/>
      <w:marLeft w:val="0"/>
      <w:marRight w:val="0"/>
      <w:marTop w:val="0"/>
      <w:marBottom w:val="0"/>
      <w:divBdr>
        <w:top w:val="none" w:sz="0" w:space="0" w:color="auto"/>
        <w:left w:val="none" w:sz="0" w:space="0" w:color="auto"/>
        <w:bottom w:val="none" w:sz="0" w:space="0" w:color="auto"/>
        <w:right w:val="none" w:sz="0" w:space="0" w:color="auto"/>
      </w:divBdr>
    </w:div>
    <w:div w:id="572352670">
      <w:bodyDiv w:val="1"/>
      <w:marLeft w:val="0"/>
      <w:marRight w:val="0"/>
      <w:marTop w:val="0"/>
      <w:marBottom w:val="0"/>
      <w:divBdr>
        <w:top w:val="none" w:sz="0" w:space="0" w:color="auto"/>
        <w:left w:val="none" w:sz="0" w:space="0" w:color="auto"/>
        <w:bottom w:val="none" w:sz="0" w:space="0" w:color="auto"/>
        <w:right w:val="none" w:sz="0" w:space="0" w:color="auto"/>
      </w:divBdr>
    </w:div>
    <w:div w:id="636760311">
      <w:bodyDiv w:val="1"/>
      <w:marLeft w:val="0"/>
      <w:marRight w:val="0"/>
      <w:marTop w:val="0"/>
      <w:marBottom w:val="0"/>
      <w:divBdr>
        <w:top w:val="none" w:sz="0" w:space="0" w:color="auto"/>
        <w:left w:val="none" w:sz="0" w:space="0" w:color="auto"/>
        <w:bottom w:val="none" w:sz="0" w:space="0" w:color="auto"/>
        <w:right w:val="none" w:sz="0" w:space="0" w:color="auto"/>
      </w:divBdr>
    </w:div>
    <w:div w:id="660500369">
      <w:bodyDiv w:val="1"/>
      <w:marLeft w:val="0"/>
      <w:marRight w:val="0"/>
      <w:marTop w:val="0"/>
      <w:marBottom w:val="0"/>
      <w:divBdr>
        <w:top w:val="none" w:sz="0" w:space="0" w:color="auto"/>
        <w:left w:val="none" w:sz="0" w:space="0" w:color="auto"/>
        <w:bottom w:val="none" w:sz="0" w:space="0" w:color="auto"/>
        <w:right w:val="none" w:sz="0" w:space="0" w:color="auto"/>
      </w:divBdr>
    </w:div>
    <w:div w:id="674454366">
      <w:bodyDiv w:val="1"/>
      <w:marLeft w:val="0"/>
      <w:marRight w:val="0"/>
      <w:marTop w:val="0"/>
      <w:marBottom w:val="0"/>
      <w:divBdr>
        <w:top w:val="none" w:sz="0" w:space="0" w:color="auto"/>
        <w:left w:val="none" w:sz="0" w:space="0" w:color="auto"/>
        <w:bottom w:val="none" w:sz="0" w:space="0" w:color="auto"/>
        <w:right w:val="none" w:sz="0" w:space="0" w:color="auto"/>
      </w:divBdr>
    </w:div>
    <w:div w:id="695346960">
      <w:bodyDiv w:val="1"/>
      <w:marLeft w:val="0"/>
      <w:marRight w:val="0"/>
      <w:marTop w:val="0"/>
      <w:marBottom w:val="0"/>
      <w:divBdr>
        <w:top w:val="none" w:sz="0" w:space="0" w:color="auto"/>
        <w:left w:val="none" w:sz="0" w:space="0" w:color="auto"/>
        <w:bottom w:val="none" w:sz="0" w:space="0" w:color="auto"/>
        <w:right w:val="none" w:sz="0" w:space="0" w:color="auto"/>
      </w:divBdr>
      <w:divsChild>
        <w:div w:id="1337732821">
          <w:marLeft w:val="0"/>
          <w:marRight w:val="0"/>
          <w:marTop w:val="0"/>
          <w:marBottom w:val="0"/>
          <w:divBdr>
            <w:top w:val="none" w:sz="0" w:space="0" w:color="auto"/>
            <w:left w:val="none" w:sz="0" w:space="0" w:color="auto"/>
            <w:bottom w:val="none" w:sz="0" w:space="0" w:color="auto"/>
            <w:right w:val="none" w:sz="0" w:space="0" w:color="auto"/>
          </w:divBdr>
          <w:divsChild>
            <w:div w:id="1048838927">
              <w:marLeft w:val="0"/>
              <w:marRight w:val="0"/>
              <w:marTop w:val="0"/>
              <w:marBottom w:val="0"/>
              <w:divBdr>
                <w:top w:val="none" w:sz="0" w:space="0" w:color="auto"/>
                <w:left w:val="none" w:sz="0" w:space="0" w:color="auto"/>
                <w:bottom w:val="none" w:sz="0" w:space="0" w:color="auto"/>
                <w:right w:val="none" w:sz="0" w:space="0" w:color="auto"/>
              </w:divBdr>
              <w:divsChild>
                <w:div w:id="128700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016315">
      <w:bodyDiv w:val="1"/>
      <w:marLeft w:val="0"/>
      <w:marRight w:val="0"/>
      <w:marTop w:val="0"/>
      <w:marBottom w:val="0"/>
      <w:divBdr>
        <w:top w:val="none" w:sz="0" w:space="0" w:color="auto"/>
        <w:left w:val="none" w:sz="0" w:space="0" w:color="auto"/>
        <w:bottom w:val="none" w:sz="0" w:space="0" w:color="auto"/>
        <w:right w:val="none" w:sz="0" w:space="0" w:color="auto"/>
      </w:divBdr>
    </w:div>
    <w:div w:id="758253688">
      <w:bodyDiv w:val="1"/>
      <w:marLeft w:val="0"/>
      <w:marRight w:val="0"/>
      <w:marTop w:val="0"/>
      <w:marBottom w:val="0"/>
      <w:divBdr>
        <w:top w:val="none" w:sz="0" w:space="0" w:color="auto"/>
        <w:left w:val="none" w:sz="0" w:space="0" w:color="auto"/>
        <w:bottom w:val="none" w:sz="0" w:space="0" w:color="auto"/>
        <w:right w:val="none" w:sz="0" w:space="0" w:color="auto"/>
      </w:divBdr>
    </w:div>
    <w:div w:id="814953058">
      <w:bodyDiv w:val="1"/>
      <w:marLeft w:val="0"/>
      <w:marRight w:val="0"/>
      <w:marTop w:val="0"/>
      <w:marBottom w:val="0"/>
      <w:divBdr>
        <w:top w:val="none" w:sz="0" w:space="0" w:color="auto"/>
        <w:left w:val="none" w:sz="0" w:space="0" w:color="auto"/>
        <w:bottom w:val="none" w:sz="0" w:space="0" w:color="auto"/>
        <w:right w:val="none" w:sz="0" w:space="0" w:color="auto"/>
      </w:divBdr>
    </w:div>
    <w:div w:id="820007151">
      <w:bodyDiv w:val="1"/>
      <w:marLeft w:val="0"/>
      <w:marRight w:val="0"/>
      <w:marTop w:val="0"/>
      <w:marBottom w:val="0"/>
      <w:divBdr>
        <w:top w:val="none" w:sz="0" w:space="0" w:color="auto"/>
        <w:left w:val="none" w:sz="0" w:space="0" w:color="auto"/>
        <w:bottom w:val="none" w:sz="0" w:space="0" w:color="auto"/>
        <w:right w:val="none" w:sz="0" w:space="0" w:color="auto"/>
      </w:divBdr>
    </w:div>
    <w:div w:id="932467858">
      <w:bodyDiv w:val="1"/>
      <w:marLeft w:val="0"/>
      <w:marRight w:val="0"/>
      <w:marTop w:val="0"/>
      <w:marBottom w:val="0"/>
      <w:divBdr>
        <w:top w:val="none" w:sz="0" w:space="0" w:color="auto"/>
        <w:left w:val="none" w:sz="0" w:space="0" w:color="auto"/>
        <w:bottom w:val="none" w:sz="0" w:space="0" w:color="auto"/>
        <w:right w:val="none" w:sz="0" w:space="0" w:color="auto"/>
      </w:divBdr>
    </w:div>
    <w:div w:id="933126585">
      <w:bodyDiv w:val="1"/>
      <w:marLeft w:val="0"/>
      <w:marRight w:val="0"/>
      <w:marTop w:val="0"/>
      <w:marBottom w:val="0"/>
      <w:divBdr>
        <w:top w:val="none" w:sz="0" w:space="0" w:color="auto"/>
        <w:left w:val="none" w:sz="0" w:space="0" w:color="auto"/>
        <w:bottom w:val="none" w:sz="0" w:space="0" w:color="auto"/>
        <w:right w:val="none" w:sz="0" w:space="0" w:color="auto"/>
      </w:divBdr>
    </w:div>
    <w:div w:id="937715469">
      <w:bodyDiv w:val="1"/>
      <w:marLeft w:val="0"/>
      <w:marRight w:val="0"/>
      <w:marTop w:val="0"/>
      <w:marBottom w:val="0"/>
      <w:divBdr>
        <w:top w:val="none" w:sz="0" w:space="0" w:color="auto"/>
        <w:left w:val="none" w:sz="0" w:space="0" w:color="auto"/>
        <w:bottom w:val="none" w:sz="0" w:space="0" w:color="auto"/>
        <w:right w:val="none" w:sz="0" w:space="0" w:color="auto"/>
      </w:divBdr>
    </w:div>
    <w:div w:id="939222123">
      <w:bodyDiv w:val="1"/>
      <w:marLeft w:val="0"/>
      <w:marRight w:val="0"/>
      <w:marTop w:val="0"/>
      <w:marBottom w:val="0"/>
      <w:divBdr>
        <w:top w:val="none" w:sz="0" w:space="0" w:color="auto"/>
        <w:left w:val="none" w:sz="0" w:space="0" w:color="auto"/>
        <w:bottom w:val="none" w:sz="0" w:space="0" w:color="auto"/>
        <w:right w:val="none" w:sz="0" w:space="0" w:color="auto"/>
      </w:divBdr>
    </w:div>
    <w:div w:id="941376504">
      <w:bodyDiv w:val="1"/>
      <w:marLeft w:val="0"/>
      <w:marRight w:val="0"/>
      <w:marTop w:val="0"/>
      <w:marBottom w:val="0"/>
      <w:divBdr>
        <w:top w:val="none" w:sz="0" w:space="0" w:color="auto"/>
        <w:left w:val="none" w:sz="0" w:space="0" w:color="auto"/>
        <w:bottom w:val="none" w:sz="0" w:space="0" w:color="auto"/>
        <w:right w:val="none" w:sz="0" w:space="0" w:color="auto"/>
      </w:divBdr>
    </w:div>
    <w:div w:id="1003895531">
      <w:bodyDiv w:val="1"/>
      <w:marLeft w:val="0"/>
      <w:marRight w:val="0"/>
      <w:marTop w:val="0"/>
      <w:marBottom w:val="0"/>
      <w:divBdr>
        <w:top w:val="none" w:sz="0" w:space="0" w:color="auto"/>
        <w:left w:val="none" w:sz="0" w:space="0" w:color="auto"/>
        <w:bottom w:val="none" w:sz="0" w:space="0" w:color="auto"/>
        <w:right w:val="none" w:sz="0" w:space="0" w:color="auto"/>
      </w:divBdr>
    </w:div>
    <w:div w:id="1026054996">
      <w:bodyDiv w:val="1"/>
      <w:marLeft w:val="0"/>
      <w:marRight w:val="0"/>
      <w:marTop w:val="0"/>
      <w:marBottom w:val="0"/>
      <w:divBdr>
        <w:top w:val="none" w:sz="0" w:space="0" w:color="auto"/>
        <w:left w:val="none" w:sz="0" w:space="0" w:color="auto"/>
        <w:bottom w:val="none" w:sz="0" w:space="0" w:color="auto"/>
        <w:right w:val="none" w:sz="0" w:space="0" w:color="auto"/>
      </w:divBdr>
    </w:div>
    <w:div w:id="1060254862">
      <w:bodyDiv w:val="1"/>
      <w:marLeft w:val="0"/>
      <w:marRight w:val="0"/>
      <w:marTop w:val="0"/>
      <w:marBottom w:val="0"/>
      <w:divBdr>
        <w:top w:val="none" w:sz="0" w:space="0" w:color="auto"/>
        <w:left w:val="none" w:sz="0" w:space="0" w:color="auto"/>
        <w:bottom w:val="none" w:sz="0" w:space="0" w:color="auto"/>
        <w:right w:val="none" w:sz="0" w:space="0" w:color="auto"/>
      </w:divBdr>
    </w:div>
    <w:div w:id="1099907042">
      <w:bodyDiv w:val="1"/>
      <w:marLeft w:val="0"/>
      <w:marRight w:val="0"/>
      <w:marTop w:val="0"/>
      <w:marBottom w:val="0"/>
      <w:divBdr>
        <w:top w:val="none" w:sz="0" w:space="0" w:color="auto"/>
        <w:left w:val="none" w:sz="0" w:space="0" w:color="auto"/>
        <w:bottom w:val="none" w:sz="0" w:space="0" w:color="auto"/>
        <w:right w:val="none" w:sz="0" w:space="0" w:color="auto"/>
      </w:divBdr>
      <w:divsChild>
        <w:div w:id="2032756475">
          <w:marLeft w:val="0"/>
          <w:marRight w:val="0"/>
          <w:marTop w:val="0"/>
          <w:marBottom w:val="0"/>
          <w:divBdr>
            <w:top w:val="none" w:sz="0" w:space="0" w:color="auto"/>
            <w:left w:val="none" w:sz="0" w:space="0" w:color="auto"/>
            <w:bottom w:val="none" w:sz="0" w:space="0" w:color="auto"/>
            <w:right w:val="none" w:sz="0" w:space="0" w:color="auto"/>
          </w:divBdr>
          <w:divsChild>
            <w:div w:id="242109588">
              <w:marLeft w:val="0"/>
              <w:marRight w:val="0"/>
              <w:marTop w:val="0"/>
              <w:marBottom w:val="0"/>
              <w:divBdr>
                <w:top w:val="none" w:sz="0" w:space="0" w:color="auto"/>
                <w:left w:val="none" w:sz="0" w:space="0" w:color="auto"/>
                <w:bottom w:val="none" w:sz="0" w:space="0" w:color="auto"/>
                <w:right w:val="none" w:sz="0" w:space="0" w:color="auto"/>
              </w:divBdr>
              <w:divsChild>
                <w:div w:id="55162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932411">
      <w:bodyDiv w:val="1"/>
      <w:marLeft w:val="0"/>
      <w:marRight w:val="0"/>
      <w:marTop w:val="0"/>
      <w:marBottom w:val="0"/>
      <w:divBdr>
        <w:top w:val="none" w:sz="0" w:space="0" w:color="auto"/>
        <w:left w:val="none" w:sz="0" w:space="0" w:color="auto"/>
        <w:bottom w:val="none" w:sz="0" w:space="0" w:color="auto"/>
        <w:right w:val="none" w:sz="0" w:space="0" w:color="auto"/>
      </w:divBdr>
    </w:div>
    <w:div w:id="1129082876">
      <w:bodyDiv w:val="1"/>
      <w:marLeft w:val="0"/>
      <w:marRight w:val="0"/>
      <w:marTop w:val="0"/>
      <w:marBottom w:val="0"/>
      <w:divBdr>
        <w:top w:val="none" w:sz="0" w:space="0" w:color="auto"/>
        <w:left w:val="none" w:sz="0" w:space="0" w:color="auto"/>
        <w:bottom w:val="none" w:sz="0" w:space="0" w:color="auto"/>
        <w:right w:val="none" w:sz="0" w:space="0" w:color="auto"/>
      </w:divBdr>
    </w:div>
    <w:div w:id="1153106961">
      <w:bodyDiv w:val="1"/>
      <w:marLeft w:val="0"/>
      <w:marRight w:val="0"/>
      <w:marTop w:val="0"/>
      <w:marBottom w:val="0"/>
      <w:divBdr>
        <w:top w:val="none" w:sz="0" w:space="0" w:color="auto"/>
        <w:left w:val="none" w:sz="0" w:space="0" w:color="auto"/>
        <w:bottom w:val="none" w:sz="0" w:space="0" w:color="auto"/>
        <w:right w:val="none" w:sz="0" w:space="0" w:color="auto"/>
      </w:divBdr>
    </w:div>
    <w:div w:id="1267542854">
      <w:bodyDiv w:val="1"/>
      <w:marLeft w:val="0"/>
      <w:marRight w:val="0"/>
      <w:marTop w:val="0"/>
      <w:marBottom w:val="0"/>
      <w:divBdr>
        <w:top w:val="none" w:sz="0" w:space="0" w:color="auto"/>
        <w:left w:val="none" w:sz="0" w:space="0" w:color="auto"/>
        <w:bottom w:val="none" w:sz="0" w:space="0" w:color="auto"/>
        <w:right w:val="none" w:sz="0" w:space="0" w:color="auto"/>
      </w:divBdr>
    </w:div>
    <w:div w:id="1284966155">
      <w:bodyDiv w:val="1"/>
      <w:marLeft w:val="0"/>
      <w:marRight w:val="0"/>
      <w:marTop w:val="0"/>
      <w:marBottom w:val="0"/>
      <w:divBdr>
        <w:top w:val="none" w:sz="0" w:space="0" w:color="auto"/>
        <w:left w:val="none" w:sz="0" w:space="0" w:color="auto"/>
        <w:bottom w:val="none" w:sz="0" w:space="0" w:color="auto"/>
        <w:right w:val="none" w:sz="0" w:space="0" w:color="auto"/>
      </w:divBdr>
    </w:div>
    <w:div w:id="1286958942">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358236228">
      <w:bodyDiv w:val="1"/>
      <w:marLeft w:val="0"/>
      <w:marRight w:val="0"/>
      <w:marTop w:val="0"/>
      <w:marBottom w:val="0"/>
      <w:divBdr>
        <w:top w:val="none" w:sz="0" w:space="0" w:color="auto"/>
        <w:left w:val="none" w:sz="0" w:space="0" w:color="auto"/>
        <w:bottom w:val="none" w:sz="0" w:space="0" w:color="auto"/>
        <w:right w:val="none" w:sz="0" w:space="0" w:color="auto"/>
      </w:divBdr>
    </w:div>
    <w:div w:id="1386833543">
      <w:bodyDiv w:val="1"/>
      <w:marLeft w:val="0"/>
      <w:marRight w:val="0"/>
      <w:marTop w:val="0"/>
      <w:marBottom w:val="0"/>
      <w:divBdr>
        <w:top w:val="none" w:sz="0" w:space="0" w:color="auto"/>
        <w:left w:val="none" w:sz="0" w:space="0" w:color="auto"/>
        <w:bottom w:val="none" w:sz="0" w:space="0" w:color="auto"/>
        <w:right w:val="none" w:sz="0" w:space="0" w:color="auto"/>
      </w:divBdr>
    </w:div>
    <w:div w:id="1449548025">
      <w:bodyDiv w:val="1"/>
      <w:marLeft w:val="0"/>
      <w:marRight w:val="0"/>
      <w:marTop w:val="0"/>
      <w:marBottom w:val="0"/>
      <w:divBdr>
        <w:top w:val="none" w:sz="0" w:space="0" w:color="auto"/>
        <w:left w:val="none" w:sz="0" w:space="0" w:color="auto"/>
        <w:bottom w:val="none" w:sz="0" w:space="0" w:color="auto"/>
        <w:right w:val="none" w:sz="0" w:space="0" w:color="auto"/>
      </w:divBdr>
    </w:div>
    <w:div w:id="1460761140">
      <w:bodyDiv w:val="1"/>
      <w:marLeft w:val="0"/>
      <w:marRight w:val="0"/>
      <w:marTop w:val="0"/>
      <w:marBottom w:val="0"/>
      <w:divBdr>
        <w:top w:val="none" w:sz="0" w:space="0" w:color="auto"/>
        <w:left w:val="none" w:sz="0" w:space="0" w:color="auto"/>
        <w:bottom w:val="none" w:sz="0" w:space="0" w:color="auto"/>
        <w:right w:val="none" w:sz="0" w:space="0" w:color="auto"/>
      </w:divBdr>
    </w:div>
    <w:div w:id="1510022868">
      <w:bodyDiv w:val="1"/>
      <w:marLeft w:val="0"/>
      <w:marRight w:val="0"/>
      <w:marTop w:val="0"/>
      <w:marBottom w:val="0"/>
      <w:divBdr>
        <w:top w:val="none" w:sz="0" w:space="0" w:color="auto"/>
        <w:left w:val="none" w:sz="0" w:space="0" w:color="auto"/>
        <w:bottom w:val="none" w:sz="0" w:space="0" w:color="auto"/>
        <w:right w:val="none" w:sz="0" w:space="0" w:color="auto"/>
      </w:divBdr>
    </w:div>
    <w:div w:id="1519924469">
      <w:bodyDiv w:val="1"/>
      <w:marLeft w:val="0"/>
      <w:marRight w:val="0"/>
      <w:marTop w:val="0"/>
      <w:marBottom w:val="0"/>
      <w:divBdr>
        <w:top w:val="none" w:sz="0" w:space="0" w:color="auto"/>
        <w:left w:val="none" w:sz="0" w:space="0" w:color="auto"/>
        <w:bottom w:val="none" w:sz="0" w:space="0" w:color="auto"/>
        <w:right w:val="none" w:sz="0" w:space="0" w:color="auto"/>
      </w:divBdr>
    </w:div>
    <w:div w:id="1522891932">
      <w:bodyDiv w:val="1"/>
      <w:marLeft w:val="0"/>
      <w:marRight w:val="0"/>
      <w:marTop w:val="0"/>
      <w:marBottom w:val="0"/>
      <w:divBdr>
        <w:top w:val="none" w:sz="0" w:space="0" w:color="auto"/>
        <w:left w:val="none" w:sz="0" w:space="0" w:color="auto"/>
        <w:bottom w:val="none" w:sz="0" w:space="0" w:color="auto"/>
        <w:right w:val="none" w:sz="0" w:space="0" w:color="auto"/>
      </w:divBdr>
    </w:div>
    <w:div w:id="1594165652">
      <w:bodyDiv w:val="1"/>
      <w:marLeft w:val="0"/>
      <w:marRight w:val="0"/>
      <w:marTop w:val="0"/>
      <w:marBottom w:val="0"/>
      <w:divBdr>
        <w:top w:val="none" w:sz="0" w:space="0" w:color="auto"/>
        <w:left w:val="none" w:sz="0" w:space="0" w:color="auto"/>
        <w:bottom w:val="none" w:sz="0" w:space="0" w:color="auto"/>
        <w:right w:val="none" w:sz="0" w:space="0" w:color="auto"/>
      </w:divBdr>
    </w:div>
    <w:div w:id="1682732533">
      <w:bodyDiv w:val="1"/>
      <w:marLeft w:val="0"/>
      <w:marRight w:val="0"/>
      <w:marTop w:val="0"/>
      <w:marBottom w:val="0"/>
      <w:divBdr>
        <w:top w:val="none" w:sz="0" w:space="0" w:color="auto"/>
        <w:left w:val="none" w:sz="0" w:space="0" w:color="auto"/>
        <w:bottom w:val="none" w:sz="0" w:space="0" w:color="auto"/>
        <w:right w:val="none" w:sz="0" w:space="0" w:color="auto"/>
      </w:divBdr>
    </w:div>
    <w:div w:id="1701280684">
      <w:bodyDiv w:val="1"/>
      <w:marLeft w:val="0"/>
      <w:marRight w:val="0"/>
      <w:marTop w:val="0"/>
      <w:marBottom w:val="0"/>
      <w:divBdr>
        <w:top w:val="none" w:sz="0" w:space="0" w:color="auto"/>
        <w:left w:val="none" w:sz="0" w:space="0" w:color="auto"/>
        <w:bottom w:val="none" w:sz="0" w:space="0" w:color="auto"/>
        <w:right w:val="none" w:sz="0" w:space="0" w:color="auto"/>
      </w:divBdr>
    </w:div>
    <w:div w:id="1724064044">
      <w:bodyDiv w:val="1"/>
      <w:marLeft w:val="0"/>
      <w:marRight w:val="0"/>
      <w:marTop w:val="0"/>
      <w:marBottom w:val="0"/>
      <w:divBdr>
        <w:top w:val="none" w:sz="0" w:space="0" w:color="auto"/>
        <w:left w:val="none" w:sz="0" w:space="0" w:color="auto"/>
        <w:bottom w:val="none" w:sz="0" w:space="0" w:color="auto"/>
        <w:right w:val="none" w:sz="0" w:space="0" w:color="auto"/>
      </w:divBdr>
    </w:div>
    <w:div w:id="1744134616">
      <w:bodyDiv w:val="1"/>
      <w:marLeft w:val="0"/>
      <w:marRight w:val="0"/>
      <w:marTop w:val="0"/>
      <w:marBottom w:val="0"/>
      <w:divBdr>
        <w:top w:val="none" w:sz="0" w:space="0" w:color="auto"/>
        <w:left w:val="none" w:sz="0" w:space="0" w:color="auto"/>
        <w:bottom w:val="none" w:sz="0" w:space="0" w:color="auto"/>
        <w:right w:val="none" w:sz="0" w:space="0" w:color="auto"/>
      </w:divBdr>
    </w:div>
    <w:div w:id="1744721494">
      <w:bodyDiv w:val="1"/>
      <w:marLeft w:val="0"/>
      <w:marRight w:val="0"/>
      <w:marTop w:val="0"/>
      <w:marBottom w:val="0"/>
      <w:divBdr>
        <w:top w:val="none" w:sz="0" w:space="0" w:color="auto"/>
        <w:left w:val="none" w:sz="0" w:space="0" w:color="auto"/>
        <w:bottom w:val="none" w:sz="0" w:space="0" w:color="auto"/>
        <w:right w:val="none" w:sz="0" w:space="0" w:color="auto"/>
      </w:divBdr>
    </w:div>
    <w:div w:id="1869488785">
      <w:bodyDiv w:val="1"/>
      <w:marLeft w:val="0"/>
      <w:marRight w:val="0"/>
      <w:marTop w:val="0"/>
      <w:marBottom w:val="0"/>
      <w:divBdr>
        <w:top w:val="none" w:sz="0" w:space="0" w:color="auto"/>
        <w:left w:val="none" w:sz="0" w:space="0" w:color="auto"/>
        <w:bottom w:val="none" w:sz="0" w:space="0" w:color="auto"/>
        <w:right w:val="none" w:sz="0" w:space="0" w:color="auto"/>
      </w:divBdr>
    </w:div>
    <w:div w:id="1889685721">
      <w:bodyDiv w:val="1"/>
      <w:marLeft w:val="0"/>
      <w:marRight w:val="0"/>
      <w:marTop w:val="0"/>
      <w:marBottom w:val="0"/>
      <w:divBdr>
        <w:top w:val="none" w:sz="0" w:space="0" w:color="auto"/>
        <w:left w:val="none" w:sz="0" w:space="0" w:color="auto"/>
        <w:bottom w:val="none" w:sz="0" w:space="0" w:color="auto"/>
        <w:right w:val="none" w:sz="0" w:space="0" w:color="auto"/>
      </w:divBdr>
    </w:div>
    <w:div w:id="1949239800">
      <w:bodyDiv w:val="1"/>
      <w:marLeft w:val="0"/>
      <w:marRight w:val="0"/>
      <w:marTop w:val="0"/>
      <w:marBottom w:val="0"/>
      <w:divBdr>
        <w:top w:val="none" w:sz="0" w:space="0" w:color="auto"/>
        <w:left w:val="none" w:sz="0" w:space="0" w:color="auto"/>
        <w:bottom w:val="none" w:sz="0" w:space="0" w:color="auto"/>
        <w:right w:val="none" w:sz="0" w:space="0" w:color="auto"/>
      </w:divBdr>
    </w:div>
    <w:div w:id="2094011783">
      <w:bodyDiv w:val="1"/>
      <w:marLeft w:val="0"/>
      <w:marRight w:val="0"/>
      <w:marTop w:val="0"/>
      <w:marBottom w:val="0"/>
      <w:divBdr>
        <w:top w:val="none" w:sz="0" w:space="0" w:color="auto"/>
        <w:left w:val="none" w:sz="0" w:space="0" w:color="auto"/>
        <w:bottom w:val="none" w:sz="0" w:space="0" w:color="auto"/>
        <w:right w:val="none" w:sz="0" w:space="0" w:color="auto"/>
      </w:divBdr>
    </w:div>
    <w:div w:id="2097166973">
      <w:bodyDiv w:val="1"/>
      <w:marLeft w:val="0"/>
      <w:marRight w:val="0"/>
      <w:marTop w:val="0"/>
      <w:marBottom w:val="0"/>
      <w:divBdr>
        <w:top w:val="none" w:sz="0" w:space="0" w:color="auto"/>
        <w:left w:val="none" w:sz="0" w:space="0" w:color="auto"/>
        <w:bottom w:val="none" w:sz="0" w:space="0" w:color="auto"/>
        <w:right w:val="none" w:sz="0" w:space="0" w:color="auto"/>
      </w:divBdr>
      <w:divsChild>
        <w:div w:id="1772432827">
          <w:marLeft w:val="0"/>
          <w:marRight w:val="0"/>
          <w:marTop w:val="0"/>
          <w:marBottom w:val="0"/>
          <w:divBdr>
            <w:top w:val="none" w:sz="0" w:space="0" w:color="auto"/>
            <w:left w:val="none" w:sz="0" w:space="0" w:color="auto"/>
            <w:bottom w:val="none" w:sz="0" w:space="0" w:color="auto"/>
            <w:right w:val="none" w:sz="0" w:space="0" w:color="auto"/>
          </w:divBdr>
          <w:divsChild>
            <w:div w:id="835607488">
              <w:marLeft w:val="0"/>
              <w:marRight w:val="0"/>
              <w:marTop w:val="0"/>
              <w:marBottom w:val="0"/>
              <w:divBdr>
                <w:top w:val="none" w:sz="0" w:space="0" w:color="auto"/>
                <w:left w:val="none" w:sz="0" w:space="0" w:color="auto"/>
                <w:bottom w:val="none" w:sz="0" w:space="0" w:color="auto"/>
                <w:right w:val="none" w:sz="0" w:space="0" w:color="auto"/>
              </w:divBdr>
              <w:divsChild>
                <w:div w:id="91632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855061">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4369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14" Type="http://schemas.openxmlformats.org/officeDocument/2006/relationships/footer" Target="footer1.xml"/><Relationship Id="rId9"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05A033-C6CE-45D3-9687-C050EA3D7704}">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CDB93F32-BC54-4A59-89C5-D5B5AD72AD4B}">
  <ds:schemaRefs>
    <ds:schemaRef ds:uri="http://schemas.openxmlformats.org/officeDocument/2006/bibliography"/>
  </ds:schemaRefs>
</ds:datastoreItem>
</file>

<file path=customXml/itemProps4.xml><?xml version="1.0" encoding="utf-8"?>
<ds:datastoreItem xmlns:ds="http://schemas.openxmlformats.org/officeDocument/2006/customXml" ds:itemID="{24C63867-5D67-46F3-A76B-4DB9824F0A67}">
  <ds:schemaRefs>
    <ds:schemaRef ds:uri="http://schemas.microsoft.com/sharepoint/events"/>
  </ds:schemaRefs>
</ds:datastoreItem>
</file>

<file path=customXml/itemProps5.xml><?xml version="1.0" encoding="utf-8"?>
<ds:datastoreItem xmlns:ds="http://schemas.openxmlformats.org/officeDocument/2006/customXml" ds:itemID="{E4B80B2C-E3A4-4269-80C6-93E91B19D7D6}"/>
</file>

<file path=docProps/app.xml><?xml version="1.0" encoding="utf-8"?>
<Properties xmlns="http://schemas.openxmlformats.org/officeDocument/2006/extended-properties" xmlns:vt="http://schemas.openxmlformats.org/officeDocument/2006/docPropsVTypes">
  <Template>Respuesta a consultas</Template>
  <TotalTime>1</TotalTime>
  <Pages>10</Pages>
  <Words>3815</Words>
  <Characters>20987</Characters>
  <Application>Microsoft Office Word</Application>
  <DocSecurity>0</DocSecurity>
  <Lines>174</Lines>
  <Paragraphs>49</Paragraphs>
  <ScaleCrop>false</ScaleCrop>
  <Company/>
  <LinksUpToDate>false</LinksUpToDate>
  <CharactersWithSpaces>24753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Carlos Mario Castrillón Endo</cp:lastModifiedBy>
  <cp:revision>15</cp:revision>
  <cp:lastPrinted>2020-01-30T15:05:00Z</cp:lastPrinted>
  <dcterms:created xsi:type="dcterms:W3CDTF">2020-06-19T22:18:00Z</dcterms:created>
  <dcterms:modified xsi:type="dcterms:W3CDTF">2020-08-04T06:00:00Z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