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672CC2" w:rsidRDefault="009F59C2" w:rsidP="0034177C">
      <w:pPr>
        <w:jc w:val="right"/>
        <w:rPr>
          <w:rFonts w:ascii="Arial" w:hAnsi="Arial" w:cs="Arial"/>
          <w:b/>
          <w:color w:val="000000" w:themeColor="text1"/>
          <w:sz w:val="16"/>
          <w:szCs w:val="16"/>
          <w:lang w:eastAsia="es-ES"/>
        </w:rPr>
      </w:pPr>
      <w:bookmarkStart w:id="0" w:name="_Hlk28946138"/>
      <w:bookmarkStart w:id="1" w:name="_Hlk29548183"/>
      <w:r w:rsidRPr="00672CC2">
        <w:rPr>
          <w:rFonts w:ascii="Arial" w:hAnsi="Arial" w:cs="Arial"/>
          <w:b/>
          <w:color w:val="000000" w:themeColor="text1"/>
          <w:sz w:val="16"/>
          <w:szCs w:val="16"/>
          <w:lang w:eastAsia="es-ES"/>
        </w:rPr>
        <w:tab/>
      </w:r>
      <w:r w:rsidR="0034177C" w:rsidRPr="00672CC2">
        <w:rPr>
          <w:rFonts w:ascii="Arial" w:hAnsi="Arial" w:cs="Arial"/>
          <w:b/>
          <w:color w:val="000000" w:themeColor="text1"/>
          <w:sz w:val="16"/>
          <w:szCs w:val="16"/>
          <w:lang w:eastAsia="es-ES"/>
        </w:rPr>
        <w:t>CCE-DES-FM-17</w:t>
      </w:r>
    </w:p>
    <w:bookmarkEnd w:id="0"/>
    <w:bookmarkEnd w:id="1"/>
    <w:p w14:paraId="6DEF285E" w14:textId="77777777" w:rsidR="00626243" w:rsidRPr="00A662E8" w:rsidRDefault="00626243" w:rsidP="00926D77">
      <w:pPr>
        <w:jc w:val="both"/>
        <w:rPr>
          <w:rFonts w:ascii="Arial" w:eastAsia="Calibri" w:hAnsi="Arial" w:cs="Arial"/>
          <w:b/>
          <w:color w:val="000000" w:themeColor="text1"/>
          <w:sz w:val="16"/>
          <w:szCs w:val="16"/>
        </w:rPr>
      </w:pPr>
    </w:p>
    <w:p w14:paraId="64F08AF7" w14:textId="4459599D" w:rsidR="00F1108B" w:rsidRPr="00672CC2" w:rsidRDefault="00522C81" w:rsidP="00926D77">
      <w:pPr>
        <w:jc w:val="both"/>
        <w:rPr>
          <w:rFonts w:ascii="Arial" w:eastAsia="Calibri" w:hAnsi="Arial" w:cs="Arial"/>
          <w:b/>
          <w:color w:val="000000" w:themeColor="text1"/>
          <w:sz w:val="22"/>
          <w:lang w:val="es-ES_tradnl"/>
        </w:rPr>
      </w:pPr>
      <w:r w:rsidRPr="00672CC2">
        <w:rPr>
          <w:rFonts w:ascii="Arial" w:eastAsia="Calibri" w:hAnsi="Arial" w:cs="Arial"/>
          <w:b/>
          <w:color w:val="000000" w:themeColor="text1"/>
          <w:sz w:val="22"/>
          <w:lang w:val="es-ES_tradnl"/>
        </w:rPr>
        <w:t>CONVENIOS DE ASOCIACIÓN</w:t>
      </w:r>
      <w:r w:rsidR="00626243">
        <w:rPr>
          <w:rFonts w:ascii="Arial" w:eastAsia="Calibri" w:hAnsi="Arial" w:cs="Arial"/>
          <w:b/>
          <w:color w:val="000000" w:themeColor="text1"/>
          <w:sz w:val="22"/>
          <w:lang w:val="es-ES_tradnl"/>
        </w:rPr>
        <w:t xml:space="preserve"> ‒ Contratos de </w:t>
      </w:r>
      <w:r w:rsidR="00B30F00">
        <w:rPr>
          <w:rFonts w:ascii="Arial" w:eastAsia="Calibri" w:hAnsi="Arial" w:cs="Arial"/>
          <w:b/>
          <w:color w:val="000000" w:themeColor="text1"/>
          <w:sz w:val="22"/>
          <w:lang w:val="es-ES_tradnl"/>
        </w:rPr>
        <w:t>colaboración</w:t>
      </w:r>
      <w:r w:rsidRPr="00672CC2">
        <w:rPr>
          <w:rFonts w:ascii="Arial" w:eastAsia="Calibri" w:hAnsi="Arial" w:cs="Arial"/>
          <w:b/>
          <w:color w:val="000000" w:themeColor="text1"/>
          <w:sz w:val="22"/>
          <w:lang w:val="es-ES_tradnl"/>
        </w:rPr>
        <w:t xml:space="preserve"> </w:t>
      </w:r>
      <w:r w:rsidR="00024BE5" w:rsidRPr="00672CC2">
        <w:rPr>
          <w:rFonts w:ascii="Arial" w:eastAsia="Calibri" w:hAnsi="Arial" w:cs="Arial"/>
          <w:b/>
          <w:color w:val="000000" w:themeColor="text1"/>
          <w:sz w:val="22"/>
          <w:lang w:val="es-ES_tradnl"/>
        </w:rPr>
        <w:t>–</w:t>
      </w:r>
      <w:r w:rsidR="005E1574" w:rsidRPr="00672CC2">
        <w:rPr>
          <w:rFonts w:ascii="Arial" w:eastAsia="Calibri" w:hAnsi="Arial" w:cs="Arial"/>
          <w:b/>
          <w:color w:val="000000" w:themeColor="text1"/>
          <w:sz w:val="22"/>
          <w:lang w:val="es-ES_tradnl"/>
        </w:rPr>
        <w:t xml:space="preserve"> </w:t>
      </w:r>
      <w:r w:rsidRPr="00672CC2">
        <w:rPr>
          <w:rFonts w:ascii="Arial" w:eastAsia="Calibri" w:hAnsi="Arial" w:cs="Arial"/>
          <w:b/>
          <w:color w:val="000000" w:themeColor="text1"/>
          <w:sz w:val="22"/>
          <w:lang w:val="es-ES_tradnl"/>
        </w:rPr>
        <w:t xml:space="preserve">Diferencias </w:t>
      </w:r>
      <w:r w:rsidR="005E1574" w:rsidRPr="00672CC2">
        <w:rPr>
          <w:rFonts w:ascii="Arial" w:eastAsia="Calibri" w:hAnsi="Arial" w:cs="Arial"/>
          <w:b/>
          <w:color w:val="000000" w:themeColor="text1"/>
          <w:sz w:val="22"/>
          <w:lang w:val="es-ES_tradnl"/>
        </w:rPr>
        <w:t xml:space="preserve"> </w:t>
      </w:r>
    </w:p>
    <w:p w14:paraId="399086C1" w14:textId="77777777" w:rsidR="005E1574" w:rsidRPr="00672CC2" w:rsidRDefault="005E1574" w:rsidP="00926D77">
      <w:pPr>
        <w:jc w:val="both"/>
        <w:rPr>
          <w:rFonts w:ascii="Arial" w:eastAsia="Calibri" w:hAnsi="Arial" w:cs="Arial"/>
          <w:color w:val="000000" w:themeColor="text1"/>
          <w:sz w:val="20"/>
          <w:szCs w:val="20"/>
          <w:lang w:val="es-ES_tradnl"/>
        </w:rPr>
      </w:pPr>
    </w:p>
    <w:p w14:paraId="17CB08E4" w14:textId="64BA9A78" w:rsidR="00EA5464" w:rsidRPr="00672CC2" w:rsidRDefault="00522C81" w:rsidP="00926D77">
      <w:pPr>
        <w:jc w:val="both"/>
        <w:rPr>
          <w:rFonts w:ascii="Arial" w:eastAsia="Calibri" w:hAnsi="Arial" w:cs="Arial"/>
          <w:color w:val="000000" w:themeColor="text1"/>
          <w:sz w:val="20"/>
          <w:lang w:val="es-ES_tradnl"/>
        </w:rPr>
      </w:pPr>
      <w:r w:rsidRPr="00672CC2">
        <w:rPr>
          <w:rFonts w:ascii="Arial" w:eastAsia="Calibri" w:hAnsi="Arial" w:cs="Arial"/>
          <w:color w:val="000000" w:themeColor="text1"/>
          <w:sz w:val="20"/>
          <w:lang w:val="es-ES_tradnl"/>
        </w:rPr>
        <w:t xml:space="preserve">El Gobierno nacional, en desarrollo del artículo 355 de la Constitución Política, expidió el Decreto 092 de 2017, el cual dispone las reglas para las contrataciones que realicen las entidades estatales con las ESAL. El Decreto regula dos (2) eventos: i) los contratos de colaboración o de interés público con el fin 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 </w:t>
      </w:r>
    </w:p>
    <w:p w14:paraId="48910B9B" w14:textId="77777777" w:rsidR="005E1574" w:rsidRPr="00672CC2" w:rsidRDefault="005E1574" w:rsidP="00926D77">
      <w:pPr>
        <w:jc w:val="both"/>
        <w:rPr>
          <w:rFonts w:ascii="Arial" w:eastAsia="Calibri" w:hAnsi="Arial" w:cs="Arial"/>
          <w:color w:val="000000" w:themeColor="text1"/>
          <w:sz w:val="20"/>
          <w:szCs w:val="20"/>
          <w:lang w:val="es-ES_tradnl"/>
        </w:rPr>
      </w:pPr>
    </w:p>
    <w:p w14:paraId="779D26A9" w14:textId="32CFB593" w:rsidR="00127AF2" w:rsidRPr="00672CC2" w:rsidRDefault="003575B9" w:rsidP="00926D77">
      <w:pPr>
        <w:jc w:val="both"/>
        <w:rPr>
          <w:rFonts w:ascii="Arial" w:eastAsia="Calibri" w:hAnsi="Arial" w:cs="Arial"/>
          <w:b/>
          <w:color w:val="000000" w:themeColor="text1"/>
          <w:sz w:val="22"/>
          <w:lang w:val="es-ES_tradnl"/>
        </w:rPr>
      </w:pPr>
      <w:r w:rsidRPr="00672CC2">
        <w:rPr>
          <w:rFonts w:ascii="Arial" w:eastAsia="Calibri" w:hAnsi="Arial" w:cs="Arial"/>
          <w:b/>
          <w:color w:val="000000" w:themeColor="text1"/>
          <w:sz w:val="22"/>
          <w:lang w:val="es-ES_tradnl"/>
        </w:rPr>
        <w:t>CONTRATO DE COMODATO</w:t>
      </w:r>
      <w:r w:rsidR="005E1574" w:rsidRPr="00672CC2">
        <w:rPr>
          <w:rFonts w:ascii="Arial" w:eastAsia="Calibri" w:hAnsi="Arial" w:cs="Arial"/>
          <w:b/>
          <w:color w:val="000000" w:themeColor="text1"/>
          <w:sz w:val="22"/>
          <w:lang w:val="es-ES_tradnl"/>
        </w:rPr>
        <w:t xml:space="preserve"> </w:t>
      </w:r>
      <w:r w:rsidR="00024BE5" w:rsidRPr="00672CC2">
        <w:rPr>
          <w:rFonts w:ascii="Arial" w:eastAsia="Calibri" w:hAnsi="Arial" w:cs="Arial"/>
          <w:b/>
          <w:color w:val="000000" w:themeColor="text1"/>
          <w:sz w:val="22"/>
          <w:lang w:val="es-ES_tradnl"/>
        </w:rPr>
        <w:t>–</w:t>
      </w:r>
      <w:r w:rsidR="005526EE">
        <w:rPr>
          <w:rFonts w:ascii="Arial" w:eastAsia="Calibri" w:hAnsi="Arial" w:cs="Arial"/>
          <w:b/>
          <w:color w:val="000000" w:themeColor="text1"/>
          <w:sz w:val="22"/>
          <w:lang w:val="es-ES_tradnl"/>
        </w:rPr>
        <w:t xml:space="preserve"> R</w:t>
      </w:r>
      <w:r w:rsidRPr="00672CC2">
        <w:rPr>
          <w:rFonts w:ascii="Arial" w:eastAsia="Calibri" w:hAnsi="Arial" w:cs="Arial"/>
          <w:b/>
          <w:color w:val="000000" w:themeColor="text1"/>
          <w:sz w:val="22"/>
          <w:lang w:val="es-ES_tradnl"/>
        </w:rPr>
        <w:t xml:space="preserve">elación </w:t>
      </w:r>
      <w:r w:rsidR="005526EE" w:rsidRPr="00672CC2">
        <w:rPr>
          <w:rFonts w:ascii="Arial" w:eastAsia="Calibri" w:hAnsi="Arial" w:cs="Arial"/>
          <w:b/>
          <w:color w:val="000000" w:themeColor="text1"/>
          <w:sz w:val="22"/>
          <w:lang w:val="es-ES_tradnl"/>
        </w:rPr>
        <w:t>–</w:t>
      </w:r>
      <w:r w:rsidR="005526EE">
        <w:rPr>
          <w:rFonts w:ascii="Arial" w:eastAsia="Calibri" w:hAnsi="Arial" w:cs="Arial"/>
          <w:b/>
          <w:color w:val="000000" w:themeColor="text1"/>
          <w:sz w:val="22"/>
          <w:lang w:val="es-ES_tradnl"/>
        </w:rPr>
        <w:t xml:space="preserve"> </w:t>
      </w:r>
      <w:r w:rsidRPr="00672CC2">
        <w:rPr>
          <w:rFonts w:ascii="Arial" w:eastAsia="Calibri" w:hAnsi="Arial" w:cs="Arial"/>
          <w:b/>
          <w:color w:val="000000" w:themeColor="text1"/>
          <w:sz w:val="22"/>
          <w:lang w:val="es-ES_tradnl"/>
        </w:rPr>
        <w:t>Decreto 092 de 2017</w:t>
      </w:r>
      <w:r w:rsidR="00522C81" w:rsidRPr="00672CC2">
        <w:rPr>
          <w:rFonts w:ascii="Arial" w:eastAsia="Calibri" w:hAnsi="Arial" w:cs="Arial"/>
          <w:b/>
          <w:color w:val="000000" w:themeColor="text1"/>
          <w:sz w:val="22"/>
          <w:lang w:val="es-ES_tradnl"/>
        </w:rPr>
        <w:t xml:space="preserve">  </w:t>
      </w:r>
    </w:p>
    <w:p w14:paraId="271BC427" w14:textId="77777777" w:rsidR="005E1574" w:rsidRPr="00672CC2" w:rsidRDefault="005E1574" w:rsidP="00926D77">
      <w:pPr>
        <w:jc w:val="both"/>
        <w:rPr>
          <w:rFonts w:ascii="Arial" w:eastAsia="Calibri" w:hAnsi="Arial" w:cs="Arial"/>
          <w:color w:val="000000" w:themeColor="text1"/>
          <w:sz w:val="20"/>
          <w:szCs w:val="20"/>
          <w:lang w:val="es-ES_tradnl"/>
        </w:rPr>
      </w:pPr>
    </w:p>
    <w:p w14:paraId="48701289" w14:textId="774702D2" w:rsidR="006E3D04" w:rsidRDefault="00155DEC" w:rsidP="006E3D04">
      <w:pPr>
        <w:tabs>
          <w:tab w:val="left" w:pos="426"/>
        </w:tabs>
        <w:spacing w:after="120"/>
        <w:jc w:val="both"/>
        <w:rPr>
          <w:rFonts w:ascii="Arial" w:eastAsia="Calibri" w:hAnsi="Arial" w:cs="Arial"/>
          <w:bCs/>
          <w:color w:val="000000" w:themeColor="text1"/>
          <w:sz w:val="20"/>
          <w:lang w:val="es-ES_tradnl"/>
        </w:rPr>
      </w:pPr>
      <w:r w:rsidRPr="00672CC2">
        <w:rPr>
          <w:rFonts w:ascii="Arial" w:eastAsia="Calibri" w:hAnsi="Arial" w:cs="Arial"/>
          <w:bCs/>
          <w:color w:val="000000" w:themeColor="text1"/>
          <w:sz w:val="20"/>
          <w:lang w:val="es-ES_tradnl"/>
        </w:rPr>
        <w:t xml:space="preserve">El artículo 335 de la Constitución permite celebrar </w:t>
      </w:r>
      <w:r w:rsidRPr="00672CC2">
        <w:rPr>
          <w:rFonts w:ascii="Arial" w:eastAsia="Calibri" w:hAnsi="Arial" w:cs="Arial"/>
          <w:bCs/>
          <w:i/>
          <w:color w:val="000000" w:themeColor="text1"/>
          <w:sz w:val="20"/>
          <w:lang w:val="es-ES_tradnl"/>
        </w:rPr>
        <w:t>contratos de colaboración</w:t>
      </w:r>
      <w:r w:rsidRPr="00672CC2">
        <w:rPr>
          <w:rFonts w:ascii="Arial" w:eastAsia="Calibri" w:hAnsi="Arial" w:cs="Arial"/>
          <w:bCs/>
          <w:color w:val="000000" w:themeColor="text1"/>
          <w:sz w:val="20"/>
          <w:lang w:val="es-ES_tradnl"/>
        </w:rPr>
        <w:t xml:space="preserve"> con entidades privadas sin ánimo de lucro y de reconocida idoneidad con el fin de impulsar programas y actividades de interés público acordes con el Plan Nacional y los planes seccionales de Desarrollo. Adicionalmente, el artículo 96 de la Ley 489 de 1998 permite la celebración de </w:t>
      </w:r>
      <w:r w:rsidRPr="00672CC2">
        <w:rPr>
          <w:rFonts w:ascii="Arial" w:eastAsia="Calibri" w:hAnsi="Arial" w:cs="Arial"/>
          <w:bCs/>
          <w:i/>
          <w:color w:val="000000" w:themeColor="text1"/>
          <w:sz w:val="20"/>
          <w:lang w:val="es-ES_tradnl"/>
        </w:rPr>
        <w:t>convenios de asociación</w:t>
      </w:r>
      <w:r w:rsidRPr="00672CC2">
        <w:rPr>
          <w:rFonts w:ascii="Arial" w:eastAsia="Calibri" w:hAnsi="Arial" w:cs="Arial"/>
          <w:bCs/>
          <w:color w:val="000000" w:themeColor="text1"/>
          <w:sz w:val="20"/>
          <w:lang w:val="es-ES_tradnl"/>
        </w:rPr>
        <w:t xml:space="preserve"> para desarrollar conjuntamente actividades en relación con las funciones que la ley asigna a las entidades públicas, los cuales –conforme al inciso 2 y 3 de la norma en comento– se rigen por el artículo 355 superior y pueden ser desarrollados también por las ESAL. En esta medida, el comodato –sea de bienes inmuebles o muebles– están relacionados con los artículos 2 y 5 del Decreto 092 de 2017 cuando el préstamo de uso guarde relación con el cumplimiento de </w:t>
      </w:r>
      <w:r w:rsidRPr="00672CC2">
        <w:rPr>
          <w:rFonts w:ascii="Arial" w:eastAsia="Calibri" w:hAnsi="Arial" w:cs="Arial"/>
          <w:bCs/>
          <w:i/>
          <w:iCs/>
          <w:color w:val="000000" w:themeColor="text1"/>
          <w:sz w:val="20"/>
          <w:lang w:val="es-ES_tradnl"/>
        </w:rPr>
        <w:t>contratos de colaboración</w:t>
      </w:r>
      <w:r w:rsidRPr="00672CC2">
        <w:rPr>
          <w:rFonts w:ascii="Arial" w:eastAsia="Calibri" w:hAnsi="Arial" w:cs="Arial"/>
          <w:bCs/>
          <w:color w:val="000000" w:themeColor="text1"/>
          <w:sz w:val="20"/>
          <w:lang w:val="es-ES_tradnl"/>
        </w:rPr>
        <w:t xml:space="preserve"> o </w:t>
      </w:r>
      <w:r w:rsidRPr="00672CC2">
        <w:rPr>
          <w:rFonts w:ascii="Arial" w:eastAsia="Calibri" w:hAnsi="Arial" w:cs="Arial"/>
          <w:bCs/>
          <w:i/>
          <w:iCs/>
          <w:color w:val="000000" w:themeColor="text1"/>
          <w:sz w:val="20"/>
          <w:lang w:val="es-ES_tradnl"/>
        </w:rPr>
        <w:t>convenios de asociación</w:t>
      </w:r>
      <w:r w:rsidRPr="00672CC2">
        <w:rPr>
          <w:rFonts w:ascii="Arial" w:eastAsia="Calibri" w:hAnsi="Arial" w:cs="Arial"/>
          <w:bCs/>
          <w:color w:val="000000" w:themeColor="text1"/>
          <w:sz w:val="20"/>
          <w:lang w:val="es-ES_tradnl"/>
        </w:rPr>
        <w:t xml:space="preserve">. </w:t>
      </w:r>
    </w:p>
    <w:p w14:paraId="7A441843" w14:textId="5C94E414" w:rsidR="00B7258D" w:rsidRPr="00672CC2" w:rsidRDefault="00B7258D" w:rsidP="006E3D04">
      <w:pPr>
        <w:tabs>
          <w:tab w:val="left" w:pos="426"/>
        </w:tabs>
        <w:spacing w:after="120"/>
        <w:jc w:val="both"/>
        <w:rPr>
          <w:rFonts w:ascii="Arial" w:eastAsia="Calibri" w:hAnsi="Arial" w:cs="Arial"/>
          <w:bCs/>
          <w:color w:val="000000" w:themeColor="text1"/>
          <w:sz w:val="20"/>
          <w:lang w:val="es-ES_tradnl"/>
        </w:rPr>
      </w:pPr>
      <w:r>
        <w:rPr>
          <w:rFonts w:ascii="Arial" w:eastAsia="Calibri" w:hAnsi="Arial" w:cs="Arial"/>
          <w:bCs/>
          <w:color w:val="000000" w:themeColor="text1"/>
          <w:sz w:val="20"/>
          <w:lang w:val="es-ES_tradnl"/>
        </w:rPr>
        <w:t>[…]</w:t>
      </w:r>
    </w:p>
    <w:p w14:paraId="66700801" w14:textId="1EFA781F" w:rsidR="003575B9" w:rsidRPr="00672CC2" w:rsidRDefault="00B7258D" w:rsidP="00886B4A">
      <w:pPr>
        <w:tabs>
          <w:tab w:val="left" w:pos="426"/>
        </w:tabs>
        <w:jc w:val="both"/>
        <w:rPr>
          <w:rFonts w:ascii="Arial" w:eastAsia="Calibri" w:hAnsi="Arial" w:cs="Arial"/>
          <w:bCs/>
          <w:color w:val="000000" w:themeColor="text1"/>
          <w:sz w:val="20"/>
          <w:lang w:val="es-ES_tradnl"/>
        </w:rPr>
      </w:pPr>
      <w:r>
        <w:rPr>
          <w:rFonts w:ascii="Arial" w:eastAsia="Calibri" w:hAnsi="Arial" w:cs="Arial"/>
          <w:bCs/>
          <w:color w:val="000000" w:themeColor="text1"/>
          <w:sz w:val="20"/>
          <w:lang w:val="es-ES_tradnl"/>
        </w:rPr>
        <w:t xml:space="preserve">[…] </w:t>
      </w:r>
      <w:r w:rsidR="00155DEC" w:rsidRPr="00672CC2">
        <w:rPr>
          <w:rFonts w:ascii="Arial" w:eastAsia="Calibri" w:hAnsi="Arial" w:cs="Arial"/>
          <w:bCs/>
          <w:color w:val="000000" w:themeColor="text1"/>
          <w:sz w:val="20"/>
          <w:lang w:val="es-ES_tradnl"/>
        </w:rPr>
        <w:t>En este contexto, el contrato de comodato es una de las tantas prestaciones que hace parte de la colaboración conjunta entre las entidades públicas y las ESAL para el cumplimiento de objetivos de interés general previstos en los planes de desarrollo o para el cumplimiento de las funciones de las entidades públicas.</w:t>
      </w:r>
    </w:p>
    <w:p w14:paraId="15F4CC95" w14:textId="77777777" w:rsidR="00155DEC" w:rsidRPr="00672CC2" w:rsidRDefault="00155DEC" w:rsidP="00926D77">
      <w:pPr>
        <w:tabs>
          <w:tab w:val="left" w:pos="426"/>
        </w:tabs>
        <w:jc w:val="both"/>
        <w:rPr>
          <w:rFonts w:ascii="Arial" w:eastAsia="Calibri" w:hAnsi="Arial" w:cs="Arial"/>
          <w:bCs/>
          <w:color w:val="000000" w:themeColor="text1"/>
          <w:sz w:val="20"/>
          <w:lang w:val="es-ES_tradnl"/>
        </w:rPr>
      </w:pPr>
    </w:p>
    <w:p w14:paraId="3B78CE77" w14:textId="2BFBBFEE" w:rsidR="003575B9" w:rsidRPr="00672CC2" w:rsidRDefault="003575B9" w:rsidP="00926D77">
      <w:pPr>
        <w:jc w:val="both"/>
        <w:rPr>
          <w:rFonts w:ascii="Arial" w:eastAsia="Calibri" w:hAnsi="Arial" w:cs="Arial"/>
          <w:b/>
          <w:color w:val="000000" w:themeColor="text1"/>
          <w:sz w:val="22"/>
          <w:lang w:val="es-ES_tradnl"/>
        </w:rPr>
      </w:pPr>
      <w:r w:rsidRPr="00672CC2">
        <w:rPr>
          <w:rFonts w:ascii="Arial" w:eastAsia="Calibri" w:hAnsi="Arial" w:cs="Arial"/>
          <w:b/>
          <w:color w:val="000000" w:themeColor="text1"/>
          <w:sz w:val="22"/>
          <w:lang w:val="es-ES_tradnl"/>
        </w:rPr>
        <w:t>PUBLICIDAD</w:t>
      </w:r>
      <w:r w:rsidR="00B30F00">
        <w:rPr>
          <w:rFonts w:ascii="Arial" w:eastAsia="Calibri" w:hAnsi="Arial" w:cs="Arial"/>
          <w:b/>
          <w:color w:val="000000" w:themeColor="text1"/>
          <w:sz w:val="22"/>
          <w:lang w:val="es-ES_tradnl"/>
        </w:rPr>
        <w:t xml:space="preserve"> ‒ </w:t>
      </w:r>
      <w:r w:rsidR="00922E35" w:rsidRPr="00672CC2">
        <w:rPr>
          <w:rFonts w:ascii="Arial" w:eastAsia="Calibri" w:hAnsi="Arial" w:cs="Arial"/>
          <w:b/>
          <w:color w:val="000000" w:themeColor="text1"/>
          <w:sz w:val="22"/>
          <w:lang w:val="es-ES_tradnl"/>
        </w:rPr>
        <w:t>Obligatoriedad</w:t>
      </w:r>
      <w:r w:rsidRPr="00672CC2">
        <w:rPr>
          <w:rFonts w:ascii="Arial" w:eastAsia="Calibri" w:hAnsi="Arial" w:cs="Arial"/>
          <w:b/>
          <w:color w:val="000000" w:themeColor="text1"/>
          <w:sz w:val="22"/>
          <w:lang w:val="es-ES_tradnl"/>
        </w:rPr>
        <w:t xml:space="preserve"> </w:t>
      </w:r>
      <w:r w:rsidR="007A49D1">
        <w:rPr>
          <w:rFonts w:ascii="Arial" w:eastAsia="Calibri" w:hAnsi="Arial" w:cs="Arial"/>
          <w:b/>
          <w:color w:val="000000" w:themeColor="text1"/>
          <w:sz w:val="22"/>
          <w:lang w:val="es-ES_tradnl"/>
        </w:rPr>
        <w:t>‒ SECOP II</w:t>
      </w:r>
      <w:r w:rsidRPr="00672CC2">
        <w:rPr>
          <w:rFonts w:ascii="Arial" w:eastAsia="Calibri" w:hAnsi="Arial" w:cs="Arial"/>
          <w:b/>
          <w:color w:val="000000" w:themeColor="text1"/>
          <w:sz w:val="22"/>
          <w:lang w:val="es-ES_tradnl"/>
        </w:rPr>
        <w:t xml:space="preserve"> </w:t>
      </w:r>
    </w:p>
    <w:p w14:paraId="24959003" w14:textId="77777777" w:rsidR="003575B9" w:rsidRPr="00672CC2" w:rsidRDefault="003575B9" w:rsidP="00926D77">
      <w:pPr>
        <w:jc w:val="both"/>
        <w:rPr>
          <w:rFonts w:ascii="Arial" w:eastAsia="Calibri" w:hAnsi="Arial" w:cs="Arial"/>
          <w:color w:val="000000" w:themeColor="text1"/>
          <w:sz w:val="20"/>
          <w:szCs w:val="20"/>
          <w:lang w:val="es-ES_tradnl"/>
        </w:rPr>
      </w:pPr>
    </w:p>
    <w:p w14:paraId="4B35DA9B" w14:textId="2B6DC0E4" w:rsidR="000B4B96" w:rsidRPr="00672CC2" w:rsidRDefault="000B4B96" w:rsidP="73AE38B2">
      <w:pPr>
        <w:tabs>
          <w:tab w:val="left" w:pos="426"/>
        </w:tabs>
        <w:spacing w:after="120"/>
        <w:jc w:val="both"/>
        <w:rPr>
          <w:rFonts w:ascii="Arial" w:eastAsia="Calibri" w:hAnsi="Arial" w:cs="Arial"/>
          <w:color w:val="000000" w:themeColor="text1"/>
          <w:sz w:val="20"/>
          <w:szCs w:val="20"/>
          <w:lang w:val="es-ES"/>
        </w:rPr>
      </w:pPr>
      <w:r w:rsidRPr="73AE38B2">
        <w:rPr>
          <w:rFonts w:ascii="Arial" w:eastAsia="Calibri" w:hAnsi="Arial" w:cs="Arial"/>
          <w:color w:val="000000" w:themeColor="text1"/>
          <w:sz w:val="20"/>
          <w:szCs w:val="20"/>
          <w:lang w:val="es-ES"/>
        </w:rPr>
        <w:t>[…]</w:t>
      </w:r>
      <w:r w:rsidR="303C77A9" w:rsidRPr="73AE38B2">
        <w:rPr>
          <w:rFonts w:ascii="Arial" w:eastAsia="Calibri" w:hAnsi="Arial" w:cs="Arial"/>
          <w:color w:val="000000" w:themeColor="text1"/>
          <w:sz w:val="20"/>
          <w:szCs w:val="20"/>
          <w:lang w:val="es-ES"/>
        </w:rPr>
        <w:t>,</w:t>
      </w:r>
      <w:r w:rsidRPr="73AE38B2">
        <w:rPr>
          <w:rFonts w:ascii="Arial" w:eastAsia="Calibri" w:hAnsi="Arial" w:cs="Arial"/>
          <w:color w:val="000000" w:themeColor="text1"/>
          <w:sz w:val="20"/>
          <w:szCs w:val="20"/>
          <w:lang w:val="es-ES"/>
        </w:rPr>
        <w:t xml:space="preserve"> </w:t>
      </w:r>
      <w:r w:rsidR="00FE0FE9" w:rsidRPr="73AE38B2">
        <w:rPr>
          <w:rFonts w:ascii="Arial" w:eastAsia="Calibri" w:hAnsi="Arial" w:cs="Arial"/>
          <w:color w:val="000000" w:themeColor="text1"/>
          <w:sz w:val="20"/>
          <w:szCs w:val="20"/>
          <w:lang w:val="es-ES"/>
        </w:rPr>
        <w:t>e</w:t>
      </w:r>
      <w:r w:rsidR="00155DEC" w:rsidRPr="73AE38B2">
        <w:rPr>
          <w:rFonts w:ascii="Arial" w:eastAsia="Calibri" w:hAnsi="Arial" w:cs="Arial"/>
          <w:color w:val="000000" w:themeColor="text1"/>
          <w:sz w:val="20"/>
          <w:szCs w:val="20"/>
          <w:lang w:val="es-ES"/>
        </w:rPr>
        <w:t xml:space="preserve">s necesario distinguir entre los comodatos que se celebran al amparo de la Ley 9 de 1989 y los del Decreto 092 de 2017. </w:t>
      </w:r>
      <w:r w:rsidR="00155DEC" w:rsidRPr="73AE38B2">
        <w:rPr>
          <w:rFonts w:ascii="Arial" w:eastAsia="Calibri" w:hAnsi="Arial" w:cs="Arial"/>
          <w:i/>
          <w:iCs/>
          <w:color w:val="000000" w:themeColor="text1"/>
          <w:sz w:val="20"/>
          <w:szCs w:val="20"/>
          <w:lang w:val="es-ES"/>
        </w:rPr>
        <w:t>En el primer caso</w:t>
      </w:r>
      <w:r w:rsidR="00155DEC" w:rsidRPr="73AE38B2">
        <w:rPr>
          <w:rFonts w:ascii="Arial" w:eastAsia="Calibri" w:hAnsi="Arial" w:cs="Arial"/>
          <w:color w:val="000000" w:themeColor="text1"/>
          <w:sz w:val="20"/>
          <w:szCs w:val="20"/>
          <w:lang w:val="es-ES"/>
        </w:rPr>
        <w:t>, de la interpretación armónica entre las Circulares Externas No. 1 y No. 2 de 2019, se infiere que la obligatoriedad del SECOP II para las gobernaciones es para los procesos iniciados a partir del 1° de abril de 2020. Esto significa que todos los procesos de contratación creados en el SECOP I antes de esa fecha, podrán gestionarse en dicho medio. En este último caso, la plataforma únicamente funciona como un repositorio de información, pues no es un sistema transaccional.</w:t>
      </w:r>
    </w:p>
    <w:p w14:paraId="4ABAC075" w14:textId="7BFF60D0" w:rsidR="000B4B96" w:rsidRPr="00672CC2" w:rsidRDefault="00155DEC" w:rsidP="00A55281">
      <w:pPr>
        <w:tabs>
          <w:tab w:val="left" w:pos="426"/>
        </w:tabs>
        <w:jc w:val="both"/>
        <w:rPr>
          <w:rFonts w:ascii="Arial" w:eastAsia="Calibri" w:hAnsi="Arial" w:cs="Arial"/>
          <w:bCs/>
          <w:color w:val="000000" w:themeColor="text1"/>
          <w:sz w:val="20"/>
          <w:lang w:val="es-ES_tradnl"/>
        </w:rPr>
      </w:pPr>
      <w:r w:rsidRPr="00672CC2">
        <w:rPr>
          <w:rFonts w:ascii="Arial" w:eastAsia="Calibri" w:hAnsi="Arial" w:cs="Arial"/>
          <w:bCs/>
          <w:color w:val="000000" w:themeColor="text1"/>
          <w:sz w:val="20"/>
          <w:lang w:val="es-ES_tradnl"/>
        </w:rPr>
        <w:t xml:space="preserve">No obstante, </w:t>
      </w:r>
      <w:r w:rsidRPr="00672CC2">
        <w:rPr>
          <w:rFonts w:ascii="Arial" w:eastAsia="Calibri" w:hAnsi="Arial" w:cs="Arial"/>
          <w:bCs/>
          <w:i/>
          <w:iCs/>
          <w:color w:val="000000" w:themeColor="text1"/>
          <w:sz w:val="20"/>
          <w:lang w:val="es-ES_tradnl"/>
        </w:rPr>
        <w:t>en el segundo caso</w:t>
      </w:r>
      <w:r w:rsidRPr="00672CC2">
        <w:rPr>
          <w:rFonts w:ascii="Arial" w:eastAsia="Calibri" w:hAnsi="Arial" w:cs="Arial"/>
          <w:bCs/>
          <w:color w:val="000000" w:themeColor="text1"/>
          <w:sz w:val="20"/>
          <w:lang w:val="es-ES_tradnl"/>
        </w:rPr>
        <w:t xml:space="preserve">, la Circular Externa No. 1 del 22 de agosto de 2019 dispone reglas especiales para los contratos realizados con fundamento en el Decreto 092 de 2017, las cuales no fueron modificadas por la Circular Externa No. 2 del 23 de diciembre de 2019. Al respecto, la Circular Nº 1 prescribe que «Todas las entidades del Estado colombiano deberán gestionar en el SECOP ll los procesos de contratación con ESALES (Decreto 092 de 2017) para lo cual encontrarán habilitado el módulo de régimen especial del SECOP ll. El módulo de régimen especial estará habilitado para publicar procesos en el marco del Decreto 092 de 2017 independientemente de si la entidad ha publicado o no procesos de contratación en esta plataforma entre el 1 de enero de 2019 y la fecha de expedición de esta Circular», orientación dirigida a todas a las entidades públicas que, por tanto, no se restringe a las listadas en el Anexo 1 de la mencionada circular. </w:t>
      </w:r>
    </w:p>
    <w:p w14:paraId="6B88237F" w14:textId="7909AE90" w:rsidR="0048367C" w:rsidRPr="00672CC2" w:rsidRDefault="0048367C" w:rsidP="00A55281">
      <w:pPr>
        <w:tabs>
          <w:tab w:val="left" w:pos="426"/>
        </w:tabs>
        <w:jc w:val="both"/>
        <w:rPr>
          <w:rFonts w:ascii="Arial" w:hAnsi="Arial" w:cs="Arial"/>
          <w:color w:val="000000" w:themeColor="text1"/>
          <w:sz w:val="22"/>
        </w:rPr>
      </w:pPr>
      <w:r w:rsidRPr="00672CC2">
        <w:rPr>
          <w:rFonts w:ascii="Arial" w:hAnsi="Arial" w:cs="Arial"/>
          <w:color w:val="000000" w:themeColor="text1"/>
          <w:sz w:val="22"/>
        </w:rPr>
        <w:lastRenderedPageBreak/>
        <w:t xml:space="preserve">Bogotá D.C., </w:t>
      </w:r>
      <w:r w:rsidRPr="00672CC2">
        <w:rPr>
          <w:rFonts w:ascii="Arial" w:hAnsi="Arial" w:cs="Arial"/>
          <w:b/>
          <w:bCs/>
          <w:color w:val="000000" w:themeColor="text1"/>
          <w:sz w:val="22"/>
        </w:rPr>
        <w:t xml:space="preserve">24/03/2020 Hora 21:48:21s </w:t>
      </w:r>
    </w:p>
    <w:p w14:paraId="44FC3668" w14:textId="60C6B24D" w:rsidR="00F1108B" w:rsidRPr="00672CC2" w:rsidRDefault="0048367C" w:rsidP="0048367C">
      <w:pPr>
        <w:jc w:val="right"/>
        <w:rPr>
          <w:rFonts w:ascii="Arial" w:eastAsia="Calibri" w:hAnsi="Arial" w:cs="Arial"/>
          <w:color w:val="000000" w:themeColor="text1"/>
          <w:sz w:val="20"/>
          <w:szCs w:val="20"/>
        </w:rPr>
      </w:pPr>
      <w:r w:rsidRPr="00672CC2">
        <w:rPr>
          <w:rFonts w:ascii="Arial" w:hAnsi="Arial" w:cs="Arial"/>
          <w:b/>
          <w:bCs/>
          <w:color w:val="000000" w:themeColor="text1"/>
          <w:sz w:val="22"/>
        </w:rPr>
        <w:t>N° Radicado: 2202013000002158</w:t>
      </w:r>
    </w:p>
    <w:p w14:paraId="1DC729B9" w14:textId="77777777" w:rsidR="00EE2030" w:rsidRDefault="00EE2030" w:rsidP="00F1108B">
      <w:pPr>
        <w:rPr>
          <w:rFonts w:ascii="Arial" w:eastAsia="Calibri" w:hAnsi="Arial" w:cs="Arial"/>
          <w:color w:val="000000" w:themeColor="text1"/>
          <w:sz w:val="22"/>
          <w:szCs w:val="20"/>
        </w:rPr>
      </w:pPr>
    </w:p>
    <w:p w14:paraId="1AC01C9C" w14:textId="58D92757" w:rsidR="00F1108B" w:rsidRPr="00672CC2" w:rsidRDefault="00F1108B" w:rsidP="00F1108B">
      <w:pPr>
        <w:rPr>
          <w:rFonts w:ascii="Arial" w:eastAsia="Calibri" w:hAnsi="Arial" w:cs="Arial"/>
          <w:color w:val="000000" w:themeColor="text1"/>
          <w:sz w:val="22"/>
          <w:szCs w:val="20"/>
        </w:rPr>
      </w:pPr>
      <w:r w:rsidRPr="00672CC2">
        <w:rPr>
          <w:rFonts w:ascii="Arial" w:eastAsia="Calibri" w:hAnsi="Arial" w:cs="Arial"/>
          <w:color w:val="000000" w:themeColor="text1"/>
          <w:sz w:val="22"/>
          <w:szCs w:val="20"/>
        </w:rPr>
        <w:t>Señor</w:t>
      </w:r>
      <w:r w:rsidR="00CA0EEF" w:rsidRPr="00672CC2">
        <w:rPr>
          <w:rFonts w:ascii="Arial" w:eastAsia="Calibri" w:hAnsi="Arial" w:cs="Arial"/>
          <w:color w:val="000000" w:themeColor="text1"/>
          <w:sz w:val="22"/>
          <w:szCs w:val="20"/>
        </w:rPr>
        <w:t>a</w:t>
      </w:r>
    </w:p>
    <w:p w14:paraId="27E4F17B" w14:textId="23DB7E30" w:rsidR="00CA0EEF" w:rsidRPr="00672CC2" w:rsidRDefault="00A27AD6" w:rsidP="00F1108B">
      <w:pPr>
        <w:rPr>
          <w:rFonts w:ascii="Arial" w:eastAsia="Calibri" w:hAnsi="Arial" w:cs="Arial"/>
          <w:b/>
          <w:color w:val="000000" w:themeColor="text1"/>
          <w:sz w:val="22"/>
          <w:szCs w:val="20"/>
        </w:rPr>
      </w:pPr>
      <w:r w:rsidRPr="00672CC2">
        <w:rPr>
          <w:rFonts w:ascii="Arial" w:eastAsia="Calibri" w:hAnsi="Arial" w:cs="Arial"/>
          <w:b/>
          <w:color w:val="000000" w:themeColor="text1"/>
          <w:sz w:val="22"/>
          <w:szCs w:val="20"/>
        </w:rPr>
        <w:t>ANGIE CAROLINA SALAS SALAS</w:t>
      </w:r>
    </w:p>
    <w:p w14:paraId="0C515BDA" w14:textId="7C984E02" w:rsidR="00F1108B" w:rsidRDefault="00F1108B" w:rsidP="00F1108B">
      <w:pPr>
        <w:rPr>
          <w:rFonts w:ascii="Arial" w:eastAsia="Calibri" w:hAnsi="Arial" w:cs="Arial"/>
          <w:color w:val="000000" w:themeColor="text1"/>
          <w:sz w:val="22"/>
          <w:szCs w:val="20"/>
        </w:rPr>
      </w:pPr>
      <w:r w:rsidRPr="00672CC2">
        <w:rPr>
          <w:rFonts w:ascii="Arial" w:eastAsia="Calibri" w:hAnsi="Arial" w:cs="Arial"/>
          <w:color w:val="000000" w:themeColor="text1"/>
          <w:sz w:val="22"/>
          <w:szCs w:val="20"/>
        </w:rPr>
        <w:t>Ciudad</w:t>
      </w:r>
    </w:p>
    <w:p w14:paraId="168792FD" w14:textId="6A1EAC8E" w:rsidR="00A55281" w:rsidRPr="00672CC2" w:rsidRDefault="00A55281" w:rsidP="00F1108B">
      <w:pPr>
        <w:rPr>
          <w:rFonts w:ascii="Arial" w:eastAsia="Calibri" w:hAnsi="Arial" w:cs="Arial"/>
          <w:color w:val="000000" w:themeColor="text1"/>
          <w:sz w:val="22"/>
          <w:szCs w:val="20"/>
        </w:rPr>
      </w:pPr>
    </w:p>
    <w:p w14:paraId="283D6043" w14:textId="5ED19DB5" w:rsidR="00F1108B" w:rsidRDefault="007B1013" w:rsidP="00F1108B">
      <w:pPr>
        <w:jc w:val="center"/>
        <w:rPr>
          <w:rFonts w:ascii="Arial" w:eastAsia="Calibri" w:hAnsi="Arial" w:cs="Arial"/>
          <w:b/>
          <w:color w:val="000000" w:themeColor="text1"/>
          <w:sz w:val="22"/>
        </w:rPr>
      </w:pPr>
      <w:r w:rsidRPr="00672CC2">
        <w:rPr>
          <w:rFonts w:ascii="Arial" w:eastAsia="Calibri" w:hAnsi="Arial" w:cs="Arial"/>
          <w:b/>
          <w:color w:val="000000" w:themeColor="text1"/>
          <w:sz w:val="22"/>
        </w:rPr>
        <w:t>Con</w:t>
      </w:r>
      <w:r w:rsidR="00F1108B" w:rsidRPr="00672CC2">
        <w:rPr>
          <w:rFonts w:ascii="Arial" w:eastAsia="Calibri" w:hAnsi="Arial" w:cs="Arial"/>
          <w:b/>
          <w:color w:val="000000" w:themeColor="text1"/>
          <w:sz w:val="22"/>
        </w:rPr>
        <w:t xml:space="preserve">cepto C ─ </w:t>
      </w:r>
      <w:r w:rsidR="00CE02AD" w:rsidRPr="00672CC2">
        <w:rPr>
          <w:rFonts w:ascii="Arial" w:eastAsia="Calibri" w:hAnsi="Arial" w:cs="Arial"/>
          <w:b/>
          <w:color w:val="000000" w:themeColor="text1"/>
          <w:sz w:val="22"/>
        </w:rPr>
        <w:t>014</w:t>
      </w:r>
      <w:r w:rsidR="00F1108B" w:rsidRPr="00672CC2">
        <w:rPr>
          <w:rFonts w:ascii="Arial" w:eastAsia="Calibri" w:hAnsi="Arial" w:cs="Arial"/>
          <w:b/>
          <w:color w:val="000000" w:themeColor="text1"/>
          <w:sz w:val="22"/>
        </w:rPr>
        <w:t xml:space="preserve"> de 2020</w:t>
      </w:r>
    </w:p>
    <w:p w14:paraId="565EB462" w14:textId="47EDD7FC" w:rsidR="00696859" w:rsidRPr="00672CC2" w:rsidRDefault="00696859" w:rsidP="00F1108B">
      <w:pPr>
        <w:jc w:val="center"/>
        <w:rPr>
          <w:rFonts w:ascii="Arial" w:eastAsia="Calibri" w:hAnsi="Arial" w:cs="Arial"/>
          <w:b/>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72CC2" w:rsidRPr="00672CC2" w14:paraId="522C04FC" w14:textId="77777777" w:rsidTr="006C0BDF">
        <w:tc>
          <w:tcPr>
            <w:tcW w:w="2689" w:type="dxa"/>
            <w:hideMark/>
          </w:tcPr>
          <w:p w14:paraId="5C1F9A7E" w14:textId="77777777" w:rsidR="00F1108B" w:rsidRPr="00672CC2" w:rsidRDefault="00F1108B" w:rsidP="006C0BDF">
            <w:pPr>
              <w:rPr>
                <w:rFonts w:ascii="Arial" w:eastAsia="Calibri" w:hAnsi="Arial" w:cs="Arial"/>
                <w:color w:val="000000" w:themeColor="text1"/>
                <w:sz w:val="22"/>
              </w:rPr>
            </w:pPr>
            <w:r w:rsidRPr="00672CC2">
              <w:rPr>
                <w:rFonts w:ascii="Arial" w:eastAsia="Calibri" w:hAnsi="Arial" w:cs="Arial"/>
                <w:b/>
                <w:color w:val="000000" w:themeColor="text1"/>
                <w:sz w:val="22"/>
              </w:rPr>
              <w:t>Temas:</w:t>
            </w:r>
            <w:r w:rsidRPr="00672CC2">
              <w:rPr>
                <w:rFonts w:ascii="Arial" w:eastAsia="Calibri" w:hAnsi="Arial" w:cs="Arial"/>
                <w:color w:val="000000" w:themeColor="text1"/>
                <w:sz w:val="22"/>
              </w:rPr>
              <w:t xml:space="preserve">           </w:t>
            </w:r>
          </w:p>
          <w:p w14:paraId="4376ABAA" w14:textId="77777777" w:rsidR="00F1108B" w:rsidRPr="00672CC2" w:rsidRDefault="00F1108B" w:rsidP="006C0BDF">
            <w:pPr>
              <w:rPr>
                <w:rFonts w:ascii="Arial" w:eastAsia="Calibri" w:hAnsi="Arial" w:cs="Arial"/>
                <w:color w:val="000000" w:themeColor="text1"/>
                <w:sz w:val="22"/>
              </w:rPr>
            </w:pPr>
            <w:r w:rsidRPr="00672CC2">
              <w:rPr>
                <w:rFonts w:ascii="Arial" w:eastAsia="Calibri" w:hAnsi="Arial" w:cs="Arial"/>
                <w:color w:val="000000" w:themeColor="text1"/>
                <w:sz w:val="22"/>
              </w:rPr>
              <w:t xml:space="preserve">                           </w:t>
            </w:r>
          </w:p>
        </w:tc>
        <w:tc>
          <w:tcPr>
            <w:tcW w:w="6237" w:type="dxa"/>
            <w:hideMark/>
          </w:tcPr>
          <w:p w14:paraId="3AA47512" w14:textId="1B3DC6C2" w:rsidR="00F1108B" w:rsidRPr="00672CC2" w:rsidRDefault="00522C81" w:rsidP="00AE491A">
            <w:pPr>
              <w:jc w:val="both"/>
              <w:rPr>
                <w:rFonts w:ascii="Arial" w:eastAsia="Calibri" w:hAnsi="Arial" w:cs="Arial"/>
                <w:color w:val="000000" w:themeColor="text1"/>
                <w:sz w:val="22"/>
              </w:rPr>
            </w:pPr>
            <w:r w:rsidRPr="00672CC2">
              <w:rPr>
                <w:rFonts w:ascii="Arial" w:eastAsia="Calibri" w:hAnsi="Arial" w:cs="Arial"/>
                <w:color w:val="000000" w:themeColor="text1"/>
                <w:sz w:val="22"/>
              </w:rPr>
              <w:t xml:space="preserve">CONTRATOS DE COLABORACIÓN Y CONVENIOS DE ASOCIACIÓN ― </w:t>
            </w:r>
            <w:r w:rsidR="00922E35" w:rsidRPr="00672CC2">
              <w:rPr>
                <w:rFonts w:ascii="Arial" w:eastAsia="Calibri" w:hAnsi="Arial" w:cs="Arial"/>
                <w:color w:val="000000" w:themeColor="text1"/>
                <w:sz w:val="22"/>
              </w:rPr>
              <w:t>Diferencias /</w:t>
            </w:r>
            <w:r w:rsidR="00F1108B" w:rsidRPr="00672CC2">
              <w:rPr>
                <w:rFonts w:ascii="Arial" w:eastAsia="Calibri" w:hAnsi="Arial" w:cs="Arial"/>
                <w:color w:val="000000" w:themeColor="text1"/>
                <w:sz w:val="22"/>
              </w:rPr>
              <w:t xml:space="preserve"> </w:t>
            </w:r>
            <w:r w:rsidR="00922E35" w:rsidRPr="00672CC2">
              <w:rPr>
                <w:rFonts w:ascii="Arial" w:eastAsia="Calibri" w:hAnsi="Arial" w:cs="Arial"/>
                <w:color w:val="000000" w:themeColor="text1"/>
                <w:sz w:val="22"/>
              </w:rPr>
              <w:t xml:space="preserve">CONTRATOS DE COMODATO ― </w:t>
            </w:r>
            <w:r w:rsidR="007A2BCE" w:rsidRPr="007A2BCE">
              <w:rPr>
                <w:rFonts w:ascii="Arial" w:eastAsia="Calibri" w:hAnsi="Arial" w:cs="Arial"/>
                <w:color w:val="000000" w:themeColor="text1"/>
                <w:sz w:val="22"/>
              </w:rPr>
              <w:t xml:space="preserve">Relación – Decreto 092 de 2017 </w:t>
            </w:r>
            <w:r w:rsidR="00922E35" w:rsidRPr="00672CC2">
              <w:rPr>
                <w:rFonts w:ascii="Arial" w:eastAsia="Calibri" w:hAnsi="Arial" w:cs="Arial"/>
                <w:color w:val="000000" w:themeColor="text1"/>
                <w:sz w:val="22"/>
              </w:rPr>
              <w:t>/ PUBLICIDAD EN EL SECOP II ― Obligatoriedad</w:t>
            </w:r>
            <w:r w:rsidR="00922E35" w:rsidRPr="00672CC2">
              <w:rPr>
                <w:rFonts w:ascii="Arial" w:eastAsia="Calibri" w:hAnsi="Arial" w:cs="Arial"/>
                <w:color w:val="000000" w:themeColor="text1"/>
                <w:sz w:val="22"/>
                <w:lang w:val="es-ES_tradnl"/>
              </w:rPr>
              <w:t xml:space="preserve">  </w:t>
            </w:r>
          </w:p>
        </w:tc>
      </w:tr>
      <w:tr w:rsidR="00F1108B" w:rsidRPr="00672CC2" w14:paraId="7D0D2FDB" w14:textId="77777777" w:rsidTr="006C0BDF">
        <w:tc>
          <w:tcPr>
            <w:tcW w:w="2689" w:type="dxa"/>
          </w:tcPr>
          <w:p w14:paraId="7DC82264" w14:textId="77777777" w:rsidR="00F1108B" w:rsidRPr="00672CC2" w:rsidRDefault="00F1108B" w:rsidP="006C0BDF">
            <w:pPr>
              <w:rPr>
                <w:rFonts w:ascii="Arial" w:eastAsia="Calibri" w:hAnsi="Arial" w:cs="Arial"/>
                <w:b/>
                <w:color w:val="000000" w:themeColor="text1"/>
                <w:sz w:val="22"/>
              </w:rPr>
            </w:pPr>
            <w:r w:rsidRPr="00672CC2">
              <w:rPr>
                <w:rFonts w:ascii="Arial" w:eastAsia="Calibri" w:hAnsi="Arial" w:cs="Arial"/>
                <w:b/>
                <w:color w:val="000000" w:themeColor="text1"/>
                <w:sz w:val="22"/>
              </w:rPr>
              <w:t>Radicación:</w:t>
            </w:r>
            <w:r w:rsidRPr="00672CC2">
              <w:rPr>
                <w:rFonts w:ascii="Arial" w:eastAsia="Calibri" w:hAnsi="Arial" w:cs="Arial"/>
                <w:color w:val="000000" w:themeColor="text1"/>
                <w:sz w:val="22"/>
              </w:rPr>
              <w:t xml:space="preserve">                              </w:t>
            </w:r>
          </w:p>
        </w:tc>
        <w:tc>
          <w:tcPr>
            <w:tcW w:w="6237" w:type="dxa"/>
          </w:tcPr>
          <w:p w14:paraId="01DC5749" w14:textId="3EBCFF5E" w:rsidR="00F1108B" w:rsidRPr="00672CC2" w:rsidRDefault="00F1108B" w:rsidP="007F785F">
            <w:pPr>
              <w:jc w:val="both"/>
              <w:rPr>
                <w:rFonts w:ascii="Arial" w:eastAsia="Calibri" w:hAnsi="Arial" w:cs="Arial"/>
                <w:color w:val="000000" w:themeColor="text1"/>
                <w:sz w:val="22"/>
              </w:rPr>
            </w:pPr>
            <w:r w:rsidRPr="00672CC2">
              <w:rPr>
                <w:rFonts w:ascii="Arial" w:eastAsia="Calibri" w:hAnsi="Arial" w:cs="Arial"/>
                <w:color w:val="000000" w:themeColor="text1"/>
                <w:sz w:val="22"/>
              </w:rPr>
              <w:t xml:space="preserve">Respuesta a consulta # </w:t>
            </w:r>
            <w:r w:rsidR="00A27AD6" w:rsidRPr="00672CC2">
              <w:rPr>
                <w:rFonts w:ascii="Arial" w:eastAsia="Calibri" w:hAnsi="Arial" w:cs="Arial"/>
                <w:color w:val="000000" w:themeColor="text1"/>
                <w:sz w:val="22"/>
              </w:rPr>
              <w:t>4202012</w:t>
            </w:r>
            <w:r w:rsidR="00CA0EEF" w:rsidRPr="00672CC2">
              <w:rPr>
                <w:rFonts w:ascii="Arial" w:eastAsia="Calibri" w:hAnsi="Arial" w:cs="Arial"/>
                <w:color w:val="000000" w:themeColor="text1"/>
                <w:sz w:val="22"/>
              </w:rPr>
              <w:t>00000</w:t>
            </w:r>
            <w:r w:rsidR="00A27AD6" w:rsidRPr="00672CC2">
              <w:rPr>
                <w:rFonts w:ascii="Arial" w:eastAsia="Calibri" w:hAnsi="Arial" w:cs="Arial"/>
                <w:color w:val="000000" w:themeColor="text1"/>
                <w:sz w:val="22"/>
              </w:rPr>
              <w:t>0280</w:t>
            </w:r>
          </w:p>
        </w:tc>
      </w:tr>
    </w:tbl>
    <w:p w14:paraId="7DF1E86E" w14:textId="77F09256" w:rsidR="00F1108B" w:rsidRDefault="00F1108B" w:rsidP="00F1108B">
      <w:pPr>
        <w:jc w:val="both"/>
        <w:rPr>
          <w:rFonts w:ascii="Arial" w:eastAsia="Calibri" w:hAnsi="Arial" w:cs="Arial"/>
          <w:color w:val="000000" w:themeColor="text1"/>
          <w:sz w:val="22"/>
        </w:rPr>
      </w:pPr>
    </w:p>
    <w:p w14:paraId="251FBE40" w14:textId="77777777" w:rsidR="00EE2030" w:rsidRDefault="00EE2030" w:rsidP="00F1108B">
      <w:pPr>
        <w:rPr>
          <w:rFonts w:ascii="Arial" w:eastAsia="Calibri" w:hAnsi="Arial" w:cs="Arial"/>
          <w:color w:val="000000" w:themeColor="text1"/>
          <w:sz w:val="22"/>
        </w:rPr>
      </w:pPr>
    </w:p>
    <w:p w14:paraId="6A11BDDD" w14:textId="0681301F" w:rsidR="00F1108B" w:rsidRPr="00672CC2" w:rsidRDefault="00CA0EEF" w:rsidP="00F1108B">
      <w:pPr>
        <w:rPr>
          <w:rFonts w:ascii="Arial" w:eastAsia="Calibri" w:hAnsi="Arial" w:cs="Arial"/>
          <w:color w:val="000000" w:themeColor="text1"/>
          <w:sz w:val="22"/>
        </w:rPr>
      </w:pPr>
      <w:r w:rsidRPr="00672CC2">
        <w:rPr>
          <w:rFonts w:ascii="Arial" w:eastAsia="Calibri" w:hAnsi="Arial" w:cs="Arial"/>
          <w:color w:val="000000" w:themeColor="text1"/>
          <w:sz w:val="22"/>
        </w:rPr>
        <w:t>Estimada</w:t>
      </w:r>
      <w:r w:rsidR="00F1108B" w:rsidRPr="00672CC2">
        <w:rPr>
          <w:rFonts w:ascii="Arial" w:eastAsia="Calibri" w:hAnsi="Arial" w:cs="Arial"/>
          <w:color w:val="000000" w:themeColor="text1"/>
          <w:sz w:val="22"/>
        </w:rPr>
        <w:t xml:space="preserve"> señor</w:t>
      </w:r>
      <w:r w:rsidRPr="00672CC2">
        <w:rPr>
          <w:rFonts w:ascii="Arial" w:eastAsia="Calibri" w:hAnsi="Arial" w:cs="Arial"/>
          <w:color w:val="000000" w:themeColor="text1"/>
          <w:sz w:val="22"/>
        </w:rPr>
        <w:t>a</w:t>
      </w:r>
      <w:r w:rsidR="00F1108B" w:rsidRPr="00672CC2">
        <w:rPr>
          <w:rFonts w:ascii="Arial" w:eastAsia="Calibri" w:hAnsi="Arial" w:cs="Arial"/>
          <w:color w:val="000000" w:themeColor="text1"/>
          <w:sz w:val="22"/>
        </w:rPr>
        <w:t xml:space="preserve"> </w:t>
      </w:r>
      <w:r w:rsidR="00A27AD6" w:rsidRPr="00672CC2">
        <w:rPr>
          <w:rFonts w:ascii="Arial" w:eastAsia="Calibri" w:hAnsi="Arial" w:cs="Arial"/>
          <w:color w:val="000000" w:themeColor="text1"/>
          <w:sz w:val="22"/>
        </w:rPr>
        <w:t>Angie Carolina</w:t>
      </w:r>
      <w:r w:rsidR="00F1108B" w:rsidRPr="00672CC2">
        <w:rPr>
          <w:rFonts w:ascii="Arial" w:eastAsia="Calibri" w:hAnsi="Arial" w:cs="Arial"/>
          <w:color w:val="000000" w:themeColor="text1"/>
          <w:sz w:val="22"/>
        </w:rPr>
        <w:t>,</w:t>
      </w:r>
    </w:p>
    <w:p w14:paraId="45ADAB8A" w14:textId="77777777" w:rsidR="00F1108B" w:rsidRPr="00672CC2" w:rsidRDefault="00F1108B" w:rsidP="00F1108B">
      <w:pPr>
        <w:rPr>
          <w:rFonts w:ascii="Arial" w:eastAsia="Calibri" w:hAnsi="Arial" w:cs="Arial"/>
          <w:color w:val="000000" w:themeColor="text1"/>
          <w:sz w:val="22"/>
        </w:rPr>
      </w:pPr>
    </w:p>
    <w:p w14:paraId="329AA852" w14:textId="54180503" w:rsidR="00F1108B" w:rsidRPr="00672CC2" w:rsidRDefault="00F1108B" w:rsidP="00F1108B">
      <w:pPr>
        <w:spacing w:line="276" w:lineRule="auto"/>
        <w:ind w:right="49"/>
        <w:jc w:val="both"/>
        <w:rPr>
          <w:rFonts w:ascii="Arial" w:eastAsia="Calibri" w:hAnsi="Arial" w:cs="Arial"/>
          <w:color w:val="000000" w:themeColor="text1"/>
          <w:sz w:val="22"/>
        </w:rPr>
      </w:pPr>
      <w:r w:rsidRPr="00672CC2">
        <w:rPr>
          <w:rFonts w:ascii="Arial" w:eastAsia="Calibri" w:hAnsi="Arial" w:cs="Arial"/>
          <w:color w:val="000000" w:themeColor="text1"/>
          <w:sz w:val="22"/>
        </w:rPr>
        <w:t xml:space="preserve">La Agencia Nacional de Contratación Pública ―Colombia Compra Eficiente― responde su consulta del </w:t>
      </w:r>
      <w:r w:rsidR="00A27AD6" w:rsidRPr="00672CC2">
        <w:rPr>
          <w:rFonts w:ascii="Arial" w:eastAsia="Calibri" w:hAnsi="Arial" w:cs="Arial"/>
          <w:color w:val="000000" w:themeColor="text1"/>
          <w:sz w:val="22"/>
        </w:rPr>
        <w:t>16 de enero</w:t>
      </w:r>
      <w:r w:rsidRPr="00672CC2">
        <w:rPr>
          <w:rFonts w:ascii="Arial" w:eastAsia="Calibri" w:hAnsi="Arial" w:cs="Arial"/>
          <w:color w:val="000000" w:themeColor="text1"/>
          <w:sz w:val="22"/>
        </w:rPr>
        <w:t xml:space="preserve"> de 2020, en ejercicio de la competencia otorgada por el numeral 8 del artículo 11 y el numeral 5 del artículo 3 del Decreto Ley 4170 de 2011. </w:t>
      </w:r>
    </w:p>
    <w:p w14:paraId="72382DCC" w14:textId="77777777" w:rsidR="00F1108B" w:rsidRPr="00EE2030" w:rsidRDefault="00F1108B" w:rsidP="00B14EA3">
      <w:pPr>
        <w:pStyle w:val="Prrafodelista"/>
        <w:tabs>
          <w:tab w:val="left" w:pos="284"/>
        </w:tabs>
        <w:spacing w:line="276" w:lineRule="auto"/>
        <w:ind w:left="0"/>
        <w:jc w:val="both"/>
        <w:rPr>
          <w:rFonts w:ascii="Arial" w:eastAsia="Calibri" w:hAnsi="Arial" w:cs="Arial"/>
          <w:color w:val="000000" w:themeColor="text1"/>
          <w:sz w:val="28"/>
          <w:szCs w:val="28"/>
        </w:rPr>
      </w:pPr>
    </w:p>
    <w:p w14:paraId="7041ED68" w14:textId="77777777" w:rsidR="00F1108B" w:rsidRPr="00672CC2" w:rsidRDefault="00F1108B" w:rsidP="00B14EA3">
      <w:pPr>
        <w:pStyle w:val="Prrafodelista"/>
        <w:tabs>
          <w:tab w:val="left" w:pos="284"/>
        </w:tabs>
        <w:spacing w:line="276" w:lineRule="auto"/>
        <w:ind w:left="0"/>
        <w:jc w:val="both"/>
        <w:rPr>
          <w:rFonts w:ascii="Arial" w:eastAsia="Calibri" w:hAnsi="Arial" w:cs="Arial"/>
          <w:b/>
          <w:color w:val="000000" w:themeColor="text1"/>
          <w:sz w:val="22"/>
        </w:rPr>
      </w:pPr>
      <w:r w:rsidRPr="00672CC2">
        <w:rPr>
          <w:rFonts w:ascii="Arial" w:eastAsia="Calibri" w:hAnsi="Arial" w:cs="Arial"/>
          <w:b/>
          <w:color w:val="000000" w:themeColor="text1"/>
          <w:sz w:val="22"/>
        </w:rPr>
        <w:t>1.</w:t>
      </w:r>
      <w:r w:rsidRPr="00672CC2">
        <w:rPr>
          <w:rFonts w:ascii="Arial" w:eastAsia="Calibri" w:hAnsi="Arial" w:cs="Arial"/>
          <w:color w:val="000000" w:themeColor="text1"/>
          <w:sz w:val="22"/>
        </w:rPr>
        <w:t xml:space="preserve"> </w:t>
      </w:r>
      <w:r w:rsidRPr="00672CC2">
        <w:rPr>
          <w:rFonts w:ascii="Arial" w:eastAsia="Calibri" w:hAnsi="Arial" w:cs="Arial"/>
          <w:b/>
          <w:color w:val="000000" w:themeColor="text1"/>
          <w:sz w:val="22"/>
        </w:rPr>
        <w:t xml:space="preserve">Problemas planteados </w:t>
      </w:r>
    </w:p>
    <w:p w14:paraId="2C3DAA31" w14:textId="77777777" w:rsidR="00F1108B" w:rsidRPr="00EE2030" w:rsidRDefault="00F1108B" w:rsidP="00B14EA3">
      <w:pPr>
        <w:tabs>
          <w:tab w:val="left" w:pos="426"/>
        </w:tabs>
        <w:spacing w:line="276" w:lineRule="auto"/>
        <w:jc w:val="both"/>
        <w:rPr>
          <w:rFonts w:ascii="Arial" w:eastAsia="Calibri" w:hAnsi="Arial" w:cs="Arial"/>
          <w:b/>
          <w:color w:val="000000" w:themeColor="text1"/>
          <w:sz w:val="28"/>
          <w:szCs w:val="28"/>
        </w:rPr>
      </w:pPr>
    </w:p>
    <w:p w14:paraId="54B6D392" w14:textId="33D18369" w:rsidR="00F1108B" w:rsidRPr="00672CC2" w:rsidRDefault="00F1108B" w:rsidP="00EC0E7E">
      <w:pPr>
        <w:tabs>
          <w:tab w:val="left" w:pos="426"/>
        </w:tabs>
        <w:spacing w:line="276" w:lineRule="auto"/>
        <w:jc w:val="both"/>
        <w:rPr>
          <w:rFonts w:ascii="Arial" w:eastAsia="Calibri" w:hAnsi="Arial" w:cs="Arial"/>
          <w:color w:val="000000" w:themeColor="text1"/>
          <w:sz w:val="22"/>
        </w:rPr>
      </w:pPr>
      <w:r w:rsidRPr="00672CC2">
        <w:rPr>
          <w:rFonts w:ascii="Arial" w:eastAsia="Calibri" w:hAnsi="Arial" w:cs="Arial"/>
          <w:color w:val="000000" w:themeColor="text1"/>
          <w:sz w:val="22"/>
        </w:rPr>
        <w:t>Usted realiza la</w:t>
      </w:r>
      <w:r w:rsidR="00A27AD6" w:rsidRPr="00672CC2">
        <w:rPr>
          <w:rFonts w:ascii="Arial" w:eastAsia="Calibri" w:hAnsi="Arial" w:cs="Arial"/>
          <w:color w:val="000000" w:themeColor="text1"/>
          <w:sz w:val="22"/>
        </w:rPr>
        <w:t>s</w:t>
      </w:r>
      <w:r w:rsidR="00CA0EEF" w:rsidRPr="00672CC2">
        <w:rPr>
          <w:rFonts w:ascii="Arial" w:eastAsia="Calibri" w:hAnsi="Arial" w:cs="Arial"/>
          <w:color w:val="000000" w:themeColor="text1"/>
          <w:sz w:val="22"/>
        </w:rPr>
        <w:t xml:space="preserve"> siguiente</w:t>
      </w:r>
      <w:r w:rsidR="00A27AD6" w:rsidRPr="00672CC2">
        <w:rPr>
          <w:rFonts w:ascii="Arial" w:eastAsia="Calibri" w:hAnsi="Arial" w:cs="Arial"/>
          <w:color w:val="000000" w:themeColor="text1"/>
          <w:sz w:val="22"/>
        </w:rPr>
        <w:t>s</w:t>
      </w:r>
      <w:r w:rsidR="00CA0EEF" w:rsidRPr="00672CC2">
        <w:rPr>
          <w:rFonts w:ascii="Arial" w:eastAsia="Calibri" w:hAnsi="Arial" w:cs="Arial"/>
          <w:color w:val="000000" w:themeColor="text1"/>
          <w:sz w:val="22"/>
        </w:rPr>
        <w:t xml:space="preserve"> pregunta</w:t>
      </w:r>
      <w:r w:rsidR="00A27AD6" w:rsidRPr="00672CC2">
        <w:rPr>
          <w:rFonts w:ascii="Arial" w:eastAsia="Calibri" w:hAnsi="Arial" w:cs="Arial"/>
          <w:color w:val="000000" w:themeColor="text1"/>
          <w:sz w:val="22"/>
        </w:rPr>
        <w:t>s</w:t>
      </w:r>
      <w:r w:rsidRPr="00672CC2">
        <w:rPr>
          <w:rFonts w:ascii="Arial" w:eastAsia="Calibri" w:hAnsi="Arial" w:cs="Arial"/>
          <w:color w:val="000000" w:themeColor="text1"/>
          <w:sz w:val="22"/>
        </w:rPr>
        <w:t xml:space="preserve">: </w:t>
      </w:r>
      <w:bookmarkStart w:id="2" w:name="_Hlk34854961"/>
      <w:r w:rsidR="00A27AD6" w:rsidRPr="00672CC2">
        <w:rPr>
          <w:rFonts w:ascii="Arial" w:eastAsia="Calibri" w:hAnsi="Arial" w:cs="Arial"/>
          <w:color w:val="000000" w:themeColor="text1"/>
          <w:sz w:val="22"/>
        </w:rPr>
        <w:t xml:space="preserve">i) </w:t>
      </w:r>
      <w:r w:rsidR="007F785F" w:rsidRPr="00672CC2">
        <w:rPr>
          <w:rFonts w:ascii="Arial" w:eastAsia="Calibri" w:hAnsi="Arial" w:cs="Arial"/>
          <w:color w:val="000000" w:themeColor="text1"/>
          <w:sz w:val="22"/>
        </w:rPr>
        <w:t>¿</w:t>
      </w:r>
      <w:r w:rsidR="00A27AD6" w:rsidRPr="00672CC2">
        <w:rPr>
          <w:rFonts w:ascii="Arial" w:eastAsia="Calibri" w:hAnsi="Arial" w:cs="Arial"/>
          <w:color w:val="000000" w:themeColor="text1"/>
          <w:sz w:val="22"/>
        </w:rPr>
        <w:t>los contratos de comodato suscritos entre una entidad pública y una ESAL se derivan del Decreto 092 de 2017 y, en consecuencia, deben publicarse en el SECOP</w:t>
      </w:r>
      <w:r w:rsidR="007F785F" w:rsidRPr="00672CC2">
        <w:rPr>
          <w:rFonts w:ascii="Arial" w:eastAsia="Calibri" w:hAnsi="Arial" w:cs="Arial"/>
          <w:color w:val="000000" w:themeColor="text1"/>
          <w:sz w:val="22"/>
        </w:rPr>
        <w:t>?</w:t>
      </w:r>
      <w:bookmarkEnd w:id="2"/>
      <w:r w:rsidR="00A27AD6" w:rsidRPr="00672CC2">
        <w:rPr>
          <w:rFonts w:ascii="Arial" w:eastAsia="Calibri" w:hAnsi="Arial" w:cs="Arial"/>
          <w:color w:val="000000" w:themeColor="text1"/>
          <w:sz w:val="22"/>
        </w:rPr>
        <w:t>,</w:t>
      </w:r>
      <w:r w:rsidR="00EB57B2" w:rsidRPr="00672CC2">
        <w:rPr>
          <w:rFonts w:ascii="Arial" w:eastAsia="Calibri" w:hAnsi="Arial" w:cs="Arial"/>
          <w:color w:val="000000" w:themeColor="text1"/>
          <w:sz w:val="22"/>
        </w:rPr>
        <w:t xml:space="preserve"> ii) considerando que las Gobernaciones deben implementar el SECOP II a partir de abril de 2020, ¿los contratos de comodato con fecha anterior pueden publicarse en SECOP I?</w:t>
      </w:r>
    </w:p>
    <w:p w14:paraId="04DF639B" w14:textId="77777777" w:rsidR="00F1108B" w:rsidRPr="00EE2030" w:rsidRDefault="00F1108B" w:rsidP="00EE2030">
      <w:pPr>
        <w:tabs>
          <w:tab w:val="left" w:pos="426"/>
        </w:tabs>
        <w:spacing w:line="276" w:lineRule="auto"/>
        <w:jc w:val="both"/>
        <w:rPr>
          <w:rFonts w:ascii="Arial" w:eastAsia="Calibri" w:hAnsi="Arial" w:cs="Arial"/>
          <w:color w:val="000000" w:themeColor="text1"/>
          <w:sz w:val="20"/>
          <w:szCs w:val="20"/>
        </w:rPr>
      </w:pPr>
    </w:p>
    <w:p w14:paraId="08FCE370" w14:textId="77777777" w:rsidR="00F1108B" w:rsidRPr="00672CC2" w:rsidRDefault="00F1108B" w:rsidP="00EE2030">
      <w:pPr>
        <w:tabs>
          <w:tab w:val="left" w:pos="426"/>
        </w:tabs>
        <w:spacing w:line="276" w:lineRule="auto"/>
        <w:jc w:val="both"/>
        <w:rPr>
          <w:rFonts w:ascii="Arial" w:eastAsia="Calibri" w:hAnsi="Arial" w:cs="Arial"/>
          <w:b/>
          <w:color w:val="000000" w:themeColor="text1"/>
          <w:sz w:val="22"/>
        </w:rPr>
      </w:pPr>
      <w:r w:rsidRPr="00672CC2">
        <w:rPr>
          <w:rFonts w:ascii="Arial" w:eastAsia="Calibri" w:hAnsi="Arial" w:cs="Arial"/>
          <w:b/>
          <w:color w:val="000000" w:themeColor="text1"/>
          <w:sz w:val="22"/>
        </w:rPr>
        <w:t>2.</w:t>
      </w:r>
      <w:r w:rsidRPr="00672CC2">
        <w:rPr>
          <w:rFonts w:ascii="Arial" w:eastAsia="Calibri" w:hAnsi="Arial" w:cs="Arial"/>
          <w:color w:val="000000" w:themeColor="text1"/>
          <w:sz w:val="22"/>
        </w:rPr>
        <w:t xml:space="preserve"> </w:t>
      </w:r>
      <w:r w:rsidRPr="00672CC2">
        <w:rPr>
          <w:rFonts w:ascii="Arial" w:eastAsia="Calibri" w:hAnsi="Arial" w:cs="Arial"/>
          <w:b/>
          <w:color w:val="000000" w:themeColor="text1"/>
          <w:sz w:val="22"/>
        </w:rPr>
        <w:t>Consideraciones</w:t>
      </w:r>
    </w:p>
    <w:p w14:paraId="68AE0704" w14:textId="77777777" w:rsidR="00F1108B" w:rsidRPr="00672CC2" w:rsidRDefault="00F1108B" w:rsidP="00EE2030">
      <w:pPr>
        <w:pStyle w:val="Prrafodelista"/>
        <w:tabs>
          <w:tab w:val="left" w:pos="284"/>
        </w:tabs>
        <w:spacing w:line="276" w:lineRule="auto"/>
        <w:ind w:left="0"/>
        <w:jc w:val="both"/>
        <w:rPr>
          <w:rFonts w:ascii="Arial" w:eastAsia="Calibri" w:hAnsi="Arial" w:cs="Arial"/>
          <w:b/>
          <w:color w:val="000000" w:themeColor="text1"/>
          <w:sz w:val="22"/>
        </w:rPr>
      </w:pPr>
    </w:p>
    <w:p w14:paraId="3F2087F6" w14:textId="77777777" w:rsidR="00BC20DA" w:rsidRPr="00672CC2" w:rsidRDefault="00F1108B" w:rsidP="00EE2030">
      <w:pPr>
        <w:spacing w:line="276" w:lineRule="auto"/>
        <w:jc w:val="both"/>
        <w:rPr>
          <w:rFonts w:ascii="Arial" w:eastAsia="Calibri" w:hAnsi="Arial" w:cs="Arial"/>
          <w:color w:val="000000" w:themeColor="text1"/>
          <w:sz w:val="22"/>
          <w:lang w:val="es-ES_tradnl"/>
        </w:rPr>
      </w:pPr>
      <w:r w:rsidRPr="00672CC2">
        <w:rPr>
          <w:rFonts w:ascii="Arial" w:eastAsia="Calibri" w:hAnsi="Arial" w:cs="Arial"/>
          <w:color w:val="000000" w:themeColor="text1"/>
          <w:sz w:val="22"/>
          <w:lang w:val="es-ES_tradnl"/>
        </w:rPr>
        <w:t xml:space="preserve">Para desarrollar </w:t>
      </w:r>
      <w:r w:rsidR="005F5F8F" w:rsidRPr="00672CC2">
        <w:rPr>
          <w:rFonts w:ascii="Arial" w:eastAsia="Calibri" w:hAnsi="Arial" w:cs="Arial"/>
          <w:color w:val="000000" w:themeColor="text1"/>
          <w:sz w:val="22"/>
          <w:lang w:val="es-ES_tradnl"/>
        </w:rPr>
        <w:t>l</w:t>
      </w:r>
      <w:r w:rsidR="003F14DE" w:rsidRPr="00672CC2">
        <w:rPr>
          <w:rFonts w:ascii="Arial" w:eastAsia="Calibri" w:hAnsi="Arial" w:cs="Arial"/>
          <w:color w:val="000000" w:themeColor="text1"/>
          <w:sz w:val="22"/>
          <w:lang w:val="es-ES_tradnl"/>
        </w:rPr>
        <w:t>os</w:t>
      </w:r>
      <w:r w:rsidRPr="00672CC2">
        <w:rPr>
          <w:rFonts w:ascii="Arial" w:eastAsia="Calibri" w:hAnsi="Arial" w:cs="Arial"/>
          <w:color w:val="000000" w:themeColor="text1"/>
          <w:sz w:val="22"/>
          <w:lang w:val="es-ES_tradnl"/>
        </w:rPr>
        <w:t xml:space="preserve"> proble</w:t>
      </w:r>
      <w:r w:rsidR="008A796E" w:rsidRPr="00672CC2">
        <w:rPr>
          <w:rFonts w:ascii="Arial" w:eastAsia="Calibri" w:hAnsi="Arial" w:cs="Arial"/>
          <w:color w:val="000000" w:themeColor="text1"/>
          <w:sz w:val="22"/>
          <w:lang w:val="es-ES_tradnl"/>
        </w:rPr>
        <w:t>ma</w:t>
      </w:r>
      <w:r w:rsidR="003F14DE" w:rsidRPr="00672CC2">
        <w:rPr>
          <w:rFonts w:ascii="Arial" w:eastAsia="Calibri" w:hAnsi="Arial" w:cs="Arial"/>
          <w:color w:val="000000" w:themeColor="text1"/>
          <w:sz w:val="22"/>
          <w:lang w:val="es-ES_tradnl"/>
        </w:rPr>
        <w:t>s</w:t>
      </w:r>
      <w:r w:rsidR="008A796E" w:rsidRPr="00672CC2">
        <w:rPr>
          <w:rFonts w:ascii="Arial" w:eastAsia="Calibri" w:hAnsi="Arial" w:cs="Arial"/>
          <w:color w:val="000000" w:themeColor="text1"/>
          <w:sz w:val="22"/>
          <w:lang w:val="es-ES_tradnl"/>
        </w:rPr>
        <w:t xml:space="preserve"> planteado</w:t>
      </w:r>
      <w:r w:rsidR="003F14DE" w:rsidRPr="00672CC2">
        <w:rPr>
          <w:rFonts w:ascii="Arial" w:eastAsia="Calibri" w:hAnsi="Arial" w:cs="Arial"/>
          <w:color w:val="000000" w:themeColor="text1"/>
          <w:sz w:val="22"/>
          <w:lang w:val="es-ES_tradnl"/>
        </w:rPr>
        <w:t>s</w:t>
      </w:r>
      <w:r w:rsidR="00D32256" w:rsidRPr="00672CC2">
        <w:rPr>
          <w:rFonts w:ascii="Arial" w:eastAsia="Calibri" w:hAnsi="Arial" w:cs="Arial"/>
          <w:color w:val="000000" w:themeColor="text1"/>
          <w:sz w:val="22"/>
          <w:lang w:val="es-ES_tradnl"/>
        </w:rPr>
        <w:t>,</w:t>
      </w:r>
      <w:r w:rsidR="008A796E" w:rsidRPr="00672CC2">
        <w:rPr>
          <w:rFonts w:ascii="Arial" w:eastAsia="Calibri" w:hAnsi="Arial" w:cs="Arial"/>
          <w:color w:val="000000" w:themeColor="text1"/>
          <w:sz w:val="22"/>
          <w:lang w:val="es-ES_tradnl"/>
        </w:rPr>
        <w:t xml:space="preserve"> </w:t>
      </w:r>
      <w:r w:rsidR="00CA0EEF" w:rsidRPr="00672CC2">
        <w:rPr>
          <w:rFonts w:ascii="Arial" w:eastAsia="Calibri" w:hAnsi="Arial" w:cs="Arial"/>
          <w:color w:val="000000" w:themeColor="text1"/>
          <w:sz w:val="22"/>
          <w:lang w:val="es-ES_tradnl"/>
        </w:rPr>
        <w:t xml:space="preserve">se analizarán los siguientes temas i) diferencia entre </w:t>
      </w:r>
      <w:r w:rsidR="00A337FB" w:rsidRPr="00672CC2">
        <w:rPr>
          <w:rFonts w:ascii="Arial" w:eastAsia="Calibri" w:hAnsi="Arial" w:cs="Arial"/>
          <w:color w:val="000000" w:themeColor="text1"/>
          <w:sz w:val="22"/>
          <w:lang w:val="es-ES_tradnl"/>
        </w:rPr>
        <w:t>los</w:t>
      </w:r>
      <w:r w:rsidR="00886323" w:rsidRPr="00672CC2">
        <w:rPr>
          <w:rFonts w:ascii="Arial" w:eastAsia="Calibri" w:hAnsi="Arial" w:cs="Arial"/>
          <w:color w:val="000000" w:themeColor="text1"/>
          <w:sz w:val="22"/>
          <w:lang w:val="es-ES_tradnl"/>
        </w:rPr>
        <w:t xml:space="preserve"> contratos de colaboración y los </w:t>
      </w:r>
      <w:r w:rsidR="00D96760" w:rsidRPr="00672CC2">
        <w:rPr>
          <w:rFonts w:ascii="Arial" w:eastAsia="Calibri" w:hAnsi="Arial" w:cs="Arial"/>
          <w:color w:val="000000" w:themeColor="text1"/>
          <w:sz w:val="22"/>
          <w:lang w:val="es-ES_tradnl"/>
        </w:rPr>
        <w:t>convenios de asociación</w:t>
      </w:r>
      <w:r w:rsidR="00137EBC" w:rsidRPr="00672CC2">
        <w:rPr>
          <w:rFonts w:ascii="Arial" w:eastAsia="Calibri" w:hAnsi="Arial" w:cs="Arial"/>
          <w:color w:val="000000" w:themeColor="text1"/>
          <w:sz w:val="22"/>
          <w:lang w:val="es-ES_tradnl"/>
        </w:rPr>
        <w:t>,</w:t>
      </w:r>
      <w:r w:rsidR="00D96760" w:rsidRPr="00672CC2">
        <w:rPr>
          <w:rFonts w:ascii="Arial" w:eastAsia="Calibri" w:hAnsi="Arial" w:cs="Arial"/>
          <w:color w:val="000000" w:themeColor="text1"/>
          <w:sz w:val="22"/>
          <w:lang w:val="es-ES_tradnl"/>
        </w:rPr>
        <w:t xml:space="preserve"> ii)</w:t>
      </w:r>
      <w:r w:rsidR="00EB57B2" w:rsidRPr="00672CC2">
        <w:rPr>
          <w:rFonts w:ascii="Arial" w:eastAsia="Calibri" w:hAnsi="Arial" w:cs="Arial"/>
          <w:color w:val="000000" w:themeColor="text1"/>
          <w:sz w:val="22"/>
          <w:lang w:val="es-ES_tradnl"/>
        </w:rPr>
        <w:t xml:space="preserve"> circunstancias en las cuales los contratos de donación derivan de la aplicación del Decreto 092 de 2017</w:t>
      </w:r>
      <w:r w:rsidR="00137EBC" w:rsidRPr="00672CC2">
        <w:rPr>
          <w:rFonts w:ascii="Arial" w:eastAsia="Calibri" w:hAnsi="Arial" w:cs="Arial"/>
          <w:color w:val="000000" w:themeColor="text1"/>
          <w:sz w:val="22"/>
          <w:lang w:val="es-ES_tradnl"/>
        </w:rPr>
        <w:t xml:space="preserve"> y iii) régimen de publicidad</w:t>
      </w:r>
      <w:r w:rsidR="00BC20DA" w:rsidRPr="00672CC2">
        <w:rPr>
          <w:rFonts w:ascii="Arial" w:eastAsia="Calibri" w:hAnsi="Arial" w:cs="Arial"/>
          <w:color w:val="000000" w:themeColor="text1"/>
          <w:sz w:val="22"/>
          <w:lang w:val="es-ES_tradnl"/>
        </w:rPr>
        <w:t>.</w:t>
      </w:r>
    </w:p>
    <w:p w14:paraId="775021A8" w14:textId="1E92EB34" w:rsidR="00F1108B" w:rsidRPr="00672CC2" w:rsidRDefault="00BC20DA" w:rsidP="00B14EA3">
      <w:pPr>
        <w:spacing w:before="120" w:line="276" w:lineRule="auto"/>
        <w:ind w:firstLine="708"/>
        <w:jc w:val="both"/>
        <w:rPr>
          <w:rFonts w:ascii="Arial" w:eastAsia="Calibri" w:hAnsi="Arial" w:cs="Arial"/>
          <w:bCs/>
          <w:color w:val="000000" w:themeColor="text1"/>
          <w:sz w:val="22"/>
          <w:lang w:val="es-ES_tradnl"/>
        </w:rPr>
      </w:pPr>
      <w:r w:rsidRPr="00672CC2">
        <w:rPr>
          <w:rFonts w:ascii="Arial" w:eastAsia="Calibri" w:hAnsi="Arial" w:cs="Arial"/>
          <w:bCs/>
          <w:color w:val="000000" w:themeColor="text1"/>
          <w:sz w:val="22"/>
          <w:lang w:val="es-ES_tradnl"/>
        </w:rPr>
        <w:t>En los conceptos del 30 de agosto y el 20 de diciembre de 2019 ─Radicados Nos. 2201913000006394 y 2201913000009467─ y, recientemente, en los conceptos C-081 y C-094 de marzo de 2020 ─Radicados Nos. 4202012000000585 y 4202013000000755─, la Agencia Nacional de Contratación Pública - Colombia Compra Eficiente se ha pronunciado en diferentes conceptos sobre la contratación con entidades privadas sin ánimo de lucro y de reconocida idoneidad (en adelante, ESAL)</w:t>
      </w:r>
      <w:r w:rsidR="005B2BC3" w:rsidRPr="00672CC2">
        <w:rPr>
          <w:rFonts w:ascii="Arial" w:eastAsia="Calibri" w:hAnsi="Arial" w:cs="Arial"/>
          <w:bCs/>
          <w:color w:val="000000" w:themeColor="text1"/>
          <w:sz w:val="22"/>
          <w:lang w:val="es-ES_tradnl"/>
        </w:rPr>
        <w:t xml:space="preserve">. Igualmente, mediante concepto con  </w:t>
      </w:r>
      <w:r w:rsidR="005B2BC3" w:rsidRPr="00672CC2">
        <w:rPr>
          <w:rFonts w:ascii="Arial" w:eastAsia="Calibri" w:hAnsi="Arial" w:cs="Arial"/>
          <w:bCs/>
          <w:color w:val="000000" w:themeColor="text1"/>
          <w:sz w:val="22"/>
          <w:lang w:val="es-ES_tradnl"/>
        </w:rPr>
        <w:lastRenderedPageBreak/>
        <w:t>radicado No. 415140000909 de 2015, la entidad analizó la celebración de contratos de comodato por parte de la administración pública</w:t>
      </w:r>
      <w:r w:rsidRPr="00672CC2">
        <w:rPr>
          <w:rFonts w:ascii="Arial" w:eastAsia="Calibri" w:hAnsi="Arial" w:cs="Arial"/>
          <w:bCs/>
          <w:color w:val="000000" w:themeColor="text1"/>
          <w:sz w:val="22"/>
          <w:lang w:val="es-ES_tradnl"/>
        </w:rPr>
        <w:t>; razón por la cual, se reiteran dichas consideraciones.</w:t>
      </w:r>
      <w:r w:rsidR="005F5F8F" w:rsidRPr="00672CC2">
        <w:rPr>
          <w:rFonts w:ascii="Arial" w:eastAsia="Calibri" w:hAnsi="Arial" w:cs="Arial"/>
          <w:color w:val="000000" w:themeColor="text1"/>
          <w:sz w:val="22"/>
          <w:lang w:val="es-ES_tradnl"/>
        </w:rPr>
        <w:t xml:space="preserve"> </w:t>
      </w:r>
      <w:r w:rsidR="00F87E29" w:rsidRPr="00672CC2">
        <w:rPr>
          <w:rFonts w:ascii="Arial" w:eastAsia="Calibri" w:hAnsi="Arial" w:cs="Arial"/>
          <w:color w:val="000000" w:themeColor="text1"/>
          <w:sz w:val="22"/>
          <w:lang w:val="es-ES_tradnl"/>
        </w:rPr>
        <w:t xml:space="preserve">  </w:t>
      </w:r>
    </w:p>
    <w:p w14:paraId="582817E0" w14:textId="77777777" w:rsidR="00F1108B" w:rsidRPr="00EE2030" w:rsidRDefault="00F1108B" w:rsidP="001B3C8B">
      <w:pPr>
        <w:spacing w:line="276" w:lineRule="auto"/>
        <w:jc w:val="both"/>
        <w:rPr>
          <w:rFonts w:ascii="Arial" w:eastAsia="Calibri" w:hAnsi="Arial" w:cs="Arial"/>
          <w:color w:val="000000" w:themeColor="text1"/>
          <w:sz w:val="28"/>
          <w:szCs w:val="28"/>
          <w:lang w:val="es-ES_tradnl"/>
        </w:rPr>
      </w:pPr>
    </w:p>
    <w:p w14:paraId="75A613A0" w14:textId="5A1D75D7" w:rsidR="00D96760" w:rsidRPr="00672CC2" w:rsidRDefault="00F87E29" w:rsidP="00EE2030">
      <w:pPr>
        <w:spacing w:line="276" w:lineRule="auto"/>
        <w:jc w:val="both"/>
        <w:rPr>
          <w:rFonts w:ascii="Arial" w:eastAsia="Calibri" w:hAnsi="Arial" w:cs="Arial"/>
          <w:b/>
          <w:bCs/>
          <w:color w:val="000000" w:themeColor="text1"/>
          <w:sz w:val="22"/>
          <w:lang w:val="es-ES_tradnl"/>
        </w:rPr>
      </w:pPr>
      <w:r w:rsidRPr="00672CC2">
        <w:rPr>
          <w:rFonts w:ascii="Arial" w:eastAsia="Calibri" w:hAnsi="Arial" w:cs="Arial"/>
          <w:b/>
          <w:bCs/>
          <w:color w:val="000000" w:themeColor="text1"/>
          <w:sz w:val="22"/>
          <w:lang w:val="es-ES_tradnl"/>
        </w:rPr>
        <w:t xml:space="preserve">2.1. </w:t>
      </w:r>
      <w:r w:rsidR="00D96760" w:rsidRPr="00672CC2">
        <w:rPr>
          <w:rFonts w:ascii="Arial" w:eastAsia="Calibri" w:hAnsi="Arial" w:cs="Arial"/>
          <w:b/>
          <w:bCs/>
          <w:color w:val="000000" w:themeColor="text1"/>
          <w:sz w:val="22"/>
          <w:lang w:val="es-ES_tradnl"/>
        </w:rPr>
        <w:t>Los artículos 355 de la Constitución Política y 96 de la Ley 489 de 1998</w:t>
      </w:r>
      <w:r w:rsidR="00886323" w:rsidRPr="00672CC2">
        <w:rPr>
          <w:rFonts w:ascii="Arial" w:eastAsia="Calibri" w:hAnsi="Arial" w:cs="Arial"/>
          <w:b/>
          <w:bCs/>
          <w:color w:val="000000" w:themeColor="text1"/>
          <w:sz w:val="22"/>
          <w:lang w:val="es-ES_tradnl"/>
        </w:rPr>
        <w:t xml:space="preserve">: </w:t>
      </w:r>
      <w:r w:rsidR="00A337FB" w:rsidRPr="00672CC2">
        <w:rPr>
          <w:rFonts w:ascii="Arial" w:eastAsia="Calibri" w:hAnsi="Arial" w:cs="Arial"/>
          <w:b/>
          <w:bCs/>
          <w:color w:val="000000" w:themeColor="text1"/>
          <w:sz w:val="22"/>
          <w:lang w:val="es-ES_tradnl"/>
        </w:rPr>
        <w:t>diferencia</w:t>
      </w:r>
      <w:r w:rsidR="00AE491A" w:rsidRPr="00672CC2">
        <w:rPr>
          <w:rFonts w:ascii="Arial" w:eastAsia="Calibri" w:hAnsi="Arial" w:cs="Arial"/>
          <w:b/>
          <w:bCs/>
          <w:color w:val="000000" w:themeColor="text1"/>
          <w:sz w:val="22"/>
          <w:lang w:val="es-ES_tradnl"/>
        </w:rPr>
        <w:t>s</w:t>
      </w:r>
      <w:r w:rsidR="00A337FB" w:rsidRPr="00672CC2">
        <w:rPr>
          <w:rFonts w:ascii="Arial" w:eastAsia="Calibri" w:hAnsi="Arial" w:cs="Arial"/>
          <w:b/>
          <w:bCs/>
          <w:color w:val="000000" w:themeColor="text1"/>
          <w:sz w:val="22"/>
          <w:lang w:val="es-ES_tradnl"/>
        </w:rPr>
        <w:t xml:space="preserve"> entre los contratos de colaboración y los convenios de asociación</w:t>
      </w:r>
    </w:p>
    <w:p w14:paraId="7F4BE3B9" w14:textId="27ED094E" w:rsidR="00D96760" w:rsidRPr="00EE2030" w:rsidRDefault="00D96760" w:rsidP="00EE2030">
      <w:pPr>
        <w:spacing w:line="276" w:lineRule="auto"/>
        <w:jc w:val="both"/>
        <w:rPr>
          <w:rFonts w:ascii="Arial" w:eastAsia="Calibri" w:hAnsi="Arial" w:cs="Arial"/>
          <w:b/>
          <w:bCs/>
          <w:color w:val="000000" w:themeColor="text1"/>
          <w:sz w:val="28"/>
          <w:szCs w:val="28"/>
          <w:lang w:val="es-ES_tradnl"/>
        </w:rPr>
      </w:pPr>
    </w:p>
    <w:p w14:paraId="68997593" w14:textId="556552E7" w:rsidR="00886323" w:rsidRPr="00672CC2" w:rsidRDefault="00886323" w:rsidP="00EE2030">
      <w:pPr>
        <w:spacing w:line="276" w:lineRule="auto"/>
        <w:jc w:val="both"/>
        <w:rPr>
          <w:rFonts w:ascii="Arial" w:eastAsia="Calibri" w:hAnsi="Arial" w:cs="Arial"/>
          <w:bCs/>
          <w:color w:val="000000" w:themeColor="text1"/>
          <w:sz w:val="22"/>
          <w:lang w:val="es-ES_tradnl"/>
        </w:rPr>
      </w:pPr>
      <w:r w:rsidRPr="00672CC2">
        <w:rPr>
          <w:rFonts w:ascii="Arial" w:eastAsia="Calibri" w:hAnsi="Arial" w:cs="Arial"/>
          <w:bCs/>
          <w:color w:val="000000" w:themeColor="text1"/>
          <w:sz w:val="22"/>
          <w:lang w:val="es-ES_tradnl"/>
        </w:rPr>
        <w:t xml:space="preserve">El artículo 355 de la Constitución Política prohíbe a las ramas y órganos del poder público decretar auxilios o donaciones en favor de personas naturales o jurídicas. </w:t>
      </w:r>
      <w:r w:rsidR="00BC3C55" w:rsidRPr="00672CC2">
        <w:rPr>
          <w:rFonts w:ascii="Arial" w:eastAsia="Calibri" w:hAnsi="Arial" w:cs="Arial"/>
          <w:bCs/>
          <w:color w:val="000000" w:themeColor="text1"/>
          <w:sz w:val="22"/>
          <w:lang w:val="es-ES_tradnl"/>
        </w:rPr>
        <w:t>No obstante</w:t>
      </w:r>
      <w:r w:rsidRPr="00672CC2">
        <w:rPr>
          <w:rFonts w:ascii="Arial" w:eastAsia="Calibri" w:hAnsi="Arial" w:cs="Arial"/>
          <w:bCs/>
          <w:color w:val="000000" w:themeColor="text1"/>
          <w:sz w:val="22"/>
          <w:lang w:val="es-ES_tradnl"/>
        </w:rPr>
        <w:t>,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672CC2">
        <w:rPr>
          <w:rStyle w:val="Refdenotaalpie"/>
          <w:rFonts w:ascii="Arial" w:hAnsi="Arial" w:cs="Arial"/>
          <w:color w:val="000000" w:themeColor="text1"/>
          <w:sz w:val="22"/>
        </w:rPr>
        <w:footnoteReference w:id="2"/>
      </w:r>
      <w:r w:rsidRPr="00672CC2">
        <w:rPr>
          <w:rFonts w:ascii="Arial" w:eastAsia="Calibri" w:hAnsi="Arial" w:cs="Arial"/>
          <w:bCs/>
          <w:color w:val="000000" w:themeColor="text1"/>
          <w:sz w:val="22"/>
          <w:lang w:val="es-ES_tradnl"/>
        </w:rPr>
        <w:t>. Por otra parte, el artículo 96 de la Ley 489 de 1998</w:t>
      </w:r>
      <w:r w:rsidR="00A337FB" w:rsidRPr="00672CC2">
        <w:rPr>
          <w:rFonts w:ascii="Arial" w:eastAsia="Calibri" w:hAnsi="Arial" w:cs="Arial"/>
          <w:bCs/>
          <w:color w:val="000000" w:themeColor="text1"/>
          <w:sz w:val="22"/>
          <w:lang w:val="es-ES_tradnl"/>
        </w:rPr>
        <w:t xml:space="preserve"> </w:t>
      </w:r>
      <w:r w:rsidRPr="00672CC2">
        <w:rPr>
          <w:rFonts w:ascii="Arial" w:eastAsia="Calibri" w:hAnsi="Arial" w:cs="Arial"/>
          <w:bCs/>
          <w:color w:val="000000" w:themeColor="text1"/>
          <w:sz w:val="22"/>
          <w:lang w:val="es-ES_tradnl"/>
        </w:rPr>
        <w:t>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00A337FB" w:rsidRPr="00672CC2">
        <w:rPr>
          <w:rStyle w:val="Refdenotaalpie"/>
          <w:rFonts w:ascii="Arial" w:eastAsia="Calibri" w:hAnsi="Arial" w:cs="Arial"/>
          <w:bCs/>
          <w:color w:val="000000" w:themeColor="text1"/>
          <w:sz w:val="22"/>
          <w:lang w:val="es-ES_tradnl"/>
        </w:rPr>
        <w:footnoteReference w:id="3"/>
      </w:r>
      <w:r w:rsidRPr="00672CC2">
        <w:rPr>
          <w:rFonts w:ascii="Arial" w:eastAsia="Calibri" w:hAnsi="Arial" w:cs="Arial"/>
          <w:bCs/>
          <w:color w:val="000000" w:themeColor="text1"/>
          <w:sz w:val="22"/>
          <w:lang w:val="es-ES_tradnl"/>
        </w:rPr>
        <w:t>.</w:t>
      </w:r>
    </w:p>
    <w:p w14:paraId="5A6E9154" w14:textId="0555F5A6" w:rsidR="00A337FB" w:rsidRPr="00672CC2" w:rsidRDefault="00A337FB" w:rsidP="00B14EA3">
      <w:pPr>
        <w:spacing w:before="120" w:line="276" w:lineRule="auto"/>
        <w:jc w:val="both"/>
        <w:rPr>
          <w:rFonts w:ascii="Arial" w:eastAsia="Calibri" w:hAnsi="Arial" w:cs="Arial"/>
          <w:bCs/>
          <w:color w:val="000000" w:themeColor="text1"/>
          <w:sz w:val="22"/>
          <w:lang w:val="es-ES_tradnl"/>
        </w:rPr>
      </w:pPr>
      <w:r w:rsidRPr="00672CC2">
        <w:rPr>
          <w:rFonts w:ascii="Arial" w:eastAsia="Calibri" w:hAnsi="Arial" w:cs="Arial"/>
          <w:bCs/>
          <w:color w:val="000000" w:themeColor="text1"/>
          <w:sz w:val="22"/>
          <w:lang w:val="es-ES_tradnl"/>
        </w:rPr>
        <w:tab/>
        <w:t xml:space="preserve">El Gobierno nacional, en desarrollo del artículo 355 de la Constitución Política, expidió el Decreto 092 de 2017, el cual dispone las reglas para las contrataciones que realicen las entidades estatales con las ESAL. El Decreto regula dos (2) eventos: i) los contratos de colaboración o de interés público con el fin 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 </w:t>
      </w:r>
    </w:p>
    <w:p w14:paraId="293B18CC" w14:textId="6DF2F509" w:rsidR="000B0FAB" w:rsidRPr="00672CC2" w:rsidRDefault="000B0FAB" w:rsidP="00B14EA3">
      <w:pPr>
        <w:spacing w:before="120" w:line="276" w:lineRule="auto"/>
        <w:jc w:val="both"/>
        <w:rPr>
          <w:rFonts w:ascii="Arial" w:eastAsia="Calibri" w:hAnsi="Arial" w:cs="Arial"/>
          <w:bCs/>
          <w:color w:val="000000" w:themeColor="text1"/>
          <w:sz w:val="22"/>
          <w:lang w:val="es-ES_tradnl"/>
        </w:rPr>
      </w:pPr>
      <w:r w:rsidRPr="00672CC2">
        <w:rPr>
          <w:rFonts w:ascii="Arial" w:eastAsia="Calibri" w:hAnsi="Arial" w:cs="Arial"/>
          <w:bCs/>
          <w:color w:val="000000" w:themeColor="text1"/>
          <w:sz w:val="22"/>
          <w:lang w:val="es-ES_tradnl"/>
        </w:rPr>
        <w:tab/>
        <w:t xml:space="preserve">Los </w:t>
      </w:r>
      <w:r w:rsidRPr="00672CC2">
        <w:rPr>
          <w:rFonts w:ascii="Arial" w:eastAsia="Calibri" w:hAnsi="Arial" w:cs="Arial"/>
          <w:bCs/>
          <w:i/>
          <w:color w:val="000000" w:themeColor="text1"/>
          <w:sz w:val="22"/>
          <w:lang w:val="es-ES_tradnl"/>
        </w:rPr>
        <w:t>contratos de colaboración</w:t>
      </w:r>
      <w:r w:rsidRPr="00672CC2">
        <w:rPr>
          <w:rFonts w:ascii="Arial" w:eastAsia="Calibri" w:hAnsi="Arial" w:cs="Arial"/>
          <w:bCs/>
          <w:color w:val="000000" w:themeColor="text1"/>
          <w:sz w:val="22"/>
          <w:lang w:val="es-ES_tradnl"/>
        </w:rPr>
        <w:t xml:space="preserve"> tienen como objeto promover acciones de fomento social en beneficio de los sectores más desprotegidos de la población, siempre que estén previstas en los planes de desarrollo; motivo por el cual, no dan lugar a una contraprestación </w:t>
      </w:r>
      <w:r w:rsidRPr="00672CC2">
        <w:rPr>
          <w:rFonts w:ascii="Arial" w:eastAsia="Calibri" w:hAnsi="Arial" w:cs="Arial"/>
          <w:bCs/>
          <w:color w:val="000000" w:themeColor="text1"/>
          <w:sz w:val="22"/>
          <w:lang w:val="es-ES_tradnl"/>
        </w:rPr>
        <w:lastRenderedPageBreak/>
        <w:t>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este dirigida al beneficio de la población en general, ya que cuando se adquieren bienes o servicios o ejecuta obras en una relación conmutativa, las normas aplicables son las del Sistema de Compra Pública. Sólo cuando se reúnan estas condiciones es procedente la celebración de contratos de colaboración; de lo contrario, se aplicarán las normas del Estatuto General de Contratación de la Administración Pública.</w:t>
      </w:r>
    </w:p>
    <w:p w14:paraId="7294E957" w14:textId="77777777" w:rsidR="006C5B76" w:rsidRPr="00672CC2" w:rsidRDefault="000B0FAB" w:rsidP="00B14EA3">
      <w:pPr>
        <w:spacing w:before="120" w:line="276" w:lineRule="auto"/>
        <w:jc w:val="both"/>
        <w:rPr>
          <w:rFonts w:ascii="Arial" w:eastAsia="Calibri" w:hAnsi="Arial" w:cs="Arial"/>
          <w:bCs/>
          <w:color w:val="000000" w:themeColor="text1"/>
          <w:sz w:val="22"/>
        </w:rPr>
      </w:pPr>
      <w:r w:rsidRPr="00672CC2">
        <w:rPr>
          <w:rFonts w:ascii="Arial" w:eastAsia="Calibri" w:hAnsi="Arial" w:cs="Arial"/>
          <w:bCs/>
          <w:color w:val="000000" w:themeColor="text1"/>
          <w:sz w:val="22"/>
          <w:lang w:val="es-ES_tradnl"/>
        </w:rPr>
        <w:tab/>
      </w:r>
      <w:r w:rsidR="00045246" w:rsidRPr="00672CC2">
        <w:rPr>
          <w:rFonts w:ascii="Arial" w:eastAsia="Calibri" w:hAnsi="Arial" w:cs="Arial"/>
          <w:bCs/>
          <w:color w:val="000000" w:themeColor="text1"/>
          <w:sz w:val="22"/>
          <w:lang w:val="es-ES_tradnl"/>
        </w:rPr>
        <w:t xml:space="preserve">De otro lado, los </w:t>
      </w:r>
      <w:r w:rsidR="00045246" w:rsidRPr="00672CC2">
        <w:rPr>
          <w:rFonts w:ascii="Arial" w:eastAsia="Calibri" w:hAnsi="Arial" w:cs="Arial"/>
          <w:bCs/>
          <w:i/>
          <w:color w:val="000000" w:themeColor="text1"/>
          <w:sz w:val="22"/>
          <w:lang w:val="es-ES_tradnl"/>
        </w:rPr>
        <w:t>convenios de asociación</w:t>
      </w:r>
      <w:r w:rsidR="00045246" w:rsidRPr="00672CC2">
        <w:rPr>
          <w:rFonts w:ascii="Arial" w:eastAsia="Calibri" w:hAnsi="Arial" w:cs="Arial"/>
          <w:bCs/>
          <w:color w:val="000000" w:themeColor="text1"/>
          <w:sz w:val="22"/>
          <w:lang w:val="es-ES_tradnl"/>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00045246" w:rsidRPr="00672CC2">
        <w:rPr>
          <w:rStyle w:val="Refdenotaalpie"/>
          <w:rFonts w:ascii="Arial" w:hAnsi="Arial" w:cs="Arial"/>
          <w:color w:val="000000" w:themeColor="text1"/>
          <w:sz w:val="22"/>
        </w:rPr>
        <w:footnoteReference w:id="4"/>
      </w:r>
      <w:r w:rsidR="00045246" w:rsidRPr="00672CC2">
        <w:rPr>
          <w:rFonts w:ascii="Arial" w:eastAsia="Calibri" w:hAnsi="Arial" w:cs="Arial"/>
          <w:bCs/>
          <w:color w:val="000000" w:themeColor="text1"/>
          <w:sz w:val="22"/>
          <w:lang w:val="es-ES_tradnl"/>
        </w:rPr>
        <w:t>. En estos convenios no existe contraprestación o pago, sino aportes, los cuales están dirigidos, exclusivamente, a lograr la ejecución del convenio y no a remunerar la actividad o actuaciones del asociado.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r w:rsidR="00045246" w:rsidRPr="00672CC2">
        <w:rPr>
          <w:rStyle w:val="Refdenotaalpie"/>
          <w:rFonts w:ascii="Arial" w:hAnsi="Arial" w:cs="Arial"/>
          <w:color w:val="000000" w:themeColor="text1"/>
          <w:sz w:val="22"/>
        </w:rPr>
        <w:footnoteReference w:id="5"/>
      </w:r>
      <w:r w:rsidR="00045246" w:rsidRPr="00672CC2">
        <w:rPr>
          <w:rFonts w:ascii="Arial" w:eastAsia="Calibri" w:hAnsi="Arial" w:cs="Arial"/>
          <w:bCs/>
          <w:color w:val="000000" w:themeColor="text1"/>
          <w:sz w:val="22"/>
          <w:lang w:val="es-ES_tradnl"/>
        </w:rPr>
        <w:t>.</w:t>
      </w:r>
      <w:r w:rsidR="002D708C" w:rsidRPr="00672CC2">
        <w:rPr>
          <w:rFonts w:ascii="Arial" w:eastAsia="Calibri" w:hAnsi="Arial" w:cs="Arial"/>
          <w:bCs/>
          <w:color w:val="000000" w:themeColor="text1"/>
          <w:sz w:val="22"/>
        </w:rPr>
        <w:t xml:space="preserve"> </w:t>
      </w:r>
    </w:p>
    <w:p w14:paraId="4004CAA4" w14:textId="6BE6E81E" w:rsidR="00BC3C55" w:rsidRPr="00672CC2" w:rsidRDefault="00872387" w:rsidP="00B14EA3">
      <w:pPr>
        <w:spacing w:before="120" w:line="276" w:lineRule="auto"/>
        <w:ind w:firstLine="708"/>
        <w:jc w:val="both"/>
        <w:rPr>
          <w:rFonts w:ascii="Arial" w:eastAsia="Calibri" w:hAnsi="Arial" w:cs="Arial"/>
          <w:bCs/>
          <w:color w:val="000000" w:themeColor="text1"/>
          <w:sz w:val="22"/>
        </w:rPr>
      </w:pPr>
      <w:r w:rsidRPr="00672CC2">
        <w:rPr>
          <w:rFonts w:ascii="Arial" w:eastAsia="Calibri" w:hAnsi="Arial" w:cs="Arial"/>
          <w:bCs/>
          <w:color w:val="000000" w:themeColor="text1"/>
          <w:sz w:val="22"/>
        </w:rPr>
        <w:t xml:space="preserve">En todo caso, debe tenerse en cuenta que mediante el Auto del 6 de agosto de 2019, la Sección Tercera del Consejo de Estado suspendió provisionalmente el inciso 2 del artículo 1, los literales a y c del artículo 2, el inciso 5 del artículo 2, el inciso 2 del artículo 3 y el inciso final del artículo 4 del Decreto 092 de 2017. </w:t>
      </w:r>
      <w:r w:rsidR="00EA3BC8" w:rsidRPr="00672CC2">
        <w:rPr>
          <w:rFonts w:ascii="Arial" w:eastAsia="Calibri" w:hAnsi="Arial" w:cs="Arial"/>
          <w:bCs/>
          <w:color w:val="000000" w:themeColor="text1"/>
          <w:sz w:val="22"/>
        </w:rPr>
        <w:t>En este contexto</w:t>
      </w:r>
      <w:r w:rsidR="00BC3C55" w:rsidRPr="00672CC2">
        <w:rPr>
          <w:rFonts w:ascii="Arial" w:eastAsia="Calibri" w:hAnsi="Arial" w:cs="Arial"/>
          <w:bCs/>
          <w:color w:val="000000" w:themeColor="text1"/>
          <w:sz w:val="22"/>
        </w:rPr>
        <w:t xml:space="preserve">, corresponde analizar </w:t>
      </w:r>
      <w:r w:rsidR="00E613F1" w:rsidRPr="00672CC2">
        <w:rPr>
          <w:rFonts w:ascii="Arial" w:eastAsia="Calibri" w:hAnsi="Arial" w:cs="Arial"/>
          <w:bCs/>
          <w:color w:val="000000" w:themeColor="text1"/>
          <w:sz w:val="22"/>
        </w:rPr>
        <w:t>si los contratos de donación con</w:t>
      </w:r>
      <w:r w:rsidR="006C5B76" w:rsidRPr="00672CC2">
        <w:rPr>
          <w:rFonts w:ascii="Arial" w:eastAsia="Calibri" w:hAnsi="Arial" w:cs="Arial"/>
          <w:bCs/>
          <w:color w:val="000000" w:themeColor="text1"/>
          <w:sz w:val="22"/>
        </w:rPr>
        <w:t xml:space="preserve"> las</w:t>
      </w:r>
      <w:r w:rsidR="00E613F1" w:rsidRPr="00672CC2">
        <w:rPr>
          <w:rFonts w:ascii="Arial" w:eastAsia="Calibri" w:hAnsi="Arial" w:cs="Arial"/>
          <w:bCs/>
          <w:color w:val="000000" w:themeColor="text1"/>
          <w:sz w:val="22"/>
        </w:rPr>
        <w:t xml:space="preserve"> ESAL guardan una relación necesaria con los contratos de colaboración o los convenios de asociación, tema que </w:t>
      </w:r>
      <w:r w:rsidR="00780B34" w:rsidRPr="00672CC2">
        <w:rPr>
          <w:rFonts w:ascii="Arial" w:eastAsia="Calibri" w:hAnsi="Arial" w:cs="Arial"/>
          <w:bCs/>
          <w:color w:val="000000" w:themeColor="text1"/>
          <w:sz w:val="22"/>
        </w:rPr>
        <w:t xml:space="preserve">se </w:t>
      </w:r>
      <w:r w:rsidR="00E613F1" w:rsidRPr="00672CC2">
        <w:rPr>
          <w:rFonts w:ascii="Arial" w:eastAsia="Calibri" w:hAnsi="Arial" w:cs="Arial"/>
          <w:bCs/>
          <w:color w:val="000000" w:themeColor="text1"/>
          <w:sz w:val="22"/>
        </w:rPr>
        <w:t xml:space="preserve">abordará en el siguiente apartado.  </w:t>
      </w:r>
    </w:p>
    <w:p w14:paraId="23FD1D79" w14:textId="502C7331" w:rsidR="00C91F75" w:rsidRPr="00EE2030" w:rsidRDefault="00C91F75" w:rsidP="006C0BDF">
      <w:pPr>
        <w:spacing w:line="276" w:lineRule="auto"/>
        <w:jc w:val="both"/>
        <w:rPr>
          <w:rFonts w:ascii="Arial" w:eastAsia="Calibri" w:hAnsi="Arial" w:cs="Arial"/>
          <w:color w:val="000000" w:themeColor="text1"/>
          <w:sz w:val="28"/>
          <w:szCs w:val="28"/>
          <w:lang w:val="es-ES_tradnl"/>
        </w:rPr>
      </w:pPr>
    </w:p>
    <w:p w14:paraId="569BDB93" w14:textId="3DEB1E16" w:rsidR="00851DFA" w:rsidRPr="00672CC2" w:rsidRDefault="00F1108B" w:rsidP="006C0BDF">
      <w:pPr>
        <w:spacing w:line="276" w:lineRule="auto"/>
        <w:jc w:val="both"/>
        <w:rPr>
          <w:rFonts w:ascii="Arial" w:eastAsia="Calibri" w:hAnsi="Arial" w:cs="Arial"/>
          <w:b/>
          <w:bCs/>
          <w:color w:val="000000" w:themeColor="text1"/>
          <w:sz w:val="22"/>
          <w:lang w:val="es-ES_tradnl"/>
        </w:rPr>
      </w:pPr>
      <w:r w:rsidRPr="00672CC2">
        <w:rPr>
          <w:rFonts w:ascii="Arial" w:eastAsia="Calibri" w:hAnsi="Arial" w:cs="Arial"/>
          <w:b/>
          <w:bCs/>
          <w:color w:val="000000" w:themeColor="text1"/>
          <w:sz w:val="22"/>
          <w:lang w:val="es-ES_tradnl"/>
        </w:rPr>
        <w:lastRenderedPageBreak/>
        <w:t xml:space="preserve">2.2. </w:t>
      </w:r>
      <w:r w:rsidR="005B3981" w:rsidRPr="00672CC2">
        <w:rPr>
          <w:rFonts w:ascii="Arial" w:eastAsia="Calibri" w:hAnsi="Arial" w:cs="Arial"/>
          <w:b/>
          <w:bCs/>
          <w:color w:val="000000" w:themeColor="text1"/>
          <w:sz w:val="22"/>
          <w:lang w:val="es-ES_tradnl"/>
        </w:rPr>
        <w:t>Los contratos de</w:t>
      </w:r>
      <w:r w:rsidR="00D1119D" w:rsidRPr="00672CC2">
        <w:rPr>
          <w:rFonts w:ascii="Arial" w:eastAsia="Calibri" w:hAnsi="Arial" w:cs="Arial"/>
          <w:b/>
          <w:bCs/>
          <w:color w:val="000000" w:themeColor="text1"/>
          <w:sz w:val="22"/>
          <w:lang w:val="es-ES_tradnl"/>
        </w:rPr>
        <w:t xml:space="preserve"> comodato</w:t>
      </w:r>
      <w:r w:rsidR="005B3981" w:rsidRPr="00672CC2">
        <w:rPr>
          <w:rFonts w:ascii="Arial" w:eastAsia="Calibri" w:hAnsi="Arial" w:cs="Arial"/>
          <w:b/>
          <w:bCs/>
          <w:color w:val="000000" w:themeColor="text1"/>
          <w:sz w:val="22"/>
          <w:lang w:val="es-ES_tradnl"/>
        </w:rPr>
        <w:t xml:space="preserve"> entre entidades públicas y las ESAL se rigen por el Decreto 092 de 2017 siempre que las prestaci</w:t>
      </w:r>
      <w:r w:rsidR="00137EBC" w:rsidRPr="00672CC2">
        <w:rPr>
          <w:rFonts w:ascii="Arial" w:eastAsia="Calibri" w:hAnsi="Arial" w:cs="Arial"/>
          <w:b/>
          <w:bCs/>
          <w:color w:val="000000" w:themeColor="text1"/>
          <w:sz w:val="22"/>
          <w:lang w:val="es-ES_tradnl"/>
        </w:rPr>
        <w:t>ones</w:t>
      </w:r>
      <w:r w:rsidR="005B3981" w:rsidRPr="00672CC2">
        <w:rPr>
          <w:rFonts w:ascii="Arial" w:eastAsia="Calibri" w:hAnsi="Arial" w:cs="Arial"/>
          <w:b/>
          <w:bCs/>
          <w:color w:val="000000" w:themeColor="text1"/>
          <w:sz w:val="22"/>
          <w:lang w:val="es-ES_tradnl"/>
        </w:rPr>
        <w:t xml:space="preserve"> se ejecute</w:t>
      </w:r>
      <w:r w:rsidR="003D2881" w:rsidRPr="00672CC2">
        <w:rPr>
          <w:rFonts w:ascii="Arial" w:eastAsia="Calibri" w:hAnsi="Arial" w:cs="Arial"/>
          <w:b/>
          <w:bCs/>
          <w:color w:val="000000" w:themeColor="text1"/>
          <w:sz w:val="22"/>
          <w:lang w:val="es-ES_tradnl"/>
        </w:rPr>
        <w:t>n</w:t>
      </w:r>
      <w:r w:rsidR="005B3981" w:rsidRPr="00672CC2">
        <w:rPr>
          <w:rFonts w:ascii="Arial" w:eastAsia="Calibri" w:hAnsi="Arial" w:cs="Arial"/>
          <w:b/>
          <w:bCs/>
          <w:color w:val="000000" w:themeColor="text1"/>
          <w:sz w:val="22"/>
          <w:lang w:val="es-ES_tradnl"/>
        </w:rPr>
        <w:t xml:space="preserve"> en cumplimiento de un convenio de colaboración o un contrato se asociación</w:t>
      </w:r>
    </w:p>
    <w:p w14:paraId="3F7CF7BE" w14:textId="77777777" w:rsidR="004E61D5" w:rsidRPr="00EE2030" w:rsidRDefault="004E61D5" w:rsidP="00EE2030">
      <w:pPr>
        <w:spacing w:line="276" w:lineRule="auto"/>
        <w:jc w:val="both"/>
        <w:rPr>
          <w:rFonts w:ascii="Arial" w:eastAsia="Calibri" w:hAnsi="Arial" w:cs="Arial"/>
          <w:b/>
          <w:bCs/>
          <w:color w:val="000000" w:themeColor="text1"/>
          <w:sz w:val="28"/>
          <w:szCs w:val="28"/>
          <w:lang w:val="es-ES_tradnl"/>
        </w:rPr>
      </w:pPr>
    </w:p>
    <w:p w14:paraId="68B3E3FE" w14:textId="075C3E5B" w:rsidR="00DC5ED3" w:rsidRPr="00672CC2" w:rsidRDefault="005B3981" w:rsidP="00EE2030">
      <w:pPr>
        <w:spacing w:line="276" w:lineRule="auto"/>
        <w:jc w:val="both"/>
        <w:rPr>
          <w:rFonts w:ascii="Arial" w:eastAsia="Calibri" w:hAnsi="Arial" w:cs="Arial"/>
          <w:bCs/>
          <w:color w:val="000000" w:themeColor="text1"/>
          <w:sz w:val="22"/>
          <w:lang w:val="es-ES_tradnl"/>
        </w:rPr>
      </w:pPr>
      <w:r w:rsidRPr="00672CC2">
        <w:rPr>
          <w:rFonts w:ascii="Arial" w:eastAsia="Calibri" w:hAnsi="Arial" w:cs="Arial"/>
          <w:bCs/>
          <w:color w:val="000000" w:themeColor="text1"/>
          <w:sz w:val="22"/>
          <w:lang w:val="es-ES_tradnl"/>
        </w:rPr>
        <w:t xml:space="preserve">El </w:t>
      </w:r>
      <w:r w:rsidR="00A32ED8" w:rsidRPr="00672CC2">
        <w:rPr>
          <w:rFonts w:ascii="Arial" w:eastAsia="Calibri" w:hAnsi="Arial" w:cs="Arial"/>
          <w:bCs/>
          <w:color w:val="000000" w:themeColor="text1"/>
          <w:sz w:val="22"/>
          <w:lang w:val="es-ES_tradnl"/>
        </w:rPr>
        <w:t>comodato</w:t>
      </w:r>
      <w:r w:rsidRPr="00672CC2">
        <w:rPr>
          <w:rFonts w:ascii="Arial" w:eastAsia="Calibri" w:hAnsi="Arial" w:cs="Arial"/>
          <w:bCs/>
          <w:color w:val="000000" w:themeColor="text1"/>
          <w:sz w:val="22"/>
          <w:lang w:val="es-ES_tradnl"/>
        </w:rPr>
        <w:t xml:space="preserve"> está previsto en el artículo </w:t>
      </w:r>
      <w:r w:rsidR="00A32ED8" w:rsidRPr="00672CC2">
        <w:rPr>
          <w:rFonts w:ascii="Arial" w:eastAsia="Calibri" w:hAnsi="Arial" w:cs="Arial"/>
          <w:bCs/>
          <w:color w:val="000000" w:themeColor="text1"/>
          <w:sz w:val="22"/>
          <w:lang w:val="es-ES_tradnl"/>
        </w:rPr>
        <w:t>2200 del Código Civil y se define como aquel en que «[…] una de las partes entrega a la otra gratuitamente una especie mueble o raíz, para que haga uso de ella y con cargo de restituir la misma especie después de terminar el uso»</w:t>
      </w:r>
      <w:r w:rsidR="00430A70" w:rsidRPr="00672CC2">
        <w:rPr>
          <w:rFonts w:ascii="Arial" w:eastAsia="Calibri" w:hAnsi="Arial" w:cs="Arial"/>
          <w:bCs/>
          <w:color w:val="000000" w:themeColor="text1"/>
          <w:sz w:val="22"/>
          <w:lang w:val="es-ES_tradnl"/>
        </w:rPr>
        <w:t>; razón por la cual, se trata de un contrato nominado, principal, real, unilateral y gratuito</w:t>
      </w:r>
      <w:r w:rsidR="00521FD8" w:rsidRPr="00672CC2">
        <w:rPr>
          <w:rStyle w:val="Refdenotaalpie"/>
          <w:rFonts w:ascii="Arial" w:eastAsia="Calibri" w:hAnsi="Arial" w:cs="Arial"/>
          <w:bCs/>
          <w:color w:val="000000" w:themeColor="text1"/>
          <w:sz w:val="22"/>
          <w:lang w:val="es-ES_tradnl"/>
        </w:rPr>
        <w:footnoteReference w:id="6"/>
      </w:r>
      <w:r w:rsidR="00A32ED8" w:rsidRPr="00672CC2">
        <w:rPr>
          <w:rFonts w:ascii="Arial" w:eastAsia="Calibri" w:hAnsi="Arial" w:cs="Arial"/>
          <w:bCs/>
          <w:color w:val="000000" w:themeColor="text1"/>
          <w:sz w:val="22"/>
          <w:lang w:val="es-ES_tradnl"/>
        </w:rPr>
        <w:t>.</w:t>
      </w:r>
      <w:r w:rsidR="00430A70" w:rsidRPr="00672CC2">
        <w:rPr>
          <w:rFonts w:ascii="Arial" w:eastAsia="Calibri" w:hAnsi="Arial" w:cs="Arial"/>
          <w:bCs/>
          <w:color w:val="000000" w:themeColor="text1"/>
          <w:sz w:val="22"/>
          <w:lang w:val="es-ES_tradnl"/>
        </w:rPr>
        <w:t xml:space="preserve"> </w:t>
      </w:r>
      <w:r w:rsidR="005E2990" w:rsidRPr="00672CC2">
        <w:rPr>
          <w:rFonts w:ascii="Arial" w:eastAsia="Calibri" w:hAnsi="Arial" w:cs="Arial"/>
          <w:bCs/>
          <w:color w:val="000000" w:themeColor="text1"/>
          <w:sz w:val="22"/>
          <w:lang w:val="es-ES_tradnl"/>
        </w:rPr>
        <w:t xml:space="preserve">También denominado como préstamo de uso, es un contrato con características propias y completamente diferente al préstamo de consumo. </w:t>
      </w:r>
      <w:r w:rsidR="00430A70" w:rsidRPr="00672CC2">
        <w:rPr>
          <w:rFonts w:ascii="Arial" w:eastAsia="Calibri" w:hAnsi="Arial" w:cs="Arial"/>
          <w:bCs/>
          <w:color w:val="000000" w:themeColor="text1"/>
          <w:sz w:val="22"/>
          <w:lang w:val="es-ES_tradnl"/>
        </w:rPr>
        <w:t xml:space="preserve">Esta </w:t>
      </w:r>
      <w:r w:rsidR="00AF0EAD" w:rsidRPr="00672CC2">
        <w:rPr>
          <w:rFonts w:ascii="Arial" w:eastAsia="Calibri" w:hAnsi="Arial" w:cs="Arial"/>
          <w:bCs/>
          <w:color w:val="000000" w:themeColor="text1"/>
          <w:sz w:val="22"/>
          <w:lang w:val="es-ES_tradnl"/>
        </w:rPr>
        <w:t xml:space="preserve">tipología </w:t>
      </w:r>
      <w:r w:rsidR="00430A70" w:rsidRPr="00672CC2">
        <w:rPr>
          <w:rFonts w:ascii="Arial" w:eastAsia="Calibri" w:hAnsi="Arial" w:cs="Arial"/>
          <w:bCs/>
          <w:color w:val="000000" w:themeColor="text1"/>
          <w:sz w:val="22"/>
          <w:lang w:val="es-ES_tradnl"/>
        </w:rPr>
        <w:t>es de común utilización en el sector privado</w:t>
      </w:r>
      <w:r w:rsidR="00AF0EAD" w:rsidRPr="00672CC2">
        <w:rPr>
          <w:rFonts w:ascii="Arial" w:eastAsia="Calibri" w:hAnsi="Arial" w:cs="Arial"/>
          <w:bCs/>
          <w:color w:val="000000" w:themeColor="text1"/>
          <w:sz w:val="22"/>
          <w:lang w:val="es-ES_tradnl"/>
        </w:rPr>
        <w:t xml:space="preserve">; pero es restrictiva en la contratación pública, máxime cuando el ordenamiento sólo permite donaciones y auxilios a favor de entidades estatales. </w:t>
      </w:r>
      <w:r w:rsidR="00AD41AB" w:rsidRPr="00672CC2">
        <w:rPr>
          <w:rFonts w:ascii="Arial" w:eastAsia="Calibri" w:hAnsi="Arial" w:cs="Arial"/>
          <w:bCs/>
          <w:color w:val="000000" w:themeColor="text1"/>
          <w:sz w:val="22"/>
          <w:lang w:val="es-ES_tradnl"/>
        </w:rPr>
        <w:t>En contraste</w:t>
      </w:r>
      <w:r w:rsidR="00AF0EAD" w:rsidRPr="00672CC2">
        <w:rPr>
          <w:rFonts w:ascii="Arial" w:eastAsia="Calibri" w:hAnsi="Arial" w:cs="Arial"/>
          <w:bCs/>
          <w:color w:val="000000" w:themeColor="text1"/>
          <w:sz w:val="22"/>
          <w:lang w:val="es-ES_tradnl"/>
        </w:rPr>
        <w:t>,</w:t>
      </w:r>
      <w:r w:rsidR="00AD41AB" w:rsidRPr="00672CC2">
        <w:rPr>
          <w:rFonts w:ascii="Arial" w:eastAsia="Calibri" w:hAnsi="Arial" w:cs="Arial"/>
          <w:bCs/>
          <w:color w:val="000000" w:themeColor="text1"/>
          <w:sz w:val="22"/>
          <w:lang w:val="es-ES_tradnl"/>
        </w:rPr>
        <w:t xml:space="preserve"> la norma prohibitiva se desprende d</w:t>
      </w:r>
      <w:r w:rsidR="00AF0EAD" w:rsidRPr="00672CC2">
        <w:rPr>
          <w:rFonts w:ascii="Arial" w:eastAsia="Calibri" w:hAnsi="Arial" w:cs="Arial"/>
          <w:bCs/>
          <w:color w:val="000000" w:themeColor="text1"/>
          <w:sz w:val="22"/>
          <w:lang w:val="es-ES_tradnl"/>
        </w:rPr>
        <w:t>el inciso 1º del artículo 355 de la Constitución Política de 1991</w:t>
      </w:r>
      <w:r w:rsidR="00AD41AB" w:rsidRPr="00672CC2">
        <w:rPr>
          <w:rFonts w:ascii="Arial" w:eastAsia="Calibri" w:hAnsi="Arial" w:cs="Arial"/>
          <w:bCs/>
          <w:color w:val="000000" w:themeColor="text1"/>
          <w:sz w:val="22"/>
          <w:lang w:val="es-ES_tradnl"/>
        </w:rPr>
        <w:t>, el cual</w:t>
      </w:r>
      <w:r w:rsidR="00AF0EAD" w:rsidRPr="00672CC2">
        <w:rPr>
          <w:rFonts w:ascii="Arial" w:eastAsia="Calibri" w:hAnsi="Arial" w:cs="Arial"/>
          <w:bCs/>
          <w:color w:val="000000" w:themeColor="text1"/>
          <w:sz w:val="22"/>
          <w:lang w:val="es-ES_tradnl"/>
        </w:rPr>
        <w:t xml:space="preserve"> señala que «Ninguna de las ramas u órganos del poder público podrá decretar auxilios o donaciones en favor de personas naturales o jurídicas de derecho privado».</w:t>
      </w:r>
      <w:r w:rsidR="00DC5ED3" w:rsidRPr="00672CC2">
        <w:rPr>
          <w:rFonts w:ascii="Arial" w:eastAsia="Calibri" w:hAnsi="Arial" w:cs="Arial"/>
          <w:bCs/>
          <w:color w:val="000000" w:themeColor="text1"/>
          <w:sz w:val="22"/>
          <w:lang w:val="es-ES_tradnl"/>
        </w:rPr>
        <w:t xml:space="preserve"> </w:t>
      </w:r>
    </w:p>
    <w:p w14:paraId="0283DFBE" w14:textId="39EAE930" w:rsidR="005B3981" w:rsidRPr="00672CC2" w:rsidRDefault="00AD41AB" w:rsidP="00B14EA3">
      <w:pPr>
        <w:spacing w:before="120" w:line="276" w:lineRule="auto"/>
        <w:ind w:firstLine="708"/>
        <w:jc w:val="both"/>
        <w:rPr>
          <w:rFonts w:ascii="Arial" w:eastAsia="Calibri" w:hAnsi="Arial" w:cs="Arial"/>
          <w:bCs/>
          <w:color w:val="000000" w:themeColor="text1"/>
          <w:sz w:val="22"/>
          <w:lang w:val="es-ES_tradnl"/>
        </w:rPr>
      </w:pPr>
      <w:r w:rsidRPr="00672CC2">
        <w:rPr>
          <w:rFonts w:ascii="Arial" w:eastAsia="Calibri" w:hAnsi="Arial" w:cs="Arial"/>
          <w:bCs/>
          <w:color w:val="000000" w:themeColor="text1"/>
          <w:sz w:val="22"/>
          <w:lang w:val="es-ES_tradnl"/>
        </w:rPr>
        <w:t xml:space="preserve">Si bien el artículo </w:t>
      </w:r>
      <w:r w:rsidR="00DC5ED3" w:rsidRPr="00672CC2">
        <w:rPr>
          <w:rFonts w:ascii="Arial" w:eastAsia="Calibri" w:hAnsi="Arial" w:cs="Arial"/>
          <w:bCs/>
          <w:color w:val="000000" w:themeColor="text1"/>
          <w:sz w:val="22"/>
          <w:lang w:val="es-ES_tradnl"/>
        </w:rPr>
        <w:t xml:space="preserve">1452 del Código Civil dispone que </w:t>
      </w:r>
      <w:r w:rsidR="00543721" w:rsidRPr="00672CC2">
        <w:rPr>
          <w:rFonts w:ascii="Arial" w:eastAsia="Calibri" w:hAnsi="Arial" w:cs="Arial"/>
          <w:bCs/>
          <w:color w:val="000000" w:themeColor="text1"/>
          <w:sz w:val="22"/>
          <w:lang w:val="es-ES_tradnl"/>
        </w:rPr>
        <w:t>no existe</w:t>
      </w:r>
      <w:r w:rsidR="00DC5ED3" w:rsidRPr="00672CC2">
        <w:rPr>
          <w:rFonts w:ascii="Arial" w:eastAsia="Calibri" w:hAnsi="Arial" w:cs="Arial"/>
          <w:bCs/>
          <w:color w:val="000000" w:themeColor="text1"/>
          <w:sz w:val="22"/>
          <w:lang w:val="es-ES_tradnl"/>
        </w:rPr>
        <w:t xml:space="preserve"> donación en el comodato, </w:t>
      </w:r>
      <w:r w:rsidR="00242ABE" w:rsidRPr="00672CC2">
        <w:rPr>
          <w:rFonts w:ascii="Arial" w:eastAsia="Calibri" w:hAnsi="Arial" w:cs="Arial"/>
          <w:bCs/>
          <w:color w:val="000000" w:themeColor="text1"/>
          <w:sz w:val="22"/>
          <w:lang w:val="es-ES_tradnl"/>
        </w:rPr>
        <w:t>implica un auxilio a favor de terceros</w:t>
      </w:r>
      <w:r w:rsidR="00DC5ED3" w:rsidRPr="00672CC2">
        <w:rPr>
          <w:rFonts w:ascii="Arial" w:eastAsia="Calibri" w:hAnsi="Arial" w:cs="Arial"/>
          <w:bCs/>
          <w:color w:val="000000" w:themeColor="text1"/>
          <w:sz w:val="22"/>
          <w:lang w:val="es-ES_tradnl"/>
        </w:rPr>
        <w:t>. Para estos efectos, la jurisprudencia</w:t>
      </w:r>
      <w:r w:rsidR="00595D4A" w:rsidRPr="00672CC2">
        <w:rPr>
          <w:rFonts w:ascii="Arial" w:eastAsia="Calibri" w:hAnsi="Arial" w:cs="Arial"/>
          <w:bCs/>
          <w:color w:val="000000" w:themeColor="text1"/>
          <w:sz w:val="22"/>
          <w:lang w:val="es-ES_tradnl"/>
        </w:rPr>
        <w:t xml:space="preserve"> </w:t>
      </w:r>
      <w:r w:rsidR="00137EBC" w:rsidRPr="00672CC2">
        <w:rPr>
          <w:rFonts w:ascii="Arial" w:eastAsia="Calibri" w:hAnsi="Arial" w:cs="Arial"/>
          <w:bCs/>
          <w:color w:val="000000" w:themeColor="text1"/>
          <w:sz w:val="22"/>
          <w:lang w:val="es-ES_tradnl"/>
        </w:rPr>
        <w:t>considera</w:t>
      </w:r>
      <w:r w:rsidR="00DC5ED3" w:rsidRPr="00672CC2">
        <w:rPr>
          <w:rFonts w:ascii="Arial" w:eastAsia="Calibri" w:hAnsi="Arial" w:cs="Arial"/>
          <w:bCs/>
          <w:color w:val="000000" w:themeColor="text1"/>
          <w:sz w:val="22"/>
          <w:lang w:val="es-ES_tradnl"/>
        </w:rPr>
        <w:t xml:space="preserve"> que el contrato «</w:t>
      </w:r>
      <w:r w:rsidR="00595D4A" w:rsidRPr="00672CC2">
        <w:rPr>
          <w:rFonts w:ascii="Arial" w:eastAsia="Calibri" w:hAnsi="Arial" w:cs="Arial"/>
          <w:bCs/>
          <w:i/>
          <w:color w:val="000000" w:themeColor="text1"/>
          <w:sz w:val="22"/>
          <w:lang w:val="es-ES_tradnl"/>
        </w:rPr>
        <w:t>Es tal vez una de las más elementales pero contundentes muestras de solidaridad, ayuda y auxilio, como que se trata de un acto de cortesía, benevolencia, beneficencia o complacencia que no tiene el lucro como inspiración esencial y que facilita al comodatario la satisfacción de sus necesidades</w:t>
      </w:r>
      <w:r w:rsidR="00595D4A" w:rsidRPr="00672CC2">
        <w:rPr>
          <w:rFonts w:ascii="Arial" w:eastAsia="Calibri" w:hAnsi="Arial" w:cs="Arial"/>
          <w:bCs/>
          <w:color w:val="000000" w:themeColor="text1"/>
          <w:sz w:val="22"/>
          <w:lang w:val="es-ES_tradnl"/>
        </w:rPr>
        <w:t xml:space="preserve"> […] No en vano, comodato viene del latín </w:t>
      </w:r>
      <w:r w:rsidR="00595D4A" w:rsidRPr="00672CC2">
        <w:rPr>
          <w:rFonts w:ascii="Arial" w:eastAsia="Calibri" w:hAnsi="Arial" w:cs="Arial"/>
          <w:bCs/>
          <w:i/>
          <w:color w:val="000000" w:themeColor="text1"/>
          <w:sz w:val="22"/>
          <w:lang w:val="es-ES_tradnl"/>
        </w:rPr>
        <w:t>commodatum</w:t>
      </w:r>
      <w:r w:rsidR="00595D4A" w:rsidRPr="00672CC2">
        <w:rPr>
          <w:rFonts w:ascii="Arial" w:eastAsia="Calibri" w:hAnsi="Arial" w:cs="Arial"/>
          <w:bCs/>
          <w:color w:val="000000" w:themeColor="text1"/>
          <w:sz w:val="22"/>
          <w:lang w:val="es-ES_tradnl"/>
        </w:rPr>
        <w:t xml:space="preserve">, expresión que conjuga los términos </w:t>
      </w:r>
      <w:r w:rsidR="00595D4A" w:rsidRPr="00672CC2">
        <w:rPr>
          <w:rFonts w:ascii="Arial" w:eastAsia="Calibri" w:hAnsi="Arial" w:cs="Arial"/>
          <w:bCs/>
          <w:i/>
          <w:color w:val="000000" w:themeColor="text1"/>
          <w:sz w:val="22"/>
          <w:lang w:val="es-ES_tradnl"/>
        </w:rPr>
        <w:t>commodum</w:t>
      </w:r>
      <w:r w:rsidR="00595D4A" w:rsidRPr="00672CC2">
        <w:rPr>
          <w:rFonts w:ascii="Arial" w:eastAsia="Calibri" w:hAnsi="Arial" w:cs="Arial"/>
          <w:bCs/>
          <w:color w:val="000000" w:themeColor="text1"/>
          <w:sz w:val="22"/>
          <w:lang w:val="es-ES_tradnl"/>
        </w:rPr>
        <w:t xml:space="preserve"> -utilidad, provecho- y </w:t>
      </w:r>
      <w:r w:rsidR="00595D4A" w:rsidRPr="00672CC2">
        <w:rPr>
          <w:rFonts w:ascii="Arial" w:eastAsia="Calibri" w:hAnsi="Arial" w:cs="Arial"/>
          <w:bCs/>
          <w:i/>
          <w:color w:val="000000" w:themeColor="text1"/>
          <w:sz w:val="22"/>
          <w:lang w:val="es-ES_tradnl"/>
        </w:rPr>
        <w:t>datum</w:t>
      </w:r>
      <w:r w:rsidR="00595D4A" w:rsidRPr="00672CC2">
        <w:rPr>
          <w:rFonts w:ascii="Arial" w:eastAsia="Calibri" w:hAnsi="Arial" w:cs="Arial"/>
          <w:bCs/>
          <w:color w:val="000000" w:themeColor="text1"/>
          <w:sz w:val="22"/>
          <w:lang w:val="es-ES_tradnl"/>
        </w:rPr>
        <w:t xml:space="preserve"> -dar-, es decir, entregar para utilidad de otro (</w:t>
      </w:r>
      <w:r w:rsidR="00595D4A" w:rsidRPr="00672CC2">
        <w:rPr>
          <w:rFonts w:ascii="Arial" w:eastAsia="Calibri" w:hAnsi="Arial" w:cs="Arial"/>
          <w:bCs/>
          <w:i/>
          <w:color w:val="000000" w:themeColor="text1"/>
          <w:sz w:val="22"/>
          <w:lang w:val="es-ES_tradnl"/>
        </w:rPr>
        <w:t>utendum dare</w:t>
      </w:r>
      <w:r w:rsidR="00595D4A" w:rsidRPr="00672CC2">
        <w:rPr>
          <w:rFonts w:ascii="Arial" w:eastAsia="Calibri" w:hAnsi="Arial" w:cs="Arial"/>
          <w:bCs/>
          <w:color w:val="000000" w:themeColor="text1"/>
          <w:sz w:val="22"/>
          <w:lang w:val="es-ES_tradnl"/>
        </w:rPr>
        <w:t>)»</w:t>
      </w:r>
      <w:r w:rsidR="00595D4A" w:rsidRPr="00672CC2">
        <w:rPr>
          <w:rStyle w:val="Refdenotaalpie"/>
          <w:rFonts w:ascii="Arial" w:eastAsia="Calibri" w:hAnsi="Arial" w:cs="Arial"/>
          <w:bCs/>
          <w:color w:val="000000" w:themeColor="text1"/>
          <w:sz w:val="22"/>
          <w:lang w:val="es-ES_tradnl"/>
        </w:rPr>
        <w:footnoteReference w:id="7"/>
      </w:r>
      <w:r w:rsidR="00137EBC" w:rsidRPr="00672CC2">
        <w:rPr>
          <w:rFonts w:ascii="Arial" w:eastAsia="Calibri" w:hAnsi="Arial" w:cs="Arial"/>
          <w:bCs/>
          <w:color w:val="000000" w:themeColor="text1"/>
          <w:sz w:val="22"/>
          <w:lang w:val="es-ES_tradnl"/>
        </w:rPr>
        <w:t xml:space="preserve"> (Énfasis fuera de texto)</w:t>
      </w:r>
      <w:bookmarkStart w:id="3" w:name="_Hlk35263504"/>
      <w:r w:rsidR="00696859" w:rsidRPr="00672CC2">
        <w:rPr>
          <w:rFonts w:ascii="Arial" w:eastAsia="Calibri" w:hAnsi="Arial" w:cs="Arial"/>
          <w:bCs/>
          <w:color w:val="000000" w:themeColor="text1"/>
          <w:sz w:val="22"/>
          <w:lang w:val="es-ES_tradnl"/>
        </w:rPr>
        <w:t xml:space="preserve">. No obstante, el </w:t>
      </w:r>
      <w:r w:rsidR="00595D4A" w:rsidRPr="00672CC2">
        <w:rPr>
          <w:rFonts w:ascii="Arial" w:eastAsia="Calibri" w:hAnsi="Arial" w:cs="Arial"/>
          <w:bCs/>
          <w:color w:val="000000" w:themeColor="text1"/>
          <w:sz w:val="22"/>
          <w:lang w:val="es-ES_tradnl"/>
        </w:rPr>
        <w:t>artículo 38 de la Ley 9 de 1989</w:t>
      </w:r>
      <w:bookmarkEnd w:id="3"/>
      <w:r w:rsidR="00595D4A" w:rsidRPr="00672CC2">
        <w:rPr>
          <w:rFonts w:ascii="Arial" w:eastAsia="Calibri" w:hAnsi="Arial" w:cs="Arial"/>
          <w:bCs/>
          <w:color w:val="000000" w:themeColor="text1"/>
          <w:sz w:val="22"/>
          <w:lang w:val="es-ES_tradnl"/>
        </w:rPr>
        <w:t xml:space="preserve"> </w:t>
      </w:r>
      <w:r w:rsidR="00696859" w:rsidRPr="00672CC2">
        <w:rPr>
          <w:rFonts w:ascii="Arial" w:eastAsia="Calibri" w:hAnsi="Arial" w:cs="Arial"/>
          <w:bCs/>
          <w:color w:val="000000" w:themeColor="text1"/>
          <w:sz w:val="22"/>
          <w:lang w:val="es-ES_tradnl"/>
        </w:rPr>
        <w:t>dispone que:</w:t>
      </w:r>
    </w:p>
    <w:p w14:paraId="0400B766" w14:textId="4BBEE840" w:rsidR="00696859" w:rsidRPr="00EE2030" w:rsidRDefault="00696859" w:rsidP="00DC5ED3">
      <w:pPr>
        <w:spacing w:line="276" w:lineRule="auto"/>
        <w:ind w:firstLine="708"/>
        <w:jc w:val="both"/>
        <w:rPr>
          <w:rFonts w:ascii="Arial" w:eastAsia="Calibri" w:hAnsi="Arial" w:cs="Arial"/>
          <w:bCs/>
          <w:color w:val="000000" w:themeColor="text1"/>
          <w:sz w:val="16"/>
          <w:szCs w:val="16"/>
          <w:lang w:val="es-ES_tradnl"/>
        </w:rPr>
      </w:pPr>
    </w:p>
    <w:p w14:paraId="603702C6" w14:textId="70192DD2" w:rsidR="00696859" w:rsidRPr="00672CC2" w:rsidRDefault="00696859" w:rsidP="00696859">
      <w:pPr>
        <w:ind w:left="709" w:right="709"/>
        <w:jc w:val="both"/>
        <w:rPr>
          <w:rFonts w:ascii="Arial" w:eastAsia="Calibri" w:hAnsi="Arial" w:cs="Arial"/>
          <w:bCs/>
          <w:color w:val="000000" w:themeColor="text1"/>
          <w:sz w:val="21"/>
          <w:szCs w:val="21"/>
          <w:lang w:val="es-ES_tradnl"/>
        </w:rPr>
      </w:pPr>
      <w:r w:rsidRPr="00672CC2">
        <w:rPr>
          <w:rFonts w:ascii="Arial" w:eastAsia="Calibri" w:hAnsi="Arial" w:cs="Arial"/>
          <w:bCs/>
          <w:color w:val="000000" w:themeColor="text1"/>
          <w:sz w:val="21"/>
          <w:szCs w:val="21"/>
          <w:lang w:val="es-ES_tradnl"/>
        </w:rPr>
        <w:lastRenderedPageBreak/>
        <w:t>«Las entidades públicas no podrán dar en comodato sus inmuebles sino únicamente a otras entidades públicas, sindicatos, cooperativas, asociaciones y fundaciones que no repartan utilidades entre sus asociados o fundadores ni adjudiquen sus activos en el momento de su liquidación a los mismos, juntas de acción comunal, fondos de empleados y las demás que puedan asimilarse a las anteriores, y por un término máximo de cinco (5) años, renovables».</w:t>
      </w:r>
    </w:p>
    <w:p w14:paraId="10FFC50E" w14:textId="77777777" w:rsidR="00696859" w:rsidRPr="00672CC2" w:rsidRDefault="00696859" w:rsidP="00696859">
      <w:pPr>
        <w:ind w:left="709" w:right="709"/>
        <w:jc w:val="both"/>
        <w:rPr>
          <w:rFonts w:ascii="Arial" w:eastAsia="Calibri" w:hAnsi="Arial" w:cs="Arial"/>
          <w:bCs/>
          <w:color w:val="000000" w:themeColor="text1"/>
          <w:sz w:val="21"/>
          <w:szCs w:val="21"/>
          <w:lang w:val="es-ES_tradnl"/>
        </w:rPr>
      </w:pPr>
    </w:p>
    <w:p w14:paraId="75E0B5B7" w14:textId="573B6BC6" w:rsidR="00696859" w:rsidRPr="00672CC2" w:rsidRDefault="007D50BE" w:rsidP="00EE2030">
      <w:pPr>
        <w:ind w:left="709" w:right="709"/>
        <w:jc w:val="both"/>
        <w:rPr>
          <w:rFonts w:ascii="Arial" w:eastAsia="Calibri" w:hAnsi="Arial" w:cs="Arial"/>
          <w:bCs/>
          <w:color w:val="000000" w:themeColor="text1"/>
          <w:sz w:val="22"/>
          <w:lang w:val="es-ES_tradnl"/>
        </w:rPr>
      </w:pPr>
      <w:r w:rsidRPr="00672CC2">
        <w:rPr>
          <w:rFonts w:ascii="Arial" w:eastAsia="Calibri" w:hAnsi="Arial" w:cs="Arial"/>
          <w:bCs/>
          <w:color w:val="000000" w:themeColor="text1"/>
          <w:sz w:val="21"/>
          <w:szCs w:val="21"/>
          <w:lang w:val="es-ES_tradnl"/>
        </w:rPr>
        <w:t>»</w:t>
      </w:r>
      <w:r w:rsidR="00696859" w:rsidRPr="00672CC2">
        <w:rPr>
          <w:rFonts w:ascii="Arial" w:eastAsia="Calibri" w:hAnsi="Arial" w:cs="Arial"/>
          <w:bCs/>
          <w:color w:val="000000" w:themeColor="text1"/>
          <w:sz w:val="21"/>
          <w:szCs w:val="21"/>
          <w:lang w:val="es-ES_tradnl"/>
        </w:rPr>
        <w:t>Los contratos de comodato existentes, y que hayan sido celebrados por las entidades públicas con personas distintas de las señaladas en el inciso anterior, serán renegociados por las primeras para limitar su término a tres (3) años renovables, contados a partir de la promulgación de la presente Ley».</w:t>
      </w:r>
      <w:r w:rsidR="00696859" w:rsidRPr="00672CC2">
        <w:rPr>
          <w:rFonts w:ascii="Arial" w:eastAsia="Calibri" w:hAnsi="Arial" w:cs="Arial"/>
          <w:bCs/>
          <w:color w:val="000000" w:themeColor="text1"/>
          <w:sz w:val="22"/>
          <w:lang w:val="es-ES_tradnl"/>
        </w:rPr>
        <w:t xml:space="preserve">  </w:t>
      </w:r>
    </w:p>
    <w:p w14:paraId="509DAB3B" w14:textId="0D507F27" w:rsidR="00696859" w:rsidRPr="00EE2030" w:rsidRDefault="00696859" w:rsidP="00EE2030">
      <w:pPr>
        <w:spacing w:line="276" w:lineRule="auto"/>
        <w:ind w:firstLine="708"/>
        <w:jc w:val="both"/>
        <w:rPr>
          <w:rFonts w:ascii="Arial" w:eastAsia="Calibri" w:hAnsi="Arial" w:cs="Arial"/>
          <w:bCs/>
          <w:color w:val="000000" w:themeColor="text1"/>
          <w:sz w:val="16"/>
          <w:szCs w:val="16"/>
          <w:lang w:val="es-ES_tradnl"/>
        </w:rPr>
      </w:pPr>
    </w:p>
    <w:p w14:paraId="642ABE3A" w14:textId="1E93EDE8" w:rsidR="00696859" w:rsidRPr="00672CC2" w:rsidRDefault="00696859" w:rsidP="00EE2030">
      <w:pPr>
        <w:spacing w:line="276" w:lineRule="auto"/>
        <w:ind w:firstLine="709"/>
        <w:jc w:val="both"/>
        <w:rPr>
          <w:rFonts w:ascii="Arial" w:eastAsia="Calibri" w:hAnsi="Arial" w:cs="Arial"/>
          <w:bCs/>
          <w:color w:val="000000" w:themeColor="text1"/>
          <w:sz w:val="22"/>
          <w:lang w:val="es-ES_tradnl"/>
        </w:rPr>
      </w:pPr>
      <w:r w:rsidRPr="00672CC2">
        <w:rPr>
          <w:rFonts w:ascii="Arial" w:eastAsia="Calibri" w:hAnsi="Arial" w:cs="Arial"/>
          <w:bCs/>
          <w:color w:val="000000" w:themeColor="text1"/>
          <w:sz w:val="22"/>
          <w:lang w:val="es-ES_tradnl"/>
        </w:rPr>
        <w:t>Aunque se considera que la norma precedente sufre una inconstitucionalidad sobreviniente</w:t>
      </w:r>
      <w:r w:rsidR="001502DF" w:rsidRPr="00672CC2">
        <w:rPr>
          <w:rFonts w:ascii="Arial" w:eastAsia="Calibri" w:hAnsi="Arial" w:cs="Arial"/>
          <w:bCs/>
          <w:color w:val="000000" w:themeColor="text1"/>
          <w:sz w:val="22"/>
          <w:lang w:val="es-ES_tradnl"/>
        </w:rPr>
        <w:t>,</w:t>
      </w:r>
      <w:r w:rsidRPr="00672CC2">
        <w:rPr>
          <w:rFonts w:ascii="Arial" w:eastAsia="Calibri" w:hAnsi="Arial" w:cs="Arial"/>
          <w:bCs/>
          <w:color w:val="000000" w:themeColor="text1"/>
          <w:sz w:val="22"/>
          <w:lang w:val="es-ES_tradnl"/>
        </w:rPr>
        <w:t xml:space="preserve"> en virtud del artículo 355 superior,</w:t>
      </w:r>
      <w:r w:rsidR="004632D9" w:rsidRPr="00672CC2">
        <w:rPr>
          <w:rFonts w:ascii="Arial" w:eastAsia="Calibri" w:hAnsi="Arial" w:cs="Arial"/>
          <w:bCs/>
          <w:color w:val="000000" w:themeColor="text1"/>
          <w:sz w:val="22"/>
          <w:lang w:val="es-ES_tradnl"/>
        </w:rPr>
        <w:t xml:space="preserve"> algunas entidades la siguen aplicando. De hecho,</w:t>
      </w:r>
      <w:r w:rsidRPr="00672CC2">
        <w:rPr>
          <w:rFonts w:ascii="Arial" w:eastAsia="Calibri" w:hAnsi="Arial" w:cs="Arial"/>
          <w:bCs/>
          <w:color w:val="000000" w:themeColor="text1"/>
          <w:sz w:val="22"/>
          <w:lang w:val="es-ES_tradnl"/>
        </w:rPr>
        <w:t xml:space="preserve"> </w:t>
      </w:r>
      <w:r w:rsidR="004632D9" w:rsidRPr="00672CC2">
        <w:rPr>
          <w:rFonts w:ascii="Arial" w:eastAsia="Calibri" w:hAnsi="Arial" w:cs="Arial"/>
          <w:bCs/>
          <w:color w:val="000000" w:themeColor="text1"/>
          <w:sz w:val="22"/>
          <w:lang w:val="es-ES_tradnl"/>
        </w:rPr>
        <w:t xml:space="preserve">mediante concepto con </w:t>
      </w:r>
      <w:r w:rsidR="007D50BE" w:rsidRPr="00672CC2">
        <w:rPr>
          <w:rFonts w:ascii="Arial" w:eastAsia="Calibri" w:hAnsi="Arial" w:cs="Arial"/>
          <w:bCs/>
          <w:color w:val="000000" w:themeColor="text1"/>
          <w:sz w:val="22"/>
          <w:lang w:val="es-ES_tradnl"/>
        </w:rPr>
        <w:t>e</w:t>
      </w:r>
      <w:r w:rsidR="004632D9" w:rsidRPr="00672CC2">
        <w:rPr>
          <w:rFonts w:ascii="Arial" w:eastAsia="Calibri" w:hAnsi="Arial" w:cs="Arial"/>
          <w:bCs/>
          <w:color w:val="000000" w:themeColor="text1"/>
          <w:sz w:val="22"/>
          <w:lang w:val="es-ES_tradnl"/>
        </w:rPr>
        <w:t>l radicado No. 415140000909</w:t>
      </w:r>
      <w:r w:rsidR="001502DF" w:rsidRPr="00672CC2">
        <w:rPr>
          <w:rFonts w:ascii="Arial" w:eastAsia="Calibri" w:hAnsi="Arial" w:cs="Arial"/>
          <w:bCs/>
          <w:color w:val="000000" w:themeColor="text1"/>
          <w:sz w:val="22"/>
          <w:lang w:val="es-ES_tradnl"/>
        </w:rPr>
        <w:t xml:space="preserve"> de 2015</w:t>
      </w:r>
      <w:r w:rsidR="004632D9" w:rsidRPr="00672CC2">
        <w:rPr>
          <w:rFonts w:ascii="Arial" w:eastAsia="Calibri" w:hAnsi="Arial" w:cs="Arial"/>
          <w:bCs/>
          <w:color w:val="000000" w:themeColor="text1"/>
          <w:sz w:val="22"/>
          <w:lang w:val="es-ES_tradnl"/>
        </w:rPr>
        <w:t>, Colombia Compra Eficiente explicó que esta disposición contiene una restricción al texto constitucional, toda vez que tratándose de bienes inmuebles establece dos condiciones a las que están sujetas las Entidades Estatales para celebra</w:t>
      </w:r>
      <w:r w:rsidR="001502DF" w:rsidRPr="00672CC2">
        <w:rPr>
          <w:rFonts w:ascii="Arial" w:eastAsia="Calibri" w:hAnsi="Arial" w:cs="Arial"/>
          <w:bCs/>
          <w:color w:val="000000" w:themeColor="text1"/>
          <w:sz w:val="22"/>
          <w:lang w:val="es-ES_tradnl"/>
        </w:rPr>
        <w:t>r</w:t>
      </w:r>
      <w:r w:rsidR="004632D9" w:rsidRPr="00672CC2">
        <w:rPr>
          <w:rFonts w:ascii="Arial" w:eastAsia="Calibri" w:hAnsi="Arial" w:cs="Arial"/>
          <w:bCs/>
          <w:color w:val="000000" w:themeColor="text1"/>
          <w:sz w:val="22"/>
          <w:lang w:val="es-ES_tradnl"/>
        </w:rPr>
        <w:t xml:space="preserve"> el contrato de comodato: i) el tiempo de duración del contrato y ii) las personas con las cuales puede celebrarlo. Con fundamento en la misma norma, precisó que ésta no establece restricción frente al contrato de comodato de bienes mueble; por tanto, las </w:t>
      </w:r>
      <w:r w:rsidR="001502DF" w:rsidRPr="00672CC2">
        <w:rPr>
          <w:rFonts w:ascii="Arial" w:eastAsia="Calibri" w:hAnsi="Arial" w:cs="Arial"/>
          <w:bCs/>
          <w:color w:val="000000" w:themeColor="text1"/>
          <w:sz w:val="22"/>
          <w:lang w:val="es-ES_tradnl"/>
        </w:rPr>
        <w:t>e</w:t>
      </w:r>
      <w:r w:rsidR="004632D9" w:rsidRPr="00672CC2">
        <w:rPr>
          <w:rFonts w:ascii="Arial" w:eastAsia="Calibri" w:hAnsi="Arial" w:cs="Arial"/>
          <w:bCs/>
          <w:color w:val="000000" w:themeColor="text1"/>
          <w:sz w:val="22"/>
          <w:lang w:val="es-ES_tradnl"/>
        </w:rPr>
        <w:t xml:space="preserve">ntidades </w:t>
      </w:r>
      <w:r w:rsidR="001502DF" w:rsidRPr="00672CC2">
        <w:rPr>
          <w:rFonts w:ascii="Arial" w:eastAsia="Calibri" w:hAnsi="Arial" w:cs="Arial"/>
          <w:bCs/>
          <w:color w:val="000000" w:themeColor="text1"/>
          <w:sz w:val="22"/>
          <w:lang w:val="es-ES_tradnl"/>
        </w:rPr>
        <w:t>e</w:t>
      </w:r>
      <w:r w:rsidR="004632D9" w:rsidRPr="00672CC2">
        <w:rPr>
          <w:rFonts w:ascii="Arial" w:eastAsia="Calibri" w:hAnsi="Arial" w:cs="Arial"/>
          <w:bCs/>
          <w:color w:val="000000" w:themeColor="text1"/>
          <w:sz w:val="22"/>
          <w:lang w:val="es-ES_tradnl"/>
        </w:rPr>
        <w:t>statales podrían celebrar contratos de comodato entre sí.</w:t>
      </w:r>
      <w:r w:rsidR="00D75706" w:rsidRPr="00672CC2">
        <w:rPr>
          <w:rFonts w:ascii="Arial" w:eastAsia="Calibri" w:hAnsi="Arial" w:cs="Arial"/>
          <w:bCs/>
          <w:color w:val="000000" w:themeColor="text1"/>
          <w:sz w:val="22"/>
          <w:lang w:val="es-ES_tradnl"/>
        </w:rPr>
        <w:t xml:space="preserve"> </w:t>
      </w:r>
      <w:r w:rsidR="004632D9" w:rsidRPr="00672CC2">
        <w:rPr>
          <w:rFonts w:ascii="Arial" w:eastAsia="Calibri" w:hAnsi="Arial" w:cs="Arial"/>
          <w:bCs/>
          <w:color w:val="000000" w:themeColor="text1"/>
          <w:sz w:val="22"/>
          <w:lang w:val="es-ES_tradnl"/>
        </w:rPr>
        <w:t xml:space="preserve">No obstante, en concordancia con los preceptos constitucionales y legales anteriormente señalados, añadió que ninguna </w:t>
      </w:r>
      <w:r w:rsidR="001502DF" w:rsidRPr="00672CC2">
        <w:rPr>
          <w:rFonts w:ascii="Arial" w:eastAsia="Calibri" w:hAnsi="Arial" w:cs="Arial"/>
          <w:bCs/>
          <w:color w:val="000000" w:themeColor="text1"/>
          <w:sz w:val="22"/>
          <w:lang w:val="es-ES_tradnl"/>
        </w:rPr>
        <w:t>e</w:t>
      </w:r>
      <w:r w:rsidR="004632D9" w:rsidRPr="00672CC2">
        <w:rPr>
          <w:rFonts w:ascii="Arial" w:eastAsia="Calibri" w:hAnsi="Arial" w:cs="Arial"/>
          <w:bCs/>
          <w:color w:val="000000" w:themeColor="text1"/>
          <w:sz w:val="22"/>
          <w:lang w:val="es-ES_tradnl"/>
        </w:rPr>
        <w:t xml:space="preserve">ntidad </w:t>
      </w:r>
      <w:r w:rsidR="001502DF" w:rsidRPr="00672CC2">
        <w:rPr>
          <w:rFonts w:ascii="Arial" w:eastAsia="Calibri" w:hAnsi="Arial" w:cs="Arial"/>
          <w:bCs/>
          <w:color w:val="000000" w:themeColor="text1"/>
          <w:sz w:val="22"/>
          <w:lang w:val="es-ES_tradnl"/>
        </w:rPr>
        <w:t>e</w:t>
      </w:r>
      <w:r w:rsidR="004632D9" w:rsidRPr="00672CC2">
        <w:rPr>
          <w:rFonts w:ascii="Arial" w:eastAsia="Calibri" w:hAnsi="Arial" w:cs="Arial"/>
          <w:bCs/>
          <w:color w:val="000000" w:themeColor="text1"/>
          <w:sz w:val="22"/>
          <w:lang w:val="es-ES_tradnl"/>
        </w:rPr>
        <w:t>statal puede otorgar auxilios o donaciones en favor de particulares, razón por la cual tampoco podría entregar gratuitamente a un particular un bien mueble para su uso.</w:t>
      </w:r>
      <w:r w:rsidR="00D75706" w:rsidRPr="00672CC2">
        <w:rPr>
          <w:rFonts w:ascii="Arial" w:eastAsia="Calibri" w:hAnsi="Arial" w:cs="Arial"/>
          <w:bCs/>
          <w:color w:val="000000" w:themeColor="text1"/>
          <w:sz w:val="22"/>
          <w:lang w:val="es-ES_tradnl"/>
        </w:rPr>
        <w:t xml:space="preserve"> </w:t>
      </w:r>
      <w:r w:rsidR="00E612E7" w:rsidRPr="00672CC2">
        <w:rPr>
          <w:rFonts w:ascii="Arial" w:eastAsia="Calibri" w:hAnsi="Arial" w:cs="Arial"/>
          <w:bCs/>
          <w:color w:val="000000" w:themeColor="text1"/>
          <w:sz w:val="22"/>
          <w:lang w:val="es-ES_tradnl"/>
        </w:rPr>
        <w:t xml:space="preserve">  </w:t>
      </w:r>
      <w:r w:rsidR="00D75706" w:rsidRPr="00672CC2">
        <w:rPr>
          <w:rFonts w:ascii="Arial" w:eastAsia="Calibri" w:hAnsi="Arial" w:cs="Arial"/>
          <w:bCs/>
          <w:color w:val="000000" w:themeColor="text1"/>
          <w:sz w:val="22"/>
          <w:lang w:val="es-ES_tradnl"/>
        </w:rPr>
        <w:t xml:space="preserve">     </w:t>
      </w:r>
      <w:r w:rsidR="004632D9" w:rsidRPr="00672CC2">
        <w:rPr>
          <w:rFonts w:ascii="Arial" w:eastAsia="Calibri" w:hAnsi="Arial" w:cs="Arial"/>
          <w:bCs/>
          <w:color w:val="000000" w:themeColor="text1"/>
          <w:sz w:val="22"/>
          <w:lang w:val="es-ES_tradnl"/>
        </w:rPr>
        <w:t xml:space="preserve">    </w:t>
      </w:r>
      <w:r w:rsidRPr="00672CC2">
        <w:rPr>
          <w:rFonts w:ascii="Arial" w:eastAsia="Calibri" w:hAnsi="Arial" w:cs="Arial"/>
          <w:bCs/>
          <w:color w:val="000000" w:themeColor="text1"/>
          <w:sz w:val="22"/>
          <w:lang w:val="es-ES_tradnl"/>
        </w:rPr>
        <w:t xml:space="preserve"> </w:t>
      </w:r>
    </w:p>
    <w:p w14:paraId="23186A16" w14:textId="76C71E40" w:rsidR="00944637" w:rsidRPr="00672CC2" w:rsidRDefault="00376B5E" w:rsidP="00B14EA3">
      <w:pPr>
        <w:spacing w:before="120" w:line="276" w:lineRule="auto"/>
        <w:ind w:firstLine="709"/>
        <w:jc w:val="both"/>
        <w:rPr>
          <w:rFonts w:ascii="Arial" w:eastAsia="Calibri" w:hAnsi="Arial" w:cs="Arial"/>
          <w:bCs/>
          <w:color w:val="000000" w:themeColor="text1"/>
          <w:sz w:val="22"/>
          <w:lang w:val="es-ES_tradnl"/>
        </w:rPr>
      </w:pPr>
      <w:r w:rsidRPr="00672CC2">
        <w:rPr>
          <w:rFonts w:ascii="Arial" w:eastAsia="Calibri" w:hAnsi="Arial" w:cs="Arial"/>
          <w:bCs/>
          <w:color w:val="000000" w:themeColor="text1"/>
          <w:sz w:val="22"/>
          <w:lang w:val="es-ES_tradnl"/>
        </w:rPr>
        <w:t>Lo importante es que</w:t>
      </w:r>
      <w:r w:rsidR="00863842" w:rsidRPr="00672CC2">
        <w:rPr>
          <w:rFonts w:ascii="Arial" w:eastAsia="Calibri" w:hAnsi="Arial" w:cs="Arial"/>
          <w:bCs/>
          <w:color w:val="000000" w:themeColor="text1"/>
          <w:sz w:val="22"/>
          <w:lang w:val="es-ES_tradnl"/>
        </w:rPr>
        <w:t xml:space="preserve"> si la prohibición de </w:t>
      </w:r>
      <w:r w:rsidR="00465202" w:rsidRPr="00672CC2">
        <w:rPr>
          <w:rFonts w:ascii="Arial" w:eastAsia="Calibri" w:hAnsi="Arial" w:cs="Arial"/>
          <w:bCs/>
          <w:color w:val="000000" w:themeColor="text1"/>
          <w:sz w:val="22"/>
          <w:lang w:val="es-ES_tradnl"/>
        </w:rPr>
        <w:t xml:space="preserve">dar </w:t>
      </w:r>
      <w:r w:rsidR="00863842" w:rsidRPr="00672CC2">
        <w:rPr>
          <w:rFonts w:ascii="Arial" w:eastAsia="Calibri" w:hAnsi="Arial" w:cs="Arial"/>
          <w:bCs/>
          <w:color w:val="000000" w:themeColor="text1"/>
          <w:sz w:val="22"/>
          <w:lang w:val="es-ES_tradnl"/>
        </w:rPr>
        <w:t xml:space="preserve">auxilios y donaciones es la regla general, </w:t>
      </w:r>
      <w:bookmarkStart w:id="4" w:name="_Hlk35972359"/>
      <w:bookmarkStart w:id="5" w:name="_Hlk35265171"/>
      <w:r w:rsidR="00863842" w:rsidRPr="00672CC2">
        <w:rPr>
          <w:rFonts w:ascii="Arial" w:eastAsia="Calibri" w:hAnsi="Arial" w:cs="Arial"/>
          <w:bCs/>
          <w:color w:val="000000" w:themeColor="text1"/>
          <w:sz w:val="22"/>
          <w:lang w:val="es-ES_tradnl"/>
        </w:rPr>
        <w:t xml:space="preserve">el artículo 335 de la Constitución permite celebrar </w:t>
      </w:r>
      <w:r w:rsidR="00863842" w:rsidRPr="00672CC2">
        <w:rPr>
          <w:rFonts w:ascii="Arial" w:eastAsia="Calibri" w:hAnsi="Arial" w:cs="Arial"/>
          <w:bCs/>
          <w:i/>
          <w:color w:val="000000" w:themeColor="text1"/>
          <w:sz w:val="22"/>
          <w:lang w:val="es-ES_tradnl"/>
        </w:rPr>
        <w:t>contratos de colaboración</w:t>
      </w:r>
      <w:r w:rsidR="00863842" w:rsidRPr="00672CC2">
        <w:rPr>
          <w:rFonts w:ascii="Arial" w:eastAsia="Calibri" w:hAnsi="Arial" w:cs="Arial"/>
          <w:bCs/>
          <w:color w:val="000000" w:themeColor="text1"/>
          <w:sz w:val="22"/>
          <w:lang w:val="es-ES_tradnl"/>
        </w:rPr>
        <w:t xml:space="preserve"> con entidades privadas sin ánimo de lucro y de reconocida idoneidad con el fin de impulsar programas y actividades de interés público acordes con el Plan Nacional y los planes seccionales de Desarrollo. Adicionalmente, el artículo 96 de la Ley 489 de</w:t>
      </w:r>
      <w:r w:rsidR="00D1119D" w:rsidRPr="00672CC2">
        <w:rPr>
          <w:rFonts w:ascii="Arial" w:eastAsia="Calibri" w:hAnsi="Arial" w:cs="Arial"/>
          <w:bCs/>
          <w:color w:val="000000" w:themeColor="text1"/>
          <w:sz w:val="22"/>
          <w:lang w:val="es-ES_tradnl"/>
        </w:rPr>
        <w:t xml:space="preserve"> 1998 permite la celebración de </w:t>
      </w:r>
      <w:r w:rsidR="00D1119D" w:rsidRPr="00672CC2">
        <w:rPr>
          <w:rFonts w:ascii="Arial" w:eastAsia="Calibri" w:hAnsi="Arial" w:cs="Arial"/>
          <w:bCs/>
          <w:i/>
          <w:color w:val="000000" w:themeColor="text1"/>
          <w:sz w:val="22"/>
          <w:lang w:val="es-ES_tradnl"/>
        </w:rPr>
        <w:t>convenios de asociación</w:t>
      </w:r>
      <w:r w:rsidR="00D1119D" w:rsidRPr="00672CC2">
        <w:rPr>
          <w:rFonts w:ascii="Arial" w:eastAsia="Calibri" w:hAnsi="Arial" w:cs="Arial"/>
          <w:bCs/>
          <w:color w:val="000000" w:themeColor="text1"/>
          <w:sz w:val="22"/>
          <w:lang w:val="es-ES_tradnl"/>
        </w:rPr>
        <w:t xml:space="preserve"> para desarroll</w:t>
      </w:r>
      <w:r w:rsidR="00465202" w:rsidRPr="00672CC2">
        <w:rPr>
          <w:rFonts w:ascii="Arial" w:eastAsia="Calibri" w:hAnsi="Arial" w:cs="Arial"/>
          <w:bCs/>
          <w:color w:val="000000" w:themeColor="text1"/>
          <w:sz w:val="22"/>
          <w:lang w:val="es-ES_tradnl"/>
        </w:rPr>
        <w:t>ar</w:t>
      </w:r>
      <w:r w:rsidR="00D1119D" w:rsidRPr="00672CC2">
        <w:rPr>
          <w:rFonts w:ascii="Arial" w:eastAsia="Calibri" w:hAnsi="Arial" w:cs="Arial"/>
          <w:bCs/>
          <w:color w:val="000000" w:themeColor="text1"/>
          <w:sz w:val="22"/>
          <w:lang w:val="es-ES_tradnl"/>
        </w:rPr>
        <w:t xml:space="preserve"> conjunt</w:t>
      </w:r>
      <w:r w:rsidR="00465202" w:rsidRPr="00672CC2">
        <w:rPr>
          <w:rFonts w:ascii="Arial" w:eastAsia="Calibri" w:hAnsi="Arial" w:cs="Arial"/>
          <w:bCs/>
          <w:color w:val="000000" w:themeColor="text1"/>
          <w:sz w:val="22"/>
          <w:lang w:val="es-ES_tradnl"/>
        </w:rPr>
        <w:t xml:space="preserve">amente </w:t>
      </w:r>
      <w:r w:rsidR="00D1119D" w:rsidRPr="00672CC2">
        <w:rPr>
          <w:rFonts w:ascii="Arial" w:eastAsia="Calibri" w:hAnsi="Arial" w:cs="Arial"/>
          <w:bCs/>
          <w:color w:val="000000" w:themeColor="text1"/>
          <w:sz w:val="22"/>
          <w:lang w:val="es-ES_tradnl"/>
        </w:rPr>
        <w:t xml:space="preserve">actividades en relación con </w:t>
      </w:r>
      <w:r w:rsidR="00465202" w:rsidRPr="00672CC2">
        <w:rPr>
          <w:rFonts w:ascii="Arial" w:eastAsia="Calibri" w:hAnsi="Arial" w:cs="Arial"/>
          <w:bCs/>
          <w:color w:val="000000" w:themeColor="text1"/>
          <w:sz w:val="22"/>
          <w:lang w:val="es-ES_tradnl"/>
        </w:rPr>
        <w:t>las</w:t>
      </w:r>
      <w:r w:rsidR="00D1119D" w:rsidRPr="00672CC2">
        <w:rPr>
          <w:rFonts w:ascii="Arial" w:eastAsia="Calibri" w:hAnsi="Arial" w:cs="Arial"/>
          <w:bCs/>
          <w:color w:val="000000" w:themeColor="text1"/>
          <w:sz w:val="22"/>
          <w:lang w:val="es-ES_tradnl"/>
        </w:rPr>
        <w:t xml:space="preserve"> funciones que la ley asigna a las entidades públicas, los cuales –conforme</w:t>
      </w:r>
      <w:r w:rsidR="00155DEC" w:rsidRPr="00672CC2">
        <w:rPr>
          <w:rFonts w:ascii="Arial" w:eastAsia="Calibri" w:hAnsi="Arial" w:cs="Arial"/>
          <w:bCs/>
          <w:color w:val="000000" w:themeColor="text1"/>
          <w:sz w:val="22"/>
          <w:lang w:val="es-ES_tradnl"/>
        </w:rPr>
        <w:t xml:space="preserve"> al</w:t>
      </w:r>
      <w:r w:rsidR="00D1119D" w:rsidRPr="00672CC2">
        <w:rPr>
          <w:rFonts w:ascii="Arial" w:eastAsia="Calibri" w:hAnsi="Arial" w:cs="Arial"/>
          <w:bCs/>
          <w:color w:val="000000" w:themeColor="text1"/>
          <w:sz w:val="22"/>
          <w:lang w:val="es-ES_tradnl"/>
        </w:rPr>
        <w:t xml:space="preserve"> inciso 2 y 3 de la norma en comento– se rigen por el artículo 355 superior y pueden ser desarrollados también por las ESAL. En esta medida</w:t>
      </w:r>
      <w:r w:rsidR="00C17171" w:rsidRPr="00672CC2">
        <w:rPr>
          <w:rFonts w:ascii="Arial" w:eastAsia="Calibri" w:hAnsi="Arial" w:cs="Arial"/>
          <w:bCs/>
          <w:color w:val="000000" w:themeColor="text1"/>
          <w:sz w:val="22"/>
          <w:lang w:val="es-ES_tradnl"/>
        </w:rPr>
        <w:t xml:space="preserve">, </w:t>
      </w:r>
      <w:r w:rsidR="00465202" w:rsidRPr="00672CC2">
        <w:rPr>
          <w:rFonts w:ascii="Arial" w:eastAsia="Calibri" w:hAnsi="Arial" w:cs="Arial"/>
          <w:bCs/>
          <w:color w:val="000000" w:themeColor="text1"/>
          <w:sz w:val="22"/>
          <w:lang w:val="es-ES_tradnl"/>
        </w:rPr>
        <w:t>el</w:t>
      </w:r>
      <w:r w:rsidR="00C17171" w:rsidRPr="00672CC2">
        <w:rPr>
          <w:rFonts w:ascii="Arial" w:eastAsia="Calibri" w:hAnsi="Arial" w:cs="Arial"/>
          <w:bCs/>
          <w:color w:val="000000" w:themeColor="text1"/>
          <w:sz w:val="22"/>
          <w:lang w:val="es-ES_tradnl"/>
        </w:rPr>
        <w:t xml:space="preserve"> comodato</w:t>
      </w:r>
      <w:r w:rsidR="00490686" w:rsidRPr="00672CC2">
        <w:rPr>
          <w:rFonts w:ascii="Arial" w:eastAsia="Calibri" w:hAnsi="Arial" w:cs="Arial"/>
          <w:bCs/>
          <w:color w:val="000000" w:themeColor="text1"/>
          <w:sz w:val="22"/>
          <w:lang w:val="es-ES_tradnl"/>
        </w:rPr>
        <w:t xml:space="preserve"> –sea de bienes inmuebles o muebles–</w:t>
      </w:r>
      <w:r w:rsidR="00C17171" w:rsidRPr="00672CC2">
        <w:rPr>
          <w:rFonts w:ascii="Arial" w:eastAsia="Calibri" w:hAnsi="Arial" w:cs="Arial"/>
          <w:bCs/>
          <w:color w:val="000000" w:themeColor="text1"/>
          <w:sz w:val="22"/>
          <w:lang w:val="es-ES_tradnl"/>
        </w:rPr>
        <w:t xml:space="preserve"> están relacionados con</w:t>
      </w:r>
      <w:r w:rsidR="004F2ECC" w:rsidRPr="00672CC2">
        <w:rPr>
          <w:rFonts w:ascii="Arial" w:eastAsia="Calibri" w:hAnsi="Arial" w:cs="Arial"/>
          <w:bCs/>
          <w:color w:val="000000" w:themeColor="text1"/>
          <w:sz w:val="22"/>
          <w:lang w:val="es-ES_tradnl"/>
        </w:rPr>
        <w:t xml:space="preserve"> los artículos 2 y 5</w:t>
      </w:r>
      <w:r w:rsidR="00C17171" w:rsidRPr="00672CC2">
        <w:rPr>
          <w:rFonts w:ascii="Arial" w:eastAsia="Calibri" w:hAnsi="Arial" w:cs="Arial"/>
          <w:bCs/>
          <w:color w:val="000000" w:themeColor="text1"/>
          <w:sz w:val="22"/>
          <w:lang w:val="es-ES_tradnl"/>
        </w:rPr>
        <w:t xml:space="preserve"> </w:t>
      </w:r>
      <w:r w:rsidR="004F2ECC" w:rsidRPr="00672CC2">
        <w:rPr>
          <w:rFonts w:ascii="Arial" w:eastAsia="Calibri" w:hAnsi="Arial" w:cs="Arial"/>
          <w:bCs/>
          <w:color w:val="000000" w:themeColor="text1"/>
          <w:sz w:val="22"/>
          <w:lang w:val="es-ES_tradnl"/>
        </w:rPr>
        <w:t>d</w:t>
      </w:r>
      <w:r w:rsidR="00C17171" w:rsidRPr="00672CC2">
        <w:rPr>
          <w:rFonts w:ascii="Arial" w:eastAsia="Calibri" w:hAnsi="Arial" w:cs="Arial"/>
          <w:bCs/>
          <w:color w:val="000000" w:themeColor="text1"/>
          <w:sz w:val="22"/>
          <w:lang w:val="es-ES_tradnl"/>
        </w:rPr>
        <w:t xml:space="preserve">el Decreto 092 de 2017 cuando el préstamo de uso guarde relación con el cumplimiento </w:t>
      </w:r>
      <w:r w:rsidR="00465202" w:rsidRPr="00672CC2">
        <w:rPr>
          <w:rFonts w:ascii="Arial" w:eastAsia="Calibri" w:hAnsi="Arial" w:cs="Arial"/>
          <w:bCs/>
          <w:color w:val="000000" w:themeColor="text1"/>
          <w:sz w:val="22"/>
          <w:lang w:val="es-ES_tradnl"/>
        </w:rPr>
        <w:t xml:space="preserve">de </w:t>
      </w:r>
      <w:r w:rsidR="00465202" w:rsidRPr="00672CC2">
        <w:rPr>
          <w:rFonts w:ascii="Arial" w:eastAsia="Calibri" w:hAnsi="Arial" w:cs="Arial"/>
          <w:bCs/>
          <w:i/>
          <w:iCs/>
          <w:color w:val="000000" w:themeColor="text1"/>
          <w:sz w:val="22"/>
          <w:lang w:val="es-ES_tradnl"/>
        </w:rPr>
        <w:t>contratos de colaboración</w:t>
      </w:r>
      <w:r w:rsidR="00465202" w:rsidRPr="00672CC2">
        <w:rPr>
          <w:rFonts w:ascii="Arial" w:eastAsia="Calibri" w:hAnsi="Arial" w:cs="Arial"/>
          <w:bCs/>
          <w:color w:val="000000" w:themeColor="text1"/>
          <w:sz w:val="22"/>
          <w:lang w:val="es-ES_tradnl"/>
        </w:rPr>
        <w:t xml:space="preserve"> o </w:t>
      </w:r>
      <w:r w:rsidR="00465202" w:rsidRPr="00672CC2">
        <w:rPr>
          <w:rFonts w:ascii="Arial" w:eastAsia="Calibri" w:hAnsi="Arial" w:cs="Arial"/>
          <w:bCs/>
          <w:i/>
          <w:iCs/>
          <w:color w:val="000000" w:themeColor="text1"/>
          <w:sz w:val="22"/>
          <w:lang w:val="es-ES_tradnl"/>
        </w:rPr>
        <w:t>convenios de asociación</w:t>
      </w:r>
      <w:bookmarkEnd w:id="4"/>
      <w:r w:rsidR="00C17171" w:rsidRPr="00672CC2">
        <w:rPr>
          <w:rFonts w:ascii="Arial" w:eastAsia="Calibri" w:hAnsi="Arial" w:cs="Arial"/>
          <w:bCs/>
          <w:color w:val="000000" w:themeColor="text1"/>
          <w:sz w:val="22"/>
          <w:lang w:val="es-ES_tradnl"/>
        </w:rPr>
        <w:t xml:space="preserve">. </w:t>
      </w:r>
      <w:r w:rsidR="00944637" w:rsidRPr="00672CC2">
        <w:rPr>
          <w:rFonts w:ascii="Arial" w:eastAsia="Calibri" w:hAnsi="Arial" w:cs="Arial"/>
          <w:bCs/>
          <w:color w:val="000000" w:themeColor="text1"/>
          <w:sz w:val="22"/>
          <w:lang w:val="es-ES_tradnl"/>
        </w:rPr>
        <w:t xml:space="preserve">Para estos efectos, la jurisprudencia explica que </w:t>
      </w:r>
    </w:p>
    <w:p w14:paraId="7AAA86C9" w14:textId="77777777" w:rsidR="00944637" w:rsidRPr="00EE2030" w:rsidRDefault="00944637" w:rsidP="00944637">
      <w:pPr>
        <w:spacing w:line="276" w:lineRule="auto"/>
        <w:jc w:val="both"/>
        <w:rPr>
          <w:rFonts w:ascii="Arial" w:eastAsia="Calibri" w:hAnsi="Arial" w:cs="Arial"/>
          <w:bCs/>
          <w:color w:val="000000" w:themeColor="text1"/>
          <w:sz w:val="16"/>
          <w:szCs w:val="16"/>
          <w:lang w:val="es-ES_tradnl"/>
        </w:rPr>
      </w:pPr>
    </w:p>
    <w:p w14:paraId="7B01C115" w14:textId="77777777" w:rsidR="00944637" w:rsidRPr="00672CC2" w:rsidRDefault="00944637" w:rsidP="00944637">
      <w:pPr>
        <w:ind w:left="709" w:right="709"/>
        <w:jc w:val="both"/>
        <w:rPr>
          <w:rFonts w:ascii="Arial" w:eastAsia="Calibri" w:hAnsi="Arial" w:cs="Arial"/>
          <w:bCs/>
          <w:color w:val="000000" w:themeColor="text1"/>
          <w:sz w:val="21"/>
          <w:szCs w:val="21"/>
          <w:lang w:val="es-ES_tradnl"/>
        </w:rPr>
      </w:pPr>
      <w:r w:rsidRPr="00672CC2">
        <w:rPr>
          <w:rFonts w:ascii="Arial" w:eastAsia="Calibri" w:hAnsi="Arial" w:cs="Arial"/>
          <w:bCs/>
          <w:color w:val="000000" w:themeColor="text1"/>
          <w:sz w:val="21"/>
          <w:szCs w:val="21"/>
          <w:lang w:val="es-ES_tradnl"/>
        </w:rPr>
        <w:t xml:space="preserve">«Se tiene entonces que el inciso segundo del artículo 355 de la Constitución regula una categoría especial de contratos, que comprende el de comodato y que puede celebrarse con personas naturales o jurídicas de derecho privado, con y sin ánimo de lucro, con recursos de entidades públicas, siempre que tengan por objeto impulsar programas y actividades de interés público.  </w:t>
      </w:r>
    </w:p>
    <w:p w14:paraId="0D592A68" w14:textId="77777777" w:rsidR="00944637" w:rsidRPr="00672CC2" w:rsidRDefault="00944637" w:rsidP="00944637">
      <w:pPr>
        <w:ind w:left="709" w:right="709"/>
        <w:jc w:val="both"/>
        <w:rPr>
          <w:rFonts w:ascii="Arial" w:eastAsia="Calibri" w:hAnsi="Arial" w:cs="Arial"/>
          <w:bCs/>
          <w:color w:val="000000" w:themeColor="text1"/>
          <w:sz w:val="21"/>
          <w:szCs w:val="21"/>
          <w:lang w:val="es-ES_tradnl"/>
        </w:rPr>
      </w:pPr>
    </w:p>
    <w:p w14:paraId="30BCA14A" w14:textId="134B9FBA" w:rsidR="00944637" w:rsidRPr="00672CC2" w:rsidRDefault="00944637" w:rsidP="00EE2030">
      <w:pPr>
        <w:ind w:left="709" w:right="709"/>
        <w:jc w:val="both"/>
        <w:rPr>
          <w:rFonts w:ascii="Arial" w:eastAsia="Calibri" w:hAnsi="Arial" w:cs="Arial"/>
          <w:bCs/>
          <w:color w:val="000000" w:themeColor="text1"/>
          <w:sz w:val="21"/>
          <w:szCs w:val="21"/>
          <w:lang w:val="es-ES_tradnl"/>
        </w:rPr>
      </w:pPr>
      <w:r w:rsidRPr="00672CC2">
        <w:rPr>
          <w:rFonts w:ascii="Arial" w:eastAsia="Calibri" w:hAnsi="Arial" w:cs="Arial"/>
          <w:bCs/>
          <w:color w:val="000000" w:themeColor="text1"/>
          <w:sz w:val="21"/>
          <w:szCs w:val="21"/>
          <w:lang w:val="es-ES_tradnl"/>
        </w:rPr>
        <w:t>En efecto, el comodato ha sido utilizado como instrumento de cooperación entre las entidades públicas y entre estas y los sujetos de derecho privado, para impulsar programas de interés público desarrollados, generalmente, por sujetos sin ánimo de lucro»</w:t>
      </w:r>
      <w:r w:rsidRPr="00672CC2">
        <w:rPr>
          <w:rStyle w:val="Refdenotaalpie"/>
          <w:rFonts w:ascii="Arial" w:eastAsia="Calibri" w:hAnsi="Arial" w:cs="Arial"/>
          <w:bCs/>
          <w:color w:val="000000" w:themeColor="text1"/>
          <w:sz w:val="21"/>
          <w:szCs w:val="21"/>
          <w:lang w:val="es-ES_tradnl"/>
        </w:rPr>
        <w:footnoteReference w:id="8"/>
      </w:r>
      <w:r w:rsidRPr="00672CC2">
        <w:rPr>
          <w:rFonts w:ascii="Arial" w:eastAsia="Calibri" w:hAnsi="Arial" w:cs="Arial"/>
          <w:bCs/>
          <w:color w:val="000000" w:themeColor="text1"/>
          <w:sz w:val="21"/>
          <w:szCs w:val="21"/>
          <w:lang w:val="es-ES_tradnl"/>
        </w:rPr>
        <w:t>.</w:t>
      </w:r>
    </w:p>
    <w:p w14:paraId="3AE9A41C" w14:textId="77777777" w:rsidR="00944637" w:rsidRPr="00EE2030" w:rsidRDefault="00944637" w:rsidP="00EE2030">
      <w:pPr>
        <w:spacing w:line="276" w:lineRule="auto"/>
        <w:jc w:val="both"/>
        <w:rPr>
          <w:rFonts w:ascii="Arial" w:eastAsia="Calibri" w:hAnsi="Arial" w:cs="Arial"/>
          <w:bCs/>
          <w:color w:val="000000" w:themeColor="text1"/>
          <w:sz w:val="16"/>
          <w:szCs w:val="16"/>
          <w:lang w:val="es-ES_tradnl"/>
        </w:rPr>
      </w:pPr>
    </w:p>
    <w:p w14:paraId="719283C2" w14:textId="260C4F7C" w:rsidR="0002519A" w:rsidRPr="00672CC2" w:rsidRDefault="00C17171" w:rsidP="00EE2030">
      <w:pPr>
        <w:spacing w:line="276" w:lineRule="auto"/>
        <w:ind w:firstLine="709"/>
        <w:jc w:val="both"/>
        <w:rPr>
          <w:rFonts w:ascii="Arial" w:eastAsia="Calibri" w:hAnsi="Arial" w:cs="Arial"/>
          <w:bCs/>
          <w:color w:val="000000" w:themeColor="text1"/>
          <w:sz w:val="22"/>
          <w:lang w:val="es-ES_tradnl"/>
        </w:rPr>
      </w:pPr>
      <w:bookmarkStart w:id="6" w:name="_Hlk35972459"/>
      <w:r w:rsidRPr="00672CC2">
        <w:rPr>
          <w:rFonts w:ascii="Arial" w:eastAsia="Calibri" w:hAnsi="Arial" w:cs="Arial"/>
          <w:bCs/>
          <w:color w:val="000000" w:themeColor="text1"/>
          <w:sz w:val="22"/>
          <w:lang w:val="es-ES_tradnl"/>
        </w:rPr>
        <w:t xml:space="preserve">La precisión es importante, porque los auxilios y donaciones prohibidos por la </w:t>
      </w:r>
      <w:r w:rsidR="00543721" w:rsidRPr="00672CC2">
        <w:rPr>
          <w:rFonts w:ascii="Arial" w:eastAsia="Calibri" w:hAnsi="Arial" w:cs="Arial"/>
          <w:bCs/>
          <w:color w:val="000000" w:themeColor="text1"/>
          <w:sz w:val="22"/>
          <w:lang w:val="es-ES_tradnl"/>
        </w:rPr>
        <w:t>norma superior</w:t>
      </w:r>
      <w:r w:rsidRPr="00672CC2">
        <w:rPr>
          <w:rFonts w:ascii="Arial" w:eastAsia="Calibri" w:hAnsi="Arial" w:cs="Arial"/>
          <w:bCs/>
          <w:color w:val="000000" w:themeColor="text1"/>
          <w:sz w:val="22"/>
          <w:lang w:val="es-ES_tradnl"/>
        </w:rPr>
        <w:t xml:space="preserve"> son las que benefician excl</w:t>
      </w:r>
      <w:r w:rsidR="00543721" w:rsidRPr="00672CC2">
        <w:rPr>
          <w:rFonts w:ascii="Arial" w:eastAsia="Calibri" w:hAnsi="Arial" w:cs="Arial"/>
          <w:bCs/>
          <w:color w:val="000000" w:themeColor="text1"/>
          <w:sz w:val="22"/>
          <w:lang w:val="es-ES_tradnl"/>
        </w:rPr>
        <w:t>usivamente a los particulares, no lo</w:t>
      </w:r>
      <w:r w:rsidRPr="00672CC2">
        <w:rPr>
          <w:rFonts w:ascii="Arial" w:eastAsia="Calibri" w:hAnsi="Arial" w:cs="Arial"/>
          <w:bCs/>
          <w:color w:val="000000" w:themeColor="text1"/>
          <w:sz w:val="22"/>
          <w:lang w:val="es-ES_tradnl"/>
        </w:rPr>
        <w:t>s que se entregan para favorecer intereses de utilidad común</w:t>
      </w:r>
      <w:r w:rsidR="00543721" w:rsidRPr="00672CC2">
        <w:rPr>
          <w:rFonts w:ascii="Arial" w:eastAsia="Calibri" w:hAnsi="Arial" w:cs="Arial"/>
          <w:bCs/>
          <w:color w:val="000000" w:themeColor="text1"/>
          <w:sz w:val="22"/>
          <w:lang w:val="es-ES_tradnl"/>
        </w:rPr>
        <w:t>.</w:t>
      </w:r>
      <w:r w:rsidR="004F2ECC" w:rsidRPr="00672CC2">
        <w:rPr>
          <w:rFonts w:ascii="Arial" w:eastAsia="Calibri" w:hAnsi="Arial" w:cs="Arial"/>
          <w:bCs/>
          <w:color w:val="000000" w:themeColor="text1"/>
          <w:sz w:val="22"/>
          <w:lang w:val="es-ES_tradnl"/>
        </w:rPr>
        <w:t xml:space="preserve"> En este contexto, el contrato de comodato es una de las tantas prestaciones que hace parte de la colaboración conjunta entre las entidades públicas y las ESAL para el cumplimiento de objetivos de interés general previstos en los planes de desarrollo o para el cumplimiento de la</w:t>
      </w:r>
      <w:r w:rsidR="00137EBC" w:rsidRPr="00672CC2">
        <w:rPr>
          <w:rFonts w:ascii="Arial" w:eastAsia="Calibri" w:hAnsi="Arial" w:cs="Arial"/>
          <w:bCs/>
          <w:color w:val="000000" w:themeColor="text1"/>
          <w:sz w:val="22"/>
          <w:lang w:val="es-ES_tradnl"/>
        </w:rPr>
        <w:t>s</w:t>
      </w:r>
      <w:r w:rsidR="004F2ECC" w:rsidRPr="00672CC2">
        <w:rPr>
          <w:rFonts w:ascii="Arial" w:eastAsia="Calibri" w:hAnsi="Arial" w:cs="Arial"/>
          <w:bCs/>
          <w:color w:val="000000" w:themeColor="text1"/>
          <w:sz w:val="22"/>
          <w:lang w:val="es-ES_tradnl"/>
        </w:rPr>
        <w:t xml:space="preserve"> funciones de las entidades públicas.</w:t>
      </w:r>
      <w:bookmarkEnd w:id="6"/>
      <w:r w:rsidR="001C3904" w:rsidRPr="00672CC2">
        <w:rPr>
          <w:rFonts w:ascii="Arial" w:eastAsia="Calibri" w:hAnsi="Arial" w:cs="Arial"/>
          <w:bCs/>
          <w:color w:val="000000" w:themeColor="text1"/>
          <w:sz w:val="22"/>
          <w:lang w:val="es-ES_tradnl"/>
        </w:rPr>
        <w:t xml:space="preserve"> En este contexto, «[…] en los eventos en que el contrato de comodato se celebre entre una entidad estatal y una entidad privada sin ánimo de lucro de reconocida idoneidad, es necesario atender lo dispuesto por el artículo 355 de la Constitución Política y en los Decretos 777 de 1992, 1403 de 1992 y 2459 de 1993 [hoy derogados por el Decreto 092 de 2017], que regulan los contratos para impulsar y apoyar programas y actividades de interés público»</w:t>
      </w:r>
      <w:r w:rsidR="001502DF" w:rsidRPr="00672CC2">
        <w:rPr>
          <w:rFonts w:ascii="Arial" w:eastAsia="Calibri" w:hAnsi="Arial" w:cs="Arial"/>
          <w:bCs/>
          <w:color w:val="000000" w:themeColor="text1"/>
          <w:sz w:val="22"/>
          <w:lang w:val="es-ES_tradnl"/>
        </w:rPr>
        <w:t xml:space="preserve"> (Corchete fuera de texto)</w:t>
      </w:r>
      <w:r w:rsidR="001C3904" w:rsidRPr="00672CC2">
        <w:rPr>
          <w:rStyle w:val="Refdenotaalpie"/>
          <w:rFonts w:ascii="Arial" w:eastAsia="Calibri" w:hAnsi="Arial" w:cs="Arial"/>
          <w:bCs/>
          <w:color w:val="000000" w:themeColor="text1"/>
          <w:sz w:val="22"/>
          <w:lang w:val="es-ES_tradnl"/>
        </w:rPr>
        <w:footnoteReference w:id="9"/>
      </w:r>
      <w:r w:rsidR="001C3904" w:rsidRPr="00672CC2">
        <w:rPr>
          <w:rFonts w:ascii="Arial" w:eastAsia="Calibri" w:hAnsi="Arial" w:cs="Arial"/>
          <w:bCs/>
          <w:color w:val="000000" w:themeColor="text1"/>
          <w:sz w:val="22"/>
          <w:lang w:val="es-ES_tradnl"/>
        </w:rPr>
        <w:t>.</w:t>
      </w:r>
      <w:r w:rsidR="0002519A" w:rsidRPr="00672CC2">
        <w:rPr>
          <w:rFonts w:ascii="Arial" w:eastAsia="Calibri" w:hAnsi="Arial" w:cs="Arial"/>
          <w:bCs/>
          <w:color w:val="000000" w:themeColor="text1"/>
          <w:sz w:val="22"/>
          <w:lang w:val="es-ES_tradnl"/>
        </w:rPr>
        <w:t xml:space="preserve"> </w:t>
      </w:r>
    </w:p>
    <w:bookmarkEnd w:id="5"/>
    <w:p w14:paraId="27468B1E" w14:textId="5853C933" w:rsidR="00137EBC" w:rsidRPr="00EE2030" w:rsidRDefault="00137EBC" w:rsidP="001B3C8B">
      <w:pPr>
        <w:spacing w:line="276" w:lineRule="auto"/>
        <w:jc w:val="both"/>
        <w:rPr>
          <w:rFonts w:ascii="Arial" w:eastAsia="Calibri" w:hAnsi="Arial" w:cs="Arial"/>
          <w:bCs/>
          <w:color w:val="000000" w:themeColor="text1"/>
          <w:sz w:val="28"/>
          <w:szCs w:val="28"/>
          <w:lang w:val="es-ES_tradnl"/>
        </w:rPr>
      </w:pPr>
    </w:p>
    <w:p w14:paraId="2B963A7B" w14:textId="0352953C" w:rsidR="00137EBC" w:rsidRPr="00672CC2" w:rsidRDefault="00137EBC" w:rsidP="00EE2030">
      <w:pPr>
        <w:spacing w:line="276" w:lineRule="auto"/>
        <w:jc w:val="both"/>
        <w:rPr>
          <w:rFonts w:ascii="Arial" w:eastAsia="Calibri" w:hAnsi="Arial" w:cs="Arial"/>
          <w:b/>
          <w:bCs/>
          <w:color w:val="000000" w:themeColor="text1"/>
          <w:sz w:val="22"/>
          <w:lang w:val="es-ES_tradnl"/>
        </w:rPr>
      </w:pPr>
      <w:r w:rsidRPr="00672CC2">
        <w:rPr>
          <w:rFonts w:ascii="Arial" w:eastAsia="Calibri" w:hAnsi="Arial" w:cs="Arial"/>
          <w:b/>
          <w:bCs/>
          <w:color w:val="000000" w:themeColor="text1"/>
          <w:sz w:val="22"/>
          <w:lang w:val="es-ES_tradnl"/>
        </w:rPr>
        <w:t xml:space="preserve">2.3. </w:t>
      </w:r>
      <w:r w:rsidR="003D2881" w:rsidRPr="00672CC2">
        <w:rPr>
          <w:rFonts w:ascii="Arial" w:eastAsia="Calibri" w:hAnsi="Arial" w:cs="Arial"/>
          <w:b/>
          <w:bCs/>
          <w:color w:val="000000" w:themeColor="text1"/>
          <w:sz w:val="22"/>
          <w:lang w:val="es-ES_tradnl"/>
        </w:rPr>
        <w:t>Publicidad de los contratos de colaboración y los convenios de asociación en el SECOP</w:t>
      </w:r>
    </w:p>
    <w:p w14:paraId="3D4E52F5" w14:textId="77777777" w:rsidR="00137EBC" w:rsidRPr="00EE2030" w:rsidRDefault="00137EBC" w:rsidP="00EE2030">
      <w:pPr>
        <w:spacing w:line="276" w:lineRule="auto"/>
        <w:jc w:val="both"/>
        <w:rPr>
          <w:rFonts w:ascii="Arial" w:eastAsia="Calibri" w:hAnsi="Arial" w:cs="Arial"/>
          <w:b/>
          <w:bCs/>
          <w:color w:val="000000" w:themeColor="text1"/>
          <w:sz w:val="28"/>
          <w:szCs w:val="28"/>
          <w:lang w:val="es-ES_tradnl"/>
        </w:rPr>
      </w:pPr>
    </w:p>
    <w:p w14:paraId="2242F5DB" w14:textId="77777777" w:rsidR="003D2881" w:rsidRPr="00672CC2" w:rsidRDefault="003D2881" w:rsidP="00EE2030">
      <w:pPr>
        <w:spacing w:line="276" w:lineRule="auto"/>
        <w:jc w:val="both"/>
        <w:rPr>
          <w:rFonts w:ascii="Arial" w:eastAsia="Calibri" w:hAnsi="Arial" w:cs="Arial"/>
          <w:bCs/>
          <w:color w:val="000000" w:themeColor="text1"/>
          <w:sz w:val="22"/>
          <w:lang w:val="es-ES_tradnl"/>
        </w:rPr>
      </w:pPr>
      <w:r w:rsidRPr="00672CC2">
        <w:rPr>
          <w:rFonts w:ascii="Arial" w:eastAsia="Calibri" w:hAnsi="Arial" w:cs="Arial"/>
          <w:bCs/>
          <w:color w:val="000000" w:themeColor="text1"/>
          <w:sz w:val="22"/>
          <w:lang w:val="es-ES_tradnl"/>
        </w:rPr>
        <w:t>Como sucede con los contratos sometidos al Estatuto General de Contratación de la Administración Pública y los contratos del régimen exceptuado de la Ley 80 de 1993, los contratos derivados de la aplicación del Decreto 092 de 2017 deben cumplir con el principio de publicidad. Al respecto, en lo pertinente el artículo 7 del mencionado reglamento dispone que «La contratación a la que hace referencia el presente decreto está sujeta a los principios de la contratación estatal y a las normas presupuestales aplicables. En consecuencia, las normas relativas a la publicidad son de obligatorio cumplimiento, por lo cual, la actividad contractual y los Documentos del Proceso de que trata el presente decreto deberán ser objeto de publicación en el Sistema Electrónico de Contratación Pública (SECOP) […]».</w:t>
      </w:r>
    </w:p>
    <w:p w14:paraId="7E797872" w14:textId="79250074" w:rsidR="003D2881" w:rsidRPr="00672CC2" w:rsidRDefault="003D2881" w:rsidP="00B14EA3">
      <w:pPr>
        <w:spacing w:before="120" w:line="276" w:lineRule="auto"/>
        <w:jc w:val="both"/>
        <w:rPr>
          <w:rFonts w:ascii="Arial" w:eastAsia="Calibri" w:hAnsi="Arial" w:cs="Arial"/>
          <w:bCs/>
          <w:color w:val="000000" w:themeColor="text1"/>
          <w:sz w:val="22"/>
          <w:lang w:val="es-ES_tradnl"/>
        </w:rPr>
      </w:pPr>
      <w:r w:rsidRPr="00672CC2">
        <w:rPr>
          <w:rFonts w:ascii="Arial" w:eastAsia="Calibri" w:hAnsi="Arial" w:cs="Arial"/>
          <w:bCs/>
          <w:color w:val="000000" w:themeColor="text1"/>
          <w:sz w:val="22"/>
          <w:lang w:val="es-ES_tradnl"/>
        </w:rPr>
        <w:tab/>
      </w:r>
      <w:r w:rsidR="00B05FA3" w:rsidRPr="00672CC2">
        <w:rPr>
          <w:rFonts w:ascii="Arial" w:eastAsia="Calibri" w:hAnsi="Arial" w:cs="Arial"/>
          <w:bCs/>
          <w:color w:val="000000" w:themeColor="text1"/>
          <w:sz w:val="22"/>
          <w:lang w:val="es-ES_tradnl"/>
        </w:rPr>
        <w:t xml:space="preserve">Para estos efectos, conforme al literal 8 del artículo 3 del Decreto-Ley </w:t>
      </w:r>
      <w:r w:rsidR="00465202" w:rsidRPr="00672CC2">
        <w:rPr>
          <w:rFonts w:ascii="Arial" w:eastAsia="Calibri" w:hAnsi="Arial" w:cs="Arial"/>
          <w:bCs/>
          <w:color w:val="000000" w:themeColor="text1"/>
          <w:sz w:val="22"/>
          <w:lang w:val="es-ES_tradnl"/>
        </w:rPr>
        <w:t>41</w:t>
      </w:r>
      <w:r w:rsidR="00B05FA3" w:rsidRPr="00672CC2">
        <w:rPr>
          <w:rFonts w:ascii="Arial" w:eastAsia="Calibri" w:hAnsi="Arial" w:cs="Arial"/>
          <w:bCs/>
          <w:color w:val="000000" w:themeColor="text1"/>
          <w:sz w:val="22"/>
          <w:lang w:val="es-ES_tradnl"/>
        </w:rPr>
        <w:t xml:space="preserve">70 de </w:t>
      </w:r>
      <w:r w:rsidR="00F53A67" w:rsidRPr="00672CC2">
        <w:rPr>
          <w:rFonts w:ascii="Arial" w:eastAsia="Calibri" w:hAnsi="Arial" w:cs="Arial"/>
          <w:bCs/>
          <w:color w:val="000000" w:themeColor="text1"/>
          <w:sz w:val="22"/>
          <w:lang w:val="es-ES_tradnl"/>
        </w:rPr>
        <w:t>2011, la</w:t>
      </w:r>
      <w:r w:rsidRPr="00672CC2">
        <w:rPr>
          <w:rFonts w:ascii="Arial" w:eastAsia="Calibri" w:hAnsi="Arial" w:cs="Arial"/>
          <w:bCs/>
          <w:color w:val="000000" w:themeColor="text1"/>
          <w:sz w:val="22"/>
          <w:lang w:val="es-ES_tradnl"/>
        </w:rPr>
        <w:t xml:space="preserve"> Agencia Nacional de Contratación Pública - Colombia Compra Eficiente tiene como función la administración del SECOP, por lo cual se desarrolló la primera </w:t>
      </w:r>
      <w:r w:rsidR="00F53A67" w:rsidRPr="00672CC2">
        <w:rPr>
          <w:rFonts w:ascii="Arial" w:eastAsia="Calibri" w:hAnsi="Arial" w:cs="Arial"/>
          <w:bCs/>
          <w:color w:val="000000" w:themeColor="text1"/>
          <w:sz w:val="22"/>
          <w:lang w:val="es-ES_tradnl"/>
        </w:rPr>
        <w:t>versión</w:t>
      </w:r>
      <w:r w:rsidRPr="00672CC2">
        <w:rPr>
          <w:rFonts w:ascii="Arial" w:eastAsia="Calibri" w:hAnsi="Arial" w:cs="Arial"/>
          <w:bCs/>
          <w:color w:val="000000" w:themeColor="text1"/>
          <w:sz w:val="22"/>
          <w:lang w:val="es-ES_tradnl"/>
        </w:rPr>
        <w:t xml:space="preserve"> </w:t>
      </w:r>
      <w:r w:rsidR="00465202" w:rsidRPr="00672CC2">
        <w:rPr>
          <w:rFonts w:ascii="Arial" w:eastAsia="Calibri" w:hAnsi="Arial" w:cs="Arial"/>
          <w:bCs/>
          <w:color w:val="000000" w:themeColor="text1"/>
          <w:sz w:val="22"/>
          <w:lang w:val="es-ES_tradnl"/>
        </w:rPr>
        <w:t xml:space="preserve">de la plataforma </w:t>
      </w:r>
      <w:r w:rsidR="00F53A67" w:rsidRPr="00672CC2">
        <w:rPr>
          <w:rFonts w:ascii="Arial" w:eastAsia="Calibri" w:hAnsi="Arial" w:cs="Arial"/>
          <w:bCs/>
          <w:color w:val="000000" w:themeColor="text1"/>
          <w:sz w:val="22"/>
          <w:lang w:val="es-ES_tradnl"/>
        </w:rPr>
        <w:t>–</w:t>
      </w:r>
      <w:r w:rsidRPr="00672CC2">
        <w:rPr>
          <w:rFonts w:ascii="Arial" w:eastAsia="Calibri" w:hAnsi="Arial" w:cs="Arial"/>
          <w:bCs/>
          <w:color w:val="000000" w:themeColor="text1"/>
          <w:sz w:val="22"/>
          <w:lang w:val="es-ES_tradnl"/>
        </w:rPr>
        <w:t>SECOP I ̶</w:t>
      </w:r>
      <w:r w:rsidR="00465202" w:rsidRPr="00672CC2">
        <w:rPr>
          <w:rFonts w:ascii="Arial" w:eastAsia="Calibri" w:hAnsi="Arial" w:cs="Arial"/>
          <w:bCs/>
          <w:color w:val="000000" w:themeColor="text1"/>
          <w:sz w:val="22"/>
          <w:lang w:val="es-ES_tradnl"/>
        </w:rPr>
        <w:t>,</w:t>
      </w:r>
      <w:r w:rsidRPr="00672CC2">
        <w:rPr>
          <w:rFonts w:ascii="Arial" w:eastAsia="Calibri" w:hAnsi="Arial" w:cs="Arial"/>
          <w:bCs/>
          <w:color w:val="000000" w:themeColor="text1"/>
          <w:sz w:val="22"/>
          <w:lang w:val="es-ES_tradnl"/>
        </w:rPr>
        <w:t xml:space="preserve"> que s</w:t>
      </w:r>
      <w:r w:rsidR="00B05FA3" w:rsidRPr="00672CC2">
        <w:rPr>
          <w:rFonts w:ascii="Arial" w:eastAsia="Calibri" w:hAnsi="Arial" w:cs="Arial"/>
          <w:bCs/>
          <w:color w:val="000000" w:themeColor="text1"/>
          <w:sz w:val="22"/>
          <w:lang w:val="es-ES_tradnl"/>
        </w:rPr>
        <w:t>ó</w:t>
      </w:r>
      <w:r w:rsidRPr="00672CC2">
        <w:rPr>
          <w:rFonts w:ascii="Arial" w:eastAsia="Calibri" w:hAnsi="Arial" w:cs="Arial"/>
          <w:bCs/>
          <w:color w:val="000000" w:themeColor="text1"/>
          <w:sz w:val="22"/>
          <w:lang w:val="es-ES_tradnl"/>
        </w:rPr>
        <w:t xml:space="preserve">lo funciona como medio de publicidad, es decir, no es </w:t>
      </w:r>
      <w:r w:rsidRPr="00672CC2">
        <w:rPr>
          <w:rFonts w:ascii="Arial" w:eastAsia="Calibri" w:hAnsi="Arial" w:cs="Arial"/>
          <w:bCs/>
          <w:color w:val="000000" w:themeColor="text1"/>
          <w:sz w:val="22"/>
          <w:lang w:val="es-ES_tradnl"/>
        </w:rPr>
        <w:lastRenderedPageBreak/>
        <w:t>transaccional</w:t>
      </w:r>
      <w:r w:rsidR="00B05FA3" w:rsidRPr="00672CC2">
        <w:rPr>
          <w:rFonts w:ascii="Arial" w:eastAsia="Calibri" w:hAnsi="Arial" w:cs="Arial"/>
          <w:bCs/>
          <w:color w:val="000000" w:themeColor="text1"/>
          <w:sz w:val="22"/>
          <w:lang w:val="es-ES_tradnl"/>
        </w:rPr>
        <w:t>. Esto</w:t>
      </w:r>
      <w:r w:rsidRPr="00672CC2">
        <w:rPr>
          <w:rFonts w:ascii="Arial" w:eastAsia="Calibri" w:hAnsi="Arial" w:cs="Arial"/>
          <w:bCs/>
          <w:color w:val="000000" w:themeColor="text1"/>
          <w:sz w:val="22"/>
          <w:lang w:val="es-ES_tradnl"/>
        </w:rPr>
        <w:t xml:space="preserve"> significa que el procedimiento contractual </w:t>
      </w:r>
      <w:r w:rsidR="00B05FA3" w:rsidRPr="00672CC2">
        <w:rPr>
          <w:rFonts w:ascii="Arial" w:eastAsia="Calibri" w:hAnsi="Arial" w:cs="Arial"/>
          <w:bCs/>
          <w:color w:val="000000" w:themeColor="text1"/>
          <w:sz w:val="22"/>
          <w:lang w:val="es-ES_tradnl"/>
        </w:rPr>
        <w:t>se adelanta</w:t>
      </w:r>
      <w:r w:rsidRPr="00672CC2">
        <w:rPr>
          <w:rFonts w:ascii="Arial" w:eastAsia="Calibri" w:hAnsi="Arial" w:cs="Arial"/>
          <w:bCs/>
          <w:color w:val="000000" w:themeColor="text1"/>
          <w:sz w:val="22"/>
          <w:lang w:val="es-ES_tradnl"/>
        </w:rPr>
        <w:t xml:space="preserve"> fuera de la plataforma a través de un expediente físico</w:t>
      </w:r>
      <w:r w:rsidR="00B05FA3" w:rsidRPr="00672CC2">
        <w:rPr>
          <w:rFonts w:ascii="Arial" w:eastAsia="Calibri" w:hAnsi="Arial" w:cs="Arial"/>
          <w:bCs/>
          <w:color w:val="000000" w:themeColor="text1"/>
          <w:sz w:val="22"/>
          <w:lang w:val="es-ES_tradnl"/>
        </w:rPr>
        <w:t xml:space="preserve">; </w:t>
      </w:r>
      <w:r w:rsidRPr="00672CC2">
        <w:rPr>
          <w:rFonts w:ascii="Arial" w:eastAsia="Calibri" w:hAnsi="Arial" w:cs="Arial"/>
          <w:bCs/>
          <w:color w:val="000000" w:themeColor="text1"/>
          <w:sz w:val="22"/>
          <w:lang w:val="es-ES_tradnl"/>
        </w:rPr>
        <w:t xml:space="preserve">pero las actuaciones y los documentos se convierten en electrónicos para ser cargados a la plataforma, por quien tenga la función dentro de la entidad. </w:t>
      </w:r>
    </w:p>
    <w:p w14:paraId="00D1456B" w14:textId="615D11F0" w:rsidR="00137EBC" w:rsidRPr="00672CC2" w:rsidRDefault="003D2881" w:rsidP="00B14EA3">
      <w:pPr>
        <w:spacing w:before="120" w:line="276" w:lineRule="auto"/>
        <w:ind w:firstLine="708"/>
        <w:jc w:val="both"/>
        <w:rPr>
          <w:rFonts w:ascii="Arial" w:eastAsia="Calibri" w:hAnsi="Arial" w:cs="Arial"/>
          <w:bCs/>
          <w:color w:val="000000" w:themeColor="text1"/>
          <w:sz w:val="22"/>
          <w:lang w:val="es-ES_tradnl"/>
        </w:rPr>
      </w:pPr>
      <w:r w:rsidRPr="00672CC2">
        <w:rPr>
          <w:rFonts w:ascii="Arial" w:eastAsia="Calibri" w:hAnsi="Arial" w:cs="Arial"/>
          <w:bCs/>
          <w:color w:val="000000" w:themeColor="text1"/>
          <w:sz w:val="22"/>
          <w:lang w:val="es-ES_tradnl"/>
        </w:rPr>
        <w:t>E</w:t>
      </w:r>
      <w:r w:rsidR="00B05FA3" w:rsidRPr="00672CC2">
        <w:rPr>
          <w:rFonts w:ascii="Arial" w:eastAsia="Calibri" w:hAnsi="Arial" w:cs="Arial"/>
          <w:bCs/>
          <w:color w:val="000000" w:themeColor="text1"/>
          <w:sz w:val="22"/>
          <w:lang w:val="es-ES_tradnl"/>
        </w:rPr>
        <w:t xml:space="preserve">n contraste, </w:t>
      </w:r>
      <w:r w:rsidR="005C7DA8" w:rsidRPr="00672CC2">
        <w:rPr>
          <w:rFonts w:ascii="Arial" w:eastAsia="Calibri" w:hAnsi="Arial" w:cs="Arial"/>
          <w:bCs/>
          <w:color w:val="000000" w:themeColor="text1"/>
          <w:sz w:val="22"/>
          <w:lang w:val="es-ES_tradnl"/>
        </w:rPr>
        <w:t xml:space="preserve">el módulo de gestión contractual del SECOP II permite generar contratos en línea y realizar la firma electrónica de los mismos. Tiene una funcionalidad que permite al Proveedor presentar garantías y facturas y a la </w:t>
      </w:r>
      <w:r w:rsidR="00443E79" w:rsidRPr="00672CC2">
        <w:rPr>
          <w:rFonts w:ascii="Arial" w:eastAsia="Calibri" w:hAnsi="Arial" w:cs="Arial"/>
          <w:bCs/>
          <w:color w:val="000000" w:themeColor="text1"/>
          <w:sz w:val="22"/>
          <w:lang w:val="es-ES_tradnl"/>
        </w:rPr>
        <w:t>e</w:t>
      </w:r>
      <w:r w:rsidR="005C7DA8" w:rsidRPr="00672CC2">
        <w:rPr>
          <w:rFonts w:ascii="Arial" w:eastAsia="Calibri" w:hAnsi="Arial" w:cs="Arial"/>
          <w:bCs/>
          <w:color w:val="000000" w:themeColor="text1"/>
          <w:sz w:val="22"/>
          <w:lang w:val="es-ES_tradnl"/>
        </w:rPr>
        <w:t xml:space="preserve">ntidad </w:t>
      </w:r>
      <w:r w:rsidR="00443E79" w:rsidRPr="00672CC2">
        <w:rPr>
          <w:rFonts w:ascii="Arial" w:eastAsia="Calibri" w:hAnsi="Arial" w:cs="Arial"/>
          <w:bCs/>
          <w:color w:val="000000" w:themeColor="text1"/>
          <w:sz w:val="22"/>
          <w:lang w:val="es-ES_tradnl"/>
        </w:rPr>
        <w:t>e</w:t>
      </w:r>
      <w:r w:rsidR="005C7DA8" w:rsidRPr="00672CC2">
        <w:rPr>
          <w:rFonts w:ascii="Arial" w:eastAsia="Calibri" w:hAnsi="Arial" w:cs="Arial"/>
          <w:bCs/>
          <w:color w:val="000000" w:themeColor="text1"/>
          <w:sz w:val="22"/>
          <w:lang w:val="es-ES_tradnl"/>
        </w:rPr>
        <w:t xml:space="preserve">statal, realizar la revisión y aprobación de ambos tipos de documento en línea. Además, el módulo permite hacer modificaciones contractuales, tanto unilaterales como bilaterales </w:t>
      </w:r>
      <w:r w:rsidR="00465202" w:rsidRPr="00672CC2">
        <w:rPr>
          <w:rFonts w:ascii="Arial" w:eastAsia="Calibri" w:hAnsi="Arial" w:cs="Arial"/>
          <w:bCs/>
          <w:color w:val="000000" w:themeColor="text1"/>
          <w:sz w:val="22"/>
          <w:lang w:val="es-ES_tradnl"/>
        </w:rPr>
        <w:t>–</w:t>
      </w:r>
      <w:r w:rsidR="005C7DA8" w:rsidRPr="00672CC2">
        <w:rPr>
          <w:rFonts w:ascii="Arial" w:eastAsia="Calibri" w:hAnsi="Arial" w:cs="Arial"/>
          <w:bCs/>
          <w:color w:val="000000" w:themeColor="text1"/>
          <w:sz w:val="22"/>
          <w:lang w:val="es-ES_tradnl"/>
        </w:rPr>
        <w:t xml:space="preserve">estas últimas son enviadas para aprobación del Proveedor antes de que se pueda dar la publicación por parte de la </w:t>
      </w:r>
      <w:r w:rsidR="006D58B9" w:rsidRPr="00672CC2">
        <w:rPr>
          <w:rFonts w:ascii="Arial" w:eastAsia="Calibri" w:hAnsi="Arial" w:cs="Arial"/>
          <w:bCs/>
          <w:color w:val="000000" w:themeColor="text1"/>
          <w:sz w:val="22"/>
          <w:lang w:val="es-ES_tradnl"/>
        </w:rPr>
        <w:t>e</w:t>
      </w:r>
      <w:r w:rsidR="005C7DA8" w:rsidRPr="00672CC2">
        <w:rPr>
          <w:rFonts w:ascii="Arial" w:eastAsia="Calibri" w:hAnsi="Arial" w:cs="Arial"/>
          <w:bCs/>
          <w:color w:val="000000" w:themeColor="text1"/>
          <w:sz w:val="22"/>
          <w:lang w:val="es-ES_tradnl"/>
        </w:rPr>
        <w:t xml:space="preserve">ntidad </w:t>
      </w:r>
      <w:r w:rsidR="006D58B9" w:rsidRPr="00672CC2">
        <w:rPr>
          <w:rFonts w:ascii="Arial" w:eastAsia="Calibri" w:hAnsi="Arial" w:cs="Arial"/>
          <w:bCs/>
          <w:color w:val="000000" w:themeColor="text1"/>
          <w:sz w:val="22"/>
          <w:lang w:val="es-ES_tradnl"/>
        </w:rPr>
        <w:t>e</w:t>
      </w:r>
      <w:r w:rsidR="005C7DA8" w:rsidRPr="00672CC2">
        <w:rPr>
          <w:rFonts w:ascii="Arial" w:eastAsia="Calibri" w:hAnsi="Arial" w:cs="Arial"/>
          <w:bCs/>
          <w:color w:val="000000" w:themeColor="text1"/>
          <w:sz w:val="22"/>
          <w:lang w:val="es-ES_tradnl"/>
        </w:rPr>
        <w:t>statal</w:t>
      </w:r>
      <w:r w:rsidR="00465202" w:rsidRPr="00672CC2">
        <w:rPr>
          <w:rFonts w:ascii="Arial" w:eastAsia="Calibri" w:hAnsi="Arial" w:cs="Arial"/>
          <w:bCs/>
          <w:color w:val="000000" w:themeColor="text1"/>
          <w:sz w:val="22"/>
          <w:lang w:val="es-ES_tradnl"/>
        </w:rPr>
        <w:t>–</w:t>
      </w:r>
      <w:r w:rsidR="005C7DA8" w:rsidRPr="00672CC2">
        <w:rPr>
          <w:rFonts w:ascii="Arial" w:eastAsia="Calibri" w:hAnsi="Arial" w:cs="Arial"/>
          <w:bCs/>
          <w:color w:val="000000" w:themeColor="text1"/>
          <w:sz w:val="22"/>
          <w:lang w:val="es-ES_tradnl"/>
        </w:rPr>
        <w:t xml:space="preserve">. Para registrar el seguimiento al avance de la ejecución, el módulo de gestión contractual habilita el registro de planes de ejecución por porcentaje de avance y el cargue de documentos tanto a Proveedor como a la </w:t>
      </w:r>
      <w:r w:rsidR="00465202" w:rsidRPr="00672CC2">
        <w:rPr>
          <w:rFonts w:ascii="Arial" w:eastAsia="Calibri" w:hAnsi="Arial" w:cs="Arial"/>
          <w:bCs/>
          <w:color w:val="000000" w:themeColor="text1"/>
          <w:sz w:val="22"/>
          <w:lang w:val="es-ES_tradnl"/>
        </w:rPr>
        <w:t>e</w:t>
      </w:r>
      <w:r w:rsidR="005C7DA8" w:rsidRPr="00672CC2">
        <w:rPr>
          <w:rFonts w:ascii="Arial" w:eastAsia="Calibri" w:hAnsi="Arial" w:cs="Arial"/>
          <w:bCs/>
          <w:color w:val="000000" w:themeColor="text1"/>
          <w:sz w:val="22"/>
          <w:lang w:val="es-ES_tradnl"/>
        </w:rPr>
        <w:t xml:space="preserve">ntidad </w:t>
      </w:r>
      <w:r w:rsidR="00465202" w:rsidRPr="00672CC2">
        <w:rPr>
          <w:rFonts w:ascii="Arial" w:eastAsia="Calibri" w:hAnsi="Arial" w:cs="Arial"/>
          <w:bCs/>
          <w:color w:val="000000" w:themeColor="text1"/>
          <w:sz w:val="22"/>
          <w:lang w:val="es-ES_tradnl"/>
        </w:rPr>
        <w:t>e</w:t>
      </w:r>
      <w:r w:rsidR="005C7DA8" w:rsidRPr="00672CC2">
        <w:rPr>
          <w:rFonts w:ascii="Arial" w:eastAsia="Calibri" w:hAnsi="Arial" w:cs="Arial"/>
          <w:bCs/>
          <w:color w:val="000000" w:themeColor="text1"/>
          <w:sz w:val="22"/>
          <w:lang w:val="es-ES_tradnl"/>
        </w:rPr>
        <w:t>statal, la cual puede crear usuarios para que los supervisores de los contratos carguen la información pertinente. Finalmente, la liquidación y el cierre de los expedientes contractuales también se puede realizar a través del SECOP II. Es de destacar que la plataforma tiene un módulo de búsqueda pública que permite a los ciudadanos y entes de control revisar el avance en tiempo real de cualquier contrato realizado a través del SECOP II</w:t>
      </w:r>
      <w:r w:rsidR="00465202" w:rsidRPr="00672CC2">
        <w:rPr>
          <w:rFonts w:ascii="Arial" w:eastAsia="Calibri" w:hAnsi="Arial" w:cs="Arial"/>
          <w:bCs/>
          <w:color w:val="000000" w:themeColor="text1"/>
          <w:sz w:val="22"/>
          <w:lang w:val="es-ES_tradnl"/>
        </w:rPr>
        <w:t>,</w:t>
      </w:r>
      <w:r w:rsidR="005C7DA8" w:rsidRPr="00672CC2">
        <w:rPr>
          <w:rFonts w:ascii="Arial" w:eastAsia="Calibri" w:hAnsi="Arial" w:cs="Arial"/>
          <w:bCs/>
          <w:color w:val="000000" w:themeColor="text1"/>
          <w:sz w:val="22"/>
          <w:lang w:val="es-ES_tradnl"/>
        </w:rPr>
        <w:t xml:space="preserve"> sin necesidad de tener usuarios creados en la plataforma. </w:t>
      </w:r>
      <w:r w:rsidRPr="00672CC2">
        <w:rPr>
          <w:rFonts w:ascii="Arial" w:eastAsia="Calibri" w:hAnsi="Arial" w:cs="Arial"/>
          <w:bCs/>
          <w:color w:val="000000" w:themeColor="text1"/>
          <w:sz w:val="22"/>
          <w:lang w:val="es-ES_tradnl"/>
        </w:rPr>
        <w:t xml:space="preserve">  </w:t>
      </w:r>
    </w:p>
    <w:p w14:paraId="39076A1A" w14:textId="367C6BE4" w:rsidR="00B05FA3" w:rsidRPr="00672CC2" w:rsidRDefault="00B05FA3" w:rsidP="00B14EA3">
      <w:pPr>
        <w:spacing w:before="120" w:line="276" w:lineRule="auto"/>
        <w:ind w:firstLine="708"/>
        <w:jc w:val="both"/>
        <w:rPr>
          <w:rFonts w:ascii="Arial" w:eastAsia="Calibri" w:hAnsi="Arial" w:cs="Arial"/>
          <w:bCs/>
          <w:color w:val="000000" w:themeColor="text1"/>
          <w:sz w:val="22"/>
          <w:lang w:val="es-ES_tradnl"/>
        </w:rPr>
      </w:pPr>
      <w:r w:rsidRPr="00672CC2">
        <w:rPr>
          <w:rFonts w:ascii="Arial" w:eastAsia="Calibri" w:hAnsi="Arial" w:cs="Arial"/>
          <w:bCs/>
          <w:color w:val="000000" w:themeColor="text1"/>
          <w:sz w:val="22"/>
          <w:lang w:val="es-ES_tradnl"/>
        </w:rPr>
        <w:t xml:space="preserve">En un primer momento, esto es, antes del año 2020, el SECOP II solo era obligatorio, en general, para la rama ejecutiva del nivel nacional y Bogotá, y era opcional para los municipios y departamentos. Esto en razón al proyecto interno de despliegue de la plataforma, que incluye una transición mediante formaciones teóricas y prácticas y capacitaciones virtuales y presenciales, que finaliza con la deshabilitación del SECOP I, con el propósito de que las entidades adopten la plataforma y conozcan su funcionamiento. </w:t>
      </w:r>
    </w:p>
    <w:p w14:paraId="6C7E439B" w14:textId="31ED5B3F" w:rsidR="00B05FA3" w:rsidRPr="00672CC2" w:rsidRDefault="00B05FA3" w:rsidP="00B14EA3">
      <w:pPr>
        <w:spacing w:before="120" w:line="276" w:lineRule="auto"/>
        <w:ind w:firstLine="708"/>
        <w:jc w:val="both"/>
        <w:rPr>
          <w:rFonts w:ascii="Arial" w:eastAsia="Calibri" w:hAnsi="Arial" w:cs="Arial"/>
          <w:bCs/>
          <w:color w:val="000000" w:themeColor="text1"/>
          <w:sz w:val="22"/>
          <w:lang w:val="es-ES_tradnl"/>
        </w:rPr>
      </w:pPr>
      <w:r w:rsidRPr="00672CC2">
        <w:rPr>
          <w:rFonts w:ascii="Arial" w:eastAsia="Calibri" w:hAnsi="Arial" w:cs="Arial"/>
          <w:bCs/>
          <w:color w:val="000000" w:themeColor="text1"/>
          <w:sz w:val="22"/>
          <w:lang w:val="es-ES_tradnl"/>
        </w:rPr>
        <w:t>Ahora, teniendo en cuenta que la Agencia Nacional de Contratación Pública - Colombia Compra Eficiente realizó el despliegue del SECOP II a nivel territorial en el 2018 y 2019, se expidió la Circular Externa No. 1 de</w:t>
      </w:r>
      <w:r w:rsidR="00FE7FCD" w:rsidRPr="00672CC2">
        <w:rPr>
          <w:rFonts w:ascii="Arial" w:eastAsia="Calibri" w:hAnsi="Arial" w:cs="Arial"/>
          <w:bCs/>
          <w:color w:val="000000" w:themeColor="text1"/>
          <w:sz w:val="22"/>
          <w:lang w:val="es-ES_tradnl"/>
        </w:rPr>
        <w:t>l 22 de agosto de</w:t>
      </w:r>
      <w:r w:rsidRPr="00672CC2">
        <w:rPr>
          <w:rFonts w:ascii="Arial" w:eastAsia="Calibri" w:hAnsi="Arial" w:cs="Arial"/>
          <w:bCs/>
          <w:color w:val="000000" w:themeColor="text1"/>
          <w:sz w:val="22"/>
          <w:lang w:val="es-ES_tradnl"/>
        </w:rPr>
        <w:t xml:space="preserve"> 2019 sobre la obligatoriedad del uso del SECOP II en el 2020, que dispone: </w:t>
      </w:r>
    </w:p>
    <w:p w14:paraId="42F47B2F" w14:textId="77777777" w:rsidR="00B05FA3" w:rsidRPr="00672CC2" w:rsidRDefault="00B05FA3" w:rsidP="00B05FA3">
      <w:pPr>
        <w:spacing w:line="276" w:lineRule="auto"/>
        <w:ind w:firstLine="708"/>
        <w:jc w:val="both"/>
        <w:rPr>
          <w:rFonts w:ascii="Arial" w:eastAsia="Calibri" w:hAnsi="Arial" w:cs="Arial"/>
          <w:bCs/>
          <w:color w:val="000000" w:themeColor="text1"/>
          <w:sz w:val="22"/>
          <w:lang w:val="es-ES_tradnl"/>
        </w:rPr>
      </w:pPr>
    </w:p>
    <w:p w14:paraId="382686E0" w14:textId="0E8EA118" w:rsidR="00B05FA3" w:rsidRPr="00672CC2" w:rsidRDefault="00B05FA3" w:rsidP="00B05FA3">
      <w:pPr>
        <w:ind w:left="709" w:right="709"/>
        <w:jc w:val="both"/>
        <w:rPr>
          <w:rFonts w:ascii="Arial" w:eastAsia="Calibri" w:hAnsi="Arial" w:cs="Arial"/>
          <w:bCs/>
          <w:color w:val="000000" w:themeColor="text1"/>
          <w:sz w:val="21"/>
          <w:szCs w:val="21"/>
          <w:lang w:val="es-ES_tradnl"/>
        </w:rPr>
      </w:pPr>
      <w:r w:rsidRPr="00672CC2">
        <w:rPr>
          <w:rFonts w:ascii="Arial" w:eastAsia="Calibri" w:hAnsi="Arial" w:cs="Arial"/>
          <w:bCs/>
          <w:color w:val="000000" w:themeColor="text1"/>
          <w:sz w:val="21"/>
          <w:szCs w:val="21"/>
          <w:lang w:val="es-ES_tradnl"/>
        </w:rPr>
        <w:t>«A partir del 1 de enero de 2020, todos los procesos de contratación de las entidades relacionadas en el Anexo 1 de esta circular deberán gestionarse, exclusivamente, en el SECOP ll. La medida aplica para los procesos de contratación que se inicien a partir del 1 de enero de 2020, en todas las modalidades de selección del Estatuto General de Contratación Pública (licitación pública, selección abreviada, concurso de méritos, contratación directa, contratación mínima cuantía)».</w:t>
      </w:r>
    </w:p>
    <w:p w14:paraId="10C6E077" w14:textId="0DB7DF2C" w:rsidR="00E33EE9" w:rsidRPr="00672CC2" w:rsidRDefault="00E33EE9" w:rsidP="00B05FA3">
      <w:pPr>
        <w:ind w:left="709" w:right="709"/>
        <w:jc w:val="both"/>
        <w:rPr>
          <w:rFonts w:ascii="Arial" w:eastAsia="Calibri" w:hAnsi="Arial" w:cs="Arial"/>
          <w:bCs/>
          <w:color w:val="000000" w:themeColor="text1"/>
          <w:sz w:val="21"/>
          <w:szCs w:val="21"/>
          <w:lang w:val="es-ES_tradnl"/>
        </w:rPr>
      </w:pPr>
    </w:p>
    <w:p w14:paraId="34F60E86" w14:textId="77777777" w:rsidR="00E33EE9" w:rsidRPr="00672CC2" w:rsidRDefault="00E33EE9" w:rsidP="00E33EE9">
      <w:pPr>
        <w:ind w:left="709" w:right="709"/>
        <w:jc w:val="both"/>
        <w:rPr>
          <w:rFonts w:ascii="Arial" w:eastAsia="Calibri" w:hAnsi="Arial" w:cs="Arial"/>
          <w:bCs/>
          <w:color w:val="000000" w:themeColor="text1"/>
          <w:sz w:val="21"/>
          <w:szCs w:val="21"/>
          <w:lang w:val="es-ES_tradnl"/>
        </w:rPr>
      </w:pPr>
      <w:r w:rsidRPr="00672CC2">
        <w:rPr>
          <w:rFonts w:ascii="Arial" w:eastAsia="Calibri" w:hAnsi="Arial" w:cs="Arial"/>
          <w:bCs/>
          <w:color w:val="000000" w:themeColor="text1"/>
          <w:sz w:val="22"/>
          <w:lang w:val="es-ES_tradnl"/>
        </w:rPr>
        <w:t>[…]</w:t>
      </w:r>
    </w:p>
    <w:p w14:paraId="61F9531B" w14:textId="77777777" w:rsidR="00E33EE9" w:rsidRPr="00672CC2" w:rsidRDefault="00E33EE9" w:rsidP="00B05FA3">
      <w:pPr>
        <w:ind w:left="709" w:right="709"/>
        <w:jc w:val="both"/>
        <w:rPr>
          <w:rFonts w:ascii="Arial" w:eastAsia="Calibri" w:hAnsi="Arial" w:cs="Arial"/>
          <w:bCs/>
          <w:color w:val="000000" w:themeColor="text1"/>
          <w:sz w:val="21"/>
          <w:szCs w:val="21"/>
          <w:lang w:val="es-ES_tradnl"/>
        </w:rPr>
      </w:pPr>
    </w:p>
    <w:p w14:paraId="1B27DE2F" w14:textId="0072E3A2" w:rsidR="00E33EE9" w:rsidRPr="00672CC2" w:rsidRDefault="00E33EE9" w:rsidP="00E33EE9">
      <w:pPr>
        <w:ind w:left="709" w:right="709"/>
        <w:jc w:val="both"/>
        <w:rPr>
          <w:rFonts w:ascii="Arial" w:eastAsia="Calibri" w:hAnsi="Arial" w:cs="Arial"/>
          <w:bCs/>
          <w:color w:val="000000" w:themeColor="text1"/>
          <w:sz w:val="21"/>
          <w:szCs w:val="21"/>
          <w:lang w:val="es-ES_tradnl"/>
        </w:rPr>
      </w:pPr>
      <w:r w:rsidRPr="00672CC2">
        <w:rPr>
          <w:rFonts w:ascii="Arial" w:eastAsia="Calibri" w:hAnsi="Arial" w:cs="Arial"/>
          <w:bCs/>
          <w:color w:val="000000" w:themeColor="text1"/>
          <w:sz w:val="21"/>
          <w:szCs w:val="21"/>
          <w:lang w:val="es-ES_tradnl"/>
        </w:rPr>
        <w:lastRenderedPageBreak/>
        <w:t>Todos los procesos de contratación creados en el SECOP I antes del 1 de enero de 2020 podrán continuar siendo gestionados en esta plataforma».</w:t>
      </w:r>
    </w:p>
    <w:p w14:paraId="215A986C" w14:textId="12A395A2" w:rsidR="00137EBC" w:rsidRPr="00672CC2" w:rsidRDefault="00FE7FCD" w:rsidP="00EE2030">
      <w:pPr>
        <w:spacing w:before="120" w:line="276" w:lineRule="auto"/>
        <w:ind w:firstLine="709"/>
        <w:jc w:val="both"/>
        <w:rPr>
          <w:rFonts w:ascii="Arial" w:eastAsia="Calibri" w:hAnsi="Arial" w:cs="Arial"/>
          <w:bCs/>
          <w:color w:val="000000" w:themeColor="text1"/>
          <w:sz w:val="22"/>
          <w:lang w:val="es-ES_tradnl"/>
        </w:rPr>
      </w:pPr>
      <w:r w:rsidRPr="00672CC2">
        <w:rPr>
          <w:rFonts w:ascii="Arial" w:eastAsia="Calibri" w:hAnsi="Arial" w:cs="Arial"/>
          <w:bCs/>
          <w:color w:val="000000" w:themeColor="text1"/>
          <w:sz w:val="21"/>
          <w:szCs w:val="21"/>
          <w:lang w:val="es-ES_tradnl"/>
        </w:rPr>
        <w:cr/>
      </w:r>
      <w:r w:rsidR="00EE2030" w:rsidRPr="00EE2030">
        <w:rPr>
          <w:rFonts w:ascii="Arial" w:eastAsia="Calibri" w:hAnsi="Arial" w:cs="Arial"/>
          <w:bCs/>
          <w:color w:val="000000" w:themeColor="text1"/>
          <w:sz w:val="22"/>
          <w:lang w:val="es-ES_tradnl"/>
        </w:rPr>
        <w:t xml:space="preserve">            </w:t>
      </w:r>
      <w:r w:rsidR="00F53A67" w:rsidRPr="00672CC2">
        <w:rPr>
          <w:rFonts w:ascii="Arial" w:eastAsia="Calibri" w:hAnsi="Arial" w:cs="Arial"/>
          <w:bCs/>
          <w:color w:val="000000" w:themeColor="text1"/>
          <w:sz w:val="22"/>
          <w:lang w:val="es-ES_tradnl"/>
        </w:rPr>
        <w:t>Posteriormente</w:t>
      </w:r>
      <w:r w:rsidR="00B05FA3" w:rsidRPr="00672CC2">
        <w:rPr>
          <w:rFonts w:ascii="Arial" w:eastAsia="Calibri" w:hAnsi="Arial" w:cs="Arial"/>
          <w:bCs/>
          <w:color w:val="000000" w:themeColor="text1"/>
          <w:sz w:val="22"/>
          <w:lang w:val="es-ES_tradnl"/>
        </w:rPr>
        <w:t>,</w:t>
      </w:r>
      <w:r w:rsidR="00E33EE9" w:rsidRPr="00672CC2">
        <w:rPr>
          <w:rFonts w:ascii="Arial" w:eastAsia="Calibri" w:hAnsi="Arial" w:cs="Arial"/>
          <w:bCs/>
          <w:color w:val="000000" w:themeColor="text1"/>
          <w:sz w:val="22"/>
          <w:lang w:val="es-ES_tradnl"/>
        </w:rPr>
        <w:t xml:space="preserve"> mediante la Circular Externa No. 2 del 23 de diciembre de 2019 se dispuso </w:t>
      </w:r>
      <w:r w:rsidR="00F53A67" w:rsidRPr="00672CC2">
        <w:rPr>
          <w:rFonts w:ascii="Arial" w:eastAsia="Calibri" w:hAnsi="Arial" w:cs="Arial"/>
          <w:bCs/>
          <w:color w:val="000000" w:themeColor="text1"/>
          <w:sz w:val="22"/>
          <w:lang w:val="es-ES_tradnl"/>
        </w:rPr>
        <w:t xml:space="preserve">que </w:t>
      </w:r>
      <w:r w:rsidR="00E33EE9" w:rsidRPr="00EE2030">
        <w:rPr>
          <w:rFonts w:ascii="Arial" w:eastAsia="Calibri" w:hAnsi="Arial" w:cs="Arial"/>
          <w:bCs/>
          <w:color w:val="000000" w:themeColor="text1"/>
          <w:sz w:val="22"/>
          <w:lang w:val="es-ES_tradnl"/>
        </w:rPr>
        <w:t>«</w:t>
      </w:r>
      <w:r w:rsidR="00E33EE9" w:rsidRPr="00672CC2">
        <w:rPr>
          <w:rFonts w:ascii="Arial" w:eastAsia="Calibri" w:hAnsi="Arial" w:cs="Arial"/>
          <w:bCs/>
          <w:color w:val="000000" w:themeColor="text1"/>
          <w:sz w:val="22"/>
          <w:lang w:val="es-ES_tradnl"/>
        </w:rPr>
        <w:t xml:space="preserve">[…] </w:t>
      </w:r>
      <w:r w:rsidR="00F53A67" w:rsidRPr="00672CC2">
        <w:rPr>
          <w:rFonts w:ascii="Arial" w:eastAsia="Calibri" w:hAnsi="Arial" w:cs="Arial"/>
          <w:bCs/>
          <w:color w:val="000000" w:themeColor="text1"/>
          <w:sz w:val="22"/>
          <w:lang w:val="es-ES_tradnl"/>
        </w:rPr>
        <w:t xml:space="preserve">con el propósito de que las entidades territoriales incluidas en el Anexo 1 de la Circular Externa No. 1 de 2019 se preparen adecuadamente para adoptar el SECOP ll, y teniendo en cuenta que las nuevas administraciones públicas asumen funciones el 1 de enero de 2020, se amplía para ellas la entrada en vigencia de la obligatoriedad del SECOP ll. En consecuencia, </w:t>
      </w:r>
      <w:r w:rsidR="00E33EE9" w:rsidRPr="00672CC2">
        <w:rPr>
          <w:rFonts w:ascii="Arial" w:eastAsia="Calibri" w:hAnsi="Arial" w:cs="Arial"/>
          <w:bCs/>
          <w:color w:val="000000" w:themeColor="text1"/>
          <w:sz w:val="22"/>
          <w:lang w:val="es-ES_tradnl"/>
        </w:rPr>
        <w:t>las alcaldías capitales de departamento (Administración central) y los departamentos (Administración central) gestionarán todos sus procesos de contratación, exclusivamente en el SECOP ll, a partir del 1 de abril de 2020 […]», manteniendo los demás aspectos y contenidos de la Circular Externa No. 1 de 2019 y los cuales regirán plenamente para estas entidades en la fecha anteriormente indica</w:t>
      </w:r>
      <w:r w:rsidR="00F53A67" w:rsidRPr="00672CC2">
        <w:rPr>
          <w:rFonts w:ascii="Arial" w:eastAsia="Calibri" w:hAnsi="Arial" w:cs="Arial"/>
          <w:bCs/>
          <w:color w:val="000000" w:themeColor="text1"/>
          <w:sz w:val="22"/>
          <w:lang w:val="es-ES_tradnl"/>
        </w:rPr>
        <w:t>da</w:t>
      </w:r>
      <w:r w:rsidR="00E33EE9" w:rsidRPr="00672CC2">
        <w:rPr>
          <w:rFonts w:ascii="Arial" w:eastAsia="Calibri" w:hAnsi="Arial" w:cs="Arial"/>
          <w:bCs/>
          <w:color w:val="000000" w:themeColor="text1"/>
          <w:sz w:val="22"/>
          <w:lang w:val="es-ES_tradnl"/>
        </w:rPr>
        <w:t>.</w:t>
      </w:r>
    </w:p>
    <w:p w14:paraId="1410B0B3" w14:textId="301A8657" w:rsidR="00F53A67" w:rsidRPr="00672CC2" w:rsidRDefault="00B31949" w:rsidP="00B14EA3">
      <w:pPr>
        <w:spacing w:before="120" w:line="276" w:lineRule="auto"/>
        <w:ind w:firstLine="709"/>
        <w:jc w:val="both"/>
        <w:rPr>
          <w:rFonts w:ascii="Arial" w:eastAsia="Calibri" w:hAnsi="Arial" w:cs="Arial"/>
          <w:bCs/>
          <w:color w:val="000000" w:themeColor="text1"/>
          <w:sz w:val="22"/>
          <w:lang w:val="es-ES_tradnl"/>
        </w:rPr>
      </w:pPr>
      <w:r w:rsidRPr="00672CC2">
        <w:rPr>
          <w:rFonts w:ascii="Arial" w:eastAsia="Calibri" w:hAnsi="Arial" w:cs="Arial"/>
          <w:bCs/>
          <w:color w:val="000000" w:themeColor="text1"/>
          <w:sz w:val="22"/>
          <w:lang w:val="es-ES_tradnl"/>
        </w:rPr>
        <w:t>En este contexto</w:t>
      </w:r>
      <w:r w:rsidR="00F53A67" w:rsidRPr="00672CC2">
        <w:rPr>
          <w:rFonts w:ascii="Arial" w:eastAsia="Calibri" w:hAnsi="Arial" w:cs="Arial"/>
          <w:bCs/>
          <w:color w:val="000000" w:themeColor="text1"/>
          <w:sz w:val="22"/>
          <w:lang w:val="es-ES_tradnl"/>
        </w:rPr>
        <w:t xml:space="preserve">, </w:t>
      </w:r>
      <w:bookmarkStart w:id="7" w:name="_Hlk35452341"/>
      <w:r w:rsidR="006A07AC" w:rsidRPr="00672CC2">
        <w:rPr>
          <w:rFonts w:ascii="Arial" w:eastAsia="Calibri" w:hAnsi="Arial" w:cs="Arial"/>
          <w:bCs/>
          <w:color w:val="000000" w:themeColor="text1"/>
          <w:sz w:val="22"/>
          <w:lang w:val="es-ES_tradnl"/>
        </w:rPr>
        <w:t xml:space="preserve">es necesario distinguir entre los comodatos que se celebran al amparo de la Ley 9 de 1989 </w:t>
      </w:r>
      <w:r w:rsidRPr="00672CC2">
        <w:rPr>
          <w:rFonts w:ascii="Arial" w:eastAsia="Calibri" w:hAnsi="Arial" w:cs="Arial"/>
          <w:bCs/>
          <w:color w:val="000000" w:themeColor="text1"/>
          <w:sz w:val="22"/>
          <w:lang w:val="es-ES_tradnl"/>
        </w:rPr>
        <w:t>y</w:t>
      </w:r>
      <w:r w:rsidR="00A226CF" w:rsidRPr="00672CC2">
        <w:rPr>
          <w:rFonts w:ascii="Arial" w:eastAsia="Calibri" w:hAnsi="Arial" w:cs="Arial"/>
          <w:bCs/>
          <w:color w:val="000000" w:themeColor="text1"/>
          <w:sz w:val="22"/>
          <w:lang w:val="es-ES_tradnl"/>
        </w:rPr>
        <w:t xml:space="preserve"> los</w:t>
      </w:r>
      <w:r w:rsidR="006A07AC" w:rsidRPr="00672CC2">
        <w:rPr>
          <w:rFonts w:ascii="Arial" w:eastAsia="Calibri" w:hAnsi="Arial" w:cs="Arial"/>
          <w:bCs/>
          <w:color w:val="000000" w:themeColor="text1"/>
          <w:sz w:val="22"/>
          <w:lang w:val="es-ES_tradnl"/>
        </w:rPr>
        <w:t xml:space="preserve"> del Decreto 092 de 2017. </w:t>
      </w:r>
      <w:r w:rsidR="006A07AC" w:rsidRPr="00672CC2">
        <w:rPr>
          <w:rFonts w:ascii="Arial" w:eastAsia="Calibri" w:hAnsi="Arial" w:cs="Arial"/>
          <w:bCs/>
          <w:i/>
          <w:iCs/>
          <w:color w:val="000000" w:themeColor="text1"/>
          <w:sz w:val="22"/>
          <w:lang w:val="es-ES_tradnl"/>
        </w:rPr>
        <w:t>En el primer caso</w:t>
      </w:r>
      <w:r w:rsidR="006A07AC" w:rsidRPr="00672CC2">
        <w:rPr>
          <w:rFonts w:ascii="Arial" w:eastAsia="Calibri" w:hAnsi="Arial" w:cs="Arial"/>
          <w:bCs/>
          <w:color w:val="000000" w:themeColor="text1"/>
          <w:sz w:val="22"/>
          <w:lang w:val="es-ES_tradnl"/>
        </w:rPr>
        <w:t xml:space="preserve">, </w:t>
      </w:r>
      <w:r w:rsidR="00F53A67" w:rsidRPr="00672CC2">
        <w:rPr>
          <w:rFonts w:ascii="Arial" w:eastAsia="Calibri" w:hAnsi="Arial" w:cs="Arial"/>
          <w:bCs/>
          <w:color w:val="000000" w:themeColor="text1"/>
          <w:sz w:val="22"/>
          <w:lang w:val="es-ES_tradnl"/>
        </w:rPr>
        <w:t>de la interpretación armónica entre las Circulares Externas No. 1 y No. 2 de 2019, se infiere que la obligatoriedad del SECOP II para las gobernaciones es para los procesos iniciados a partir del 1° de abril de 2020. Esto significa que todos los procesos de contratación creados en el SECOP I antes de esa fecha, podrán gestionarse en dich</w:t>
      </w:r>
      <w:r w:rsidR="006A07AC" w:rsidRPr="00672CC2">
        <w:rPr>
          <w:rFonts w:ascii="Arial" w:eastAsia="Calibri" w:hAnsi="Arial" w:cs="Arial"/>
          <w:bCs/>
          <w:color w:val="000000" w:themeColor="text1"/>
          <w:sz w:val="22"/>
          <w:lang w:val="es-ES_tradnl"/>
        </w:rPr>
        <w:t>o medio</w:t>
      </w:r>
      <w:r w:rsidR="00F53A67" w:rsidRPr="00672CC2">
        <w:rPr>
          <w:rFonts w:ascii="Arial" w:eastAsia="Calibri" w:hAnsi="Arial" w:cs="Arial"/>
          <w:bCs/>
          <w:color w:val="000000" w:themeColor="text1"/>
          <w:sz w:val="22"/>
          <w:lang w:val="es-ES_tradnl"/>
        </w:rPr>
        <w:t xml:space="preserve">. En este último caso, </w:t>
      </w:r>
      <w:r w:rsidR="006A07AC" w:rsidRPr="00672CC2">
        <w:rPr>
          <w:rFonts w:ascii="Arial" w:eastAsia="Calibri" w:hAnsi="Arial" w:cs="Arial"/>
          <w:bCs/>
          <w:color w:val="000000" w:themeColor="text1"/>
          <w:sz w:val="22"/>
          <w:lang w:val="es-ES_tradnl"/>
        </w:rPr>
        <w:t>la plataforma</w:t>
      </w:r>
      <w:r w:rsidR="00F53A67" w:rsidRPr="00672CC2">
        <w:rPr>
          <w:rFonts w:ascii="Arial" w:eastAsia="Calibri" w:hAnsi="Arial" w:cs="Arial"/>
          <w:bCs/>
          <w:color w:val="000000" w:themeColor="text1"/>
          <w:sz w:val="22"/>
          <w:lang w:val="es-ES_tradnl"/>
        </w:rPr>
        <w:t xml:space="preserve"> únicamente funciona como un repositorio de información, pues no es un sistema transaccional.</w:t>
      </w:r>
      <w:r w:rsidR="006A07AC" w:rsidRPr="00672CC2">
        <w:rPr>
          <w:rFonts w:ascii="Arial" w:eastAsia="Calibri" w:hAnsi="Arial" w:cs="Arial"/>
          <w:bCs/>
          <w:color w:val="000000" w:themeColor="text1"/>
          <w:sz w:val="22"/>
          <w:lang w:val="es-ES_tradnl"/>
        </w:rPr>
        <w:t xml:space="preserve"> </w:t>
      </w:r>
    </w:p>
    <w:p w14:paraId="37239623" w14:textId="30E00018" w:rsidR="00C97BAD" w:rsidRPr="00672CC2" w:rsidRDefault="00C97BAD" w:rsidP="00B14EA3">
      <w:pPr>
        <w:spacing w:before="120" w:line="276" w:lineRule="auto"/>
        <w:ind w:firstLine="709"/>
        <w:jc w:val="both"/>
        <w:rPr>
          <w:rFonts w:ascii="Arial" w:eastAsia="Calibri" w:hAnsi="Arial" w:cs="Arial"/>
          <w:bCs/>
          <w:color w:val="000000" w:themeColor="text1"/>
          <w:sz w:val="22"/>
          <w:lang w:val="es-ES_tradnl"/>
        </w:rPr>
      </w:pPr>
      <w:r w:rsidRPr="00672CC2">
        <w:rPr>
          <w:rFonts w:ascii="Arial" w:eastAsia="Calibri" w:hAnsi="Arial" w:cs="Arial"/>
          <w:bCs/>
          <w:color w:val="000000" w:themeColor="text1"/>
          <w:sz w:val="22"/>
          <w:lang w:val="es-ES_tradnl"/>
        </w:rPr>
        <w:t xml:space="preserve">No obstante, </w:t>
      </w:r>
      <w:r w:rsidRPr="00672CC2">
        <w:rPr>
          <w:rFonts w:ascii="Arial" w:eastAsia="Calibri" w:hAnsi="Arial" w:cs="Arial"/>
          <w:bCs/>
          <w:i/>
          <w:iCs/>
          <w:color w:val="000000" w:themeColor="text1"/>
          <w:sz w:val="22"/>
          <w:lang w:val="es-ES_tradnl"/>
        </w:rPr>
        <w:t>en el segundo caso</w:t>
      </w:r>
      <w:r w:rsidRPr="00672CC2">
        <w:rPr>
          <w:rFonts w:ascii="Arial" w:eastAsia="Calibri" w:hAnsi="Arial" w:cs="Arial"/>
          <w:bCs/>
          <w:color w:val="000000" w:themeColor="text1"/>
          <w:sz w:val="22"/>
          <w:lang w:val="es-ES_tradnl"/>
        </w:rPr>
        <w:t xml:space="preserve">, la Circular Externa No. 1 del 22 de agosto de 2019 </w:t>
      </w:r>
      <w:r w:rsidR="009F73A1" w:rsidRPr="00672CC2">
        <w:rPr>
          <w:rFonts w:ascii="Arial" w:eastAsia="Calibri" w:hAnsi="Arial" w:cs="Arial"/>
          <w:bCs/>
          <w:color w:val="000000" w:themeColor="text1"/>
          <w:sz w:val="22"/>
          <w:lang w:val="es-ES_tradnl"/>
        </w:rPr>
        <w:t>disp</w:t>
      </w:r>
      <w:r w:rsidR="00F64239" w:rsidRPr="00672CC2">
        <w:rPr>
          <w:rFonts w:ascii="Arial" w:eastAsia="Calibri" w:hAnsi="Arial" w:cs="Arial"/>
          <w:bCs/>
          <w:color w:val="000000" w:themeColor="text1"/>
          <w:sz w:val="22"/>
          <w:lang w:val="es-ES_tradnl"/>
        </w:rPr>
        <w:t>one</w:t>
      </w:r>
      <w:r w:rsidRPr="00672CC2">
        <w:rPr>
          <w:rFonts w:ascii="Arial" w:eastAsia="Calibri" w:hAnsi="Arial" w:cs="Arial"/>
          <w:bCs/>
          <w:color w:val="000000" w:themeColor="text1"/>
          <w:sz w:val="22"/>
          <w:lang w:val="es-ES_tradnl"/>
        </w:rPr>
        <w:t xml:space="preserve"> reglas especiales para los contratos realizados con fundamento en el </w:t>
      </w:r>
      <w:r w:rsidR="009F73A1" w:rsidRPr="00672CC2">
        <w:rPr>
          <w:rFonts w:ascii="Arial" w:eastAsia="Calibri" w:hAnsi="Arial" w:cs="Arial"/>
          <w:bCs/>
          <w:color w:val="000000" w:themeColor="text1"/>
          <w:sz w:val="22"/>
          <w:lang w:val="es-ES_tradnl"/>
        </w:rPr>
        <w:t>Decreto 092 de 2017, l</w:t>
      </w:r>
      <w:r w:rsidR="00F64239" w:rsidRPr="00672CC2">
        <w:rPr>
          <w:rFonts w:ascii="Arial" w:eastAsia="Calibri" w:hAnsi="Arial" w:cs="Arial"/>
          <w:bCs/>
          <w:color w:val="000000" w:themeColor="text1"/>
          <w:sz w:val="22"/>
          <w:lang w:val="es-ES_tradnl"/>
        </w:rPr>
        <w:t>a</w:t>
      </w:r>
      <w:r w:rsidR="009F73A1" w:rsidRPr="00672CC2">
        <w:rPr>
          <w:rFonts w:ascii="Arial" w:eastAsia="Calibri" w:hAnsi="Arial" w:cs="Arial"/>
          <w:bCs/>
          <w:color w:val="000000" w:themeColor="text1"/>
          <w:sz w:val="22"/>
          <w:lang w:val="es-ES_tradnl"/>
        </w:rPr>
        <w:t>s cuales no fueron modificad</w:t>
      </w:r>
      <w:r w:rsidR="00F64239" w:rsidRPr="00672CC2">
        <w:rPr>
          <w:rFonts w:ascii="Arial" w:eastAsia="Calibri" w:hAnsi="Arial" w:cs="Arial"/>
          <w:bCs/>
          <w:color w:val="000000" w:themeColor="text1"/>
          <w:sz w:val="22"/>
          <w:lang w:val="es-ES_tradnl"/>
        </w:rPr>
        <w:t>a</w:t>
      </w:r>
      <w:r w:rsidR="009F73A1" w:rsidRPr="00672CC2">
        <w:rPr>
          <w:rFonts w:ascii="Arial" w:eastAsia="Calibri" w:hAnsi="Arial" w:cs="Arial"/>
          <w:bCs/>
          <w:color w:val="000000" w:themeColor="text1"/>
          <w:sz w:val="22"/>
          <w:lang w:val="es-ES_tradnl"/>
        </w:rPr>
        <w:t>s</w:t>
      </w:r>
      <w:r w:rsidR="00F64239" w:rsidRPr="00672CC2">
        <w:rPr>
          <w:rFonts w:ascii="Arial" w:eastAsia="Calibri" w:hAnsi="Arial" w:cs="Arial"/>
          <w:bCs/>
          <w:color w:val="000000" w:themeColor="text1"/>
          <w:sz w:val="22"/>
          <w:lang w:val="es-ES_tradnl"/>
        </w:rPr>
        <w:t xml:space="preserve"> </w:t>
      </w:r>
      <w:r w:rsidR="00A226CF" w:rsidRPr="00672CC2">
        <w:rPr>
          <w:rFonts w:ascii="Arial" w:eastAsia="Calibri" w:hAnsi="Arial" w:cs="Arial"/>
          <w:bCs/>
          <w:color w:val="000000" w:themeColor="text1"/>
          <w:sz w:val="22"/>
          <w:lang w:val="es-ES_tradnl"/>
        </w:rPr>
        <w:t>por</w:t>
      </w:r>
      <w:r w:rsidR="00F64239" w:rsidRPr="00672CC2">
        <w:rPr>
          <w:rFonts w:ascii="Arial" w:eastAsia="Calibri" w:hAnsi="Arial" w:cs="Arial"/>
          <w:bCs/>
          <w:color w:val="000000" w:themeColor="text1"/>
          <w:sz w:val="22"/>
          <w:lang w:val="es-ES_tradnl"/>
        </w:rPr>
        <w:t xml:space="preserve"> la Circular Externa No. 2 del 23 de diciembre de 2019. Al respecto, </w:t>
      </w:r>
      <w:r w:rsidR="00A226CF" w:rsidRPr="00672CC2">
        <w:rPr>
          <w:rFonts w:ascii="Arial" w:eastAsia="Calibri" w:hAnsi="Arial" w:cs="Arial"/>
          <w:bCs/>
          <w:color w:val="000000" w:themeColor="text1"/>
          <w:sz w:val="22"/>
          <w:lang w:val="es-ES_tradnl"/>
        </w:rPr>
        <w:t xml:space="preserve">la Circular Nº 1 </w:t>
      </w:r>
      <w:r w:rsidR="00F64239" w:rsidRPr="00672CC2">
        <w:rPr>
          <w:rFonts w:ascii="Arial" w:eastAsia="Calibri" w:hAnsi="Arial" w:cs="Arial"/>
          <w:bCs/>
          <w:color w:val="000000" w:themeColor="text1"/>
          <w:sz w:val="22"/>
          <w:lang w:val="es-ES_tradnl"/>
        </w:rPr>
        <w:t>prescribe que «Todas las entidades del Estado colombiano deberán gestionar en el SECOP ll los procesos de contratación con ESALES (Decreto 092 de 2017) para lo cual encontrarán habilitado el módulo de régimen especial del SECOP ll. El módulo de régimen especial estará habilitado para publicar procesos en el marco del Decreto 092 de 2017 independientemente de si la entidad ha publicado o no procesos de contratación en esta plataforma entre el 1 de enero de 2019 y la fecha de expedición de esta Circular»</w:t>
      </w:r>
      <w:r w:rsidR="005316E9" w:rsidRPr="00672CC2">
        <w:rPr>
          <w:rFonts w:ascii="Arial" w:eastAsia="Calibri" w:hAnsi="Arial" w:cs="Arial"/>
          <w:bCs/>
          <w:color w:val="000000" w:themeColor="text1"/>
          <w:sz w:val="22"/>
          <w:lang w:val="es-ES_tradnl"/>
        </w:rPr>
        <w:t>, orientación dirigida a todas a las entidades públicas que</w:t>
      </w:r>
      <w:r w:rsidR="00FC12F3" w:rsidRPr="00672CC2">
        <w:rPr>
          <w:rFonts w:ascii="Arial" w:eastAsia="Calibri" w:hAnsi="Arial" w:cs="Arial"/>
          <w:bCs/>
          <w:color w:val="000000" w:themeColor="text1"/>
          <w:sz w:val="22"/>
          <w:lang w:val="es-ES_tradnl"/>
        </w:rPr>
        <w:t>, por tanto,</w:t>
      </w:r>
      <w:r w:rsidR="005316E9" w:rsidRPr="00672CC2">
        <w:rPr>
          <w:rFonts w:ascii="Arial" w:eastAsia="Calibri" w:hAnsi="Arial" w:cs="Arial"/>
          <w:bCs/>
          <w:color w:val="000000" w:themeColor="text1"/>
          <w:sz w:val="22"/>
          <w:lang w:val="es-ES_tradnl"/>
        </w:rPr>
        <w:t xml:space="preserve"> no se restringe a las listadas en el Anexo 1 de la</w:t>
      </w:r>
      <w:r w:rsidR="00FC12F3" w:rsidRPr="00672CC2">
        <w:rPr>
          <w:rFonts w:ascii="Arial" w:eastAsia="Calibri" w:hAnsi="Arial" w:cs="Arial"/>
          <w:bCs/>
          <w:color w:val="000000" w:themeColor="text1"/>
          <w:sz w:val="22"/>
          <w:lang w:val="es-ES_tradnl"/>
        </w:rPr>
        <w:t xml:space="preserve"> mencionada</w:t>
      </w:r>
      <w:r w:rsidR="005316E9" w:rsidRPr="00672CC2">
        <w:rPr>
          <w:rFonts w:ascii="Arial" w:eastAsia="Calibri" w:hAnsi="Arial" w:cs="Arial"/>
          <w:bCs/>
          <w:color w:val="000000" w:themeColor="text1"/>
          <w:sz w:val="22"/>
          <w:lang w:val="es-ES_tradnl"/>
        </w:rPr>
        <w:t xml:space="preserve"> circular</w:t>
      </w:r>
      <w:r w:rsidR="00F64239" w:rsidRPr="00672CC2">
        <w:rPr>
          <w:rFonts w:ascii="Arial" w:eastAsia="Calibri" w:hAnsi="Arial" w:cs="Arial"/>
          <w:bCs/>
          <w:color w:val="000000" w:themeColor="text1"/>
          <w:sz w:val="22"/>
          <w:lang w:val="es-ES_tradnl"/>
        </w:rPr>
        <w:t xml:space="preserve">. </w:t>
      </w:r>
      <w:r w:rsidR="00E202C2" w:rsidRPr="00672CC2">
        <w:rPr>
          <w:rFonts w:ascii="Arial" w:eastAsia="Calibri" w:hAnsi="Arial" w:cs="Arial"/>
          <w:bCs/>
          <w:color w:val="000000" w:themeColor="text1"/>
          <w:sz w:val="22"/>
          <w:lang w:val="es-ES_tradnl"/>
        </w:rPr>
        <w:t xml:space="preserve"> </w:t>
      </w:r>
    </w:p>
    <w:bookmarkEnd w:id="7"/>
    <w:p w14:paraId="7954E32C" w14:textId="6DB2A6B9" w:rsidR="0067359B" w:rsidRPr="00672CC2" w:rsidRDefault="0067359B" w:rsidP="00B14EA3">
      <w:pPr>
        <w:spacing w:before="120" w:line="276" w:lineRule="auto"/>
        <w:ind w:firstLine="709"/>
        <w:jc w:val="both"/>
        <w:rPr>
          <w:rFonts w:ascii="Arial" w:eastAsia="Calibri" w:hAnsi="Arial" w:cs="Arial"/>
          <w:bCs/>
          <w:color w:val="000000" w:themeColor="text1"/>
          <w:sz w:val="22"/>
          <w:lang w:val="es-ES_tradnl"/>
        </w:rPr>
      </w:pPr>
      <w:r w:rsidRPr="00672CC2">
        <w:rPr>
          <w:rFonts w:ascii="Arial" w:eastAsia="Calibri" w:hAnsi="Arial" w:cs="Arial"/>
          <w:bCs/>
          <w:color w:val="000000" w:themeColor="text1"/>
          <w:sz w:val="22"/>
          <w:lang w:val="es-ES_tradnl"/>
        </w:rPr>
        <w:t xml:space="preserve">Con fundamento en las anteriores consideraciones, se </w:t>
      </w:r>
      <w:r w:rsidR="00A226CF" w:rsidRPr="00672CC2">
        <w:rPr>
          <w:rFonts w:ascii="Arial" w:eastAsia="Calibri" w:hAnsi="Arial" w:cs="Arial"/>
          <w:bCs/>
          <w:color w:val="000000" w:themeColor="text1"/>
          <w:sz w:val="22"/>
          <w:lang w:val="es-ES_tradnl"/>
        </w:rPr>
        <w:t xml:space="preserve">responderán </w:t>
      </w:r>
      <w:r w:rsidRPr="00672CC2">
        <w:rPr>
          <w:rFonts w:ascii="Arial" w:eastAsia="Calibri" w:hAnsi="Arial" w:cs="Arial"/>
          <w:bCs/>
          <w:color w:val="000000" w:themeColor="text1"/>
          <w:sz w:val="22"/>
          <w:lang w:val="es-ES_tradnl"/>
        </w:rPr>
        <w:t>l</w:t>
      </w:r>
      <w:r w:rsidR="00A226CF" w:rsidRPr="00672CC2">
        <w:rPr>
          <w:rFonts w:ascii="Arial" w:eastAsia="Calibri" w:hAnsi="Arial" w:cs="Arial"/>
          <w:bCs/>
          <w:color w:val="000000" w:themeColor="text1"/>
          <w:sz w:val="22"/>
          <w:lang w:val="es-ES_tradnl"/>
        </w:rPr>
        <w:t>os</w:t>
      </w:r>
      <w:r w:rsidRPr="00672CC2">
        <w:rPr>
          <w:rFonts w:ascii="Arial" w:eastAsia="Calibri" w:hAnsi="Arial" w:cs="Arial"/>
          <w:bCs/>
          <w:color w:val="000000" w:themeColor="text1"/>
          <w:sz w:val="22"/>
          <w:lang w:val="es-ES_tradnl"/>
        </w:rPr>
        <w:t xml:space="preserve"> interrogante</w:t>
      </w:r>
      <w:r w:rsidR="00A226CF" w:rsidRPr="00672CC2">
        <w:rPr>
          <w:rFonts w:ascii="Arial" w:eastAsia="Calibri" w:hAnsi="Arial" w:cs="Arial"/>
          <w:bCs/>
          <w:color w:val="000000" w:themeColor="text1"/>
          <w:sz w:val="22"/>
          <w:lang w:val="es-ES_tradnl"/>
        </w:rPr>
        <w:t>s</w:t>
      </w:r>
      <w:r w:rsidRPr="00672CC2">
        <w:rPr>
          <w:rFonts w:ascii="Arial" w:eastAsia="Calibri" w:hAnsi="Arial" w:cs="Arial"/>
          <w:bCs/>
          <w:color w:val="000000" w:themeColor="text1"/>
          <w:sz w:val="22"/>
          <w:lang w:val="es-ES_tradnl"/>
        </w:rPr>
        <w:t xml:space="preserve"> planteado</w:t>
      </w:r>
      <w:r w:rsidR="00A226CF" w:rsidRPr="00672CC2">
        <w:rPr>
          <w:rFonts w:ascii="Arial" w:eastAsia="Calibri" w:hAnsi="Arial" w:cs="Arial"/>
          <w:bCs/>
          <w:color w:val="000000" w:themeColor="text1"/>
          <w:sz w:val="22"/>
          <w:lang w:val="es-ES_tradnl"/>
        </w:rPr>
        <w:t>s</w:t>
      </w:r>
      <w:r w:rsidRPr="00672CC2">
        <w:rPr>
          <w:rFonts w:ascii="Arial" w:eastAsia="Calibri" w:hAnsi="Arial" w:cs="Arial"/>
          <w:bCs/>
          <w:color w:val="000000" w:themeColor="text1"/>
          <w:sz w:val="22"/>
          <w:lang w:val="es-ES_tradnl"/>
        </w:rPr>
        <w:t>.</w:t>
      </w:r>
    </w:p>
    <w:p w14:paraId="7B58687A" w14:textId="77777777" w:rsidR="002D708C" w:rsidRPr="00EE2030" w:rsidRDefault="002D708C" w:rsidP="001B3C8B">
      <w:pPr>
        <w:pStyle w:val="Prrafodelista"/>
        <w:tabs>
          <w:tab w:val="left" w:pos="284"/>
        </w:tabs>
        <w:spacing w:line="276" w:lineRule="auto"/>
        <w:ind w:left="0"/>
        <w:jc w:val="both"/>
        <w:rPr>
          <w:rFonts w:ascii="Arial" w:eastAsia="Calibri" w:hAnsi="Arial" w:cs="Arial"/>
          <w:b/>
          <w:color w:val="000000" w:themeColor="text1"/>
          <w:sz w:val="28"/>
          <w:szCs w:val="28"/>
        </w:rPr>
      </w:pPr>
    </w:p>
    <w:p w14:paraId="6E4BB750" w14:textId="3CE75989" w:rsidR="00F1108B" w:rsidRPr="00672CC2" w:rsidRDefault="00F1108B" w:rsidP="001B3C8B">
      <w:pPr>
        <w:pStyle w:val="Prrafodelista"/>
        <w:tabs>
          <w:tab w:val="left" w:pos="284"/>
        </w:tabs>
        <w:spacing w:line="276" w:lineRule="auto"/>
        <w:ind w:left="0"/>
        <w:jc w:val="both"/>
        <w:rPr>
          <w:rFonts w:ascii="Arial" w:eastAsia="Calibri" w:hAnsi="Arial" w:cs="Arial"/>
          <w:color w:val="000000" w:themeColor="text1"/>
          <w:sz w:val="22"/>
        </w:rPr>
      </w:pPr>
      <w:r w:rsidRPr="00672CC2">
        <w:rPr>
          <w:rFonts w:ascii="Arial" w:eastAsia="Calibri" w:hAnsi="Arial" w:cs="Arial"/>
          <w:b/>
          <w:color w:val="000000" w:themeColor="text1"/>
          <w:sz w:val="22"/>
        </w:rPr>
        <w:t>3. Respuesta</w:t>
      </w:r>
    </w:p>
    <w:p w14:paraId="4760AC28" w14:textId="77777777" w:rsidR="00FC113C" w:rsidRPr="00EE2030" w:rsidRDefault="00FC113C" w:rsidP="001B3C8B">
      <w:pPr>
        <w:tabs>
          <w:tab w:val="left" w:pos="426"/>
        </w:tabs>
        <w:spacing w:line="276" w:lineRule="auto"/>
        <w:ind w:left="709" w:right="709"/>
        <w:jc w:val="both"/>
        <w:rPr>
          <w:rFonts w:ascii="Arial" w:eastAsia="Calibri" w:hAnsi="Arial" w:cs="Arial"/>
          <w:color w:val="000000" w:themeColor="text1"/>
          <w:sz w:val="28"/>
          <w:szCs w:val="28"/>
        </w:rPr>
      </w:pPr>
    </w:p>
    <w:p w14:paraId="64B18920" w14:textId="61F7E8A8" w:rsidR="001C26F2" w:rsidRPr="00672CC2" w:rsidRDefault="00A35893" w:rsidP="00EE2030">
      <w:pPr>
        <w:tabs>
          <w:tab w:val="left" w:pos="426"/>
        </w:tabs>
        <w:ind w:left="709" w:right="709"/>
        <w:jc w:val="both"/>
        <w:rPr>
          <w:rFonts w:ascii="Arial" w:eastAsia="Calibri" w:hAnsi="Arial" w:cs="Arial"/>
          <w:color w:val="000000" w:themeColor="text1"/>
          <w:sz w:val="21"/>
          <w:szCs w:val="21"/>
        </w:rPr>
      </w:pPr>
      <w:r w:rsidRPr="00672CC2">
        <w:rPr>
          <w:rFonts w:ascii="Arial" w:eastAsia="Calibri" w:hAnsi="Arial" w:cs="Arial"/>
          <w:color w:val="000000" w:themeColor="text1"/>
          <w:sz w:val="21"/>
          <w:szCs w:val="21"/>
        </w:rPr>
        <w:lastRenderedPageBreak/>
        <w:t>i) ¿Los contratos de comodato suscritos entre una entidad pública y una ESAL se derivan del Decreto 092 de 2017 y, en consecuencia, deben publicarse en el SECOP?</w:t>
      </w:r>
    </w:p>
    <w:p w14:paraId="7EA562CC" w14:textId="77777777" w:rsidR="00A35893" w:rsidRPr="00EE2030" w:rsidRDefault="00A35893" w:rsidP="00EE2030">
      <w:pPr>
        <w:tabs>
          <w:tab w:val="left" w:pos="426"/>
        </w:tabs>
        <w:spacing w:line="276" w:lineRule="auto"/>
        <w:ind w:left="709" w:right="709"/>
        <w:jc w:val="both"/>
        <w:rPr>
          <w:rFonts w:ascii="Arial" w:eastAsia="Calibri" w:hAnsi="Arial" w:cs="Arial"/>
          <w:color w:val="000000" w:themeColor="text1"/>
          <w:sz w:val="16"/>
          <w:szCs w:val="16"/>
        </w:rPr>
      </w:pPr>
    </w:p>
    <w:p w14:paraId="1FBEDE27" w14:textId="35EFE369" w:rsidR="00BD5110" w:rsidRPr="00672CC2" w:rsidRDefault="00A35893" w:rsidP="00EE2030">
      <w:pPr>
        <w:tabs>
          <w:tab w:val="left" w:pos="709"/>
        </w:tabs>
        <w:spacing w:line="276" w:lineRule="auto"/>
        <w:jc w:val="both"/>
        <w:rPr>
          <w:rFonts w:ascii="Arial" w:eastAsia="Calibri" w:hAnsi="Arial" w:cs="Arial"/>
          <w:color w:val="000000" w:themeColor="text1"/>
          <w:sz w:val="22"/>
        </w:rPr>
      </w:pPr>
      <w:r w:rsidRPr="00672CC2">
        <w:rPr>
          <w:rFonts w:ascii="Arial" w:eastAsia="Calibri" w:hAnsi="Arial" w:cs="Arial"/>
          <w:color w:val="000000" w:themeColor="text1"/>
          <w:sz w:val="22"/>
        </w:rPr>
        <w:t xml:space="preserve">No todo contrato de comodato suscrito con una ESAL deriva de la aplicación </w:t>
      </w:r>
      <w:r w:rsidR="003E58D3" w:rsidRPr="00672CC2">
        <w:rPr>
          <w:rFonts w:ascii="Arial" w:eastAsia="Calibri" w:hAnsi="Arial" w:cs="Arial"/>
          <w:color w:val="000000" w:themeColor="text1"/>
          <w:sz w:val="22"/>
        </w:rPr>
        <w:t>del reglamento que desarrolla el artículo 355 superior y el artículo 96 de la Ley 489 de 1998</w:t>
      </w:r>
      <w:r w:rsidRPr="00672CC2">
        <w:rPr>
          <w:rFonts w:ascii="Arial" w:eastAsia="Calibri" w:hAnsi="Arial" w:cs="Arial"/>
          <w:color w:val="000000" w:themeColor="text1"/>
          <w:sz w:val="22"/>
        </w:rPr>
        <w:t xml:space="preserve">. </w:t>
      </w:r>
      <w:r w:rsidR="003E58D3" w:rsidRPr="00672CC2">
        <w:rPr>
          <w:rFonts w:ascii="Arial" w:eastAsia="Calibri" w:hAnsi="Arial" w:cs="Arial"/>
          <w:color w:val="000000" w:themeColor="text1"/>
          <w:sz w:val="22"/>
        </w:rPr>
        <w:t>Si tienen como fundamento exclusivo el artículo 38 de la Ley 9 de 1989</w:t>
      </w:r>
      <w:r w:rsidR="00B84BB8" w:rsidRPr="00672CC2">
        <w:rPr>
          <w:rFonts w:ascii="Arial" w:eastAsia="Calibri" w:hAnsi="Arial" w:cs="Arial"/>
          <w:color w:val="000000" w:themeColor="text1"/>
          <w:sz w:val="22"/>
        </w:rPr>
        <w:t xml:space="preserve"> –norma que para algunos órganos del Estado no está afectada por una inconstitucionalidad sobreviniente–</w:t>
      </w:r>
      <w:r w:rsidR="003E58D3" w:rsidRPr="00672CC2">
        <w:rPr>
          <w:rFonts w:ascii="Arial" w:eastAsia="Calibri" w:hAnsi="Arial" w:cs="Arial"/>
          <w:color w:val="000000" w:themeColor="text1"/>
          <w:sz w:val="22"/>
        </w:rPr>
        <w:t xml:space="preserve">, no implica necesariamente la celebración de un </w:t>
      </w:r>
      <w:r w:rsidR="003E58D3" w:rsidRPr="00672CC2">
        <w:rPr>
          <w:rFonts w:ascii="Arial" w:eastAsia="Calibri" w:hAnsi="Arial" w:cs="Arial"/>
          <w:i/>
          <w:color w:val="000000" w:themeColor="text1"/>
          <w:sz w:val="22"/>
        </w:rPr>
        <w:t>contrato de colaboración</w:t>
      </w:r>
      <w:r w:rsidR="003E58D3" w:rsidRPr="00672CC2">
        <w:rPr>
          <w:rFonts w:ascii="Arial" w:eastAsia="Calibri" w:hAnsi="Arial" w:cs="Arial"/>
          <w:color w:val="000000" w:themeColor="text1"/>
          <w:sz w:val="22"/>
        </w:rPr>
        <w:t xml:space="preserve"> o un </w:t>
      </w:r>
      <w:r w:rsidR="003E58D3" w:rsidRPr="00672CC2">
        <w:rPr>
          <w:rFonts w:ascii="Arial" w:eastAsia="Calibri" w:hAnsi="Arial" w:cs="Arial"/>
          <w:i/>
          <w:color w:val="000000" w:themeColor="text1"/>
          <w:sz w:val="22"/>
        </w:rPr>
        <w:t>convenio de asociación</w:t>
      </w:r>
      <w:r w:rsidR="003E58D3" w:rsidRPr="00672CC2">
        <w:rPr>
          <w:rFonts w:ascii="Arial" w:eastAsia="Calibri" w:hAnsi="Arial" w:cs="Arial"/>
          <w:color w:val="000000" w:themeColor="text1"/>
          <w:sz w:val="22"/>
        </w:rPr>
        <w:t>, pues</w:t>
      </w:r>
      <w:r w:rsidR="00BD5110" w:rsidRPr="00672CC2">
        <w:rPr>
          <w:rFonts w:ascii="Arial" w:eastAsia="Calibri" w:hAnsi="Arial" w:cs="Arial"/>
          <w:color w:val="000000" w:themeColor="text1"/>
          <w:sz w:val="22"/>
        </w:rPr>
        <w:t xml:space="preserve"> la entidad y la ESAL no</w:t>
      </w:r>
      <w:r w:rsidR="003E58D3" w:rsidRPr="00672CC2">
        <w:rPr>
          <w:rFonts w:ascii="Arial" w:eastAsia="Calibri" w:hAnsi="Arial" w:cs="Arial"/>
          <w:color w:val="000000" w:themeColor="text1"/>
          <w:sz w:val="22"/>
        </w:rPr>
        <w:t xml:space="preserve"> </w:t>
      </w:r>
      <w:r w:rsidR="00DC67B9" w:rsidRPr="00672CC2">
        <w:rPr>
          <w:rFonts w:ascii="Arial" w:eastAsia="Calibri" w:hAnsi="Arial" w:cs="Arial"/>
          <w:color w:val="000000" w:themeColor="text1"/>
          <w:sz w:val="22"/>
        </w:rPr>
        <w:t>unen</w:t>
      </w:r>
      <w:r w:rsidR="003E58D3" w:rsidRPr="00672CC2">
        <w:rPr>
          <w:rFonts w:ascii="Arial" w:eastAsia="Calibri" w:hAnsi="Arial" w:cs="Arial"/>
          <w:color w:val="000000" w:themeColor="text1"/>
          <w:sz w:val="22"/>
        </w:rPr>
        <w:t xml:space="preserve"> esfuerzos para un objetivo de utilidad común. </w:t>
      </w:r>
    </w:p>
    <w:p w14:paraId="3EE0A863" w14:textId="36313E9F" w:rsidR="00BD5110" w:rsidRPr="00672CC2" w:rsidRDefault="00BD5110" w:rsidP="0067359B">
      <w:pPr>
        <w:tabs>
          <w:tab w:val="left" w:pos="709"/>
        </w:tabs>
        <w:spacing w:before="120" w:line="276" w:lineRule="auto"/>
        <w:jc w:val="both"/>
        <w:rPr>
          <w:rFonts w:ascii="Arial" w:eastAsia="Calibri" w:hAnsi="Arial" w:cs="Arial"/>
          <w:color w:val="000000" w:themeColor="text1"/>
          <w:sz w:val="22"/>
        </w:rPr>
      </w:pPr>
      <w:r w:rsidRPr="00672CC2">
        <w:rPr>
          <w:rFonts w:ascii="Arial" w:eastAsia="Calibri" w:hAnsi="Arial" w:cs="Arial"/>
          <w:color w:val="000000" w:themeColor="text1"/>
          <w:sz w:val="22"/>
        </w:rPr>
        <w:tab/>
        <w:t>En contraste</w:t>
      </w:r>
      <w:r w:rsidR="003E58D3" w:rsidRPr="00672CC2">
        <w:rPr>
          <w:rFonts w:ascii="Arial" w:eastAsia="Calibri" w:hAnsi="Arial" w:cs="Arial"/>
          <w:color w:val="000000" w:themeColor="text1"/>
          <w:sz w:val="22"/>
        </w:rPr>
        <w:t xml:space="preserve">, el préstamo de uso es una de las tantas </w:t>
      </w:r>
      <w:r w:rsidRPr="00672CC2">
        <w:rPr>
          <w:rFonts w:ascii="Arial" w:eastAsia="Calibri" w:hAnsi="Arial" w:cs="Arial"/>
          <w:color w:val="000000" w:themeColor="text1"/>
          <w:sz w:val="22"/>
        </w:rPr>
        <w:t>obligaciones</w:t>
      </w:r>
      <w:r w:rsidR="003E58D3" w:rsidRPr="00672CC2">
        <w:rPr>
          <w:rFonts w:ascii="Arial" w:eastAsia="Calibri" w:hAnsi="Arial" w:cs="Arial"/>
          <w:color w:val="000000" w:themeColor="text1"/>
          <w:sz w:val="22"/>
        </w:rPr>
        <w:t xml:space="preserve"> que hace parte de la colaboración conjunta entre las entidades públicas y las ESAL para el cumplimiento de objetivos de interés general previstos en los planes de desarrollo o para el cumplimiento de las funciones de las entidades públicas. Sólo en estos dos (2) eventos, el comodato </w:t>
      </w:r>
      <w:r w:rsidRPr="00672CC2">
        <w:rPr>
          <w:rFonts w:ascii="Arial" w:eastAsia="Calibri" w:hAnsi="Arial" w:cs="Arial"/>
          <w:color w:val="000000" w:themeColor="text1"/>
          <w:sz w:val="22"/>
        </w:rPr>
        <w:t>está relacionado con la</w:t>
      </w:r>
      <w:r w:rsidR="003E58D3" w:rsidRPr="00672CC2">
        <w:rPr>
          <w:rFonts w:ascii="Arial" w:eastAsia="Calibri" w:hAnsi="Arial" w:cs="Arial"/>
          <w:color w:val="000000" w:themeColor="text1"/>
          <w:sz w:val="22"/>
        </w:rPr>
        <w:t xml:space="preserve"> aplicación del Decreto 092 de 2017</w:t>
      </w:r>
      <w:r w:rsidRPr="00672CC2">
        <w:rPr>
          <w:rFonts w:ascii="Arial" w:eastAsia="Calibri" w:hAnsi="Arial" w:cs="Arial"/>
          <w:color w:val="000000" w:themeColor="text1"/>
          <w:sz w:val="22"/>
        </w:rPr>
        <w:t>; razón por la cual el deber de publicidad en el SECOP surge del antecitado artículo 7 de dicho reglamento</w:t>
      </w:r>
      <w:r w:rsidR="003E58D3" w:rsidRPr="00672CC2">
        <w:rPr>
          <w:rFonts w:ascii="Arial" w:eastAsia="Calibri" w:hAnsi="Arial" w:cs="Arial"/>
          <w:color w:val="000000" w:themeColor="text1"/>
          <w:sz w:val="22"/>
        </w:rPr>
        <w:t>.</w:t>
      </w:r>
    </w:p>
    <w:p w14:paraId="0CEAB0F8" w14:textId="77777777" w:rsidR="00476FA1" w:rsidRPr="00672CC2" w:rsidRDefault="00476FA1" w:rsidP="00626273">
      <w:pPr>
        <w:tabs>
          <w:tab w:val="left" w:pos="709"/>
        </w:tabs>
        <w:spacing w:line="276" w:lineRule="auto"/>
        <w:jc w:val="both"/>
        <w:rPr>
          <w:rFonts w:ascii="Arial" w:eastAsia="Calibri" w:hAnsi="Arial" w:cs="Arial"/>
          <w:color w:val="000000" w:themeColor="text1"/>
          <w:sz w:val="22"/>
        </w:rPr>
      </w:pPr>
    </w:p>
    <w:p w14:paraId="210FE173" w14:textId="6AB9B109" w:rsidR="00BD5110" w:rsidRPr="00672CC2" w:rsidRDefault="00BD5110" w:rsidP="00626273">
      <w:pPr>
        <w:tabs>
          <w:tab w:val="left" w:pos="426"/>
        </w:tabs>
        <w:ind w:left="709" w:right="709"/>
        <w:jc w:val="both"/>
        <w:rPr>
          <w:rFonts w:ascii="Arial" w:eastAsia="Calibri" w:hAnsi="Arial" w:cs="Arial"/>
          <w:color w:val="000000" w:themeColor="text1"/>
          <w:sz w:val="21"/>
          <w:szCs w:val="21"/>
        </w:rPr>
      </w:pPr>
      <w:r w:rsidRPr="00672CC2">
        <w:rPr>
          <w:rFonts w:ascii="Arial" w:eastAsia="Calibri" w:hAnsi="Arial" w:cs="Arial"/>
          <w:color w:val="000000" w:themeColor="text1"/>
          <w:sz w:val="21"/>
          <w:szCs w:val="21"/>
        </w:rPr>
        <w:t>ii) Considerando que las Gobernaciones deben implementar el SECOP II a partir de abril de 2020, ¿los contratos de comodato con fecha anterior pueden publicarse en SECOP I?</w:t>
      </w:r>
    </w:p>
    <w:p w14:paraId="6FA908D2" w14:textId="77777777" w:rsidR="00BD5110" w:rsidRPr="00672CC2" w:rsidRDefault="00BD5110" w:rsidP="00626273">
      <w:pPr>
        <w:tabs>
          <w:tab w:val="left" w:pos="426"/>
        </w:tabs>
        <w:spacing w:line="276" w:lineRule="auto"/>
        <w:ind w:left="709" w:right="709"/>
        <w:jc w:val="both"/>
        <w:rPr>
          <w:rFonts w:ascii="Arial" w:eastAsia="Calibri" w:hAnsi="Arial" w:cs="Arial"/>
          <w:color w:val="000000" w:themeColor="text1"/>
          <w:sz w:val="22"/>
        </w:rPr>
      </w:pPr>
    </w:p>
    <w:p w14:paraId="178D40B1" w14:textId="0705A1DB" w:rsidR="002D3CB9" w:rsidRPr="00672CC2" w:rsidRDefault="00FC12F3" w:rsidP="00A226CF">
      <w:pPr>
        <w:spacing w:line="276" w:lineRule="auto"/>
        <w:jc w:val="both"/>
        <w:rPr>
          <w:rFonts w:ascii="Arial" w:eastAsia="Calibri" w:hAnsi="Arial" w:cs="Arial"/>
          <w:color w:val="000000" w:themeColor="text1"/>
          <w:sz w:val="22"/>
        </w:rPr>
      </w:pPr>
      <w:bookmarkStart w:id="8" w:name="_Hlk35443449"/>
      <w:r w:rsidRPr="00672CC2">
        <w:rPr>
          <w:rFonts w:ascii="Arial" w:eastAsia="Calibri" w:hAnsi="Arial" w:cs="Arial"/>
          <w:bCs/>
          <w:color w:val="000000" w:themeColor="text1"/>
          <w:sz w:val="22"/>
          <w:lang w:val="es-ES_tradnl"/>
        </w:rPr>
        <w:t xml:space="preserve">Conforme al considerando 2.3, los contratos de comodato que celebren las gobernaciones al amparo del artículo </w:t>
      </w:r>
      <w:r w:rsidRPr="00672CC2">
        <w:rPr>
          <w:rFonts w:ascii="Arial" w:eastAsia="Calibri" w:hAnsi="Arial" w:cs="Arial"/>
          <w:color w:val="000000" w:themeColor="text1"/>
          <w:sz w:val="22"/>
        </w:rPr>
        <w:t xml:space="preserve">38 de la Ley 9 de 1989 se publican </w:t>
      </w:r>
      <w:r w:rsidR="00A226CF" w:rsidRPr="00672CC2">
        <w:rPr>
          <w:rFonts w:ascii="Arial" w:eastAsia="Calibri" w:hAnsi="Arial" w:cs="Arial"/>
          <w:color w:val="000000" w:themeColor="text1"/>
          <w:sz w:val="22"/>
        </w:rPr>
        <w:t>en</w:t>
      </w:r>
      <w:r w:rsidRPr="00672CC2">
        <w:rPr>
          <w:rFonts w:ascii="Arial" w:eastAsia="Calibri" w:hAnsi="Arial" w:cs="Arial"/>
          <w:color w:val="000000" w:themeColor="text1"/>
          <w:sz w:val="22"/>
        </w:rPr>
        <w:t xml:space="preserve"> SECOP I si los procesos iniciaron antes del 1º de abril de 2020</w:t>
      </w:r>
      <w:r w:rsidR="00AD182F" w:rsidRPr="00672CC2">
        <w:rPr>
          <w:rFonts w:ascii="Arial" w:eastAsia="Calibri" w:hAnsi="Arial" w:cs="Arial"/>
          <w:color w:val="000000" w:themeColor="text1"/>
          <w:sz w:val="22"/>
        </w:rPr>
        <w:t>. Por el contrario, los contratos de comodato del Decreto 092 de 2017</w:t>
      </w:r>
      <w:r w:rsidR="00F521CC" w:rsidRPr="00672CC2">
        <w:rPr>
          <w:rFonts w:ascii="Arial" w:eastAsia="Calibri" w:hAnsi="Arial" w:cs="Arial"/>
          <w:color w:val="000000" w:themeColor="text1"/>
          <w:sz w:val="22"/>
        </w:rPr>
        <w:t xml:space="preserve"> se gestionan a través de SECOP II, conforme a lo indicado en </w:t>
      </w:r>
      <w:r w:rsidR="00F521CC" w:rsidRPr="00672CC2">
        <w:rPr>
          <w:rFonts w:ascii="Arial" w:eastAsia="Calibri" w:hAnsi="Arial" w:cs="Arial"/>
          <w:bCs/>
          <w:color w:val="000000" w:themeColor="text1"/>
          <w:sz w:val="22"/>
          <w:lang w:val="es-ES_tradnl"/>
        </w:rPr>
        <w:t xml:space="preserve">la Circular Externa No. 1 del 22 de agosto de 2019. </w:t>
      </w:r>
      <w:r w:rsidR="00AD182F" w:rsidRPr="00672CC2">
        <w:rPr>
          <w:rFonts w:ascii="Arial" w:eastAsia="Calibri" w:hAnsi="Arial" w:cs="Arial"/>
          <w:color w:val="000000" w:themeColor="text1"/>
          <w:sz w:val="22"/>
        </w:rPr>
        <w:t xml:space="preserve">  </w:t>
      </w:r>
      <w:r w:rsidRPr="00672CC2">
        <w:rPr>
          <w:rFonts w:ascii="Arial" w:eastAsia="Calibri" w:hAnsi="Arial" w:cs="Arial"/>
          <w:color w:val="000000" w:themeColor="text1"/>
          <w:sz w:val="22"/>
        </w:rPr>
        <w:t xml:space="preserve"> </w:t>
      </w:r>
    </w:p>
    <w:p w14:paraId="4B6B66AD" w14:textId="77777777" w:rsidR="00EE2030" w:rsidRPr="00EE2030" w:rsidRDefault="00FC12F3" w:rsidP="00EE2030">
      <w:pPr>
        <w:spacing w:line="276" w:lineRule="auto"/>
        <w:jc w:val="both"/>
        <w:rPr>
          <w:rFonts w:ascii="Arial" w:eastAsia="Calibri" w:hAnsi="Arial" w:cs="Arial"/>
          <w:bCs/>
          <w:color w:val="000000" w:themeColor="text1"/>
          <w:sz w:val="16"/>
          <w:szCs w:val="16"/>
          <w:lang w:val="es-ES_tradnl"/>
        </w:rPr>
      </w:pPr>
      <w:r w:rsidRPr="00672CC2">
        <w:rPr>
          <w:rFonts w:ascii="Arial" w:eastAsia="Calibri" w:hAnsi="Arial" w:cs="Arial"/>
          <w:bCs/>
          <w:color w:val="000000" w:themeColor="text1"/>
          <w:sz w:val="22"/>
          <w:lang w:val="es-ES_tradnl"/>
        </w:rPr>
        <w:t xml:space="preserve"> </w:t>
      </w:r>
      <w:bookmarkEnd w:id="8"/>
    </w:p>
    <w:p w14:paraId="7CC88A7D" w14:textId="35DF1D14" w:rsidR="00F1108B" w:rsidRPr="00672CC2" w:rsidRDefault="00F1108B" w:rsidP="00EE2030">
      <w:pPr>
        <w:spacing w:line="276" w:lineRule="auto"/>
        <w:jc w:val="both"/>
        <w:rPr>
          <w:rFonts w:ascii="Arial" w:eastAsia="Calibri" w:hAnsi="Arial" w:cs="Arial"/>
          <w:color w:val="000000" w:themeColor="text1"/>
          <w:sz w:val="22"/>
        </w:rPr>
      </w:pPr>
      <w:r w:rsidRPr="00672CC2">
        <w:rPr>
          <w:rFonts w:ascii="Arial" w:eastAsia="Calibri" w:hAnsi="Arial" w:cs="Arial"/>
          <w:color w:val="000000" w:themeColor="text1"/>
          <w:sz w:val="22"/>
        </w:rPr>
        <w:t>Este concepto tiene el alcance previsto en el artículo 28 del Código de Procedimiento Administrativo y de lo Contencioso Administrativo.</w:t>
      </w:r>
    </w:p>
    <w:p w14:paraId="43D2F84E" w14:textId="77777777" w:rsidR="00A37FB6" w:rsidRPr="00EE2030" w:rsidRDefault="00A37FB6" w:rsidP="00D01760">
      <w:pPr>
        <w:spacing w:line="276" w:lineRule="auto"/>
        <w:jc w:val="both"/>
        <w:rPr>
          <w:rFonts w:ascii="Arial" w:eastAsia="Calibri" w:hAnsi="Arial" w:cs="Arial"/>
          <w:color w:val="000000" w:themeColor="text1"/>
          <w:sz w:val="16"/>
          <w:szCs w:val="16"/>
        </w:rPr>
      </w:pPr>
    </w:p>
    <w:p w14:paraId="0F8C901F" w14:textId="77777777" w:rsidR="00A37FB6" w:rsidRPr="00672CC2" w:rsidRDefault="00A37FB6" w:rsidP="00D01760">
      <w:pPr>
        <w:jc w:val="both"/>
        <w:rPr>
          <w:rFonts w:ascii="Arial" w:eastAsia="Calibri" w:hAnsi="Arial" w:cs="Arial"/>
          <w:color w:val="000000" w:themeColor="text1"/>
          <w:sz w:val="22"/>
        </w:rPr>
      </w:pPr>
      <w:r w:rsidRPr="00672CC2">
        <w:rPr>
          <w:noProof/>
          <w:color w:val="000000" w:themeColor="text1"/>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737C77A">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69FD85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1E81A930" w14:textId="77777777" w:rsidR="00A37FB6" w:rsidRPr="00672CC2" w:rsidRDefault="00A37FB6" w:rsidP="00D01760">
      <w:pPr>
        <w:rPr>
          <w:rFonts w:ascii="Arial" w:eastAsia="Times New Roman" w:hAnsi="Arial" w:cs="Arial"/>
          <w:color w:val="000000" w:themeColor="text1"/>
          <w:sz w:val="22"/>
          <w:lang w:eastAsia="es-CO"/>
        </w:rPr>
      </w:pPr>
      <w:r w:rsidRPr="00672CC2">
        <w:rPr>
          <w:rFonts w:ascii="Arial" w:eastAsia="Times New Roman" w:hAnsi="Arial" w:cs="Arial"/>
          <w:color w:val="000000" w:themeColor="text1"/>
          <w:sz w:val="22"/>
          <w:lang w:eastAsia="es-CO"/>
        </w:rPr>
        <w:t>Atentamente,</w:t>
      </w:r>
    </w:p>
    <w:p w14:paraId="2FA3EE98" w14:textId="75E01325" w:rsidR="00A662E8" w:rsidRDefault="00F601E1" w:rsidP="00746E08">
      <w:pPr>
        <w:jc w:val="center"/>
        <w:rPr>
          <w:rFonts w:ascii="Arial" w:eastAsia="Times New Roman" w:hAnsi="Arial" w:cs="Arial"/>
          <w:color w:val="000000" w:themeColor="text1"/>
          <w:sz w:val="18"/>
          <w:szCs w:val="20"/>
          <w:lang w:eastAsia="es-CO"/>
        </w:rPr>
      </w:pPr>
      <w:r>
        <w:rPr>
          <w:noProof/>
        </w:rPr>
        <w:drawing>
          <wp:inline distT="0" distB="0" distL="0" distR="0" wp14:anchorId="37D8DE55" wp14:editId="15D63202">
            <wp:extent cx="2773045" cy="988695"/>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72CC2" w:rsidRPr="00672CC2" w14:paraId="469202AF" w14:textId="77777777" w:rsidTr="003432C8">
        <w:trPr>
          <w:trHeight w:val="315"/>
        </w:trPr>
        <w:tc>
          <w:tcPr>
            <w:tcW w:w="812" w:type="dxa"/>
            <w:vAlign w:val="center"/>
            <w:hideMark/>
          </w:tcPr>
          <w:p w14:paraId="3F62A0B3" w14:textId="77777777" w:rsidR="00746E08" w:rsidRPr="00672CC2" w:rsidRDefault="00746E08">
            <w:pPr>
              <w:rPr>
                <w:rFonts w:ascii="Arial" w:eastAsia="Times New Roman" w:hAnsi="Arial" w:cs="Arial"/>
                <w:color w:val="000000" w:themeColor="text1"/>
                <w:sz w:val="16"/>
                <w:szCs w:val="16"/>
                <w:lang w:eastAsia="es-ES"/>
              </w:rPr>
            </w:pPr>
            <w:r w:rsidRPr="00672CC2">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1C325E7" w14:textId="60EE00D9" w:rsidR="00746E08" w:rsidRPr="00672CC2" w:rsidRDefault="00A668BA">
            <w:pPr>
              <w:rPr>
                <w:rFonts w:ascii="Arial" w:eastAsia="Times New Roman" w:hAnsi="Arial" w:cs="Arial"/>
                <w:color w:val="000000" w:themeColor="text1"/>
                <w:sz w:val="16"/>
                <w:szCs w:val="16"/>
                <w:lang w:eastAsia="es-ES"/>
              </w:rPr>
            </w:pPr>
            <w:r w:rsidRPr="00672CC2">
              <w:rPr>
                <w:rFonts w:ascii="Arial" w:eastAsia="Times New Roman" w:hAnsi="Arial" w:cs="Arial"/>
                <w:color w:val="000000" w:themeColor="text1"/>
                <w:sz w:val="16"/>
                <w:szCs w:val="16"/>
                <w:lang w:eastAsia="es-ES"/>
              </w:rPr>
              <w:t xml:space="preserve">Juan David Montoya Penagos </w:t>
            </w:r>
          </w:p>
        </w:tc>
      </w:tr>
      <w:tr w:rsidR="00672CC2" w:rsidRPr="00672CC2" w14:paraId="10BC78E8" w14:textId="77777777" w:rsidTr="003432C8">
        <w:trPr>
          <w:trHeight w:val="330"/>
        </w:trPr>
        <w:tc>
          <w:tcPr>
            <w:tcW w:w="812" w:type="dxa"/>
            <w:vAlign w:val="center"/>
            <w:hideMark/>
          </w:tcPr>
          <w:p w14:paraId="6A7DBF66" w14:textId="77777777" w:rsidR="00746E08" w:rsidRPr="00672CC2" w:rsidRDefault="00746E08">
            <w:pPr>
              <w:rPr>
                <w:rFonts w:ascii="Arial" w:eastAsia="Times New Roman" w:hAnsi="Arial" w:cs="Arial"/>
                <w:color w:val="000000" w:themeColor="text1"/>
                <w:sz w:val="16"/>
                <w:szCs w:val="16"/>
                <w:lang w:eastAsia="es-ES"/>
              </w:rPr>
            </w:pPr>
            <w:r w:rsidRPr="00672CC2">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7777777" w:rsidR="00746E08" w:rsidRPr="00672CC2" w:rsidRDefault="00746E08" w:rsidP="00746E08">
            <w:pPr>
              <w:rPr>
                <w:rFonts w:ascii="Arial" w:eastAsia="Times New Roman" w:hAnsi="Arial" w:cs="Arial"/>
                <w:color w:val="000000" w:themeColor="text1"/>
                <w:sz w:val="16"/>
                <w:szCs w:val="16"/>
                <w:lang w:eastAsia="es-ES"/>
              </w:rPr>
            </w:pPr>
            <w:r w:rsidRPr="00672CC2">
              <w:rPr>
                <w:rFonts w:ascii="Arial" w:eastAsia="Times New Roman" w:hAnsi="Arial" w:cs="Arial"/>
                <w:color w:val="000000" w:themeColor="text1"/>
                <w:sz w:val="16"/>
                <w:szCs w:val="16"/>
                <w:lang w:eastAsia="es-ES"/>
              </w:rPr>
              <w:t>Fabián Gonzalo Marín Cortés</w:t>
            </w:r>
          </w:p>
          <w:p w14:paraId="19E8BD8D" w14:textId="69868F8E" w:rsidR="00746E08" w:rsidRPr="00672CC2" w:rsidRDefault="00746E08">
            <w:pPr>
              <w:rPr>
                <w:rFonts w:ascii="Arial" w:eastAsia="Times New Roman" w:hAnsi="Arial" w:cs="Arial"/>
                <w:color w:val="000000" w:themeColor="text1"/>
                <w:sz w:val="16"/>
                <w:szCs w:val="16"/>
                <w:lang w:eastAsia="es-ES"/>
              </w:rPr>
            </w:pPr>
            <w:r w:rsidRPr="00672CC2">
              <w:rPr>
                <w:rFonts w:ascii="Arial" w:eastAsia="Times New Roman" w:hAnsi="Arial" w:cs="Arial"/>
                <w:color w:val="000000" w:themeColor="text1"/>
                <w:sz w:val="16"/>
                <w:szCs w:val="16"/>
                <w:lang w:eastAsia="es-ES"/>
              </w:rPr>
              <w:t>Subdirector de Gestión Contractual</w:t>
            </w:r>
          </w:p>
        </w:tc>
      </w:tr>
      <w:tr w:rsidR="00746E08" w:rsidRPr="00672CC2" w14:paraId="50741B38" w14:textId="77777777" w:rsidTr="003432C8">
        <w:trPr>
          <w:trHeight w:val="300"/>
        </w:trPr>
        <w:tc>
          <w:tcPr>
            <w:tcW w:w="812" w:type="dxa"/>
            <w:vAlign w:val="center"/>
            <w:hideMark/>
          </w:tcPr>
          <w:p w14:paraId="297715FA" w14:textId="77777777" w:rsidR="00746E08" w:rsidRPr="00672CC2" w:rsidRDefault="00746E08">
            <w:pPr>
              <w:rPr>
                <w:rFonts w:ascii="Arial" w:eastAsia="Times New Roman" w:hAnsi="Arial" w:cs="Arial"/>
                <w:color w:val="000000" w:themeColor="text1"/>
                <w:sz w:val="16"/>
                <w:szCs w:val="16"/>
                <w:lang w:eastAsia="es-ES"/>
              </w:rPr>
            </w:pPr>
            <w:r w:rsidRPr="00672CC2">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672CC2" w:rsidRDefault="00746E08" w:rsidP="00746E08">
            <w:pPr>
              <w:rPr>
                <w:rFonts w:ascii="Arial" w:eastAsia="Times New Roman" w:hAnsi="Arial" w:cs="Arial"/>
                <w:color w:val="000000" w:themeColor="text1"/>
                <w:sz w:val="16"/>
                <w:szCs w:val="16"/>
                <w:lang w:eastAsia="es-ES"/>
              </w:rPr>
            </w:pPr>
            <w:r w:rsidRPr="00672CC2">
              <w:rPr>
                <w:rFonts w:ascii="Arial" w:eastAsia="Times New Roman" w:hAnsi="Arial" w:cs="Arial"/>
                <w:color w:val="000000" w:themeColor="text1"/>
                <w:sz w:val="16"/>
                <w:szCs w:val="16"/>
                <w:lang w:eastAsia="es-ES"/>
              </w:rPr>
              <w:t>Fabián Gonzalo Marín Cortés</w:t>
            </w:r>
          </w:p>
          <w:p w14:paraId="17847B1F" w14:textId="71EB0D70" w:rsidR="00746E08" w:rsidRPr="00672CC2" w:rsidRDefault="00746E08">
            <w:pPr>
              <w:rPr>
                <w:rFonts w:ascii="Arial" w:eastAsia="Times New Roman" w:hAnsi="Arial" w:cs="Arial"/>
                <w:color w:val="000000" w:themeColor="text1"/>
                <w:sz w:val="16"/>
                <w:szCs w:val="16"/>
                <w:lang w:eastAsia="es-ES"/>
              </w:rPr>
            </w:pPr>
            <w:r w:rsidRPr="00672CC2">
              <w:rPr>
                <w:rFonts w:ascii="Arial" w:eastAsia="Times New Roman" w:hAnsi="Arial" w:cs="Arial"/>
                <w:color w:val="000000" w:themeColor="text1"/>
                <w:sz w:val="16"/>
                <w:szCs w:val="16"/>
                <w:lang w:eastAsia="es-ES"/>
              </w:rPr>
              <w:t>Subdirector de Gestión Contractual</w:t>
            </w:r>
          </w:p>
        </w:tc>
      </w:tr>
    </w:tbl>
    <w:p w14:paraId="3BD317ED" w14:textId="507AF0B4" w:rsidR="00271C2C" w:rsidRPr="00672CC2" w:rsidRDefault="00271C2C" w:rsidP="00271C2C">
      <w:pPr>
        <w:rPr>
          <w:rFonts w:ascii="Arial" w:eastAsia="Times New Roman" w:hAnsi="Arial" w:cs="Arial"/>
          <w:color w:val="000000" w:themeColor="text1"/>
          <w:sz w:val="16"/>
          <w:szCs w:val="16"/>
          <w:lang w:eastAsia="es-ES"/>
        </w:rPr>
      </w:pPr>
    </w:p>
    <w:sectPr w:rsidR="00271C2C" w:rsidRPr="00672CC2"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17982" w14:textId="77777777" w:rsidR="003015A0" w:rsidRDefault="003015A0">
      <w:r>
        <w:separator/>
      </w:r>
    </w:p>
  </w:endnote>
  <w:endnote w:type="continuationSeparator" w:id="0">
    <w:p w14:paraId="753D3DFB" w14:textId="77777777" w:rsidR="003015A0" w:rsidRDefault="003015A0">
      <w:r>
        <w:continuationSeparator/>
      </w:r>
    </w:p>
  </w:endnote>
  <w:endnote w:type="continuationNotice" w:id="1">
    <w:p w14:paraId="467D2F31" w14:textId="77777777" w:rsidR="003015A0" w:rsidRDefault="00301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217B7" w:rsidRPr="009A5632" w:rsidRDefault="008217B7" w:rsidP="00322937">
    <w:pPr>
      <w:pStyle w:val="Sinespaciado"/>
      <w:jc w:val="right"/>
      <w:rPr>
        <w:rFonts w:ascii="Arial" w:hAnsi="Arial" w:cs="Arial"/>
        <w:sz w:val="18"/>
        <w:szCs w:val="18"/>
      </w:rPr>
    </w:pPr>
  </w:p>
  <w:p w14:paraId="7A3785F3" w14:textId="78E1196A"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FE0FE9">
      <w:rPr>
        <w:rFonts w:ascii="Arial" w:hAnsi="Arial" w:cs="Arial"/>
        <w:b/>
        <w:bCs/>
        <w:noProof/>
        <w:color w:val="7F7F7F" w:themeColor="text1" w:themeTint="80"/>
        <w:sz w:val="16"/>
        <w:szCs w:val="16"/>
      </w:rPr>
      <w:t>1</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FE0FE9">
      <w:rPr>
        <w:rFonts w:ascii="Arial" w:hAnsi="Arial" w:cs="Arial"/>
        <w:b/>
        <w:bCs/>
        <w:noProof/>
        <w:color w:val="7F7F7F" w:themeColor="text1" w:themeTint="80"/>
        <w:sz w:val="16"/>
        <w:szCs w:val="16"/>
      </w:rPr>
      <w:t>11</w:t>
    </w:r>
    <w:r w:rsidR="00FE42ED" w:rsidRPr="00084B97">
      <w:rPr>
        <w:rFonts w:ascii="Arial" w:hAnsi="Arial" w:cs="Arial"/>
        <w:b/>
        <w:bCs/>
        <w:color w:val="7F7F7F" w:themeColor="text1" w:themeTint="80"/>
        <w:sz w:val="16"/>
        <w:szCs w:val="16"/>
      </w:rPr>
      <w:fldChar w:fldCharType="end"/>
    </w:r>
  </w:p>
  <w:p w14:paraId="48FC6A04" w14:textId="5FD1A7C9" w:rsidR="009047C5" w:rsidRDefault="73AE38B2" w:rsidP="00322937">
    <w:pPr>
      <w:pStyle w:val="Piedepgina"/>
      <w:jc w:val="center"/>
      <w:rPr>
        <w:lang w:val="es-ES"/>
      </w:rPr>
    </w:pPr>
    <w:r>
      <w:rPr>
        <w:noProof/>
      </w:rPr>
      <w:drawing>
        <wp:inline distT="0" distB="0" distL="0" distR="0" wp14:anchorId="608B196D" wp14:editId="0E5862F2">
          <wp:extent cx="3700130" cy="519139"/>
          <wp:effectExtent l="0" t="0" r="0" b="0"/>
          <wp:docPr id="11482799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75F29" w14:textId="77777777" w:rsidR="003015A0" w:rsidRDefault="003015A0">
      <w:r>
        <w:separator/>
      </w:r>
    </w:p>
  </w:footnote>
  <w:footnote w:type="continuationSeparator" w:id="0">
    <w:p w14:paraId="536097A9" w14:textId="77777777" w:rsidR="003015A0" w:rsidRDefault="003015A0">
      <w:r>
        <w:continuationSeparator/>
      </w:r>
    </w:p>
  </w:footnote>
  <w:footnote w:type="continuationNotice" w:id="1">
    <w:p w14:paraId="15C22BA1" w14:textId="77777777" w:rsidR="003015A0" w:rsidRDefault="003015A0"/>
  </w:footnote>
  <w:footnote w:id="2">
    <w:p w14:paraId="790F0F23" w14:textId="0E4C5A0A" w:rsidR="00886323" w:rsidRPr="00EE2030" w:rsidRDefault="00886323" w:rsidP="00BC3C55">
      <w:pPr>
        <w:pStyle w:val="Textonotapie"/>
        <w:ind w:firstLine="708"/>
        <w:jc w:val="both"/>
        <w:rPr>
          <w:rFonts w:ascii="Arial" w:hAnsi="Arial" w:cs="Arial"/>
          <w:sz w:val="19"/>
          <w:szCs w:val="19"/>
        </w:rPr>
      </w:pPr>
      <w:r w:rsidRPr="00EE2030">
        <w:rPr>
          <w:rStyle w:val="Refdenotaalpie"/>
          <w:rFonts w:ascii="Arial" w:hAnsi="Arial" w:cs="Arial"/>
          <w:sz w:val="19"/>
          <w:szCs w:val="19"/>
        </w:rPr>
        <w:footnoteRef/>
      </w:r>
      <w:r w:rsidRPr="00EE2030">
        <w:rPr>
          <w:rFonts w:ascii="Arial" w:hAnsi="Arial" w:cs="Arial"/>
          <w:sz w:val="19"/>
          <w:szCs w:val="19"/>
        </w:rPr>
        <w:t xml:space="preserve"> Sobre esta norma consultar los conceptos del 8 de octubre de 2019, con radicado No. 2201913000007532, y del 20 de diciembre de 2019, con radicado No. 4201913000008240.</w:t>
      </w:r>
    </w:p>
    <w:p w14:paraId="2226EC61" w14:textId="77777777" w:rsidR="003B0DB9" w:rsidRPr="00EE2030" w:rsidRDefault="003B0DB9" w:rsidP="00BC3C55">
      <w:pPr>
        <w:pStyle w:val="Textonotapie"/>
        <w:ind w:firstLine="708"/>
        <w:jc w:val="both"/>
        <w:rPr>
          <w:rFonts w:ascii="Arial" w:hAnsi="Arial" w:cs="Arial"/>
          <w:sz w:val="19"/>
          <w:szCs w:val="19"/>
        </w:rPr>
      </w:pPr>
    </w:p>
  </w:footnote>
  <w:footnote w:id="3">
    <w:p w14:paraId="421CD7E4" w14:textId="0FD77FC7" w:rsidR="00A337FB" w:rsidRPr="00EE2030" w:rsidRDefault="00A337FB" w:rsidP="00A337FB">
      <w:pPr>
        <w:pStyle w:val="Textonotapie"/>
        <w:ind w:firstLine="708"/>
        <w:jc w:val="both"/>
        <w:rPr>
          <w:rFonts w:ascii="Arial" w:hAnsi="Arial" w:cs="Arial"/>
          <w:sz w:val="19"/>
          <w:szCs w:val="19"/>
        </w:rPr>
      </w:pPr>
      <w:r w:rsidRPr="00EE2030">
        <w:rPr>
          <w:rStyle w:val="Refdenotaalpie"/>
        </w:rPr>
        <w:footnoteRef/>
      </w:r>
      <w:r w:rsidRPr="00EE2030">
        <w:t xml:space="preserve"> </w:t>
      </w:r>
      <w:r w:rsidRPr="00EE2030">
        <w:rPr>
          <w:rFonts w:ascii="Arial" w:hAnsi="Arial" w:cs="Arial"/>
          <w:sz w:val="19"/>
          <w:szCs w:val="19"/>
        </w:rPr>
        <w:t>Al respecto, la norma dispone que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67930CC8" w14:textId="22163B41" w:rsidR="00A337FB" w:rsidRPr="00EE2030" w:rsidRDefault="00A337FB" w:rsidP="00A337FB">
      <w:pPr>
        <w:pStyle w:val="Textonotapie"/>
        <w:ind w:firstLine="708"/>
        <w:jc w:val="both"/>
        <w:rPr>
          <w:rFonts w:ascii="Arial" w:hAnsi="Arial" w:cs="Arial"/>
          <w:sz w:val="19"/>
          <w:szCs w:val="19"/>
        </w:rPr>
      </w:pPr>
      <w:r w:rsidRPr="00EE2030">
        <w:rPr>
          <w:rFonts w:ascii="Arial" w:hAnsi="Arial" w:cs="Arial"/>
          <w:sz w:val="19"/>
          <w:szCs w:val="19"/>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71928809" w14:textId="0C9EC5F4" w:rsidR="00A337FB" w:rsidRPr="00EE2030" w:rsidRDefault="00A337FB" w:rsidP="00A337FB">
      <w:pPr>
        <w:pStyle w:val="Textonotapie"/>
        <w:ind w:firstLine="708"/>
        <w:rPr>
          <w:lang w:val="es-ES"/>
        </w:rPr>
      </w:pPr>
      <w:r w:rsidRPr="00EE2030">
        <w:t xml:space="preserve"> </w:t>
      </w:r>
    </w:p>
  </w:footnote>
  <w:footnote w:id="4">
    <w:p w14:paraId="1944C751" w14:textId="1939A305" w:rsidR="00045246" w:rsidRPr="00EE2030" w:rsidRDefault="00045246" w:rsidP="00045246">
      <w:pPr>
        <w:pStyle w:val="Textonotapie"/>
        <w:ind w:firstLine="708"/>
        <w:jc w:val="both"/>
        <w:rPr>
          <w:rFonts w:ascii="Arial" w:hAnsi="Arial" w:cs="Arial"/>
          <w:sz w:val="19"/>
          <w:szCs w:val="19"/>
        </w:rPr>
      </w:pPr>
      <w:r w:rsidRPr="00EE2030">
        <w:rPr>
          <w:rStyle w:val="Refdenotaalpie"/>
          <w:rFonts w:ascii="Arial" w:hAnsi="Arial" w:cs="Arial"/>
          <w:sz w:val="19"/>
          <w:szCs w:val="19"/>
        </w:rPr>
        <w:footnoteRef/>
      </w:r>
      <w:r w:rsidRPr="00EE2030">
        <w:rPr>
          <w:rFonts w:ascii="Arial" w:hAnsi="Arial" w:cs="Arial"/>
          <w:sz w:val="19"/>
          <w:szCs w:val="19"/>
        </w:rPr>
        <w:t xml:space="preserve"> Concepto del 3 de septiembre de 2019, con radicado No. 2201913000006512.</w:t>
      </w:r>
    </w:p>
    <w:p w14:paraId="532FC45E" w14:textId="77777777" w:rsidR="00EA3BC8" w:rsidRPr="00EE2030" w:rsidRDefault="00EA3BC8" w:rsidP="00045246">
      <w:pPr>
        <w:pStyle w:val="Textonotapie"/>
        <w:ind w:firstLine="708"/>
        <w:jc w:val="both"/>
        <w:rPr>
          <w:rFonts w:ascii="Arial" w:hAnsi="Arial" w:cs="Arial"/>
          <w:sz w:val="19"/>
          <w:szCs w:val="19"/>
        </w:rPr>
      </w:pPr>
    </w:p>
  </w:footnote>
  <w:footnote w:id="5">
    <w:p w14:paraId="7235A3A0" w14:textId="777A6BC6" w:rsidR="00045246" w:rsidRPr="00EE2030" w:rsidRDefault="00045246" w:rsidP="00CA48A4">
      <w:pPr>
        <w:pStyle w:val="Textonotapie"/>
        <w:ind w:firstLine="708"/>
        <w:jc w:val="both"/>
        <w:rPr>
          <w:rFonts w:ascii="Arial" w:hAnsi="Arial" w:cs="Arial"/>
          <w:sz w:val="19"/>
          <w:szCs w:val="19"/>
        </w:rPr>
      </w:pPr>
      <w:r w:rsidRPr="00EE2030">
        <w:rPr>
          <w:rStyle w:val="Refdenotaalpie"/>
          <w:rFonts w:ascii="Arial" w:hAnsi="Arial" w:cs="Arial"/>
          <w:sz w:val="19"/>
          <w:szCs w:val="19"/>
        </w:rPr>
        <w:footnoteRef/>
      </w:r>
      <w:r w:rsidRPr="00EE2030">
        <w:rPr>
          <w:rFonts w:ascii="Arial" w:hAnsi="Arial" w:cs="Arial"/>
          <w:sz w:val="19"/>
          <w:szCs w:val="19"/>
        </w:rPr>
        <w:t xml:space="preserve"> Sobre la naturaleza de los convenios de asociación, se reitera lo expuesto en el concepto del 19 de noviembre de 2019, con radicado No. 2201913000008611.</w:t>
      </w:r>
    </w:p>
  </w:footnote>
  <w:footnote w:id="6">
    <w:p w14:paraId="5ABEFB0E" w14:textId="130B63FC" w:rsidR="00521FD8" w:rsidRPr="00EE2030" w:rsidRDefault="00521FD8" w:rsidP="00521FD8">
      <w:pPr>
        <w:pStyle w:val="Textonotapie"/>
        <w:ind w:firstLine="708"/>
        <w:jc w:val="both"/>
        <w:rPr>
          <w:rFonts w:ascii="Arial" w:hAnsi="Arial" w:cs="Arial"/>
          <w:sz w:val="19"/>
          <w:szCs w:val="19"/>
        </w:rPr>
      </w:pPr>
      <w:r w:rsidRPr="00EE2030">
        <w:rPr>
          <w:vertAlign w:val="superscript"/>
        </w:rPr>
        <w:footnoteRef/>
      </w:r>
      <w:r w:rsidRPr="00EE2030">
        <w:rPr>
          <w:rFonts w:ascii="Arial" w:hAnsi="Arial" w:cs="Arial"/>
          <w:sz w:val="19"/>
          <w:szCs w:val="19"/>
        </w:rPr>
        <w:t xml:space="preserve"> Al respecto, la jurisprudencia explica que «Entre las características esenciales (art. 1501 C.C.) que […] delimitan la institución, y la identifican como una relación jurídica de tenencia, se hallan las de corresponder a un negocio real, porque no se perfecciona sino por virtud de la entrega (no tanto la tradición, en sentido técnico)  de la cosa sobre la cual versa (arts. 1500 y 2200 C.C), carácter que se explica por cuanto la obligación fundamental, consiste en la restitución de la cosa por parte del comodatario al comodante; es, asimismo, una convención sustancialmente gratuita o de beneficencia</w:t>
      </w:r>
      <w:r w:rsidRPr="00EE2030">
        <w:rPr>
          <w:rFonts w:ascii="Arial" w:hAnsi="Arial" w:cs="Arial"/>
          <w:sz w:val="19"/>
          <w:szCs w:val="19"/>
          <w:lang w:val="es-ES"/>
        </w:rPr>
        <w:t xml:space="preserve"> </w:t>
      </w:r>
      <w:r w:rsidRPr="00EE2030">
        <w:rPr>
          <w:rFonts w:ascii="Arial" w:hAnsi="Arial" w:cs="Arial"/>
          <w:sz w:val="19"/>
          <w:szCs w:val="19"/>
        </w:rPr>
        <w:t>(arts. 1497 y 2200 C.C.), cuyo objeto es la utilidad de una de las partes, el prestatario o comodatario; se trata de un acto jurídico de naturaleza unilateral, en principio, porque sólo genera una obligación que grava a uno de los contratantes, esto es, la obligación de restituir la cosa, radicada en cabeza del comodatario; es un contrato principal, en la medida que “no requiere de algún otro para nacer a la vida jurídica” ; y, finalmente, es convenio nominado y típico, pues tiene enunciación y regulación legal</w:t>
      </w:r>
      <w:r w:rsidR="009B1EB4" w:rsidRPr="00EE2030">
        <w:rPr>
          <w:rFonts w:ascii="Arial" w:hAnsi="Arial" w:cs="Arial"/>
          <w:sz w:val="19"/>
          <w:szCs w:val="19"/>
        </w:rPr>
        <w:t>» (CORTE SUPREMA DE JUSTICIA. Sala de Casación Civil</w:t>
      </w:r>
      <w:r w:rsidRPr="00EE2030">
        <w:rPr>
          <w:rFonts w:ascii="Arial" w:hAnsi="Arial" w:cs="Arial"/>
          <w:sz w:val="19"/>
          <w:szCs w:val="19"/>
        </w:rPr>
        <w:t>.</w:t>
      </w:r>
      <w:r w:rsidR="009B1EB4" w:rsidRPr="00EE2030">
        <w:rPr>
          <w:rFonts w:ascii="Arial" w:hAnsi="Arial" w:cs="Arial"/>
          <w:sz w:val="19"/>
          <w:szCs w:val="19"/>
        </w:rPr>
        <w:t xml:space="preserve"> Sentencia del 23 de mayo de 2018. Exp. 76001310301220080040401. M.P. Luis Armando Tolosa Villabona).</w:t>
      </w:r>
    </w:p>
    <w:p w14:paraId="3707761E" w14:textId="77777777" w:rsidR="00EA3BC8" w:rsidRPr="00EE2030" w:rsidRDefault="00EA3BC8" w:rsidP="00521FD8">
      <w:pPr>
        <w:pStyle w:val="Textonotapie"/>
        <w:ind w:firstLine="708"/>
        <w:jc w:val="both"/>
        <w:rPr>
          <w:rFonts w:ascii="Arial" w:hAnsi="Arial" w:cs="Arial"/>
          <w:sz w:val="19"/>
          <w:szCs w:val="19"/>
        </w:rPr>
      </w:pPr>
    </w:p>
  </w:footnote>
  <w:footnote w:id="7">
    <w:p w14:paraId="0B420A81" w14:textId="3177C149" w:rsidR="00595D4A" w:rsidRPr="00EE2030" w:rsidRDefault="00595D4A" w:rsidP="00595D4A">
      <w:pPr>
        <w:pStyle w:val="Textonotapie"/>
        <w:ind w:firstLine="708"/>
        <w:jc w:val="both"/>
        <w:rPr>
          <w:rFonts w:ascii="Arial" w:hAnsi="Arial" w:cs="Arial"/>
          <w:sz w:val="19"/>
          <w:szCs w:val="19"/>
          <w:lang w:val="es-ES"/>
        </w:rPr>
      </w:pPr>
      <w:r w:rsidRPr="00EE2030">
        <w:rPr>
          <w:rStyle w:val="Refdenotaalpie"/>
          <w:rFonts w:ascii="Arial" w:hAnsi="Arial" w:cs="Arial"/>
          <w:sz w:val="19"/>
          <w:szCs w:val="19"/>
        </w:rPr>
        <w:footnoteRef/>
      </w:r>
      <w:r w:rsidRPr="00EE2030">
        <w:rPr>
          <w:rFonts w:ascii="Arial" w:hAnsi="Arial" w:cs="Arial"/>
          <w:sz w:val="19"/>
          <w:szCs w:val="19"/>
        </w:rPr>
        <w:t xml:space="preserve"> </w:t>
      </w:r>
      <w:r w:rsidR="00863842" w:rsidRPr="00EE2030">
        <w:rPr>
          <w:rFonts w:ascii="Arial" w:hAnsi="Arial" w:cs="Arial"/>
          <w:sz w:val="19"/>
          <w:szCs w:val="19"/>
        </w:rPr>
        <w:t>CORTE SUPREMA DE JUSTICIA</w:t>
      </w:r>
      <w:r w:rsidRPr="00EE2030">
        <w:rPr>
          <w:rFonts w:ascii="Arial" w:hAnsi="Arial" w:cs="Arial"/>
          <w:sz w:val="19"/>
          <w:szCs w:val="19"/>
        </w:rPr>
        <w:t xml:space="preserve">. Sala de casación civil. Sentencia del 4 de agosto de 2008. Exp. 68001310300920000071001. M.P. Edgardo Villamil Portilla. </w:t>
      </w:r>
    </w:p>
  </w:footnote>
  <w:footnote w:id="8">
    <w:p w14:paraId="21C9398D" w14:textId="43ED4C8F" w:rsidR="00944637" w:rsidRPr="00EE2030" w:rsidRDefault="00944637" w:rsidP="00AD5541">
      <w:pPr>
        <w:pStyle w:val="Textonotapie"/>
        <w:ind w:firstLine="708"/>
        <w:jc w:val="both"/>
        <w:rPr>
          <w:rFonts w:ascii="Arial" w:hAnsi="Arial" w:cs="Arial"/>
          <w:sz w:val="19"/>
          <w:szCs w:val="19"/>
        </w:rPr>
      </w:pPr>
      <w:r w:rsidRPr="00EE2030">
        <w:rPr>
          <w:rStyle w:val="Refdenotaalpie"/>
        </w:rPr>
        <w:footnoteRef/>
      </w:r>
      <w:r w:rsidRPr="00EE2030">
        <w:t xml:space="preserve"> </w:t>
      </w:r>
      <w:r w:rsidRPr="00EE2030">
        <w:rPr>
          <w:rFonts w:ascii="Arial" w:hAnsi="Arial" w:cs="Arial"/>
          <w:sz w:val="19"/>
          <w:szCs w:val="19"/>
        </w:rPr>
        <w:t>CONSEJO DE ESTADO. Sección Tercera. Sentencia del 30 de julio de 2008. Rad. 15.466. C.P. Ramiro Saavedra Becerra.</w:t>
      </w:r>
    </w:p>
    <w:p w14:paraId="019EDDF3" w14:textId="77777777" w:rsidR="00465202" w:rsidRPr="00EE2030" w:rsidRDefault="00465202" w:rsidP="00AD5541">
      <w:pPr>
        <w:pStyle w:val="Textonotapie"/>
        <w:ind w:firstLine="708"/>
        <w:jc w:val="both"/>
        <w:rPr>
          <w:rFonts w:ascii="Arial" w:hAnsi="Arial" w:cs="Arial"/>
          <w:sz w:val="19"/>
          <w:szCs w:val="19"/>
        </w:rPr>
      </w:pPr>
    </w:p>
  </w:footnote>
  <w:footnote w:id="9">
    <w:p w14:paraId="13F9BD66" w14:textId="21BB3E00" w:rsidR="001C3904" w:rsidRPr="00EE2030" w:rsidRDefault="001C3904" w:rsidP="001C3904">
      <w:pPr>
        <w:pStyle w:val="Textonotapie"/>
        <w:ind w:firstLine="708"/>
        <w:jc w:val="both"/>
        <w:rPr>
          <w:lang w:val="es-ES"/>
        </w:rPr>
      </w:pPr>
      <w:r w:rsidRPr="00EE2030">
        <w:rPr>
          <w:rStyle w:val="Refdenotaalpie"/>
        </w:rPr>
        <w:footnoteRef/>
      </w:r>
      <w:r w:rsidRPr="00EE2030">
        <w:t xml:space="preserve"> </w:t>
      </w:r>
      <w:r w:rsidRPr="00EE2030">
        <w:rPr>
          <w:rFonts w:ascii="Arial" w:hAnsi="Arial" w:cs="Arial"/>
          <w:sz w:val="19"/>
          <w:szCs w:val="19"/>
        </w:rPr>
        <w:t>CONSEJO DE ESTADO. Sección Tercera. Sentencia del 15 de agosto de 2007. Exp. 19001233100020050099301(AP). C.P. Ruth Stella Correa Palacio.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59D3"/>
    <w:rsid w:val="0001035E"/>
    <w:rsid w:val="00012852"/>
    <w:rsid w:val="00024BE5"/>
    <w:rsid w:val="0002519A"/>
    <w:rsid w:val="000265B3"/>
    <w:rsid w:val="00045246"/>
    <w:rsid w:val="00045AFC"/>
    <w:rsid w:val="00080ACD"/>
    <w:rsid w:val="00084B97"/>
    <w:rsid w:val="000942EB"/>
    <w:rsid w:val="000A0158"/>
    <w:rsid w:val="000B0FAB"/>
    <w:rsid w:val="000B103F"/>
    <w:rsid w:val="000B419B"/>
    <w:rsid w:val="000B4B96"/>
    <w:rsid w:val="000C639D"/>
    <w:rsid w:val="000C75EC"/>
    <w:rsid w:val="000D0ED2"/>
    <w:rsid w:val="000E4DDF"/>
    <w:rsid w:val="000F14E8"/>
    <w:rsid w:val="000F5896"/>
    <w:rsid w:val="00100A31"/>
    <w:rsid w:val="001019AF"/>
    <w:rsid w:val="00103915"/>
    <w:rsid w:val="001051E5"/>
    <w:rsid w:val="00113705"/>
    <w:rsid w:val="00122B23"/>
    <w:rsid w:val="00125BED"/>
    <w:rsid w:val="00125C59"/>
    <w:rsid w:val="00127AF2"/>
    <w:rsid w:val="00136BF7"/>
    <w:rsid w:val="00137EBC"/>
    <w:rsid w:val="00137FFA"/>
    <w:rsid w:val="00141245"/>
    <w:rsid w:val="001418A4"/>
    <w:rsid w:val="00145C6F"/>
    <w:rsid w:val="001502DF"/>
    <w:rsid w:val="00155DEC"/>
    <w:rsid w:val="00160401"/>
    <w:rsid w:val="00161B15"/>
    <w:rsid w:val="0016200B"/>
    <w:rsid w:val="00165D90"/>
    <w:rsid w:val="001A3EC0"/>
    <w:rsid w:val="001B0444"/>
    <w:rsid w:val="001B2456"/>
    <w:rsid w:val="001B3C8B"/>
    <w:rsid w:val="001C26F2"/>
    <w:rsid w:val="001C3904"/>
    <w:rsid w:val="001C3E5C"/>
    <w:rsid w:val="001D60AF"/>
    <w:rsid w:val="001E28B0"/>
    <w:rsid w:val="001E57C8"/>
    <w:rsid w:val="001F00B3"/>
    <w:rsid w:val="001F2356"/>
    <w:rsid w:val="0020632A"/>
    <w:rsid w:val="002110EB"/>
    <w:rsid w:val="00211338"/>
    <w:rsid w:val="00211388"/>
    <w:rsid w:val="00211797"/>
    <w:rsid w:val="00213A1F"/>
    <w:rsid w:val="00213A7A"/>
    <w:rsid w:val="002304E7"/>
    <w:rsid w:val="00234B84"/>
    <w:rsid w:val="0024107C"/>
    <w:rsid w:val="00242ABE"/>
    <w:rsid w:val="00245778"/>
    <w:rsid w:val="00247712"/>
    <w:rsid w:val="00271C2C"/>
    <w:rsid w:val="002C4C0C"/>
    <w:rsid w:val="002D3CB9"/>
    <w:rsid w:val="002D708C"/>
    <w:rsid w:val="003015A0"/>
    <w:rsid w:val="003033BA"/>
    <w:rsid w:val="00306453"/>
    <w:rsid w:val="00306E70"/>
    <w:rsid w:val="00322937"/>
    <w:rsid w:val="00327A5C"/>
    <w:rsid w:val="0033092C"/>
    <w:rsid w:val="00333B5D"/>
    <w:rsid w:val="00336729"/>
    <w:rsid w:val="003370E7"/>
    <w:rsid w:val="0034177C"/>
    <w:rsid w:val="003432C8"/>
    <w:rsid w:val="0034680A"/>
    <w:rsid w:val="00353DD5"/>
    <w:rsid w:val="003575B9"/>
    <w:rsid w:val="00376B5E"/>
    <w:rsid w:val="003856A6"/>
    <w:rsid w:val="00386456"/>
    <w:rsid w:val="003953D2"/>
    <w:rsid w:val="00397FF0"/>
    <w:rsid w:val="003A0878"/>
    <w:rsid w:val="003A581E"/>
    <w:rsid w:val="003B09C2"/>
    <w:rsid w:val="003B0DB9"/>
    <w:rsid w:val="003B3E7C"/>
    <w:rsid w:val="003C1AF4"/>
    <w:rsid w:val="003D2881"/>
    <w:rsid w:val="003E5846"/>
    <w:rsid w:val="003E58D3"/>
    <w:rsid w:val="003F14DE"/>
    <w:rsid w:val="003F1DE4"/>
    <w:rsid w:val="004068B0"/>
    <w:rsid w:val="00413FFA"/>
    <w:rsid w:val="00423F9F"/>
    <w:rsid w:val="00430A70"/>
    <w:rsid w:val="00433F2B"/>
    <w:rsid w:val="00434787"/>
    <w:rsid w:val="00435489"/>
    <w:rsid w:val="0043561A"/>
    <w:rsid w:val="004422D6"/>
    <w:rsid w:val="00443E79"/>
    <w:rsid w:val="0045271D"/>
    <w:rsid w:val="00452803"/>
    <w:rsid w:val="00454217"/>
    <w:rsid w:val="00455354"/>
    <w:rsid w:val="004632D9"/>
    <w:rsid w:val="00464030"/>
    <w:rsid w:val="00465202"/>
    <w:rsid w:val="00474C5E"/>
    <w:rsid w:val="00476FA1"/>
    <w:rsid w:val="004808DE"/>
    <w:rsid w:val="0048367C"/>
    <w:rsid w:val="004861B4"/>
    <w:rsid w:val="00490686"/>
    <w:rsid w:val="0049241A"/>
    <w:rsid w:val="004A08D1"/>
    <w:rsid w:val="004A22B1"/>
    <w:rsid w:val="004A34D2"/>
    <w:rsid w:val="004B284A"/>
    <w:rsid w:val="004B7D7E"/>
    <w:rsid w:val="004C22F7"/>
    <w:rsid w:val="004E61D5"/>
    <w:rsid w:val="004F2ECC"/>
    <w:rsid w:val="00502368"/>
    <w:rsid w:val="0051074C"/>
    <w:rsid w:val="00512C4F"/>
    <w:rsid w:val="00513AF2"/>
    <w:rsid w:val="00521FD8"/>
    <w:rsid w:val="00522C81"/>
    <w:rsid w:val="005316E9"/>
    <w:rsid w:val="0053718A"/>
    <w:rsid w:val="0054311A"/>
    <w:rsid w:val="00543721"/>
    <w:rsid w:val="0054413A"/>
    <w:rsid w:val="005526EE"/>
    <w:rsid w:val="00552E97"/>
    <w:rsid w:val="0055305B"/>
    <w:rsid w:val="005564CA"/>
    <w:rsid w:val="0056182B"/>
    <w:rsid w:val="005715A2"/>
    <w:rsid w:val="005731B0"/>
    <w:rsid w:val="005756AA"/>
    <w:rsid w:val="005813DE"/>
    <w:rsid w:val="00594FFF"/>
    <w:rsid w:val="00595D4A"/>
    <w:rsid w:val="005A145F"/>
    <w:rsid w:val="005A1976"/>
    <w:rsid w:val="005A5A3D"/>
    <w:rsid w:val="005A70A8"/>
    <w:rsid w:val="005B2BC3"/>
    <w:rsid w:val="005B3981"/>
    <w:rsid w:val="005C117E"/>
    <w:rsid w:val="005C3879"/>
    <w:rsid w:val="005C59D4"/>
    <w:rsid w:val="005C5C52"/>
    <w:rsid w:val="005C7DA8"/>
    <w:rsid w:val="005D51FA"/>
    <w:rsid w:val="005D791B"/>
    <w:rsid w:val="005E1574"/>
    <w:rsid w:val="005E2990"/>
    <w:rsid w:val="005F46FD"/>
    <w:rsid w:val="005F5F8F"/>
    <w:rsid w:val="0060057C"/>
    <w:rsid w:val="00614817"/>
    <w:rsid w:val="00623AC2"/>
    <w:rsid w:val="00626243"/>
    <w:rsid w:val="00626273"/>
    <w:rsid w:val="00630883"/>
    <w:rsid w:val="00633DBF"/>
    <w:rsid w:val="00655371"/>
    <w:rsid w:val="00670B20"/>
    <w:rsid w:val="00672CC2"/>
    <w:rsid w:val="0067359B"/>
    <w:rsid w:val="00676127"/>
    <w:rsid w:val="006908DB"/>
    <w:rsid w:val="00696859"/>
    <w:rsid w:val="00697665"/>
    <w:rsid w:val="006A07AC"/>
    <w:rsid w:val="006A7CB5"/>
    <w:rsid w:val="006A7FD0"/>
    <w:rsid w:val="006B46C8"/>
    <w:rsid w:val="006C0BDF"/>
    <w:rsid w:val="006C3D9D"/>
    <w:rsid w:val="006C5B76"/>
    <w:rsid w:val="006D58B9"/>
    <w:rsid w:val="006D7687"/>
    <w:rsid w:val="006E0572"/>
    <w:rsid w:val="006E3D04"/>
    <w:rsid w:val="00700883"/>
    <w:rsid w:val="00705631"/>
    <w:rsid w:val="007123C6"/>
    <w:rsid w:val="00715C29"/>
    <w:rsid w:val="00715EAA"/>
    <w:rsid w:val="00722CE7"/>
    <w:rsid w:val="0072427F"/>
    <w:rsid w:val="00725AFD"/>
    <w:rsid w:val="00742DD2"/>
    <w:rsid w:val="007441A2"/>
    <w:rsid w:val="00745035"/>
    <w:rsid w:val="00746E08"/>
    <w:rsid w:val="00747C96"/>
    <w:rsid w:val="0075094E"/>
    <w:rsid w:val="007522E8"/>
    <w:rsid w:val="0075647A"/>
    <w:rsid w:val="007634AD"/>
    <w:rsid w:val="00773BC8"/>
    <w:rsid w:val="00780B34"/>
    <w:rsid w:val="00780F32"/>
    <w:rsid w:val="0078122E"/>
    <w:rsid w:val="00781CF5"/>
    <w:rsid w:val="0079381F"/>
    <w:rsid w:val="00795647"/>
    <w:rsid w:val="007A2BCE"/>
    <w:rsid w:val="007A49D1"/>
    <w:rsid w:val="007B0854"/>
    <w:rsid w:val="007B1013"/>
    <w:rsid w:val="007B6EC8"/>
    <w:rsid w:val="007C2EB2"/>
    <w:rsid w:val="007D50BE"/>
    <w:rsid w:val="007F22A0"/>
    <w:rsid w:val="007F6B46"/>
    <w:rsid w:val="007F72CB"/>
    <w:rsid w:val="007F785F"/>
    <w:rsid w:val="0081766B"/>
    <w:rsid w:val="008217B7"/>
    <w:rsid w:val="0083119B"/>
    <w:rsid w:val="00836EAB"/>
    <w:rsid w:val="0083724E"/>
    <w:rsid w:val="0085092D"/>
    <w:rsid w:val="00850F79"/>
    <w:rsid w:val="00851DFA"/>
    <w:rsid w:val="00857630"/>
    <w:rsid w:val="008618BB"/>
    <w:rsid w:val="00863842"/>
    <w:rsid w:val="0087039D"/>
    <w:rsid w:val="00872387"/>
    <w:rsid w:val="008726CA"/>
    <w:rsid w:val="00886323"/>
    <w:rsid w:val="00886B4A"/>
    <w:rsid w:val="008956C7"/>
    <w:rsid w:val="0089774F"/>
    <w:rsid w:val="008A796E"/>
    <w:rsid w:val="008B40AB"/>
    <w:rsid w:val="008B5FC1"/>
    <w:rsid w:val="008C11F0"/>
    <w:rsid w:val="008C45BD"/>
    <w:rsid w:val="008D69B1"/>
    <w:rsid w:val="008E1C15"/>
    <w:rsid w:val="008E7D6E"/>
    <w:rsid w:val="008F538E"/>
    <w:rsid w:val="0090189B"/>
    <w:rsid w:val="00902E5C"/>
    <w:rsid w:val="009047C5"/>
    <w:rsid w:val="00922E35"/>
    <w:rsid w:val="00926D77"/>
    <w:rsid w:val="00933333"/>
    <w:rsid w:val="00937401"/>
    <w:rsid w:val="009422A0"/>
    <w:rsid w:val="00944637"/>
    <w:rsid w:val="00945B1A"/>
    <w:rsid w:val="00950610"/>
    <w:rsid w:val="009528B3"/>
    <w:rsid w:val="0095385A"/>
    <w:rsid w:val="0095780A"/>
    <w:rsid w:val="009715D4"/>
    <w:rsid w:val="0098427D"/>
    <w:rsid w:val="009865D5"/>
    <w:rsid w:val="009953AD"/>
    <w:rsid w:val="009A5632"/>
    <w:rsid w:val="009B1EB4"/>
    <w:rsid w:val="009C118E"/>
    <w:rsid w:val="009E61EA"/>
    <w:rsid w:val="009F5703"/>
    <w:rsid w:val="009F59C2"/>
    <w:rsid w:val="009F73A1"/>
    <w:rsid w:val="009F75EA"/>
    <w:rsid w:val="00A0188B"/>
    <w:rsid w:val="00A021E2"/>
    <w:rsid w:val="00A041BC"/>
    <w:rsid w:val="00A06E51"/>
    <w:rsid w:val="00A1152C"/>
    <w:rsid w:val="00A127D2"/>
    <w:rsid w:val="00A1382D"/>
    <w:rsid w:val="00A13AAC"/>
    <w:rsid w:val="00A1403F"/>
    <w:rsid w:val="00A20264"/>
    <w:rsid w:val="00A226CF"/>
    <w:rsid w:val="00A2270E"/>
    <w:rsid w:val="00A24560"/>
    <w:rsid w:val="00A27AD6"/>
    <w:rsid w:val="00A32ED8"/>
    <w:rsid w:val="00A337FB"/>
    <w:rsid w:val="00A34538"/>
    <w:rsid w:val="00A35893"/>
    <w:rsid w:val="00A37FB6"/>
    <w:rsid w:val="00A431FE"/>
    <w:rsid w:val="00A45FAA"/>
    <w:rsid w:val="00A53E79"/>
    <w:rsid w:val="00A55281"/>
    <w:rsid w:val="00A662E8"/>
    <w:rsid w:val="00A668BA"/>
    <w:rsid w:val="00A66DDD"/>
    <w:rsid w:val="00A76525"/>
    <w:rsid w:val="00A8043B"/>
    <w:rsid w:val="00A91512"/>
    <w:rsid w:val="00A965EA"/>
    <w:rsid w:val="00AA08E7"/>
    <w:rsid w:val="00AA442B"/>
    <w:rsid w:val="00AA669D"/>
    <w:rsid w:val="00AA7416"/>
    <w:rsid w:val="00AC39D6"/>
    <w:rsid w:val="00AD182F"/>
    <w:rsid w:val="00AD41AB"/>
    <w:rsid w:val="00AD5541"/>
    <w:rsid w:val="00AE1EA7"/>
    <w:rsid w:val="00AE491A"/>
    <w:rsid w:val="00AF0EAD"/>
    <w:rsid w:val="00AF26CF"/>
    <w:rsid w:val="00AF3F88"/>
    <w:rsid w:val="00B0100F"/>
    <w:rsid w:val="00B04A1A"/>
    <w:rsid w:val="00B05A55"/>
    <w:rsid w:val="00B05FA3"/>
    <w:rsid w:val="00B06595"/>
    <w:rsid w:val="00B13EC0"/>
    <w:rsid w:val="00B14EA3"/>
    <w:rsid w:val="00B22E22"/>
    <w:rsid w:val="00B30D48"/>
    <w:rsid w:val="00B30F00"/>
    <w:rsid w:val="00B31949"/>
    <w:rsid w:val="00B4347D"/>
    <w:rsid w:val="00B46978"/>
    <w:rsid w:val="00B525CB"/>
    <w:rsid w:val="00B530AE"/>
    <w:rsid w:val="00B63872"/>
    <w:rsid w:val="00B63CB2"/>
    <w:rsid w:val="00B64EDB"/>
    <w:rsid w:val="00B7258D"/>
    <w:rsid w:val="00B7315F"/>
    <w:rsid w:val="00B84BB8"/>
    <w:rsid w:val="00B91B8E"/>
    <w:rsid w:val="00BA1382"/>
    <w:rsid w:val="00BA22FC"/>
    <w:rsid w:val="00BA4771"/>
    <w:rsid w:val="00BB149A"/>
    <w:rsid w:val="00BB77F1"/>
    <w:rsid w:val="00BC20DA"/>
    <w:rsid w:val="00BC3C55"/>
    <w:rsid w:val="00BD5110"/>
    <w:rsid w:val="00BD78FE"/>
    <w:rsid w:val="00BF23A3"/>
    <w:rsid w:val="00BF7C52"/>
    <w:rsid w:val="00C165FC"/>
    <w:rsid w:val="00C17171"/>
    <w:rsid w:val="00C30123"/>
    <w:rsid w:val="00C32017"/>
    <w:rsid w:val="00C419E3"/>
    <w:rsid w:val="00C41E6A"/>
    <w:rsid w:val="00C50CA8"/>
    <w:rsid w:val="00C610FB"/>
    <w:rsid w:val="00C63E99"/>
    <w:rsid w:val="00C913E3"/>
    <w:rsid w:val="00C91F75"/>
    <w:rsid w:val="00C93D8C"/>
    <w:rsid w:val="00C94022"/>
    <w:rsid w:val="00C97BAD"/>
    <w:rsid w:val="00CA0EEF"/>
    <w:rsid w:val="00CA383B"/>
    <w:rsid w:val="00CA48A4"/>
    <w:rsid w:val="00CB5F4F"/>
    <w:rsid w:val="00CC00CD"/>
    <w:rsid w:val="00CC315F"/>
    <w:rsid w:val="00CE02AD"/>
    <w:rsid w:val="00CE0566"/>
    <w:rsid w:val="00CF550D"/>
    <w:rsid w:val="00D01760"/>
    <w:rsid w:val="00D10E7C"/>
    <w:rsid w:val="00D1119D"/>
    <w:rsid w:val="00D13FEB"/>
    <w:rsid w:val="00D16E39"/>
    <w:rsid w:val="00D17E38"/>
    <w:rsid w:val="00D21BB5"/>
    <w:rsid w:val="00D223B6"/>
    <w:rsid w:val="00D27E7A"/>
    <w:rsid w:val="00D31C6A"/>
    <w:rsid w:val="00D32256"/>
    <w:rsid w:val="00D47D09"/>
    <w:rsid w:val="00D50F51"/>
    <w:rsid w:val="00D57940"/>
    <w:rsid w:val="00D60327"/>
    <w:rsid w:val="00D65823"/>
    <w:rsid w:val="00D72E9D"/>
    <w:rsid w:val="00D74158"/>
    <w:rsid w:val="00D75706"/>
    <w:rsid w:val="00D75E99"/>
    <w:rsid w:val="00D82CE5"/>
    <w:rsid w:val="00D8342C"/>
    <w:rsid w:val="00D93726"/>
    <w:rsid w:val="00D96760"/>
    <w:rsid w:val="00D974C8"/>
    <w:rsid w:val="00DA1243"/>
    <w:rsid w:val="00DA5AB1"/>
    <w:rsid w:val="00DA6C81"/>
    <w:rsid w:val="00DB1AFF"/>
    <w:rsid w:val="00DC518A"/>
    <w:rsid w:val="00DC5ED3"/>
    <w:rsid w:val="00DC62E5"/>
    <w:rsid w:val="00DC67B9"/>
    <w:rsid w:val="00DD5EC6"/>
    <w:rsid w:val="00DD735D"/>
    <w:rsid w:val="00DE02B7"/>
    <w:rsid w:val="00DE2630"/>
    <w:rsid w:val="00DE3119"/>
    <w:rsid w:val="00DE52D6"/>
    <w:rsid w:val="00DF236B"/>
    <w:rsid w:val="00DF4451"/>
    <w:rsid w:val="00DF7F30"/>
    <w:rsid w:val="00E109DD"/>
    <w:rsid w:val="00E13AB8"/>
    <w:rsid w:val="00E16A32"/>
    <w:rsid w:val="00E202C2"/>
    <w:rsid w:val="00E25CB3"/>
    <w:rsid w:val="00E267B7"/>
    <w:rsid w:val="00E27359"/>
    <w:rsid w:val="00E31F64"/>
    <w:rsid w:val="00E33B62"/>
    <w:rsid w:val="00E33EE9"/>
    <w:rsid w:val="00E356DF"/>
    <w:rsid w:val="00E36CEB"/>
    <w:rsid w:val="00E4143A"/>
    <w:rsid w:val="00E43EBC"/>
    <w:rsid w:val="00E53189"/>
    <w:rsid w:val="00E56090"/>
    <w:rsid w:val="00E565B9"/>
    <w:rsid w:val="00E57D5E"/>
    <w:rsid w:val="00E612E7"/>
    <w:rsid w:val="00E613F1"/>
    <w:rsid w:val="00E63F11"/>
    <w:rsid w:val="00E71BD5"/>
    <w:rsid w:val="00E82D14"/>
    <w:rsid w:val="00E8395B"/>
    <w:rsid w:val="00E91454"/>
    <w:rsid w:val="00E93C92"/>
    <w:rsid w:val="00E9556D"/>
    <w:rsid w:val="00EA3BC8"/>
    <w:rsid w:val="00EA5464"/>
    <w:rsid w:val="00EB57B2"/>
    <w:rsid w:val="00EC0E7E"/>
    <w:rsid w:val="00EC1CE7"/>
    <w:rsid w:val="00ED0ED8"/>
    <w:rsid w:val="00ED587F"/>
    <w:rsid w:val="00EE0C5C"/>
    <w:rsid w:val="00EE2030"/>
    <w:rsid w:val="00EE3CEF"/>
    <w:rsid w:val="00EE55E7"/>
    <w:rsid w:val="00EE59B5"/>
    <w:rsid w:val="00F1108B"/>
    <w:rsid w:val="00F144A8"/>
    <w:rsid w:val="00F25971"/>
    <w:rsid w:val="00F30727"/>
    <w:rsid w:val="00F521CC"/>
    <w:rsid w:val="00F53A67"/>
    <w:rsid w:val="00F543A2"/>
    <w:rsid w:val="00F57B72"/>
    <w:rsid w:val="00F601E1"/>
    <w:rsid w:val="00F64239"/>
    <w:rsid w:val="00F84899"/>
    <w:rsid w:val="00F859F0"/>
    <w:rsid w:val="00F87E29"/>
    <w:rsid w:val="00F96B70"/>
    <w:rsid w:val="00FB27B7"/>
    <w:rsid w:val="00FB6738"/>
    <w:rsid w:val="00FC113C"/>
    <w:rsid w:val="00FC12F3"/>
    <w:rsid w:val="00FC1644"/>
    <w:rsid w:val="00FC18DC"/>
    <w:rsid w:val="00FC1D91"/>
    <w:rsid w:val="00FC7C7B"/>
    <w:rsid w:val="00FD1619"/>
    <w:rsid w:val="00FE0FE9"/>
    <w:rsid w:val="00FE141E"/>
    <w:rsid w:val="00FE42ED"/>
    <w:rsid w:val="00FE5C5A"/>
    <w:rsid w:val="00FE7349"/>
    <w:rsid w:val="00FE7FCD"/>
    <w:rsid w:val="00FF5FA6"/>
    <w:rsid w:val="1FB4E5D3"/>
    <w:rsid w:val="303C77A9"/>
    <w:rsid w:val="73AE38B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383AC423-774B-4BE8-9556-FF00561E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DE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48367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07275982">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853304754">
      <w:bodyDiv w:val="1"/>
      <w:marLeft w:val="0"/>
      <w:marRight w:val="0"/>
      <w:marTop w:val="0"/>
      <w:marBottom w:val="0"/>
      <w:divBdr>
        <w:top w:val="none" w:sz="0" w:space="0" w:color="auto"/>
        <w:left w:val="none" w:sz="0" w:space="0" w:color="auto"/>
        <w:bottom w:val="none" w:sz="0" w:space="0" w:color="auto"/>
        <w:right w:val="none" w:sz="0" w:space="0" w:color="auto"/>
      </w:divBdr>
      <w:divsChild>
        <w:div w:id="327641280">
          <w:marLeft w:val="0"/>
          <w:marRight w:val="0"/>
          <w:marTop w:val="0"/>
          <w:marBottom w:val="0"/>
          <w:divBdr>
            <w:top w:val="none" w:sz="0" w:space="0" w:color="auto"/>
            <w:left w:val="none" w:sz="0" w:space="0" w:color="auto"/>
            <w:bottom w:val="none" w:sz="0" w:space="0" w:color="auto"/>
            <w:right w:val="none" w:sz="0" w:space="0" w:color="auto"/>
          </w:divBdr>
        </w:div>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114590301">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206937513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3B8F19D-3AC4-477F-B24D-99933A50EF1F}">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115549AF-B3CF-4BC0-8985-6C74F56F4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16</TotalTime>
  <Pages>10</Pages>
  <Words>4005</Words>
  <Characters>22028</Characters>
  <Application>Microsoft Office Word</Application>
  <DocSecurity>0</DocSecurity>
  <Lines>183</Lines>
  <Paragraphs>51</Paragraphs>
  <ScaleCrop>false</ScaleCrop>
  <Company/>
  <LinksUpToDate>false</LinksUpToDate>
  <CharactersWithSpaces>25982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Carlos Mario Castrillón Endo</cp:lastModifiedBy>
  <cp:revision>197</cp:revision>
  <cp:lastPrinted>2020-01-30T15:05:00Z</cp:lastPrinted>
  <dcterms:created xsi:type="dcterms:W3CDTF">2020-02-26T18:00:00Z</dcterms:created>
  <dcterms:modified xsi:type="dcterms:W3CDTF">2020-08-03T14:21:00Z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