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E4612" w:rsidR="00EE4612" w:rsidP="00EE4612" w:rsidRDefault="00EE4612" w14:paraId="613CAF15" w14:textId="77777777">
      <w:pPr>
        <w:spacing w:after="0" w:line="240" w:lineRule="auto"/>
        <w:jc w:val="both"/>
        <w:rPr>
          <w:rFonts w:ascii="Century Gothic" w:hAnsi="Century Gothic" w:cs="Arial"/>
          <w:noProof/>
          <w:color w:val="000000" w:themeColor="text1"/>
          <w:lang w:val="es-ES_tradnl"/>
        </w:rPr>
      </w:pPr>
      <w:r w:rsidRPr="00EE4612">
        <w:rPr>
          <w:rFonts w:ascii="Century Gothic" w:hAnsi="Century Gothic" w:eastAsia="Calibri" w:cs="Arial"/>
          <w:b/>
          <w:bCs/>
          <w:color w:val="000000" w:themeColor="text1"/>
          <w:lang w:val="es-ES_tradnl"/>
        </w:rPr>
        <w:t>ESTRUCTURAS PLURALES – Consorcios y uniones temporales – Capacidad para contratar – Finalidades</w:t>
      </w:r>
    </w:p>
    <w:p w:rsidRPr="00EE4612" w:rsidR="00EE4612" w:rsidP="00EE4612" w:rsidRDefault="00EE4612" w14:paraId="7015AABE" w14:textId="77777777">
      <w:pPr>
        <w:tabs>
          <w:tab w:val="left" w:pos="426"/>
        </w:tabs>
        <w:spacing w:after="0" w:line="240" w:lineRule="auto"/>
        <w:jc w:val="both"/>
        <w:rPr>
          <w:rFonts w:ascii="Century Gothic" w:hAnsi="Century Gothic" w:cs="Arial"/>
          <w:bCs/>
          <w:color w:val="000000" w:themeColor="text1"/>
          <w:sz w:val="20"/>
          <w:szCs w:val="20"/>
          <w:lang w:val="es-ES_tradnl" w:eastAsia="es-CO"/>
        </w:rPr>
      </w:pPr>
    </w:p>
    <w:p w:rsidRPr="00EE4612" w:rsidR="00EE4612" w:rsidP="7545293B" w:rsidRDefault="00EE4612" w14:paraId="0A442D5E" w14:textId="77777777" w14:noSpellErr="1">
      <w:pPr>
        <w:tabs>
          <w:tab w:val="left" w:pos="426"/>
        </w:tabs>
        <w:spacing w:after="0" w:line="240" w:lineRule="auto"/>
        <w:jc w:val="both"/>
        <w:rPr>
          <w:rFonts w:ascii="Century Gothic" w:hAnsi="Century Gothic" w:cs="Arial"/>
          <w:color w:val="000000" w:themeColor="text1"/>
          <w:sz w:val="20"/>
          <w:szCs w:val="20"/>
          <w:lang w:val="es-ES" w:eastAsia="es-CO"/>
        </w:rPr>
      </w:pPr>
      <w:r w:rsidRPr="7545293B" w:rsidR="00EE4612">
        <w:rPr>
          <w:rFonts w:ascii="Century Gothic" w:hAnsi="Century Gothic" w:cs="Arial"/>
          <w:color w:val="000000" w:themeColor="text1" w:themeTint="FF" w:themeShade="FF"/>
          <w:sz w:val="20"/>
          <w:szCs w:val="20"/>
          <w:lang w:val="es-ES" w:eastAsia="es-CO"/>
        </w:rPr>
        <w:t>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p>
    <w:p w:rsidRPr="00EE4612" w:rsidR="00EE4612" w:rsidP="00EE4612" w:rsidRDefault="00EE4612" w14:paraId="748D29D0" w14:textId="77777777">
      <w:pPr>
        <w:spacing w:after="0" w:line="240" w:lineRule="auto"/>
        <w:jc w:val="both"/>
        <w:rPr>
          <w:rFonts w:ascii="Century Gothic" w:hAnsi="Century Gothic" w:cs="Arial"/>
          <w:noProof/>
          <w:color w:val="000000" w:themeColor="text1"/>
          <w:sz w:val="20"/>
          <w:szCs w:val="20"/>
          <w:lang w:val="es-ES_tradnl"/>
        </w:rPr>
      </w:pPr>
    </w:p>
    <w:p w:rsidRPr="00EE4612" w:rsidR="00EE4612" w:rsidP="00EE4612" w:rsidRDefault="00EE4612" w14:paraId="2BE64407" w14:textId="45921144">
      <w:pPr>
        <w:pStyle w:val="Textoindependiente"/>
        <w:jc w:val="both"/>
        <w:rPr>
          <w:rFonts w:ascii="Century Gothic" w:hAnsi="Century Gothic"/>
          <w:b/>
          <w:bCs/>
          <w:color w:val="000000" w:themeColor="text1"/>
        </w:rPr>
      </w:pPr>
      <w:r w:rsidRPr="00EE4612">
        <w:rPr>
          <w:rFonts w:ascii="Century Gothic" w:hAnsi="Century Gothic"/>
          <w:b/>
          <w:bCs/>
          <w:color w:val="000000" w:themeColor="text1"/>
        </w:rPr>
        <w:t xml:space="preserve">RESPONSABILIDAD </w:t>
      </w:r>
      <w:r w:rsidR="00207AFA">
        <w:rPr>
          <w:rFonts w:ascii="Century Gothic" w:hAnsi="Century Gothic"/>
          <w:b/>
          <w:bCs/>
          <w:color w:val="000000" w:themeColor="text1"/>
        </w:rPr>
        <w:t>– Estructura plurales − Solidaridad</w:t>
      </w:r>
    </w:p>
    <w:p w:rsidRPr="00EE4612" w:rsidR="00EE4612" w:rsidP="00EE4612" w:rsidRDefault="00EE4612" w14:paraId="08151D9E" w14:textId="77777777">
      <w:pPr>
        <w:pStyle w:val="Textoindependiente"/>
        <w:jc w:val="both"/>
        <w:rPr>
          <w:rFonts w:ascii="Century Gothic" w:hAnsi="Century Gothic"/>
          <w:sz w:val="20"/>
          <w:szCs w:val="20"/>
        </w:rPr>
      </w:pPr>
    </w:p>
    <w:p w:rsidRPr="00EE4612" w:rsidR="00EE4612" w:rsidP="00EE4612" w:rsidRDefault="00EE4612" w14:paraId="65CA3796" w14:textId="77777777">
      <w:pPr>
        <w:spacing w:after="0" w:line="276" w:lineRule="auto"/>
        <w:jc w:val="both"/>
        <w:rPr>
          <w:rFonts w:ascii="Century Gothic" w:hAnsi="Century Gothic" w:cs="Arial"/>
          <w:noProof/>
          <w:sz w:val="20"/>
          <w:szCs w:val="20"/>
          <w:lang w:val="es-ES_tradnl"/>
        </w:rPr>
      </w:pPr>
      <w:r w:rsidRPr="00EE4612">
        <w:rPr>
          <w:rFonts w:ascii="Century Gothic" w:hAnsi="Century Gothic" w:cs="Arial"/>
          <w:noProof/>
          <w:sz w:val="20"/>
          <w:szCs w:val="20"/>
          <w:lang w:val="es-ES_tradnl"/>
        </w:rPr>
        <w:t>La solidaridad, como característica del tipo de obligaciones que se comprometen a cumplir los consorcios en virtud de la celebración de contratos estatales, se presenta cuando en uno o en los dos extremos de la relación jurídica hay varios sujetos vinculados a una misma prestación, que se puede llegar a cumplir en todo o en parte, por cualquiera de los integrantes de la estructura plural. Es decir que cuando en uno de los dos extremos del negocio jurídico existe una persona jurídica plural, el concepto de solidaridad de la obligación, permite que pueda exigirse la totalidad de la prestación a uno, varios o a todos los deudores. La solidaridad se produce respecto de una prestación y no está determinada por la naturaleza de esta, porque aun cuando la prestación sea divisible, la obligación puede ser solidaria, siempre que así lo establezca la ley o el negocio jurídico.</w:t>
      </w:r>
    </w:p>
    <w:p w:rsidRPr="00EE4612" w:rsidR="00EE4612" w:rsidP="00EE4612" w:rsidRDefault="00EE4612" w14:paraId="02E5403A" w14:textId="77777777">
      <w:pPr>
        <w:spacing w:after="0" w:line="276" w:lineRule="auto"/>
        <w:jc w:val="both"/>
        <w:rPr>
          <w:rFonts w:ascii="Century Gothic" w:hAnsi="Century Gothic" w:cs="Arial"/>
          <w:noProof/>
          <w:lang w:val="es-ES_tradnl"/>
        </w:rPr>
      </w:pPr>
    </w:p>
    <w:p w:rsidRPr="00EE4612" w:rsidR="00EE4612" w:rsidP="00EE4612" w:rsidRDefault="00207AFA" w14:paraId="36ED56D3" w14:textId="1422C420">
      <w:pPr>
        <w:spacing w:after="0" w:line="276" w:lineRule="auto"/>
        <w:jc w:val="both"/>
        <w:rPr>
          <w:rFonts w:ascii="Century Gothic" w:hAnsi="Century Gothic"/>
          <w:b/>
          <w:bCs/>
          <w:color w:val="000000" w:themeColor="text1"/>
        </w:rPr>
      </w:pPr>
      <w:r>
        <w:rPr>
          <w:rFonts w:ascii="Century Gothic" w:hAnsi="Century Gothic"/>
          <w:b/>
          <w:bCs/>
          <w:color w:val="000000" w:themeColor="text1"/>
        </w:rPr>
        <w:t>ESTRUCTURAS PLURALES – R</w:t>
      </w:r>
      <w:r w:rsidRPr="00EE4612">
        <w:rPr>
          <w:rFonts w:ascii="Century Gothic" w:hAnsi="Century Gothic"/>
          <w:b/>
          <w:bCs/>
          <w:color w:val="000000" w:themeColor="text1"/>
        </w:rPr>
        <w:t>esponsabilidad</w:t>
      </w:r>
      <w:r>
        <w:rPr>
          <w:rFonts w:ascii="Century Gothic" w:hAnsi="Century Gothic"/>
          <w:b/>
          <w:bCs/>
          <w:color w:val="000000" w:themeColor="text1"/>
        </w:rPr>
        <w:t xml:space="preserve"> </w:t>
      </w:r>
      <w:r w:rsidRPr="00EE4612" w:rsidR="00EE4612">
        <w:rPr>
          <w:rFonts w:ascii="Century Gothic" w:hAnsi="Century Gothic"/>
          <w:b/>
          <w:bCs/>
          <w:color w:val="000000" w:themeColor="text1"/>
        </w:rPr>
        <w:t>– Fundamento normativo</w:t>
      </w:r>
    </w:p>
    <w:p w:rsidRPr="00EE4612" w:rsidR="00EE4612" w:rsidP="00EE4612" w:rsidRDefault="00EE4612" w14:paraId="66295315" w14:textId="77777777">
      <w:pPr>
        <w:spacing w:after="0" w:line="276" w:lineRule="auto"/>
        <w:jc w:val="both"/>
        <w:rPr>
          <w:rFonts w:ascii="Century Gothic" w:hAnsi="Century Gothic" w:cs="Arial"/>
          <w:noProof/>
          <w:lang w:val="es-ES_tradnl"/>
        </w:rPr>
      </w:pPr>
    </w:p>
    <w:p w:rsidRPr="00207AFA" w:rsidR="00EE4612" w:rsidP="00207AFA" w:rsidRDefault="00EE4612" w14:paraId="19C367C3" w14:textId="763A5575">
      <w:pPr>
        <w:spacing w:after="120" w:line="240" w:lineRule="auto"/>
        <w:jc w:val="both"/>
        <w:rPr>
          <w:rFonts w:ascii="Century Gothic" w:hAnsi="Century Gothic"/>
          <w:sz w:val="20"/>
          <w:szCs w:val="20"/>
        </w:rPr>
      </w:pPr>
      <w:r w:rsidRPr="00207AFA">
        <w:rPr>
          <w:rFonts w:ascii="Century Gothic" w:hAnsi="Century Gothic" w:cs="Arial"/>
          <w:noProof/>
          <w:sz w:val="20"/>
          <w:szCs w:val="20"/>
          <w:lang w:val="es-ES_tradnl"/>
        </w:rPr>
        <w:t xml:space="preserve">La Ley 80 de 1993 </w:t>
      </w:r>
      <w:r w:rsidRPr="00207AFA">
        <w:rPr>
          <w:rFonts w:ascii="Arial" w:hAnsi="Arial" w:cs="Arial"/>
          <w:noProof/>
          <w:sz w:val="20"/>
          <w:szCs w:val="20"/>
          <w:lang w:val="es-ES_tradnl"/>
        </w:rPr>
        <w:t>‒</w:t>
      </w:r>
      <w:r w:rsidRPr="00207AFA">
        <w:rPr>
          <w:rFonts w:ascii="Century Gothic" w:hAnsi="Century Gothic" w:cs="Arial"/>
          <w:noProof/>
          <w:sz w:val="20"/>
          <w:szCs w:val="20"/>
          <w:lang w:val="es-ES_tradnl"/>
        </w:rPr>
        <w:t>artículo 7</w:t>
      </w:r>
      <w:r w:rsidRPr="00207AFA">
        <w:rPr>
          <w:rFonts w:ascii="Arial" w:hAnsi="Arial" w:cs="Arial"/>
          <w:noProof/>
          <w:sz w:val="20"/>
          <w:szCs w:val="20"/>
          <w:lang w:val="es-ES_tradnl"/>
        </w:rPr>
        <w:t>‒</w:t>
      </w:r>
      <w:r w:rsidRPr="00207AFA">
        <w:rPr>
          <w:rFonts w:ascii="Century Gothic" w:hAnsi="Century Gothic" w:cs="Arial"/>
          <w:noProof/>
          <w:sz w:val="20"/>
          <w:szCs w:val="20"/>
          <w:lang w:val="es-ES_tradnl"/>
        </w:rPr>
        <w:t xml:space="preserve"> estableció de manera clara y expresa que el cumplimiento de las obligaciones derivadas de la presentación de una oferta, su posterior adjudicación y celebración del contrato estatal, es solidaria por todas y cada una de las obligaciones derivadas de la propuesta y del contrato. En consecuencia, las actuaciones, hechos y omisiones que se presenten en desarrollo de la propuesta y del contrato, se impondran de acuerdo con la participación en la ejecución de cada uno e los miembos de la unión temporal. </w:t>
      </w:r>
    </w:p>
    <w:p w:rsidRPr="00207AFA" w:rsidR="00EE4612" w:rsidP="00207AFA" w:rsidRDefault="00EE4612" w14:paraId="78705763" w14:textId="343E0CB8">
      <w:pPr>
        <w:spacing w:after="120" w:line="240" w:lineRule="auto"/>
        <w:jc w:val="both"/>
        <w:rPr>
          <w:rFonts w:ascii="Century Gothic" w:hAnsi="Century Gothic" w:cs="Arial"/>
          <w:noProof/>
          <w:sz w:val="20"/>
          <w:szCs w:val="20"/>
          <w:lang w:val="es-ES_tradnl"/>
        </w:rPr>
      </w:pPr>
      <w:r w:rsidRPr="00207AFA">
        <w:rPr>
          <w:rFonts w:ascii="Century Gothic" w:hAnsi="Century Gothic" w:cs="Arial"/>
          <w:noProof/>
          <w:sz w:val="20"/>
          <w:szCs w:val="20"/>
          <w:lang w:val="es-ES_tradnl"/>
        </w:rPr>
        <w:t>En estos términos, es factible admitir que el alcance otorgado por el EGCAP a las obligaciones que deben prestar los integrantes de las uniones temporales, que pretenden ejecutar un contrato estatal, es del tipo de solidaridad pasiva, por cuanto se trata de una solidaridad en donde quienes integran el consorcio se obligan para con la Administración como deudores, a cumplir con todas y cada una de las obligaciones derivadas de la propuesta y del contrato.</w:t>
      </w:r>
    </w:p>
    <w:p w:rsidRPr="00207AFA" w:rsidR="00EE4612" w:rsidP="00207AFA" w:rsidRDefault="00EE4612" w14:paraId="08D56FF9" w14:textId="4328515F">
      <w:pPr>
        <w:spacing w:after="120" w:line="240" w:lineRule="auto"/>
        <w:jc w:val="both"/>
        <w:rPr>
          <w:rFonts w:ascii="Century Gothic" w:hAnsi="Century Gothic" w:cs="Arial"/>
          <w:noProof/>
          <w:sz w:val="20"/>
          <w:szCs w:val="20"/>
          <w:lang w:val="es-ES_tradnl"/>
        </w:rPr>
      </w:pPr>
      <w:r w:rsidRPr="00207AFA">
        <w:rPr>
          <w:rFonts w:ascii="Century Gothic" w:hAnsi="Century Gothic" w:cs="Arial"/>
          <w:noProof/>
          <w:sz w:val="20"/>
          <w:szCs w:val="20"/>
          <w:lang w:val="es-ES_tradnl"/>
        </w:rPr>
        <w:t xml:space="preserve">Como se deriva del parágrafo 1 del artículo 7 de la Ley 80 de 1993, los integrantes de las uniones temporales, a diferencia de los consorcios, en el documento de su constitución </w:t>
      </w:r>
      <w:r w:rsidRPr="00207AFA">
        <w:rPr>
          <w:rFonts w:ascii="Century Gothic" w:hAnsi="Century Gothic" w:cs="Arial"/>
          <w:noProof/>
          <w:sz w:val="20"/>
          <w:szCs w:val="20"/>
          <w:lang w:val="es-ES_tradnl"/>
        </w:rPr>
        <w:t>deben señalar los términos y extensión de la participación en la propuesta y en su ejecución, dado que las sanciones por el incumplimiento de las obligaciones derivadas de la propuesta y del contrato se impondrán de acuerdo con la participación en la ejecución de cada uno de los miembros de la unión temporal. Lo anterior, sin desconocer que los integrantes de la unión temporal también responden solidariamente por el cumplimiento de las obligaciones.</w:t>
      </w:r>
    </w:p>
    <w:p w:rsidRPr="00207AFA" w:rsidR="00EE4612" w:rsidP="00207AFA" w:rsidRDefault="00EE4612" w14:paraId="76C40E6F" w14:textId="14CACD07">
      <w:pPr>
        <w:spacing w:line="240" w:lineRule="auto"/>
        <w:jc w:val="both"/>
        <w:rPr>
          <w:rFonts w:ascii="Century Gothic" w:hAnsi="Century Gothic" w:cs="Arial"/>
          <w:noProof/>
          <w:sz w:val="20"/>
          <w:szCs w:val="20"/>
          <w:lang w:val="es-ES_tradnl"/>
        </w:rPr>
      </w:pPr>
      <w:r w:rsidRPr="00207AFA">
        <w:rPr>
          <w:rFonts w:ascii="Century Gothic" w:hAnsi="Century Gothic" w:cs="Arial"/>
          <w:noProof/>
          <w:sz w:val="20"/>
          <w:szCs w:val="20"/>
          <w:lang w:val="es-ES_tradnl"/>
        </w:rPr>
        <w:t xml:space="preserve">En el caso de los consorcios, las actuaciones, hechos y omisiones que se presenten en desarrollo de la propuesta y del contrato, afectarán a todos los miembros que lo conforman, e inclusive las sanciones no estarán limitadas a la participación en la estructura plural. </w:t>
      </w:r>
    </w:p>
    <w:p w:rsidRPr="00207AFA" w:rsidR="00EE4612" w:rsidP="00400548" w:rsidRDefault="00EE4612" w14:paraId="764C1E8B" w14:textId="77777777">
      <w:pPr>
        <w:spacing w:after="0"/>
        <w:rPr>
          <w:rFonts w:ascii="Century Gothic" w:hAnsi="Century Gothic"/>
          <w:sz w:val="20"/>
          <w:szCs w:val="20"/>
          <w:lang w:val="es-MX"/>
        </w:rPr>
      </w:pPr>
    </w:p>
    <w:p w:rsidRPr="00EE4612" w:rsidR="00EE4612" w:rsidP="00400548" w:rsidRDefault="00EE4612" w14:paraId="6A71D431" w14:textId="77777777">
      <w:pPr>
        <w:spacing w:after="0"/>
        <w:rPr>
          <w:rFonts w:ascii="Century Gothic" w:hAnsi="Century Gothic"/>
          <w:lang w:val="es-MX"/>
        </w:rPr>
      </w:pPr>
    </w:p>
    <w:p w:rsidRPr="00EE4612" w:rsidR="00EE4612" w:rsidP="00400548" w:rsidRDefault="00EE4612" w14:paraId="7F5D31AD" w14:textId="77777777">
      <w:pPr>
        <w:spacing w:after="0"/>
        <w:rPr>
          <w:rFonts w:ascii="Century Gothic" w:hAnsi="Century Gothic"/>
          <w:lang w:val="es-MX"/>
        </w:rPr>
      </w:pPr>
    </w:p>
    <w:p w:rsidRPr="00EE4612" w:rsidR="00EE4612" w:rsidP="00400548" w:rsidRDefault="00EE4612" w14:paraId="1B631A5A" w14:textId="77777777">
      <w:pPr>
        <w:spacing w:after="0"/>
        <w:rPr>
          <w:rFonts w:ascii="Century Gothic" w:hAnsi="Century Gothic"/>
          <w:lang w:val="es-MX"/>
        </w:rPr>
      </w:pPr>
    </w:p>
    <w:p w:rsidRPr="00EE4612" w:rsidR="00EE4612" w:rsidP="00400548" w:rsidRDefault="00EE4612" w14:paraId="69FA09A9" w14:textId="77777777">
      <w:pPr>
        <w:spacing w:after="0"/>
        <w:rPr>
          <w:rFonts w:ascii="Century Gothic" w:hAnsi="Century Gothic"/>
          <w:lang w:val="es-MX"/>
        </w:rPr>
      </w:pPr>
    </w:p>
    <w:p w:rsidRPr="00EE4612" w:rsidR="00EE4612" w:rsidP="00400548" w:rsidRDefault="00EE4612" w14:paraId="29DFBF38" w14:textId="77777777">
      <w:pPr>
        <w:spacing w:after="0"/>
        <w:rPr>
          <w:rFonts w:ascii="Century Gothic" w:hAnsi="Century Gothic"/>
          <w:lang w:val="es-MX"/>
        </w:rPr>
      </w:pPr>
    </w:p>
    <w:p w:rsidRPr="00EE4612" w:rsidR="00EE4612" w:rsidP="00400548" w:rsidRDefault="00EE4612" w14:paraId="25FAEFEF" w14:textId="77777777">
      <w:pPr>
        <w:spacing w:after="0"/>
        <w:rPr>
          <w:rFonts w:ascii="Century Gothic" w:hAnsi="Century Gothic"/>
          <w:lang w:val="es-MX"/>
        </w:rPr>
      </w:pPr>
    </w:p>
    <w:p w:rsidRPr="00EE4612" w:rsidR="00EE4612" w:rsidP="00400548" w:rsidRDefault="00EE4612" w14:paraId="1A85D490" w14:textId="77777777">
      <w:pPr>
        <w:spacing w:after="0"/>
        <w:rPr>
          <w:rFonts w:ascii="Century Gothic" w:hAnsi="Century Gothic"/>
          <w:lang w:val="es-MX"/>
        </w:rPr>
      </w:pPr>
    </w:p>
    <w:p w:rsidRPr="00EE4612" w:rsidR="00EE4612" w:rsidP="00400548" w:rsidRDefault="00EE4612" w14:paraId="5A4D2FB7" w14:textId="77777777">
      <w:pPr>
        <w:spacing w:after="0"/>
        <w:rPr>
          <w:rFonts w:ascii="Century Gothic" w:hAnsi="Century Gothic"/>
          <w:lang w:val="es-MX"/>
        </w:rPr>
      </w:pPr>
    </w:p>
    <w:p w:rsidRPr="00EE4612" w:rsidR="00EE4612" w:rsidP="00400548" w:rsidRDefault="00EE4612" w14:paraId="6A95E07B" w14:textId="77777777">
      <w:pPr>
        <w:spacing w:after="0"/>
        <w:rPr>
          <w:rFonts w:ascii="Century Gothic" w:hAnsi="Century Gothic"/>
          <w:lang w:val="es-MX"/>
        </w:rPr>
      </w:pPr>
    </w:p>
    <w:p w:rsidRPr="00EE4612" w:rsidR="00EE4612" w:rsidP="00400548" w:rsidRDefault="00EE4612" w14:paraId="1101456E" w14:textId="77777777">
      <w:pPr>
        <w:spacing w:after="0"/>
        <w:rPr>
          <w:rFonts w:ascii="Century Gothic" w:hAnsi="Century Gothic"/>
          <w:lang w:val="es-MX"/>
        </w:rPr>
      </w:pPr>
    </w:p>
    <w:p w:rsidRPr="00EE4612" w:rsidR="00EE4612" w:rsidP="00400548" w:rsidRDefault="00EE4612" w14:paraId="11F1D436" w14:textId="77777777">
      <w:pPr>
        <w:spacing w:after="0"/>
        <w:rPr>
          <w:rFonts w:ascii="Century Gothic" w:hAnsi="Century Gothic"/>
          <w:lang w:val="es-MX"/>
        </w:rPr>
      </w:pPr>
    </w:p>
    <w:p w:rsidRPr="00EE4612" w:rsidR="00EE4612" w:rsidP="00400548" w:rsidRDefault="00EE4612" w14:paraId="55DE4979" w14:textId="77777777">
      <w:pPr>
        <w:spacing w:after="0"/>
        <w:rPr>
          <w:rFonts w:ascii="Century Gothic" w:hAnsi="Century Gothic"/>
          <w:lang w:val="es-MX"/>
        </w:rPr>
      </w:pPr>
    </w:p>
    <w:p w:rsidRPr="00EE4612" w:rsidR="00EE4612" w:rsidP="00400548" w:rsidRDefault="00EE4612" w14:paraId="0FAA464C" w14:textId="77777777">
      <w:pPr>
        <w:spacing w:after="0"/>
        <w:rPr>
          <w:rFonts w:ascii="Century Gothic" w:hAnsi="Century Gothic"/>
          <w:lang w:val="es-MX"/>
        </w:rPr>
      </w:pPr>
    </w:p>
    <w:p w:rsidR="00EE4612" w:rsidP="00400548" w:rsidRDefault="00EE4612" w14:paraId="45738DD1" w14:textId="77777777">
      <w:pPr>
        <w:spacing w:after="0"/>
        <w:rPr>
          <w:rFonts w:ascii="Century Gothic" w:hAnsi="Century Gothic"/>
          <w:lang w:val="es-MX"/>
        </w:rPr>
      </w:pPr>
    </w:p>
    <w:p w:rsidR="00207AFA" w:rsidP="00400548" w:rsidRDefault="00207AFA" w14:paraId="35520E98" w14:textId="77777777">
      <w:pPr>
        <w:spacing w:after="0"/>
        <w:rPr>
          <w:rFonts w:ascii="Century Gothic" w:hAnsi="Century Gothic"/>
          <w:lang w:val="es-MX"/>
        </w:rPr>
      </w:pPr>
    </w:p>
    <w:p w:rsidR="00207AFA" w:rsidP="00400548" w:rsidRDefault="00207AFA" w14:paraId="25D75E8B" w14:textId="77777777">
      <w:pPr>
        <w:spacing w:after="0"/>
        <w:rPr>
          <w:rFonts w:ascii="Century Gothic" w:hAnsi="Century Gothic"/>
          <w:lang w:val="es-MX"/>
        </w:rPr>
      </w:pPr>
    </w:p>
    <w:p w:rsidR="00207AFA" w:rsidP="00400548" w:rsidRDefault="00207AFA" w14:paraId="4CFC6C2F" w14:textId="77777777">
      <w:pPr>
        <w:spacing w:after="0"/>
        <w:rPr>
          <w:rFonts w:ascii="Century Gothic" w:hAnsi="Century Gothic"/>
          <w:lang w:val="es-MX"/>
        </w:rPr>
      </w:pPr>
    </w:p>
    <w:p w:rsidR="00207AFA" w:rsidP="00400548" w:rsidRDefault="00207AFA" w14:paraId="4725E311" w14:textId="77777777">
      <w:pPr>
        <w:spacing w:after="0"/>
        <w:rPr>
          <w:rFonts w:ascii="Century Gothic" w:hAnsi="Century Gothic"/>
          <w:lang w:val="es-MX"/>
        </w:rPr>
      </w:pPr>
    </w:p>
    <w:p w:rsidR="00207AFA" w:rsidP="00400548" w:rsidRDefault="00207AFA" w14:paraId="6CE8BF8F" w14:textId="77777777">
      <w:pPr>
        <w:spacing w:after="0"/>
        <w:rPr>
          <w:rFonts w:ascii="Century Gothic" w:hAnsi="Century Gothic"/>
          <w:lang w:val="es-MX"/>
        </w:rPr>
      </w:pPr>
    </w:p>
    <w:p w:rsidR="00207AFA" w:rsidP="00400548" w:rsidRDefault="00207AFA" w14:paraId="6B227CEA" w14:textId="77777777">
      <w:pPr>
        <w:spacing w:after="0"/>
        <w:rPr>
          <w:rFonts w:ascii="Century Gothic" w:hAnsi="Century Gothic"/>
          <w:lang w:val="es-MX"/>
        </w:rPr>
      </w:pPr>
    </w:p>
    <w:p w:rsidR="00207AFA" w:rsidP="00400548" w:rsidRDefault="00207AFA" w14:paraId="35E70FFC" w14:textId="77777777">
      <w:pPr>
        <w:spacing w:after="0"/>
        <w:rPr>
          <w:rFonts w:ascii="Century Gothic" w:hAnsi="Century Gothic"/>
          <w:lang w:val="es-MX"/>
        </w:rPr>
      </w:pPr>
    </w:p>
    <w:p w:rsidR="00207AFA" w:rsidP="00400548" w:rsidRDefault="00207AFA" w14:paraId="1553C54B" w14:textId="77777777">
      <w:pPr>
        <w:spacing w:after="0"/>
        <w:rPr>
          <w:rFonts w:ascii="Century Gothic" w:hAnsi="Century Gothic"/>
          <w:lang w:val="es-MX"/>
        </w:rPr>
      </w:pPr>
    </w:p>
    <w:p w:rsidR="00207AFA" w:rsidP="00400548" w:rsidRDefault="00207AFA" w14:paraId="122D2DD5" w14:textId="77777777">
      <w:pPr>
        <w:spacing w:after="0"/>
        <w:rPr>
          <w:rFonts w:ascii="Century Gothic" w:hAnsi="Century Gothic"/>
          <w:lang w:val="es-MX"/>
        </w:rPr>
      </w:pPr>
    </w:p>
    <w:p w:rsidR="00207AFA" w:rsidP="00400548" w:rsidRDefault="00207AFA" w14:paraId="4C20E2E3" w14:textId="77777777">
      <w:pPr>
        <w:spacing w:after="0"/>
        <w:rPr>
          <w:rFonts w:ascii="Century Gothic" w:hAnsi="Century Gothic"/>
          <w:lang w:val="es-MX"/>
        </w:rPr>
      </w:pPr>
    </w:p>
    <w:p w:rsidRPr="00EE4612" w:rsidR="00207AFA" w:rsidP="00400548" w:rsidRDefault="00207AFA" w14:paraId="19E9E395" w14:textId="77777777">
      <w:pPr>
        <w:spacing w:after="0"/>
        <w:rPr>
          <w:rFonts w:ascii="Century Gothic" w:hAnsi="Century Gothic"/>
          <w:lang w:val="es-MX"/>
        </w:rPr>
      </w:pPr>
    </w:p>
    <w:p w:rsidRPr="00EE4612" w:rsidR="00EE4612" w:rsidP="00400548" w:rsidRDefault="00EE4612" w14:paraId="1354E302" w14:textId="77777777">
      <w:pPr>
        <w:spacing w:after="0"/>
        <w:rPr>
          <w:rFonts w:ascii="Century Gothic" w:hAnsi="Century Gothic"/>
          <w:lang w:val="es-MX"/>
        </w:rPr>
      </w:pPr>
    </w:p>
    <w:p w:rsidRPr="00EE4612" w:rsidR="00EE4612" w:rsidP="00400548" w:rsidRDefault="00EE4612" w14:paraId="16F04AB0" w14:textId="77777777">
      <w:pPr>
        <w:spacing w:after="0"/>
        <w:rPr>
          <w:rFonts w:ascii="Century Gothic" w:hAnsi="Century Gothic"/>
          <w:lang w:val="es-MX"/>
        </w:rPr>
      </w:pPr>
    </w:p>
    <w:p w:rsidR="00207AFA" w:rsidP="00207AFA" w:rsidRDefault="00207AFA" w14:paraId="21A8E1C0" w14:textId="77777777">
      <w:pPr>
        <w:spacing w:after="0"/>
        <w:jc w:val="right"/>
        <w:rPr>
          <w:rFonts w:ascii="Century Gothic" w:hAnsi="Century Gothic"/>
          <w:lang w:val="es-MX"/>
        </w:rPr>
      </w:pPr>
    </w:p>
    <w:p w:rsidRPr="00207AFA" w:rsidR="00207AFA" w:rsidP="00207AFA" w:rsidRDefault="00207AFA" w14:paraId="2066EBFB" w14:textId="20AF0C6B">
      <w:pPr>
        <w:spacing w:after="0"/>
        <w:rPr>
          <w:rFonts w:ascii="Century Gothic" w:hAnsi="Century Gothic"/>
        </w:rPr>
      </w:pPr>
      <w:r w:rsidRPr="00207AFA">
        <w:rPr>
          <w:rFonts w:ascii="Century Gothic" w:hAnsi="Century Gothic"/>
        </w:rPr>
        <w:t xml:space="preserve">Bogotá D.C., 12 </w:t>
      </w:r>
      <w:proofErr w:type="gramStart"/>
      <w:r w:rsidRPr="00207AFA">
        <w:rPr>
          <w:rFonts w:ascii="Century Gothic" w:hAnsi="Century Gothic"/>
        </w:rPr>
        <w:t>Marzo</w:t>
      </w:r>
      <w:proofErr w:type="gramEnd"/>
      <w:r w:rsidRPr="00207AFA">
        <w:rPr>
          <w:rFonts w:ascii="Century Gothic" w:hAnsi="Century Gothic"/>
        </w:rPr>
        <w:t xml:space="preserve"> 2024</w:t>
      </w:r>
    </w:p>
    <w:p w:rsidRPr="00EE4612" w:rsidR="00EE4612" w:rsidP="00207AFA" w:rsidRDefault="00207AFA" w14:paraId="10B59889" w14:textId="255DE783">
      <w:pPr>
        <w:spacing w:after="0"/>
        <w:jc w:val="right"/>
        <w:rPr>
          <w:rFonts w:ascii="Century Gothic" w:hAnsi="Century Gothic"/>
          <w:lang w:val="es-MX"/>
        </w:rPr>
      </w:pPr>
      <w:r w:rsidRPr="00207AFA">
        <w:rPr>
          <w:rFonts w:ascii="Century Gothic" w:hAnsi="Century Gothic"/>
        </w:rPr>
        <w:drawing>
          <wp:inline distT="0" distB="0" distL="0" distR="0" wp14:anchorId="43B37C32" wp14:editId="57B066A0">
            <wp:extent cx="3334215" cy="981212"/>
            <wp:effectExtent l="0" t="0" r="0" b="9525"/>
            <wp:docPr id="1123490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490683" name=""/>
                    <pic:cNvPicPr/>
                  </pic:nvPicPr>
                  <pic:blipFill>
                    <a:blip r:embed="rId10"/>
                    <a:stretch>
                      <a:fillRect/>
                    </a:stretch>
                  </pic:blipFill>
                  <pic:spPr>
                    <a:xfrm>
                      <a:off x="0" y="0"/>
                      <a:ext cx="3334215" cy="981212"/>
                    </a:xfrm>
                    <a:prstGeom prst="rect">
                      <a:avLst/>
                    </a:prstGeom>
                  </pic:spPr>
                </pic:pic>
              </a:graphicData>
            </a:graphic>
          </wp:inline>
        </w:drawing>
      </w:r>
    </w:p>
    <w:p w:rsidRPr="00EE4612" w:rsidR="000A30E3" w:rsidP="000A30E3" w:rsidRDefault="000A30E3" w14:paraId="5A48D7E1" w14:textId="77777777">
      <w:pPr>
        <w:pStyle w:val="Sinespaciado"/>
        <w:rPr>
          <w:rFonts w:ascii="Century Gothic" w:hAnsi="Century Gothic" w:cs="Arial"/>
          <w:spacing w:val="-2"/>
        </w:rPr>
      </w:pPr>
      <w:r w:rsidRPr="00EE4612">
        <w:rPr>
          <w:rFonts w:ascii="Century Gothic" w:hAnsi="Century Gothic" w:cs="Arial"/>
          <w:spacing w:val="-2"/>
        </w:rPr>
        <w:t>Señor</w:t>
      </w:r>
    </w:p>
    <w:p w:rsidRPr="00EE4612" w:rsidR="000A30E3" w:rsidP="000A30E3" w:rsidRDefault="000A30E3" w14:paraId="378EA78F" w14:textId="77777777">
      <w:pPr>
        <w:pStyle w:val="Sinespaciado"/>
        <w:rPr>
          <w:rFonts w:ascii="Century Gothic" w:hAnsi="Century Gothic" w:cs="Arial"/>
          <w:b/>
          <w:spacing w:val="-2"/>
        </w:rPr>
      </w:pPr>
      <w:r w:rsidRPr="00EE4612">
        <w:rPr>
          <w:rFonts w:ascii="Century Gothic" w:hAnsi="Century Gothic" w:cs="Arial"/>
          <w:b/>
          <w:spacing w:val="-2"/>
        </w:rPr>
        <w:t>Juan David Orjuela Garavito</w:t>
      </w:r>
    </w:p>
    <w:p w:rsidRPr="00EE4612" w:rsidR="000A30E3" w:rsidP="000A30E3" w:rsidRDefault="000A30E3" w14:paraId="76BEE419" w14:textId="77777777">
      <w:pPr>
        <w:pStyle w:val="Sinespaciado"/>
        <w:rPr>
          <w:rFonts w:ascii="Century Gothic" w:hAnsi="Century Gothic" w:cs="Arial"/>
          <w:spacing w:val="-2"/>
        </w:rPr>
      </w:pPr>
      <w:r w:rsidRPr="00EE4612">
        <w:rPr>
          <w:rFonts w:ascii="Century Gothic" w:hAnsi="Century Gothic" w:cs="Arial"/>
          <w:spacing w:val="-2"/>
        </w:rPr>
        <w:t xml:space="preserve">Ciudad </w:t>
      </w:r>
    </w:p>
    <w:p w:rsidRPr="00EE4612" w:rsidR="000A30E3" w:rsidP="000A30E3" w:rsidRDefault="000A30E3" w14:paraId="14419A68" w14:textId="77777777">
      <w:pPr>
        <w:pStyle w:val="Textoindependiente"/>
        <w:kinsoku w:val="0"/>
        <w:overflowPunct w:val="0"/>
        <w:rPr>
          <w:rFonts w:ascii="Century Gothic" w:hAnsi="Century Gothic"/>
          <w:sz w:val="24"/>
          <w:szCs w:val="24"/>
        </w:rPr>
      </w:pPr>
    </w:p>
    <w:p w:rsidRPr="00EE4612" w:rsidR="000A30E3" w:rsidP="000A30E3" w:rsidRDefault="000A30E3" w14:paraId="33CD3D0E" w14:textId="77777777">
      <w:pPr>
        <w:pStyle w:val="Textoindependiente"/>
        <w:kinsoku w:val="0"/>
        <w:overflowPunct w:val="0"/>
        <w:rPr>
          <w:rFonts w:ascii="Century Gothic" w:hAnsi="Century Gothic"/>
          <w:sz w:val="20"/>
          <w:szCs w:val="20"/>
        </w:rPr>
      </w:pPr>
    </w:p>
    <w:p w:rsidRPr="00EE4612" w:rsidR="000A30E3" w:rsidP="000A30E3" w:rsidRDefault="000A30E3" w14:paraId="63AC218B" w14:textId="77777777">
      <w:pPr>
        <w:pStyle w:val="Ttulo1"/>
        <w:kinsoku w:val="0"/>
        <w:overflowPunct w:val="0"/>
        <w:ind w:left="2799" w:firstLine="0"/>
        <w:rPr>
          <w:rFonts w:ascii="Century Gothic" w:hAnsi="Century Gothic"/>
          <w:spacing w:val="-4"/>
        </w:rPr>
      </w:pPr>
      <w:r w:rsidRPr="00EE4612">
        <w:rPr>
          <w:rFonts w:ascii="Century Gothic" w:hAnsi="Century Gothic"/>
        </w:rPr>
        <w:t>Concepto</w:t>
      </w:r>
      <w:r w:rsidRPr="00EE4612">
        <w:rPr>
          <w:rFonts w:ascii="Century Gothic" w:hAnsi="Century Gothic"/>
          <w:spacing w:val="-3"/>
        </w:rPr>
        <w:t xml:space="preserve"> </w:t>
      </w:r>
      <w:r w:rsidRPr="00EE4612">
        <w:rPr>
          <w:rFonts w:ascii="Century Gothic" w:hAnsi="Century Gothic"/>
        </w:rPr>
        <w:t>C</w:t>
      </w:r>
      <w:r w:rsidRPr="00EE4612">
        <w:rPr>
          <w:rFonts w:ascii="Century Gothic" w:hAnsi="Century Gothic"/>
          <w:spacing w:val="5"/>
        </w:rPr>
        <w:t xml:space="preserve"> </w:t>
      </w:r>
      <w:r w:rsidRPr="00EE4612">
        <w:t>‒</w:t>
      </w:r>
      <w:r w:rsidRPr="00EE4612">
        <w:rPr>
          <w:rFonts w:ascii="Century Gothic" w:hAnsi="Century Gothic"/>
          <w:spacing w:val="-3"/>
        </w:rPr>
        <w:t xml:space="preserve"> </w:t>
      </w:r>
      <w:r w:rsidRPr="00EE4612">
        <w:rPr>
          <w:rFonts w:ascii="Century Gothic" w:hAnsi="Century Gothic"/>
        </w:rPr>
        <w:t>021 de 2024</w:t>
      </w:r>
    </w:p>
    <w:p w:rsidRPr="00EE4612" w:rsidR="000A30E3" w:rsidP="000A30E3" w:rsidRDefault="000A30E3" w14:paraId="5D8FBB12" w14:textId="77777777">
      <w:pPr>
        <w:pStyle w:val="Textoindependiente"/>
        <w:kinsoku w:val="0"/>
        <w:overflowPunct w:val="0"/>
        <w:spacing w:before="11"/>
        <w:rPr>
          <w:rFonts w:ascii="Century Gothic" w:hAnsi="Century Gothic"/>
          <w:b/>
          <w:bCs/>
          <w:sz w:val="13"/>
          <w:szCs w:val="13"/>
        </w:rPr>
      </w:pPr>
    </w:p>
    <w:p w:rsidRPr="00EE4612" w:rsidR="000A30E3" w:rsidP="000A30E3" w:rsidRDefault="000A30E3" w14:paraId="6E0878C1" w14:textId="7137C819">
      <w:pPr>
        <w:pStyle w:val="Textoindependiente"/>
        <w:tabs>
          <w:tab w:val="left" w:pos="2806"/>
        </w:tabs>
        <w:kinsoku w:val="0"/>
        <w:overflowPunct w:val="0"/>
        <w:spacing w:before="93"/>
        <w:ind w:left="2807" w:right="643" w:hanging="2689"/>
        <w:jc w:val="both"/>
        <w:rPr>
          <w:rFonts w:ascii="Century Gothic" w:hAnsi="Century Gothic"/>
          <w:spacing w:val="-2"/>
        </w:rPr>
      </w:pPr>
      <w:r w:rsidRPr="00EE4612">
        <w:rPr>
          <w:rFonts w:ascii="Century Gothic" w:hAnsi="Century Gothic"/>
          <w:b/>
          <w:bCs/>
          <w:spacing w:val="-2"/>
        </w:rPr>
        <w:t>Temas:</w:t>
      </w:r>
      <w:r w:rsidRPr="00EE4612">
        <w:rPr>
          <w:rFonts w:ascii="Century Gothic" w:hAnsi="Century Gothic"/>
          <w:b/>
          <w:bCs/>
        </w:rPr>
        <w:tab/>
      </w:r>
      <w:r w:rsidRPr="00EE4612">
        <w:rPr>
          <w:rFonts w:ascii="Century Gothic" w:hAnsi="Century Gothic"/>
          <w:spacing w:val="-2"/>
        </w:rPr>
        <w:t xml:space="preserve">ESTRUCTURAS PLURALES – Consorcios y uniones temporales – Capacidad para contratar – Finalidades </w:t>
      </w:r>
    </w:p>
    <w:p w:rsidRPr="00EE4612" w:rsidR="00C370C4" w:rsidP="000A30E3" w:rsidRDefault="00C370C4" w14:paraId="420F53ED" w14:textId="77777777">
      <w:pPr>
        <w:pStyle w:val="Textoindependiente"/>
        <w:tabs>
          <w:tab w:val="left" w:pos="2806"/>
        </w:tabs>
        <w:kinsoku w:val="0"/>
        <w:overflowPunct w:val="0"/>
        <w:spacing w:before="93"/>
        <w:ind w:left="2807" w:right="643" w:hanging="2689"/>
        <w:jc w:val="both"/>
        <w:rPr>
          <w:rFonts w:ascii="Century Gothic" w:hAnsi="Century Gothic"/>
          <w:spacing w:val="-2"/>
        </w:rPr>
      </w:pPr>
    </w:p>
    <w:p w:rsidRPr="00EE4612" w:rsidR="000A30E3" w:rsidP="00E34D86" w:rsidRDefault="000A30E3" w14:paraId="560D6E6F" w14:textId="77777777">
      <w:pPr>
        <w:pStyle w:val="Textoindependiente"/>
        <w:tabs>
          <w:tab w:val="left" w:pos="2806"/>
        </w:tabs>
        <w:kinsoku w:val="0"/>
        <w:overflowPunct w:val="0"/>
        <w:ind w:left="2807" w:right="643" w:hanging="2689"/>
        <w:jc w:val="both"/>
        <w:rPr>
          <w:rFonts w:ascii="Century Gothic" w:hAnsi="Century Gothic"/>
          <w:spacing w:val="-2"/>
        </w:rPr>
      </w:pPr>
      <w:r w:rsidRPr="00EE4612">
        <w:rPr>
          <w:rFonts w:ascii="Century Gothic" w:hAnsi="Century Gothic"/>
          <w:b/>
          <w:bCs/>
          <w:spacing w:val="-2"/>
        </w:rPr>
        <w:t>Radicación:</w:t>
      </w:r>
      <w:r w:rsidRPr="00EE4612">
        <w:rPr>
          <w:rFonts w:ascii="Century Gothic" w:hAnsi="Century Gothic"/>
          <w:b/>
          <w:bCs/>
        </w:rPr>
        <w:tab/>
      </w:r>
      <w:r w:rsidRPr="00EE4612">
        <w:rPr>
          <w:rFonts w:ascii="Century Gothic" w:hAnsi="Century Gothic"/>
        </w:rPr>
        <w:t>Respuesta</w:t>
      </w:r>
      <w:r w:rsidRPr="00EE4612">
        <w:rPr>
          <w:rFonts w:ascii="Century Gothic" w:hAnsi="Century Gothic"/>
          <w:spacing w:val="-4"/>
        </w:rPr>
        <w:t xml:space="preserve"> </w:t>
      </w:r>
      <w:r w:rsidRPr="00EE4612">
        <w:rPr>
          <w:rFonts w:ascii="Century Gothic" w:hAnsi="Century Gothic"/>
        </w:rPr>
        <w:t>a</w:t>
      </w:r>
      <w:r w:rsidRPr="00EE4612">
        <w:rPr>
          <w:rFonts w:ascii="Century Gothic" w:hAnsi="Century Gothic"/>
          <w:spacing w:val="-4"/>
        </w:rPr>
        <w:t xml:space="preserve"> </w:t>
      </w:r>
      <w:r w:rsidRPr="00EE4612">
        <w:rPr>
          <w:rFonts w:ascii="Century Gothic" w:hAnsi="Century Gothic"/>
        </w:rPr>
        <w:t>consulta</w:t>
      </w:r>
      <w:r w:rsidRPr="00EE4612">
        <w:rPr>
          <w:rFonts w:ascii="Century Gothic" w:hAnsi="Century Gothic"/>
          <w:spacing w:val="-3"/>
        </w:rPr>
        <w:t xml:space="preserve"> </w:t>
      </w:r>
      <w:r w:rsidRPr="00EE4612">
        <w:rPr>
          <w:rFonts w:ascii="Century Gothic" w:hAnsi="Century Gothic"/>
          <w:spacing w:val="-2"/>
        </w:rPr>
        <w:t>P20240202001075</w:t>
      </w:r>
    </w:p>
    <w:p w:rsidRPr="00EE4612" w:rsidR="000A30E3" w:rsidP="000A30E3" w:rsidRDefault="000A30E3" w14:paraId="19CE07DE" w14:textId="77777777">
      <w:pPr>
        <w:pStyle w:val="Textoindependiente"/>
        <w:kinsoku w:val="0"/>
        <w:overflowPunct w:val="0"/>
        <w:spacing w:before="10"/>
        <w:rPr>
          <w:rFonts w:ascii="Century Gothic" w:hAnsi="Century Gothic"/>
          <w:sz w:val="20"/>
          <w:szCs w:val="20"/>
        </w:rPr>
      </w:pPr>
    </w:p>
    <w:p w:rsidRPr="00EE4612" w:rsidR="000A30E3" w:rsidP="000A30E3" w:rsidRDefault="000A30E3" w14:paraId="671576AE" w14:textId="77777777">
      <w:pPr>
        <w:pStyle w:val="Textoindependiente"/>
        <w:kinsoku w:val="0"/>
        <w:overflowPunct w:val="0"/>
        <w:rPr>
          <w:rFonts w:ascii="Century Gothic" w:hAnsi="Century Gothic"/>
          <w:spacing w:val="-2"/>
        </w:rPr>
      </w:pPr>
      <w:r w:rsidRPr="00EE4612">
        <w:rPr>
          <w:rFonts w:ascii="Century Gothic" w:hAnsi="Century Gothic"/>
        </w:rPr>
        <w:t xml:space="preserve">Estimado señor Orjuela: </w:t>
      </w:r>
    </w:p>
    <w:p w:rsidRPr="00EE4612" w:rsidR="000A30E3" w:rsidP="000A30E3" w:rsidRDefault="000A30E3" w14:paraId="3D76D9F6" w14:textId="77777777">
      <w:pPr>
        <w:pStyle w:val="Textoindependiente"/>
        <w:kinsoku w:val="0"/>
        <w:overflowPunct w:val="0"/>
        <w:rPr>
          <w:rFonts w:ascii="Century Gothic" w:hAnsi="Century Gothic"/>
        </w:rPr>
      </w:pPr>
    </w:p>
    <w:p w:rsidRPr="00EE4612" w:rsidR="000A30E3" w:rsidP="000A30E3" w:rsidRDefault="000A30E3" w14:paraId="139489A9" w14:textId="77777777">
      <w:pPr>
        <w:pStyle w:val="Textoindependiente"/>
        <w:kinsoku w:val="0"/>
        <w:overflowPunct w:val="0"/>
        <w:spacing w:line="276" w:lineRule="auto"/>
        <w:ind w:right="176"/>
        <w:jc w:val="both"/>
        <w:rPr>
          <w:rFonts w:ascii="Century Gothic" w:hAnsi="Century Gothic"/>
        </w:rPr>
      </w:pPr>
      <w:r w:rsidRPr="00EE4612">
        <w:rPr>
          <w:rFonts w:ascii="Century Gothic" w:hAnsi="Century Gothic"/>
        </w:rPr>
        <w:t>En</w:t>
      </w:r>
      <w:r w:rsidRPr="00EE4612">
        <w:rPr>
          <w:rFonts w:ascii="Century Gothic" w:hAnsi="Century Gothic"/>
          <w:spacing w:val="-12"/>
        </w:rPr>
        <w:t xml:space="preserve"> </w:t>
      </w:r>
      <w:r w:rsidRPr="00EE4612">
        <w:rPr>
          <w:rFonts w:ascii="Century Gothic" w:hAnsi="Century Gothic"/>
        </w:rPr>
        <w:t>ejercicio</w:t>
      </w:r>
      <w:r w:rsidRPr="00EE4612">
        <w:rPr>
          <w:rFonts w:ascii="Century Gothic" w:hAnsi="Century Gothic"/>
          <w:spacing w:val="-12"/>
        </w:rPr>
        <w:t xml:space="preserve"> </w:t>
      </w:r>
      <w:r w:rsidRPr="00EE4612">
        <w:rPr>
          <w:rFonts w:ascii="Century Gothic" w:hAnsi="Century Gothic"/>
        </w:rPr>
        <w:t>de</w:t>
      </w:r>
      <w:r w:rsidRPr="00EE4612">
        <w:rPr>
          <w:rFonts w:ascii="Century Gothic" w:hAnsi="Century Gothic"/>
          <w:spacing w:val="-13"/>
        </w:rPr>
        <w:t xml:space="preserve"> </w:t>
      </w:r>
      <w:r w:rsidRPr="00EE4612">
        <w:rPr>
          <w:rFonts w:ascii="Century Gothic" w:hAnsi="Century Gothic"/>
        </w:rPr>
        <w:t>la</w:t>
      </w:r>
      <w:r w:rsidRPr="00EE4612">
        <w:rPr>
          <w:rFonts w:ascii="Century Gothic" w:hAnsi="Century Gothic"/>
          <w:spacing w:val="-13"/>
        </w:rPr>
        <w:t xml:space="preserve"> </w:t>
      </w:r>
      <w:r w:rsidRPr="00EE4612">
        <w:rPr>
          <w:rFonts w:ascii="Century Gothic" w:hAnsi="Century Gothic"/>
        </w:rPr>
        <w:t>competencia</w:t>
      </w:r>
      <w:r w:rsidRPr="00EE4612">
        <w:rPr>
          <w:rFonts w:ascii="Century Gothic" w:hAnsi="Century Gothic"/>
          <w:spacing w:val="-13"/>
        </w:rPr>
        <w:t xml:space="preserve"> </w:t>
      </w:r>
      <w:r w:rsidRPr="00EE4612">
        <w:rPr>
          <w:rFonts w:ascii="Century Gothic" w:hAnsi="Century Gothic"/>
        </w:rPr>
        <w:t>otorgada</w:t>
      </w:r>
      <w:r w:rsidRPr="00EE4612">
        <w:rPr>
          <w:rFonts w:ascii="Century Gothic" w:hAnsi="Century Gothic"/>
          <w:spacing w:val="-12"/>
        </w:rPr>
        <w:t xml:space="preserve"> </w:t>
      </w:r>
      <w:r w:rsidRPr="00EE4612">
        <w:rPr>
          <w:rFonts w:ascii="Century Gothic" w:hAnsi="Century Gothic"/>
        </w:rPr>
        <w:t>por</w:t>
      </w:r>
      <w:r w:rsidRPr="00EE4612">
        <w:rPr>
          <w:rFonts w:ascii="Century Gothic" w:hAnsi="Century Gothic"/>
          <w:spacing w:val="-13"/>
        </w:rPr>
        <w:t xml:space="preserve"> </w:t>
      </w:r>
      <w:r w:rsidRPr="00EE4612">
        <w:rPr>
          <w:rFonts w:ascii="Century Gothic" w:hAnsi="Century Gothic"/>
        </w:rPr>
        <w:t>el</w:t>
      </w:r>
      <w:r w:rsidRPr="00EE4612">
        <w:rPr>
          <w:rFonts w:ascii="Century Gothic" w:hAnsi="Century Gothic"/>
          <w:spacing w:val="-13"/>
        </w:rPr>
        <w:t xml:space="preserve"> </w:t>
      </w:r>
      <w:r w:rsidRPr="00EE4612">
        <w:rPr>
          <w:rFonts w:ascii="Century Gothic" w:hAnsi="Century Gothic"/>
        </w:rPr>
        <w:t>numeral</w:t>
      </w:r>
      <w:r w:rsidRPr="00EE4612">
        <w:rPr>
          <w:rFonts w:ascii="Century Gothic" w:hAnsi="Century Gothic"/>
          <w:spacing w:val="-12"/>
        </w:rPr>
        <w:t xml:space="preserve"> </w:t>
      </w:r>
      <w:r w:rsidRPr="00EE4612">
        <w:rPr>
          <w:rFonts w:ascii="Century Gothic" w:hAnsi="Century Gothic"/>
        </w:rPr>
        <w:t>8</w:t>
      </w:r>
      <w:r w:rsidRPr="00EE4612">
        <w:rPr>
          <w:rFonts w:ascii="Century Gothic" w:hAnsi="Century Gothic"/>
          <w:spacing w:val="-13"/>
        </w:rPr>
        <w:t xml:space="preserve"> </w:t>
      </w:r>
      <w:r w:rsidRPr="00EE4612">
        <w:rPr>
          <w:rFonts w:ascii="Century Gothic" w:hAnsi="Century Gothic"/>
        </w:rPr>
        <w:t>del</w:t>
      </w:r>
      <w:r w:rsidRPr="00EE4612">
        <w:rPr>
          <w:rFonts w:ascii="Century Gothic" w:hAnsi="Century Gothic"/>
          <w:spacing w:val="-13"/>
        </w:rPr>
        <w:t xml:space="preserve"> </w:t>
      </w:r>
      <w:r w:rsidRPr="00EE4612">
        <w:rPr>
          <w:rFonts w:ascii="Century Gothic" w:hAnsi="Century Gothic"/>
        </w:rPr>
        <w:t>artículo</w:t>
      </w:r>
      <w:r w:rsidRPr="00EE4612">
        <w:rPr>
          <w:rFonts w:ascii="Century Gothic" w:hAnsi="Century Gothic"/>
          <w:spacing w:val="-12"/>
        </w:rPr>
        <w:t xml:space="preserve"> </w:t>
      </w:r>
      <w:r w:rsidRPr="00EE4612">
        <w:rPr>
          <w:rFonts w:ascii="Century Gothic" w:hAnsi="Century Gothic"/>
        </w:rPr>
        <w:t>11</w:t>
      </w:r>
      <w:r w:rsidRPr="00EE4612">
        <w:rPr>
          <w:rFonts w:ascii="Century Gothic" w:hAnsi="Century Gothic"/>
          <w:spacing w:val="-13"/>
        </w:rPr>
        <w:t xml:space="preserve"> </w:t>
      </w:r>
      <w:r w:rsidRPr="00EE4612">
        <w:rPr>
          <w:rFonts w:ascii="Century Gothic" w:hAnsi="Century Gothic"/>
        </w:rPr>
        <w:t>y</w:t>
      </w:r>
      <w:r w:rsidRPr="00EE4612">
        <w:rPr>
          <w:rFonts w:ascii="Century Gothic" w:hAnsi="Century Gothic"/>
          <w:spacing w:val="-13"/>
        </w:rPr>
        <w:t xml:space="preserve"> </w:t>
      </w:r>
      <w:r w:rsidRPr="00EE4612">
        <w:rPr>
          <w:rFonts w:ascii="Century Gothic" w:hAnsi="Century Gothic"/>
        </w:rPr>
        <w:t>el</w:t>
      </w:r>
      <w:r w:rsidRPr="00EE4612">
        <w:rPr>
          <w:rFonts w:ascii="Century Gothic" w:hAnsi="Century Gothic"/>
          <w:spacing w:val="-13"/>
        </w:rPr>
        <w:t xml:space="preserve"> </w:t>
      </w:r>
      <w:r w:rsidRPr="00EE4612">
        <w:rPr>
          <w:rFonts w:ascii="Century Gothic" w:hAnsi="Century Gothic"/>
        </w:rPr>
        <w:t>numeral</w:t>
      </w:r>
      <w:r w:rsidRPr="00EE4612">
        <w:rPr>
          <w:rFonts w:ascii="Century Gothic" w:hAnsi="Century Gothic"/>
          <w:spacing w:val="-12"/>
        </w:rPr>
        <w:t xml:space="preserve"> </w:t>
      </w:r>
      <w:r w:rsidRPr="00EE4612">
        <w:rPr>
          <w:rFonts w:ascii="Century Gothic" w:hAnsi="Century Gothic"/>
        </w:rPr>
        <w:t>5</w:t>
      </w:r>
      <w:r w:rsidRPr="00EE4612">
        <w:rPr>
          <w:rFonts w:ascii="Century Gothic" w:hAnsi="Century Gothic"/>
          <w:spacing w:val="-13"/>
        </w:rPr>
        <w:t xml:space="preserve"> </w:t>
      </w:r>
      <w:r w:rsidRPr="00EE4612">
        <w:rPr>
          <w:rFonts w:ascii="Century Gothic" w:hAnsi="Century Gothic"/>
        </w:rPr>
        <w:t>del</w:t>
      </w:r>
      <w:r w:rsidRPr="00EE4612">
        <w:rPr>
          <w:rFonts w:ascii="Century Gothic" w:hAnsi="Century Gothic"/>
          <w:spacing w:val="-13"/>
        </w:rPr>
        <w:t xml:space="preserve"> </w:t>
      </w:r>
      <w:r w:rsidRPr="00EE4612">
        <w:rPr>
          <w:rFonts w:ascii="Century Gothic" w:hAnsi="Century Gothic"/>
        </w:rPr>
        <w:t>artículo 3</w:t>
      </w:r>
      <w:r w:rsidRPr="00EE4612">
        <w:rPr>
          <w:rFonts w:ascii="Century Gothic" w:hAnsi="Century Gothic"/>
          <w:spacing w:val="-16"/>
        </w:rPr>
        <w:t xml:space="preserve"> </w:t>
      </w:r>
      <w:r w:rsidRPr="00EE4612">
        <w:rPr>
          <w:rFonts w:ascii="Century Gothic" w:hAnsi="Century Gothic"/>
        </w:rPr>
        <w:t>del</w:t>
      </w:r>
      <w:r w:rsidRPr="00EE4612">
        <w:rPr>
          <w:rFonts w:ascii="Century Gothic" w:hAnsi="Century Gothic"/>
          <w:spacing w:val="-15"/>
        </w:rPr>
        <w:t xml:space="preserve"> </w:t>
      </w:r>
      <w:r w:rsidRPr="00EE4612">
        <w:rPr>
          <w:rFonts w:ascii="Century Gothic" w:hAnsi="Century Gothic"/>
        </w:rPr>
        <w:t>Decreto</w:t>
      </w:r>
      <w:r w:rsidRPr="00EE4612">
        <w:rPr>
          <w:rFonts w:ascii="Century Gothic" w:hAnsi="Century Gothic"/>
          <w:spacing w:val="-15"/>
        </w:rPr>
        <w:t xml:space="preserve"> </w:t>
      </w:r>
      <w:r w:rsidRPr="00EE4612">
        <w:rPr>
          <w:rFonts w:ascii="Century Gothic" w:hAnsi="Century Gothic"/>
        </w:rPr>
        <w:t>Ley</w:t>
      </w:r>
      <w:r w:rsidRPr="00EE4612">
        <w:rPr>
          <w:rFonts w:ascii="Century Gothic" w:hAnsi="Century Gothic"/>
          <w:spacing w:val="-16"/>
        </w:rPr>
        <w:t xml:space="preserve"> </w:t>
      </w:r>
      <w:r w:rsidRPr="00EE4612">
        <w:rPr>
          <w:rFonts w:ascii="Century Gothic" w:hAnsi="Century Gothic"/>
        </w:rPr>
        <w:t>4170</w:t>
      </w:r>
      <w:r w:rsidRPr="00EE4612">
        <w:rPr>
          <w:rFonts w:ascii="Century Gothic" w:hAnsi="Century Gothic"/>
          <w:spacing w:val="-15"/>
        </w:rPr>
        <w:t xml:space="preserve"> </w:t>
      </w:r>
      <w:r w:rsidRPr="00EE4612">
        <w:rPr>
          <w:rFonts w:ascii="Century Gothic" w:hAnsi="Century Gothic"/>
        </w:rPr>
        <w:t>de</w:t>
      </w:r>
      <w:r w:rsidRPr="00EE4612">
        <w:rPr>
          <w:rFonts w:ascii="Century Gothic" w:hAnsi="Century Gothic"/>
          <w:spacing w:val="-15"/>
        </w:rPr>
        <w:t xml:space="preserve"> </w:t>
      </w:r>
      <w:r w:rsidRPr="00EE4612">
        <w:rPr>
          <w:rFonts w:ascii="Century Gothic" w:hAnsi="Century Gothic"/>
        </w:rPr>
        <w:t>2011,</w:t>
      </w:r>
      <w:r w:rsidRPr="00EE4612">
        <w:rPr>
          <w:rFonts w:ascii="Century Gothic" w:hAnsi="Century Gothic"/>
          <w:spacing w:val="-15"/>
        </w:rPr>
        <w:t xml:space="preserve"> </w:t>
      </w:r>
      <w:r w:rsidRPr="00EE4612">
        <w:rPr>
          <w:rFonts w:ascii="Century Gothic" w:hAnsi="Century Gothic"/>
        </w:rPr>
        <w:t>la</w:t>
      </w:r>
      <w:r w:rsidRPr="00EE4612">
        <w:rPr>
          <w:rFonts w:ascii="Century Gothic" w:hAnsi="Century Gothic"/>
          <w:spacing w:val="-16"/>
        </w:rPr>
        <w:t xml:space="preserve"> </w:t>
      </w:r>
      <w:r w:rsidRPr="00EE4612">
        <w:rPr>
          <w:rFonts w:ascii="Century Gothic" w:hAnsi="Century Gothic"/>
        </w:rPr>
        <w:t>Agencia</w:t>
      </w:r>
      <w:r w:rsidRPr="00EE4612">
        <w:rPr>
          <w:rFonts w:ascii="Century Gothic" w:hAnsi="Century Gothic"/>
          <w:spacing w:val="-15"/>
        </w:rPr>
        <w:t xml:space="preserve"> </w:t>
      </w:r>
      <w:r w:rsidRPr="00EE4612">
        <w:rPr>
          <w:rFonts w:ascii="Century Gothic" w:hAnsi="Century Gothic"/>
        </w:rPr>
        <w:t>Nacional</w:t>
      </w:r>
      <w:r w:rsidRPr="00EE4612">
        <w:rPr>
          <w:rFonts w:ascii="Century Gothic" w:hAnsi="Century Gothic"/>
          <w:spacing w:val="-15"/>
        </w:rPr>
        <w:t xml:space="preserve"> </w:t>
      </w:r>
      <w:r w:rsidRPr="00EE4612">
        <w:rPr>
          <w:rFonts w:ascii="Century Gothic" w:hAnsi="Century Gothic"/>
        </w:rPr>
        <w:t>de</w:t>
      </w:r>
      <w:r w:rsidRPr="00EE4612">
        <w:rPr>
          <w:rFonts w:ascii="Century Gothic" w:hAnsi="Century Gothic"/>
          <w:spacing w:val="-16"/>
        </w:rPr>
        <w:t xml:space="preserve"> </w:t>
      </w:r>
      <w:r w:rsidRPr="00EE4612">
        <w:rPr>
          <w:rFonts w:ascii="Century Gothic" w:hAnsi="Century Gothic"/>
        </w:rPr>
        <w:t>Contratación</w:t>
      </w:r>
      <w:r w:rsidRPr="00EE4612">
        <w:rPr>
          <w:rFonts w:ascii="Century Gothic" w:hAnsi="Century Gothic"/>
          <w:spacing w:val="-15"/>
        </w:rPr>
        <w:t xml:space="preserve"> </w:t>
      </w:r>
      <w:r w:rsidRPr="00EE4612">
        <w:rPr>
          <w:rFonts w:ascii="Century Gothic" w:hAnsi="Century Gothic"/>
        </w:rPr>
        <w:t>Pública</w:t>
      </w:r>
      <w:r w:rsidRPr="00EE4612">
        <w:rPr>
          <w:rFonts w:ascii="Century Gothic" w:hAnsi="Century Gothic"/>
          <w:spacing w:val="-15"/>
        </w:rPr>
        <w:t xml:space="preserve"> </w:t>
      </w:r>
      <w:r w:rsidRPr="00EE4612">
        <w:rPr>
          <w:rFonts w:ascii="Century Gothic" w:hAnsi="Century Gothic"/>
        </w:rPr>
        <w:t>−</w:t>
      </w:r>
      <w:r w:rsidRPr="00EE4612">
        <w:rPr>
          <w:rFonts w:ascii="Century Gothic" w:hAnsi="Century Gothic"/>
          <w:spacing w:val="-15"/>
        </w:rPr>
        <w:t xml:space="preserve"> </w:t>
      </w:r>
      <w:r w:rsidRPr="00EE4612">
        <w:rPr>
          <w:rFonts w:ascii="Century Gothic" w:hAnsi="Century Gothic"/>
        </w:rPr>
        <w:t>Colombia</w:t>
      </w:r>
      <w:r w:rsidRPr="00EE4612">
        <w:rPr>
          <w:rFonts w:ascii="Century Gothic" w:hAnsi="Century Gothic"/>
          <w:spacing w:val="-16"/>
        </w:rPr>
        <w:t xml:space="preserve"> </w:t>
      </w:r>
      <w:r w:rsidRPr="00EE4612">
        <w:rPr>
          <w:rFonts w:ascii="Century Gothic" w:hAnsi="Century Gothic"/>
        </w:rPr>
        <w:t xml:space="preserve">Compra Eficiente responde su consulta del 2 de febrero de 2024.  </w:t>
      </w:r>
    </w:p>
    <w:p w:rsidRPr="00EE4612" w:rsidR="000A30E3" w:rsidP="000A30E3" w:rsidRDefault="000A30E3" w14:paraId="4471E353" w14:textId="77777777">
      <w:pPr>
        <w:pStyle w:val="Textoindependiente"/>
        <w:kinsoku w:val="0"/>
        <w:overflowPunct w:val="0"/>
        <w:spacing w:before="3"/>
        <w:rPr>
          <w:rFonts w:ascii="Century Gothic" w:hAnsi="Century Gothic"/>
          <w:sz w:val="25"/>
          <w:szCs w:val="25"/>
        </w:rPr>
      </w:pPr>
    </w:p>
    <w:p w:rsidRPr="00EE4612" w:rsidR="000A30E3" w:rsidP="000A30E3" w:rsidRDefault="000A30E3" w14:paraId="602AB334" w14:textId="77777777">
      <w:pPr>
        <w:pStyle w:val="Ttulo1"/>
        <w:numPr>
          <w:ilvl w:val="0"/>
          <w:numId w:val="6"/>
        </w:numPr>
        <w:tabs>
          <w:tab w:val="left" w:pos="402"/>
        </w:tabs>
        <w:kinsoku w:val="0"/>
        <w:overflowPunct w:val="0"/>
        <w:ind w:left="284"/>
        <w:rPr>
          <w:rFonts w:ascii="Century Gothic" w:hAnsi="Century Gothic"/>
          <w:spacing w:val="-2"/>
        </w:rPr>
      </w:pPr>
      <w:r w:rsidRPr="00EE4612">
        <w:rPr>
          <w:rFonts w:ascii="Century Gothic" w:hAnsi="Century Gothic"/>
        </w:rPr>
        <w:t>Problemas</w:t>
      </w:r>
      <w:r w:rsidRPr="00EE4612">
        <w:rPr>
          <w:rFonts w:ascii="Century Gothic" w:hAnsi="Century Gothic"/>
          <w:spacing w:val="-9"/>
        </w:rPr>
        <w:t xml:space="preserve"> </w:t>
      </w:r>
      <w:r w:rsidRPr="00EE4612">
        <w:rPr>
          <w:rFonts w:ascii="Century Gothic" w:hAnsi="Century Gothic"/>
          <w:spacing w:val="-2"/>
        </w:rPr>
        <w:t>planteados</w:t>
      </w:r>
    </w:p>
    <w:p w:rsidRPr="00EE4612" w:rsidR="000A30E3" w:rsidP="000A30E3" w:rsidRDefault="000A30E3" w14:paraId="6129B9BD" w14:textId="77777777">
      <w:pPr>
        <w:pStyle w:val="Textoindependiente"/>
        <w:kinsoku w:val="0"/>
        <w:overflowPunct w:val="0"/>
        <w:spacing w:before="7"/>
        <w:rPr>
          <w:rFonts w:ascii="Century Gothic" w:hAnsi="Century Gothic"/>
          <w:b/>
          <w:bCs/>
          <w:sz w:val="28"/>
          <w:szCs w:val="28"/>
        </w:rPr>
      </w:pPr>
    </w:p>
    <w:p w:rsidRPr="00EE4612" w:rsidR="000A30E3" w:rsidP="000A30E3" w:rsidRDefault="000A30E3" w14:paraId="18C77E6D" w14:textId="77777777">
      <w:pPr>
        <w:pStyle w:val="Textoindependiente"/>
        <w:kinsoku w:val="0"/>
        <w:overflowPunct w:val="0"/>
        <w:spacing w:line="276" w:lineRule="auto"/>
        <w:jc w:val="both"/>
        <w:rPr>
          <w:rFonts w:ascii="Century Gothic" w:hAnsi="Century Gothic"/>
          <w:spacing w:val="-2"/>
        </w:rPr>
      </w:pPr>
      <w:r w:rsidRPr="00EE4612">
        <w:rPr>
          <w:rFonts w:ascii="Century Gothic" w:hAnsi="Century Gothic"/>
        </w:rPr>
        <w:t>Usted</w:t>
      </w:r>
      <w:r w:rsidRPr="00EE4612">
        <w:rPr>
          <w:rFonts w:ascii="Century Gothic" w:hAnsi="Century Gothic"/>
          <w:spacing w:val="-4"/>
        </w:rPr>
        <w:t xml:space="preserve"> </w:t>
      </w:r>
      <w:r w:rsidRPr="00EE4612">
        <w:rPr>
          <w:rFonts w:ascii="Century Gothic" w:hAnsi="Century Gothic"/>
        </w:rPr>
        <w:t>formula</w:t>
      </w:r>
      <w:r w:rsidRPr="00EE4612">
        <w:rPr>
          <w:rFonts w:ascii="Century Gothic" w:hAnsi="Century Gothic"/>
          <w:spacing w:val="-4"/>
        </w:rPr>
        <w:t xml:space="preserve"> </w:t>
      </w:r>
      <w:r w:rsidRPr="00EE4612">
        <w:rPr>
          <w:rFonts w:ascii="Century Gothic" w:hAnsi="Century Gothic"/>
        </w:rPr>
        <w:t>la</w:t>
      </w:r>
      <w:r w:rsidRPr="00EE4612">
        <w:rPr>
          <w:rFonts w:ascii="Century Gothic" w:hAnsi="Century Gothic"/>
          <w:spacing w:val="-4"/>
        </w:rPr>
        <w:t xml:space="preserve"> </w:t>
      </w:r>
      <w:r w:rsidRPr="00EE4612">
        <w:rPr>
          <w:rFonts w:ascii="Century Gothic" w:hAnsi="Century Gothic"/>
        </w:rPr>
        <w:t>siguiente</w:t>
      </w:r>
      <w:r w:rsidRPr="00EE4612">
        <w:rPr>
          <w:rFonts w:ascii="Century Gothic" w:hAnsi="Century Gothic"/>
          <w:spacing w:val="-3"/>
        </w:rPr>
        <w:t xml:space="preserve"> </w:t>
      </w:r>
      <w:r w:rsidRPr="00EE4612">
        <w:rPr>
          <w:rFonts w:ascii="Century Gothic" w:hAnsi="Century Gothic"/>
          <w:spacing w:val="-2"/>
        </w:rPr>
        <w:t>consulta:</w:t>
      </w:r>
    </w:p>
    <w:p w:rsidRPr="00EE4612" w:rsidR="00C02C62" w:rsidP="000A30E3" w:rsidRDefault="00C02C62" w14:paraId="709EB7A6" w14:textId="77777777">
      <w:pPr>
        <w:pStyle w:val="Default"/>
        <w:ind w:left="709" w:right="709"/>
        <w:jc w:val="both"/>
        <w:rPr>
          <w:rFonts w:ascii="Century Gothic" w:hAnsi="Century Gothic"/>
          <w:spacing w:val="-2"/>
          <w:sz w:val="21"/>
          <w:szCs w:val="21"/>
        </w:rPr>
      </w:pPr>
    </w:p>
    <w:p w:rsidRPr="00EE4612" w:rsidR="000A30E3" w:rsidP="00EE4612" w:rsidRDefault="000A30E3" w14:paraId="6BCF115E" w14:textId="1FBEAA79">
      <w:pPr>
        <w:pStyle w:val="Default"/>
        <w:spacing w:after="120"/>
        <w:ind w:left="709" w:right="709"/>
        <w:jc w:val="both"/>
        <w:rPr>
          <w:rFonts w:ascii="Century Gothic" w:hAnsi="Century Gothic"/>
          <w:sz w:val="21"/>
          <w:szCs w:val="21"/>
        </w:rPr>
      </w:pPr>
      <w:r w:rsidRPr="00EE4612">
        <w:rPr>
          <w:rFonts w:ascii="Century Gothic" w:hAnsi="Century Gothic"/>
          <w:spacing w:val="-2"/>
          <w:sz w:val="21"/>
          <w:szCs w:val="21"/>
        </w:rPr>
        <w:t xml:space="preserve">“[…] </w:t>
      </w:r>
      <w:r w:rsidRPr="00EE4612">
        <w:rPr>
          <w:rFonts w:ascii="Century Gothic" w:hAnsi="Century Gothic"/>
          <w:sz w:val="21"/>
          <w:szCs w:val="21"/>
        </w:rPr>
        <w:t xml:space="preserve">¿Puede una Entidad Estatal realizar una contratación con una figura asociativa (Unión Temporal y/o Consorcio), en donde uno de los miembros </w:t>
      </w:r>
      <w:r w:rsidRPr="00EE4612">
        <w:rPr>
          <w:rFonts w:ascii="Century Gothic" w:hAnsi="Century Gothic"/>
          <w:bCs/>
          <w:sz w:val="21"/>
          <w:szCs w:val="21"/>
        </w:rPr>
        <w:t xml:space="preserve">no cuenta </w:t>
      </w:r>
      <w:r w:rsidRPr="00EE4612">
        <w:rPr>
          <w:rFonts w:ascii="Century Gothic" w:hAnsi="Century Gothic"/>
          <w:sz w:val="21"/>
          <w:szCs w:val="21"/>
        </w:rPr>
        <w:t xml:space="preserve">con un permiso o autorización estatal (emitido por el Estado) requerido para ejecutar dicho Contrato Estatal? </w:t>
      </w:r>
    </w:p>
    <w:p w:rsidRPr="00EE4612" w:rsidR="000A30E3" w:rsidP="00EE4612" w:rsidRDefault="000A30E3" w14:paraId="01DA24A3" w14:textId="77777777">
      <w:pPr>
        <w:pStyle w:val="Default"/>
        <w:spacing w:after="120"/>
        <w:ind w:left="709" w:right="709"/>
        <w:jc w:val="both"/>
        <w:rPr>
          <w:rFonts w:ascii="Century Gothic" w:hAnsi="Century Gothic"/>
          <w:sz w:val="21"/>
          <w:szCs w:val="21"/>
        </w:rPr>
      </w:pPr>
      <w:r w:rsidRPr="00EE4612">
        <w:rPr>
          <w:rFonts w:ascii="Century Gothic" w:hAnsi="Century Gothic"/>
          <w:bCs/>
          <w:sz w:val="21"/>
          <w:szCs w:val="21"/>
        </w:rPr>
        <w:t xml:space="preserve">2.2. </w:t>
      </w:r>
      <w:r w:rsidRPr="00EE4612">
        <w:rPr>
          <w:rFonts w:ascii="Century Gothic" w:hAnsi="Century Gothic"/>
          <w:sz w:val="21"/>
          <w:szCs w:val="21"/>
        </w:rPr>
        <w:t xml:space="preserve">¿Puede una Entidad Estatal establecer como requisito habilitante jurídico que sólo uno de los miembros de la figura asociativa (Unión Temporal y/o Consorcio) cuente con el permiso o autorización estatal (emitido por el Estado) requerido para vender el bien o prestar el servicio solicitado por Entidad Estatal, a pesar de que </w:t>
      </w:r>
      <w:r w:rsidRPr="00EE4612">
        <w:rPr>
          <w:rFonts w:ascii="Century Gothic" w:hAnsi="Century Gothic"/>
          <w:bCs/>
          <w:sz w:val="21"/>
          <w:szCs w:val="21"/>
        </w:rPr>
        <w:t xml:space="preserve">todos los miembros de la </w:t>
      </w:r>
      <w:r w:rsidRPr="00EE4612">
        <w:rPr>
          <w:rFonts w:ascii="Century Gothic" w:hAnsi="Century Gothic"/>
          <w:bCs/>
          <w:sz w:val="21"/>
          <w:szCs w:val="21"/>
        </w:rPr>
        <w:t xml:space="preserve">figura asociativa (Unión Temporal y/o Consorcio) están obligados solidariamente a cumplir con el objeto contractual? </w:t>
      </w:r>
      <w:r w:rsidRPr="00EE4612">
        <w:rPr>
          <w:rFonts w:ascii="Century Gothic" w:hAnsi="Century Gothic"/>
          <w:sz w:val="21"/>
          <w:szCs w:val="21"/>
        </w:rPr>
        <w:t xml:space="preserve"> […]”. </w:t>
      </w:r>
    </w:p>
    <w:p w:rsidRPr="00EE4612" w:rsidR="000A30E3" w:rsidP="000A30E3" w:rsidRDefault="000A30E3" w14:paraId="28BC3165" w14:textId="77777777">
      <w:pPr>
        <w:pStyle w:val="Textoindependiente"/>
        <w:kinsoku w:val="0"/>
        <w:overflowPunct w:val="0"/>
        <w:spacing w:before="5"/>
        <w:rPr>
          <w:rFonts w:ascii="Century Gothic" w:hAnsi="Century Gothic"/>
          <w:sz w:val="31"/>
          <w:szCs w:val="31"/>
        </w:rPr>
      </w:pPr>
    </w:p>
    <w:p w:rsidRPr="00EE4612" w:rsidR="000A30E3" w:rsidP="000A30E3" w:rsidRDefault="000A30E3" w14:paraId="56BFC1AA" w14:textId="77777777">
      <w:pPr>
        <w:pStyle w:val="Ttulo1"/>
        <w:numPr>
          <w:ilvl w:val="0"/>
          <w:numId w:val="6"/>
        </w:numPr>
        <w:tabs>
          <w:tab w:val="left" w:pos="402"/>
        </w:tabs>
        <w:kinsoku w:val="0"/>
        <w:overflowPunct w:val="0"/>
        <w:ind w:left="426" w:hanging="491"/>
        <w:rPr>
          <w:rFonts w:ascii="Century Gothic" w:hAnsi="Century Gothic"/>
          <w:spacing w:val="-2"/>
        </w:rPr>
      </w:pPr>
      <w:r w:rsidRPr="00EE4612">
        <w:rPr>
          <w:rFonts w:ascii="Century Gothic" w:hAnsi="Century Gothic"/>
          <w:spacing w:val="-2"/>
        </w:rPr>
        <w:t>Consideraciones</w:t>
      </w:r>
    </w:p>
    <w:p w:rsidRPr="00EE4612" w:rsidR="000A30E3" w:rsidP="000A30E3" w:rsidRDefault="000A30E3" w14:paraId="15757CAA" w14:textId="77777777">
      <w:pPr>
        <w:pStyle w:val="Ttulo1"/>
        <w:tabs>
          <w:tab w:val="left" w:pos="402"/>
        </w:tabs>
        <w:kinsoku w:val="0"/>
        <w:overflowPunct w:val="0"/>
        <w:ind w:left="1080" w:firstLine="0"/>
        <w:rPr>
          <w:rFonts w:ascii="Century Gothic" w:hAnsi="Century Gothic"/>
          <w:spacing w:val="-2"/>
        </w:rPr>
      </w:pPr>
    </w:p>
    <w:p w:rsidRPr="00EE4612" w:rsidR="000A30E3" w:rsidP="000A30E3" w:rsidRDefault="000A30E3" w14:paraId="573C3A6E" w14:textId="77777777">
      <w:pPr>
        <w:spacing w:after="120" w:line="276" w:lineRule="auto"/>
        <w:jc w:val="both"/>
        <w:rPr>
          <w:rFonts w:ascii="Century Gothic" w:hAnsi="Century Gothic" w:eastAsia="Calibri" w:cs="Arial"/>
          <w:lang w:val="es-ES_tradnl"/>
        </w:rPr>
      </w:pPr>
      <w:r w:rsidRPr="00EE4612">
        <w:rPr>
          <w:rFonts w:ascii="Century Gothic" w:hAnsi="Century Gothic" w:eastAsia="Arial" w:cs="Arial"/>
          <w:lang w:val="es-MX" w:eastAsia="es-ES_tradnl"/>
        </w:rPr>
        <w:t xml:space="preserve">En ejercicio de las competencias establecidas en los artículos 3.5 y 11.8 del Decreto 4170 de 2011, la Agencia Nacional de Contratación Pública – Colombia Compra Eficiente </w:t>
      </w:r>
      <w:proofErr w:type="spellStart"/>
      <w:r w:rsidRPr="00EE4612">
        <w:rPr>
          <w:rFonts w:ascii="Century Gothic" w:hAnsi="Century Gothic" w:eastAsia="Arial" w:cs="Arial"/>
          <w:lang w:val="es-MX" w:eastAsia="es-ES_tradnl"/>
        </w:rPr>
        <w:t>resuellve</w:t>
      </w:r>
      <w:proofErr w:type="spellEnd"/>
      <w:r w:rsidRPr="00EE4612">
        <w:rPr>
          <w:rFonts w:ascii="Century Gothic" w:hAnsi="Century Gothic" w:eastAsia="Arial" w:cs="Arial"/>
          <w:lang w:val="es-MX" w:eastAsia="es-ES_tradnl"/>
        </w:rPr>
        <w:t xml:space="preserve"> las consultas sobre los asuntos de su competencia, esto es, sobre las temáticas de la contratación estatal y compras públicas relacionadas en los artículos citados</w:t>
      </w:r>
      <w:r w:rsidRPr="00EE4612">
        <w:rPr>
          <w:rFonts w:ascii="Century Gothic" w:hAnsi="Century Gothic" w:eastAsia="Arial" w:cs="Arial"/>
          <w:vertAlign w:val="superscript"/>
          <w:lang w:val="es-MX" w:eastAsia="es-ES_tradnl"/>
        </w:rPr>
        <w:footnoteReference w:id="1"/>
      </w:r>
      <w:r w:rsidRPr="00EE4612">
        <w:rPr>
          <w:rFonts w:ascii="Century Gothic" w:hAnsi="Century Gothic" w:eastAsia="Arial" w:cs="Arial"/>
          <w:lang w:val="es-MX" w:eastAsia="es-ES_tradnl"/>
        </w:rPr>
        <w:t xml:space="preserve">. </w:t>
      </w:r>
      <w:r w:rsidRPr="00EE4612">
        <w:rPr>
          <w:rFonts w:ascii="Century Gothic" w:hAnsi="Century Gothic" w:eastAsia="Calibri"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rsidRPr="00EE4612" w:rsidR="000A30E3" w:rsidP="7545293B" w:rsidRDefault="000A30E3" w14:paraId="3C9A8266" w14:textId="77777777" w14:noSpellErr="1">
      <w:pPr>
        <w:spacing w:after="120" w:line="276" w:lineRule="auto"/>
        <w:ind w:firstLine="708"/>
        <w:jc w:val="both"/>
        <w:rPr>
          <w:rFonts w:ascii="Century Gothic" w:hAnsi="Century Gothic" w:eastAsia="Calibri" w:cs="Arial"/>
          <w:lang w:val="es-ES"/>
        </w:rPr>
      </w:pPr>
      <w:r w:rsidRPr="7545293B" w:rsidR="000A30E3">
        <w:rPr>
          <w:rFonts w:ascii="Century Gothic" w:hAnsi="Century Gothic"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7545293B" w:rsidR="000A30E3">
        <w:rPr>
          <w:rFonts w:ascii="Century Gothic" w:hAnsi="Century Gothic" w:eastAsia="Calibri" w:cs="Arial"/>
          <w:lang w:val="es-ES"/>
        </w:rPr>
        <w:t xml:space="preserve"> </w:t>
      </w:r>
      <w:r w:rsidRPr="7545293B" w:rsidR="000A30E3">
        <w:rPr>
          <w:rFonts w:ascii="Century Gothic" w:hAnsi="Century Gothic" w:eastAsia="Calibri" w:cs="Arial"/>
          <w:lang w:val="es-ES"/>
        </w:rPr>
        <w:t>Esta competencia de interpretación de normas generales, por definición, no puede extenderse a la resolución de controversias, ni a brindar asesorías sobre casos puntuales, ni mucho menos pronunciarse por la presunta responsabilidad en que se puede derivar de las actuaciones adelantadas en los procesos de contratación estatal dado que este último aspecto es de competencia restrictiva de la rama judicial y de los entes de control, según corresponda.</w:t>
      </w:r>
      <w:r w:rsidRPr="7545293B" w:rsidR="000A30E3">
        <w:rPr>
          <w:rFonts w:ascii="Century Gothic" w:hAnsi="Century Gothic" w:eastAsia="Calibri" w:cs="Arial"/>
          <w:lang w:val="es-ES"/>
        </w:rPr>
        <w:t xml:space="preserve"> </w:t>
      </w:r>
    </w:p>
    <w:p w:rsidRPr="00EE4612" w:rsidR="000A30E3" w:rsidP="00EE4612" w:rsidRDefault="000A30E3" w14:paraId="0E89673D" w14:textId="77777777">
      <w:pPr>
        <w:spacing w:after="0" w:line="276" w:lineRule="auto"/>
        <w:ind w:firstLine="708"/>
        <w:jc w:val="both"/>
        <w:rPr>
          <w:rFonts w:ascii="Century Gothic" w:hAnsi="Century Gothic" w:eastAsia="Calibri" w:cs="Arial"/>
          <w:lang w:val="es-ES_tradnl"/>
        </w:rPr>
      </w:pPr>
      <w:r w:rsidRPr="00EE4612">
        <w:rPr>
          <w:rFonts w:ascii="Century Gothic" w:hAnsi="Century Gothic" w:eastAsia="Calibri" w:cs="Arial"/>
          <w:bCs/>
          <w:lang w:val="es-ES"/>
        </w:rPr>
        <w:t xml:space="preserve">La Agencia Nacional de Contratación Pública – Colombia Compra Eficiente </w:t>
      </w:r>
      <w:r w:rsidRPr="00EE4612">
        <w:rPr>
          <w:rFonts w:ascii="Century Gothic" w:hAnsi="Century Gothic" w:eastAsia="Calibri" w:cs="Arial"/>
          <w:lang w:val="es-ES_tradnl"/>
        </w:rPr>
        <w:t>se ha pronunciado sobre las estructuras plurales en los Conceptos C-586 del 28 de agosto de 2020, C-518 del 9 de septiembre de 2020, C-627 del 19 de septiembre de 2020, C-660 del 12 de noviembre de 2020 y C- 205 del 20 de junio de 2023</w:t>
      </w:r>
      <w:r w:rsidRPr="00EE4612">
        <w:rPr>
          <w:rFonts w:ascii="Century Gothic" w:hAnsi="Century Gothic" w:eastAsia="Calibri" w:cs="Arial"/>
          <w:vertAlign w:val="superscript"/>
          <w:lang w:val="es-ES_tradnl"/>
        </w:rPr>
        <w:footnoteReference w:id="2"/>
      </w:r>
      <w:r w:rsidRPr="00EE4612">
        <w:rPr>
          <w:rFonts w:ascii="Century Gothic" w:hAnsi="Century Gothic" w:eastAsia="Calibri" w:cs="Arial"/>
          <w:lang w:val="es-ES_tradnl"/>
        </w:rPr>
        <w:t>. En lo pertinente, algunas consideraciones realizadas en los conceptos mencionados se reiteran a continuación y se complementan en lo pertinente.</w:t>
      </w:r>
    </w:p>
    <w:p w:rsidRPr="00EE4612" w:rsidR="00EE4612" w:rsidP="00EE4612" w:rsidRDefault="00EE4612" w14:paraId="404DCC40" w14:textId="77777777">
      <w:pPr>
        <w:spacing w:after="0" w:line="276" w:lineRule="auto"/>
        <w:ind w:firstLine="708"/>
        <w:jc w:val="both"/>
        <w:rPr>
          <w:rFonts w:ascii="Century Gothic" w:hAnsi="Century Gothic" w:cs="Arial"/>
          <w:color w:val="000000" w:themeColor="text1"/>
          <w:lang w:val="es-ES_tradnl"/>
        </w:rPr>
      </w:pPr>
    </w:p>
    <w:p w:rsidRPr="00EE4612" w:rsidR="000A30E3" w:rsidP="00EE4612" w:rsidRDefault="000A30E3" w14:paraId="6313A296" w14:textId="77777777">
      <w:pPr>
        <w:spacing w:after="0" w:line="276" w:lineRule="auto"/>
        <w:jc w:val="both"/>
        <w:rPr>
          <w:rFonts w:ascii="Century Gothic" w:hAnsi="Century Gothic" w:cs="Arial"/>
          <w:b/>
          <w:lang w:val="es-ES_tradnl" w:eastAsia="en-GB"/>
        </w:rPr>
      </w:pPr>
      <w:r w:rsidRPr="00EE4612">
        <w:rPr>
          <w:rFonts w:ascii="Century Gothic" w:hAnsi="Century Gothic" w:cs="Arial"/>
          <w:b/>
          <w:lang w:val="es-ES_tradnl" w:eastAsia="en-GB"/>
        </w:rPr>
        <w:t xml:space="preserve">2.1.  Naturaleza jurídica de los consorcios y uniones temporales </w:t>
      </w:r>
    </w:p>
    <w:p w:rsidRPr="00EE4612" w:rsidR="000A30E3" w:rsidP="00EE4612" w:rsidRDefault="000A30E3" w14:paraId="0351300F" w14:textId="77777777">
      <w:pPr>
        <w:spacing w:after="0" w:line="240" w:lineRule="auto"/>
        <w:jc w:val="both"/>
        <w:rPr>
          <w:rFonts w:ascii="Century Gothic" w:hAnsi="Century Gothic" w:cs="Arial"/>
          <w:bCs/>
          <w:color w:val="000000" w:themeColor="text1"/>
          <w:lang w:val="es-MX" w:eastAsia="es-MX"/>
        </w:rPr>
      </w:pPr>
    </w:p>
    <w:p w:rsidRPr="00EE4612" w:rsidR="000A30E3" w:rsidP="00EE4612" w:rsidRDefault="000A30E3" w14:paraId="5CAD6193" w14:textId="77777777">
      <w:pPr>
        <w:tabs>
          <w:tab w:val="left" w:pos="0"/>
        </w:tabs>
        <w:spacing w:after="120" w:line="276" w:lineRule="auto"/>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Uno de los presupuestos para que alguien pueda celebrar de forma valida un contrato estatal, o cualquier otro negocio jurídico, es la de capacidad jurídica, entendida como la aptitud de un sujeto para ser titular de derecho y obligaciones, de ejercer o exigir los primeros y contraer las segundas en forma personal y de comparecer en juicio</w:t>
      </w:r>
      <w:r w:rsidRPr="00EE4612">
        <w:rPr>
          <w:rFonts w:ascii="Century Gothic" w:hAnsi="Century Gothic" w:eastAsia="Calibri" w:cs="Arial"/>
          <w:bCs/>
          <w:color w:val="000000"/>
          <w:szCs w:val="24"/>
          <w:vertAlign w:val="superscript"/>
          <w:lang w:val="es-ES_tradnl" w:eastAsia="es-ES_tradnl" w:bidi="es-ES"/>
        </w:rPr>
        <w:footnoteReference w:id="3"/>
      </w:r>
      <w:r w:rsidRPr="00EE4612">
        <w:rPr>
          <w:rFonts w:ascii="Century Gothic" w:hAnsi="Century Gothic" w:eastAsia="Calibri" w:cs="Arial"/>
          <w:bCs/>
          <w:color w:val="000000"/>
          <w:szCs w:val="24"/>
          <w:lang w:val="es-ES_tradnl" w:eastAsia="es-ES_tradnl" w:bidi="es-ES"/>
        </w:rPr>
        <w:t xml:space="preserve">. </w:t>
      </w:r>
    </w:p>
    <w:p w:rsidRPr="00EE4612" w:rsidR="00F54E89" w:rsidP="00EE4612" w:rsidRDefault="000A30E3" w14:paraId="51ED3412" w14:textId="618279D2">
      <w:pPr>
        <w:tabs>
          <w:tab w:val="left" w:pos="0"/>
        </w:tabs>
        <w:spacing w:after="12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 xml:space="preserve">La capacidad jurídica permite crear, modificar o extinguir relaciones jurídicas de forma voluntaria y autónoma. De manera que, de acuerdo con lo establecido en el Código Civil, se refiere a la facultad que la ley le confiere a un sujeto para ejercer derechos y contraer obligaciones, partiendo del supuesto de que todas las personas naturales mayores de edad son capaces, con excepción de aquellas que la ley expresamente excluye de tal presunción </w:t>
      </w:r>
      <w:r w:rsidRPr="00EE4612">
        <w:rPr>
          <w:rFonts w:ascii="Century Gothic" w:hAnsi="Century Gothic" w:eastAsia="Calibri" w:cs="Arial"/>
          <w:b/>
          <w:bCs/>
          <w:color w:val="000000" w:themeColor="text1"/>
          <w:lang w:val="es-ES"/>
        </w:rPr>
        <w:t>–</w:t>
      </w:r>
      <w:r w:rsidRPr="00EE4612">
        <w:rPr>
          <w:rFonts w:ascii="Century Gothic" w:hAnsi="Century Gothic" w:eastAsia="Calibri" w:cs="Arial"/>
          <w:bCs/>
          <w:color w:val="000000"/>
          <w:szCs w:val="24"/>
          <w:lang w:val="es-ES_tradnl" w:eastAsia="es-ES_tradnl" w:bidi="es-ES"/>
        </w:rPr>
        <w:t>artículos 1502, 1503 y 1504</w:t>
      </w:r>
      <w:r w:rsidRPr="00EE4612">
        <w:rPr>
          <w:rFonts w:ascii="Century Gothic" w:hAnsi="Century Gothic" w:eastAsia="Calibri" w:cs="Arial"/>
          <w:b/>
          <w:bCs/>
          <w:color w:val="000000" w:themeColor="text1"/>
          <w:lang w:val="es-ES"/>
        </w:rPr>
        <w:t>–</w:t>
      </w:r>
      <w:r w:rsidRPr="00EE4612">
        <w:rPr>
          <w:rFonts w:ascii="Century Gothic" w:hAnsi="Century Gothic" w:eastAsia="Calibri" w:cs="Arial"/>
          <w:bCs/>
          <w:color w:val="000000"/>
          <w:szCs w:val="24"/>
          <w:lang w:val="es-ES_tradnl" w:eastAsia="es-ES_tradnl" w:bidi="es-ES"/>
        </w:rPr>
        <w:t>, y de que la capacidad de las personas jurídicas se circunscribe a lo expresado en su objeto social y su forma de creación</w:t>
      </w:r>
      <w:r w:rsidRPr="00EE4612">
        <w:rPr>
          <w:rFonts w:ascii="Century Gothic" w:hAnsi="Century Gothic" w:eastAsia="Calibri" w:cs="Arial"/>
          <w:bCs/>
          <w:color w:val="000000"/>
          <w:szCs w:val="24"/>
          <w:vertAlign w:val="superscript"/>
          <w:lang w:val="es-ES_tradnl" w:eastAsia="es-ES_tradnl" w:bidi="es-ES"/>
        </w:rPr>
        <w:footnoteReference w:id="4"/>
      </w:r>
      <w:r w:rsidRPr="00EE4612">
        <w:rPr>
          <w:rFonts w:ascii="Century Gothic" w:hAnsi="Century Gothic" w:eastAsia="Calibri" w:cs="Arial"/>
          <w:bCs/>
          <w:color w:val="000000"/>
          <w:szCs w:val="24"/>
          <w:lang w:val="es-ES_tradnl" w:eastAsia="es-ES_tradnl" w:bidi="es-ES"/>
        </w:rPr>
        <w:t>.</w:t>
      </w:r>
    </w:p>
    <w:p w:rsidRPr="00EE4612" w:rsidR="000A30E3" w:rsidP="00E34D86" w:rsidRDefault="000A30E3" w14:paraId="4ADFD6ED" w14:textId="0AC5662B">
      <w:pPr>
        <w:tabs>
          <w:tab w:val="left" w:pos="0"/>
        </w:tabs>
        <w:spacing w:after="12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 xml:space="preserve">El Estatuto General de Contratación de la Administración Pública </w:t>
      </w:r>
      <w:r w:rsidRPr="00EE4612">
        <w:rPr>
          <w:rFonts w:ascii="Century Gothic" w:hAnsi="Century Gothic" w:eastAsia="Calibri" w:cs="Arial"/>
          <w:b/>
          <w:bCs/>
          <w:color w:val="000000" w:themeColor="text1"/>
          <w:lang w:val="es-ES"/>
        </w:rPr>
        <w:t>–</w:t>
      </w:r>
      <w:r w:rsidRPr="00EE4612">
        <w:rPr>
          <w:rFonts w:ascii="Century Gothic" w:hAnsi="Century Gothic" w:eastAsia="Calibri" w:cs="Arial"/>
          <w:bCs/>
          <w:color w:val="000000"/>
          <w:szCs w:val="24"/>
          <w:lang w:val="es-ES_tradnl" w:eastAsia="es-ES_tradnl" w:bidi="es-ES"/>
        </w:rPr>
        <w:t>artículo 6 Ley 80 de 1993</w:t>
      </w:r>
      <w:r w:rsidRPr="00EE4612">
        <w:rPr>
          <w:rFonts w:ascii="Century Gothic" w:hAnsi="Century Gothic" w:eastAsia="Calibri" w:cs="Arial"/>
          <w:b/>
          <w:bCs/>
          <w:color w:val="000000" w:themeColor="text1"/>
          <w:lang w:val="es-ES"/>
        </w:rPr>
        <w:t>–</w:t>
      </w:r>
      <w:r w:rsidRPr="00EE4612">
        <w:rPr>
          <w:rFonts w:ascii="Century Gothic" w:hAnsi="Century Gothic" w:eastAsia="Calibri" w:cs="Arial"/>
          <w:bCs/>
          <w:color w:val="000000"/>
          <w:szCs w:val="24"/>
          <w:lang w:val="es-ES_tradnl" w:eastAsia="es-ES_tradnl" w:bidi="es-ES"/>
        </w:rPr>
        <w:t xml:space="preserve"> define lo siguiente respecto de quienes pueden celebrar contratos con las entidades estatales: </w:t>
      </w:r>
    </w:p>
    <w:p w:rsidRPr="00EE4612" w:rsidR="000A30E3" w:rsidP="000A30E3" w:rsidRDefault="000A30E3" w14:paraId="084526E2" w14:textId="77777777">
      <w:pPr>
        <w:tabs>
          <w:tab w:val="left" w:pos="0"/>
        </w:tabs>
        <w:spacing w:after="240" w:line="240" w:lineRule="auto"/>
        <w:ind w:left="708" w:right="709"/>
        <w:jc w:val="both"/>
        <w:rPr>
          <w:rFonts w:ascii="Century Gothic" w:hAnsi="Century Gothic" w:eastAsia="Calibri" w:cs="Arial"/>
          <w:bCs/>
          <w:color w:val="000000"/>
          <w:sz w:val="21"/>
          <w:szCs w:val="21"/>
          <w:lang w:val="es-ES_tradnl" w:eastAsia="es-ES_tradnl" w:bidi="es-ES"/>
        </w:rPr>
      </w:pPr>
      <w:r w:rsidRPr="00EE4612">
        <w:rPr>
          <w:rFonts w:ascii="Century Gothic" w:hAnsi="Century Gothic" w:eastAsia="Calibri" w:cs="Arial"/>
          <w:lang w:val="es-ES_tradnl" w:eastAsia="es-ES_tradnl"/>
        </w:rPr>
        <w:t>“</w:t>
      </w:r>
      <w:r w:rsidRPr="00EE4612">
        <w:rPr>
          <w:rFonts w:ascii="Century Gothic" w:hAnsi="Century Gothic" w:eastAsia="Calibri" w:cs="Arial"/>
          <w:bCs/>
          <w:color w:val="000000"/>
          <w:sz w:val="21"/>
          <w:szCs w:val="21"/>
          <w:lang w:val="es-ES_tradnl" w:eastAsia="es-ES_tradnl" w:bidi="es-ES"/>
        </w:rPr>
        <w:t xml:space="preserve">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 </w:t>
      </w:r>
    </w:p>
    <w:p w:rsidRPr="00EE4612" w:rsidR="000A30E3" w:rsidP="000A30E3" w:rsidRDefault="000A30E3" w14:paraId="5FF15BFB" w14:textId="77777777">
      <w:pPr>
        <w:tabs>
          <w:tab w:val="left" w:pos="0"/>
        </w:tabs>
        <w:spacing w:after="240" w:line="240" w:lineRule="auto"/>
        <w:ind w:left="708" w:right="709"/>
        <w:jc w:val="both"/>
        <w:rPr>
          <w:rFonts w:ascii="Century Gothic" w:hAnsi="Century Gothic" w:eastAsia="Calibri" w:cs="Arial"/>
          <w:bCs/>
          <w:color w:val="000000"/>
          <w:sz w:val="21"/>
          <w:szCs w:val="21"/>
          <w:lang w:val="es-ES_tradnl" w:eastAsia="es-ES_tradnl" w:bidi="es-ES"/>
        </w:rPr>
      </w:pPr>
      <w:r w:rsidRPr="00EE4612">
        <w:rPr>
          <w:rFonts w:ascii="Century Gothic" w:hAnsi="Century Gothic" w:eastAsia="Calibri" w:cs="Arial"/>
          <w:bCs/>
          <w:color w:val="000000"/>
          <w:sz w:val="21"/>
          <w:szCs w:val="21"/>
          <w:lang w:val="es-ES_tradnl" w:eastAsia="es-ES_tradnl" w:bidi="es-ES"/>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w:t>
      </w:r>
      <w:r w:rsidRPr="00EE4612">
        <w:rPr>
          <w:rFonts w:ascii="Century Gothic" w:hAnsi="Century Gothic" w:eastAsia="Calibri" w:cs="Arial"/>
          <w:bCs/>
          <w:i/>
          <w:iCs/>
          <w:color w:val="000000"/>
          <w:sz w:val="21"/>
          <w:szCs w:val="21"/>
          <w:lang w:val="es-ES_tradnl" w:eastAsia="es-ES_tradnl" w:bidi="es-ES"/>
        </w:rPr>
        <w:t>los consorcios y uniones temporales</w:t>
      </w:r>
      <w:r w:rsidRPr="00EE4612">
        <w:rPr>
          <w:rFonts w:ascii="Century Gothic" w:hAnsi="Century Gothic" w:eastAsia="Calibri" w:cs="Arial"/>
          <w:bCs/>
          <w:color w:val="000000"/>
          <w:sz w:val="21"/>
          <w:szCs w:val="21"/>
          <w:lang w:val="es-ES_tradnl" w:eastAsia="es-ES_tradnl" w:bidi="es-ES"/>
        </w:rPr>
        <w:t>.</w:t>
      </w:r>
    </w:p>
    <w:p w:rsidRPr="00EE4612" w:rsidR="000A30E3" w:rsidP="000A30E3" w:rsidRDefault="000A30E3" w14:paraId="496288A5" w14:textId="77777777">
      <w:pPr>
        <w:tabs>
          <w:tab w:val="left" w:pos="0"/>
        </w:tabs>
        <w:spacing w:after="240" w:line="240" w:lineRule="auto"/>
        <w:ind w:left="708" w:right="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 w:val="21"/>
          <w:szCs w:val="21"/>
          <w:lang w:val="es-ES_tradnl" w:eastAsia="es-ES_tradnl" w:bidi="es-ES"/>
        </w:rPr>
        <w:t>Las personas jurídicas nacionales y extranjeras deberán acreditar que su duración no será inferior a la del plazo del contrato y un año más.</w:t>
      </w:r>
      <w:r w:rsidRPr="00EE4612">
        <w:rPr>
          <w:rFonts w:ascii="Century Gothic" w:hAnsi="Century Gothic" w:eastAsia="Calibri" w:cs="Arial"/>
          <w:lang w:val="es-ES_tradnl" w:eastAsia="es-ES_tradnl"/>
        </w:rPr>
        <w:t>”</w:t>
      </w:r>
      <w:r w:rsidRPr="00EE4612">
        <w:rPr>
          <w:rFonts w:ascii="Century Gothic" w:hAnsi="Century Gothic" w:eastAsia="Calibri" w:cs="Arial"/>
          <w:bCs/>
          <w:color w:val="000000"/>
          <w:sz w:val="21"/>
          <w:szCs w:val="21"/>
          <w:lang w:val="es-ES_tradnl" w:eastAsia="es-ES_tradnl" w:bidi="es-ES"/>
        </w:rPr>
        <w:t xml:space="preserve"> (Cursiva fuera del original) </w:t>
      </w:r>
    </w:p>
    <w:p w:rsidRPr="00EE4612" w:rsidR="000A30E3" w:rsidP="000A30E3" w:rsidRDefault="000A30E3" w14:paraId="64210153" w14:textId="77777777">
      <w:pPr>
        <w:tabs>
          <w:tab w:val="left" w:pos="0"/>
        </w:tabs>
        <w:spacing w:after="24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En consecuencia, en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w:t>
      </w:r>
      <w:r w:rsidRPr="00EE4612" w:rsidDel="00C8511F">
        <w:rPr>
          <w:rFonts w:ascii="Century Gothic" w:hAnsi="Century Gothic" w:eastAsia="Calibri" w:cs="Arial"/>
          <w:bCs/>
          <w:color w:val="000000"/>
          <w:szCs w:val="24"/>
          <w:lang w:val="es-ES_tradnl" w:eastAsia="es-ES_tradnl" w:bidi="es-ES"/>
        </w:rPr>
        <w:t xml:space="preserve"> </w:t>
      </w:r>
      <w:r w:rsidRPr="00EE4612">
        <w:rPr>
          <w:rFonts w:ascii="Century Gothic" w:hAnsi="Century Gothic" w:eastAsia="Calibri" w:cs="Arial"/>
          <w:bCs/>
          <w:color w:val="000000"/>
          <w:szCs w:val="24"/>
          <w:lang w:val="es-ES_tradnl" w:eastAsia="es-ES_tradnl" w:bidi="es-ES"/>
        </w:rPr>
        <w:t>estatal:</w:t>
      </w:r>
    </w:p>
    <w:p w:rsidRPr="00EE4612" w:rsidR="000A30E3" w:rsidP="000A30E3" w:rsidRDefault="000A30E3" w14:paraId="613CAFC2" w14:textId="77777777">
      <w:pPr>
        <w:tabs>
          <w:tab w:val="left" w:pos="0"/>
        </w:tabs>
        <w:spacing w:after="240" w:line="240" w:lineRule="auto"/>
        <w:ind w:left="708" w:right="709"/>
        <w:jc w:val="both"/>
        <w:rPr>
          <w:rFonts w:ascii="Century Gothic" w:hAnsi="Century Gothic" w:eastAsia="Calibri" w:cs="Arial"/>
          <w:bCs/>
          <w:iCs/>
          <w:color w:val="000000"/>
          <w:sz w:val="21"/>
          <w:lang w:val="es-ES_tradnl" w:eastAsia="es-ES_tradnl" w:bidi="es-ES"/>
        </w:rPr>
      </w:pPr>
      <w:r w:rsidRPr="00EE4612">
        <w:rPr>
          <w:rFonts w:ascii="Century Gothic" w:hAnsi="Century Gothic" w:eastAsia="Calibri" w:cs="Arial"/>
          <w:lang w:val="es-ES_tradnl" w:eastAsia="es-ES_tradnl"/>
        </w:rPr>
        <w:t>“</w:t>
      </w:r>
      <w:r w:rsidRPr="00EE4612">
        <w:rPr>
          <w:rFonts w:ascii="Century Gothic" w:hAnsi="Century Gothic" w:eastAsia="Calibri" w:cs="Arial"/>
          <w:bCs/>
          <w:iCs/>
          <w:color w:val="000000"/>
          <w:sz w:val="21"/>
          <w:lang w:val="es-ES_tradnl" w:eastAsia="es-ES_tradnl" w:bidi="es-ES"/>
        </w:rPr>
        <w:t>Artículo 7o. De los consorcios y uniones temporales. Para los efectos de esta ley se entiende por:</w:t>
      </w:r>
    </w:p>
    <w:p w:rsidRPr="00EE4612" w:rsidR="000A30E3" w:rsidP="000A30E3" w:rsidRDefault="000A30E3" w14:paraId="702F80D0" w14:textId="77777777">
      <w:pPr>
        <w:tabs>
          <w:tab w:val="left" w:pos="0"/>
        </w:tabs>
        <w:spacing w:after="240" w:line="240" w:lineRule="auto"/>
        <w:ind w:left="708" w:right="709"/>
        <w:jc w:val="both"/>
        <w:rPr>
          <w:rFonts w:ascii="Century Gothic" w:hAnsi="Century Gothic" w:eastAsia="Calibri" w:cs="Arial"/>
          <w:bCs/>
          <w:iCs/>
          <w:color w:val="000000"/>
          <w:sz w:val="21"/>
          <w:lang w:val="es-ES_tradnl" w:eastAsia="es-ES_tradnl" w:bidi="es-ES"/>
        </w:rPr>
      </w:pPr>
      <w:r w:rsidRPr="00EE4612">
        <w:rPr>
          <w:rFonts w:ascii="Century Gothic" w:hAnsi="Century Gothic" w:eastAsia="Calibri" w:cs="Arial"/>
          <w:bCs/>
          <w:iCs/>
          <w:color w:val="000000"/>
          <w:sz w:val="21"/>
          <w:lang w:val="es-ES_tradnl" w:eastAsia="es-ES_tradnl" w:bidi="es-ES"/>
        </w:rPr>
        <w:t>1o. Consorcio:</w:t>
      </w:r>
    </w:p>
    <w:p w:rsidRPr="00EE4612" w:rsidR="000A30E3" w:rsidP="000A30E3" w:rsidRDefault="000A30E3" w14:paraId="696D9582" w14:textId="77777777">
      <w:pPr>
        <w:tabs>
          <w:tab w:val="left" w:pos="0"/>
        </w:tabs>
        <w:spacing w:after="240" w:line="240" w:lineRule="auto"/>
        <w:ind w:left="708" w:right="709"/>
        <w:jc w:val="both"/>
        <w:rPr>
          <w:rFonts w:ascii="Century Gothic" w:hAnsi="Century Gothic" w:eastAsia="Calibri" w:cs="Arial"/>
          <w:bCs/>
          <w:iCs/>
          <w:color w:val="000000"/>
          <w:sz w:val="21"/>
          <w:lang w:val="es-ES_tradnl" w:eastAsia="es-ES_tradnl" w:bidi="es-ES"/>
        </w:rPr>
      </w:pPr>
      <w:r w:rsidRPr="00EE4612">
        <w:rPr>
          <w:rFonts w:ascii="Century Gothic" w:hAnsi="Century Gothic" w:eastAsia="Calibri" w:cs="Arial"/>
          <w:bCs/>
          <w:iCs/>
          <w:color w:val="000000"/>
          <w:sz w:val="21"/>
          <w:lang w:val="es-ES_tradnl" w:eastAsia="es-ES_tradnl" w:bidi="es-ES"/>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rsidRPr="00EE4612" w:rsidR="000A30E3" w:rsidP="000A30E3" w:rsidRDefault="000A30E3" w14:paraId="2C0D9670" w14:textId="77777777">
      <w:pPr>
        <w:tabs>
          <w:tab w:val="left" w:pos="0"/>
        </w:tabs>
        <w:spacing w:after="240" w:line="240" w:lineRule="auto"/>
        <w:ind w:left="708" w:right="709"/>
        <w:jc w:val="both"/>
        <w:rPr>
          <w:rFonts w:ascii="Century Gothic" w:hAnsi="Century Gothic" w:eastAsia="Calibri" w:cs="Arial"/>
          <w:bCs/>
          <w:iCs/>
          <w:color w:val="000000"/>
          <w:sz w:val="21"/>
          <w:lang w:val="es-ES_tradnl" w:eastAsia="es-ES_tradnl" w:bidi="es-ES"/>
        </w:rPr>
      </w:pPr>
      <w:r w:rsidRPr="00EE4612">
        <w:rPr>
          <w:rFonts w:ascii="Century Gothic" w:hAnsi="Century Gothic" w:eastAsia="Calibri" w:cs="Arial"/>
          <w:bCs/>
          <w:iCs/>
          <w:color w:val="000000"/>
          <w:sz w:val="21"/>
          <w:lang w:val="es-ES_tradnl" w:eastAsia="es-ES_tradnl" w:bidi="es-ES"/>
        </w:rPr>
        <w:t>2o. Unión Temporal:</w:t>
      </w:r>
    </w:p>
    <w:p w:rsidRPr="00EE4612" w:rsidR="000A30E3" w:rsidP="000A30E3" w:rsidRDefault="000A30E3" w14:paraId="205103FB" w14:textId="77777777">
      <w:pPr>
        <w:tabs>
          <w:tab w:val="left" w:pos="0"/>
        </w:tabs>
        <w:spacing w:after="240" w:line="240" w:lineRule="auto"/>
        <w:ind w:left="708" w:right="709"/>
        <w:jc w:val="both"/>
        <w:rPr>
          <w:rFonts w:ascii="Century Gothic" w:hAnsi="Century Gothic" w:eastAsia="Calibri" w:cs="Arial"/>
          <w:bCs/>
          <w:iCs/>
          <w:color w:val="000000"/>
          <w:sz w:val="21"/>
          <w:lang w:val="es-ES_tradnl" w:eastAsia="es-ES_tradnl" w:bidi="es-ES"/>
        </w:rPr>
      </w:pPr>
      <w:r w:rsidRPr="00EE4612">
        <w:rPr>
          <w:rFonts w:ascii="Century Gothic" w:hAnsi="Century Gothic" w:eastAsia="Calibri" w:cs="Arial"/>
          <w:bCs/>
          <w:iCs/>
          <w:color w:val="000000"/>
          <w:sz w:val="21"/>
          <w:lang w:val="es-ES_tradnl" w:eastAsia="es-ES_tradnl" w:bidi="es-ES"/>
        </w:rPr>
        <w:t xml:space="preserve">Cuando dos o más personas en forma conjunta presentan una misma propuesta para la adjudicación, celebración y ejecución de un contrato, </w:t>
      </w:r>
      <w:r w:rsidRPr="00EE4612">
        <w:rPr>
          <w:rFonts w:ascii="Century Gothic" w:hAnsi="Century Gothic" w:eastAsia="Calibri" w:cs="Arial"/>
          <w:bCs/>
          <w:iCs/>
          <w:color w:val="000000"/>
          <w:sz w:val="21"/>
          <w:lang w:val="es-ES_tradnl" w:eastAsia="es-ES_tradnl" w:bidi="es-ES"/>
        </w:rPr>
        <w:t>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rsidRPr="00EE4612" w:rsidR="000A30E3" w:rsidP="000A30E3" w:rsidRDefault="000A30E3" w14:paraId="5F127DFD" w14:textId="77777777">
      <w:pPr>
        <w:tabs>
          <w:tab w:val="left" w:pos="0"/>
        </w:tabs>
        <w:spacing w:after="240" w:line="240" w:lineRule="auto"/>
        <w:ind w:left="708" w:right="709"/>
        <w:jc w:val="both"/>
        <w:rPr>
          <w:rFonts w:ascii="Century Gothic" w:hAnsi="Century Gothic" w:eastAsia="Calibri" w:cs="Arial"/>
          <w:bCs/>
          <w:iCs/>
          <w:color w:val="000000"/>
          <w:sz w:val="21"/>
          <w:lang w:val="es-ES_tradnl" w:eastAsia="es-ES_tradnl" w:bidi="es-ES"/>
        </w:rPr>
      </w:pPr>
      <w:r w:rsidRPr="00EE4612">
        <w:rPr>
          <w:rFonts w:ascii="Century Gothic" w:hAnsi="Century Gothic" w:eastAsia="Calibri" w:cs="Arial"/>
          <w:bCs/>
          <w:iCs/>
          <w:color w:val="000000"/>
          <w:sz w:val="21"/>
          <w:lang w:val="es-ES_tradnl" w:eastAsia="es-ES_tradnl" w:bidi="es-ES"/>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rsidRPr="00EE4612" w:rsidR="000A30E3" w:rsidP="000A30E3" w:rsidRDefault="000A30E3" w14:paraId="63782987" w14:textId="77777777">
      <w:pPr>
        <w:tabs>
          <w:tab w:val="left" w:pos="0"/>
        </w:tabs>
        <w:spacing w:after="240" w:line="240" w:lineRule="auto"/>
        <w:ind w:left="708" w:right="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iCs/>
          <w:color w:val="000000"/>
          <w:sz w:val="21"/>
          <w:lang w:val="es-ES_tradnl" w:eastAsia="es-ES_tradnl" w:bidi="es-ES"/>
        </w:rPr>
        <w:t>Los miembros del consorcio y de la unión temporal deberán designar la persona que, para todos los efectos, representará al consorcio o unión temporal y señalarán las reglas básicas que regulen las relaciones entre ellos y su responsabilidad.</w:t>
      </w:r>
      <w:r w:rsidRPr="00EE4612">
        <w:rPr>
          <w:rFonts w:ascii="Century Gothic" w:hAnsi="Century Gothic" w:eastAsia="Calibri" w:cs="Arial"/>
          <w:lang w:val="es-ES_tradnl" w:eastAsia="es-ES_tradnl"/>
        </w:rPr>
        <w:t>”</w:t>
      </w:r>
    </w:p>
    <w:p w:rsidRPr="00EE4612" w:rsidR="000A30E3" w:rsidP="00E34D86" w:rsidRDefault="000A30E3" w14:paraId="13DDF8FC" w14:textId="77777777">
      <w:pPr>
        <w:tabs>
          <w:tab w:val="left" w:pos="0"/>
        </w:tabs>
        <w:spacing w:after="12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Los consorcios</w:t>
      </w:r>
      <w:r w:rsidRPr="00EE4612">
        <w:rPr>
          <w:rFonts w:ascii="Century Gothic" w:hAnsi="Century Gothic" w:eastAsia="Calibri" w:cs="Arial"/>
          <w:bCs/>
          <w:color w:val="000000"/>
          <w:szCs w:val="24"/>
          <w:vertAlign w:val="superscript"/>
          <w:lang w:val="es-ES_tradnl" w:eastAsia="es-ES_tradnl" w:bidi="es-ES"/>
        </w:rPr>
        <w:footnoteReference w:id="5"/>
      </w:r>
      <w:r w:rsidRPr="00EE4612">
        <w:rPr>
          <w:rFonts w:ascii="Century Gothic" w:hAnsi="Century Gothic" w:eastAsia="Calibri" w:cs="Arial"/>
          <w:bCs/>
          <w:color w:val="000000"/>
          <w:szCs w:val="24"/>
          <w:lang w:val="es-ES_tradnl" w:eastAsia="es-ES_tradnl" w:bidi="es-ES"/>
        </w:rPr>
        <w:t xml:space="preserve">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rsidRPr="00EE4612" w:rsidR="000A30E3" w:rsidP="000A30E3" w:rsidRDefault="000A30E3" w14:paraId="45A5A653" w14:textId="77777777">
      <w:pPr>
        <w:tabs>
          <w:tab w:val="left" w:pos="0"/>
        </w:tabs>
        <w:spacing w:after="24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La diferencia entre los consorcios y las uniones temporales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Sobre el particular la Corte Constitucional en sentencia C – 949 de 2001</w:t>
      </w:r>
      <w:r w:rsidRPr="00EE4612">
        <w:rPr>
          <w:rFonts w:ascii="Century Gothic" w:hAnsi="Century Gothic" w:eastAsia="Calibri" w:cs="Arial"/>
          <w:bCs/>
          <w:color w:val="000000"/>
          <w:szCs w:val="24"/>
          <w:vertAlign w:val="superscript"/>
          <w:lang w:val="es-ES_tradnl" w:eastAsia="es-ES_tradnl" w:bidi="es-ES"/>
        </w:rPr>
        <w:footnoteReference w:id="6"/>
      </w:r>
      <w:r w:rsidRPr="00EE4612">
        <w:rPr>
          <w:rFonts w:ascii="Century Gothic" w:hAnsi="Century Gothic" w:eastAsia="Calibri" w:cs="Arial"/>
          <w:bCs/>
          <w:color w:val="000000"/>
          <w:szCs w:val="24"/>
          <w:lang w:val="es-ES_tradnl" w:eastAsia="es-ES_tradnl" w:bidi="es-ES"/>
        </w:rPr>
        <w:t xml:space="preserve"> consideró lo siguiente:</w:t>
      </w:r>
    </w:p>
    <w:p w:rsidRPr="00EE4612" w:rsidR="000A30E3" w:rsidP="00EE4612" w:rsidRDefault="000A30E3" w14:paraId="7EEAA2A1" w14:textId="77777777">
      <w:pPr>
        <w:tabs>
          <w:tab w:val="left" w:pos="0"/>
        </w:tabs>
        <w:spacing w:after="0" w:line="240" w:lineRule="auto"/>
        <w:ind w:left="709" w:right="709"/>
        <w:jc w:val="both"/>
        <w:rPr>
          <w:rFonts w:ascii="Century Gothic" w:hAnsi="Century Gothic" w:eastAsia="Calibri" w:cs="Arial"/>
          <w:color w:val="000000"/>
          <w:sz w:val="20"/>
          <w:szCs w:val="20"/>
          <w:lang w:val="es-ES_tradnl" w:eastAsia="es-ES_tradnl" w:bidi="es-ES"/>
        </w:rPr>
      </w:pPr>
      <w:r w:rsidRPr="00EE4612">
        <w:rPr>
          <w:rFonts w:ascii="Century Gothic" w:hAnsi="Century Gothic" w:eastAsia="Calibri" w:cs="Arial"/>
          <w:sz w:val="20"/>
          <w:szCs w:val="20"/>
          <w:lang w:val="es-ES_tradnl" w:eastAsia="es-ES_tradnl"/>
        </w:rPr>
        <w:t>“</w:t>
      </w:r>
      <w:r w:rsidRPr="00EE4612">
        <w:rPr>
          <w:rFonts w:ascii="Century Gothic" w:hAnsi="Century Gothic" w:eastAsia="Calibri" w:cs="Arial"/>
          <w:bCs/>
          <w:color w:val="000000"/>
          <w:sz w:val="20"/>
          <w:szCs w:val="20"/>
          <w:lang w:val="es-ES_tradnl" w:eastAsia="es-ES_tradnl" w:bidi="es-ES"/>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Pr="00EE4612">
        <w:rPr>
          <w:rFonts w:ascii="Century Gothic" w:hAnsi="Century Gothic" w:eastAsia="Calibri" w:cs="Arial"/>
          <w:color w:val="000000"/>
          <w:sz w:val="20"/>
          <w:szCs w:val="20"/>
          <w:lang w:val="es-ES_tradnl" w:eastAsia="es-ES_tradnl" w:bidi="es-ES"/>
        </w:rPr>
        <w:t xml:space="preserve"> […]</w:t>
      </w:r>
    </w:p>
    <w:p w:rsidRPr="00EE4612" w:rsidR="00EE4612" w:rsidP="00EE4612" w:rsidRDefault="00EE4612" w14:paraId="644B5750" w14:textId="77777777">
      <w:pPr>
        <w:tabs>
          <w:tab w:val="left" w:pos="0"/>
        </w:tabs>
        <w:spacing w:after="0" w:line="240" w:lineRule="auto"/>
        <w:ind w:left="709" w:right="709"/>
        <w:jc w:val="both"/>
        <w:rPr>
          <w:rFonts w:ascii="Century Gothic" w:hAnsi="Century Gothic" w:eastAsia="Calibri" w:cs="Arial"/>
          <w:b/>
          <w:bCs/>
          <w:color w:val="000000"/>
          <w:sz w:val="20"/>
          <w:szCs w:val="20"/>
          <w:lang w:val="es-ES_tradnl" w:eastAsia="es-ES_tradnl" w:bidi="es-ES"/>
        </w:rPr>
      </w:pPr>
    </w:p>
    <w:p w:rsidRPr="00EE4612" w:rsidR="000A30E3" w:rsidP="00EE4612" w:rsidRDefault="000A30E3" w14:paraId="0A6DEA96" w14:textId="77777777">
      <w:pPr>
        <w:tabs>
          <w:tab w:val="left" w:pos="0"/>
        </w:tabs>
        <w:spacing w:after="0" w:line="240" w:lineRule="auto"/>
        <w:ind w:left="709" w:right="709"/>
        <w:jc w:val="both"/>
        <w:rPr>
          <w:rFonts w:ascii="Century Gothic" w:hAnsi="Century Gothic" w:eastAsia="Calibri" w:cs="Arial"/>
          <w:bCs/>
          <w:color w:val="000000"/>
          <w:sz w:val="20"/>
          <w:szCs w:val="20"/>
          <w:lang w:val="es-ES_tradnl" w:eastAsia="es-ES_tradnl" w:bidi="es-ES"/>
        </w:rPr>
      </w:pPr>
      <w:r w:rsidRPr="00EE4612">
        <w:rPr>
          <w:rFonts w:ascii="Century Gothic" w:hAnsi="Century Gothic" w:eastAsia="Calibri" w:cs="Arial"/>
          <w:bCs/>
          <w:color w:val="000000"/>
          <w:sz w:val="20"/>
          <w:szCs w:val="20"/>
          <w:lang w:val="es-ES_tradnl" w:eastAsia="es-ES_tradnl" w:bidi="es-ES"/>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 […]</w:t>
      </w:r>
    </w:p>
    <w:p w:rsidRPr="00EE4612" w:rsidR="00CB622A" w:rsidP="00CB622A" w:rsidRDefault="00CB622A" w14:paraId="3E59FB8B" w14:textId="77777777">
      <w:pPr>
        <w:tabs>
          <w:tab w:val="left" w:pos="0"/>
        </w:tabs>
        <w:spacing w:after="0" w:line="240" w:lineRule="auto"/>
        <w:ind w:left="708" w:right="709"/>
        <w:jc w:val="both"/>
        <w:rPr>
          <w:rFonts w:ascii="Century Gothic" w:hAnsi="Century Gothic" w:eastAsia="Calibri" w:cs="Arial"/>
          <w:bCs/>
          <w:color w:val="000000"/>
          <w:sz w:val="20"/>
          <w:szCs w:val="20"/>
          <w:lang w:val="es-ES_tradnl" w:eastAsia="es-ES_tradnl" w:bidi="es-ES"/>
        </w:rPr>
      </w:pPr>
    </w:p>
    <w:p w:rsidRPr="00EE4612" w:rsidR="000A30E3" w:rsidP="00CB622A" w:rsidRDefault="000A30E3" w14:paraId="35CD25C7" w14:textId="0B61B499">
      <w:pPr>
        <w:tabs>
          <w:tab w:val="left" w:pos="0"/>
        </w:tabs>
        <w:spacing w:after="0" w:line="240" w:lineRule="auto"/>
        <w:ind w:left="708" w:right="709"/>
        <w:jc w:val="both"/>
        <w:rPr>
          <w:rFonts w:ascii="Century Gothic" w:hAnsi="Century Gothic" w:eastAsia="Calibri" w:cs="Arial"/>
          <w:sz w:val="20"/>
          <w:szCs w:val="20"/>
          <w:lang w:val="es-ES_tradnl" w:eastAsia="es-ES_tradnl"/>
        </w:rPr>
      </w:pPr>
      <w:r w:rsidRPr="00EE4612">
        <w:rPr>
          <w:rFonts w:ascii="Century Gothic" w:hAnsi="Century Gothic" w:eastAsia="Calibri" w:cs="Arial"/>
          <w:bCs/>
          <w:color w:val="000000"/>
          <w:sz w:val="20"/>
          <w:szCs w:val="20"/>
          <w:lang w:val="es-ES_tradnl" w:eastAsia="es-ES_tradnl" w:bidi="es-ES"/>
        </w:rPr>
        <w:t>La Ley 80 de 1993, al crear las figuras de los consorcios y uniones temporales y constituirlas como sujetos de la contratación administrativa, reconoce una 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 Superiores).</w:t>
      </w:r>
      <w:r w:rsidRPr="00EE4612">
        <w:rPr>
          <w:rFonts w:ascii="Century Gothic" w:hAnsi="Century Gothic" w:eastAsia="Calibri" w:cs="Arial"/>
          <w:sz w:val="20"/>
          <w:szCs w:val="20"/>
          <w:lang w:val="es-ES_tradnl" w:eastAsia="es-ES_tradnl"/>
        </w:rPr>
        <w:t>”</w:t>
      </w:r>
    </w:p>
    <w:p w:rsidRPr="00EE4612" w:rsidR="00CB622A" w:rsidP="00E34D86" w:rsidRDefault="00CB622A" w14:paraId="4A70FFC6" w14:textId="77777777">
      <w:pPr>
        <w:tabs>
          <w:tab w:val="left" w:pos="0"/>
        </w:tabs>
        <w:spacing w:after="0" w:line="240" w:lineRule="auto"/>
        <w:ind w:left="708" w:right="709"/>
        <w:jc w:val="both"/>
        <w:rPr>
          <w:rFonts w:ascii="Century Gothic" w:hAnsi="Century Gothic" w:eastAsia="Calibri" w:cs="Arial"/>
          <w:bCs/>
          <w:color w:val="000000"/>
          <w:sz w:val="20"/>
          <w:szCs w:val="20"/>
          <w:lang w:val="es-ES_tradnl" w:eastAsia="es-ES_tradnl" w:bidi="es-ES"/>
        </w:rPr>
      </w:pPr>
    </w:p>
    <w:p w:rsidRPr="00EE4612" w:rsidR="000A30E3" w:rsidP="00E34D86" w:rsidRDefault="000A30E3" w14:paraId="1A2F205B" w14:textId="77777777">
      <w:pPr>
        <w:tabs>
          <w:tab w:val="left" w:pos="0"/>
        </w:tabs>
        <w:spacing w:after="12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rsidRPr="00EE4612" w:rsidR="000A30E3" w:rsidP="00E34D86" w:rsidRDefault="000A30E3" w14:paraId="1CF90D77" w14:textId="77777777">
      <w:pPr>
        <w:tabs>
          <w:tab w:val="left" w:pos="0"/>
        </w:tabs>
        <w:spacing w:after="12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Por lo anterior, cabe mencionar que el contrato de constitución del consorcio o unión temporal debe designar las facultades del “representante</w:t>
      </w:r>
      <w:r w:rsidRPr="00EE4612">
        <w:rPr>
          <w:rFonts w:ascii="Century Gothic" w:hAnsi="Century Gothic" w:eastAsia="Calibri" w:cs="Arial"/>
          <w:color w:val="000000"/>
          <w:szCs w:val="24"/>
          <w:lang w:val="es-ES_tradnl" w:eastAsia="es-ES_tradnl" w:bidi="es-ES"/>
        </w:rPr>
        <w:t>”</w:t>
      </w:r>
      <w:r w:rsidRPr="00EE4612">
        <w:rPr>
          <w:rFonts w:ascii="Century Gothic" w:hAnsi="Century Gothic" w:eastAsia="Calibri" w:cs="Arial"/>
          <w:bCs/>
          <w:color w:val="000000"/>
          <w:szCs w:val="24"/>
          <w:lang w:val="es-ES_tradnl" w:eastAsia="es-ES_tradnl" w:bidi="es-ES"/>
        </w:rPr>
        <w:t xml:space="preserve"> del ente asociado, designación que tendrá los efectos de la representación previstos </w:t>
      </w:r>
      <w:r w:rsidRPr="00EE4612">
        <w:rPr>
          <w:rFonts w:ascii="Century Gothic" w:hAnsi="Century Gothic" w:eastAsia="Calibri" w:cs="Arial"/>
          <w:bCs/>
          <w:color w:val="000000"/>
          <w:szCs w:val="24"/>
          <w:lang w:val="es-ES_tradnl" w:eastAsia="es-ES_tradnl" w:bidi="es-ES"/>
        </w:rPr>
        <w:t>en el artículo 1505 del Código Civil</w:t>
      </w:r>
      <w:r w:rsidRPr="00EE4612">
        <w:rPr>
          <w:rFonts w:ascii="Century Gothic" w:hAnsi="Century Gothic" w:eastAsia="Calibri" w:cs="Arial"/>
          <w:bCs/>
          <w:color w:val="000000"/>
          <w:szCs w:val="24"/>
          <w:vertAlign w:val="superscript"/>
          <w:lang w:val="es-ES_tradnl" w:eastAsia="es-ES_tradnl" w:bidi="es-ES"/>
        </w:rPr>
        <w:footnoteReference w:id="7"/>
      </w:r>
      <w:r w:rsidRPr="00EE4612">
        <w:rPr>
          <w:rFonts w:ascii="Century Gothic" w:hAnsi="Century Gothic" w:eastAsia="Calibri" w:cs="Arial"/>
          <w:bCs/>
          <w:color w:val="000000"/>
          <w:szCs w:val="24"/>
          <w:lang w:val="es-ES_tradnl" w:eastAsia="es-ES_tradnl" w:bidi="es-ES"/>
        </w:rPr>
        <w:t>: “Lo que una persona ejecuta a nombre de otra, estando facultada por ella o por la ley para representarla, produce respecto del representado iguales efectos que si hubiese contratado él mismo”.</w:t>
      </w:r>
    </w:p>
    <w:p w:rsidRPr="00EE4612" w:rsidR="000A30E3" w:rsidP="7545293B" w:rsidRDefault="000A30E3" w14:paraId="19864FDF" w14:textId="77777777">
      <w:pPr>
        <w:spacing w:after="0" w:line="276" w:lineRule="auto"/>
        <w:ind w:firstLine="709"/>
        <w:jc w:val="both"/>
        <w:rPr>
          <w:rFonts w:ascii="Century Gothic" w:hAnsi="Century Gothic" w:eastAsia="Calibri" w:cs="Arial"/>
          <w:color w:val="000000"/>
          <w:lang w:val="es-ES" w:eastAsia="es-ES" w:bidi="es-ES"/>
        </w:rPr>
      </w:pPr>
      <w:r w:rsidRPr="7545293B" w:rsidR="000A30E3">
        <w:rPr>
          <w:rFonts w:ascii="Century Gothic" w:hAnsi="Century Gothic" w:eastAsia="Calibri" w:cs="Arial"/>
          <w:color w:val="000000"/>
          <w:lang w:val="es-ES" w:eastAsia="es-ES" w:bidi="es-ES"/>
        </w:rPr>
        <w:t>El acuerdo de voluntades que constituye el consorcio o unión temporal se reconoce doctrinalmente como contrato consorcial o de “</w:t>
      </w:r>
      <w:r w:rsidRPr="7545293B" w:rsidR="000A30E3">
        <w:rPr>
          <w:rFonts w:ascii="Century Gothic" w:hAnsi="Century Gothic" w:eastAsia="Calibri" w:cs="Arial"/>
          <w:i w:val="1"/>
          <w:iCs w:val="1"/>
          <w:color w:val="000000"/>
          <w:lang w:val="es-ES" w:eastAsia="es-ES" w:bidi="es-ES"/>
        </w:rPr>
        <w:t>joint</w:t>
      </w:r>
      <w:r w:rsidRPr="7545293B" w:rsidR="000A30E3">
        <w:rPr>
          <w:rFonts w:ascii="Century Gothic" w:hAnsi="Century Gothic" w:eastAsia="Calibri" w:cs="Arial"/>
          <w:i w:val="1"/>
          <w:iCs w:val="1"/>
          <w:color w:val="000000"/>
          <w:lang w:val="es-ES" w:eastAsia="es-ES" w:bidi="es-ES"/>
        </w:rPr>
        <w:t xml:space="preserve"> venture</w:t>
      </w:r>
      <w:r w:rsidRPr="7545293B" w:rsidR="000A30E3">
        <w:rPr>
          <w:rFonts w:ascii="Century Gothic" w:hAnsi="Century Gothic" w:eastAsia="Calibri" w:cs="Arial"/>
          <w:color w:val="000000"/>
          <w:lang w:val="es-ES" w:eastAsia="es-ES" w:bidi="es-ES"/>
        </w:rPr>
        <w:t>”</w:t>
      </w:r>
      <w:r w:rsidRPr="7545293B" w:rsidR="000A30E3">
        <w:rPr>
          <w:rFonts w:ascii="Century Gothic" w:hAnsi="Century Gothic" w:eastAsia="Calibri" w:cs="Arial"/>
          <w:color w:val="000000"/>
          <w:lang w:val="es-ES" w:eastAsia="es-ES" w:bidi="es-ES"/>
        </w:rPr>
        <w:t>, que se reconoce como un contrato principal, oneroso, conmutativo, bilateral o plurilateral</w:t>
      </w:r>
      <w:r w:rsidRPr="7545293B">
        <w:rPr>
          <w:rFonts w:ascii="Century Gothic" w:hAnsi="Century Gothic" w:eastAsia="Calibri" w:cs="Arial"/>
          <w:color w:val="000000"/>
          <w:vertAlign w:val="superscript"/>
          <w:lang w:val="es-ES" w:eastAsia="es-ES" w:bidi="es-ES"/>
        </w:rPr>
        <w:footnoteReference w:id="8"/>
      </w:r>
      <w:r w:rsidRPr="7545293B" w:rsidR="000A30E3">
        <w:rPr>
          <w:rFonts w:ascii="Century Gothic" w:hAnsi="Century Gothic" w:eastAsia="Calibri" w:cs="Arial"/>
          <w:color w:val="000000"/>
          <w:lang w:val="es-ES" w:eastAsia="es-ES" w:bidi="es-ES"/>
        </w:rPr>
        <w:t>.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de su representante, tienen capacidad y están legitimados para comparecer al proceso, con el fin de hacer valer sus derechos o responder por el incumplimiento de sus obligaciones, en lo relacionado con el procedimiento de selección y el contrato estatal</w:t>
      </w:r>
      <w:r w:rsidRPr="7545293B">
        <w:rPr>
          <w:rFonts w:ascii="Century Gothic" w:hAnsi="Century Gothic" w:eastAsia="Calibri" w:cs="Arial"/>
          <w:color w:val="000000"/>
          <w:vertAlign w:val="superscript"/>
          <w:lang w:val="es-ES" w:eastAsia="es-ES" w:bidi="es-ES"/>
        </w:rPr>
        <w:footnoteReference w:id="9"/>
      </w:r>
      <w:r w:rsidRPr="7545293B" w:rsidR="000A30E3">
        <w:rPr>
          <w:rFonts w:ascii="Century Gothic" w:hAnsi="Century Gothic" w:eastAsia="Calibri" w:cs="Arial"/>
          <w:color w:val="000000"/>
          <w:lang w:val="es-ES" w:eastAsia="es-ES" w:bidi="es-ES"/>
        </w:rPr>
        <w:t>. Así lo ha reconocido la jurisprudencia del Consejo de Estado</w:t>
      </w:r>
      <w:r w:rsidRPr="7545293B">
        <w:rPr>
          <w:rFonts w:ascii="Century Gothic" w:hAnsi="Century Gothic" w:eastAsia="Calibri" w:cs="Arial"/>
          <w:color w:val="000000"/>
          <w:vertAlign w:val="superscript"/>
          <w:lang w:val="es-ES" w:eastAsia="es-ES" w:bidi="es-ES"/>
        </w:rPr>
        <w:footnoteReference w:id="10"/>
      </w:r>
      <w:r w:rsidRPr="7545293B" w:rsidR="000A30E3">
        <w:rPr>
          <w:rFonts w:ascii="Century Gothic" w:hAnsi="Century Gothic" w:eastAsia="Calibri" w:cs="Arial"/>
          <w:color w:val="000000"/>
          <w:lang w:val="es-ES" w:eastAsia="es-ES" w:bidi="es-ES"/>
        </w:rPr>
        <w:t>:</w:t>
      </w:r>
    </w:p>
    <w:p w:rsidRPr="00EE4612" w:rsidR="00F54E89" w:rsidP="00E34D86" w:rsidRDefault="00F54E89" w14:paraId="71861417" w14:textId="77777777">
      <w:pPr>
        <w:tabs>
          <w:tab w:val="left" w:pos="0"/>
        </w:tabs>
        <w:spacing w:after="0" w:line="276" w:lineRule="auto"/>
        <w:ind w:firstLine="709"/>
        <w:jc w:val="both"/>
        <w:rPr>
          <w:rFonts w:ascii="Century Gothic" w:hAnsi="Century Gothic" w:eastAsia="Calibri" w:cs="Arial"/>
          <w:bCs/>
          <w:color w:val="000000"/>
          <w:szCs w:val="24"/>
          <w:lang w:val="es-ES_tradnl" w:eastAsia="es-ES_tradnl" w:bidi="es-ES"/>
        </w:rPr>
      </w:pPr>
    </w:p>
    <w:p w:rsidRPr="00EE4612" w:rsidR="000A30E3" w:rsidP="7545293B" w:rsidRDefault="000A30E3" w14:paraId="50B2D5FC" w14:textId="77777777">
      <w:pPr>
        <w:spacing w:after="0" w:line="240" w:lineRule="auto"/>
        <w:ind w:left="708" w:right="709"/>
        <w:jc w:val="both"/>
        <w:rPr>
          <w:rFonts w:ascii="Century Gothic" w:hAnsi="Century Gothic" w:eastAsia="Calibri" w:cs="Arial"/>
          <w:sz w:val="20"/>
          <w:szCs w:val="20"/>
          <w:lang w:val="es-ES" w:eastAsia="es-ES"/>
        </w:rPr>
      </w:pPr>
      <w:r w:rsidRPr="7545293B" w:rsidR="000A30E3">
        <w:rPr>
          <w:rFonts w:ascii="Century Gothic" w:hAnsi="Century Gothic" w:eastAsia="Calibri" w:cs="Arial"/>
          <w:sz w:val="20"/>
          <w:szCs w:val="20"/>
          <w:lang w:val="es-ES" w:eastAsia="es-ES"/>
        </w:rPr>
        <w:t>“</w:t>
      </w:r>
      <w:r w:rsidRPr="7545293B" w:rsidR="000A30E3">
        <w:rPr>
          <w:rFonts w:ascii="Century Gothic" w:hAnsi="Century Gothic" w:eastAsia="Calibri" w:cs="Arial"/>
          <w:color w:val="000000" w:themeColor="text1" w:themeTint="FF" w:themeShade="FF"/>
          <w:sz w:val="20"/>
          <w:szCs w:val="20"/>
          <w:lang w:val="es-ES" w:eastAsia="es-ES" w:bidi="es-ES"/>
        </w:rPr>
        <w:t xml:space="preserve">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w:t>
      </w:r>
      <w:r w:rsidRPr="7545293B" w:rsidR="000A30E3">
        <w:rPr>
          <w:rFonts w:ascii="Century Gothic" w:hAnsi="Century Gothic" w:eastAsia="Calibri" w:cs="Arial"/>
          <w:color w:val="000000" w:themeColor="text1" w:themeTint="FF" w:themeShade="FF"/>
          <w:sz w:val="20"/>
          <w:szCs w:val="20"/>
          <w:lang w:val="es-ES" w:eastAsia="es-ES" w:bidi="es-ES"/>
        </w:rPr>
        <w:t>del contrato estatal respectivo –</w:t>
      </w:r>
      <w:r w:rsidRPr="7545293B" w:rsidR="000A30E3">
        <w:rPr>
          <w:rFonts w:ascii="Century Gothic" w:hAnsi="Century Gothic" w:eastAsia="Calibri" w:cs="Arial"/>
          <w:color w:val="000000" w:themeColor="text1" w:themeTint="FF" w:themeShade="FF"/>
          <w:sz w:val="20"/>
          <w:szCs w:val="20"/>
          <w:lang w:val="es-ES" w:eastAsia="es-ES" w:bidi="es-ES"/>
        </w:rPr>
        <w:t>legitimatio</w:t>
      </w:r>
      <w:r w:rsidRPr="7545293B" w:rsidR="000A30E3">
        <w:rPr>
          <w:rFonts w:ascii="Century Gothic" w:hAnsi="Century Gothic" w:eastAsia="Calibri" w:cs="Arial"/>
          <w:color w:val="000000" w:themeColor="text1" w:themeTint="FF" w:themeShade="FF"/>
          <w:sz w:val="20"/>
          <w:szCs w:val="20"/>
          <w:lang w:val="es-ES" w:eastAsia="es-ES" w:bidi="es-ES"/>
        </w:rPr>
        <w:t xml:space="preserve"> ad </w:t>
      </w:r>
      <w:r w:rsidRPr="7545293B" w:rsidR="000A30E3">
        <w:rPr>
          <w:rFonts w:ascii="Century Gothic" w:hAnsi="Century Gothic" w:eastAsia="Calibri" w:cs="Arial"/>
          <w:color w:val="000000" w:themeColor="text1" w:themeTint="FF" w:themeShade="FF"/>
          <w:sz w:val="20"/>
          <w:szCs w:val="20"/>
          <w:lang w:val="es-ES" w:eastAsia="es-ES" w:bidi="es-ES"/>
        </w:rPr>
        <w:t>processum</w:t>
      </w:r>
      <w:r w:rsidRPr="7545293B" w:rsidR="000A30E3">
        <w:rPr>
          <w:rFonts w:ascii="Century Gothic" w:hAnsi="Century Gothic" w:eastAsia="Calibri" w:cs="Arial"/>
          <w:color w:val="000000" w:themeColor="text1" w:themeTint="FF" w:themeShade="FF"/>
          <w:sz w:val="20"/>
          <w:szCs w:val="20"/>
          <w:lang w:val="es-ES" w:eastAsia="es-ES" w:bidi="es-ES"/>
        </w:rPr>
        <w:t>-, por intermedio de su representante.</w:t>
      </w:r>
      <w:r w:rsidRPr="7545293B" w:rsidR="000A30E3">
        <w:rPr>
          <w:rFonts w:ascii="Century Gothic" w:hAnsi="Century Gothic" w:eastAsia="Calibri" w:cs="Arial"/>
          <w:sz w:val="20"/>
          <w:szCs w:val="20"/>
          <w:lang w:val="es-ES" w:eastAsia="es-ES"/>
        </w:rPr>
        <w:t>”</w:t>
      </w:r>
    </w:p>
    <w:p w:rsidRPr="00EE4612" w:rsidR="00CB622A" w:rsidP="00E34D86" w:rsidRDefault="00CB622A" w14:paraId="7991CE1E" w14:textId="77777777">
      <w:pPr>
        <w:tabs>
          <w:tab w:val="left" w:pos="0"/>
        </w:tabs>
        <w:spacing w:after="0" w:line="240" w:lineRule="auto"/>
        <w:ind w:left="708" w:right="709"/>
        <w:jc w:val="both"/>
        <w:rPr>
          <w:rFonts w:ascii="Century Gothic" w:hAnsi="Century Gothic" w:eastAsia="Calibri" w:cs="Arial"/>
          <w:bCs/>
          <w:iCs/>
          <w:color w:val="000000"/>
          <w:sz w:val="21"/>
          <w:szCs w:val="21"/>
          <w:lang w:val="es-ES_tradnl" w:eastAsia="es-ES_tradnl" w:bidi="es-ES"/>
        </w:rPr>
      </w:pPr>
    </w:p>
    <w:p w:rsidRPr="00EE4612" w:rsidR="000A30E3" w:rsidP="000A30E3" w:rsidRDefault="000A30E3" w14:paraId="77C7F252" w14:textId="77777777">
      <w:pPr>
        <w:tabs>
          <w:tab w:val="left" w:pos="0"/>
        </w:tabs>
        <w:spacing w:after="12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En esa misma línea, la Sala de Casación Laboral de la Corte Suprema de Justicia, en la Sentencia SL 676 del 10 de enero de 2021, radicado 57.957, reconoció la capacidad procesal de los consorcios y uniones temporales en el marco de procesos laborales, como se precisará en el numeral siguiente. A juicio de la Corte, el solo hecho de no contar con personalidad jurídica no es una razón suficiente para concluir que no se pueda configurar una relación jurídico procesal en una contienda litigiosa y, en esa medida, ser sujeto procesal. En atención al principio de primacía de la realidad sobre las formas, parte esencial del ordenamiento jurídico laboral, el alto tribunal concluyó que los consorcios y uniones temporales son sujetos de obligaciones laborales y, en consecuencia, pueden ser parte en procesos judiciales que cursen ante los jueces del trabajo por medio de su representante legal</w:t>
      </w:r>
      <w:r w:rsidRPr="00EE4612">
        <w:rPr>
          <w:rFonts w:ascii="Century Gothic" w:hAnsi="Century Gothic" w:eastAsia="Calibri" w:cs="Arial"/>
          <w:bCs/>
          <w:color w:val="000000"/>
          <w:szCs w:val="24"/>
          <w:vertAlign w:val="superscript"/>
          <w:lang w:val="es-ES_tradnl" w:eastAsia="es-ES_tradnl" w:bidi="es-ES"/>
        </w:rPr>
        <w:footnoteReference w:id="11"/>
      </w:r>
      <w:r w:rsidRPr="00EE4612">
        <w:rPr>
          <w:rFonts w:ascii="Century Gothic" w:hAnsi="Century Gothic" w:eastAsia="Calibri" w:cs="Arial"/>
          <w:bCs/>
          <w:color w:val="000000"/>
          <w:szCs w:val="24"/>
          <w:lang w:val="es-ES_tradnl" w:eastAsia="es-ES_tradnl" w:bidi="es-ES"/>
        </w:rPr>
        <w:t>.</w:t>
      </w:r>
    </w:p>
    <w:p w:rsidRPr="00EE4612" w:rsidR="000A30E3" w:rsidP="000A30E3" w:rsidRDefault="000A30E3" w14:paraId="4CA82275" w14:textId="77777777">
      <w:pPr>
        <w:tabs>
          <w:tab w:val="left" w:pos="0"/>
        </w:tabs>
        <w:spacing w:after="120" w:line="276" w:lineRule="auto"/>
        <w:ind w:firstLine="709"/>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En conclusión, los consorcios y uniones temporales no son personas jurídicas, pero son entes creados por el acuerdo de voluntades de sus miembros, los cuales están facultados, en virtud de la ley y del contrato consorcial, para celebrar y ejecutar contratos con entidades estatales y para ser parte en procesos administrativos y judiciales derivados de la celebración y la ejecución de aquellos, e incluso para ser parte en procesos laborales.</w:t>
      </w:r>
    </w:p>
    <w:p w:rsidRPr="00EE4612" w:rsidR="000A30E3" w:rsidP="000A30E3" w:rsidRDefault="000A30E3" w14:paraId="693EC748" w14:textId="77777777">
      <w:pPr>
        <w:spacing w:after="120" w:line="276" w:lineRule="auto"/>
        <w:ind w:firstLine="709"/>
        <w:jc w:val="both"/>
        <w:rPr>
          <w:rFonts w:ascii="Century Gothic" w:hAnsi="Century Gothic" w:eastAsia="Calibri" w:cs="Arial"/>
          <w:color w:val="000000" w:themeColor="text1"/>
          <w:lang w:val="es-MX"/>
        </w:rPr>
      </w:pPr>
      <w:r w:rsidRPr="00EE4612">
        <w:rPr>
          <w:rFonts w:ascii="Century Gothic" w:hAnsi="Century Gothic" w:eastAsia="Calibri" w:cs="Arial"/>
          <w:color w:val="000000" w:themeColor="text1"/>
          <w:lang w:val="es-MX"/>
        </w:rPr>
        <w:t xml:space="preserve">Conforme a lo expuesto,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w:t>
      </w:r>
    </w:p>
    <w:p w:rsidRPr="00EE4612" w:rsidR="000A30E3" w:rsidP="000A30E3" w:rsidRDefault="000A30E3" w14:paraId="286FFAC3" w14:textId="77777777">
      <w:pPr>
        <w:spacing w:after="120" w:line="276" w:lineRule="auto"/>
        <w:ind w:firstLine="851"/>
        <w:jc w:val="both"/>
        <w:rPr>
          <w:rFonts w:ascii="Century Gothic" w:hAnsi="Century Gothic" w:eastAsia="Calibri" w:cs="Arial"/>
          <w:color w:val="000000" w:themeColor="text1"/>
          <w:lang w:val="es-MX"/>
        </w:rPr>
      </w:pPr>
      <w:r w:rsidRPr="00EE4612">
        <w:rPr>
          <w:rFonts w:ascii="Century Gothic" w:hAnsi="Century Gothic" w:eastAsia="Calibri" w:cs="Arial"/>
          <w:color w:val="000000" w:themeColor="text1"/>
          <w:lang w:val="es-MX"/>
        </w:rPr>
        <w:t xml:space="preserve">En línea con todo lo expuesto, se precisa que las figuras del consorcio y la unión temporal establecidas en el artículo 7 de la Ley 80 de 1993 tan solo exigen que la propuesta debe ser presentada conjuntamente por dos o más “personas”, sin hacer ninguna aclaración ulterior. En ese orden de ideas, como consecuencia del principio de interpretación de las normas jurídicas según el cual donde la ley no </w:t>
      </w:r>
      <w:r w:rsidRPr="00EE4612">
        <w:rPr>
          <w:rFonts w:ascii="Century Gothic" w:hAnsi="Century Gothic" w:eastAsia="Calibri" w:cs="Arial"/>
          <w:color w:val="000000" w:themeColor="text1"/>
          <w:lang w:val="es-MX"/>
        </w:rPr>
        <w:t>distingue no le es dado distinguir al intérprete, las dos o más personas que conforman el consorcio o la unión temporal pueden tener cualquier calidad.</w:t>
      </w:r>
    </w:p>
    <w:p w:rsidRPr="00EE4612" w:rsidR="000A30E3" w:rsidP="000A30E3" w:rsidRDefault="000A30E3" w14:paraId="6AF3CA01" w14:textId="77777777">
      <w:pPr>
        <w:spacing w:after="120" w:line="276" w:lineRule="auto"/>
        <w:ind w:firstLine="357"/>
        <w:jc w:val="both"/>
        <w:rPr>
          <w:rFonts w:ascii="Century Gothic" w:hAnsi="Century Gothic" w:eastAsia="Calibri" w:cs="Arial"/>
          <w:color w:val="000000" w:themeColor="text1"/>
          <w:lang w:val="es-MX"/>
        </w:rPr>
      </w:pPr>
      <w:r w:rsidRPr="00EE4612">
        <w:rPr>
          <w:rFonts w:ascii="Century Gothic" w:hAnsi="Century Gothic" w:eastAsia="Calibri" w:cs="Arial"/>
          <w:color w:val="000000" w:themeColor="text1"/>
          <w:lang w:val="es-MX"/>
        </w:rPr>
        <w:tab/>
      </w:r>
      <w:r w:rsidRPr="00EE4612">
        <w:rPr>
          <w:rFonts w:ascii="Century Gothic" w:hAnsi="Century Gothic" w:eastAsia="Calibri" w:cs="Arial"/>
          <w:color w:val="000000" w:themeColor="text1"/>
          <w:lang w:val="es-MX"/>
        </w:rPr>
        <w:t xml:space="preserve"> No obstante, cabe recordar que el artículo 7 de la Ley 80 de 1993 exige que se trate de la presentación de una propuesta conjunta por parte de dos o más “personas”. En otras palabras, los miembros del consorcio o unión temporal deben tener personalidad jurídica para poder conformar una estructura plural válidamente.  Es por esto por lo que, teniendo en cuenta que, a luz de los artículos 6 y 7 de la Ley 80 de 1993, los Cabildos Indígenas y las Asociaciones de Cabildos y Autoridades Tradicionales Indígenas son entidades públicas especiales, con personería jurídica y capacidad para celebrar contratos estatales, se estima que estos podrían acudir a figuras como los consorcios y uniones temporales para suscribir contratos estatales. </w:t>
      </w:r>
    </w:p>
    <w:p w:rsidRPr="00EE4612" w:rsidR="000A30E3" w:rsidP="000A30E3" w:rsidRDefault="000A30E3" w14:paraId="259966ED" w14:textId="77777777">
      <w:pPr>
        <w:spacing w:after="0" w:line="276" w:lineRule="auto"/>
        <w:ind w:firstLine="708"/>
        <w:jc w:val="both"/>
        <w:rPr>
          <w:rFonts w:ascii="Century Gothic" w:hAnsi="Century Gothic" w:eastAsia="Calibri" w:cs="Arial"/>
          <w:color w:val="000000" w:themeColor="text1"/>
          <w:lang w:val="es-MX"/>
        </w:rPr>
      </w:pPr>
      <w:r w:rsidRPr="00EE4612">
        <w:rPr>
          <w:rFonts w:ascii="Century Gothic" w:hAnsi="Century Gothic" w:eastAsia="Calibri" w:cs="Arial"/>
          <w:color w:val="000000" w:themeColor="text1"/>
          <w:lang w:val="es-MX"/>
        </w:rPr>
        <w:t xml:space="preserve">   Con todo, es necesario acotar que la posibilidad que tienen estos entes representativos de conformar consorcios y uniones temporales se encontraría limitada a la ejecución actividades que se encuentren comprendidas dentro de su objeto social. Esto significa que las actividades que podría ejecutar un Cabildo o Asociación de Cabildos y/o Autoridades Tradicionales Indígenas, como miembro de una estructura plural, necesariamente deben estar asociadas a su misionalidad, en la medida que a ello se restringe su capacidad jurídica.      </w:t>
      </w:r>
    </w:p>
    <w:p w:rsidRPr="00EE4612" w:rsidR="000A30E3" w:rsidP="000A30E3" w:rsidRDefault="000A30E3" w14:paraId="090E4E92" w14:textId="77777777">
      <w:pPr>
        <w:spacing w:after="0" w:line="276" w:lineRule="auto"/>
        <w:ind w:firstLine="708"/>
        <w:jc w:val="both"/>
        <w:rPr>
          <w:rFonts w:ascii="Century Gothic" w:hAnsi="Century Gothic" w:cs="Arial"/>
          <w:lang w:val="es-MX"/>
        </w:rPr>
      </w:pPr>
    </w:p>
    <w:p w:rsidRPr="00EE4612" w:rsidR="000A30E3" w:rsidP="000A30E3" w:rsidRDefault="000A30E3" w14:paraId="04E8DA8F" w14:textId="77777777">
      <w:pPr>
        <w:pStyle w:val="Textoindependiente"/>
        <w:spacing w:line="276" w:lineRule="auto"/>
        <w:ind w:right="108"/>
        <w:jc w:val="both"/>
        <w:rPr>
          <w:rFonts w:ascii="Century Gothic" w:hAnsi="Century Gothic"/>
          <w:b/>
          <w:bCs/>
          <w:color w:val="000000" w:themeColor="text1"/>
        </w:rPr>
      </w:pPr>
      <w:r w:rsidRPr="00EE4612">
        <w:rPr>
          <w:rFonts w:ascii="Century Gothic" w:hAnsi="Century Gothic"/>
          <w:b/>
          <w:bCs/>
          <w:color w:val="000000" w:themeColor="text1"/>
        </w:rPr>
        <w:t xml:space="preserve">2.2 </w:t>
      </w:r>
      <w:bookmarkStart w:name="_Hlk64453641" w:id="0"/>
      <w:r w:rsidRPr="00EE4612">
        <w:rPr>
          <w:rFonts w:ascii="Century Gothic" w:hAnsi="Century Gothic"/>
          <w:b/>
          <w:bCs/>
          <w:color w:val="000000" w:themeColor="text1"/>
        </w:rPr>
        <w:t>Alcance de la responsabilidad de las estructuras plurales: consorcios y uniones temporales</w:t>
      </w:r>
      <w:bookmarkEnd w:id="0"/>
    </w:p>
    <w:p w:rsidRPr="00EE4612" w:rsidR="000A30E3" w:rsidP="000A30E3" w:rsidRDefault="000A30E3" w14:paraId="7415572B" w14:textId="77777777">
      <w:pPr>
        <w:pStyle w:val="Textoindependiente"/>
        <w:spacing w:line="276" w:lineRule="auto"/>
        <w:ind w:right="108"/>
        <w:jc w:val="both"/>
        <w:rPr>
          <w:rFonts w:ascii="Century Gothic" w:hAnsi="Century Gothic"/>
          <w:color w:val="000000" w:themeColor="text1"/>
        </w:rPr>
      </w:pPr>
    </w:p>
    <w:p w:rsidRPr="00EE4612" w:rsidR="000A30E3" w:rsidP="000A30E3" w:rsidRDefault="000A30E3" w14:paraId="71BE07CD" w14:textId="77777777">
      <w:pPr>
        <w:spacing w:after="120" w:line="276" w:lineRule="auto"/>
        <w:jc w:val="both"/>
        <w:rPr>
          <w:rFonts w:ascii="Century Gothic" w:hAnsi="Century Gothic" w:cs="Arial"/>
          <w:noProof/>
          <w:lang w:val="es-ES_tradnl"/>
        </w:rPr>
      </w:pPr>
      <w:r w:rsidRPr="00EE4612">
        <w:rPr>
          <w:rFonts w:ascii="Century Gothic" w:hAnsi="Century Gothic" w:cs="Arial"/>
          <w:noProof/>
          <w:lang w:val="es-ES_tradnl"/>
        </w:rPr>
        <w:t>La solidaridad, como característica del tipo de obligaciones que se comprometen a cumplir los consorcios en virtud de la celebración de contratos estatales, se presenta cuando en uno o en los dos extremos de la relación jurídica hay varios sujetos vinculados a una misma prestación, que se puede llegar a cumplir en todo o en parte, por cualquiera de los integrantes de la estructura plural. Es decir que cuando en uno de los dos extremos del negocio jurídico existe una persona jurídica plural, el concepto de solidaridad de la obligación, permite que pueda exigirse la totalidad de la prestación a uno, varios o a todos los deudores. La solidaridad se produce respecto de una prestación y no está determinada por la naturaleza de esta, porque aun cuando la prestación sea divisible, la obligación puede ser solidaria, siempre que así lo establezca la ley o el negocio jurídico.</w:t>
      </w:r>
    </w:p>
    <w:p w:rsidRPr="00EE4612" w:rsidR="000A30E3" w:rsidP="000A30E3" w:rsidRDefault="000A30E3" w14:paraId="223E34FE" w14:textId="77777777">
      <w:pPr>
        <w:spacing w:line="276" w:lineRule="auto"/>
        <w:ind w:firstLine="708"/>
        <w:jc w:val="both"/>
        <w:rPr>
          <w:rFonts w:ascii="Century Gothic" w:hAnsi="Century Gothic"/>
          <w:sz w:val="21"/>
          <w:szCs w:val="21"/>
        </w:rPr>
      </w:pPr>
      <w:r w:rsidRPr="00EE4612">
        <w:rPr>
          <w:rFonts w:ascii="Century Gothic" w:hAnsi="Century Gothic" w:cs="Arial"/>
          <w:noProof/>
          <w:lang w:val="es-ES_tradnl"/>
        </w:rPr>
        <w:t xml:space="preserve">La Ley 80 de 1993 </w:t>
      </w:r>
      <w:r w:rsidRPr="00EE4612">
        <w:rPr>
          <w:rFonts w:ascii="Arial" w:hAnsi="Arial" w:cs="Arial"/>
          <w:noProof/>
          <w:lang w:val="es-ES_tradnl"/>
        </w:rPr>
        <w:t>‒</w:t>
      </w:r>
      <w:r w:rsidRPr="00EE4612">
        <w:rPr>
          <w:rFonts w:ascii="Century Gothic" w:hAnsi="Century Gothic" w:cs="Arial"/>
          <w:noProof/>
          <w:lang w:val="es-ES_tradnl"/>
        </w:rPr>
        <w:t>artículo 7</w:t>
      </w:r>
      <w:r w:rsidRPr="00EE4612">
        <w:rPr>
          <w:rFonts w:ascii="Arial" w:hAnsi="Arial" w:cs="Arial"/>
          <w:noProof/>
          <w:lang w:val="es-ES_tradnl"/>
        </w:rPr>
        <w:t>‒</w:t>
      </w:r>
      <w:r w:rsidRPr="00EE4612">
        <w:rPr>
          <w:rFonts w:ascii="Century Gothic" w:hAnsi="Century Gothic" w:cs="Arial"/>
          <w:noProof/>
          <w:lang w:val="es-ES_tradnl"/>
        </w:rPr>
        <w:t xml:space="preserve"> estableció de manera clara y expresa que el cumplimiento de las obligaciones derivadas de la presentación de una oferta, su posterior adjudicación y celebración del contrato estatal, es solidaria por todas y cada una de las obligaciones derivadas de la propuesta y del contrato. En consecuencia, las actuaciones, hechos y omisiones que se presenten en desarrollo de la propuesta y del contrato, se impondran de acuerdo con la participación en la ejecución de cada uno e los miembos de la unión temporal. </w:t>
      </w:r>
    </w:p>
    <w:p w:rsidRPr="00EE4612" w:rsidR="000A30E3" w:rsidP="000A30E3" w:rsidRDefault="000A30E3" w14:paraId="4783AEF1" w14:textId="77777777">
      <w:pPr>
        <w:spacing w:after="120" w:line="276" w:lineRule="auto"/>
        <w:ind w:firstLine="709"/>
        <w:jc w:val="both"/>
        <w:rPr>
          <w:rFonts w:ascii="Century Gothic" w:hAnsi="Century Gothic" w:cs="Arial"/>
          <w:noProof/>
          <w:lang w:val="es-ES_tradnl"/>
        </w:rPr>
      </w:pPr>
      <w:r w:rsidRPr="00EE4612">
        <w:rPr>
          <w:rFonts w:ascii="Century Gothic" w:hAnsi="Century Gothic" w:cs="Arial"/>
          <w:noProof/>
          <w:lang w:val="es-ES_tradnl"/>
        </w:rPr>
        <w:t>En estos términos, es factible admitir que el alcance otorgado por el EGCAP a las obligaciones que deben prestar los integrantes de las uniones temporales, que pretenden ejecutar un contrato estatal, es del tipo de solidaridad pasiva, por cuanto se trata de una solidaridad en donde quienes integran el consorcio se obligan para con la Administración como deudores, a cumplir con todas y cada una de las obligaciones derivadas de la propuesta y del contrato.</w:t>
      </w:r>
    </w:p>
    <w:p w:rsidRPr="00EE4612" w:rsidR="000A30E3" w:rsidP="000A30E3" w:rsidRDefault="000A30E3" w14:paraId="21DB3602" w14:textId="77777777">
      <w:pPr>
        <w:spacing w:after="120" w:line="276" w:lineRule="auto"/>
        <w:ind w:firstLine="709"/>
        <w:jc w:val="both"/>
        <w:rPr>
          <w:rFonts w:ascii="Century Gothic" w:hAnsi="Century Gothic" w:cs="Arial"/>
          <w:noProof/>
          <w:lang w:val="es-ES_tradnl"/>
        </w:rPr>
      </w:pPr>
      <w:r w:rsidRPr="00EE4612">
        <w:rPr>
          <w:rFonts w:ascii="Century Gothic" w:hAnsi="Century Gothic" w:cs="Arial"/>
          <w:noProof/>
          <w:lang w:val="es-ES_tradnl"/>
        </w:rPr>
        <w:t>Como se deriva del parágrafo 1 del artículo 7 de la Ley 80 de 1993, los integrantes de las uniones temporales, a diferencia de los consorcios, en el documento de su constitución deben señalar los términos y extensión de la participación en la propuesta y en su ejecución, dado que las sanciones por el incumplimiento de las obligaciones derivadas de la propuesta y del contrato se impondrán de acuerdo con la participación en la ejecución de cada uno de los miembros de la unión temporal</w:t>
      </w:r>
      <w:r w:rsidRPr="00EE4612">
        <w:rPr>
          <w:rStyle w:val="Refdenotaalpie"/>
          <w:rFonts w:ascii="Century Gothic" w:hAnsi="Century Gothic"/>
          <w:lang w:val="es-ES_tradnl"/>
        </w:rPr>
        <w:footnoteReference w:id="12"/>
      </w:r>
      <w:r w:rsidRPr="00EE4612">
        <w:rPr>
          <w:rFonts w:ascii="Century Gothic" w:hAnsi="Century Gothic" w:cs="Arial"/>
          <w:noProof/>
          <w:lang w:val="es-ES_tradnl"/>
        </w:rPr>
        <w:t>. Lo anterior, sin desconocer que los integrantes de la unión temporal también responden solidariamente por el cumplimiento de las obligaciones.</w:t>
      </w:r>
    </w:p>
    <w:p w:rsidRPr="00EE4612" w:rsidR="000A30E3" w:rsidP="000A30E3" w:rsidRDefault="000A30E3" w14:paraId="71B3B820" w14:textId="77777777">
      <w:pPr>
        <w:spacing w:line="276" w:lineRule="auto"/>
        <w:ind w:firstLine="708"/>
        <w:jc w:val="both"/>
        <w:rPr>
          <w:rFonts w:ascii="Century Gothic" w:hAnsi="Century Gothic" w:cs="Arial"/>
          <w:noProof/>
          <w:lang w:val="es-ES_tradnl"/>
        </w:rPr>
      </w:pPr>
      <w:r w:rsidRPr="00EE4612">
        <w:rPr>
          <w:rFonts w:ascii="Century Gothic" w:hAnsi="Century Gothic" w:cs="Arial"/>
          <w:noProof/>
          <w:lang w:val="es-ES_tradnl"/>
        </w:rPr>
        <w:t xml:space="preserve">En el caso de los consorcios, las actuaciones, hechos y omisiones que se presenten en desarrollo de la propuesta y del contrato, afectarán a todos los miembros que lo conforman, e inclusive las sanciones no estarán limitadas a la participación en la estructura plural. En razón a ello, una modificación en la participación de los integrantes en el consorcio, llevada a cabo por documento privado, no puede afectar los efectos de la responsabilidad solidaria, la cual es de </w:t>
      </w:r>
      <w:r w:rsidRPr="00EE4612">
        <w:rPr>
          <w:rFonts w:ascii="Century Gothic" w:hAnsi="Century Gothic" w:cs="Arial"/>
          <w:noProof/>
          <w:lang w:val="es-ES_tradnl"/>
        </w:rPr>
        <w:t xml:space="preserve">tipo legal y no convencional. Así lo señaló con claridad el Consejo de Estato, al referirse al alcance otorgado a la solidaridad en el cumplimiento de las obligaciones por parte del proponente plural en los siguientes términos: </w:t>
      </w:r>
    </w:p>
    <w:p w:rsidRPr="00EE4612" w:rsidR="000A30E3" w:rsidP="000A30E3" w:rsidRDefault="000A30E3" w14:paraId="16AB95D2" w14:textId="77777777">
      <w:pPr>
        <w:pStyle w:val="Textoindependiente"/>
        <w:ind w:left="709" w:right="709"/>
        <w:jc w:val="both"/>
        <w:rPr>
          <w:rFonts w:ascii="Century Gothic" w:hAnsi="Century Gothic"/>
          <w:sz w:val="20"/>
          <w:szCs w:val="20"/>
        </w:rPr>
      </w:pPr>
      <w:r w:rsidRPr="00EE4612">
        <w:rPr>
          <w:rFonts w:ascii="Century Gothic" w:hAnsi="Century Gothic"/>
          <w:sz w:val="20"/>
          <w:szCs w:val="20"/>
        </w:rPr>
        <w:t xml:space="preserve">La finalidad del ARTÍCULO 7° DE LA LEY 80 DE 1993 al permitir la asociación de personas para la conformación de consorcio o uniones temporales no solo es la de hacer factible la prestación de un servicio, la ejecución de una obra, etc., brindando cada uno mayor calidad y eficiencia en razón a su especialidad,  evitando así los mayores costos y efectos negativos que puedan derivarse de la realización aislada y particular de actividades respecto de las cuales no es el más apto, como se </w:t>
      </w:r>
      <w:proofErr w:type="spellStart"/>
      <w:r w:rsidRPr="00EE4612">
        <w:rPr>
          <w:rFonts w:ascii="Century Gothic" w:hAnsi="Century Gothic"/>
          <w:sz w:val="20"/>
          <w:szCs w:val="20"/>
        </w:rPr>
        <w:t>anoto</w:t>
      </w:r>
      <w:proofErr w:type="spellEnd"/>
      <w:r w:rsidRPr="00EE4612">
        <w:rPr>
          <w:rFonts w:ascii="Century Gothic" w:hAnsi="Century Gothic"/>
          <w:sz w:val="20"/>
          <w:szCs w:val="20"/>
        </w:rPr>
        <w:t xml:space="preserve"> en la Gaceta del Congreso, sino que también la finalidad es la de asegurar a la Administración contratante, mediante la solidaridad creada a su favor entre los consorciados respecto al cumplimiento total de la propuesta y del objeto contratado</w:t>
      </w:r>
      <w:r w:rsidRPr="00EE4612">
        <w:rPr>
          <w:rStyle w:val="Refdenotaalpie"/>
          <w:rFonts w:ascii="Century Gothic" w:hAnsi="Century Gothic"/>
          <w:noProof/>
          <w:sz w:val="20"/>
          <w:szCs w:val="20"/>
          <w:lang w:val="es-ES_tradnl"/>
        </w:rPr>
        <w:footnoteReference w:id="13"/>
      </w:r>
      <w:r w:rsidRPr="00EE4612">
        <w:rPr>
          <w:rFonts w:ascii="Century Gothic" w:hAnsi="Century Gothic"/>
          <w:sz w:val="20"/>
          <w:szCs w:val="20"/>
        </w:rPr>
        <w:t>.</w:t>
      </w:r>
    </w:p>
    <w:p w:rsidRPr="00EE4612" w:rsidR="000A30E3" w:rsidP="00E34D86" w:rsidRDefault="000A30E3" w14:paraId="4F9F45DF" w14:textId="77777777">
      <w:pPr>
        <w:spacing w:after="0" w:line="276" w:lineRule="auto"/>
        <w:ind w:firstLine="708"/>
        <w:jc w:val="both"/>
        <w:rPr>
          <w:rFonts w:ascii="Century Gothic" w:hAnsi="Century Gothic" w:cs="Arial"/>
          <w:noProof/>
          <w:lang w:val="es-ES_tradnl"/>
        </w:rPr>
      </w:pPr>
    </w:p>
    <w:p w:rsidRPr="00EE4612" w:rsidR="000A30E3" w:rsidP="000A30E3" w:rsidRDefault="000A30E3" w14:paraId="2C4858C6" w14:textId="77777777">
      <w:pPr>
        <w:spacing w:after="120" w:line="276" w:lineRule="auto"/>
        <w:ind w:firstLine="709"/>
        <w:jc w:val="both"/>
        <w:rPr>
          <w:rFonts w:ascii="Century Gothic" w:hAnsi="Century Gothic"/>
        </w:rPr>
      </w:pPr>
      <w:r w:rsidRPr="00EE4612">
        <w:rPr>
          <w:rFonts w:ascii="Century Gothic" w:hAnsi="Century Gothic" w:cs="Arial"/>
          <w:noProof/>
          <w:lang w:val="es-ES_tradnl"/>
        </w:rPr>
        <w:t>No obstante lo anterior, es importante señalar que una modificación en los términos de participación en el consorcio no tiene los mismos efectos que tendría para el caso de las uniones temporales. Sin perjuicio de lo anterior, esta modificación no se puede realizar sin el consentimiento previo de la entidad contratante, debido a que la oferta hace parte integral del contrato, por lo que una modificación realizada así sería ineficaz. Ahora bien, las variaciones que efectúen los integrantes de un consorcio respecto a su participación en la ejecución del contrato, no afectan el régimen de responsabilidad solidario impuesto por el EGCAP, dado que el mismo es de origen legal y no convencional, por lo que los integrantes no podrían variarlo.</w:t>
      </w:r>
    </w:p>
    <w:p w:rsidRPr="00EE4612" w:rsidR="000A30E3" w:rsidP="000A30E3" w:rsidRDefault="000A30E3" w14:paraId="6E8278D2" w14:textId="77777777">
      <w:pPr>
        <w:spacing w:line="276" w:lineRule="auto"/>
        <w:ind w:firstLine="708"/>
        <w:jc w:val="both"/>
        <w:rPr>
          <w:rFonts w:ascii="Century Gothic" w:hAnsi="Century Gothic" w:cs="Arial"/>
          <w:noProof/>
          <w:lang w:val="es-ES_tradnl"/>
        </w:rPr>
      </w:pPr>
      <w:r w:rsidRPr="00EE4612">
        <w:rPr>
          <w:rFonts w:ascii="Century Gothic" w:hAnsi="Century Gothic" w:cs="Arial"/>
          <w:noProof/>
          <w:lang w:val="es-ES_tradnl"/>
        </w:rPr>
        <w:t>Ahora bien, el régimen de solidaridad legal establecido en el artículo 7° de la ley 80 de 1993, tiene efectos frente a los contratos suscritos con entidades estatales. Esta tesis es sostenida por el Consejo de Estado en la sentencia de unificación citada con anterioridad, en los siguientes términos:</w:t>
      </w:r>
    </w:p>
    <w:p w:rsidRPr="00EE4612" w:rsidR="000A30E3" w:rsidP="00CB622A" w:rsidRDefault="00CB622A" w14:paraId="31F770C4" w14:textId="7EB22DC0">
      <w:pPr>
        <w:pStyle w:val="Textoindependiente"/>
        <w:ind w:left="709" w:right="709"/>
        <w:jc w:val="both"/>
        <w:rPr>
          <w:rFonts w:ascii="Century Gothic" w:hAnsi="Century Gothic"/>
          <w:sz w:val="20"/>
          <w:szCs w:val="20"/>
        </w:rPr>
      </w:pPr>
      <w:r w:rsidRPr="00EE4612">
        <w:rPr>
          <w:rFonts w:ascii="Century Gothic" w:hAnsi="Century Gothic"/>
          <w:sz w:val="20"/>
          <w:szCs w:val="20"/>
        </w:rPr>
        <w:t>“</w:t>
      </w:r>
      <w:r w:rsidRPr="00EE4612" w:rsidR="000A30E3">
        <w:rPr>
          <w:rFonts w:ascii="Century Gothic" w:hAnsi="Century Gothic"/>
          <w:sz w:val="20"/>
          <w:szCs w:val="20"/>
        </w:rPr>
        <w:t xml:space="preserve">También debe precisarse que la tesis expuesta solo está llamada a operar en cuanto corresponda a los litigios derivados de los contratos estatales o sus correspondientes procedimientos de selección, puesto que la capacidad jurídica que la Ley 80 otorgó a los consorcios y a las uniones temporales se limitó a la celebración de esa clase de contratos y la consiguiente participación en la respectiva selección de los contratistas particulares, sin que, por tanto, la aludida capacidad contractual y sus efectos puedan </w:t>
      </w:r>
      <w:r w:rsidRPr="00EE4612" w:rsidR="000A30E3">
        <w:rPr>
          <w:rFonts w:ascii="Century Gothic" w:hAnsi="Century Gothic"/>
          <w:sz w:val="20"/>
          <w:szCs w:val="20"/>
        </w:rPr>
        <w:t>extenderse a otros campos diferentes, como los relativos a las relaciones jurídicas que, de manera colectiva o individual, pretendan establecer los integrantes de esas agrupaciones con terceros, ajenos al respectivo contrato estatal, independientemente de que tales vínculos pudieren tener como propósito el desarrollo de actividades encaminadas al cumplimiento, total o parcial, del correspondiente contrato estatal</w:t>
      </w:r>
      <w:r w:rsidRPr="00EE4612">
        <w:rPr>
          <w:rFonts w:ascii="Century Gothic" w:hAnsi="Century Gothic"/>
          <w:sz w:val="20"/>
          <w:szCs w:val="20"/>
        </w:rPr>
        <w:t>”</w:t>
      </w:r>
      <w:r w:rsidRPr="00EE4612" w:rsidR="000A30E3">
        <w:rPr>
          <w:rFonts w:ascii="Century Gothic" w:hAnsi="Century Gothic"/>
          <w:sz w:val="20"/>
          <w:szCs w:val="20"/>
          <w:vertAlign w:val="superscript"/>
        </w:rPr>
        <w:footnoteReference w:id="14"/>
      </w:r>
      <w:r w:rsidRPr="00EE4612" w:rsidR="000A30E3">
        <w:rPr>
          <w:rFonts w:ascii="Century Gothic" w:hAnsi="Century Gothic"/>
          <w:sz w:val="20"/>
          <w:szCs w:val="20"/>
          <w:vertAlign w:val="superscript"/>
        </w:rPr>
        <w:t>.</w:t>
      </w:r>
    </w:p>
    <w:p w:rsidRPr="00EE4612" w:rsidR="00CB622A" w:rsidP="00E34D86" w:rsidRDefault="00CB622A" w14:paraId="37624E6A" w14:textId="77777777">
      <w:pPr>
        <w:spacing w:after="0" w:line="276" w:lineRule="auto"/>
        <w:ind w:firstLine="708"/>
        <w:jc w:val="both"/>
        <w:rPr>
          <w:rFonts w:ascii="Century Gothic" w:hAnsi="Century Gothic" w:cs="Arial"/>
          <w:noProof/>
          <w:lang w:val="es-ES_tradnl"/>
        </w:rPr>
      </w:pPr>
    </w:p>
    <w:p w:rsidRPr="00EE4612" w:rsidR="000A30E3" w:rsidP="000A30E3" w:rsidRDefault="000A30E3" w14:paraId="371FB92D" w14:textId="7D300CA7">
      <w:pPr>
        <w:spacing w:line="276" w:lineRule="auto"/>
        <w:ind w:firstLine="708"/>
        <w:jc w:val="both"/>
        <w:rPr>
          <w:rFonts w:ascii="Century Gothic" w:hAnsi="Century Gothic" w:cs="Arial"/>
          <w:noProof/>
          <w:lang w:val="es-ES_tradnl"/>
        </w:rPr>
      </w:pPr>
      <w:r w:rsidRPr="00EE4612">
        <w:rPr>
          <w:rFonts w:ascii="Century Gothic" w:hAnsi="Century Gothic" w:cs="Arial"/>
          <w:noProof/>
          <w:lang w:val="es-ES_tradnl"/>
        </w:rPr>
        <w:t>La posición expuesta por el alto tribunal indica que los efectos establecidos en la Ley 80 de 1993 respecto a la capacidad contractual de los consorcios, incluyendo el régimen de solidaridad de los integrantes de un consorcio no puede extenderse a relaciones jurídicas ajenas al contrato estatal. De esta manera, en el marco de relaciones jurídicas particulares no se podría dar aplicación a los postulados del EGCAP, con el fin de extender el alcance del mencionado artículo 7° de la Ley 80 de 1993 respecto a relaciones en las cuales un extremo del negocio jurídico no sea una entidad estatal.</w:t>
      </w:r>
    </w:p>
    <w:p w:rsidRPr="00EE4612" w:rsidR="000A30E3" w:rsidP="00E34D86" w:rsidRDefault="000A30E3" w14:paraId="14C3B62A" w14:textId="77777777">
      <w:pPr>
        <w:spacing w:after="120" w:line="276" w:lineRule="auto"/>
        <w:jc w:val="both"/>
        <w:rPr>
          <w:rFonts w:ascii="Century Gothic" w:hAnsi="Century Gothic" w:eastAsia="Calibri" w:cs="Arial"/>
          <w:b/>
          <w:lang w:val="es-ES_tradnl"/>
        </w:rPr>
      </w:pPr>
      <w:r w:rsidRPr="00EE4612">
        <w:rPr>
          <w:rFonts w:ascii="Century Gothic" w:hAnsi="Century Gothic" w:eastAsia="Calibri" w:cs="Arial"/>
          <w:b/>
          <w:lang w:val="es-ES_tradnl"/>
        </w:rPr>
        <w:t>3. Respuesta</w:t>
      </w:r>
    </w:p>
    <w:p w:rsidRPr="00EE4612" w:rsidR="000A30E3" w:rsidP="000A30E3" w:rsidRDefault="000A30E3" w14:paraId="33301E88" w14:textId="77777777">
      <w:pPr>
        <w:pStyle w:val="Default"/>
        <w:ind w:left="709" w:right="709"/>
        <w:jc w:val="both"/>
        <w:rPr>
          <w:rFonts w:ascii="Century Gothic" w:hAnsi="Century Gothic"/>
          <w:sz w:val="21"/>
          <w:szCs w:val="21"/>
        </w:rPr>
      </w:pPr>
      <w:r w:rsidRPr="00EE4612">
        <w:rPr>
          <w:rFonts w:ascii="Century Gothic" w:hAnsi="Century Gothic"/>
          <w:spacing w:val="-2"/>
          <w:sz w:val="21"/>
          <w:szCs w:val="21"/>
        </w:rPr>
        <w:t xml:space="preserve">“[…] </w:t>
      </w:r>
      <w:r w:rsidRPr="00EE4612">
        <w:rPr>
          <w:rFonts w:ascii="Century Gothic" w:hAnsi="Century Gothic"/>
          <w:sz w:val="21"/>
          <w:szCs w:val="21"/>
        </w:rPr>
        <w:t xml:space="preserve">¿Puede una Entidad Estatal realizar una contratación con una figura asociativa (Unión Temporal y/o Consorcio), en donde uno de los miembros </w:t>
      </w:r>
      <w:r w:rsidRPr="00EE4612">
        <w:rPr>
          <w:rFonts w:ascii="Century Gothic" w:hAnsi="Century Gothic"/>
          <w:bCs/>
          <w:sz w:val="21"/>
          <w:szCs w:val="21"/>
        </w:rPr>
        <w:t xml:space="preserve">no cuenta </w:t>
      </w:r>
      <w:r w:rsidRPr="00EE4612">
        <w:rPr>
          <w:rFonts w:ascii="Century Gothic" w:hAnsi="Century Gothic"/>
          <w:sz w:val="21"/>
          <w:szCs w:val="21"/>
        </w:rPr>
        <w:t xml:space="preserve">con un permiso o autorización estatal (emitido por el Estado) requerido para ejecutar dicho Contrato Estatal? </w:t>
      </w:r>
    </w:p>
    <w:p w:rsidRPr="00EE4612" w:rsidR="000A30E3" w:rsidP="000A30E3" w:rsidRDefault="000A30E3" w14:paraId="581026DD" w14:textId="77777777">
      <w:pPr>
        <w:pStyle w:val="Default"/>
        <w:ind w:left="709" w:right="709"/>
        <w:jc w:val="both"/>
        <w:rPr>
          <w:rFonts w:ascii="Century Gothic" w:hAnsi="Century Gothic"/>
          <w:sz w:val="21"/>
          <w:szCs w:val="21"/>
        </w:rPr>
      </w:pPr>
      <w:r w:rsidRPr="00EE4612">
        <w:rPr>
          <w:rFonts w:ascii="Century Gothic" w:hAnsi="Century Gothic"/>
          <w:bCs/>
          <w:sz w:val="21"/>
          <w:szCs w:val="21"/>
        </w:rPr>
        <w:t xml:space="preserve">2.2. </w:t>
      </w:r>
      <w:r w:rsidRPr="00EE4612">
        <w:rPr>
          <w:rFonts w:ascii="Century Gothic" w:hAnsi="Century Gothic"/>
          <w:sz w:val="21"/>
          <w:szCs w:val="21"/>
        </w:rPr>
        <w:t xml:space="preserve">¿Puede una Entidad Estatal establecer como requisito habilitante jurídico que sólo uno de los miembros de la figura asociativa (Unión Temporal y/o Consorcio) cuente con el permiso o autorización estatal (emitido por el Estado) requerido para vender el bien o prestar el servicio solicitado por Entidad Estatal, a pesar de que </w:t>
      </w:r>
      <w:r w:rsidRPr="00EE4612">
        <w:rPr>
          <w:rFonts w:ascii="Century Gothic" w:hAnsi="Century Gothic"/>
          <w:bCs/>
          <w:sz w:val="21"/>
          <w:szCs w:val="21"/>
        </w:rPr>
        <w:t xml:space="preserve">todos los miembros de la figura asociativa (Unión Temporal y/o Consorcio) están obligados solidariamente a cumplir con el objeto contractual? </w:t>
      </w:r>
      <w:r w:rsidRPr="00EE4612">
        <w:rPr>
          <w:rFonts w:ascii="Century Gothic" w:hAnsi="Century Gothic"/>
          <w:sz w:val="21"/>
          <w:szCs w:val="21"/>
        </w:rPr>
        <w:t xml:space="preserve"> […]”. </w:t>
      </w:r>
    </w:p>
    <w:p w:rsidRPr="00EE4612" w:rsidR="000A30E3" w:rsidP="000A30E3" w:rsidRDefault="000A30E3" w14:paraId="7EAFD5DB" w14:textId="77777777">
      <w:pPr>
        <w:tabs>
          <w:tab w:val="left" w:pos="0"/>
        </w:tabs>
        <w:spacing w:after="0" w:line="276" w:lineRule="auto"/>
        <w:jc w:val="both"/>
        <w:rPr>
          <w:rFonts w:ascii="Century Gothic" w:hAnsi="Century Gothic" w:eastAsia="Calibri" w:cs="Arial"/>
          <w:lang w:val="es-ES" w:eastAsia="en-GB"/>
        </w:rPr>
      </w:pPr>
    </w:p>
    <w:p w:rsidRPr="00EE4612" w:rsidR="000A30E3" w:rsidP="000A30E3" w:rsidRDefault="000A30E3" w14:paraId="3AAC3024" w14:textId="4728B55D">
      <w:pPr>
        <w:spacing w:after="120" w:line="276" w:lineRule="auto"/>
        <w:jc w:val="both"/>
        <w:rPr>
          <w:rFonts w:ascii="Century Gothic" w:hAnsi="Century Gothic" w:eastAsia="Calibri" w:cs="Arial"/>
          <w:lang w:val="es-ES_tradnl"/>
        </w:rPr>
      </w:pPr>
      <w:r w:rsidRPr="00EE4612">
        <w:rPr>
          <w:rFonts w:ascii="Century Gothic" w:hAnsi="Century Gothic" w:eastAsia="Arial" w:cs="Arial"/>
          <w:lang w:val="es-MX" w:eastAsia="es-ES_tradnl"/>
        </w:rPr>
        <w:t xml:space="preserve">En ejercicio de las competencias establecidas en los artículos </w:t>
      </w:r>
      <w:r w:rsidRPr="00EE4612" w:rsidR="00783D9C">
        <w:rPr>
          <w:rFonts w:ascii="Century Gothic" w:hAnsi="Century Gothic" w:eastAsia="Arial" w:cs="Arial"/>
          <w:lang w:val="es-MX" w:eastAsia="es-ES_tradnl"/>
        </w:rPr>
        <w:t xml:space="preserve">3, numeral </w:t>
      </w:r>
      <w:r w:rsidRPr="00EE4612">
        <w:rPr>
          <w:rFonts w:ascii="Century Gothic" w:hAnsi="Century Gothic" w:eastAsia="Arial" w:cs="Arial"/>
          <w:lang w:val="es-MX" w:eastAsia="es-ES_tradnl"/>
        </w:rPr>
        <w:t>5 y 1</w:t>
      </w:r>
      <w:r w:rsidRPr="00EE4612" w:rsidR="00783D9C">
        <w:rPr>
          <w:rFonts w:ascii="Century Gothic" w:hAnsi="Century Gothic" w:eastAsia="Arial" w:cs="Arial"/>
          <w:lang w:val="es-MX" w:eastAsia="es-ES_tradnl"/>
        </w:rPr>
        <w:t xml:space="preserve">1, numeral </w:t>
      </w:r>
      <w:r w:rsidRPr="00EE4612">
        <w:rPr>
          <w:rFonts w:ascii="Century Gothic" w:hAnsi="Century Gothic" w:eastAsia="Arial" w:cs="Arial"/>
          <w:lang w:val="es-MX" w:eastAsia="es-ES_tradnl"/>
        </w:rPr>
        <w:t xml:space="preserve">8 del Decreto 4170 de 2011, la Agencia Nacional de Contratación Pública – Colombia Compra Eficiente </w:t>
      </w:r>
      <w:r w:rsidRPr="00EE4612" w:rsidR="00BC368D">
        <w:rPr>
          <w:rFonts w:ascii="Century Gothic" w:hAnsi="Century Gothic" w:eastAsia="Arial" w:cs="Arial"/>
          <w:lang w:val="es-MX" w:eastAsia="es-ES_tradnl"/>
        </w:rPr>
        <w:t>resuelve</w:t>
      </w:r>
      <w:r w:rsidRPr="00EE4612">
        <w:rPr>
          <w:rFonts w:ascii="Century Gothic" w:hAnsi="Century Gothic" w:eastAsia="Arial" w:cs="Arial"/>
          <w:lang w:val="es-MX" w:eastAsia="es-ES_tradnl"/>
        </w:rPr>
        <w:t xml:space="preserve"> las consultas sobre los asuntos de su competencia, esto es, sobre las temáticas de la contratación estatal y compras públicas relacionadas en los artículos citados. </w:t>
      </w:r>
      <w:r w:rsidRPr="00EE4612">
        <w:rPr>
          <w:rFonts w:ascii="Century Gothic" w:hAnsi="Century Gothic" w:eastAsia="Calibri" w:cs="Arial"/>
          <w:lang w:val="es-ES_tradnl"/>
        </w:rPr>
        <w:t xml:space="preserve">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w:t>
      </w:r>
      <w:r w:rsidRPr="00EE4612">
        <w:rPr>
          <w:rFonts w:ascii="Century Gothic" w:hAnsi="Century Gothic" w:eastAsia="Calibri" w:cs="Arial"/>
          <w:lang w:val="es-ES_tradnl"/>
        </w:rPr>
        <w:t>legislador extraordinario, que no concibió a esta Agencia como una autoridad para solucionar problemas jurídicos particulares de todos los partícipes de la contratación estatal.</w:t>
      </w:r>
    </w:p>
    <w:p w:rsidRPr="00EE4612" w:rsidR="000A30E3" w:rsidP="7545293B" w:rsidRDefault="000A30E3" w14:paraId="7ABF9909" w14:textId="77777777" w14:noSpellErr="1">
      <w:pPr>
        <w:spacing w:after="120" w:line="276" w:lineRule="auto"/>
        <w:ind w:firstLine="708"/>
        <w:jc w:val="both"/>
        <w:rPr>
          <w:rFonts w:ascii="Century Gothic" w:hAnsi="Century Gothic" w:eastAsia="Calibri" w:cs="Arial"/>
          <w:lang w:val="es-ES"/>
        </w:rPr>
      </w:pPr>
      <w:r w:rsidRPr="7545293B" w:rsidR="000A30E3">
        <w:rPr>
          <w:rFonts w:ascii="Century Gothic" w:hAnsi="Century Gothic"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7545293B" w:rsidR="000A30E3">
        <w:rPr>
          <w:rFonts w:ascii="Century Gothic" w:hAnsi="Century Gothic" w:eastAsia="Calibri" w:cs="Arial"/>
          <w:lang w:val="es-ES"/>
        </w:rPr>
        <w:t xml:space="preserve"> </w:t>
      </w:r>
      <w:r w:rsidRPr="7545293B" w:rsidR="000A30E3">
        <w:rPr>
          <w:rFonts w:ascii="Century Gothic" w:hAnsi="Century Gothic" w:eastAsia="Calibri" w:cs="Arial"/>
          <w:lang w:val="es-ES"/>
        </w:rPr>
        <w:t>Esta competencia de interpretación de normas generales, por definición, no puede extenderse a la resolución de controversias, ni a brindar asesorías sobre casos puntuales, ni mucho menos pronunciarse por la presunta responsabilidad en que se puede derivar de las actuaciones adelantadas en los procesos de contratación estatal dado que este último aspecto es de competencia restrictiva de la rama judicial y de los entes de control, según corresponda.</w:t>
      </w:r>
      <w:r w:rsidRPr="7545293B" w:rsidR="000A30E3">
        <w:rPr>
          <w:rFonts w:ascii="Century Gothic" w:hAnsi="Century Gothic" w:eastAsia="Calibri" w:cs="Arial"/>
          <w:lang w:val="es-ES"/>
        </w:rPr>
        <w:t xml:space="preserve"> </w:t>
      </w:r>
    </w:p>
    <w:p w:rsidRPr="00EE4612" w:rsidR="000A30E3" w:rsidP="7545293B" w:rsidRDefault="000A30E3" w14:paraId="235EE4CF" w14:textId="2062FDB5" w14:noSpellErr="1">
      <w:pPr>
        <w:spacing w:after="240" w:line="276" w:lineRule="auto"/>
        <w:ind w:firstLine="709"/>
        <w:jc w:val="both"/>
        <w:rPr>
          <w:rFonts w:ascii="Century Gothic" w:hAnsi="Century Gothic" w:eastAsia="Calibri" w:cs="Arial"/>
          <w:color w:val="000000"/>
          <w:lang w:val="es-ES" w:eastAsia="es-ES" w:bidi="es-ES"/>
        </w:rPr>
      </w:pPr>
      <w:r w:rsidRPr="7545293B" w:rsidR="000A30E3">
        <w:rPr>
          <w:rFonts w:ascii="Century Gothic" w:hAnsi="Century Gothic" w:eastAsia="Calibri" w:cs="Arial"/>
          <w:color w:val="000000" w:themeColor="text1" w:themeTint="FF" w:themeShade="FF"/>
          <w:lang w:val="es-ES" w:eastAsia="es-ES" w:bidi="es-ES"/>
        </w:rPr>
        <w:t xml:space="preserve">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rsidRPr="00EE4612" w:rsidR="000A30E3" w:rsidP="000A30E3" w:rsidRDefault="000A30E3" w14:paraId="0A7C9A77" w14:textId="77777777">
      <w:pPr>
        <w:spacing w:after="120" w:line="276" w:lineRule="auto"/>
        <w:ind w:firstLine="708"/>
        <w:jc w:val="both"/>
        <w:rPr>
          <w:rFonts w:ascii="Century Gothic" w:hAnsi="Century Gothic" w:eastAsia="Calibri" w:cs="Arial"/>
          <w:bCs/>
          <w:color w:val="000000"/>
          <w:szCs w:val="24"/>
          <w:lang w:val="es-ES_tradnl" w:eastAsia="es-ES_tradnl" w:bidi="es-ES"/>
        </w:rPr>
      </w:pPr>
      <w:r w:rsidRPr="00EE4612">
        <w:rPr>
          <w:rFonts w:ascii="Century Gothic" w:hAnsi="Century Gothic" w:eastAsia="Calibri" w:cs="Arial"/>
          <w:bCs/>
          <w:color w:val="000000"/>
          <w:szCs w:val="24"/>
          <w:lang w:val="es-ES_tradnl" w:eastAsia="es-ES_tradnl" w:bidi="es-ES"/>
        </w:rPr>
        <w:t>La diferencia entre los consorcios y las uniones temporales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w:t>
      </w:r>
    </w:p>
    <w:p w:rsidRPr="00EE4612" w:rsidR="000A30E3" w:rsidP="00E34D86" w:rsidRDefault="000A30E3" w14:paraId="693E82B9" w14:textId="10ABD0D7">
      <w:pPr>
        <w:spacing w:after="0" w:line="276" w:lineRule="auto"/>
        <w:ind w:firstLine="708"/>
        <w:jc w:val="both"/>
        <w:rPr>
          <w:rFonts w:ascii="Century Gothic" w:hAnsi="Century Gothic" w:cs="Arial"/>
          <w:noProof/>
          <w:lang w:val="es-ES_tradnl"/>
        </w:rPr>
      </w:pPr>
      <w:r w:rsidRPr="00EE4612">
        <w:rPr>
          <w:rFonts w:ascii="Century Gothic" w:hAnsi="Century Gothic" w:cs="Arial"/>
          <w:noProof/>
          <w:lang w:val="es-ES_tradnl"/>
        </w:rPr>
        <w:t>La posición expuesta por el alto tribunal indica que los efectos establecidos en la Ley 80 de 1993 respecto a la capacidad contractual de los consorcios, incluyendo el régimen de solidaridad de los integrantes de un consorcio no puede extenderse a relaciones jurídicas ajenas al contrato estatal. De esta manera, en el marco de relaciones jurídicas particulares no se podría dar aplicación a los postulados del EGCAP, con el fin de extender el alcance del mencionado artículo 7° de la Ley 80 de 1993 respecto a relaciones en las cuales un extremo del negocio jurídico no sea una entidad estatal.</w:t>
      </w:r>
    </w:p>
    <w:p w:rsidRPr="00EE4612" w:rsidR="000A30E3" w:rsidP="000A30E3" w:rsidRDefault="000A30E3" w14:paraId="1E29D597" w14:textId="77777777">
      <w:pPr>
        <w:tabs>
          <w:tab w:val="left" w:pos="0"/>
        </w:tabs>
        <w:spacing w:after="0" w:line="276" w:lineRule="auto"/>
        <w:jc w:val="both"/>
        <w:rPr>
          <w:rFonts w:ascii="Century Gothic" w:hAnsi="Century Gothic" w:eastAsia="Calibri" w:cs="Arial"/>
          <w:lang w:val="es-ES_tradnl" w:eastAsia="en-GB"/>
        </w:rPr>
      </w:pPr>
    </w:p>
    <w:p w:rsidRPr="00EE4612" w:rsidR="000A30E3" w:rsidP="000A30E3" w:rsidRDefault="000A30E3" w14:paraId="45F3C84A" w14:textId="77777777">
      <w:pPr>
        <w:widowControl w:val="0"/>
        <w:autoSpaceDE w:val="0"/>
        <w:autoSpaceDN w:val="0"/>
        <w:spacing w:after="0" w:line="276" w:lineRule="auto"/>
        <w:jc w:val="both"/>
        <w:rPr>
          <w:rFonts w:ascii="Century Gothic" w:hAnsi="Century Gothic" w:eastAsia="Times New Roman" w:cs="Arial"/>
          <w:szCs w:val="24"/>
          <w:lang w:val="es-ES_tradnl" w:eastAsia="es-ES_tradnl"/>
        </w:rPr>
      </w:pPr>
      <w:r w:rsidRPr="00EE4612">
        <w:rPr>
          <w:rFonts w:ascii="Century Gothic" w:hAnsi="Century Gothic" w:eastAsia="Times New Roman" w:cs="Arial"/>
          <w:lang w:val="es-ES_tradnl" w:eastAsia="es-ES_tradnl"/>
        </w:rPr>
        <w:t>Este concepto tiene el alcance previsto en el artículo 28 del</w:t>
      </w:r>
      <w:r w:rsidRPr="00EE4612">
        <w:rPr>
          <w:rFonts w:ascii="Century Gothic" w:hAnsi="Century Gothic" w:eastAsia="Times New Roman" w:cs="Arial"/>
          <w:szCs w:val="24"/>
          <w:lang w:val="es-ES_tradnl" w:eastAsia="es-ES_tradnl"/>
        </w:rPr>
        <w:t xml:space="preserve"> Código de Procedimiento Administrativo y de lo Contencioso Administrativo.</w:t>
      </w:r>
    </w:p>
    <w:p w:rsidRPr="00EE4612" w:rsidR="000A30E3" w:rsidP="000A30E3" w:rsidRDefault="000A30E3" w14:paraId="34578ED5" w14:textId="77777777">
      <w:pPr>
        <w:widowControl w:val="0"/>
        <w:autoSpaceDE w:val="0"/>
        <w:autoSpaceDN w:val="0"/>
        <w:spacing w:after="0" w:line="276" w:lineRule="auto"/>
        <w:jc w:val="both"/>
        <w:rPr>
          <w:rFonts w:ascii="Century Gothic" w:hAnsi="Century Gothic" w:eastAsia="Times New Roman" w:cs="Arial"/>
          <w:szCs w:val="24"/>
          <w:lang w:val="es-ES_tradnl" w:eastAsia="es-ES_tradnl"/>
        </w:rPr>
      </w:pPr>
    </w:p>
    <w:p w:rsidRPr="00EE4612" w:rsidR="000A30E3" w:rsidP="000A30E3" w:rsidRDefault="000A30E3" w14:paraId="1E0F53F4" w14:textId="77777777">
      <w:pPr>
        <w:widowControl w:val="0"/>
        <w:autoSpaceDE w:val="0"/>
        <w:autoSpaceDN w:val="0"/>
        <w:spacing w:after="0" w:line="276" w:lineRule="auto"/>
        <w:jc w:val="both"/>
        <w:rPr>
          <w:rFonts w:ascii="Century Gothic" w:hAnsi="Century Gothic" w:eastAsia="Times New Roman" w:cs="Arial"/>
          <w:lang w:val="es-ES" w:eastAsia="es-ES" w:bidi="es-ES"/>
        </w:rPr>
      </w:pPr>
      <w:r w:rsidRPr="00EE4612">
        <w:rPr>
          <w:rFonts w:ascii="Century Gothic" w:hAnsi="Century Gothic" w:eastAsia="Times New Roman" w:cs="Arial"/>
          <w:lang w:val="es-ES" w:eastAsia="es-ES"/>
        </w:rPr>
        <w:t>Atentamente,</w:t>
      </w:r>
    </w:p>
    <w:p w:rsidRPr="00EE4612" w:rsidR="000A30E3" w:rsidP="000A30E3" w:rsidRDefault="000A30E3" w14:paraId="4D14718F" w14:textId="665E291B">
      <w:pPr>
        <w:widowControl w:val="0"/>
        <w:spacing w:after="0" w:line="276" w:lineRule="auto"/>
        <w:jc w:val="center"/>
        <w:rPr>
          <w:rFonts w:ascii="Century Gothic" w:hAnsi="Century Gothic" w:eastAsia="Times New Roman" w:cs="Arial"/>
          <w:lang w:val="es-ES" w:eastAsia="es-ES"/>
        </w:rPr>
      </w:pPr>
    </w:p>
    <w:p w:rsidR="000A30E3" w:rsidP="00207AFA" w:rsidRDefault="00207AFA" w14:paraId="7AFB6006" w14:textId="51F49FE1">
      <w:pPr>
        <w:pStyle w:val="Textoindependiente"/>
        <w:kinsoku w:val="0"/>
        <w:overflowPunct w:val="0"/>
        <w:spacing w:before="119" w:line="276" w:lineRule="auto"/>
        <w:ind w:right="176"/>
        <w:jc w:val="center"/>
        <w:rPr>
          <w:rFonts w:ascii="Century Gothic" w:hAnsi="Century Gothic"/>
        </w:rPr>
      </w:pPr>
      <w:r w:rsidRPr="00CE0D82">
        <w:rPr>
          <w:rFonts w:eastAsia="Times New Roman"/>
          <w:noProof/>
          <w:sz w:val="24"/>
          <w:szCs w:val="24"/>
          <w:lang w:eastAsia="es-MX"/>
        </w:rPr>
        <w:drawing>
          <wp:inline distT="0" distB="0" distL="0" distR="0" wp14:anchorId="30A66404" wp14:editId="7A57A8CB">
            <wp:extent cx="2351921" cy="90239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351921" cy="902399"/>
                    </a:xfrm>
                    <a:prstGeom prst="rect">
                      <a:avLst/>
                    </a:prstGeom>
                  </pic:spPr>
                </pic:pic>
              </a:graphicData>
            </a:graphic>
          </wp:inline>
        </w:drawing>
      </w:r>
    </w:p>
    <w:p w:rsidRPr="00EE4612" w:rsidR="00207AFA" w:rsidP="00207AFA" w:rsidRDefault="00207AFA" w14:paraId="3CAEE36A" w14:textId="77777777">
      <w:pPr>
        <w:pStyle w:val="Textoindependiente"/>
        <w:kinsoku w:val="0"/>
        <w:overflowPunct w:val="0"/>
        <w:spacing w:before="119" w:line="276" w:lineRule="auto"/>
        <w:ind w:right="176"/>
        <w:jc w:val="center"/>
        <w:rPr>
          <w:rFonts w:ascii="Century Gothic" w:hAnsi="Century Gothic"/>
        </w:rPr>
      </w:pPr>
    </w:p>
    <w:tbl>
      <w:tblPr>
        <w:tblStyle w:val="Tablaconcuadrcula"/>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5241"/>
      </w:tblGrid>
      <w:tr w:rsidRPr="00EE4612" w:rsidR="000A30E3" w:rsidTr="00E34D86" w14:paraId="0DF53F3E" w14:textId="77777777">
        <w:trPr>
          <w:trHeight w:val="315"/>
        </w:trPr>
        <w:tc>
          <w:tcPr>
            <w:tcW w:w="855" w:type="dxa"/>
            <w:vAlign w:val="center"/>
            <w:hideMark/>
          </w:tcPr>
          <w:p w:rsidRPr="00EE4612" w:rsidR="000A30E3" w:rsidP="00AB0EC7" w:rsidRDefault="000A30E3" w14:paraId="189FB4A0" w14:textId="77777777">
            <w:pPr>
              <w:rPr>
                <w:rFonts w:ascii="Century Gothic" w:hAnsi="Century Gothic" w:eastAsia="Times New Roman" w:cs="Arial"/>
                <w:sz w:val="16"/>
                <w:szCs w:val="16"/>
                <w:lang w:eastAsia="es-ES"/>
              </w:rPr>
            </w:pPr>
            <w:r w:rsidRPr="00EE4612">
              <w:rPr>
                <w:rFonts w:ascii="Century Gothic" w:hAnsi="Century Gothic" w:eastAsia="Times New Roman" w:cs="Arial"/>
                <w:sz w:val="16"/>
                <w:szCs w:val="16"/>
                <w:lang w:eastAsia="es-ES"/>
              </w:rPr>
              <w:t>Elaboró:</w:t>
            </w:r>
          </w:p>
        </w:tc>
        <w:tc>
          <w:tcPr>
            <w:tcW w:w="5241" w:type="dxa"/>
            <w:tcBorders>
              <w:top w:val="nil"/>
              <w:left w:val="nil"/>
              <w:bottom w:val="dotted" w:color="7F7F7F" w:themeColor="text1" w:themeTint="80" w:sz="4" w:space="0"/>
              <w:right w:val="nil"/>
            </w:tcBorders>
            <w:vAlign w:val="center"/>
            <w:hideMark/>
          </w:tcPr>
          <w:p w:rsidRPr="00EE4612" w:rsidR="000A30E3" w:rsidP="00AB0EC7" w:rsidRDefault="000A30E3" w14:paraId="41E12E13" w14:textId="77777777">
            <w:pPr>
              <w:rPr>
                <w:rFonts w:ascii="Century Gothic" w:hAnsi="Century Gothic" w:cs="Arial"/>
                <w:sz w:val="16"/>
                <w:szCs w:val="16"/>
                <w:lang w:eastAsia="es-ES"/>
              </w:rPr>
            </w:pPr>
            <w:r w:rsidRPr="00EE4612">
              <w:rPr>
                <w:rFonts w:ascii="Century Gothic" w:hAnsi="Century Gothic" w:cs="Arial"/>
                <w:sz w:val="16"/>
                <w:szCs w:val="16"/>
                <w:lang w:eastAsia="es-ES"/>
              </w:rPr>
              <w:t xml:space="preserve">Nina María Padrón Ballestas </w:t>
            </w:r>
          </w:p>
          <w:p w:rsidRPr="00EE4612" w:rsidR="000A30E3" w:rsidP="00AB0EC7" w:rsidRDefault="000A30E3" w14:paraId="76B16178" w14:textId="77777777">
            <w:pPr>
              <w:rPr>
                <w:rFonts w:ascii="Century Gothic" w:hAnsi="Century Gothic" w:eastAsia="Times New Roman" w:cs="Arial"/>
                <w:sz w:val="16"/>
                <w:szCs w:val="16"/>
                <w:lang w:eastAsia="es-ES"/>
              </w:rPr>
            </w:pPr>
            <w:r w:rsidRPr="00EE4612">
              <w:rPr>
                <w:rFonts w:ascii="Century Gothic" w:hAnsi="Century Gothic" w:cs="Arial"/>
                <w:sz w:val="16"/>
                <w:szCs w:val="16"/>
                <w:lang w:eastAsia="es-ES"/>
              </w:rPr>
              <w:t>Contratista de la Subdirección de Gestión Contractual</w:t>
            </w:r>
            <w:r w:rsidRPr="00EE4612" w:rsidDel="004628B9">
              <w:rPr>
                <w:rFonts w:ascii="Century Gothic" w:hAnsi="Century Gothic" w:eastAsia="Times New Roman" w:cs="Arial"/>
                <w:sz w:val="16"/>
                <w:szCs w:val="16"/>
                <w:lang w:eastAsia="es-ES"/>
              </w:rPr>
              <w:t xml:space="preserve"> </w:t>
            </w:r>
          </w:p>
        </w:tc>
      </w:tr>
      <w:tr w:rsidRPr="00EE4612" w:rsidR="000A30E3" w:rsidTr="00E34D86" w14:paraId="0C366B2F" w14:textId="77777777">
        <w:trPr>
          <w:trHeight w:val="330"/>
        </w:trPr>
        <w:tc>
          <w:tcPr>
            <w:tcW w:w="855" w:type="dxa"/>
            <w:vAlign w:val="center"/>
            <w:hideMark/>
          </w:tcPr>
          <w:p w:rsidRPr="00EE4612" w:rsidR="000A30E3" w:rsidP="00AB0EC7" w:rsidRDefault="000A30E3" w14:paraId="1487F0BD" w14:textId="77777777">
            <w:pPr>
              <w:rPr>
                <w:rFonts w:ascii="Century Gothic" w:hAnsi="Century Gothic" w:eastAsia="Times New Roman" w:cs="Arial"/>
                <w:sz w:val="16"/>
                <w:szCs w:val="16"/>
                <w:lang w:eastAsia="es-ES"/>
              </w:rPr>
            </w:pPr>
            <w:r w:rsidRPr="00EE4612">
              <w:rPr>
                <w:rFonts w:ascii="Century Gothic" w:hAnsi="Century Gothic" w:eastAsia="Times New Roman" w:cs="Arial"/>
                <w:sz w:val="16"/>
                <w:szCs w:val="16"/>
                <w:lang w:eastAsia="es-ES"/>
              </w:rPr>
              <w:t>Revisó:</w:t>
            </w:r>
          </w:p>
        </w:tc>
        <w:tc>
          <w:tcPr>
            <w:tcW w:w="5241" w:type="dxa"/>
            <w:tcBorders>
              <w:top w:val="dotted" w:color="7F7F7F" w:themeColor="text1" w:themeTint="80" w:sz="4" w:space="0"/>
              <w:left w:val="nil"/>
              <w:bottom w:val="dotted" w:color="7F7F7F" w:themeColor="text1" w:themeTint="80" w:sz="4" w:space="0"/>
              <w:right w:val="nil"/>
            </w:tcBorders>
            <w:vAlign w:val="center"/>
            <w:hideMark/>
          </w:tcPr>
          <w:p w:rsidRPr="00EE4612" w:rsidR="000A30E3" w:rsidP="00AB0EC7" w:rsidRDefault="000A30E3" w14:paraId="3E2B3384" w14:textId="77777777">
            <w:pPr>
              <w:rPr>
                <w:rFonts w:ascii="Century Gothic" w:hAnsi="Century Gothic" w:eastAsia="Times New Roman" w:cs="Arial"/>
                <w:sz w:val="16"/>
                <w:szCs w:val="16"/>
                <w:lang w:eastAsia="es-ES"/>
              </w:rPr>
            </w:pPr>
            <w:r w:rsidRPr="00EE4612">
              <w:rPr>
                <w:rFonts w:ascii="Century Gothic" w:hAnsi="Century Gothic" w:eastAsia="Times New Roman" w:cs="Arial"/>
                <w:sz w:val="16"/>
                <w:szCs w:val="16"/>
                <w:lang w:eastAsia="es-ES"/>
              </w:rPr>
              <w:t>Alejandro Sarmiento Cantillo</w:t>
            </w:r>
          </w:p>
          <w:p w:rsidRPr="00EE4612" w:rsidR="000A30E3" w:rsidP="00AB0EC7" w:rsidRDefault="000A30E3" w14:paraId="1A6412EA" w14:textId="77777777">
            <w:pPr>
              <w:rPr>
                <w:rFonts w:ascii="Century Gothic" w:hAnsi="Century Gothic" w:eastAsia="Times New Roman" w:cs="Arial"/>
                <w:sz w:val="16"/>
                <w:szCs w:val="16"/>
                <w:lang w:eastAsia="es-ES"/>
              </w:rPr>
            </w:pPr>
            <w:r w:rsidRPr="00EE4612">
              <w:rPr>
                <w:rFonts w:ascii="Century Gothic" w:hAnsi="Century Gothic" w:eastAsia="Times New Roman" w:cs="Arial"/>
                <w:sz w:val="16"/>
                <w:szCs w:val="16"/>
                <w:lang w:eastAsia="es-ES"/>
              </w:rPr>
              <w:t>Gestor T1-</w:t>
            </w:r>
            <w:proofErr w:type="gramStart"/>
            <w:r w:rsidRPr="00EE4612">
              <w:rPr>
                <w:rFonts w:ascii="Century Gothic" w:hAnsi="Century Gothic" w:eastAsia="Times New Roman" w:cs="Arial"/>
                <w:sz w:val="16"/>
                <w:szCs w:val="16"/>
                <w:lang w:eastAsia="es-ES"/>
              </w:rPr>
              <w:t>15  de</w:t>
            </w:r>
            <w:proofErr w:type="gramEnd"/>
            <w:r w:rsidRPr="00EE4612">
              <w:rPr>
                <w:rFonts w:ascii="Century Gothic" w:hAnsi="Century Gothic" w:eastAsia="Times New Roman" w:cs="Arial"/>
                <w:sz w:val="16"/>
                <w:szCs w:val="16"/>
                <w:lang w:eastAsia="es-ES"/>
              </w:rPr>
              <w:t xml:space="preserve"> la Subdirección de Gestión Contractual</w:t>
            </w:r>
          </w:p>
        </w:tc>
      </w:tr>
      <w:tr w:rsidRPr="00EE4612" w:rsidR="000A30E3" w:rsidTr="00E34D86" w14:paraId="0A607C56" w14:textId="77777777">
        <w:trPr>
          <w:trHeight w:val="300"/>
        </w:trPr>
        <w:tc>
          <w:tcPr>
            <w:tcW w:w="855" w:type="dxa"/>
            <w:vAlign w:val="center"/>
            <w:hideMark/>
          </w:tcPr>
          <w:p w:rsidRPr="00EE4612" w:rsidR="000A30E3" w:rsidP="00AB0EC7" w:rsidRDefault="000A30E3" w14:paraId="1EBAAB30" w14:textId="77777777">
            <w:pPr>
              <w:rPr>
                <w:rFonts w:ascii="Century Gothic" w:hAnsi="Century Gothic" w:eastAsia="Times New Roman" w:cs="Arial"/>
                <w:sz w:val="16"/>
                <w:szCs w:val="16"/>
                <w:lang w:eastAsia="es-ES"/>
              </w:rPr>
            </w:pPr>
            <w:r w:rsidRPr="00EE4612">
              <w:rPr>
                <w:rFonts w:ascii="Century Gothic" w:hAnsi="Century Gothic" w:eastAsia="Times New Roman" w:cs="Arial"/>
                <w:sz w:val="16"/>
                <w:szCs w:val="16"/>
                <w:lang w:eastAsia="es-ES"/>
              </w:rPr>
              <w:t>Aprobó:</w:t>
            </w:r>
          </w:p>
        </w:tc>
        <w:tc>
          <w:tcPr>
            <w:tcW w:w="5241" w:type="dxa"/>
            <w:tcBorders>
              <w:top w:val="dotted" w:color="7F7F7F" w:themeColor="text1" w:themeTint="80" w:sz="4" w:space="0"/>
              <w:left w:val="nil"/>
              <w:bottom w:val="dotted" w:color="7F7F7F" w:themeColor="text1" w:themeTint="80" w:sz="4" w:space="0"/>
              <w:right w:val="nil"/>
            </w:tcBorders>
            <w:vAlign w:val="center"/>
            <w:hideMark/>
          </w:tcPr>
          <w:p w:rsidRPr="00EE4612" w:rsidR="000A30E3" w:rsidP="00AB0EC7" w:rsidRDefault="000A30E3" w14:paraId="7A46245B" w14:textId="77777777">
            <w:pPr>
              <w:rPr>
                <w:rFonts w:ascii="Century Gothic" w:hAnsi="Century Gothic"/>
              </w:rPr>
            </w:pPr>
            <w:r w:rsidRPr="00EE4612">
              <w:rPr>
                <w:rFonts w:ascii="Century Gothic" w:hAnsi="Century Gothic" w:eastAsia="Arial" w:cs="Arial"/>
                <w:sz w:val="16"/>
                <w:szCs w:val="16"/>
              </w:rPr>
              <w:t>Nohelia del Carmen Zawady Palacio</w:t>
            </w:r>
          </w:p>
          <w:p w:rsidRPr="00EE4612" w:rsidR="000A30E3" w:rsidP="00AB0EC7" w:rsidRDefault="000A30E3" w14:paraId="6FEDA1AE" w14:textId="77777777">
            <w:pPr>
              <w:rPr>
                <w:rFonts w:ascii="Century Gothic" w:hAnsi="Century Gothic" w:eastAsia="Times New Roman" w:cs="Arial"/>
                <w:sz w:val="16"/>
                <w:szCs w:val="16"/>
                <w:lang w:eastAsia="es-ES"/>
              </w:rPr>
            </w:pPr>
            <w:r w:rsidRPr="00EE4612">
              <w:rPr>
                <w:rFonts w:ascii="Century Gothic" w:hAnsi="Century Gothic" w:eastAsia="Arial" w:cs="Arial"/>
                <w:sz w:val="16"/>
                <w:szCs w:val="16"/>
              </w:rPr>
              <w:t xml:space="preserve">Subdirector de Gestión Contractual </w:t>
            </w:r>
          </w:p>
        </w:tc>
      </w:tr>
    </w:tbl>
    <w:p w:rsidRPr="00EE4612" w:rsidR="000A30E3" w:rsidP="000A30E3" w:rsidRDefault="000A30E3" w14:paraId="328EA6EA" w14:textId="77777777">
      <w:pPr>
        <w:spacing w:after="200" w:line="276" w:lineRule="auto"/>
        <w:jc w:val="center"/>
        <w:rPr>
          <w:rFonts w:ascii="Century Gothic" w:hAnsi="Century Gothic"/>
        </w:rPr>
      </w:pPr>
    </w:p>
    <w:p w:rsidRPr="00EE4612" w:rsidR="000A30E3" w:rsidP="000A30E3" w:rsidRDefault="000A30E3" w14:paraId="25A63746" w14:textId="77777777">
      <w:pPr>
        <w:spacing w:after="200" w:line="276" w:lineRule="auto"/>
        <w:jc w:val="center"/>
        <w:rPr>
          <w:rFonts w:ascii="Century Gothic" w:hAnsi="Century Gothic"/>
        </w:rPr>
      </w:pPr>
    </w:p>
    <w:p w:rsidRPr="00EE4612" w:rsidR="000A30E3" w:rsidP="000A30E3" w:rsidRDefault="000A30E3" w14:paraId="74A35138" w14:textId="77777777">
      <w:pPr>
        <w:spacing w:after="0" w:line="240" w:lineRule="auto"/>
        <w:rPr>
          <w:rFonts w:ascii="Century Gothic" w:hAnsi="Century Gothic"/>
          <w:lang w:val="es-MX"/>
        </w:rPr>
      </w:pPr>
    </w:p>
    <w:p w:rsidRPr="00EE4612" w:rsidR="000A30E3" w:rsidP="000A30E3" w:rsidRDefault="000A30E3" w14:paraId="386FB48D" w14:textId="77777777">
      <w:pPr>
        <w:pStyle w:val="Textoindependiente"/>
        <w:kinsoku w:val="0"/>
        <w:overflowPunct w:val="0"/>
        <w:spacing w:before="119" w:line="276" w:lineRule="auto"/>
        <w:ind w:right="176"/>
        <w:jc w:val="both"/>
        <w:rPr>
          <w:rFonts w:ascii="Century Gothic" w:hAnsi="Century Gothic"/>
          <w:lang w:val="es-MX"/>
        </w:rPr>
      </w:pPr>
    </w:p>
    <w:p w:rsidRPr="00EE4612" w:rsidR="00127233" w:rsidP="000A30E3" w:rsidRDefault="00127233" w14:paraId="0F293BF4" w14:textId="74450F2E">
      <w:pPr>
        <w:spacing w:after="0"/>
        <w:rPr>
          <w:rFonts w:ascii="Century Gothic" w:hAnsi="Century Gothic"/>
        </w:rPr>
      </w:pPr>
    </w:p>
    <w:sectPr w:rsidRPr="00EE4612" w:rsidR="00127233" w:rsidSect="00C379EC">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9EC" w:rsidP="004A1847" w:rsidRDefault="00C379EC" w14:paraId="5DC56226" w14:textId="77777777">
      <w:pPr>
        <w:spacing w:after="0" w:line="240" w:lineRule="auto"/>
      </w:pPr>
      <w:r>
        <w:separator/>
      </w:r>
    </w:p>
  </w:endnote>
  <w:endnote w:type="continuationSeparator" w:id="0">
    <w:p w:rsidR="00C379EC" w:rsidP="004A1847" w:rsidRDefault="00C379EC" w14:paraId="2A9B48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00"/>
    <w:family w:val="modern"/>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lang w:val="en-US"/>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3073F98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0A30E3">
            <w:rPr>
              <w:rFonts w:ascii="Century Gothic" w:hAnsi="Century Gothic"/>
              <w:b/>
              <w:bCs/>
              <w:noProof/>
              <w:sz w:val="16"/>
              <w:szCs w:val="16"/>
            </w:rPr>
            <w:t>15</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0A30E3">
            <w:rPr>
              <w:rFonts w:ascii="Century Gothic" w:hAnsi="Century Gothic"/>
              <w:b/>
              <w:bCs/>
              <w:noProof/>
              <w:sz w:val="16"/>
              <w:szCs w:val="16"/>
            </w:rPr>
            <w:t>16</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9EC" w:rsidP="004A1847" w:rsidRDefault="00C379EC" w14:paraId="2CE4325D" w14:textId="77777777">
      <w:pPr>
        <w:spacing w:after="0" w:line="240" w:lineRule="auto"/>
      </w:pPr>
      <w:r>
        <w:separator/>
      </w:r>
    </w:p>
  </w:footnote>
  <w:footnote w:type="continuationSeparator" w:id="0">
    <w:p w:rsidR="00C379EC" w:rsidP="004A1847" w:rsidRDefault="00C379EC" w14:paraId="6EB7CD40" w14:textId="77777777">
      <w:pPr>
        <w:spacing w:after="0" w:line="240" w:lineRule="auto"/>
      </w:pPr>
      <w:r>
        <w:continuationSeparator/>
      </w:r>
    </w:p>
  </w:footnote>
  <w:footnote w:id="1">
    <w:p w:rsidRPr="00EE4612" w:rsidR="000A30E3" w:rsidP="00CB622A" w:rsidRDefault="000A30E3" w14:paraId="161874DE" w14:textId="77777777">
      <w:pPr>
        <w:pBdr>
          <w:top w:val="nil"/>
          <w:left w:val="nil"/>
          <w:bottom w:val="nil"/>
          <w:right w:val="nil"/>
          <w:between w:val="nil"/>
        </w:pBdr>
        <w:spacing w:after="0" w:line="240" w:lineRule="auto"/>
        <w:ind w:firstLine="709"/>
        <w:jc w:val="both"/>
        <w:rPr>
          <w:rFonts w:ascii="Century Gothic" w:hAnsi="Century Gothic" w:eastAsia="Arial" w:cs="Arial"/>
          <w:sz w:val="19"/>
          <w:szCs w:val="19"/>
        </w:rPr>
      </w:pPr>
      <w:r w:rsidRPr="00EE4612">
        <w:rPr>
          <w:rFonts w:ascii="Century Gothic" w:hAnsi="Century Gothic" w:cs="Arial"/>
          <w:sz w:val="19"/>
          <w:szCs w:val="19"/>
          <w:vertAlign w:val="superscript"/>
        </w:rPr>
        <w:footnoteRef/>
      </w:r>
      <w:r w:rsidRPr="00EE4612">
        <w:rPr>
          <w:rFonts w:ascii="Century Gothic" w:hAnsi="Century Gothic" w:eastAsia="Arial" w:cs="Arial"/>
          <w:sz w:val="19"/>
          <w:szCs w:val="19"/>
        </w:rPr>
        <w:t xml:space="preserve"> La Agencia Nacional de Contratación Pública </w:t>
      </w:r>
      <w:r w:rsidRPr="00EE4612">
        <w:rPr>
          <w:rFonts w:ascii="Arial" w:hAnsi="Arial" w:eastAsia="Arial" w:cs="Arial"/>
          <w:sz w:val="19"/>
          <w:szCs w:val="19"/>
        </w:rPr>
        <w:t>‒</w:t>
      </w:r>
      <w:r w:rsidRPr="00EE4612">
        <w:rPr>
          <w:rFonts w:ascii="Century Gothic" w:hAnsi="Century Gothic" w:eastAsia="Arial" w:cs="Arial"/>
          <w:sz w:val="19"/>
          <w:szCs w:val="19"/>
        </w:rPr>
        <w:t xml:space="preserve"> Colombia Compra Eficiente fue creada por el Decreto Ley 4170 de 2011. Su objetivo es servir como ente rector de la pol</w:t>
      </w:r>
      <w:r w:rsidRPr="00EE4612">
        <w:rPr>
          <w:rFonts w:ascii="Century Gothic" w:hAnsi="Century Gothic" w:eastAsia="Arial" w:cs="Century Gothic"/>
          <w:sz w:val="19"/>
          <w:szCs w:val="19"/>
        </w:rPr>
        <w:t>í</w:t>
      </w:r>
      <w:r w:rsidRPr="00EE4612">
        <w:rPr>
          <w:rFonts w:ascii="Century Gothic" w:hAnsi="Century Gothic" w:eastAsia="Arial" w:cs="Arial"/>
          <w:sz w:val="19"/>
          <w:szCs w:val="19"/>
        </w:rPr>
        <w:t>tica de compras y contrataci</w:t>
      </w:r>
      <w:r w:rsidRPr="00EE4612">
        <w:rPr>
          <w:rFonts w:ascii="Century Gothic" w:hAnsi="Century Gothic" w:eastAsia="Arial" w:cs="Century Gothic"/>
          <w:sz w:val="19"/>
          <w:szCs w:val="19"/>
        </w:rPr>
        <w:t>ó</w:t>
      </w:r>
      <w:r w:rsidRPr="00EE4612">
        <w:rPr>
          <w:rFonts w:ascii="Century Gothic" w:hAnsi="Century Gothic" w:eastAsia="Arial" w:cs="Arial"/>
          <w:sz w:val="19"/>
          <w:szCs w:val="19"/>
        </w:rPr>
        <w:t xml:space="preserve">n del Estado. Para tales fines, como </w:t>
      </w:r>
      <w:r w:rsidRPr="00EE4612">
        <w:rPr>
          <w:rFonts w:ascii="Century Gothic" w:hAnsi="Century Gothic" w:eastAsia="Arial" w:cs="Century Gothic"/>
          <w:sz w:val="19"/>
          <w:szCs w:val="19"/>
        </w:rPr>
        <w:t>ó</w:t>
      </w:r>
      <w:r w:rsidRPr="00EE4612">
        <w:rPr>
          <w:rFonts w:ascii="Century Gothic" w:hAnsi="Century Gothic" w:eastAsia="Arial" w:cs="Arial"/>
          <w:sz w:val="19"/>
          <w:szCs w:val="19"/>
        </w:rPr>
        <w:t>rgano t</w:t>
      </w:r>
      <w:r w:rsidRPr="00EE4612">
        <w:rPr>
          <w:rFonts w:ascii="Century Gothic" w:hAnsi="Century Gothic" w:eastAsia="Arial" w:cs="Century Gothic"/>
          <w:sz w:val="19"/>
          <w:szCs w:val="19"/>
        </w:rPr>
        <w:t>é</w:t>
      </w:r>
      <w:r w:rsidRPr="00EE4612">
        <w:rPr>
          <w:rFonts w:ascii="Century Gothic" w:hAnsi="Century Gothic" w:eastAsia="Arial" w:cs="Arial"/>
          <w:sz w:val="19"/>
          <w:szCs w:val="19"/>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EE4612">
        <w:rPr>
          <w:rFonts w:ascii="Century Gothic" w:hAnsi="Century Gothic" w:eastAsia="Arial" w:cs="Arial"/>
          <w:i/>
          <w:sz w:val="19"/>
          <w:szCs w:val="19"/>
        </w:rPr>
        <w:t xml:space="preserve">ibídem </w:t>
      </w:r>
      <w:r w:rsidRPr="00EE4612">
        <w:rPr>
          <w:rFonts w:ascii="Century Gothic" w:hAnsi="Century Gothic" w:eastAsia="Arial" w:cs="Arial"/>
          <w:sz w:val="19"/>
          <w:szCs w:val="19"/>
        </w:rPr>
        <w:t>señala, de manera precisa, las funciones de Colombia Compra Eficiente. Concretamente, el numeral 5º de este artículo establece que le corresponde a esta entidad: “[a]</w:t>
      </w:r>
      <w:proofErr w:type="spellStart"/>
      <w:r w:rsidRPr="00EE4612">
        <w:rPr>
          <w:rFonts w:ascii="Century Gothic" w:hAnsi="Century Gothic" w:eastAsia="Arial" w:cs="Arial"/>
          <w:sz w:val="19"/>
          <w:szCs w:val="19"/>
        </w:rPr>
        <w:t>bsolver</w:t>
      </w:r>
      <w:proofErr w:type="spellEnd"/>
      <w:r w:rsidRPr="00EE4612">
        <w:rPr>
          <w:rFonts w:ascii="Century Gothic" w:hAnsi="Century Gothic" w:eastAsia="Arial" w:cs="Arial"/>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rsidRPr="00EE4612" w:rsidR="000A30E3" w:rsidP="00CB622A" w:rsidRDefault="000A30E3" w14:paraId="43482232" w14:textId="77777777">
      <w:pPr>
        <w:pBdr>
          <w:top w:val="nil"/>
          <w:left w:val="nil"/>
          <w:bottom w:val="nil"/>
          <w:right w:val="nil"/>
          <w:between w:val="nil"/>
        </w:pBdr>
        <w:spacing w:after="0" w:line="240" w:lineRule="auto"/>
        <w:ind w:firstLine="709"/>
        <w:jc w:val="both"/>
        <w:rPr>
          <w:rFonts w:ascii="Century Gothic" w:hAnsi="Century Gothic" w:eastAsia="Arial" w:cs="Arial"/>
          <w:sz w:val="19"/>
          <w:szCs w:val="19"/>
        </w:rPr>
      </w:pPr>
    </w:p>
  </w:footnote>
  <w:footnote w:id="2">
    <w:p w:rsidRPr="00EE4612" w:rsidR="000A30E3" w:rsidP="00CB622A" w:rsidRDefault="000A30E3" w14:paraId="41549ED2" w14:textId="77777777">
      <w:pPr>
        <w:pStyle w:val="Textonotapie"/>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EE4612">
          <w:rPr>
            <w:rStyle w:val="Hipervnculo"/>
            <w:rFonts w:ascii="Century Gothic" w:hAnsi="Century Gothic" w:cs="Arial"/>
            <w:sz w:val="19"/>
            <w:szCs w:val="19"/>
          </w:rPr>
          <w:t>https://relatoria.colombiacompra.gov.co/busqueda/conceptos</w:t>
        </w:r>
      </w:hyperlink>
      <w:r w:rsidRPr="00EE4612">
        <w:rPr>
          <w:rStyle w:val="Hipervnculo"/>
          <w:rFonts w:ascii="Century Gothic" w:hAnsi="Century Gothic" w:cs="Arial"/>
          <w:sz w:val="19"/>
          <w:szCs w:val="19"/>
        </w:rPr>
        <w:t xml:space="preserve">. </w:t>
      </w:r>
      <w:r w:rsidRPr="00EE4612">
        <w:rPr>
          <w:rFonts w:ascii="Century Gothic" w:hAnsi="Century Gothic" w:cs="Arial"/>
          <w:sz w:val="19"/>
          <w:szCs w:val="19"/>
          <w:shd w:val="clear" w:color="auto" w:fill="E6E6E6"/>
        </w:rPr>
        <w:t xml:space="preserve"> </w:t>
      </w:r>
    </w:p>
  </w:footnote>
  <w:footnote w:id="3">
    <w:p w:rsidRPr="00EE4612" w:rsidR="000A30E3" w:rsidP="00E34D86" w:rsidRDefault="000A30E3" w14:paraId="665DC324" w14:textId="77777777">
      <w:pPr>
        <w:spacing w:after="0" w:line="240" w:lineRule="auto"/>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w:t>
      </w:r>
      <w:proofErr w:type="gramStart"/>
      <w:r w:rsidRPr="00EE4612">
        <w:rPr>
          <w:rFonts w:ascii="Century Gothic" w:hAnsi="Century Gothic" w:cs="Arial"/>
          <w:sz w:val="19"/>
          <w:szCs w:val="19"/>
        </w:rPr>
        <w:t>hasta el punto que</w:t>
      </w:r>
      <w:proofErr w:type="gramEnd"/>
      <w:r w:rsidRPr="00EE4612">
        <w:rPr>
          <w:rFonts w:ascii="Century Gothic" w:hAnsi="Century Gothic" w:cs="Arial"/>
          <w:sz w:val="19"/>
          <w:szCs w:val="19"/>
        </w:rPr>
        <w:t xml:space="preserve"> toda persona, en principio, es capaz, salvo lo que en contrario disponga la ley, no es requisito necesario ser persona para disponer de capacidad jurídica.” (Corte Constitucional, sentencia C-414 de 1994, M.P. Antonio Barrera</w:t>
      </w:r>
      <w:r w:rsidRPr="00EE4612">
        <w:rPr>
          <w:rFonts w:ascii="Century Gothic" w:hAnsi="Century Gothic" w:cs="Arial"/>
          <w:spacing w:val="-20"/>
          <w:sz w:val="19"/>
          <w:szCs w:val="19"/>
        </w:rPr>
        <w:t xml:space="preserve"> </w:t>
      </w:r>
      <w:r w:rsidRPr="00EE4612">
        <w:rPr>
          <w:rFonts w:ascii="Century Gothic" w:hAnsi="Century Gothic" w:cs="Arial"/>
          <w:sz w:val="19"/>
          <w:szCs w:val="19"/>
        </w:rPr>
        <w:t>Carbonell).</w:t>
      </w:r>
    </w:p>
  </w:footnote>
  <w:footnote w:id="4">
    <w:p w:rsidRPr="00EE4612" w:rsidR="000A30E3" w:rsidP="00E34D86" w:rsidRDefault="000A30E3" w14:paraId="361428A6" w14:textId="77777777">
      <w:pPr>
        <w:spacing w:after="0" w:line="240" w:lineRule="auto"/>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EXPOSITO VÉLEZ, Juan Carlos. Forma y contenido del contrato estatal. Universidad Externado de Colombia, Bogotá, 2013, 1ra Ed., p.112.</w:t>
      </w:r>
    </w:p>
  </w:footnote>
  <w:footnote w:id="5">
    <w:p w:rsidRPr="00EE4612" w:rsidR="000A30E3" w:rsidP="00CB622A" w:rsidRDefault="000A30E3" w14:paraId="3E6849B6" w14:textId="77777777">
      <w:pPr>
        <w:pStyle w:val="Textonotapie"/>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EE4612">
        <w:rPr>
          <w:rFonts w:ascii="Century Gothic" w:hAnsi="Century Gothic" w:cs="Arial"/>
          <w:spacing w:val="-2"/>
          <w:sz w:val="19"/>
          <w:szCs w:val="19"/>
        </w:rPr>
        <w:t xml:space="preserve"> </w:t>
      </w:r>
      <w:r w:rsidRPr="00EE4612">
        <w:rPr>
          <w:rFonts w:ascii="Century Gothic" w:hAnsi="Century Gothic" w:cs="Arial"/>
          <w:sz w:val="19"/>
          <w:szCs w:val="19"/>
        </w:rPr>
        <w:t>Carbonell).</w:t>
      </w:r>
    </w:p>
  </w:footnote>
  <w:footnote w:id="6">
    <w:p w:rsidRPr="00EE4612" w:rsidR="000A30E3" w:rsidP="00E34D86" w:rsidRDefault="000A30E3" w14:paraId="41E0AA0D" w14:textId="77777777">
      <w:pPr>
        <w:spacing w:after="0" w:line="240" w:lineRule="auto"/>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Sentencia del 5 de septiembre de 2001. M.P. Clara Inés Vargas Hernández. </w:t>
      </w:r>
    </w:p>
  </w:footnote>
  <w:footnote w:id="7">
    <w:p w:rsidRPr="00EE4612" w:rsidR="000A30E3" w:rsidP="00CB622A" w:rsidRDefault="000A30E3" w14:paraId="62E893E1" w14:textId="77777777">
      <w:pPr>
        <w:pStyle w:val="Textonotapie"/>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Sin perjuicio de lo también dispuesto en el artículo 832 y siguientes del Código de Comercio.</w:t>
      </w:r>
    </w:p>
  </w:footnote>
  <w:footnote w:id="8">
    <w:p w:rsidRPr="00EE4612" w:rsidR="000A30E3" w:rsidP="00E34D86" w:rsidRDefault="000A30E3" w14:paraId="0F7E12CE" w14:textId="77777777">
      <w:pPr>
        <w:spacing w:after="0" w:line="240" w:lineRule="auto"/>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LAFONT PIANETTA, Pedro. Manual de contratos, Tomo I, Ediciones Librería del Profesional, 1 Ed, 2001, p.508.</w:t>
      </w:r>
    </w:p>
  </w:footnote>
  <w:footnote w:id="9">
    <w:p w:rsidRPr="00EE4612" w:rsidR="000A30E3" w:rsidP="00CB622A" w:rsidRDefault="000A30E3" w14:paraId="72A42A2C" w14:textId="77777777">
      <w:pPr>
        <w:pStyle w:val="Textonotapie"/>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La Corte Constitucional ha reconocido a los consorcios y uniones temporales como titulares de derechos fundamentales, tales como el debido proceso, de forma que están legitimados para ejercer la acción de tutela. En otras palabras, gozan de capacidad jurídica para comparecer en procesos judiciales ya sea como demandantes o como demandados. Sentencia T-150/16 del 31 de marzo de 2016. M.P. Gabriel Eduardo Mendoza Martelo.</w:t>
      </w:r>
    </w:p>
  </w:footnote>
  <w:footnote w:id="10">
    <w:p w:rsidRPr="00EE4612" w:rsidR="000A30E3" w:rsidP="00E34D86" w:rsidRDefault="000A30E3" w14:paraId="1EF2C2D0" w14:textId="77777777">
      <w:pPr>
        <w:spacing w:after="0" w:line="240" w:lineRule="auto"/>
        <w:ind w:firstLine="708"/>
        <w:jc w:val="both"/>
        <w:rPr>
          <w:rFonts w:ascii="Century Gothic" w:hAnsi="Century Gothic" w:cs="Arial"/>
          <w:sz w:val="19"/>
          <w:szCs w:val="19"/>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Consejo de Estado, Sala Plena Sección 3ª, sentencia de unificación de 25 de septiembre de 2013, M.P. Mauricio Fajardo Gómez, rad. 19.933.</w:t>
      </w:r>
    </w:p>
  </w:footnote>
  <w:footnote w:id="11">
    <w:p w:rsidRPr="00EE4612" w:rsidR="000A30E3" w:rsidP="00CB622A" w:rsidRDefault="000A30E3" w14:paraId="62285D88" w14:textId="77777777">
      <w:pPr>
        <w:pStyle w:val="Textonotapie"/>
        <w:ind w:firstLine="708"/>
        <w:jc w:val="both"/>
        <w:rPr>
          <w:rFonts w:ascii="Century Gothic" w:hAnsi="Century Gothic" w:cs="Arial"/>
          <w:sz w:val="19"/>
          <w:szCs w:val="19"/>
          <w:lang w:val="es-ES"/>
        </w:rPr>
      </w:pPr>
      <w:r w:rsidRPr="00EE4612">
        <w:rPr>
          <w:rStyle w:val="Refdenotaalpie"/>
          <w:rFonts w:ascii="Century Gothic" w:hAnsi="Century Gothic" w:cs="Arial"/>
          <w:sz w:val="19"/>
          <w:szCs w:val="19"/>
        </w:rPr>
        <w:footnoteRef/>
      </w:r>
      <w:r w:rsidRPr="00EE4612">
        <w:rPr>
          <w:rFonts w:ascii="Century Gothic" w:hAnsi="Century Gothic" w:cs="Arial"/>
          <w:sz w:val="19"/>
          <w:szCs w:val="19"/>
        </w:rPr>
        <w:t xml:space="preserve"> </w:t>
      </w:r>
      <w:r w:rsidRPr="00EE4612">
        <w:rPr>
          <w:rFonts w:ascii="Century Gothic" w:hAnsi="Century Gothic" w:cs="Arial"/>
          <w:sz w:val="19"/>
          <w:szCs w:val="19"/>
          <w:lang w:val="es-ES"/>
        </w:rPr>
        <w:t xml:space="preserve">Corte Suprema de Justicia. Sala de Casación Laboral. Sentencia del 10 de febrero de 2021. SL 676-2021, radicado: 57.957. MP: Ivan Mauricio Lenis Gómez. </w:t>
      </w:r>
    </w:p>
  </w:footnote>
  <w:footnote w:id="12">
    <w:p w:rsidRPr="00EE4612" w:rsidR="000A30E3" w:rsidP="00E34D86" w:rsidRDefault="000A30E3" w14:paraId="41991E8C" w14:textId="77777777">
      <w:pPr>
        <w:spacing w:after="0"/>
        <w:ind w:firstLine="708"/>
        <w:jc w:val="both"/>
        <w:rPr>
          <w:rFonts w:ascii="Century Gothic" w:hAnsi="Century Gothic" w:cs="Arial"/>
          <w:color w:val="000000" w:themeColor="text1"/>
          <w:sz w:val="19"/>
          <w:szCs w:val="19"/>
        </w:rPr>
      </w:pPr>
      <w:r w:rsidRPr="00EE4612">
        <w:rPr>
          <w:rStyle w:val="Refdenotaalpie"/>
          <w:rFonts w:ascii="Century Gothic" w:hAnsi="Century Gothic" w:cs="Arial"/>
          <w:color w:val="000000" w:themeColor="text1"/>
          <w:sz w:val="19"/>
          <w:szCs w:val="19"/>
        </w:rPr>
        <w:footnoteRef/>
      </w:r>
      <w:r w:rsidRPr="00EE4612">
        <w:rPr>
          <w:rStyle w:val="Refdenotaalpie"/>
          <w:rFonts w:ascii="Century Gothic" w:hAnsi="Century Gothic" w:cs="Arial"/>
          <w:color w:val="000000" w:themeColor="text1"/>
          <w:sz w:val="19"/>
          <w:szCs w:val="19"/>
        </w:rPr>
        <w:t xml:space="preserve"> </w:t>
      </w:r>
      <w:r w:rsidRPr="00EE4612">
        <w:rPr>
          <w:rFonts w:ascii="Century Gothic" w:hAnsi="Century Gothic" w:cs="Arial"/>
          <w:color w:val="000000" w:themeColor="text1"/>
          <w:sz w:val="19"/>
          <w:szCs w:val="19"/>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rsidRPr="00EE4612" w:rsidR="000A30E3" w:rsidP="00E34D86" w:rsidRDefault="000A30E3" w14:paraId="2A35A92B" w14:textId="77777777">
      <w:pPr>
        <w:spacing w:after="0"/>
        <w:ind w:firstLine="708"/>
        <w:jc w:val="both"/>
        <w:rPr>
          <w:rFonts w:ascii="Century Gothic" w:hAnsi="Century Gothic" w:cs="Arial"/>
          <w:color w:val="000000" w:themeColor="text1"/>
          <w:sz w:val="19"/>
          <w:szCs w:val="19"/>
        </w:rPr>
      </w:pPr>
      <w:proofErr w:type="gramStart"/>
      <w:r w:rsidRPr="00EE4612">
        <w:rPr>
          <w:rFonts w:ascii="Century Gothic" w:hAnsi="Century Gothic" w:cs="Arial"/>
          <w:color w:val="000000" w:themeColor="text1"/>
          <w:sz w:val="19"/>
          <w:szCs w:val="19"/>
        </w:rPr>
        <w:t>»Los</w:t>
      </w:r>
      <w:proofErr w:type="gramEnd"/>
      <w:r w:rsidRPr="00EE4612">
        <w:rPr>
          <w:rFonts w:ascii="Century Gothic" w:hAnsi="Century Gothic" w:cs="Arial"/>
          <w:color w:val="000000" w:themeColor="text1"/>
          <w:sz w:val="19"/>
          <w:szCs w:val="19"/>
        </w:rPr>
        <w:t xml:space="preserve"> miembros del consorcio y de la unión temporal deberán designar la persona que, para todos los efectos, representará al consorcio o unión temporal y señalarán las reglas básicas que regulen las relaciones entre ellos y su responsabilidad».</w:t>
      </w:r>
    </w:p>
    <w:p w:rsidRPr="00EE4612" w:rsidR="000A30E3" w:rsidP="00CB622A" w:rsidRDefault="000A30E3" w14:paraId="67A794F6" w14:textId="77777777">
      <w:pPr>
        <w:pStyle w:val="Textonotapie"/>
        <w:jc w:val="both"/>
        <w:rPr>
          <w:rFonts w:ascii="Century Gothic" w:hAnsi="Century Gothic" w:cs="Arial"/>
          <w:color w:val="000000" w:themeColor="text1"/>
          <w:sz w:val="19"/>
          <w:szCs w:val="19"/>
          <w:lang w:val="es-CO"/>
        </w:rPr>
      </w:pPr>
    </w:p>
  </w:footnote>
  <w:footnote w:id="13">
    <w:p w:rsidRPr="00EE4612" w:rsidR="000A30E3" w:rsidP="00E34D86" w:rsidRDefault="000A30E3" w14:paraId="64DD69A6" w14:textId="48312883">
      <w:pPr>
        <w:pStyle w:val="Textonotapie"/>
        <w:ind w:firstLine="709"/>
        <w:jc w:val="both"/>
        <w:rPr>
          <w:rFonts w:ascii="Century Gothic" w:hAnsi="Century Gothic" w:cs="Arial"/>
          <w:color w:val="000000" w:themeColor="text1"/>
          <w:sz w:val="19"/>
          <w:szCs w:val="19"/>
          <w:lang w:val="es-CO"/>
        </w:rPr>
      </w:pPr>
      <w:r w:rsidRPr="00EE4612">
        <w:rPr>
          <w:rStyle w:val="Refdenotaalpie"/>
          <w:rFonts w:ascii="Century Gothic" w:hAnsi="Century Gothic" w:cs="Arial"/>
          <w:color w:val="000000" w:themeColor="text1"/>
          <w:sz w:val="19"/>
          <w:szCs w:val="19"/>
        </w:rPr>
        <w:footnoteRef/>
      </w:r>
      <w:r w:rsidRPr="00EE4612">
        <w:rPr>
          <w:rFonts w:ascii="Century Gothic" w:hAnsi="Century Gothic" w:cs="Arial"/>
          <w:color w:val="000000" w:themeColor="text1"/>
          <w:sz w:val="19"/>
          <w:szCs w:val="19"/>
        </w:rPr>
        <w:t xml:space="preserve"> Consejo de Estado, Sala Plena Sección 3ª, sentencia de 26 de abril de 2006, M.P. María Elena Giraldo Gómez, rad. 15188.</w:t>
      </w:r>
    </w:p>
  </w:footnote>
  <w:footnote w:id="14">
    <w:p w:rsidRPr="00EE4612" w:rsidR="000A30E3" w:rsidP="00CB622A" w:rsidRDefault="000A30E3" w14:paraId="1D2AE37E" w14:textId="77777777">
      <w:pPr>
        <w:pStyle w:val="Textonotapie"/>
        <w:ind w:firstLine="708"/>
        <w:jc w:val="both"/>
        <w:rPr>
          <w:rFonts w:ascii="Century Gothic" w:hAnsi="Century Gothic" w:cs="Arial"/>
          <w:color w:val="000000" w:themeColor="text1"/>
          <w:sz w:val="19"/>
          <w:szCs w:val="19"/>
          <w:lang w:val="es-CO"/>
        </w:rPr>
      </w:pPr>
      <w:r w:rsidRPr="00EE4612">
        <w:rPr>
          <w:rStyle w:val="Refdenotaalpie"/>
          <w:rFonts w:ascii="Century Gothic" w:hAnsi="Century Gothic" w:cs="Arial"/>
          <w:color w:val="000000" w:themeColor="text1"/>
          <w:sz w:val="19"/>
          <w:szCs w:val="19"/>
        </w:rPr>
        <w:footnoteRef/>
      </w:r>
      <w:r w:rsidRPr="00EE4612">
        <w:rPr>
          <w:rFonts w:ascii="Century Gothic" w:hAnsi="Century Gothic" w:cs="Arial"/>
          <w:color w:val="000000" w:themeColor="text1"/>
          <w:sz w:val="19"/>
          <w:szCs w:val="19"/>
        </w:rPr>
        <w:t xml:space="preserve"> Consejo de Estado, Sala Plena Sección 3ª, sentencia de unificación de 25 de septiembre de 2013, M.P. Mauricio Fajardo Gómez, rad. 19.933 </w:t>
      </w:r>
      <w:r w:rsidRPr="00EE4612">
        <w:rPr>
          <w:rFonts w:ascii="Century Gothic" w:hAnsi="Century Gothic" w:cs="Arial"/>
          <w:color w:val="000000" w:themeColor="text1"/>
          <w:sz w:val="19"/>
          <w:szCs w:val="19"/>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BD15D4" w14:paraId="6ED12154" w14:textId="5D0C20C7">
    <w:pPr>
      <w:pStyle w:val="Encabezado"/>
    </w:pPr>
    <w:r>
      <w:rPr>
        <w:noProof/>
        <w:lang w:val="en-US"/>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val="en-US"/>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val="en-US"/>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val="en-US"/>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008A446D" w:rsidP="005B5D8B" w:rsidRDefault="004A305D" w14:paraId="1FD1C243" w14:textId="4F629FA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00BD15D4" w:rsidP="005B5D8B" w:rsidRDefault="00BD15D4" w14:paraId="1593FC60" w14:textId="7702D566">
    <w:pPr>
      <w:spacing w:after="0"/>
      <w:rPr>
        <w:rFonts w:ascii="Century Gothic" w:hAnsi="Century Gothic" w:eastAsia="Geo" w:cs="Geo"/>
        <w:sz w:val="16"/>
        <w:szCs w:val="16"/>
        <w:lang w:eastAsia="es-CO"/>
      </w:rPr>
    </w:pPr>
  </w:p>
  <w:p w:rsidRPr="005B5D8B" w:rsidR="005B5D8B" w:rsidP="005B5D8B" w:rsidRDefault="00BD15D4" w14:paraId="3DBCDD3E" w14:textId="3DD54D9C">
    <w:pPr>
      <w:spacing w:after="0"/>
      <w:rPr>
        <w:rFonts w:ascii="Century Gothic" w:hAnsi="Century Gothic" w:eastAsia="Geo" w:cs="Geo"/>
        <w:sz w:val="16"/>
        <w:szCs w:val="16"/>
        <w:lang w:eastAsia="es-CO"/>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44845210">
    <w:abstractNumId w:val="3"/>
  </w:num>
  <w:num w:numId="2" w16cid:durableId="1889292028">
    <w:abstractNumId w:val="0"/>
  </w:num>
  <w:num w:numId="3" w16cid:durableId="338969059">
    <w:abstractNumId w:val="2"/>
  </w:num>
  <w:num w:numId="4" w16cid:durableId="1068501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964635">
    <w:abstractNumId w:val="0"/>
  </w:num>
  <w:num w:numId="6" w16cid:durableId="2622134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52842"/>
    <w:rsid w:val="000A30E3"/>
    <w:rsid w:val="000A683E"/>
    <w:rsid w:val="000B19B9"/>
    <w:rsid w:val="000D0334"/>
    <w:rsid w:val="000E4714"/>
    <w:rsid w:val="000F6486"/>
    <w:rsid w:val="00125105"/>
    <w:rsid w:val="00127233"/>
    <w:rsid w:val="001E4177"/>
    <w:rsid w:val="00207AFA"/>
    <w:rsid w:val="002951A0"/>
    <w:rsid w:val="002962BC"/>
    <w:rsid w:val="002A093D"/>
    <w:rsid w:val="002A49AC"/>
    <w:rsid w:val="002A64FD"/>
    <w:rsid w:val="002C7A84"/>
    <w:rsid w:val="00320571"/>
    <w:rsid w:val="003448F4"/>
    <w:rsid w:val="003A779E"/>
    <w:rsid w:val="003D0F4D"/>
    <w:rsid w:val="003E0499"/>
    <w:rsid w:val="003F3941"/>
    <w:rsid w:val="00400548"/>
    <w:rsid w:val="004368BC"/>
    <w:rsid w:val="004A1847"/>
    <w:rsid w:val="004A305D"/>
    <w:rsid w:val="004F21C4"/>
    <w:rsid w:val="004F685F"/>
    <w:rsid w:val="00533E8F"/>
    <w:rsid w:val="005566E8"/>
    <w:rsid w:val="00574867"/>
    <w:rsid w:val="005A6AA1"/>
    <w:rsid w:val="005B5D8B"/>
    <w:rsid w:val="005C5CDC"/>
    <w:rsid w:val="005D476C"/>
    <w:rsid w:val="006219F8"/>
    <w:rsid w:val="00665D70"/>
    <w:rsid w:val="00706C16"/>
    <w:rsid w:val="00727370"/>
    <w:rsid w:val="00756841"/>
    <w:rsid w:val="00763C80"/>
    <w:rsid w:val="007649AB"/>
    <w:rsid w:val="007833AC"/>
    <w:rsid w:val="00783D9C"/>
    <w:rsid w:val="007B7171"/>
    <w:rsid w:val="007C3DC2"/>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17F13"/>
    <w:rsid w:val="00A20739"/>
    <w:rsid w:val="00A3270D"/>
    <w:rsid w:val="00A33C78"/>
    <w:rsid w:val="00AB0ADB"/>
    <w:rsid w:val="00AD5E99"/>
    <w:rsid w:val="00B72CD3"/>
    <w:rsid w:val="00B72FFF"/>
    <w:rsid w:val="00BC368D"/>
    <w:rsid w:val="00BD15D4"/>
    <w:rsid w:val="00BD2E7A"/>
    <w:rsid w:val="00BD7F72"/>
    <w:rsid w:val="00C02C62"/>
    <w:rsid w:val="00C04FB3"/>
    <w:rsid w:val="00C330EB"/>
    <w:rsid w:val="00C370C4"/>
    <w:rsid w:val="00C379EC"/>
    <w:rsid w:val="00C754BE"/>
    <w:rsid w:val="00CB622A"/>
    <w:rsid w:val="00CB6357"/>
    <w:rsid w:val="00CC1B26"/>
    <w:rsid w:val="00D423A2"/>
    <w:rsid w:val="00D63AC2"/>
    <w:rsid w:val="00D70246"/>
    <w:rsid w:val="00D7383B"/>
    <w:rsid w:val="00DA231B"/>
    <w:rsid w:val="00DC2E53"/>
    <w:rsid w:val="00DE7888"/>
    <w:rsid w:val="00E16408"/>
    <w:rsid w:val="00E20894"/>
    <w:rsid w:val="00E245AB"/>
    <w:rsid w:val="00E34D86"/>
    <w:rsid w:val="00E50AFE"/>
    <w:rsid w:val="00E771DC"/>
    <w:rsid w:val="00E8772A"/>
    <w:rsid w:val="00E90F6B"/>
    <w:rsid w:val="00E92C27"/>
    <w:rsid w:val="00EA0E3D"/>
    <w:rsid w:val="00EE1AA8"/>
    <w:rsid w:val="00EE4612"/>
    <w:rsid w:val="00F17039"/>
    <w:rsid w:val="00F204AB"/>
    <w:rsid w:val="00F31EDC"/>
    <w:rsid w:val="00F54E89"/>
    <w:rsid w:val="00F5664F"/>
    <w:rsid w:val="00F613A2"/>
    <w:rsid w:val="00F76AFC"/>
    <w:rsid w:val="00FB5DD1"/>
    <w:rsid w:val="00FC2B5D"/>
    <w:rsid w:val="00FF1449"/>
    <w:rsid w:val="48AA9B16"/>
    <w:rsid w:val="687B05C8"/>
    <w:rsid w:val="7545293B"/>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paragraph" w:styleId="Ttulo1">
    <w:name w:val="heading 1"/>
    <w:basedOn w:val="Normal"/>
    <w:link w:val="Ttulo1Car"/>
    <w:uiPriority w:val="9"/>
    <w:qFormat/>
    <w:rsid w:val="000A30E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Ttulo1Car" w:customStyle="1">
    <w:name w:val="Título 1 Car"/>
    <w:basedOn w:val="Fuentedeprrafopredeter"/>
    <w:link w:val="Ttulo1"/>
    <w:uiPriority w:val="9"/>
    <w:rsid w:val="000A30E3"/>
    <w:rPr>
      <w:rFonts w:ascii="Arial" w:hAnsi="Arial" w:eastAsia="Arial" w:cs="Arial"/>
      <w:b/>
      <w:bCs/>
      <w:lang w:val="es-ES"/>
    </w:rPr>
  </w:style>
  <w:style w:type="paragraph" w:styleId="Appelnotedebasde" w:customStyle="1">
    <w:name w:val="Appel note de bas de..."/>
    <w:basedOn w:val="Normal"/>
    <w:link w:val="Refdenotaalpie"/>
    <w:uiPriority w:val="99"/>
    <w:rsid w:val="000A30E3"/>
    <w:pPr>
      <w:spacing w:after="0" w:line="240" w:lineRule="exact"/>
    </w:pPr>
    <w:rPr>
      <w:vertAlign w:val="superscript"/>
    </w:rPr>
  </w:style>
  <w:style w:type="paragraph" w:styleId="Textoindependiente">
    <w:name w:val="Body Text"/>
    <w:basedOn w:val="Normal"/>
    <w:link w:val="TextoindependienteCar"/>
    <w:uiPriority w:val="1"/>
    <w:qFormat/>
    <w:rsid w:val="000A30E3"/>
    <w:pPr>
      <w:widowControl w:val="0"/>
      <w:autoSpaceDE w:val="0"/>
      <w:autoSpaceDN w:val="0"/>
      <w:adjustRightInd w:val="0"/>
      <w:spacing w:after="0" w:line="240" w:lineRule="auto"/>
    </w:pPr>
    <w:rPr>
      <w:rFonts w:ascii="Arial" w:hAnsi="Arial" w:cs="Arial" w:eastAsiaTheme="minorEastAsia"/>
      <w:lang w:eastAsia="es-CO"/>
    </w:rPr>
  </w:style>
  <w:style w:type="character" w:styleId="TextoindependienteCar" w:customStyle="1">
    <w:name w:val="Texto independiente Car"/>
    <w:basedOn w:val="Fuentedeprrafopredeter"/>
    <w:link w:val="Textoindependiente"/>
    <w:uiPriority w:val="1"/>
    <w:rsid w:val="000A30E3"/>
    <w:rPr>
      <w:rFonts w:ascii="Arial" w:hAnsi="Arial" w:cs="Arial" w:eastAsiaTheme="minorEastAsia"/>
      <w:lang w:eastAsia="es-CO"/>
    </w:rPr>
  </w:style>
  <w:style w:type="paragraph" w:styleId="Sinespaciado">
    <w:name w:val="No Spacing"/>
    <w:aliases w:val="No Indent"/>
    <w:uiPriority w:val="3"/>
    <w:qFormat/>
    <w:rsid w:val="000A30E3"/>
    <w:pPr>
      <w:spacing w:after="0" w:line="240" w:lineRule="auto"/>
    </w:pPr>
  </w:style>
  <w:style w:type="paragraph" w:styleId="Revisin">
    <w:name w:val="Revision"/>
    <w:hidden/>
    <w:uiPriority w:val="99"/>
    <w:semiHidden/>
    <w:rsid w:val="00C37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Nina María Padrón</DisplayName>
        <AccountId>122</AccountId>
        <AccountType/>
      </UserInfo>
      <UserInfo>
        <DisplayName>Alejandro Sarmiento</DisplayName>
        <AccountId>119</AccountId>
        <AccountType/>
      </UserInfo>
      <UserInfo>
        <DisplayName>Nohelia Del Carmen Zawady Palacio</DisplayName>
        <AccountId>289</AccountId>
        <AccountType/>
      </UserInfo>
      <UserInfo>
        <DisplayName>Carlos Mario Castrillón Endo</DisplayName>
        <AccountId>136</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EF5D7-A774-448B-BDFC-5CA6A4F21C84}"/>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Paula Andrea Manrique Sarmiento</lastModifiedBy>
  <revision>5</revision>
  <lastPrinted>2023-01-10T21:18:00.0000000Z</lastPrinted>
  <dcterms:created xsi:type="dcterms:W3CDTF">2024-03-11T23:14:00.0000000Z</dcterms:created>
  <dcterms:modified xsi:type="dcterms:W3CDTF">2024-04-29T15:56:28.9429240Z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