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8B1A6" w14:textId="77777777" w:rsidR="00CC58C3" w:rsidRPr="004C7801" w:rsidRDefault="00CC58C3" w:rsidP="00DC4E6B">
      <w:pPr>
        <w:spacing w:after="0" w:line="276" w:lineRule="auto"/>
        <w:contextualSpacing/>
        <w:jc w:val="both"/>
        <w:rPr>
          <w:rFonts w:ascii="Century Gothic" w:eastAsia="Century Gothic" w:hAnsi="Century Gothic" w:cs="Century Gothic"/>
          <w:b/>
          <w:bCs/>
          <w:color w:val="000000" w:themeColor="text1"/>
        </w:rPr>
      </w:pPr>
      <w:bookmarkStart w:id="0" w:name="_Hlk94281581"/>
      <w:bookmarkStart w:id="1" w:name="_Hlk102489058"/>
      <w:bookmarkStart w:id="2" w:name="_Hlk34951122"/>
      <w:r w:rsidRPr="004C7801">
        <w:rPr>
          <w:rFonts w:ascii="Century Gothic" w:eastAsia="Century Gothic" w:hAnsi="Century Gothic" w:cs="Century Gothic"/>
          <w:b/>
          <w:bCs/>
          <w:color w:val="000000" w:themeColor="text1"/>
        </w:rPr>
        <w:t xml:space="preserve">DECRETO 1041 DE 2022 – Finalidad – Reactivación económica </w:t>
      </w:r>
    </w:p>
    <w:p w14:paraId="7483FD66" w14:textId="77777777" w:rsidR="00CC58C3" w:rsidRPr="00CC58C3" w:rsidRDefault="00CC58C3" w:rsidP="00CC58C3">
      <w:pPr>
        <w:spacing w:after="0" w:line="276" w:lineRule="auto"/>
        <w:contextualSpacing/>
        <w:rPr>
          <w:rFonts w:ascii="Century Gothic" w:eastAsia="Century Gothic" w:hAnsi="Century Gothic" w:cs="Century Gothic"/>
          <w:b/>
          <w:bCs/>
          <w:color w:val="000000" w:themeColor="text1"/>
        </w:rPr>
      </w:pPr>
      <w:r w:rsidRPr="00CC58C3">
        <w:rPr>
          <w:rFonts w:ascii="Century Gothic" w:eastAsia="Century Gothic" w:hAnsi="Century Gothic" w:cs="Century Gothic"/>
          <w:b/>
          <w:bCs/>
          <w:color w:val="000000" w:themeColor="text1"/>
        </w:rPr>
        <w:t xml:space="preserve"> </w:t>
      </w:r>
    </w:p>
    <w:p w14:paraId="069D38EE" w14:textId="77777777" w:rsidR="00CC58C3" w:rsidRPr="004C7801" w:rsidRDefault="00CC58C3" w:rsidP="00F52835">
      <w:pPr>
        <w:spacing w:before="120" w:after="120" w:line="240" w:lineRule="auto"/>
        <w:contextualSpacing/>
        <w:jc w:val="both"/>
        <w:rPr>
          <w:rFonts w:ascii="Century Gothic" w:eastAsia="Century Gothic" w:hAnsi="Century Gothic" w:cs="Century Gothic"/>
          <w:sz w:val="20"/>
          <w:szCs w:val="20"/>
        </w:rPr>
      </w:pPr>
      <w:r w:rsidRPr="004C7801">
        <w:rPr>
          <w:rFonts w:ascii="Century Gothic" w:eastAsia="Century Gothic" w:hAnsi="Century Gothic" w:cs="Century Gothic"/>
          <w:sz w:val="20"/>
          <w:szCs w:val="20"/>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 Así lo justifica textualmente el reglamento mencionado, en sus consideraciones cuando manifiesta 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589DB423" w14:textId="77777777" w:rsidR="00CC58C3" w:rsidRPr="004C7801" w:rsidRDefault="00CC58C3" w:rsidP="00F52835">
      <w:pPr>
        <w:spacing w:before="120" w:after="120" w:line="240" w:lineRule="auto"/>
        <w:contextualSpacing/>
        <w:jc w:val="both"/>
        <w:rPr>
          <w:rFonts w:ascii="Century Gothic" w:eastAsia="Century Gothic" w:hAnsi="Century Gothic" w:cs="Century Gothic"/>
          <w:sz w:val="20"/>
          <w:szCs w:val="20"/>
        </w:rPr>
      </w:pPr>
      <w:r w:rsidRPr="004C7801">
        <w:rPr>
          <w:rFonts w:ascii="Century Gothic" w:eastAsia="Century Gothic" w:hAnsi="Century Gothic" w:cs="Century Gothic"/>
          <w:sz w:val="20"/>
          <w:szCs w:val="20"/>
        </w:rPr>
        <w:t xml:space="preserve"> </w:t>
      </w:r>
    </w:p>
    <w:p w14:paraId="3DEA6E52" w14:textId="0FF68118" w:rsidR="00CC58C3" w:rsidRPr="004C7801" w:rsidRDefault="00CC58C3" w:rsidP="00F52835">
      <w:pPr>
        <w:spacing w:before="120" w:after="120" w:line="240" w:lineRule="auto"/>
        <w:contextualSpacing/>
        <w:jc w:val="both"/>
        <w:rPr>
          <w:rFonts w:ascii="Century Gothic" w:eastAsia="Century Gothic" w:hAnsi="Century Gothic" w:cs="Century Gothic"/>
          <w:sz w:val="20"/>
          <w:szCs w:val="20"/>
        </w:rPr>
      </w:pPr>
      <w:r w:rsidRPr="004C7801">
        <w:rPr>
          <w:rFonts w:ascii="Century Gothic" w:eastAsia="Century Gothic" w:hAnsi="Century Gothic" w:cs="Century Gothic"/>
          <w:sz w:val="20"/>
          <w:szCs w:val="20"/>
        </w:rPr>
        <w:t>En tal sentido, el artículo 4 del Decreto 399 de 2021 adicionó dos parágrafos transitorios al artículo 2.2.1.1.1.5.2. del Decreto 1082 de 2015, que a su vez fueron sustituidos por el artículo 1 del Decreto 579 del 31 de mayo de 202113 y posteriormente se adicionó un parágrafo transitorio adicional al artículo 2.2.1.1.1.5.2. del Decreto 1082 de 2015 por el artículo 1 del Decreto 1041 de 2022. En igual sentido, el parágrafo transitorio 3 incluido por el Decreto 1041 de 2022 mantuvo la anterior medida para el año 2023, permitiendo que para la inscripción en el RUP o para su renovación, el interesado pueda reportar la información contable y los estados financieros de los tres últimos años fiscales.</w:t>
      </w:r>
    </w:p>
    <w:p w14:paraId="71E439F7" w14:textId="77777777" w:rsidR="00CC58C3" w:rsidRDefault="00CC58C3" w:rsidP="00DB5AEA">
      <w:pPr>
        <w:spacing w:after="0" w:line="240" w:lineRule="auto"/>
        <w:contextualSpacing/>
        <w:rPr>
          <w:rFonts w:ascii="Century Gothic" w:eastAsia="Century Gothic" w:hAnsi="Century Gothic" w:cs="Century Gothic"/>
          <w:b/>
          <w:bCs/>
          <w:color w:val="000000" w:themeColor="text1"/>
        </w:rPr>
      </w:pPr>
    </w:p>
    <w:p w14:paraId="3175B327" w14:textId="65972145" w:rsidR="00BF46A1" w:rsidRPr="00BF46A1" w:rsidRDefault="00BF46A1" w:rsidP="00543201">
      <w:pPr>
        <w:spacing w:after="0" w:line="240" w:lineRule="auto"/>
        <w:contextualSpacing/>
        <w:jc w:val="both"/>
        <w:rPr>
          <w:rFonts w:ascii="Century Gothic" w:eastAsia="Century Gothic" w:hAnsi="Century Gothic" w:cs="Century Gothic"/>
          <w:b/>
          <w:bCs/>
          <w:color w:val="000000" w:themeColor="text1"/>
        </w:rPr>
      </w:pPr>
      <w:r w:rsidRPr="00BF46A1">
        <w:rPr>
          <w:rFonts w:ascii="Century Gothic" w:eastAsia="Century Gothic" w:hAnsi="Century Gothic" w:cs="Century Gothic"/>
          <w:b/>
          <w:bCs/>
          <w:color w:val="000000" w:themeColor="text1"/>
        </w:rPr>
        <w:t>MEJOR AÑO FISCAL – Decreto 399 de 2021– Capacidad financiera – Capacidad organizacional – Interpretación</w:t>
      </w:r>
    </w:p>
    <w:p w14:paraId="0B66C00E" w14:textId="77777777" w:rsidR="00BF46A1" w:rsidRPr="00BF46A1" w:rsidRDefault="00BF46A1" w:rsidP="00DB5AEA">
      <w:pPr>
        <w:spacing w:after="0" w:line="240" w:lineRule="auto"/>
        <w:contextualSpacing/>
        <w:rPr>
          <w:rFonts w:ascii="Century Gothic" w:eastAsia="Century Gothic" w:hAnsi="Century Gothic" w:cs="Century Gothic"/>
          <w:b/>
          <w:bCs/>
          <w:color w:val="000000" w:themeColor="text1"/>
        </w:rPr>
      </w:pPr>
      <w:r w:rsidRPr="00BF46A1">
        <w:rPr>
          <w:rFonts w:ascii="Century Gothic" w:eastAsia="Century Gothic" w:hAnsi="Century Gothic" w:cs="Century Gothic"/>
          <w:b/>
          <w:bCs/>
          <w:color w:val="000000" w:themeColor="text1"/>
        </w:rPr>
        <w:t xml:space="preserve"> </w:t>
      </w:r>
    </w:p>
    <w:p w14:paraId="7FE2873D" w14:textId="77777777" w:rsidR="00BF46A1" w:rsidRPr="004C7801" w:rsidRDefault="00BF46A1" w:rsidP="00F52835">
      <w:pPr>
        <w:spacing w:before="120" w:after="120" w:line="240" w:lineRule="auto"/>
        <w:contextualSpacing/>
        <w:jc w:val="both"/>
        <w:rPr>
          <w:rFonts w:ascii="Century Gothic" w:eastAsia="Century Gothic" w:hAnsi="Century Gothic" w:cs="Century Gothic"/>
          <w:sz w:val="20"/>
          <w:szCs w:val="20"/>
        </w:rPr>
      </w:pPr>
      <w:r w:rsidRPr="004C7801">
        <w:rPr>
          <w:rFonts w:ascii="Century Gothic" w:eastAsia="Century Gothic" w:hAnsi="Century Gothic" w:cs="Century Gothic"/>
          <w:sz w:val="20"/>
          <w:szCs w:val="20"/>
        </w:rPr>
        <w:t>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Decreto 1041 de 2022,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566808D9" w14:textId="77777777" w:rsidR="00543201" w:rsidRDefault="00543201" w:rsidP="00543201">
      <w:pPr>
        <w:spacing w:after="0" w:line="240" w:lineRule="auto"/>
        <w:contextualSpacing/>
        <w:jc w:val="both"/>
        <w:rPr>
          <w:rFonts w:ascii="Century Gothic" w:eastAsia="Century Gothic" w:hAnsi="Century Gothic" w:cs="Century Gothic"/>
        </w:rPr>
      </w:pPr>
    </w:p>
    <w:p w14:paraId="5DBC4B2F" w14:textId="77777777" w:rsidR="00760515" w:rsidRPr="004C7801" w:rsidRDefault="00760515" w:rsidP="00760515">
      <w:pPr>
        <w:spacing w:after="0" w:line="276" w:lineRule="auto"/>
        <w:contextualSpacing/>
        <w:rPr>
          <w:rFonts w:ascii="Century Gothic" w:eastAsia="Century Gothic" w:hAnsi="Century Gothic" w:cs="Century Gothic"/>
          <w:b/>
          <w:bCs/>
        </w:rPr>
      </w:pPr>
      <w:r w:rsidRPr="004C7801">
        <w:rPr>
          <w:rFonts w:ascii="Century Gothic" w:eastAsia="Century Gothic" w:hAnsi="Century Gothic" w:cs="Century Gothic"/>
          <w:b/>
          <w:bCs/>
        </w:rPr>
        <w:t xml:space="preserve">NORMAS TRANSITORIAS – Pérdida de vigencia – Efectos </w:t>
      </w:r>
    </w:p>
    <w:p w14:paraId="1B9D1F58" w14:textId="77777777" w:rsidR="00760515" w:rsidRPr="00A91C92" w:rsidRDefault="00760515" w:rsidP="007605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75C84191" w14:textId="77777777" w:rsidR="00760515" w:rsidRPr="0025048F" w:rsidRDefault="00760515" w:rsidP="004C7801">
      <w:pPr>
        <w:spacing w:after="0" w:line="276" w:lineRule="auto"/>
        <w:contextualSpacing/>
        <w:jc w:val="both"/>
        <w:rPr>
          <w:rFonts w:ascii="Century Gothic" w:eastAsia="Century Gothic" w:hAnsi="Century Gothic" w:cs="Century Gothic"/>
          <w:sz w:val="20"/>
          <w:szCs w:val="20"/>
        </w:rPr>
      </w:pPr>
      <w:r w:rsidRPr="0025048F">
        <w:rPr>
          <w:rFonts w:ascii="Century Gothic" w:eastAsia="Century Gothic" w:hAnsi="Century Gothic" w:cs="Century Gothic"/>
          <w:sz w:val="20"/>
          <w:szCs w:val="20"/>
        </w:rPr>
        <w:t xml:space="preserve">[…] tratándose de personas naturales obligadas a llevar contabilidad, deben presentar copia de la información contable del último año exigida por las normas tributarias. En </w:t>
      </w:r>
      <w:r w:rsidRPr="0025048F">
        <w:rPr>
          <w:rFonts w:ascii="Century Gothic" w:eastAsia="Century Gothic" w:hAnsi="Century Gothic" w:cs="Century Gothic"/>
          <w:sz w:val="20"/>
          <w:szCs w:val="20"/>
        </w:rPr>
        <w:lastRenderedPageBreak/>
        <w:t>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1E884646" w14:textId="77777777" w:rsidR="00760515" w:rsidRPr="0025048F" w:rsidRDefault="00760515" w:rsidP="004C7801">
      <w:pPr>
        <w:spacing w:after="0" w:line="276" w:lineRule="auto"/>
        <w:contextualSpacing/>
        <w:jc w:val="both"/>
        <w:rPr>
          <w:rFonts w:ascii="Century Gothic" w:eastAsia="Century Gothic" w:hAnsi="Century Gothic" w:cs="Century Gothic"/>
          <w:sz w:val="20"/>
          <w:szCs w:val="20"/>
        </w:rPr>
      </w:pPr>
      <w:r w:rsidRPr="0025048F">
        <w:rPr>
          <w:rFonts w:ascii="Century Gothic" w:eastAsia="Century Gothic" w:hAnsi="Century Gothic" w:cs="Century Gothic"/>
          <w:sz w:val="20"/>
          <w:szCs w:val="20"/>
        </w:rPr>
        <w:t xml:space="preserve"> </w:t>
      </w:r>
    </w:p>
    <w:p w14:paraId="6CFCA2CD" w14:textId="77777777" w:rsidR="00760515" w:rsidRPr="0025048F" w:rsidRDefault="00760515" w:rsidP="004C7801">
      <w:pPr>
        <w:spacing w:after="0" w:line="276" w:lineRule="auto"/>
        <w:contextualSpacing/>
        <w:jc w:val="both"/>
        <w:rPr>
          <w:rFonts w:ascii="Century Gothic" w:eastAsia="Century Gothic" w:hAnsi="Century Gothic" w:cs="Century Gothic"/>
          <w:sz w:val="20"/>
          <w:szCs w:val="20"/>
        </w:rPr>
      </w:pPr>
      <w:r w:rsidRPr="0025048F">
        <w:rPr>
          <w:rFonts w:ascii="Century Gothic" w:eastAsia="Century Gothic" w:hAnsi="Century Gothic" w:cs="Century Gothic"/>
          <w:sz w:val="20"/>
          <w:szCs w:val="20"/>
        </w:rPr>
        <w:t>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ibidem –adicionados por el art. 6 del Decreto 399 de 2021 y sustituido por el art. 3 del Decreto 579 de 2021– es inaplicable por sustracción de materia. En consecuencia, cesa la posibilidad de acreditar los indicadores de los numerales 3 y 4 artículo 2.2.1.1.1.5.3 ibidem teniendo en cuenta el mejor año fiscal que se refleje en el registro de cada proponente.</w:t>
      </w:r>
    </w:p>
    <w:p w14:paraId="32FE753B" w14:textId="77777777" w:rsidR="00760515" w:rsidRPr="0025048F" w:rsidRDefault="00760515" w:rsidP="004C7801">
      <w:pPr>
        <w:spacing w:after="0" w:line="276" w:lineRule="auto"/>
        <w:contextualSpacing/>
        <w:jc w:val="both"/>
        <w:rPr>
          <w:rFonts w:ascii="Century Gothic" w:eastAsia="Century Gothic" w:hAnsi="Century Gothic" w:cs="Century Gothic"/>
          <w:sz w:val="20"/>
          <w:szCs w:val="20"/>
        </w:rPr>
      </w:pPr>
      <w:r w:rsidRPr="0025048F">
        <w:rPr>
          <w:rFonts w:ascii="Century Gothic" w:eastAsia="Century Gothic" w:hAnsi="Century Gothic" w:cs="Century Gothic"/>
          <w:sz w:val="20"/>
          <w:szCs w:val="20"/>
        </w:rPr>
        <w:t xml:space="preserve"> </w:t>
      </w:r>
    </w:p>
    <w:p w14:paraId="66E41B7E" w14:textId="77777777" w:rsidR="00760515" w:rsidRPr="0025048F" w:rsidRDefault="00760515" w:rsidP="004C7801">
      <w:pPr>
        <w:spacing w:after="0" w:line="276" w:lineRule="auto"/>
        <w:contextualSpacing/>
        <w:jc w:val="both"/>
        <w:rPr>
          <w:rFonts w:ascii="Century Gothic" w:eastAsia="Century Gothic" w:hAnsi="Century Gothic" w:cs="Century Gothic"/>
          <w:sz w:val="20"/>
          <w:szCs w:val="20"/>
        </w:rPr>
      </w:pPr>
      <w:r w:rsidRPr="0025048F">
        <w:rPr>
          <w:rFonts w:ascii="Century Gothic" w:eastAsia="Century Gothic" w:hAnsi="Century Gothic" w:cs="Century Gothic"/>
          <w:sz w:val="20"/>
          <w:szCs w:val="20"/>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frete a la Cámara de Comercio conforme a las reglas de generales del Decreto 1082 de 2015, es decir, con la información contable del año inmediatamente anterior –nums. 1.3 y 2.3 del artículo 2.2.1.1.1.5.2 del Decreto 1082 de 2015–.</w:t>
      </w:r>
    </w:p>
    <w:p w14:paraId="531DD250" w14:textId="77777777" w:rsidR="00543201" w:rsidRDefault="00543201" w:rsidP="00543201">
      <w:pPr>
        <w:spacing w:after="0" w:line="240" w:lineRule="auto"/>
        <w:contextualSpacing/>
        <w:jc w:val="both"/>
        <w:rPr>
          <w:rFonts w:ascii="Century Gothic" w:eastAsia="Century Gothic" w:hAnsi="Century Gothic" w:cs="Century Gothic"/>
        </w:rPr>
      </w:pPr>
    </w:p>
    <w:p w14:paraId="4D5F62F1" w14:textId="77777777" w:rsidR="00FE3176" w:rsidRDefault="00FE3176" w:rsidP="00BF46A1">
      <w:pPr>
        <w:spacing w:after="0" w:line="276" w:lineRule="auto"/>
        <w:contextualSpacing/>
        <w:rPr>
          <w:rFonts w:ascii="Century Gothic" w:eastAsia="Century Gothic" w:hAnsi="Century Gothic" w:cs="Century Gothic"/>
        </w:rPr>
      </w:pPr>
    </w:p>
    <w:p w14:paraId="09ADDC6D" w14:textId="77777777" w:rsidR="00FE3176" w:rsidRPr="00FE3176" w:rsidRDefault="00FE3176" w:rsidP="00BF46A1">
      <w:pPr>
        <w:spacing w:after="0" w:line="276" w:lineRule="auto"/>
        <w:contextualSpacing/>
        <w:rPr>
          <w:rFonts w:ascii="Century Gothic" w:eastAsia="Century Gothic" w:hAnsi="Century Gothic" w:cs="Century Gothic"/>
        </w:rPr>
      </w:pPr>
    </w:p>
    <w:p w14:paraId="6712CF2C" w14:textId="77777777" w:rsidR="00252F2D" w:rsidRDefault="00252F2D" w:rsidP="008B3CF3">
      <w:pPr>
        <w:spacing w:after="0"/>
        <w:rPr>
          <w:rFonts w:ascii="Century Gothic" w:hAnsi="Century Gothic" w:cs="Arial"/>
          <w:shd w:val="clear" w:color="auto" w:fill="FFFFFF"/>
        </w:rPr>
      </w:pPr>
    </w:p>
    <w:p w14:paraId="2E2D16D0" w14:textId="77777777" w:rsidR="00760515" w:rsidRDefault="00760515" w:rsidP="008B3CF3">
      <w:pPr>
        <w:spacing w:after="0"/>
        <w:rPr>
          <w:rFonts w:ascii="Century Gothic" w:hAnsi="Century Gothic" w:cs="Arial"/>
          <w:shd w:val="clear" w:color="auto" w:fill="FFFFFF"/>
        </w:rPr>
      </w:pPr>
    </w:p>
    <w:p w14:paraId="7700BDA6" w14:textId="77777777" w:rsidR="00760515" w:rsidRDefault="00760515" w:rsidP="008B3CF3">
      <w:pPr>
        <w:spacing w:after="0"/>
        <w:rPr>
          <w:rFonts w:ascii="Century Gothic" w:hAnsi="Century Gothic" w:cs="Arial"/>
          <w:shd w:val="clear" w:color="auto" w:fill="FFFFFF"/>
        </w:rPr>
      </w:pPr>
    </w:p>
    <w:p w14:paraId="042315DB" w14:textId="77777777" w:rsidR="0025048F" w:rsidRDefault="0025048F" w:rsidP="008B3CF3">
      <w:pPr>
        <w:spacing w:after="0"/>
        <w:rPr>
          <w:rFonts w:ascii="Century Gothic" w:hAnsi="Century Gothic" w:cs="Arial"/>
          <w:shd w:val="clear" w:color="auto" w:fill="FFFFFF"/>
        </w:rPr>
      </w:pPr>
    </w:p>
    <w:p w14:paraId="0E4ACE78" w14:textId="77777777" w:rsidR="0025048F" w:rsidRDefault="0025048F" w:rsidP="008B3CF3">
      <w:pPr>
        <w:spacing w:after="0"/>
        <w:rPr>
          <w:rFonts w:ascii="Century Gothic" w:hAnsi="Century Gothic" w:cs="Arial"/>
          <w:shd w:val="clear" w:color="auto" w:fill="FFFFFF"/>
        </w:rPr>
      </w:pPr>
    </w:p>
    <w:p w14:paraId="29A76234" w14:textId="77777777" w:rsidR="0025048F" w:rsidRDefault="0025048F" w:rsidP="008B3CF3">
      <w:pPr>
        <w:spacing w:after="0"/>
        <w:rPr>
          <w:rFonts w:ascii="Century Gothic" w:hAnsi="Century Gothic" w:cs="Arial"/>
          <w:shd w:val="clear" w:color="auto" w:fill="FFFFFF"/>
        </w:rPr>
      </w:pPr>
    </w:p>
    <w:p w14:paraId="6328F2C2" w14:textId="77777777" w:rsidR="0025048F" w:rsidRDefault="0025048F" w:rsidP="008B3CF3">
      <w:pPr>
        <w:spacing w:after="0"/>
        <w:rPr>
          <w:rFonts w:ascii="Century Gothic" w:hAnsi="Century Gothic" w:cs="Arial"/>
          <w:shd w:val="clear" w:color="auto" w:fill="FFFFFF"/>
        </w:rPr>
      </w:pPr>
    </w:p>
    <w:p w14:paraId="56F7C9EA" w14:textId="77777777" w:rsidR="0025048F" w:rsidRDefault="0025048F" w:rsidP="008B3CF3">
      <w:pPr>
        <w:spacing w:after="0"/>
        <w:rPr>
          <w:rFonts w:ascii="Century Gothic" w:hAnsi="Century Gothic" w:cs="Arial"/>
          <w:shd w:val="clear" w:color="auto" w:fill="FFFFFF"/>
        </w:rPr>
      </w:pPr>
    </w:p>
    <w:p w14:paraId="4956F194" w14:textId="77777777" w:rsidR="0025048F" w:rsidRDefault="0025048F" w:rsidP="008B3CF3">
      <w:pPr>
        <w:spacing w:after="0"/>
        <w:rPr>
          <w:rFonts w:ascii="Century Gothic" w:hAnsi="Century Gothic" w:cs="Arial"/>
          <w:shd w:val="clear" w:color="auto" w:fill="FFFFFF"/>
        </w:rPr>
      </w:pPr>
    </w:p>
    <w:p w14:paraId="3EC44839" w14:textId="77777777" w:rsidR="0025048F" w:rsidRDefault="0025048F" w:rsidP="008B3CF3">
      <w:pPr>
        <w:spacing w:after="0"/>
        <w:rPr>
          <w:rFonts w:ascii="Century Gothic" w:hAnsi="Century Gothic" w:cs="Arial"/>
          <w:shd w:val="clear" w:color="auto" w:fill="FFFFFF"/>
        </w:rPr>
      </w:pPr>
    </w:p>
    <w:p w14:paraId="36B1DDC6" w14:textId="77777777" w:rsidR="00FE7150" w:rsidRDefault="00FE7150" w:rsidP="008B3CF3">
      <w:pPr>
        <w:spacing w:after="0"/>
        <w:rPr>
          <w:rFonts w:ascii="Century Gothic" w:hAnsi="Century Gothic" w:cs="Arial"/>
          <w:shd w:val="clear" w:color="auto" w:fill="FFFFFF"/>
        </w:rPr>
      </w:pPr>
    </w:p>
    <w:p w14:paraId="52318218" w14:textId="10CF6E46" w:rsidR="007E49F7" w:rsidRPr="00316766" w:rsidRDefault="008B3CF3" w:rsidP="00316766">
      <w:pPr>
        <w:spacing w:after="0"/>
        <w:rPr>
          <w:rFonts w:ascii="Century Gothic" w:eastAsia="Geomanist Light" w:hAnsi="Century Gothic" w:cs="Arial"/>
          <w:lang w:val="es-MX"/>
        </w:rPr>
      </w:pPr>
      <w:r w:rsidRPr="004C305D">
        <w:rPr>
          <w:rFonts w:ascii="Century Gothic" w:hAnsi="Century Gothic" w:cs="Arial"/>
          <w:shd w:val="clear" w:color="auto" w:fill="FFFFFF"/>
        </w:rPr>
        <w:t>Bogotá D.C., [Día] de [Mes.NombreCapitalizado] de [Año]</w:t>
      </w:r>
      <w:r w:rsidRPr="004C305D">
        <w:rPr>
          <w:rFonts w:ascii="Century Gothic" w:hAnsi="Century Gothic" w:cs="Calibri"/>
          <w:shd w:val="clear" w:color="auto" w:fill="FFFFFF"/>
        </w:rPr>
        <w:tab/>
      </w:r>
      <w:r w:rsidRPr="004C305D">
        <w:rPr>
          <w:rFonts w:ascii="Arial" w:hAnsi="Arial" w:cs="Arial"/>
          <w:shd w:val="clear" w:color="auto" w:fill="FFFFFF"/>
        </w:rPr>
        <w:t>    </w:t>
      </w:r>
      <w:r w:rsidRPr="004C305D">
        <w:rPr>
          <w:rFonts w:ascii="Century Gothic" w:hAnsi="Century Gothic" w:cs="Arial"/>
          <w:shd w:val="clear" w:color="auto" w:fill="FFFFFF"/>
        </w:rPr>
        <w:t> </w:t>
      </w:r>
      <w:r w:rsidRPr="004C305D">
        <w:rPr>
          <w:rFonts w:ascii="Arial" w:hAnsi="Arial" w:cs="Arial"/>
          <w:shd w:val="clear" w:color="auto" w:fill="FFFFFF"/>
        </w:rPr>
        <w:t> </w:t>
      </w:r>
      <w:r w:rsidRPr="004C305D">
        <w:rPr>
          <w:rFonts w:ascii="Century Gothic" w:hAnsi="Century Gothic" w:cs="Century Gothic"/>
          <w:shd w:val="clear" w:color="auto" w:fill="FFFFFF"/>
        </w:rPr>
        <w:t> </w:t>
      </w:r>
      <w:r w:rsidRPr="004C305D">
        <w:rPr>
          <w:rFonts w:ascii="Century Gothic" w:eastAsia="Geomanist Light" w:hAnsi="Century Gothic" w:cs="Arial"/>
          <w:lang w:val="es-MX"/>
        </w:rPr>
        <w:cr/>
      </w:r>
    </w:p>
    <w:p w14:paraId="58622CE0" w14:textId="0B67B0D8" w:rsidR="007E49F7" w:rsidRPr="004C305D" w:rsidRDefault="00316766" w:rsidP="008B3CF3">
      <w:pPr>
        <w:spacing w:after="0"/>
        <w:jc w:val="right"/>
        <w:rPr>
          <w:noProof/>
          <w14:ligatures w14:val="standardContextual"/>
        </w:rPr>
      </w:pPr>
      <w:r w:rsidRPr="00316766">
        <w:rPr>
          <w:noProof/>
          <w14:ligatures w14:val="standardContextual"/>
        </w:rPr>
        <w:drawing>
          <wp:inline distT="0" distB="0" distL="0" distR="0" wp14:anchorId="23F801DF" wp14:editId="7C6C92B6">
            <wp:extent cx="3390900" cy="1095375"/>
            <wp:effectExtent l="0" t="0" r="0" b="9525"/>
            <wp:docPr id="107079356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93562" name="Imagen 1" descr="Texto&#10;&#10;Descripción generada automáticamente"/>
                    <pic:cNvPicPr/>
                  </pic:nvPicPr>
                  <pic:blipFill>
                    <a:blip r:embed="rId10"/>
                    <a:stretch>
                      <a:fillRect/>
                    </a:stretch>
                  </pic:blipFill>
                  <pic:spPr>
                    <a:xfrm>
                      <a:off x="0" y="0"/>
                      <a:ext cx="3390900" cy="1095375"/>
                    </a:xfrm>
                    <a:prstGeom prst="rect">
                      <a:avLst/>
                    </a:prstGeom>
                  </pic:spPr>
                </pic:pic>
              </a:graphicData>
            </a:graphic>
          </wp:inline>
        </w:drawing>
      </w:r>
    </w:p>
    <w:p w14:paraId="3861308E" w14:textId="77777777" w:rsidR="008B3CF3" w:rsidRPr="004C305D" w:rsidRDefault="008B3CF3" w:rsidP="008B3CF3">
      <w:pPr>
        <w:spacing w:after="0"/>
        <w:jc w:val="right"/>
        <w:rPr>
          <w:rFonts w:ascii="Century Gothic" w:eastAsia="Geomanist Light" w:hAnsi="Century Gothic" w:cs="Arial"/>
          <w:lang w:val="es-MX"/>
        </w:rPr>
      </w:pPr>
    </w:p>
    <w:p w14:paraId="0390837E" w14:textId="77777777" w:rsidR="008B3CF3" w:rsidRPr="00117824" w:rsidRDefault="008B3CF3" w:rsidP="008B3CF3">
      <w:pPr>
        <w:contextualSpacing/>
        <w:jc w:val="both"/>
        <w:rPr>
          <w:rFonts w:ascii="Century Gothic" w:eastAsia="Calibri" w:hAnsi="Century Gothic" w:cs="Arial"/>
          <w:lang w:eastAsia="es-ES_tradnl"/>
        </w:rPr>
      </w:pPr>
      <w:r w:rsidRPr="00117824">
        <w:rPr>
          <w:rFonts w:ascii="Century Gothic" w:eastAsia="Calibri" w:hAnsi="Century Gothic" w:cs="Arial"/>
          <w:lang w:eastAsia="es-ES_tradnl"/>
        </w:rPr>
        <w:t>Señora</w:t>
      </w:r>
    </w:p>
    <w:p w14:paraId="5A112C53" w14:textId="77777777" w:rsidR="008B3CF3" w:rsidRPr="00117824" w:rsidRDefault="008B3CF3" w:rsidP="008B3CF3">
      <w:pPr>
        <w:contextualSpacing/>
        <w:jc w:val="both"/>
        <w:rPr>
          <w:rFonts w:ascii="Century Gothic" w:eastAsia="Calibri" w:hAnsi="Century Gothic" w:cs="Arial"/>
          <w:b/>
          <w:bCs/>
          <w:lang w:eastAsia="es-ES_tradnl"/>
        </w:rPr>
      </w:pPr>
      <w:r w:rsidRPr="00117824">
        <w:rPr>
          <w:rFonts w:ascii="Century Gothic" w:eastAsia="Calibri" w:hAnsi="Century Gothic" w:cs="Arial"/>
          <w:b/>
          <w:bCs/>
          <w:lang w:eastAsia="es-ES_tradnl"/>
        </w:rPr>
        <w:t xml:space="preserve">Natalia Muñoz Tobar </w:t>
      </w:r>
    </w:p>
    <w:p w14:paraId="5FDE44CA" w14:textId="77777777" w:rsidR="008B3CF3" w:rsidRPr="00117824" w:rsidRDefault="008B3CF3" w:rsidP="008B3CF3">
      <w:pPr>
        <w:contextualSpacing/>
        <w:jc w:val="both"/>
        <w:rPr>
          <w:rFonts w:ascii="Century Gothic" w:eastAsia="Calibri" w:hAnsi="Century Gothic" w:cs="Arial"/>
          <w:lang w:eastAsia="es-ES_tradnl"/>
        </w:rPr>
      </w:pPr>
      <w:hyperlink r:id="rId11" w:history="1">
        <w:r w:rsidRPr="00117824">
          <w:rPr>
            <w:rStyle w:val="Hipervnculo"/>
            <w:rFonts w:ascii="Century Gothic" w:eastAsia="Calibri" w:hAnsi="Century Gothic" w:cs="Arial"/>
            <w:lang w:eastAsia="es-ES_tradnl"/>
          </w:rPr>
          <w:t>natamu1103@gmail.com</w:t>
        </w:r>
      </w:hyperlink>
    </w:p>
    <w:p w14:paraId="6D01F503" w14:textId="77777777" w:rsidR="008B3CF3" w:rsidRPr="00117824" w:rsidRDefault="008B3CF3" w:rsidP="008B3CF3">
      <w:pPr>
        <w:contextualSpacing/>
        <w:jc w:val="both"/>
        <w:rPr>
          <w:rFonts w:ascii="Century Gothic" w:eastAsia="Calibri" w:hAnsi="Century Gothic" w:cs="Arial"/>
          <w:bCs/>
          <w:lang w:eastAsia="es-ES_tradnl"/>
        </w:rPr>
      </w:pPr>
      <w:r w:rsidRPr="00117824">
        <w:rPr>
          <w:rFonts w:ascii="Century Gothic" w:hAnsi="Century Gothic"/>
        </w:rPr>
        <w:t>Cali, Valle del Cauca.</w:t>
      </w:r>
    </w:p>
    <w:p w14:paraId="7F21690D" w14:textId="77777777" w:rsidR="008B3CF3" w:rsidRPr="00117824" w:rsidRDefault="008B3CF3" w:rsidP="008B3CF3">
      <w:pPr>
        <w:contextualSpacing/>
        <w:rPr>
          <w:rFonts w:ascii="Century Gothic" w:eastAsia="Calibri" w:hAnsi="Century Gothic" w:cs="Arial"/>
          <w:b/>
          <w:bCs/>
          <w:lang w:val="es-ES_tradnl" w:eastAsia="es-ES_tradnl"/>
        </w:rPr>
      </w:pPr>
    </w:p>
    <w:p w14:paraId="3FC80664" w14:textId="77777777" w:rsidR="008B3CF3" w:rsidRPr="00117824" w:rsidRDefault="008B3CF3" w:rsidP="008B3CF3">
      <w:pPr>
        <w:contextualSpacing/>
        <w:rPr>
          <w:rFonts w:ascii="Century Gothic" w:eastAsia="Calibri" w:hAnsi="Century Gothic" w:cs="Arial"/>
          <w:b/>
          <w:bCs/>
          <w:lang w:val="es-ES_tradnl" w:eastAsia="es-ES_tradnl"/>
        </w:rPr>
      </w:pPr>
    </w:p>
    <w:p w14:paraId="77AA0F1B" w14:textId="77777777" w:rsidR="008B3CF3" w:rsidRPr="00117824" w:rsidRDefault="008B3CF3" w:rsidP="008B3CF3">
      <w:pPr>
        <w:ind w:left="2124" w:firstLine="570"/>
        <w:contextualSpacing/>
        <w:rPr>
          <w:rFonts w:ascii="Century Gothic" w:eastAsia="Calibri" w:hAnsi="Century Gothic" w:cs="Arial"/>
          <w:b/>
          <w:bCs/>
          <w:lang w:val="es-ES_tradnl" w:eastAsia="es-ES_tradnl"/>
        </w:rPr>
      </w:pPr>
      <w:r w:rsidRPr="00117824">
        <w:rPr>
          <w:rFonts w:ascii="Century Gothic" w:eastAsia="Calibri" w:hAnsi="Century Gothic" w:cs="Arial"/>
          <w:b/>
          <w:bCs/>
          <w:lang w:val="es-ES_tradnl" w:eastAsia="es-ES_tradnl"/>
        </w:rPr>
        <w:t>Concepto C – 028 de 2024</w:t>
      </w:r>
    </w:p>
    <w:p w14:paraId="52126469" w14:textId="77777777" w:rsidR="008B3CF3" w:rsidRPr="00117824" w:rsidRDefault="008B3CF3" w:rsidP="008B3CF3">
      <w:pPr>
        <w:contextualSpacing/>
        <w:jc w:val="both"/>
        <w:rPr>
          <w:rFonts w:ascii="Century Gothic" w:eastAsia="Calibri" w:hAnsi="Century Gothic" w:cs="Arial"/>
          <w:highlight w:val="yellow"/>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B3CF3" w:rsidRPr="00117824" w14:paraId="1EFCF6FF" w14:textId="77777777" w:rsidTr="006E0E14">
        <w:tc>
          <w:tcPr>
            <w:tcW w:w="2689" w:type="dxa"/>
          </w:tcPr>
          <w:p w14:paraId="26A2F5AD" w14:textId="77777777" w:rsidR="008B3CF3" w:rsidRPr="00117824" w:rsidRDefault="008B3CF3" w:rsidP="006E0E14">
            <w:pPr>
              <w:contextualSpacing/>
              <w:jc w:val="both"/>
              <w:rPr>
                <w:rFonts w:ascii="Century Gothic" w:eastAsia="Calibri" w:hAnsi="Century Gothic" w:cs="Arial"/>
                <w:highlight w:val="yellow"/>
                <w:lang w:val="es-ES_tradnl" w:eastAsia="es-ES_tradnl"/>
              </w:rPr>
            </w:pPr>
            <w:r w:rsidRPr="00117824">
              <w:rPr>
                <w:rFonts w:ascii="Century Gothic" w:eastAsia="Calibri" w:hAnsi="Century Gothic" w:cs="Arial"/>
                <w:b/>
                <w:lang w:val="es-ES_tradnl" w:eastAsia="es-ES_tradnl"/>
              </w:rPr>
              <w:t>Temas:</w:t>
            </w:r>
            <w:r w:rsidRPr="00117824">
              <w:rPr>
                <w:rFonts w:ascii="Century Gothic" w:eastAsia="Calibri" w:hAnsi="Century Gothic" w:cs="Arial"/>
                <w:lang w:val="es-ES_tradnl" w:eastAsia="es-ES_tradnl"/>
              </w:rPr>
              <w:t xml:space="preserve">                                      </w:t>
            </w:r>
          </w:p>
        </w:tc>
        <w:tc>
          <w:tcPr>
            <w:tcW w:w="6237" w:type="dxa"/>
          </w:tcPr>
          <w:p w14:paraId="54B7A60B" w14:textId="77777777" w:rsidR="008B3CF3" w:rsidRPr="00117824" w:rsidRDefault="008B3CF3" w:rsidP="006E0E14">
            <w:pPr>
              <w:spacing w:after="120"/>
              <w:contextualSpacing/>
              <w:jc w:val="both"/>
              <w:rPr>
                <w:rFonts w:ascii="Century Gothic" w:eastAsia="Calibri" w:hAnsi="Century Gothic" w:cs="Arial"/>
                <w:bCs/>
                <w:lang w:val="es-MX" w:eastAsia="es-ES_tradnl"/>
              </w:rPr>
            </w:pPr>
            <w:r w:rsidRPr="00117824">
              <w:rPr>
                <w:rFonts w:ascii="Century Gothic" w:eastAsia="Century Gothic" w:hAnsi="Century Gothic" w:cs="Century Gothic"/>
                <w:lang w:val="es-MX"/>
              </w:rPr>
              <w:t>RUP – Renovación – Efectos – Validez de la información antigua / DECRETO 1041 DE 2022 – Finalidad / DECRETO 1041 DE 2022 – Información – / MEJOR AÑO FISCAL – Decreto 399 de 2021– Capacidad financiera – Capacidad organizacional – Interpretación</w:t>
            </w:r>
          </w:p>
          <w:p w14:paraId="2469D6AE" w14:textId="77777777" w:rsidR="008B3CF3" w:rsidRPr="00117824" w:rsidRDefault="008B3CF3" w:rsidP="006E0E14">
            <w:pPr>
              <w:spacing w:after="120"/>
              <w:contextualSpacing/>
              <w:jc w:val="both"/>
              <w:rPr>
                <w:rFonts w:ascii="Century Gothic" w:eastAsia="Calibri" w:hAnsi="Century Gothic" w:cs="Arial"/>
                <w:bCs/>
                <w:sz w:val="12"/>
                <w:szCs w:val="12"/>
                <w:lang w:val="es-ES_tradnl" w:eastAsia="es-ES_tradnl"/>
              </w:rPr>
            </w:pPr>
          </w:p>
          <w:p w14:paraId="0B5D8D28" w14:textId="77777777" w:rsidR="008B3CF3" w:rsidRPr="00117824" w:rsidRDefault="008B3CF3" w:rsidP="006E0E14">
            <w:pPr>
              <w:spacing w:after="120"/>
              <w:contextualSpacing/>
              <w:jc w:val="both"/>
              <w:rPr>
                <w:rFonts w:ascii="Century Gothic" w:eastAsia="Calibri" w:hAnsi="Century Gothic" w:cs="Arial"/>
                <w:bCs/>
                <w:sz w:val="12"/>
                <w:szCs w:val="12"/>
                <w:lang w:val="es-ES_tradnl" w:eastAsia="es-ES_tradnl"/>
              </w:rPr>
            </w:pPr>
          </w:p>
        </w:tc>
      </w:tr>
      <w:tr w:rsidR="008B3CF3" w:rsidRPr="00117824" w14:paraId="630F8314" w14:textId="77777777" w:rsidTr="006E0E14">
        <w:trPr>
          <w:trHeight w:val="227"/>
        </w:trPr>
        <w:tc>
          <w:tcPr>
            <w:tcW w:w="2689" w:type="dxa"/>
          </w:tcPr>
          <w:p w14:paraId="699C68B4" w14:textId="77777777" w:rsidR="008B3CF3" w:rsidRPr="00117824" w:rsidRDefault="008B3CF3" w:rsidP="006E0E14">
            <w:pPr>
              <w:contextualSpacing/>
              <w:jc w:val="both"/>
              <w:rPr>
                <w:rFonts w:ascii="Century Gothic" w:eastAsia="Calibri" w:hAnsi="Century Gothic" w:cs="Arial"/>
                <w:b/>
                <w:lang w:val="es-ES_tradnl" w:eastAsia="es-ES_tradnl"/>
              </w:rPr>
            </w:pPr>
            <w:r w:rsidRPr="00117824">
              <w:rPr>
                <w:rFonts w:ascii="Century Gothic" w:eastAsia="Calibri" w:hAnsi="Century Gothic" w:cs="Arial"/>
                <w:b/>
                <w:lang w:val="es-ES_tradnl" w:eastAsia="es-ES_tradnl"/>
              </w:rPr>
              <w:t>Radicación:</w:t>
            </w:r>
            <w:r w:rsidRPr="00117824">
              <w:rPr>
                <w:rFonts w:ascii="Century Gothic" w:eastAsia="Calibri" w:hAnsi="Century Gothic" w:cs="Arial"/>
                <w:lang w:val="es-ES_tradnl" w:eastAsia="es-ES_tradnl"/>
              </w:rPr>
              <w:t xml:space="preserve">                             </w:t>
            </w:r>
          </w:p>
        </w:tc>
        <w:tc>
          <w:tcPr>
            <w:tcW w:w="6237" w:type="dxa"/>
          </w:tcPr>
          <w:p w14:paraId="3069B9F4" w14:textId="77777777" w:rsidR="008B3CF3" w:rsidRPr="00117824" w:rsidRDefault="008B3CF3" w:rsidP="006E0E14">
            <w:pPr>
              <w:contextualSpacing/>
              <w:jc w:val="both"/>
              <w:rPr>
                <w:rFonts w:ascii="Century Gothic" w:eastAsia="Calibri" w:hAnsi="Century Gothic" w:cs="Arial"/>
                <w:lang w:val="es-ES_tradnl" w:eastAsia="es-ES_tradnl"/>
              </w:rPr>
            </w:pPr>
            <w:r w:rsidRPr="00117824">
              <w:rPr>
                <w:rFonts w:ascii="Century Gothic" w:eastAsia="Calibri" w:hAnsi="Century Gothic" w:cs="Arial"/>
                <w:lang w:val="es-ES_tradnl" w:eastAsia="es-ES_tradnl"/>
              </w:rPr>
              <w:t xml:space="preserve">Respuesta a consulta No. </w:t>
            </w:r>
            <w:r w:rsidRPr="00117824">
              <w:rPr>
                <w:rFonts w:ascii="Century Gothic" w:eastAsia="Calibri" w:hAnsi="Century Gothic" w:cs="Arial"/>
                <w:lang w:val="es-ES_tradnl" w:eastAsia="es-ES_tradnl"/>
              </w:rPr>
              <w:tab/>
            </w:r>
            <w:r w:rsidRPr="00117824">
              <w:rPr>
                <w:rFonts w:ascii="Century Gothic" w:hAnsi="Century Gothic"/>
              </w:rPr>
              <w:t xml:space="preserve">P20240209001363 </w:t>
            </w:r>
          </w:p>
        </w:tc>
      </w:tr>
    </w:tbl>
    <w:p w14:paraId="6524945E" w14:textId="77777777" w:rsidR="008B3CF3" w:rsidRPr="00117824" w:rsidRDefault="008B3CF3" w:rsidP="008B3CF3">
      <w:pPr>
        <w:contextualSpacing/>
        <w:jc w:val="both"/>
        <w:rPr>
          <w:rFonts w:ascii="Century Gothic" w:eastAsia="Calibri" w:hAnsi="Century Gothic" w:cs="Arial"/>
          <w:lang w:val="es-ES_tradnl" w:eastAsia="es-ES_tradnl"/>
        </w:rPr>
      </w:pPr>
    </w:p>
    <w:p w14:paraId="475CCEE3" w14:textId="77777777" w:rsidR="008B3CF3" w:rsidRPr="00117824" w:rsidRDefault="008B3CF3" w:rsidP="008B3CF3">
      <w:pPr>
        <w:contextualSpacing/>
        <w:jc w:val="both"/>
        <w:rPr>
          <w:rFonts w:ascii="Century Gothic" w:eastAsia="Calibri" w:hAnsi="Century Gothic" w:cs="Arial"/>
          <w:lang w:val="es-ES_tradnl" w:eastAsia="es-ES_tradnl"/>
        </w:rPr>
      </w:pPr>
    </w:p>
    <w:p w14:paraId="4E79B427" w14:textId="77777777" w:rsidR="008B3CF3" w:rsidRPr="00117824" w:rsidRDefault="008B3CF3" w:rsidP="008B3CF3">
      <w:pPr>
        <w:contextualSpacing/>
        <w:jc w:val="both"/>
        <w:rPr>
          <w:rFonts w:ascii="Century Gothic" w:eastAsia="Calibri" w:hAnsi="Century Gothic" w:cs="Arial"/>
          <w:lang w:val="es-ES" w:eastAsia="es-ES"/>
        </w:rPr>
      </w:pPr>
      <w:r w:rsidRPr="00117824">
        <w:rPr>
          <w:rFonts w:ascii="Century Gothic" w:eastAsia="Calibri" w:hAnsi="Century Gothic" w:cs="Arial"/>
          <w:lang w:val="es-ES" w:eastAsia="es-ES"/>
        </w:rPr>
        <w:t>Estimada Señora Natalia:</w:t>
      </w:r>
    </w:p>
    <w:p w14:paraId="2E012645" w14:textId="77777777" w:rsidR="008B3CF3" w:rsidRPr="00117824" w:rsidRDefault="008B3CF3" w:rsidP="008B3CF3">
      <w:pPr>
        <w:spacing w:line="276" w:lineRule="auto"/>
        <w:contextualSpacing/>
        <w:jc w:val="both"/>
        <w:rPr>
          <w:rFonts w:ascii="Century Gothic" w:eastAsia="Calibri" w:hAnsi="Century Gothic" w:cs="Arial"/>
          <w:szCs w:val="24"/>
          <w:lang w:val="es-ES_tradnl" w:eastAsia="es-ES_tradnl"/>
        </w:rPr>
      </w:pPr>
    </w:p>
    <w:bookmarkEnd w:id="0"/>
    <w:bookmarkEnd w:id="1"/>
    <w:p w14:paraId="7D25E055" w14:textId="05FC9FE0" w:rsidR="008B3CF3" w:rsidRPr="00117824" w:rsidRDefault="008B3CF3" w:rsidP="008B3CF3">
      <w:pPr>
        <w:spacing w:after="0" w:line="276" w:lineRule="auto"/>
        <w:jc w:val="both"/>
        <w:rPr>
          <w:rFonts w:ascii="Century Gothic" w:eastAsia="Calibri" w:hAnsi="Century Gothic" w:cs="Arial"/>
          <w:lang w:val="es-ES_tradnl"/>
        </w:rPr>
      </w:pPr>
      <w:r w:rsidRPr="00117824">
        <w:rPr>
          <w:rFonts w:ascii="Century Gothic" w:eastAsia="Calibri" w:hAnsi="Century Gothic" w:cs="Arial"/>
          <w:lang w:val="es-ES_tradnl"/>
        </w:rPr>
        <w:t>En ejercicio de la competencia otorgada por el numeral 5° del artículo 3 y el numeral 8° del artículo 11 del Decreto Ley 4170 de 2011</w:t>
      </w:r>
      <w:bookmarkStart w:id="3" w:name="_Hlk99120496"/>
      <w:r w:rsidRPr="00117824">
        <w:rPr>
          <w:rFonts w:ascii="Century Gothic" w:eastAsia="Arial MT" w:hAnsi="Century Gothic" w:cs="Arial MT"/>
          <w:lang w:val="es-ES"/>
        </w:rPr>
        <w:t xml:space="preserve">, </w:t>
      </w:r>
      <w:bookmarkEnd w:id="3"/>
      <w:r w:rsidRPr="00117824">
        <w:rPr>
          <w:rFonts w:ascii="Century Gothic" w:eastAsia="Calibri" w:hAnsi="Century Gothic" w:cs="Arial"/>
          <w:lang w:val="es-ES_tradnl"/>
        </w:rPr>
        <w:t>la Agencia Nacional de Contratación Pública – Colombia Compra Eficiente– responde su petición recibida el 09 de febrero de 2024.</w:t>
      </w:r>
      <w:r w:rsidR="00291265">
        <w:rPr>
          <w:rFonts w:ascii="Century Gothic" w:eastAsia="Calibri" w:hAnsi="Century Gothic" w:cs="Arial"/>
          <w:lang w:val="es-ES_tradnl"/>
        </w:rPr>
        <w:t xml:space="preserve"> Es menester recordar </w:t>
      </w:r>
      <w:r w:rsidR="001421A4">
        <w:rPr>
          <w:rFonts w:ascii="Century Gothic" w:eastAsia="Calibri" w:hAnsi="Century Gothic" w:cs="Arial"/>
          <w:lang w:val="es-ES_tradnl"/>
        </w:rPr>
        <w:t>que</w:t>
      </w:r>
      <w:r w:rsidR="00291265">
        <w:rPr>
          <w:rFonts w:ascii="Century Gothic" w:eastAsia="Calibri" w:hAnsi="Century Gothic" w:cs="Arial"/>
          <w:lang w:val="es-ES_tradnl"/>
        </w:rPr>
        <w:t>, en lo concerniente a la pregunta uno (1) y sus incisos</w:t>
      </w:r>
      <w:r w:rsidR="001421A4">
        <w:rPr>
          <w:rFonts w:ascii="Century Gothic" w:eastAsia="Calibri" w:hAnsi="Century Gothic" w:cs="Arial"/>
          <w:lang w:val="es-ES_tradnl"/>
        </w:rPr>
        <w:t>,</w:t>
      </w:r>
      <w:r w:rsidR="00291265">
        <w:rPr>
          <w:rFonts w:ascii="Century Gothic" w:eastAsia="Calibri" w:hAnsi="Century Gothic" w:cs="Arial"/>
          <w:lang w:val="es-ES_tradnl"/>
        </w:rPr>
        <w:t xml:space="preserve"> fueron remitidas </w:t>
      </w:r>
      <w:r w:rsidR="001421A4">
        <w:rPr>
          <w:rFonts w:ascii="Century Gothic" w:eastAsia="Calibri" w:hAnsi="Century Gothic" w:cs="Arial"/>
          <w:lang w:val="es-ES_tradnl"/>
        </w:rPr>
        <w:t xml:space="preserve">al Ministerio de Comercio, Industria y Turismo, Con Radicado de salida No. RS20240215002903. </w:t>
      </w:r>
    </w:p>
    <w:p w14:paraId="311C10B8" w14:textId="77777777" w:rsidR="008B3CF3" w:rsidRPr="004C305D" w:rsidRDefault="008B3CF3" w:rsidP="008B3CF3">
      <w:pPr>
        <w:spacing w:after="0" w:line="276" w:lineRule="auto"/>
        <w:jc w:val="both"/>
        <w:rPr>
          <w:rFonts w:ascii="Century Gothic" w:eastAsia="Calibri" w:hAnsi="Century Gothic" w:cs="Arial"/>
          <w:b/>
          <w:lang w:val="es-ES_tradnl"/>
        </w:rPr>
      </w:pPr>
    </w:p>
    <w:p w14:paraId="1CBA35CB" w14:textId="77777777" w:rsidR="008B3CF3" w:rsidRPr="004C305D" w:rsidRDefault="008B3CF3" w:rsidP="008B3CF3">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4C305D">
        <w:rPr>
          <w:rFonts w:ascii="Century Gothic" w:eastAsia="Calibri" w:hAnsi="Century Gothic" w:cs="Arial"/>
          <w:b/>
          <w:lang w:val="es-ES_tradnl"/>
        </w:rPr>
        <w:t xml:space="preserve">Problemas planteados </w:t>
      </w:r>
    </w:p>
    <w:p w14:paraId="2EAE6325" w14:textId="77777777" w:rsidR="008B3CF3" w:rsidRPr="004C305D" w:rsidRDefault="008B3CF3" w:rsidP="008B3CF3">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731E5755" w14:textId="77777777" w:rsidR="008B3CF3" w:rsidRDefault="008B3CF3" w:rsidP="008B3CF3">
      <w:pPr>
        <w:tabs>
          <w:tab w:val="left" w:pos="0"/>
          <w:tab w:val="left" w:pos="142"/>
          <w:tab w:val="left" w:pos="284"/>
        </w:tabs>
        <w:spacing w:after="0" w:line="276" w:lineRule="auto"/>
        <w:contextualSpacing/>
        <w:jc w:val="both"/>
        <w:rPr>
          <w:rFonts w:ascii="Century Gothic" w:eastAsia="Calibri" w:hAnsi="Century Gothic" w:cs="Arial"/>
          <w:bCs/>
          <w:lang w:val="es-ES_tradnl"/>
        </w:rPr>
      </w:pPr>
      <w:r w:rsidRPr="004C305D">
        <w:rPr>
          <w:rFonts w:ascii="Century Gothic" w:eastAsia="Calibri" w:hAnsi="Century Gothic" w:cs="Arial"/>
          <w:bCs/>
          <w:lang w:val="es-ES_tradnl"/>
        </w:rPr>
        <w:t xml:space="preserve">En lo concerniente a lo expuesto por esta Agencia en el Concepto C-466 del 01 de diciembre de 2023, particularmente sobre la acreditación de la experiencia de </w:t>
      </w:r>
      <w:r w:rsidRPr="004C305D">
        <w:rPr>
          <w:rFonts w:ascii="Century Gothic" w:eastAsia="Calibri" w:hAnsi="Century Gothic" w:cs="Arial"/>
          <w:bCs/>
          <w:lang w:val="es-ES_tradnl"/>
        </w:rPr>
        <w:lastRenderedPageBreak/>
        <w:t>socios por parte de sociedades con menos de tres (3) años de constitución, usted realiza las siguientes preguntas:</w:t>
      </w:r>
    </w:p>
    <w:p w14:paraId="6E09505C" w14:textId="77777777" w:rsidR="008B3CF3" w:rsidRPr="004C305D" w:rsidRDefault="008B3CF3" w:rsidP="008B3CF3">
      <w:pPr>
        <w:tabs>
          <w:tab w:val="left" w:pos="0"/>
          <w:tab w:val="left" w:pos="142"/>
          <w:tab w:val="left" w:pos="284"/>
        </w:tabs>
        <w:spacing w:after="0" w:line="276" w:lineRule="auto"/>
        <w:contextualSpacing/>
        <w:jc w:val="both"/>
        <w:rPr>
          <w:rFonts w:ascii="Century Gothic" w:hAnsi="Century Gothic" w:cs="Arial"/>
          <w:sz w:val="20"/>
          <w:szCs w:val="20"/>
          <w:lang w:val="es-ES_tradnl"/>
        </w:rPr>
      </w:pPr>
    </w:p>
    <w:p w14:paraId="765CDC9E" w14:textId="6009D39D" w:rsidR="008B3CF3" w:rsidRPr="00CB29E4" w:rsidRDefault="008B3CF3" w:rsidP="00117824">
      <w:pPr>
        <w:spacing w:after="0" w:line="240" w:lineRule="auto"/>
        <w:ind w:left="709" w:right="709"/>
        <w:jc w:val="both"/>
        <w:rPr>
          <w:rFonts w:ascii="Century Gothic" w:hAnsi="Century Gothic" w:cs="Arial"/>
          <w:sz w:val="21"/>
          <w:szCs w:val="21"/>
          <w:lang w:val="es-ES_tradnl"/>
        </w:rPr>
      </w:pPr>
      <w:r w:rsidRPr="00CB29E4">
        <w:rPr>
          <w:rFonts w:ascii="Century Gothic" w:hAnsi="Century Gothic"/>
          <w:sz w:val="21"/>
          <w:szCs w:val="21"/>
        </w:rPr>
        <w:t>“</w:t>
      </w:r>
      <w:r w:rsidR="00291265">
        <w:rPr>
          <w:rFonts w:ascii="Century Gothic" w:hAnsi="Century Gothic"/>
          <w:sz w:val="21"/>
          <w:szCs w:val="21"/>
        </w:rPr>
        <w:t xml:space="preserve">2- </w:t>
      </w:r>
      <w:r w:rsidRPr="00CB29E4">
        <w:rPr>
          <w:rFonts w:ascii="Century Gothic" w:hAnsi="Century Gothic"/>
          <w:sz w:val="21"/>
          <w:szCs w:val="21"/>
        </w:rPr>
        <w:t>Respecto a la transitoriedad del parágrafo antes transcrito, la norma estableció que para el año 2023, para efectos de la inscripción o renovación del Registro Único de Proponentes, el interesado reportará la información contable de que tratan los numerales 1.3 y 2.3 (información financiera) del artículo 2.2.1.1.1.5.2, correspondiente a los últimos tres (3) años fiscales anteriores al respectivo acto; disposición que como años atrás (2021, 2022 y 2023), ha generado que las Entidades Estatales al momento de evaluar, verifiquen el mejor año fiscal consignado en el RUP, siempre y cuando tal información esté en firme, no obstante para la vigencia 2024:</w:t>
      </w:r>
    </w:p>
    <w:p w14:paraId="63889BB2" w14:textId="77777777" w:rsidR="008B3CF3" w:rsidRPr="00CB29E4" w:rsidRDefault="008B3CF3" w:rsidP="00117824">
      <w:pPr>
        <w:spacing w:after="0" w:line="240" w:lineRule="auto"/>
        <w:ind w:left="709" w:right="709"/>
        <w:jc w:val="both"/>
        <w:textAlignment w:val="baseline"/>
        <w:rPr>
          <w:rFonts w:ascii="Century Gothic" w:hAnsi="Century Gothic" w:cs="Arial"/>
          <w:sz w:val="21"/>
          <w:szCs w:val="21"/>
          <w:shd w:val="clear" w:color="auto" w:fill="FFFFFF"/>
        </w:rPr>
      </w:pPr>
    </w:p>
    <w:p w14:paraId="0AC9F713" w14:textId="77777777" w:rsidR="008B3CF3" w:rsidRPr="00CB29E4" w:rsidRDefault="008B3CF3" w:rsidP="00117824">
      <w:pPr>
        <w:spacing w:after="0" w:line="240" w:lineRule="auto"/>
        <w:ind w:left="709" w:right="709"/>
        <w:jc w:val="both"/>
        <w:textAlignment w:val="baseline"/>
        <w:rPr>
          <w:rFonts w:ascii="Century Gothic" w:hAnsi="Century Gothic" w:cs="Arial"/>
          <w:sz w:val="21"/>
          <w:szCs w:val="21"/>
          <w:shd w:val="clear" w:color="auto" w:fill="FFFFFF"/>
        </w:rPr>
      </w:pPr>
      <w:r w:rsidRPr="00CB29E4">
        <w:rPr>
          <w:rFonts w:ascii="Century Gothic" w:hAnsi="Century Gothic" w:cs="Arial"/>
          <w:sz w:val="21"/>
          <w:szCs w:val="21"/>
          <w:shd w:val="clear" w:color="auto" w:fill="FFFFFF"/>
        </w:rPr>
        <w:t>¿se deben seguir evaluando los tres (3) años fiscales anteriores que se encuentren reportados en el RUP?</w:t>
      </w:r>
    </w:p>
    <w:p w14:paraId="01184D9A" w14:textId="77777777" w:rsidR="008B3CF3" w:rsidRPr="00CB29E4" w:rsidRDefault="008B3CF3" w:rsidP="00117824">
      <w:pPr>
        <w:spacing w:after="0" w:line="240" w:lineRule="auto"/>
        <w:ind w:left="709" w:right="709"/>
        <w:jc w:val="both"/>
        <w:textAlignment w:val="baseline"/>
        <w:rPr>
          <w:rFonts w:ascii="Century Gothic" w:hAnsi="Century Gothic" w:cs="Arial"/>
          <w:sz w:val="21"/>
          <w:szCs w:val="21"/>
          <w:shd w:val="clear" w:color="auto" w:fill="FFFFFF"/>
        </w:rPr>
      </w:pPr>
      <w:r w:rsidRPr="00CB29E4">
        <w:rPr>
          <w:rFonts w:ascii="Century Gothic" w:hAnsi="Century Gothic" w:cs="Arial"/>
          <w:sz w:val="21"/>
          <w:szCs w:val="21"/>
          <w:shd w:val="clear" w:color="auto" w:fill="FFFFFF"/>
        </w:rPr>
        <w:t>- ¿teniendo en cuenta que no existe reglamentación al respecto, se debe evaluar solo el ultimo año que se encuentre en firme y no conceder el beneficio de evaluar los últimos 3 años, esto teniendo en cuenta las consideraciones que motivaron entre tras el Decreto 579 de 2021?” (SIC)</w:t>
      </w:r>
    </w:p>
    <w:p w14:paraId="1C65BB2E" w14:textId="77777777" w:rsidR="008B3CF3" w:rsidRPr="004C305D" w:rsidRDefault="008B3CF3" w:rsidP="008B3CF3">
      <w:pPr>
        <w:spacing w:after="0" w:line="240" w:lineRule="auto"/>
        <w:ind w:left="709" w:right="709"/>
        <w:jc w:val="both"/>
        <w:textAlignment w:val="baseline"/>
        <w:rPr>
          <w:rFonts w:ascii="Century Gothic" w:hAnsi="Century Gothic" w:cs="Arial"/>
          <w:sz w:val="21"/>
          <w:szCs w:val="21"/>
          <w:shd w:val="clear" w:color="auto" w:fill="FFFFFF"/>
        </w:rPr>
      </w:pPr>
    </w:p>
    <w:p w14:paraId="05CA89F7" w14:textId="77777777" w:rsidR="008B3CF3" w:rsidRPr="004C305D" w:rsidRDefault="008B3CF3" w:rsidP="008B3CF3">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4C305D">
        <w:rPr>
          <w:rFonts w:ascii="Century Gothic" w:eastAsia="Calibri" w:hAnsi="Century Gothic" w:cs="Arial"/>
          <w:b/>
          <w:lang w:val="es-ES_tradnl"/>
        </w:rPr>
        <w:t>Consideraciones</w:t>
      </w:r>
    </w:p>
    <w:p w14:paraId="461B74D3" w14:textId="77777777" w:rsidR="008B3CF3" w:rsidRPr="004C305D" w:rsidRDefault="008B3CF3" w:rsidP="008B3CF3">
      <w:pPr>
        <w:spacing w:after="0" w:line="276" w:lineRule="auto"/>
        <w:jc w:val="both"/>
        <w:rPr>
          <w:rFonts w:ascii="Century Gothic" w:eastAsia="Calibri" w:hAnsi="Century Gothic" w:cs="Arial"/>
          <w:lang w:val="es-ES"/>
        </w:rPr>
      </w:pPr>
    </w:p>
    <w:p w14:paraId="265DABAB" w14:textId="77777777" w:rsidR="008B3CF3" w:rsidRPr="00117824" w:rsidRDefault="008B3CF3" w:rsidP="008B3CF3">
      <w:pPr>
        <w:spacing w:after="120" w:line="276" w:lineRule="auto"/>
        <w:jc w:val="both"/>
        <w:rPr>
          <w:rFonts w:ascii="Century Gothic" w:eastAsia="Times New Roman" w:hAnsi="Century Gothic" w:cs="Arial"/>
          <w:lang w:val="es-ES"/>
        </w:rPr>
      </w:pPr>
      <w:r w:rsidRPr="00117824">
        <w:rPr>
          <w:rFonts w:ascii="Century Gothic" w:eastAsia="Times New Roman" w:hAnsi="Century Gothic" w:cs="Arial"/>
          <w:bCs/>
        </w:rPr>
        <w:t xml:space="preserve">En ejercicio de las competencias establecidas en los artículos 3, numeral 5° y 11, numeral 8° del Decreto 4170 de 2011, la Agencia Nacional de Contratación Pública – Colombia Compra Eficiente resuelve consultas sobre </w:t>
      </w:r>
      <w:r w:rsidRPr="00117824">
        <w:rPr>
          <w:rFonts w:ascii="Century Gothic" w:eastAsia="Times New Roman"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117824">
        <w:rPr>
          <w:rFonts w:ascii="Century Gothic" w:eastAsia="Times New Roman" w:hAnsi="Century Gothic" w:cs="Arial"/>
          <w:bCs/>
        </w:rPr>
        <w:t xml:space="preserve"> de todos los partícipes de la contratación estatal.</w:t>
      </w:r>
    </w:p>
    <w:p w14:paraId="728F7537" w14:textId="77777777" w:rsidR="008B3CF3" w:rsidRPr="00117824" w:rsidRDefault="008B3CF3" w:rsidP="008B3CF3">
      <w:pPr>
        <w:spacing w:after="120" w:line="276" w:lineRule="auto"/>
        <w:ind w:firstLine="708"/>
        <w:jc w:val="both"/>
        <w:rPr>
          <w:rFonts w:ascii="Century Gothic" w:eastAsia="Times New Roman" w:hAnsi="Century Gothic" w:cs="Arial"/>
          <w:lang w:val="es-ES"/>
        </w:rPr>
      </w:pPr>
      <w:r w:rsidRPr="00117824">
        <w:rPr>
          <w:rFonts w:ascii="Century Gothic" w:eastAsia="Times New Roman"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17824">
        <w:rPr>
          <w:rFonts w:ascii="Century Gothic" w:eastAsia="Times New Roman" w:hAnsi="Century Gothic" w:cs="Arial"/>
          <w:vertAlign w:val="superscript"/>
          <w:lang w:val="es-ES"/>
        </w:rPr>
        <w:footnoteReference w:id="1"/>
      </w:r>
      <w:r w:rsidRPr="00117824">
        <w:rPr>
          <w:rFonts w:ascii="Century Gothic" w:eastAsia="Times New Roman" w:hAnsi="Century Gothic" w:cs="Arial"/>
          <w:lang w:val="es-ES"/>
        </w:rPr>
        <w:t xml:space="preserve">. Esta competencia de interpretación de normas generales, </w:t>
      </w:r>
      <w:r w:rsidRPr="00117824">
        <w:rPr>
          <w:rFonts w:ascii="Century Gothic" w:eastAsia="Times New Roman" w:hAnsi="Century Gothic" w:cs="Arial"/>
          <w:lang w:val="es-ES"/>
        </w:rPr>
        <w:lastRenderedPageBreak/>
        <w:t xml:space="preserve">por definición, no puede extenderse a la resolución de controversias ni brindar asesorías sobre casos puntuales. </w:t>
      </w:r>
    </w:p>
    <w:p w14:paraId="0490C4BB" w14:textId="77777777" w:rsidR="008B3CF3" w:rsidRPr="00117824" w:rsidRDefault="008B3CF3" w:rsidP="008B3CF3">
      <w:pPr>
        <w:spacing w:after="120" w:line="276" w:lineRule="auto"/>
        <w:ind w:firstLine="708"/>
        <w:jc w:val="both"/>
        <w:rPr>
          <w:rFonts w:ascii="Century Gothic" w:eastAsia="Times New Roman" w:hAnsi="Century Gothic" w:cs="Arial"/>
          <w:lang w:val="es-ES"/>
        </w:rPr>
      </w:pPr>
      <w:r w:rsidRPr="00117824">
        <w:rPr>
          <w:rFonts w:ascii="Century Gothic" w:eastAsia="Times New Roman" w:hAnsi="Century Gothic" w:cs="Arial"/>
          <w:lang w:val="es-MX"/>
        </w:rPr>
        <w:t xml:space="preserve">En atención a lo anterior, </w:t>
      </w:r>
      <w:r w:rsidRPr="00117824">
        <w:rPr>
          <w:rFonts w:ascii="Century Gothic" w:eastAsia="Times New Roman" w:hAnsi="Century Gothic" w:cs="Arial"/>
          <w:lang w:val="es-ES"/>
        </w:rPr>
        <w:t>la Subdirección de Gestión Contractual de esta Agencia, dentro de los límites de sus atribuciones, resolverá la consulta conforme a las normas generales en materia de contratación estatal</w:t>
      </w:r>
      <w:r w:rsidRPr="00117824">
        <w:rPr>
          <w:rFonts w:ascii="Century Gothic" w:eastAsia="Times New Roman" w:hAnsi="Century Gothic" w:cs="Arial"/>
          <w:lang w:val="es-ES_tradnl" w:eastAsia="es-MX"/>
        </w:rPr>
        <w:t>, luego de analizar los siguientes temas: i)</w:t>
      </w:r>
      <w:r w:rsidRPr="00117824">
        <w:rPr>
          <w:rFonts w:ascii="Century Gothic" w:eastAsia="Century Gothic" w:hAnsi="Century Gothic" w:cs="Century Gothic"/>
          <w:color w:val="000000" w:themeColor="text1"/>
        </w:rPr>
        <w:t xml:space="preserve"> Efectos de la inscripción, renovación y actualización del RUP</w:t>
      </w:r>
      <w:r w:rsidRPr="00117824">
        <w:rPr>
          <w:rFonts w:ascii="Century Gothic" w:eastAsia="Century Gothic" w:hAnsi="Century Gothic" w:cs="Century Gothic"/>
          <w:b/>
          <w:bCs/>
          <w:color w:val="000000" w:themeColor="text1"/>
        </w:rPr>
        <w:t>.</w:t>
      </w:r>
      <w:r w:rsidRPr="00117824">
        <w:rPr>
          <w:rFonts w:ascii="Century Gothic" w:eastAsia="Times New Roman" w:hAnsi="Century Gothic" w:cs="Arial"/>
          <w:lang w:val="es-ES_tradnl" w:eastAsia="es-MX"/>
        </w:rPr>
        <w:t xml:space="preserve"> y, ii)</w:t>
      </w:r>
      <w:r w:rsidRPr="00117824">
        <w:rPr>
          <w:rFonts w:ascii="Century Gothic" w:eastAsia="Century Gothic" w:hAnsi="Century Gothic" w:cs="Century Gothic"/>
        </w:rPr>
        <w:t xml:space="preserve"> Vigencia de las modificaciones introducidas por los Decretos 399 de 2021, 579 de 2021 y 1041 de 2022 respecto a la información contenida en el RUP y su verificación dentro del “mejor año fiscal”.</w:t>
      </w:r>
    </w:p>
    <w:p w14:paraId="40D7F640" w14:textId="77777777" w:rsidR="008B3CF3" w:rsidRPr="00117824" w:rsidRDefault="008B3CF3" w:rsidP="00117824">
      <w:pPr>
        <w:spacing w:before="120" w:after="120" w:line="240" w:lineRule="auto"/>
        <w:ind w:firstLine="709"/>
        <w:jc w:val="both"/>
        <w:rPr>
          <w:rFonts w:ascii="Century Gothic" w:eastAsiaTheme="minorEastAsia" w:hAnsi="Century Gothic" w:cs="Arial"/>
          <w:lang w:eastAsia="es-CO"/>
        </w:rPr>
      </w:pPr>
      <w:r w:rsidRPr="00117824">
        <w:rPr>
          <w:rFonts w:ascii="Century Gothic" w:eastAsia="Century Gothic" w:hAnsi="Century Gothic" w:cs="Century Gothic"/>
          <w:color w:val="000000" w:themeColor="text1"/>
          <w:lang w:val="es"/>
        </w:rPr>
        <w:t xml:space="preserve">La Agencia Nacional de Contratación Pública – Colombia Compra Eficiente ha impartido lineamientos sobre la acreditación de los indicadores de capacidad financiera y organizacional de los oferentes mediante el RUP en los conceptos No. 4201912000006798 del 24 de octubre de 2019, C-002 del 12 de febrero de 2020, C-089 del 4 de marzo de 2020, C-099 del 06 de abril de 2020, C-166 del 14 de abril de 2020, C-233 del 16 de abril de 2020, C-326 del 9 de junio de 2020, C-140 del 9 de abril de 202, entre otros. Respecto de la reciente reglamentación establecida en los Decretos 399 y 579 de 2021 y 1041 de 2022 se pronunció en los Conceptos C-288 de 17 de junio de 2021, C-353 del 19 de julio de 2021, C-366 del 26 de julio de 2021 y C-372 del 28 de julio de 2021, C-406 del 8 de agosto de 2021, C-407 del 25 de agosto de 2021, C-439 de 5 de julio de 2022, C-831 del 28 de noviembre del 2022, C-005 de 21 de febrero de 2023, C-050 de 22 de marzo de 2023, C-185 de 8 de junio de 2023, C-277 de 14 de julio de 2023, C-350 del 28 de agosto de 2023, C-355 </w:t>
      </w:r>
      <w:r w:rsidRPr="00117824">
        <w:rPr>
          <w:rFonts w:ascii="Century Gothic" w:eastAsiaTheme="minorEastAsia" w:hAnsi="Century Gothic" w:cs="Arial"/>
          <w:lang w:eastAsia="es-CO"/>
        </w:rPr>
        <w:t>del 30 de agosto de 2023 y C-006 del 14 de marzo de 2024</w:t>
      </w:r>
      <w:r w:rsidRPr="00117824">
        <w:rPr>
          <w:rFonts w:ascii="Century Gothic" w:eastAsiaTheme="minorEastAsia" w:hAnsi="Century Gothic" w:cs="Arial"/>
          <w:lang w:eastAsia="es-CO"/>
        </w:rPr>
        <w:footnoteReference w:id="2"/>
      </w:r>
      <w:r w:rsidRPr="00117824">
        <w:rPr>
          <w:rFonts w:ascii="Century Gothic" w:eastAsiaTheme="minorEastAsia" w:hAnsi="Century Gothic" w:cs="Arial"/>
          <w:lang w:eastAsia="es-CO"/>
        </w:rPr>
        <w:t>.</w:t>
      </w:r>
    </w:p>
    <w:p w14:paraId="380ED78F" w14:textId="7A9D9126" w:rsidR="008B3CF3" w:rsidRPr="00117824" w:rsidRDefault="008B3CF3" w:rsidP="00117824">
      <w:pPr>
        <w:spacing w:before="120" w:after="120" w:line="240" w:lineRule="auto"/>
        <w:ind w:firstLine="709"/>
        <w:jc w:val="both"/>
        <w:rPr>
          <w:rFonts w:ascii="Century Gothic" w:eastAsia="Century Gothic" w:hAnsi="Century Gothic" w:cs="Century Gothic"/>
          <w:color w:val="000000" w:themeColor="text1"/>
        </w:rPr>
      </w:pPr>
      <w:r w:rsidRPr="00117824">
        <w:rPr>
          <w:rFonts w:ascii="Century Gothic" w:eastAsiaTheme="minorEastAsia" w:hAnsi="Century Gothic" w:cs="Arial"/>
          <w:lang w:eastAsia="es-CO"/>
        </w:rPr>
        <w:t>Asimismo</w:t>
      </w:r>
      <w:r w:rsidRPr="00117824">
        <w:rPr>
          <w:rFonts w:ascii="Century Gothic" w:eastAsia="Century Gothic" w:hAnsi="Century Gothic" w:cs="Century Gothic"/>
          <w:color w:val="000000" w:themeColor="text1"/>
          <w:lang w:val="es"/>
        </w:rPr>
        <w:t>, se ha pronunciado sobre las problemáticas asociadas al RUP en los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C-005  del 14 de febrero de 2020, C-454 del 06 de julio de 2020 2020, C-466 del 24 de julio de 2020, C-420 del 28 de julio de 2020, C-480 del 25 de agosto de 2021, C-534 del 12 de agosto de 2020, C-553 del 24 de agosto de 2021, C-576 del 31 de agosto de 2021, C-786 de 2020 del 19 de enero de 2021, C-</w:t>
      </w:r>
      <w:r w:rsidRPr="00117824">
        <w:rPr>
          <w:rFonts w:ascii="Century Gothic" w:eastAsia="Century Gothic" w:hAnsi="Century Gothic" w:cs="Century Gothic"/>
          <w:color w:val="000000" w:themeColor="text1"/>
          <w:lang w:val="es"/>
        </w:rPr>
        <w:lastRenderedPageBreak/>
        <w:t>800 del 1 de febrero de 2021, C-703 del 11 de enero de 2022, C-328 del 22 de julio de 2022,</w:t>
      </w:r>
      <w:r w:rsidR="004172C4" w:rsidRPr="004172C4">
        <w:rPr>
          <w:rFonts w:ascii="Century Gothic" w:eastAsiaTheme="minorEastAsia" w:hAnsi="Century Gothic" w:cs="Arial"/>
          <w:lang w:eastAsia="es-CO"/>
        </w:rPr>
        <w:t xml:space="preserve"> </w:t>
      </w:r>
      <w:r w:rsidR="004172C4" w:rsidRPr="00117824">
        <w:rPr>
          <w:rFonts w:ascii="Century Gothic" w:eastAsiaTheme="minorEastAsia" w:hAnsi="Century Gothic" w:cs="Arial"/>
          <w:lang w:eastAsia="es-CO"/>
        </w:rPr>
        <w:t>C-006 del 14 de marzo de 2024</w:t>
      </w:r>
      <w:r w:rsidR="004172C4" w:rsidRPr="00117824">
        <w:rPr>
          <w:rFonts w:ascii="Century Gothic" w:eastAsiaTheme="minorEastAsia" w:hAnsi="Century Gothic" w:cs="Arial"/>
          <w:lang w:eastAsia="es-CO"/>
        </w:rPr>
        <w:footnoteReference w:id="3"/>
      </w:r>
      <w:r w:rsidR="004172C4" w:rsidRPr="00117824">
        <w:rPr>
          <w:rFonts w:ascii="Century Gothic" w:eastAsiaTheme="minorEastAsia" w:hAnsi="Century Gothic" w:cs="Arial"/>
          <w:lang w:eastAsia="es-CO"/>
        </w:rPr>
        <w:t>.</w:t>
      </w:r>
      <w:r w:rsidRPr="00117824">
        <w:rPr>
          <w:rFonts w:ascii="Century Gothic" w:eastAsia="Century Gothic" w:hAnsi="Century Gothic" w:cs="Century Gothic"/>
          <w:color w:val="000000" w:themeColor="text1"/>
          <w:lang w:val="es"/>
        </w:rPr>
        <w:t xml:space="preserve"> entre otros</w:t>
      </w:r>
      <w:hyperlink r:id="rId12" w:anchor="_ftn2" w:history="1">
        <w:r w:rsidRPr="00117824">
          <w:rPr>
            <w:rStyle w:val="Hipervnculo"/>
            <w:rFonts w:ascii="Century Gothic" w:eastAsia="Century Gothic" w:hAnsi="Century Gothic" w:cs="Century Gothic"/>
            <w:vertAlign w:val="superscript"/>
          </w:rPr>
          <w:t>[2</w:t>
        </w:r>
        <w:r w:rsidRPr="00117824">
          <w:rPr>
            <w:rStyle w:val="Refdenotaalpie"/>
            <w:rFonts w:ascii="Century Gothic" w:eastAsia="Century Gothic" w:hAnsi="Century Gothic" w:cs="Century Gothic"/>
            <w:color w:val="0000FF"/>
            <w:u w:val="single"/>
          </w:rPr>
          <w:footnoteReference w:id="4"/>
        </w:r>
        <w:r w:rsidRPr="00117824">
          <w:rPr>
            <w:rStyle w:val="Hipervnculo"/>
            <w:rFonts w:ascii="Century Gothic" w:eastAsia="Century Gothic" w:hAnsi="Century Gothic" w:cs="Century Gothic"/>
            <w:vertAlign w:val="superscript"/>
          </w:rPr>
          <w:t>]</w:t>
        </w:r>
      </w:hyperlink>
      <w:r w:rsidRPr="00117824">
        <w:rPr>
          <w:rFonts w:ascii="Century Gothic" w:eastAsia="Century Gothic" w:hAnsi="Century Gothic" w:cs="Century Gothic"/>
          <w:color w:val="000000" w:themeColor="text1"/>
        </w:rPr>
        <w:t>. La tesis propuesta en estos conceptos se reitera a continuación y se complementa en lo pertinente.</w:t>
      </w:r>
    </w:p>
    <w:bookmarkEnd w:id="2"/>
    <w:p w14:paraId="2C70486A" w14:textId="77777777" w:rsidR="008B3CF3" w:rsidRDefault="008B3CF3" w:rsidP="008B3CF3">
      <w:pPr>
        <w:spacing w:after="0" w:line="276" w:lineRule="auto"/>
        <w:jc w:val="both"/>
        <w:rPr>
          <w:rFonts w:ascii="Century Gothic" w:eastAsia="Times New Roman" w:hAnsi="Century Gothic" w:cs="Arial"/>
          <w:lang w:val="es-MX" w:eastAsia="es-ES_tradnl"/>
        </w:rPr>
      </w:pPr>
    </w:p>
    <w:p w14:paraId="68A5B51E" w14:textId="77777777" w:rsidR="00D14C22" w:rsidRDefault="008B3CF3" w:rsidP="00D14C22">
      <w:pPr>
        <w:spacing w:after="0" w:line="276" w:lineRule="auto"/>
        <w:contextualSpacing/>
        <w:jc w:val="both"/>
        <w:rPr>
          <w:rFonts w:ascii="Century Gothic" w:eastAsia="Times New Roman" w:hAnsi="Century Gothic" w:cs="Arial"/>
          <w:b/>
          <w:bCs/>
          <w:lang w:val="es-ES_tradnl" w:eastAsia="es-ES_tradnl"/>
        </w:rPr>
      </w:pPr>
      <w:r w:rsidRPr="00D14C22">
        <w:rPr>
          <w:rFonts w:ascii="Century Gothic" w:eastAsia="Century Gothic" w:hAnsi="Century Gothic" w:cs="Century Gothic"/>
          <w:b/>
          <w:bCs/>
          <w:color w:val="000000" w:themeColor="text1"/>
        </w:rPr>
        <w:t xml:space="preserve">2.1. Efectos de la inscripción, renovación y actualización del RUP. </w:t>
      </w:r>
      <w:r w:rsidRPr="00D14C22">
        <w:rPr>
          <w:rFonts w:ascii="Century Gothic" w:eastAsia="Times New Roman" w:hAnsi="Century Gothic" w:cs="Arial"/>
          <w:b/>
          <w:bCs/>
          <w:lang w:val="es-ES_tradnl" w:eastAsia="es-ES_tradnl"/>
        </w:rPr>
        <w:t>Reiteración de línea</w:t>
      </w:r>
    </w:p>
    <w:p w14:paraId="104ED1C3" w14:textId="12A54070" w:rsidR="008B3CF3" w:rsidRPr="00D14C22" w:rsidRDefault="008B3CF3" w:rsidP="00D14C22">
      <w:pPr>
        <w:spacing w:after="0" w:line="276" w:lineRule="auto"/>
        <w:ind w:firstLine="709"/>
        <w:contextualSpacing/>
        <w:jc w:val="both"/>
        <w:rPr>
          <w:rFonts w:ascii="Century Gothic" w:eastAsia="Times New Roman" w:hAnsi="Century Gothic" w:cs="Arial"/>
          <w:b/>
          <w:bCs/>
          <w:lang w:val="es-ES_tradnl" w:eastAsia="es-ES_tradnl"/>
        </w:rPr>
      </w:pPr>
      <w:r w:rsidRPr="008B3CF3">
        <w:rPr>
          <w:rFonts w:ascii="Century Gothic" w:eastAsia="Century Gothic" w:hAnsi="Century Gothic" w:cs="Century Gothic"/>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Conforme al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8B3CF3">
        <w:rPr>
          <w:rFonts w:ascii="Century Gothic" w:eastAsia="Century Gothic" w:hAnsi="Century Gothic" w:cs="Century Gothic"/>
          <w:i/>
          <w:iCs/>
        </w:rPr>
        <w:t>inscripción, renovación o actualización–</w:t>
      </w:r>
      <w:hyperlink r:id="rId13" w:anchor="_ftn9" w:history="1">
        <w:r w:rsidRPr="008B3CF3">
          <w:rPr>
            <w:rStyle w:val="Hipervnculo"/>
            <w:rFonts w:ascii="Century Gothic" w:eastAsia="Calibri" w:hAnsi="Century Gothic" w:cs="Calibri"/>
            <w:vertAlign w:val="superscript"/>
          </w:rPr>
          <w:t>[9]</w:t>
        </w:r>
      </w:hyperlink>
      <w:r w:rsidRPr="008B3CF3">
        <w:rPr>
          <w:rFonts w:ascii="Century Gothic" w:eastAsia="Century Gothic" w:hAnsi="Century Gothic" w:cs="Century Gothic"/>
        </w:rPr>
        <w:t xml:space="preserve">. En firme el acto administrativo que realiza la inscripción en el Registro Único de Proponentes se podrá demandar su nulidad sin que la </w:t>
      </w:r>
      <w:r w:rsidRPr="008B3CF3">
        <w:rPr>
          <w:rFonts w:ascii="Century Gothic" w:eastAsiaTheme="minorEastAsia" w:hAnsi="Century Gothic" w:cs="Arial"/>
          <w:lang w:eastAsia="es-CO"/>
        </w:rPr>
        <w:t>presentación de la demanda suspenda la inscripción del RUP.</w:t>
      </w:r>
    </w:p>
    <w:p w14:paraId="30EC19BA" w14:textId="77777777" w:rsidR="008B3CF3" w:rsidRPr="008B3CF3" w:rsidRDefault="008B3CF3" w:rsidP="008B3CF3">
      <w:pPr>
        <w:spacing w:before="122" w:after="120" w:line="276" w:lineRule="auto"/>
        <w:ind w:firstLine="709"/>
        <w:jc w:val="both"/>
        <w:rPr>
          <w:rFonts w:ascii="Century Gothic" w:eastAsia="Century Gothic" w:hAnsi="Century Gothic" w:cs="Century Gothic"/>
        </w:rPr>
      </w:pPr>
      <w:r w:rsidRPr="008B3CF3">
        <w:rPr>
          <w:rFonts w:ascii="Century Gothic" w:eastAsiaTheme="minorEastAsia" w:hAnsi="Century Gothic" w:cs="Arial"/>
          <w:lang w:eastAsia="es-CO"/>
        </w:rPr>
        <w:t xml:space="preserve">De </w:t>
      </w:r>
      <w:r w:rsidRPr="008B3CF3">
        <w:rPr>
          <w:rFonts w:ascii="Century Gothic" w:eastAsia="Century Gothic" w:hAnsi="Century Gothic" w:cs="Century Gothic"/>
        </w:rPr>
        <w:t>otro lado, el artículo 2.2.1.1.1.5.1 del Decreto 1082 de 2015 señala que las personas inscritas en el RUP deben presentar la información para renovar su registro a más tardar el quinto día hábil del mes de abril de cada año, de lo contrario cesan los efectos del RUP</w:t>
      </w:r>
      <w:hyperlink r:id="rId14" w:anchor="_ftn10" w:history="1">
        <w:r w:rsidRPr="008B3CF3">
          <w:rPr>
            <w:rStyle w:val="Hipervnculo"/>
            <w:rFonts w:ascii="Century Gothic" w:eastAsia="Calibri" w:hAnsi="Century Gothic" w:cs="Calibri"/>
            <w:vertAlign w:val="superscript"/>
          </w:rPr>
          <w:t>[10</w:t>
        </w:r>
        <w:r w:rsidRPr="008B3CF3">
          <w:rPr>
            <w:rStyle w:val="Refdenotaalpie"/>
            <w:rFonts w:ascii="Century Gothic" w:eastAsia="Calibri" w:hAnsi="Century Gothic" w:cs="Calibri"/>
            <w:color w:val="0000FF"/>
            <w:u w:val="single"/>
          </w:rPr>
          <w:footnoteReference w:id="5"/>
        </w:r>
        <w:r w:rsidRPr="008B3CF3">
          <w:rPr>
            <w:rStyle w:val="Hipervnculo"/>
            <w:rFonts w:ascii="Century Gothic" w:eastAsia="Calibri" w:hAnsi="Century Gothic" w:cs="Calibri"/>
            <w:vertAlign w:val="superscript"/>
          </w:rPr>
          <w:t>]</w:t>
        </w:r>
      </w:hyperlink>
      <w:r w:rsidRPr="008B3CF3">
        <w:rPr>
          <w:rFonts w:ascii="Century Gothic" w:eastAsia="Century Gothic" w:hAnsi="Century Gothic" w:cs="Century Gothic"/>
        </w:rPr>
        <w:t xml:space="preserve">. Asimismo, el Consejo de Estado en sentencia del 19 de </w:t>
      </w:r>
      <w:r w:rsidRPr="008B3CF3">
        <w:rPr>
          <w:rFonts w:ascii="Century Gothic" w:eastAsia="Century Gothic" w:hAnsi="Century Gothic" w:cs="Century Gothic"/>
        </w:rPr>
        <w:lastRenderedPageBreak/>
        <w:t>septiembre de 2019 señaló la finalidad de la renovación del RUP y las consecuencias de no hacerlo en el término previsto:</w:t>
      </w:r>
    </w:p>
    <w:p w14:paraId="6CA3C2F1" w14:textId="77777777" w:rsidR="008B3CF3" w:rsidRPr="00A91C92" w:rsidRDefault="008B3CF3" w:rsidP="008B3CF3">
      <w:pPr>
        <w:spacing w:after="0" w:line="276" w:lineRule="auto"/>
        <w:contextualSpacing/>
        <w:jc w:val="both"/>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617A979A" w14:textId="77777777" w:rsidR="008B3CF3" w:rsidRPr="008B3CF3" w:rsidRDefault="008B3CF3" w:rsidP="008B3CF3">
      <w:pPr>
        <w:tabs>
          <w:tab w:val="left" w:pos="567"/>
        </w:tabs>
        <w:spacing w:line="240" w:lineRule="auto"/>
        <w:ind w:left="709" w:right="709"/>
        <w:contextualSpacing/>
        <w:jc w:val="both"/>
        <w:rPr>
          <w:rFonts w:ascii="Century Gothic" w:eastAsia="Century Gothic" w:hAnsi="Century Gothic" w:cs="Century Gothic"/>
          <w:sz w:val="21"/>
          <w:szCs w:val="21"/>
        </w:rPr>
      </w:pPr>
      <w:r w:rsidRPr="008B3CF3">
        <w:rPr>
          <w:rFonts w:ascii="Century Gothic" w:eastAsia="Century Gothic" w:hAnsi="Century Gothic" w:cs="Century Gothic"/>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3716D91F" w14:textId="77777777" w:rsidR="008B3CF3" w:rsidRPr="008B3CF3" w:rsidRDefault="008B3CF3" w:rsidP="008B3CF3">
      <w:pPr>
        <w:tabs>
          <w:tab w:val="left" w:pos="567"/>
        </w:tabs>
        <w:spacing w:after="0" w:line="240" w:lineRule="auto"/>
        <w:ind w:left="709" w:right="709"/>
        <w:contextualSpacing/>
        <w:jc w:val="both"/>
        <w:rPr>
          <w:rFonts w:ascii="Century Gothic" w:eastAsia="Century Gothic" w:hAnsi="Century Gothic" w:cs="Century Gothic"/>
          <w:sz w:val="21"/>
          <w:szCs w:val="21"/>
        </w:rPr>
      </w:pPr>
      <w:r w:rsidRPr="008B3CF3">
        <w:rPr>
          <w:rFonts w:ascii="Century Gothic" w:eastAsia="Century Gothic" w:hAnsi="Century Gothic" w:cs="Century Gothic"/>
          <w:sz w:val="21"/>
          <w:szCs w:val="21"/>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hyperlink r:id="rId15" w:anchor="_ftn11" w:history="1">
        <w:r w:rsidRPr="008B3CF3">
          <w:rPr>
            <w:rStyle w:val="Hipervnculo"/>
            <w:rFonts w:ascii="Century Gothic" w:eastAsia="Calibri" w:hAnsi="Century Gothic" w:cs="Calibri"/>
            <w:sz w:val="21"/>
            <w:szCs w:val="21"/>
            <w:vertAlign w:val="superscript"/>
          </w:rPr>
          <w:t>[11]</w:t>
        </w:r>
      </w:hyperlink>
      <w:r w:rsidRPr="008B3CF3">
        <w:rPr>
          <w:rFonts w:ascii="Century Gothic" w:eastAsia="Century Gothic" w:hAnsi="Century Gothic" w:cs="Century Gothic"/>
          <w:sz w:val="21"/>
          <w:szCs w:val="21"/>
        </w:rPr>
        <w:t xml:space="preserve">. </w:t>
      </w:r>
    </w:p>
    <w:p w14:paraId="02943C81" w14:textId="77777777" w:rsidR="008B3CF3" w:rsidRPr="00A91C92" w:rsidRDefault="008B3CF3" w:rsidP="008B3CF3">
      <w:pPr>
        <w:spacing w:after="0" w:line="276" w:lineRule="auto"/>
        <w:contextualSpacing/>
        <w:jc w:val="both"/>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0BE1C3DC" w14:textId="77777777" w:rsidR="008B3CF3" w:rsidRPr="008B3CF3" w:rsidRDefault="008B3CF3" w:rsidP="00117824">
      <w:pPr>
        <w:spacing w:before="120" w:after="120" w:line="240" w:lineRule="auto"/>
        <w:ind w:firstLine="709"/>
        <w:jc w:val="both"/>
        <w:rPr>
          <w:rFonts w:ascii="Century Gothic" w:eastAsiaTheme="minorEastAsia" w:hAnsi="Century Gothic" w:cs="Arial"/>
          <w:lang w:eastAsia="es-CO"/>
        </w:rPr>
      </w:pPr>
      <w:r w:rsidRPr="008B3CF3">
        <w:rPr>
          <w:rFonts w:ascii="Century Gothic" w:eastAsia="Century Gothic" w:hAnsi="Century Gothic" w:cs="Century Gothic"/>
        </w:rPr>
        <w:t xml:space="preserve">Conforme a lo anterior, en armonía el artículo 2.2.1.1.1.5.1 del Decreto 1082 de 2015, </w:t>
      </w:r>
      <w:r w:rsidRPr="008B3CF3">
        <w:rPr>
          <w:rFonts w:ascii="Century Gothic" w:eastAsia="Century Gothic" w:hAnsi="Century Gothic" w:cs="Century Gothic"/>
          <w:i/>
          <w:iCs/>
        </w:rPr>
        <w:t>si el proponente</w:t>
      </w:r>
      <w:r w:rsidRPr="008B3CF3">
        <w:rPr>
          <w:rFonts w:ascii="Century Gothic" w:eastAsia="Century Gothic" w:hAnsi="Century Gothic" w:cs="Century Gothic"/>
        </w:rPr>
        <w:t xml:space="preserve"> </w:t>
      </w:r>
      <w:r w:rsidRPr="008B3CF3">
        <w:rPr>
          <w:rFonts w:ascii="Century Gothic" w:eastAsia="Century Gothic" w:hAnsi="Century Gothic" w:cs="Century Gothic"/>
          <w:i/>
          <w:iCs/>
        </w:rPr>
        <w:t>no presenta la información para renovar su registro</w:t>
      </w:r>
      <w:r w:rsidRPr="008B3CF3">
        <w:rPr>
          <w:rFonts w:ascii="Century Gothic" w:eastAsia="Century Gothic" w:hAnsi="Century Gothic" w:cs="Century Gothic"/>
        </w:rPr>
        <w:t xml:space="preserve">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w:t>
      </w:r>
      <w:r w:rsidRPr="008B3CF3">
        <w:rPr>
          <w:rFonts w:ascii="Century Gothic" w:eastAsiaTheme="minorEastAsia" w:hAnsi="Century Gothic" w:cs="Arial"/>
          <w:lang w:eastAsia="es-CO"/>
        </w:rPr>
        <w:t xml:space="preserve">caso en el que solo se podrá presentar cuando la inscripción esté en firme. </w:t>
      </w:r>
    </w:p>
    <w:p w14:paraId="6F237BBB" w14:textId="77777777" w:rsidR="008B3CF3" w:rsidRPr="008B3CF3" w:rsidRDefault="008B3CF3" w:rsidP="008B3CF3">
      <w:pPr>
        <w:spacing w:before="122" w:after="0" w:line="276" w:lineRule="auto"/>
        <w:ind w:firstLine="709"/>
        <w:jc w:val="both"/>
        <w:rPr>
          <w:rFonts w:ascii="Century Gothic" w:eastAsia="Century Gothic" w:hAnsi="Century Gothic" w:cs="Century Gothic"/>
        </w:rPr>
      </w:pPr>
      <w:r w:rsidRPr="008B3CF3">
        <w:rPr>
          <w:rFonts w:ascii="Century Gothic" w:eastAsiaTheme="minorEastAsia" w:hAnsi="Century Gothic" w:cs="Arial"/>
          <w:lang w:eastAsia="es-CO"/>
        </w:rPr>
        <w:t>Tratándose</w:t>
      </w:r>
      <w:r w:rsidRPr="008B3CF3">
        <w:rPr>
          <w:rFonts w:ascii="Century Gothic" w:eastAsia="Century Gothic" w:hAnsi="Century Gothic" w:cs="Century Gothic"/>
        </w:rPr>
        <w:t xml:space="preserve"> del trámite de </w:t>
      </w:r>
      <w:r w:rsidRPr="008B3CF3">
        <w:rPr>
          <w:rFonts w:ascii="Century Gothic" w:eastAsia="Century Gothic" w:hAnsi="Century Gothic" w:cs="Century Gothic"/>
          <w:i/>
          <w:iCs/>
        </w:rPr>
        <w:t>renovación,</w:t>
      </w:r>
      <w:r w:rsidRPr="008B3CF3">
        <w:rPr>
          <w:rFonts w:ascii="Century Gothic" w:eastAsia="Century Gothic" w:hAnsi="Century Gothic" w:cs="Century Gothic"/>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w:t>
      </w:r>
      <w:r w:rsidRPr="008B3CF3">
        <w:rPr>
          <w:rFonts w:ascii="Century Gothic" w:eastAsia="Century Gothic" w:hAnsi="Century Gothic" w:cs="Century Gothic"/>
        </w:rPr>
        <w:lastRenderedPageBreak/>
        <w:t>información, se permite que emplee la información del RUP que está en firme antes de iniciar el trámite de renovación, cuyos efectos no han cesado por encontrarse vigente.</w:t>
      </w:r>
    </w:p>
    <w:p w14:paraId="3F4E973B" w14:textId="77777777" w:rsidR="008B3CF3" w:rsidRPr="008B3CF3" w:rsidRDefault="008B3CF3" w:rsidP="008B3CF3">
      <w:pPr>
        <w:spacing w:line="276" w:lineRule="auto"/>
        <w:ind w:firstLine="708"/>
        <w:contextualSpacing/>
        <w:jc w:val="both"/>
        <w:rPr>
          <w:rFonts w:ascii="Century Gothic" w:eastAsia="Century Gothic" w:hAnsi="Century Gothic" w:cs="Century Gothic"/>
        </w:rPr>
      </w:pPr>
      <w:r w:rsidRPr="008B3CF3">
        <w:rPr>
          <w:rFonts w:ascii="Century Gothic" w:eastAsia="Century Gothic" w:hAnsi="Century Gothic" w:cs="Century Gothic"/>
        </w:rPr>
        <w:t xml:space="preserve">Así las cosas, para verificar que los efectos del RUP no han cesado, es necesario que el certificado contenga la anotación de que el inscrito, a más tardar el quinto día hábil de abril de cada año, radicó ante la cámara de comercio los documentos para la renovación. En todo caso, si tal circunstancia no estuviere inscrita en el certificado, podrá acreditarse a través del medio documental expedido por la cámara de comercio correspondiente, por lo que al no existir tarifa legal que permita establecer la forma de acreditar el trámite de renovación, la entidad estatal debe validar que el documento aportado por el proponente ofrezca certeza sobre el estado del trámite, verificando que se haya </w:t>
      </w:r>
      <w:r w:rsidRPr="008B3CF3">
        <w:rPr>
          <w:rFonts w:ascii="Century Gothic" w:eastAsia="Century Gothic" w:hAnsi="Century Gothic" w:cs="Century Gothic"/>
          <w:i/>
          <w:iCs/>
        </w:rPr>
        <w:t>presentado la información para renovar su registro</w:t>
      </w:r>
      <w:r w:rsidRPr="008B3CF3">
        <w:rPr>
          <w:rFonts w:ascii="Century Gothic" w:eastAsia="Century Gothic" w:hAnsi="Century Gothic" w:cs="Century Gothic"/>
        </w:rPr>
        <w:t xml:space="preserve"> antes del quinto día hábil del mes de abril de cada año.</w:t>
      </w:r>
    </w:p>
    <w:p w14:paraId="450C8920" w14:textId="77777777" w:rsidR="008B3CF3" w:rsidRPr="00D14C22" w:rsidRDefault="008B3CF3" w:rsidP="00117824">
      <w:pPr>
        <w:spacing w:before="120" w:after="120" w:line="240" w:lineRule="auto"/>
        <w:ind w:firstLine="709"/>
        <w:jc w:val="both"/>
        <w:rPr>
          <w:rFonts w:ascii="Century Gothic" w:eastAsiaTheme="minorEastAsia" w:hAnsi="Century Gothic" w:cs="Arial"/>
          <w:lang w:eastAsia="es-CO"/>
        </w:rPr>
      </w:pPr>
      <w:r w:rsidRPr="008B3CF3">
        <w:rPr>
          <w:rFonts w:ascii="Century Gothic" w:eastAsia="Century Gothic" w:hAnsi="Century Gothic" w:cs="Century Gothic"/>
        </w:rPr>
        <w:t>Dicho esto, la firmeza del acto de inscripción, renovación y actualización del RUP debe armonizarse con las prescripciones establecidas para la generalidad de los actos administrativos, esto es, de acuerdo con el artículo 87 de la Ley 1437 de 2011</w:t>
      </w:r>
      <w:hyperlink r:id="rId16" w:anchor="_ftn12" w:history="1">
        <w:r w:rsidRPr="008B3CF3">
          <w:rPr>
            <w:rStyle w:val="Hipervnculo"/>
            <w:rFonts w:ascii="Century Gothic" w:eastAsia="Calibri" w:hAnsi="Century Gothic" w:cs="Calibri"/>
            <w:vertAlign w:val="superscript"/>
          </w:rPr>
          <w:t>[1</w:t>
        </w:r>
        <w:r w:rsidRPr="008B3CF3">
          <w:rPr>
            <w:rStyle w:val="Refdenotaalpie"/>
            <w:rFonts w:ascii="Century Gothic" w:eastAsia="Calibri" w:hAnsi="Century Gothic" w:cs="Calibri"/>
            <w:color w:val="0000FF"/>
            <w:u w:val="single"/>
          </w:rPr>
          <w:footnoteReference w:id="6"/>
        </w:r>
        <w:r w:rsidRPr="008B3CF3">
          <w:rPr>
            <w:rStyle w:val="Hipervnculo"/>
            <w:rFonts w:ascii="Century Gothic" w:eastAsia="Calibri" w:hAnsi="Century Gothic" w:cs="Calibri"/>
            <w:vertAlign w:val="superscript"/>
          </w:rPr>
          <w:t>2]</w:t>
        </w:r>
      </w:hyperlink>
      <w:r w:rsidRPr="008B3CF3">
        <w:rPr>
          <w:rFonts w:ascii="Century Gothic" w:eastAsia="Century Gothic" w:hAnsi="Century Gothic" w:cs="Century Gothic"/>
        </w:rPr>
        <w:t xml:space="preserve">. 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a celebrar contratos con las entidades estatales, estar inscritas en él, salvo las </w:t>
      </w:r>
      <w:r w:rsidRPr="00D14C22">
        <w:rPr>
          <w:rFonts w:ascii="Century Gothic" w:eastAsiaTheme="minorEastAsia" w:hAnsi="Century Gothic" w:cs="Arial"/>
          <w:lang w:eastAsia="es-CO"/>
        </w:rPr>
        <w:t xml:space="preserve">excepciones establecidas en la ley. </w:t>
      </w:r>
    </w:p>
    <w:p w14:paraId="5592037D" w14:textId="5D9CB191" w:rsidR="008B3CF3" w:rsidRPr="008B3CF3" w:rsidRDefault="008B3CF3" w:rsidP="00D14C22">
      <w:pPr>
        <w:spacing w:before="120" w:after="120" w:line="240" w:lineRule="auto"/>
        <w:ind w:firstLine="709"/>
        <w:jc w:val="both"/>
        <w:rPr>
          <w:rFonts w:ascii="Century Gothic" w:eastAsiaTheme="minorEastAsia" w:hAnsi="Century Gothic" w:cs="Arial"/>
          <w:lang w:eastAsia="es-CO"/>
        </w:rPr>
      </w:pPr>
      <w:r w:rsidRPr="00D14C22">
        <w:rPr>
          <w:rFonts w:ascii="Century Gothic" w:eastAsiaTheme="minorEastAsia" w:hAnsi="Century Gothic" w:cs="Arial"/>
          <w:lang w:eastAsia="es-CO"/>
        </w:rPr>
        <w:t>Así,</w:t>
      </w:r>
      <w:r w:rsidRPr="008B3CF3">
        <w:rPr>
          <w:rFonts w:ascii="Century Gothic" w:eastAsia="Century Gothic" w:hAnsi="Century Gothic" w:cs="Century Gothic"/>
        </w:rPr>
        <w:t xml:space="preserve">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hyperlink r:id="rId17" w:anchor="_ftn13" w:history="1">
        <w:r w:rsidRPr="008B3CF3">
          <w:rPr>
            <w:rStyle w:val="Hipervnculo"/>
            <w:rFonts w:ascii="Century Gothic" w:eastAsia="Calibri" w:hAnsi="Century Gothic" w:cs="Calibri"/>
            <w:vertAlign w:val="superscript"/>
          </w:rPr>
          <w:t>[13]</w:t>
        </w:r>
      </w:hyperlink>
      <w:r w:rsidRPr="008B3CF3">
        <w:rPr>
          <w:rFonts w:ascii="Century Gothic" w:eastAsia="Century Gothic" w:hAnsi="Century Gothic" w:cs="Century Gothic"/>
        </w:rPr>
        <w:t xml:space="preserve">. Es importante resaltar que los distintos eventos de firmeza señalados en el artículo 87 del CPACA involucran la exigencia de la publicidad, comunicación o notificación del acto, además de incluir la necesidad de resolver </w:t>
      </w:r>
      <w:r w:rsidRPr="008B3CF3">
        <w:rPr>
          <w:rFonts w:ascii="Century Gothic" w:eastAsia="Century Gothic" w:hAnsi="Century Gothic" w:cs="Century Gothic"/>
        </w:rPr>
        <w:lastRenderedPageBreak/>
        <w:t xml:space="preserve">los recursos administrativos interpuestos contra la decisión, como expresión del </w:t>
      </w:r>
      <w:r w:rsidRPr="008B3CF3">
        <w:rPr>
          <w:rFonts w:ascii="Century Gothic" w:eastAsiaTheme="minorEastAsia" w:hAnsi="Century Gothic" w:cs="Arial"/>
          <w:lang w:eastAsia="es-CO"/>
        </w:rPr>
        <w:t xml:space="preserve">debido proceso y del derecho de defensa en sede administrativa. </w:t>
      </w:r>
    </w:p>
    <w:p w14:paraId="3EEAFE6D" w14:textId="77777777" w:rsidR="008B3CF3" w:rsidRPr="008B3CF3" w:rsidRDefault="008B3CF3" w:rsidP="00D14C22">
      <w:pPr>
        <w:spacing w:before="120" w:after="120" w:line="240" w:lineRule="auto"/>
        <w:ind w:firstLine="709"/>
        <w:jc w:val="both"/>
        <w:rPr>
          <w:rFonts w:ascii="Century Gothic" w:eastAsia="Century Gothic" w:hAnsi="Century Gothic" w:cs="Century Gothic"/>
        </w:rPr>
      </w:pPr>
      <w:r w:rsidRPr="008B3CF3">
        <w:rPr>
          <w:rFonts w:ascii="Century Gothic" w:eastAsiaTheme="minorEastAsia" w:hAnsi="Century Gothic" w:cs="Arial"/>
          <w:lang w:eastAsia="es-CO"/>
        </w:rPr>
        <w:t>El artículo 6.3 de la Ley 11</w:t>
      </w:r>
      <w:r w:rsidRPr="008B3CF3">
        <w:rPr>
          <w:rFonts w:ascii="Century Gothic" w:eastAsia="Century Gothic" w:hAnsi="Century Gothic" w:cs="Century Gothic"/>
        </w:rPr>
        <w:t xml:space="preserve">50 de </w:t>
      </w:r>
      <w:r w:rsidRPr="008B3CF3">
        <w:rPr>
          <w:rFonts w:ascii="Century Gothic" w:eastAsiaTheme="minorEastAsia" w:hAnsi="Century Gothic" w:cs="Arial"/>
          <w:lang w:eastAsia="es-CO"/>
        </w:rPr>
        <w:t>2007</w:t>
      </w:r>
      <w:r w:rsidRPr="008B3CF3">
        <w:rPr>
          <w:rFonts w:ascii="Century Gothic" w:eastAsia="Century Gothic" w:hAnsi="Century Gothic" w:cs="Century Gothic"/>
        </w:rPr>
        <w:t xml:space="preserve">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7B0B6366" w14:textId="7EF12D5F" w:rsidR="00D14C22" w:rsidRPr="008B3CF3" w:rsidRDefault="008B3CF3" w:rsidP="00D14C22">
      <w:pPr>
        <w:spacing w:before="120" w:after="0" w:line="240" w:lineRule="auto"/>
        <w:ind w:firstLine="709"/>
        <w:contextualSpacing/>
        <w:jc w:val="both"/>
        <w:rPr>
          <w:rFonts w:ascii="Century Gothic" w:eastAsia="Century Gothic" w:hAnsi="Century Gothic" w:cs="Century Gothic"/>
        </w:rPr>
      </w:pPr>
      <w:r w:rsidRPr="008B3CF3">
        <w:rPr>
          <w:rFonts w:ascii="Century Gothic" w:eastAsia="Century Gothic" w:hAnsi="Century Gothic" w:cs="Century Gothic"/>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En dicho estudio debe aludirse también a la posibilidad de subsanar las ofertas en los procedimientos de selección. </w:t>
      </w:r>
    </w:p>
    <w:p w14:paraId="75188B6A" w14:textId="49A94E87" w:rsidR="008B3CF3" w:rsidRPr="00D14C22" w:rsidRDefault="008B3CF3" w:rsidP="00D14C22">
      <w:pPr>
        <w:spacing w:before="120" w:after="120" w:line="276" w:lineRule="auto"/>
        <w:ind w:firstLine="709"/>
        <w:jc w:val="both"/>
        <w:rPr>
          <w:rFonts w:ascii="Century Gothic" w:eastAsiaTheme="minorEastAsia" w:hAnsi="Century Gothic" w:cs="Arial"/>
          <w:lang w:eastAsia="es-CO"/>
        </w:rPr>
      </w:pPr>
      <w:r w:rsidRPr="00D14C22">
        <w:rPr>
          <w:rFonts w:ascii="Century Gothic" w:eastAsia="Century Gothic" w:hAnsi="Century Gothic" w:cs="Century Gothic"/>
        </w:rPr>
        <w:t xml:space="preserve">En relación con la </w:t>
      </w:r>
      <w:r w:rsidRPr="00D14C22">
        <w:rPr>
          <w:rFonts w:ascii="Century Gothic" w:eastAsia="Century Gothic" w:hAnsi="Century Gothic" w:cs="Century Gothic"/>
          <w:i/>
          <w:iCs/>
        </w:rPr>
        <w:t>inscripción</w:t>
      </w:r>
      <w:r w:rsidRPr="00D14C22">
        <w:rPr>
          <w:rFonts w:ascii="Century Gothic" w:eastAsia="Century Gothic" w:hAnsi="Century Gothic" w:cs="Century Gothic"/>
        </w:rPr>
        <w:t xml:space="preserve"> –ya sea por primera vez o porque no se renueva a tiempo y se debe realizar el trámite como una inscripción inicial–, debe considerarse lo prescrito en el parágrafo 1 del artículo 5 de la Ley 1150 de 2007, modificado por el artículo 5 de la Ley 1882 de 2018</w:t>
      </w:r>
      <w:hyperlink r:id="rId18" w:anchor="_ftn14" w:history="1">
        <w:r w:rsidRPr="00D14C22">
          <w:rPr>
            <w:rStyle w:val="Hipervnculo"/>
            <w:rFonts w:ascii="Century Gothic" w:eastAsia="Calibri" w:hAnsi="Century Gothic" w:cs="Calibri"/>
            <w:vertAlign w:val="superscript"/>
          </w:rPr>
          <w:t>[</w:t>
        </w:r>
        <w:r w:rsidRPr="00D14C22">
          <w:rPr>
            <w:rStyle w:val="Refdenotaalpie"/>
            <w:rFonts w:ascii="Century Gothic" w:eastAsia="Calibri" w:hAnsi="Century Gothic" w:cs="Calibri"/>
            <w:color w:val="0000FF"/>
            <w:u w:val="single"/>
          </w:rPr>
          <w:footnoteReference w:id="7"/>
        </w:r>
        <w:r w:rsidRPr="00D14C22">
          <w:rPr>
            <w:rStyle w:val="Hipervnculo"/>
            <w:rFonts w:ascii="Century Gothic" w:eastAsia="Calibri" w:hAnsi="Century Gothic" w:cs="Calibri"/>
            <w:vertAlign w:val="superscript"/>
          </w:rPr>
          <w:t>14]</w:t>
        </w:r>
      </w:hyperlink>
      <w:r w:rsidRPr="00D14C22">
        <w:rPr>
          <w:rFonts w:ascii="Century Gothic" w:eastAsia="Century Gothic" w:hAnsi="Century Gothic" w:cs="Century Gothic"/>
        </w:rPr>
        <w:t>, que establece que los proponentes no pueden acreditar circunstancias ocurridas con posterioridad al cierre del proceso, unido a lo expresado por la Sala de Consulta y Servicio Civil del Consejo de Estado, quien interpretó una norma de igual contenido a la anterior</w:t>
      </w:r>
      <w:hyperlink r:id="rId19" w:anchor="_ftn15" w:history="1">
        <w:r w:rsidRPr="00D14C22">
          <w:rPr>
            <w:rStyle w:val="Hipervnculo"/>
            <w:rFonts w:ascii="Century Gothic" w:eastAsia="Calibri" w:hAnsi="Century Gothic" w:cs="Calibri"/>
            <w:vertAlign w:val="superscript"/>
          </w:rPr>
          <w:t>[15</w:t>
        </w:r>
        <w:r w:rsidRPr="00D14C22">
          <w:rPr>
            <w:rStyle w:val="Refdenotaalpie"/>
            <w:rFonts w:ascii="Century Gothic" w:eastAsia="Calibri" w:hAnsi="Century Gothic" w:cs="Calibri"/>
            <w:color w:val="0000FF"/>
            <w:u w:val="single"/>
          </w:rPr>
          <w:footnoteReference w:id="8"/>
        </w:r>
        <w:r w:rsidRPr="00D14C22">
          <w:rPr>
            <w:rStyle w:val="Hipervnculo"/>
            <w:rFonts w:ascii="Century Gothic" w:eastAsia="Calibri" w:hAnsi="Century Gothic" w:cs="Calibri"/>
            <w:vertAlign w:val="superscript"/>
          </w:rPr>
          <w:t>]</w:t>
        </w:r>
      </w:hyperlink>
      <w:r w:rsidRPr="00D14C22">
        <w:rPr>
          <w:rFonts w:ascii="Century Gothic" w:eastAsia="Century Gothic" w:hAnsi="Century Gothic" w:cs="Century Gothic"/>
        </w:rPr>
        <w:t xml:space="preserve">,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w:t>
      </w:r>
      <w:r w:rsidRPr="00D14C22">
        <w:rPr>
          <w:rFonts w:ascii="Century Gothic" w:eastAsia="Century Gothic" w:hAnsi="Century Gothic" w:cs="Century Gothic"/>
          <w:i/>
          <w:iCs/>
        </w:rPr>
        <w:lastRenderedPageBreak/>
        <w:t>inscripción</w:t>
      </w:r>
      <w:r w:rsidRPr="00D14C22">
        <w:rPr>
          <w:rFonts w:ascii="Century Gothic" w:eastAsia="Century Gothic" w:hAnsi="Century Gothic" w:cs="Century Gothic"/>
        </w:rPr>
        <w:t xml:space="preserve"> debe estar en firme, pues solo así se materializa y produce efectos la </w:t>
      </w:r>
      <w:r w:rsidRPr="00D14C22">
        <w:rPr>
          <w:rFonts w:ascii="Century Gothic" w:eastAsiaTheme="minorEastAsia" w:hAnsi="Century Gothic" w:cs="Arial"/>
          <w:lang w:eastAsia="es-CO"/>
        </w:rPr>
        <w:t>inscripción</w:t>
      </w:r>
      <w:hyperlink r:id="rId20" w:anchor="_ftn16" w:history="1">
        <w:r w:rsidRPr="00D14C22">
          <w:rPr>
            <w:rFonts w:ascii="Century Gothic" w:eastAsiaTheme="minorEastAsia" w:hAnsi="Century Gothic" w:cs="Arial"/>
            <w:lang w:eastAsia="es-CO"/>
          </w:rPr>
          <w:t>[16</w:t>
        </w:r>
        <w:r w:rsidRPr="00D14C22">
          <w:rPr>
            <w:rFonts w:ascii="Century Gothic" w:eastAsiaTheme="minorEastAsia" w:hAnsi="Century Gothic" w:cs="Arial"/>
            <w:lang w:eastAsia="es-CO"/>
          </w:rPr>
          <w:footnoteReference w:id="9"/>
        </w:r>
        <w:r w:rsidRPr="00D14C22">
          <w:rPr>
            <w:rFonts w:ascii="Century Gothic" w:eastAsiaTheme="minorEastAsia" w:hAnsi="Century Gothic" w:cs="Arial"/>
            <w:lang w:eastAsia="es-CO"/>
          </w:rPr>
          <w:t>]</w:t>
        </w:r>
      </w:hyperlink>
      <w:r w:rsidRPr="00D14C22">
        <w:rPr>
          <w:rFonts w:ascii="Century Gothic" w:eastAsiaTheme="minorEastAsia" w:hAnsi="Century Gothic" w:cs="Arial"/>
          <w:lang w:eastAsia="es-CO"/>
        </w:rPr>
        <w:t xml:space="preserve">. </w:t>
      </w:r>
    </w:p>
    <w:p w14:paraId="3DCA3FBD" w14:textId="77777777" w:rsidR="008B3CF3" w:rsidRPr="008B3CF3" w:rsidRDefault="008B3CF3" w:rsidP="00D14C22">
      <w:pPr>
        <w:spacing w:before="120" w:after="120" w:line="240" w:lineRule="auto"/>
        <w:ind w:firstLine="709"/>
        <w:jc w:val="both"/>
        <w:rPr>
          <w:rFonts w:ascii="Century Gothic" w:eastAsia="Century Gothic" w:hAnsi="Century Gothic" w:cs="Century Gothic"/>
        </w:rPr>
      </w:pPr>
      <w:r w:rsidRPr="00D14C22">
        <w:rPr>
          <w:rFonts w:ascii="Century Gothic" w:eastAsiaTheme="minorEastAsia" w:hAnsi="Century Gothic" w:cs="Arial"/>
          <w:lang w:eastAsia="es-CO"/>
        </w:rPr>
        <w:t>Por</w:t>
      </w:r>
      <w:r w:rsidRPr="008B3CF3">
        <w:rPr>
          <w:rFonts w:ascii="Century Gothic" w:eastAsia="Century Gothic" w:hAnsi="Century Gothic" w:cs="Century Gothic"/>
        </w:rPr>
        <w:t xml:space="preserve"> lo tanto, si la cámara de comercio expide el acto administrativo de </w:t>
      </w:r>
      <w:r w:rsidRPr="008B3CF3">
        <w:rPr>
          <w:rFonts w:ascii="Century Gothic" w:eastAsia="Century Gothic" w:hAnsi="Century Gothic" w:cs="Century Gothic"/>
          <w:i/>
          <w:iCs/>
        </w:rPr>
        <w:t>inscripción</w:t>
      </w:r>
      <w:r w:rsidRPr="008B3CF3">
        <w:rPr>
          <w:rFonts w:ascii="Century Gothic" w:eastAsia="Century Gothic" w:hAnsi="Century Gothic" w:cs="Century Gothic"/>
        </w:rPr>
        <w:t xml:space="preserve"> en el RUP después del cierre del procedimiento de selección, motivado en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pues la inscripción solo se materializa y es oponible a terceros cuando el acto administrativo está en firme.</w:t>
      </w:r>
    </w:p>
    <w:p w14:paraId="12FC1499" w14:textId="77777777" w:rsidR="008B3CF3" w:rsidRPr="008B3CF3" w:rsidRDefault="008B3CF3" w:rsidP="00D14C22">
      <w:pPr>
        <w:spacing w:before="120" w:after="120" w:line="240" w:lineRule="auto"/>
        <w:ind w:firstLine="709"/>
        <w:jc w:val="both"/>
        <w:rPr>
          <w:rFonts w:ascii="Century Gothic" w:eastAsia="Century Gothic" w:hAnsi="Century Gothic" w:cs="Century Gothic"/>
          <w:color w:val="000000" w:themeColor="text1"/>
        </w:rPr>
      </w:pPr>
      <w:r w:rsidRPr="008B3CF3">
        <w:rPr>
          <w:rFonts w:ascii="Century Gothic" w:eastAsia="Century Gothic" w:hAnsi="Century Gothic" w:cs="Century Gothic"/>
          <w:color w:val="000000" w:themeColor="text1"/>
        </w:rPr>
        <w:t xml:space="preserve">Tratándose del trámite de </w:t>
      </w:r>
      <w:r w:rsidRPr="008B3CF3">
        <w:rPr>
          <w:rFonts w:ascii="Century Gothic" w:eastAsia="Century Gothic" w:hAnsi="Century Gothic" w:cs="Century Gothic"/>
          <w:i/>
          <w:iCs/>
          <w:color w:val="000000" w:themeColor="text1"/>
        </w:rPr>
        <w:t>renovación,</w:t>
      </w:r>
      <w:r w:rsidRPr="008B3CF3">
        <w:rPr>
          <w:rFonts w:ascii="Century Gothic" w:eastAsia="Century Gothic" w:hAnsi="Century Gothic" w:cs="Century Gothic"/>
          <w:color w:val="000000" w:themeColor="text1"/>
        </w:rPr>
        <w:t xml:space="preserve">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debe emplearse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w:t>
      </w:r>
      <w:r w:rsidRPr="00117824">
        <w:rPr>
          <w:rFonts w:ascii="Century Gothic" w:eastAsia="Century Gothic" w:hAnsi="Century Gothic" w:cs="Century Gothic"/>
          <w:color w:val="000000" w:themeColor="text1"/>
        </w:rPr>
        <w:t>evaluación de las propuestas se deberá utilizar la información del registro presentado inicialmente. Esto se sustenta en 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BAEEA60" w14:textId="77777777" w:rsidR="008B3CF3" w:rsidRPr="008B3CF3" w:rsidRDefault="008B3CF3" w:rsidP="00D14C22">
      <w:pPr>
        <w:spacing w:before="120" w:after="120" w:line="240" w:lineRule="auto"/>
        <w:ind w:firstLine="709"/>
        <w:jc w:val="both"/>
        <w:rPr>
          <w:rFonts w:ascii="Century Gothic" w:eastAsia="Century Gothic" w:hAnsi="Century Gothic" w:cs="Century Gothic"/>
          <w:color w:val="000000" w:themeColor="text1"/>
        </w:rPr>
      </w:pPr>
      <w:r w:rsidRPr="008B3CF3">
        <w:rPr>
          <w:rFonts w:ascii="Century Gothic" w:eastAsia="Century Gothic" w:hAnsi="Century Gothic" w:cs="Century Gothic"/>
          <w:color w:val="000000" w:themeColor="text1"/>
        </w:rPr>
        <w:t>Ahora bien, el deber de renovación, para impedir que el RUP deje de producir efectos consiste en “presentar la información para renovar su registro antes del quinto día hábil del mes de abril de cada año”</w:t>
      </w:r>
      <w:hyperlink r:id="rId21" w:anchor="_ftn17" w:history="1">
        <w:r w:rsidRPr="008B3CF3">
          <w:rPr>
            <w:rStyle w:val="Hipervnculo"/>
            <w:rFonts w:ascii="Century Gothic" w:eastAsia="Calibri" w:hAnsi="Century Gothic" w:cs="Calibri"/>
            <w:vertAlign w:val="superscript"/>
          </w:rPr>
          <w:t>[17</w:t>
        </w:r>
        <w:r w:rsidRPr="008B3CF3">
          <w:rPr>
            <w:rStyle w:val="Refdenotaalpie"/>
            <w:rFonts w:ascii="Century Gothic" w:eastAsia="Calibri" w:hAnsi="Century Gothic" w:cs="Calibri"/>
            <w:color w:val="0000FF"/>
            <w:u w:val="single"/>
          </w:rPr>
          <w:footnoteReference w:id="10"/>
        </w:r>
        <w:r w:rsidRPr="008B3CF3">
          <w:rPr>
            <w:rStyle w:val="Hipervnculo"/>
            <w:rFonts w:ascii="Century Gothic" w:eastAsia="Calibri" w:hAnsi="Century Gothic" w:cs="Calibri"/>
            <w:vertAlign w:val="superscript"/>
          </w:rPr>
          <w:t>]</w:t>
        </w:r>
      </w:hyperlink>
      <w:r w:rsidRPr="008B3CF3">
        <w:rPr>
          <w:rFonts w:ascii="Century Gothic" w:eastAsia="Century Gothic" w:hAnsi="Century Gothic" w:cs="Century Gothic"/>
          <w:color w:val="000000" w:themeColor="text1"/>
        </w:rPr>
        <w:t xml:space="preserve">. De manera que basta con la presentación de dicha información, mediante la cual se solicita a la cámara </w:t>
      </w:r>
      <w:r w:rsidRPr="008B3CF3">
        <w:rPr>
          <w:rFonts w:ascii="Century Gothic" w:eastAsia="Century Gothic" w:hAnsi="Century Gothic" w:cs="Century Gothic"/>
          <w:color w:val="000000" w:themeColor="text1"/>
        </w:rPr>
        <w:lastRenderedPageBreak/>
        <w:t>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frente al acto de inscripción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de la renovación, puede utilizarse la información del RUP que está en firme antes de iniciar el trámite de renovación, cuyos efectos no han cesado y se encuentra vigente, pudiendo utilizar dicho registro para participar en los procedimientos de selección de contratistas.</w:t>
      </w:r>
    </w:p>
    <w:p w14:paraId="306258F1" w14:textId="77777777" w:rsidR="008B3CF3" w:rsidRPr="008B3CF3" w:rsidRDefault="008B3CF3" w:rsidP="00D14C22">
      <w:pPr>
        <w:spacing w:before="120" w:after="120" w:line="240" w:lineRule="auto"/>
        <w:ind w:firstLine="709"/>
        <w:contextualSpacing/>
        <w:jc w:val="both"/>
        <w:rPr>
          <w:rFonts w:ascii="Century Gothic" w:eastAsia="Century Gothic" w:hAnsi="Century Gothic" w:cs="Century Gothic"/>
          <w:color w:val="000000" w:themeColor="text1"/>
        </w:rPr>
      </w:pPr>
      <w:r w:rsidRPr="008B3CF3">
        <w:rPr>
          <w:rFonts w:ascii="Century Gothic" w:eastAsia="Century Gothic" w:hAnsi="Century Gothic" w:cs="Century Gothic"/>
          <w:color w:val="000000" w:themeColor="text1"/>
        </w:rPr>
        <w:t xml:space="preserve">Finalmente, tratándose del trámite administrativo de la </w:t>
      </w:r>
      <w:r w:rsidRPr="008B3CF3">
        <w:rPr>
          <w:rFonts w:ascii="Century Gothic" w:eastAsia="Century Gothic" w:hAnsi="Century Gothic" w:cs="Century Gothic"/>
          <w:i/>
          <w:iCs/>
          <w:color w:val="000000" w:themeColor="text1"/>
        </w:rPr>
        <w:t>actualización</w:t>
      </w:r>
      <w:r w:rsidRPr="008B3CF3">
        <w:rPr>
          <w:rFonts w:ascii="Century Gothic" w:eastAsia="Century Gothic" w:hAnsi="Century Gothic" w:cs="Century Gothic"/>
          <w:color w:val="000000" w:themeColor="text1"/>
        </w:rPr>
        <w:t xml:space="preserve">,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esta manera el trámite de </w:t>
      </w:r>
      <w:r w:rsidRPr="008B3CF3">
        <w:rPr>
          <w:rFonts w:ascii="Century Gothic" w:eastAsia="Century Gothic" w:hAnsi="Century Gothic" w:cs="Century Gothic"/>
          <w:i/>
          <w:iCs/>
          <w:color w:val="000000" w:themeColor="text1"/>
        </w:rPr>
        <w:t xml:space="preserve">actualización </w:t>
      </w:r>
      <w:r w:rsidRPr="008B3CF3">
        <w:rPr>
          <w:rFonts w:ascii="Century Gothic" w:eastAsia="Century Gothic" w:hAnsi="Century Gothic" w:cs="Century Gothic"/>
          <w:color w:val="000000" w:themeColor="text1"/>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47FAD6F7" w14:textId="77777777" w:rsidR="008B3CF3" w:rsidRPr="007E026A" w:rsidRDefault="008B3CF3" w:rsidP="008B3CF3">
      <w:pPr>
        <w:spacing w:after="0" w:line="276" w:lineRule="auto"/>
        <w:contextualSpacing/>
        <w:jc w:val="both"/>
        <w:rPr>
          <w:rFonts w:ascii="Century Gothic" w:eastAsia="Times New Roman" w:hAnsi="Century Gothic" w:cs="Arial"/>
          <w:b/>
          <w:bCs/>
          <w:lang w:val="es-ES_tradnl" w:eastAsia="es-ES_tradnl"/>
        </w:rPr>
      </w:pPr>
    </w:p>
    <w:p w14:paraId="7D158B28" w14:textId="77777777" w:rsidR="008B3CF3" w:rsidRPr="00D14C22" w:rsidRDefault="008B3CF3" w:rsidP="00D14C22">
      <w:pPr>
        <w:spacing w:after="0" w:line="276" w:lineRule="auto"/>
        <w:contextualSpacing/>
        <w:jc w:val="both"/>
        <w:rPr>
          <w:rFonts w:ascii="Century Gothic" w:eastAsia="Times New Roman" w:hAnsi="Century Gothic" w:cs="Arial"/>
          <w:b/>
          <w:bCs/>
          <w:lang w:val="es-ES_tradnl" w:eastAsia="es-ES_tradnl"/>
        </w:rPr>
      </w:pPr>
      <w:r w:rsidRPr="00D14C22">
        <w:rPr>
          <w:rFonts w:ascii="Century Gothic" w:eastAsia="Times New Roman" w:hAnsi="Century Gothic" w:cs="Arial"/>
          <w:b/>
          <w:bCs/>
          <w:lang w:val="es-ES_tradnl" w:eastAsia="es-ES_tradnl"/>
        </w:rPr>
        <w:t xml:space="preserve">2.3. </w:t>
      </w:r>
      <w:r w:rsidRPr="00D14C22">
        <w:rPr>
          <w:rFonts w:ascii="Century Gothic" w:eastAsia="Century Gothic" w:hAnsi="Century Gothic" w:cs="Century Gothic"/>
          <w:b/>
          <w:bCs/>
        </w:rPr>
        <w:t xml:space="preserve">Vigencia de las modificaciones introducidas por los Decretos 399 de 2021, 579 de 2021 y 1041 de 2022 respecto a la información contenida en el RUP y su verificación dentro del “mejor año fiscal”. </w:t>
      </w:r>
      <w:r w:rsidRPr="00D14C22">
        <w:rPr>
          <w:rFonts w:ascii="Century Gothic" w:eastAsia="Times New Roman" w:hAnsi="Century Gothic" w:cs="Arial"/>
          <w:b/>
          <w:bCs/>
          <w:lang w:val="es-ES_tradnl" w:eastAsia="es-ES_tradnl"/>
        </w:rPr>
        <w:t>Reiteración de línea</w:t>
      </w:r>
    </w:p>
    <w:p w14:paraId="3E887E09" w14:textId="77777777" w:rsidR="008B3CF3" w:rsidRPr="009D57DE" w:rsidRDefault="008B3CF3" w:rsidP="008B3CF3">
      <w:pPr>
        <w:spacing w:after="0" w:line="276" w:lineRule="auto"/>
        <w:contextualSpacing/>
        <w:jc w:val="both"/>
        <w:rPr>
          <w:rFonts w:ascii="Century Gothic" w:eastAsia="Times New Roman" w:hAnsi="Century Gothic" w:cs="Arial"/>
          <w:b/>
          <w:bCs/>
          <w:lang w:val="es-ES_tradnl" w:eastAsia="es-ES_tradnl"/>
        </w:rPr>
      </w:pPr>
    </w:p>
    <w:p w14:paraId="1557E687" w14:textId="77777777" w:rsidR="008B3CF3" w:rsidRPr="00D14C22" w:rsidRDefault="008B3CF3" w:rsidP="00D14C22">
      <w:pPr>
        <w:spacing w:before="120" w:after="120" w:line="240" w:lineRule="auto"/>
        <w:jc w:val="both"/>
        <w:rPr>
          <w:rFonts w:ascii="Century Gothic" w:eastAsia="Century Gothic" w:hAnsi="Century Gothic" w:cs="Century Gothic"/>
        </w:rPr>
      </w:pPr>
      <w:r w:rsidRPr="00D14C22">
        <w:rPr>
          <w:rFonts w:ascii="Century Gothic" w:eastAsia="Century Gothic" w:hAnsi="Century Gothic" w:cs="Century Gothic"/>
          <w:color w:val="000000" w:themeColor="text1"/>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w:t>
      </w:r>
      <w:r w:rsidRPr="00D14C22">
        <w:rPr>
          <w:rFonts w:ascii="Century Gothic" w:eastAsia="Century Gothic" w:hAnsi="Century Gothic" w:cs="Century Gothic"/>
          <w:color w:val="000000" w:themeColor="text1"/>
        </w:rPr>
        <w:lastRenderedPageBreak/>
        <w:t>RUP</w:t>
      </w:r>
      <w:hyperlink r:id="rId22" w:anchor="_ftn18" w:history="1">
        <w:r w:rsidRPr="00D14C22">
          <w:rPr>
            <w:rStyle w:val="Hipervnculo"/>
            <w:rFonts w:ascii="Century Gothic" w:eastAsia="Calibri" w:hAnsi="Century Gothic" w:cs="Calibri"/>
            <w:vertAlign w:val="superscript"/>
          </w:rPr>
          <w:t>[18</w:t>
        </w:r>
        <w:r w:rsidRPr="00D14C22">
          <w:rPr>
            <w:rStyle w:val="Refdenotaalpie"/>
            <w:rFonts w:ascii="Century Gothic" w:eastAsia="Calibri" w:hAnsi="Century Gothic" w:cs="Calibri"/>
            <w:color w:val="0000FF"/>
            <w:u w:val="single"/>
          </w:rPr>
          <w:footnoteReference w:id="11"/>
        </w:r>
        <w:r w:rsidRPr="00D14C22">
          <w:rPr>
            <w:rStyle w:val="Hipervnculo"/>
            <w:rFonts w:ascii="Century Gothic" w:eastAsia="Calibri" w:hAnsi="Century Gothic" w:cs="Calibri"/>
            <w:vertAlign w:val="superscript"/>
          </w:rPr>
          <w:t>]</w:t>
        </w:r>
      </w:hyperlink>
      <w:r w:rsidRPr="00D14C22">
        <w:rPr>
          <w:rFonts w:ascii="Century Gothic" w:eastAsia="Century Gothic" w:hAnsi="Century Gothic" w:cs="Century Gothic"/>
          <w:color w:val="000000" w:themeColor="text1"/>
        </w:rPr>
        <w:t>. Así lo justifica textualmente el reglamento mencionado, en sus consideraciones cuando manifiesta 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r w:rsidRPr="00D14C22">
        <w:rPr>
          <w:rFonts w:ascii="Century Gothic" w:eastAsia="Century Gothic" w:hAnsi="Century Gothic" w:cs="Century Gothic"/>
        </w:rPr>
        <w:t>”.</w:t>
      </w:r>
    </w:p>
    <w:p w14:paraId="683398EA" w14:textId="77777777" w:rsidR="008B3CF3" w:rsidRPr="00117824" w:rsidRDefault="008B3CF3" w:rsidP="00D14C22">
      <w:pPr>
        <w:spacing w:before="120" w:after="120" w:line="240" w:lineRule="auto"/>
        <w:ind w:firstLine="709"/>
        <w:jc w:val="both"/>
        <w:rPr>
          <w:rFonts w:ascii="Century Gothic" w:eastAsia="Century Gothic" w:hAnsi="Century Gothic" w:cs="Century Gothic"/>
        </w:rPr>
      </w:pPr>
      <w:r w:rsidRPr="00117824">
        <w:rPr>
          <w:rFonts w:ascii="Century Gothic" w:eastAsia="Century Gothic" w:hAnsi="Century Gothic" w:cs="Century Gothic"/>
          <w:color w:val="000000" w:themeColor="text1"/>
        </w:rPr>
        <w:t>En tal sentido, el artículo 4 del Decreto 399 de 2021 adicionó dos parágrafos transitorios al artículo 2.2.1.1.1.5.2 del Decreto 1082 de 2015, que a su vez fueron sustituidos por el artículo 1 del Decreto 579 del 31 de mayo de 2021</w:t>
      </w:r>
      <w:hyperlink r:id="rId23" w:anchor="_ftn19" w:history="1">
        <w:r w:rsidRPr="00117824">
          <w:rPr>
            <w:rStyle w:val="Hipervnculo"/>
            <w:rFonts w:ascii="Century Gothic" w:eastAsia="Calibri" w:hAnsi="Century Gothic" w:cs="Calibri"/>
            <w:vertAlign w:val="superscript"/>
          </w:rPr>
          <w:t>[19]</w:t>
        </w:r>
      </w:hyperlink>
      <w:r w:rsidRPr="00117824">
        <w:rPr>
          <w:rFonts w:ascii="Century Gothic" w:eastAsia="Century Gothic" w:hAnsi="Century Gothic" w:cs="Century Gothic"/>
          <w:color w:val="000000" w:themeColor="text1"/>
        </w:rPr>
        <w:t xml:space="preserve"> y posteriormente se adicionó un parágrafo transitorio adicional al artículo 2.2.1.1.1.5.2 del Decreto 1082 de 2015 por el artículo 1 del </w:t>
      </w:r>
      <w:r w:rsidRPr="00117824">
        <w:rPr>
          <w:rFonts w:ascii="Century Gothic" w:eastAsia="Century Gothic" w:hAnsi="Century Gothic" w:cs="Century Gothic"/>
        </w:rPr>
        <w:t>Decreto 1041 de 2022.</w:t>
      </w:r>
    </w:p>
    <w:p w14:paraId="1E7E3AFA" w14:textId="77777777" w:rsidR="008B3CF3" w:rsidRPr="00280910" w:rsidRDefault="008B3CF3" w:rsidP="00D14C22">
      <w:pPr>
        <w:spacing w:before="120" w:after="120" w:line="240" w:lineRule="auto"/>
        <w:ind w:firstLine="709"/>
        <w:jc w:val="both"/>
        <w:rPr>
          <w:rFonts w:ascii="Century Gothic" w:eastAsiaTheme="minorEastAsia" w:hAnsi="Century Gothic" w:cs="Arial"/>
          <w:lang w:eastAsia="es-CO"/>
        </w:rPr>
      </w:pPr>
      <w:r w:rsidRPr="00117824">
        <w:rPr>
          <w:rFonts w:ascii="Century Gothic" w:eastAsia="Century Gothic" w:hAnsi="Century Gothic" w:cs="Century Gothic"/>
          <w:color w:val="000000" w:themeColor="text1"/>
        </w:rPr>
        <w:t xml:space="preserve">El parágrafo transitorio 1 dispone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w:t>
      </w:r>
      <w:r w:rsidRPr="00117824">
        <w:rPr>
          <w:rFonts w:ascii="Century Gothic" w:eastAsiaTheme="minorEastAsia" w:hAnsi="Century Gothic" w:cs="Arial"/>
          <w:lang w:eastAsia="es-CO"/>
        </w:rPr>
        <w:t>comercio, no deberá presentar esta información</w:t>
      </w:r>
      <w:r w:rsidRPr="00280910">
        <w:rPr>
          <w:rFonts w:ascii="Century Gothic" w:eastAsiaTheme="minorEastAsia" w:hAnsi="Century Gothic" w:cs="Arial"/>
          <w:lang w:eastAsia="es-CO"/>
        </w:rPr>
        <w:t>.</w:t>
      </w:r>
    </w:p>
    <w:p w14:paraId="6BA946DC" w14:textId="77777777" w:rsidR="008B3CF3" w:rsidRPr="00280910" w:rsidRDefault="008B3CF3" w:rsidP="008B3CF3">
      <w:pPr>
        <w:spacing w:before="120" w:after="120" w:line="276" w:lineRule="auto"/>
        <w:ind w:firstLine="709"/>
        <w:jc w:val="both"/>
        <w:rPr>
          <w:rFonts w:ascii="Century Gothic" w:eastAsiaTheme="minorEastAsia" w:hAnsi="Century Gothic" w:cs="Arial"/>
          <w:lang w:eastAsia="es-CO"/>
        </w:rPr>
      </w:pPr>
      <w:r w:rsidRPr="00117824">
        <w:rPr>
          <w:rFonts w:ascii="Century Gothic" w:eastAsiaTheme="minorEastAsia" w:hAnsi="Century Gothic" w:cs="Arial"/>
          <w:lang w:eastAsia="es-CO"/>
        </w:rPr>
        <w:lastRenderedPageBreak/>
        <w:t>El parágrafo transitorio 2 señala que, en el año 2022, para la inscripción en el RUP</w:t>
      </w:r>
      <w:r w:rsidRPr="00117824">
        <w:rPr>
          <w:rFonts w:ascii="Century Gothic" w:eastAsia="Century Gothic" w:hAnsi="Century Gothic" w:cs="Century Gothic"/>
          <w:color w:val="000000" w:themeColor="text1"/>
        </w:rPr>
        <w:t xml:space="preserve"> o para su renovación, el interesado debe reportar la información contable y los estados financieros de los tres últimos años fiscales. Además, reitera que, si aquel no cuenta con la información financiera de dichos años, por </w:t>
      </w:r>
      <w:r w:rsidRPr="00117824">
        <w:rPr>
          <w:rFonts w:ascii="Century Gothic" w:eastAsiaTheme="minorEastAsia" w:hAnsi="Century Gothic" w:cs="Arial"/>
          <w:lang w:eastAsia="es-CO"/>
        </w:rPr>
        <w:t>no tener la antigüedad suficiente, podrá aportar la información de su primer cierre fiscal</w:t>
      </w:r>
      <w:r w:rsidRPr="00280910">
        <w:rPr>
          <w:rFonts w:ascii="Century Gothic" w:eastAsiaTheme="minorEastAsia" w:hAnsi="Century Gothic" w:cs="Arial"/>
          <w:lang w:eastAsia="es-CO"/>
        </w:rPr>
        <w:t xml:space="preserve">. </w:t>
      </w:r>
    </w:p>
    <w:p w14:paraId="58104F0C" w14:textId="77777777" w:rsidR="008B3CF3" w:rsidRPr="00280910" w:rsidRDefault="008B3CF3" w:rsidP="00117824">
      <w:pPr>
        <w:spacing w:before="120" w:after="120" w:line="240" w:lineRule="auto"/>
        <w:ind w:firstLine="709"/>
        <w:jc w:val="both"/>
        <w:rPr>
          <w:rFonts w:ascii="Century Gothic" w:eastAsiaTheme="minorEastAsia" w:hAnsi="Century Gothic" w:cs="Arial"/>
          <w:lang w:eastAsia="es-CO"/>
        </w:rPr>
      </w:pPr>
      <w:r w:rsidRPr="00280910">
        <w:rPr>
          <w:rFonts w:ascii="Century Gothic" w:eastAsiaTheme="minorEastAsia" w:hAnsi="Century Gothic" w:cs="Arial"/>
          <w:lang w:eastAsia="es-CO"/>
        </w:rPr>
        <w:t>En igual sentido, el parágrafo transitorio 3 incluido por el Decreto 1041 de 2022 m</w:t>
      </w:r>
      <w:r w:rsidRPr="2F7B58A8">
        <w:rPr>
          <w:rFonts w:ascii="Century Gothic" w:eastAsia="Century Gothic" w:hAnsi="Century Gothic" w:cs="Century Gothic"/>
          <w:sz w:val="24"/>
        </w:rPr>
        <w:t xml:space="preserve">antuvo la anterior medida para el año 2023, permitiendo que para </w:t>
      </w:r>
      <w:r w:rsidRPr="2F7B58A8">
        <w:rPr>
          <w:rFonts w:ascii="Century Gothic" w:eastAsia="Century Gothic" w:hAnsi="Century Gothic" w:cs="Century Gothic"/>
          <w:color w:val="000000" w:themeColor="text1"/>
          <w:sz w:val="24"/>
        </w:rPr>
        <w:t xml:space="preserve">la inscripción en el RUP o para su renovación, el interesado pueda reportar la </w:t>
      </w:r>
      <w:r w:rsidRPr="00280910">
        <w:rPr>
          <w:rFonts w:ascii="Century Gothic" w:eastAsiaTheme="minorEastAsia" w:hAnsi="Century Gothic" w:cs="Arial"/>
          <w:lang w:eastAsia="es-CO"/>
        </w:rPr>
        <w:t xml:space="preserve">información contable y los estados financieros de los tres últimos años fiscales. </w:t>
      </w:r>
    </w:p>
    <w:p w14:paraId="04B55335" w14:textId="77777777" w:rsidR="008B3CF3" w:rsidRPr="001A29FC" w:rsidRDefault="008B3CF3" w:rsidP="00117824">
      <w:pPr>
        <w:spacing w:before="120" w:after="120" w:line="240" w:lineRule="auto"/>
        <w:ind w:firstLine="709"/>
        <w:jc w:val="both"/>
        <w:rPr>
          <w:rFonts w:ascii="Century Gothic" w:eastAsia="Century Gothic" w:hAnsi="Century Gothic" w:cs="Century Gothic"/>
          <w:color w:val="000000" w:themeColor="text1"/>
        </w:rPr>
      </w:pPr>
      <w:r w:rsidRPr="001A29FC">
        <w:rPr>
          <w:rFonts w:ascii="Century Gothic" w:eastAsiaTheme="minorEastAsia" w:hAnsi="Century Gothic" w:cs="Arial"/>
          <w:lang w:eastAsia="es-CO"/>
        </w:rPr>
        <w:t>Por otra parte, el artículo 5 del Decreto 399 de 2021 adicionó dos parágrafos</w:t>
      </w:r>
      <w:r w:rsidRPr="001A29FC">
        <w:rPr>
          <w:rFonts w:ascii="Century Gothic" w:eastAsia="Century Gothic" w:hAnsi="Century Gothic" w:cs="Century Gothic"/>
          <w:color w:val="000000" w:themeColor="text1"/>
        </w:rPr>
        <w:t xml:space="preserve"> transitorios al artículo 2.2.1.1.1.5.6 del Decreto 1082 de 2015, que regula el contenido del certificado del RUP. El primer parágrafo transitorio, que fue posteriormente sustituido por el artículo 2 del Decreto 579 de 2021, establece que </w:t>
      </w:r>
      <w:r w:rsidRPr="001A29FC">
        <w:rPr>
          <w:rFonts w:ascii="Century Gothic" w:eastAsia="Century Gothic" w:hAnsi="Century Gothic" w:cs="Century Gothic"/>
          <w:i/>
          <w:iCs/>
          <w:color w:val="000000" w:themeColor="text1"/>
        </w:rPr>
        <w:t xml:space="preserve">“[…] </w:t>
      </w:r>
      <w:r w:rsidRPr="001A29FC">
        <w:rPr>
          <w:rFonts w:ascii="Century Gothic" w:eastAsia="Century Gothic" w:hAnsi="Century Gothic" w:cs="Century Gothic"/>
          <w:color w:val="000000" w:themeColor="text1"/>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Pr="001A29FC">
        <w:rPr>
          <w:rFonts w:ascii="Century Gothic" w:eastAsia="Century Gothic" w:hAnsi="Century Gothic" w:cs="Century Gothic"/>
          <w:i/>
          <w:iCs/>
          <w:color w:val="000000" w:themeColor="text1"/>
        </w:rPr>
        <w:t>”</w:t>
      </w:r>
      <w:r w:rsidRPr="001A29FC">
        <w:rPr>
          <w:rFonts w:ascii="Century Gothic" w:eastAsia="Century Gothic" w:hAnsi="Century Gothic" w:cs="Century Gothic"/>
          <w:color w:val="000000" w:themeColor="text1"/>
        </w:rPr>
        <w:t>. Para esto, las cámaras de comercio, a partir del 1 de julio de 2021, “certificarán la información de que tratan los parágrafos transitorios 1 y 2 del artículo 2.2.1.1.1.5.2. de este Decreto</w:t>
      </w:r>
      <w:r w:rsidRPr="001A29FC">
        <w:rPr>
          <w:rFonts w:ascii="Century Gothic" w:eastAsia="Century Gothic" w:hAnsi="Century Gothic" w:cs="Century Gothic"/>
          <w:i/>
          <w:iCs/>
          <w:color w:val="000000" w:themeColor="text1"/>
        </w:rPr>
        <w:t>”.</w:t>
      </w:r>
      <w:r w:rsidRPr="001A29FC">
        <w:rPr>
          <w:rFonts w:ascii="Century Gothic" w:eastAsia="Century Gothic" w:hAnsi="Century Gothic" w:cs="Century Gothic"/>
          <w:color w:val="000000" w:themeColor="text1"/>
        </w:rPr>
        <w:t xml:space="preserve">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w:t>
      </w:r>
    </w:p>
    <w:p w14:paraId="3B45D58C" w14:textId="77777777" w:rsidR="008B3CF3" w:rsidRPr="001A29FC" w:rsidRDefault="008B3CF3" w:rsidP="00117824">
      <w:pPr>
        <w:spacing w:before="120" w:after="120" w:line="240" w:lineRule="auto"/>
        <w:ind w:firstLine="709"/>
        <w:contextualSpacing/>
        <w:jc w:val="both"/>
        <w:rPr>
          <w:rFonts w:ascii="Century Gothic" w:eastAsia="Century Gothic" w:hAnsi="Century Gothic" w:cs="Century Gothic"/>
          <w:color w:val="000000" w:themeColor="text1"/>
        </w:rPr>
      </w:pPr>
      <w:r w:rsidRPr="001A29FC">
        <w:rPr>
          <w:rFonts w:ascii="Century Gothic" w:eastAsia="Century Gothic" w:hAnsi="Century Gothic" w:cs="Century Gothic"/>
          <w:color w:val="000000" w:themeColor="text1"/>
        </w:rPr>
        <w:t xml:space="preserve">Posteriormente, el segundo parágrafo transitorio del artículo 2.2.1.1.1.5.6 del Decreto 1082 de 2015, modificado por el artículo 2 del Decreto 1041 del 21 de junio 2022 dispone que </w:t>
      </w:r>
      <w:r w:rsidRPr="001A29FC">
        <w:rPr>
          <w:rFonts w:ascii="Century Gothic" w:eastAsia="Century Gothic" w:hAnsi="Century Gothic" w:cs="Century Gothic"/>
          <w:i/>
          <w:iCs/>
          <w:color w:val="000000" w:themeColor="text1"/>
        </w:rPr>
        <w:t>“</w:t>
      </w:r>
      <w:r w:rsidRPr="001A29FC">
        <w:rPr>
          <w:rFonts w:ascii="Century Gothic" w:eastAsia="Century Gothic" w:hAnsi="Century Gothic" w:cs="Century Gothic"/>
          <w:color w:val="000000" w:themeColor="text1"/>
        </w:rPr>
        <w:t>El proponente que cuente con 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w:t>
      </w:r>
      <w:r w:rsidRPr="001A29FC">
        <w:rPr>
          <w:rFonts w:ascii="Century Gothic" w:eastAsia="Century Gothic" w:hAnsi="Century Gothic" w:cs="Century Gothic"/>
          <w:i/>
          <w:iCs/>
          <w:color w:val="000000" w:themeColor="text1"/>
        </w:rPr>
        <w:t xml:space="preserve">”. </w:t>
      </w:r>
      <w:r w:rsidRPr="001A29FC">
        <w:rPr>
          <w:rFonts w:ascii="Century Gothic" w:eastAsia="Century Gothic" w:hAnsi="Century Gothic" w:cs="Century Gothic"/>
          <w:color w:val="000000" w:themeColor="text1"/>
        </w:rPr>
        <w:t>Como se observa, las normas anteriormente transcritas disponen que:</w:t>
      </w:r>
    </w:p>
    <w:p w14:paraId="011E25AB" w14:textId="77777777" w:rsidR="008B3CF3" w:rsidRPr="001A29FC" w:rsidRDefault="008B3CF3" w:rsidP="00117824">
      <w:pPr>
        <w:spacing w:before="120" w:after="120" w:line="240" w:lineRule="auto"/>
        <w:ind w:firstLine="709"/>
        <w:jc w:val="both"/>
        <w:rPr>
          <w:rFonts w:ascii="Century Gothic" w:eastAsiaTheme="minorEastAsia" w:hAnsi="Century Gothic" w:cs="Arial"/>
          <w:lang w:eastAsia="es-CO"/>
        </w:rPr>
      </w:pPr>
      <w:r w:rsidRPr="001A29FC">
        <w:rPr>
          <w:rFonts w:ascii="Century Gothic" w:eastAsia="Century Gothic" w:hAnsi="Century Gothic" w:cs="Century Gothic"/>
          <w:color w:val="000000" w:themeColor="text1"/>
        </w:rPr>
        <w:t xml:space="preserve">i) 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w:t>
      </w:r>
      <w:r w:rsidRPr="001A29FC">
        <w:rPr>
          <w:rFonts w:ascii="Century Gothic" w:eastAsiaTheme="minorEastAsia" w:hAnsi="Century Gothic" w:cs="Arial"/>
          <w:lang w:eastAsia="es-CO"/>
        </w:rPr>
        <w:t>al respectivo acto” o “desde su primer cierre fiscal”, según el caso.</w:t>
      </w:r>
    </w:p>
    <w:p w14:paraId="7C97C15F" w14:textId="77777777" w:rsidR="008B3CF3" w:rsidRPr="001A29FC" w:rsidRDefault="008B3CF3" w:rsidP="00117824">
      <w:pPr>
        <w:spacing w:before="120" w:after="120" w:line="240" w:lineRule="auto"/>
        <w:ind w:firstLine="709"/>
        <w:jc w:val="both"/>
        <w:rPr>
          <w:rFonts w:ascii="Century Gothic" w:eastAsia="Century Gothic" w:hAnsi="Century Gothic" w:cs="Century Gothic"/>
          <w:color w:val="000000" w:themeColor="text1"/>
        </w:rPr>
      </w:pPr>
      <w:r w:rsidRPr="001A29FC">
        <w:rPr>
          <w:rFonts w:ascii="Century Gothic" w:eastAsiaTheme="minorEastAsia" w:hAnsi="Century Gothic" w:cs="Arial"/>
          <w:lang w:eastAsia="es-CO"/>
        </w:rPr>
        <w:t>ii) Las</w:t>
      </w:r>
      <w:r w:rsidRPr="001A29FC">
        <w:rPr>
          <w:rFonts w:ascii="Century Gothic" w:eastAsia="Century Gothic" w:hAnsi="Century Gothic" w:cs="Century Gothic"/>
          <w:color w:val="000000" w:themeColor="text1"/>
        </w:rPr>
        <w:t xml:space="preserve"> Entidades Estatales conservan su discrecionalidad administrativa para determinar los requisitos habilitantes de capacidad financiera y organizacional, pero “En todo caso, se establecerán indicadores proporcionales al procedimiento </w:t>
      </w:r>
      <w:r w:rsidRPr="001A29FC">
        <w:rPr>
          <w:rFonts w:ascii="Century Gothic" w:eastAsia="Century Gothic" w:hAnsi="Century Gothic" w:cs="Century Gothic"/>
          <w:color w:val="000000" w:themeColor="text1"/>
        </w:rPr>
        <w:lastRenderedPageBreak/>
        <w:t>de contratación”. El principio de proporcionalidad exige que dichos indicadores sean razonables, o sea, que guarden congruencia con el objeto, alcance, valor y plazo del contrato, que sean necesarios y no restrinjan injustificadamente la libre concurrencia.</w:t>
      </w:r>
    </w:p>
    <w:p w14:paraId="64E258D0" w14:textId="77777777" w:rsidR="008B3CF3" w:rsidRPr="001A29FC" w:rsidRDefault="008B3CF3" w:rsidP="00117824">
      <w:pPr>
        <w:spacing w:before="120" w:after="120" w:line="240" w:lineRule="auto"/>
        <w:ind w:firstLine="708"/>
        <w:contextualSpacing/>
        <w:jc w:val="both"/>
        <w:rPr>
          <w:rFonts w:ascii="Century Gothic" w:eastAsia="Century Gothic" w:hAnsi="Century Gothic" w:cs="Century Gothic"/>
          <w:color w:val="000000" w:themeColor="text1"/>
        </w:rPr>
      </w:pPr>
      <w:r w:rsidRPr="001A29FC">
        <w:rPr>
          <w:rFonts w:ascii="Century Gothic" w:eastAsia="Century Gothic" w:hAnsi="Century Gothic" w:cs="Century Gothic"/>
          <w:color w:val="000000" w:themeColor="text1"/>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5A762051" w14:textId="77777777" w:rsidR="008B3CF3" w:rsidRPr="001A29FC" w:rsidRDefault="008B3CF3" w:rsidP="00117824">
      <w:pPr>
        <w:spacing w:before="120" w:after="120" w:line="240" w:lineRule="auto"/>
        <w:ind w:firstLine="708"/>
        <w:contextualSpacing/>
        <w:jc w:val="both"/>
        <w:rPr>
          <w:rFonts w:ascii="Century Gothic" w:eastAsia="Century Gothic" w:hAnsi="Century Gothic" w:cs="Century Gothic"/>
          <w:color w:val="000000" w:themeColor="text1"/>
        </w:rPr>
      </w:pPr>
      <w:r w:rsidRPr="001A29FC">
        <w:rPr>
          <w:rFonts w:ascii="Century Gothic" w:eastAsia="Century Gothic" w:hAnsi="Century Gothic" w:cs="Century Gothic"/>
          <w:color w:val="000000" w:themeColor="text1"/>
        </w:rPr>
        <w:t xml:space="preserve">iv) A partir de la fecha establecida anteriormente, la evaluación de los indicadores de capacidad financiera –índice de liquidez, índice de endeudamiento y razón de cobertura de intereses– y organizacional –rentabilidad del patrimonio y rentabilidad del activo–, se deberá realizar por parte de las entidades estatales “teniendo en cuenta </w:t>
      </w:r>
      <w:r w:rsidRPr="001A29FC">
        <w:rPr>
          <w:rFonts w:ascii="Century Gothic" w:eastAsia="Century Gothic" w:hAnsi="Century Gothic" w:cs="Century Gothic"/>
          <w:i/>
          <w:iCs/>
          <w:color w:val="000000" w:themeColor="text1"/>
        </w:rPr>
        <w:t>el mejor año fiscal que se refleje en el registro</w:t>
      </w:r>
      <w:r w:rsidRPr="001A29FC">
        <w:rPr>
          <w:rFonts w:ascii="Century Gothic" w:eastAsia="Century Gothic" w:hAnsi="Century Gothic" w:cs="Century Gothic"/>
          <w:color w:val="000000" w:themeColor="text1"/>
        </w:rPr>
        <w:t xml:space="preserve"> de cada proponente” (Énfasis fuera de texto). </w:t>
      </w:r>
    </w:p>
    <w:p w14:paraId="00C2ADD4" w14:textId="77777777" w:rsidR="008B3CF3" w:rsidRPr="001A29FC" w:rsidRDefault="008B3CF3" w:rsidP="00117824">
      <w:pPr>
        <w:spacing w:before="120" w:after="120" w:line="240" w:lineRule="auto"/>
        <w:ind w:firstLine="709"/>
        <w:jc w:val="both"/>
        <w:rPr>
          <w:rFonts w:ascii="Century Gothic" w:eastAsiaTheme="minorEastAsia" w:hAnsi="Century Gothic" w:cs="Arial"/>
          <w:lang w:eastAsia="es-CO"/>
        </w:rPr>
      </w:pPr>
      <w:r w:rsidRPr="001A29FC">
        <w:rPr>
          <w:rFonts w:ascii="Century Gothic" w:eastAsia="Century Gothic" w:hAnsi="Century Gothic" w:cs="Century Gothic"/>
          <w:color w:val="000000" w:themeColor="text1"/>
        </w:rPr>
        <w:t xml:space="preserve">v) Dichas medidas se mantienen hasta el año 2023 en virtud de lo </w:t>
      </w:r>
      <w:r w:rsidRPr="001A29FC">
        <w:rPr>
          <w:rFonts w:ascii="Century Gothic" w:eastAsiaTheme="minorEastAsia" w:hAnsi="Century Gothic" w:cs="Arial"/>
          <w:lang w:eastAsia="es-CO"/>
        </w:rPr>
        <w:t>consagrado en el Decreto 1041 de 2022.</w:t>
      </w:r>
    </w:p>
    <w:p w14:paraId="47934ECB" w14:textId="77777777" w:rsidR="008B3CF3" w:rsidRPr="001A29FC" w:rsidRDefault="008B3CF3" w:rsidP="00117824">
      <w:pPr>
        <w:spacing w:before="120" w:after="120" w:line="240" w:lineRule="auto"/>
        <w:ind w:firstLine="709"/>
        <w:jc w:val="both"/>
        <w:rPr>
          <w:rFonts w:ascii="Century Gothic" w:eastAsia="Century Gothic" w:hAnsi="Century Gothic" w:cs="Century Gothic"/>
          <w:color w:val="000000" w:themeColor="text1"/>
        </w:rPr>
      </w:pPr>
      <w:r w:rsidRPr="001A29FC">
        <w:rPr>
          <w:rFonts w:ascii="Century Gothic" w:eastAsiaTheme="minorEastAsia" w:hAnsi="Century Gothic" w:cs="Arial"/>
          <w:lang w:eastAsia="es-CO"/>
        </w:rPr>
        <w:t>Ahora</w:t>
      </w:r>
      <w:r w:rsidRPr="001A29FC">
        <w:rPr>
          <w:rFonts w:ascii="Century Gothic" w:eastAsia="Century Gothic" w:hAnsi="Century Gothic" w:cs="Century Gothic"/>
          <w:color w:val="000000" w:themeColor="text1"/>
        </w:rPr>
        <w:t xml:space="preserve">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w:t>
      </w:r>
      <w:r w:rsidRPr="001A29FC">
        <w:rPr>
          <w:rFonts w:ascii="Century Gothic" w:eastAsia="Century Gothic" w:hAnsi="Century Gothic" w:cs="Century Gothic"/>
        </w:rPr>
        <w:t>Decreto 1041 de 2022</w:t>
      </w:r>
      <w:r w:rsidRPr="001A29FC">
        <w:rPr>
          <w:rFonts w:ascii="Century Gothic" w:eastAsia="Century Gothic" w:hAnsi="Century Gothic" w:cs="Century Gothic"/>
          <w:color w:val="000000" w:themeColor="text1"/>
        </w:rPr>
        <w:t>, establece que “[…] las Entidades Estatales evaluarán estos indicadores, teniendo en cuenta el mejor año fiscal que se refleje en el registro de cada proponente</w:t>
      </w:r>
      <w:r w:rsidRPr="001A29FC">
        <w:rPr>
          <w:rFonts w:ascii="Century Gothic" w:eastAsia="Century Gothic" w:hAnsi="Century Gothic" w:cs="Century Gothic"/>
          <w:i/>
          <w:iCs/>
          <w:color w:val="000000" w:themeColor="text1"/>
        </w:rPr>
        <w:t xml:space="preserve">”, </w:t>
      </w:r>
      <w:r w:rsidRPr="001A29FC">
        <w:rPr>
          <w:rFonts w:ascii="Century Gothic" w:eastAsia="Century Gothic" w:hAnsi="Century Gothic" w:cs="Century Gothic"/>
          <w:color w:val="000000" w:themeColor="text1"/>
        </w:rPr>
        <w:t>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7942A519" w14:textId="77777777" w:rsidR="008B3CF3" w:rsidRPr="001A29FC" w:rsidRDefault="008B3CF3" w:rsidP="00117824">
      <w:pPr>
        <w:spacing w:before="120" w:after="120" w:line="240" w:lineRule="auto"/>
        <w:ind w:firstLine="709"/>
        <w:jc w:val="both"/>
        <w:rPr>
          <w:rFonts w:ascii="Century Gothic" w:eastAsiaTheme="minorEastAsia" w:hAnsi="Century Gothic" w:cs="Arial"/>
          <w:lang w:eastAsia="es-CO"/>
        </w:rPr>
      </w:pPr>
      <w:r w:rsidRPr="001A29FC">
        <w:rPr>
          <w:rFonts w:ascii="Century Gothic" w:eastAsia="Century Gothic" w:hAnsi="Century Gothic" w:cs="Century Gothic"/>
          <w:color w:val="000000" w:themeColor="text1"/>
        </w:rPr>
        <w:t xml:space="preserve">De la explicación anterior, se desprende que 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un reglamento que prorrogue las medidas adoptadas, la capacidad financiera y organizacional debe acreditarse a la </w:t>
      </w:r>
      <w:r w:rsidRPr="001A29FC">
        <w:rPr>
          <w:rFonts w:ascii="Century Gothic" w:eastAsia="Century Gothic" w:hAnsi="Century Gothic" w:cs="Century Gothic"/>
          <w:color w:val="000000" w:themeColor="text1"/>
        </w:rPr>
        <w:lastRenderedPageBreak/>
        <w:t xml:space="preserve">Cámara de Comercio en las condiciones descritas en los numerales 1.3 y 2.3 del </w:t>
      </w:r>
      <w:r w:rsidRPr="001A29FC">
        <w:rPr>
          <w:rFonts w:ascii="Century Gothic" w:eastAsiaTheme="minorEastAsia" w:hAnsi="Century Gothic" w:cs="Arial"/>
          <w:lang w:eastAsia="es-CO"/>
        </w:rPr>
        <w:t xml:space="preserve">artículo 2.2.1.1.1.5.2 del Decreto 1082 de 2015.  </w:t>
      </w:r>
    </w:p>
    <w:p w14:paraId="0CC4B635" w14:textId="77777777" w:rsidR="008B3CF3" w:rsidRPr="001A29FC" w:rsidRDefault="008B3CF3" w:rsidP="001A29FC">
      <w:pPr>
        <w:spacing w:before="120" w:after="120" w:line="240" w:lineRule="auto"/>
        <w:ind w:firstLine="709"/>
        <w:jc w:val="both"/>
        <w:rPr>
          <w:rFonts w:ascii="Century Gothic" w:eastAsia="Century Gothic" w:hAnsi="Century Gothic" w:cs="Century Gothic"/>
          <w:color w:val="000000" w:themeColor="text1"/>
        </w:rPr>
      </w:pPr>
      <w:r w:rsidRPr="001A29FC">
        <w:rPr>
          <w:rFonts w:ascii="Century Gothic" w:eastAsiaTheme="minorEastAsia" w:hAnsi="Century Gothic" w:cs="Arial"/>
          <w:lang w:eastAsia="es-CO"/>
        </w:rPr>
        <w:t>Así, tratándose</w:t>
      </w:r>
      <w:r w:rsidRPr="001A29FC">
        <w:rPr>
          <w:rFonts w:ascii="Century Gothic" w:eastAsia="Century Gothic" w:hAnsi="Century Gothic" w:cs="Century Gothic"/>
          <w:color w:val="000000" w:themeColor="text1"/>
        </w:rPr>
        <w:t xml:space="preserv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718EC81F" w14:textId="77777777" w:rsidR="008B3CF3" w:rsidRPr="001A29FC" w:rsidRDefault="008B3CF3" w:rsidP="001A29FC">
      <w:pPr>
        <w:spacing w:before="120" w:after="120" w:line="240" w:lineRule="auto"/>
        <w:ind w:firstLine="709"/>
        <w:jc w:val="both"/>
        <w:rPr>
          <w:rFonts w:ascii="Century Gothic" w:eastAsiaTheme="minorEastAsia" w:hAnsi="Century Gothic" w:cs="Arial"/>
          <w:lang w:eastAsia="es-CO"/>
        </w:rPr>
      </w:pPr>
      <w:r w:rsidRPr="001A29FC">
        <w:rPr>
          <w:rFonts w:ascii="Century Gothic" w:eastAsia="Century Gothic" w:hAnsi="Century Gothic" w:cs="Century Gothic"/>
          <w:color w:val="000000" w:themeColor="text1"/>
        </w:rPr>
        <w:t xml:space="preserve">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w:t>
      </w:r>
      <w:r w:rsidRPr="001A29FC">
        <w:rPr>
          <w:rFonts w:ascii="Century Gothic" w:eastAsia="Century Gothic" w:hAnsi="Century Gothic" w:cs="Century Gothic"/>
          <w:i/>
          <w:iCs/>
          <w:color w:val="000000" w:themeColor="text1"/>
        </w:rPr>
        <w:t>ibidem</w:t>
      </w:r>
      <w:r w:rsidRPr="001A29FC">
        <w:rPr>
          <w:rFonts w:ascii="Century Gothic" w:eastAsia="Century Gothic" w:hAnsi="Century Gothic" w:cs="Century Gothic"/>
          <w:color w:val="000000" w:themeColor="text1"/>
        </w:rPr>
        <w:t xml:space="preserve"> –adicionados por el art. 6 del Decreto 399 de 2021 y sustituido por el art. 3 del Decreto 579 de 2021– es inaplicable por sustracción de materia. En consecuencia, cesa la posibilidad de acreditar los indicadores de los numerales 3 y 4 artículo 2.2.1.1.1.5.3 </w:t>
      </w:r>
      <w:r w:rsidRPr="001A29FC">
        <w:rPr>
          <w:rFonts w:ascii="Century Gothic" w:eastAsia="Century Gothic" w:hAnsi="Century Gothic" w:cs="Century Gothic"/>
          <w:i/>
          <w:iCs/>
          <w:color w:val="000000" w:themeColor="text1"/>
        </w:rPr>
        <w:t>ibidem</w:t>
      </w:r>
      <w:r w:rsidRPr="001A29FC">
        <w:rPr>
          <w:rFonts w:ascii="Century Gothic" w:eastAsia="Century Gothic" w:hAnsi="Century Gothic" w:cs="Century Gothic"/>
          <w:color w:val="000000" w:themeColor="text1"/>
        </w:rPr>
        <w:t xml:space="preserve"> teniendo en </w:t>
      </w:r>
      <w:r w:rsidRPr="001A29FC">
        <w:rPr>
          <w:rFonts w:ascii="Century Gothic" w:eastAsiaTheme="minorEastAsia" w:hAnsi="Century Gothic" w:cs="Arial"/>
          <w:lang w:eastAsia="es-CO"/>
        </w:rPr>
        <w:t>cuenta el mejor año fiscal que se refleje en el registro de cada proponente.</w:t>
      </w:r>
    </w:p>
    <w:p w14:paraId="0DA0484C" w14:textId="77777777" w:rsidR="008B3CF3" w:rsidRPr="001A29FC" w:rsidRDefault="008B3CF3" w:rsidP="001A29FC">
      <w:pPr>
        <w:spacing w:before="120" w:after="120" w:line="240" w:lineRule="auto"/>
        <w:ind w:firstLine="709"/>
        <w:jc w:val="both"/>
        <w:rPr>
          <w:rFonts w:ascii="Century Gothic" w:eastAsiaTheme="minorEastAsia" w:hAnsi="Century Gothic" w:cs="Arial"/>
          <w:lang w:eastAsia="es-CO"/>
        </w:rPr>
      </w:pPr>
      <w:r w:rsidRPr="001A29FC">
        <w:rPr>
          <w:rFonts w:ascii="Century Gothic" w:eastAsiaTheme="minorEastAsia" w:hAnsi="Century Gothic" w:cs="Arial"/>
          <w:lang w:eastAsia="es-CO"/>
        </w:rPr>
        <w:t>Estas</w:t>
      </w:r>
      <w:r w:rsidRPr="001A29FC">
        <w:rPr>
          <w:rFonts w:ascii="Century Gothic" w:eastAsia="Century Gothic" w:hAnsi="Century Gothic" w:cs="Century Gothic"/>
          <w:color w:val="000000" w:themeColor="text1"/>
        </w:rPr>
        <w:t xml:space="preserve">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–nums. 1.3 y 2.3 </w:t>
      </w:r>
      <w:r w:rsidRPr="001A29FC">
        <w:rPr>
          <w:rFonts w:ascii="Century Gothic" w:eastAsiaTheme="minorEastAsia" w:hAnsi="Century Gothic" w:cs="Arial"/>
          <w:lang w:eastAsia="es-CO"/>
        </w:rPr>
        <w:t>del artículo 2.2.1.1.1.5.2 del Decreto 1082 de 2015–.</w:t>
      </w:r>
    </w:p>
    <w:p w14:paraId="590248F9" w14:textId="77777777" w:rsidR="008B3CF3" w:rsidRPr="001A29FC" w:rsidRDefault="008B3CF3" w:rsidP="001A29FC">
      <w:pPr>
        <w:spacing w:before="120" w:after="120" w:line="240" w:lineRule="auto"/>
        <w:ind w:firstLine="709"/>
        <w:jc w:val="both"/>
        <w:rPr>
          <w:rFonts w:ascii="Century Gothic" w:eastAsia="Century Gothic" w:hAnsi="Century Gothic" w:cs="Century Gothic"/>
          <w:color w:val="000000" w:themeColor="text1"/>
        </w:rPr>
      </w:pPr>
      <w:r w:rsidRPr="001A29FC">
        <w:rPr>
          <w:rFonts w:ascii="Century Gothic" w:eastAsiaTheme="minorEastAsia" w:hAnsi="Century Gothic" w:cs="Arial"/>
          <w:lang w:eastAsia="es-CO"/>
        </w:rPr>
        <w:t>En ese</w:t>
      </w:r>
      <w:r w:rsidRPr="001A29FC">
        <w:rPr>
          <w:rFonts w:ascii="Century Gothic" w:eastAsia="Century Gothic" w:hAnsi="Century Gothic" w:cs="Century Gothic"/>
          <w:color w:val="000000" w:themeColor="text1"/>
        </w:rPr>
        <w:t xml:space="preserv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w:t>
      </w:r>
      <w:r w:rsidRPr="001A29FC">
        <w:rPr>
          <w:rFonts w:ascii="Century Gothic" w:eastAsia="Century Gothic" w:hAnsi="Century Gothic" w:cs="Century Gothic"/>
          <w:color w:val="000000" w:themeColor="text1"/>
        </w:rPr>
        <w:lastRenderedPageBreak/>
        <w:t xml:space="preserve">RUP vigente, teniendo en cuenta que allí también reposa la información correspondiente al último año fiscal.  </w:t>
      </w:r>
    </w:p>
    <w:p w14:paraId="47B66F98" w14:textId="77777777" w:rsidR="008B3CF3" w:rsidRPr="00A91C92" w:rsidRDefault="008B3CF3" w:rsidP="008B3CF3">
      <w:pPr>
        <w:spacing w:after="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3CE3ECB7" w14:textId="77777777" w:rsidR="008B3CF3" w:rsidRPr="00A91C92" w:rsidRDefault="008B3CF3" w:rsidP="008B3CF3">
      <w:pPr>
        <w:tabs>
          <w:tab w:val="left" w:pos="0"/>
        </w:tabs>
        <w:spacing w:after="0" w:line="257" w:lineRule="auto"/>
        <w:contextualSpacing/>
        <w:rPr>
          <w:rFonts w:ascii="Century Gothic" w:eastAsia="Century Gothic" w:hAnsi="Century Gothic" w:cs="Century Gothic"/>
          <w:b/>
          <w:bCs/>
          <w:color w:val="000000" w:themeColor="text1"/>
          <w:sz w:val="24"/>
        </w:rPr>
      </w:pPr>
      <w:r w:rsidRPr="2F7B58A8">
        <w:rPr>
          <w:rFonts w:ascii="Century Gothic" w:eastAsia="Century Gothic" w:hAnsi="Century Gothic" w:cs="Century Gothic"/>
          <w:b/>
          <w:bCs/>
          <w:color w:val="000000" w:themeColor="text1"/>
          <w:sz w:val="24"/>
        </w:rPr>
        <w:t>3. Respuesta</w:t>
      </w:r>
    </w:p>
    <w:p w14:paraId="0EFD01CC" w14:textId="77777777" w:rsidR="008B3CF3" w:rsidRPr="00A91C92" w:rsidRDefault="008B3CF3" w:rsidP="008B3CF3">
      <w:pPr>
        <w:spacing w:after="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1B3AB65E" w14:textId="77777777" w:rsidR="008B3CF3" w:rsidRPr="00B617F7" w:rsidRDefault="008B3CF3" w:rsidP="00117824">
      <w:pPr>
        <w:spacing w:after="0" w:line="240" w:lineRule="auto"/>
        <w:ind w:left="709" w:right="709"/>
        <w:jc w:val="both"/>
        <w:textAlignment w:val="baseline"/>
        <w:rPr>
          <w:rFonts w:ascii="Century Gothic" w:hAnsi="Century Gothic" w:cs="Arial"/>
          <w:sz w:val="21"/>
          <w:szCs w:val="21"/>
          <w:shd w:val="clear" w:color="auto" w:fill="FFFFFF"/>
        </w:rPr>
      </w:pPr>
      <w:r>
        <w:rPr>
          <w:rFonts w:ascii="Century Gothic" w:hAnsi="Century Gothic" w:cs="Arial"/>
          <w:sz w:val="21"/>
          <w:szCs w:val="21"/>
          <w:shd w:val="clear" w:color="auto" w:fill="FFFFFF"/>
        </w:rPr>
        <w:t xml:space="preserve">“- </w:t>
      </w:r>
      <w:r w:rsidRPr="00B617F7">
        <w:rPr>
          <w:rFonts w:ascii="Century Gothic" w:hAnsi="Century Gothic" w:cs="Arial"/>
          <w:sz w:val="21"/>
          <w:szCs w:val="21"/>
          <w:shd w:val="clear" w:color="auto" w:fill="FFFFFF"/>
        </w:rPr>
        <w:t>¿se deben seguir evaluando los tres (3) años fiscales anteriores que se encuentren reportados en el RUP?</w:t>
      </w:r>
    </w:p>
    <w:p w14:paraId="36730406" w14:textId="77777777" w:rsidR="008B3CF3" w:rsidRPr="00A91C92" w:rsidRDefault="008B3CF3" w:rsidP="00117824">
      <w:pPr>
        <w:spacing w:after="0" w:line="240" w:lineRule="auto"/>
        <w:ind w:left="709" w:right="709"/>
        <w:contextualSpacing/>
        <w:jc w:val="both"/>
        <w:rPr>
          <w:rFonts w:ascii="Century Gothic" w:eastAsia="Century Gothic" w:hAnsi="Century Gothic" w:cs="Century Gothic"/>
          <w:color w:val="000000" w:themeColor="text1"/>
          <w:sz w:val="21"/>
          <w:szCs w:val="21"/>
        </w:rPr>
      </w:pPr>
      <w:r w:rsidRPr="00B617F7">
        <w:rPr>
          <w:rFonts w:ascii="Century Gothic" w:hAnsi="Century Gothic" w:cs="Arial"/>
          <w:sz w:val="21"/>
          <w:szCs w:val="21"/>
          <w:shd w:val="clear" w:color="auto" w:fill="FFFFFF"/>
        </w:rPr>
        <w:t>- ¿teniendo en cuenta que no existe reglamentación al respecto, se debe evaluar solo el último año que se encuentre en firme y no conceder el beneficio de evaluar los últimos 3 años, esto teniendo en cuenta las consideraciones que motivaron entre tras el Decreto 5</w:t>
      </w:r>
      <w:r>
        <w:rPr>
          <w:rFonts w:ascii="Century Gothic" w:hAnsi="Century Gothic" w:cs="Arial"/>
          <w:sz w:val="21"/>
          <w:szCs w:val="21"/>
          <w:shd w:val="clear" w:color="auto" w:fill="FFFFFF"/>
        </w:rPr>
        <w:t>79</w:t>
      </w:r>
      <w:r w:rsidRPr="00B617F7">
        <w:rPr>
          <w:rFonts w:ascii="Century Gothic" w:hAnsi="Century Gothic" w:cs="Arial"/>
          <w:sz w:val="21"/>
          <w:szCs w:val="21"/>
          <w:shd w:val="clear" w:color="auto" w:fill="FFFFFF"/>
        </w:rPr>
        <w:t xml:space="preserve"> de 202</w:t>
      </w:r>
      <w:r>
        <w:rPr>
          <w:rFonts w:ascii="Century Gothic" w:hAnsi="Century Gothic" w:cs="Arial"/>
          <w:sz w:val="21"/>
          <w:szCs w:val="21"/>
          <w:shd w:val="clear" w:color="auto" w:fill="FFFFFF"/>
        </w:rPr>
        <w:t>1?”</w:t>
      </w:r>
    </w:p>
    <w:p w14:paraId="756E25C8" w14:textId="77777777" w:rsidR="008B3CF3" w:rsidRPr="009D2B60" w:rsidRDefault="008B3CF3" w:rsidP="008B3CF3">
      <w:pPr>
        <w:spacing w:after="0" w:line="276" w:lineRule="auto"/>
        <w:ind w:firstLine="708"/>
        <w:jc w:val="both"/>
        <w:rPr>
          <w:rFonts w:ascii="Century Gothic" w:eastAsia="Times New Roman" w:hAnsi="Century Gothic" w:cs="Arial"/>
        </w:rPr>
      </w:pPr>
    </w:p>
    <w:p w14:paraId="1DAC4E10" w14:textId="77777777" w:rsidR="008B3CF3" w:rsidRPr="001A29FC" w:rsidRDefault="008B3CF3" w:rsidP="001A29FC">
      <w:pPr>
        <w:spacing w:before="122" w:after="120" w:line="276" w:lineRule="auto"/>
        <w:ind w:firstLine="709"/>
        <w:jc w:val="both"/>
        <w:rPr>
          <w:rFonts w:ascii="Century Gothic" w:eastAsiaTheme="minorEastAsia" w:hAnsi="Century Gothic" w:cs="Arial"/>
          <w:lang w:eastAsia="es-CO"/>
        </w:rPr>
      </w:pPr>
      <w:r w:rsidRPr="00117824">
        <w:rPr>
          <w:rFonts w:ascii="Century Gothic" w:eastAsia="Century Gothic" w:hAnsi="Century Gothic" w:cs="Century Gothic"/>
          <w:color w:val="000000" w:themeColor="text1"/>
        </w:rPr>
        <w:t>De acuerdo con la interpretación general de las normas que conforman el sistema de compras públicas,</w:t>
      </w:r>
      <w:r w:rsidRPr="001A29FC">
        <w:rPr>
          <w:rFonts w:ascii="Century Gothic" w:eastAsia="Century Gothic" w:hAnsi="Century Gothic" w:cs="Century Gothic"/>
          <w:b/>
          <w:bCs/>
          <w:color w:val="000000" w:themeColor="text1"/>
        </w:rPr>
        <w:t xml:space="preserve"> </w:t>
      </w:r>
      <w:r w:rsidRPr="001A29FC">
        <w:rPr>
          <w:rFonts w:ascii="Century Gothic" w:eastAsia="Century Gothic" w:hAnsi="Century Gothic" w:cs="Century Gothic"/>
          <w:color w:val="000000" w:themeColor="text1"/>
        </w:rPr>
        <w:t xml:space="preserve">El parágrafo transitorio 1 dispone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w:t>
      </w:r>
      <w:r w:rsidRPr="001A29FC">
        <w:rPr>
          <w:rFonts w:ascii="Century Gothic" w:eastAsiaTheme="minorEastAsia" w:hAnsi="Century Gothic" w:cs="Arial"/>
          <w:lang w:eastAsia="es-CO"/>
        </w:rPr>
        <w:t>información.</w:t>
      </w:r>
    </w:p>
    <w:p w14:paraId="763B7E92" w14:textId="77777777" w:rsidR="008B3CF3" w:rsidRPr="001A29FC" w:rsidRDefault="008B3CF3" w:rsidP="001A29FC">
      <w:pPr>
        <w:spacing w:before="122" w:after="120" w:line="276" w:lineRule="auto"/>
        <w:ind w:firstLine="709"/>
        <w:jc w:val="both"/>
        <w:rPr>
          <w:rFonts w:ascii="Century Gothic" w:eastAsia="Century Gothic" w:hAnsi="Century Gothic" w:cs="Century Gothic"/>
          <w:color w:val="000000" w:themeColor="text1"/>
        </w:rPr>
      </w:pPr>
      <w:r w:rsidRPr="001A29FC">
        <w:rPr>
          <w:rFonts w:ascii="Century Gothic" w:eastAsiaTheme="minorEastAsia" w:hAnsi="Century Gothic" w:cs="Arial"/>
          <w:lang w:eastAsia="es-CO"/>
        </w:rPr>
        <w:t>El parágrafo</w:t>
      </w:r>
      <w:r w:rsidRPr="001A29FC">
        <w:rPr>
          <w:rFonts w:ascii="Century Gothic" w:eastAsia="Century Gothic" w:hAnsi="Century Gothic" w:cs="Century Gothic"/>
          <w:color w:val="000000" w:themeColor="text1"/>
        </w:rPr>
        <w:t xml:space="preserve"> transitorio 2 señala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w:t>
      </w:r>
    </w:p>
    <w:p w14:paraId="6373A12C" w14:textId="77777777" w:rsidR="008B3CF3" w:rsidRPr="001A29FC" w:rsidRDefault="008B3CF3" w:rsidP="001A29FC">
      <w:pPr>
        <w:spacing w:before="122" w:after="120" w:line="276" w:lineRule="auto"/>
        <w:ind w:firstLine="709"/>
        <w:jc w:val="both"/>
        <w:rPr>
          <w:rFonts w:ascii="Century Gothic" w:eastAsiaTheme="minorEastAsia" w:hAnsi="Century Gothic" w:cs="Arial"/>
          <w:lang w:eastAsia="es-CO"/>
        </w:rPr>
      </w:pPr>
      <w:r w:rsidRPr="001A29FC">
        <w:rPr>
          <w:rFonts w:ascii="Century Gothic" w:eastAsia="Century Gothic" w:hAnsi="Century Gothic" w:cs="Century Gothic"/>
          <w:color w:val="000000" w:themeColor="text1"/>
        </w:rPr>
        <w:t xml:space="preserve">En igual sentido, </w:t>
      </w:r>
      <w:r w:rsidRPr="001A29FC">
        <w:rPr>
          <w:rFonts w:ascii="Century Gothic" w:eastAsia="Century Gothic" w:hAnsi="Century Gothic" w:cs="Century Gothic"/>
          <w:i/>
          <w:iCs/>
          <w:color w:val="000000" w:themeColor="text1"/>
        </w:rPr>
        <w:t xml:space="preserve">el parágrafo transitorio 3 incluido por el </w:t>
      </w:r>
      <w:r w:rsidRPr="001A29FC">
        <w:rPr>
          <w:rFonts w:ascii="Century Gothic" w:eastAsia="Century Gothic" w:hAnsi="Century Gothic" w:cs="Century Gothic"/>
          <w:i/>
          <w:iCs/>
        </w:rPr>
        <w:t xml:space="preserve">Decreto 1041 de 2022 </w:t>
      </w:r>
      <w:r w:rsidRPr="001A29FC">
        <w:rPr>
          <w:rFonts w:ascii="Century Gothic" w:eastAsia="Century Gothic" w:hAnsi="Century Gothic" w:cs="Century Gothic"/>
        </w:rPr>
        <w:t xml:space="preserve">mantuvo la anterior medida para el año 2023, permitiendo que para </w:t>
      </w:r>
      <w:r w:rsidRPr="001A29FC">
        <w:rPr>
          <w:rFonts w:ascii="Century Gothic" w:eastAsia="Century Gothic" w:hAnsi="Century Gothic" w:cs="Century Gothic"/>
          <w:color w:val="000000" w:themeColor="text1"/>
        </w:rPr>
        <w:t xml:space="preserve">la inscripción en el RUP o para su renovación, el interesado pueda reportar la </w:t>
      </w:r>
      <w:r w:rsidRPr="001A29FC">
        <w:rPr>
          <w:rFonts w:ascii="Century Gothic" w:eastAsiaTheme="minorEastAsia" w:hAnsi="Century Gothic" w:cs="Arial"/>
          <w:lang w:eastAsia="es-CO"/>
        </w:rPr>
        <w:t xml:space="preserve">información contable y los estados financieros de los tres últimos años fiscales. </w:t>
      </w:r>
    </w:p>
    <w:p w14:paraId="65FAF1D2" w14:textId="77777777" w:rsidR="008B3CF3" w:rsidRPr="001A29FC" w:rsidRDefault="008B3CF3" w:rsidP="001A29FC">
      <w:pPr>
        <w:spacing w:before="120" w:after="120" w:line="240" w:lineRule="auto"/>
        <w:ind w:firstLine="709"/>
        <w:jc w:val="both"/>
        <w:rPr>
          <w:rFonts w:ascii="Century Gothic" w:eastAsia="Century Gothic" w:hAnsi="Century Gothic" w:cs="Century Gothic"/>
          <w:color w:val="000000" w:themeColor="text1"/>
        </w:rPr>
      </w:pPr>
      <w:r w:rsidRPr="001A29FC">
        <w:rPr>
          <w:rFonts w:ascii="Century Gothic" w:eastAsiaTheme="minorEastAsia" w:hAnsi="Century Gothic" w:cs="Arial"/>
          <w:lang w:eastAsia="es-CO"/>
        </w:rPr>
        <w:t>Así,</w:t>
      </w:r>
      <w:r w:rsidRPr="001A29FC">
        <w:rPr>
          <w:rFonts w:ascii="Century Gothic" w:eastAsia="Century Gothic" w:hAnsi="Century Gothic" w:cs="Century Gothic"/>
          <w:color w:val="000000" w:themeColor="text1"/>
        </w:rPr>
        <w:t xml:space="preserve">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w:t>
      </w:r>
      <w:r w:rsidRPr="001A29FC">
        <w:rPr>
          <w:rFonts w:ascii="Century Gothic" w:eastAsia="Century Gothic" w:hAnsi="Century Gothic" w:cs="Century Gothic"/>
          <w:color w:val="000000" w:themeColor="text1"/>
        </w:rPr>
        <w:lastRenderedPageBreak/>
        <w:t>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671BE126" w14:textId="77777777" w:rsidR="008B3CF3" w:rsidRPr="001A29FC" w:rsidRDefault="008B3CF3" w:rsidP="001A29FC">
      <w:pPr>
        <w:spacing w:before="120" w:after="120" w:line="240" w:lineRule="auto"/>
        <w:ind w:firstLine="709"/>
        <w:jc w:val="both"/>
        <w:rPr>
          <w:rFonts w:ascii="Century Gothic" w:eastAsiaTheme="minorEastAsia" w:hAnsi="Century Gothic" w:cs="Arial"/>
          <w:lang w:eastAsia="es-CO"/>
        </w:rPr>
      </w:pPr>
      <w:r w:rsidRPr="001A29FC">
        <w:rPr>
          <w:rFonts w:ascii="Century Gothic" w:eastAsia="Century Gothic" w:hAnsi="Century Gothic" w:cs="Century Gothic"/>
          <w:color w:val="000000" w:themeColor="text1"/>
        </w:rPr>
        <w:t xml:space="preserve">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w:t>
      </w:r>
      <w:r w:rsidRPr="001A29FC">
        <w:rPr>
          <w:rFonts w:ascii="Century Gothic" w:eastAsia="Century Gothic" w:hAnsi="Century Gothic" w:cs="Century Gothic"/>
          <w:i/>
          <w:iCs/>
          <w:color w:val="000000" w:themeColor="text1"/>
        </w:rPr>
        <w:t>ibidem</w:t>
      </w:r>
      <w:r w:rsidRPr="001A29FC">
        <w:rPr>
          <w:rFonts w:ascii="Century Gothic" w:eastAsia="Century Gothic" w:hAnsi="Century Gothic" w:cs="Century Gothic"/>
          <w:color w:val="000000" w:themeColor="text1"/>
        </w:rPr>
        <w:t xml:space="preserve"> –adicionados por el art. 6 del Decreto 399 de 2021 y sustituido por el art. 3 del Decreto 579 de 2021– es inaplicable por sustracción de materia. En consecuencia, cesa la posibilidad de acreditar los indicadores de los numerales 3 y 4 artículo 2.2.1.1.1.5.3 </w:t>
      </w:r>
      <w:r w:rsidRPr="001A29FC">
        <w:rPr>
          <w:rFonts w:ascii="Century Gothic" w:eastAsia="Century Gothic" w:hAnsi="Century Gothic" w:cs="Century Gothic"/>
          <w:i/>
          <w:iCs/>
          <w:color w:val="000000" w:themeColor="text1"/>
        </w:rPr>
        <w:t>ibidem</w:t>
      </w:r>
      <w:r w:rsidRPr="001A29FC">
        <w:rPr>
          <w:rFonts w:ascii="Century Gothic" w:eastAsia="Century Gothic" w:hAnsi="Century Gothic" w:cs="Century Gothic"/>
          <w:color w:val="000000" w:themeColor="text1"/>
        </w:rPr>
        <w:t xml:space="preserve"> teniendo en cuenta el mejor año fiscal que se refleje en el registro de cada </w:t>
      </w:r>
      <w:r w:rsidRPr="001A29FC">
        <w:rPr>
          <w:rFonts w:ascii="Century Gothic" w:eastAsiaTheme="minorEastAsia" w:hAnsi="Century Gothic" w:cs="Arial"/>
          <w:lang w:eastAsia="es-CO"/>
        </w:rPr>
        <w:t>proponente.</w:t>
      </w:r>
    </w:p>
    <w:p w14:paraId="3399632B" w14:textId="77777777" w:rsidR="008B3CF3" w:rsidRPr="001A29FC" w:rsidRDefault="008B3CF3" w:rsidP="001A29FC">
      <w:pPr>
        <w:spacing w:before="120" w:after="120" w:line="240" w:lineRule="auto"/>
        <w:ind w:firstLine="709"/>
        <w:jc w:val="both"/>
        <w:rPr>
          <w:rFonts w:ascii="Century Gothic" w:eastAsia="Century Gothic" w:hAnsi="Century Gothic" w:cs="Century Gothic"/>
          <w:color w:val="000000" w:themeColor="text1"/>
        </w:rPr>
      </w:pPr>
      <w:r w:rsidRPr="001A29FC">
        <w:rPr>
          <w:rFonts w:ascii="Century Gothic" w:eastAsiaTheme="minorEastAsia" w:hAnsi="Century Gothic" w:cs="Arial"/>
          <w:lang w:eastAsia="es-CO"/>
        </w:rPr>
        <w:t>Estas normas</w:t>
      </w:r>
      <w:r w:rsidRPr="001A29FC">
        <w:rPr>
          <w:rFonts w:ascii="Century Gothic" w:eastAsia="Century Gothic" w:hAnsi="Century Gothic" w:cs="Century Gothic"/>
          <w:color w:val="000000" w:themeColor="text1"/>
        </w:rPr>
        <w:t xml:space="preserve">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–nums. 1.3 y 2.3 del artículo 2.2.1.1.1.5.2 del Decreto 1082 de 2015–.</w:t>
      </w:r>
    </w:p>
    <w:p w14:paraId="1E7E45D6" w14:textId="77777777" w:rsidR="008B3CF3" w:rsidRPr="001A29FC" w:rsidRDefault="008B3CF3" w:rsidP="001A29FC">
      <w:pPr>
        <w:spacing w:before="122" w:after="120" w:line="276" w:lineRule="auto"/>
        <w:ind w:firstLine="709"/>
        <w:jc w:val="both"/>
        <w:rPr>
          <w:rFonts w:ascii="Century Gothic" w:eastAsiaTheme="minorEastAsia" w:hAnsi="Century Gothic" w:cs="Arial"/>
          <w:lang w:eastAsia="es-CO"/>
        </w:rPr>
      </w:pPr>
      <w:r w:rsidRPr="001A29FC">
        <w:rPr>
          <w:rFonts w:ascii="Century Gothic" w:eastAsia="Century Gothic" w:hAnsi="Century Gothic" w:cs="Century Gothic"/>
          <w:color w:val="000000" w:themeColor="text1"/>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w:t>
      </w:r>
      <w:r w:rsidRPr="001A29FC">
        <w:rPr>
          <w:rFonts w:ascii="Century Gothic" w:eastAsiaTheme="minorEastAsia" w:hAnsi="Century Gothic" w:cs="Arial"/>
          <w:lang w:eastAsia="es-CO"/>
        </w:rPr>
        <w:t xml:space="preserve">correspondiente al último año fiscal.  </w:t>
      </w:r>
    </w:p>
    <w:p w14:paraId="6D49D4B8" w14:textId="2E396247" w:rsidR="008B3CF3" w:rsidRPr="00117824" w:rsidRDefault="008B3CF3" w:rsidP="001A29FC">
      <w:pPr>
        <w:spacing w:before="120" w:after="120" w:line="240" w:lineRule="auto"/>
        <w:ind w:firstLine="709"/>
        <w:jc w:val="both"/>
        <w:rPr>
          <w:rFonts w:ascii="Century Gothic" w:eastAsia="Century Gothic" w:hAnsi="Century Gothic" w:cs="Century Gothic"/>
          <w:color w:val="000000" w:themeColor="text1"/>
        </w:rPr>
      </w:pPr>
      <w:r w:rsidRPr="001A29FC">
        <w:rPr>
          <w:rFonts w:ascii="Century Gothic" w:eastAsiaTheme="minorEastAsia" w:hAnsi="Century Gothic" w:cs="Arial"/>
          <w:lang w:eastAsia="es-CO"/>
        </w:rPr>
        <w:t xml:space="preserve">   </w:t>
      </w:r>
      <w:r w:rsidRPr="00117824">
        <w:rPr>
          <w:rFonts w:ascii="Century Gothic" w:eastAsiaTheme="minorEastAsia" w:hAnsi="Century Gothic" w:cs="Arial"/>
          <w:lang w:eastAsia="es-CO"/>
        </w:rPr>
        <w:t>En conclusión</w:t>
      </w:r>
      <w:r w:rsidRPr="00117824">
        <w:rPr>
          <w:rFonts w:ascii="Century Gothic" w:eastAsia="Century Gothic" w:hAnsi="Century Gothic" w:cs="Century Gothic"/>
          <w:lang w:val="es"/>
        </w:rPr>
        <w:t xml:space="preserve">, resulta valido afirmar que la posibilidad que tenían los oferentes de acreditar el mejor año fiscal de los tres últimos registrados en el RUP, finalizo el último día de la vigencia 2023, en consecuencia y en observancia del derecho a la igualdad con aquellos oferentes que en la vigencia 2024 ya se han inscrito o renovado su RUP y solo cuentan en el mismo con la información del último </w:t>
      </w:r>
      <w:r w:rsidRPr="00117824">
        <w:rPr>
          <w:rFonts w:ascii="Century Gothic" w:eastAsia="Century Gothic" w:hAnsi="Century Gothic" w:cs="Century Gothic"/>
          <w:lang w:val="es"/>
        </w:rPr>
        <w:lastRenderedPageBreak/>
        <w:t xml:space="preserve">año fiscal, las entidades deben estructurar la solicitud de indicadores financieros para sus procesos con referencia a lo dispuesto en </w:t>
      </w:r>
      <w:r w:rsidRPr="00117824">
        <w:rPr>
          <w:rFonts w:ascii="Century Gothic" w:eastAsia="Century Gothic" w:hAnsi="Century Gothic" w:cs="Century Gothic"/>
          <w:color w:val="000000" w:themeColor="text1"/>
        </w:rPr>
        <w:t>los numerales 1.3 y 2.3 del artículo 2.2.1.1.1.5.2 del Decreto 1082 de 2015.</w:t>
      </w:r>
    </w:p>
    <w:p w14:paraId="4472769A" w14:textId="77777777" w:rsidR="008B3CF3" w:rsidRPr="00117824" w:rsidRDefault="008B3CF3" w:rsidP="008B3CF3">
      <w:pPr>
        <w:tabs>
          <w:tab w:val="left" w:pos="426"/>
        </w:tabs>
        <w:spacing w:after="0" w:line="276" w:lineRule="auto"/>
        <w:contextualSpacing/>
        <w:rPr>
          <w:rFonts w:ascii="Century Gothic" w:eastAsia="Century Gothic" w:hAnsi="Century Gothic" w:cs="Century Gothic"/>
          <w:lang w:val="es"/>
        </w:rPr>
      </w:pPr>
      <w:r w:rsidRPr="00117824">
        <w:rPr>
          <w:rFonts w:ascii="Century Gothic" w:eastAsia="Century Gothic" w:hAnsi="Century Gothic" w:cs="Century Gothic"/>
          <w:lang w:val="es"/>
        </w:rPr>
        <w:t xml:space="preserve"> </w:t>
      </w:r>
    </w:p>
    <w:p w14:paraId="763CD12D" w14:textId="77777777" w:rsidR="008B3CF3" w:rsidRPr="001A29FC" w:rsidRDefault="008B3CF3" w:rsidP="008B3CF3">
      <w:pPr>
        <w:spacing w:after="0" w:line="276" w:lineRule="auto"/>
        <w:contextualSpacing/>
        <w:rPr>
          <w:rFonts w:ascii="Century Gothic" w:eastAsia="Century Gothic" w:hAnsi="Century Gothic" w:cs="Century Gothic"/>
          <w:color w:val="000000" w:themeColor="text1"/>
        </w:rPr>
      </w:pPr>
      <w:r w:rsidRPr="001A29FC">
        <w:rPr>
          <w:rFonts w:ascii="Century Gothic" w:eastAsia="Century Gothic" w:hAnsi="Century Gothic" w:cs="Century Gothic"/>
          <w:color w:val="000000" w:themeColor="text1"/>
        </w:rPr>
        <w:t>Este concepto tiene el alcance previsto en el artículo 28 del Código de Procedimiento Administrativo y de lo Contencioso Administrativo.</w:t>
      </w:r>
    </w:p>
    <w:p w14:paraId="1631A662" w14:textId="77777777" w:rsidR="008B3CF3" w:rsidRDefault="008B3CF3" w:rsidP="008B3CF3">
      <w:pPr>
        <w:tabs>
          <w:tab w:val="left" w:pos="426"/>
        </w:tabs>
        <w:spacing w:line="276" w:lineRule="auto"/>
        <w:contextualSpacing/>
        <w:rPr>
          <w:rFonts w:ascii="Century Gothic" w:eastAsia="Century Gothic" w:hAnsi="Century Gothic" w:cs="Century Gothic"/>
          <w:color w:val="000000" w:themeColor="text1"/>
          <w:sz w:val="24"/>
        </w:rPr>
      </w:pPr>
    </w:p>
    <w:p w14:paraId="09C8BAF9" w14:textId="77777777" w:rsidR="008B3CF3" w:rsidRPr="001A29FC" w:rsidRDefault="008B3CF3" w:rsidP="008B3CF3">
      <w:pPr>
        <w:tabs>
          <w:tab w:val="left" w:pos="426"/>
        </w:tabs>
        <w:spacing w:line="276" w:lineRule="auto"/>
        <w:contextualSpacing/>
        <w:rPr>
          <w:rFonts w:ascii="Century Gothic" w:eastAsia="Century Gothic" w:hAnsi="Century Gothic" w:cs="Century Gothic"/>
          <w:color w:val="000000" w:themeColor="text1"/>
        </w:rPr>
      </w:pPr>
      <w:bookmarkStart w:id="4" w:name="_Hlk161818508"/>
      <w:r w:rsidRPr="001A29FC">
        <w:rPr>
          <w:rFonts w:ascii="Century Gothic" w:eastAsia="Century Gothic" w:hAnsi="Century Gothic" w:cs="Century Gothic"/>
          <w:color w:val="000000" w:themeColor="text1"/>
        </w:rPr>
        <w:t>Atentamente,</w:t>
      </w:r>
    </w:p>
    <w:bookmarkEnd w:id="4"/>
    <w:p w14:paraId="74B98CDD" w14:textId="77777777" w:rsidR="008B3CF3" w:rsidRDefault="008B3CF3" w:rsidP="008B3CF3">
      <w:pPr>
        <w:tabs>
          <w:tab w:val="left" w:pos="426"/>
        </w:tabs>
        <w:spacing w:line="276" w:lineRule="auto"/>
        <w:contextualSpacing/>
        <w:rPr>
          <w:rFonts w:ascii="Century Gothic" w:eastAsia="Century Gothic" w:hAnsi="Century Gothic" w:cs="Century Gothic"/>
          <w:color w:val="000000" w:themeColor="text1"/>
          <w:sz w:val="24"/>
        </w:rPr>
      </w:pPr>
    </w:p>
    <w:p w14:paraId="0D5DF326" w14:textId="03F5EFC9" w:rsidR="008B3CF3" w:rsidRPr="00C619FB" w:rsidRDefault="00764759" w:rsidP="008B3CF3">
      <w:pPr>
        <w:autoSpaceDE w:val="0"/>
        <w:autoSpaceDN w:val="0"/>
        <w:adjustRightInd w:val="0"/>
        <w:spacing w:line="240" w:lineRule="auto"/>
        <w:jc w:val="center"/>
        <w:rPr>
          <w:rFonts w:ascii="Arial" w:hAnsi="Arial" w:cs="Arial"/>
        </w:rPr>
      </w:pPr>
      <w:r>
        <w:rPr>
          <w:noProof/>
        </w:rPr>
        <w:drawing>
          <wp:inline distT="0" distB="0" distL="0" distR="0" wp14:anchorId="0CFCB190" wp14:editId="553495F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24"/>
                    <a:stretch>
                      <a:fillRect/>
                    </a:stretch>
                  </pic:blipFill>
                  <pic:spPr>
                    <a:xfrm>
                      <a:off x="0" y="0"/>
                      <a:ext cx="2785707" cy="1068836"/>
                    </a:xfrm>
                    <a:prstGeom prst="rect">
                      <a:avLst/>
                    </a:prstGeom>
                  </pic:spPr>
                </pic:pic>
              </a:graphicData>
            </a:graphic>
          </wp:inline>
        </w:drawing>
      </w:r>
    </w:p>
    <w:p w14:paraId="6845ABD4" w14:textId="77777777" w:rsidR="008B3CF3" w:rsidRPr="00C619FB" w:rsidRDefault="008B3CF3" w:rsidP="008B3CF3">
      <w:pPr>
        <w:autoSpaceDE w:val="0"/>
        <w:autoSpaceDN w:val="0"/>
        <w:adjustRightInd w:val="0"/>
        <w:spacing w:line="240" w:lineRule="auto"/>
        <w:jc w:val="center"/>
        <w:rPr>
          <w:rFonts w:ascii="Arial" w:hAnsi="Arial" w:cs="Arial"/>
        </w:rPr>
      </w:pPr>
    </w:p>
    <w:tbl>
      <w:tblPr>
        <w:tblW w:w="53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
        <w:gridCol w:w="4214"/>
        <w:gridCol w:w="425"/>
      </w:tblGrid>
      <w:tr w:rsidR="008B3CF3" w:rsidRPr="00693C05" w14:paraId="3EEBCDB9" w14:textId="77777777" w:rsidTr="78EA0049">
        <w:trPr>
          <w:trHeight w:val="315"/>
        </w:trPr>
        <w:tc>
          <w:tcPr>
            <w:tcW w:w="748" w:type="dxa"/>
            <w:tcBorders>
              <w:top w:val="nil"/>
              <w:left w:val="nil"/>
              <w:bottom w:val="nil"/>
              <w:right w:val="nil"/>
            </w:tcBorders>
            <w:vAlign w:val="center"/>
            <w:hideMark/>
          </w:tcPr>
          <w:p w14:paraId="53DDD89A"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r w:rsidRPr="00693C05">
              <w:rPr>
                <w:rFonts w:ascii="Arial" w:eastAsia="Times New Roman" w:hAnsi="Arial" w:cs="Arial"/>
                <w:kern w:val="2"/>
                <w:sz w:val="14"/>
                <w:szCs w:val="14"/>
                <w:lang w:eastAsia="es-CO"/>
                <w14:ligatures w14:val="standardContextual"/>
              </w:rPr>
              <w:t>Elaboró: </w:t>
            </w:r>
          </w:p>
        </w:tc>
        <w:tc>
          <w:tcPr>
            <w:tcW w:w="4214" w:type="dxa"/>
            <w:tcBorders>
              <w:top w:val="nil"/>
              <w:left w:val="nil"/>
              <w:bottom w:val="dotted" w:sz="6" w:space="0" w:color="7F7F7F" w:themeColor="text1" w:themeTint="80"/>
              <w:right w:val="nil"/>
            </w:tcBorders>
            <w:vAlign w:val="center"/>
            <w:hideMark/>
          </w:tcPr>
          <w:p w14:paraId="00CB7E11"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r w:rsidRPr="00693C05">
              <w:rPr>
                <w:rFonts w:ascii="Arial" w:eastAsia="Times New Roman" w:hAnsi="Arial" w:cs="Arial"/>
                <w:kern w:val="2"/>
                <w:sz w:val="14"/>
                <w:szCs w:val="14"/>
                <w:lang w:eastAsia="es-CO"/>
                <w14:ligatures w14:val="standardContextual"/>
              </w:rPr>
              <w:t>Andreina Cerpa Muñoz</w:t>
            </w:r>
          </w:p>
          <w:p w14:paraId="19AFF7CB"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r w:rsidRPr="00693C05">
              <w:rPr>
                <w:rFonts w:ascii="Arial" w:eastAsia="Times New Roman" w:hAnsi="Arial" w:cs="Arial"/>
                <w:kern w:val="2"/>
                <w:sz w:val="14"/>
                <w:szCs w:val="14"/>
                <w:lang w:eastAsia="es-CO"/>
                <w14:ligatures w14:val="standardContextual"/>
              </w:rPr>
              <w:t>Analista T2-01 de la Subdirección de Gestión Contractual</w:t>
            </w:r>
          </w:p>
        </w:tc>
        <w:tc>
          <w:tcPr>
            <w:tcW w:w="425" w:type="dxa"/>
            <w:tcBorders>
              <w:top w:val="nil"/>
              <w:left w:val="nil"/>
              <w:bottom w:val="dotted" w:sz="6" w:space="0" w:color="7F7F7F" w:themeColor="text1" w:themeTint="80"/>
              <w:right w:val="nil"/>
            </w:tcBorders>
          </w:tcPr>
          <w:p w14:paraId="0EC1E145"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p>
        </w:tc>
      </w:tr>
      <w:tr w:rsidR="008B3CF3" w:rsidRPr="00693C05" w14:paraId="46455C71" w14:textId="77777777" w:rsidTr="78EA0049">
        <w:trPr>
          <w:trHeight w:val="315"/>
        </w:trPr>
        <w:tc>
          <w:tcPr>
            <w:tcW w:w="748" w:type="dxa"/>
            <w:tcBorders>
              <w:top w:val="nil"/>
              <w:left w:val="nil"/>
              <w:bottom w:val="nil"/>
              <w:right w:val="nil"/>
            </w:tcBorders>
            <w:vAlign w:val="center"/>
            <w:hideMark/>
          </w:tcPr>
          <w:p w14:paraId="7740167F"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r w:rsidRPr="00693C05">
              <w:rPr>
                <w:rFonts w:ascii="Arial" w:eastAsia="Times New Roman" w:hAnsi="Arial" w:cs="Arial"/>
                <w:kern w:val="2"/>
                <w:sz w:val="14"/>
                <w:szCs w:val="14"/>
                <w:lang w:eastAsia="es-CO"/>
                <w14:ligatures w14:val="standardContextual"/>
              </w:rPr>
              <w:t>Revisó: </w:t>
            </w:r>
          </w:p>
        </w:tc>
        <w:tc>
          <w:tcPr>
            <w:tcW w:w="4214" w:type="dxa"/>
            <w:tcBorders>
              <w:top w:val="dotted" w:sz="6" w:space="0" w:color="7F7F7F" w:themeColor="text1" w:themeTint="80"/>
              <w:left w:val="nil"/>
              <w:bottom w:val="dotted" w:sz="6" w:space="0" w:color="7F7F7F" w:themeColor="text1" w:themeTint="80"/>
              <w:right w:val="nil"/>
            </w:tcBorders>
            <w:vAlign w:val="center"/>
            <w:hideMark/>
          </w:tcPr>
          <w:p w14:paraId="70ABF806"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r w:rsidRPr="00693C05">
              <w:rPr>
                <w:rFonts w:ascii="Arial" w:eastAsia="Times New Roman" w:hAnsi="Arial" w:cs="Arial"/>
                <w:kern w:val="2"/>
                <w:sz w:val="14"/>
                <w:szCs w:val="14"/>
                <w:lang w:eastAsia="es-CO"/>
                <w14:ligatures w14:val="standardContextual"/>
              </w:rPr>
              <w:t>Libardo Alberto Verjel De Filippis</w:t>
            </w:r>
          </w:p>
          <w:p w14:paraId="105701FB"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r w:rsidRPr="00693C05">
              <w:rPr>
                <w:rFonts w:ascii="Arial" w:eastAsia="Times New Roman" w:hAnsi="Arial" w:cs="Arial"/>
                <w:kern w:val="2"/>
                <w:sz w:val="14"/>
                <w:szCs w:val="14"/>
                <w:lang w:eastAsia="es-CO"/>
                <w14:ligatures w14:val="standardContextual"/>
              </w:rPr>
              <w:t>Experto G3-08 de la Subdirección de Gestión Contractual</w:t>
            </w:r>
          </w:p>
        </w:tc>
        <w:tc>
          <w:tcPr>
            <w:tcW w:w="425" w:type="dxa"/>
            <w:tcBorders>
              <w:top w:val="dotted" w:sz="6" w:space="0" w:color="7F7F7F" w:themeColor="text1" w:themeTint="80"/>
              <w:left w:val="nil"/>
              <w:bottom w:val="dotted" w:sz="6" w:space="0" w:color="7F7F7F" w:themeColor="text1" w:themeTint="80"/>
              <w:right w:val="nil"/>
            </w:tcBorders>
          </w:tcPr>
          <w:p w14:paraId="74F3C123"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p>
        </w:tc>
      </w:tr>
      <w:tr w:rsidR="008B3CF3" w:rsidRPr="00693C05" w14:paraId="6466F86D" w14:textId="77777777" w:rsidTr="78EA0049">
        <w:trPr>
          <w:trHeight w:val="300"/>
        </w:trPr>
        <w:tc>
          <w:tcPr>
            <w:tcW w:w="748" w:type="dxa"/>
            <w:tcBorders>
              <w:top w:val="nil"/>
              <w:left w:val="nil"/>
              <w:bottom w:val="nil"/>
              <w:right w:val="nil"/>
            </w:tcBorders>
            <w:vAlign w:val="center"/>
            <w:hideMark/>
          </w:tcPr>
          <w:p w14:paraId="6DF83749"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r w:rsidRPr="00693C05">
              <w:rPr>
                <w:rFonts w:ascii="Arial" w:eastAsia="Times New Roman" w:hAnsi="Arial" w:cs="Arial"/>
                <w:kern w:val="2"/>
                <w:sz w:val="14"/>
                <w:szCs w:val="14"/>
                <w:lang w:eastAsia="es-CO"/>
                <w14:ligatures w14:val="standardContextual"/>
              </w:rPr>
              <w:t>Aprobó: </w:t>
            </w:r>
          </w:p>
        </w:tc>
        <w:tc>
          <w:tcPr>
            <w:tcW w:w="4214" w:type="dxa"/>
            <w:tcBorders>
              <w:top w:val="dotted" w:sz="6" w:space="0" w:color="7F7F7F" w:themeColor="text1" w:themeTint="80"/>
              <w:left w:val="nil"/>
              <w:bottom w:val="dotted" w:sz="6" w:space="0" w:color="7F7F7F" w:themeColor="text1" w:themeTint="80"/>
              <w:right w:val="nil"/>
            </w:tcBorders>
            <w:vAlign w:val="center"/>
            <w:hideMark/>
          </w:tcPr>
          <w:p w14:paraId="666DDC5C" w14:textId="77777777" w:rsidR="008B3CF3" w:rsidRPr="00693C05" w:rsidRDefault="008B3CF3" w:rsidP="78EA0049">
            <w:pPr>
              <w:spacing w:after="0" w:line="240" w:lineRule="auto"/>
              <w:textAlignment w:val="baseline"/>
              <w:rPr>
                <w:rFonts w:ascii="Arial" w:eastAsia="Times New Roman" w:hAnsi="Arial" w:cs="Arial"/>
                <w:kern w:val="2"/>
                <w:sz w:val="14"/>
                <w:szCs w:val="14"/>
                <w:lang w:val="es-ES" w:eastAsia="es-CO"/>
                <w14:ligatures w14:val="standardContextual"/>
              </w:rPr>
            </w:pPr>
            <w:r w:rsidRPr="78EA0049">
              <w:rPr>
                <w:rFonts w:ascii="Arial" w:eastAsia="Times New Roman" w:hAnsi="Arial" w:cs="Arial"/>
                <w:kern w:val="2"/>
                <w:sz w:val="14"/>
                <w:szCs w:val="14"/>
                <w:lang w:val="es-ES" w:eastAsia="es-CO"/>
                <w14:ligatures w14:val="standardContextual"/>
              </w:rPr>
              <w:t>Nohelia del Carmen Zawady Palacio</w:t>
            </w:r>
          </w:p>
          <w:p w14:paraId="1FABA48B" w14:textId="77777777" w:rsidR="008B3CF3" w:rsidRPr="00693C05" w:rsidRDefault="008B3CF3" w:rsidP="006E0E14">
            <w:pPr>
              <w:spacing w:after="0" w:line="240" w:lineRule="auto"/>
              <w:textAlignment w:val="baseline"/>
              <w:rPr>
                <w:rFonts w:ascii="Arial" w:eastAsia="Times New Roman" w:hAnsi="Arial" w:cs="Arial"/>
                <w:kern w:val="2"/>
                <w:sz w:val="14"/>
                <w:szCs w:val="14"/>
                <w:lang w:eastAsia="es-CO"/>
                <w14:ligatures w14:val="standardContextual"/>
              </w:rPr>
            </w:pPr>
            <w:r w:rsidRPr="00693C05">
              <w:rPr>
                <w:rFonts w:ascii="Arial" w:eastAsia="Times New Roman" w:hAnsi="Arial" w:cs="Arial"/>
                <w:kern w:val="2"/>
                <w:sz w:val="14"/>
                <w:szCs w:val="14"/>
                <w:lang w:val="es-ES_tradnl" w:eastAsia="es-CO"/>
                <w14:ligatures w14:val="standardContextual"/>
              </w:rPr>
              <w:t>Subdirectora de Gestión Contractual ANCP-CCE</w:t>
            </w:r>
          </w:p>
        </w:tc>
        <w:tc>
          <w:tcPr>
            <w:tcW w:w="425" w:type="dxa"/>
            <w:tcBorders>
              <w:top w:val="dotted" w:sz="6" w:space="0" w:color="7F7F7F" w:themeColor="text1" w:themeTint="80"/>
              <w:left w:val="nil"/>
              <w:bottom w:val="dotted" w:sz="6" w:space="0" w:color="7F7F7F" w:themeColor="text1" w:themeTint="80"/>
              <w:right w:val="nil"/>
            </w:tcBorders>
          </w:tcPr>
          <w:p w14:paraId="16D42A49" w14:textId="77777777" w:rsidR="008B3CF3" w:rsidRPr="00693C05" w:rsidRDefault="008B3CF3" w:rsidP="006E0E14">
            <w:pPr>
              <w:spacing w:after="0" w:line="240" w:lineRule="auto"/>
              <w:textAlignment w:val="baseline"/>
              <w:rPr>
                <w:rFonts w:ascii="Arial" w:eastAsia="Times New Roman" w:hAnsi="Arial" w:cs="Arial"/>
                <w:kern w:val="2"/>
                <w:sz w:val="14"/>
                <w:szCs w:val="14"/>
                <w:lang w:val="es-ES_tradnl" w:eastAsia="es-CO"/>
                <w14:ligatures w14:val="standardContextual"/>
              </w:rPr>
            </w:pPr>
          </w:p>
        </w:tc>
      </w:tr>
    </w:tbl>
    <w:p w14:paraId="5D55597E" w14:textId="77777777" w:rsidR="008B3CF3" w:rsidRDefault="008B3CF3" w:rsidP="008B3CF3">
      <w:pPr>
        <w:spacing w:after="0" w:line="276" w:lineRule="auto"/>
        <w:contextualSpacing/>
      </w:pPr>
    </w:p>
    <w:p w14:paraId="2E572631" w14:textId="77777777" w:rsidR="008B3CF3" w:rsidRDefault="008B3CF3" w:rsidP="008B3CF3"/>
    <w:p w14:paraId="60610376" w14:textId="77777777" w:rsidR="008B3CF3" w:rsidRPr="00FB480E" w:rsidRDefault="008B3CF3" w:rsidP="008B3CF3">
      <w:r w:rsidRPr="00FB480E">
        <w:t xml:space="preserve"> </w:t>
      </w:r>
    </w:p>
    <w:p w14:paraId="56B54F60" w14:textId="77777777" w:rsidR="000F5A42" w:rsidRDefault="000F5A42"/>
    <w:sectPr w:rsidR="000F5A42" w:rsidSect="008B3CF3">
      <w:headerReference w:type="default" r:id="rId25"/>
      <w:footerReference w:type="default" r:id="rId2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0AA90" w14:textId="77777777" w:rsidR="00B3045F" w:rsidRDefault="00B3045F" w:rsidP="008B3CF3">
      <w:pPr>
        <w:spacing w:after="0" w:line="240" w:lineRule="auto"/>
      </w:pPr>
      <w:r>
        <w:separator/>
      </w:r>
    </w:p>
  </w:endnote>
  <w:endnote w:type="continuationSeparator" w:id="0">
    <w:p w14:paraId="73B9CD2A" w14:textId="77777777" w:rsidR="00B3045F" w:rsidRDefault="00B3045F" w:rsidP="008B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456F" w14:textId="77777777" w:rsidR="001421A4" w:rsidRDefault="001421A4">
    <w:pPr>
      <w:pStyle w:val="Piedepgina"/>
    </w:pPr>
    <w:r>
      <w:rPr>
        <w:noProof/>
        <w:lang w:eastAsia="es-CO"/>
      </w:rPr>
      <w:drawing>
        <wp:inline distT="0" distB="0" distL="0" distR="0" wp14:anchorId="492D8016" wp14:editId="71979A97">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60128173" wp14:editId="40FCF683">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1F879C20"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C4F83A6" w14:textId="77777777" w:rsidR="001421A4" w:rsidRPr="003F3941" w:rsidRDefault="001421A4"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17A465B" w14:textId="77777777" w:rsidR="001421A4" w:rsidRPr="003F3941" w:rsidRDefault="001421A4"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AE9DCBD" w14:textId="77777777" w:rsidR="001421A4" w:rsidRPr="003F3941" w:rsidRDefault="001421A4"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8C603AB" w14:textId="77777777" w:rsidR="001421A4" w:rsidRPr="003F3941" w:rsidRDefault="001421A4"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307D4BC5" w14:textId="77777777" w:rsidR="001421A4" w:rsidRDefault="001421A4"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45604" w14:textId="77777777" w:rsidR="00B3045F" w:rsidRDefault="00B3045F" w:rsidP="008B3CF3">
      <w:pPr>
        <w:spacing w:after="0" w:line="240" w:lineRule="auto"/>
      </w:pPr>
      <w:r>
        <w:separator/>
      </w:r>
    </w:p>
  </w:footnote>
  <w:footnote w:type="continuationSeparator" w:id="0">
    <w:p w14:paraId="5CC78893" w14:textId="77777777" w:rsidR="00B3045F" w:rsidRDefault="00B3045F" w:rsidP="008B3CF3">
      <w:pPr>
        <w:spacing w:after="0" w:line="240" w:lineRule="auto"/>
      </w:pPr>
      <w:r>
        <w:continuationSeparator/>
      </w:r>
    </w:p>
  </w:footnote>
  <w:footnote w:id="1">
    <w:p w14:paraId="0C2A5426" w14:textId="2C94482B" w:rsidR="008B3CF3" w:rsidRDefault="008B3CF3" w:rsidP="008B3CF3">
      <w:pPr>
        <w:pStyle w:val="Textonotapie"/>
        <w:ind w:firstLine="708"/>
        <w:jc w:val="both"/>
      </w:pPr>
      <w:r w:rsidRPr="00BA6AAF">
        <w:rPr>
          <w:rFonts w:ascii="Century Gothic" w:hAnsi="Century Gothic"/>
          <w:sz w:val="18"/>
          <w:szCs w:val="18"/>
          <w:vertAlign w:val="superscript"/>
        </w:rPr>
        <w:footnoteRef/>
      </w:r>
      <w:r w:rsidRPr="00BA6AAF">
        <w:rPr>
          <w:rFonts w:ascii="Century Gothic" w:hAnsi="Century Gothic"/>
          <w:sz w:val="18"/>
          <w:szCs w:val="18"/>
        </w:rPr>
        <w:t xml:space="preserve"> La Agencia Nacional de Contratación Pública </w:t>
      </w:r>
      <w:r w:rsidRPr="00BA6AAF">
        <w:rPr>
          <w:rFonts w:ascii="Arial" w:hAnsi="Arial"/>
          <w:sz w:val="18"/>
          <w:szCs w:val="18"/>
        </w:rPr>
        <w:t>‒</w:t>
      </w:r>
      <w:r w:rsidRPr="00BA6AAF">
        <w:rPr>
          <w:rFonts w:ascii="Century Gothic" w:hAnsi="Century Gothic"/>
          <w:sz w:val="18"/>
          <w:szCs w:val="18"/>
        </w:rPr>
        <w:t xml:space="preserve"> Colombia Compra Eficiente fue creada por el Decreto Ley 4170 de 2011. Su objetivo es servir como ente rector de la pol</w:t>
      </w:r>
      <w:r w:rsidRPr="00BA6AAF">
        <w:rPr>
          <w:rFonts w:ascii="Century Gothic" w:hAnsi="Century Gothic" w:cs="Century Gothic"/>
          <w:sz w:val="18"/>
          <w:szCs w:val="18"/>
        </w:rPr>
        <w:t>í</w:t>
      </w:r>
      <w:r w:rsidRPr="00BA6AAF">
        <w:rPr>
          <w:rFonts w:ascii="Century Gothic" w:hAnsi="Century Gothic"/>
          <w:sz w:val="18"/>
          <w:szCs w:val="18"/>
        </w:rPr>
        <w:t>tica de compras y contrataci</w:t>
      </w:r>
      <w:r w:rsidRPr="00BA6AAF">
        <w:rPr>
          <w:rFonts w:ascii="Century Gothic" w:hAnsi="Century Gothic" w:cs="Century Gothic"/>
          <w:sz w:val="18"/>
          <w:szCs w:val="18"/>
        </w:rPr>
        <w:t>ó</w:t>
      </w:r>
      <w:r w:rsidRPr="00BA6AAF">
        <w:rPr>
          <w:rFonts w:ascii="Century Gothic" w:hAnsi="Century Gothic"/>
          <w:sz w:val="18"/>
          <w:szCs w:val="18"/>
        </w:rPr>
        <w:t xml:space="preserve">n del Estado. Para tales fines, como </w:t>
      </w:r>
      <w:r w:rsidRPr="00BA6AAF">
        <w:rPr>
          <w:rFonts w:ascii="Century Gothic" w:hAnsi="Century Gothic" w:cs="Century Gothic"/>
          <w:sz w:val="18"/>
          <w:szCs w:val="18"/>
        </w:rPr>
        <w:t>ó</w:t>
      </w:r>
      <w:r w:rsidRPr="00BA6AAF">
        <w:rPr>
          <w:rFonts w:ascii="Century Gothic" w:hAnsi="Century Gothic"/>
          <w:sz w:val="18"/>
          <w:szCs w:val="18"/>
        </w:rPr>
        <w:t>rgano t</w:t>
      </w:r>
      <w:r w:rsidRPr="00BA6AAF">
        <w:rPr>
          <w:rFonts w:ascii="Century Gothic" w:hAnsi="Century Gothic" w:cs="Century Gothic"/>
          <w:sz w:val="18"/>
          <w:szCs w:val="18"/>
        </w:rPr>
        <w:t>é</w:t>
      </w:r>
      <w:r w:rsidRPr="00BA6AAF">
        <w:rPr>
          <w:rFonts w:ascii="Century Gothic" w:hAnsi="Century Gothic"/>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BA6AAF">
        <w:rPr>
          <w:rFonts w:ascii="Century Gothic" w:hAnsi="Century Gothic"/>
          <w:i/>
          <w:iCs/>
          <w:sz w:val="18"/>
          <w:szCs w:val="18"/>
        </w:rPr>
        <w:t xml:space="preserve">ibidem </w:t>
      </w:r>
      <w:r w:rsidRPr="00BA6AAF">
        <w:rPr>
          <w:rFonts w:ascii="Century Gothic" w:hAnsi="Century Gothic"/>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w:t>
      </w:r>
      <w:r w:rsidR="001E45D6">
        <w:rPr>
          <w:rFonts w:ascii="Century Gothic" w:hAnsi="Century Gothic"/>
          <w:sz w:val="18"/>
          <w:szCs w:val="18"/>
        </w:rPr>
        <w:tab/>
      </w:r>
      <w:r w:rsidRPr="00BA6AAF">
        <w:rPr>
          <w:rFonts w:ascii="Century Gothic" w:hAnsi="Century Gothic"/>
          <w:sz w:val="18"/>
          <w:szCs w:val="18"/>
        </w:rPr>
        <w:t>neral”.</w:t>
      </w:r>
    </w:p>
  </w:footnote>
  <w:footnote w:id="2">
    <w:p w14:paraId="4EEAE768" w14:textId="77777777" w:rsidR="008B3CF3" w:rsidRDefault="008B3CF3" w:rsidP="008B3CF3">
      <w:pPr>
        <w:pStyle w:val="Textonotapie"/>
      </w:pPr>
      <w:r>
        <w:rPr>
          <w:rStyle w:val="Refdenotaalpie"/>
        </w:rPr>
        <w:footnoteRef/>
      </w:r>
      <w:r>
        <w:t xml:space="preserve">   </w:t>
      </w:r>
      <w:r w:rsidRPr="00D14BE6">
        <w:rPr>
          <w:rFonts w:ascii="Century Gothic" w:hAnsi="Century Gothic" w:cs="Arial"/>
          <w:sz w:val="16"/>
          <w:szCs w:val="16"/>
        </w:rPr>
        <w:t>Estos conceptos pueden consultarse en la página web:</w:t>
      </w:r>
      <w:r>
        <w:rPr>
          <w:rFonts w:ascii="Century Gothic" w:hAnsi="Century Gothic" w:cs="Arial"/>
          <w:sz w:val="16"/>
          <w:szCs w:val="16"/>
        </w:rPr>
        <w:t xml:space="preserve"> </w:t>
      </w:r>
      <w:hyperlink r:id="rId1" w:history="1">
        <w:r w:rsidRPr="00A0482C">
          <w:rPr>
            <w:rStyle w:val="Hipervnculo"/>
            <w:rFonts w:ascii="Century Gothic" w:hAnsi="Century Gothic" w:cs="Arial"/>
            <w:sz w:val="18"/>
            <w:szCs w:val="18"/>
          </w:rPr>
          <w:t>https://relatoria.colombiacompra.gov.co/busqueda/conceptos</w:t>
        </w:r>
      </w:hyperlink>
    </w:p>
  </w:footnote>
  <w:footnote w:id="3">
    <w:p w14:paraId="5047BC43" w14:textId="77777777" w:rsidR="004172C4" w:rsidRDefault="004172C4" w:rsidP="004172C4">
      <w:pPr>
        <w:pStyle w:val="Textonotapie"/>
      </w:pPr>
      <w:r>
        <w:rPr>
          <w:rStyle w:val="Refdenotaalpie"/>
        </w:rPr>
        <w:footnoteRef/>
      </w:r>
      <w:r>
        <w:t xml:space="preserve">   </w:t>
      </w:r>
      <w:r w:rsidRPr="00D14BE6">
        <w:rPr>
          <w:rFonts w:ascii="Century Gothic" w:hAnsi="Century Gothic" w:cs="Arial"/>
          <w:sz w:val="16"/>
          <w:szCs w:val="16"/>
        </w:rPr>
        <w:t>Estos conceptos pueden consultarse en la página web:</w:t>
      </w:r>
      <w:r>
        <w:rPr>
          <w:rFonts w:ascii="Century Gothic" w:hAnsi="Century Gothic" w:cs="Arial"/>
          <w:sz w:val="16"/>
          <w:szCs w:val="16"/>
        </w:rPr>
        <w:t xml:space="preserve"> </w:t>
      </w:r>
      <w:hyperlink r:id="rId2" w:history="1">
        <w:r w:rsidRPr="00A0482C">
          <w:rPr>
            <w:rStyle w:val="Hipervnculo"/>
            <w:rFonts w:ascii="Century Gothic" w:hAnsi="Century Gothic" w:cs="Arial"/>
            <w:sz w:val="18"/>
            <w:szCs w:val="18"/>
          </w:rPr>
          <w:t>https://relatoria.colombiacompra.gov.co/busqueda/conceptos</w:t>
        </w:r>
      </w:hyperlink>
    </w:p>
  </w:footnote>
  <w:footnote w:id="4">
    <w:p w14:paraId="24BC6410" w14:textId="77777777" w:rsidR="008B3CF3" w:rsidRPr="00A91C92" w:rsidRDefault="008B3CF3" w:rsidP="008B3CF3">
      <w:pPr>
        <w:spacing w:after="0" w:line="257" w:lineRule="auto"/>
        <w:ind w:firstLine="708"/>
        <w:contextualSpacing/>
        <w:rPr>
          <w:rFonts w:ascii="Century Gothic" w:eastAsia="Century Gothic" w:hAnsi="Century Gothic" w:cs="Century Gothic"/>
          <w:color w:val="000000" w:themeColor="text1"/>
          <w:sz w:val="16"/>
          <w:szCs w:val="16"/>
        </w:rPr>
      </w:pPr>
      <w:r>
        <w:rPr>
          <w:rStyle w:val="Refdenotaalpie"/>
        </w:rPr>
        <w:footnoteRef/>
      </w:r>
      <w:r>
        <w:t xml:space="preserve"> </w:t>
      </w:r>
      <w:hyperlink r:id="rId3" w:anchor="_ftnref3" w:history="1">
        <w:r w:rsidRPr="2F7B58A8">
          <w:rPr>
            <w:rStyle w:val="Hipervnculo"/>
            <w:rFonts w:ascii="Century Gothic" w:eastAsia="Century Gothic" w:hAnsi="Century Gothic" w:cs="Century Gothic"/>
            <w:sz w:val="16"/>
            <w:szCs w:val="16"/>
            <w:vertAlign w:val="superscript"/>
          </w:rPr>
          <w:t>[3]</w:t>
        </w:r>
      </w:hyperlink>
      <w:r w:rsidRPr="2F7B58A8">
        <w:rPr>
          <w:rFonts w:ascii="Century Gothic" w:eastAsia="Century Gothic" w:hAnsi="Century Gothic" w:cs="Century Gothic"/>
          <w:color w:val="000000" w:themeColor="text1"/>
          <w:sz w:val="16"/>
          <w:szCs w:val="16"/>
        </w:rPr>
        <w:t xml:space="preserve"> </w:t>
      </w:r>
      <w:r w:rsidRPr="2F7B58A8">
        <w:rPr>
          <w:rFonts w:ascii="Century Gothic" w:eastAsia="Century Gothic" w:hAnsi="Century Gothic" w:cs="Century Gothic"/>
          <w:color w:val="000000" w:themeColor="text1"/>
          <w:sz w:val="16"/>
          <w:szCs w:val="16"/>
          <w:lang w:val="es"/>
        </w:rPr>
        <w:t xml:space="preserve">Art 6 Ley 1150 de 2007 </w:t>
      </w:r>
      <w:r w:rsidRPr="2F7B58A8">
        <w:rPr>
          <w:rFonts w:ascii="Century Gothic" w:eastAsia="Century Gothic" w:hAnsi="Century Gothic" w:cs="Century Gothic"/>
          <w:i/>
          <w:iCs/>
          <w:color w:val="000000" w:themeColor="text1"/>
          <w:sz w:val="16"/>
          <w:szCs w:val="16"/>
        </w:rPr>
        <w:t>“</w:t>
      </w:r>
      <w:r w:rsidRPr="2F7B58A8">
        <w:rPr>
          <w:rFonts w:ascii="Century Gothic" w:eastAsia="Century Gothic" w:hAnsi="Century Gothic" w:cs="Century Gothic"/>
          <w:color w:val="000000" w:themeColor="text1"/>
          <w:sz w:val="16"/>
          <w:szCs w:val="16"/>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A578723" w14:textId="77777777" w:rsidR="008B3CF3" w:rsidRPr="00A91C92" w:rsidRDefault="008B3CF3" w:rsidP="008B3CF3">
      <w:pPr>
        <w:spacing w:after="0" w:line="276" w:lineRule="auto"/>
        <w:ind w:firstLine="708"/>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AE834F0" w14:textId="77777777" w:rsidR="008B3CF3" w:rsidRPr="00233ACB" w:rsidRDefault="008B3CF3" w:rsidP="008B3CF3">
      <w:pPr>
        <w:spacing w:after="0" w:line="276" w:lineRule="auto"/>
        <w:ind w:firstLine="708"/>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En dicho registro constará la información relacionada con la experiencia, capacidad jurídica, financiera y de organización del proponente y su clasificación</w:t>
      </w:r>
      <w:r w:rsidRPr="2F7B58A8">
        <w:rPr>
          <w:rFonts w:ascii="Century Gothic" w:eastAsia="Century Gothic" w:hAnsi="Century Gothic" w:cs="Century Gothic"/>
          <w:i/>
          <w:iCs/>
          <w:color w:val="000000" w:themeColor="text1"/>
          <w:sz w:val="16"/>
          <w:szCs w:val="16"/>
        </w:rPr>
        <w:t>”</w:t>
      </w:r>
      <w:r w:rsidRPr="2F7B58A8">
        <w:rPr>
          <w:rFonts w:ascii="Century Gothic" w:eastAsia="Century Gothic" w:hAnsi="Century Gothic" w:cs="Century Gothic"/>
          <w:color w:val="000000" w:themeColor="text1"/>
          <w:sz w:val="16"/>
          <w:szCs w:val="16"/>
        </w:rPr>
        <w:t>.</w:t>
      </w:r>
    </w:p>
  </w:footnote>
  <w:footnote w:id="5">
    <w:p w14:paraId="7943B240" w14:textId="77777777" w:rsidR="008B3CF3" w:rsidRPr="00A91C92" w:rsidRDefault="008B3CF3" w:rsidP="008B3CF3">
      <w:pPr>
        <w:spacing w:after="0" w:line="257" w:lineRule="auto"/>
        <w:ind w:firstLine="708"/>
        <w:contextualSpacing/>
        <w:rPr>
          <w:rFonts w:ascii="Century Gothic" w:eastAsia="Century Gothic" w:hAnsi="Century Gothic" w:cs="Century Gothic"/>
          <w:color w:val="000000" w:themeColor="text1"/>
          <w:sz w:val="16"/>
          <w:szCs w:val="16"/>
          <w:lang w:val="es-MX"/>
        </w:rPr>
      </w:pPr>
      <w:r>
        <w:rPr>
          <w:rStyle w:val="Refdenotaalpie"/>
        </w:rPr>
        <w:footnoteRef/>
      </w:r>
      <w:r>
        <w:t xml:space="preserve"> </w:t>
      </w:r>
      <w:hyperlink r:id="rId4" w:anchor="_ftnref10" w:history="1">
        <w:r w:rsidRPr="2F7B58A8">
          <w:rPr>
            <w:rStyle w:val="Hipervnculo"/>
            <w:rFonts w:ascii="Century Gothic" w:eastAsia="Century Gothic" w:hAnsi="Century Gothic" w:cs="Century Gothic"/>
            <w:sz w:val="16"/>
            <w:szCs w:val="16"/>
            <w:vertAlign w:val="superscript"/>
            <w:lang w:val="es-MX"/>
          </w:rPr>
          <w:t>[10]</w:t>
        </w:r>
      </w:hyperlink>
      <w:r w:rsidRPr="2F7B58A8">
        <w:rPr>
          <w:rFonts w:ascii="Century Gothic" w:eastAsia="Century Gothic" w:hAnsi="Century Gothic" w:cs="Century Gothic"/>
          <w:color w:val="000000" w:themeColor="text1"/>
          <w:sz w:val="16"/>
          <w:szCs w:val="16"/>
          <w:lang w:val="es-MX"/>
        </w:rPr>
        <w:t>“Artículo 2.2.1.1.1.5.1. Inscripción, renovación, actualización y cancelación del RUP.</w:t>
      </w:r>
    </w:p>
    <w:p w14:paraId="351A4400" w14:textId="77777777" w:rsidR="008B3CF3" w:rsidRPr="00A91C92" w:rsidRDefault="008B3CF3" w:rsidP="008B3CF3">
      <w:pPr>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w:t>
      </w:r>
    </w:p>
    <w:p w14:paraId="4BAF8C7D" w14:textId="77777777" w:rsidR="008B3CF3" w:rsidRPr="00A91C92" w:rsidRDefault="008B3CF3" w:rsidP="008B3CF3">
      <w:pPr>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8AD851B" w14:textId="77777777" w:rsidR="008B3CF3" w:rsidRDefault="008B3CF3" w:rsidP="008B3CF3">
      <w:pPr>
        <w:pStyle w:val="Textonotapie"/>
      </w:pPr>
    </w:p>
  </w:footnote>
  <w:footnote w:id="6">
    <w:p w14:paraId="23D833A7" w14:textId="77777777" w:rsidR="008B3CF3" w:rsidRPr="00A91C92" w:rsidRDefault="008B3CF3" w:rsidP="008B3CF3">
      <w:pPr>
        <w:spacing w:after="0" w:line="257" w:lineRule="auto"/>
        <w:ind w:firstLine="709"/>
        <w:contextualSpacing/>
        <w:rPr>
          <w:rFonts w:ascii="Century Gothic" w:eastAsia="Century Gothic" w:hAnsi="Century Gothic" w:cs="Century Gothic"/>
          <w:color w:val="000000" w:themeColor="text1"/>
          <w:sz w:val="16"/>
          <w:szCs w:val="16"/>
        </w:rPr>
      </w:pPr>
      <w:r>
        <w:rPr>
          <w:rStyle w:val="Refdenotaalpie"/>
        </w:rPr>
        <w:footnoteRef/>
      </w:r>
      <w:r>
        <w:t xml:space="preserve"> </w:t>
      </w:r>
      <w:hyperlink r:id="rId5" w:anchor="_ftnref12" w:history="1">
        <w:r w:rsidRPr="2F7B58A8">
          <w:rPr>
            <w:rStyle w:val="Hipervnculo"/>
            <w:rFonts w:ascii="Century Gothic" w:eastAsia="Century Gothic" w:hAnsi="Century Gothic" w:cs="Century Gothic"/>
            <w:sz w:val="16"/>
            <w:szCs w:val="16"/>
            <w:vertAlign w:val="superscript"/>
            <w:lang w:val="es-MX"/>
          </w:rPr>
          <w:t>[12]</w:t>
        </w:r>
      </w:hyperlink>
      <w:r w:rsidRPr="2F7B58A8">
        <w:rPr>
          <w:rFonts w:ascii="Century Gothic" w:eastAsia="Century Gothic" w:hAnsi="Century Gothic" w:cs="Century Gothic"/>
          <w:color w:val="000000" w:themeColor="text1"/>
          <w:sz w:val="16"/>
          <w:szCs w:val="16"/>
          <w:lang w:val="es-MX"/>
        </w:rPr>
        <w:t xml:space="preserve"> </w:t>
      </w:r>
      <w:r w:rsidRPr="2F7B58A8">
        <w:rPr>
          <w:rFonts w:ascii="Century Gothic" w:eastAsia="Century Gothic" w:hAnsi="Century Gothic" w:cs="Century Gothic"/>
          <w:color w:val="000000" w:themeColor="text1"/>
          <w:sz w:val="16"/>
          <w:szCs w:val="16"/>
        </w:rPr>
        <w:t xml:space="preserve">“Artículo 87. Firmeza de los actos administrativos. Los actos administrativos quedarán en firme: </w:t>
      </w:r>
    </w:p>
    <w:p w14:paraId="38425526" w14:textId="77777777" w:rsidR="008B3CF3" w:rsidRPr="001A29FC" w:rsidRDefault="008B3CF3" w:rsidP="008B3CF3">
      <w:pPr>
        <w:spacing w:after="0" w:line="276" w:lineRule="auto"/>
        <w:ind w:firstLine="709"/>
        <w:contextualSpacing/>
        <w:rPr>
          <w:rFonts w:ascii="Century Gothic" w:eastAsia="Century Gothic" w:hAnsi="Century Gothic" w:cs="Century Gothic"/>
          <w:color w:val="000000" w:themeColor="text1"/>
          <w:sz w:val="16"/>
          <w:szCs w:val="16"/>
        </w:rPr>
      </w:pPr>
      <w:r w:rsidRPr="001A29FC">
        <w:rPr>
          <w:rFonts w:ascii="Century Gothic" w:eastAsia="Century Gothic" w:hAnsi="Century Gothic" w:cs="Century Gothic"/>
          <w:color w:val="000000" w:themeColor="text1"/>
          <w:sz w:val="16"/>
          <w:szCs w:val="16"/>
        </w:rPr>
        <w:t xml:space="preserve">1. Cuando contra ellos no proceda ningún recurso, desde el día siguiente al de su notificación, comunicación o publicación según el caso. </w:t>
      </w:r>
    </w:p>
    <w:p w14:paraId="63C97795" w14:textId="77777777" w:rsidR="008B3CF3" w:rsidRPr="001A29FC" w:rsidRDefault="008B3CF3" w:rsidP="008B3CF3">
      <w:pPr>
        <w:spacing w:after="0" w:line="276" w:lineRule="auto"/>
        <w:ind w:firstLine="709"/>
        <w:contextualSpacing/>
        <w:rPr>
          <w:rFonts w:ascii="Century Gothic" w:eastAsia="Century Gothic" w:hAnsi="Century Gothic" w:cs="Century Gothic"/>
          <w:color w:val="000000" w:themeColor="text1"/>
          <w:sz w:val="16"/>
          <w:szCs w:val="16"/>
        </w:rPr>
      </w:pPr>
      <w:r w:rsidRPr="001A29FC">
        <w:rPr>
          <w:rFonts w:ascii="Century Gothic" w:eastAsia="Century Gothic" w:hAnsi="Century Gothic" w:cs="Century Gothic"/>
          <w:color w:val="000000" w:themeColor="text1"/>
          <w:sz w:val="16"/>
          <w:szCs w:val="16"/>
        </w:rPr>
        <w:t xml:space="preserve">2. Desde el día siguiente a la publicación, comunicación o notificación de la decisión sobre los recursos interpuestos. </w:t>
      </w:r>
    </w:p>
    <w:p w14:paraId="42FD74BB" w14:textId="77777777" w:rsidR="008B3CF3" w:rsidRPr="001A29FC" w:rsidRDefault="008B3CF3" w:rsidP="008B3CF3">
      <w:pPr>
        <w:spacing w:after="0" w:line="276" w:lineRule="auto"/>
        <w:ind w:firstLine="709"/>
        <w:contextualSpacing/>
        <w:rPr>
          <w:rFonts w:ascii="Century Gothic" w:eastAsia="Century Gothic" w:hAnsi="Century Gothic" w:cs="Century Gothic"/>
          <w:color w:val="000000" w:themeColor="text1"/>
          <w:sz w:val="16"/>
          <w:szCs w:val="16"/>
        </w:rPr>
      </w:pPr>
      <w:r w:rsidRPr="001A29FC">
        <w:rPr>
          <w:rFonts w:ascii="Century Gothic" w:eastAsia="Century Gothic" w:hAnsi="Century Gothic" w:cs="Century Gothic"/>
          <w:color w:val="000000" w:themeColor="text1"/>
          <w:sz w:val="16"/>
          <w:szCs w:val="16"/>
        </w:rPr>
        <w:t>3. Desde el día siguiente al del vencimiento del término para interponer los recursos, si estos no fueron interpuestos, o se hubiere renunciado expresamente a ellos.</w:t>
      </w:r>
    </w:p>
    <w:p w14:paraId="10740F77" w14:textId="77777777" w:rsidR="008B3CF3" w:rsidRPr="001A29FC" w:rsidRDefault="008B3CF3" w:rsidP="008B3CF3">
      <w:pPr>
        <w:spacing w:after="0" w:line="257" w:lineRule="auto"/>
        <w:ind w:firstLine="709"/>
        <w:contextualSpacing/>
        <w:rPr>
          <w:rFonts w:ascii="Century Gothic" w:eastAsia="Century Gothic" w:hAnsi="Century Gothic" w:cs="Century Gothic"/>
          <w:color w:val="000000" w:themeColor="text1"/>
          <w:sz w:val="16"/>
          <w:szCs w:val="16"/>
        </w:rPr>
      </w:pPr>
      <w:hyperlink r:id="rId6" w:anchor="_ftnref13" w:history="1">
        <w:r w:rsidRPr="001A29FC">
          <w:rPr>
            <w:rStyle w:val="Hipervnculo"/>
            <w:rFonts w:ascii="Century Gothic" w:eastAsia="Century Gothic" w:hAnsi="Century Gothic" w:cs="Century Gothic"/>
            <w:sz w:val="16"/>
            <w:szCs w:val="16"/>
            <w:vertAlign w:val="superscript"/>
            <w:lang w:val="es-MX"/>
          </w:rPr>
          <w:t>[13]</w:t>
        </w:r>
      </w:hyperlink>
      <w:r w:rsidRPr="001A29FC">
        <w:rPr>
          <w:rFonts w:ascii="Century Gothic" w:eastAsia="Century Gothic" w:hAnsi="Century Gothic" w:cs="Century Gothic"/>
          <w:color w:val="000000" w:themeColor="text1"/>
          <w:sz w:val="16"/>
          <w:szCs w:val="16"/>
          <w:lang w:val="es-MX"/>
        </w:rPr>
        <w:t xml:space="preserve"> </w:t>
      </w:r>
      <w:r w:rsidRPr="001A29FC">
        <w:rPr>
          <w:rFonts w:ascii="Century Gothic" w:eastAsia="Century Gothic" w:hAnsi="Century Gothic" w:cs="Century Gothic"/>
          <w:color w:val="000000" w:themeColor="text1"/>
          <w:sz w:val="16"/>
          <w:szCs w:val="16"/>
        </w:rPr>
        <w:t>Consejo de Estado. Sección Cuarta. Sentencia del 19 de noviembre de 1999. Exp. 9.453. CP. Daniel Manrique Guzmán.</w:t>
      </w:r>
    </w:p>
    <w:p w14:paraId="4F82006D" w14:textId="77777777" w:rsidR="008B3CF3" w:rsidRPr="00537B26" w:rsidRDefault="008B3CF3" w:rsidP="008B3CF3">
      <w:pPr>
        <w:pStyle w:val="Textonotapie"/>
        <w:rPr>
          <w:lang w:val="es-CO"/>
        </w:rPr>
      </w:pPr>
    </w:p>
  </w:footnote>
  <w:footnote w:id="7">
    <w:p w14:paraId="49573847" w14:textId="77777777" w:rsidR="008B3CF3" w:rsidRPr="001A29FC" w:rsidRDefault="008B3CF3" w:rsidP="008B3CF3">
      <w:pPr>
        <w:spacing w:after="0" w:line="257" w:lineRule="auto"/>
        <w:ind w:firstLine="709"/>
        <w:contextualSpacing/>
        <w:rPr>
          <w:rFonts w:ascii="Century Gothic" w:eastAsia="Century Gothic" w:hAnsi="Century Gothic" w:cs="Century Gothic"/>
          <w:color w:val="000000" w:themeColor="text1"/>
          <w:sz w:val="16"/>
          <w:szCs w:val="16"/>
        </w:rPr>
      </w:pPr>
      <w:r w:rsidRPr="001A29FC">
        <w:rPr>
          <w:rStyle w:val="Refdenotaalpie"/>
          <w:rFonts w:ascii="Century Gothic" w:hAnsi="Century Gothic"/>
          <w:sz w:val="16"/>
          <w:szCs w:val="16"/>
        </w:rPr>
        <w:footnoteRef/>
      </w:r>
      <w:r w:rsidRPr="001A29FC">
        <w:rPr>
          <w:rFonts w:ascii="Century Gothic" w:hAnsi="Century Gothic"/>
          <w:sz w:val="16"/>
          <w:szCs w:val="16"/>
        </w:rPr>
        <w:t xml:space="preserve"> </w:t>
      </w:r>
      <w:hyperlink r:id="rId7" w:anchor="_ftnref14" w:history="1">
        <w:r w:rsidRPr="001A29FC">
          <w:rPr>
            <w:rStyle w:val="Hipervnculo"/>
            <w:rFonts w:ascii="Century Gothic" w:eastAsia="Century Gothic" w:hAnsi="Century Gothic" w:cs="Century Gothic"/>
            <w:sz w:val="16"/>
            <w:szCs w:val="16"/>
            <w:vertAlign w:val="superscript"/>
          </w:rPr>
          <w:t>[14]</w:t>
        </w:r>
      </w:hyperlink>
      <w:r w:rsidRPr="001A29FC">
        <w:rPr>
          <w:rFonts w:ascii="Century Gothic" w:eastAsia="Century Gothic" w:hAnsi="Century Gothic" w:cs="Century Gothic"/>
          <w:color w:val="000000" w:themeColor="text1"/>
          <w:sz w:val="16"/>
          <w:szCs w:val="16"/>
        </w:rPr>
        <w:t xml:space="preserve"> Ley 1882 de 2018: “Artículo 5. Modifíquese el Parágrafo 1 e inclúyanse los parágrafos 3, 4 y 5 de artículo 5° de la Ley 1150 de 2007, los cuales quedarán así: </w:t>
      </w:r>
    </w:p>
    <w:p w14:paraId="3216DE1A" w14:textId="77777777" w:rsidR="008B3CF3" w:rsidRPr="001A29FC" w:rsidRDefault="008B3CF3" w:rsidP="008B3CF3">
      <w:pPr>
        <w:spacing w:after="0" w:line="276" w:lineRule="auto"/>
        <w:ind w:firstLine="709"/>
        <w:contextualSpacing/>
        <w:rPr>
          <w:rFonts w:ascii="Century Gothic" w:eastAsia="Century Gothic" w:hAnsi="Century Gothic" w:cs="Century Gothic"/>
          <w:color w:val="000000" w:themeColor="text1"/>
          <w:sz w:val="16"/>
          <w:szCs w:val="16"/>
        </w:rPr>
      </w:pPr>
      <w:r w:rsidRPr="001A29FC">
        <w:rPr>
          <w:rFonts w:ascii="Century Gothic" w:eastAsia="Century Gothic" w:hAnsi="Century Gothic" w:cs="Century Gothic"/>
          <w:color w:val="000000" w:themeColor="text1"/>
          <w:sz w:val="16"/>
          <w:szCs w:val="16"/>
        </w:rPr>
        <w:t xml:space="preserve">[…] </w:t>
      </w:r>
    </w:p>
    <w:p w14:paraId="32534AE9" w14:textId="77777777" w:rsidR="008B3CF3" w:rsidRPr="001A29FC" w:rsidRDefault="008B3CF3" w:rsidP="008B3CF3">
      <w:pPr>
        <w:spacing w:after="0" w:line="276" w:lineRule="auto"/>
        <w:ind w:firstLine="709"/>
        <w:contextualSpacing/>
        <w:rPr>
          <w:rFonts w:ascii="Century Gothic" w:eastAsia="Century Gothic" w:hAnsi="Century Gothic" w:cs="Century Gothic"/>
          <w:color w:val="000000" w:themeColor="text1"/>
          <w:sz w:val="16"/>
          <w:szCs w:val="16"/>
        </w:rPr>
      </w:pPr>
      <w:r w:rsidRPr="001A29FC">
        <w:rPr>
          <w:rFonts w:ascii="Century Gothic" w:eastAsia="Century Gothic" w:hAnsi="Century Gothic" w:cs="Century Gothic"/>
          <w:color w:val="000000" w:themeColor="text1"/>
          <w:sz w:val="16"/>
          <w:szCs w:val="16"/>
        </w:rPr>
        <w:t xml:space="preserve">Artículo 5°. De la selección objetiva. </w:t>
      </w:r>
    </w:p>
    <w:p w14:paraId="406DA0B7" w14:textId="77777777" w:rsidR="008B3CF3" w:rsidRPr="001A29FC" w:rsidRDefault="008B3CF3" w:rsidP="008B3CF3">
      <w:pPr>
        <w:spacing w:after="0" w:line="276" w:lineRule="auto"/>
        <w:ind w:firstLine="709"/>
        <w:contextualSpacing/>
        <w:rPr>
          <w:rFonts w:ascii="Century Gothic" w:eastAsia="Century Gothic" w:hAnsi="Century Gothic" w:cs="Century Gothic"/>
          <w:color w:val="000000" w:themeColor="text1"/>
          <w:sz w:val="16"/>
          <w:szCs w:val="16"/>
        </w:rPr>
      </w:pPr>
      <w:r w:rsidRPr="001A29FC">
        <w:rPr>
          <w:rFonts w:ascii="Century Gothic" w:eastAsia="Century Gothic" w:hAnsi="Century Gothic" w:cs="Century Gothic"/>
          <w:color w:val="000000" w:themeColor="text1"/>
          <w:sz w:val="16"/>
          <w:szCs w:val="16"/>
        </w:rPr>
        <w:t xml:space="preserve">[…] </w:t>
      </w:r>
    </w:p>
    <w:p w14:paraId="48BB5EAD" w14:textId="77777777" w:rsidR="008B3CF3" w:rsidRPr="001A29FC" w:rsidRDefault="008B3CF3" w:rsidP="008B3CF3">
      <w:pPr>
        <w:pStyle w:val="Textonotapie"/>
        <w:rPr>
          <w:rFonts w:ascii="Century Gothic" w:hAnsi="Century Gothic"/>
          <w:sz w:val="16"/>
          <w:szCs w:val="16"/>
        </w:rPr>
      </w:pPr>
    </w:p>
  </w:footnote>
  <w:footnote w:id="8">
    <w:p w14:paraId="572BF6A7" w14:textId="77777777" w:rsidR="008B3CF3" w:rsidRPr="001A29FC" w:rsidRDefault="008B3CF3" w:rsidP="008B3CF3">
      <w:pPr>
        <w:spacing w:after="0" w:line="257" w:lineRule="auto"/>
        <w:ind w:firstLine="709"/>
        <w:contextualSpacing/>
        <w:rPr>
          <w:rFonts w:ascii="Century Gothic" w:eastAsia="Century Gothic" w:hAnsi="Century Gothic" w:cs="Century Gothic"/>
          <w:color w:val="000000" w:themeColor="text1"/>
          <w:sz w:val="16"/>
          <w:szCs w:val="16"/>
        </w:rPr>
      </w:pPr>
      <w:r w:rsidRPr="001A29FC">
        <w:rPr>
          <w:rStyle w:val="Refdenotaalpie"/>
          <w:rFonts w:ascii="Century Gothic" w:hAnsi="Century Gothic"/>
          <w:sz w:val="16"/>
          <w:szCs w:val="16"/>
        </w:rPr>
        <w:footnoteRef/>
      </w:r>
      <w:r w:rsidRPr="001A29FC">
        <w:rPr>
          <w:rFonts w:ascii="Century Gothic" w:hAnsi="Century Gothic"/>
          <w:sz w:val="16"/>
          <w:szCs w:val="16"/>
        </w:rPr>
        <w:t xml:space="preserve"> </w:t>
      </w:r>
      <w:hyperlink r:id="rId8" w:anchor="_ftnref15" w:history="1">
        <w:r w:rsidRPr="001A29FC">
          <w:rPr>
            <w:rStyle w:val="Hipervnculo"/>
            <w:rFonts w:ascii="Century Gothic" w:eastAsia="Century Gothic" w:hAnsi="Century Gothic" w:cs="Century Gothic"/>
            <w:sz w:val="16"/>
            <w:szCs w:val="16"/>
            <w:vertAlign w:val="superscript"/>
            <w:lang w:val="es-MX"/>
          </w:rPr>
          <w:t>[15]</w:t>
        </w:r>
      </w:hyperlink>
      <w:r w:rsidRPr="001A29FC">
        <w:rPr>
          <w:rFonts w:ascii="Century Gothic" w:eastAsia="Century Gothic" w:hAnsi="Century Gothic" w:cs="Century Gothic"/>
          <w:color w:val="000000" w:themeColor="text1"/>
          <w:sz w:val="16"/>
          <w:szCs w:val="16"/>
          <w:lang w:val="es-MX"/>
        </w:rPr>
        <w:t xml:space="preserve"> </w:t>
      </w:r>
      <w:r w:rsidRPr="001A29FC">
        <w:rPr>
          <w:rFonts w:ascii="Century Gothic" w:eastAsia="Century Gothic" w:hAnsi="Century Gothic" w:cs="Century Gothic"/>
          <w:color w:val="000000" w:themeColor="text1"/>
          <w:sz w:val="16"/>
          <w:szCs w:val="16"/>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1A29FC">
        <w:rPr>
          <w:rFonts w:ascii="Century Gothic" w:eastAsia="Century Gothic" w:hAnsi="Century Gothic" w:cs="Century Gothic"/>
          <w:i/>
          <w:iCs/>
          <w:color w:val="000000" w:themeColor="text1"/>
          <w:sz w:val="16"/>
          <w:szCs w:val="16"/>
        </w:rPr>
        <w:t>ni que se acrediten circunstancias ocurridas con posterioridad al cierre del proceso</w:t>
      </w:r>
      <w:r w:rsidRPr="001A29FC">
        <w:rPr>
          <w:rFonts w:ascii="Century Gothic" w:eastAsia="Century Gothic" w:hAnsi="Century Gothic" w:cs="Century Gothic"/>
          <w:color w:val="000000" w:themeColor="text1"/>
          <w:sz w:val="16"/>
          <w:szCs w:val="16"/>
        </w:rPr>
        <w:t>” (Énfasis fuera de texto).</w:t>
      </w:r>
    </w:p>
    <w:p w14:paraId="4CA23C69" w14:textId="77777777" w:rsidR="008B3CF3" w:rsidRPr="001A29FC" w:rsidRDefault="008B3CF3" w:rsidP="008B3CF3">
      <w:pPr>
        <w:spacing w:after="0" w:line="276" w:lineRule="auto"/>
        <w:ind w:firstLine="709"/>
        <w:contextualSpacing/>
        <w:rPr>
          <w:rFonts w:ascii="Century Gothic" w:eastAsia="Century Gothic" w:hAnsi="Century Gothic" w:cs="Century Gothic"/>
          <w:color w:val="000000" w:themeColor="text1"/>
          <w:sz w:val="16"/>
          <w:szCs w:val="16"/>
          <w:lang w:val="es-MX"/>
        </w:rPr>
      </w:pPr>
      <w:r w:rsidRPr="001A29FC">
        <w:rPr>
          <w:rFonts w:ascii="Century Gothic" w:eastAsia="Century Gothic" w:hAnsi="Century Gothic" w:cs="Century Gothic"/>
          <w:color w:val="000000" w:themeColor="text1"/>
          <w:sz w:val="16"/>
          <w:szCs w:val="16"/>
          <w:lang w:val="es-MX"/>
        </w:rPr>
        <w:t xml:space="preserve"> </w:t>
      </w:r>
    </w:p>
  </w:footnote>
  <w:footnote w:id="9">
    <w:p w14:paraId="06F45686" w14:textId="77777777" w:rsidR="008B3CF3" w:rsidRPr="001A29FC" w:rsidRDefault="008B3CF3" w:rsidP="008B3CF3">
      <w:pPr>
        <w:spacing w:after="0" w:line="257" w:lineRule="auto"/>
        <w:ind w:firstLine="709"/>
        <w:contextualSpacing/>
        <w:rPr>
          <w:rFonts w:ascii="Century Gothic" w:eastAsia="Century Gothic" w:hAnsi="Century Gothic" w:cs="Century Gothic"/>
          <w:color w:val="000000" w:themeColor="text1"/>
          <w:sz w:val="16"/>
          <w:szCs w:val="16"/>
        </w:rPr>
      </w:pPr>
      <w:r w:rsidRPr="001A29FC">
        <w:rPr>
          <w:rStyle w:val="Refdenotaalpie"/>
          <w:rFonts w:ascii="Century Gothic" w:hAnsi="Century Gothic"/>
          <w:sz w:val="16"/>
          <w:szCs w:val="16"/>
        </w:rPr>
        <w:footnoteRef/>
      </w:r>
      <w:r w:rsidRPr="001A29FC">
        <w:rPr>
          <w:rFonts w:ascii="Century Gothic" w:hAnsi="Century Gothic"/>
          <w:sz w:val="16"/>
          <w:szCs w:val="16"/>
        </w:rPr>
        <w:t xml:space="preserve"> </w:t>
      </w:r>
      <w:hyperlink r:id="rId9" w:anchor="_ftnref16" w:history="1">
        <w:r w:rsidRPr="001A29FC">
          <w:rPr>
            <w:rStyle w:val="Hipervnculo"/>
            <w:rFonts w:ascii="Century Gothic" w:eastAsia="Century Gothic" w:hAnsi="Century Gothic" w:cs="Century Gothic"/>
            <w:sz w:val="16"/>
            <w:szCs w:val="16"/>
            <w:vertAlign w:val="superscript"/>
            <w:lang w:val="es-MX"/>
          </w:rPr>
          <w:t>[16]</w:t>
        </w:r>
      </w:hyperlink>
      <w:r w:rsidRPr="001A29FC">
        <w:rPr>
          <w:rFonts w:ascii="Century Gothic" w:eastAsia="Century Gothic" w:hAnsi="Century Gothic" w:cs="Century Gothic"/>
          <w:color w:val="000000" w:themeColor="text1"/>
          <w:sz w:val="16"/>
          <w:szCs w:val="16"/>
          <w:lang w:val="es-MX"/>
        </w:rPr>
        <w:t xml:space="preserve"> </w:t>
      </w:r>
      <w:r w:rsidRPr="001A29FC">
        <w:rPr>
          <w:rFonts w:ascii="Century Gothic" w:eastAsia="Century Gothic" w:hAnsi="Century Gothic" w:cs="Century Gothic"/>
          <w:color w:val="000000" w:themeColor="text1"/>
          <w:sz w:val="16"/>
          <w:szCs w:val="16"/>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66A80601" w14:textId="77777777" w:rsidR="008B3CF3" w:rsidRDefault="008B3CF3" w:rsidP="008B3CF3">
      <w:pPr>
        <w:pStyle w:val="Textonotapie"/>
      </w:pPr>
    </w:p>
  </w:footnote>
  <w:footnote w:id="10">
    <w:p w14:paraId="56FB3E76" w14:textId="77777777" w:rsidR="008B3CF3" w:rsidRPr="00A91C92" w:rsidRDefault="008B3CF3" w:rsidP="008B3CF3">
      <w:pPr>
        <w:spacing w:after="0" w:line="257" w:lineRule="auto"/>
        <w:ind w:firstLine="708"/>
        <w:contextualSpacing/>
        <w:jc w:val="center"/>
        <w:rPr>
          <w:rFonts w:ascii="Century Gothic" w:eastAsia="Century Gothic" w:hAnsi="Century Gothic" w:cs="Century Gothic"/>
          <w:sz w:val="16"/>
          <w:szCs w:val="16"/>
          <w:lang w:val="es-MX"/>
        </w:rPr>
      </w:pPr>
      <w:r>
        <w:rPr>
          <w:rStyle w:val="Refdenotaalpie"/>
        </w:rPr>
        <w:footnoteRef/>
      </w:r>
      <w:r>
        <w:t xml:space="preserve"> </w:t>
      </w:r>
      <w:hyperlink r:id="rId10" w:anchor="_ftnref17" w:history="1">
        <w:r w:rsidRPr="2F7B58A8">
          <w:rPr>
            <w:rStyle w:val="Hipervnculo"/>
            <w:rFonts w:ascii="Century Gothic" w:eastAsia="Century Gothic" w:hAnsi="Century Gothic" w:cs="Century Gothic"/>
            <w:sz w:val="16"/>
            <w:szCs w:val="16"/>
            <w:vertAlign w:val="superscript"/>
            <w:lang w:val="es-MX"/>
          </w:rPr>
          <w:t>[17]</w:t>
        </w:r>
      </w:hyperlink>
      <w:r w:rsidRPr="2F7B58A8">
        <w:rPr>
          <w:rFonts w:ascii="Century Gothic" w:eastAsia="Century Gothic" w:hAnsi="Century Gothic" w:cs="Century Gothic"/>
          <w:sz w:val="16"/>
          <w:szCs w:val="16"/>
          <w:lang w:val="es-MX"/>
        </w:rPr>
        <w:t xml:space="preserve"> Decreto 1082 de 2015, artículo 2.2.1.1.1.5.1., citado previamente.</w:t>
      </w:r>
    </w:p>
    <w:p w14:paraId="7F98167F" w14:textId="77777777" w:rsidR="008B3CF3" w:rsidRDefault="008B3CF3" w:rsidP="008B3CF3">
      <w:pPr>
        <w:pStyle w:val="Textonotapie"/>
      </w:pPr>
    </w:p>
  </w:footnote>
  <w:footnote w:id="11">
    <w:p w14:paraId="08A3F9FB" w14:textId="77777777" w:rsidR="008B3CF3" w:rsidRPr="001A29FC" w:rsidRDefault="008B3CF3" w:rsidP="008B3CF3">
      <w:pPr>
        <w:spacing w:after="0" w:line="257" w:lineRule="auto"/>
        <w:ind w:firstLine="709"/>
        <w:contextualSpacing/>
        <w:rPr>
          <w:rFonts w:ascii="Century Gothic" w:eastAsia="Century Gothic" w:hAnsi="Century Gothic" w:cs="Century Gothic"/>
          <w:sz w:val="16"/>
          <w:szCs w:val="16"/>
          <w:lang w:val="es"/>
        </w:rPr>
      </w:pPr>
      <w:r w:rsidRPr="001A29FC">
        <w:rPr>
          <w:rStyle w:val="Refdenotaalpie"/>
          <w:rFonts w:ascii="Century Gothic" w:hAnsi="Century Gothic"/>
          <w:sz w:val="16"/>
          <w:szCs w:val="16"/>
        </w:rPr>
        <w:footnoteRef/>
      </w:r>
      <w:r w:rsidRPr="001A29FC">
        <w:rPr>
          <w:rFonts w:ascii="Century Gothic" w:hAnsi="Century Gothic"/>
          <w:sz w:val="16"/>
          <w:szCs w:val="16"/>
        </w:rPr>
        <w:t xml:space="preserve"> </w:t>
      </w:r>
      <w:hyperlink r:id="rId11" w:anchor="_ftnref18" w:history="1">
        <w:r w:rsidRPr="001A29FC">
          <w:rPr>
            <w:rStyle w:val="Hipervnculo"/>
            <w:rFonts w:ascii="Century Gothic" w:eastAsia="Century Gothic" w:hAnsi="Century Gothic" w:cs="Century Gothic"/>
            <w:sz w:val="16"/>
            <w:szCs w:val="16"/>
            <w:vertAlign w:val="superscript"/>
            <w:lang w:val="es-MX"/>
          </w:rPr>
          <w:t>[18]</w:t>
        </w:r>
      </w:hyperlink>
      <w:r w:rsidRPr="001A29FC">
        <w:rPr>
          <w:rFonts w:ascii="Century Gothic" w:eastAsia="Century Gothic" w:hAnsi="Century Gothic" w:cs="Century Gothic"/>
          <w:sz w:val="16"/>
          <w:szCs w:val="16"/>
          <w:lang w:val="es-MX"/>
        </w:rPr>
        <w:t xml:space="preserve"> En efecto</w:t>
      </w:r>
      <w:r w:rsidRPr="001A29FC">
        <w:rPr>
          <w:rFonts w:ascii="Century Gothic" w:eastAsia="Century Gothic" w:hAnsi="Century Gothic" w:cs="Century Gothic"/>
          <w:sz w:val="16"/>
          <w:szCs w:val="16"/>
          <w:lang w:val="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1A29FC">
        <w:rPr>
          <w:rFonts w:ascii="Century Gothic" w:eastAsia="Century Gothic" w:hAnsi="Century Gothic" w:cs="Century Gothic"/>
          <w:i/>
          <w:iCs/>
          <w:sz w:val="16"/>
          <w:szCs w:val="16"/>
          <w:lang w:val="es"/>
        </w:rPr>
        <w:t>julio</w:t>
      </w:r>
      <w:r w:rsidRPr="001A29FC">
        <w:rPr>
          <w:rFonts w:ascii="Century Gothic" w:eastAsia="Century Gothic" w:hAnsi="Century Gothic" w:cs="Century Gothic"/>
          <w:sz w:val="16"/>
          <w:szCs w:val="16"/>
          <w:lang w:val="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p w14:paraId="15B9BEC5" w14:textId="77777777" w:rsidR="008B3CF3" w:rsidRPr="001A29FC" w:rsidRDefault="008B3CF3" w:rsidP="008B3CF3">
      <w:pPr>
        <w:spacing w:after="0" w:line="257" w:lineRule="auto"/>
        <w:ind w:firstLine="709"/>
        <w:contextualSpacing/>
        <w:rPr>
          <w:rFonts w:ascii="Century Gothic" w:eastAsia="Century Gothic" w:hAnsi="Century Gothic" w:cs="Century Gothic"/>
          <w:sz w:val="16"/>
          <w:szCs w:val="16"/>
          <w:lang w:val="es"/>
        </w:rPr>
      </w:pPr>
      <w:hyperlink r:id="rId12" w:anchor="_ftnref19" w:history="1">
        <w:r w:rsidRPr="001A29FC">
          <w:rPr>
            <w:rStyle w:val="Hipervnculo"/>
            <w:rFonts w:ascii="Century Gothic" w:eastAsia="Century Gothic" w:hAnsi="Century Gothic" w:cs="Century Gothic"/>
            <w:sz w:val="16"/>
            <w:szCs w:val="16"/>
            <w:vertAlign w:val="superscript"/>
            <w:lang w:val="es-MX"/>
          </w:rPr>
          <w:t>[19]</w:t>
        </w:r>
      </w:hyperlink>
      <w:r w:rsidRPr="001A29FC">
        <w:rPr>
          <w:rFonts w:ascii="Century Gothic" w:eastAsia="Century Gothic" w:hAnsi="Century Gothic" w:cs="Century Gothic"/>
          <w:sz w:val="16"/>
          <w:szCs w:val="16"/>
          <w:lang w:val="es-MX"/>
        </w:rPr>
        <w:t xml:space="preserve"> </w:t>
      </w:r>
      <w:r w:rsidRPr="001A29FC">
        <w:rPr>
          <w:rFonts w:ascii="Century Gothic" w:eastAsia="Century Gothic" w:hAnsi="Century Gothic" w:cs="Century Gothic"/>
          <w:sz w:val="16"/>
          <w:szCs w:val="16"/>
          <w:lang w:val="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11D841F8" w14:textId="77777777" w:rsidR="008B3CF3" w:rsidRPr="001A29FC" w:rsidRDefault="008B3CF3" w:rsidP="008B3CF3">
      <w:pPr>
        <w:spacing w:after="0" w:line="276" w:lineRule="auto"/>
        <w:ind w:firstLine="709"/>
        <w:contextualSpacing/>
        <w:rPr>
          <w:rFonts w:ascii="Century Gothic" w:eastAsia="Century Gothic" w:hAnsi="Century Gothic" w:cs="Century Gothic"/>
          <w:sz w:val="16"/>
          <w:szCs w:val="16"/>
          <w:lang w:val="es"/>
        </w:rPr>
      </w:pPr>
      <w:r w:rsidRPr="001A29FC">
        <w:rPr>
          <w:rFonts w:ascii="Century Gothic" w:eastAsia="Century Gothic" w:hAnsi="Century Gothic" w:cs="Century Gothic"/>
          <w:i/>
          <w:iCs/>
          <w:color w:val="000000" w:themeColor="text1"/>
          <w:sz w:val="16"/>
          <w:szCs w:val="16"/>
        </w:rPr>
        <w:t>“</w:t>
      </w:r>
      <w:r w:rsidRPr="001A29FC">
        <w:rPr>
          <w:rFonts w:ascii="Century Gothic" w:eastAsia="Century Gothic" w:hAnsi="Century Gothic" w:cs="Century Gothic"/>
          <w:sz w:val="16"/>
          <w:szCs w:val="16"/>
          <w:lang w:val="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306775A0" w14:textId="77777777" w:rsidR="008B3CF3" w:rsidRPr="001A29FC" w:rsidRDefault="008B3CF3" w:rsidP="008B3CF3">
      <w:pPr>
        <w:spacing w:after="0" w:line="276" w:lineRule="auto"/>
        <w:ind w:firstLine="709"/>
        <w:contextualSpacing/>
        <w:rPr>
          <w:rFonts w:ascii="Century Gothic" w:eastAsia="Century Gothic" w:hAnsi="Century Gothic" w:cs="Century Gothic"/>
          <w:sz w:val="16"/>
          <w:szCs w:val="16"/>
          <w:lang w:val="es"/>
        </w:rPr>
      </w:pPr>
      <w:r w:rsidRPr="001A29FC">
        <w:rPr>
          <w:rFonts w:ascii="Century Gothic" w:eastAsia="Century Gothic" w:hAnsi="Century Gothic" w:cs="Century Gothic"/>
          <w:sz w:val="16"/>
          <w:szCs w:val="16"/>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0C184D40" w14:textId="77777777" w:rsidR="008B3CF3" w:rsidRPr="001A29FC" w:rsidRDefault="008B3CF3" w:rsidP="008B3CF3">
      <w:pPr>
        <w:spacing w:after="0" w:line="276" w:lineRule="auto"/>
        <w:ind w:firstLine="709"/>
        <w:contextualSpacing/>
        <w:rPr>
          <w:rFonts w:ascii="Century Gothic" w:eastAsia="Century Gothic" w:hAnsi="Century Gothic" w:cs="Century Gothic"/>
          <w:sz w:val="16"/>
          <w:szCs w:val="16"/>
          <w:lang w:val="es"/>
        </w:rPr>
      </w:pPr>
      <w:r w:rsidRPr="001A29FC">
        <w:rPr>
          <w:rFonts w:ascii="Century Gothic" w:eastAsia="Century Gothic" w:hAnsi="Century Gothic" w:cs="Century Gothic"/>
          <w:sz w:val="16"/>
          <w:szCs w:val="16"/>
          <w:lang w:val="es"/>
        </w:rPr>
        <w:t>El proponente con inscripción activa y vigente que no tenga la información de la capacidad financiera y organizacional de los años 2018 y/o 2019 inscrita en el Registro Único de Proponentes, durante el mes de junio de 2021, podrá reportar por única vez, mediante una solicitud de actualización, únicamente la información contable correspondiente a estos años, sin costo alguno.</w:t>
      </w:r>
    </w:p>
    <w:p w14:paraId="1B5846BA" w14:textId="77777777" w:rsidR="008B3CF3" w:rsidRPr="00343781" w:rsidRDefault="008B3CF3" w:rsidP="008B3CF3">
      <w:pPr>
        <w:pStyle w:val="Textonotapie"/>
        <w:rPr>
          <w:lang w:val="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0312" w14:textId="77777777" w:rsidR="001421A4" w:rsidRDefault="001421A4">
    <w:pPr>
      <w:pStyle w:val="Encabezado"/>
    </w:pPr>
    <w:r>
      <w:rPr>
        <w:noProof/>
        <w:lang w:eastAsia="es-CO"/>
      </w:rPr>
      <w:drawing>
        <wp:anchor distT="0" distB="0" distL="114300" distR="114300" simplePos="0" relativeHeight="251659264" behindDoc="1" locked="0" layoutInCell="1" allowOverlap="1" wp14:anchorId="4B3FEE9E" wp14:editId="2D66C6A0">
          <wp:simplePos x="0" y="0"/>
          <wp:positionH relativeFrom="margin">
            <wp:posOffset>3874135</wp:posOffset>
          </wp:positionH>
          <wp:positionV relativeFrom="margin">
            <wp:posOffset>-977900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3D0AC1CF" wp14:editId="60B9E75B">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56ED80FF" wp14:editId="707AA8E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2CAE7FD5" wp14:editId="3D6AE70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5CE8978A" w14:textId="77777777" w:rsidR="001421A4" w:rsidRDefault="001421A4">
    <w:pPr>
      <w:pStyle w:val="Encabezado"/>
    </w:pPr>
  </w:p>
  <w:p w14:paraId="620A6658" w14:textId="77777777" w:rsidR="001421A4" w:rsidRDefault="001421A4">
    <w:pPr>
      <w:pStyle w:val="Encabezado"/>
    </w:pPr>
  </w:p>
  <w:p w14:paraId="4405164F" w14:textId="77777777" w:rsidR="001421A4" w:rsidRPr="004A305D" w:rsidRDefault="001421A4"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1235B476" w14:textId="77777777" w:rsidR="001421A4" w:rsidRPr="004A305D" w:rsidRDefault="001421A4"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p>
  <w:p w14:paraId="28968886" w14:textId="4A250949" w:rsidR="001421A4" w:rsidRPr="00760515" w:rsidRDefault="001421A4"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29302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F3"/>
    <w:rsid w:val="000F5A42"/>
    <w:rsid w:val="00117824"/>
    <w:rsid w:val="001421A4"/>
    <w:rsid w:val="001A29FC"/>
    <w:rsid w:val="001E45D6"/>
    <w:rsid w:val="0025048F"/>
    <w:rsid w:val="00252F2D"/>
    <w:rsid w:val="00291265"/>
    <w:rsid w:val="00316766"/>
    <w:rsid w:val="004172C4"/>
    <w:rsid w:val="004C7801"/>
    <w:rsid w:val="00543201"/>
    <w:rsid w:val="00760515"/>
    <w:rsid w:val="00764759"/>
    <w:rsid w:val="0078714D"/>
    <w:rsid w:val="007E49F7"/>
    <w:rsid w:val="008B3CF3"/>
    <w:rsid w:val="008D1875"/>
    <w:rsid w:val="00A12218"/>
    <w:rsid w:val="00A90678"/>
    <w:rsid w:val="00B3045F"/>
    <w:rsid w:val="00BF46A1"/>
    <w:rsid w:val="00CC58C3"/>
    <w:rsid w:val="00D14C22"/>
    <w:rsid w:val="00DB5AEA"/>
    <w:rsid w:val="00DC4E6B"/>
    <w:rsid w:val="00F52835"/>
    <w:rsid w:val="00FE3176"/>
    <w:rsid w:val="00FE7150"/>
    <w:rsid w:val="78EA00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620A"/>
  <w15:chartTrackingRefBased/>
  <w15:docId w15:val="{45A4BF86-047A-4587-8D6B-5413D85E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F3"/>
    <w:rPr>
      <w:kern w:val="0"/>
      <w14:ligatures w14:val="none"/>
    </w:rPr>
  </w:style>
  <w:style w:type="paragraph" w:styleId="Ttulo1">
    <w:name w:val="heading 1"/>
    <w:basedOn w:val="Normal"/>
    <w:next w:val="Normal"/>
    <w:link w:val="Ttulo1Car"/>
    <w:uiPriority w:val="9"/>
    <w:qFormat/>
    <w:rsid w:val="008B3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3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3C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3C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3C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3C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3C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3C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3C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C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3C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3C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3C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3C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3C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3C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3C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3CF3"/>
    <w:rPr>
      <w:rFonts w:eastAsiaTheme="majorEastAsia" w:cstheme="majorBidi"/>
      <w:color w:val="272727" w:themeColor="text1" w:themeTint="D8"/>
    </w:rPr>
  </w:style>
  <w:style w:type="paragraph" w:styleId="Ttulo">
    <w:name w:val="Title"/>
    <w:basedOn w:val="Normal"/>
    <w:next w:val="Normal"/>
    <w:link w:val="TtuloCar"/>
    <w:uiPriority w:val="10"/>
    <w:qFormat/>
    <w:rsid w:val="008B3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3C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3C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3C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3CF3"/>
    <w:pPr>
      <w:spacing w:before="160"/>
      <w:jc w:val="center"/>
    </w:pPr>
    <w:rPr>
      <w:i/>
      <w:iCs/>
      <w:color w:val="404040" w:themeColor="text1" w:themeTint="BF"/>
    </w:rPr>
  </w:style>
  <w:style w:type="character" w:customStyle="1" w:styleId="CitaCar">
    <w:name w:val="Cita Car"/>
    <w:basedOn w:val="Fuentedeprrafopredeter"/>
    <w:link w:val="Cita"/>
    <w:uiPriority w:val="29"/>
    <w:rsid w:val="008B3CF3"/>
    <w:rPr>
      <w:i/>
      <w:iCs/>
      <w:color w:val="404040" w:themeColor="text1" w:themeTint="BF"/>
    </w:rPr>
  </w:style>
  <w:style w:type="paragraph" w:styleId="Prrafodelista">
    <w:name w:val="List Paragraph"/>
    <w:basedOn w:val="Normal"/>
    <w:uiPriority w:val="34"/>
    <w:qFormat/>
    <w:rsid w:val="008B3CF3"/>
    <w:pPr>
      <w:ind w:left="720"/>
      <w:contextualSpacing/>
    </w:pPr>
  </w:style>
  <w:style w:type="character" w:styleId="nfasisintenso">
    <w:name w:val="Intense Emphasis"/>
    <w:basedOn w:val="Fuentedeprrafopredeter"/>
    <w:uiPriority w:val="21"/>
    <w:qFormat/>
    <w:rsid w:val="008B3CF3"/>
    <w:rPr>
      <w:i/>
      <w:iCs/>
      <w:color w:val="0F4761" w:themeColor="accent1" w:themeShade="BF"/>
    </w:rPr>
  </w:style>
  <w:style w:type="paragraph" w:styleId="Citadestacada">
    <w:name w:val="Intense Quote"/>
    <w:basedOn w:val="Normal"/>
    <w:next w:val="Normal"/>
    <w:link w:val="CitadestacadaCar"/>
    <w:uiPriority w:val="30"/>
    <w:qFormat/>
    <w:rsid w:val="008B3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3CF3"/>
    <w:rPr>
      <w:i/>
      <w:iCs/>
      <w:color w:val="0F4761" w:themeColor="accent1" w:themeShade="BF"/>
    </w:rPr>
  </w:style>
  <w:style w:type="character" w:styleId="Referenciaintensa">
    <w:name w:val="Intense Reference"/>
    <w:basedOn w:val="Fuentedeprrafopredeter"/>
    <w:uiPriority w:val="32"/>
    <w:qFormat/>
    <w:rsid w:val="008B3CF3"/>
    <w:rPr>
      <w:b/>
      <w:bCs/>
      <w:smallCaps/>
      <w:color w:val="0F4761" w:themeColor="accent1" w:themeShade="BF"/>
      <w:spacing w:val="5"/>
    </w:rPr>
  </w:style>
  <w:style w:type="paragraph" w:styleId="Encabezado">
    <w:name w:val="header"/>
    <w:basedOn w:val="Normal"/>
    <w:link w:val="EncabezadoCar"/>
    <w:uiPriority w:val="99"/>
    <w:unhideWhenUsed/>
    <w:rsid w:val="008B3C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CF3"/>
    <w:rPr>
      <w:kern w:val="0"/>
      <w14:ligatures w14:val="none"/>
    </w:rPr>
  </w:style>
  <w:style w:type="paragraph" w:styleId="Piedepgina">
    <w:name w:val="footer"/>
    <w:basedOn w:val="Normal"/>
    <w:link w:val="PiedepginaCar"/>
    <w:uiPriority w:val="99"/>
    <w:unhideWhenUsed/>
    <w:rsid w:val="008B3C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CF3"/>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B3CF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8B3CF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8B3CF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B3CF3"/>
    <w:rPr>
      <w:vertAlign w:val="superscript"/>
    </w:rPr>
  </w:style>
  <w:style w:type="table" w:styleId="Tablaconcuadrcula">
    <w:name w:val="Table Grid"/>
    <w:basedOn w:val="Tablanormal"/>
    <w:uiPriority w:val="39"/>
    <w:rsid w:val="008B3C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3CF3"/>
    <w:rPr>
      <w:color w:val="0000FF"/>
      <w:u w:val="single"/>
    </w:rPr>
  </w:style>
  <w:style w:type="paragraph" w:customStyle="1" w:styleId="Appelnotedebasde">
    <w:name w:val="Appel note de bas de..."/>
    <w:basedOn w:val="Normal"/>
    <w:link w:val="Refdenotaalpie"/>
    <w:uiPriority w:val="99"/>
    <w:rsid w:val="008B3CF3"/>
    <w:pPr>
      <w:spacing w:line="240" w:lineRule="exact"/>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7" Type="http://schemas.openxmlformats.org/officeDocument/2006/relationships/webSettings" Target="webSettings.xml"/><Relationship Id="rId1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amu1103@gmail.com"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 Type="http://schemas.openxmlformats.org/officeDocument/2006/relationships/hyperlink" Target="https://relatoria.colombiacompra.gov.co/busqueda/conceptos"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1B89D-45B5-4E0A-84BD-63BBFBDEB0F0}">
  <ds:schemaRefs>
    <ds:schemaRef ds:uri="http://purl.org/dc/dcmitype/"/>
    <ds:schemaRef ds:uri="http://schemas.microsoft.com/office/2006/metadata/properties"/>
    <ds:schemaRef ds:uri="http://purl.org/dc/elements/1.1/"/>
    <ds:schemaRef ds:uri="a6cb9e4b-f1d1-4245-83ec-6cad768d538a"/>
    <ds:schemaRef ds:uri="http://schemas.microsoft.com/office/2006/documentManagement/types"/>
    <ds:schemaRef ds:uri="9d85dbaf-23eb-4e57-a637-93dcacc8b1a1"/>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57CE1D7-1F04-4097-AFD4-3EAFF24F73FF}">
  <ds:schemaRefs>
    <ds:schemaRef ds:uri="http://schemas.microsoft.com/sharepoint/v3/contenttype/forms"/>
  </ds:schemaRefs>
</ds:datastoreItem>
</file>

<file path=customXml/itemProps3.xml><?xml version="1.0" encoding="utf-8"?>
<ds:datastoreItem xmlns:ds="http://schemas.openxmlformats.org/officeDocument/2006/customXml" ds:itemID="{D7D61277-A9BE-427E-9CB6-3890FC94E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7917</Words>
  <Characters>43544</Characters>
  <Application>Microsoft Office Word</Application>
  <DocSecurity>0</DocSecurity>
  <Lines>362</Lines>
  <Paragraphs>102</Paragraphs>
  <ScaleCrop>false</ScaleCrop>
  <Company/>
  <LinksUpToDate>false</LinksUpToDate>
  <CharactersWithSpaces>51359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20</cp:revision>
  <dcterms:created xsi:type="dcterms:W3CDTF">2024-03-22T13:15:00Z</dcterms:created>
  <dcterms:modified xsi:type="dcterms:W3CDTF">2024-10-21T20:03:00Z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