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17F220" w14:textId="77777777" w:rsidR="002E1C27" w:rsidRDefault="00554F4D" w:rsidP="002E1C27">
      <w:pPr>
        <w:pStyle w:val="paragraph"/>
        <w:spacing w:before="0" w:beforeAutospacing="0" w:after="0" w:afterAutospacing="0"/>
        <w:jc w:val="both"/>
        <w:textAlignment w:val="baseline"/>
        <w:rPr>
          <w:rStyle w:val="eop"/>
          <w:rFonts w:ascii="Arial" w:eastAsiaTheme="majorEastAsia" w:hAnsi="Arial" w:cs="Arial"/>
          <w:sz w:val="20"/>
          <w:szCs w:val="20"/>
        </w:rPr>
      </w:pPr>
      <w:r w:rsidRPr="00277113">
        <w:rPr>
          <w:rFonts w:ascii="Arial" w:eastAsia="Calibri" w:hAnsi="Arial" w:cs="Arial"/>
          <w:lang w:val="es-MX"/>
        </w:rPr>
        <w:softHyphen/>
      </w:r>
      <w:r w:rsidR="002E1C27">
        <w:rPr>
          <w:rStyle w:val="normaltextrun"/>
          <w:rFonts w:ascii="Arial" w:hAnsi="Arial" w:cs="Arial"/>
          <w:b/>
          <w:bCs/>
          <w:sz w:val="20"/>
          <w:szCs w:val="20"/>
          <w:lang w:val="es-ES"/>
        </w:rPr>
        <w:t>ANTICIPO – Regulación normativa </w:t>
      </w:r>
      <w:r w:rsidR="002E1C27">
        <w:rPr>
          <w:rStyle w:val="eop"/>
          <w:rFonts w:ascii="Arial" w:eastAsiaTheme="majorEastAsia" w:hAnsi="Arial" w:cs="Arial"/>
          <w:sz w:val="20"/>
          <w:szCs w:val="20"/>
        </w:rPr>
        <w:t> </w:t>
      </w:r>
    </w:p>
    <w:p w14:paraId="7A20DE27" w14:textId="77777777" w:rsidR="00BE30DE" w:rsidRDefault="00BE30DE" w:rsidP="002E1C27">
      <w:pPr>
        <w:pStyle w:val="paragraph"/>
        <w:spacing w:before="0" w:beforeAutospacing="0" w:after="0" w:afterAutospacing="0"/>
        <w:jc w:val="both"/>
        <w:textAlignment w:val="baseline"/>
        <w:rPr>
          <w:rFonts w:ascii="Segoe UI" w:hAnsi="Segoe UI" w:cs="Segoe UI"/>
          <w:sz w:val="18"/>
          <w:szCs w:val="18"/>
        </w:rPr>
      </w:pPr>
    </w:p>
    <w:p w14:paraId="1C77AFC6" w14:textId="08DD88E4" w:rsidR="000743F0" w:rsidRDefault="002E1C27" w:rsidP="00770E82">
      <w:pPr>
        <w:pStyle w:val="paragraph"/>
        <w:spacing w:before="0" w:beforeAutospacing="0" w:after="0" w:afterAutospacing="0"/>
        <w:jc w:val="both"/>
        <w:textAlignment w:val="baseline"/>
        <w:rPr>
          <w:rStyle w:val="eop"/>
          <w:rFonts w:ascii="Arial" w:eastAsiaTheme="majorEastAsia" w:hAnsi="Arial" w:cs="Arial"/>
          <w:sz w:val="20"/>
          <w:szCs w:val="20"/>
        </w:rPr>
      </w:pPr>
      <w:r>
        <w:rPr>
          <w:rStyle w:val="normaltextrun"/>
          <w:rFonts w:ascii="Arial" w:hAnsi="Arial" w:cs="Arial"/>
          <w:sz w:val="20"/>
          <w:szCs w:val="20"/>
          <w:lang w:val="es-ES"/>
        </w:rPr>
        <w:t>En materia de contratación pública, la figura del anticipo está prevista en dos (2) normas: el inciso primero del parágrafo del artículo 40 de la Ley 80 de 1993 y en el artículo 91 de la Ley 1474 de 2011. En cuanto al Estatuto General de Contratación de la Administración Pública, se dispone la posibilidad de pactar anticipos en los contratos, pero sujeto a determinadas limitaciones. En efecto, la norma prescribe que «En los contratos que celebren las entidades estatales se podrá pactar el pago anticipado y la entrega de anticipos, pero su monto no podrá exceder del cincuenta por ciento (50%) del valor del respectivo contrato». Por su parte, el artículo 91 de la Ley 1474 de 2011 consagra una regla especial para el manejo del anticipo. </w:t>
      </w:r>
      <w:r>
        <w:rPr>
          <w:rStyle w:val="eop"/>
          <w:rFonts w:ascii="Arial" w:eastAsiaTheme="majorEastAsia" w:hAnsi="Arial" w:cs="Arial"/>
          <w:sz w:val="20"/>
          <w:szCs w:val="20"/>
        </w:rPr>
        <w:t> </w:t>
      </w:r>
    </w:p>
    <w:p w14:paraId="6CF4BE4A" w14:textId="77777777" w:rsidR="00770E82" w:rsidRPr="00770E82" w:rsidRDefault="00770E82" w:rsidP="00770E82">
      <w:pPr>
        <w:pStyle w:val="paragraph"/>
        <w:spacing w:before="0" w:beforeAutospacing="0" w:after="0" w:afterAutospacing="0"/>
        <w:jc w:val="both"/>
        <w:textAlignment w:val="baseline"/>
        <w:rPr>
          <w:rFonts w:ascii="Segoe UI" w:hAnsi="Segoe UI" w:cs="Segoe UI"/>
          <w:sz w:val="18"/>
          <w:szCs w:val="18"/>
        </w:rPr>
      </w:pPr>
    </w:p>
    <w:p w14:paraId="2E7BED46" w14:textId="77777777" w:rsidR="00BE30DE" w:rsidRDefault="00BE30DE" w:rsidP="00BE30DE">
      <w:pPr>
        <w:pStyle w:val="paragraph"/>
        <w:spacing w:before="0" w:beforeAutospacing="0" w:after="0" w:afterAutospacing="0"/>
        <w:jc w:val="both"/>
        <w:textAlignment w:val="baseline"/>
        <w:rPr>
          <w:rStyle w:val="eop"/>
          <w:rFonts w:ascii="Arial" w:eastAsiaTheme="majorEastAsia" w:hAnsi="Arial" w:cs="Arial"/>
          <w:sz w:val="20"/>
          <w:szCs w:val="20"/>
        </w:rPr>
      </w:pPr>
      <w:r>
        <w:rPr>
          <w:rStyle w:val="normaltextrun"/>
          <w:rFonts w:ascii="Arial" w:hAnsi="Arial" w:cs="Arial"/>
          <w:b/>
          <w:bCs/>
          <w:sz w:val="20"/>
          <w:szCs w:val="20"/>
        </w:rPr>
        <w:t>ANTICIPO – Definición jurisprudencial</w:t>
      </w:r>
      <w:r>
        <w:rPr>
          <w:rStyle w:val="eop"/>
          <w:rFonts w:ascii="Arial" w:eastAsiaTheme="majorEastAsia" w:hAnsi="Arial" w:cs="Arial"/>
          <w:sz w:val="20"/>
          <w:szCs w:val="20"/>
        </w:rPr>
        <w:t> </w:t>
      </w:r>
    </w:p>
    <w:p w14:paraId="65B8D236" w14:textId="77777777" w:rsidR="00BE30DE" w:rsidRDefault="00BE30DE" w:rsidP="00BE30DE">
      <w:pPr>
        <w:pStyle w:val="paragraph"/>
        <w:spacing w:before="0" w:beforeAutospacing="0" w:after="0" w:afterAutospacing="0"/>
        <w:jc w:val="both"/>
        <w:textAlignment w:val="baseline"/>
        <w:rPr>
          <w:rFonts w:ascii="Segoe UI" w:hAnsi="Segoe UI" w:cs="Segoe UI"/>
          <w:sz w:val="18"/>
          <w:szCs w:val="18"/>
        </w:rPr>
      </w:pPr>
    </w:p>
    <w:p w14:paraId="060B5C06" w14:textId="49757F34" w:rsidR="00BE30DE" w:rsidRDefault="00BE30DE" w:rsidP="004236DE">
      <w:pPr>
        <w:pStyle w:val="paragraph"/>
        <w:spacing w:before="0" w:beforeAutospacing="0" w:after="0" w:afterAutospacing="0"/>
        <w:jc w:val="both"/>
        <w:textAlignment w:val="baseline"/>
        <w:rPr>
          <w:rStyle w:val="eop"/>
          <w:rFonts w:ascii="Arial" w:eastAsiaTheme="majorEastAsia" w:hAnsi="Arial" w:cs="Arial"/>
          <w:color w:val="000000"/>
          <w:sz w:val="20"/>
          <w:szCs w:val="20"/>
        </w:rPr>
      </w:pPr>
      <w:r>
        <w:rPr>
          <w:rStyle w:val="normaltextrun"/>
          <w:rFonts w:ascii="Arial" w:hAnsi="Arial" w:cs="Arial"/>
          <w:sz w:val="20"/>
          <w:szCs w:val="20"/>
          <w:lang w:val="es-ES"/>
        </w:rPr>
        <w:t xml:space="preserve">[…], </w:t>
      </w:r>
      <w:r>
        <w:rPr>
          <w:rStyle w:val="normaltextrun"/>
          <w:rFonts w:ascii="Arial" w:hAnsi="Arial" w:cs="Arial"/>
          <w:sz w:val="20"/>
          <w:szCs w:val="20"/>
        </w:rPr>
        <w:t xml:space="preserve">el Consejo de Estado ha precisado su naturaleza jurídica fijando parámetros para su aplicación. En uno de sus pronunciamientos más recientes, el Consejo de Estado se refirió al anticipo como </w:t>
      </w:r>
      <w:r>
        <w:rPr>
          <w:rStyle w:val="normaltextrun"/>
          <w:rFonts w:ascii="Arial" w:hAnsi="Arial" w:cs="Arial"/>
          <w:color w:val="000000"/>
          <w:sz w:val="20"/>
          <w:szCs w:val="20"/>
        </w:rPr>
        <w:t>«</w:t>
      </w:r>
      <w:r>
        <w:rPr>
          <w:rStyle w:val="normaltextrun"/>
          <w:rFonts w:ascii="Arial" w:hAnsi="Arial" w:cs="Arial"/>
          <w:sz w:val="20"/>
          <w:szCs w:val="20"/>
        </w:rPr>
        <w:t>un recurso o suma correspondiente a un porcentaje del valor total del contrato, pactado como contraprestación, que la entidad pública le entrega al contratista para que sea invertida específicamente en la ejecución del contrato y sea manejada generalmente en cuenta separada, con imposición de obligaciones relacionadas con legalización y amortización de la inversión, de suerte que el monto entregado como anticipo no ingresa al patrimonio del contratista sino cuando ha sido debidamente amortizado</w:t>
      </w:r>
      <w:r>
        <w:rPr>
          <w:rStyle w:val="normaltextrun"/>
          <w:rFonts w:ascii="Arial" w:hAnsi="Arial" w:cs="Arial"/>
          <w:color w:val="000000"/>
          <w:sz w:val="20"/>
          <w:szCs w:val="20"/>
        </w:rPr>
        <w:t>»</w:t>
      </w:r>
      <w:r>
        <w:rPr>
          <w:rStyle w:val="eop"/>
          <w:rFonts w:ascii="Arial" w:eastAsiaTheme="majorEastAsia" w:hAnsi="Arial" w:cs="Arial"/>
          <w:color w:val="000000"/>
          <w:sz w:val="20"/>
          <w:szCs w:val="20"/>
        </w:rPr>
        <w:t> </w:t>
      </w:r>
    </w:p>
    <w:p w14:paraId="308DF0E4" w14:textId="77777777" w:rsidR="004236DE" w:rsidRDefault="004236DE" w:rsidP="004236DE">
      <w:pPr>
        <w:pStyle w:val="paragraph"/>
        <w:spacing w:before="0" w:beforeAutospacing="0" w:after="0" w:afterAutospacing="0"/>
        <w:jc w:val="both"/>
        <w:textAlignment w:val="baseline"/>
        <w:rPr>
          <w:rStyle w:val="eop"/>
          <w:rFonts w:ascii="Arial" w:eastAsiaTheme="majorEastAsia" w:hAnsi="Arial" w:cs="Arial"/>
          <w:color w:val="000000"/>
          <w:sz w:val="20"/>
          <w:szCs w:val="20"/>
        </w:rPr>
      </w:pPr>
    </w:p>
    <w:p w14:paraId="3073DCEB" w14:textId="77777777" w:rsidR="004236DE" w:rsidRPr="00831193" w:rsidRDefault="004236DE" w:rsidP="004236DE">
      <w:pPr>
        <w:spacing w:line="240" w:lineRule="auto"/>
        <w:jc w:val="both"/>
        <w:textAlignment w:val="baseline"/>
        <w:rPr>
          <w:rFonts w:ascii="Segoe UI" w:eastAsia="Times New Roman" w:hAnsi="Segoe UI" w:cs="Segoe UI"/>
          <w:sz w:val="18"/>
          <w:szCs w:val="18"/>
          <w:lang w:val="es-ES_tradnl" w:eastAsia="es-ES_tradnl"/>
        </w:rPr>
      </w:pPr>
      <w:r w:rsidRPr="00831193">
        <w:rPr>
          <w:rFonts w:ascii="Arial" w:eastAsia="Calibri" w:hAnsi="Arial" w:cs="Arial"/>
          <w:b/>
          <w:bCs/>
          <w:lang w:val="es-ES_tradnl" w:eastAsia="es-ES_tradnl"/>
        </w:rPr>
        <w:t>DECRETO 092 DE 2017</w:t>
      </w:r>
      <w:r>
        <w:rPr>
          <w:rFonts w:ascii="Arial" w:eastAsia="Calibri" w:hAnsi="Arial" w:cs="Arial"/>
          <w:b/>
          <w:bCs/>
          <w:lang w:val="es-ES_tradnl" w:eastAsia="es-ES_tradnl"/>
        </w:rPr>
        <w:t xml:space="preserve"> </w:t>
      </w:r>
      <w:r w:rsidRPr="00831193">
        <w:rPr>
          <w:rFonts w:ascii="Arial" w:eastAsia="Calibri" w:hAnsi="Arial" w:cs="Arial"/>
          <w:b/>
          <w:bCs/>
          <w:lang w:val="es-ES_tradnl" w:eastAsia="es-ES_tradnl"/>
        </w:rPr>
        <w:t>–</w:t>
      </w:r>
      <w:r>
        <w:rPr>
          <w:rFonts w:ascii="Arial" w:eastAsia="Calibri" w:hAnsi="Arial" w:cs="Arial"/>
          <w:b/>
          <w:bCs/>
          <w:lang w:val="es-ES_tradnl" w:eastAsia="es-ES_tradnl"/>
        </w:rPr>
        <w:t xml:space="preserve"> </w:t>
      </w:r>
      <w:r w:rsidRPr="00EB2E66">
        <w:rPr>
          <w:rFonts w:ascii="Arial" w:eastAsia="Calibri" w:hAnsi="Arial" w:cs="Arial"/>
          <w:b/>
          <w:bCs/>
          <w:lang w:val="es-ES_tradnl" w:eastAsia="es-ES_tradnl"/>
        </w:rPr>
        <w:t>Artículo 355</w:t>
      </w:r>
      <w:r>
        <w:rPr>
          <w:rFonts w:ascii="Arial" w:eastAsia="Calibri" w:hAnsi="Arial" w:cs="Arial"/>
          <w:b/>
          <w:bCs/>
          <w:lang w:val="es-ES_tradnl" w:eastAsia="es-ES_tradnl"/>
        </w:rPr>
        <w:t xml:space="preserve"> </w:t>
      </w:r>
      <w:r w:rsidRPr="00831193">
        <w:rPr>
          <w:rFonts w:ascii="Arial" w:eastAsia="Calibri" w:hAnsi="Arial" w:cs="Arial"/>
          <w:b/>
          <w:bCs/>
          <w:lang w:val="es-ES_tradnl" w:eastAsia="es-ES_tradnl"/>
        </w:rPr>
        <w:t>– Constitución Política</w:t>
      </w:r>
      <w:r>
        <w:rPr>
          <w:rFonts w:ascii="Arial" w:eastAsia="Calibri" w:hAnsi="Arial" w:cs="Arial"/>
          <w:b/>
          <w:bCs/>
          <w:lang w:val="es-ES_tradnl" w:eastAsia="es-ES_tradnl"/>
        </w:rPr>
        <w:t xml:space="preserve"> </w:t>
      </w:r>
      <w:r w:rsidRPr="00831193">
        <w:rPr>
          <w:rFonts w:ascii="Arial" w:eastAsia="Calibri" w:hAnsi="Arial" w:cs="Arial"/>
          <w:b/>
          <w:bCs/>
          <w:lang w:val="es-ES_tradnl" w:eastAsia="es-ES_tradnl"/>
        </w:rPr>
        <w:t>–</w:t>
      </w:r>
      <w:r>
        <w:rPr>
          <w:rFonts w:ascii="Arial" w:eastAsia="Calibri" w:hAnsi="Arial" w:cs="Arial"/>
          <w:b/>
          <w:bCs/>
          <w:lang w:val="es-ES_tradnl" w:eastAsia="es-ES_tradnl"/>
        </w:rPr>
        <w:t xml:space="preserve"> </w:t>
      </w:r>
      <w:r w:rsidRPr="00831193">
        <w:rPr>
          <w:rFonts w:ascii="Arial" w:eastAsia="Calibri" w:hAnsi="Arial" w:cs="Arial"/>
          <w:b/>
          <w:bCs/>
          <w:lang w:val="es-ES_tradnl" w:eastAsia="es-ES_tradnl"/>
        </w:rPr>
        <w:t>Convenios de asociación</w:t>
      </w:r>
      <w:r>
        <w:rPr>
          <w:rFonts w:ascii="Arial" w:eastAsia="Calibri" w:hAnsi="Arial" w:cs="Arial"/>
          <w:b/>
          <w:bCs/>
          <w:lang w:val="es-ES_tradnl" w:eastAsia="es-ES_tradnl"/>
        </w:rPr>
        <w:t xml:space="preserve"> </w:t>
      </w:r>
      <w:r w:rsidRPr="00831193">
        <w:rPr>
          <w:rFonts w:ascii="Arial" w:eastAsia="Calibri" w:hAnsi="Arial" w:cs="Arial"/>
          <w:b/>
          <w:bCs/>
          <w:lang w:val="es-ES_tradnl" w:eastAsia="es-ES_tradnl"/>
        </w:rPr>
        <w:t>–</w:t>
      </w:r>
      <w:r>
        <w:rPr>
          <w:rFonts w:ascii="Arial" w:eastAsia="Calibri" w:hAnsi="Arial" w:cs="Arial"/>
          <w:b/>
          <w:bCs/>
          <w:lang w:val="es-ES_tradnl" w:eastAsia="es-ES_tradnl"/>
        </w:rPr>
        <w:t xml:space="preserve"> </w:t>
      </w:r>
      <w:r w:rsidRPr="00831193">
        <w:rPr>
          <w:rFonts w:ascii="Arial" w:eastAsia="Calibri" w:hAnsi="Arial" w:cs="Arial"/>
          <w:b/>
          <w:bCs/>
          <w:lang w:val="es-ES_tradnl" w:eastAsia="es-ES_tradnl"/>
        </w:rPr>
        <w:t>Artículo 96</w:t>
      </w:r>
      <w:r>
        <w:rPr>
          <w:rFonts w:ascii="Arial" w:eastAsia="Calibri" w:hAnsi="Arial" w:cs="Arial"/>
          <w:b/>
          <w:bCs/>
          <w:lang w:val="es-ES_tradnl" w:eastAsia="es-ES_tradnl"/>
        </w:rPr>
        <w:t xml:space="preserve"> </w:t>
      </w:r>
      <w:r w:rsidRPr="00831193">
        <w:rPr>
          <w:rFonts w:ascii="Arial" w:eastAsia="Calibri" w:hAnsi="Arial" w:cs="Arial"/>
          <w:b/>
          <w:bCs/>
          <w:lang w:val="es-ES_tradnl" w:eastAsia="es-ES_tradnl"/>
        </w:rPr>
        <w:t>–</w:t>
      </w:r>
      <w:r>
        <w:rPr>
          <w:rFonts w:ascii="Arial" w:eastAsia="Calibri" w:hAnsi="Arial" w:cs="Arial"/>
          <w:b/>
          <w:bCs/>
          <w:lang w:val="es-ES_tradnl" w:eastAsia="es-ES_tradnl"/>
        </w:rPr>
        <w:t xml:space="preserve"> </w:t>
      </w:r>
      <w:r w:rsidRPr="00831193">
        <w:rPr>
          <w:rFonts w:ascii="Arial" w:eastAsia="Calibri" w:hAnsi="Arial" w:cs="Arial"/>
          <w:b/>
          <w:bCs/>
          <w:lang w:val="es-ES_tradnl" w:eastAsia="es-ES_tradnl"/>
        </w:rPr>
        <w:t>Ley 489 de 1998</w:t>
      </w:r>
      <w:r>
        <w:rPr>
          <w:rFonts w:ascii="Arial" w:eastAsia="Calibri" w:hAnsi="Arial" w:cs="Arial"/>
          <w:lang w:val="es-ES_tradnl" w:eastAsia="es-ES_tradnl"/>
        </w:rPr>
        <w:t xml:space="preserve"> </w:t>
      </w:r>
    </w:p>
    <w:p w14:paraId="67EEFF4E" w14:textId="77777777" w:rsidR="004236DE" w:rsidRPr="00831193" w:rsidRDefault="004236DE" w:rsidP="004236DE">
      <w:pPr>
        <w:spacing w:line="240" w:lineRule="auto"/>
        <w:textAlignment w:val="baseline"/>
        <w:rPr>
          <w:rFonts w:ascii="Arial" w:eastAsia="Calibri" w:hAnsi="Arial" w:cs="Arial"/>
          <w:lang w:val="es-ES_tradnl" w:eastAsia="es-ES_tradnl"/>
        </w:rPr>
      </w:pPr>
    </w:p>
    <w:p w14:paraId="56C54EAB" w14:textId="77777777" w:rsidR="004236DE" w:rsidRDefault="004236DE" w:rsidP="004236DE">
      <w:pPr>
        <w:spacing w:line="240" w:lineRule="auto"/>
        <w:jc w:val="both"/>
        <w:rPr>
          <w:rFonts w:ascii="Arial" w:eastAsia="Calibri" w:hAnsi="Arial" w:cs="Arial"/>
          <w:color w:val="000000"/>
          <w:sz w:val="20"/>
          <w:szCs w:val="20"/>
          <w:lang w:val="es-MX"/>
        </w:rPr>
      </w:pPr>
      <w:r w:rsidRPr="00691B7C">
        <w:rPr>
          <w:rFonts w:ascii="Arial" w:eastAsia="Calibri" w:hAnsi="Arial" w:cs="Arial"/>
          <w:color w:val="000000"/>
          <w:sz w:val="20"/>
          <w:szCs w:val="20"/>
          <w:lang w:val="es-MX"/>
        </w:rPr>
        <w:t>El artículo 355 de la Constitución Política prohíbe a las ramas y órganos del poder público decretar auxilios o donaciones en favor de personas naturales o jurídicas. Igualmente, establece que las entidades del orden nacional, departamental, distrital y municipal podrán, con sus propios recursos, contratar con entidades privadas sin ánimo de lucro –ESAL– con el fin de impulsar programas y actividades de interés público acordes con el plan nacional y los planes seccionales de desarrollo. Por otra parte, la Ley 489 de 1998, en el artículo 96, permite a las entidades públicas en general, es decir, cualquiera sea su naturaleza y orden administrativo, asociarse con personas jurídicas particulares, mediante la celebración de convenios de asociación o la creación de personas jurídicas. Ambas figuras tienen como fin desarrollar conjuntamente actividades relacionadas con los cometidos y funciones legales asignadas a la entidad.</w:t>
      </w:r>
    </w:p>
    <w:p w14:paraId="5A690E56" w14:textId="77777777" w:rsidR="00BB747F" w:rsidRDefault="00BB747F" w:rsidP="004236DE">
      <w:pPr>
        <w:spacing w:line="240" w:lineRule="auto"/>
        <w:jc w:val="both"/>
        <w:rPr>
          <w:rFonts w:ascii="Arial" w:eastAsia="Calibri" w:hAnsi="Arial" w:cs="Arial"/>
          <w:color w:val="000000"/>
          <w:sz w:val="20"/>
          <w:szCs w:val="20"/>
          <w:lang w:val="es-MX"/>
        </w:rPr>
      </w:pPr>
    </w:p>
    <w:p w14:paraId="48CCB20E" w14:textId="77777777" w:rsidR="00BB747F" w:rsidRPr="00831193" w:rsidRDefault="00BB747F" w:rsidP="00BB747F">
      <w:pPr>
        <w:spacing w:line="240" w:lineRule="auto"/>
        <w:jc w:val="both"/>
        <w:textAlignment w:val="baseline"/>
        <w:rPr>
          <w:rFonts w:ascii="Segoe UI" w:eastAsia="Calibri" w:hAnsi="Segoe UI" w:cs="Segoe UI"/>
          <w:sz w:val="18"/>
          <w:szCs w:val="18"/>
          <w:lang w:val="es-ES_tradnl" w:eastAsia="es-ES_tradnl"/>
        </w:rPr>
      </w:pPr>
      <w:r w:rsidRPr="00831193">
        <w:rPr>
          <w:rFonts w:ascii="Arial" w:eastAsia="Calibri" w:hAnsi="Arial" w:cs="Arial"/>
          <w:b/>
          <w:bCs/>
          <w:lang w:val="es-ES_tradnl" w:eastAsia="es-ES_tradnl"/>
        </w:rPr>
        <w:t>CONVENIOS DE ASOCIACIÓN</w:t>
      </w:r>
      <w:r>
        <w:rPr>
          <w:rFonts w:ascii="Arial" w:eastAsia="Calibri" w:hAnsi="Arial" w:cs="Arial"/>
          <w:b/>
          <w:bCs/>
          <w:lang w:val="es-ES_tradnl" w:eastAsia="es-ES_tradnl"/>
        </w:rPr>
        <w:t xml:space="preserve"> </w:t>
      </w:r>
      <w:r w:rsidRPr="00831193">
        <w:rPr>
          <w:rFonts w:ascii="Arial" w:eastAsia="Calibri" w:hAnsi="Arial" w:cs="Arial"/>
          <w:b/>
          <w:bCs/>
          <w:lang w:val="es-ES_tradnl" w:eastAsia="es-ES_tradnl"/>
        </w:rPr>
        <w:t>–</w:t>
      </w:r>
      <w:r>
        <w:rPr>
          <w:rFonts w:ascii="Arial" w:eastAsia="Calibri" w:hAnsi="Arial" w:cs="Arial"/>
          <w:b/>
          <w:bCs/>
          <w:lang w:val="es-ES_tradnl" w:eastAsia="es-ES_tradnl"/>
        </w:rPr>
        <w:t xml:space="preserve"> </w:t>
      </w:r>
      <w:r w:rsidRPr="00AF3C2E">
        <w:rPr>
          <w:rFonts w:ascii="Arial" w:eastAsia="Calibri" w:hAnsi="Arial" w:cs="Arial"/>
          <w:b/>
          <w:bCs/>
          <w:lang w:val="es-ES_tradnl" w:eastAsia="es-ES_tradnl"/>
        </w:rPr>
        <w:t>Concepto</w:t>
      </w:r>
      <w:r>
        <w:rPr>
          <w:rFonts w:ascii="Arial" w:eastAsia="Calibri" w:hAnsi="Arial" w:cs="Arial"/>
          <w:b/>
          <w:bCs/>
          <w:lang w:val="es-ES_tradnl" w:eastAsia="es-ES_tradnl"/>
        </w:rPr>
        <w:t xml:space="preserve"> </w:t>
      </w:r>
      <w:r w:rsidRPr="00831193">
        <w:rPr>
          <w:rFonts w:ascii="Arial" w:eastAsia="Calibri" w:hAnsi="Arial" w:cs="Arial"/>
          <w:b/>
          <w:bCs/>
          <w:lang w:val="es-ES_tradnl" w:eastAsia="es-ES_tradnl"/>
        </w:rPr>
        <w:t xml:space="preserve">– Aportes - </w:t>
      </w:r>
      <w:r w:rsidRPr="00AF3C2E">
        <w:rPr>
          <w:rFonts w:ascii="Arial" w:eastAsia="Calibri" w:hAnsi="Arial" w:cs="Arial"/>
          <w:b/>
          <w:bCs/>
          <w:lang w:val="es-ES_tradnl" w:eastAsia="es-ES_tradnl"/>
        </w:rPr>
        <w:t>Artículo 5</w:t>
      </w:r>
      <w:r>
        <w:rPr>
          <w:rFonts w:ascii="Arial" w:eastAsia="Calibri" w:hAnsi="Arial" w:cs="Arial"/>
          <w:b/>
          <w:bCs/>
          <w:lang w:val="es-ES_tradnl" w:eastAsia="es-ES_tradnl"/>
        </w:rPr>
        <w:t xml:space="preserve"> </w:t>
      </w:r>
      <w:r w:rsidRPr="00831193">
        <w:rPr>
          <w:rFonts w:ascii="Arial" w:eastAsia="Calibri" w:hAnsi="Arial" w:cs="Arial"/>
          <w:b/>
          <w:bCs/>
          <w:lang w:val="es-ES_tradnl" w:eastAsia="es-ES_tradnl"/>
        </w:rPr>
        <w:t>–</w:t>
      </w:r>
      <w:r>
        <w:rPr>
          <w:rFonts w:ascii="Arial" w:eastAsia="Calibri" w:hAnsi="Arial" w:cs="Arial"/>
          <w:b/>
          <w:bCs/>
          <w:lang w:val="es-ES_tradnl" w:eastAsia="es-ES_tradnl"/>
        </w:rPr>
        <w:t xml:space="preserve"> </w:t>
      </w:r>
      <w:r w:rsidRPr="00831193">
        <w:rPr>
          <w:rFonts w:ascii="Arial" w:eastAsia="Calibri" w:hAnsi="Arial" w:cs="Arial"/>
          <w:b/>
          <w:bCs/>
          <w:lang w:val="es-ES_tradnl" w:eastAsia="es-ES_tradnl"/>
        </w:rPr>
        <w:t>Decreto 092 de 2017</w:t>
      </w:r>
    </w:p>
    <w:p w14:paraId="6FD79F65" w14:textId="77777777" w:rsidR="00BB747F" w:rsidRPr="00831193" w:rsidRDefault="00BB747F" w:rsidP="00BB747F">
      <w:pPr>
        <w:spacing w:line="240" w:lineRule="auto"/>
        <w:textAlignment w:val="baseline"/>
        <w:rPr>
          <w:rFonts w:ascii="Segoe UI" w:eastAsia="Calibri" w:hAnsi="Segoe UI" w:cs="Segoe UI"/>
          <w:sz w:val="18"/>
          <w:szCs w:val="18"/>
          <w:lang w:val="es-ES_tradnl" w:eastAsia="es-ES_tradnl"/>
        </w:rPr>
      </w:pPr>
    </w:p>
    <w:p w14:paraId="3E0ADD81" w14:textId="77777777" w:rsidR="00BB747F" w:rsidRDefault="00BB747F" w:rsidP="00BB747F">
      <w:pPr>
        <w:spacing w:line="240" w:lineRule="auto"/>
        <w:jc w:val="both"/>
        <w:rPr>
          <w:rFonts w:ascii="Arial" w:eastAsia="Calibri" w:hAnsi="Arial" w:cs="Arial"/>
          <w:color w:val="000000"/>
          <w:sz w:val="20"/>
          <w:szCs w:val="20"/>
          <w:lang w:val="es-MX"/>
        </w:rPr>
      </w:pPr>
      <w:r w:rsidRPr="00691B7C">
        <w:rPr>
          <w:rFonts w:ascii="Arial" w:eastAsia="Calibri" w:hAnsi="Arial" w:cs="Arial"/>
          <w:color w:val="000000"/>
          <w:sz w:val="20"/>
          <w:szCs w:val="20"/>
          <w:lang w:val="es-MX"/>
        </w:rPr>
        <w:t xml:space="preserve">[…] los </w:t>
      </w:r>
      <w:r w:rsidRPr="00691B7C">
        <w:rPr>
          <w:rFonts w:ascii="Arial" w:eastAsia="Calibri" w:hAnsi="Arial" w:cs="Arial"/>
          <w:i/>
          <w:iCs/>
          <w:color w:val="000000"/>
          <w:sz w:val="20"/>
          <w:szCs w:val="20"/>
          <w:lang w:val="es-MX"/>
        </w:rPr>
        <w:t>convenios de asociación</w:t>
      </w:r>
      <w:r w:rsidRPr="00691B7C">
        <w:rPr>
          <w:rFonts w:ascii="Arial" w:eastAsia="Calibri" w:hAnsi="Arial" w:cs="Arial"/>
          <w:color w:val="000000"/>
          <w:sz w:val="20"/>
          <w:szCs w:val="20"/>
          <w:lang w:val="es-MX"/>
        </w:rPr>
        <w:t xml:space="preserve"> «[t]</w:t>
      </w:r>
      <w:proofErr w:type="spellStart"/>
      <w:r w:rsidRPr="00691B7C">
        <w:rPr>
          <w:rFonts w:ascii="Arial" w:eastAsia="Calibri" w:hAnsi="Arial" w:cs="Arial"/>
          <w:color w:val="000000"/>
          <w:sz w:val="20"/>
          <w:szCs w:val="20"/>
          <w:lang w:val="es-MX"/>
        </w:rPr>
        <w:t>ienen</w:t>
      </w:r>
      <w:proofErr w:type="spellEnd"/>
      <w:r w:rsidRPr="00691B7C">
        <w:rPr>
          <w:rFonts w:ascii="Arial" w:eastAsia="Calibri" w:hAnsi="Arial" w:cs="Arial"/>
          <w:color w:val="000000"/>
          <w:sz w:val="20"/>
          <w:szCs w:val="20"/>
          <w:lang w:val="es-MX"/>
        </w:rPr>
        <w:t xml:space="preserve">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 En estos convenios no existe contraprestación o pago, sino aportes, los cuales están dirigidos, exclusivamente, a lograr la ejecución del convenio y no a remunerar la actividad o actuaciones del asociado. De todos modos, la entidad debe adelantar un proceso competitivo, salvo cuando la ESAL comprometa recursos en dinero para la ejecución de estas actividades, en una proporción no inferior al 30% del valor total del convenio. </w:t>
      </w:r>
    </w:p>
    <w:p w14:paraId="41E0626C" w14:textId="77777777" w:rsidR="00BB747F" w:rsidRDefault="00BB747F" w:rsidP="00BB747F">
      <w:pPr>
        <w:spacing w:line="240" w:lineRule="auto"/>
        <w:jc w:val="both"/>
        <w:rPr>
          <w:rFonts w:ascii="Arial" w:eastAsia="Calibri" w:hAnsi="Arial" w:cs="Arial"/>
          <w:color w:val="000000"/>
          <w:sz w:val="20"/>
          <w:szCs w:val="20"/>
          <w:lang w:val="es-MX"/>
        </w:rPr>
      </w:pPr>
    </w:p>
    <w:p w14:paraId="582CAACA" w14:textId="77777777" w:rsidR="00BB747F" w:rsidRPr="00691B7C" w:rsidRDefault="00BB747F" w:rsidP="00BB747F">
      <w:pPr>
        <w:spacing w:line="240" w:lineRule="auto"/>
        <w:jc w:val="both"/>
        <w:rPr>
          <w:rFonts w:ascii="Arial" w:eastAsia="Calibri" w:hAnsi="Arial" w:cs="Arial"/>
          <w:color w:val="000000"/>
          <w:sz w:val="20"/>
          <w:szCs w:val="20"/>
          <w:lang w:val="es-MX"/>
        </w:rPr>
      </w:pPr>
      <w:r w:rsidRPr="00691B7C">
        <w:rPr>
          <w:rFonts w:ascii="Arial" w:eastAsia="Calibri" w:hAnsi="Arial" w:cs="Arial"/>
          <w:color w:val="000000"/>
          <w:sz w:val="20"/>
          <w:szCs w:val="20"/>
          <w:lang w:val="es-MX"/>
        </w:rPr>
        <w:lastRenderedPageBreak/>
        <w:t xml:space="preserve">De conformidad con el inciso segundo del artículo 96 de la Ley 489 de 1998, en estos convenios debe determinarse «con precisión su objeto, término, obligaciones de las partes, aportes, coordinación y todos aquellos aspectos que se consideren pertinentes», elementos dentro de los que resalta la exigencia de aportes, que debe interpretarse en el sentido de que las ESAL deben realizar aportes a los convenios que suscriban, los cuales pueden ser en dinero, en porcentajes inferiores o superiores al 30%, o en especie, los cuales deben servir al desarrollo de los objetivos comunes de la asociación. </w:t>
      </w:r>
    </w:p>
    <w:p w14:paraId="44A0F441" w14:textId="77777777" w:rsidR="00BB747F" w:rsidRDefault="00BB747F" w:rsidP="00BB747F">
      <w:pPr>
        <w:spacing w:line="240" w:lineRule="auto"/>
        <w:jc w:val="both"/>
        <w:rPr>
          <w:rFonts w:ascii="Arial" w:eastAsia="Calibri" w:hAnsi="Arial" w:cs="Arial"/>
          <w:color w:val="000000"/>
          <w:sz w:val="20"/>
          <w:szCs w:val="20"/>
          <w:lang w:val="es-MX"/>
        </w:rPr>
      </w:pPr>
    </w:p>
    <w:p w14:paraId="6DC73887" w14:textId="77777777" w:rsidR="00BB747F" w:rsidRPr="00691B7C" w:rsidRDefault="00BB747F" w:rsidP="00BB747F">
      <w:pPr>
        <w:spacing w:line="240" w:lineRule="auto"/>
        <w:jc w:val="both"/>
        <w:rPr>
          <w:rFonts w:ascii="Arial" w:eastAsia="Calibri" w:hAnsi="Arial" w:cs="Arial"/>
          <w:color w:val="000000"/>
          <w:sz w:val="20"/>
          <w:szCs w:val="20"/>
          <w:lang w:val="es-MX"/>
        </w:rPr>
      </w:pPr>
      <w:r w:rsidRPr="00691B7C">
        <w:rPr>
          <w:rFonts w:ascii="Arial" w:eastAsia="Calibri" w:hAnsi="Arial" w:cs="Arial"/>
          <w:color w:val="000000"/>
          <w:sz w:val="20"/>
          <w:szCs w:val="20"/>
          <w:lang w:val="es-MX"/>
        </w:rPr>
        <w:t xml:space="preserve">La normativa vigente no impide que varias entidades suscriban conjuntamente el convenio de asociación ni tampoco que dos o más ESAL pueden hacerlo a través de las figuras asociativas autorizadas por la ley, por ejemplo, la unión temporal o el consorcio. Sin embargo, comoquiera que el artículo 96 de la Ley 489 de 1998 determina que el convenio debe buscar el desarrollo conjunto de actividades relacionadas con los cometidos y funciones que la ley les asigna a las entidades estatales involucradas, es necesario que las funciones legales de las entidades estatales que suscriben conjuntamente el convenio coincidan de alguna de tal manera que, los cometidos funcionales de una y otra entidad se relacionen con el objeto del convenio.  </w:t>
      </w:r>
    </w:p>
    <w:p w14:paraId="44DC0C32" w14:textId="77777777" w:rsidR="00BB747F" w:rsidRDefault="00BB747F" w:rsidP="004236DE">
      <w:pPr>
        <w:spacing w:line="240" w:lineRule="auto"/>
        <w:jc w:val="both"/>
        <w:rPr>
          <w:rFonts w:ascii="Arial" w:eastAsia="Calibri" w:hAnsi="Arial" w:cs="Arial"/>
          <w:color w:val="000000"/>
          <w:sz w:val="20"/>
          <w:szCs w:val="20"/>
          <w:lang w:val="es-MX"/>
        </w:rPr>
      </w:pPr>
    </w:p>
    <w:p w14:paraId="0F960464" w14:textId="77777777" w:rsidR="000D60B3" w:rsidRPr="00831193" w:rsidRDefault="000D60B3" w:rsidP="000D60B3">
      <w:pPr>
        <w:spacing w:line="240" w:lineRule="auto"/>
        <w:jc w:val="both"/>
        <w:rPr>
          <w:rFonts w:ascii="Arial" w:eastAsia="Calibri" w:hAnsi="Arial" w:cs="Arial"/>
          <w:b/>
          <w:bCs/>
          <w:szCs w:val="24"/>
          <w:lang w:val="es-ES_tradnl"/>
        </w:rPr>
      </w:pPr>
      <w:r w:rsidRPr="00831193">
        <w:rPr>
          <w:rFonts w:ascii="Arial" w:eastAsia="Calibri" w:hAnsi="Arial" w:cs="Arial"/>
          <w:b/>
          <w:bCs/>
          <w:lang w:val="es-ES_tradnl"/>
        </w:rPr>
        <w:t xml:space="preserve">ESAL – Decreto 092 de 2017 – Criterios – </w:t>
      </w:r>
      <w:r w:rsidRPr="00631EE8">
        <w:rPr>
          <w:rFonts w:ascii="Arial" w:eastAsia="Calibri" w:hAnsi="Arial" w:cs="Arial"/>
          <w:b/>
          <w:bCs/>
          <w:lang w:val="es-ES_tradnl"/>
        </w:rPr>
        <w:t>Aplicación</w:t>
      </w:r>
      <w:r>
        <w:rPr>
          <w:rFonts w:ascii="Arial" w:eastAsia="Calibri" w:hAnsi="Arial" w:cs="Arial"/>
          <w:b/>
          <w:bCs/>
          <w:lang w:val="es-ES_tradnl"/>
        </w:rPr>
        <w:t xml:space="preserve"> – Contratos de colaboración – Convenios de asociación</w:t>
      </w:r>
      <w:r w:rsidRPr="00831193">
        <w:rPr>
          <w:rFonts w:ascii="Arial" w:eastAsia="Calibri" w:hAnsi="Arial" w:cs="Arial"/>
          <w:b/>
          <w:bCs/>
          <w:lang w:val="es-ES_tradnl"/>
        </w:rPr>
        <w:t xml:space="preserve"> </w:t>
      </w:r>
    </w:p>
    <w:p w14:paraId="0933327E" w14:textId="77777777" w:rsidR="000D60B3" w:rsidRPr="00831193" w:rsidRDefault="000D60B3" w:rsidP="000D60B3">
      <w:pPr>
        <w:spacing w:line="240" w:lineRule="auto"/>
        <w:jc w:val="both"/>
        <w:rPr>
          <w:rFonts w:ascii="Arial" w:eastAsia="Times New Roman" w:hAnsi="Arial" w:cs="Arial"/>
          <w:sz w:val="20"/>
          <w:szCs w:val="20"/>
          <w:lang w:val="es-ES_tradnl"/>
        </w:rPr>
      </w:pPr>
    </w:p>
    <w:p w14:paraId="0C24CE2A" w14:textId="77777777" w:rsidR="000D60B3" w:rsidRPr="00C51761" w:rsidRDefault="000D60B3" w:rsidP="000D60B3">
      <w:pPr>
        <w:spacing w:line="240" w:lineRule="auto"/>
        <w:jc w:val="both"/>
        <w:rPr>
          <w:rFonts w:ascii="Arial" w:eastAsia="Calibri" w:hAnsi="Arial" w:cs="Arial"/>
          <w:color w:val="000000"/>
          <w:sz w:val="20"/>
          <w:szCs w:val="20"/>
          <w:lang w:val="es-MX"/>
        </w:rPr>
      </w:pPr>
      <w:r w:rsidRPr="00C51761">
        <w:rPr>
          <w:rFonts w:ascii="Arial" w:eastAsia="Calibri" w:hAnsi="Arial" w:cs="Arial"/>
          <w:color w:val="000000"/>
          <w:sz w:val="20"/>
          <w:szCs w:val="20"/>
          <w:lang w:val="es-MX"/>
        </w:rPr>
        <w:t xml:space="preserve">En desarrollo del artículo 355 de la Constitución, el Gobierno Nacional expidió el Decreto 92 de 2017, que dispone las reglas para las contrataciones que realicen las entidades estatales con las ESAL. El Decreto regula dos eventos: i) los </w:t>
      </w:r>
      <w:r w:rsidRPr="00C51761">
        <w:rPr>
          <w:rFonts w:ascii="Arial" w:eastAsia="Calibri" w:hAnsi="Arial" w:cs="Arial"/>
          <w:i/>
          <w:iCs/>
          <w:color w:val="000000"/>
          <w:sz w:val="20"/>
          <w:szCs w:val="20"/>
          <w:lang w:val="es-MX"/>
        </w:rPr>
        <w:t>contratos de colaboración</w:t>
      </w:r>
      <w:r w:rsidRPr="00C51761">
        <w:rPr>
          <w:rFonts w:ascii="Arial" w:eastAsia="Calibri" w:hAnsi="Arial" w:cs="Arial"/>
          <w:color w:val="000000"/>
          <w:sz w:val="20"/>
          <w:szCs w:val="20"/>
          <w:lang w:val="es-MX"/>
        </w:rPr>
        <w:t xml:space="preserve"> o de interés público, con el fin impulsar programas y actividades de interés público de acuerdo con el Plan Nacional o los planes seccionales de desarrollo, en los términos del artículo 355 de la Constitución Política; y </w:t>
      </w:r>
      <w:proofErr w:type="spellStart"/>
      <w:r w:rsidRPr="00C51761">
        <w:rPr>
          <w:rFonts w:ascii="Arial" w:eastAsia="Calibri" w:hAnsi="Arial" w:cs="Arial"/>
          <w:color w:val="000000"/>
          <w:sz w:val="20"/>
          <w:szCs w:val="20"/>
          <w:lang w:val="es-MX"/>
        </w:rPr>
        <w:t>ii</w:t>
      </w:r>
      <w:proofErr w:type="spellEnd"/>
      <w:r w:rsidRPr="00C51761">
        <w:rPr>
          <w:rFonts w:ascii="Arial" w:eastAsia="Calibri" w:hAnsi="Arial" w:cs="Arial"/>
          <w:color w:val="000000"/>
          <w:sz w:val="20"/>
          <w:szCs w:val="20"/>
          <w:lang w:val="es-MX"/>
        </w:rPr>
        <w:t xml:space="preserve">) los </w:t>
      </w:r>
      <w:r w:rsidRPr="00C51761">
        <w:rPr>
          <w:rFonts w:ascii="Arial" w:eastAsia="Calibri" w:hAnsi="Arial" w:cs="Arial"/>
          <w:i/>
          <w:iCs/>
          <w:color w:val="000000"/>
          <w:sz w:val="20"/>
          <w:szCs w:val="20"/>
          <w:lang w:val="es-MX"/>
        </w:rPr>
        <w:t>convenios de asociación</w:t>
      </w:r>
      <w:r w:rsidRPr="00C51761">
        <w:rPr>
          <w:rFonts w:ascii="Arial" w:eastAsia="Calibri" w:hAnsi="Arial" w:cs="Arial"/>
          <w:color w:val="000000"/>
          <w:sz w:val="20"/>
          <w:szCs w:val="20"/>
          <w:lang w:val="es-MX"/>
        </w:rPr>
        <w:t xml:space="preserve">, para el desarrollo conjunto de actividades relacionadas con las funciones de las entidades estatales, en desarrollo del artículo 96 de la Ley 489 de 1998. Los primeros están regulados en el artículo 2 del Decreto 92 de 2017, mientras que los segundos en los artículos 5, 6, 7 y 8 </w:t>
      </w:r>
      <w:r w:rsidRPr="00C51761">
        <w:rPr>
          <w:rFonts w:ascii="Arial" w:eastAsia="Calibri" w:hAnsi="Arial" w:cs="Arial"/>
          <w:i/>
          <w:iCs/>
          <w:color w:val="000000"/>
          <w:sz w:val="20"/>
          <w:szCs w:val="20"/>
          <w:lang w:val="es-MX"/>
        </w:rPr>
        <w:t>ibidem</w:t>
      </w:r>
      <w:r w:rsidRPr="00C51761">
        <w:rPr>
          <w:rFonts w:ascii="Arial" w:eastAsia="Calibri" w:hAnsi="Arial" w:cs="Arial"/>
          <w:color w:val="000000"/>
          <w:sz w:val="20"/>
          <w:szCs w:val="20"/>
          <w:lang w:val="es-MX"/>
        </w:rPr>
        <w:t xml:space="preserve">. Es posible diferenciar, pues, los </w:t>
      </w:r>
      <w:r w:rsidRPr="00C51761">
        <w:rPr>
          <w:rFonts w:ascii="Arial" w:eastAsia="Calibri" w:hAnsi="Arial" w:cs="Arial"/>
          <w:i/>
          <w:iCs/>
          <w:color w:val="000000"/>
          <w:sz w:val="20"/>
          <w:szCs w:val="20"/>
          <w:lang w:val="es-MX"/>
        </w:rPr>
        <w:t>convenios de asociación</w:t>
      </w:r>
      <w:r w:rsidRPr="00C51761">
        <w:rPr>
          <w:rFonts w:ascii="Arial" w:eastAsia="Calibri" w:hAnsi="Arial" w:cs="Arial"/>
          <w:color w:val="000000"/>
          <w:sz w:val="20"/>
          <w:szCs w:val="20"/>
          <w:lang w:val="es-MX"/>
        </w:rPr>
        <w:t xml:space="preserve">, regulados en el artículo 5, de los </w:t>
      </w:r>
      <w:r w:rsidRPr="00C51761">
        <w:rPr>
          <w:rFonts w:ascii="Arial" w:eastAsia="Calibri" w:hAnsi="Arial" w:cs="Arial"/>
          <w:i/>
          <w:iCs/>
          <w:color w:val="000000"/>
          <w:sz w:val="20"/>
          <w:szCs w:val="20"/>
          <w:lang w:val="es-MX"/>
        </w:rPr>
        <w:t>contratos de colaboración</w:t>
      </w:r>
      <w:r w:rsidRPr="00C51761">
        <w:rPr>
          <w:rFonts w:ascii="Arial" w:eastAsia="Calibri" w:hAnsi="Arial" w:cs="Arial"/>
          <w:color w:val="000000"/>
          <w:sz w:val="20"/>
          <w:szCs w:val="20"/>
          <w:lang w:val="es-MX"/>
        </w:rPr>
        <w:t>, establecidos en el artículo 2 del Decreto 092 de 2017.</w:t>
      </w:r>
    </w:p>
    <w:p w14:paraId="7BDAAFC5" w14:textId="77777777" w:rsidR="000D60B3" w:rsidRDefault="000D60B3" w:rsidP="004236DE">
      <w:pPr>
        <w:spacing w:line="240" w:lineRule="auto"/>
        <w:jc w:val="both"/>
        <w:rPr>
          <w:rFonts w:ascii="Arial" w:eastAsia="Calibri" w:hAnsi="Arial" w:cs="Arial"/>
          <w:color w:val="000000"/>
          <w:sz w:val="20"/>
          <w:szCs w:val="20"/>
          <w:lang w:val="es-MX"/>
        </w:rPr>
      </w:pPr>
    </w:p>
    <w:p w14:paraId="1B67E2C9" w14:textId="77777777" w:rsidR="00254EE9" w:rsidRPr="00DA48D6" w:rsidRDefault="00254EE9" w:rsidP="00254EE9">
      <w:pPr>
        <w:spacing w:line="240" w:lineRule="auto"/>
        <w:jc w:val="both"/>
        <w:rPr>
          <w:rFonts w:ascii="Arial" w:eastAsia="Times New Roman" w:hAnsi="Arial" w:cs="Arial"/>
          <w:b/>
          <w:bCs/>
          <w:color w:val="000000" w:themeColor="text1"/>
          <w:szCs w:val="24"/>
          <w:lang w:val="es-ES_tradnl" w:eastAsia="es-ES_tradnl"/>
        </w:rPr>
      </w:pPr>
      <w:r w:rsidRPr="00C1358C">
        <w:rPr>
          <w:rFonts w:ascii="Arial" w:eastAsia="Times New Roman" w:hAnsi="Arial" w:cs="Arial"/>
          <w:b/>
          <w:bCs/>
          <w:color w:val="000000" w:themeColor="text1"/>
          <w:szCs w:val="24"/>
          <w:lang w:val="es-ES_tradnl" w:eastAsia="es-ES_tradnl"/>
        </w:rPr>
        <w:t>CONVENIOS</w:t>
      </w:r>
      <w:r w:rsidRPr="00DA48D6">
        <w:rPr>
          <w:rFonts w:ascii="Arial" w:eastAsia="Times New Roman" w:hAnsi="Arial" w:cs="Arial"/>
          <w:b/>
          <w:bCs/>
          <w:color w:val="000000" w:themeColor="text1"/>
          <w:szCs w:val="24"/>
          <w:lang w:val="es-ES_tradnl" w:eastAsia="es-ES_tradnl"/>
        </w:rPr>
        <w:t xml:space="preserve"> </w:t>
      </w:r>
      <w:r w:rsidRPr="00DA48D6">
        <w:rPr>
          <w:rFonts w:ascii="Arial" w:eastAsia="Calibri" w:hAnsi="Arial" w:cs="Arial"/>
          <w:b/>
          <w:color w:val="000000" w:themeColor="text1"/>
          <w:szCs w:val="24"/>
          <w:lang w:val="es-ES_tradnl" w:eastAsia="es-ES_tradnl"/>
        </w:rPr>
        <w:t>–</w:t>
      </w:r>
      <w:r w:rsidRPr="00DA48D6">
        <w:rPr>
          <w:rFonts w:ascii="Arial" w:eastAsia="Times New Roman" w:hAnsi="Arial" w:cs="Arial"/>
          <w:b/>
          <w:bCs/>
          <w:color w:val="000000" w:themeColor="text1"/>
          <w:szCs w:val="24"/>
          <w:lang w:val="es-ES_tradnl" w:eastAsia="es-ES_tradnl"/>
        </w:rPr>
        <w:t xml:space="preserve"> </w:t>
      </w:r>
      <w:r w:rsidRPr="00631EE8">
        <w:rPr>
          <w:rFonts w:ascii="Arial" w:eastAsia="Times New Roman" w:hAnsi="Arial" w:cs="Arial"/>
          <w:b/>
          <w:bCs/>
          <w:color w:val="000000" w:themeColor="text1"/>
          <w:szCs w:val="24"/>
          <w:lang w:val="es-ES_tradnl" w:eastAsia="es-ES_tradnl"/>
        </w:rPr>
        <w:t>Artículo 355</w:t>
      </w:r>
      <w:r w:rsidRPr="00DA48D6">
        <w:rPr>
          <w:rFonts w:ascii="Arial" w:eastAsia="Times New Roman" w:hAnsi="Arial" w:cs="Arial"/>
          <w:b/>
          <w:bCs/>
          <w:color w:val="000000" w:themeColor="text1"/>
          <w:szCs w:val="24"/>
          <w:lang w:val="es-ES_tradnl" w:eastAsia="es-ES_tradnl"/>
        </w:rPr>
        <w:t xml:space="preserve"> </w:t>
      </w:r>
      <w:r w:rsidRPr="00DA48D6">
        <w:rPr>
          <w:rFonts w:ascii="Arial" w:eastAsia="Calibri" w:hAnsi="Arial" w:cs="Arial"/>
          <w:b/>
          <w:color w:val="000000" w:themeColor="text1"/>
          <w:szCs w:val="24"/>
          <w:lang w:val="es-ES_tradnl" w:eastAsia="es-ES_tradnl"/>
        </w:rPr>
        <w:t>–</w:t>
      </w:r>
      <w:r w:rsidRPr="00DA48D6">
        <w:rPr>
          <w:rFonts w:ascii="Arial" w:eastAsia="Times New Roman" w:hAnsi="Arial" w:cs="Arial"/>
          <w:b/>
          <w:bCs/>
          <w:color w:val="000000" w:themeColor="text1"/>
          <w:szCs w:val="24"/>
          <w:lang w:val="es-ES_tradnl" w:eastAsia="es-ES_tradnl"/>
        </w:rPr>
        <w:t xml:space="preserve"> Constitución </w:t>
      </w:r>
      <w:r w:rsidRPr="00DA48D6">
        <w:rPr>
          <w:rFonts w:ascii="Arial" w:eastAsia="Calibri" w:hAnsi="Arial" w:cs="Arial"/>
          <w:b/>
          <w:color w:val="000000" w:themeColor="text1"/>
          <w:szCs w:val="24"/>
          <w:lang w:val="es-ES_tradnl" w:eastAsia="es-ES_tradnl"/>
        </w:rPr>
        <w:t xml:space="preserve">– Decreto 092 de 2017 – Ley 489 – </w:t>
      </w:r>
      <w:r w:rsidRPr="00370E48">
        <w:rPr>
          <w:rFonts w:ascii="Arial" w:eastAsia="Calibri" w:hAnsi="Arial" w:cs="Arial"/>
          <w:b/>
          <w:color w:val="000000" w:themeColor="text1"/>
          <w:szCs w:val="24"/>
          <w:lang w:val="es-ES_tradnl" w:eastAsia="es-ES_tradnl"/>
        </w:rPr>
        <w:t>Artículo 96</w:t>
      </w:r>
      <w:r w:rsidRPr="00DA48D6">
        <w:rPr>
          <w:rFonts w:ascii="Arial" w:eastAsia="Calibri" w:hAnsi="Arial" w:cs="Arial"/>
          <w:b/>
          <w:color w:val="000000" w:themeColor="text1"/>
          <w:szCs w:val="24"/>
          <w:lang w:val="es-ES_tradnl" w:eastAsia="es-ES_tradnl"/>
        </w:rPr>
        <w:t xml:space="preserve"> – ESAL – Régimen – Remisión – Artículo 8 </w:t>
      </w:r>
    </w:p>
    <w:p w14:paraId="7B73F722" w14:textId="77777777" w:rsidR="00254EE9" w:rsidRPr="00DA48D6" w:rsidRDefault="00254EE9" w:rsidP="00254EE9">
      <w:pPr>
        <w:spacing w:line="240" w:lineRule="auto"/>
        <w:jc w:val="both"/>
        <w:rPr>
          <w:rFonts w:ascii="Arial" w:eastAsia="Times New Roman" w:hAnsi="Arial" w:cs="Arial"/>
          <w:noProof/>
          <w:color w:val="000000" w:themeColor="text1"/>
          <w:sz w:val="20"/>
          <w:szCs w:val="20"/>
          <w:lang w:val="es-ES_tradnl" w:eastAsia="es-ES_tradnl"/>
        </w:rPr>
      </w:pPr>
    </w:p>
    <w:p w14:paraId="2ADCC372" w14:textId="77777777" w:rsidR="00254EE9" w:rsidRPr="00DA48D6" w:rsidRDefault="00254EE9" w:rsidP="00254EE9">
      <w:pPr>
        <w:spacing w:line="240" w:lineRule="auto"/>
        <w:jc w:val="both"/>
        <w:rPr>
          <w:rFonts w:ascii="Arial" w:eastAsia="Calibri" w:hAnsi="Arial" w:cs="Arial"/>
          <w:color w:val="000000" w:themeColor="text1"/>
          <w:sz w:val="20"/>
          <w:szCs w:val="20"/>
          <w:lang w:val="es-ES"/>
        </w:rPr>
      </w:pPr>
      <w:r w:rsidRPr="00DA48D6">
        <w:rPr>
          <w:rFonts w:ascii="Arial" w:eastAsia="Calibri" w:hAnsi="Arial" w:cs="Arial"/>
          <w:color w:val="000000" w:themeColor="text1"/>
          <w:sz w:val="20"/>
          <w:szCs w:val="20"/>
          <w:lang w:val="es-ES"/>
        </w:rPr>
        <w:t xml:space="preserve">Teniendo en cuenta las consideraciones anteriores, puede afirmarse que los convenios de interés público o de asociación, celebrados entre entidades estatales y entidades privadas sin ánimo de lucro y de reconocida idoneidad (ESAL) –regulados en el Decreto 092 de 2017 y en el artículo 96 de la Ley 489 de 1998–, deben sujetarse al Estatuto General de Contratación de la Administración Pública, a sus normas complementarias y a las que lo reglamenten, </w:t>
      </w:r>
      <w:r w:rsidRPr="00DA48D6">
        <w:rPr>
          <w:rFonts w:ascii="Arial" w:eastAsia="Calibri" w:hAnsi="Arial" w:cs="Arial"/>
          <w:i/>
          <w:iCs/>
          <w:color w:val="000000" w:themeColor="text1"/>
          <w:sz w:val="20"/>
          <w:szCs w:val="20"/>
          <w:lang w:val="es-ES"/>
        </w:rPr>
        <w:t>en todos aquellos aspectos no regulados en el Decreto 092 de 2017</w:t>
      </w:r>
      <w:r w:rsidRPr="00DA48D6">
        <w:rPr>
          <w:rFonts w:ascii="Arial" w:eastAsia="Calibri" w:hAnsi="Arial" w:cs="Arial"/>
          <w:color w:val="000000" w:themeColor="text1"/>
          <w:sz w:val="20"/>
          <w:szCs w:val="20"/>
          <w:lang w:val="es-ES"/>
        </w:rPr>
        <w:t xml:space="preserve">, según lo establece su artículo 8. </w:t>
      </w:r>
    </w:p>
    <w:p w14:paraId="66C7D5F4" w14:textId="77777777" w:rsidR="00254EE9" w:rsidRPr="00691B7C" w:rsidRDefault="00254EE9" w:rsidP="004236DE">
      <w:pPr>
        <w:spacing w:line="240" w:lineRule="auto"/>
        <w:jc w:val="both"/>
        <w:rPr>
          <w:rFonts w:ascii="Arial" w:eastAsia="Calibri" w:hAnsi="Arial" w:cs="Arial"/>
          <w:color w:val="000000"/>
          <w:sz w:val="20"/>
          <w:szCs w:val="20"/>
          <w:lang w:val="es-MX"/>
        </w:rPr>
      </w:pPr>
    </w:p>
    <w:p w14:paraId="6B442607" w14:textId="77777777" w:rsidR="004236DE" w:rsidRPr="004236DE" w:rsidRDefault="004236DE" w:rsidP="004236DE">
      <w:pPr>
        <w:pStyle w:val="paragraph"/>
        <w:spacing w:before="0" w:beforeAutospacing="0" w:after="0" w:afterAutospacing="0"/>
        <w:jc w:val="both"/>
        <w:textAlignment w:val="baseline"/>
        <w:rPr>
          <w:rFonts w:ascii="Segoe UI" w:hAnsi="Segoe UI" w:cs="Segoe UI"/>
          <w:sz w:val="18"/>
          <w:szCs w:val="18"/>
        </w:rPr>
      </w:pPr>
    </w:p>
    <w:p w14:paraId="0CAEFB79" w14:textId="77777777" w:rsidR="000743F0" w:rsidRDefault="000743F0" w:rsidP="00ED09F3">
      <w:pPr>
        <w:spacing w:after="200" w:line="276" w:lineRule="auto"/>
        <w:rPr>
          <w:rFonts w:ascii="Arial" w:eastAsia="Calibri" w:hAnsi="Arial" w:cs="Arial"/>
          <w:lang w:val="es-MX"/>
        </w:rPr>
      </w:pPr>
    </w:p>
    <w:p w14:paraId="710E7A19" w14:textId="77777777" w:rsidR="000743F0" w:rsidRDefault="000743F0" w:rsidP="00ED09F3">
      <w:pPr>
        <w:spacing w:after="200" w:line="276" w:lineRule="auto"/>
        <w:rPr>
          <w:rFonts w:ascii="Arial" w:eastAsia="Calibri" w:hAnsi="Arial" w:cs="Arial"/>
          <w:lang w:val="es-MX"/>
        </w:rPr>
      </w:pPr>
    </w:p>
    <w:p w14:paraId="3A33427F" w14:textId="77777777" w:rsidR="00EF5356" w:rsidRDefault="00EF5356" w:rsidP="00ED09F3">
      <w:pPr>
        <w:spacing w:after="200" w:line="276" w:lineRule="auto"/>
        <w:rPr>
          <w:rFonts w:ascii="Arial" w:eastAsia="Calibri" w:hAnsi="Arial" w:cs="Arial"/>
          <w:lang w:val="es-MX"/>
        </w:rPr>
      </w:pPr>
    </w:p>
    <w:p w14:paraId="152F5AD7" w14:textId="77777777" w:rsidR="0029495A" w:rsidRDefault="0029495A" w:rsidP="00ED09F3">
      <w:pPr>
        <w:spacing w:after="200" w:line="276" w:lineRule="auto"/>
        <w:rPr>
          <w:rFonts w:ascii="Arial" w:eastAsia="Geomanist Light" w:hAnsi="Arial" w:cs="Arial"/>
          <w:lang w:val="es-MX"/>
        </w:rPr>
      </w:pPr>
    </w:p>
    <w:p w14:paraId="6637C94B" w14:textId="77777777" w:rsidR="0029495A" w:rsidRDefault="0029495A" w:rsidP="00ED09F3">
      <w:pPr>
        <w:spacing w:after="200" w:line="276" w:lineRule="auto"/>
        <w:rPr>
          <w:rFonts w:ascii="Arial" w:eastAsia="Geomanist Light" w:hAnsi="Arial" w:cs="Arial"/>
          <w:lang w:val="es-MX"/>
        </w:rPr>
      </w:pPr>
    </w:p>
    <w:p w14:paraId="66EABFA6" w14:textId="54BCB34F" w:rsidR="000D29C4" w:rsidRDefault="009F13AF" w:rsidP="00ED09F3">
      <w:pPr>
        <w:spacing w:after="200" w:line="276" w:lineRule="auto"/>
        <w:rPr>
          <w:rFonts w:ascii="Arial" w:eastAsia="Geomanist Light" w:hAnsi="Arial" w:cs="Arial"/>
          <w:lang w:val="es-MX"/>
        </w:rPr>
      </w:pPr>
      <w:r w:rsidRPr="00277113">
        <w:rPr>
          <w:rFonts w:ascii="Arial" w:eastAsia="Geomanist Light" w:hAnsi="Arial" w:cs="Arial"/>
          <w:lang w:val="es-MX"/>
        </w:rPr>
        <w:t>Bogotá D.C., </w:t>
      </w:r>
      <w:r w:rsidR="000743F0">
        <w:rPr>
          <w:rFonts w:ascii="Arial" w:eastAsia="Geomanist Light" w:hAnsi="Arial" w:cs="Arial"/>
          <w:lang w:val="es-MX"/>
        </w:rPr>
        <w:t>05 de abril del 2023</w:t>
      </w:r>
    </w:p>
    <w:p w14:paraId="56E025E2" w14:textId="77777777" w:rsidR="000D29C4" w:rsidRDefault="000D29C4" w:rsidP="00ED09F3">
      <w:pPr>
        <w:spacing w:after="200" w:line="276" w:lineRule="auto"/>
        <w:rPr>
          <w:rFonts w:ascii="Arial" w:eastAsia="Geomanist Light" w:hAnsi="Arial" w:cs="Arial"/>
          <w:lang w:val="es-MX"/>
        </w:rPr>
      </w:pPr>
    </w:p>
    <w:p w14:paraId="34E02AA0" w14:textId="4574D298" w:rsidR="000D29C4" w:rsidRPr="00ED09F3" w:rsidRDefault="000D29C4" w:rsidP="000D29C4">
      <w:pPr>
        <w:spacing w:after="200" w:line="276" w:lineRule="auto"/>
        <w:jc w:val="right"/>
        <w:rPr>
          <w:rFonts w:ascii="Arial" w:eastAsia="Calibri" w:hAnsi="Arial" w:cs="Arial"/>
          <w:lang w:val="es-MX"/>
        </w:rPr>
      </w:pPr>
      <w:r>
        <w:rPr>
          <w:rFonts w:ascii="Arial" w:eastAsia="Calibri" w:hAnsi="Arial" w:cs="Arial"/>
          <w:noProof/>
          <w:lang w:val="es-MX"/>
        </w:rPr>
        <w:drawing>
          <wp:inline distT="0" distB="0" distL="0" distR="0" wp14:anchorId="2DBFFAA5" wp14:editId="65A53BB1">
            <wp:extent cx="2743583" cy="743054"/>
            <wp:effectExtent l="0" t="0" r="0" b="0"/>
            <wp:docPr id="5" name="Imagen 5"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Texto&#10;&#10;Descripción generada automáticamente"/>
                    <pic:cNvPicPr/>
                  </pic:nvPicPr>
                  <pic:blipFill>
                    <a:blip r:embed="rId11">
                      <a:extLst>
                        <a:ext uri="{28A0092B-C50C-407E-A947-70E740481C1C}">
                          <a14:useLocalDpi xmlns:a14="http://schemas.microsoft.com/office/drawing/2010/main" val="0"/>
                        </a:ext>
                      </a:extLst>
                    </a:blip>
                    <a:stretch>
                      <a:fillRect/>
                    </a:stretch>
                  </pic:blipFill>
                  <pic:spPr>
                    <a:xfrm>
                      <a:off x="0" y="0"/>
                      <a:ext cx="2743583" cy="743054"/>
                    </a:xfrm>
                    <a:prstGeom prst="rect">
                      <a:avLst/>
                    </a:prstGeom>
                  </pic:spPr>
                </pic:pic>
              </a:graphicData>
            </a:graphic>
          </wp:inline>
        </w:drawing>
      </w:r>
    </w:p>
    <w:p w14:paraId="1DC9DDC3" w14:textId="77777777" w:rsidR="003779BD" w:rsidRPr="00277113" w:rsidRDefault="003779BD" w:rsidP="003779BD">
      <w:pPr>
        <w:spacing w:line="276" w:lineRule="auto"/>
        <w:rPr>
          <w:rFonts w:ascii="Arial" w:hAnsi="Arial" w:cs="Arial"/>
          <w:lang w:val="es-MX"/>
        </w:rPr>
      </w:pPr>
    </w:p>
    <w:p w14:paraId="0276056B" w14:textId="003AAF58" w:rsidR="003779BD" w:rsidRPr="00277113" w:rsidRDefault="003779BD" w:rsidP="003779BD">
      <w:pPr>
        <w:spacing w:line="276" w:lineRule="auto"/>
        <w:rPr>
          <w:rFonts w:ascii="Arial" w:hAnsi="Arial" w:cs="Arial"/>
          <w:lang w:val="es-MX"/>
        </w:rPr>
      </w:pPr>
      <w:r w:rsidRPr="00277113">
        <w:rPr>
          <w:rFonts w:ascii="Arial" w:hAnsi="Arial" w:cs="Arial"/>
          <w:lang w:val="es-MX"/>
        </w:rPr>
        <w:t>Señor:</w:t>
      </w:r>
    </w:p>
    <w:p w14:paraId="12CCBE28" w14:textId="416268D0" w:rsidR="00CB227F" w:rsidRPr="00277113" w:rsidRDefault="00CB227F" w:rsidP="003779BD">
      <w:pPr>
        <w:spacing w:line="276" w:lineRule="auto"/>
        <w:rPr>
          <w:rFonts w:ascii="Arial" w:hAnsi="Arial" w:cs="Arial"/>
          <w:b/>
          <w:bCs/>
          <w:lang w:val="es-MX"/>
        </w:rPr>
      </w:pPr>
      <w:r w:rsidRPr="00277113">
        <w:rPr>
          <w:rFonts w:ascii="Arial" w:hAnsi="Arial" w:cs="Arial"/>
          <w:b/>
          <w:bCs/>
          <w:lang w:val="es-MX"/>
        </w:rPr>
        <w:t xml:space="preserve">Pedro Alejandro Ariza Rubiano </w:t>
      </w:r>
    </w:p>
    <w:p w14:paraId="7D6AC96C" w14:textId="6F5BD096" w:rsidR="00CB227F" w:rsidRPr="00277113" w:rsidRDefault="00612C77" w:rsidP="003779BD">
      <w:pPr>
        <w:spacing w:line="276" w:lineRule="auto"/>
        <w:rPr>
          <w:rFonts w:ascii="Arial" w:hAnsi="Arial" w:cs="Arial"/>
          <w:lang w:val="es-MX"/>
        </w:rPr>
      </w:pPr>
      <w:r w:rsidRPr="00277113">
        <w:rPr>
          <w:rFonts w:ascii="Arial" w:hAnsi="Arial" w:cs="Arial"/>
          <w:lang w:val="es-MX"/>
        </w:rPr>
        <w:t>Bucaramanga</w:t>
      </w:r>
      <w:r w:rsidR="00D97B1D" w:rsidRPr="00277113">
        <w:rPr>
          <w:rFonts w:ascii="Arial" w:hAnsi="Arial" w:cs="Arial"/>
          <w:lang w:val="es-MX"/>
        </w:rPr>
        <w:t>, Santander</w:t>
      </w:r>
    </w:p>
    <w:p w14:paraId="2D3552B0" w14:textId="77777777" w:rsidR="00A048B9" w:rsidRDefault="00A048B9" w:rsidP="003779BD">
      <w:pPr>
        <w:spacing w:line="276" w:lineRule="auto"/>
        <w:rPr>
          <w:rFonts w:ascii="Arial" w:hAnsi="Arial" w:cs="Arial"/>
          <w:lang w:val="es-MX"/>
        </w:rPr>
      </w:pPr>
    </w:p>
    <w:p w14:paraId="12B4A247" w14:textId="77777777" w:rsidR="00CB6225" w:rsidRPr="00277113" w:rsidRDefault="00CB6225" w:rsidP="003779BD">
      <w:pPr>
        <w:spacing w:line="276" w:lineRule="auto"/>
        <w:rPr>
          <w:rFonts w:ascii="Arial" w:hAnsi="Arial" w:cs="Arial"/>
          <w:lang w:val="es-MX"/>
        </w:rPr>
      </w:pPr>
    </w:p>
    <w:p w14:paraId="479C9279" w14:textId="093AD1F8" w:rsidR="00B0298A" w:rsidRPr="00277113" w:rsidRDefault="00B0298A" w:rsidP="00B0298A">
      <w:pPr>
        <w:ind w:left="2694"/>
        <w:rPr>
          <w:rFonts w:ascii="Arial" w:eastAsia="Calibri" w:hAnsi="Arial" w:cs="Arial"/>
          <w:b/>
          <w:bCs/>
          <w:lang w:val="es-ES"/>
        </w:rPr>
      </w:pPr>
      <w:r w:rsidRPr="00277113">
        <w:rPr>
          <w:rFonts w:ascii="Arial" w:eastAsia="Calibri" w:hAnsi="Arial" w:cs="Arial"/>
          <w:b/>
          <w:bCs/>
          <w:lang w:val="es-ES"/>
        </w:rPr>
        <w:t xml:space="preserve">Concepto </w:t>
      </w:r>
      <w:r w:rsidR="006520C1" w:rsidRPr="00277113">
        <w:rPr>
          <w:rFonts w:ascii="Arial" w:eastAsia="Calibri" w:hAnsi="Arial" w:cs="Arial"/>
          <w:b/>
          <w:bCs/>
          <w:lang w:val="es-ES"/>
        </w:rPr>
        <w:t>C</w:t>
      </w:r>
      <w:r w:rsidR="001206DB">
        <w:rPr>
          <w:rFonts w:ascii="Arial" w:eastAsia="Calibri" w:hAnsi="Arial" w:cs="Arial"/>
          <w:b/>
          <w:bCs/>
          <w:lang w:val="es-ES"/>
        </w:rPr>
        <w:t>–</w:t>
      </w:r>
      <w:r w:rsidR="006520C1" w:rsidRPr="00277113">
        <w:rPr>
          <w:rFonts w:ascii="Arial" w:eastAsia="Calibri" w:hAnsi="Arial" w:cs="Arial"/>
          <w:b/>
          <w:bCs/>
          <w:lang w:val="es-ES"/>
        </w:rPr>
        <w:t>037 del 2023</w:t>
      </w:r>
    </w:p>
    <w:p w14:paraId="5CABF6F5" w14:textId="77777777" w:rsidR="00B0298A" w:rsidRPr="00277113" w:rsidRDefault="00B0298A" w:rsidP="00B0298A">
      <w:pPr>
        <w:jc w:val="both"/>
        <w:rPr>
          <w:rFonts w:ascii="Arial" w:eastAsia="Calibri" w:hAnsi="Arial" w:cs="Arial"/>
          <w:lang w:val="es-ES_tradnl"/>
        </w:rPr>
      </w:pPr>
    </w:p>
    <w:tbl>
      <w:tblPr>
        <w:tblStyle w:val="Tablaconcuadrcula"/>
        <w:tblW w:w="8075"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838"/>
        <w:gridCol w:w="6237"/>
      </w:tblGrid>
      <w:tr w:rsidR="00277113" w:rsidRPr="00F87546" w14:paraId="542EB070" w14:textId="77777777" w:rsidTr="0073254E">
        <w:trPr>
          <w:jc w:val="right"/>
        </w:trPr>
        <w:tc>
          <w:tcPr>
            <w:tcW w:w="1838" w:type="dxa"/>
          </w:tcPr>
          <w:p w14:paraId="4C2E0E63" w14:textId="77777777" w:rsidR="00B0298A" w:rsidRPr="00277113" w:rsidRDefault="00B0298A" w:rsidP="0073254E">
            <w:pPr>
              <w:jc w:val="center"/>
              <w:rPr>
                <w:rFonts w:ascii="Arial" w:eastAsia="Calibri" w:hAnsi="Arial" w:cs="Arial"/>
                <w:lang w:val="es-ES_tradnl"/>
              </w:rPr>
            </w:pPr>
            <w:r w:rsidRPr="00277113">
              <w:rPr>
                <w:rFonts w:ascii="Arial" w:eastAsia="Calibri" w:hAnsi="Arial" w:cs="Arial"/>
                <w:b/>
                <w:lang w:val="es-ES_tradnl"/>
              </w:rPr>
              <w:t>Temas:</w:t>
            </w:r>
          </w:p>
        </w:tc>
        <w:tc>
          <w:tcPr>
            <w:tcW w:w="6237" w:type="dxa"/>
          </w:tcPr>
          <w:p w14:paraId="1DEACFB2" w14:textId="47D10EE3" w:rsidR="00B0298A" w:rsidRPr="00277113" w:rsidRDefault="00D40FB5" w:rsidP="0073254E">
            <w:pPr>
              <w:jc w:val="both"/>
              <w:rPr>
                <w:rFonts w:ascii="Arial" w:hAnsi="Arial" w:cs="Arial"/>
                <w:lang w:val="es-CO"/>
              </w:rPr>
            </w:pPr>
            <w:r w:rsidRPr="00277113">
              <w:rPr>
                <w:rFonts w:ascii="Arial" w:hAnsi="Arial" w:cs="Arial"/>
                <w:bCs/>
                <w:lang w:val="es-ES_tradnl"/>
              </w:rPr>
              <w:t xml:space="preserve">ANTICIPO – Regulación normativa </w:t>
            </w:r>
            <w:r w:rsidRPr="00277113">
              <w:rPr>
                <w:rFonts w:ascii="Arial" w:hAnsi="Arial" w:cs="Arial"/>
                <w:bCs/>
                <w:lang w:val="es-CO"/>
              </w:rPr>
              <w:t xml:space="preserve">/ ANTICIPO – Definición jurisprudencial / </w:t>
            </w:r>
            <w:r w:rsidR="00B632DF" w:rsidRPr="00B632DF">
              <w:rPr>
                <w:rFonts w:ascii="Arial" w:hAnsi="Arial" w:cs="Arial"/>
                <w:bCs/>
                <w:lang w:val="es-CO"/>
              </w:rPr>
              <w:t xml:space="preserve">DECRETO 092 DE 2017– Artículo 355 – Constitución Política – Convenios de Asociación – Artículo 96 – Ley 489 de 1998 / CONVENIOS DE ASOCIACIÓN – Concepto – Aportes - artículo 5 – Decreto 092 de 2017 / ESAL – Decreto 092 de </w:t>
            </w:r>
            <w:r w:rsidR="00590477">
              <w:rPr>
                <w:rFonts w:ascii="Arial" w:hAnsi="Arial" w:cs="Arial"/>
                <w:bCs/>
                <w:lang w:val="es-CO"/>
              </w:rPr>
              <w:t>2017 -</w:t>
            </w:r>
            <w:r w:rsidR="00B632DF" w:rsidRPr="00B632DF">
              <w:rPr>
                <w:rFonts w:ascii="Arial" w:hAnsi="Arial" w:cs="Arial"/>
                <w:bCs/>
                <w:lang w:val="es-CO"/>
              </w:rPr>
              <w:t xml:space="preserve"> Criterios – Aplicación – Contratos de colaboración – Convenios de asociación /</w:t>
            </w:r>
            <w:r w:rsidR="00391B0B" w:rsidRPr="00B632DF">
              <w:rPr>
                <w:rFonts w:ascii="Arial" w:hAnsi="Arial" w:cs="Arial"/>
                <w:bCs/>
                <w:lang w:val="es-CO"/>
              </w:rPr>
              <w:t xml:space="preserve"> </w:t>
            </w:r>
            <w:r w:rsidR="00391B0B">
              <w:rPr>
                <w:rFonts w:ascii="Arial" w:hAnsi="Arial" w:cs="Arial"/>
                <w:bCs/>
                <w:lang w:val="es-CO"/>
              </w:rPr>
              <w:t xml:space="preserve">DECRETO 092 2017 – </w:t>
            </w:r>
            <w:r w:rsidR="00FE1F0B">
              <w:rPr>
                <w:rFonts w:ascii="Arial" w:hAnsi="Arial" w:cs="Arial"/>
                <w:bCs/>
                <w:lang w:val="es-CO"/>
              </w:rPr>
              <w:t>Artículo 8 – Articulación normativa / CONVENIOS DE ASOCIACIÓN – Régimen de los anticipos</w:t>
            </w:r>
            <w:r w:rsidR="00391B0B">
              <w:rPr>
                <w:rFonts w:ascii="Arial" w:hAnsi="Arial" w:cs="Arial"/>
                <w:bCs/>
                <w:lang w:val="es-CO"/>
              </w:rPr>
              <w:t xml:space="preserve"> </w:t>
            </w:r>
          </w:p>
        </w:tc>
      </w:tr>
      <w:tr w:rsidR="00277113" w:rsidRPr="00277113" w14:paraId="5E44BA95" w14:textId="77777777" w:rsidTr="0073254E">
        <w:trPr>
          <w:jc w:val="right"/>
        </w:trPr>
        <w:tc>
          <w:tcPr>
            <w:tcW w:w="1838" w:type="dxa"/>
          </w:tcPr>
          <w:p w14:paraId="1E338B30" w14:textId="77777777" w:rsidR="00B0298A" w:rsidRPr="00277113" w:rsidRDefault="00B0298A" w:rsidP="0073254E">
            <w:pPr>
              <w:spacing w:before="120"/>
              <w:jc w:val="center"/>
              <w:rPr>
                <w:rFonts w:ascii="Arial" w:eastAsia="Calibri" w:hAnsi="Arial" w:cs="Arial"/>
                <w:b/>
                <w:lang w:val="es-ES"/>
              </w:rPr>
            </w:pPr>
            <w:r w:rsidRPr="00277113">
              <w:rPr>
                <w:rFonts w:ascii="Arial" w:eastAsia="Calibri" w:hAnsi="Arial" w:cs="Arial"/>
                <w:b/>
                <w:lang w:val="es-ES"/>
              </w:rPr>
              <w:t>Radicación:</w:t>
            </w:r>
          </w:p>
        </w:tc>
        <w:tc>
          <w:tcPr>
            <w:tcW w:w="6237" w:type="dxa"/>
          </w:tcPr>
          <w:p w14:paraId="3A6F6364" w14:textId="3608E1D6" w:rsidR="00B0298A" w:rsidRPr="00277113" w:rsidRDefault="00B0298A" w:rsidP="0073254E">
            <w:pPr>
              <w:spacing w:before="120"/>
              <w:jc w:val="both"/>
              <w:rPr>
                <w:rFonts w:ascii="Arial" w:eastAsia="Calibri" w:hAnsi="Arial" w:cs="Arial"/>
                <w:lang w:val="es-ES"/>
              </w:rPr>
            </w:pPr>
            <w:r w:rsidRPr="00277113">
              <w:rPr>
                <w:rFonts w:ascii="Arial" w:eastAsia="Calibri" w:hAnsi="Arial" w:cs="Arial"/>
                <w:lang w:val="es-ES"/>
              </w:rPr>
              <w:t xml:space="preserve">Respuesta a consulta </w:t>
            </w:r>
            <w:r w:rsidR="006B1124" w:rsidRPr="00277113">
              <w:rPr>
                <w:rFonts w:ascii="Arial" w:eastAsia="Calibri" w:hAnsi="Arial" w:cs="Arial"/>
                <w:lang w:val="es-ES"/>
              </w:rPr>
              <w:t>P20230222001612</w:t>
            </w:r>
          </w:p>
        </w:tc>
      </w:tr>
    </w:tbl>
    <w:p w14:paraId="20E75658" w14:textId="77777777" w:rsidR="00D97B1D" w:rsidRPr="00277113" w:rsidRDefault="00D97B1D" w:rsidP="003779BD">
      <w:pPr>
        <w:spacing w:line="276" w:lineRule="auto"/>
        <w:rPr>
          <w:rFonts w:ascii="Arial" w:hAnsi="Arial" w:cs="Arial"/>
          <w:lang w:val="es-MX"/>
        </w:rPr>
      </w:pPr>
    </w:p>
    <w:p w14:paraId="6AF587F5" w14:textId="77777777" w:rsidR="00780242" w:rsidRPr="00277113" w:rsidRDefault="00780242" w:rsidP="00277113">
      <w:pPr>
        <w:spacing w:line="276" w:lineRule="auto"/>
        <w:jc w:val="both"/>
        <w:rPr>
          <w:rFonts w:ascii="Arial" w:eastAsia="Calibri" w:hAnsi="Arial" w:cs="Arial"/>
          <w:lang w:val="es-ES_tradnl"/>
        </w:rPr>
      </w:pPr>
    </w:p>
    <w:p w14:paraId="686DA009" w14:textId="7720346B" w:rsidR="00780242" w:rsidRPr="00277113" w:rsidRDefault="00780242" w:rsidP="00277113">
      <w:pPr>
        <w:spacing w:line="276" w:lineRule="auto"/>
        <w:jc w:val="both"/>
        <w:rPr>
          <w:rFonts w:ascii="Arial" w:eastAsia="Calibri" w:hAnsi="Arial" w:cs="Arial"/>
          <w:bCs/>
          <w:lang w:val="es-ES_tradnl"/>
        </w:rPr>
      </w:pPr>
      <w:r w:rsidRPr="00277113">
        <w:rPr>
          <w:rFonts w:ascii="Arial" w:eastAsia="Calibri" w:hAnsi="Arial" w:cs="Arial"/>
          <w:lang w:val="es-ES_tradnl"/>
        </w:rPr>
        <w:t xml:space="preserve">Estimado señor </w:t>
      </w:r>
      <w:r w:rsidRPr="00277113">
        <w:rPr>
          <w:rFonts w:ascii="Arial" w:hAnsi="Arial" w:cs="Arial"/>
          <w:lang w:val="es-MX"/>
        </w:rPr>
        <w:t>Ariza Rubiano</w:t>
      </w:r>
      <w:r w:rsidRPr="00277113">
        <w:rPr>
          <w:rFonts w:ascii="Arial" w:eastAsia="Calibri" w:hAnsi="Arial" w:cs="Arial"/>
          <w:bCs/>
          <w:lang w:val="es-ES_tradnl"/>
        </w:rPr>
        <w:t>:</w:t>
      </w:r>
    </w:p>
    <w:p w14:paraId="50A177F9" w14:textId="77777777" w:rsidR="00780242" w:rsidRPr="00277113" w:rsidRDefault="00780242" w:rsidP="00277113">
      <w:pPr>
        <w:spacing w:line="276" w:lineRule="auto"/>
        <w:jc w:val="both"/>
        <w:rPr>
          <w:rFonts w:ascii="Arial" w:eastAsia="Calibri" w:hAnsi="Arial" w:cs="Arial"/>
          <w:lang w:val="es-ES_tradnl"/>
        </w:rPr>
      </w:pPr>
    </w:p>
    <w:p w14:paraId="2F587233" w14:textId="50EA49AD" w:rsidR="00D1529F" w:rsidRPr="00277113" w:rsidRDefault="00780242" w:rsidP="00277113">
      <w:pPr>
        <w:spacing w:line="276" w:lineRule="auto"/>
        <w:jc w:val="both"/>
        <w:rPr>
          <w:rFonts w:ascii="Arial" w:eastAsia="Calibri" w:hAnsi="Arial" w:cs="Arial"/>
          <w:lang w:val="es-ES"/>
        </w:rPr>
      </w:pPr>
      <w:r w:rsidRPr="00277113">
        <w:rPr>
          <w:rFonts w:ascii="Arial" w:eastAsia="Calibri" w:hAnsi="Arial" w:cs="Arial"/>
          <w:lang w:val="es-ES"/>
        </w:rPr>
        <w:t xml:space="preserve">En ejercicio de la competencia otorgada por el numeral 8 del artículo 11 y el numeral 5 del artículo 3 del Decreto Ley 4170 de 2011, la Agencia Nacional de Contratación Pública ― Colombia Compra Eficiente responde su consulta del </w:t>
      </w:r>
      <w:r w:rsidR="0041097C" w:rsidRPr="00277113">
        <w:rPr>
          <w:rFonts w:ascii="Arial" w:eastAsia="Calibri" w:hAnsi="Arial" w:cs="Arial"/>
          <w:lang w:val="es-ES"/>
        </w:rPr>
        <w:t>22 de febrero del 2023</w:t>
      </w:r>
      <w:r w:rsidRPr="00277113">
        <w:rPr>
          <w:rFonts w:ascii="Arial" w:eastAsia="Calibri" w:hAnsi="Arial" w:cs="Arial"/>
          <w:lang w:val="es-ES"/>
        </w:rPr>
        <w:t>.</w:t>
      </w:r>
    </w:p>
    <w:p w14:paraId="375DCD82" w14:textId="77777777" w:rsidR="00D1529F" w:rsidRPr="00277113" w:rsidRDefault="00D1529F" w:rsidP="00277113">
      <w:pPr>
        <w:spacing w:line="276" w:lineRule="auto"/>
        <w:jc w:val="both"/>
        <w:rPr>
          <w:rFonts w:ascii="Arial" w:eastAsia="Calibri" w:hAnsi="Arial" w:cs="Arial"/>
          <w:b/>
          <w:lang w:val="es-ES_tradnl"/>
        </w:rPr>
      </w:pPr>
    </w:p>
    <w:p w14:paraId="24A1C261" w14:textId="77777777" w:rsidR="00D1529F" w:rsidRPr="00277113" w:rsidRDefault="00D1529F" w:rsidP="00277113">
      <w:pPr>
        <w:pStyle w:val="Prrafodelista"/>
        <w:numPr>
          <w:ilvl w:val="0"/>
          <w:numId w:val="11"/>
        </w:numPr>
        <w:tabs>
          <w:tab w:val="left" w:pos="0"/>
          <w:tab w:val="left" w:pos="142"/>
          <w:tab w:val="left" w:pos="284"/>
        </w:tabs>
        <w:spacing w:line="276" w:lineRule="auto"/>
        <w:ind w:left="0" w:firstLine="0"/>
        <w:jc w:val="both"/>
        <w:rPr>
          <w:rFonts w:ascii="Arial" w:eastAsia="Calibri" w:hAnsi="Arial" w:cs="Arial"/>
          <w:b/>
          <w:lang w:val="es-ES_tradnl"/>
        </w:rPr>
      </w:pPr>
      <w:r w:rsidRPr="00277113">
        <w:rPr>
          <w:rFonts w:ascii="Arial" w:eastAsia="Calibri" w:hAnsi="Arial" w:cs="Arial"/>
          <w:b/>
          <w:lang w:val="es-ES_tradnl"/>
        </w:rPr>
        <w:t xml:space="preserve">Problema planteado </w:t>
      </w:r>
    </w:p>
    <w:p w14:paraId="17D5AA61" w14:textId="77777777" w:rsidR="00D1529F" w:rsidRPr="00277113" w:rsidRDefault="00D1529F" w:rsidP="00277113">
      <w:pPr>
        <w:tabs>
          <w:tab w:val="left" w:pos="426"/>
        </w:tabs>
        <w:spacing w:line="276" w:lineRule="auto"/>
        <w:jc w:val="both"/>
        <w:rPr>
          <w:rFonts w:ascii="Arial" w:eastAsia="Calibri" w:hAnsi="Arial" w:cs="Arial"/>
          <w:b/>
          <w:lang w:val="es-ES_tradnl"/>
        </w:rPr>
      </w:pPr>
    </w:p>
    <w:p w14:paraId="23560388" w14:textId="77777777" w:rsidR="00C31785" w:rsidRPr="00277113" w:rsidRDefault="00B93F27" w:rsidP="00277113">
      <w:pPr>
        <w:spacing w:line="276" w:lineRule="auto"/>
        <w:jc w:val="both"/>
        <w:rPr>
          <w:rFonts w:ascii="Arial" w:hAnsi="Arial" w:cs="Arial"/>
          <w:lang w:val="es-ES_tradnl"/>
        </w:rPr>
      </w:pPr>
      <w:r w:rsidRPr="00277113">
        <w:rPr>
          <w:rFonts w:ascii="Arial" w:hAnsi="Arial" w:cs="Arial"/>
          <w:lang w:val="es-ES_tradnl"/>
        </w:rPr>
        <w:t xml:space="preserve">Respecto a la aplicación del artículo 53 de la Ley </w:t>
      </w:r>
      <w:r w:rsidR="00E812F4" w:rsidRPr="00277113">
        <w:rPr>
          <w:rFonts w:ascii="Arial" w:hAnsi="Arial" w:cs="Arial"/>
          <w:lang w:val="es-ES_tradnl"/>
        </w:rPr>
        <w:t xml:space="preserve">2195 de 2022, usted realiza </w:t>
      </w:r>
      <w:r w:rsidR="00F15301" w:rsidRPr="00277113">
        <w:rPr>
          <w:rFonts w:ascii="Arial" w:hAnsi="Arial" w:cs="Arial"/>
          <w:lang w:val="es-ES_tradnl"/>
        </w:rPr>
        <w:t>la siguiente consulta:</w:t>
      </w:r>
      <w:bookmarkStart w:id="0" w:name="_Hlk95313578"/>
      <w:r w:rsidR="00F15301" w:rsidRPr="00277113">
        <w:rPr>
          <w:rFonts w:ascii="Arial" w:hAnsi="Arial" w:cs="Arial"/>
          <w:lang w:val="es-ES_tradnl"/>
        </w:rPr>
        <w:t xml:space="preserve"> </w:t>
      </w:r>
    </w:p>
    <w:p w14:paraId="5D3A7421" w14:textId="77777777" w:rsidR="00C31785" w:rsidRPr="00277113" w:rsidRDefault="00C31785" w:rsidP="00D1529F">
      <w:pPr>
        <w:spacing w:line="276" w:lineRule="auto"/>
        <w:jc w:val="both"/>
        <w:rPr>
          <w:rFonts w:ascii="Arial" w:hAnsi="Arial" w:cs="Arial"/>
          <w:lang w:val="es-ES_tradnl"/>
        </w:rPr>
      </w:pPr>
    </w:p>
    <w:p w14:paraId="10E54EA6" w14:textId="2271D3C0" w:rsidR="008C709B" w:rsidRPr="00277113" w:rsidRDefault="00F15301" w:rsidP="00277113">
      <w:pPr>
        <w:spacing w:line="240" w:lineRule="auto"/>
        <w:ind w:left="709" w:right="709"/>
        <w:jc w:val="both"/>
        <w:rPr>
          <w:rFonts w:ascii="Arial" w:hAnsi="Arial" w:cs="Arial"/>
          <w:sz w:val="21"/>
          <w:szCs w:val="21"/>
          <w:lang w:val="es-CO"/>
        </w:rPr>
      </w:pPr>
      <w:r w:rsidRPr="00277113">
        <w:rPr>
          <w:rFonts w:ascii="Arial" w:hAnsi="Arial" w:cs="Arial"/>
          <w:sz w:val="21"/>
          <w:szCs w:val="21"/>
          <w:lang w:val="es-ES_tradnl"/>
        </w:rPr>
        <w:t>“</w:t>
      </w:r>
      <w:r w:rsidR="000640B8" w:rsidRPr="00277113">
        <w:rPr>
          <w:rFonts w:ascii="Arial" w:hAnsi="Arial" w:cs="Arial"/>
          <w:sz w:val="21"/>
          <w:szCs w:val="21"/>
          <w:lang w:val="es-CO"/>
        </w:rPr>
        <w:t>En ese orden de ideas, partiendo de la premisa del Decre</w:t>
      </w:r>
      <w:r w:rsidR="008B1FA1" w:rsidRPr="00277113">
        <w:rPr>
          <w:rFonts w:ascii="Arial" w:hAnsi="Arial" w:cs="Arial"/>
          <w:sz w:val="21"/>
          <w:szCs w:val="21"/>
          <w:lang w:val="es-CO"/>
        </w:rPr>
        <w:t>t</w:t>
      </w:r>
      <w:r w:rsidR="000640B8" w:rsidRPr="00277113">
        <w:rPr>
          <w:rFonts w:ascii="Arial" w:hAnsi="Arial" w:cs="Arial"/>
          <w:sz w:val="21"/>
          <w:szCs w:val="21"/>
          <w:lang w:val="es-CO"/>
        </w:rPr>
        <w:t>o 092 de 2015 y enfrentándolo al artículo 40 de la ley 80 de 1993</w:t>
      </w:r>
      <w:r w:rsidR="008B1FA1" w:rsidRPr="00277113">
        <w:rPr>
          <w:rFonts w:ascii="Arial" w:hAnsi="Arial" w:cs="Arial"/>
          <w:sz w:val="21"/>
          <w:szCs w:val="21"/>
          <w:lang w:val="es-CO"/>
        </w:rPr>
        <w:t>:</w:t>
      </w:r>
    </w:p>
    <w:p w14:paraId="263E94D5" w14:textId="77777777" w:rsidR="00A771E3" w:rsidRPr="00277113" w:rsidRDefault="00A771E3" w:rsidP="00A771E3">
      <w:pPr>
        <w:spacing w:line="240" w:lineRule="auto"/>
        <w:ind w:left="709" w:right="709"/>
        <w:jc w:val="both"/>
        <w:rPr>
          <w:rFonts w:ascii="Arial" w:hAnsi="Arial" w:cs="Arial"/>
          <w:sz w:val="21"/>
          <w:szCs w:val="21"/>
          <w:lang w:val="es-CO"/>
        </w:rPr>
      </w:pPr>
    </w:p>
    <w:p w14:paraId="5F622AC7" w14:textId="20E6E9D9" w:rsidR="0064768C" w:rsidRPr="00277113" w:rsidRDefault="008C709B" w:rsidP="00A771E3">
      <w:pPr>
        <w:pStyle w:val="Prrafodelista"/>
        <w:numPr>
          <w:ilvl w:val="0"/>
          <w:numId w:val="12"/>
        </w:numPr>
        <w:spacing w:line="240" w:lineRule="auto"/>
        <w:ind w:right="709"/>
        <w:jc w:val="both"/>
        <w:rPr>
          <w:rFonts w:ascii="Arial" w:hAnsi="Arial" w:cs="Arial"/>
          <w:sz w:val="21"/>
          <w:szCs w:val="21"/>
          <w:lang w:val="es-CO"/>
        </w:rPr>
      </w:pPr>
      <w:r w:rsidRPr="00277113">
        <w:rPr>
          <w:rFonts w:ascii="Arial" w:hAnsi="Arial" w:cs="Arial"/>
          <w:sz w:val="21"/>
          <w:szCs w:val="21"/>
          <w:lang w:val="es-CO"/>
        </w:rPr>
        <w:t xml:space="preserve">En convenios (sea directos o competitivos) de </w:t>
      </w:r>
      <w:r w:rsidR="00E76520" w:rsidRPr="00277113">
        <w:rPr>
          <w:rFonts w:ascii="Arial" w:hAnsi="Arial" w:cs="Arial"/>
          <w:sz w:val="21"/>
          <w:szCs w:val="21"/>
          <w:lang w:val="es-CO"/>
        </w:rPr>
        <w:t>Decreto 092</w:t>
      </w:r>
      <w:r w:rsidR="0064768C" w:rsidRPr="00277113">
        <w:rPr>
          <w:rFonts w:ascii="Arial" w:hAnsi="Arial" w:cs="Arial"/>
          <w:sz w:val="21"/>
          <w:szCs w:val="21"/>
          <w:lang w:val="es-CO"/>
        </w:rPr>
        <w:t xml:space="preserve"> de 2017, se deben realizar anticipos y/o pagos anticipados sin excederse del 50% señalado en la ley 80? O el carácter de especialidad les permite pactar pagos superiores al 80%?</w:t>
      </w:r>
    </w:p>
    <w:p w14:paraId="452564B7" w14:textId="77777777" w:rsidR="00A771E3" w:rsidRPr="00277113" w:rsidRDefault="00A771E3" w:rsidP="00A771E3">
      <w:pPr>
        <w:pStyle w:val="Prrafodelista"/>
        <w:spacing w:line="240" w:lineRule="auto"/>
        <w:ind w:left="1069" w:right="709"/>
        <w:jc w:val="both"/>
        <w:rPr>
          <w:rFonts w:ascii="Arial" w:hAnsi="Arial" w:cs="Arial"/>
          <w:sz w:val="21"/>
          <w:szCs w:val="21"/>
          <w:lang w:val="es-CO"/>
        </w:rPr>
      </w:pPr>
    </w:p>
    <w:p w14:paraId="7AF603F5" w14:textId="109DC690" w:rsidR="00D1529F" w:rsidRPr="00277113" w:rsidRDefault="0064768C" w:rsidP="00D6175D">
      <w:pPr>
        <w:pStyle w:val="Prrafodelista"/>
        <w:numPr>
          <w:ilvl w:val="0"/>
          <w:numId w:val="12"/>
        </w:numPr>
        <w:spacing w:line="240" w:lineRule="auto"/>
        <w:ind w:right="709"/>
        <w:jc w:val="both"/>
        <w:rPr>
          <w:rFonts w:ascii="Arial" w:hAnsi="Arial" w:cs="Arial"/>
          <w:sz w:val="21"/>
          <w:szCs w:val="21"/>
          <w:lang w:val="es-CO"/>
        </w:rPr>
      </w:pPr>
      <w:proofErr w:type="gramStart"/>
      <w:r w:rsidRPr="00277113">
        <w:rPr>
          <w:rFonts w:ascii="Arial" w:hAnsi="Arial" w:cs="Arial"/>
          <w:sz w:val="21"/>
          <w:szCs w:val="21"/>
          <w:lang w:val="es-CO"/>
        </w:rPr>
        <w:t>Si la respuesta anterior es afirmativa, obligaría a la constitución de garantía correspondiente al contratista del convenio?</w:t>
      </w:r>
      <w:bookmarkEnd w:id="0"/>
      <w:proofErr w:type="gramEnd"/>
      <w:r w:rsidR="00F15301" w:rsidRPr="00277113">
        <w:rPr>
          <w:rFonts w:ascii="Arial" w:hAnsi="Arial" w:cs="Arial"/>
          <w:sz w:val="21"/>
          <w:szCs w:val="21"/>
          <w:lang w:val="es-ES_tradnl"/>
        </w:rPr>
        <w:t>”</w:t>
      </w:r>
      <w:r w:rsidR="00D1529F" w:rsidRPr="00277113">
        <w:rPr>
          <w:rFonts w:ascii="Arial" w:hAnsi="Arial" w:cs="Arial"/>
          <w:sz w:val="21"/>
          <w:szCs w:val="21"/>
          <w:lang w:val="es-ES_tradnl"/>
        </w:rPr>
        <w:t>.</w:t>
      </w:r>
    </w:p>
    <w:p w14:paraId="229780FA" w14:textId="77777777" w:rsidR="002F5B81" w:rsidRPr="00277113" w:rsidRDefault="002F5B81" w:rsidP="002F5B81">
      <w:pPr>
        <w:spacing w:line="276" w:lineRule="auto"/>
        <w:jc w:val="both"/>
        <w:rPr>
          <w:rFonts w:ascii="Arial" w:hAnsi="Arial" w:cs="Arial"/>
          <w:lang w:val="es-ES_tradnl"/>
        </w:rPr>
      </w:pPr>
    </w:p>
    <w:p w14:paraId="293BAA73" w14:textId="77777777" w:rsidR="002F5B81" w:rsidRPr="00277113" w:rsidRDefault="002F5B81" w:rsidP="00277113">
      <w:pPr>
        <w:pStyle w:val="Prrafodelista"/>
        <w:numPr>
          <w:ilvl w:val="0"/>
          <w:numId w:val="11"/>
        </w:numPr>
        <w:tabs>
          <w:tab w:val="left" w:pos="0"/>
          <w:tab w:val="left" w:pos="284"/>
        </w:tabs>
        <w:spacing w:line="276" w:lineRule="auto"/>
        <w:ind w:left="0" w:firstLine="0"/>
        <w:contextualSpacing w:val="0"/>
        <w:jc w:val="both"/>
        <w:rPr>
          <w:rFonts w:ascii="Arial" w:eastAsia="Calibri" w:hAnsi="Arial" w:cs="Arial"/>
          <w:b/>
          <w:lang w:val="es-ES_tradnl"/>
        </w:rPr>
      </w:pPr>
      <w:r w:rsidRPr="00277113">
        <w:rPr>
          <w:rFonts w:ascii="Arial" w:eastAsia="Calibri" w:hAnsi="Arial" w:cs="Arial"/>
          <w:b/>
          <w:lang w:val="es-ES_tradnl"/>
        </w:rPr>
        <w:t>Consideraciones</w:t>
      </w:r>
    </w:p>
    <w:p w14:paraId="7106B705" w14:textId="77777777" w:rsidR="002F5B81" w:rsidRPr="00277113" w:rsidRDefault="002F5B81" w:rsidP="00277113">
      <w:pPr>
        <w:pStyle w:val="Prrafodelista"/>
        <w:tabs>
          <w:tab w:val="left" w:pos="0"/>
          <w:tab w:val="left" w:pos="284"/>
        </w:tabs>
        <w:spacing w:line="276" w:lineRule="auto"/>
        <w:ind w:left="0"/>
        <w:contextualSpacing w:val="0"/>
        <w:jc w:val="both"/>
        <w:rPr>
          <w:rFonts w:ascii="Arial" w:eastAsia="Calibri" w:hAnsi="Arial" w:cs="Arial"/>
          <w:b/>
          <w:lang w:val="es-ES_tradnl"/>
        </w:rPr>
      </w:pPr>
    </w:p>
    <w:p w14:paraId="349F8F91" w14:textId="21913860" w:rsidR="002F5B81" w:rsidRPr="00277113" w:rsidRDefault="002F5B81" w:rsidP="00316089">
      <w:pPr>
        <w:spacing w:after="120" w:line="276" w:lineRule="auto"/>
        <w:jc w:val="both"/>
        <w:rPr>
          <w:rFonts w:ascii="Arial" w:hAnsi="Arial" w:cs="Arial"/>
          <w:lang w:val="es-ES"/>
        </w:rPr>
      </w:pPr>
      <w:r w:rsidRPr="00277113">
        <w:rPr>
          <w:rFonts w:ascii="Arial" w:hAnsi="Arial" w:cs="Arial"/>
          <w:lang w:val="es-CO"/>
        </w:rPr>
        <w:t>En ejercicio de las competencias establecidas en los artículos 3</w:t>
      </w:r>
      <w:r w:rsidR="002F6B51">
        <w:rPr>
          <w:rFonts w:ascii="Arial" w:hAnsi="Arial" w:cs="Arial"/>
          <w:lang w:val="es-CO"/>
        </w:rPr>
        <w:t xml:space="preserve">, numeral </w:t>
      </w:r>
      <w:r w:rsidRPr="00277113">
        <w:rPr>
          <w:rFonts w:ascii="Arial" w:hAnsi="Arial" w:cs="Arial"/>
          <w:lang w:val="es-CO"/>
        </w:rPr>
        <w:t>5</w:t>
      </w:r>
      <w:r w:rsidR="002F6B51">
        <w:rPr>
          <w:rFonts w:ascii="Arial" w:hAnsi="Arial" w:cs="Arial"/>
          <w:lang w:val="es-CO"/>
        </w:rPr>
        <w:t>°</w:t>
      </w:r>
      <w:r w:rsidRPr="00277113">
        <w:rPr>
          <w:rFonts w:ascii="Arial" w:hAnsi="Arial" w:cs="Arial"/>
          <w:lang w:val="es-CO"/>
        </w:rPr>
        <w:t xml:space="preserve"> y 11</w:t>
      </w:r>
      <w:r w:rsidR="00EC6BC4">
        <w:rPr>
          <w:rFonts w:ascii="Arial" w:hAnsi="Arial" w:cs="Arial"/>
          <w:lang w:val="es-CO"/>
        </w:rPr>
        <w:t xml:space="preserve">, numeral </w:t>
      </w:r>
      <w:r w:rsidRPr="00277113">
        <w:rPr>
          <w:rFonts w:ascii="Arial" w:hAnsi="Arial" w:cs="Arial"/>
          <w:lang w:val="es-CO"/>
        </w:rPr>
        <w:t>8</w:t>
      </w:r>
      <w:r w:rsidR="00EC6BC4">
        <w:rPr>
          <w:rFonts w:ascii="Arial" w:hAnsi="Arial" w:cs="Arial"/>
          <w:lang w:val="es-CO"/>
        </w:rPr>
        <w:t>°</w:t>
      </w:r>
      <w:r w:rsidRPr="00277113">
        <w:rPr>
          <w:rFonts w:ascii="Arial" w:hAnsi="Arial" w:cs="Arial"/>
          <w:lang w:val="es-CO"/>
        </w:rPr>
        <w:t xml:space="preserve"> del Decreto Ley 4170 de 2011, la Agencia Nacional de Contratación Pública – Colombia Compra Eficiente resuelve las consultas sobre los asuntos de su competencia, esto es, sobre las temáticas de la contratación estatal y compras públicas relacionadas en los artículos citados</w:t>
      </w:r>
      <w:bookmarkStart w:id="1" w:name="_Hlk61701014"/>
      <w:bookmarkStart w:id="2" w:name="_Hlk62136649"/>
      <w:r w:rsidR="00892C14" w:rsidRPr="00277113">
        <w:rPr>
          <w:rFonts w:ascii="Arial" w:hAnsi="Arial" w:cs="Arial"/>
          <w:lang w:val="es-CO"/>
        </w:rPr>
        <w:t xml:space="preserve">. </w:t>
      </w:r>
      <w:r w:rsidRPr="00277113">
        <w:rPr>
          <w:rFonts w:ascii="Arial" w:hAnsi="Arial" w:cs="Arial"/>
          <w:lang w:val="es-ES"/>
        </w:rPr>
        <w:t xml:space="preserve">Es necesario tener en cuenta que </w:t>
      </w:r>
      <w:bookmarkStart w:id="3" w:name="_Hlk61026958"/>
      <w:r w:rsidRPr="00277113">
        <w:rPr>
          <w:rFonts w:ascii="Arial" w:hAnsi="Arial" w:cs="Arial"/>
          <w:lang w:val="es-ES"/>
        </w:rPr>
        <w:t>esta entidad solo tiene competencia para responder solicitudes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w:t>
      </w:r>
      <w:r w:rsidRPr="00277113">
        <w:rPr>
          <w:rFonts w:ascii="Arial" w:hAnsi="Arial" w:cs="Arial"/>
          <w:lang w:val="es-CO"/>
        </w:rPr>
        <w:t xml:space="preserve"> de todos los partícipes de la contratación estatal.</w:t>
      </w:r>
      <w:r w:rsidR="00AF097F">
        <w:rPr>
          <w:rFonts w:ascii="Arial" w:hAnsi="Arial" w:cs="Arial"/>
          <w:lang w:val="es-ES"/>
        </w:rPr>
        <w:t xml:space="preserve"> </w:t>
      </w:r>
      <w:r w:rsidRPr="00277113">
        <w:rPr>
          <w:rFonts w:ascii="Arial" w:hAnsi="Arial" w:cs="Arial"/>
          <w:lang w:val="es-ES"/>
        </w:rPr>
        <w:t>La competencia de esta entidad se fija con límites claros, con el objeto de evitar que la Agencia actúe como una instancia de validación de las actuaciones de las entidades sujetas a la Ley 80 de 1993 o de los demás participantes de la contratación pública</w:t>
      </w:r>
      <w:r w:rsidR="00203F34" w:rsidRPr="00277113">
        <w:rPr>
          <w:rStyle w:val="Refdenotaalpie"/>
          <w:rFonts w:ascii="Arial" w:hAnsi="Arial" w:cs="Arial"/>
          <w:lang w:val="es-ES"/>
        </w:rPr>
        <w:footnoteReference w:id="1"/>
      </w:r>
      <w:r w:rsidRPr="00277113">
        <w:rPr>
          <w:rFonts w:ascii="Arial" w:hAnsi="Arial" w:cs="Arial"/>
          <w:lang w:val="es-ES"/>
        </w:rPr>
        <w:t xml:space="preserve">. Esta competencia de interpretación de normas generales, por definición, no puede extenderse a la resolución de controversias, ni a brindar asesorías sobre casos puntuales. </w:t>
      </w:r>
      <w:bookmarkEnd w:id="3"/>
      <w:r w:rsidRPr="00277113">
        <w:rPr>
          <w:rFonts w:ascii="Arial" w:hAnsi="Arial" w:cs="Arial"/>
          <w:lang w:val="es-ES"/>
        </w:rPr>
        <w:t xml:space="preserve"> </w:t>
      </w:r>
      <w:bookmarkEnd w:id="1"/>
    </w:p>
    <w:bookmarkEnd w:id="2"/>
    <w:p w14:paraId="61681E8E" w14:textId="5A7A19B0" w:rsidR="0037513A" w:rsidRPr="00277113" w:rsidRDefault="002F5B81" w:rsidP="00277113">
      <w:pPr>
        <w:tabs>
          <w:tab w:val="left" w:pos="426"/>
        </w:tabs>
        <w:spacing w:before="120" w:after="120" w:line="276" w:lineRule="auto"/>
        <w:jc w:val="both"/>
        <w:rPr>
          <w:rFonts w:ascii="Arial" w:hAnsi="Arial" w:cs="Arial"/>
          <w:lang w:val="es-ES_tradnl"/>
        </w:rPr>
      </w:pPr>
      <w:r w:rsidRPr="00277113">
        <w:rPr>
          <w:rFonts w:ascii="Arial" w:hAnsi="Arial" w:cs="Arial"/>
          <w:lang w:val="es-CO"/>
        </w:rPr>
        <w:tab/>
      </w:r>
      <w:r w:rsidRPr="00277113">
        <w:rPr>
          <w:rFonts w:ascii="Arial" w:hAnsi="Arial" w:cs="Arial"/>
          <w:lang w:val="es-CO"/>
        </w:rPr>
        <w:tab/>
      </w:r>
      <w:r w:rsidR="0073145C" w:rsidRPr="00277113">
        <w:rPr>
          <w:rFonts w:ascii="Arial" w:hAnsi="Arial" w:cs="Arial"/>
          <w:lang w:val="es-CO"/>
        </w:rPr>
        <w:t>Conforme lo anterior</w:t>
      </w:r>
      <w:r w:rsidRPr="00277113">
        <w:rPr>
          <w:rFonts w:ascii="Arial" w:hAnsi="Arial" w:cs="Arial"/>
          <w:lang w:val="es-CO"/>
        </w:rPr>
        <w:t>, la Subdirección –dentro de los límites de sus atribuciones</w:t>
      </w:r>
      <w:r w:rsidR="00473BB9" w:rsidRPr="00277113">
        <w:rPr>
          <w:rFonts w:ascii="Arial" w:hAnsi="Arial" w:cs="Arial"/>
          <w:lang w:val="es-CO"/>
        </w:rPr>
        <w:t xml:space="preserve"> </w:t>
      </w:r>
      <w:r w:rsidRPr="00277113">
        <w:rPr>
          <w:rFonts w:ascii="Arial" w:hAnsi="Arial" w:cs="Arial"/>
          <w:lang w:val="es-CO"/>
        </w:rPr>
        <w:t xml:space="preserve">resolverá la consulta conforme a las normas generales en materia de contratación estatal. Con este objetivo se analizarán </w:t>
      </w:r>
      <w:r w:rsidRPr="00277113">
        <w:rPr>
          <w:rFonts w:ascii="Arial" w:eastAsia="Calibri" w:hAnsi="Arial" w:cs="Arial"/>
          <w:lang w:val="es-ES"/>
        </w:rPr>
        <w:t>los siguientes temas</w:t>
      </w:r>
      <w:r w:rsidRPr="00277113">
        <w:rPr>
          <w:rFonts w:ascii="Arial" w:hAnsi="Arial" w:cs="Arial"/>
          <w:lang w:val="es-ES"/>
        </w:rPr>
        <w:t xml:space="preserve">: </w:t>
      </w:r>
      <w:r w:rsidRPr="00277113">
        <w:rPr>
          <w:rFonts w:ascii="Arial" w:hAnsi="Arial" w:cs="Arial"/>
          <w:lang w:val="es-ES_tradnl"/>
        </w:rPr>
        <w:t xml:space="preserve">i) </w:t>
      </w:r>
      <w:r w:rsidR="00215E8C" w:rsidRPr="00277113">
        <w:rPr>
          <w:rFonts w:ascii="Arial" w:hAnsi="Arial" w:cs="Arial"/>
          <w:lang w:val="es-CO"/>
        </w:rPr>
        <w:t xml:space="preserve">naturaleza jurídica del anticipo; </w:t>
      </w:r>
      <w:r w:rsidR="009305B6">
        <w:rPr>
          <w:rFonts w:ascii="Arial" w:hAnsi="Arial" w:cs="Arial"/>
          <w:lang w:val="es-CO"/>
        </w:rPr>
        <w:t xml:space="preserve">y </w:t>
      </w:r>
      <w:proofErr w:type="spellStart"/>
      <w:r w:rsidR="00215E8C" w:rsidRPr="00277113">
        <w:rPr>
          <w:rFonts w:ascii="Arial" w:hAnsi="Arial" w:cs="Arial"/>
          <w:lang w:val="es-CO"/>
        </w:rPr>
        <w:t>ii</w:t>
      </w:r>
      <w:proofErr w:type="spellEnd"/>
      <w:r w:rsidR="00215E8C" w:rsidRPr="00277113">
        <w:rPr>
          <w:rFonts w:ascii="Arial" w:hAnsi="Arial" w:cs="Arial"/>
          <w:lang w:val="es-CO"/>
        </w:rPr>
        <w:t xml:space="preserve">) </w:t>
      </w:r>
      <w:r w:rsidR="009305B6">
        <w:rPr>
          <w:rFonts w:ascii="Arial" w:hAnsi="Arial" w:cs="Arial"/>
          <w:lang w:val="es-CO"/>
        </w:rPr>
        <w:t>r</w:t>
      </w:r>
      <w:r w:rsidR="009305B6" w:rsidRPr="009305B6">
        <w:rPr>
          <w:rFonts w:ascii="Arial" w:hAnsi="Arial" w:cs="Arial"/>
          <w:lang w:val="es-CO"/>
        </w:rPr>
        <w:t>égimen jurídico aplicable a la contratación con entidades sin ánimo de lucro</w:t>
      </w:r>
      <w:r w:rsidR="009305B6">
        <w:rPr>
          <w:rFonts w:ascii="Arial" w:hAnsi="Arial" w:cs="Arial"/>
          <w:lang w:val="es-CO"/>
        </w:rPr>
        <w:t>:</w:t>
      </w:r>
      <w:r w:rsidR="009305B6" w:rsidRPr="009305B6">
        <w:rPr>
          <w:rFonts w:ascii="Arial" w:hAnsi="Arial" w:cs="Arial"/>
          <w:lang w:val="es-CO"/>
        </w:rPr>
        <w:t xml:space="preserve"> </w:t>
      </w:r>
      <w:r w:rsidR="009305B6">
        <w:rPr>
          <w:rFonts w:ascii="Arial" w:hAnsi="Arial" w:cs="Arial"/>
          <w:lang w:val="es-CO"/>
        </w:rPr>
        <w:t>a</w:t>
      </w:r>
      <w:r w:rsidR="009305B6" w:rsidRPr="009305B6">
        <w:rPr>
          <w:rFonts w:ascii="Arial" w:hAnsi="Arial" w:cs="Arial"/>
          <w:lang w:val="es-CO"/>
        </w:rPr>
        <w:t xml:space="preserve">plicabilidad </w:t>
      </w:r>
      <w:r w:rsidR="009305B6" w:rsidRPr="009305B6">
        <w:rPr>
          <w:rFonts w:ascii="Arial" w:hAnsi="Arial" w:cs="Arial"/>
          <w:lang w:val="es-CO"/>
        </w:rPr>
        <w:lastRenderedPageBreak/>
        <w:t xml:space="preserve">de las disposiciones del Estatuto General de Contratación de la Administración Pública sobre el manejo de anticipos. </w:t>
      </w:r>
    </w:p>
    <w:p w14:paraId="2FC5C6CA" w14:textId="72692039" w:rsidR="001B210E" w:rsidRPr="00277113" w:rsidRDefault="0037513A" w:rsidP="00277113">
      <w:pPr>
        <w:tabs>
          <w:tab w:val="left" w:pos="426"/>
        </w:tabs>
        <w:spacing w:before="120" w:after="120" w:line="276" w:lineRule="auto"/>
        <w:jc w:val="both"/>
        <w:rPr>
          <w:rFonts w:ascii="Arial" w:hAnsi="Arial" w:cs="Arial"/>
          <w:lang w:val="es-ES_tradnl"/>
        </w:rPr>
      </w:pPr>
      <w:r w:rsidRPr="00277113">
        <w:rPr>
          <w:rFonts w:ascii="Arial" w:hAnsi="Arial" w:cs="Arial"/>
          <w:lang w:val="es-ES_tradnl"/>
        </w:rPr>
        <w:tab/>
      </w:r>
      <w:r w:rsidR="00C0080B" w:rsidRPr="00277113">
        <w:rPr>
          <w:rFonts w:ascii="Arial" w:hAnsi="Arial" w:cs="Arial"/>
          <w:lang w:val="es-CO"/>
        </w:rPr>
        <w:t xml:space="preserve">La Agencia Nacional de Contratación Pública – Colombia Compra Eficiente en los conceptos con radicados números 4201714000000768 del 10 de marzo de 2017, 4201713000000879 del 24 de marzo de 2017, 4201713000002621 del 27 de julio de 2017,  4201714000004176 del 28 de agosto de 2017, 4201714000005628 del 11 de diciembre de 2017, 4201814000000698 del 14 de abril de 2018, C-049 del 21 de febrero de 2020, C-209 del 16 de marzo de 2020, C-693 del 25 de noviembre de 2020, C-731 del 14 de diciembre de 2020, C-154 del 18 de mayo de 2021, C-842 del 7 de diciembre de 2022, C-825 del 28 de diciembre de 2022, C-033 de 27 de febrero de 2023 y </w:t>
      </w:r>
      <w:r w:rsidR="000A5B62" w:rsidRPr="00277113">
        <w:rPr>
          <w:rFonts w:ascii="Arial" w:hAnsi="Arial" w:cs="Arial"/>
          <w:lang w:val="es-CO"/>
        </w:rPr>
        <w:t xml:space="preserve">003 del 13 de marzo del 2023, </w:t>
      </w:r>
      <w:r w:rsidR="00C0080B" w:rsidRPr="00277113">
        <w:rPr>
          <w:rFonts w:ascii="Arial" w:hAnsi="Arial" w:cs="Arial"/>
          <w:lang w:val="es-CO"/>
        </w:rPr>
        <w:t xml:space="preserve">se abordó el análisis y estudio de la facultad de las </w:t>
      </w:r>
      <w:r w:rsidR="00E17970" w:rsidRPr="00277113">
        <w:rPr>
          <w:rFonts w:ascii="Arial" w:hAnsi="Arial" w:cs="Arial"/>
          <w:lang w:val="es-CO"/>
        </w:rPr>
        <w:t>E</w:t>
      </w:r>
      <w:r w:rsidR="00C0080B" w:rsidRPr="00277113">
        <w:rPr>
          <w:rFonts w:ascii="Arial" w:hAnsi="Arial" w:cs="Arial"/>
          <w:lang w:val="es-CO"/>
        </w:rPr>
        <w:t xml:space="preserve">ntidades </w:t>
      </w:r>
      <w:r w:rsidR="00E17970" w:rsidRPr="00277113">
        <w:rPr>
          <w:rFonts w:ascii="Arial" w:hAnsi="Arial" w:cs="Arial"/>
          <w:lang w:val="es-CO"/>
        </w:rPr>
        <w:t>E</w:t>
      </w:r>
      <w:r w:rsidR="00C0080B" w:rsidRPr="00277113">
        <w:rPr>
          <w:rFonts w:ascii="Arial" w:hAnsi="Arial" w:cs="Arial"/>
          <w:lang w:val="es-CO"/>
        </w:rPr>
        <w:t>statales para pactar la entrega de anticipos en los contratos estatales.</w:t>
      </w:r>
      <w:r w:rsidR="002A6A00" w:rsidRPr="00277113">
        <w:rPr>
          <w:rFonts w:ascii="Arial" w:hAnsi="Arial" w:cs="Arial"/>
          <w:lang w:val="es-CO"/>
        </w:rPr>
        <w:t xml:space="preserve"> </w:t>
      </w:r>
    </w:p>
    <w:p w14:paraId="2CCD9A56" w14:textId="1BEF3E21" w:rsidR="00120ED5" w:rsidRPr="00277113" w:rsidRDefault="000A5101" w:rsidP="00277113">
      <w:pPr>
        <w:spacing w:line="276" w:lineRule="auto"/>
        <w:ind w:firstLine="709"/>
        <w:jc w:val="both"/>
        <w:rPr>
          <w:rFonts w:ascii="Arial" w:hAnsi="Arial" w:cs="Arial"/>
          <w:lang w:val="es-CO"/>
        </w:rPr>
      </w:pPr>
      <w:r w:rsidRPr="00277113">
        <w:rPr>
          <w:rFonts w:ascii="Arial" w:hAnsi="Arial" w:cs="Arial"/>
          <w:lang w:val="es-CO"/>
        </w:rPr>
        <w:t xml:space="preserve">Adicionalmente, </w:t>
      </w:r>
      <w:r w:rsidR="00230843" w:rsidRPr="00277113">
        <w:rPr>
          <w:rFonts w:ascii="Arial" w:hAnsi="Arial" w:cs="Arial"/>
          <w:lang w:val="es-ES_tradnl"/>
        </w:rPr>
        <w:t>la Agencia Nacional de Contratación Pública – Colombia Compra Eficiente se ha pronunciado en diferentes conceptos sobre la contratación con Entidades privadas sin ánimo de lucro y de reconocida idoneidad –desde ahora ESAL–, con fundamento en el Decreto autónomo 092 de 2017, en particular en los Conceptos 4201912000008310 del 26 de diciembre de 2019, 4201912000007899 del 27 de diciembre de 2019, 4201912000007901 del 27 de diciembre de 2019, C-594 del 7 de septiembre de 2020, C-670 del 22 de noviembre de 2020, C-689 del 1 de diciembre de 2020, C-724 de 14 de diciembre de 2020, C-749 del 23 de diciembre de 2020, C-758 del 04 de enero de 2021, C-806 de 8 de febrero de 2021, C-364 de 26 de julio de 2021, C-379 de 20 de julio de 2021, C-537 del 27 de septiembre de 2021</w:t>
      </w:r>
      <w:r w:rsidR="00FD1A75" w:rsidRPr="00277113">
        <w:rPr>
          <w:rFonts w:ascii="Arial" w:hAnsi="Arial" w:cs="Arial"/>
          <w:lang w:val="es-ES_tradnl"/>
        </w:rPr>
        <w:t xml:space="preserve">, </w:t>
      </w:r>
      <w:r w:rsidR="00230843" w:rsidRPr="00277113">
        <w:rPr>
          <w:rFonts w:ascii="Arial" w:hAnsi="Arial" w:cs="Arial"/>
          <w:lang w:val="es-ES_tradnl"/>
        </w:rPr>
        <w:t>C-021 del 22 de febrero de 2022</w:t>
      </w:r>
      <w:r w:rsidR="001B3E50" w:rsidRPr="00277113">
        <w:rPr>
          <w:rFonts w:ascii="Arial" w:hAnsi="Arial" w:cs="Arial"/>
          <w:lang w:val="es-ES_tradnl"/>
        </w:rPr>
        <w:t xml:space="preserve">, </w:t>
      </w:r>
      <w:r w:rsidR="00FD1A75" w:rsidRPr="00277113">
        <w:rPr>
          <w:rFonts w:ascii="Arial" w:hAnsi="Arial" w:cs="Arial"/>
          <w:lang w:val="es-ES_tradnl"/>
        </w:rPr>
        <w:t>C-447 del 26 de julio del 2022</w:t>
      </w:r>
      <w:r w:rsidR="001B3E50" w:rsidRPr="00277113">
        <w:rPr>
          <w:rFonts w:ascii="Arial" w:hAnsi="Arial" w:cs="Arial"/>
          <w:lang w:val="es-ES_tradnl"/>
        </w:rPr>
        <w:t xml:space="preserve"> y C-</w:t>
      </w:r>
      <w:r w:rsidR="00E53523" w:rsidRPr="00277113">
        <w:rPr>
          <w:rFonts w:ascii="Arial" w:hAnsi="Arial" w:cs="Arial"/>
          <w:lang w:val="es-ES_tradnl"/>
        </w:rPr>
        <w:t xml:space="preserve">550 del </w:t>
      </w:r>
      <w:r w:rsidR="00E02E8E" w:rsidRPr="00277113">
        <w:rPr>
          <w:rFonts w:ascii="Arial" w:hAnsi="Arial" w:cs="Arial"/>
          <w:lang w:val="es-ES_tradnl"/>
        </w:rPr>
        <w:t>30 de agosto del 2022</w:t>
      </w:r>
      <w:r w:rsidR="00FA5D27" w:rsidRPr="00277113">
        <w:rPr>
          <w:rStyle w:val="Refdenotaalpie"/>
          <w:rFonts w:ascii="Arial" w:hAnsi="Arial" w:cs="Arial"/>
          <w:lang w:val="es-ES_tradnl"/>
        </w:rPr>
        <w:footnoteReference w:id="2"/>
      </w:r>
      <w:r w:rsidR="00FA5D27" w:rsidRPr="00277113">
        <w:rPr>
          <w:rFonts w:ascii="Arial" w:hAnsi="Arial" w:cs="Arial"/>
          <w:lang w:val="es-ES_tradnl"/>
        </w:rPr>
        <w:t xml:space="preserve">. </w:t>
      </w:r>
      <w:r w:rsidR="00C0080B" w:rsidRPr="00277113">
        <w:rPr>
          <w:rFonts w:ascii="Arial" w:hAnsi="Arial" w:cs="Arial"/>
          <w:lang w:val="es-CO"/>
        </w:rPr>
        <w:t xml:space="preserve">La tesis propuesta en </w:t>
      </w:r>
      <w:r w:rsidR="00220AFA">
        <w:rPr>
          <w:rFonts w:ascii="Arial" w:hAnsi="Arial" w:cs="Arial"/>
          <w:lang w:val="es-CO"/>
        </w:rPr>
        <w:t>los</w:t>
      </w:r>
      <w:r w:rsidR="00C0080B" w:rsidRPr="00277113">
        <w:rPr>
          <w:rFonts w:ascii="Arial" w:hAnsi="Arial" w:cs="Arial"/>
          <w:lang w:val="es-CO"/>
        </w:rPr>
        <w:t xml:space="preserve"> conceptos</w:t>
      </w:r>
      <w:r w:rsidR="00220AFA">
        <w:rPr>
          <w:rFonts w:ascii="Arial" w:hAnsi="Arial" w:cs="Arial"/>
          <w:lang w:val="es-CO"/>
        </w:rPr>
        <w:t xml:space="preserve"> relacionados</w:t>
      </w:r>
      <w:r w:rsidR="00C0080B" w:rsidRPr="00277113">
        <w:rPr>
          <w:rFonts w:ascii="Arial" w:hAnsi="Arial" w:cs="Arial"/>
          <w:lang w:val="es-CO"/>
        </w:rPr>
        <w:t xml:space="preserve"> se expone a continuación y se complementa en lo pertinente</w:t>
      </w:r>
      <w:r w:rsidR="00120ED5" w:rsidRPr="00277113">
        <w:rPr>
          <w:rFonts w:ascii="Arial" w:hAnsi="Arial" w:cs="Arial"/>
          <w:lang w:val="es-CO"/>
        </w:rPr>
        <w:t>.</w:t>
      </w:r>
    </w:p>
    <w:p w14:paraId="39EADCB0" w14:textId="77777777" w:rsidR="00463D14" w:rsidRPr="00277113" w:rsidRDefault="00463D14" w:rsidP="00463D14">
      <w:pPr>
        <w:spacing w:line="240" w:lineRule="auto"/>
        <w:ind w:firstLine="709"/>
        <w:jc w:val="both"/>
        <w:rPr>
          <w:rFonts w:ascii="Arial" w:hAnsi="Arial" w:cs="Arial"/>
          <w:lang w:val="es-CO"/>
        </w:rPr>
      </w:pPr>
    </w:p>
    <w:p w14:paraId="03C71980" w14:textId="0A4952FF" w:rsidR="00120ED5" w:rsidRPr="00277113" w:rsidRDefault="00120ED5" w:rsidP="00463D14">
      <w:pPr>
        <w:spacing w:line="240" w:lineRule="auto"/>
        <w:jc w:val="both"/>
        <w:rPr>
          <w:rFonts w:ascii="Arial" w:eastAsia="Calibri" w:hAnsi="Arial" w:cs="Arial"/>
          <w:b/>
          <w:bCs/>
          <w:lang w:val="es-CO" w:eastAsia="en-GB"/>
        </w:rPr>
      </w:pPr>
      <w:r w:rsidRPr="00277113">
        <w:rPr>
          <w:rFonts w:ascii="Arial" w:hAnsi="Arial" w:cs="Arial"/>
          <w:b/>
          <w:bCs/>
          <w:lang w:val="es-CO"/>
        </w:rPr>
        <w:t>2.1</w:t>
      </w:r>
      <w:r w:rsidRPr="00277113">
        <w:rPr>
          <w:rFonts w:ascii="Arial" w:hAnsi="Arial" w:cs="Arial"/>
          <w:lang w:val="es-CO"/>
        </w:rPr>
        <w:t xml:space="preserve"> </w:t>
      </w:r>
      <w:r w:rsidR="00B26083" w:rsidRPr="00277113">
        <w:rPr>
          <w:rFonts w:ascii="Arial" w:eastAsia="Calibri" w:hAnsi="Arial" w:cs="Arial"/>
          <w:b/>
          <w:bCs/>
          <w:lang w:val="es-ES" w:eastAsia="en-GB"/>
        </w:rPr>
        <w:t>Naturaleza jurídica del anticipo</w:t>
      </w:r>
      <w:r w:rsidR="004F1CEE" w:rsidRPr="00277113">
        <w:rPr>
          <w:rFonts w:ascii="Arial" w:eastAsia="Calibri" w:hAnsi="Arial" w:cs="Arial"/>
          <w:b/>
          <w:bCs/>
          <w:lang w:val="es-CO" w:eastAsia="en-GB"/>
        </w:rPr>
        <w:t>. Reiteración de línea.</w:t>
      </w:r>
    </w:p>
    <w:p w14:paraId="2C02C48D" w14:textId="77777777" w:rsidR="00463D14" w:rsidRPr="00277113" w:rsidRDefault="00463D14" w:rsidP="00463D14">
      <w:pPr>
        <w:spacing w:line="240" w:lineRule="auto"/>
        <w:jc w:val="both"/>
        <w:rPr>
          <w:rFonts w:ascii="Arial" w:hAnsi="Arial" w:cs="Arial"/>
          <w:lang w:val="es-CO"/>
        </w:rPr>
      </w:pPr>
    </w:p>
    <w:p w14:paraId="6724FD43" w14:textId="77777777" w:rsidR="005426F1" w:rsidRDefault="00120ED5" w:rsidP="00851126">
      <w:pPr>
        <w:spacing w:line="276" w:lineRule="auto"/>
        <w:jc w:val="both"/>
        <w:rPr>
          <w:rFonts w:ascii="Arial" w:hAnsi="Arial" w:cs="Arial"/>
          <w:lang w:val="es-CO"/>
        </w:rPr>
      </w:pPr>
      <w:r w:rsidRPr="00277113">
        <w:rPr>
          <w:rFonts w:ascii="Arial" w:hAnsi="Arial" w:cs="Arial"/>
          <w:lang w:val="es-CO" w:eastAsia="en-GB"/>
        </w:rPr>
        <w:t>En materia de contratación pública, la figura del anticipo está prevista en dos (2) normas: el</w:t>
      </w:r>
      <w:r w:rsidRPr="00277113">
        <w:rPr>
          <w:rFonts w:ascii="Arial" w:hAnsi="Arial" w:cs="Arial"/>
          <w:lang w:val="es-CO"/>
        </w:rPr>
        <w:t xml:space="preserve"> inciso primero del parágrafo del artículo 40 de la Ley 80 de 1993 y en el artículo 91 de la Ley 1474 de 2011. En cuanto al Estatuto General de Contratación de la Administración Pública, se dispone la posibilidad de pactar anticipos en los contratos, pero sujeto a determinadas limitaciones. En efecto, la norma prescribe que </w:t>
      </w:r>
      <w:r w:rsidR="005426F1" w:rsidRPr="00277113">
        <w:rPr>
          <w:rFonts w:ascii="Arial" w:hAnsi="Arial" w:cs="Arial"/>
          <w:lang w:val="es-CO"/>
        </w:rPr>
        <w:t>“</w:t>
      </w:r>
      <w:r w:rsidRPr="00277113">
        <w:rPr>
          <w:rFonts w:ascii="Arial" w:hAnsi="Arial" w:cs="Arial"/>
          <w:lang w:val="es-CO"/>
        </w:rPr>
        <w:t>En los contratos que celebren las entidades estatales se podrá pactar el pago anticipado y la entrega de anticipos, pero su monto no podrá exceder del cincuenta por ciento (50%) del valor del respectivo contrato</w:t>
      </w:r>
      <w:r w:rsidR="005426F1" w:rsidRPr="00277113">
        <w:rPr>
          <w:rFonts w:ascii="Arial" w:hAnsi="Arial" w:cs="Arial"/>
          <w:lang w:val="es-CO"/>
        </w:rPr>
        <w:t>”</w:t>
      </w:r>
      <w:r w:rsidRPr="00277113">
        <w:rPr>
          <w:rFonts w:ascii="Arial" w:hAnsi="Arial" w:cs="Arial"/>
          <w:lang w:val="es-CO"/>
        </w:rPr>
        <w:t>.</w:t>
      </w:r>
    </w:p>
    <w:p w14:paraId="2267DDC9" w14:textId="77777777" w:rsidR="00590477" w:rsidRPr="00277113" w:rsidRDefault="00590477" w:rsidP="00851126">
      <w:pPr>
        <w:spacing w:line="276" w:lineRule="auto"/>
        <w:jc w:val="both"/>
        <w:rPr>
          <w:rFonts w:ascii="Arial" w:hAnsi="Arial" w:cs="Arial"/>
          <w:lang w:val="es-CO"/>
        </w:rPr>
      </w:pPr>
    </w:p>
    <w:p w14:paraId="2C9DF9A2" w14:textId="73F05CCC" w:rsidR="00120ED5" w:rsidRPr="00277113" w:rsidRDefault="00120ED5" w:rsidP="00851126">
      <w:pPr>
        <w:spacing w:line="276" w:lineRule="auto"/>
        <w:ind w:firstLine="709"/>
        <w:jc w:val="both"/>
        <w:rPr>
          <w:rFonts w:ascii="Arial" w:eastAsia="Calibri" w:hAnsi="Arial" w:cs="Arial"/>
          <w:b/>
          <w:bCs/>
          <w:lang w:val="es-CO" w:eastAsia="en-GB"/>
        </w:rPr>
      </w:pPr>
      <w:r w:rsidRPr="00277113">
        <w:rPr>
          <w:rFonts w:ascii="Arial" w:hAnsi="Arial" w:cs="Arial"/>
          <w:lang w:val="es-CO"/>
        </w:rPr>
        <w:lastRenderedPageBreak/>
        <w:t xml:space="preserve">Por su parte, el artículo 91 de la Ley 1474 de 2011 consagra una regla especial para el manejo del anticipo. Según esta disposición, el contratista tiene la obligación de constituir una fiducia o un patrimonio autónomo irrevocable para el manejo de los recursos que reciba a título de anticipo, cuando se pacte en contratos de obra, concesión, salud, o en todos aquellos que se realicen por licitación pública, </w:t>
      </w:r>
      <w:r w:rsidR="00CB69FF" w:rsidRPr="00277113">
        <w:rPr>
          <w:rFonts w:ascii="Arial" w:hAnsi="Arial" w:cs="Arial"/>
          <w:lang w:val="es-CO"/>
        </w:rPr>
        <w:t>“</w:t>
      </w:r>
      <w:r w:rsidRPr="00277113">
        <w:rPr>
          <w:rFonts w:ascii="Arial" w:hAnsi="Arial" w:cs="Arial"/>
          <w:lang w:val="es-CO"/>
        </w:rPr>
        <w:t>salvo que el contrato sea de menor o mínima cuantía</w:t>
      </w:r>
      <w:r w:rsidR="00CB69FF" w:rsidRPr="00277113">
        <w:rPr>
          <w:rFonts w:ascii="Arial" w:hAnsi="Arial" w:cs="Arial"/>
          <w:lang w:val="es-CO"/>
        </w:rPr>
        <w:t>”</w:t>
      </w:r>
      <w:r w:rsidRPr="00277113">
        <w:rPr>
          <w:rFonts w:ascii="Arial" w:hAnsi="Arial" w:cs="Arial"/>
          <w:lang w:val="es-CO"/>
        </w:rPr>
        <w:t>. Lo anterior, con el fin de garantizar que se destinen exclusivamente a la ejecución del contrato.</w:t>
      </w:r>
    </w:p>
    <w:p w14:paraId="437E8296" w14:textId="23EC2F05" w:rsidR="00120ED5" w:rsidRPr="00277113" w:rsidRDefault="00120ED5" w:rsidP="00851126">
      <w:pPr>
        <w:tabs>
          <w:tab w:val="left" w:pos="0"/>
        </w:tabs>
        <w:spacing w:before="120" w:line="276" w:lineRule="auto"/>
        <w:ind w:firstLine="709"/>
        <w:jc w:val="both"/>
        <w:rPr>
          <w:rFonts w:ascii="Arial" w:hAnsi="Arial" w:cs="Arial"/>
          <w:vertAlign w:val="superscript"/>
          <w:lang w:val="es-CO"/>
        </w:rPr>
      </w:pPr>
      <w:r w:rsidRPr="00277113">
        <w:rPr>
          <w:rFonts w:ascii="Arial" w:hAnsi="Arial" w:cs="Arial"/>
          <w:lang w:val="es-CO"/>
        </w:rPr>
        <w:t>Aunque las normas citadas no definen el anticipo, el Consejo de Estado ha precisado su naturaleza jurídica fijando parámetros para su aplicación</w:t>
      </w:r>
      <w:r w:rsidRPr="00277113">
        <w:rPr>
          <w:rFonts w:ascii="Arial" w:hAnsi="Arial" w:cs="Arial"/>
          <w:vertAlign w:val="superscript"/>
        </w:rPr>
        <w:footnoteReference w:id="3"/>
      </w:r>
      <w:r w:rsidRPr="00277113">
        <w:rPr>
          <w:rFonts w:ascii="Arial" w:hAnsi="Arial" w:cs="Arial"/>
          <w:lang w:val="es-CO"/>
        </w:rPr>
        <w:t xml:space="preserve">. En uno de sus pronunciamientos más recientes, el Consejo de Estado se refirió al anticipo como </w:t>
      </w:r>
      <w:r w:rsidR="004C0C3F" w:rsidRPr="00277113">
        <w:rPr>
          <w:rFonts w:ascii="Arial" w:hAnsi="Arial" w:cs="Arial"/>
          <w:lang w:val="es-CO"/>
        </w:rPr>
        <w:t>“</w:t>
      </w:r>
      <w:r w:rsidRPr="00277113">
        <w:rPr>
          <w:rFonts w:ascii="Arial" w:hAnsi="Arial" w:cs="Arial"/>
          <w:lang w:val="es-CO"/>
        </w:rPr>
        <w:t xml:space="preserve">un recurso o suma correspondiente a un porcentaje del valor total del contrato, pactado como contraprestación, que la </w:t>
      </w:r>
      <w:r w:rsidR="00FC4D20" w:rsidRPr="00277113">
        <w:rPr>
          <w:rFonts w:ascii="Arial" w:hAnsi="Arial" w:cs="Arial"/>
          <w:lang w:val="es-CO"/>
        </w:rPr>
        <w:t>E</w:t>
      </w:r>
      <w:r w:rsidRPr="00277113">
        <w:rPr>
          <w:rFonts w:ascii="Arial" w:hAnsi="Arial" w:cs="Arial"/>
          <w:lang w:val="es-CO"/>
        </w:rPr>
        <w:t>ntidad pública le entrega al contratista para que sea invertida específicamente en la ejecución del contrato y sea manejada generalmente en cuenta separada, con imposición de obligaciones relacionadas con legalización y amortización de la inversión, de suerte que el monto entregado como anticipo no ingresa al patrimonio del contratista sino cuando ha sido debidamente amortizado</w:t>
      </w:r>
      <w:r w:rsidR="004C0C3F" w:rsidRPr="00277113">
        <w:rPr>
          <w:rFonts w:ascii="Arial" w:hAnsi="Arial" w:cs="Arial"/>
          <w:lang w:val="es-CO"/>
        </w:rPr>
        <w:t>”</w:t>
      </w:r>
      <w:r w:rsidRPr="00277113">
        <w:rPr>
          <w:rFonts w:ascii="Arial" w:hAnsi="Arial" w:cs="Arial"/>
          <w:vertAlign w:val="superscript"/>
        </w:rPr>
        <w:footnoteReference w:id="4"/>
      </w:r>
      <w:r w:rsidRPr="00277113">
        <w:rPr>
          <w:rFonts w:ascii="Arial" w:hAnsi="Arial" w:cs="Arial"/>
          <w:lang w:val="es-CO"/>
        </w:rPr>
        <w:t>.</w:t>
      </w:r>
    </w:p>
    <w:p w14:paraId="5ADA9FF0" w14:textId="4D345AB2" w:rsidR="00C774C9" w:rsidRPr="00277113" w:rsidRDefault="00120ED5" w:rsidP="000B74FD">
      <w:pPr>
        <w:spacing w:before="120" w:line="276" w:lineRule="auto"/>
        <w:ind w:firstLine="708"/>
        <w:jc w:val="both"/>
        <w:rPr>
          <w:rFonts w:ascii="Arial" w:hAnsi="Arial" w:cs="Arial"/>
          <w:lang w:val="es-CO"/>
        </w:rPr>
      </w:pPr>
      <w:r w:rsidRPr="00277113">
        <w:rPr>
          <w:rFonts w:ascii="Arial" w:hAnsi="Arial" w:cs="Arial"/>
          <w:lang w:val="es-CO"/>
        </w:rPr>
        <w:t xml:space="preserve">Sobre la calidad de recurso público del anticipo, la jurisprudencia ha reiterado que </w:t>
      </w:r>
      <w:r w:rsidR="00FB6084" w:rsidRPr="00277113">
        <w:rPr>
          <w:rFonts w:ascii="Arial" w:hAnsi="Arial" w:cs="Arial"/>
          <w:lang w:val="es-CO"/>
        </w:rPr>
        <w:t>“</w:t>
      </w:r>
      <w:r w:rsidRPr="00277113">
        <w:rPr>
          <w:rFonts w:ascii="Arial" w:hAnsi="Arial" w:cs="Arial"/>
          <w:lang w:val="es-CO"/>
        </w:rPr>
        <w:t xml:space="preserve">dicho dinero no hace parte del patrimonio del contratista y le pertenece a la </w:t>
      </w:r>
      <w:r w:rsidR="00FB6084" w:rsidRPr="00277113">
        <w:rPr>
          <w:rFonts w:ascii="Arial" w:hAnsi="Arial" w:cs="Arial"/>
          <w:lang w:val="es-CO"/>
        </w:rPr>
        <w:t>E</w:t>
      </w:r>
      <w:r w:rsidRPr="00277113">
        <w:rPr>
          <w:rFonts w:ascii="Arial" w:hAnsi="Arial" w:cs="Arial"/>
          <w:lang w:val="es-CO"/>
        </w:rPr>
        <w:t>ntidad contratante hasta tanto se amortice. De allí se deduce que la función del anticipo en el contrato es, de entrada, financiar las prestaciones del contratista, y hace razonable el amparo del buen manejo y correcta inversión de estos recursos dentro de la garantía única de cumplimiento</w:t>
      </w:r>
      <w:r w:rsidR="00FB6084" w:rsidRPr="00277113">
        <w:rPr>
          <w:rFonts w:ascii="Arial" w:hAnsi="Arial" w:cs="Arial"/>
          <w:lang w:val="es-CO"/>
        </w:rPr>
        <w:t>”</w:t>
      </w:r>
      <w:r w:rsidRPr="00277113">
        <w:rPr>
          <w:rFonts w:ascii="Arial" w:hAnsi="Arial" w:cs="Arial"/>
          <w:vertAlign w:val="superscript"/>
        </w:rPr>
        <w:footnoteReference w:id="5"/>
      </w:r>
      <w:r w:rsidRPr="00277113">
        <w:rPr>
          <w:rFonts w:ascii="Arial" w:hAnsi="Arial" w:cs="Arial"/>
          <w:lang w:val="es-CO"/>
        </w:rPr>
        <w:t>. Igualmente, explica que el anticipo, al facilitar al contratista la financiación de los bienes y servicios que se le han encargado, es un factor determinante para impulsar la ejecución del contrato</w:t>
      </w:r>
      <w:r w:rsidRPr="00277113">
        <w:rPr>
          <w:rFonts w:ascii="Arial" w:hAnsi="Arial" w:cs="Arial"/>
          <w:vertAlign w:val="superscript"/>
        </w:rPr>
        <w:footnoteReference w:id="6"/>
      </w:r>
      <w:r w:rsidRPr="00277113">
        <w:rPr>
          <w:rFonts w:ascii="Arial" w:hAnsi="Arial" w:cs="Arial"/>
          <w:lang w:val="es-CO"/>
        </w:rPr>
        <w:t xml:space="preserve">. Este también es el entendimiento de la doctrina, que ha considerado el anticipo como un dinero entregado al contratista que debe cancelarse </w:t>
      </w:r>
      <w:r w:rsidRPr="00277113">
        <w:rPr>
          <w:rFonts w:ascii="Arial" w:hAnsi="Arial" w:cs="Arial"/>
          <w:lang w:val="es-CO"/>
        </w:rPr>
        <w:lastRenderedPageBreak/>
        <w:t>mediante descuentos parciales, siendo una práctica común que permite impulsar la ejecución del contrato</w:t>
      </w:r>
      <w:r w:rsidRPr="00277113">
        <w:rPr>
          <w:rFonts w:ascii="Arial" w:hAnsi="Arial" w:cs="Arial"/>
          <w:vertAlign w:val="superscript"/>
        </w:rPr>
        <w:footnoteReference w:id="7"/>
      </w:r>
      <w:r w:rsidR="005C4FB3">
        <w:rPr>
          <w:rFonts w:ascii="Arial" w:hAnsi="Arial" w:cs="Arial"/>
          <w:lang w:val="es-CO"/>
        </w:rPr>
        <w:t xml:space="preserve">. </w:t>
      </w:r>
    </w:p>
    <w:p w14:paraId="449AE3A4" w14:textId="31858B46" w:rsidR="00EF3E2C" w:rsidRPr="00277113" w:rsidRDefault="000B74FD" w:rsidP="00851126">
      <w:pPr>
        <w:spacing w:before="120" w:line="276" w:lineRule="auto"/>
        <w:ind w:firstLine="708"/>
        <w:jc w:val="both"/>
        <w:rPr>
          <w:rFonts w:ascii="Arial" w:hAnsi="Arial" w:cs="Arial"/>
          <w:lang w:val="es-CO"/>
        </w:rPr>
      </w:pPr>
      <w:r>
        <w:rPr>
          <w:rFonts w:ascii="Arial" w:hAnsi="Arial" w:cs="Arial"/>
          <w:lang w:val="es-CO"/>
        </w:rPr>
        <w:t>A</w:t>
      </w:r>
      <w:r w:rsidR="00120ED5" w:rsidRPr="00277113">
        <w:rPr>
          <w:rFonts w:ascii="Arial" w:hAnsi="Arial" w:cs="Arial"/>
          <w:lang w:val="es-CO"/>
        </w:rPr>
        <w:t>sí, de acuerdo con las consideraciones de la jurisprudencia y la doctrina, el anticipo es aquella suma de dinero entregada al contratista con la finalidad de apalancarlo financieramente para solventar los costos de la ejecución del contrato. Este dinero debe amortizarse de acuerdo con el avance en la ejecución. De esta forma, los recursos entregados a título de anticipo son del erario, razón por la que debe garantizarse su buen manejo y correcta inversión.</w:t>
      </w:r>
    </w:p>
    <w:p w14:paraId="70778C59" w14:textId="38342C79" w:rsidR="00120ED5" w:rsidRPr="00277113" w:rsidRDefault="00120ED5" w:rsidP="00851126">
      <w:pPr>
        <w:spacing w:before="120" w:line="276" w:lineRule="auto"/>
        <w:ind w:firstLine="708"/>
        <w:jc w:val="both"/>
        <w:rPr>
          <w:rFonts w:ascii="Arial" w:hAnsi="Arial" w:cs="Arial"/>
          <w:lang w:val="es-CO"/>
        </w:rPr>
      </w:pPr>
      <w:r w:rsidRPr="00277113">
        <w:rPr>
          <w:rFonts w:ascii="Arial" w:hAnsi="Arial" w:cs="Arial"/>
          <w:lang w:val="es-CO"/>
        </w:rPr>
        <w:t xml:space="preserve">Como característica esencial del anticipo, derivada del artículo 40 de la Ley 80 de 1993, el pacto proviene de la autonomía de la voluntad de las partes. De allí que se generen una serie de derechos y obligaciones recíprocos entre ellas. Por un lado, el contratante tiene la obligación de entregar el valor pactado como anticipo y el derecho a que los recursos sean empleados en la forma estipulada. Por otro lado, el contratista tiene derecho a recibir dicho anticipo y la obligación de destinarlo a la ejecución del contrato. De esta manera, el Consejo de Estado explica lo siguiente: </w:t>
      </w:r>
    </w:p>
    <w:p w14:paraId="400B0D4B" w14:textId="77777777" w:rsidR="00EF3E2C" w:rsidRPr="00277113" w:rsidRDefault="00EF3E2C" w:rsidP="00EF3E2C">
      <w:pPr>
        <w:spacing w:before="120" w:line="240" w:lineRule="auto"/>
        <w:ind w:firstLine="709"/>
        <w:jc w:val="both"/>
        <w:rPr>
          <w:rFonts w:ascii="Arial" w:hAnsi="Arial" w:cs="Arial"/>
          <w:lang w:val="es-CO"/>
        </w:rPr>
      </w:pPr>
    </w:p>
    <w:p w14:paraId="3550341C" w14:textId="0CB1683C" w:rsidR="00120ED5" w:rsidRPr="00277113" w:rsidRDefault="009779E1" w:rsidP="00EF3E2C">
      <w:pPr>
        <w:spacing w:line="240" w:lineRule="auto"/>
        <w:ind w:left="709" w:right="709"/>
        <w:jc w:val="both"/>
        <w:rPr>
          <w:rFonts w:ascii="Arial" w:hAnsi="Arial" w:cs="Arial"/>
          <w:lang w:val="es-CO"/>
        </w:rPr>
      </w:pPr>
      <w:r>
        <w:rPr>
          <w:rFonts w:ascii="Arial" w:hAnsi="Arial" w:cs="Arial"/>
          <w:lang w:val="es-CO"/>
        </w:rPr>
        <w:t>“</w:t>
      </w:r>
      <w:r w:rsidR="00120ED5" w:rsidRPr="00277113">
        <w:rPr>
          <w:rFonts w:ascii="Arial" w:hAnsi="Arial" w:cs="Arial"/>
          <w:sz w:val="21"/>
          <w:szCs w:val="21"/>
          <w:lang w:val="es-CO"/>
        </w:rPr>
        <w:t xml:space="preserve">[…] En una primera instancia es obligación del contratante y derecho del contratista, de entregar y recibir - previa constitución de la garantía -, respectivamente, una suma determinada de dinero, con cargo a los recursos del contrato, con el objeto financiar al contratista en las prestaciones a su cargo (adquisición de bienes, servicios, obras </w:t>
      </w:r>
      <w:proofErr w:type="spellStart"/>
      <w:r w:rsidR="00120ED5" w:rsidRPr="00277113">
        <w:rPr>
          <w:rFonts w:ascii="Arial" w:hAnsi="Arial" w:cs="Arial"/>
          <w:sz w:val="21"/>
          <w:szCs w:val="21"/>
          <w:lang w:val="es-CO"/>
        </w:rPr>
        <w:t>etc</w:t>
      </w:r>
      <w:proofErr w:type="spellEnd"/>
      <w:r w:rsidR="00120ED5" w:rsidRPr="00277113">
        <w:rPr>
          <w:rFonts w:ascii="Arial" w:hAnsi="Arial" w:cs="Arial"/>
          <w:sz w:val="21"/>
          <w:szCs w:val="21"/>
          <w:lang w:val="es-CO"/>
        </w:rPr>
        <w:t>). En segunda instancia el anticipo, en su resultado, constituye una obligación del contratista y un derecho del contratante, en los siguientes aspectos: -De inversión en los objetos determinados en el contrato y de pago por amortización, por parte del contratista. -De recibir, por amortización, y/o hacer efectiva la garantía de anticipo, o de cumplimiento, según el Estatuto de Contratación vigente, por parte del contratante</w:t>
      </w:r>
      <w:r w:rsidR="00120ED5" w:rsidRPr="00277113">
        <w:rPr>
          <w:rFonts w:ascii="Arial" w:hAnsi="Arial" w:cs="Arial"/>
          <w:b/>
          <w:bCs/>
          <w:sz w:val="21"/>
          <w:szCs w:val="21"/>
          <w:lang w:val="es-CO"/>
        </w:rPr>
        <w:t xml:space="preserve">, </w:t>
      </w:r>
      <w:r w:rsidR="00120ED5" w:rsidRPr="00277113">
        <w:rPr>
          <w:rFonts w:ascii="Arial" w:hAnsi="Arial" w:cs="Arial"/>
          <w:sz w:val="21"/>
          <w:szCs w:val="21"/>
          <w:lang w:val="es-CO"/>
        </w:rPr>
        <w:t xml:space="preserve">por hechos del contratista que impliquen mal manejo o incorrecta inversión de los dineros de propiedad pública. Las partes contratantes, acuerdan además en el contrato, las condiciones de efectividad, la proporción con el valor </w:t>
      </w:r>
      <w:r w:rsidR="00120ED5" w:rsidRPr="00277113">
        <w:rPr>
          <w:rFonts w:ascii="Arial" w:hAnsi="Arial" w:cs="Arial"/>
          <w:sz w:val="21"/>
          <w:szCs w:val="21"/>
          <w:lang w:val="es-CO"/>
        </w:rPr>
        <w:lastRenderedPageBreak/>
        <w:t>del contrato, la oportunidad en que debe entregarse, la vigilancia Estatal sobre las sumas y las amortizaciones.</w:t>
      </w:r>
      <w:r>
        <w:rPr>
          <w:rFonts w:ascii="Arial" w:hAnsi="Arial" w:cs="Arial"/>
          <w:lang w:val="es-CO"/>
        </w:rPr>
        <w:t>”</w:t>
      </w:r>
      <w:r w:rsidR="00120ED5" w:rsidRPr="00277113">
        <w:rPr>
          <w:rFonts w:ascii="Arial" w:hAnsi="Arial" w:cs="Arial"/>
          <w:sz w:val="21"/>
          <w:szCs w:val="21"/>
          <w:vertAlign w:val="superscript"/>
        </w:rPr>
        <w:footnoteReference w:id="8"/>
      </w:r>
    </w:p>
    <w:p w14:paraId="6B9B759E" w14:textId="77777777" w:rsidR="00EF3E2C" w:rsidRPr="00277113" w:rsidRDefault="00EF3E2C" w:rsidP="00EF3E2C">
      <w:pPr>
        <w:spacing w:line="240" w:lineRule="auto"/>
        <w:ind w:left="709" w:right="709"/>
        <w:jc w:val="both"/>
        <w:rPr>
          <w:rFonts w:ascii="Arial" w:hAnsi="Arial" w:cs="Arial"/>
          <w:sz w:val="21"/>
          <w:szCs w:val="21"/>
          <w:lang w:val="es-CO"/>
        </w:rPr>
      </w:pPr>
    </w:p>
    <w:p w14:paraId="60EBE0B9" w14:textId="3E78FAC5" w:rsidR="00120ED5" w:rsidRPr="00277113" w:rsidRDefault="00120ED5" w:rsidP="00851126">
      <w:pPr>
        <w:tabs>
          <w:tab w:val="left" w:pos="0"/>
        </w:tabs>
        <w:spacing w:line="276" w:lineRule="auto"/>
        <w:ind w:firstLine="709"/>
        <w:jc w:val="both"/>
        <w:rPr>
          <w:rFonts w:ascii="Arial" w:hAnsi="Arial" w:cs="Arial"/>
          <w:lang w:val="es-CO"/>
        </w:rPr>
      </w:pPr>
      <w:r w:rsidRPr="00277113">
        <w:rPr>
          <w:rFonts w:ascii="Arial" w:hAnsi="Arial" w:cs="Arial"/>
          <w:lang w:val="es-CO"/>
        </w:rPr>
        <w:t xml:space="preserve">Las </w:t>
      </w:r>
      <w:r w:rsidR="00F27874" w:rsidRPr="00277113">
        <w:rPr>
          <w:rFonts w:ascii="Arial" w:hAnsi="Arial" w:cs="Arial"/>
          <w:lang w:val="es-CO"/>
        </w:rPr>
        <w:t>E</w:t>
      </w:r>
      <w:r w:rsidRPr="00277113">
        <w:rPr>
          <w:rFonts w:ascii="Arial" w:hAnsi="Arial" w:cs="Arial"/>
          <w:lang w:val="es-CO"/>
        </w:rPr>
        <w:t xml:space="preserve">ntidades estatales tienen la facultad de pactar la entrega de anticipos en los contratos que celebren. Para ello, deberán realizar el estudio correspondiente con el fin de determinar la conveniencia de otorgar recursos al contratista bajo esa denominación. De este modo, las </w:t>
      </w:r>
      <w:r w:rsidR="004F3C81" w:rsidRPr="00277113">
        <w:rPr>
          <w:rFonts w:ascii="Arial" w:hAnsi="Arial" w:cs="Arial"/>
          <w:lang w:val="es-CO"/>
        </w:rPr>
        <w:t>E</w:t>
      </w:r>
      <w:r w:rsidRPr="00277113">
        <w:rPr>
          <w:rFonts w:ascii="Arial" w:hAnsi="Arial" w:cs="Arial"/>
          <w:lang w:val="es-CO"/>
        </w:rPr>
        <w:t>ntidades podrán determinar las condiciones de entrega, el monto –que no podrá ser superior al cincuenta por ciento (50%) del valor del contrato–, el plazo de amortización, las condiciones necesarias para su exigibilidad, así como todas las obligaciones para su correcta inversión.</w:t>
      </w:r>
    </w:p>
    <w:p w14:paraId="35436C14" w14:textId="77777777" w:rsidR="007B2C3A" w:rsidRPr="00277113" w:rsidRDefault="00120ED5" w:rsidP="00851126">
      <w:pPr>
        <w:tabs>
          <w:tab w:val="left" w:pos="0"/>
        </w:tabs>
        <w:spacing w:before="120" w:line="276" w:lineRule="auto"/>
        <w:ind w:firstLine="709"/>
        <w:jc w:val="both"/>
        <w:rPr>
          <w:rFonts w:ascii="Arial" w:hAnsi="Arial" w:cs="Arial"/>
          <w:lang w:val="es-CO"/>
        </w:rPr>
      </w:pPr>
      <w:r w:rsidRPr="00277113">
        <w:rPr>
          <w:rFonts w:ascii="Arial" w:hAnsi="Arial" w:cs="Arial"/>
          <w:lang w:val="es-CO"/>
        </w:rPr>
        <w:t xml:space="preserve">Adicionalmente, el parágrafo del artículo 40 de la Ley 80 de 1993 no restringe el tipo de contratos estatales en los cuales es posible el ejercicio de esta facultad. Es decir, no limita la posibilidad de pactar anticipo dependiendo de la tipología contractual o la modalidad de selección del contratista. De hecho, el Estatuto General de Contratación de la Administración Pública dispone como única limitación el valor máximo que puede desembolsar la </w:t>
      </w:r>
      <w:r w:rsidR="004F3C81" w:rsidRPr="00277113">
        <w:rPr>
          <w:rFonts w:ascii="Arial" w:hAnsi="Arial" w:cs="Arial"/>
          <w:lang w:val="es-CO"/>
        </w:rPr>
        <w:t>E</w:t>
      </w:r>
      <w:r w:rsidRPr="00277113">
        <w:rPr>
          <w:rFonts w:ascii="Arial" w:hAnsi="Arial" w:cs="Arial"/>
          <w:lang w:val="es-CO"/>
        </w:rPr>
        <w:t xml:space="preserve">ntidad para pactar el anticipo. </w:t>
      </w:r>
    </w:p>
    <w:p w14:paraId="4C9D4E67" w14:textId="336310F7" w:rsidR="000A4FAD" w:rsidRDefault="00120ED5" w:rsidP="00121F9D">
      <w:pPr>
        <w:tabs>
          <w:tab w:val="left" w:pos="0"/>
        </w:tabs>
        <w:spacing w:before="120" w:line="276" w:lineRule="auto"/>
        <w:ind w:firstLine="709"/>
        <w:jc w:val="both"/>
        <w:rPr>
          <w:rFonts w:ascii="Arial" w:hAnsi="Arial" w:cs="Arial"/>
          <w:lang w:val="es-CO"/>
        </w:rPr>
      </w:pPr>
      <w:r w:rsidRPr="00277113">
        <w:rPr>
          <w:rFonts w:ascii="Arial" w:hAnsi="Arial" w:cs="Arial"/>
          <w:lang w:val="es-CO"/>
        </w:rPr>
        <w:t xml:space="preserve">Del análisis realizado se desprende que los recursos entregados al contratista en calidad de anticipo son recursos públicos. Por tanto, corresponde a la </w:t>
      </w:r>
      <w:r w:rsidR="00BE244D" w:rsidRPr="00277113">
        <w:rPr>
          <w:rFonts w:ascii="Arial" w:hAnsi="Arial" w:cs="Arial"/>
          <w:lang w:val="es-CO"/>
        </w:rPr>
        <w:t>E</w:t>
      </w:r>
      <w:r w:rsidRPr="00277113">
        <w:rPr>
          <w:rFonts w:ascii="Arial" w:hAnsi="Arial" w:cs="Arial"/>
          <w:lang w:val="es-CO"/>
        </w:rPr>
        <w:t xml:space="preserve">ntidad adoptar las medidas necesarias y razonables para asegurar la correcta inversión de los dineros entregados, las cuales deberán reflejarse en el contrato celebrado. En consecuencia, deberán constituir la garantía única de cumplimiento e incluir el amparo previsto en el artículo 2.2.1.2.3.1.7 del Decreto 1082 de 2015. Este amparo establece tres circunstancias que deben ser objeto de cobertura: i) la no inversión del anticipo; </w:t>
      </w:r>
      <w:proofErr w:type="spellStart"/>
      <w:r w:rsidRPr="00277113">
        <w:rPr>
          <w:rFonts w:ascii="Arial" w:hAnsi="Arial" w:cs="Arial"/>
          <w:lang w:val="es-CO"/>
        </w:rPr>
        <w:t>ii</w:t>
      </w:r>
      <w:proofErr w:type="spellEnd"/>
      <w:r w:rsidRPr="00277113">
        <w:rPr>
          <w:rFonts w:ascii="Arial" w:hAnsi="Arial" w:cs="Arial"/>
          <w:lang w:val="es-CO"/>
        </w:rPr>
        <w:t xml:space="preserve">) el uso indebido del anticipo; y </w:t>
      </w:r>
      <w:proofErr w:type="spellStart"/>
      <w:r w:rsidRPr="00277113">
        <w:rPr>
          <w:rFonts w:ascii="Arial" w:hAnsi="Arial" w:cs="Arial"/>
          <w:lang w:val="es-CO"/>
        </w:rPr>
        <w:t>iii</w:t>
      </w:r>
      <w:proofErr w:type="spellEnd"/>
      <w:r w:rsidRPr="00277113">
        <w:rPr>
          <w:rFonts w:ascii="Arial" w:hAnsi="Arial" w:cs="Arial"/>
          <w:lang w:val="es-CO"/>
        </w:rPr>
        <w:t>) la apropiación indebida de los recursos recibidos en calidad de anticipo</w:t>
      </w:r>
      <w:r w:rsidRPr="00277113">
        <w:rPr>
          <w:rFonts w:ascii="Arial" w:hAnsi="Arial" w:cs="Arial"/>
          <w:vertAlign w:val="superscript"/>
        </w:rPr>
        <w:footnoteReference w:id="9"/>
      </w:r>
      <w:r w:rsidRPr="00277113">
        <w:rPr>
          <w:rFonts w:ascii="Arial" w:hAnsi="Arial" w:cs="Arial"/>
          <w:lang w:val="es-CO"/>
        </w:rPr>
        <w:t xml:space="preserve">. </w:t>
      </w:r>
    </w:p>
    <w:p w14:paraId="322ED03D" w14:textId="77777777" w:rsidR="007B2C3A" w:rsidRPr="00277113" w:rsidRDefault="007B2C3A" w:rsidP="00B3509B">
      <w:pPr>
        <w:spacing w:line="240" w:lineRule="auto"/>
        <w:jc w:val="both"/>
        <w:rPr>
          <w:rFonts w:ascii="Arial" w:hAnsi="Arial" w:cs="Arial"/>
          <w:lang w:val="es-CO"/>
        </w:rPr>
      </w:pPr>
    </w:p>
    <w:p w14:paraId="14F84138" w14:textId="0176D36B" w:rsidR="000A4FAD" w:rsidRPr="00316089" w:rsidRDefault="000A4FAD" w:rsidP="00316089">
      <w:pPr>
        <w:spacing w:line="276" w:lineRule="auto"/>
        <w:jc w:val="both"/>
        <w:rPr>
          <w:rFonts w:ascii="Arial" w:eastAsia="Calibri" w:hAnsi="Arial" w:cs="Arial"/>
          <w:b/>
          <w:lang w:val="es-ES_tradnl"/>
        </w:rPr>
      </w:pPr>
      <w:r w:rsidRPr="00277113">
        <w:rPr>
          <w:rFonts w:ascii="Arial" w:eastAsia="Calibri" w:hAnsi="Arial" w:cs="Arial"/>
          <w:b/>
          <w:lang w:val="es-ES_tradnl"/>
        </w:rPr>
        <w:t xml:space="preserve">2.2. </w:t>
      </w:r>
      <w:r w:rsidR="00491966">
        <w:rPr>
          <w:rFonts w:ascii="Arial" w:eastAsia="Calibri" w:hAnsi="Arial" w:cs="Arial"/>
          <w:b/>
          <w:lang w:val="es-ES_tradnl"/>
        </w:rPr>
        <w:t xml:space="preserve">Régimen jurídico </w:t>
      </w:r>
      <w:r w:rsidR="00917E90">
        <w:rPr>
          <w:rFonts w:ascii="Arial" w:eastAsia="Calibri" w:hAnsi="Arial" w:cs="Arial"/>
          <w:b/>
          <w:lang w:val="es-ES_tradnl"/>
        </w:rPr>
        <w:t>aplicable a la c</w:t>
      </w:r>
      <w:r w:rsidRPr="00277113">
        <w:rPr>
          <w:rFonts w:ascii="Arial" w:eastAsia="Calibri" w:hAnsi="Arial" w:cs="Arial"/>
          <w:b/>
          <w:lang w:val="es-ES_tradnl"/>
        </w:rPr>
        <w:t xml:space="preserve">ontratación con </w:t>
      </w:r>
      <w:r w:rsidR="002B15E6">
        <w:rPr>
          <w:rFonts w:ascii="Arial" w:eastAsia="Calibri" w:hAnsi="Arial" w:cs="Arial"/>
          <w:b/>
          <w:lang w:val="es-ES_tradnl"/>
        </w:rPr>
        <w:t>entidades sin ánimo de lucro</w:t>
      </w:r>
      <w:r w:rsidRPr="00277113">
        <w:rPr>
          <w:rFonts w:ascii="Arial" w:eastAsia="Calibri" w:hAnsi="Arial" w:cs="Arial"/>
          <w:b/>
          <w:lang w:val="es-ES_tradnl"/>
        </w:rPr>
        <w:t>.</w:t>
      </w:r>
      <w:r w:rsidR="00917E90">
        <w:rPr>
          <w:rFonts w:ascii="Arial" w:eastAsia="Calibri" w:hAnsi="Arial" w:cs="Arial"/>
          <w:b/>
          <w:lang w:val="es-ES_tradnl"/>
        </w:rPr>
        <w:t xml:space="preserve"> Aplicabilidad de</w:t>
      </w:r>
      <w:r w:rsidR="00330EB9">
        <w:rPr>
          <w:rFonts w:ascii="Arial" w:eastAsia="Calibri" w:hAnsi="Arial" w:cs="Arial"/>
          <w:b/>
          <w:lang w:val="es-ES_tradnl"/>
        </w:rPr>
        <w:t xml:space="preserve"> las disposiciones del Estatuto General de Contratación de la Administración Pública</w:t>
      </w:r>
      <w:r w:rsidR="009305B6">
        <w:rPr>
          <w:rFonts w:ascii="Arial" w:eastAsia="Calibri" w:hAnsi="Arial" w:cs="Arial"/>
          <w:b/>
          <w:lang w:val="es-ES_tradnl"/>
        </w:rPr>
        <w:t xml:space="preserve"> sobre el manejo de anticipos.</w:t>
      </w:r>
      <w:r w:rsidR="00917E90">
        <w:rPr>
          <w:rFonts w:ascii="Arial" w:eastAsia="Calibri" w:hAnsi="Arial" w:cs="Arial"/>
          <w:b/>
          <w:lang w:val="es-ES_tradnl"/>
        </w:rPr>
        <w:t xml:space="preserve"> </w:t>
      </w:r>
    </w:p>
    <w:p w14:paraId="7FBBDC8B" w14:textId="77777777" w:rsidR="007B2C3A" w:rsidRPr="00277113" w:rsidRDefault="007B2C3A" w:rsidP="007B2C3A">
      <w:pPr>
        <w:spacing w:line="240" w:lineRule="auto"/>
        <w:jc w:val="both"/>
        <w:rPr>
          <w:rFonts w:ascii="Arial" w:eastAsia="Calibri" w:hAnsi="Arial" w:cs="Arial"/>
          <w:b/>
          <w:i/>
          <w:iCs/>
          <w:lang w:val="es-ES_tradnl"/>
        </w:rPr>
      </w:pPr>
    </w:p>
    <w:p w14:paraId="5723A4E8" w14:textId="77777777" w:rsidR="007B2C3A" w:rsidRPr="00277113" w:rsidRDefault="00B21225" w:rsidP="00316089">
      <w:pPr>
        <w:spacing w:after="120" w:line="276" w:lineRule="auto"/>
        <w:jc w:val="both"/>
        <w:rPr>
          <w:rFonts w:ascii="Arial" w:eastAsia="Calibri" w:hAnsi="Arial" w:cs="Arial"/>
          <w:lang w:val="es-MX"/>
        </w:rPr>
      </w:pPr>
      <w:r w:rsidRPr="00277113">
        <w:rPr>
          <w:rFonts w:ascii="Arial" w:eastAsia="Calibri" w:hAnsi="Arial" w:cs="Arial"/>
          <w:lang w:val="es-MX"/>
        </w:rPr>
        <w:t xml:space="preserve">El artículo 355 de la Constitución Política prohíbe a las ramas y órganos del poder público decretar auxilios o donaciones en favor de personas naturales o jurídicas. Igualmente, establece que las </w:t>
      </w:r>
      <w:r w:rsidR="003862E6" w:rsidRPr="00277113">
        <w:rPr>
          <w:rFonts w:ascii="Arial" w:eastAsia="Calibri" w:hAnsi="Arial" w:cs="Arial"/>
          <w:lang w:val="es-MX"/>
        </w:rPr>
        <w:t>E</w:t>
      </w:r>
      <w:r w:rsidRPr="00277113">
        <w:rPr>
          <w:rFonts w:ascii="Arial" w:eastAsia="Calibri" w:hAnsi="Arial" w:cs="Arial"/>
          <w:lang w:val="es-MX"/>
        </w:rPr>
        <w:t>ntidades del orden nacional, departamental, distrital y municipal podrán, con sus propios recursos, contratar con entidades privadas sin ánimo de lucro –ESAL– con el fin de impulsar programas y actividades de interés público acordes con el plan nacional y los planes seccionales de desarrollo</w:t>
      </w:r>
      <w:r w:rsidRPr="00277113">
        <w:rPr>
          <w:rFonts w:ascii="Arial" w:eastAsia="Calibri" w:hAnsi="Arial" w:cs="Arial"/>
          <w:vertAlign w:val="superscript"/>
          <w:lang w:val="es-MX"/>
        </w:rPr>
        <w:footnoteReference w:id="10"/>
      </w:r>
      <w:r w:rsidRPr="00277113">
        <w:rPr>
          <w:rFonts w:ascii="Arial" w:eastAsia="Calibri" w:hAnsi="Arial" w:cs="Arial"/>
          <w:lang w:val="es-MX"/>
        </w:rPr>
        <w:t>. Por otra parte, la Ley 489 de 1998, en el artículo 96, permite a las entidades públicas en general, es decir, cualquiera sea su naturaleza y orden administrativo, asociarse con personas jurídicas particulares, mediante la celebración de convenios de asociación o la creación de personas jurídicas</w:t>
      </w:r>
      <w:r w:rsidRPr="00277113">
        <w:rPr>
          <w:rFonts w:ascii="Arial" w:eastAsia="Calibri" w:hAnsi="Arial" w:cs="Arial"/>
          <w:vertAlign w:val="superscript"/>
          <w:lang w:val="es-MX"/>
        </w:rPr>
        <w:footnoteReference w:id="11"/>
      </w:r>
      <w:r w:rsidRPr="00277113">
        <w:rPr>
          <w:rFonts w:ascii="Arial" w:eastAsia="Calibri" w:hAnsi="Arial" w:cs="Arial"/>
          <w:lang w:val="es-MX"/>
        </w:rPr>
        <w:t>. Ambas figuras tienen como fin desarrollar conjuntamente actividades relacionadas con los cometidos y funciones legales asignadas a la entidad.</w:t>
      </w:r>
    </w:p>
    <w:p w14:paraId="5520353C" w14:textId="69DE51B7" w:rsidR="00830971" w:rsidRPr="00830971" w:rsidRDefault="00B21225" w:rsidP="00830971">
      <w:pPr>
        <w:spacing w:after="120" w:line="276" w:lineRule="auto"/>
        <w:ind w:firstLine="708"/>
        <w:jc w:val="both"/>
        <w:rPr>
          <w:rFonts w:ascii="Arial" w:eastAsia="Calibri" w:hAnsi="Arial" w:cs="Arial"/>
          <w:color w:val="000000"/>
          <w:lang w:val="es-MX"/>
        </w:rPr>
      </w:pPr>
      <w:r w:rsidRPr="00830971">
        <w:rPr>
          <w:rFonts w:ascii="Arial" w:eastAsia="Calibri" w:hAnsi="Arial" w:cs="Arial"/>
          <w:lang w:val="es-MX"/>
        </w:rPr>
        <w:t xml:space="preserve">En desarrollo del artículo 355 de la Constitución, el Gobierno Nacional expidió el Decreto 92 de 2017, que dispone las reglas para las contrataciones que realicen las entidades estatales con las ESAL. El Decreto regula dos eventos: i) los </w:t>
      </w:r>
      <w:r w:rsidRPr="00830971">
        <w:rPr>
          <w:rFonts w:ascii="Arial" w:eastAsia="Calibri" w:hAnsi="Arial" w:cs="Arial"/>
          <w:i/>
          <w:iCs/>
          <w:lang w:val="es-MX"/>
        </w:rPr>
        <w:t>contratos de colaboración</w:t>
      </w:r>
      <w:r w:rsidRPr="00830971">
        <w:rPr>
          <w:rFonts w:ascii="Arial" w:eastAsia="Calibri" w:hAnsi="Arial" w:cs="Arial"/>
          <w:lang w:val="es-MX"/>
        </w:rPr>
        <w:t xml:space="preserve"> o de interés público, con el fin impulsar programas y actividades de interés público de acuerdo con el Plan Nacional o los planes seccionales de desarrollo, en los términos del artículo 355 de la Constitución Política; y </w:t>
      </w:r>
      <w:proofErr w:type="spellStart"/>
      <w:r w:rsidRPr="00830971">
        <w:rPr>
          <w:rFonts w:ascii="Arial" w:eastAsia="Calibri" w:hAnsi="Arial" w:cs="Arial"/>
          <w:lang w:val="es-MX"/>
        </w:rPr>
        <w:t>ii</w:t>
      </w:r>
      <w:proofErr w:type="spellEnd"/>
      <w:r w:rsidRPr="00830971">
        <w:rPr>
          <w:rFonts w:ascii="Arial" w:eastAsia="Calibri" w:hAnsi="Arial" w:cs="Arial"/>
          <w:lang w:val="es-MX"/>
        </w:rPr>
        <w:t xml:space="preserve">) los </w:t>
      </w:r>
      <w:r w:rsidRPr="00830971">
        <w:rPr>
          <w:rFonts w:ascii="Arial" w:eastAsia="Calibri" w:hAnsi="Arial" w:cs="Arial"/>
          <w:i/>
          <w:iCs/>
          <w:lang w:val="es-MX"/>
        </w:rPr>
        <w:t>convenios de asociación</w:t>
      </w:r>
      <w:r w:rsidRPr="00830971">
        <w:rPr>
          <w:rFonts w:ascii="Arial" w:eastAsia="Calibri" w:hAnsi="Arial" w:cs="Arial"/>
          <w:lang w:val="es-MX"/>
        </w:rPr>
        <w:t xml:space="preserve">, para el desarrollo conjunto de actividades relacionadas con las funciones de las </w:t>
      </w:r>
      <w:r w:rsidR="00F15F8F" w:rsidRPr="00830971">
        <w:rPr>
          <w:rFonts w:ascii="Arial" w:eastAsia="Calibri" w:hAnsi="Arial" w:cs="Arial"/>
          <w:lang w:val="es-MX"/>
        </w:rPr>
        <w:t>E</w:t>
      </w:r>
      <w:r w:rsidRPr="00830971">
        <w:rPr>
          <w:rFonts w:ascii="Arial" w:eastAsia="Calibri" w:hAnsi="Arial" w:cs="Arial"/>
          <w:lang w:val="es-MX"/>
        </w:rPr>
        <w:t xml:space="preserve">ntidades estatales, en desarrollo del artículo 96 de la Ley 489 de 1998. Los primeros están regulados en el artículo 2 del Decreto 92 de 2017, mientras que los segundos en los artículos 5, 6, 7 y 8 </w:t>
      </w:r>
      <w:r w:rsidRPr="00830971">
        <w:rPr>
          <w:rFonts w:ascii="Arial" w:eastAsia="Calibri" w:hAnsi="Arial" w:cs="Arial"/>
          <w:i/>
          <w:iCs/>
          <w:lang w:val="es-MX"/>
        </w:rPr>
        <w:t>ibidem</w:t>
      </w:r>
      <w:r w:rsidR="00CC3829">
        <w:rPr>
          <w:rFonts w:ascii="Arial" w:eastAsia="Calibri" w:hAnsi="Arial" w:cs="Arial"/>
          <w:color w:val="000000"/>
          <w:lang w:val="es-MX"/>
        </w:rPr>
        <w:t xml:space="preserve">. </w:t>
      </w:r>
      <w:r w:rsidR="00830971" w:rsidRPr="00830971">
        <w:rPr>
          <w:rFonts w:ascii="Arial" w:eastAsia="Calibri" w:hAnsi="Arial" w:cs="Arial"/>
          <w:color w:val="000000"/>
          <w:lang w:val="es-MX"/>
        </w:rPr>
        <w:t xml:space="preserve">Es posible diferenciar, pues, los </w:t>
      </w:r>
      <w:r w:rsidR="00830971" w:rsidRPr="00830971">
        <w:rPr>
          <w:rFonts w:ascii="Arial" w:eastAsia="Calibri" w:hAnsi="Arial" w:cs="Arial"/>
          <w:i/>
          <w:iCs/>
          <w:color w:val="000000"/>
          <w:lang w:val="es-MX"/>
        </w:rPr>
        <w:t>convenios de asociación</w:t>
      </w:r>
      <w:r w:rsidR="00830971" w:rsidRPr="00830971">
        <w:rPr>
          <w:rFonts w:ascii="Arial" w:eastAsia="Calibri" w:hAnsi="Arial" w:cs="Arial"/>
          <w:color w:val="000000"/>
          <w:lang w:val="es-MX"/>
        </w:rPr>
        <w:t xml:space="preserve">, regulados en el </w:t>
      </w:r>
      <w:r w:rsidR="00830971" w:rsidRPr="00830971">
        <w:rPr>
          <w:rFonts w:ascii="Arial" w:eastAsia="Calibri" w:hAnsi="Arial" w:cs="Arial"/>
          <w:color w:val="000000"/>
          <w:lang w:val="es-MX"/>
        </w:rPr>
        <w:lastRenderedPageBreak/>
        <w:t xml:space="preserve">artículo 5, de los </w:t>
      </w:r>
      <w:r w:rsidR="00830971" w:rsidRPr="00830971">
        <w:rPr>
          <w:rFonts w:ascii="Arial" w:eastAsia="Calibri" w:hAnsi="Arial" w:cs="Arial"/>
          <w:i/>
          <w:iCs/>
          <w:color w:val="000000"/>
          <w:lang w:val="es-MX"/>
        </w:rPr>
        <w:t>contratos de colaboración</w:t>
      </w:r>
      <w:r w:rsidR="00830971" w:rsidRPr="00830971">
        <w:rPr>
          <w:rFonts w:ascii="Arial" w:eastAsia="Calibri" w:hAnsi="Arial" w:cs="Arial"/>
          <w:color w:val="000000"/>
          <w:lang w:val="es-MX"/>
        </w:rPr>
        <w:t>, establecidos en el artículo 2 del Decreto 092 de 2017</w:t>
      </w:r>
      <w:r w:rsidR="00830971" w:rsidRPr="00830971">
        <w:rPr>
          <w:rFonts w:ascii="Arial" w:eastAsia="Calibri" w:hAnsi="Arial" w:cs="Arial"/>
          <w:color w:val="000000"/>
          <w:vertAlign w:val="superscript"/>
          <w:lang w:val="es-MX"/>
        </w:rPr>
        <w:footnoteReference w:id="12"/>
      </w:r>
      <w:r w:rsidR="00830971" w:rsidRPr="00830971">
        <w:rPr>
          <w:rFonts w:ascii="Arial" w:eastAsia="Calibri" w:hAnsi="Arial" w:cs="Arial"/>
          <w:color w:val="000000"/>
          <w:lang w:val="es-MX"/>
        </w:rPr>
        <w:t xml:space="preserve">. </w:t>
      </w:r>
    </w:p>
    <w:p w14:paraId="01E3814F" w14:textId="4FA71916" w:rsidR="00B21225" w:rsidRPr="00277113" w:rsidRDefault="00B21225" w:rsidP="00316089">
      <w:pPr>
        <w:spacing w:after="120" w:line="276" w:lineRule="auto"/>
        <w:ind w:firstLine="709"/>
        <w:jc w:val="both"/>
        <w:rPr>
          <w:rFonts w:ascii="Arial" w:eastAsia="Calibri" w:hAnsi="Arial" w:cs="Arial"/>
          <w:lang w:val="es-MX"/>
        </w:rPr>
      </w:pPr>
      <w:r w:rsidRPr="00277113">
        <w:rPr>
          <w:rFonts w:ascii="Arial" w:eastAsia="Calibri" w:hAnsi="Arial" w:cs="Arial"/>
          <w:lang w:val="es-MX"/>
        </w:rPr>
        <w:t xml:space="preserve">Los </w:t>
      </w:r>
      <w:r w:rsidRPr="00277113">
        <w:rPr>
          <w:rFonts w:ascii="Arial" w:eastAsia="Calibri" w:hAnsi="Arial" w:cs="Arial"/>
          <w:i/>
          <w:iCs/>
          <w:lang w:val="es-MX"/>
        </w:rPr>
        <w:t xml:space="preserve">contratos de colaboración </w:t>
      </w:r>
      <w:r w:rsidRPr="00277113">
        <w:rPr>
          <w:rFonts w:ascii="Arial" w:eastAsia="Calibri" w:hAnsi="Arial" w:cs="Arial"/>
          <w:lang w:val="es-MX"/>
        </w:rPr>
        <w:t xml:space="preserve">tienen como objeto promover acciones de fomento social en beneficio de los sectores más desprotegidos de la población, previstas en los planes de desarrollo, motivo por el cual no dan lugar a una contraprestación directa a favor de la </w:t>
      </w:r>
      <w:r w:rsidR="00921FDA" w:rsidRPr="00277113">
        <w:rPr>
          <w:rFonts w:ascii="Arial" w:eastAsia="Calibri" w:hAnsi="Arial" w:cs="Arial"/>
          <w:lang w:val="es-MX"/>
        </w:rPr>
        <w:t>E</w:t>
      </w:r>
      <w:r w:rsidRPr="00277113">
        <w:rPr>
          <w:rFonts w:ascii="Arial" w:eastAsia="Calibri" w:hAnsi="Arial" w:cs="Arial"/>
          <w:lang w:val="es-MX"/>
        </w:rPr>
        <w:t xml:space="preserve">ntidad y tampoco a una relación conmutativa entre esta y la ESAL, toda vez que el beneficio real y directo lo reciben, en últimas, los terceros beneficiarios de este tipo de acciones de fomento. Para celebrar estos contratos, según lo establece el artículo 3 del Decreto 92 de 2017, por regla general, la </w:t>
      </w:r>
      <w:r w:rsidR="00F76778" w:rsidRPr="00277113">
        <w:rPr>
          <w:rFonts w:ascii="Arial" w:eastAsia="Calibri" w:hAnsi="Arial" w:cs="Arial"/>
          <w:lang w:val="es-MX"/>
        </w:rPr>
        <w:t>E</w:t>
      </w:r>
      <w:r w:rsidRPr="00277113">
        <w:rPr>
          <w:rFonts w:ascii="Arial" w:eastAsia="Calibri" w:hAnsi="Arial" w:cs="Arial"/>
          <w:lang w:val="es-MX"/>
        </w:rPr>
        <w:t xml:space="preserve">ntidad debe adelantar un proceso competitivo para seleccionar la </w:t>
      </w:r>
      <w:r w:rsidR="001763F7" w:rsidRPr="00277113">
        <w:rPr>
          <w:rFonts w:ascii="Arial" w:eastAsia="Calibri" w:hAnsi="Arial" w:cs="Arial"/>
          <w:lang w:val="es-MX"/>
        </w:rPr>
        <w:t>E</w:t>
      </w:r>
      <w:r w:rsidRPr="00277113">
        <w:rPr>
          <w:rFonts w:ascii="Arial" w:eastAsia="Calibri" w:hAnsi="Arial" w:cs="Arial"/>
          <w:lang w:val="es-MX"/>
        </w:rPr>
        <w:t xml:space="preserve">ntidad sin ánimo de lucro contratista. En particular, debe verificar el cumplimiento de los siguientes requisitos: i) que el objeto del contrato corresponda a programas y actividades de interés público acordes con el Plan Nacional o Seccional de Desarrollo; y </w:t>
      </w:r>
      <w:proofErr w:type="spellStart"/>
      <w:r w:rsidRPr="00277113">
        <w:rPr>
          <w:rFonts w:ascii="Arial" w:eastAsia="Calibri" w:hAnsi="Arial" w:cs="Arial"/>
          <w:lang w:val="es-MX"/>
        </w:rPr>
        <w:t>ii</w:t>
      </w:r>
      <w:proofErr w:type="spellEnd"/>
      <w:r w:rsidRPr="00277113">
        <w:rPr>
          <w:rFonts w:ascii="Arial" w:eastAsia="Calibri" w:hAnsi="Arial" w:cs="Arial"/>
          <w:lang w:val="es-MX"/>
        </w:rPr>
        <w:t xml:space="preserve">) que no haya una contraprestación directa a favor de la </w:t>
      </w:r>
      <w:r w:rsidR="00E76390" w:rsidRPr="00277113">
        <w:rPr>
          <w:rFonts w:ascii="Arial" w:eastAsia="Calibri" w:hAnsi="Arial" w:cs="Arial"/>
          <w:lang w:val="es-MX"/>
        </w:rPr>
        <w:t>E</w:t>
      </w:r>
      <w:r w:rsidRPr="00277113">
        <w:rPr>
          <w:rFonts w:ascii="Arial" w:eastAsia="Calibri" w:hAnsi="Arial" w:cs="Arial"/>
          <w:lang w:val="es-MX"/>
        </w:rPr>
        <w:t xml:space="preserve">ntidad estatal, es decir, que el programa o actividad a desarrollar esté dirigido al beneficio de la población en general, ya que cuando se adquieren bienes o servicios o se ejecutan obras, en una relación conmutativa, las normas aplicables son las del Estatuto General de Contratación de la Administración Pública –en adelante EGCAP–. Solo cuando se reúnan estas condiciones, y se cuente con la autorización previa y escrita del representante legal de la </w:t>
      </w:r>
      <w:r w:rsidR="00FD392A" w:rsidRPr="00277113">
        <w:rPr>
          <w:rFonts w:ascii="Arial" w:eastAsia="Calibri" w:hAnsi="Arial" w:cs="Arial"/>
          <w:lang w:val="es-MX"/>
        </w:rPr>
        <w:t>E</w:t>
      </w:r>
      <w:r w:rsidRPr="00277113">
        <w:rPr>
          <w:rFonts w:ascii="Arial" w:eastAsia="Calibri" w:hAnsi="Arial" w:cs="Arial"/>
          <w:lang w:val="es-MX"/>
        </w:rPr>
        <w:t>ntidad estatal, es procedente celebrar contratos de colaboración.</w:t>
      </w:r>
    </w:p>
    <w:p w14:paraId="0FE457E5" w14:textId="48D89664" w:rsidR="00B21225" w:rsidRPr="00277113" w:rsidRDefault="00B21225" w:rsidP="00B21225">
      <w:pPr>
        <w:spacing w:after="120" w:line="276" w:lineRule="auto"/>
        <w:ind w:firstLine="708"/>
        <w:jc w:val="both"/>
        <w:rPr>
          <w:rFonts w:ascii="Arial" w:eastAsia="Calibri" w:hAnsi="Arial" w:cs="Arial"/>
          <w:lang w:val="es-MX"/>
        </w:rPr>
      </w:pPr>
      <w:r w:rsidRPr="00277113">
        <w:rPr>
          <w:rFonts w:ascii="Arial" w:eastAsia="Calibri" w:hAnsi="Arial" w:cs="Arial"/>
          <w:lang w:val="es-MX"/>
        </w:rPr>
        <w:t xml:space="preserve">De otro lado, los </w:t>
      </w:r>
      <w:r w:rsidRPr="00277113">
        <w:rPr>
          <w:rFonts w:ascii="Arial" w:eastAsia="Calibri" w:hAnsi="Arial" w:cs="Arial"/>
          <w:i/>
          <w:iCs/>
          <w:lang w:val="es-MX"/>
        </w:rPr>
        <w:t>convenios de asociación</w:t>
      </w:r>
      <w:r w:rsidRPr="00277113">
        <w:rPr>
          <w:rFonts w:ascii="Arial" w:eastAsia="Calibri" w:hAnsi="Arial" w:cs="Arial"/>
          <w:lang w:val="es-MX"/>
        </w:rPr>
        <w:t xml:space="preserve"> </w:t>
      </w:r>
      <w:r w:rsidR="00FD392A" w:rsidRPr="00277113">
        <w:rPr>
          <w:rFonts w:ascii="Arial" w:eastAsia="Calibri" w:hAnsi="Arial" w:cs="Arial"/>
          <w:lang w:val="es-MX"/>
        </w:rPr>
        <w:t>“</w:t>
      </w:r>
      <w:r w:rsidRPr="00277113">
        <w:rPr>
          <w:rFonts w:ascii="Arial" w:eastAsia="Calibri" w:hAnsi="Arial" w:cs="Arial"/>
          <w:lang w:val="es-MX"/>
        </w:rPr>
        <w:t>[t]</w:t>
      </w:r>
      <w:proofErr w:type="spellStart"/>
      <w:r w:rsidRPr="00277113">
        <w:rPr>
          <w:rFonts w:ascii="Arial" w:eastAsia="Calibri" w:hAnsi="Arial" w:cs="Arial"/>
          <w:lang w:val="es-MX"/>
        </w:rPr>
        <w:t>ienen</w:t>
      </w:r>
      <w:proofErr w:type="spellEnd"/>
      <w:r w:rsidRPr="00277113">
        <w:rPr>
          <w:rFonts w:ascii="Arial" w:eastAsia="Calibri" w:hAnsi="Arial" w:cs="Arial"/>
          <w:lang w:val="es-MX"/>
        </w:rPr>
        <w:t xml:space="preserve"> como finalidad que la </w:t>
      </w:r>
      <w:r w:rsidR="00FD392A" w:rsidRPr="00277113">
        <w:rPr>
          <w:rFonts w:ascii="Arial" w:eastAsia="Calibri" w:hAnsi="Arial" w:cs="Arial"/>
          <w:lang w:val="es-MX"/>
        </w:rPr>
        <w:t>E</w:t>
      </w:r>
      <w:r w:rsidRPr="00277113">
        <w:rPr>
          <w:rFonts w:ascii="Arial" w:eastAsia="Calibri" w:hAnsi="Arial" w:cs="Arial"/>
          <w:lang w:val="es-MX"/>
        </w:rPr>
        <w:t>ntidad estatal, cualquiera que sea su naturaleza y orden administrativo, se asocien con personas jurídicas particulares para el desarrollo conjunto de actividades relacionadas con los cometidos y funciones asignadas a aquellas conforme a la Constitución y a la Ley</w:t>
      </w:r>
      <w:r w:rsidR="00FD392A" w:rsidRPr="00277113">
        <w:rPr>
          <w:rFonts w:ascii="Arial" w:eastAsia="Calibri" w:hAnsi="Arial" w:cs="Arial"/>
          <w:lang w:val="es-MX"/>
        </w:rPr>
        <w:t>”</w:t>
      </w:r>
      <w:r w:rsidRPr="00277113">
        <w:rPr>
          <w:rFonts w:ascii="Arial" w:eastAsia="Calibri" w:hAnsi="Arial" w:cs="Arial"/>
          <w:vertAlign w:val="superscript"/>
          <w:lang w:val="es-MX"/>
        </w:rPr>
        <w:footnoteReference w:id="13"/>
      </w:r>
      <w:r w:rsidRPr="00277113">
        <w:rPr>
          <w:rFonts w:ascii="Arial" w:eastAsia="Calibri" w:hAnsi="Arial" w:cs="Arial"/>
          <w:lang w:val="es-MX"/>
        </w:rPr>
        <w:t xml:space="preserve">. En estos convenios no existe contraprestación o pago, sino aportes, los cuales están dirigidos, exclusivamente, a lograr la ejecución del convenio y no a remunerar la actividad o actuaciones del asociado. De todos modos, la </w:t>
      </w:r>
      <w:r w:rsidR="00893178" w:rsidRPr="00277113">
        <w:rPr>
          <w:rFonts w:ascii="Arial" w:eastAsia="Calibri" w:hAnsi="Arial" w:cs="Arial"/>
          <w:lang w:val="es-MX"/>
        </w:rPr>
        <w:t>E</w:t>
      </w:r>
      <w:r w:rsidRPr="00277113">
        <w:rPr>
          <w:rFonts w:ascii="Arial" w:eastAsia="Calibri" w:hAnsi="Arial" w:cs="Arial"/>
          <w:lang w:val="es-MX"/>
        </w:rPr>
        <w:t xml:space="preserve">ntidad debe adelantar un proceso competitivo, salvo cuando la ESAL comprometa recursos en dinero para la ejecución de estas actividades, en una proporción no inferior al 30% del valor total del convenio. </w:t>
      </w:r>
    </w:p>
    <w:p w14:paraId="460C9567" w14:textId="3BD60BA2" w:rsidR="00B21225" w:rsidRPr="00277113" w:rsidRDefault="00B21225" w:rsidP="00B21225">
      <w:pPr>
        <w:spacing w:after="120" w:line="276" w:lineRule="auto"/>
        <w:ind w:firstLine="708"/>
        <w:jc w:val="both"/>
        <w:rPr>
          <w:rFonts w:ascii="Arial" w:eastAsia="Calibri" w:hAnsi="Arial" w:cs="Arial"/>
          <w:lang w:val="es-MX"/>
        </w:rPr>
      </w:pPr>
      <w:r w:rsidRPr="00277113">
        <w:rPr>
          <w:rFonts w:ascii="Arial" w:eastAsia="Calibri" w:hAnsi="Arial" w:cs="Arial"/>
          <w:lang w:val="es-MX"/>
        </w:rPr>
        <w:t xml:space="preserve">De conformidad con el inciso segundo del artículo 96 de la Ley 489 de 1998, en estos convenios debe determinarse </w:t>
      </w:r>
      <w:r w:rsidR="00707620" w:rsidRPr="00277113">
        <w:rPr>
          <w:rFonts w:ascii="Arial" w:eastAsia="Calibri" w:hAnsi="Arial" w:cs="Arial"/>
          <w:lang w:val="es-MX"/>
        </w:rPr>
        <w:t>“</w:t>
      </w:r>
      <w:r w:rsidRPr="00277113">
        <w:rPr>
          <w:rFonts w:ascii="Arial" w:eastAsia="Calibri" w:hAnsi="Arial" w:cs="Arial"/>
          <w:lang w:val="es-MX"/>
        </w:rPr>
        <w:t>con precisión su objeto, término, obligaciones de las partes, aportes, coordinación y todos aquellos aspectos que se consideren pertinentes</w:t>
      </w:r>
      <w:r w:rsidR="00707620" w:rsidRPr="00277113">
        <w:rPr>
          <w:rFonts w:ascii="Arial" w:eastAsia="Calibri" w:hAnsi="Arial" w:cs="Arial"/>
          <w:lang w:val="es-MX"/>
        </w:rPr>
        <w:t>”</w:t>
      </w:r>
      <w:r w:rsidRPr="00277113">
        <w:rPr>
          <w:rFonts w:ascii="Arial" w:eastAsia="Calibri" w:hAnsi="Arial" w:cs="Arial"/>
          <w:lang w:val="es-MX"/>
        </w:rPr>
        <w:t xml:space="preserve">, elementos dentro de los que resalta la exigencia de aportes, que debe interpretarse en el sentido de que las ESAL deben realizar aportes a los convenios que suscriban, los cuales </w:t>
      </w:r>
      <w:r w:rsidRPr="00277113">
        <w:rPr>
          <w:rFonts w:ascii="Arial" w:eastAsia="Calibri" w:hAnsi="Arial" w:cs="Arial"/>
          <w:lang w:val="es-MX"/>
        </w:rPr>
        <w:lastRenderedPageBreak/>
        <w:t xml:space="preserve">pueden ser en dinero, en porcentajes inferiores o superiores al 30%, o en especie, los cuales deben servir al desarrollo de los objetivos comunes de la asociación. </w:t>
      </w:r>
    </w:p>
    <w:p w14:paraId="6BCC7D83" w14:textId="6A3F8E73" w:rsidR="00B21225" w:rsidRPr="00277113" w:rsidRDefault="00B21225" w:rsidP="00B21225">
      <w:pPr>
        <w:spacing w:after="120" w:line="276" w:lineRule="auto"/>
        <w:ind w:firstLine="708"/>
        <w:jc w:val="both"/>
        <w:rPr>
          <w:rFonts w:ascii="Arial" w:eastAsia="Calibri" w:hAnsi="Arial" w:cs="Arial"/>
          <w:lang w:val="es-MX"/>
        </w:rPr>
      </w:pPr>
      <w:r w:rsidRPr="00277113">
        <w:rPr>
          <w:rFonts w:ascii="Arial" w:eastAsia="Calibri" w:hAnsi="Arial" w:cs="Arial"/>
          <w:lang w:val="es-MX"/>
        </w:rPr>
        <w:t xml:space="preserve">La normativa vigente no impide que varias </w:t>
      </w:r>
      <w:r w:rsidR="00380F69" w:rsidRPr="00277113">
        <w:rPr>
          <w:rFonts w:ascii="Arial" w:eastAsia="Calibri" w:hAnsi="Arial" w:cs="Arial"/>
          <w:lang w:val="es-MX"/>
        </w:rPr>
        <w:t>E</w:t>
      </w:r>
      <w:r w:rsidRPr="00277113">
        <w:rPr>
          <w:rFonts w:ascii="Arial" w:eastAsia="Calibri" w:hAnsi="Arial" w:cs="Arial"/>
          <w:lang w:val="es-MX"/>
        </w:rPr>
        <w:t>ntidades suscriban conjuntamente el convenio de asociación ni tampoco que dos o más ESAL pueden hacerlo a través de las figuras asociativas autorizadas por la ley, por ejemplo, la unión temporal o el consorcio</w:t>
      </w:r>
      <w:r w:rsidRPr="00277113">
        <w:rPr>
          <w:rFonts w:ascii="Arial" w:eastAsia="Calibri" w:hAnsi="Arial" w:cs="Arial"/>
          <w:vertAlign w:val="superscript"/>
          <w:lang w:val="es-MX"/>
        </w:rPr>
        <w:footnoteReference w:id="14"/>
      </w:r>
      <w:r w:rsidRPr="00277113">
        <w:rPr>
          <w:rFonts w:ascii="Arial" w:eastAsia="Calibri" w:hAnsi="Arial" w:cs="Arial"/>
          <w:lang w:val="es-MX"/>
        </w:rPr>
        <w:t xml:space="preserve">. Sin embargo, comoquiera que el artículo 96 de la Ley 489 de 1998 determina que el convenio debe buscar el desarrollo conjunto de actividades relacionadas con los cometidos y funciones que la ley les asigna a las </w:t>
      </w:r>
      <w:r w:rsidR="002B6FC0" w:rsidRPr="00277113">
        <w:rPr>
          <w:rFonts w:ascii="Arial" w:eastAsia="Calibri" w:hAnsi="Arial" w:cs="Arial"/>
          <w:lang w:val="es-MX"/>
        </w:rPr>
        <w:t>E</w:t>
      </w:r>
      <w:r w:rsidRPr="00277113">
        <w:rPr>
          <w:rFonts w:ascii="Arial" w:eastAsia="Calibri" w:hAnsi="Arial" w:cs="Arial"/>
          <w:lang w:val="es-MX"/>
        </w:rPr>
        <w:t xml:space="preserve">ntidades estatales involucradas, es necesario que las funciones legales de las </w:t>
      </w:r>
      <w:r w:rsidR="002B6FC0" w:rsidRPr="00277113">
        <w:rPr>
          <w:rFonts w:ascii="Arial" w:eastAsia="Calibri" w:hAnsi="Arial" w:cs="Arial"/>
          <w:lang w:val="es-MX"/>
        </w:rPr>
        <w:t>E</w:t>
      </w:r>
      <w:r w:rsidRPr="00277113">
        <w:rPr>
          <w:rFonts w:ascii="Arial" w:eastAsia="Calibri" w:hAnsi="Arial" w:cs="Arial"/>
          <w:lang w:val="es-MX"/>
        </w:rPr>
        <w:t xml:space="preserve">ntidades estatales que suscriben conjuntamente el convenio coincidan de alguna de tal manera que, los cometidos funcionales de una y otra </w:t>
      </w:r>
      <w:r w:rsidR="00154330" w:rsidRPr="00277113">
        <w:rPr>
          <w:rFonts w:ascii="Arial" w:eastAsia="Calibri" w:hAnsi="Arial" w:cs="Arial"/>
          <w:lang w:val="es-MX"/>
        </w:rPr>
        <w:t>E</w:t>
      </w:r>
      <w:r w:rsidRPr="00277113">
        <w:rPr>
          <w:rFonts w:ascii="Arial" w:eastAsia="Calibri" w:hAnsi="Arial" w:cs="Arial"/>
          <w:lang w:val="es-MX"/>
        </w:rPr>
        <w:t xml:space="preserve">ntidad se relacionen con el objeto del convenio.  </w:t>
      </w:r>
    </w:p>
    <w:p w14:paraId="1EF7F66A" w14:textId="6AC84AC3" w:rsidR="00B21225" w:rsidRPr="00277113" w:rsidRDefault="00B21225" w:rsidP="00B21225">
      <w:pPr>
        <w:spacing w:after="120" w:line="276" w:lineRule="auto"/>
        <w:ind w:firstLine="708"/>
        <w:jc w:val="both"/>
        <w:rPr>
          <w:rFonts w:ascii="Arial" w:eastAsia="Calibri" w:hAnsi="Arial" w:cs="Arial"/>
          <w:lang w:val="es-MX"/>
        </w:rPr>
      </w:pPr>
      <w:r w:rsidRPr="00277113">
        <w:rPr>
          <w:rFonts w:ascii="Arial" w:eastAsia="Calibri" w:hAnsi="Arial" w:cs="Arial"/>
          <w:lang w:val="es-MX"/>
        </w:rPr>
        <w:t xml:space="preserve">Igualmente, los convenios de asociación </w:t>
      </w:r>
      <w:r w:rsidR="00154330" w:rsidRPr="00277113">
        <w:rPr>
          <w:rFonts w:ascii="Arial" w:eastAsia="Calibri" w:hAnsi="Arial" w:cs="Arial"/>
          <w:lang w:val="es-MX"/>
        </w:rPr>
        <w:t>“</w:t>
      </w:r>
      <w:r w:rsidRPr="00277113">
        <w:rPr>
          <w:rFonts w:ascii="Arial" w:eastAsia="Calibri" w:hAnsi="Arial" w:cs="Arial"/>
          <w:lang w:val="es-MX"/>
        </w:rPr>
        <w:t xml:space="preserve">no estarán sujetos a competencia cuando la </w:t>
      </w:r>
      <w:r w:rsidR="00154330" w:rsidRPr="00277113">
        <w:rPr>
          <w:rFonts w:ascii="Arial" w:eastAsia="Calibri" w:hAnsi="Arial" w:cs="Arial"/>
          <w:lang w:val="es-MX"/>
        </w:rPr>
        <w:t>E</w:t>
      </w:r>
      <w:r w:rsidRPr="00277113">
        <w:rPr>
          <w:rFonts w:ascii="Arial" w:eastAsia="Calibri" w:hAnsi="Arial" w:cs="Arial"/>
          <w:lang w:val="es-MX"/>
        </w:rPr>
        <w:t>ntidad sin ánimo de lucro comprometa recursos en dinero para la ejecución de esas actividades en una proporción no inferior al 30% del valor total del convenio</w:t>
      </w:r>
      <w:r w:rsidR="00090663" w:rsidRPr="00277113">
        <w:rPr>
          <w:rFonts w:ascii="Arial" w:eastAsia="Calibri" w:hAnsi="Arial" w:cs="Arial"/>
          <w:lang w:val="es-MX"/>
        </w:rPr>
        <w:t>”</w:t>
      </w:r>
      <w:r w:rsidRPr="00277113">
        <w:rPr>
          <w:rFonts w:ascii="Arial" w:eastAsia="Calibri" w:hAnsi="Arial" w:cs="Arial"/>
          <w:lang w:val="es-MX"/>
        </w:rPr>
        <w:t xml:space="preserve">, las </w:t>
      </w:r>
      <w:r w:rsidR="00090663" w:rsidRPr="00277113">
        <w:rPr>
          <w:rFonts w:ascii="Arial" w:eastAsia="Calibri" w:hAnsi="Arial" w:cs="Arial"/>
          <w:lang w:val="es-MX"/>
        </w:rPr>
        <w:t>E</w:t>
      </w:r>
      <w:r w:rsidRPr="00277113">
        <w:rPr>
          <w:rFonts w:ascii="Arial" w:eastAsia="Calibri" w:hAnsi="Arial" w:cs="Arial"/>
          <w:lang w:val="es-MX"/>
        </w:rPr>
        <w:t xml:space="preserve">ntidades deben asegurarse de que su contratista, es decir, una o varias ESAL, aporten al menos el treinta por ciento, en dinero, del valor del convenio para celebrarlo directamente, pues de lo contrario deberá adelantarse un proceso competitivo. Además, en atención al inciso 2 del artículo 5 del Decreto 092 de 2017, deben </w:t>
      </w:r>
      <w:r w:rsidR="007D366C" w:rsidRPr="00277113">
        <w:rPr>
          <w:rFonts w:ascii="Arial" w:eastAsia="Calibri" w:hAnsi="Arial" w:cs="Arial"/>
          <w:lang w:val="es-MX"/>
        </w:rPr>
        <w:t>“</w:t>
      </w:r>
      <w:r w:rsidRPr="00277113">
        <w:rPr>
          <w:rFonts w:ascii="Arial" w:eastAsia="Calibri" w:hAnsi="Arial" w:cs="Arial"/>
          <w:lang w:val="es-MX"/>
        </w:rPr>
        <w:t>asegurarse que no haya otras ESAL que ofrezcan su compromiso de recursos en dinero en una proporción no inferior al 30% del valor total del convenio. En caso de que la entidad encuentre que más de una ESAL le ofrece al menos el 30% de recursos en dinero para el convenio de asociación, debe seleccionar objetivamente con cual asociarse</w:t>
      </w:r>
      <w:r w:rsidR="007D366C" w:rsidRPr="00277113">
        <w:rPr>
          <w:rFonts w:ascii="Arial" w:eastAsia="Calibri" w:hAnsi="Arial" w:cs="Arial"/>
          <w:lang w:val="es-MX"/>
        </w:rPr>
        <w:t>”</w:t>
      </w:r>
      <w:r w:rsidRPr="00277113">
        <w:rPr>
          <w:rFonts w:ascii="Arial" w:eastAsia="Calibri" w:hAnsi="Arial" w:cs="Arial"/>
          <w:vertAlign w:val="superscript"/>
          <w:lang w:val="es-MX"/>
        </w:rPr>
        <w:footnoteReference w:id="15"/>
      </w:r>
      <w:r w:rsidRPr="00277113">
        <w:rPr>
          <w:rFonts w:ascii="Arial" w:eastAsia="Calibri" w:hAnsi="Arial" w:cs="Arial"/>
          <w:lang w:val="es-MX"/>
        </w:rPr>
        <w:t>.</w:t>
      </w:r>
    </w:p>
    <w:p w14:paraId="29B502AC" w14:textId="4C34B20F" w:rsidR="00B21225" w:rsidRPr="00277113" w:rsidRDefault="00B21225" w:rsidP="00B21225">
      <w:pPr>
        <w:spacing w:after="120" w:line="276" w:lineRule="auto"/>
        <w:ind w:firstLine="708"/>
        <w:jc w:val="both"/>
        <w:rPr>
          <w:rFonts w:ascii="Arial" w:eastAsia="Calibri" w:hAnsi="Arial" w:cs="Arial"/>
          <w:lang w:val="es-MX"/>
        </w:rPr>
      </w:pPr>
      <w:r w:rsidRPr="00277113">
        <w:rPr>
          <w:rFonts w:ascii="Arial" w:eastAsia="Calibri" w:hAnsi="Arial" w:cs="Arial"/>
          <w:lang w:val="es-MX"/>
        </w:rPr>
        <w:t xml:space="preserve">La noción </w:t>
      </w:r>
      <w:r w:rsidR="007D366C" w:rsidRPr="00277113">
        <w:rPr>
          <w:rFonts w:ascii="Arial" w:eastAsia="Calibri" w:hAnsi="Arial" w:cs="Arial"/>
          <w:lang w:val="es-MX"/>
        </w:rPr>
        <w:t>“</w:t>
      </w:r>
      <w:r w:rsidRPr="00277113">
        <w:rPr>
          <w:rFonts w:ascii="Arial" w:eastAsia="Calibri" w:hAnsi="Arial" w:cs="Arial"/>
          <w:lang w:val="es-MX"/>
        </w:rPr>
        <w:t>seleccionar de forma objetiva</w:t>
      </w:r>
      <w:r w:rsidR="007D366C" w:rsidRPr="00277113">
        <w:rPr>
          <w:rFonts w:ascii="Arial" w:eastAsia="Calibri" w:hAnsi="Arial" w:cs="Arial"/>
          <w:lang w:val="es-MX"/>
        </w:rPr>
        <w:t>”</w:t>
      </w:r>
      <w:r w:rsidRPr="00277113">
        <w:rPr>
          <w:rFonts w:ascii="Arial" w:eastAsia="Calibri" w:hAnsi="Arial" w:cs="Arial"/>
          <w:lang w:val="es-MX"/>
        </w:rPr>
        <w:t xml:space="preserve">, contenida en la disposición </w:t>
      </w:r>
      <w:r w:rsidRPr="00277113">
        <w:rPr>
          <w:rFonts w:ascii="Arial" w:eastAsia="Calibri" w:hAnsi="Arial" w:cs="Arial"/>
          <w:i/>
          <w:iCs/>
          <w:lang w:val="es-MX"/>
        </w:rPr>
        <w:t xml:space="preserve">sub examine </w:t>
      </w:r>
      <w:r w:rsidRPr="00277113">
        <w:rPr>
          <w:rFonts w:ascii="Arial" w:eastAsia="Calibri" w:hAnsi="Arial" w:cs="Arial"/>
          <w:lang w:val="es-MX"/>
        </w:rPr>
        <w:t xml:space="preserve">no puede ser entendida como una remisión total a las Leyes 80 de 1993 y 1150 de 2007. A lo que se refiere la norma es a que la </w:t>
      </w:r>
      <w:r w:rsidR="007B6130" w:rsidRPr="00277113">
        <w:rPr>
          <w:rFonts w:ascii="Arial" w:eastAsia="Calibri" w:hAnsi="Arial" w:cs="Arial"/>
          <w:lang w:val="es-MX"/>
        </w:rPr>
        <w:t>E</w:t>
      </w:r>
      <w:r w:rsidRPr="00277113">
        <w:rPr>
          <w:rFonts w:ascii="Arial" w:eastAsia="Calibri" w:hAnsi="Arial" w:cs="Arial"/>
          <w:lang w:val="es-MX"/>
        </w:rPr>
        <w:t xml:space="preserve">ntidad estatal debe diseñar herramientas que permitan una comparación objetiva de las </w:t>
      </w:r>
      <w:r w:rsidR="007B6130" w:rsidRPr="00277113">
        <w:rPr>
          <w:rFonts w:ascii="Arial" w:eastAsia="Calibri" w:hAnsi="Arial" w:cs="Arial"/>
          <w:lang w:val="es-MX"/>
        </w:rPr>
        <w:t>E</w:t>
      </w:r>
      <w:r w:rsidRPr="00277113">
        <w:rPr>
          <w:rFonts w:ascii="Arial" w:eastAsia="Calibri" w:hAnsi="Arial" w:cs="Arial"/>
          <w:lang w:val="es-MX"/>
        </w:rPr>
        <w:t xml:space="preserve">ntidades sin ánimo de lucro para seleccionar objetivamente a aquella que tenga las mejores condiciones para alcanzar el resultado esperado con el proyecto de cooperación, por lo que los criterios que permitan una selección objetiva deben definirse en términos de la obtención de los objetivos del convenio de asociación. Sin perjuicio de lo anterior, la </w:t>
      </w:r>
      <w:r w:rsidR="007B6130" w:rsidRPr="00277113">
        <w:rPr>
          <w:rFonts w:ascii="Arial" w:eastAsia="Calibri" w:hAnsi="Arial" w:cs="Arial"/>
          <w:lang w:val="es-MX"/>
        </w:rPr>
        <w:t>E</w:t>
      </w:r>
      <w:r w:rsidRPr="00277113">
        <w:rPr>
          <w:rFonts w:ascii="Arial" w:eastAsia="Calibri" w:hAnsi="Arial" w:cs="Arial"/>
          <w:lang w:val="es-MX"/>
        </w:rPr>
        <w:t>ntidad puede decidir acudir a los procesos de selección de contratistas que establece el EGCAP o, incluso, al trámite que regula el inciso 2 del artículo 2 del Decreto 92 de 2017.</w:t>
      </w:r>
    </w:p>
    <w:p w14:paraId="203442E0" w14:textId="1BEC024F" w:rsidR="00B21225" w:rsidRPr="00277113" w:rsidRDefault="00B21225" w:rsidP="00CF6C49">
      <w:pPr>
        <w:spacing w:after="120" w:line="276" w:lineRule="auto"/>
        <w:ind w:firstLine="708"/>
        <w:jc w:val="both"/>
        <w:textAlignment w:val="baseline"/>
        <w:rPr>
          <w:rFonts w:ascii="Arial" w:eastAsia="Arial" w:hAnsi="Arial" w:cs="Arial"/>
          <w:lang w:val="es-ES"/>
        </w:rPr>
      </w:pPr>
      <w:r w:rsidRPr="00277113">
        <w:rPr>
          <w:rFonts w:ascii="Arial" w:eastAsia="Arial" w:hAnsi="Arial" w:cs="Arial"/>
          <w:lang w:val="es-ES"/>
        </w:rPr>
        <w:lastRenderedPageBreak/>
        <w:t xml:space="preserve">En suma, las </w:t>
      </w:r>
      <w:r w:rsidR="00CF6C49" w:rsidRPr="00277113">
        <w:rPr>
          <w:rFonts w:ascii="Arial" w:eastAsia="Arial" w:hAnsi="Arial" w:cs="Arial"/>
          <w:lang w:val="es-ES"/>
        </w:rPr>
        <w:t>E</w:t>
      </w:r>
      <w:r w:rsidRPr="00277113">
        <w:rPr>
          <w:rFonts w:ascii="Arial" w:eastAsia="Arial" w:hAnsi="Arial" w:cs="Arial"/>
          <w:lang w:val="es-ES"/>
        </w:rPr>
        <w:t xml:space="preserve">ntidades estatales son autónomas en la configuración del proceso competitivo en desarrollo del artículo 5 del Decreto 092 de 2017. En todo caso, el proceso competitivo que definan las </w:t>
      </w:r>
      <w:r w:rsidR="00CF6C49" w:rsidRPr="00277113">
        <w:rPr>
          <w:rFonts w:ascii="Arial" w:eastAsia="Arial" w:hAnsi="Arial" w:cs="Arial"/>
          <w:lang w:val="es-ES"/>
        </w:rPr>
        <w:t>E</w:t>
      </w:r>
      <w:r w:rsidRPr="00277113">
        <w:rPr>
          <w:rFonts w:ascii="Arial" w:eastAsia="Arial" w:hAnsi="Arial" w:cs="Arial"/>
          <w:lang w:val="es-ES"/>
        </w:rPr>
        <w:t>ntidades estatales para sus convenios de asociación debe garantizar la libre concurrencia y la pluralidad de interesados y la comparación objetiva de las ofertas. Este procedimiento puede ser análogo a otros donde existe competencia, como la licitación pública</w:t>
      </w:r>
      <w:r w:rsidRPr="00277113">
        <w:rPr>
          <w:rFonts w:ascii="Arial" w:eastAsia="Calibri" w:hAnsi="Arial" w:cs="Arial"/>
          <w:lang w:val="es-MX"/>
        </w:rPr>
        <w:t>. </w:t>
      </w:r>
    </w:p>
    <w:p w14:paraId="0FF63C4E" w14:textId="28F3D5C1" w:rsidR="00B21225" w:rsidRPr="00277113" w:rsidRDefault="00B21225" w:rsidP="00B21225">
      <w:pPr>
        <w:spacing w:after="120" w:line="276" w:lineRule="auto"/>
        <w:ind w:firstLine="709"/>
        <w:jc w:val="both"/>
        <w:rPr>
          <w:rFonts w:ascii="Arial" w:eastAsia="Calibri" w:hAnsi="Arial" w:cs="Arial"/>
          <w:lang w:val="es-MX"/>
        </w:rPr>
      </w:pPr>
      <w:r w:rsidRPr="00277113">
        <w:rPr>
          <w:rFonts w:ascii="Arial" w:eastAsia="Calibri" w:hAnsi="Arial" w:cs="Arial"/>
          <w:lang w:val="es-MX"/>
        </w:rPr>
        <w:t>Ahora bien, el Consejo de Estado, en el Auto del 6 de agosto de 2019 de la Sección Tercera, Subsección A –</w:t>
      </w:r>
      <w:proofErr w:type="spellStart"/>
      <w:r w:rsidRPr="00277113">
        <w:rPr>
          <w:rFonts w:ascii="Arial" w:eastAsia="Calibri" w:hAnsi="Arial" w:cs="Arial"/>
          <w:lang w:val="es-MX"/>
        </w:rPr>
        <w:t>Exp</w:t>
      </w:r>
      <w:proofErr w:type="spellEnd"/>
      <w:r w:rsidRPr="00277113">
        <w:rPr>
          <w:rFonts w:ascii="Arial" w:eastAsia="Calibri" w:hAnsi="Arial" w:cs="Arial"/>
          <w:lang w:val="es-MX"/>
        </w:rPr>
        <w:t>. 62.003–, estudió la solicitud de suspensión provisional</w:t>
      </w:r>
      <w:r w:rsidRPr="00277113">
        <w:rPr>
          <w:rFonts w:ascii="Arial" w:eastAsia="Calibri" w:hAnsi="Arial" w:cs="Arial"/>
          <w:vertAlign w:val="superscript"/>
          <w:lang w:val="es-MX"/>
        </w:rPr>
        <w:footnoteReference w:id="16"/>
      </w:r>
      <w:r w:rsidRPr="00277113">
        <w:rPr>
          <w:rFonts w:ascii="Arial" w:eastAsia="Calibri" w:hAnsi="Arial" w:cs="Arial"/>
          <w:lang w:val="es-MX"/>
        </w:rPr>
        <w:t xml:space="preserve"> del inciso 2 del artículo 1, literales a y c del artículo 2, inciso 5 del artículo 2, inciso 2 del artículo 3, inciso final del artículo 4 y artículo 5 del Decreto 092 de 2017. No obstante, sobre esta última norma concluyó que el análisis de esta disposición debe realizarse a profundidad para establecer si efectivamente existe una contradicción normativa que implique que se afectó la competencia del legislador. En consecuencia, negó la solicitud de suspensión provisional frente a la última disposición relacionada con los convenios de asociación, reservando el análisis sobre la legalidad de dicho artículo a la sentencia de fondo. Por tanto, si se pretende realizar un </w:t>
      </w:r>
      <w:r w:rsidRPr="00277113">
        <w:rPr>
          <w:rFonts w:ascii="Arial" w:eastAsia="Calibri" w:hAnsi="Arial" w:cs="Arial"/>
          <w:i/>
          <w:iCs/>
          <w:lang w:val="es-MX"/>
        </w:rPr>
        <w:t>convenio de asociación</w:t>
      </w:r>
      <w:r w:rsidRPr="00277113">
        <w:rPr>
          <w:rFonts w:ascii="Arial" w:eastAsia="Calibri" w:hAnsi="Arial" w:cs="Arial"/>
          <w:lang w:val="es-MX"/>
        </w:rPr>
        <w:t xml:space="preserve"> con ESAL de reconocida idoneidad para el cumplimiento de las funciones que la ley les asigna a las </w:t>
      </w:r>
      <w:r w:rsidR="00E449A7" w:rsidRPr="00277113">
        <w:rPr>
          <w:rFonts w:ascii="Arial" w:eastAsia="Calibri" w:hAnsi="Arial" w:cs="Arial"/>
          <w:lang w:val="es-MX"/>
        </w:rPr>
        <w:t>E</w:t>
      </w:r>
      <w:r w:rsidRPr="00277113">
        <w:rPr>
          <w:rFonts w:ascii="Arial" w:eastAsia="Calibri" w:hAnsi="Arial" w:cs="Arial"/>
          <w:lang w:val="es-MX"/>
        </w:rPr>
        <w:t xml:space="preserve">ntidades públicas, debe aplicarse lo dispuesto en el artículo 5 del Decreto 092 de 2017. </w:t>
      </w:r>
      <w:r w:rsidRPr="00277113">
        <w:rPr>
          <w:rFonts w:ascii="Arial" w:eastAsia="Calibri" w:hAnsi="Arial" w:cs="Arial"/>
          <w:lang w:val="es-ES_tradnl"/>
        </w:rPr>
        <w:t>En todo caso, conviene precisar que mediante Auto del 15 de marzo de 2022</w:t>
      </w:r>
      <w:r w:rsidRPr="00277113">
        <w:rPr>
          <w:rFonts w:ascii="Arial" w:eastAsia="Calibri" w:hAnsi="Arial" w:cs="Arial"/>
          <w:vertAlign w:val="superscript"/>
          <w:lang w:val="es-ES_tradnl"/>
        </w:rPr>
        <w:footnoteReference w:id="17"/>
      </w:r>
      <w:r w:rsidRPr="00277113">
        <w:rPr>
          <w:rFonts w:ascii="Arial" w:eastAsia="Calibri" w:hAnsi="Arial" w:cs="Arial"/>
          <w:lang w:val="es-ES_tradnl"/>
        </w:rPr>
        <w:t>, el Consejo de Estado levantó la medida cautelar de suspensión provisional respecto del inciso 2 del artículo 1 y el inciso 2 del artículo 3, del Decreto 092 de 2007, por lo que surten en la actualidad efectos jurídicos</w:t>
      </w:r>
      <w:r w:rsidRPr="00277113">
        <w:rPr>
          <w:rStyle w:val="Refdenotaalpie"/>
          <w:rFonts w:ascii="Arial" w:eastAsia="Calibri" w:hAnsi="Arial" w:cs="Arial"/>
          <w:lang w:val="es-ES_tradnl"/>
        </w:rPr>
        <w:footnoteReference w:id="18"/>
      </w:r>
      <w:r w:rsidRPr="00277113">
        <w:rPr>
          <w:rFonts w:ascii="Arial" w:eastAsia="Calibri" w:hAnsi="Arial" w:cs="Arial"/>
          <w:lang w:val="es-ES_tradnl"/>
        </w:rPr>
        <w:t>.</w:t>
      </w:r>
    </w:p>
    <w:p w14:paraId="7C4D01F7" w14:textId="6E2AAEAE" w:rsidR="00E329B6" w:rsidRPr="00277113" w:rsidRDefault="00B21225" w:rsidP="00E329B6">
      <w:pPr>
        <w:spacing w:before="120" w:line="276" w:lineRule="auto"/>
        <w:ind w:firstLine="708"/>
        <w:jc w:val="both"/>
        <w:textAlignment w:val="baseline"/>
        <w:rPr>
          <w:rFonts w:ascii="Arial" w:eastAsia="Calibri" w:hAnsi="Arial" w:cs="Arial"/>
          <w:lang w:val="es-MX"/>
        </w:rPr>
      </w:pPr>
      <w:r w:rsidRPr="00277113">
        <w:rPr>
          <w:rFonts w:ascii="Arial" w:eastAsia="Calibri" w:hAnsi="Arial" w:cs="Arial"/>
          <w:lang w:val="es-MX"/>
        </w:rPr>
        <w:lastRenderedPageBreak/>
        <w:t xml:space="preserve">Como se explicó, en relación con los convenios de asociación, el artículo 5 del citado Decreto establece que el proceso para la selección de la ESAL, por regla general, debe estar sujeto a competencia; salvo en aquellos casos en que </w:t>
      </w:r>
      <w:r w:rsidRPr="00277113">
        <w:rPr>
          <w:rFonts w:ascii="Arial" w:eastAsia="Calibri" w:hAnsi="Arial" w:cs="Arial"/>
          <w:i/>
          <w:iCs/>
          <w:lang w:val="es-MX"/>
        </w:rPr>
        <w:t>una</w:t>
      </w:r>
      <w:r w:rsidRPr="00277113">
        <w:rPr>
          <w:rFonts w:ascii="Arial" w:eastAsia="Calibri" w:hAnsi="Arial" w:cs="Arial"/>
          <w:lang w:val="es-MX"/>
        </w:rPr>
        <w:t xml:space="preserve"> entidad sin ánimo de lucro comprometa recursos en dinero por un valor igual o superior al 30% del valor total del convenio</w:t>
      </w:r>
      <w:r w:rsidRPr="00277113">
        <w:rPr>
          <w:rFonts w:ascii="Arial" w:eastAsia="Calibri" w:hAnsi="Arial" w:cs="Arial"/>
          <w:vertAlign w:val="superscript"/>
          <w:lang w:val="es-MX"/>
        </w:rPr>
        <w:footnoteReference w:id="19"/>
      </w:r>
      <w:r w:rsidRPr="00277113">
        <w:rPr>
          <w:rFonts w:ascii="Arial" w:eastAsia="Calibri" w:hAnsi="Arial" w:cs="Arial"/>
          <w:lang w:val="es-MX"/>
        </w:rPr>
        <w:t>, y siempre que la entidad estatal verifique previamente que no existe ninguna otra entidad sin ánimo de lucro que ofrezca aportes en dinero iguales o superiores al 30%, ya que en este último evento también deberá adelantar un proceso competitivo. De hecho, en relación con la naturaleza y cuantía de los convenios, la norma anteriormente citada no prohíbe la celebración de convenios en que la ESAL aporte menos del 30% o cuando aporten recursos en especie. En efecto, solo indica que en esos casos la entidad estatal debe acudir al proceso competitivo para seleccionar a la entidad sin ánimo de lucro con la cual celebrará el respectivo convenio.</w:t>
      </w:r>
    </w:p>
    <w:p w14:paraId="5F2B5D50" w14:textId="5296AAC5" w:rsidR="00E329B6" w:rsidRDefault="00B21225" w:rsidP="00667E91">
      <w:pPr>
        <w:spacing w:before="120" w:line="276" w:lineRule="auto"/>
        <w:ind w:firstLine="708"/>
        <w:jc w:val="both"/>
        <w:rPr>
          <w:rFonts w:ascii="Arial" w:eastAsia="Calibri" w:hAnsi="Arial" w:cs="Arial"/>
          <w:lang w:val="es-ES_tradnl"/>
        </w:rPr>
      </w:pPr>
      <w:r w:rsidRPr="00277113">
        <w:rPr>
          <w:rFonts w:ascii="Arial" w:eastAsia="Calibri" w:hAnsi="Arial" w:cs="Arial"/>
          <w:lang w:val="es-ES_tradnl" w:eastAsia="es-ES_tradnl"/>
        </w:rPr>
        <w:t xml:space="preserve">Finalmente, sintetizando lo expresado en relación con los </w:t>
      </w:r>
      <w:r w:rsidRPr="00277113">
        <w:rPr>
          <w:rFonts w:ascii="Arial" w:eastAsia="Calibri" w:hAnsi="Arial" w:cs="Arial"/>
          <w:i/>
          <w:iCs/>
          <w:lang w:val="es-ES_tradnl" w:eastAsia="es-ES_tradnl"/>
        </w:rPr>
        <w:t xml:space="preserve">convenios de </w:t>
      </w:r>
      <w:r w:rsidRPr="00277113">
        <w:rPr>
          <w:rFonts w:ascii="Arial" w:eastAsia="Calibri" w:hAnsi="Arial" w:cs="Arial"/>
          <w:lang w:val="es-ES_tradnl" w:eastAsia="es-ES_tradnl"/>
        </w:rPr>
        <w:t xml:space="preserve">asociación, la finalidad de los aportes a que se refirió en consideraciones previas </w:t>
      </w:r>
      <w:proofErr w:type="gramStart"/>
      <w:r w:rsidRPr="00277113">
        <w:rPr>
          <w:rFonts w:ascii="Arial" w:eastAsia="Calibri" w:hAnsi="Arial" w:cs="Arial"/>
          <w:lang w:val="es-ES_tradnl" w:eastAsia="es-ES_tradnl"/>
        </w:rPr>
        <w:t>están</w:t>
      </w:r>
      <w:proofErr w:type="gramEnd"/>
      <w:r w:rsidRPr="00277113">
        <w:rPr>
          <w:rFonts w:ascii="Arial" w:eastAsia="Calibri" w:hAnsi="Arial" w:cs="Arial"/>
          <w:lang w:val="es-ES_tradnl" w:eastAsia="es-ES_tradnl"/>
        </w:rPr>
        <w:t xml:space="preserve"> dirigidos concretamente a lograr la ejecución del convenio. De todos modos, la entidad deberá adelantar un proceso competitivo, salvo cuando la ESAL comprometa recursos en dinero para la ejecución de estas actividades, en una proporción no inferior al 30% del valor total del convenio. Así, </w:t>
      </w:r>
      <w:bookmarkStart w:id="4" w:name="_Hlk77927493"/>
      <w:r w:rsidRPr="00277113">
        <w:rPr>
          <w:rFonts w:ascii="Arial" w:eastAsia="Calibri" w:hAnsi="Arial" w:cs="Arial"/>
          <w:lang w:val="es-ES_tradnl"/>
        </w:rPr>
        <w:t xml:space="preserve">si se pretende suscribir un </w:t>
      </w:r>
      <w:r w:rsidRPr="00277113">
        <w:rPr>
          <w:rFonts w:ascii="Arial" w:eastAsia="Calibri" w:hAnsi="Arial" w:cs="Arial"/>
          <w:i/>
          <w:iCs/>
          <w:lang w:val="es-ES_tradnl"/>
        </w:rPr>
        <w:t>convenio de asociación</w:t>
      </w:r>
      <w:r w:rsidRPr="00277113">
        <w:rPr>
          <w:rFonts w:ascii="Arial" w:eastAsia="Calibri" w:hAnsi="Arial" w:cs="Arial"/>
          <w:lang w:val="es-ES_tradnl"/>
        </w:rPr>
        <w:t xml:space="preserve"> con una ESAL de reconocida idoneidad para el cumplimiento de las funciones que la ley les asigna a las entidades públicas, deben aplicar lo dispuesto en el artículo 5 del Decreto 92 de 2017. Como se estableció </w:t>
      </w:r>
      <w:r w:rsidRPr="00277113">
        <w:rPr>
          <w:rFonts w:ascii="Arial" w:eastAsia="Calibri" w:hAnsi="Arial" w:cs="Arial"/>
          <w:i/>
          <w:iCs/>
          <w:lang w:val="es-ES_tradnl"/>
        </w:rPr>
        <w:t>supra</w:t>
      </w:r>
      <w:r w:rsidRPr="00277113">
        <w:rPr>
          <w:rFonts w:ascii="Arial" w:eastAsia="Calibri" w:hAnsi="Arial" w:cs="Arial"/>
          <w:lang w:val="es-ES_tradnl"/>
        </w:rPr>
        <w:t>, este artículo dispone que el proceso para la escogencia de la ESAL, por regla general, debe estar sujeto a competencia. Esto, salvo en aquellos casos en los que una ESAL manifieste su compromiso de aportar recursos en dinero por un valor igual o superior al 30% del valor total del convenio, siempre y cuando no existan otras ESALES que ofrezca aportes en monto igual o superior a dicho porcentaje</w:t>
      </w:r>
      <w:bookmarkEnd w:id="4"/>
      <w:r w:rsidRPr="00277113">
        <w:rPr>
          <w:rFonts w:ascii="Arial" w:eastAsia="Calibri" w:hAnsi="Arial" w:cs="Arial"/>
          <w:lang w:val="es-ES_tradnl"/>
        </w:rPr>
        <w:t xml:space="preserve">, pues en este evento también se tendría que realizar un proceso competitivo. Finalmente, dada la regla concreta y específica establecida en la norma, si los aportes no son en dinero, sino únicamente en especie, esto es, bienes diferentes o no equivalente al dinero, no se dará aplicación a dicha regla y el proceso de selección será competitivo. </w:t>
      </w:r>
    </w:p>
    <w:p w14:paraId="7A4E06C1" w14:textId="77777777" w:rsidR="00491966" w:rsidRPr="00513D8C" w:rsidRDefault="00491966" w:rsidP="00491966">
      <w:pPr>
        <w:spacing w:before="120" w:line="276" w:lineRule="auto"/>
        <w:ind w:firstLine="709"/>
        <w:jc w:val="both"/>
        <w:rPr>
          <w:rFonts w:ascii="Arial" w:eastAsia="Calibri" w:hAnsi="Arial" w:cs="Arial"/>
          <w:bCs/>
          <w:lang w:val="es-ES_tradnl"/>
        </w:rPr>
      </w:pPr>
      <w:r w:rsidRPr="00513D8C">
        <w:rPr>
          <w:rFonts w:ascii="Arial" w:eastAsia="Calibri" w:hAnsi="Arial" w:cs="Arial"/>
          <w:bCs/>
          <w:lang w:val="es-MX"/>
        </w:rPr>
        <w:t xml:space="preserve">Ahora bien, </w:t>
      </w:r>
      <w:r w:rsidRPr="00513D8C">
        <w:rPr>
          <w:rFonts w:ascii="Arial" w:eastAsia="Calibri" w:hAnsi="Arial" w:cs="Arial"/>
          <w:bCs/>
          <w:lang w:val="es-ES_tradnl"/>
        </w:rPr>
        <w:t>frente a la regulación sumaria de los contratos del artículo 355 de la Constitución y los convenios de asociación, los artículos 6, 7 y 8 del Decreto 092 de 2017 disponen lo siguiente:</w:t>
      </w:r>
    </w:p>
    <w:p w14:paraId="1E661C1E" w14:textId="77777777" w:rsidR="00491966" w:rsidRPr="00513D8C" w:rsidRDefault="00491966" w:rsidP="00491966">
      <w:pPr>
        <w:spacing w:line="276" w:lineRule="auto"/>
        <w:ind w:firstLine="709"/>
        <w:jc w:val="both"/>
        <w:rPr>
          <w:rFonts w:ascii="Arial" w:eastAsia="Calibri" w:hAnsi="Arial" w:cs="Arial"/>
          <w:bCs/>
          <w:lang w:val="es-ES_tradnl"/>
        </w:rPr>
      </w:pPr>
    </w:p>
    <w:p w14:paraId="4E516411" w14:textId="65E66DB4" w:rsidR="00491966" w:rsidRPr="00513D8C" w:rsidRDefault="00491966" w:rsidP="00316089">
      <w:pPr>
        <w:spacing w:line="240" w:lineRule="auto"/>
        <w:ind w:left="709" w:right="709"/>
        <w:jc w:val="both"/>
        <w:rPr>
          <w:rFonts w:ascii="Arial" w:eastAsia="Calibri" w:hAnsi="Arial" w:cs="Arial"/>
          <w:sz w:val="21"/>
          <w:szCs w:val="21"/>
          <w:lang w:val="es-ES_tradnl"/>
        </w:rPr>
      </w:pPr>
      <w:r>
        <w:rPr>
          <w:rFonts w:ascii="Arial" w:eastAsia="Calibri" w:hAnsi="Arial" w:cs="Arial"/>
          <w:sz w:val="21"/>
          <w:szCs w:val="21"/>
          <w:lang w:val="es-ES_tradnl"/>
        </w:rPr>
        <w:t>“</w:t>
      </w:r>
      <w:r w:rsidRPr="00513D8C">
        <w:rPr>
          <w:rFonts w:ascii="Arial" w:eastAsia="Calibri" w:hAnsi="Arial" w:cs="Arial"/>
          <w:sz w:val="21"/>
          <w:szCs w:val="21"/>
          <w:lang w:val="es-ES_tradnl"/>
        </w:rPr>
        <w:t xml:space="preserve">Artículo 6°. Prohibiciones, inhabilidades e incompatibilidades. Las prohibiciones, inhabilidades e incompatibilidades establecidas en la Constitución </w:t>
      </w:r>
      <w:r w:rsidRPr="00513D8C">
        <w:rPr>
          <w:rFonts w:ascii="Arial" w:eastAsia="Calibri" w:hAnsi="Arial" w:cs="Arial"/>
          <w:sz w:val="21"/>
          <w:szCs w:val="21"/>
          <w:lang w:val="es-ES_tradnl"/>
        </w:rPr>
        <w:lastRenderedPageBreak/>
        <w:t>y en las Leyes 80 de 1993, 1150 de 2007 y 1474 de 2011, y en las normas que las modifiquen, aclaren, adicionen o sustituyan, o en cualquier otra norma especial, son aplicables a la contratación a la que hace referencia el presente decreto.</w:t>
      </w:r>
    </w:p>
    <w:p w14:paraId="2378D0B8" w14:textId="77777777" w:rsidR="00491966" w:rsidRPr="00513D8C" w:rsidRDefault="00491966" w:rsidP="00316089">
      <w:pPr>
        <w:spacing w:line="240" w:lineRule="auto"/>
        <w:ind w:left="709" w:right="709"/>
        <w:jc w:val="both"/>
        <w:rPr>
          <w:rFonts w:ascii="Arial" w:eastAsia="Calibri" w:hAnsi="Arial" w:cs="Arial"/>
          <w:sz w:val="21"/>
          <w:szCs w:val="21"/>
          <w:lang w:val="es-ES_tradnl"/>
        </w:rPr>
      </w:pPr>
    </w:p>
    <w:p w14:paraId="6CEBF5F0" w14:textId="77777777" w:rsidR="00491966" w:rsidRPr="00513D8C" w:rsidRDefault="00491966" w:rsidP="00316089">
      <w:pPr>
        <w:spacing w:line="240" w:lineRule="auto"/>
        <w:ind w:left="709" w:right="709"/>
        <w:jc w:val="both"/>
        <w:rPr>
          <w:rFonts w:ascii="Arial" w:eastAsia="Calibri" w:hAnsi="Arial" w:cs="Arial"/>
          <w:sz w:val="21"/>
          <w:szCs w:val="21"/>
          <w:lang w:val="es-ES_tradnl"/>
        </w:rPr>
      </w:pPr>
      <w:r w:rsidRPr="00513D8C">
        <w:rPr>
          <w:rFonts w:ascii="Arial" w:eastAsia="Calibri" w:hAnsi="Arial" w:cs="Arial"/>
          <w:sz w:val="21"/>
          <w:szCs w:val="21"/>
          <w:lang w:val="es-ES_tradnl"/>
        </w:rPr>
        <w:t>Artículo 7°. Aplicación de los principios de la contratación estatal. La contratación a la que hace referencia el presente decreto está sujeta a los principios de la contratación estatal y a las normas presupuestales aplicables […]</w:t>
      </w:r>
    </w:p>
    <w:p w14:paraId="3346E2E3" w14:textId="77777777" w:rsidR="00491966" w:rsidRPr="00513D8C" w:rsidRDefault="00491966" w:rsidP="00316089">
      <w:pPr>
        <w:spacing w:line="240" w:lineRule="auto"/>
        <w:ind w:left="709" w:right="709"/>
        <w:jc w:val="both"/>
        <w:rPr>
          <w:rFonts w:ascii="Arial" w:eastAsia="Calibri" w:hAnsi="Arial" w:cs="Arial"/>
          <w:sz w:val="21"/>
          <w:szCs w:val="21"/>
          <w:lang w:val="es-ES_tradnl"/>
        </w:rPr>
      </w:pPr>
    </w:p>
    <w:p w14:paraId="417AEB1E" w14:textId="356DCFA3" w:rsidR="00491966" w:rsidRPr="00513D8C" w:rsidRDefault="00491966" w:rsidP="00316089">
      <w:pPr>
        <w:spacing w:line="240" w:lineRule="auto"/>
        <w:ind w:left="709" w:right="709"/>
        <w:jc w:val="both"/>
        <w:rPr>
          <w:rFonts w:ascii="Arial" w:eastAsia="Calibri" w:hAnsi="Arial" w:cs="Arial"/>
          <w:sz w:val="21"/>
          <w:szCs w:val="21"/>
          <w:lang w:val="es-ES_tradnl"/>
        </w:rPr>
      </w:pPr>
      <w:r w:rsidRPr="00513D8C">
        <w:rPr>
          <w:rFonts w:ascii="Arial" w:eastAsia="Calibri" w:hAnsi="Arial" w:cs="Arial"/>
          <w:sz w:val="21"/>
          <w:szCs w:val="21"/>
          <w:lang w:val="es-ES_tradnl"/>
        </w:rPr>
        <w:t>Artículo 8°. Aplicación de normas generales del sistema de contratación pública. La contratación a la que hace referencia el presente decreto está sujeta a las normas generales aplicables a la contratación pública excepto en lo reglamentado en el presente decreto</w:t>
      </w:r>
      <w:r>
        <w:rPr>
          <w:rFonts w:ascii="Arial" w:eastAsia="Calibri" w:hAnsi="Arial" w:cs="Arial"/>
          <w:sz w:val="21"/>
          <w:szCs w:val="21"/>
          <w:lang w:val="es-ES_tradnl"/>
        </w:rPr>
        <w:t>”</w:t>
      </w:r>
      <w:r w:rsidRPr="00513D8C">
        <w:rPr>
          <w:rFonts w:ascii="Arial" w:eastAsia="Calibri" w:hAnsi="Arial" w:cs="Arial"/>
          <w:sz w:val="21"/>
          <w:szCs w:val="21"/>
          <w:lang w:val="es-ES_tradnl"/>
        </w:rPr>
        <w:t xml:space="preserve">. </w:t>
      </w:r>
    </w:p>
    <w:p w14:paraId="239AB0C5" w14:textId="77777777" w:rsidR="00491966" w:rsidRPr="00513D8C" w:rsidRDefault="00491966" w:rsidP="00491966">
      <w:pPr>
        <w:spacing w:line="276" w:lineRule="auto"/>
        <w:ind w:firstLine="709"/>
        <w:jc w:val="both"/>
        <w:rPr>
          <w:rFonts w:ascii="Arial" w:eastAsia="Calibri" w:hAnsi="Arial" w:cs="Arial"/>
          <w:bCs/>
          <w:lang w:val="es-MX"/>
        </w:rPr>
      </w:pPr>
    </w:p>
    <w:p w14:paraId="007C4B5D" w14:textId="77777777" w:rsidR="00491966" w:rsidRPr="00316089" w:rsidRDefault="00491966" w:rsidP="00491966">
      <w:pPr>
        <w:spacing w:line="276" w:lineRule="auto"/>
        <w:ind w:firstLine="709"/>
        <w:jc w:val="both"/>
        <w:rPr>
          <w:rFonts w:ascii="Arial" w:eastAsia="Calibri" w:hAnsi="Arial" w:cs="Arial"/>
          <w:bCs/>
          <w:lang w:val="es-CO"/>
        </w:rPr>
      </w:pPr>
      <w:r w:rsidRPr="00316089">
        <w:rPr>
          <w:rFonts w:ascii="Arial" w:eastAsia="Calibri" w:hAnsi="Arial" w:cs="Arial"/>
          <w:bCs/>
          <w:lang w:val="es-CO"/>
        </w:rPr>
        <w:t xml:space="preserve">Estas normas integran las lagunas o vacíos normativos del reglamento autónomo, y se aplican a todo lo que no esté expresamente regulado en él. Por ello no es posible aplicar ninguna de las disposiciones anteriormente citadas en temas como la competencia para celebrar los contratos del artículo 355 de la Constitución y la </w:t>
      </w:r>
      <w:proofErr w:type="spellStart"/>
      <w:r w:rsidRPr="00316089">
        <w:rPr>
          <w:rFonts w:ascii="Arial" w:eastAsia="Calibri" w:hAnsi="Arial" w:cs="Arial"/>
          <w:bCs/>
          <w:lang w:val="es-CO"/>
        </w:rPr>
        <w:t>indelegabilidad</w:t>
      </w:r>
      <w:proofErr w:type="spellEnd"/>
      <w:r w:rsidRPr="00316089">
        <w:rPr>
          <w:rFonts w:ascii="Arial" w:eastAsia="Calibri" w:hAnsi="Arial" w:cs="Arial"/>
          <w:bCs/>
          <w:lang w:val="es-CO"/>
        </w:rPr>
        <w:t xml:space="preserve"> de la autorización –art. 2–, la idoneidad de las ESAL –art. 3–, su registro en el SECOP –art. 9– y la inaplicación del registro único de proponentes –art. 10–. </w:t>
      </w:r>
    </w:p>
    <w:p w14:paraId="3B63E170" w14:textId="2D9B3128" w:rsidR="00491966" w:rsidRPr="00316089" w:rsidRDefault="00491966" w:rsidP="00491966">
      <w:pPr>
        <w:spacing w:before="120" w:line="276" w:lineRule="auto"/>
        <w:ind w:firstLine="708"/>
        <w:jc w:val="both"/>
        <w:rPr>
          <w:rFonts w:ascii="Arial" w:eastAsia="Calibri" w:hAnsi="Arial" w:cs="Arial"/>
          <w:lang w:val="es-CO"/>
        </w:rPr>
      </w:pPr>
      <w:r w:rsidRPr="00316089">
        <w:rPr>
          <w:rFonts w:ascii="Arial" w:hAnsi="Arial" w:cs="Arial"/>
          <w:lang w:val="es-CO" w:eastAsia="es-CO"/>
        </w:rPr>
        <w:t xml:space="preserve">Sobre la interpretación de estos artículos del </w:t>
      </w:r>
      <w:r w:rsidRPr="00316089">
        <w:rPr>
          <w:rFonts w:ascii="Arial" w:eastAsia="Calibri" w:hAnsi="Arial" w:cs="Arial"/>
          <w:lang w:val="es-CO"/>
        </w:rPr>
        <w:t xml:space="preserve">Decreto 092 de 2017, </w:t>
      </w:r>
      <w:r w:rsidRPr="00316089">
        <w:rPr>
          <w:rFonts w:ascii="Arial" w:hAnsi="Arial" w:cs="Arial"/>
          <w:lang w:val="es-CO" w:eastAsia="es-CO"/>
        </w:rPr>
        <w:t>esta Agencia en el</w:t>
      </w:r>
      <w:r w:rsidRPr="00316089">
        <w:rPr>
          <w:rFonts w:ascii="Arial" w:eastAsia="Calibri" w:hAnsi="Arial" w:cs="Arial"/>
          <w:lang w:val="es-CO"/>
        </w:rPr>
        <w:t xml:space="preserve"> Concepto C-223 del 29 de abril de 2020 señaló que cuando el artículo 8 menciona a las “[…] normas generales aplicables a la contratación pública […]”, bien podrían referirse a las disposiciones comunes del Estatuto General –</w:t>
      </w:r>
      <w:r w:rsidRPr="00316089">
        <w:rPr>
          <w:rFonts w:ascii="Arial" w:eastAsia="Calibri" w:hAnsi="Arial" w:cs="Arial"/>
          <w:i/>
          <w:iCs/>
          <w:lang w:val="es-CO"/>
        </w:rPr>
        <w:t xml:space="preserve">remisión parcial </w:t>
      </w:r>
      <w:proofErr w:type="spellStart"/>
      <w:r w:rsidRPr="00316089">
        <w:rPr>
          <w:rFonts w:ascii="Arial" w:eastAsia="Calibri" w:hAnsi="Arial" w:cs="Arial"/>
          <w:i/>
          <w:iCs/>
          <w:lang w:val="es-CO"/>
        </w:rPr>
        <w:t>latu</w:t>
      </w:r>
      <w:proofErr w:type="spellEnd"/>
      <w:r w:rsidRPr="00316089">
        <w:rPr>
          <w:rFonts w:ascii="Arial" w:eastAsia="Calibri" w:hAnsi="Arial" w:cs="Arial"/>
          <w:i/>
          <w:iCs/>
          <w:lang w:val="es-CO"/>
        </w:rPr>
        <w:t xml:space="preserve"> sensu</w:t>
      </w:r>
      <w:r w:rsidRPr="00316089">
        <w:rPr>
          <w:rFonts w:ascii="Arial" w:eastAsia="Calibri" w:hAnsi="Arial" w:cs="Arial"/>
          <w:lang w:val="es-CO"/>
        </w:rPr>
        <w:t>– o a la totalidad de la Ley 80 de 1993 –</w:t>
      </w:r>
      <w:r w:rsidRPr="00316089">
        <w:rPr>
          <w:rFonts w:ascii="Arial" w:eastAsia="Calibri" w:hAnsi="Arial" w:cs="Arial"/>
          <w:i/>
          <w:iCs/>
          <w:lang w:val="es-CO"/>
        </w:rPr>
        <w:t>remisión integral</w:t>
      </w:r>
      <w:r w:rsidRPr="00316089">
        <w:rPr>
          <w:rFonts w:ascii="Arial" w:eastAsia="Calibri" w:hAnsi="Arial" w:cs="Arial"/>
          <w:lang w:val="es-CO"/>
        </w:rPr>
        <w:t xml:space="preserve">–. En esta medida, determinar el alcance de la remisión del artículo 8 del Decreto 092 requiere considerar que no hay lugar a distinguir entre normas de carácter general o especial dentro del Estatuto de Contratación de la Administración Pública, ya que de la competencia dispuesta en el inciso final del artículo 150 de la Constitución Política se desprende que todas estas disposiciones regulan con el mismo grado de generalidad la actividad contractual del Estado.     </w:t>
      </w:r>
    </w:p>
    <w:p w14:paraId="01CC5771" w14:textId="77777777" w:rsidR="00491966" w:rsidRPr="00513D8C" w:rsidRDefault="00491966" w:rsidP="00491966">
      <w:pPr>
        <w:spacing w:before="120" w:line="276" w:lineRule="auto"/>
        <w:ind w:firstLine="708"/>
        <w:jc w:val="both"/>
        <w:rPr>
          <w:rFonts w:ascii="Arial" w:eastAsia="Calibri" w:hAnsi="Arial" w:cs="Arial"/>
          <w:lang w:val="es-ES_tradnl"/>
        </w:rPr>
      </w:pPr>
      <w:r w:rsidRPr="00513D8C">
        <w:rPr>
          <w:rFonts w:ascii="Arial" w:eastAsia="Calibri" w:hAnsi="Arial" w:cs="Arial"/>
          <w:lang w:val="es-ES_tradnl"/>
        </w:rPr>
        <w:t xml:space="preserve">Por ello, considerando que la Ley 80 de 1993 tiene el mismo grado de generalidad, se concluyó que el artículo 8 del Decreto 092 de 2017 remite integralmente al Estatuto de Contratación. Esta remisión alcanza tanto el régimen de inhabilidades e incompatibilidades como los principios aplicables a la contratación estatal. Por tanto, los artículos 6, 7 y 8 del reglamento autónomo deben interpretarse en bloque, es decir, aplicando la Ley 80 de 1993 a todo supuesto que no esté expresamente regulado en el Decreto 092 de 2017.  </w:t>
      </w:r>
    </w:p>
    <w:p w14:paraId="17432926" w14:textId="24684F7C" w:rsidR="00491966" w:rsidRDefault="00491966" w:rsidP="00491966">
      <w:pPr>
        <w:spacing w:before="120" w:line="276" w:lineRule="auto"/>
        <w:ind w:firstLine="708"/>
        <w:jc w:val="both"/>
        <w:rPr>
          <w:rFonts w:ascii="Arial" w:eastAsia="Calibri" w:hAnsi="Arial" w:cs="Arial"/>
          <w:lang w:val="es-ES_tradnl"/>
        </w:rPr>
      </w:pPr>
      <w:r w:rsidRPr="00513D8C">
        <w:rPr>
          <w:rFonts w:ascii="Arial" w:eastAsia="Calibri" w:hAnsi="Arial" w:cs="Arial"/>
          <w:lang w:val="es-ES_tradnl"/>
        </w:rPr>
        <w:t xml:space="preserve">En esta medida, los </w:t>
      </w:r>
      <w:r w:rsidRPr="00513D8C">
        <w:rPr>
          <w:rFonts w:ascii="Arial" w:eastAsia="Calibri" w:hAnsi="Arial" w:cs="Arial"/>
          <w:i/>
          <w:iCs/>
          <w:lang w:val="es-ES_tradnl"/>
        </w:rPr>
        <w:t xml:space="preserve">contratos del artículo 355 de la Constitución  </w:t>
      </w:r>
      <w:r w:rsidRPr="00513D8C">
        <w:rPr>
          <w:rFonts w:ascii="Arial" w:eastAsia="Calibri" w:hAnsi="Arial" w:cs="Arial"/>
          <w:lang w:val="es-ES_tradnl"/>
        </w:rPr>
        <w:t xml:space="preserve">y los </w:t>
      </w:r>
      <w:r w:rsidRPr="00513D8C">
        <w:rPr>
          <w:rFonts w:ascii="Arial" w:eastAsia="Calibri" w:hAnsi="Arial" w:cs="Arial"/>
          <w:i/>
          <w:iCs/>
          <w:lang w:val="es-ES_tradnl"/>
        </w:rPr>
        <w:t>convenios de asociación</w:t>
      </w:r>
      <w:r w:rsidRPr="00513D8C">
        <w:rPr>
          <w:rFonts w:ascii="Arial" w:eastAsia="Calibri" w:hAnsi="Arial" w:cs="Arial"/>
          <w:lang w:val="es-ES_tradnl"/>
        </w:rPr>
        <w:t xml:space="preserve"> se rigen por el decreto y las normas del Estatuto General que sean compatibles con él, como, por ejemplo, los fines de la contratación –art. 3–, los derechos y deberes del contratante y del contratista –arts. 4 y 5–, los consorcios o uniones temporales –art. 7–, el </w:t>
      </w:r>
      <w:r w:rsidRPr="00513D8C">
        <w:rPr>
          <w:rFonts w:ascii="Arial" w:eastAsia="Calibri" w:hAnsi="Arial" w:cs="Arial"/>
          <w:lang w:val="es-ES_tradnl"/>
        </w:rPr>
        <w:lastRenderedPageBreak/>
        <w:t>régimen de inhabilidades e incompatibilidades –art. 8–, los principios de la contratación estatal –art. 23 y ss.–, las tipologías contractuales –art. 32–, el contenido del contrato</w:t>
      </w:r>
      <w:r w:rsidR="00F25050">
        <w:rPr>
          <w:rFonts w:ascii="Arial" w:eastAsia="Calibri" w:hAnsi="Arial" w:cs="Arial"/>
          <w:lang w:val="es-ES_tradnl"/>
        </w:rPr>
        <w:t>,</w:t>
      </w:r>
      <w:r w:rsidRPr="00513D8C">
        <w:rPr>
          <w:rFonts w:ascii="Arial" w:eastAsia="Calibri" w:hAnsi="Arial" w:cs="Arial"/>
          <w:lang w:val="es-ES_tradnl"/>
        </w:rPr>
        <w:t xml:space="preserve"> la prohibición de adicionarlo en más del cincuenta por ciento</w:t>
      </w:r>
      <w:r w:rsidR="00F25050">
        <w:rPr>
          <w:rFonts w:ascii="Arial" w:eastAsia="Calibri" w:hAnsi="Arial" w:cs="Arial"/>
          <w:lang w:val="es-ES_tradnl"/>
        </w:rPr>
        <w:t xml:space="preserve"> y el límite a los anticipos</w:t>
      </w:r>
      <w:r w:rsidRPr="00513D8C">
        <w:rPr>
          <w:rFonts w:ascii="Arial" w:eastAsia="Calibri" w:hAnsi="Arial" w:cs="Arial"/>
          <w:lang w:val="es-ES_tradnl"/>
        </w:rPr>
        <w:t xml:space="preserve"> –art. 40–, el régimen de perfeccionamiento –art. 41–, las causales de nulidad –art. 44 y ss.–, el régimen de responsabilidad contractual –art. 50 y ss.– y de liquidación de los contratos –art. 60–. </w:t>
      </w:r>
    </w:p>
    <w:p w14:paraId="05E91F4C" w14:textId="45C7A188" w:rsidR="00EE68AC" w:rsidRDefault="00C30D30" w:rsidP="00491966">
      <w:pPr>
        <w:spacing w:before="120" w:line="276" w:lineRule="auto"/>
        <w:ind w:firstLine="708"/>
        <w:jc w:val="both"/>
        <w:rPr>
          <w:rFonts w:ascii="Arial" w:eastAsia="Calibri" w:hAnsi="Arial" w:cs="Arial"/>
          <w:lang w:val="es-ES_tradnl"/>
        </w:rPr>
      </w:pPr>
      <w:r>
        <w:rPr>
          <w:rFonts w:ascii="Arial" w:eastAsia="Calibri" w:hAnsi="Arial" w:cs="Arial"/>
          <w:lang w:val="es-ES_tradnl"/>
        </w:rPr>
        <w:t>Conforme a lo anterior, en virtud de la arti</w:t>
      </w:r>
      <w:r w:rsidR="00BD7316">
        <w:rPr>
          <w:rFonts w:ascii="Arial" w:eastAsia="Calibri" w:hAnsi="Arial" w:cs="Arial"/>
          <w:lang w:val="es-ES_tradnl"/>
        </w:rPr>
        <w:t xml:space="preserve">culación normativa dispuesta por el artículo </w:t>
      </w:r>
      <w:r w:rsidR="00D05337">
        <w:rPr>
          <w:rFonts w:ascii="Arial" w:eastAsia="Calibri" w:hAnsi="Arial" w:cs="Arial"/>
          <w:lang w:val="es-ES_tradnl"/>
        </w:rPr>
        <w:t xml:space="preserve">8 del Decreto 092 de 2017, y comoquiera que no hay en esta última norma una regulación de los anticipos, </w:t>
      </w:r>
      <w:r w:rsidR="00FC3D4B">
        <w:rPr>
          <w:rFonts w:ascii="Arial" w:eastAsia="Calibri" w:hAnsi="Arial" w:cs="Arial"/>
          <w:lang w:val="es-ES_tradnl"/>
        </w:rPr>
        <w:t xml:space="preserve">es claro que </w:t>
      </w:r>
      <w:r w:rsidR="00D11AAE">
        <w:rPr>
          <w:rFonts w:ascii="Arial" w:eastAsia="Calibri" w:hAnsi="Arial" w:cs="Arial"/>
          <w:lang w:val="es-ES_tradnl"/>
        </w:rPr>
        <w:t xml:space="preserve">estos en los convenios de asociación se encuentran regidos por lo dispuesto en el parágrafo del artículo 40 de la Ley </w:t>
      </w:r>
      <w:r w:rsidR="00A94D82">
        <w:rPr>
          <w:rFonts w:ascii="Arial" w:eastAsia="Calibri" w:hAnsi="Arial" w:cs="Arial"/>
          <w:lang w:val="es-ES_tradnl"/>
        </w:rPr>
        <w:t>80 de 1993</w:t>
      </w:r>
      <w:r w:rsidR="00545DAA">
        <w:rPr>
          <w:rFonts w:ascii="Arial" w:eastAsia="Calibri" w:hAnsi="Arial" w:cs="Arial"/>
          <w:lang w:val="es-ES_tradnl"/>
        </w:rPr>
        <w:t>, y les resulta aplicable</w:t>
      </w:r>
      <w:r w:rsidR="00C2762B">
        <w:rPr>
          <w:rFonts w:ascii="Arial" w:eastAsia="Calibri" w:hAnsi="Arial" w:cs="Arial"/>
          <w:lang w:val="es-ES_tradnl"/>
        </w:rPr>
        <w:t xml:space="preserve"> lo dispuesto en el numeral 1 del artículo </w:t>
      </w:r>
      <w:r w:rsidR="00C2762B" w:rsidRPr="00C2762B">
        <w:rPr>
          <w:rFonts w:ascii="Arial" w:eastAsia="Calibri" w:hAnsi="Arial" w:cs="Arial"/>
          <w:lang w:val="es-ES_tradnl"/>
        </w:rPr>
        <w:t>2.2.1.2.3.1.7</w:t>
      </w:r>
      <w:r w:rsidR="00C2762B">
        <w:rPr>
          <w:rFonts w:ascii="Arial" w:eastAsia="Calibri" w:hAnsi="Arial" w:cs="Arial"/>
          <w:lang w:val="es-ES_tradnl"/>
        </w:rPr>
        <w:t xml:space="preserve"> del Decreto 1082 de 2015.</w:t>
      </w:r>
      <w:r w:rsidR="00A94D82">
        <w:rPr>
          <w:rFonts w:ascii="Arial" w:eastAsia="Calibri" w:hAnsi="Arial" w:cs="Arial"/>
          <w:lang w:val="es-ES_tradnl"/>
        </w:rPr>
        <w:t xml:space="preserve"> </w:t>
      </w:r>
      <w:r w:rsidR="00EE68AC">
        <w:rPr>
          <w:rFonts w:ascii="Arial" w:eastAsia="Calibri" w:hAnsi="Arial" w:cs="Arial"/>
          <w:lang w:val="es-ES_tradnl"/>
        </w:rPr>
        <w:t>En virtud de esto</w:t>
      </w:r>
      <w:r w:rsidR="00A94D82">
        <w:rPr>
          <w:rFonts w:ascii="Arial" w:eastAsia="Calibri" w:hAnsi="Arial" w:cs="Arial"/>
          <w:lang w:val="es-ES_tradnl"/>
        </w:rPr>
        <w:t>, los anticipos que se hagan con cargo a los aporte</w:t>
      </w:r>
      <w:r w:rsidR="00255323">
        <w:rPr>
          <w:rFonts w:ascii="Arial" w:eastAsia="Calibri" w:hAnsi="Arial" w:cs="Arial"/>
          <w:lang w:val="es-ES_tradnl"/>
        </w:rPr>
        <w:t>s</w:t>
      </w:r>
      <w:r w:rsidR="00A94D82">
        <w:rPr>
          <w:rFonts w:ascii="Arial" w:eastAsia="Calibri" w:hAnsi="Arial" w:cs="Arial"/>
          <w:lang w:val="es-ES_tradnl"/>
        </w:rPr>
        <w:t xml:space="preserve"> de la respectiva entidad </w:t>
      </w:r>
      <w:r w:rsidR="000953E8">
        <w:rPr>
          <w:rFonts w:ascii="Arial" w:eastAsia="Calibri" w:hAnsi="Arial" w:cs="Arial"/>
          <w:lang w:val="es-ES_tradnl"/>
        </w:rPr>
        <w:t>estatal no</w:t>
      </w:r>
      <w:r w:rsidR="00331B2E">
        <w:rPr>
          <w:rFonts w:ascii="Arial" w:eastAsia="Calibri" w:hAnsi="Arial" w:cs="Arial"/>
          <w:lang w:val="es-ES_tradnl"/>
        </w:rPr>
        <w:t xml:space="preserve"> podrán exceder el cincuenta por ciento (</w:t>
      </w:r>
      <w:r w:rsidR="00EE68AC">
        <w:rPr>
          <w:rFonts w:ascii="Arial" w:eastAsia="Calibri" w:hAnsi="Arial" w:cs="Arial"/>
          <w:lang w:val="es-ES_tradnl"/>
        </w:rPr>
        <w:t>50%) del valor del contrato</w:t>
      </w:r>
      <w:r w:rsidR="00545DAA">
        <w:rPr>
          <w:rFonts w:ascii="Arial" w:eastAsia="Calibri" w:hAnsi="Arial" w:cs="Arial"/>
          <w:lang w:val="es-ES_tradnl"/>
        </w:rPr>
        <w:t xml:space="preserve">, y ameritaran </w:t>
      </w:r>
      <w:r w:rsidR="00C2762B">
        <w:rPr>
          <w:rFonts w:ascii="Arial" w:eastAsia="Calibri" w:hAnsi="Arial" w:cs="Arial"/>
          <w:lang w:val="es-ES_tradnl"/>
        </w:rPr>
        <w:t>la co</w:t>
      </w:r>
      <w:r w:rsidR="00D234D0">
        <w:rPr>
          <w:rFonts w:ascii="Arial" w:eastAsia="Calibri" w:hAnsi="Arial" w:cs="Arial"/>
          <w:lang w:val="es-ES_tradnl"/>
        </w:rPr>
        <w:t>nstitución de garantía que ampare el b</w:t>
      </w:r>
      <w:r w:rsidR="00D234D0" w:rsidRPr="00D234D0">
        <w:rPr>
          <w:rFonts w:ascii="Arial" w:eastAsia="Calibri" w:hAnsi="Arial" w:cs="Arial"/>
          <w:lang w:val="es-ES_tradnl"/>
        </w:rPr>
        <w:t>uen manejo y correcta inversión del anticipo.</w:t>
      </w:r>
      <w:r w:rsidR="00EE68AC">
        <w:rPr>
          <w:rFonts w:ascii="Arial" w:eastAsia="Calibri" w:hAnsi="Arial" w:cs="Arial"/>
          <w:lang w:val="es-ES_tradnl"/>
        </w:rPr>
        <w:t xml:space="preserve"> </w:t>
      </w:r>
    </w:p>
    <w:p w14:paraId="64379B29" w14:textId="77777777" w:rsidR="00D234D0" w:rsidRDefault="00D234D0" w:rsidP="00316089">
      <w:pPr>
        <w:spacing w:line="240" w:lineRule="auto"/>
        <w:ind w:firstLine="708"/>
        <w:jc w:val="both"/>
        <w:rPr>
          <w:rFonts w:ascii="Arial" w:eastAsia="Calibri" w:hAnsi="Arial" w:cs="Arial"/>
          <w:lang w:val="es-ES_tradnl"/>
        </w:rPr>
      </w:pPr>
    </w:p>
    <w:p w14:paraId="421F15FA" w14:textId="4746AA36" w:rsidR="00313ABA" w:rsidRPr="00277113" w:rsidRDefault="00E329B6" w:rsidP="00594136">
      <w:pPr>
        <w:pStyle w:val="Prrafodelista"/>
        <w:numPr>
          <w:ilvl w:val="0"/>
          <w:numId w:val="11"/>
        </w:numPr>
        <w:spacing w:before="120" w:line="240" w:lineRule="auto"/>
        <w:ind w:left="360"/>
        <w:jc w:val="both"/>
        <w:rPr>
          <w:rFonts w:ascii="Arial" w:eastAsia="Calibri" w:hAnsi="Arial" w:cs="Arial"/>
          <w:lang w:val="es-ES_tradnl"/>
        </w:rPr>
      </w:pPr>
      <w:r w:rsidRPr="00277113">
        <w:rPr>
          <w:rFonts w:ascii="Arial" w:eastAsia="Calibri" w:hAnsi="Arial" w:cs="Arial"/>
          <w:b/>
          <w:lang w:val="es-ES_tradnl"/>
        </w:rPr>
        <w:t>Respuesta</w:t>
      </w:r>
    </w:p>
    <w:p w14:paraId="4F3E10CF" w14:textId="77777777" w:rsidR="00391CF6" w:rsidRPr="00277113" w:rsidRDefault="00391CF6" w:rsidP="00391CF6">
      <w:pPr>
        <w:spacing w:line="240" w:lineRule="auto"/>
        <w:ind w:right="709"/>
        <w:jc w:val="both"/>
        <w:rPr>
          <w:rFonts w:ascii="Arial" w:hAnsi="Arial" w:cs="Arial"/>
          <w:sz w:val="21"/>
          <w:szCs w:val="21"/>
          <w:lang w:val="es-CO"/>
        </w:rPr>
      </w:pPr>
    </w:p>
    <w:p w14:paraId="2D98FBEF" w14:textId="0587C0C1" w:rsidR="00391CF6" w:rsidRPr="00277113" w:rsidRDefault="00391CF6" w:rsidP="00391CF6">
      <w:pPr>
        <w:spacing w:line="240" w:lineRule="auto"/>
        <w:ind w:left="709" w:right="709"/>
        <w:jc w:val="both"/>
        <w:rPr>
          <w:rFonts w:ascii="Arial" w:hAnsi="Arial" w:cs="Arial"/>
          <w:sz w:val="21"/>
          <w:szCs w:val="21"/>
          <w:lang w:val="es-CO"/>
        </w:rPr>
      </w:pPr>
      <w:r w:rsidRPr="00277113">
        <w:rPr>
          <w:rFonts w:ascii="Arial" w:hAnsi="Arial" w:cs="Arial"/>
          <w:sz w:val="21"/>
          <w:szCs w:val="21"/>
          <w:lang w:val="es-CO"/>
        </w:rPr>
        <w:t>“1. En convenios (sea directos o competitivos) de Decreto 092 de 2017, se deben realizar anticipos y/o pagos anticipados sin excederse del 50% señalado en la ley 80? O el carácter de especialidad les permite pactar pagos superiores al 80%?</w:t>
      </w:r>
    </w:p>
    <w:p w14:paraId="38A749FE" w14:textId="77777777" w:rsidR="00391CF6" w:rsidRPr="00277113" w:rsidRDefault="00391CF6" w:rsidP="00391CF6">
      <w:pPr>
        <w:spacing w:line="240" w:lineRule="auto"/>
        <w:ind w:left="709" w:right="709"/>
        <w:jc w:val="both"/>
        <w:rPr>
          <w:rFonts w:ascii="Arial" w:hAnsi="Arial" w:cs="Arial"/>
          <w:sz w:val="21"/>
          <w:szCs w:val="21"/>
          <w:lang w:val="es-CO"/>
        </w:rPr>
      </w:pPr>
    </w:p>
    <w:p w14:paraId="62974B5D" w14:textId="01309C8C" w:rsidR="00391CF6" w:rsidRPr="00277113" w:rsidRDefault="00391CF6" w:rsidP="00391CF6">
      <w:pPr>
        <w:spacing w:line="240" w:lineRule="auto"/>
        <w:ind w:left="709" w:right="709"/>
        <w:jc w:val="both"/>
        <w:rPr>
          <w:rFonts w:ascii="Arial" w:hAnsi="Arial" w:cs="Arial"/>
          <w:sz w:val="21"/>
          <w:szCs w:val="21"/>
          <w:lang w:val="es-CO"/>
        </w:rPr>
      </w:pPr>
      <w:r w:rsidRPr="00277113">
        <w:rPr>
          <w:rFonts w:ascii="Arial" w:hAnsi="Arial" w:cs="Arial"/>
          <w:sz w:val="21"/>
          <w:szCs w:val="21"/>
          <w:lang w:val="es-CO"/>
        </w:rPr>
        <w:t xml:space="preserve">2. </w:t>
      </w:r>
      <w:proofErr w:type="gramStart"/>
      <w:r w:rsidRPr="00277113">
        <w:rPr>
          <w:rFonts w:ascii="Arial" w:hAnsi="Arial" w:cs="Arial"/>
          <w:sz w:val="21"/>
          <w:szCs w:val="21"/>
          <w:lang w:val="es-CO"/>
        </w:rPr>
        <w:t>Si la respuesta anterior es afirmativa, obligaría a la constitución de garantía correspondiente al contratista del convenio?</w:t>
      </w:r>
      <w:proofErr w:type="gramEnd"/>
      <w:r w:rsidRPr="00277113">
        <w:rPr>
          <w:rFonts w:ascii="Arial" w:hAnsi="Arial" w:cs="Arial"/>
          <w:sz w:val="21"/>
          <w:szCs w:val="21"/>
          <w:lang w:val="es-ES_tradnl"/>
        </w:rPr>
        <w:t>”.</w:t>
      </w:r>
    </w:p>
    <w:p w14:paraId="613312BD" w14:textId="77777777" w:rsidR="00391CF6" w:rsidRPr="00277113" w:rsidRDefault="00391CF6" w:rsidP="00391CF6">
      <w:pPr>
        <w:spacing w:line="276" w:lineRule="auto"/>
        <w:jc w:val="both"/>
        <w:rPr>
          <w:rFonts w:ascii="Arial" w:hAnsi="Arial" w:cs="Arial"/>
          <w:lang w:val="es-ES_tradnl"/>
        </w:rPr>
      </w:pPr>
    </w:p>
    <w:p w14:paraId="58BEE571" w14:textId="77777777" w:rsidR="007D6807" w:rsidRDefault="00604FCE" w:rsidP="007D6807">
      <w:pPr>
        <w:spacing w:after="120" w:line="276" w:lineRule="auto"/>
        <w:jc w:val="both"/>
        <w:rPr>
          <w:rFonts w:ascii="Arial" w:eastAsia="Calibri" w:hAnsi="Arial" w:cs="Arial"/>
          <w:lang w:val="es-ES_tradnl"/>
        </w:rPr>
      </w:pPr>
      <w:r>
        <w:rPr>
          <w:rFonts w:ascii="Arial" w:eastAsia="Calibri" w:hAnsi="Arial" w:cs="Arial"/>
          <w:lang w:val="es-ES_tradnl"/>
        </w:rPr>
        <w:t xml:space="preserve">De acuerdo con lo expuesto, </w:t>
      </w:r>
      <w:r w:rsidR="00B61C8F">
        <w:rPr>
          <w:rFonts w:ascii="Arial" w:eastAsia="Calibri" w:hAnsi="Arial" w:cs="Arial"/>
          <w:lang w:val="es-ES_tradnl"/>
        </w:rPr>
        <w:t xml:space="preserve">lo señalado en el parágrafo del artículo 40 de la Ley 80 de 1993 y en el artículo </w:t>
      </w:r>
      <w:r w:rsidR="00B61C8F" w:rsidRPr="00B61C8F">
        <w:rPr>
          <w:rFonts w:ascii="Arial" w:eastAsia="Calibri" w:hAnsi="Arial" w:cs="Arial"/>
          <w:lang w:val="es-ES_tradnl"/>
        </w:rPr>
        <w:t>2.2.1.2.3.1.7 del Decreto 1082 de 2015</w:t>
      </w:r>
      <w:r w:rsidR="00B61C8F">
        <w:rPr>
          <w:rFonts w:ascii="Arial" w:eastAsia="Calibri" w:hAnsi="Arial" w:cs="Arial"/>
          <w:lang w:val="es-ES_tradnl"/>
        </w:rPr>
        <w:t xml:space="preserve"> resulta aplicable </w:t>
      </w:r>
      <w:r w:rsidR="009569BD">
        <w:rPr>
          <w:rFonts w:ascii="Arial" w:eastAsia="Calibri" w:hAnsi="Arial" w:cs="Arial"/>
          <w:lang w:val="es-ES_tradnl"/>
        </w:rPr>
        <w:t xml:space="preserve">en los convenios de asociación celebrados con arreglo a lo dispuesto en el artículo 5 del Decreto 092 de 2017. Esto en virtud de la remisión que el artículo 8 del </w:t>
      </w:r>
      <w:r w:rsidR="003E3A2C">
        <w:rPr>
          <w:rFonts w:ascii="Arial" w:eastAsia="Calibri" w:hAnsi="Arial" w:cs="Arial"/>
          <w:lang w:val="es-ES_tradnl"/>
        </w:rPr>
        <w:t>Decreto 092 de 2017,</w:t>
      </w:r>
      <w:r w:rsidR="005227F4">
        <w:rPr>
          <w:rFonts w:ascii="Arial" w:eastAsia="Calibri" w:hAnsi="Arial" w:cs="Arial"/>
          <w:lang w:val="es-ES_tradnl"/>
        </w:rPr>
        <w:t xml:space="preserve"> el cual indica que </w:t>
      </w:r>
      <w:r w:rsidR="005227F4" w:rsidRPr="00316089">
        <w:rPr>
          <w:rFonts w:ascii="Arial" w:eastAsia="Calibri" w:hAnsi="Arial" w:cs="Arial"/>
          <w:i/>
          <w:iCs/>
          <w:lang w:val="es-ES_tradnl"/>
        </w:rPr>
        <w:t>“La contratación a la que hace referencia el presente decreto está sujeta a las normas generales aplicables a la contratación pública excepto en lo reglamentado en el presente decreto”.</w:t>
      </w:r>
      <w:r w:rsidR="005227F4" w:rsidRPr="005227F4">
        <w:rPr>
          <w:rFonts w:ascii="Arial" w:eastAsia="Calibri" w:hAnsi="Arial" w:cs="Arial"/>
          <w:lang w:val="es-ES_tradnl"/>
        </w:rPr>
        <w:t xml:space="preserve"> </w:t>
      </w:r>
      <w:r w:rsidR="005227F4">
        <w:rPr>
          <w:rFonts w:ascii="Arial" w:eastAsia="Calibri" w:hAnsi="Arial" w:cs="Arial"/>
          <w:lang w:val="es-ES_tradnl"/>
        </w:rPr>
        <w:t xml:space="preserve"> </w:t>
      </w:r>
    </w:p>
    <w:p w14:paraId="3D70745C" w14:textId="2D272D51" w:rsidR="00604FCE" w:rsidRDefault="005227F4" w:rsidP="00316089">
      <w:pPr>
        <w:spacing w:before="120" w:line="276" w:lineRule="auto"/>
        <w:ind w:firstLine="720"/>
        <w:jc w:val="both"/>
        <w:rPr>
          <w:rFonts w:ascii="Arial" w:hAnsi="Arial" w:cs="Arial"/>
          <w:lang w:val="es-ES_tradnl"/>
        </w:rPr>
      </w:pPr>
      <w:r>
        <w:rPr>
          <w:rFonts w:ascii="Arial" w:eastAsia="Calibri" w:hAnsi="Arial" w:cs="Arial"/>
          <w:lang w:val="es-ES_tradnl"/>
        </w:rPr>
        <w:t xml:space="preserve">En ese sentido, no habiendo una regulación especial de los anticipos en el Decreto 092 de 2017, es claro que </w:t>
      </w:r>
      <w:r w:rsidR="007D6807">
        <w:rPr>
          <w:rFonts w:ascii="Arial" w:eastAsia="Calibri" w:hAnsi="Arial" w:cs="Arial"/>
          <w:lang w:val="es-ES_tradnl"/>
        </w:rPr>
        <w:t>los anticipos que se pacten en el marco de convenios de asociación deberán sujetarse a estas disposiciones. Esto significa que en estos negocios jurídicos los anticipos que se convengan no podrán superar el cincuenta por ciento (50%) del valor del contrato y exigirán la constituci</w:t>
      </w:r>
      <w:r w:rsidR="00EE0D6A">
        <w:rPr>
          <w:rFonts w:ascii="Arial" w:eastAsia="Calibri" w:hAnsi="Arial" w:cs="Arial"/>
          <w:lang w:val="es-ES_tradnl"/>
        </w:rPr>
        <w:t>ón de garantía que ampare el b</w:t>
      </w:r>
      <w:r w:rsidR="00EE0D6A" w:rsidRPr="00D234D0">
        <w:rPr>
          <w:rFonts w:ascii="Arial" w:eastAsia="Calibri" w:hAnsi="Arial" w:cs="Arial"/>
          <w:lang w:val="es-ES_tradnl"/>
        </w:rPr>
        <w:t>uen manejo y correcta inversión del anticipo.</w:t>
      </w:r>
      <w:r w:rsidR="00EE0D6A">
        <w:rPr>
          <w:rFonts w:ascii="Arial" w:eastAsia="Calibri" w:hAnsi="Arial" w:cs="Arial"/>
          <w:lang w:val="es-ES_tradnl"/>
        </w:rPr>
        <w:t xml:space="preserve"> </w:t>
      </w:r>
    </w:p>
    <w:p w14:paraId="582B7842" w14:textId="77777777" w:rsidR="00AE6892" w:rsidRDefault="00AE6892" w:rsidP="00316089">
      <w:pPr>
        <w:spacing w:line="276" w:lineRule="auto"/>
        <w:jc w:val="both"/>
        <w:textAlignment w:val="baseline"/>
        <w:rPr>
          <w:rFonts w:ascii="Arial" w:hAnsi="Arial" w:cs="Arial"/>
          <w:lang w:val="es-ES_tradnl"/>
        </w:rPr>
      </w:pPr>
    </w:p>
    <w:p w14:paraId="047FBB6E" w14:textId="50106758" w:rsidR="00567D1C" w:rsidRPr="00596B50" w:rsidRDefault="00A92E43" w:rsidP="00596B50">
      <w:pPr>
        <w:spacing w:after="120" w:line="276" w:lineRule="auto"/>
        <w:jc w:val="both"/>
        <w:textAlignment w:val="baseline"/>
        <w:rPr>
          <w:rFonts w:ascii="Arial" w:eastAsia="Calibri" w:hAnsi="Arial" w:cs="Arial"/>
          <w:lang w:val="es-ES_tradnl" w:eastAsia="es-ES_tradnl"/>
        </w:rPr>
      </w:pPr>
      <w:r w:rsidRPr="00277113">
        <w:rPr>
          <w:rFonts w:ascii="Arial" w:hAnsi="Arial" w:cs="Arial"/>
          <w:lang w:val="es-ES_tradnl"/>
        </w:rPr>
        <w:lastRenderedPageBreak/>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1A3838B4" w14:textId="587D8CE8" w:rsidR="00AF097F" w:rsidRDefault="00A92E43" w:rsidP="00567D1C">
      <w:pPr>
        <w:spacing w:line="276" w:lineRule="auto"/>
        <w:jc w:val="both"/>
        <w:rPr>
          <w:rFonts w:ascii="Arial" w:hAnsi="Arial" w:cs="Arial"/>
          <w:lang w:val="es-ES_tradnl"/>
        </w:rPr>
      </w:pPr>
      <w:r w:rsidRPr="00277113">
        <w:rPr>
          <w:rFonts w:ascii="Arial" w:hAnsi="Arial" w:cs="Arial"/>
          <w:lang w:val="es-ES_tradnl"/>
        </w:rPr>
        <w:t>Atentamente,</w:t>
      </w:r>
    </w:p>
    <w:p w14:paraId="3CA21A63" w14:textId="262936A2" w:rsidR="00AF097F" w:rsidRPr="00277113" w:rsidRDefault="00872CC9" w:rsidP="00872CC9">
      <w:pPr>
        <w:spacing w:line="276" w:lineRule="auto"/>
        <w:jc w:val="center"/>
        <w:rPr>
          <w:rFonts w:ascii="Arial" w:hAnsi="Arial" w:cs="Arial"/>
          <w:lang w:val="es-ES_tradnl"/>
        </w:rPr>
      </w:pPr>
      <w:r>
        <w:rPr>
          <w:rFonts w:ascii="Arial" w:hAnsi="Arial" w:cs="Arial"/>
          <w:noProof/>
          <w:color w:val="000000"/>
          <w:shd w:val="clear" w:color="auto" w:fill="FFFFFF"/>
          <w:lang w:val="es-ES"/>
        </w:rPr>
        <w:drawing>
          <wp:inline distT="0" distB="0" distL="0" distR="0" wp14:anchorId="1706DBC7" wp14:editId="70F30E0A">
            <wp:extent cx="3157220" cy="1207770"/>
            <wp:effectExtent l="0" t="0" r="5080" b="0"/>
            <wp:docPr id="3" name="Imagen 3"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Texto&#10;&#10;Descripción generada automáticament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157220" cy="1207770"/>
                    </a:xfrm>
                    <a:prstGeom prst="rect">
                      <a:avLst/>
                    </a:prstGeom>
                    <a:noFill/>
                    <a:ln>
                      <a:noFill/>
                    </a:ln>
                  </pic:spPr>
                </pic:pic>
              </a:graphicData>
            </a:graphic>
          </wp:inline>
        </w:drawing>
      </w:r>
    </w:p>
    <w:p w14:paraId="681C7C98" w14:textId="6C7210E9" w:rsidR="005213BA" w:rsidRPr="00277113" w:rsidRDefault="005213BA" w:rsidP="005213BA">
      <w:pPr>
        <w:spacing w:line="240" w:lineRule="auto"/>
        <w:jc w:val="both"/>
        <w:rPr>
          <w:rFonts w:ascii="Arial" w:eastAsia="Calibri" w:hAnsi="Arial" w:cs="Arial"/>
          <w:b/>
          <w:i/>
          <w:iCs/>
          <w:lang w:val="es-ES_tradn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5284"/>
      </w:tblGrid>
      <w:tr w:rsidR="00277113" w:rsidRPr="00F87546" w14:paraId="500E9DF0" w14:textId="77777777" w:rsidTr="0073254E">
        <w:trPr>
          <w:trHeight w:val="315"/>
        </w:trPr>
        <w:tc>
          <w:tcPr>
            <w:tcW w:w="812" w:type="dxa"/>
            <w:vAlign w:val="center"/>
            <w:hideMark/>
          </w:tcPr>
          <w:p w14:paraId="373A8705" w14:textId="77777777" w:rsidR="00EE46AF" w:rsidRPr="00316089" w:rsidRDefault="00EE46AF" w:rsidP="0073254E">
            <w:pPr>
              <w:spacing w:line="276" w:lineRule="auto"/>
              <w:rPr>
                <w:rFonts w:ascii="Arial" w:eastAsia="Times New Roman" w:hAnsi="Arial" w:cs="Arial"/>
                <w:sz w:val="16"/>
                <w:szCs w:val="16"/>
                <w:lang w:val="es-ES" w:eastAsia="es-ES"/>
              </w:rPr>
            </w:pPr>
            <w:r w:rsidRPr="00316089">
              <w:rPr>
                <w:rFonts w:ascii="Arial" w:eastAsia="Times New Roman" w:hAnsi="Arial" w:cs="Arial"/>
                <w:sz w:val="16"/>
                <w:szCs w:val="16"/>
                <w:lang w:val="es-ES" w:eastAsia="es-ES"/>
              </w:rPr>
              <w:t>Elaboró:</w:t>
            </w:r>
          </w:p>
        </w:tc>
        <w:tc>
          <w:tcPr>
            <w:tcW w:w="5284" w:type="dxa"/>
            <w:tcBorders>
              <w:top w:val="nil"/>
              <w:left w:val="nil"/>
              <w:bottom w:val="dotted" w:sz="4" w:space="0" w:color="7F7F7F" w:themeColor="text1" w:themeTint="80"/>
              <w:right w:val="nil"/>
            </w:tcBorders>
            <w:vAlign w:val="center"/>
            <w:hideMark/>
          </w:tcPr>
          <w:p w14:paraId="5B5AA69A" w14:textId="77777777" w:rsidR="00EE46AF" w:rsidRPr="00316089" w:rsidRDefault="00EE46AF" w:rsidP="0073254E">
            <w:pPr>
              <w:jc w:val="both"/>
              <w:rPr>
                <w:rFonts w:ascii="Arial" w:eastAsia="Times New Roman" w:hAnsi="Arial" w:cs="Arial"/>
                <w:sz w:val="16"/>
                <w:szCs w:val="16"/>
                <w:lang w:val="es-ES" w:eastAsia="es-ES"/>
              </w:rPr>
            </w:pPr>
            <w:r w:rsidRPr="00316089">
              <w:rPr>
                <w:rFonts w:ascii="Arial" w:eastAsia="Times New Roman" w:hAnsi="Arial" w:cs="Arial"/>
                <w:sz w:val="16"/>
                <w:szCs w:val="16"/>
                <w:lang w:val="es-ES" w:eastAsia="es-ES"/>
              </w:rPr>
              <w:t>Ana María Ortiz Ballesteros</w:t>
            </w:r>
          </w:p>
          <w:p w14:paraId="3FB64F57" w14:textId="77777777" w:rsidR="00EE46AF" w:rsidRPr="00316089" w:rsidRDefault="00EE46AF" w:rsidP="0073254E">
            <w:pPr>
              <w:jc w:val="both"/>
              <w:rPr>
                <w:rFonts w:ascii="Arial" w:eastAsia="Times New Roman" w:hAnsi="Arial" w:cs="Arial"/>
                <w:sz w:val="16"/>
                <w:szCs w:val="16"/>
                <w:lang w:val="es-ES" w:eastAsia="es-ES"/>
              </w:rPr>
            </w:pPr>
            <w:r w:rsidRPr="00316089">
              <w:rPr>
                <w:rFonts w:ascii="Arial" w:eastAsia="Times New Roman" w:hAnsi="Arial" w:cs="Arial"/>
                <w:sz w:val="16"/>
                <w:szCs w:val="16"/>
                <w:lang w:val="es-ES" w:eastAsia="es-ES"/>
              </w:rPr>
              <w:t>Contratista de la Subdirección de Gestión Contractual</w:t>
            </w:r>
          </w:p>
        </w:tc>
      </w:tr>
      <w:tr w:rsidR="00277113" w:rsidRPr="00F87546" w14:paraId="28D920AC" w14:textId="77777777" w:rsidTr="0073254E">
        <w:trPr>
          <w:trHeight w:val="330"/>
        </w:trPr>
        <w:tc>
          <w:tcPr>
            <w:tcW w:w="812" w:type="dxa"/>
            <w:vAlign w:val="center"/>
            <w:hideMark/>
          </w:tcPr>
          <w:p w14:paraId="5BCDD827" w14:textId="77777777" w:rsidR="00EE46AF" w:rsidRPr="00316089" w:rsidRDefault="00EE46AF" w:rsidP="0073254E">
            <w:pPr>
              <w:spacing w:line="276" w:lineRule="auto"/>
              <w:rPr>
                <w:rFonts w:ascii="Arial" w:eastAsia="Times New Roman" w:hAnsi="Arial" w:cs="Arial"/>
                <w:sz w:val="16"/>
                <w:szCs w:val="16"/>
                <w:lang w:val="es-ES" w:eastAsia="es-ES"/>
              </w:rPr>
            </w:pPr>
            <w:r w:rsidRPr="00316089">
              <w:rPr>
                <w:rFonts w:ascii="Arial" w:eastAsia="Times New Roman" w:hAnsi="Arial" w:cs="Arial"/>
                <w:sz w:val="16"/>
                <w:szCs w:val="16"/>
                <w:lang w:val="es-ES" w:eastAsia="es-ES"/>
              </w:rPr>
              <w:t>Revisó:</w:t>
            </w:r>
          </w:p>
        </w:tc>
        <w:tc>
          <w:tcPr>
            <w:tcW w:w="5284" w:type="dxa"/>
            <w:tcBorders>
              <w:top w:val="dotted" w:sz="4" w:space="0" w:color="7F7F7F" w:themeColor="text1" w:themeTint="80"/>
              <w:left w:val="nil"/>
              <w:bottom w:val="dotted" w:sz="4" w:space="0" w:color="7F7F7F" w:themeColor="text1" w:themeTint="80"/>
              <w:right w:val="nil"/>
            </w:tcBorders>
            <w:vAlign w:val="center"/>
            <w:hideMark/>
          </w:tcPr>
          <w:p w14:paraId="6BE5C6EC" w14:textId="77777777" w:rsidR="00F64AF7" w:rsidRPr="00316089" w:rsidRDefault="00F64AF7" w:rsidP="00F64AF7">
            <w:pPr>
              <w:jc w:val="both"/>
              <w:rPr>
                <w:rFonts w:ascii="Arial" w:hAnsi="Arial" w:cs="Arial"/>
                <w:sz w:val="16"/>
                <w:szCs w:val="16"/>
                <w:lang w:val="es-CO"/>
              </w:rPr>
            </w:pPr>
            <w:r w:rsidRPr="00316089">
              <w:rPr>
                <w:rFonts w:ascii="Arial" w:hAnsi="Arial" w:cs="Arial"/>
                <w:sz w:val="16"/>
                <w:szCs w:val="16"/>
                <w:lang w:val="es-CO"/>
              </w:rPr>
              <w:t>Alejandro Sarmiento Cantillo</w:t>
            </w:r>
          </w:p>
          <w:p w14:paraId="6DC4901A" w14:textId="690D2BCA" w:rsidR="00EE46AF" w:rsidRPr="00316089" w:rsidRDefault="00F64AF7" w:rsidP="00F64AF7">
            <w:pPr>
              <w:rPr>
                <w:rFonts w:ascii="Arial" w:eastAsia="Times New Roman" w:hAnsi="Arial" w:cs="Arial"/>
                <w:sz w:val="16"/>
                <w:szCs w:val="16"/>
                <w:lang w:val="es-CO" w:eastAsia="es-ES"/>
              </w:rPr>
            </w:pPr>
            <w:r w:rsidRPr="00316089">
              <w:rPr>
                <w:rFonts w:ascii="Arial" w:hAnsi="Arial" w:cs="Arial"/>
                <w:sz w:val="16"/>
                <w:szCs w:val="16"/>
                <w:lang w:val="es-CO"/>
              </w:rPr>
              <w:t>Gestor T1 ‒ 15 de la Subdirección de Gestión Contractual</w:t>
            </w:r>
          </w:p>
        </w:tc>
      </w:tr>
      <w:tr w:rsidR="00277113" w:rsidRPr="00F87546" w14:paraId="2A97843A" w14:textId="77777777" w:rsidTr="0073254E">
        <w:trPr>
          <w:trHeight w:val="178"/>
        </w:trPr>
        <w:tc>
          <w:tcPr>
            <w:tcW w:w="812" w:type="dxa"/>
            <w:vAlign w:val="center"/>
            <w:hideMark/>
          </w:tcPr>
          <w:p w14:paraId="2CC72E31" w14:textId="77777777" w:rsidR="00EE46AF" w:rsidRPr="00316089" w:rsidRDefault="00EE46AF" w:rsidP="0073254E">
            <w:pPr>
              <w:spacing w:line="276" w:lineRule="auto"/>
              <w:rPr>
                <w:rFonts w:ascii="Arial" w:eastAsia="Times New Roman" w:hAnsi="Arial" w:cs="Arial"/>
                <w:sz w:val="16"/>
                <w:szCs w:val="16"/>
                <w:lang w:val="es-ES" w:eastAsia="es-ES"/>
              </w:rPr>
            </w:pPr>
            <w:r w:rsidRPr="00316089">
              <w:rPr>
                <w:rFonts w:ascii="Arial" w:eastAsia="Times New Roman" w:hAnsi="Arial" w:cs="Arial"/>
                <w:sz w:val="16"/>
                <w:szCs w:val="16"/>
                <w:lang w:val="es-ES" w:eastAsia="es-ES"/>
              </w:rPr>
              <w:t>Aprobó:</w:t>
            </w:r>
          </w:p>
        </w:tc>
        <w:tc>
          <w:tcPr>
            <w:tcW w:w="5284" w:type="dxa"/>
            <w:tcBorders>
              <w:top w:val="dotted" w:sz="4" w:space="0" w:color="7F7F7F" w:themeColor="text1" w:themeTint="80"/>
              <w:left w:val="nil"/>
              <w:bottom w:val="dotted" w:sz="4" w:space="0" w:color="7F7F7F" w:themeColor="text1" w:themeTint="80"/>
              <w:right w:val="nil"/>
            </w:tcBorders>
            <w:vAlign w:val="center"/>
            <w:hideMark/>
          </w:tcPr>
          <w:p w14:paraId="7043E11E" w14:textId="77777777" w:rsidR="00EE46AF" w:rsidRPr="00316089" w:rsidRDefault="00EE46AF" w:rsidP="0073254E">
            <w:pPr>
              <w:textAlignment w:val="baseline"/>
              <w:rPr>
                <w:rFonts w:ascii="Arial" w:eastAsia="Times New Roman" w:hAnsi="Arial" w:cs="Arial"/>
                <w:sz w:val="16"/>
                <w:szCs w:val="16"/>
                <w:lang w:val="es-ES" w:eastAsia="es-CO"/>
              </w:rPr>
            </w:pPr>
            <w:bookmarkStart w:id="5" w:name="_Hlk116036152"/>
            <w:r w:rsidRPr="00316089">
              <w:rPr>
                <w:rFonts w:ascii="Arial" w:eastAsia="Times New Roman" w:hAnsi="Arial" w:cs="Arial"/>
                <w:sz w:val="16"/>
                <w:szCs w:val="16"/>
                <w:lang w:val="es-ES" w:eastAsia="es-CO"/>
              </w:rPr>
              <w:t>Nohelia del Carmen Zawady Palacio</w:t>
            </w:r>
          </w:p>
          <w:p w14:paraId="77203B80" w14:textId="77777777" w:rsidR="00EE46AF" w:rsidRPr="00316089" w:rsidRDefault="00EE46AF" w:rsidP="0073254E">
            <w:pPr>
              <w:rPr>
                <w:rFonts w:ascii="Arial" w:eastAsia="Times New Roman" w:hAnsi="Arial" w:cs="Arial"/>
                <w:sz w:val="16"/>
                <w:szCs w:val="16"/>
                <w:lang w:val="es-ES" w:eastAsia="es-ES"/>
              </w:rPr>
            </w:pPr>
            <w:r w:rsidRPr="00316089">
              <w:rPr>
                <w:rFonts w:ascii="Arial" w:eastAsia="Times New Roman" w:hAnsi="Arial" w:cs="Arial"/>
                <w:sz w:val="16"/>
                <w:szCs w:val="16"/>
                <w:lang w:val="es-ES" w:eastAsia="es-ES"/>
              </w:rPr>
              <w:t xml:space="preserve">Subdirectora de Gestión Contractual </w:t>
            </w:r>
            <w:bookmarkEnd w:id="5"/>
            <w:r w:rsidRPr="00316089">
              <w:rPr>
                <w:rFonts w:ascii="Arial" w:eastAsia="Times New Roman" w:hAnsi="Arial" w:cs="Arial"/>
                <w:sz w:val="16"/>
                <w:szCs w:val="16"/>
                <w:lang w:val="es-ES" w:eastAsia="es-ES"/>
              </w:rPr>
              <w:t>ANCP – CCE</w:t>
            </w:r>
          </w:p>
        </w:tc>
      </w:tr>
    </w:tbl>
    <w:p w14:paraId="516AE774" w14:textId="77777777" w:rsidR="00A048B9" w:rsidRPr="00277113" w:rsidRDefault="00A048B9" w:rsidP="003779BD">
      <w:pPr>
        <w:spacing w:line="276" w:lineRule="auto"/>
        <w:rPr>
          <w:rFonts w:ascii="Arial" w:hAnsi="Arial" w:cs="Arial"/>
          <w:lang w:val="es-ES_tradnl"/>
        </w:rPr>
      </w:pPr>
    </w:p>
    <w:sectPr w:rsidR="00A048B9" w:rsidRPr="00277113" w:rsidSect="00316089">
      <w:headerReference w:type="default" r:id="rId13"/>
      <w:footerReference w:type="default" r:id="rId14"/>
      <w:headerReference w:type="first" r:id="rId15"/>
      <w:footerReference w:type="first" r:id="rId16"/>
      <w:pgSz w:w="12240" w:h="15840"/>
      <w:pgMar w:top="2041" w:right="1701" w:bottom="1418" w:left="1701" w:header="851" w:footer="397" w:gutter="0"/>
      <w:pgBorders w:offsetFrom="page">
        <w:top w:val="dotted" w:sz="4" w:space="24" w:color="auto"/>
        <w:left w:val="dotted" w:sz="4" w:space="24" w:color="auto"/>
        <w:bottom w:val="dotted" w:sz="4" w:space="24" w:color="auto"/>
        <w:right w:val="dotted" w:sz="4" w:space="24" w:color="auto"/>
      </w:pgBorder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0CFE41" w14:textId="77777777" w:rsidR="00F76196" w:rsidRDefault="00F76196" w:rsidP="00713050">
      <w:pPr>
        <w:spacing w:line="240" w:lineRule="auto"/>
      </w:pPr>
      <w:r>
        <w:separator/>
      </w:r>
    </w:p>
  </w:endnote>
  <w:endnote w:type="continuationSeparator" w:id="0">
    <w:p w14:paraId="348AF2EE" w14:textId="77777777" w:rsidR="00F76196" w:rsidRDefault="00F76196" w:rsidP="0071305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Rockwell">
    <w:panose1 w:val="02060603020205020403"/>
    <w:charset w:val="00"/>
    <w:family w:val="roman"/>
    <w:pitch w:val="variable"/>
    <w:sig w:usb0="00000007" w:usb1="00000000" w:usb2="00000000" w:usb3="00000000" w:csb0="00000003"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Nova">
    <w:charset w:val="00"/>
    <w:family w:val="swiss"/>
    <w:pitch w:val="variable"/>
    <w:sig w:usb0="0000028F" w:usb1="00000002" w:usb2="00000000" w:usb3="00000000" w:csb0="0000019F" w:csb1="00000000"/>
  </w:font>
  <w:font w:name="Geo">
    <w:altName w:val="Calibri"/>
    <w:charset w:val="00"/>
    <w:family w:val="auto"/>
    <w:pitch w:val="variable"/>
    <w:sig w:usb0="8000002F" w:usb1="40000048" w:usb2="00000000" w:usb3="00000000" w:csb0="00000001" w:csb1="00000000"/>
  </w:font>
  <w:font w:name="Geomanist Bold">
    <w:altName w:val="Calibri"/>
    <w:panose1 w:val="00000000000000000000"/>
    <w:charset w:val="00"/>
    <w:family w:val="modern"/>
    <w:notTrueType/>
    <w:pitch w:val="variable"/>
    <w:sig w:usb0="A000002F" w:usb1="1000004A"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6FE243" w14:textId="77777777" w:rsidR="00BD0553" w:rsidRDefault="00BD0553" w:rsidP="00BD0553">
    <w:pPr>
      <w:pStyle w:val="Piedepgina"/>
    </w:pPr>
    <w:r>
      <w:rPr>
        <w:noProof/>
      </w:rPr>
      <w:drawing>
        <wp:inline distT="0" distB="0" distL="0" distR="0" wp14:anchorId="4A1AC8CD" wp14:editId="0096415C">
          <wp:extent cx="5742143" cy="892175"/>
          <wp:effectExtent l="0" t="0" r="0" b="3175"/>
          <wp:docPr id="4" name="Imagen 4" descr="Interfaz de usuario gráfica, Texto,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Correo electrónic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5792894" cy="900060"/>
                  </a:xfrm>
                  <a:prstGeom prst="rect">
                    <a:avLst/>
                  </a:prstGeom>
                </pic:spPr>
              </pic:pic>
            </a:graphicData>
          </a:graphic>
        </wp:inline>
      </w:drawing>
    </w:r>
  </w:p>
  <w:tbl>
    <w:tblPr>
      <w:tblStyle w:val="Tablaconcuadrcula"/>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6"/>
      <w:gridCol w:w="668"/>
      <w:gridCol w:w="869"/>
      <w:gridCol w:w="1749"/>
      <w:gridCol w:w="748"/>
      <w:gridCol w:w="2758"/>
      <w:gridCol w:w="1501"/>
    </w:tblGrid>
    <w:tr w:rsidR="00BD0553" w:rsidRPr="00080DA3" w14:paraId="3A181CEF" w14:textId="77777777" w:rsidTr="0073254E">
      <w:trPr>
        <w:trHeight w:val="198"/>
        <w:jc w:val="center"/>
      </w:trPr>
      <w:tc>
        <w:tcPr>
          <w:tcW w:w="838"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7547D591" w14:textId="77777777" w:rsidR="00BD0553" w:rsidRPr="00080DA3" w:rsidRDefault="00BD0553" w:rsidP="00BD0553">
          <w:pPr>
            <w:pStyle w:val="Piedepgina"/>
            <w:rPr>
              <w:rFonts w:ascii="Geomanist Light" w:hAnsi="Geomanist Light"/>
              <w:sz w:val="18"/>
              <w:szCs w:val="18"/>
            </w:rPr>
          </w:pPr>
          <w:r w:rsidRPr="00080DA3">
            <w:rPr>
              <w:rFonts w:ascii="Geomanist Light" w:hAnsi="Geomanist Light"/>
              <w:sz w:val="18"/>
              <w:szCs w:val="18"/>
            </w:rPr>
            <w:t>Versión:</w:t>
          </w:r>
        </w:p>
      </w:tc>
      <w:tc>
        <w:tcPr>
          <w:tcW w:w="678" w:type="dxa"/>
          <w:tcBorders>
            <w:top w:val="dotted" w:sz="4" w:space="0" w:color="808080" w:themeColor="background1" w:themeShade="80"/>
            <w:bottom w:val="dotted" w:sz="4" w:space="0" w:color="808080" w:themeColor="background1" w:themeShade="80"/>
            <w:right w:val="dotted" w:sz="4" w:space="0" w:color="808080" w:themeColor="background1" w:themeShade="80"/>
          </w:tcBorders>
        </w:tcPr>
        <w:p w14:paraId="5FD9027A" w14:textId="77777777" w:rsidR="00BD0553" w:rsidRPr="00080DA3" w:rsidRDefault="00BD0553" w:rsidP="00BD0553">
          <w:pPr>
            <w:pStyle w:val="Piedepgina"/>
            <w:rPr>
              <w:rFonts w:ascii="Geomanist Light" w:hAnsi="Geomanist Light"/>
              <w:sz w:val="18"/>
              <w:szCs w:val="18"/>
            </w:rPr>
          </w:pPr>
          <w:r w:rsidRPr="00080DA3">
            <w:rPr>
              <w:rFonts w:ascii="Geomanist Light" w:hAnsi="Geomanist Light"/>
              <w:sz w:val="18"/>
              <w:szCs w:val="18"/>
            </w:rPr>
            <w:t>0</w:t>
          </w:r>
          <w:r>
            <w:rPr>
              <w:rFonts w:ascii="Geomanist Light" w:hAnsi="Geomanist Light"/>
              <w:sz w:val="18"/>
              <w:szCs w:val="18"/>
            </w:rPr>
            <w:t>2</w:t>
          </w:r>
        </w:p>
      </w:tc>
      <w:tc>
        <w:tcPr>
          <w:tcW w:w="844"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2340E441" w14:textId="77777777" w:rsidR="00BD0553" w:rsidRPr="00080DA3" w:rsidRDefault="00BD0553" w:rsidP="00BD0553">
          <w:pPr>
            <w:pStyle w:val="Piedepgina"/>
            <w:rPr>
              <w:rFonts w:ascii="Geomanist Light" w:hAnsi="Geomanist Light"/>
              <w:sz w:val="18"/>
              <w:szCs w:val="18"/>
            </w:rPr>
          </w:pPr>
          <w:r w:rsidRPr="00080DA3">
            <w:rPr>
              <w:rFonts w:ascii="Geomanist Light" w:hAnsi="Geomanist Light"/>
              <w:sz w:val="18"/>
              <w:szCs w:val="18"/>
            </w:rPr>
            <w:t>Código:</w:t>
          </w:r>
        </w:p>
      </w:tc>
      <w:tc>
        <w:tcPr>
          <w:tcW w:w="1784" w:type="dxa"/>
          <w:tcBorders>
            <w:top w:val="dotted" w:sz="4" w:space="0" w:color="808080" w:themeColor="background1" w:themeShade="80"/>
            <w:bottom w:val="dotted" w:sz="4" w:space="0" w:color="808080" w:themeColor="background1" w:themeShade="80"/>
            <w:right w:val="dotted" w:sz="4" w:space="0" w:color="808080" w:themeColor="background1" w:themeShade="80"/>
          </w:tcBorders>
          <w:vAlign w:val="center"/>
        </w:tcPr>
        <w:p w14:paraId="0B81549A" w14:textId="77777777" w:rsidR="00BD0553" w:rsidRPr="004B6B0E" w:rsidRDefault="00BD0553" w:rsidP="00BD0553">
          <w:pPr>
            <w:pBdr>
              <w:top w:val="nil"/>
              <w:left w:val="nil"/>
              <w:bottom w:val="nil"/>
              <w:right w:val="nil"/>
              <w:between w:val="nil"/>
            </w:pBdr>
            <w:tabs>
              <w:tab w:val="center" w:pos="4419"/>
              <w:tab w:val="right" w:pos="8838"/>
              <w:tab w:val="center" w:pos="5400"/>
            </w:tabs>
            <w:jc w:val="center"/>
            <w:rPr>
              <w:rFonts w:ascii="Geomanist Bold" w:eastAsia="Geo" w:hAnsi="Geomanist Bold" w:cs="Geo"/>
              <w:b/>
              <w:color w:val="002060"/>
              <w:lang w:eastAsia="es-CO"/>
            </w:rPr>
          </w:pP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08</w:t>
          </w:r>
        </w:p>
      </w:tc>
      <w:tc>
        <w:tcPr>
          <w:tcW w:w="720"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7B975A41" w14:textId="77777777" w:rsidR="00BD0553" w:rsidRPr="00080DA3" w:rsidRDefault="00BD0553" w:rsidP="00BD0553">
          <w:pPr>
            <w:pStyle w:val="Piedepgina"/>
            <w:rPr>
              <w:rFonts w:ascii="Geomanist Light" w:hAnsi="Geomanist Light"/>
              <w:sz w:val="18"/>
              <w:szCs w:val="18"/>
            </w:rPr>
          </w:pPr>
          <w:r w:rsidRPr="00080DA3">
            <w:rPr>
              <w:rFonts w:ascii="Geomanist Light" w:hAnsi="Geomanist Light"/>
              <w:sz w:val="18"/>
              <w:szCs w:val="18"/>
            </w:rPr>
            <w:t>Fecha:</w:t>
          </w:r>
        </w:p>
      </w:tc>
      <w:tc>
        <w:tcPr>
          <w:tcW w:w="2818" w:type="dxa"/>
          <w:tcBorders>
            <w:top w:val="dotted" w:sz="4" w:space="0" w:color="808080" w:themeColor="background1" w:themeShade="80"/>
            <w:bottom w:val="dotted" w:sz="4" w:space="0" w:color="808080" w:themeColor="background1" w:themeShade="80"/>
            <w:right w:val="dotted" w:sz="4" w:space="0" w:color="808080" w:themeColor="background1" w:themeShade="80"/>
          </w:tcBorders>
        </w:tcPr>
        <w:p w14:paraId="786E664C" w14:textId="77777777" w:rsidR="00BD0553" w:rsidRPr="00080DA3" w:rsidRDefault="00BD0553" w:rsidP="00BD0553">
          <w:pPr>
            <w:pStyle w:val="Piedepgina"/>
            <w:rPr>
              <w:rFonts w:ascii="Geomanist Light" w:hAnsi="Geomanist Light"/>
              <w:sz w:val="18"/>
              <w:szCs w:val="18"/>
            </w:rPr>
          </w:pPr>
          <w:r>
            <w:rPr>
              <w:rFonts w:ascii="Geomanist Light" w:hAnsi="Geomanist Light"/>
              <w:sz w:val="18"/>
              <w:szCs w:val="18"/>
            </w:rPr>
            <w:t>28</w:t>
          </w:r>
          <w:r w:rsidRPr="00080DA3">
            <w:rPr>
              <w:rFonts w:ascii="Geomanist Light" w:hAnsi="Geomanist Light"/>
              <w:sz w:val="18"/>
              <w:szCs w:val="18"/>
            </w:rPr>
            <w:t xml:space="preserve"> de </w:t>
          </w:r>
          <w:r>
            <w:rPr>
              <w:rFonts w:ascii="Geomanist Light" w:hAnsi="Geomanist Light"/>
              <w:sz w:val="18"/>
              <w:szCs w:val="18"/>
            </w:rPr>
            <w:t>septiembre</w:t>
          </w:r>
          <w:r w:rsidRPr="00080DA3">
            <w:rPr>
              <w:rFonts w:ascii="Geomanist Light" w:hAnsi="Geomanist Light"/>
              <w:sz w:val="18"/>
              <w:szCs w:val="18"/>
            </w:rPr>
            <w:t xml:space="preserve"> de 202</w:t>
          </w:r>
          <w:r>
            <w:rPr>
              <w:rFonts w:ascii="Geomanist Light" w:hAnsi="Geomanist Light"/>
              <w:sz w:val="18"/>
              <w:szCs w:val="18"/>
            </w:rPr>
            <w:t>2</w:t>
          </w:r>
        </w:p>
      </w:tc>
      <w:tc>
        <w:tcPr>
          <w:tcW w:w="1527"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tcPr>
        <w:p w14:paraId="3E576706" w14:textId="77777777" w:rsidR="00BD0553" w:rsidRPr="00080DA3" w:rsidRDefault="00BD0553" w:rsidP="00BD0553">
          <w:pPr>
            <w:pStyle w:val="Piedepgina"/>
            <w:rPr>
              <w:rFonts w:ascii="Geomanist Light" w:hAnsi="Geomanist Light"/>
              <w:sz w:val="18"/>
              <w:szCs w:val="18"/>
            </w:rPr>
          </w:pPr>
          <w:r w:rsidRPr="00080DA3">
            <w:rPr>
              <w:rFonts w:ascii="Geomanist Light" w:hAnsi="Geomanist Light"/>
              <w:sz w:val="18"/>
              <w:szCs w:val="18"/>
            </w:rPr>
            <w:t xml:space="preserve">Página </w:t>
          </w:r>
          <w:r w:rsidRPr="00080DA3">
            <w:rPr>
              <w:rFonts w:ascii="Geomanist Light" w:hAnsi="Geomanist Light"/>
              <w:b/>
              <w:bCs/>
              <w:sz w:val="18"/>
              <w:szCs w:val="18"/>
            </w:rPr>
            <w:fldChar w:fldCharType="begin"/>
          </w:r>
          <w:r w:rsidRPr="00080DA3">
            <w:rPr>
              <w:rFonts w:ascii="Geomanist Light" w:hAnsi="Geomanist Light"/>
              <w:b/>
              <w:bCs/>
              <w:sz w:val="18"/>
              <w:szCs w:val="18"/>
            </w:rPr>
            <w:instrText>PAGE  \* Arabic  \* MERGEFORMAT</w:instrText>
          </w:r>
          <w:r w:rsidRPr="00080DA3">
            <w:rPr>
              <w:rFonts w:ascii="Geomanist Light" w:hAnsi="Geomanist Light"/>
              <w:b/>
              <w:bCs/>
              <w:sz w:val="18"/>
              <w:szCs w:val="18"/>
            </w:rPr>
            <w:fldChar w:fldCharType="separate"/>
          </w:r>
          <w:r>
            <w:rPr>
              <w:rFonts w:ascii="Geomanist Light" w:hAnsi="Geomanist Light"/>
              <w:b/>
              <w:bCs/>
              <w:sz w:val="18"/>
              <w:szCs w:val="18"/>
            </w:rPr>
            <w:t>1</w:t>
          </w:r>
          <w:r w:rsidRPr="00080DA3">
            <w:rPr>
              <w:rFonts w:ascii="Geomanist Light" w:hAnsi="Geomanist Light"/>
              <w:b/>
              <w:bCs/>
              <w:sz w:val="18"/>
              <w:szCs w:val="18"/>
            </w:rPr>
            <w:fldChar w:fldCharType="end"/>
          </w:r>
          <w:r w:rsidRPr="00080DA3">
            <w:rPr>
              <w:rFonts w:ascii="Geomanist Light" w:hAnsi="Geomanist Light"/>
              <w:sz w:val="18"/>
              <w:szCs w:val="18"/>
            </w:rPr>
            <w:t xml:space="preserve"> de </w:t>
          </w:r>
          <w:r w:rsidRPr="00080DA3">
            <w:rPr>
              <w:rFonts w:ascii="Geomanist Light" w:hAnsi="Geomanist Light"/>
              <w:b/>
              <w:bCs/>
              <w:sz w:val="18"/>
              <w:szCs w:val="18"/>
            </w:rPr>
            <w:fldChar w:fldCharType="begin"/>
          </w:r>
          <w:r w:rsidRPr="00080DA3">
            <w:rPr>
              <w:rFonts w:ascii="Geomanist Light" w:hAnsi="Geomanist Light"/>
              <w:b/>
              <w:bCs/>
              <w:sz w:val="18"/>
              <w:szCs w:val="18"/>
            </w:rPr>
            <w:instrText>NUMPAGES  \* Arabic  \* MERGEFORMAT</w:instrText>
          </w:r>
          <w:r w:rsidRPr="00080DA3">
            <w:rPr>
              <w:rFonts w:ascii="Geomanist Light" w:hAnsi="Geomanist Light"/>
              <w:b/>
              <w:bCs/>
              <w:sz w:val="18"/>
              <w:szCs w:val="18"/>
            </w:rPr>
            <w:fldChar w:fldCharType="separate"/>
          </w:r>
          <w:r>
            <w:rPr>
              <w:rFonts w:ascii="Geomanist Light" w:hAnsi="Geomanist Light"/>
              <w:b/>
              <w:bCs/>
              <w:sz w:val="18"/>
              <w:szCs w:val="18"/>
            </w:rPr>
            <w:t>4</w:t>
          </w:r>
          <w:r w:rsidRPr="00080DA3">
            <w:rPr>
              <w:rFonts w:ascii="Geomanist Light" w:hAnsi="Geomanist Light"/>
              <w:b/>
              <w:bCs/>
              <w:sz w:val="18"/>
              <w:szCs w:val="18"/>
            </w:rPr>
            <w:fldChar w:fldCharType="end"/>
          </w:r>
        </w:p>
      </w:tc>
    </w:tr>
  </w:tbl>
  <w:p w14:paraId="1AF43F8D" w14:textId="37E81BB4" w:rsidR="00C2098A" w:rsidRPr="00BD0553" w:rsidRDefault="00C2098A" w:rsidP="00BD0553">
    <w:pPr>
      <w:pStyle w:val="Piedepgina"/>
      <w:jc w:val="lef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2541D1" w14:textId="77777777" w:rsidR="00BD0553" w:rsidRDefault="00BD0553" w:rsidP="00BD0553">
    <w:pPr>
      <w:pStyle w:val="Piedepgina"/>
    </w:pPr>
    <w:r>
      <w:rPr>
        <w:noProof/>
      </w:rPr>
      <w:drawing>
        <wp:inline distT="0" distB="0" distL="0" distR="0" wp14:anchorId="45E5CDBC" wp14:editId="1C12832F">
          <wp:extent cx="5742143" cy="892175"/>
          <wp:effectExtent l="0" t="0" r="0" b="3175"/>
          <wp:docPr id="23" name="Imagen 23" descr="Interfaz de usuario gráfica, Texto,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Correo electrónic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5792894" cy="900060"/>
                  </a:xfrm>
                  <a:prstGeom prst="rect">
                    <a:avLst/>
                  </a:prstGeom>
                </pic:spPr>
              </pic:pic>
            </a:graphicData>
          </a:graphic>
        </wp:inline>
      </w:drawing>
    </w:r>
  </w:p>
  <w:tbl>
    <w:tblPr>
      <w:tblStyle w:val="Tablaconcuadrcula"/>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6"/>
      <w:gridCol w:w="668"/>
      <w:gridCol w:w="869"/>
      <w:gridCol w:w="1749"/>
      <w:gridCol w:w="748"/>
      <w:gridCol w:w="2758"/>
      <w:gridCol w:w="1501"/>
    </w:tblGrid>
    <w:tr w:rsidR="00BD0553" w:rsidRPr="00080DA3" w14:paraId="4B278352" w14:textId="77777777" w:rsidTr="0073254E">
      <w:trPr>
        <w:trHeight w:val="198"/>
        <w:jc w:val="center"/>
      </w:trPr>
      <w:tc>
        <w:tcPr>
          <w:tcW w:w="838"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215AB283" w14:textId="77777777" w:rsidR="00BD0553" w:rsidRPr="00080DA3" w:rsidRDefault="00BD0553" w:rsidP="00BD0553">
          <w:pPr>
            <w:pStyle w:val="Piedepgina"/>
            <w:rPr>
              <w:rFonts w:ascii="Geomanist Light" w:hAnsi="Geomanist Light"/>
              <w:sz w:val="18"/>
              <w:szCs w:val="18"/>
            </w:rPr>
          </w:pPr>
          <w:r w:rsidRPr="00080DA3">
            <w:rPr>
              <w:rFonts w:ascii="Geomanist Light" w:hAnsi="Geomanist Light"/>
              <w:sz w:val="18"/>
              <w:szCs w:val="18"/>
            </w:rPr>
            <w:t>Versión:</w:t>
          </w:r>
        </w:p>
      </w:tc>
      <w:tc>
        <w:tcPr>
          <w:tcW w:w="678" w:type="dxa"/>
          <w:tcBorders>
            <w:top w:val="dotted" w:sz="4" w:space="0" w:color="808080" w:themeColor="background1" w:themeShade="80"/>
            <w:bottom w:val="dotted" w:sz="4" w:space="0" w:color="808080" w:themeColor="background1" w:themeShade="80"/>
            <w:right w:val="dotted" w:sz="4" w:space="0" w:color="808080" w:themeColor="background1" w:themeShade="80"/>
          </w:tcBorders>
        </w:tcPr>
        <w:p w14:paraId="2F7F1F49" w14:textId="77777777" w:rsidR="00BD0553" w:rsidRPr="00080DA3" w:rsidRDefault="00BD0553" w:rsidP="00BD0553">
          <w:pPr>
            <w:pStyle w:val="Piedepgina"/>
            <w:rPr>
              <w:rFonts w:ascii="Geomanist Light" w:hAnsi="Geomanist Light"/>
              <w:sz w:val="18"/>
              <w:szCs w:val="18"/>
            </w:rPr>
          </w:pPr>
          <w:r w:rsidRPr="00080DA3">
            <w:rPr>
              <w:rFonts w:ascii="Geomanist Light" w:hAnsi="Geomanist Light"/>
              <w:sz w:val="18"/>
              <w:szCs w:val="18"/>
            </w:rPr>
            <w:t>0</w:t>
          </w:r>
          <w:r>
            <w:rPr>
              <w:rFonts w:ascii="Geomanist Light" w:hAnsi="Geomanist Light"/>
              <w:sz w:val="18"/>
              <w:szCs w:val="18"/>
            </w:rPr>
            <w:t>2</w:t>
          </w:r>
        </w:p>
      </w:tc>
      <w:tc>
        <w:tcPr>
          <w:tcW w:w="844"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3AE0093D" w14:textId="77777777" w:rsidR="00BD0553" w:rsidRPr="00080DA3" w:rsidRDefault="00BD0553" w:rsidP="00BD0553">
          <w:pPr>
            <w:pStyle w:val="Piedepgina"/>
            <w:rPr>
              <w:rFonts w:ascii="Geomanist Light" w:hAnsi="Geomanist Light"/>
              <w:sz w:val="18"/>
              <w:szCs w:val="18"/>
            </w:rPr>
          </w:pPr>
          <w:r w:rsidRPr="00080DA3">
            <w:rPr>
              <w:rFonts w:ascii="Geomanist Light" w:hAnsi="Geomanist Light"/>
              <w:sz w:val="18"/>
              <w:szCs w:val="18"/>
            </w:rPr>
            <w:t>Código:</w:t>
          </w:r>
        </w:p>
      </w:tc>
      <w:tc>
        <w:tcPr>
          <w:tcW w:w="1784" w:type="dxa"/>
          <w:tcBorders>
            <w:top w:val="dotted" w:sz="4" w:space="0" w:color="808080" w:themeColor="background1" w:themeShade="80"/>
            <w:bottom w:val="dotted" w:sz="4" w:space="0" w:color="808080" w:themeColor="background1" w:themeShade="80"/>
            <w:right w:val="dotted" w:sz="4" w:space="0" w:color="808080" w:themeColor="background1" w:themeShade="80"/>
          </w:tcBorders>
          <w:vAlign w:val="center"/>
        </w:tcPr>
        <w:p w14:paraId="3FCF3B35" w14:textId="77777777" w:rsidR="00BD0553" w:rsidRPr="004B6B0E" w:rsidRDefault="00BD0553" w:rsidP="00BD0553">
          <w:pPr>
            <w:pBdr>
              <w:top w:val="nil"/>
              <w:left w:val="nil"/>
              <w:bottom w:val="nil"/>
              <w:right w:val="nil"/>
              <w:between w:val="nil"/>
            </w:pBdr>
            <w:tabs>
              <w:tab w:val="center" w:pos="4419"/>
              <w:tab w:val="right" w:pos="8838"/>
              <w:tab w:val="center" w:pos="5400"/>
            </w:tabs>
            <w:jc w:val="center"/>
            <w:rPr>
              <w:rFonts w:ascii="Geomanist Bold" w:eastAsia="Geo" w:hAnsi="Geomanist Bold" w:cs="Geo"/>
              <w:b/>
              <w:color w:val="002060"/>
              <w:lang w:eastAsia="es-CO"/>
            </w:rPr>
          </w:pP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08</w:t>
          </w:r>
        </w:p>
      </w:tc>
      <w:tc>
        <w:tcPr>
          <w:tcW w:w="720"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0C1F3620" w14:textId="77777777" w:rsidR="00BD0553" w:rsidRPr="00080DA3" w:rsidRDefault="00BD0553" w:rsidP="00BD0553">
          <w:pPr>
            <w:pStyle w:val="Piedepgina"/>
            <w:rPr>
              <w:rFonts w:ascii="Geomanist Light" w:hAnsi="Geomanist Light"/>
              <w:sz w:val="18"/>
              <w:szCs w:val="18"/>
            </w:rPr>
          </w:pPr>
          <w:r w:rsidRPr="00080DA3">
            <w:rPr>
              <w:rFonts w:ascii="Geomanist Light" w:hAnsi="Geomanist Light"/>
              <w:sz w:val="18"/>
              <w:szCs w:val="18"/>
            </w:rPr>
            <w:t>Fecha:</w:t>
          </w:r>
        </w:p>
      </w:tc>
      <w:tc>
        <w:tcPr>
          <w:tcW w:w="2818" w:type="dxa"/>
          <w:tcBorders>
            <w:top w:val="dotted" w:sz="4" w:space="0" w:color="808080" w:themeColor="background1" w:themeShade="80"/>
            <w:bottom w:val="dotted" w:sz="4" w:space="0" w:color="808080" w:themeColor="background1" w:themeShade="80"/>
            <w:right w:val="dotted" w:sz="4" w:space="0" w:color="808080" w:themeColor="background1" w:themeShade="80"/>
          </w:tcBorders>
        </w:tcPr>
        <w:p w14:paraId="246C233F" w14:textId="77777777" w:rsidR="00BD0553" w:rsidRPr="00080DA3" w:rsidRDefault="00BD0553" w:rsidP="00BD0553">
          <w:pPr>
            <w:pStyle w:val="Piedepgina"/>
            <w:rPr>
              <w:rFonts w:ascii="Geomanist Light" w:hAnsi="Geomanist Light"/>
              <w:sz w:val="18"/>
              <w:szCs w:val="18"/>
            </w:rPr>
          </w:pPr>
          <w:r>
            <w:rPr>
              <w:rFonts w:ascii="Geomanist Light" w:hAnsi="Geomanist Light"/>
              <w:sz w:val="18"/>
              <w:szCs w:val="18"/>
            </w:rPr>
            <w:t>28</w:t>
          </w:r>
          <w:r w:rsidRPr="00080DA3">
            <w:rPr>
              <w:rFonts w:ascii="Geomanist Light" w:hAnsi="Geomanist Light"/>
              <w:sz w:val="18"/>
              <w:szCs w:val="18"/>
            </w:rPr>
            <w:t xml:space="preserve"> de </w:t>
          </w:r>
          <w:r>
            <w:rPr>
              <w:rFonts w:ascii="Geomanist Light" w:hAnsi="Geomanist Light"/>
              <w:sz w:val="18"/>
              <w:szCs w:val="18"/>
            </w:rPr>
            <w:t>septiembre</w:t>
          </w:r>
          <w:r w:rsidRPr="00080DA3">
            <w:rPr>
              <w:rFonts w:ascii="Geomanist Light" w:hAnsi="Geomanist Light"/>
              <w:sz w:val="18"/>
              <w:szCs w:val="18"/>
            </w:rPr>
            <w:t xml:space="preserve"> de 202</w:t>
          </w:r>
          <w:r>
            <w:rPr>
              <w:rFonts w:ascii="Geomanist Light" w:hAnsi="Geomanist Light"/>
              <w:sz w:val="18"/>
              <w:szCs w:val="18"/>
            </w:rPr>
            <w:t>2</w:t>
          </w:r>
        </w:p>
      </w:tc>
      <w:tc>
        <w:tcPr>
          <w:tcW w:w="1527"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tcPr>
        <w:p w14:paraId="6390F583" w14:textId="77777777" w:rsidR="00BD0553" w:rsidRPr="00080DA3" w:rsidRDefault="00BD0553" w:rsidP="00BD0553">
          <w:pPr>
            <w:pStyle w:val="Piedepgina"/>
            <w:rPr>
              <w:rFonts w:ascii="Geomanist Light" w:hAnsi="Geomanist Light"/>
              <w:sz w:val="18"/>
              <w:szCs w:val="18"/>
            </w:rPr>
          </w:pPr>
          <w:r w:rsidRPr="00080DA3">
            <w:rPr>
              <w:rFonts w:ascii="Geomanist Light" w:hAnsi="Geomanist Light"/>
              <w:sz w:val="18"/>
              <w:szCs w:val="18"/>
            </w:rPr>
            <w:t xml:space="preserve">Página </w:t>
          </w:r>
          <w:r w:rsidRPr="00080DA3">
            <w:rPr>
              <w:rFonts w:ascii="Geomanist Light" w:hAnsi="Geomanist Light"/>
              <w:b/>
              <w:bCs/>
              <w:sz w:val="18"/>
              <w:szCs w:val="18"/>
            </w:rPr>
            <w:fldChar w:fldCharType="begin"/>
          </w:r>
          <w:r w:rsidRPr="00080DA3">
            <w:rPr>
              <w:rFonts w:ascii="Geomanist Light" w:hAnsi="Geomanist Light"/>
              <w:b/>
              <w:bCs/>
              <w:sz w:val="18"/>
              <w:szCs w:val="18"/>
            </w:rPr>
            <w:instrText>PAGE  \* Arabic  \* MERGEFORMAT</w:instrText>
          </w:r>
          <w:r w:rsidRPr="00080DA3">
            <w:rPr>
              <w:rFonts w:ascii="Geomanist Light" w:hAnsi="Geomanist Light"/>
              <w:b/>
              <w:bCs/>
              <w:sz w:val="18"/>
              <w:szCs w:val="18"/>
            </w:rPr>
            <w:fldChar w:fldCharType="separate"/>
          </w:r>
          <w:r>
            <w:rPr>
              <w:rFonts w:ascii="Geomanist Light" w:hAnsi="Geomanist Light"/>
              <w:b/>
              <w:bCs/>
              <w:sz w:val="18"/>
              <w:szCs w:val="18"/>
            </w:rPr>
            <w:t>1</w:t>
          </w:r>
          <w:r w:rsidRPr="00080DA3">
            <w:rPr>
              <w:rFonts w:ascii="Geomanist Light" w:hAnsi="Geomanist Light"/>
              <w:b/>
              <w:bCs/>
              <w:sz w:val="18"/>
              <w:szCs w:val="18"/>
            </w:rPr>
            <w:fldChar w:fldCharType="end"/>
          </w:r>
          <w:r w:rsidRPr="00080DA3">
            <w:rPr>
              <w:rFonts w:ascii="Geomanist Light" w:hAnsi="Geomanist Light"/>
              <w:sz w:val="18"/>
              <w:szCs w:val="18"/>
            </w:rPr>
            <w:t xml:space="preserve"> de </w:t>
          </w:r>
          <w:r w:rsidRPr="00080DA3">
            <w:rPr>
              <w:rFonts w:ascii="Geomanist Light" w:hAnsi="Geomanist Light"/>
              <w:b/>
              <w:bCs/>
              <w:sz w:val="18"/>
              <w:szCs w:val="18"/>
            </w:rPr>
            <w:fldChar w:fldCharType="begin"/>
          </w:r>
          <w:r w:rsidRPr="00080DA3">
            <w:rPr>
              <w:rFonts w:ascii="Geomanist Light" w:hAnsi="Geomanist Light"/>
              <w:b/>
              <w:bCs/>
              <w:sz w:val="18"/>
              <w:szCs w:val="18"/>
            </w:rPr>
            <w:instrText>NUMPAGES  \* Arabic  \* MERGEFORMAT</w:instrText>
          </w:r>
          <w:r w:rsidRPr="00080DA3">
            <w:rPr>
              <w:rFonts w:ascii="Geomanist Light" w:hAnsi="Geomanist Light"/>
              <w:b/>
              <w:bCs/>
              <w:sz w:val="18"/>
              <w:szCs w:val="18"/>
            </w:rPr>
            <w:fldChar w:fldCharType="separate"/>
          </w:r>
          <w:r>
            <w:rPr>
              <w:rFonts w:ascii="Geomanist Light" w:hAnsi="Geomanist Light"/>
              <w:b/>
              <w:bCs/>
              <w:sz w:val="18"/>
              <w:szCs w:val="18"/>
            </w:rPr>
            <w:t>4</w:t>
          </w:r>
          <w:r w:rsidRPr="00080DA3">
            <w:rPr>
              <w:rFonts w:ascii="Geomanist Light" w:hAnsi="Geomanist Light"/>
              <w:b/>
              <w:bCs/>
              <w:sz w:val="18"/>
              <w:szCs w:val="18"/>
            </w:rPr>
            <w:fldChar w:fldCharType="end"/>
          </w:r>
        </w:p>
      </w:tc>
    </w:tr>
  </w:tbl>
  <w:p w14:paraId="48202043" w14:textId="77777777" w:rsidR="00217980" w:rsidRDefault="0021798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969F67" w14:textId="77777777" w:rsidR="00F76196" w:rsidRDefault="00F76196" w:rsidP="00713050">
      <w:pPr>
        <w:spacing w:line="240" w:lineRule="auto"/>
      </w:pPr>
      <w:r>
        <w:separator/>
      </w:r>
    </w:p>
  </w:footnote>
  <w:footnote w:type="continuationSeparator" w:id="0">
    <w:p w14:paraId="47D42B75" w14:textId="77777777" w:rsidR="00F76196" w:rsidRDefault="00F76196" w:rsidP="00713050">
      <w:pPr>
        <w:spacing w:line="240" w:lineRule="auto"/>
      </w:pPr>
      <w:r>
        <w:continuationSeparator/>
      </w:r>
    </w:p>
  </w:footnote>
  <w:footnote w:id="1">
    <w:p w14:paraId="5F75D54E" w14:textId="7A606D3A" w:rsidR="00203F34" w:rsidRPr="00316089" w:rsidRDefault="00203F34" w:rsidP="00316089">
      <w:pPr>
        <w:ind w:firstLine="720"/>
        <w:jc w:val="both"/>
        <w:rPr>
          <w:rFonts w:ascii="Arial" w:hAnsi="Arial" w:cs="Arial"/>
          <w:sz w:val="16"/>
          <w:szCs w:val="16"/>
          <w:lang w:val="es-ES"/>
        </w:rPr>
      </w:pPr>
      <w:r w:rsidRPr="00316089">
        <w:rPr>
          <w:rStyle w:val="Refdenotaalpie"/>
          <w:rFonts w:ascii="Arial" w:hAnsi="Arial" w:cs="Arial"/>
          <w:sz w:val="16"/>
          <w:szCs w:val="16"/>
        </w:rPr>
        <w:footnoteRef/>
      </w:r>
      <w:r w:rsidRPr="00316089">
        <w:rPr>
          <w:rFonts w:ascii="Arial" w:hAnsi="Arial" w:cs="Arial"/>
          <w:sz w:val="16"/>
          <w:szCs w:val="16"/>
          <w:lang w:val="es-CO"/>
        </w:rPr>
        <w:t xml:space="preserve">  La Agencia Nacional de Contratación Pública ‒ Colombia Compra Eficiente fue creada por el Decreto Ley 4170 de 2011. Su objetivo es servir como ente rector de la política de compras y contratación del Estado. Para tales fines, como órgano técnico especializado, le corresponde formular políticas públicas y normas y unificar los procesos de contratación estatal, con el fin de lograr una mayor eficiencia, transparencia y optimización de los recursos del Estado. El artículo 3 ibidem señala, de manera precisa, las funciones de Colombia Compra Eficiente. Concretamente, el numeral 5º de este artículo establece que le corresponde a esta entidad: </w:t>
      </w:r>
      <w:r w:rsidR="007D051F" w:rsidRPr="00316089">
        <w:rPr>
          <w:rFonts w:ascii="Arial" w:hAnsi="Arial" w:cs="Arial"/>
          <w:sz w:val="16"/>
          <w:szCs w:val="16"/>
          <w:lang w:val="es-CO"/>
        </w:rPr>
        <w:t>“</w:t>
      </w:r>
      <w:r w:rsidRPr="00316089">
        <w:rPr>
          <w:rFonts w:ascii="Arial" w:hAnsi="Arial" w:cs="Arial"/>
          <w:sz w:val="16"/>
          <w:szCs w:val="16"/>
          <w:lang w:val="es-CO"/>
        </w:rPr>
        <w:t>[a]bsolver consultas sobre la aplicación de normas de carácter general y expedir circulares externas en materia de compras y contratación pública</w:t>
      </w:r>
      <w:r w:rsidR="007D051F" w:rsidRPr="00316089">
        <w:rPr>
          <w:rFonts w:ascii="Arial" w:hAnsi="Arial" w:cs="Arial"/>
          <w:sz w:val="16"/>
          <w:szCs w:val="16"/>
          <w:lang w:val="es-CO"/>
        </w:rPr>
        <w:t>”</w:t>
      </w:r>
      <w:r w:rsidRPr="00316089">
        <w:rPr>
          <w:rFonts w:ascii="Arial" w:hAnsi="Arial" w:cs="Arial"/>
          <w:sz w:val="16"/>
          <w:szCs w:val="16"/>
          <w:lang w:val="es-CO"/>
        </w:rPr>
        <w:t xml:space="preserve">. Seguidamente, el numeral 8º del artículo 11 ibidem señala que es función de la Subdirección de Gestión Contractual: </w:t>
      </w:r>
      <w:r w:rsidR="007D051F" w:rsidRPr="00316089">
        <w:rPr>
          <w:rFonts w:ascii="Arial" w:hAnsi="Arial" w:cs="Arial"/>
          <w:sz w:val="16"/>
          <w:szCs w:val="16"/>
          <w:lang w:val="es-CO"/>
        </w:rPr>
        <w:t>“</w:t>
      </w:r>
      <w:r w:rsidRPr="00316089">
        <w:rPr>
          <w:rFonts w:ascii="Arial" w:hAnsi="Arial" w:cs="Arial"/>
          <w:sz w:val="16"/>
          <w:szCs w:val="16"/>
          <w:lang w:val="es-CO"/>
        </w:rPr>
        <w:t>[a]bsolver consultas sobre la aplicación de normas de carácter general</w:t>
      </w:r>
      <w:r w:rsidR="007D051F" w:rsidRPr="00316089">
        <w:rPr>
          <w:rFonts w:ascii="Arial" w:hAnsi="Arial" w:cs="Arial"/>
          <w:sz w:val="16"/>
          <w:szCs w:val="16"/>
          <w:lang w:val="es-CO"/>
        </w:rPr>
        <w:t>”</w:t>
      </w:r>
      <w:r w:rsidRPr="00316089">
        <w:rPr>
          <w:rFonts w:ascii="Arial" w:hAnsi="Arial" w:cs="Arial"/>
          <w:sz w:val="16"/>
          <w:szCs w:val="16"/>
          <w:lang w:val="es-CO"/>
        </w:rPr>
        <w:t>.</w:t>
      </w:r>
    </w:p>
  </w:footnote>
  <w:footnote w:id="2">
    <w:p w14:paraId="71064F01" w14:textId="23364028" w:rsidR="00322F7D" w:rsidRPr="00316089" w:rsidRDefault="00FA5D27" w:rsidP="00322F7D">
      <w:pPr>
        <w:ind w:firstLine="720"/>
        <w:jc w:val="both"/>
        <w:rPr>
          <w:rFonts w:ascii="Arial" w:hAnsi="Arial" w:cs="Arial"/>
          <w:sz w:val="16"/>
          <w:szCs w:val="16"/>
          <w:lang w:val="es-CO"/>
        </w:rPr>
      </w:pPr>
      <w:r w:rsidRPr="00316089">
        <w:rPr>
          <w:rStyle w:val="Refdenotaalpie"/>
          <w:rFonts w:ascii="Arial" w:hAnsi="Arial" w:cs="Arial"/>
          <w:sz w:val="16"/>
          <w:szCs w:val="16"/>
        </w:rPr>
        <w:footnoteRef/>
      </w:r>
      <w:r w:rsidR="00322F7D" w:rsidRPr="00316089">
        <w:rPr>
          <w:rFonts w:ascii="Arial" w:hAnsi="Arial" w:cs="Arial"/>
          <w:sz w:val="16"/>
          <w:szCs w:val="16"/>
          <w:lang w:val="es-CO"/>
        </w:rPr>
        <w:t xml:space="preserve"> Los conceptos referenciados, así como otros expedidos por la Subdirección se encuentran disponibles para consulta pública en el portal de relatoría de la Agencia, al cual se puede acceder a través del siguiente enlace: </w:t>
      </w:r>
      <w:hyperlink r:id="rId1" w:history="1">
        <w:r w:rsidR="00322F7D" w:rsidRPr="00316089">
          <w:rPr>
            <w:rStyle w:val="Hipervnculo"/>
            <w:rFonts w:ascii="Arial" w:hAnsi="Arial" w:cs="Arial"/>
            <w:sz w:val="16"/>
            <w:szCs w:val="16"/>
            <w:lang w:val="es-CO"/>
          </w:rPr>
          <w:t>https://relatoria.colombiacompra.gov.co/busqueda/conceptos</w:t>
        </w:r>
      </w:hyperlink>
      <w:r w:rsidR="00322F7D" w:rsidRPr="00316089">
        <w:rPr>
          <w:rFonts w:ascii="Arial" w:hAnsi="Arial" w:cs="Arial"/>
          <w:sz w:val="16"/>
          <w:szCs w:val="16"/>
          <w:lang w:val="es-CO"/>
        </w:rPr>
        <w:t>.</w:t>
      </w:r>
    </w:p>
    <w:p w14:paraId="2E9893DA" w14:textId="1A11DA64" w:rsidR="00FA5D27" w:rsidRPr="00316089" w:rsidRDefault="00FA5D27">
      <w:pPr>
        <w:pStyle w:val="Textonotapie"/>
        <w:rPr>
          <w:rFonts w:ascii="Arial" w:hAnsi="Arial" w:cs="Arial"/>
          <w:sz w:val="16"/>
          <w:szCs w:val="16"/>
          <w:lang w:val="es-ES"/>
        </w:rPr>
      </w:pPr>
    </w:p>
  </w:footnote>
  <w:footnote w:id="3">
    <w:p w14:paraId="2E07CF15" w14:textId="6A02A395" w:rsidR="00B35AC0" w:rsidRDefault="00120ED5" w:rsidP="00842B99">
      <w:pPr>
        <w:pStyle w:val="Textonotapie"/>
        <w:ind w:firstLine="709"/>
        <w:jc w:val="both"/>
        <w:rPr>
          <w:rFonts w:ascii="Arial" w:hAnsi="Arial" w:cs="Arial"/>
          <w:sz w:val="16"/>
          <w:szCs w:val="16"/>
          <w:lang w:val="es-CO"/>
        </w:rPr>
      </w:pPr>
      <w:r w:rsidRPr="00316089">
        <w:rPr>
          <w:rStyle w:val="Refdenotaalpie"/>
          <w:rFonts w:ascii="Arial" w:hAnsi="Arial" w:cs="Arial"/>
          <w:sz w:val="16"/>
          <w:szCs w:val="16"/>
        </w:rPr>
        <w:footnoteRef/>
      </w:r>
      <w:r w:rsidRPr="00316089">
        <w:rPr>
          <w:rFonts w:ascii="Arial" w:hAnsi="Arial" w:cs="Arial"/>
          <w:color w:val="000000" w:themeColor="text1"/>
          <w:sz w:val="16"/>
          <w:szCs w:val="16"/>
          <w:lang w:val="es-CO"/>
        </w:rPr>
        <w:t>«</w:t>
      </w:r>
      <w:r w:rsidRPr="00316089">
        <w:rPr>
          <w:rFonts w:ascii="Arial" w:hAnsi="Arial" w:cs="Arial"/>
          <w:sz w:val="16"/>
          <w:szCs w:val="16"/>
          <w:lang w:val="es-CO"/>
        </w:rPr>
        <w:t>Ver, entre otros: CONSEJO DE ESTADO. Sala Plena de lo Contencioso Administrativo. Sentencia del 8 de agosto de 2001. Rad. AC-10966 - AC-11274; y Sala de lo Contencioso Administrativo - Sección Tercera. Providencias del 13 de septiembre de 1999. Rad. 10607; del 13 de julio de 2000. Rad. 12513; del 10 de noviembre de 2000. Rad. 18709; del 22 de junio de 2001. Rad. 12136; del 11 de diciembre de 2003. Rad. 25000-23-26-000-1993-08696-01(13348); del 19 de agosto de 2004. Rad. 25000-23-26-000-1994-00114-01(14111)</w:t>
      </w:r>
      <w:r w:rsidRPr="00316089">
        <w:rPr>
          <w:rFonts w:ascii="Arial" w:hAnsi="Arial" w:cs="Arial"/>
          <w:color w:val="000000" w:themeColor="text1"/>
          <w:sz w:val="16"/>
          <w:szCs w:val="16"/>
          <w:lang w:val="es-CO"/>
        </w:rPr>
        <w:t>».</w:t>
      </w:r>
      <w:r w:rsidRPr="00316089">
        <w:rPr>
          <w:rFonts w:ascii="Arial" w:hAnsi="Arial" w:cs="Arial"/>
          <w:sz w:val="16"/>
          <w:szCs w:val="16"/>
          <w:lang w:val="es-CO"/>
        </w:rPr>
        <w:t xml:space="preserve"> Citado en CONSEJO DE ESTADO. Sala de lo Contencioso Administrativo. Sección Tercera – Subsección A. Sentencia del 16 de mayo de 2019. Rad. (40102). C.P: María Adriana Marín [cita No. 35]. </w:t>
      </w:r>
    </w:p>
    <w:p w14:paraId="6C94E548" w14:textId="77777777" w:rsidR="009305B6" w:rsidRPr="00316089" w:rsidRDefault="009305B6" w:rsidP="00842B99">
      <w:pPr>
        <w:pStyle w:val="Textonotapie"/>
        <w:ind w:firstLine="709"/>
        <w:jc w:val="both"/>
        <w:rPr>
          <w:rFonts w:ascii="Arial" w:hAnsi="Arial" w:cs="Arial"/>
          <w:sz w:val="16"/>
          <w:szCs w:val="16"/>
          <w:lang w:val="es-CO"/>
        </w:rPr>
      </w:pPr>
    </w:p>
  </w:footnote>
  <w:footnote w:id="4">
    <w:p w14:paraId="276406C9" w14:textId="742FE483" w:rsidR="00B35AC0" w:rsidRPr="00316089" w:rsidRDefault="00120ED5" w:rsidP="00842B99">
      <w:pPr>
        <w:pStyle w:val="Textonotapie"/>
        <w:ind w:firstLine="709"/>
        <w:jc w:val="both"/>
        <w:rPr>
          <w:rFonts w:ascii="Arial" w:hAnsi="Arial" w:cs="Arial"/>
          <w:sz w:val="16"/>
          <w:szCs w:val="16"/>
          <w:lang w:val="es-CO"/>
        </w:rPr>
      </w:pPr>
      <w:r w:rsidRPr="00316089">
        <w:rPr>
          <w:rStyle w:val="Refdenotaalpie"/>
          <w:rFonts w:ascii="Arial" w:hAnsi="Arial" w:cs="Arial"/>
          <w:sz w:val="16"/>
          <w:szCs w:val="16"/>
        </w:rPr>
        <w:footnoteRef/>
      </w:r>
      <w:r w:rsidRPr="00316089">
        <w:rPr>
          <w:rFonts w:ascii="Arial" w:hAnsi="Arial" w:cs="Arial"/>
          <w:sz w:val="16"/>
          <w:szCs w:val="16"/>
          <w:lang w:val="es-CO"/>
        </w:rPr>
        <w:t xml:space="preserve"> CONSEJO DE ESTADO. Sala de lo Contencioso Administrativo. Sección Tercera – Subsección A. Sentencia del 16 de mayo de 2019. Rad. (40102). C.P: María Adriana Marín</w:t>
      </w:r>
    </w:p>
  </w:footnote>
  <w:footnote w:id="5">
    <w:p w14:paraId="4B92234E" w14:textId="77777777" w:rsidR="009305B6" w:rsidRDefault="009305B6" w:rsidP="00842B99">
      <w:pPr>
        <w:pStyle w:val="Textonotapie"/>
        <w:ind w:firstLine="709"/>
        <w:jc w:val="both"/>
        <w:rPr>
          <w:rFonts w:ascii="Arial" w:hAnsi="Arial" w:cs="Arial"/>
          <w:sz w:val="16"/>
          <w:szCs w:val="16"/>
          <w:lang w:val="es-CO"/>
        </w:rPr>
      </w:pPr>
    </w:p>
    <w:p w14:paraId="19E41F5B" w14:textId="1CCEFB79" w:rsidR="00B35AC0" w:rsidRPr="00316089" w:rsidRDefault="00120ED5" w:rsidP="00842B99">
      <w:pPr>
        <w:pStyle w:val="Textonotapie"/>
        <w:ind w:firstLine="709"/>
        <w:jc w:val="both"/>
        <w:rPr>
          <w:rFonts w:ascii="Arial" w:hAnsi="Arial" w:cs="Arial"/>
          <w:sz w:val="16"/>
          <w:szCs w:val="16"/>
          <w:lang w:val="es-CO"/>
        </w:rPr>
      </w:pPr>
      <w:r w:rsidRPr="00316089">
        <w:rPr>
          <w:rStyle w:val="Refdenotaalpie"/>
          <w:rFonts w:ascii="Arial" w:hAnsi="Arial" w:cs="Arial"/>
          <w:sz w:val="16"/>
          <w:szCs w:val="16"/>
        </w:rPr>
        <w:footnoteRef/>
      </w:r>
      <w:r w:rsidRPr="00316089">
        <w:rPr>
          <w:rFonts w:ascii="Arial" w:hAnsi="Arial" w:cs="Arial"/>
          <w:sz w:val="16"/>
          <w:szCs w:val="16"/>
          <w:lang w:val="es-CO"/>
        </w:rPr>
        <w:t xml:space="preserve"> CONSEJO DE ESTADO. Sala de lo Contencioso Administrativo. Sección Tercera – Subsección C. Sentencia del 2 de octubre del 2020. Rad. 63644. CP. Jaime Enrique Rodríguez Nava. </w:t>
      </w:r>
    </w:p>
  </w:footnote>
  <w:footnote w:id="6">
    <w:p w14:paraId="23C857DE" w14:textId="77777777" w:rsidR="009305B6" w:rsidRDefault="009305B6" w:rsidP="00A45CCD">
      <w:pPr>
        <w:pStyle w:val="Textonotapie"/>
        <w:ind w:firstLine="709"/>
        <w:jc w:val="both"/>
        <w:rPr>
          <w:rFonts w:ascii="Arial" w:hAnsi="Arial" w:cs="Arial"/>
          <w:sz w:val="16"/>
          <w:szCs w:val="16"/>
          <w:lang w:val="es-CO"/>
        </w:rPr>
      </w:pPr>
    </w:p>
    <w:p w14:paraId="3E81F095" w14:textId="37E02E82" w:rsidR="003D694B" w:rsidRPr="00316089" w:rsidRDefault="00120ED5" w:rsidP="005A60F5">
      <w:pPr>
        <w:pStyle w:val="Textonotapie"/>
        <w:ind w:firstLine="709"/>
        <w:jc w:val="both"/>
        <w:rPr>
          <w:rFonts w:ascii="Arial" w:hAnsi="Arial" w:cs="Arial"/>
          <w:color w:val="000000" w:themeColor="text1"/>
          <w:sz w:val="16"/>
          <w:szCs w:val="16"/>
          <w:lang w:val="es-CO"/>
        </w:rPr>
      </w:pPr>
      <w:r w:rsidRPr="00316089">
        <w:rPr>
          <w:rStyle w:val="Refdenotaalpie"/>
          <w:rFonts w:ascii="Arial" w:hAnsi="Arial" w:cs="Arial"/>
          <w:sz w:val="16"/>
          <w:szCs w:val="16"/>
        </w:rPr>
        <w:footnoteRef/>
      </w:r>
      <w:r w:rsidRPr="00316089">
        <w:rPr>
          <w:rFonts w:ascii="Arial" w:hAnsi="Arial" w:cs="Arial"/>
          <w:sz w:val="16"/>
          <w:szCs w:val="16"/>
          <w:lang w:val="es-CO"/>
        </w:rPr>
        <w:t xml:space="preserve"> </w:t>
      </w:r>
      <w:r w:rsidRPr="00316089">
        <w:rPr>
          <w:rFonts w:ascii="Arial" w:hAnsi="Arial" w:cs="Arial"/>
          <w:color w:val="000000" w:themeColor="text1"/>
          <w:sz w:val="16"/>
          <w:szCs w:val="16"/>
          <w:lang w:val="es-CO"/>
        </w:rPr>
        <w:t>CONSEJO DE ESTADO. Sección Tercera. Sentencia de 22 de junio de 2001. Exp. 13436, C.P. Ricardo Hoyos Duque</w:t>
      </w:r>
      <w:r w:rsidR="003D694B" w:rsidRPr="00316089">
        <w:rPr>
          <w:rFonts w:ascii="Arial" w:hAnsi="Arial" w:cs="Arial"/>
          <w:color w:val="000000" w:themeColor="text1"/>
          <w:sz w:val="16"/>
          <w:szCs w:val="16"/>
          <w:lang w:val="es-CO"/>
        </w:rPr>
        <w:t>.</w:t>
      </w:r>
    </w:p>
  </w:footnote>
  <w:footnote w:id="7">
    <w:p w14:paraId="7058D0F7" w14:textId="19F1BEFF" w:rsidR="009305B6" w:rsidRPr="00316089" w:rsidRDefault="00120ED5" w:rsidP="00E50EB6">
      <w:pPr>
        <w:pStyle w:val="Textonotapie"/>
        <w:ind w:firstLine="709"/>
        <w:jc w:val="both"/>
        <w:rPr>
          <w:rFonts w:ascii="Arial" w:hAnsi="Arial" w:cs="Arial"/>
          <w:sz w:val="16"/>
          <w:szCs w:val="16"/>
          <w:lang w:val="es-CO"/>
        </w:rPr>
      </w:pPr>
      <w:r w:rsidRPr="00316089">
        <w:rPr>
          <w:rStyle w:val="Refdenotaalpie"/>
          <w:rFonts w:ascii="Arial" w:hAnsi="Arial" w:cs="Arial"/>
          <w:sz w:val="16"/>
          <w:szCs w:val="16"/>
        </w:rPr>
        <w:footnoteRef/>
      </w:r>
      <w:r w:rsidR="009305B6">
        <w:rPr>
          <w:rFonts w:ascii="Arial" w:hAnsi="Arial" w:cs="Arial"/>
          <w:sz w:val="16"/>
          <w:szCs w:val="16"/>
          <w:lang w:val="es-CO"/>
        </w:rPr>
        <w:t>“</w:t>
      </w:r>
      <w:r w:rsidRPr="00316089">
        <w:rPr>
          <w:rFonts w:ascii="Arial" w:hAnsi="Arial" w:cs="Arial"/>
          <w:sz w:val="16"/>
          <w:szCs w:val="16"/>
          <w:lang w:val="es-CO"/>
        </w:rPr>
        <w:t>Se trata de un dinero entregado a título de crédito a favor de la entidad contratante, el cual debe ser debidamente cancelado a través de los descuentos hechos a los valores cobrados por el contratista, de modo que por medio de dicho mecanismos el dinero entregado como anticipo se convierta en parte del pago como contraprestación a la ejecución de las actividades propias del objeto pactado en virtud del contrato, siendo una práctica usual que permite impulsar la ejecución del contrato con la agilidad que requiere la administración para concluir la ejecución del objeto contratado, en aras de dar cumplimiento al mandato de una continua y eficiente prestación del servicio público a su cargo</w:t>
      </w:r>
      <w:r w:rsidR="009305B6">
        <w:rPr>
          <w:rFonts w:ascii="Arial" w:eastAsia="Calibri" w:hAnsi="Arial" w:cs="Arial"/>
          <w:color w:val="000000" w:themeColor="text1"/>
          <w:sz w:val="16"/>
          <w:szCs w:val="16"/>
          <w:lang w:val="es-CO"/>
        </w:rPr>
        <w:t>”</w:t>
      </w:r>
      <w:r w:rsidRPr="00316089">
        <w:rPr>
          <w:rFonts w:ascii="Arial" w:eastAsia="Calibri" w:hAnsi="Arial" w:cs="Arial"/>
          <w:color w:val="000000" w:themeColor="text1"/>
          <w:sz w:val="16"/>
          <w:szCs w:val="16"/>
          <w:lang w:val="es-CO"/>
        </w:rPr>
        <w:t xml:space="preserve"> (</w:t>
      </w:r>
      <w:r w:rsidRPr="00316089">
        <w:rPr>
          <w:rFonts w:ascii="Arial" w:hAnsi="Arial" w:cs="Arial"/>
          <w:sz w:val="16"/>
          <w:szCs w:val="16"/>
          <w:lang w:val="es-CO"/>
        </w:rPr>
        <w:t>EXPÓSITO VÉLEZ, Juan Carlos. Forma y contenido del contrato estatal. Bogotá: Universidad Externado de Colombia, 2013, p. 165-166). De igual manera, se ha expuesto que «Son recursos que deberán amortizarse en proporción a la ejecución del contrato pues se trata de una especie muy particular de préstamo. Lo anterior tiene consecuencias muy importantes, porque se trata de recursos públicos administrados por un particular (contratista), y en esa medida cualquier desviación de estos recursos a fines distintos a los contemplados dentro del contrato podrá propiciar las correspondientes acciones de carácter penal</w:t>
      </w:r>
      <w:r w:rsidRPr="00316089">
        <w:rPr>
          <w:rFonts w:ascii="Arial" w:eastAsia="Calibri" w:hAnsi="Arial" w:cs="Arial"/>
          <w:color w:val="000000" w:themeColor="text1"/>
          <w:sz w:val="16"/>
          <w:szCs w:val="16"/>
          <w:lang w:val="es-CO"/>
        </w:rPr>
        <w:t>»</w:t>
      </w:r>
      <w:r w:rsidRPr="00316089">
        <w:rPr>
          <w:rFonts w:ascii="Arial" w:hAnsi="Arial" w:cs="Arial"/>
          <w:sz w:val="16"/>
          <w:szCs w:val="16"/>
          <w:lang w:val="es-CO"/>
        </w:rPr>
        <w:t xml:space="preserve"> (MATALLANA CAMACHO, Ernesto. Manual de Contratación de la Administración Pública. Reforma de la Ley 80 de 1993. Bogotá: Universidad Externado de Colombia, 4 ed., 2015, p. 921 y ss).</w:t>
      </w:r>
    </w:p>
  </w:footnote>
  <w:footnote w:id="8">
    <w:p w14:paraId="5EB49248" w14:textId="2613202E" w:rsidR="00E959C6" w:rsidRDefault="00120ED5" w:rsidP="00124D04">
      <w:pPr>
        <w:spacing w:line="240" w:lineRule="auto"/>
        <w:ind w:firstLine="708"/>
        <w:jc w:val="both"/>
        <w:rPr>
          <w:rFonts w:ascii="Arial" w:hAnsi="Arial" w:cs="Arial"/>
          <w:sz w:val="16"/>
          <w:szCs w:val="16"/>
          <w:lang w:val="es-CO"/>
        </w:rPr>
      </w:pPr>
      <w:r w:rsidRPr="00316089">
        <w:rPr>
          <w:rStyle w:val="Refdenotaalpie"/>
          <w:rFonts w:ascii="Arial" w:hAnsi="Arial" w:cs="Arial"/>
          <w:sz w:val="16"/>
          <w:szCs w:val="16"/>
        </w:rPr>
        <w:footnoteRef/>
      </w:r>
      <w:r w:rsidRPr="00316089">
        <w:rPr>
          <w:rFonts w:ascii="Arial" w:hAnsi="Arial" w:cs="Arial"/>
          <w:sz w:val="16"/>
          <w:szCs w:val="16"/>
          <w:lang w:val="es-CO"/>
        </w:rPr>
        <w:t xml:space="preserve"> CONSEJO DE ESTADO. Sala Plena de lo Contencioso Administrativo. Sentencia del 8 de agosto de 2001. Exp. AC-10966 </w:t>
      </w:r>
      <w:r w:rsidR="009305B6">
        <w:rPr>
          <w:rFonts w:ascii="Arial" w:hAnsi="Arial" w:cs="Arial"/>
          <w:sz w:val="16"/>
          <w:szCs w:val="16"/>
          <w:lang w:val="es-CO"/>
        </w:rPr>
        <w:t>–</w:t>
      </w:r>
      <w:r w:rsidRPr="00316089">
        <w:rPr>
          <w:rFonts w:ascii="Arial" w:hAnsi="Arial" w:cs="Arial"/>
          <w:sz w:val="16"/>
          <w:szCs w:val="16"/>
          <w:lang w:val="es-CO"/>
        </w:rPr>
        <w:t xml:space="preserve"> AC-11274. Consejero Ponente: Reinaldo Chavarro Buriticá.</w:t>
      </w:r>
    </w:p>
    <w:p w14:paraId="4AD6DB3E" w14:textId="77777777" w:rsidR="007D051F" w:rsidRPr="00316089" w:rsidRDefault="007D051F" w:rsidP="00124D04">
      <w:pPr>
        <w:spacing w:line="240" w:lineRule="auto"/>
        <w:ind w:firstLine="708"/>
        <w:jc w:val="both"/>
        <w:rPr>
          <w:rFonts w:ascii="Arial" w:hAnsi="Arial" w:cs="Arial"/>
          <w:sz w:val="16"/>
          <w:szCs w:val="16"/>
          <w:lang w:val="es-CO"/>
        </w:rPr>
      </w:pPr>
    </w:p>
  </w:footnote>
  <w:footnote w:id="9">
    <w:p w14:paraId="020E5D29" w14:textId="6FF7CCA5" w:rsidR="00120ED5" w:rsidRPr="00316089" w:rsidRDefault="00120ED5" w:rsidP="00120ED5">
      <w:pPr>
        <w:pStyle w:val="Sinespaciado"/>
        <w:ind w:firstLine="708"/>
        <w:jc w:val="both"/>
        <w:rPr>
          <w:rFonts w:ascii="Arial" w:hAnsi="Arial" w:cs="Arial"/>
          <w:sz w:val="16"/>
          <w:szCs w:val="16"/>
          <w:lang w:val="es-CO"/>
        </w:rPr>
      </w:pPr>
      <w:r w:rsidRPr="00316089">
        <w:rPr>
          <w:rStyle w:val="Refdenotaalpie"/>
          <w:rFonts w:ascii="Arial" w:hAnsi="Arial" w:cs="Arial"/>
          <w:sz w:val="16"/>
          <w:szCs w:val="16"/>
        </w:rPr>
        <w:footnoteRef/>
      </w:r>
      <w:r w:rsidRPr="00316089">
        <w:rPr>
          <w:rFonts w:ascii="Arial" w:hAnsi="Arial" w:cs="Arial"/>
          <w:sz w:val="16"/>
          <w:szCs w:val="16"/>
          <w:lang w:val="es-CO"/>
        </w:rPr>
        <w:t xml:space="preserve"> </w:t>
      </w:r>
      <w:r w:rsidR="009305B6">
        <w:rPr>
          <w:rFonts w:ascii="Arial" w:hAnsi="Arial" w:cs="Arial"/>
          <w:sz w:val="16"/>
          <w:szCs w:val="16"/>
          <w:lang w:val="es-CO"/>
        </w:rPr>
        <w:t>“</w:t>
      </w:r>
      <w:r w:rsidRPr="00316089">
        <w:rPr>
          <w:rFonts w:ascii="Arial" w:hAnsi="Arial" w:cs="Arial"/>
          <w:sz w:val="16"/>
          <w:szCs w:val="16"/>
          <w:lang w:val="es-CO"/>
        </w:rPr>
        <w:t>ARTÍCULO 2.2.1.2.3.1.7. Garantía de cumplimiento. La garantía de cumplimiento del contrato debe cubrir:</w:t>
      </w:r>
    </w:p>
    <w:p w14:paraId="7C18A7D0" w14:textId="46C65795" w:rsidR="00120ED5" w:rsidRPr="00316089" w:rsidRDefault="00120ED5" w:rsidP="00120ED5">
      <w:pPr>
        <w:pStyle w:val="Sinespaciado"/>
        <w:ind w:firstLine="708"/>
        <w:jc w:val="both"/>
        <w:rPr>
          <w:rFonts w:ascii="Arial" w:hAnsi="Arial" w:cs="Arial"/>
          <w:sz w:val="16"/>
          <w:szCs w:val="16"/>
          <w:lang w:val="es-CO"/>
        </w:rPr>
      </w:pPr>
      <w:r w:rsidRPr="00316089">
        <w:rPr>
          <w:rFonts w:ascii="Arial" w:hAnsi="Arial" w:cs="Arial"/>
          <w:sz w:val="16"/>
          <w:szCs w:val="16"/>
          <w:lang w:val="es-CO"/>
        </w:rPr>
        <w:t>1. Buen manejo y correcta inversión del anticipo. Este amparo cubre los perjuicios sufridos por la Entidad Estatal con ocasión de: (i) la no inversión del anticipo; (ii) el uso indebido del anticipo; y (iii) la apropiación indebida de los recursos recibidos en calidad de anticipo.</w:t>
      </w:r>
    </w:p>
    <w:p w14:paraId="58EAC010" w14:textId="421AC4EC" w:rsidR="00120ED5" w:rsidRPr="00316089" w:rsidRDefault="00120ED5" w:rsidP="00120ED5">
      <w:pPr>
        <w:pStyle w:val="Sinespaciado"/>
        <w:ind w:firstLine="708"/>
        <w:jc w:val="both"/>
        <w:rPr>
          <w:rFonts w:ascii="Arial" w:hAnsi="Arial" w:cs="Arial"/>
          <w:sz w:val="16"/>
          <w:szCs w:val="16"/>
          <w:lang w:val="es-CO"/>
        </w:rPr>
      </w:pPr>
      <w:r w:rsidRPr="00316089">
        <w:rPr>
          <w:rFonts w:ascii="Arial" w:hAnsi="Arial" w:cs="Arial"/>
          <w:sz w:val="16"/>
          <w:szCs w:val="16"/>
          <w:lang w:val="es-CO"/>
        </w:rPr>
        <w:t>2. Devolución del pago anticipado. Este amparo cubre los perjuicios sufridos por la Entidad Estatal por la no devolución total o parcial del dinero entregado al contratista a título de pago anticipado, cuando a ello hubiere lugar.</w:t>
      </w:r>
    </w:p>
    <w:p w14:paraId="40D70D24" w14:textId="18016AC0" w:rsidR="00120ED5" w:rsidRPr="00316089" w:rsidRDefault="00120ED5" w:rsidP="00120ED5">
      <w:pPr>
        <w:pStyle w:val="Sinespaciado"/>
        <w:ind w:firstLine="708"/>
        <w:jc w:val="both"/>
        <w:rPr>
          <w:rFonts w:ascii="Arial" w:hAnsi="Arial" w:cs="Arial"/>
          <w:sz w:val="16"/>
          <w:szCs w:val="16"/>
          <w:lang w:val="es-CO"/>
        </w:rPr>
      </w:pPr>
      <w:r w:rsidRPr="00316089">
        <w:rPr>
          <w:rFonts w:ascii="Arial" w:hAnsi="Arial" w:cs="Arial"/>
          <w:sz w:val="16"/>
          <w:szCs w:val="16"/>
          <w:lang w:val="es-CO"/>
        </w:rPr>
        <w:t>3. Cumplimiento del contrato. Este amparo cubre a la Entidad Estatal de los perjuicios derivados de:</w:t>
      </w:r>
    </w:p>
    <w:p w14:paraId="151FE410" w14:textId="09691980" w:rsidR="00120ED5" w:rsidRPr="00316089" w:rsidRDefault="00120ED5" w:rsidP="00120ED5">
      <w:pPr>
        <w:pStyle w:val="Sinespaciado"/>
        <w:ind w:firstLine="708"/>
        <w:jc w:val="both"/>
        <w:rPr>
          <w:rFonts w:ascii="Arial" w:hAnsi="Arial" w:cs="Arial"/>
          <w:sz w:val="16"/>
          <w:szCs w:val="16"/>
          <w:lang w:val="es-CO"/>
        </w:rPr>
      </w:pPr>
      <w:r w:rsidRPr="00316089">
        <w:rPr>
          <w:rFonts w:ascii="Arial" w:hAnsi="Arial" w:cs="Arial"/>
          <w:sz w:val="16"/>
          <w:szCs w:val="16"/>
          <w:lang w:val="es-CO"/>
        </w:rPr>
        <w:t>3.1. El incumplimiento total o parcial del contrato, cuando el incumplimiento es imputable al contratista;</w:t>
      </w:r>
    </w:p>
    <w:p w14:paraId="774FD9F7" w14:textId="2003FD7F" w:rsidR="00531282" w:rsidRPr="00316089" w:rsidRDefault="00120ED5" w:rsidP="00120ED5">
      <w:pPr>
        <w:pStyle w:val="Sinespaciado"/>
        <w:ind w:firstLine="708"/>
        <w:jc w:val="both"/>
        <w:rPr>
          <w:rFonts w:ascii="Arial" w:hAnsi="Arial" w:cs="Arial"/>
          <w:sz w:val="16"/>
          <w:szCs w:val="16"/>
          <w:lang w:val="es-CO"/>
        </w:rPr>
      </w:pPr>
      <w:r w:rsidRPr="00316089">
        <w:rPr>
          <w:rFonts w:ascii="Arial" w:hAnsi="Arial" w:cs="Arial"/>
          <w:sz w:val="16"/>
          <w:szCs w:val="16"/>
          <w:lang w:val="es-CO"/>
        </w:rPr>
        <w:t xml:space="preserve">3.2. El cumplimiento tardío o defectuoso del contrato, cuando el incumplimiento es imputable al </w:t>
      </w:r>
    </w:p>
    <w:p w14:paraId="037D0651" w14:textId="3B1A3429" w:rsidR="00120ED5" w:rsidRPr="00316089" w:rsidRDefault="00120ED5" w:rsidP="00120ED5">
      <w:pPr>
        <w:pStyle w:val="Sinespaciado"/>
        <w:ind w:firstLine="708"/>
        <w:jc w:val="both"/>
        <w:rPr>
          <w:rFonts w:ascii="Arial" w:hAnsi="Arial" w:cs="Arial"/>
          <w:sz w:val="16"/>
          <w:szCs w:val="16"/>
          <w:lang w:val="es-CO"/>
        </w:rPr>
      </w:pPr>
      <w:r w:rsidRPr="00316089">
        <w:rPr>
          <w:rFonts w:ascii="Arial" w:hAnsi="Arial" w:cs="Arial"/>
          <w:sz w:val="16"/>
          <w:szCs w:val="16"/>
          <w:lang w:val="es-CO"/>
        </w:rPr>
        <w:t>contratista;</w:t>
      </w:r>
    </w:p>
    <w:p w14:paraId="6E68165B" w14:textId="5420BB3D" w:rsidR="00120ED5" w:rsidRPr="00316089" w:rsidRDefault="00120ED5" w:rsidP="00120ED5">
      <w:pPr>
        <w:pStyle w:val="Sinespaciado"/>
        <w:ind w:firstLine="708"/>
        <w:jc w:val="both"/>
        <w:rPr>
          <w:rFonts w:ascii="Arial" w:hAnsi="Arial" w:cs="Arial"/>
          <w:sz w:val="16"/>
          <w:szCs w:val="16"/>
          <w:lang w:val="es-CO"/>
        </w:rPr>
      </w:pPr>
      <w:r w:rsidRPr="00316089">
        <w:rPr>
          <w:rFonts w:ascii="Arial" w:hAnsi="Arial" w:cs="Arial"/>
          <w:sz w:val="16"/>
          <w:szCs w:val="16"/>
          <w:lang w:val="es-CO"/>
        </w:rPr>
        <w:t>3.3. Los daños imputables al contratista por entregas parciales de la obra, cuando el contrato no prevé entregas parciales; y</w:t>
      </w:r>
    </w:p>
    <w:p w14:paraId="2A2EA575" w14:textId="06BC05A8" w:rsidR="00120ED5" w:rsidRPr="00316089" w:rsidRDefault="00120ED5" w:rsidP="00120ED5">
      <w:pPr>
        <w:pStyle w:val="Sinespaciado"/>
        <w:ind w:firstLine="708"/>
        <w:jc w:val="both"/>
        <w:rPr>
          <w:rFonts w:ascii="Arial" w:hAnsi="Arial" w:cs="Arial"/>
          <w:sz w:val="16"/>
          <w:szCs w:val="16"/>
          <w:lang w:val="es-CO"/>
        </w:rPr>
      </w:pPr>
      <w:r w:rsidRPr="00316089">
        <w:rPr>
          <w:rFonts w:ascii="Arial" w:hAnsi="Arial" w:cs="Arial"/>
          <w:sz w:val="16"/>
          <w:szCs w:val="16"/>
          <w:lang w:val="es-CO"/>
        </w:rPr>
        <w:t>3.4. El pago del valor de las multas y de la cláusula penal pecuniaria.</w:t>
      </w:r>
    </w:p>
    <w:p w14:paraId="5A8E51D8" w14:textId="7631A01F" w:rsidR="00120ED5" w:rsidRPr="00316089" w:rsidRDefault="00120ED5" w:rsidP="00120ED5">
      <w:pPr>
        <w:pStyle w:val="Sinespaciado"/>
        <w:ind w:firstLine="708"/>
        <w:jc w:val="both"/>
        <w:rPr>
          <w:rFonts w:ascii="Arial" w:hAnsi="Arial" w:cs="Arial"/>
          <w:sz w:val="16"/>
          <w:szCs w:val="16"/>
          <w:lang w:val="es-CO"/>
        </w:rPr>
      </w:pPr>
      <w:r w:rsidRPr="00316089">
        <w:rPr>
          <w:rFonts w:ascii="Arial" w:hAnsi="Arial" w:cs="Arial"/>
          <w:sz w:val="16"/>
          <w:szCs w:val="16"/>
          <w:lang w:val="es-CO"/>
        </w:rPr>
        <w:t>4. Pago de salarios, prestaciones sociales legales e indemnizaciones laborales. Este amparo debe cubrir a la Entidad Estatal de los perjuicios ocasionados por el incumplimiento de las obligaciones laborales del contratista derivadas de la contratación del personal utilizado en el territorio nacional para la ejecución del contrato amparado.</w:t>
      </w:r>
    </w:p>
    <w:p w14:paraId="20E6AB3B" w14:textId="68D8B7E6" w:rsidR="00120ED5" w:rsidRPr="00316089" w:rsidRDefault="00120ED5" w:rsidP="00120ED5">
      <w:pPr>
        <w:pStyle w:val="Sinespaciado"/>
        <w:ind w:firstLine="708"/>
        <w:jc w:val="both"/>
        <w:rPr>
          <w:rFonts w:ascii="Arial" w:hAnsi="Arial" w:cs="Arial"/>
          <w:sz w:val="16"/>
          <w:szCs w:val="16"/>
          <w:lang w:val="es-CO"/>
        </w:rPr>
      </w:pPr>
      <w:r w:rsidRPr="00316089">
        <w:rPr>
          <w:rFonts w:ascii="Arial" w:hAnsi="Arial" w:cs="Arial"/>
          <w:sz w:val="16"/>
          <w:szCs w:val="16"/>
          <w:lang w:val="es-CO"/>
        </w:rPr>
        <w:t>La Entidad Estatal no debe exigir una garantía para cubrir este Riesgo en los contratos que se ejecuten fuera del territorio nacional con personal contratado bajo un régimen jurídico distinto al colombiano.</w:t>
      </w:r>
    </w:p>
    <w:p w14:paraId="4C43AF27" w14:textId="5D13EF75" w:rsidR="00120ED5" w:rsidRPr="00316089" w:rsidRDefault="00120ED5" w:rsidP="00120ED5">
      <w:pPr>
        <w:pStyle w:val="Sinespaciado"/>
        <w:ind w:firstLine="708"/>
        <w:jc w:val="both"/>
        <w:rPr>
          <w:rFonts w:ascii="Arial" w:hAnsi="Arial" w:cs="Arial"/>
          <w:sz w:val="16"/>
          <w:szCs w:val="16"/>
          <w:lang w:val="es-CO"/>
        </w:rPr>
      </w:pPr>
      <w:r w:rsidRPr="00316089">
        <w:rPr>
          <w:rFonts w:ascii="Arial" w:hAnsi="Arial" w:cs="Arial"/>
          <w:sz w:val="16"/>
          <w:szCs w:val="16"/>
          <w:lang w:val="es-CO"/>
        </w:rPr>
        <w:t>5. Estabilidad y calidad de la obra. Este amparo cubre a la Entidad Estatal de los perjuicios ocasionados por cualquier tipo de daño o deterioro, imputable al contratista, sufrido por la obra entregada a satisfacción.</w:t>
      </w:r>
    </w:p>
    <w:p w14:paraId="5BA35843" w14:textId="60D653D6" w:rsidR="00120ED5" w:rsidRPr="00316089" w:rsidRDefault="00120ED5" w:rsidP="00120ED5">
      <w:pPr>
        <w:pStyle w:val="Sinespaciado"/>
        <w:ind w:firstLine="708"/>
        <w:jc w:val="both"/>
        <w:rPr>
          <w:rFonts w:ascii="Arial" w:hAnsi="Arial" w:cs="Arial"/>
          <w:sz w:val="16"/>
          <w:szCs w:val="16"/>
          <w:lang w:val="es-CO"/>
        </w:rPr>
      </w:pPr>
      <w:r w:rsidRPr="00316089">
        <w:rPr>
          <w:rFonts w:ascii="Arial" w:hAnsi="Arial" w:cs="Arial"/>
          <w:sz w:val="16"/>
          <w:szCs w:val="16"/>
          <w:lang w:val="es-CO"/>
        </w:rPr>
        <w:t>6. Calidad del servicio. Este amparo cubre a la Entidad Estatal por los perjuicios derivados de la deficiente calidad del servicio prestado.</w:t>
      </w:r>
    </w:p>
    <w:p w14:paraId="247DEE2A" w14:textId="195B2E02" w:rsidR="00120ED5" w:rsidRPr="00316089" w:rsidRDefault="00120ED5" w:rsidP="00120ED5">
      <w:pPr>
        <w:pStyle w:val="Sinespaciado"/>
        <w:ind w:firstLine="708"/>
        <w:jc w:val="both"/>
        <w:rPr>
          <w:rFonts w:ascii="Arial" w:hAnsi="Arial" w:cs="Arial"/>
          <w:sz w:val="16"/>
          <w:szCs w:val="16"/>
          <w:lang w:val="es-CO"/>
        </w:rPr>
      </w:pPr>
      <w:r w:rsidRPr="00316089">
        <w:rPr>
          <w:rFonts w:ascii="Arial" w:hAnsi="Arial" w:cs="Arial"/>
          <w:sz w:val="16"/>
          <w:szCs w:val="16"/>
          <w:lang w:val="es-CO"/>
        </w:rPr>
        <w:t>7. Calidad y correcto funcionamiento de los bienes. Este amparo debe cubrir la calidad y el correcto funcionamiento de los bienes que recibe la Entidad Estatal en cumplimiento de un contrato.</w:t>
      </w:r>
    </w:p>
    <w:p w14:paraId="0E268359" w14:textId="5A00C077" w:rsidR="00120ED5" w:rsidRPr="00316089" w:rsidRDefault="00120ED5" w:rsidP="00120ED5">
      <w:pPr>
        <w:pStyle w:val="Sinespaciado"/>
        <w:ind w:firstLine="708"/>
        <w:jc w:val="both"/>
        <w:rPr>
          <w:rFonts w:ascii="Arial" w:hAnsi="Arial" w:cs="Arial"/>
          <w:sz w:val="16"/>
          <w:szCs w:val="16"/>
          <w:lang w:val="es-CO"/>
        </w:rPr>
      </w:pPr>
      <w:r w:rsidRPr="00316089">
        <w:rPr>
          <w:rFonts w:ascii="Arial" w:hAnsi="Arial" w:cs="Arial"/>
          <w:sz w:val="16"/>
          <w:szCs w:val="16"/>
          <w:lang w:val="es-CO"/>
        </w:rPr>
        <w:t>8. Los demás incumplimientos de obligaciones que la Entidad Estatal considere deben ser amparados de manera proporcional y acorde a la naturaleza del contrato.</w:t>
      </w:r>
    </w:p>
  </w:footnote>
  <w:footnote w:id="10">
    <w:p w14:paraId="1CA21F0B" w14:textId="77777777" w:rsidR="00B21225" w:rsidRPr="00316089" w:rsidRDefault="00B21225" w:rsidP="00B21225">
      <w:pPr>
        <w:pStyle w:val="Textonotapie"/>
        <w:ind w:firstLine="708"/>
        <w:jc w:val="both"/>
        <w:rPr>
          <w:rFonts w:ascii="Arial" w:hAnsi="Arial" w:cs="Arial"/>
          <w:color w:val="000000"/>
          <w:sz w:val="16"/>
          <w:szCs w:val="16"/>
          <w:lang w:val="es-CO"/>
        </w:rPr>
      </w:pPr>
      <w:r w:rsidRPr="00316089">
        <w:rPr>
          <w:rStyle w:val="Refdenotaalpie"/>
          <w:rFonts w:ascii="Arial" w:hAnsi="Arial" w:cs="Arial"/>
          <w:color w:val="000000"/>
          <w:sz w:val="16"/>
          <w:szCs w:val="16"/>
        </w:rPr>
        <w:footnoteRef/>
      </w:r>
      <w:r w:rsidRPr="00316089">
        <w:rPr>
          <w:rFonts w:ascii="Arial" w:hAnsi="Arial" w:cs="Arial"/>
          <w:color w:val="000000"/>
          <w:sz w:val="16"/>
          <w:szCs w:val="16"/>
          <w:lang w:val="es-CO"/>
        </w:rPr>
        <w:t xml:space="preserve"> Sobre esta norma consultar los conceptos del 8 de octubre de 2019, con radicado 2201913000007532, y del 20 de diciembre de 2019, cuyo radicado es el No. 4201913000008240.</w:t>
      </w:r>
    </w:p>
  </w:footnote>
  <w:footnote w:id="11">
    <w:p w14:paraId="3885EE59" w14:textId="77777777" w:rsidR="009305B6" w:rsidRDefault="009305B6" w:rsidP="00DE7FB3">
      <w:pPr>
        <w:pStyle w:val="Textonotapie"/>
        <w:jc w:val="both"/>
        <w:rPr>
          <w:rFonts w:ascii="Arial" w:hAnsi="Arial" w:cs="Arial"/>
          <w:color w:val="000000"/>
          <w:sz w:val="16"/>
          <w:szCs w:val="16"/>
          <w:lang w:val="es-CO"/>
        </w:rPr>
      </w:pPr>
    </w:p>
    <w:p w14:paraId="128D9A01" w14:textId="69E488D8" w:rsidR="00B21225" w:rsidRPr="00316089" w:rsidRDefault="00B21225" w:rsidP="00B21225">
      <w:pPr>
        <w:pStyle w:val="Textonotapie"/>
        <w:ind w:firstLine="708"/>
        <w:jc w:val="both"/>
        <w:rPr>
          <w:rFonts w:ascii="Arial" w:hAnsi="Arial" w:cs="Arial"/>
          <w:color w:val="000000"/>
          <w:sz w:val="16"/>
          <w:szCs w:val="16"/>
          <w:lang w:val="es-CO"/>
        </w:rPr>
      </w:pPr>
      <w:r w:rsidRPr="00316089">
        <w:rPr>
          <w:rStyle w:val="Refdenotaalpie"/>
          <w:rFonts w:ascii="Arial" w:hAnsi="Arial" w:cs="Arial"/>
          <w:color w:val="000000"/>
          <w:sz w:val="16"/>
          <w:szCs w:val="16"/>
        </w:rPr>
        <w:footnoteRef/>
      </w:r>
      <w:r w:rsidRPr="00316089">
        <w:rPr>
          <w:rFonts w:ascii="Arial" w:hAnsi="Arial" w:cs="Arial"/>
          <w:color w:val="000000"/>
          <w:sz w:val="16"/>
          <w:szCs w:val="16"/>
          <w:lang w:val="es-CO"/>
        </w:rPr>
        <w:t xml:space="preserve"> </w:t>
      </w:r>
      <w:r w:rsidR="009305B6">
        <w:rPr>
          <w:rFonts w:ascii="Arial" w:hAnsi="Arial" w:cs="Arial"/>
          <w:color w:val="000000"/>
          <w:sz w:val="16"/>
          <w:szCs w:val="16"/>
          <w:lang w:val="es-CO"/>
        </w:rPr>
        <w:t>“</w:t>
      </w:r>
      <w:r w:rsidRPr="00316089">
        <w:rPr>
          <w:rFonts w:ascii="Arial" w:hAnsi="Arial" w:cs="Arial"/>
          <w:color w:val="000000"/>
          <w:sz w:val="16"/>
          <w:szCs w:val="16"/>
          <w:lang w:val="es-CO"/>
        </w:rPr>
        <w:t>Articulo 96. Constitución de asociaciones y fundaciones para el cumplimiento de las actividades propias de las entidades públicas con participación de particulares. Las entidades estatales, cualquiera sea su naturaleza y orden administrativo podrán, con la observancia de los principios señalados en el artículo 209 de la Constitución, asociarse con personas jurídicas particulares, mediante la celebración de convenios de asociación o la creación de personas jurídicas, para el desarrollo conjunto de actividades en relación con los cometidos y funciones que les asigna a aquéllas la ley.</w:t>
      </w:r>
    </w:p>
    <w:p w14:paraId="5D59C3E5" w14:textId="073C5666" w:rsidR="00B21225" w:rsidRPr="00316089" w:rsidRDefault="00B21225" w:rsidP="00B21225">
      <w:pPr>
        <w:pStyle w:val="Textonotapie"/>
        <w:ind w:firstLine="708"/>
        <w:jc w:val="both"/>
        <w:rPr>
          <w:rFonts w:ascii="Arial" w:hAnsi="Arial" w:cs="Arial"/>
          <w:color w:val="000000"/>
          <w:sz w:val="16"/>
          <w:szCs w:val="16"/>
          <w:lang w:val="es-CO"/>
        </w:rPr>
      </w:pPr>
      <w:r w:rsidRPr="00316089">
        <w:rPr>
          <w:rFonts w:ascii="Arial" w:hAnsi="Arial" w:cs="Arial"/>
          <w:color w:val="000000"/>
          <w:sz w:val="16"/>
          <w:szCs w:val="16"/>
          <w:lang w:val="es-CO"/>
        </w:rPr>
        <w:t>Los convenios de asociación a que se refiere el presente artículo se celebrarán de conformidad con lo dispuesto en el artículo 355 de la Constitución Política, en ellos se determinará con precisión su objeto, término, obligaciones de las partes, aportes, coordinación y todos aquellos aspectos que se consideren pertinentes</w:t>
      </w:r>
      <w:r w:rsidR="009305B6">
        <w:rPr>
          <w:rFonts w:ascii="Arial" w:hAnsi="Arial" w:cs="Arial"/>
          <w:color w:val="000000"/>
          <w:sz w:val="16"/>
          <w:szCs w:val="16"/>
          <w:lang w:val="es-CO"/>
        </w:rPr>
        <w:t>”</w:t>
      </w:r>
      <w:r w:rsidRPr="00316089">
        <w:rPr>
          <w:rFonts w:ascii="Arial" w:hAnsi="Arial" w:cs="Arial"/>
          <w:color w:val="000000"/>
          <w:sz w:val="16"/>
          <w:szCs w:val="16"/>
          <w:lang w:val="es-CO"/>
        </w:rPr>
        <w:t>.</w:t>
      </w:r>
    </w:p>
  </w:footnote>
  <w:footnote w:id="12">
    <w:p w14:paraId="13891ED2" w14:textId="77777777" w:rsidR="009305B6" w:rsidRDefault="009305B6" w:rsidP="00830971">
      <w:pPr>
        <w:pStyle w:val="Textonotapie"/>
        <w:ind w:firstLine="708"/>
        <w:jc w:val="both"/>
        <w:rPr>
          <w:rFonts w:ascii="Arial" w:hAnsi="Arial" w:cs="Arial"/>
          <w:color w:val="000000"/>
          <w:sz w:val="16"/>
          <w:szCs w:val="16"/>
          <w:lang w:val="es-CO"/>
        </w:rPr>
      </w:pPr>
    </w:p>
    <w:p w14:paraId="587A361C" w14:textId="7FE78132" w:rsidR="00830971" w:rsidRPr="00316089" w:rsidRDefault="00830971" w:rsidP="00830971">
      <w:pPr>
        <w:pStyle w:val="Textonotapie"/>
        <w:ind w:firstLine="708"/>
        <w:jc w:val="both"/>
        <w:rPr>
          <w:rFonts w:ascii="Arial" w:hAnsi="Arial" w:cs="Arial"/>
          <w:color w:val="000000"/>
          <w:sz w:val="16"/>
          <w:szCs w:val="16"/>
          <w:lang w:val="es-CO"/>
        </w:rPr>
      </w:pPr>
      <w:r w:rsidRPr="00316089">
        <w:rPr>
          <w:rStyle w:val="Refdenotaalpie"/>
          <w:rFonts w:ascii="Arial" w:hAnsi="Arial" w:cs="Arial"/>
          <w:color w:val="000000"/>
          <w:sz w:val="16"/>
          <w:szCs w:val="16"/>
        </w:rPr>
        <w:footnoteRef/>
      </w:r>
      <w:r w:rsidRPr="00316089">
        <w:rPr>
          <w:rFonts w:ascii="Arial" w:hAnsi="Arial" w:cs="Arial"/>
          <w:color w:val="000000"/>
          <w:sz w:val="16"/>
          <w:szCs w:val="16"/>
          <w:lang w:val="es-CO"/>
        </w:rPr>
        <w:t xml:space="preserve"> En el concepto emitido el 5 de febrero de 2019, dentro del radicado No. 2201913000000663, se dijo: </w:t>
      </w:r>
      <w:r w:rsidR="009305B6">
        <w:rPr>
          <w:rFonts w:ascii="Arial" w:hAnsi="Arial" w:cs="Arial"/>
          <w:color w:val="000000"/>
          <w:sz w:val="16"/>
          <w:szCs w:val="16"/>
          <w:lang w:val="es-CO"/>
        </w:rPr>
        <w:t>“</w:t>
      </w:r>
      <w:r w:rsidRPr="00316089">
        <w:rPr>
          <w:rFonts w:ascii="Arial" w:hAnsi="Arial" w:cs="Arial"/>
          <w:color w:val="000000"/>
          <w:sz w:val="16"/>
          <w:szCs w:val="16"/>
          <w:lang w:val="es-CO"/>
        </w:rPr>
        <w:t>[l]os convenios de asociación del artículo 5 son distintos a los contratos de colaboración del artículo 2 del Decreto 092 de 2017</w:t>
      </w:r>
      <w:r w:rsidR="009305B6">
        <w:rPr>
          <w:rFonts w:ascii="Arial" w:hAnsi="Arial" w:cs="Arial"/>
          <w:color w:val="000000"/>
          <w:sz w:val="16"/>
          <w:szCs w:val="16"/>
          <w:lang w:val="es-CO"/>
        </w:rPr>
        <w:t>”</w:t>
      </w:r>
      <w:r w:rsidRPr="00316089">
        <w:rPr>
          <w:rFonts w:ascii="Arial" w:hAnsi="Arial" w:cs="Arial"/>
          <w:color w:val="000000"/>
          <w:sz w:val="16"/>
          <w:szCs w:val="16"/>
          <w:lang w:val="es-CO"/>
        </w:rPr>
        <w:t>.</w:t>
      </w:r>
    </w:p>
  </w:footnote>
  <w:footnote w:id="13">
    <w:p w14:paraId="0C147B47" w14:textId="77777777" w:rsidR="00B21225" w:rsidRPr="00316089" w:rsidRDefault="00B21225" w:rsidP="00B21225">
      <w:pPr>
        <w:pStyle w:val="Textonotapie"/>
        <w:ind w:firstLine="708"/>
        <w:jc w:val="both"/>
        <w:rPr>
          <w:rFonts w:ascii="Arial" w:hAnsi="Arial" w:cs="Arial"/>
          <w:color w:val="000000"/>
          <w:sz w:val="16"/>
          <w:szCs w:val="16"/>
          <w:lang w:val="es-CO"/>
        </w:rPr>
      </w:pPr>
      <w:r w:rsidRPr="00316089">
        <w:rPr>
          <w:rStyle w:val="Refdenotaalpie"/>
          <w:rFonts w:ascii="Arial" w:hAnsi="Arial" w:cs="Arial"/>
          <w:color w:val="000000"/>
          <w:sz w:val="16"/>
          <w:szCs w:val="16"/>
        </w:rPr>
        <w:footnoteRef/>
      </w:r>
      <w:r w:rsidRPr="00316089">
        <w:rPr>
          <w:rFonts w:ascii="Arial" w:hAnsi="Arial" w:cs="Arial"/>
          <w:color w:val="000000"/>
          <w:sz w:val="16"/>
          <w:szCs w:val="16"/>
          <w:lang w:val="es-CO"/>
        </w:rPr>
        <w:t xml:space="preserve"> Concepto del 3 de septiembre de 2019, emitido en el radicado No. 2201913000006512.</w:t>
      </w:r>
    </w:p>
  </w:footnote>
  <w:footnote w:id="14">
    <w:p w14:paraId="08C9F94F" w14:textId="10E9066B" w:rsidR="00B21225" w:rsidRPr="00316089" w:rsidRDefault="00B21225" w:rsidP="00B21225">
      <w:pPr>
        <w:pStyle w:val="Textonotapie"/>
        <w:ind w:firstLine="708"/>
        <w:jc w:val="both"/>
        <w:rPr>
          <w:rFonts w:ascii="Arial" w:hAnsi="Arial" w:cs="Arial"/>
          <w:color w:val="000000"/>
          <w:sz w:val="16"/>
          <w:szCs w:val="16"/>
          <w:lang w:val="es-CO"/>
        </w:rPr>
      </w:pPr>
      <w:r w:rsidRPr="00316089">
        <w:rPr>
          <w:rStyle w:val="Refdenotaalpie"/>
          <w:rFonts w:ascii="Arial" w:hAnsi="Arial" w:cs="Arial"/>
          <w:color w:val="000000"/>
          <w:sz w:val="16"/>
          <w:szCs w:val="16"/>
        </w:rPr>
        <w:footnoteRef/>
      </w:r>
      <w:r w:rsidRPr="00316089">
        <w:rPr>
          <w:rFonts w:ascii="Arial" w:hAnsi="Arial" w:cs="Arial"/>
          <w:color w:val="000000"/>
          <w:sz w:val="16"/>
          <w:szCs w:val="16"/>
          <w:lang w:val="es-CO"/>
        </w:rPr>
        <w:t xml:space="preserve"> </w:t>
      </w:r>
      <w:r w:rsidR="009305B6">
        <w:rPr>
          <w:rFonts w:ascii="Arial" w:hAnsi="Arial" w:cs="Arial"/>
          <w:color w:val="000000"/>
          <w:sz w:val="16"/>
          <w:szCs w:val="16"/>
          <w:lang w:val="es-CO"/>
        </w:rPr>
        <w:t>“</w:t>
      </w:r>
      <w:r w:rsidRPr="00316089">
        <w:rPr>
          <w:rFonts w:ascii="Arial" w:hAnsi="Arial" w:cs="Arial"/>
          <w:color w:val="000000"/>
          <w:sz w:val="16"/>
          <w:szCs w:val="16"/>
          <w:lang w:val="es-CO"/>
        </w:rPr>
        <w:t>[…] dado que el Decreto 092 de 2017 no restringe ninguna forma de asociación, las ESAL pueden constituirse como unión temporal o consorcio para efectos de la celebración de contratos de colaboración o convenios de asociación</w:t>
      </w:r>
      <w:r w:rsidR="009305B6">
        <w:rPr>
          <w:rFonts w:ascii="Arial" w:hAnsi="Arial" w:cs="Arial"/>
          <w:color w:val="000000"/>
          <w:sz w:val="16"/>
          <w:szCs w:val="16"/>
          <w:lang w:val="es-CO"/>
        </w:rPr>
        <w:t>”</w:t>
      </w:r>
      <w:r w:rsidRPr="00316089">
        <w:rPr>
          <w:rFonts w:ascii="Arial" w:hAnsi="Arial" w:cs="Arial"/>
          <w:color w:val="000000"/>
          <w:sz w:val="16"/>
          <w:szCs w:val="16"/>
          <w:lang w:val="es-CO"/>
        </w:rPr>
        <w:t xml:space="preserve">. (AGENCIA NACIONAL DE CONTRATACIÓN PÚBLICA – COLOMBIA COMPRA EFICIENTE. Guía para la contratación con entidades privadas sin ánimo de lucro y de reconocida idoneidad. Disponible en:  </w:t>
      </w:r>
      <w:hyperlink r:id="rId2" w:history="1">
        <w:r w:rsidRPr="00316089">
          <w:rPr>
            <w:rStyle w:val="Hipervnculo"/>
            <w:rFonts w:ascii="Arial" w:hAnsi="Arial" w:cs="Arial"/>
            <w:sz w:val="16"/>
            <w:szCs w:val="16"/>
            <w:lang w:val="es-CO"/>
          </w:rPr>
          <w:t>https://www.colombiacompra.gov.co/manuales-guias-y-pliegos-tipo/manuales-y-guias</w:t>
        </w:r>
      </w:hyperlink>
      <w:r w:rsidRPr="00316089">
        <w:rPr>
          <w:rFonts w:ascii="Arial" w:hAnsi="Arial" w:cs="Arial"/>
          <w:color w:val="000000"/>
          <w:sz w:val="16"/>
          <w:szCs w:val="16"/>
          <w:lang w:val="es-CO"/>
        </w:rPr>
        <w:t xml:space="preserve">). </w:t>
      </w:r>
    </w:p>
    <w:p w14:paraId="476E0D1D" w14:textId="77777777" w:rsidR="00B21225" w:rsidRPr="00316089" w:rsidRDefault="00B21225" w:rsidP="00B21225">
      <w:pPr>
        <w:pStyle w:val="Textonotapie"/>
        <w:ind w:firstLine="708"/>
        <w:jc w:val="both"/>
        <w:rPr>
          <w:rFonts w:ascii="Arial" w:hAnsi="Arial" w:cs="Arial"/>
          <w:color w:val="000000"/>
          <w:sz w:val="16"/>
          <w:szCs w:val="16"/>
          <w:lang w:val="es-CO"/>
        </w:rPr>
      </w:pPr>
    </w:p>
  </w:footnote>
  <w:footnote w:id="15">
    <w:p w14:paraId="63F9DAF7" w14:textId="77777777" w:rsidR="00B21225" w:rsidRPr="00316089" w:rsidRDefault="00B21225" w:rsidP="00B21225">
      <w:pPr>
        <w:pStyle w:val="Textonotapie"/>
        <w:ind w:firstLine="708"/>
        <w:jc w:val="both"/>
        <w:rPr>
          <w:rFonts w:ascii="Arial" w:hAnsi="Arial" w:cs="Arial"/>
          <w:color w:val="000000"/>
          <w:sz w:val="16"/>
          <w:szCs w:val="16"/>
          <w:lang w:val="es-ES"/>
        </w:rPr>
      </w:pPr>
      <w:r w:rsidRPr="00316089">
        <w:rPr>
          <w:rStyle w:val="Refdenotaalpie"/>
          <w:rFonts w:ascii="Arial" w:hAnsi="Arial" w:cs="Arial"/>
          <w:color w:val="000000"/>
          <w:sz w:val="16"/>
          <w:szCs w:val="16"/>
        </w:rPr>
        <w:footnoteRef/>
      </w:r>
      <w:r w:rsidRPr="00316089">
        <w:rPr>
          <w:rFonts w:ascii="Arial" w:hAnsi="Arial" w:cs="Arial"/>
          <w:color w:val="000000"/>
          <w:sz w:val="16"/>
          <w:szCs w:val="16"/>
          <w:lang w:val="es-CO"/>
        </w:rPr>
        <w:t xml:space="preserve"> Concepto del 19 de noviembre de 2019, emitido en el radicado No. 2201913000008611.</w:t>
      </w:r>
    </w:p>
  </w:footnote>
  <w:footnote w:id="16">
    <w:p w14:paraId="03520FE0" w14:textId="77777777" w:rsidR="00B21225" w:rsidRDefault="00B21225" w:rsidP="00B21225">
      <w:pPr>
        <w:pStyle w:val="Textonotapie"/>
        <w:ind w:firstLine="708"/>
        <w:jc w:val="both"/>
        <w:rPr>
          <w:rFonts w:ascii="Arial" w:hAnsi="Arial" w:cs="Arial"/>
          <w:color w:val="000000"/>
          <w:sz w:val="16"/>
          <w:szCs w:val="16"/>
          <w:lang w:val="es-CO"/>
        </w:rPr>
      </w:pPr>
      <w:r w:rsidRPr="00316089">
        <w:rPr>
          <w:rStyle w:val="Refdenotaalpie"/>
          <w:rFonts w:ascii="Arial" w:hAnsi="Arial" w:cs="Arial"/>
          <w:color w:val="000000"/>
          <w:sz w:val="16"/>
          <w:szCs w:val="16"/>
        </w:rPr>
        <w:footnoteRef/>
      </w:r>
      <w:r w:rsidRPr="00316089">
        <w:rPr>
          <w:rFonts w:ascii="Arial" w:hAnsi="Arial" w:cs="Arial"/>
          <w:color w:val="000000"/>
          <w:sz w:val="16"/>
          <w:szCs w:val="16"/>
          <w:lang w:val="es-CO"/>
        </w:rPr>
        <w:t xml:space="preserve"> Se precisa que la suspensión provisional, de acuerdo con el artículo 231 de la Ley 1437 de 2011, es una medida cautelar que busca proteger y garantizar, de forma provisional, que la norma demandada no genere actos contrarios al ordenamiento jurídico, razón por la cual, para decretarla es necesario que la transgresión de las normas superiores invocadas surja de la comparación entre estas y los actos acusados o del estudio de las pruebas aportadas con la solicitud.</w:t>
      </w:r>
    </w:p>
    <w:p w14:paraId="2ADB4BCB" w14:textId="77777777" w:rsidR="009305B6" w:rsidRPr="00316089" w:rsidRDefault="009305B6" w:rsidP="00B21225">
      <w:pPr>
        <w:pStyle w:val="Textonotapie"/>
        <w:ind w:firstLine="708"/>
        <w:jc w:val="both"/>
        <w:rPr>
          <w:rFonts w:ascii="Arial" w:hAnsi="Arial" w:cs="Arial"/>
          <w:color w:val="000000"/>
          <w:sz w:val="16"/>
          <w:szCs w:val="16"/>
          <w:lang w:val="es-CO"/>
        </w:rPr>
      </w:pPr>
    </w:p>
  </w:footnote>
  <w:footnote w:id="17">
    <w:p w14:paraId="7E37A531" w14:textId="126F732C" w:rsidR="00B21225" w:rsidRPr="00316089" w:rsidRDefault="00B21225" w:rsidP="00B21225">
      <w:pPr>
        <w:pStyle w:val="Textonotapie"/>
        <w:ind w:firstLine="708"/>
        <w:jc w:val="both"/>
        <w:rPr>
          <w:rFonts w:ascii="Arial" w:hAnsi="Arial" w:cs="Arial"/>
          <w:sz w:val="16"/>
          <w:szCs w:val="16"/>
          <w:lang w:val="es-ES"/>
        </w:rPr>
      </w:pPr>
      <w:r w:rsidRPr="00316089">
        <w:rPr>
          <w:rStyle w:val="Refdenotaalpie"/>
          <w:rFonts w:ascii="Arial" w:hAnsi="Arial" w:cs="Arial"/>
          <w:sz w:val="16"/>
          <w:szCs w:val="16"/>
        </w:rPr>
        <w:footnoteRef/>
      </w:r>
      <w:r w:rsidRPr="00316089">
        <w:rPr>
          <w:rFonts w:ascii="Arial" w:hAnsi="Arial" w:cs="Arial"/>
          <w:sz w:val="16"/>
          <w:szCs w:val="16"/>
          <w:lang w:val="es-CO"/>
        </w:rPr>
        <w:t xml:space="preserve"> </w:t>
      </w:r>
      <w:r w:rsidRPr="00316089">
        <w:rPr>
          <w:rFonts w:ascii="Arial" w:hAnsi="Arial" w:cs="Arial"/>
          <w:sz w:val="16"/>
          <w:szCs w:val="16"/>
          <w:lang w:val="es-ES"/>
        </w:rPr>
        <w:t>Consejo de Estado. Sala Plena. Auto del 15 de marzo de 2022. Consejera Ponente: Rocío Araujo Oñate. Expediente: 62.003. En esta decisión, en efecto, se decidió:</w:t>
      </w:r>
      <w:r w:rsidR="009305B6">
        <w:rPr>
          <w:rFonts w:ascii="Arial" w:hAnsi="Arial" w:cs="Arial"/>
          <w:sz w:val="16"/>
          <w:szCs w:val="16"/>
          <w:lang w:val="es-ES"/>
        </w:rPr>
        <w:t xml:space="preserve"> ”</w:t>
      </w:r>
      <w:r w:rsidRPr="00316089">
        <w:rPr>
          <w:rFonts w:ascii="Arial" w:hAnsi="Arial" w:cs="Arial"/>
          <w:sz w:val="16"/>
          <w:szCs w:val="16"/>
          <w:lang w:val="es-ES"/>
        </w:rPr>
        <w:t>REVOCAR los numerales primero y tercero de la parte resolutiva del auto proferido el 6 de agosto de 2019, que suspendieron de manera provisional los efectos del inciso segundo del artículo 1 y del inciso segundo del artículo 3 del Decreto 92 de 2017, respectivamente, y en su lugar NEGAR la medida cautelar</w:t>
      </w:r>
      <w:r w:rsidR="009305B6">
        <w:rPr>
          <w:rFonts w:ascii="Arial" w:hAnsi="Arial" w:cs="Arial"/>
          <w:sz w:val="16"/>
          <w:szCs w:val="16"/>
          <w:lang w:val="es-ES"/>
        </w:rPr>
        <w:t>”</w:t>
      </w:r>
      <w:r w:rsidRPr="00316089">
        <w:rPr>
          <w:rFonts w:ascii="Arial" w:hAnsi="Arial" w:cs="Arial"/>
          <w:sz w:val="16"/>
          <w:szCs w:val="16"/>
          <w:lang w:val="es-ES"/>
        </w:rPr>
        <w:t xml:space="preserve">, y </w:t>
      </w:r>
      <w:r w:rsidR="009305B6">
        <w:rPr>
          <w:rFonts w:ascii="Arial" w:hAnsi="Arial" w:cs="Arial"/>
          <w:sz w:val="16"/>
          <w:szCs w:val="16"/>
          <w:lang w:val="es-ES"/>
        </w:rPr>
        <w:t>“</w:t>
      </w:r>
      <w:r w:rsidRPr="00316089">
        <w:rPr>
          <w:rFonts w:ascii="Arial" w:hAnsi="Arial" w:cs="Arial"/>
          <w:sz w:val="16"/>
          <w:szCs w:val="16"/>
          <w:lang w:val="es-ES"/>
        </w:rPr>
        <w:t>CONFIRMAR LA SUSPENSIÓN PROVISIONAL de los literales a) y c) del artículo segundo y el inciso quinto de la misma norma, así como del inciso final del artículo 4 del Decreto 92 de 2017, por las razones expuestas</w:t>
      </w:r>
      <w:r w:rsidR="009305B6">
        <w:rPr>
          <w:rFonts w:ascii="Arial" w:hAnsi="Arial" w:cs="Arial"/>
          <w:sz w:val="16"/>
          <w:szCs w:val="16"/>
          <w:lang w:val="es-ES"/>
        </w:rPr>
        <w:t>”</w:t>
      </w:r>
      <w:r w:rsidRPr="00316089">
        <w:rPr>
          <w:rFonts w:ascii="Arial" w:hAnsi="Arial" w:cs="Arial"/>
          <w:sz w:val="16"/>
          <w:szCs w:val="16"/>
          <w:lang w:val="es-ES"/>
        </w:rPr>
        <w:t>.</w:t>
      </w:r>
    </w:p>
  </w:footnote>
  <w:footnote w:id="18">
    <w:p w14:paraId="27B3AC6C" w14:textId="77777777" w:rsidR="009305B6" w:rsidRDefault="009305B6" w:rsidP="00B21225">
      <w:pPr>
        <w:spacing w:line="240" w:lineRule="auto"/>
        <w:ind w:firstLine="708"/>
        <w:jc w:val="both"/>
        <w:textAlignment w:val="baseline"/>
        <w:rPr>
          <w:rFonts w:ascii="Arial" w:hAnsi="Arial" w:cs="Arial"/>
          <w:sz w:val="16"/>
          <w:szCs w:val="16"/>
          <w:lang w:val="es-CO"/>
        </w:rPr>
      </w:pPr>
    </w:p>
    <w:p w14:paraId="37C93813" w14:textId="5DECFC0E" w:rsidR="00B21225" w:rsidRPr="00316089" w:rsidRDefault="00B21225" w:rsidP="00B21225">
      <w:pPr>
        <w:spacing w:line="240" w:lineRule="auto"/>
        <w:ind w:firstLine="708"/>
        <w:jc w:val="both"/>
        <w:textAlignment w:val="baseline"/>
        <w:rPr>
          <w:rFonts w:ascii="Arial" w:hAnsi="Arial" w:cs="Arial"/>
          <w:sz w:val="16"/>
          <w:szCs w:val="16"/>
          <w:lang w:val="es-CO"/>
        </w:rPr>
      </w:pPr>
      <w:r w:rsidRPr="00316089">
        <w:rPr>
          <w:rStyle w:val="Refdenotaalpie"/>
          <w:rFonts w:ascii="Arial" w:hAnsi="Arial" w:cs="Arial"/>
          <w:sz w:val="16"/>
          <w:szCs w:val="16"/>
        </w:rPr>
        <w:footnoteRef/>
      </w:r>
      <w:r w:rsidRPr="00316089">
        <w:rPr>
          <w:rFonts w:ascii="Arial" w:hAnsi="Arial" w:cs="Arial"/>
          <w:sz w:val="16"/>
          <w:szCs w:val="16"/>
          <w:lang w:val="es-CO"/>
        </w:rPr>
        <w:t xml:space="preserve"> </w:t>
      </w:r>
      <w:r w:rsidRPr="00316089">
        <w:rPr>
          <w:rFonts w:ascii="Arial" w:eastAsia="Calibri" w:hAnsi="Arial" w:cs="Arial"/>
          <w:color w:val="000000"/>
          <w:sz w:val="16"/>
          <w:szCs w:val="16"/>
          <w:lang w:val="es-MX"/>
        </w:rPr>
        <w:t>E</w:t>
      </w:r>
      <w:r w:rsidRPr="00316089">
        <w:rPr>
          <w:rFonts w:ascii="Arial" w:eastAsia="Calibri" w:hAnsi="Arial" w:cs="Arial"/>
          <w:sz w:val="16"/>
          <w:szCs w:val="16"/>
          <w:lang w:val="es-ES_tradnl" w:eastAsia="es-ES_tradnl"/>
        </w:rPr>
        <w:t xml:space="preserve">n armonía con lo anterior, las siguientes son las conclusiones que dedujo esta Agencia en relación con los </w:t>
      </w:r>
      <w:r w:rsidRPr="00316089">
        <w:rPr>
          <w:rFonts w:ascii="Arial" w:eastAsia="Calibri" w:hAnsi="Arial" w:cs="Arial"/>
          <w:i/>
          <w:iCs/>
          <w:sz w:val="16"/>
          <w:szCs w:val="16"/>
          <w:lang w:val="es-ES_tradnl" w:eastAsia="es-ES_tradnl"/>
        </w:rPr>
        <w:t>contratos de colaboración</w:t>
      </w:r>
      <w:r w:rsidRPr="00316089">
        <w:rPr>
          <w:rFonts w:ascii="Arial" w:eastAsia="Calibri" w:hAnsi="Arial" w:cs="Arial"/>
          <w:sz w:val="16"/>
          <w:szCs w:val="16"/>
          <w:lang w:val="es-ES_tradnl" w:eastAsia="es-ES_tradnl"/>
        </w:rPr>
        <w:t xml:space="preserve">, tal como se expresa, por ejemplo, en el concepto C-529 del 11 de agosto de 2020: </w:t>
      </w:r>
      <w:r w:rsidR="009305B6">
        <w:rPr>
          <w:rFonts w:ascii="Arial" w:eastAsia="Calibri" w:hAnsi="Arial" w:cs="Arial"/>
          <w:sz w:val="16"/>
          <w:szCs w:val="16"/>
          <w:lang w:val="es-ES_tradnl" w:eastAsia="es-ES_tradnl"/>
        </w:rPr>
        <w:t>“</w:t>
      </w:r>
      <w:r w:rsidRPr="00316089">
        <w:rPr>
          <w:rFonts w:ascii="Arial" w:eastAsia="Calibri" w:hAnsi="Arial" w:cs="Arial"/>
          <w:color w:val="000000"/>
          <w:sz w:val="16"/>
          <w:szCs w:val="16"/>
          <w:lang w:val="es-MX"/>
        </w:rPr>
        <w:t>En este orden de ideas, la contratación con entidades sin ánimo de lucro se sigue rigiendo por el Decreto 092 de 2017, salvo lo que fue objeto de suspensión provisional. Por lo tanto, las entidades públicas que desean celebrar contratos de interés público, en los términos del artículo 355 de la Constitución Política, deben contratar con ESAL de reconocida idoneidad, como ya se dijo, realizando un proceso competitivo, y teniendo en cuenta, se insiste, las siguientes características: i) no se debe condicionar el proceso de contratación a la inexistencia de oferta en el mercado de bienes y servicios; ii) tampoco se debe condicionar a que la contratación con las ESAL garantice la optimización de los recursos públicos en términos de eficiencia, eficacia, economía y manejo del riesgo; iii) el objeto del contrato debe estar acorde con el plan nacional o seccional de desarrollo; iv) no se puede condicionar únicamente que las actividades o programas correspondan exclusivamente a promover los derechos de personas en situación de debilidad manifiesta o indefensión, los derechos de las minorías, el derecho a la educación, el derecho a la paz, las manifestaciones artísticas, culturales, deportivas y de promoción de la diversidad étnica colombiana, por lo que basta con cumplir el anterior numeral iii); y v) el contrato no establezca una relación conmutativa en el cual haya una contraprestación directa a favor de la entidad, ni instrucciones precisas dadas por esta al contratista para cumplir con el objeto del contrato</w:t>
      </w:r>
      <w:r w:rsidR="009305B6">
        <w:rPr>
          <w:rFonts w:ascii="Arial" w:eastAsia="Calibri" w:hAnsi="Arial" w:cs="Arial"/>
          <w:color w:val="000000"/>
          <w:sz w:val="16"/>
          <w:szCs w:val="16"/>
          <w:lang w:val="es-MX"/>
        </w:rPr>
        <w:t>”</w:t>
      </w:r>
      <w:r w:rsidRPr="00316089">
        <w:rPr>
          <w:rFonts w:ascii="Arial" w:eastAsia="Calibri" w:hAnsi="Arial" w:cs="Arial"/>
          <w:color w:val="000000"/>
          <w:sz w:val="16"/>
          <w:szCs w:val="16"/>
          <w:lang w:val="es-MX"/>
        </w:rPr>
        <w:t>.</w:t>
      </w:r>
    </w:p>
  </w:footnote>
  <w:footnote w:id="19">
    <w:p w14:paraId="3D78F144" w14:textId="6068DE9D" w:rsidR="00B21225" w:rsidRPr="00316089" w:rsidRDefault="00B21225" w:rsidP="00B21225">
      <w:pPr>
        <w:pStyle w:val="Textonotapie"/>
        <w:ind w:firstLine="708"/>
        <w:jc w:val="both"/>
        <w:rPr>
          <w:rFonts w:ascii="Arial" w:hAnsi="Arial" w:cs="Arial"/>
          <w:color w:val="000000"/>
          <w:sz w:val="16"/>
          <w:szCs w:val="16"/>
          <w:lang w:val="es-CO"/>
        </w:rPr>
      </w:pPr>
      <w:r w:rsidRPr="00316089">
        <w:rPr>
          <w:rStyle w:val="Refdenotaalpie"/>
          <w:rFonts w:ascii="Arial" w:hAnsi="Arial" w:cs="Arial"/>
          <w:color w:val="000000"/>
          <w:sz w:val="16"/>
          <w:szCs w:val="16"/>
        </w:rPr>
        <w:footnoteRef/>
      </w:r>
      <w:r w:rsidRPr="00316089">
        <w:rPr>
          <w:rFonts w:ascii="Arial" w:hAnsi="Arial" w:cs="Arial"/>
          <w:color w:val="000000"/>
          <w:sz w:val="16"/>
          <w:szCs w:val="16"/>
          <w:lang w:val="es-CO"/>
        </w:rPr>
        <w:t xml:space="preserve"> Decreto 1082, artículo 5: </w:t>
      </w:r>
      <w:r w:rsidR="00AE6892">
        <w:rPr>
          <w:rFonts w:ascii="Arial" w:hAnsi="Arial" w:cs="Arial"/>
          <w:color w:val="000000"/>
          <w:sz w:val="16"/>
          <w:szCs w:val="16"/>
          <w:lang w:val="es-CO"/>
        </w:rPr>
        <w:t>“</w:t>
      </w:r>
      <w:r w:rsidRPr="00316089">
        <w:rPr>
          <w:rFonts w:ascii="Arial" w:hAnsi="Arial" w:cs="Arial"/>
          <w:color w:val="000000"/>
          <w:sz w:val="16"/>
          <w:szCs w:val="16"/>
          <w:lang w:val="es-CO"/>
        </w:rPr>
        <w:t>[…] no estarán sujetos a competencia cuando la entidad sin ánimo de lucro comprometa recursos en dinero para la ejecución de esas actividades en una proporción no inferior al 30% del valor total del convenio. Los recursos que compromete la entidad sin ánimo de lucro pueden ser propios o de cooperación internacional</w:t>
      </w:r>
      <w:r w:rsidR="00AE6892">
        <w:rPr>
          <w:rFonts w:ascii="Arial" w:hAnsi="Arial" w:cs="Arial"/>
          <w:color w:val="000000"/>
          <w:sz w:val="16"/>
          <w:szCs w:val="16"/>
          <w:lang w:val="es-CO"/>
        </w:rPr>
        <w:t>”</w:t>
      </w:r>
      <w:r w:rsidRPr="00316089">
        <w:rPr>
          <w:rFonts w:ascii="Arial" w:hAnsi="Arial" w:cs="Arial"/>
          <w:color w:val="000000"/>
          <w:sz w:val="16"/>
          <w:szCs w:val="16"/>
          <w:lang w:val="es-CO"/>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F3E3B3" w14:textId="77777777" w:rsidR="00412769" w:rsidRPr="004B662C" w:rsidRDefault="00412769" w:rsidP="00412769">
    <w:pPr>
      <w:rPr>
        <w:rFonts w:ascii="Geomanist Light" w:hAnsi="Geomanist Light"/>
        <w:color w:val="002060"/>
        <w:sz w:val="16"/>
        <w:szCs w:val="16"/>
        <w:lang w:val="es-CO"/>
      </w:rPr>
    </w:pPr>
    <w:r w:rsidRPr="007566FE">
      <w:rPr>
        <w:rFonts w:ascii="Geomanist Light" w:eastAsia="Arial Nova" w:hAnsi="Geomanist Light" w:cs="Arial Nova"/>
        <w:noProof/>
        <w:sz w:val="16"/>
        <w:szCs w:val="16"/>
        <w:lang w:eastAsia="es-CO"/>
      </w:rPr>
      <w:drawing>
        <wp:anchor distT="0" distB="0" distL="0" distR="0" simplePos="0" relativeHeight="251663360" behindDoc="1" locked="0" layoutInCell="1" hidden="0" allowOverlap="1" wp14:anchorId="54B33816" wp14:editId="7A7B8DF0">
          <wp:simplePos x="0" y="0"/>
          <wp:positionH relativeFrom="margin">
            <wp:align>right</wp:align>
          </wp:positionH>
          <wp:positionV relativeFrom="paragraph">
            <wp:posOffset>-80564</wp:posOffset>
          </wp:positionV>
          <wp:extent cx="1657350" cy="676275"/>
          <wp:effectExtent l="0" t="0" r="0" b="9525"/>
          <wp:wrapNone/>
          <wp:docPr id="7" name="Imagen 7" descr="Icon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3.png" descr="Icono&#10;&#10;Descripción generada automáticamente"/>
                  <pic:cNvPicPr preferRelativeResize="0"/>
                </pic:nvPicPr>
                <pic:blipFill>
                  <a:blip r:embed="rId1"/>
                  <a:srcRect/>
                  <a:stretch>
                    <a:fillRect/>
                  </a:stretch>
                </pic:blipFill>
                <pic:spPr>
                  <a:xfrm>
                    <a:off x="0" y="0"/>
                    <a:ext cx="1657350" cy="676275"/>
                  </a:xfrm>
                  <a:prstGeom prst="rect">
                    <a:avLst/>
                  </a:prstGeom>
                  <a:ln/>
                </pic:spPr>
              </pic:pic>
            </a:graphicData>
          </a:graphic>
          <wp14:sizeRelH relativeFrom="margin">
            <wp14:pctWidth>0</wp14:pctWidth>
          </wp14:sizeRelH>
          <wp14:sizeRelV relativeFrom="margin">
            <wp14:pctHeight>0</wp14:pctHeight>
          </wp14:sizeRelV>
        </wp:anchor>
      </w:drawing>
    </w:r>
    <w:r w:rsidRPr="004B662C">
      <w:rPr>
        <w:rFonts w:ascii="Geomanist Light" w:hAnsi="Geomanist Light"/>
        <w:color w:val="002060"/>
        <w:sz w:val="16"/>
        <w:szCs w:val="16"/>
        <w:lang w:val="es-CO"/>
      </w:rPr>
      <w:t>FORMATO PQRSD</w:t>
    </w:r>
  </w:p>
  <w:p w14:paraId="5A732969" w14:textId="77777777" w:rsidR="00412769" w:rsidRPr="004B662C" w:rsidRDefault="00412769" w:rsidP="00412769">
    <w:pPr>
      <w:pBdr>
        <w:top w:val="nil"/>
        <w:left w:val="nil"/>
        <w:bottom w:val="nil"/>
        <w:right w:val="nil"/>
        <w:between w:val="nil"/>
      </w:pBdr>
      <w:tabs>
        <w:tab w:val="center" w:pos="4419"/>
        <w:tab w:val="right" w:pos="8838"/>
        <w:tab w:val="center" w:pos="5400"/>
      </w:tabs>
      <w:rPr>
        <w:rFonts w:ascii="Geomanist Light" w:eastAsia="Geo" w:hAnsi="Geomanist Light" w:cs="Geo"/>
        <w:b/>
        <w:color w:val="002060"/>
        <w:sz w:val="16"/>
        <w:szCs w:val="16"/>
        <w:lang w:val="es-CO" w:eastAsia="es-CO"/>
      </w:rPr>
    </w:pPr>
    <w:r w:rsidRPr="004B662C">
      <w:rPr>
        <w:rFonts w:ascii="Geomanist Light" w:eastAsia="Geo" w:hAnsi="Geomanist Light" w:cs="Geo"/>
        <w:b/>
        <w:color w:val="000000"/>
        <w:sz w:val="16"/>
        <w:szCs w:val="16"/>
        <w:lang w:val="es-CO" w:eastAsia="es-CO"/>
      </w:rPr>
      <w:t xml:space="preserve">Código: </w:t>
    </w:r>
    <w:r w:rsidRPr="004B662C">
      <w:rPr>
        <w:rFonts w:ascii="Geomanist Light" w:eastAsia="Geo" w:hAnsi="Geomanist Light" w:cs="Geo"/>
        <w:bCs/>
        <w:color w:val="000000"/>
        <w:sz w:val="16"/>
        <w:szCs w:val="16"/>
        <w:lang w:val="es-CO" w:eastAsia="es-CO"/>
      </w:rPr>
      <w:t>CCE-PQRSD-FM-08</w:t>
    </w:r>
  </w:p>
  <w:p w14:paraId="0F0883C1" w14:textId="77777777" w:rsidR="00412769" w:rsidRPr="004B662C" w:rsidRDefault="00412769" w:rsidP="00412769">
    <w:pPr>
      <w:rPr>
        <w:rFonts w:ascii="Geomanist Light" w:eastAsia="Geo" w:hAnsi="Geomanist Light" w:cs="Geo"/>
        <w:sz w:val="16"/>
        <w:szCs w:val="16"/>
        <w:lang w:val="es-CO" w:eastAsia="es-CO"/>
      </w:rPr>
    </w:pPr>
    <w:r w:rsidRPr="00367110">
      <w:rPr>
        <w:rFonts w:eastAsia="Arial Nova" w:cs="Arial Nova"/>
        <w:noProof/>
        <w:color w:val="000000"/>
        <w:lang w:eastAsia="es-CO"/>
      </w:rPr>
      <w:drawing>
        <wp:anchor distT="0" distB="0" distL="114300" distR="114300" simplePos="0" relativeHeight="251664384" behindDoc="1" locked="0" layoutInCell="1" allowOverlap="1" wp14:anchorId="71012A3E" wp14:editId="54BE88AE">
          <wp:simplePos x="0" y="0"/>
          <wp:positionH relativeFrom="margin">
            <wp:align>left</wp:align>
          </wp:positionH>
          <wp:positionV relativeFrom="paragraph">
            <wp:posOffset>141605</wp:posOffset>
          </wp:positionV>
          <wp:extent cx="3238500" cy="76200"/>
          <wp:effectExtent l="0" t="0" r="0" b="0"/>
          <wp:wrapNone/>
          <wp:docPr id="15" name="Imagen 15"/>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extLst>
                      <a:ext uri="{28A0092B-C50C-407E-A947-70E740481C1C}">
                        <a14:useLocalDpi xmlns:a14="http://schemas.microsoft.com/office/drawing/2010/main" val="0"/>
                      </a:ext>
                    </a:extLst>
                  </a:blip>
                  <a:srcRect/>
                  <a:stretch>
                    <a:fillRect/>
                  </a:stretch>
                </pic:blipFill>
                <pic:spPr>
                  <a:xfrm>
                    <a:off x="0" y="0"/>
                    <a:ext cx="3238500" cy="76200"/>
                  </a:xfrm>
                  <a:prstGeom prst="rect">
                    <a:avLst/>
                  </a:prstGeom>
                  <a:ln/>
                </pic:spPr>
              </pic:pic>
            </a:graphicData>
          </a:graphic>
          <wp14:sizeRelH relativeFrom="margin">
            <wp14:pctWidth>0</wp14:pctWidth>
          </wp14:sizeRelH>
          <wp14:sizeRelV relativeFrom="margin">
            <wp14:pctHeight>0</wp14:pctHeight>
          </wp14:sizeRelV>
        </wp:anchor>
      </w:drawing>
    </w:r>
    <w:r w:rsidRPr="004B662C">
      <w:rPr>
        <w:rFonts w:ascii="Geomanist Light" w:eastAsia="Geo" w:hAnsi="Geomanist Light" w:cs="Geo"/>
        <w:b/>
        <w:color w:val="000000"/>
        <w:sz w:val="16"/>
        <w:szCs w:val="16"/>
        <w:lang w:val="es-CO" w:eastAsia="es-CO"/>
      </w:rPr>
      <w:t>Versión</w:t>
    </w:r>
    <w:r w:rsidRPr="004B662C">
      <w:rPr>
        <w:rFonts w:ascii="Geomanist Light" w:eastAsia="Arial Nova" w:hAnsi="Geomanist Light" w:cs="Arial Nova"/>
        <w:b/>
        <w:color w:val="000000"/>
        <w:sz w:val="16"/>
        <w:szCs w:val="16"/>
        <w:lang w:val="es-CO" w:eastAsia="es-CO"/>
      </w:rPr>
      <w:t xml:space="preserve">: </w:t>
    </w:r>
    <w:r w:rsidRPr="004B662C">
      <w:rPr>
        <w:rFonts w:ascii="Geomanist Light" w:eastAsia="Geo" w:hAnsi="Geomanist Light" w:cs="Geo"/>
        <w:sz w:val="16"/>
        <w:szCs w:val="16"/>
        <w:lang w:val="es-CO" w:eastAsia="es-CO"/>
      </w:rPr>
      <w:t>02 DEL 28 DE SEPTIEMBRE DE 2022</w:t>
    </w:r>
  </w:p>
  <w:p w14:paraId="19DE5603" w14:textId="77777777" w:rsidR="00217980" w:rsidRPr="00412769" w:rsidRDefault="00217980" w:rsidP="001A5CA9">
    <w:pPr>
      <w:pStyle w:val="Encabezado"/>
      <w:rPr>
        <w:lang w:val="es-CO"/>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17BE1B" w14:textId="76DF7720" w:rsidR="00554F4D" w:rsidRDefault="00554F4D">
    <w:pPr>
      <w:pStyle w:val="Encabezado"/>
    </w:pPr>
  </w:p>
  <w:p w14:paraId="48DD4798" w14:textId="77777777" w:rsidR="004B662C" w:rsidRPr="004B662C" w:rsidRDefault="004B662C" w:rsidP="004B662C">
    <w:pPr>
      <w:rPr>
        <w:rFonts w:ascii="Geomanist Light" w:hAnsi="Geomanist Light"/>
        <w:color w:val="002060"/>
        <w:sz w:val="16"/>
        <w:szCs w:val="16"/>
        <w:lang w:val="es-CO"/>
      </w:rPr>
    </w:pPr>
    <w:r w:rsidRPr="007566FE">
      <w:rPr>
        <w:rFonts w:ascii="Geomanist Light" w:eastAsia="Arial Nova" w:hAnsi="Geomanist Light" w:cs="Arial Nova"/>
        <w:noProof/>
        <w:sz w:val="16"/>
        <w:szCs w:val="16"/>
        <w:lang w:eastAsia="es-CO"/>
      </w:rPr>
      <w:drawing>
        <wp:anchor distT="0" distB="0" distL="0" distR="0" simplePos="0" relativeHeight="251660288" behindDoc="1" locked="0" layoutInCell="1" hidden="0" allowOverlap="1" wp14:anchorId="5BB00493" wp14:editId="0AAC5F96">
          <wp:simplePos x="0" y="0"/>
          <wp:positionH relativeFrom="margin">
            <wp:align>right</wp:align>
          </wp:positionH>
          <wp:positionV relativeFrom="paragraph">
            <wp:posOffset>-80564</wp:posOffset>
          </wp:positionV>
          <wp:extent cx="1657350" cy="676275"/>
          <wp:effectExtent l="0" t="0" r="0" b="9525"/>
          <wp:wrapNone/>
          <wp:docPr id="25" name="image3.png" descr="Icon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3.png" descr="Icono&#10;&#10;Descripción generada automáticamente"/>
                  <pic:cNvPicPr preferRelativeResize="0"/>
                </pic:nvPicPr>
                <pic:blipFill>
                  <a:blip r:embed="rId1"/>
                  <a:srcRect/>
                  <a:stretch>
                    <a:fillRect/>
                  </a:stretch>
                </pic:blipFill>
                <pic:spPr>
                  <a:xfrm>
                    <a:off x="0" y="0"/>
                    <a:ext cx="1657350" cy="676275"/>
                  </a:xfrm>
                  <a:prstGeom prst="rect">
                    <a:avLst/>
                  </a:prstGeom>
                  <a:ln/>
                </pic:spPr>
              </pic:pic>
            </a:graphicData>
          </a:graphic>
          <wp14:sizeRelH relativeFrom="margin">
            <wp14:pctWidth>0</wp14:pctWidth>
          </wp14:sizeRelH>
          <wp14:sizeRelV relativeFrom="margin">
            <wp14:pctHeight>0</wp14:pctHeight>
          </wp14:sizeRelV>
        </wp:anchor>
      </w:drawing>
    </w:r>
    <w:r w:rsidRPr="004B662C">
      <w:rPr>
        <w:rFonts w:ascii="Geomanist Light" w:hAnsi="Geomanist Light"/>
        <w:color w:val="002060"/>
        <w:sz w:val="16"/>
        <w:szCs w:val="16"/>
        <w:lang w:val="es-CO"/>
      </w:rPr>
      <w:t>FORMATO PQRSD</w:t>
    </w:r>
  </w:p>
  <w:p w14:paraId="6C1073B3" w14:textId="77777777" w:rsidR="004B662C" w:rsidRPr="004B662C" w:rsidRDefault="004B662C" w:rsidP="004B662C">
    <w:pPr>
      <w:pBdr>
        <w:top w:val="nil"/>
        <w:left w:val="nil"/>
        <w:bottom w:val="nil"/>
        <w:right w:val="nil"/>
        <w:between w:val="nil"/>
      </w:pBdr>
      <w:tabs>
        <w:tab w:val="center" w:pos="4419"/>
        <w:tab w:val="right" w:pos="8838"/>
        <w:tab w:val="center" w:pos="5400"/>
      </w:tabs>
      <w:rPr>
        <w:rFonts w:ascii="Geomanist Light" w:eastAsia="Geo" w:hAnsi="Geomanist Light" w:cs="Geo"/>
        <w:b/>
        <w:color w:val="002060"/>
        <w:sz w:val="16"/>
        <w:szCs w:val="16"/>
        <w:lang w:val="es-CO" w:eastAsia="es-CO"/>
      </w:rPr>
    </w:pPr>
    <w:r w:rsidRPr="004B662C">
      <w:rPr>
        <w:rFonts w:ascii="Geomanist Light" w:eastAsia="Geo" w:hAnsi="Geomanist Light" w:cs="Geo"/>
        <w:b/>
        <w:color w:val="000000"/>
        <w:sz w:val="16"/>
        <w:szCs w:val="16"/>
        <w:lang w:val="es-CO" w:eastAsia="es-CO"/>
      </w:rPr>
      <w:t xml:space="preserve">Código: </w:t>
    </w:r>
    <w:r w:rsidRPr="004B662C">
      <w:rPr>
        <w:rFonts w:ascii="Geomanist Light" w:eastAsia="Geo" w:hAnsi="Geomanist Light" w:cs="Geo"/>
        <w:bCs/>
        <w:color w:val="000000"/>
        <w:sz w:val="16"/>
        <w:szCs w:val="16"/>
        <w:lang w:val="es-CO" w:eastAsia="es-CO"/>
      </w:rPr>
      <w:t>CCE-PQRSD-FM-08</w:t>
    </w:r>
  </w:p>
  <w:p w14:paraId="4E337FEE" w14:textId="77777777" w:rsidR="004B662C" w:rsidRPr="004B662C" w:rsidRDefault="004B662C" w:rsidP="004B662C">
    <w:pPr>
      <w:rPr>
        <w:rFonts w:ascii="Geomanist Light" w:eastAsia="Geo" w:hAnsi="Geomanist Light" w:cs="Geo"/>
        <w:sz w:val="16"/>
        <w:szCs w:val="16"/>
        <w:lang w:val="es-CO" w:eastAsia="es-CO"/>
      </w:rPr>
    </w:pPr>
    <w:r w:rsidRPr="00367110">
      <w:rPr>
        <w:rFonts w:eastAsia="Arial Nova" w:cs="Arial Nova"/>
        <w:noProof/>
        <w:color w:val="000000"/>
        <w:lang w:eastAsia="es-CO"/>
      </w:rPr>
      <w:drawing>
        <wp:anchor distT="0" distB="0" distL="114300" distR="114300" simplePos="0" relativeHeight="251661312" behindDoc="1" locked="0" layoutInCell="1" allowOverlap="1" wp14:anchorId="11DBAB5A" wp14:editId="33495577">
          <wp:simplePos x="0" y="0"/>
          <wp:positionH relativeFrom="margin">
            <wp:align>left</wp:align>
          </wp:positionH>
          <wp:positionV relativeFrom="paragraph">
            <wp:posOffset>141605</wp:posOffset>
          </wp:positionV>
          <wp:extent cx="3238500" cy="76200"/>
          <wp:effectExtent l="0" t="0" r="0" b="0"/>
          <wp:wrapNone/>
          <wp:docPr id="2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extLst>
                      <a:ext uri="{28A0092B-C50C-407E-A947-70E740481C1C}">
                        <a14:useLocalDpi xmlns:a14="http://schemas.microsoft.com/office/drawing/2010/main" val="0"/>
                      </a:ext>
                    </a:extLst>
                  </a:blip>
                  <a:srcRect/>
                  <a:stretch>
                    <a:fillRect/>
                  </a:stretch>
                </pic:blipFill>
                <pic:spPr>
                  <a:xfrm>
                    <a:off x="0" y="0"/>
                    <a:ext cx="3238500" cy="76200"/>
                  </a:xfrm>
                  <a:prstGeom prst="rect">
                    <a:avLst/>
                  </a:prstGeom>
                  <a:ln/>
                </pic:spPr>
              </pic:pic>
            </a:graphicData>
          </a:graphic>
          <wp14:sizeRelH relativeFrom="margin">
            <wp14:pctWidth>0</wp14:pctWidth>
          </wp14:sizeRelH>
          <wp14:sizeRelV relativeFrom="margin">
            <wp14:pctHeight>0</wp14:pctHeight>
          </wp14:sizeRelV>
        </wp:anchor>
      </w:drawing>
    </w:r>
    <w:r w:rsidRPr="004B662C">
      <w:rPr>
        <w:rFonts w:ascii="Geomanist Light" w:eastAsia="Geo" w:hAnsi="Geomanist Light" w:cs="Geo"/>
        <w:b/>
        <w:color w:val="000000"/>
        <w:sz w:val="16"/>
        <w:szCs w:val="16"/>
        <w:lang w:val="es-CO" w:eastAsia="es-CO"/>
      </w:rPr>
      <w:t>Versión</w:t>
    </w:r>
    <w:r w:rsidRPr="004B662C">
      <w:rPr>
        <w:rFonts w:ascii="Geomanist Light" w:eastAsia="Arial Nova" w:hAnsi="Geomanist Light" w:cs="Arial Nova"/>
        <w:b/>
        <w:color w:val="000000"/>
        <w:sz w:val="16"/>
        <w:szCs w:val="16"/>
        <w:lang w:val="es-CO" w:eastAsia="es-CO"/>
      </w:rPr>
      <w:t xml:space="preserve">: </w:t>
    </w:r>
    <w:r w:rsidRPr="004B662C">
      <w:rPr>
        <w:rFonts w:ascii="Geomanist Light" w:eastAsia="Geo" w:hAnsi="Geomanist Light" w:cs="Geo"/>
        <w:sz w:val="16"/>
        <w:szCs w:val="16"/>
        <w:lang w:val="es-CO" w:eastAsia="es-CO"/>
      </w:rPr>
      <w:t>02 DEL 28 DE SEPTIEMBRE DE 2022</w:t>
    </w:r>
  </w:p>
  <w:p w14:paraId="1154F877" w14:textId="1D8D2E7C" w:rsidR="00554F4D" w:rsidRPr="004B662C" w:rsidRDefault="00554F4D">
    <w:pPr>
      <w:pStyle w:val="Encabezado"/>
      <w:rPr>
        <w:lang w:val="es-CO"/>
      </w:rPr>
    </w:pPr>
  </w:p>
  <w:p w14:paraId="5D29C6D2" w14:textId="247AA235" w:rsidR="00554F4D" w:rsidRPr="004B662C" w:rsidRDefault="00554F4D">
    <w:pPr>
      <w:pStyle w:val="Encabezado"/>
      <w:rPr>
        <w:lang w:val="es-CO"/>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AC3AADB0"/>
    <w:lvl w:ilvl="0">
      <w:start w:val="1"/>
      <w:numFmt w:val="decimal"/>
      <w:pStyle w:val="Listaconnmeros5"/>
      <w:lvlText w:val="%1."/>
      <w:lvlJc w:val="left"/>
      <w:pPr>
        <w:tabs>
          <w:tab w:val="num" w:pos="1800"/>
        </w:tabs>
        <w:ind w:left="1800" w:hanging="360"/>
      </w:pPr>
    </w:lvl>
  </w:abstractNum>
  <w:abstractNum w:abstractNumId="1" w15:restartNumberingAfterBreak="0">
    <w:nsid w:val="FFFFFF7D"/>
    <w:multiLevelType w:val="singleLevel"/>
    <w:tmpl w:val="881401A4"/>
    <w:lvl w:ilvl="0">
      <w:start w:val="1"/>
      <w:numFmt w:val="decimal"/>
      <w:pStyle w:val="Listaconnmeros4"/>
      <w:lvlText w:val="%1."/>
      <w:lvlJc w:val="left"/>
      <w:pPr>
        <w:tabs>
          <w:tab w:val="num" w:pos="1440"/>
        </w:tabs>
        <w:ind w:left="1440" w:hanging="360"/>
      </w:pPr>
    </w:lvl>
  </w:abstractNum>
  <w:abstractNum w:abstractNumId="2" w15:restartNumberingAfterBreak="0">
    <w:nsid w:val="FFFFFF7E"/>
    <w:multiLevelType w:val="singleLevel"/>
    <w:tmpl w:val="0E960FC2"/>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B58669A0"/>
    <w:lvl w:ilvl="0">
      <w:start w:val="1"/>
      <w:numFmt w:val="decimal"/>
      <w:pStyle w:val="Listaconnmeros2"/>
      <w:lvlText w:val="%1."/>
      <w:lvlJc w:val="left"/>
      <w:pPr>
        <w:tabs>
          <w:tab w:val="num" w:pos="720"/>
        </w:tabs>
        <w:ind w:left="720" w:hanging="360"/>
      </w:pPr>
    </w:lvl>
  </w:abstractNum>
  <w:abstractNum w:abstractNumId="4" w15:restartNumberingAfterBreak="0">
    <w:nsid w:val="FFFFFF80"/>
    <w:multiLevelType w:val="singleLevel"/>
    <w:tmpl w:val="94062AD8"/>
    <w:lvl w:ilvl="0">
      <w:start w:val="1"/>
      <w:numFmt w:val="bullet"/>
      <w:pStyle w:val="Listaconvietas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AAEB0E2"/>
    <w:lvl w:ilvl="0">
      <w:start w:val="1"/>
      <w:numFmt w:val="bullet"/>
      <w:pStyle w:val="Listaconvietas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E36AFE50"/>
    <w:lvl w:ilvl="0">
      <w:start w:val="1"/>
      <w:numFmt w:val="bullet"/>
      <w:pStyle w:val="Listaconvietas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C54116C"/>
    <w:lvl w:ilvl="0">
      <w:start w:val="1"/>
      <w:numFmt w:val="bullet"/>
      <w:pStyle w:val="Listaconvietas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34E04AC"/>
    <w:lvl w:ilvl="0">
      <w:start w:val="1"/>
      <w:numFmt w:val="decimal"/>
      <w:pStyle w:val="Listaconnmeros"/>
      <w:lvlText w:val="%1."/>
      <w:lvlJc w:val="left"/>
      <w:pPr>
        <w:tabs>
          <w:tab w:val="num" w:pos="360"/>
        </w:tabs>
        <w:ind w:left="360" w:hanging="360"/>
      </w:pPr>
    </w:lvl>
  </w:abstractNum>
  <w:abstractNum w:abstractNumId="9" w15:restartNumberingAfterBreak="0">
    <w:nsid w:val="FFFFFF89"/>
    <w:multiLevelType w:val="singleLevel"/>
    <w:tmpl w:val="8236C21A"/>
    <w:lvl w:ilvl="0">
      <w:start w:val="1"/>
      <w:numFmt w:val="bullet"/>
      <w:pStyle w:val="Listaconvietas"/>
      <w:lvlText w:val=""/>
      <w:lvlJc w:val="left"/>
      <w:pPr>
        <w:tabs>
          <w:tab w:val="num" w:pos="360"/>
        </w:tabs>
        <w:ind w:left="360" w:hanging="360"/>
      </w:pPr>
      <w:rPr>
        <w:rFonts w:ascii="Symbol" w:hAnsi="Symbol" w:hint="default"/>
      </w:rPr>
    </w:lvl>
  </w:abstractNum>
  <w:abstractNum w:abstractNumId="1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1" w15:restartNumberingAfterBreak="0">
    <w:nsid w:val="6BC82CC3"/>
    <w:multiLevelType w:val="multilevel"/>
    <w:tmpl w:val="9984EE04"/>
    <w:lvl w:ilvl="0">
      <w:start w:val="1"/>
      <w:numFmt w:val="decimal"/>
      <w:lvlText w:val="%1."/>
      <w:lvlJc w:val="left"/>
      <w:pPr>
        <w:ind w:left="1069" w:hanging="360"/>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509" w:hanging="1800"/>
      </w:pPr>
      <w:rPr>
        <w:rFonts w:hint="default"/>
      </w:rPr>
    </w:lvl>
  </w:abstractNum>
  <w:abstractNum w:abstractNumId="12" w15:restartNumberingAfterBreak="0">
    <w:nsid w:val="7B0E2731"/>
    <w:multiLevelType w:val="hybridMultilevel"/>
    <w:tmpl w:val="8D8A58D8"/>
    <w:lvl w:ilvl="0" w:tplc="240A000F">
      <w:start w:val="2"/>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945581592">
    <w:abstractNumId w:val="9"/>
  </w:num>
  <w:num w:numId="2" w16cid:durableId="361564149">
    <w:abstractNumId w:val="7"/>
  </w:num>
  <w:num w:numId="3" w16cid:durableId="850143146">
    <w:abstractNumId w:val="6"/>
  </w:num>
  <w:num w:numId="4" w16cid:durableId="1540168495">
    <w:abstractNumId w:val="5"/>
  </w:num>
  <w:num w:numId="5" w16cid:durableId="2100128885">
    <w:abstractNumId w:val="4"/>
  </w:num>
  <w:num w:numId="6" w16cid:durableId="601034741">
    <w:abstractNumId w:val="8"/>
  </w:num>
  <w:num w:numId="7" w16cid:durableId="2009669976">
    <w:abstractNumId w:val="3"/>
  </w:num>
  <w:num w:numId="8" w16cid:durableId="1146360736">
    <w:abstractNumId w:val="2"/>
  </w:num>
  <w:num w:numId="9" w16cid:durableId="1911773770">
    <w:abstractNumId w:val="1"/>
  </w:num>
  <w:num w:numId="10" w16cid:durableId="1922526030">
    <w:abstractNumId w:val="0"/>
  </w:num>
  <w:num w:numId="11" w16cid:durableId="341317847">
    <w:abstractNumId w:val="10"/>
  </w:num>
  <w:num w:numId="12" w16cid:durableId="1676956376">
    <w:abstractNumId w:val="11"/>
  </w:num>
  <w:num w:numId="13" w16cid:durableId="132974649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attachedTemplate r:id="rId1"/>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0DC5"/>
    <w:rsid w:val="000153D3"/>
    <w:rsid w:val="00016491"/>
    <w:rsid w:val="000224DA"/>
    <w:rsid w:val="000571CD"/>
    <w:rsid w:val="000640B8"/>
    <w:rsid w:val="000672FF"/>
    <w:rsid w:val="000743F0"/>
    <w:rsid w:val="00076467"/>
    <w:rsid w:val="000769C3"/>
    <w:rsid w:val="00087F10"/>
    <w:rsid w:val="00090663"/>
    <w:rsid w:val="00091382"/>
    <w:rsid w:val="000953E8"/>
    <w:rsid w:val="000A07DA"/>
    <w:rsid w:val="000A2BFA"/>
    <w:rsid w:val="000A4FAD"/>
    <w:rsid w:val="000A5101"/>
    <w:rsid w:val="000A58D0"/>
    <w:rsid w:val="000A5B62"/>
    <w:rsid w:val="000B0619"/>
    <w:rsid w:val="000B40AE"/>
    <w:rsid w:val="000B61CA"/>
    <w:rsid w:val="000B74FD"/>
    <w:rsid w:val="000D29C4"/>
    <w:rsid w:val="000D60B3"/>
    <w:rsid w:val="000E1C33"/>
    <w:rsid w:val="000E7631"/>
    <w:rsid w:val="000F7610"/>
    <w:rsid w:val="00106808"/>
    <w:rsid w:val="00114ED7"/>
    <w:rsid w:val="001206DB"/>
    <w:rsid w:val="00120ED5"/>
    <w:rsid w:val="00121F9D"/>
    <w:rsid w:val="00122C34"/>
    <w:rsid w:val="00124D04"/>
    <w:rsid w:val="0012790B"/>
    <w:rsid w:val="00127F59"/>
    <w:rsid w:val="001300CA"/>
    <w:rsid w:val="00140B0E"/>
    <w:rsid w:val="00141F4D"/>
    <w:rsid w:val="00150CE0"/>
    <w:rsid w:val="00150DC5"/>
    <w:rsid w:val="00154330"/>
    <w:rsid w:val="00160F20"/>
    <w:rsid w:val="00164C00"/>
    <w:rsid w:val="00174D58"/>
    <w:rsid w:val="001763F7"/>
    <w:rsid w:val="00180413"/>
    <w:rsid w:val="00196413"/>
    <w:rsid w:val="001A28CD"/>
    <w:rsid w:val="001A453F"/>
    <w:rsid w:val="001A5CA9"/>
    <w:rsid w:val="001B210E"/>
    <w:rsid w:val="001B2AC1"/>
    <w:rsid w:val="001B3E50"/>
    <w:rsid w:val="001B403A"/>
    <w:rsid w:val="001C4263"/>
    <w:rsid w:val="001C6D05"/>
    <w:rsid w:val="001C7FBA"/>
    <w:rsid w:val="001D2722"/>
    <w:rsid w:val="001E1D9E"/>
    <w:rsid w:val="001E7008"/>
    <w:rsid w:val="001F202F"/>
    <w:rsid w:val="001F4583"/>
    <w:rsid w:val="0020390C"/>
    <w:rsid w:val="00203F34"/>
    <w:rsid w:val="0020667D"/>
    <w:rsid w:val="00214908"/>
    <w:rsid w:val="00215E8C"/>
    <w:rsid w:val="00217980"/>
    <w:rsid w:val="00220AFA"/>
    <w:rsid w:val="00224467"/>
    <w:rsid w:val="00230843"/>
    <w:rsid w:val="002370AB"/>
    <w:rsid w:val="00240C9D"/>
    <w:rsid w:val="0025022D"/>
    <w:rsid w:val="00253C29"/>
    <w:rsid w:val="00254EE9"/>
    <w:rsid w:val="00255323"/>
    <w:rsid w:val="00260C7C"/>
    <w:rsid w:val="00271662"/>
    <w:rsid w:val="0027404F"/>
    <w:rsid w:val="00277113"/>
    <w:rsid w:val="00277B08"/>
    <w:rsid w:val="00290AAA"/>
    <w:rsid w:val="00293B83"/>
    <w:rsid w:val="0029495A"/>
    <w:rsid w:val="002A6A00"/>
    <w:rsid w:val="002B091C"/>
    <w:rsid w:val="002B15E6"/>
    <w:rsid w:val="002B4096"/>
    <w:rsid w:val="002B6FC0"/>
    <w:rsid w:val="002C2CDD"/>
    <w:rsid w:val="002D45C6"/>
    <w:rsid w:val="002D496F"/>
    <w:rsid w:val="002D59C2"/>
    <w:rsid w:val="002E1C27"/>
    <w:rsid w:val="002E574C"/>
    <w:rsid w:val="002F03FA"/>
    <w:rsid w:val="002F3DBF"/>
    <w:rsid w:val="002F5B81"/>
    <w:rsid w:val="002F6B51"/>
    <w:rsid w:val="003055AA"/>
    <w:rsid w:val="00313ABA"/>
    <w:rsid w:val="00313E86"/>
    <w:rsid w:val="00316089"/>
    <w:rsid w:val="00322F7D"/>
    <w:rsid w:val="003300B0"/>
    <w:rsid w:val="00330EB9"/>
    <w:rsid w:val="00331B2E"/>
    <w:rsid w:val="003325BA"/>
    <w:rsid w:val="00333CD3"/>
    <w:rsid w:val="00340365"/>
    <w:rsid w:val="00342B64"/>
    <w:rsid w:val="00364079"/>
    <w:rsid w:val="003709D6"/>
    <w:rsid w:val="00372460"/>
    <w:rsid w:val="0037513A"/>
    <w:rsid w:val="003779BD"/>
    <w:rsid w:val="00380F69"/>
    <w:rsid w:val="00384A0A"/>
    <w:rsid w:val="003862E6"/>
    <w:rsid w:val="00391B0B"/>
    <w:rsid w:val="00391CF6"/>
    <w:rsid w:val="003A3131"/>
    <w:rsid w:val="003B49C6"/>
    <w:rsid w:val="003C5528"/>
    <w:rsid w:val="003D03E5"/>
    <w:rsid w:val="003D472B"/>
    <w:rsid w:val="003D694B"/>
    <w:rsid w:val="003E3A2C"/>
    <w:rsid w:val="003E5FD3"/>
    <w:rsid w:val="004077FB"/>
    <w:rsid w:val="0041097C"/>
    <w:rsid w:val="00411653"/>
    <w:rsid w:val="00412769"/>
    <w:rsid w:val="0041599A"/>
    <w:rsid w:val="004236DE"/>
    <w:rsid w:val="004244FF"/>
    <w:rsid w:val="00424DD9"/>
    <w:rsid w:val="004305E4"/>
    <w:rsid w:val="004409ED"/>
    <w:rsid w:val="00442003"/>
    <w:rsid w:val="004446AF"/>
    <w:rsid w:val="0046104A"/>
    <w:rsid w:val="00463D14"/>
    <w:rsid w:val="004700D3"/>
    <w:rsid w:val="004717C5"/>
    <w:rsid w:val="00473BB9"/>
    <w:rsid w:val="00474521"/>
    <w:rsid w:val="004856F1"/>
    <w:rsid w:val="00491966"/>
    <w:rsid w:val="004A24CC"/>
    <w:rsid w:val="004A5077"/>
    <w:rsid w:val="004B662C"/>
    <w:rsid w:val="004C041B"/>
    <w:rsid w:val="004C0C3F"/>
    <w:rsid w:val="004C5A73"/>
    <w:rsid w:val="004C5C6D"/>
    <w:rsid w:val="004D03B0"/>
    <w:rsid w:val="004D1DE1"/>
    <w:rsid w:val="004F1CEE"/>
    <w:rsid w:val="004F3C81"/>
    <w:rsid w:val="00505DBF"/>
    <w:rsid w:val="005213BA"/>
    <w:rsid w:val="005227F4"/>
    <w:rsid w:val="00523479"/>
    <w:rsid w:val="00531282"/>
    <w:rsid w:val="00531865"/>
    <w:rsid w:val="005409DD"/>
    <w:rsid w:val="005426F1"/>
    <w:rsid w:val="00543DB7"/>
    <w:rsid w:val="00545DAA"/>
    <w:rsid w:val="0054604A"/>
    <w:rsid w:val="00554F4D"/>
    <w:rsid w:val="00567D1C"/>
    <w:rsid w:val="00571595"/>
    <w:rsid w:val="005729B0"/>
    <w:rsid w:val="005775B4"/>
    <w:rsid w:val="00582457"/>
    <w:rsid w:val="00583E4F"/>
    <w:rsid w:val="00590477"/>
    <w:rsid w:val="00590B73"/>
    <w:rsid w:val="00594136"/>
    <w:rsid w:val="00596B50"/>
    <w:rsid w:val="005A1849"/>
    <w:rsid w:val="005A5E6A"/>
    <w:rsid w:val="005A60F5"/>
    <w:rsid w:val="005B08A1"/>
    <w:rsid w:val="005B516C"/>
    <w:rsid w:val="005B521C"/>
    <w:rsid w:val="005C4FB3"/>
    <w:rsid w:val="005D372D"/>
    <w:rsid w:val="00604FCE"/>
    <w:rsid w:val="00605484"/>
    <w:rsid w:val="00611C03"/>
    <w:rsid w:val="00612C77"/>
    <w:rsid w:val="00631EE8"/>
    <w:rsid w:val="0063556A"/>
    <w:rsid w:val="00641630"/>
    <w:rsid w:val="00644E64"/>
    <w:rsid w:val="006453CA"/>
    <w:rsid w:val="0064768C"/>
    <w:rsid w:val="006520C1"/>
    <w:rsid w:val="00655624"/>
    <w:rsid w:val="006673E5"/>
    <w:rsid w:val="00667E91"/>
    <w:rsid w:val="00682D83"/>
    <w:rsid w:val="00684488"/>
    <w:rsid w:val="00691514"/>
    <w:rsid w:val="006A3CE7"/>
    <w:rsid w:val="006A7746"/>
    <w:rsid w:val="006B1124"/>
    <w:rsid w:val="006B4920"/>
    <w:rsid w:val="006B5A0A"/>
    <w:rsid w:val="006B5DDF"/>
    <w:rsid w:val="006C4C50"/>
    <w:rsid w:val="006D197A"/>
    <w:rsid w:val="006D1A4A"/>
    <w:rsid w:val="006D76B1"/>
    <w:rsid w:val="006E4B08"/>
    <w:rsid w:val="00707620"/>
    <w:rsid w:val="00713050"/>
    <w:rsid w:val="00723872"/>
    <w:rsid w:val="0073145C"/>
    <w:rsid w:val="00741125"/>
    <w:rsid w:val="007450EB"/>
    <w:rsid w:val="007462C1"/>
    <w:rsid w:val="00746F7F"/>
    <w:rsid w:val="007569C1"/>
    <w:rsid w:val="00763832"/>
    <w:rsid w:val="0076742B"/>
    <w:rsid w:val="00767D9A"/>
    <w:rsid w:val="00770E82"/>
    <w:rsid w:val="00772919"/>
    <w:rsid w:val="00780242"/>
    <w:rsid w:val="007A438D"/>
    <w:rsid w:val="007B2C3A"/>
    <w:rsid w:val="007B6130"/>
    <w:rsid w:val="007B64D0"/>
    <w:rsid w:val="007D051F"/>
    <w:rsid w:val="007D2696"/>
    <w:rsid w:val="007D2FD2"/>
    <w:rsid w:val="007D30D9"/>
    <w:rsid w:val="007D366C"/>
    <w:rsid w:val="007D406E"/>
    <w:rsid w:val="007D6458"/>
    <w:rsid w:val="007D6807"/>
    <w:rsid w:val="007D7D52"/>
    <w:rsid w:val="007E20D6"/>
    <w:rsid w:val="007E463C"/>
    <w:rsid w:val="008037C6"/>
    <w:rsid w:val="00806EC2"/>
    <w:rsid w:val="00811117"/>
    <w:rsid w:val="00811B82"/>
    <w:rsid w:val="0081682B"/>
    <w:rsid w:val="00823C54"/>
    <w:rsid w:val="008261B1"/>
    <w:rsid w:val="00830971"/>
    <w:rsid w:val="00836993"/>
    <w:rsid w:val="00837058"/>
    <w:rsid w:val="00841146"/>
    <w:rsid w:val="00842B99"/>
    <w:rsid w:val="00851126"/>
    <w:rsid w:val="008518E7"/>
    <w:rsid w:val="00861136"/>
    <w:rsid w:val="00867E6A"/>
    <w:rsid w:val="00872CC9"/>
    <w:rsid w:val="00874AE9"/>
    <w:rsid w:val="0088504C"/>
    <w:rsid w:val="00886A43"/>
    <w:rsid w:val="00892C14"/>
    <w:rsid w:val="00893178"/>
    <w:rsid w:val="0089382B"/>
    <w:rsid w:val="00896218"/>
    <w:rsid w:val="008A1907"/>
    <w:rsid w:val="008B1FA1"/>
    <w:rsid w:val="008C1A80"/>
    <w:rsid w:val="008C32D3"/>
    <w:rsid w:val="008C6BCA"/>
    <w:rsid w:val="008C709B"/>
    <w:rsid w:val="008C7B50"/>
    <w:rsid w:val="008D07E6"/>
    <w:rsid w:val="008D3D7D"/>
    <w:rsid w:val="008E4B30"/>
    <w:rsid w:val="008F636F"/>
    <w:rsid w:val="008F674A"/>
    <w:rsid w:val="00903255"/>
    <w:rsid w:val="00903294"/>
    <w:rsid w:val="00906BEE"/>
    <w:rsid w:val="00906DA4"/>
    <w:rsid w:val="0091739F"/>
    <w:rsid w:val="00917E90"/>
    <w:rsid w:val="00920F4D"/>
    <w:rsid w:val="00921FDA"/>
    <w:rsid w:val="00922FFF"/>
    <w:rsid w:val="009243E7"/>
    <w:rsid w:val="009264C8"/>
    <w:rsid w:val="009305B6"/>
    <w:rsid w:val="00936BB9"/>
    <w:rsid w:val="00944DF0"/>
    <w:rsid w:val="00944DF6"/>
    <w:rsid w:val="00947AC9"/>
    <w:rsid w:val="00950C23"/>
    <w:rsid w:val="0095208D"/>
    <w:rsid w:val="009569BD"/>
    <w:rsid w:val="00964DEC"/>
    <w:rsid w:val="00965551"/>
    <w:rsid w:val="00967DCB"/>
    <w:rsid w:val="0097337C"/>
    <w:rsid w:val="009779E1"/>
    <w:rsid w:val="00985D58"/>
    <w:rsid w:val="009A098C"/>
    <w:rsid w:val="009B0CCD"/>
    <w:rsid w:val="009B3C40"/>
    <w:rsid w:val="009B5EA6"/>
    <w:rsid w:val="009C1BF8"/>
    <w:rsid w:val="009F0EB3"/>
    <w:rsid w:val="009F13AF"/>
    <w:rsid w:val="009F164E"/>
    <w:rsid w:val="009F7AD9"/>
    <w:rsid w:val="00A048B9"/>
    <w:rsid w:val="00A04A39"/>
    <w:rsid w:val="00A04C88"/>
    <w:rsid w:val="00A13760"/>
    <w:rsid w:val="00A231B4"/>
    <w:rsid w:val="00A32C68"/>
    <w:rsid w:val="00A42540"/>
    <w:rsid w:val="00A45CCD"/>
    <w:rsid w:val="00A50939"/>
    <w:rsid w:val="00A65D60"/>
    <w:rsid w:val="00A75915"/>
    <w:rsid w:val="00A771E3"/>
    <w:rsid w:val="00A774C6"/>
    <w:rsid w:val="00A83413"/>
    <w:rsid w:val="00A92E43"/>
    <w:rsid w:val="00A9483E"/>
    <w:rsid w:val="00A94D82"/>
    <w:rsid w:val="00AA2AEF"/>
    <w:rsid w:val="00AA5EC8"/>
    <w:rsid w:val="00AA6A40"/>
    <w:rsid w:val="00AA75F6"/>
    <w:rsid w:val="00AC2753"/>
    <w:rsid w:val="00AD00FD"/>
    <w:rsid w:val="00AD4C37"/>
    <w:rsid w:val="00AE0D57"/>
    <w:rsid w:val="00AE6892"/>
    <w:rsid w:val="00AF097F"/>
    <w:rsid w:val="00AF0A8E"/>
    <w:rsid w:val="00AF3C2E"/>
    <w:rsid w:val="00B0298A"/>
    <w:rsid w:val="00B0578C"/>
    <w:rsid w:val="00B150A8"/>
    <w:rsid w:val="00B21225"/>
    <w:rsid w:val="00B22EAD"/>
    <w:rsid w:val="00B26083"/>
    <w:rsid w:val="00B27019"/>
    <w:rsid w:val="00B3509B"/>
    <w:rsid w:val="00B35AC0"/>
    <w:rsid w:val="00B40805"/>
    <w:rsid w:val="00B5664D"/>
    <w:rsid w:val="00B60698"/>
    <w:rsid w:val="00B610A5"/>
    <w:rsid w:val="00B61C8F"/>
    <w:rsid w:val="00B632DF"/>
    <w:rsid w:val="00B75C63"/>
    <w:rsid w:val="00B76A83"/>
    <w:rsid w:val="00B85105"/>
    <w:rsid w:val="00B91C0B"/>
    <w:rsid w:val="00B91C33"/>
    <w:rsid w:val="00B922BB"/>
    <w:rsid w:val="00B93F27"/>
    <w:rsid w:val="00BA0813"/>
    <w:rsid w:val="00BA5B40"/>
    <w:rsid w:val="00BB239D"/>
    <w:rsid w:val="00BB4935"/>
    <w:rsid w:val="00BB747F"/>
    <w:rsid w:val="00BC083C"/>
    <w:rsid w:val="00BD0206"/>
    <w:rsid w:val="00BD0553"/>
    <w:rsid w:val="00BD4FF7"/>
    <w:rsid w:val="00BD7316"/>
    <w:rsid w:val="00BE244D"/>
    <w:rsid w:val="00BE30DE"/>
    <w:rsid w:val="00BE6518"/>
    <w:rsid w:val="00C0080B"/>
    <w:rsid w:val="00C03BF9"/>
    <w:rsid w:val="00C2098A"/>
    <w:rsid w:val="00C2762B"/>
    <w:rsid w:val="00C30D30"/>
    <w:rsid w:val="00C31785"/>
    <w:rsid w:val="00C436AE"/>
    <w:rsid w:val="00C46BE9"/>
    <w:rsid w:val="00C47358"/>
    <w:rsid w:val="00C5444A"/>
    <w:rsid w:val="00C612DA"/>
    <w:rsid w:val="00C62C50"/>
    <w:rsid w:val="00C73DAF"/>
    <w:rsid w:val="00C7741E"/>
    <w:rsid w:val="00C774C9"/>
    <w:rsid w:val="00C83901"/>
    <w:rsid w:val="00C875AB"/>
    <w:rsid w:val="00CA2938"/>
    <w:rsid w:val="00CA3DF1"/>
    <w:rsid w:val="00CA4581"/>
    <w:rsid w:val="00CA7EA4"/>
    <w:rsid w:val="00CB227F"/>
    <w:rsid w:val="00CB6225"/>
    <w:rsid w:val="00CB6576"/>
    <w:rsid w:val="00CB69FF"/>
    <w:rsid w:val="00CC197B"/>
    <w:rsid w:val="00CC3829"/>
    <w:rsid w:val="00CC6A14"/>
    <w:rsid w:val="00CD3175"/>
    <w:rsid w:val="00CE18D5"/>
    <w:rsid w:val="00CF6C49"/>
    <w:rsid w:val="00D01D38"/>
    <w:rsid w:val="00D04109"/>
    <w:rsid w:val="00D05337"/>
    <w:rsid w:val="00D11AAE"/>
    <w:rsid w:val="00D13133"/>
    <w:rsid w:val="00D1529F"/>
    <w:rsid w:val="00D17011"/>
    <w:rsid w:val="00D234D0"/>
    <w:rsid w:val="00D355DF"/>
    <w:rsid w:val="00D3646A"/>
    <w:rsid w:val="00D40FB5"/>
    <w:rsid w:val="00D417D3"/>
    <w:rsid w:val="00D470B7"/>
    <w:rsid w:val="00D47A23"/>
    <w:rsid w:val="00D575BF"/>
    <w:rsid w:val="00D578AA"/>
    <w:rsid w:val="00D6175D"/>
    <w:rsid w:val="00D62223"/>
    <w:rsid w:val="00D6370B"/>
    <w:rsid w:val="00D97A41"/>
    <w:rsid w:val="00D97B1D"/>
    <w:rsid w:val="00DB7083"/>
    <w:rsid w:val="00DC68C2"/>
    <w:rsid w:val="00DD3CF6"/>
    <w:rsid w:val="00DD6416"/>
    <w:rsid w:val="00DE42DF"/>
    <w:rsid w:val="00DE7FB3"/>
    <w:rsid w:val="00DF4E0A"/>
    <w:rsid w:val="00E02DCD"/>
    <w:rsid w:val="00E02E8E"/>
    <w:rsid w:val="00E07487"/>
    <w:rsid w:val="00E10174"/>
    <w:rsid w:val="00E12C60"/>
    <w:rsid w:val="00E17970"/>
    <w:rsid w:val="00E21E8F"/>
    <w:rsid w:val="00E22E87"/>
    <w:rsid w:val="00E329B6"/>
    <w:rsid w:val="00E449A7"/>
    <w:rsid w:val="00E5006D"/>
    <w:rsid w:val="00E50EB6"/>
    <w:rsid w:val="00E53523"/>
    <w:rsid w:val="00E57630"/>
    <w:rsid w:val="00E6078F"/>
    <w:rsid w:val="00E66CD8"/>
    <w:rsid w:val="00E76390"/>
    <w:rsid w:val="00E76520"/>
    <w:rsid w:val="00E812F4"/>
    <w:rsid w:val="00E86C2B"/>
    <w:rsid w:val="00E874CD"/>
    <w:rsid w:val="00E959C6"/>
    <w:rsid w:val="00EA15A1"/>
    <w:rsid w:val="00EA2DA4"/>
    <w:rsid w:val="00EB2D52"/>
    <w:rsid w:val="00EB2E66"/>
    <w:rsid w:val="00EC6710"/>
    <w:rsid w:val="00EC6BC4"/>
    <w:rsid w:val="00ED09F3"/>
    <w:rsid w:val="00ED3053"/>
    <w:rsid w:val="00ED3FDC"/>
    <w:rsid w:val="00ED4DB0"/>
    <w:rsid w:val="00EE0A3E"/>
    <w:rsid w:val="00EE0D6A"/>
    <w:rsid w:val="00EE2D74"/>
    <w:rsid w:val="00EE46AF"/>
    <w:rsid w:val="00EE67DD"/>
    <w:rsid w:val="00EE68AC"/>
    <w:rsid w:val="00EF3E2C"/>
    <w:rsid w:val="00EF5356"/>
    <w:rsid w:val="00EF7CC9"/>
    <w:rsid w:val="00F15301"/>
    <w:rsid w:val="00F15F8F"/>
    <w:rsid w:val="00F207C0"/>
    <w:rsid w:val="00F20AE5"/>
    <w:rsid w:val="00F24B21"/>
    <w:rsid w:val="00F25050"/>
    <w:rsid w:val="00F27874"/>
    <w:rsid w:val="00F300CA"/>
    <w:rsid w:val="00F47E97"/>
    <w:rsid w:val="00F57563"/>
    <w:rsid w:val="00F63965"/>
    <w:rsid w:val="00F645C7"/>
    <w:rsid w:val="00F64AF7"/>
    <w:rsid w:val="00F65A3B"/>
    <w:rsid w:val="00F76196"/>
    <w:rsid w:val="00F76778"/>
    <w:rsid w:val="00F87546"/>
    <w:rsid w:val="00FA3A7E"/>
    <w:rsid w:val="00FA5D27"/>
    <w:rsid w:val="00FB6084"/>
    <w:rsid w:val="00FB6520"/>
    <w:rsid w:val="00FB6DAB"/>
    <w:rsid w:val="00FC0D9F"/>
    <w:rsid w:val="00FC3D4B"/>
    <w:rsid w:val="00FC4D20"/>
    <w:rsid w:val="00FD1A75"/>
    <w:rsid w:val="00FD392A"/>
    <w:rsid w:val="00FD4F8E"/>
    <w:rsid w:val="00FD6DD5"/>
    <w:rsid w:val="00FE1F0B"/>
    <w:rsid w:val="00FE5580"/>
    <w:rsid w:val="00FE5DC1"/>
    <w:rsid w:val="00FE7F64"/>
    <w:rsid w:val="00FF2AC9"/>
    <w:rsid w:val="00FF4243"/>
    <w:rsid w:val="00FF42E0"/>
    <w:rsid w:val="1BF2EDCA"/>
    <w:rsid w:val="3593F370"/>
    <w:rsid w:val="6E786D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258AD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10"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6BEE"/>
  </w:style>
  <w:style w:type="paragraph" w:styleId="Ttulo1">
    <w:name w:val="heading 1"/>
    <w:basedOn w:val="Normal"/>
    <w:link w:val="Ttulo1Car"/>
    <w:uiPriority w:val="9"/>
    <w:qFormat/>
    <w:rsid w:val="008C7B50"/>
    <w:pPr>
      <w:keepNext/>
      <w:keepLines/>
      <w:spacing w:before="60" w:after="40" w:line="240" w:lineRule="auto"/>
      <w:contextualSpacing/>
      <w:jc w:val="right"/>
      <w:outlineLvl w:val="0"/>
    </w:pPr>
    <w:rPr>
      <w:rFonts w:asciiTheme="majorHAnsi" w:eastAsiaTheme="majorEastAsia" w:hAnsiTheme="majorHAnsi" w:cstheme="majorBidi"/>
      <w:caps/>
      <w:color w:val="000000" w:themeColor="text1"/>
      <w:sz w:val="50"/>
      <w:szCs w:val="32"/>
    </w:rPr>
  </w:style>
  <w:style w:type="paragraph" w:styleId="Ttulo2">
    <w:name w:val="heading 2"/>
    <w:basedOn w:val="Normal"/>
    <w:link w:val="Ttulo2Car"/>
    <w:uiPriority w:val="9"/>
    <w:unhideWhenUsed/>
    <w:qFormat/>
    <w:rsid w:val="00523479"/>
    <w:pPr>
      <w:keepNext/>
      <w:keepLines/>
      <w:spacing w:line="240" w:lineRule="auto"/>
      <w:jc w:val="right"/>
      <w:outlineLvl w:val="1"/>
    </w:pPr>
    <w:rPr>
      <w:rFonts w:asciiTheme="majorHAnsi" w:eastAsiaTheme="majorEastAsia" w:hAnsiTheme="majorHAnsi" w:cstheme="majorBidi"/>
      <w:caps/>
      <w:color w:val="000000" w:themeColor="text1"/>
      <w:szCs w:val="26"/>
    </w:rPr>
  </w:style>
  <w:style w:type="paragraph" w:styleId="Ttulo3">
    <w:name w:val="heading 3"/>
    <w:basedOn w:val="Normal"/>
    <w:link w:val="Ttulo3Car"/>
    <w:uiPriority w:val="9"/>
    <w:unhideWhenUsed/>
    <w:qFormat/>
    <w:rsid w:val="00906BEE"/>
    <w:pPr>
      <w:keepNext/>
      <w:keepLines/>
      <w:pBdr>
        <w:bottom w:val="single" w:sz="48" w:space="1" w:color="EA4E4E" w:themeColor="accent1"/>
      </w:pBdr>
      <w:spacing w:before="600" w:after="160"/>
      <w:contextualSpacing/>
      <w:outlineLvl w:val="2"/>
    </w:pPr>
    <w:rPr>
      <w:rFonts w:asciiTheme="majorHAnsi" w:eastAsiaTheme="majorEastAsia" w:hAnsiTheme="majorHAnsi" w:cstheme="majorBidi"/>
      <w:caps/>
      <w:sz w:val="32"/>
      <w:szCs w:val="24"/>
    </w:rPr>
  </w:style>
  <w:style w:type="paragraph" w:styleId="Ttulo4">
    <w:name w:val="heading 4"/>
    <w:basedOn w:val="Normal"/>
    <w:link w:val="Ttulo4Car"/>
    <w:uiPriority w:val="9"/>
    <w:unhideWhenUsed/>
    <w:qFormat/>
    <w:rsid w:val="00906BEE"/>
    <w:pPr>
      <w:keepNext/>
      <w:keepLines/>
      <w:spacing w:before="200"/>
      <w:contextualSpacing/>
      <w:outlineLvl w:val="3"/>
    </w:pPr>
    <w:rPr>
      <w:rFonts w:asciiTheme="majorHAnsi" w:eastAsiaTheme="majorEastAsia" w:hAnsiTheme="majorHAnsi" w:cstheme="majorBidi"/>
      <w:iCs/>
      <w:caps/>
    </w:rPr>
  </w:style>
  <w:style w:type="paragraph" w:styleId="Ttulo5">
    <w:name w:val="heading 5"/>
    <w:basedOn w:val="Normal"/>
    <w:next w:val="Normal"/>
    <w:link w:val="Ttulo5Car"/>
    <w:uiPriority w:val="9"/>
    <w:semiHidden/>
    <w:unhideWhenUsed/>
    <w:qFormat/>
    <w:rsid w:val="00AA75F6"/>
    <w:pPr>
      <w:keepNext/>
      <w:keepLines/>
      <w:spacing w:before="40"/>
      <w:outlineLvl w:val="4"/>
    </w:pPr>
    <w:rPr>
      <w:rFonts w:asciiTheme="majorHAnsi" w:eastAsiaTheme="majorEastAsia" w:hAnsiTheme="majorHAnsi" w:cstheme="majorBidi"/>
      <w:color w:val="D01818" w:themeColor="accent1" w:themeShade="BF"/>
    </w:rPr>
  </w:style>
  <w:style w:type="paragraph" w:styleId="Ttulo6">
    <w:name w:val="heading 6"/>
    <w:basedOn w:val="Normal"/>
    <w:next w:val="Normal"/>
    <w:link w:val="Ttulo6Car"/>
    <w:uiPriority w:val="9"/>
    <w:semiHidden/>
    <w:unhideWhenUsed/>
    <w:qFormat/>
    <w:rsid w:val="00AA75F6"/>
    <w:pPr>
      <w:keepNext/>
      <w:keepLines/>
      <w:spacing w:before="40"/>
      <w:outlineLvl w:val="5"/>
    </w:pPr>
    <w:rPr>
      <w:rFonts w:asciiTheme="majorHAnsi" w:eastAsiaTheme="majorEastAsia" w:hAnsiTheme="majorHAnsi" w:cstheme="majorBidi"/>
      <w:color w:val="8A1010" w:themeColor="accent1" w:themeShade="7F"/>
    </w:rPr>
  </w:style>
  <w:style w:type="paragraph" w:styleId="Ttulo7">
    <w:name w:val="heading 7"/>
    <w:basedOn w:val="Normal"/>
    <w:next w:val="Normal"/>
    <w:link w:val="Ttulo7Car"/>
    <w:uiPriority w:val="9"/>
    <w:semiHidden/>
    <w:unhideWhenUsed/>
    <w:qFormat/>
    <w:rsid w:val="00AA75F6"/>
    <w:pPr>
      <w:keepNext/>
      <w:keepLines/>
      <w:spacing w:before="40"/>
      <w:outlineLvl w:val="6"/>
    </w:pPr>
    <w:rPr>
      <w:rFonts w:asciiTheme="majorHAnsi" w:eastAsiaTheme="majorEastAsia" w:hAnsiTheme="majorHAnsi" w:cstheme="majorBidi"/>
      <w:i/>
      <w:iCs/>
      <w:color w:val="8A1010" w:themeColor="accent1" w:themeShade="7F"/>
    </w:rPr>
  </w:style>
  <w:style w:type="paragraph" w:styleId="Ttulo8">
    <w:name w:val="heading 8"/>
    <w:basedOn w:val="Normal"/>
    <w:next w:val="Normal"/>
    <w:link w:val="Ttulo8Car"/>
    <w:uiPriority w:val="9"/>
    <w:semiHidden/>
    <w:unhideWhenUsed/>
    <w:qFormat/>
    <w:rsid w:val="007D2696"/>
    <w:pPr>
      <w:keepNext/>
      <w:keepLines/>
      <w:spacing w:before="40"/>
      <w:outlineLvl w:val="7"/>
    </w:pPr>
    <w:rPr>
      <w:rFonts w:asciiTheme="majorHAnsi" w:eastAsiaTheme="majorEastAsia" w:hAnsiTheme="majorHAnsi" w:cstheme="majorBidi"/>
      <w:color w:val="272727" w:themeColor="text1" w:themeTint="D8"/>
      <w:szCs w:val="21"/>
    </w:rPr>
  </w:style>
  <w:style w:type="paragraph" w:styleId="Ttulo9">
    <w:name w:val="heading 9"/>
    <w:basedOn w:val="Normal"/>
    <w:next w:val="Normal"/>
    <w:link w:val="Ttulo9Car"/>
    <w:uiPriority w:val="9"/>
    <w:semiHidden/>
    <w:unhideWhenUsed/>
    <w:qFormat/>
    <w:rsid w:val="007D2696"/>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523479"/>
    <w:rPr>
      <w:rFonts w:asciiTheme="majorHAnsi" w:eastAsiaTheme="majorEastAsia" w:hAnsiTheme="majorHAnsi" w:cstheme="majorBidi"/>
      <w:caps/>
      <w:color w:val="000000" w:themeColor="text1"/>
      <w:szCs w:val="26"/>
    </w:rPr>
  </w:style>
  <w:style w:type="character" w:customStyle="1" w:styleId="Ttulo3Car">
    <w:name w:val="Título 3 Car"/>
    <w:basedOn w:val="Fuentedeprrafopredeter"/>
    <w:link w:val="Ttulo3"/>
    <w:uiPriority w:val="9"/>
    <w:rsid w:val="00906BEE"/>
    <w:rPr>
      <w:rFonts w:asciiTheme="majorHAnsi" w:eastAsiaTheme="majorEastAsia" w:hAnsiTheme="majorHAnsi" w:cstheme="majorBidi"/>
      <w:caps/>
      <w:sz w:val="32"/>
      <w:szCs w:val="24"/>
    </w:rPr>
  </w:style>
  <w:style w:type="table" w:styleId="Tablaconcuadrcula">
    <w:name w:val="Table Grid"/>
    <w:basedOn w:val="Tablanormal"/>
    <w:uiPriority w:val="59"/>
    <w:qFormat/>
    <w:rsid w:val="002C2CDD"/>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aliases w:val="No Indent"/>
    <w:link w:val="SinespaciadoCar"/>
    <w:uiPriority w:val="1"/>
    <w:qFormat/>
    <w:rsid w:val="00E22E87"/>
    <w:pPr>
      <w:spacing w:line="240" w:lineRule="auto"/>
    </w:pPr>
  </w:style>
  <w:style w:type="character" w:customStyle="1" w:styleId="Ttulo1Car">
    <w:name w:val="Título 1 Car"/>
    <w:basedOn w:val="Fuentedeprrafopredeter"/>
    <w:link w:val="Ttulo1"/>
    <w:uiPriority w:val="9"/>
    <w:rsid w:val="008C7B50"/>
    <w:rPr>
      <w:rFonts w:asciiTheme="majorHAnsi" w:eastAsiaTheme="majorEastAsia" w:hAnsiTheme="majorHAnsi" w:cstheme="majorBidi"/>
      <w:caps/>
      <w:color w:val="000000" w:themeColor="text1"/>
      <w:sz w:val="50"/>
      <w:szCs w:val="32"/>
    </w:rPr>
  </w:style>
  <w:style w:type="character" w:styleId="Textodelmarcadordeposicin">
    <w:name w:val="Placeholder Text"/>
    <w:basedOn w:val="Fuentedeprrafopredeter"/>
    <w:uiPriority w:val="99"/>
    <w:semiHidden/>
    <w:rsid w:val="003D03E5"/>
    <w:rPr>
      <w:color w:val="595959" w:themeColor="text1" w:themeTint="A6"/>
    </w:rPr>
  </w:style>
  <w:style w:type="character" w:customStyle="1" w:styleId="Ttulo4Car">
    <w:name w:val="Título 4 Car"/>
    <w:basedOn w:val="Fuentedeprrafopredeter"/>
    <w:link w:val="Ttulo4"/>
    <w:uiPriority w:val="9"/>
    <w:rsid w:val="00906BEE"/>
    <w:rPr>
      <w:rFonts w:asciiTheme="majorHAnsi" w:eastAsiaTheme="majorEastAsia" w:hAnsiTheme="majorHAnsi" w:cstheme="majorBidi"/>
      <w:iCs/>
      <w:caps/>
    </w:rPr>
  </w:style>
  <w:style w:type="paragraph" w:styleId="Encabezado">
    <w:name w:val="header"/>
    <w:basedOn w:val="Normal"/>
    <w:link w:val="EncabezadoCar"/>
    <w:uiPriority w:val="99"/>
    <w:unhideWhenUsed/>
    <w:rsid w:val="0088504C"/>
    <w:pPr>
      <w:spacing w:line="240" w:lineRule="auto"/>
    </w:pPr>
  </w:style>
  <w:style w:type="paragraph" w:customStyle="1" w:styleId="Initials">
    <w:name w:val="Initials"/>
    <w:basedOn w:val="Normal"/>
    <w:next w:val="Ttulo3"/>
    <w:uiPriority w:val="1"/>
    <w:qFormat/>
    <w:rsid w:val="00906BEE"/>
    <w:pPr>
      <w:spacing w:after="1480" w:line="240" w:lineRule="auto"/>
      <w:ind w:left="144" w:right="360"/>
      <w:contextualSpacing/>
      <w:jc w:val="center"/>
    </w:pPr>
    <w:rPr>
      <w:rFonts w:asciiTheme="majorHAnsi" w:hAnsiTheme="majorHAnsi"/>
      <w:caps/>
      <w:color w:val="EA4E4E" w:themeColor="accent1"/>
      <w:sz w:val="110"/>
    </w:rPr>
  </w:style>
  <w:style w:type="character" w:customStyle="1" w:styleId="EncabezadoCar">
    <w:name w:val="Encabezado Car"/>
    <w:basedOn w:val="Fuentedeprrafopredeter"/>
    <w:link w:val="Encabezado"/>
    <w:uiPriority w:val="99"/>
    <w:rsid w:val="0088504C"/>
  </w:style>
  <w:style w:type="paragraph" w:styleId="Piedepgina">
    <w:name w:val="footer"/>
    <w:basedOn w:val="Normal"/>
    <w:link w:val="PiedepginaCar"/>
    <w:uiPriority w:val="99"/>
    <w:unhideWhenUsed/>
    <w:rsid w:val="0088504C"/>
    <w:pPr>
      <w:spacing w:line="240" w:lineRule="auto"/>
      <w:jc w:val="center"/>
    </w:pPr>
    <w:rPr>
      <w:rFonts w:asciiTheme="majorHAnsi" w:hAnsiTheme="majorHAnsi"/>
      <w:caps/>
    </w:rPr>
  </w:style>
  <w:style w:type="character" w:customStyle="1" w:styleId="PiedepginaCar">
    <w:name w:val="Pie de página Car"/>
    <w:basedOn w:val="Fuentedeprrafopredeter"/>
    <w:link w:val="Piedepgina"/>
    <w:uiPriority w:val="99"/>
    <w:rsid w:val="0088504C"/>
    <w:rPr>
      <w:rFonts w:asciiTheme="majorHAnsi" w:hAnsiTheme="majorHAnsi"/>
      <w:caps/>
    </w:rPr>
  </w:style>
  <w:style w:type="character" w:customStyle="1" w:styleId="Ttulo8Car">
    <w:name w:val="Título 8 Car"/>
    <w:basedOn w:val="Fuentedeprrafopredeter"/>
    <w:link w:val="Ttulo8"/>
    <w:uiPriority w:val="9"/>
    <w:semiHidden/>
    <w:rsid w:val="007D2696"/>
    <w:rPr>
      <w:rFonts w:asciiTheme="majorHAnsi" w:eastAsiaTheme="majorEastAsia" w:hAnsiTheme="majorHAnsi" w:cstheme="majorBidi"/>
      <w:color w:val="272727" w:themeColor="text1" w:themeTint="D8"/>
      <w:szCs w:val="21"/>
    </w:rPr>
  </w:style>
  <w:style w:type="character" w:customStyle="1" w:styleId="Ttulo9Car">
    <w:name w:val="Título 9 Car"/>
    <w:basedOn w:val="Fuentedeprrafopredeter"/>
    <w:link w:val="Ttulo9"/>
    <w:uiPriority w:val="9"/>
    <w:semiHidden/>
    <w:rsid w:val="007D2696"/>
    <w:rPr>
      <w:rFonts w:asciiTheme="majorHAnsi" w:eastAsiaTheme="majorEastAsia" w:hAnsiTheme="majorHAnsi" w:cstheme="majorBidi"/>
      <w:i/>
      <w:iCs/>
      <w:color w:val="272727" w:themeColor="text1" w:themeTint="D8"/>
      <w:szCs w:val="21"/>
    </w:rPr>
  </w:style>
  <w:style w:type="paragraph" w:styleId="Ttulo">
    <w:name w:val="Title"/>
    <w:basedOn w:val="Normal"/>
    <w:next w:val="Normal"/>
    <w:link w:val="TtuloCar"/>
    <w:uiPriority w:val="10"/>
    <w:semiHidden/>
    <w:unhideWhenUsed/>
    <w:qFormat/>
    <w:rsid w:val="007D2696"/>
    <w:pPr>
      <w:spacing w:line="240" w:lineRule="auto"/>
      <w:contextualSpacing/>
    </w:pPr>
    <w:rPr>
      <w:rFonts w:asciiTheme="majorHAnsi" w:eastAsiaTheme="majorEastAsia" w:hAnsiTheme="majorHAnsi" w:cstheme="majorBidi"/>
      <w:kern w:val="28"/>
      <w:sz w:val="56"/>
      <w:szCs w:val="56"/>
    </w:rPr>
  </w:style>
  <w:style w:type="character" w:customStyle="1" w:styleId="TtuloCar">
    <w:name w:val="Título Car"/>
    <w:basedOn w:val="Fuentedeprrafopredeter"/>
    <w:link w:val="Ttulo"/>
    <w:uiPriority w:val="10"/>
    <w:semiHidden/>
    <w:rsid w:val="007D2696"/>
    <w:rPr>
      <w:rFonts w:asciiTheme="majorHAnsi" w:eastAsiaTheme="majorEastAsia" w:hAnsiTheme="majorHAnsi" w:cstheme="majorBidi"/>
      <w:kern w:val="28"/>
      <w:sz w:val="56"/>
      <w:szCs w:val="56"/>
    </w:rPr>
  </w:style>
  <w:style w:type="paragraph" w:styleId="Subttulo">
    <w:name w:val="Subtitle"/>
    <w:basedOn w:val="Normal"/>
    <w:next w:val="Normal"/>
    <w:link w:val="SubttuloCar"/>
    <w:uiPriority w:val="11"/>
    <w:semiHidden/>
    <w:unhideWhenUsed/>
    <w:qFormat/>
    <w:rsid w:val="007D2696"/>
    <w:pPr>
      <w:numPr>
        <w:ilvl w:val="1"/>
      </w:numPr>
      <w:spacing w:after="160"/>
    </w:pPr>
    <w:rPr>
      <w:rFonts w:eastAsiaTheme="minorEastAsia"/>
      <w:color w:val="5A5A5A" w:themeColor="text1" w:themeTint="A5"/>
    </w:rPr>
  </w:style>
  <w:style w:type="character" w:customStyle="1" w:styleId="SubttuloCar">
    <w:name w:val="Subtítulo Car"/>
    <w:basedOn w:val="Fuentedeprrafopredeter"/>
    <w:link w:val="Subttulo"/>
    <w:uiPriority w:val="11"/>
    <w:semiHidden/>
    <w:rsid w:val="007D2696"/>
    <w:rPr>
      <w:rFonts w:eastAsiaTheme="minorEastAsia"/>
      <w:color w:val="5A5A5A" w:themeColor="text1" w:themeTint="A5"/>
      <w:sz w:val="22"/>
      <w:szCs w:val="22"/>
    </w:rPr>
  </w:style>
  <w:style w:type="paragraph" w:styleId="Textodeglobo">
    <w:name w:val="Balloon Text"/>
    <w:basedOn w:val="Normal"/>
    <w:link w:val="TextodegloboCar"/>
    <w:uiPriority w:val="99"/>
    <w:semiHidden/>
    <w:unhideWhenUsed/>
    <w:rsid w:val="00AA75F6"/>
    <w:pPr>
      <w:spacing w:line="240" w:lineRule="auto"/>
    </w:pPr>
    <w:rPr>
      <w:rFonts w:ascii="Segoe UI" w:hAnsi="Segoe UI" w:cs="Segoe UI"/>
      <w:szCs w:val="18"/>
    </w:rPr>
  </w:style>
  <w:style w:type="character" w:customStyle="1" w:styleId="TextodegloboCar">
    <w:name w:val="Texto de globo Car"/>
    <w:basedOn w:val="Fuentedeprrafopredeter"/>
    <w:link w:val="Textodeglobo"/>
    <w:uiPriority w:val="99"/>
    <w:semiHidden/>
    <w:rsid w:val="00AA75F6"/>
    <w:rPr>
      <w:rFonts w:ascii="Segoe UI" w:hAnsi="Segoe UI" w:cs="Segoe UI"/>
      <w:szCs w:val="18"/>
    </w:rPr>
  </w:style>
  <w:style w:type="paragraph" w:styleId="Bibliografa">
    <w:name w:val="Bibliography"/>
    <w:basedOn w:val="Normal"/>
    <w:next w:val="Normal"/>
    <w:uiPriority w:val="37"/>
    <w:semiHidden/>
    <w:unhideWhenUsed/>
    <w:rsid w:val="00AA75F6"/>
  </w:style>
  <w:style w:type="paragraph" w:styleId="Textodebloque">
    <w:name w:val="Block Text"/>
    <w:basedOn w:val="Normal"/>
    <w:uiPriority w:val="99"/>
    <w:semiHidden/>
    <w:unhideWhenUsed/>
    <w:rsid w:val="003D03E5"/>
    <w:pPr>
      <w:pBdr>
        <w:top w:val="single" w:sz="2" w:space="10" w:color="EA4E4E" w:themeColor="accent1"/>
        <w:left w:val="single" w:sz="2" w:space="10" w:color="EA4E4E" w:themeColor="accent1"/>
        <w:bottom w:val="single" w:sz="2" w:space="10" w:color="EA4E4E" w:themeColor="accent1"/>
        <w:right w:val="single" w:sz="2" w:space="10" w:color="EA4E4E" w:themeColor="accent1"/>
      </w:pBdr>
      <w:ind w:left="1152" w:right="1152"/>
    </w:pPr>
    <w:rPr>
      <w:rFonts w:eastAsiaTheme="minorEastAsia"/>
      <w:i/>
      <w:iCs/>
      <w:color w:val="D01818" w:themeColor="accent1" w:themeShade="BF"/>
    </w:rPr>
  </w:style>
  <w:style w:type="paragraph" w:styleId="Textoindependiente">
    <w:name w:val="Body Text"/>
    <w:basedOn w:val="Normal"/>
    <w:link w:val="TextoindependienteCar"/>
    <w:uiPriority w:val="99"/>
    <w:semiHidden/>
    <w:unhideWhenUsed/>
    <w:rsid w:val="00AA75F6"/>
    <w:pPr>
      <w:spacing w:after="120"/>
    </w:pPr>
  </w:style>
  <w:style w:type="character" w:customStyle="1" w:styleId="TextoindependienteCar">
    <w:name w:val="Texto independiente Car"/>
    <w:basedOn w:val="Fuentedeprrafopredeter"/>
    <w:link w:val="Textoindependiente"/>
    <w:uiPriority w:val="99"/>
    <w:semiHidden/>
    <w:rsid w:val="00AA75F6"/>
  </w:style>
  <w:style w:type="paragraph" w:styleId="Textoindependiente2">
    <w:name w:val="Body Text 2"/>
    <w:basedOn w:val="Normal"/>
    <w:link w:val="Textoindependiente2Car"/>
    <w:uiPriority w:val="99"/>
    <w:semiHidden/>
    <w:unhideWhenUsed/>
    <w:rsid w:val="00AA75F6"/>
    <w:pPr>
      <w:spacing w:after="120" w:line="480" w:lineRule="auto"/>
    </w:pPr>
  </w:style>
  <w:style w:type="character" w:customStyle="1" w:styleId="Textoindependiente2Car">
    <w:name w:val="Texto independiente 2 Car"/>
    <w:basedOn w:val="Fuentedeprrafopredeter"/>
    <w:link w:val="Textoindependiente2"/>
    <w:uiPriority w:val="99"/>
    <w:semiHidden/>
    <w:rsid w:val="00AA75F6"/>
  </w:style>
  <w:style w:type="paragraph" w:styleId="Textoindependiente3">
    <w:name w:val="Body Text 3"/>
    <w:basedOn w:val="Normal"/>
    <w:link w:val="Textoindependiente3Car"/>
    <w:uiPriority w:val="99"/>
    <w:semiHidden/>
    <w:unhideWhenUsed/>
    <w:rsid w:val="00AA75F6"/>
    <w:pPr>
      <w:spacing w:after="120"/>
    </w:pPr>
    <w:rPr>
      <w:szCs w:val="16"/>
    </w:rPr>
  </w:style>
  <w:style w:type="character" w:customStyle="1" w:styleId="Textoindependiente3Car">
    <w:name w:val="Texto independiente 3 Car"/>
    <w:basedOn w:val="Fuentedeprrafopredeter"/>
    <w:link w:val="Textoindependiente3"/>
    <w:uiPriority w:val="99"/>
    <w:semiHidden/>
    <w:rsid w:val="00AA75F6"/>
    <w:rPr>
      <w:szCs w:val="16"/>
    </w:rPr>
  </w:style>
  <w:style w:type="paragraph" w:styleId="Textoindependienteprimerasangra">
    <w:name w:val="Body Text First Indent"/>
    <w:basedOn w:val="Textoindependiente"/>
    <w:link w:val="TextoindependienteprimerasangraCar"/>
    <w:uiPriority w:val="99"/>
    <w:semiHidden/>
    <w:unhideWhenUsed/>
    <w:rsid w:val="00AA75F6"/>
    <w:pPr>
      <w:spacing w:after="0"/>
      <w:ind w:firstLine="360"/>
    </w:pPr>
  </w:style>
  <w:style w:type="character" w:customStyle="1" w:styleId="TextoindependienteprimerasangraCar">
    <w:name w:val="Texto independiente primera sangría Car"/>
    <w:basedOn w:val="TextoindependienteCar"/>
    <w:link w:val="Textoindependienteprimerasangra"/>
    <w:uiPriority w:val="99"/>
    <w:semiHidden/>
    <w:rsid w:val="00AA75F6"/>
  </w:style>
  <w:style w:type="paragraph" w:styleId="Sangradetextonormal">
    <w:name w:val="Body Text Indent"/>
    <w:basedOn w:val="Normal"/>
    <w:link w:val="SangradetextonormalCar"/>
    <w:uiPriority w:val="99"/>
    <w:semiHidden/>
    <w:unhideWhenUsed/>
    <w:rsid w:val="00AA75F6"/>
    <w:pPr>
      <w:spacing w:after="120"/>
      <w:ind w:left="360"/>
    </w:pPr>
  </w:style>
  <w:style w:type="character" w:customStyle="1" w:styleId="SangradetextonormalCar">
    <w:name w:val="Sangría de texto normal Car"/>
    <w:basedOn w:val="Fuentedeprrafopredeter"/>
    <w:link w:val="Sangradetextonormal"/>
    <w:uiPriority w:val="99"/>
    <w:semiHidden/>
    <w:rsid w:val="00AA75F6"/>
  </w:style>
  <w:style w:type="paragraph" w:styleId="Textoindependienteprimerasangra2">
    <w:name w:val="Body Text First Indent 2"/>
    <w:basedOn w:val="Sangradetextonormal"/>
    <w:link w:val="Textoindependienteprimerasangra2Car"/>
    <w:uiPriority w:val="99"/>
    <w:semiHidden/>
    <w:unhideWhenUsed/>
    <w:rsid w:val="00AA75F6"/>
    <w:pPr>
      <w:spacing w:after="0"/>
      <w:ind w:firstLine="360"/>
    </w:pPr>
  </w:style>
  <w:style w:type="character" w:customStyle="1" w:styleId="Textoindependienteprimerasangra2Car">
    <w:name w:val="Texto independiente primera sangría 2 Car"/>
    <w:basedOn w:val="SangradetextonormalCar"/>
    <w:link w:val="Textoindependienteprimerasangra2"/>
    <w:uiPriority w:val="99"/>
    <w:semiHidden/>
    <w:rsid w:val="00AA75F6"/>
  </w:style>
  <w:style w:type="paragraph" w:styleId="Sangra2detindependiente">
    <w:name w:val="Body Text Indent 2"/>
    <w:basedOn w:val="Normal"/>
    <w:link w:val="Sangra2detindependienteCar"/>
    <w:uiPriority w:val="99"/>
    <w:semiHidden/>
    <w:unhideWhenUsed/>
    <w:rsid w:val="00AA75F6"/>
    <w:pPr>
      <w:spacing w:after="120" w:line="480" w:lineRule="auto"/>
      <w:ind w:left="360"/>
    </w:pPr>
  </w:style>
  <w:style w:type="character" w:customStyle="1" w:styleId="Sangra2detindependienteCar">
    <w:name w:val="Sangría 2 de t. independiente Car"/>
    <w:basedOn w:val="Fuentedeprrafopredeter"/>
    <w:link w:val="Sangra2detindependiente"/>
    <w:uiPriority w:val="99"/>
    <w:semiHidden/>
    <w:rsid w:val="00AA75F6"/>
  </w:style>
  <w:style w:type="paragraph" w:styleId="Sangra3detindependiente">
    <w:name w:val="Body Text Indent 3"/>
    <w:basedOn w:val="Normal"/>
    <w:link w:val="Sangra3detindependienteCar"/>
    <w:uiPriority w:val="99"/>
    <w:semiHidden/>
    <w:unhideWhenUsed/>
    <w:rsid w:val="00AA75F6"/>
    <w:pPr>
      <w:spacing w:after="120"/>
      <w:ind w:left="360"/>
    </w:pPr>
    <w:rPr>
      <w:szCs w:val="16"/>
    </w:rPr>
  </w:style>
  <w:style w:type="character" w:customStyle="1" w:styleId="Sangra3detindependienteCar">
    <w:name w:val="Sangría 3 de t. independiente Car"/>
    <w:basedOn w:val="Fuentedeprrafopredeter"/>
    <w:link w:val="Sangra3detindependiente"/>
    <w:uiPriority w:val="99"/>
    <w:semiHidden/>
    <w:rsid w:val="00AA75F6"/>
    <w:rPr>
      <w:szCs w:val="16"/>
    </w:rPr>
  </w:style>
  <w:style w:type="character" w:styleId="Ttulodellibro">
    <w:name w:val="Book Title"/>
    <w:basedOn w:val="Fuentedeprrafopredeter"/>
    <w:uiPriority w:val="33"/>
    <w:semiHidden/>
    <w:unhideWhenUsed/>
    <w:qFormat/>
    <w:rsid w:val="00AA75F6"/>
    <w:rPr>
      <w:b/>
      <w:bCs/>
      <w:i/>
      <w:iCs/>
      <w:spacing w:val="5"/>
    </w:rPr>
  </w:style>
  <w:style w:type="paragraph" w:styleId="Descripcin">
    <w:name w:val="caption"/>
    <w:basedOn w:val="Normal"/>
    <w:next w:val="Normal"/>
    <w:uiPriority w:val="35"/>
    <w:semiHidden/>
    <w:unhideWhenUsed/>
    <w:qFormat/>
    <w:rsid w:val="00AA75F6"/>
    <w:pPr>
      <w:spacing w:after="200" w:line="240" w:lineRule="auto"/>
    </w:pPr>
    <w:rPr>
      <w:i/>
      <w:iCs/>
      <w:color w:val="44546A" w:themeColor="text2"/>
      <w:szCs w:val="18"/>
    </w:rPr>
  </w:style>
  <w:style w:type="paragraph" w:styleId="Cierre">
    <w:name w:val="Closing"/>
    <w:basedOn w:val="Normal"/>
    <w:link w:val="CierreCar"/>
    <w:uiPriority w:val="99"/>
    <w:semiHidden/>
    <w:unhideWhenUsed/>
    <w:rsid w:val="00AA75F6"/>
    <w:pPr>
      <w:spacing w:line="240" w:lineRule="auto"/>
      <w:ind w:left="4320"/>
    </w:pPr>
  </w:style>
  <w:style w:type="character" w:customStyle="1" w:styleId="CierreCar">
    <w:name w:val="Cierre Car"/>
    <w:basedOn w:val="Fuentedeprrafopredeter"/>
    <w:link w:val="Cierre"/>
    <w:uiPriority w:val="99"/>
    <w:semiHidden/>
    <w:rsid w:val="00AA75F6"/>
  </w:style>
  <w:style w:type="table" w:styleId="Cuadrculavistosa">
    <w:name w:val="Colorful Grid"/>
    <w:basedOn w:val="Tablanormal"/>
    <w:uiPriority w:val="73"/>
    <w:semiHidden/>
    <w:unhideWhenUsed/>
    <w:rsid w:val="00AA75F6"/>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semiHidden/>
    <w:unhideWhenUsed/>
    <w:rsid w:val="00AA75F6"/>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FADBDB" w:themeFill="accent1" w:themeFillTint="33"/>
    </w:tcPr>
    <w:tblStylePr w:type="firstRow">
      <w:rPr>
        <w:b/>
        <w:bCs/>
      </w:rPr>
      <w:tblPr/>
      <w:tcPr>
        <w:shd w:val="clear" w:color="auto" w:fill="F6B8B8" w:themeFill="accent1" w:themeFillTint="66"/>
      </w:tcPr>
    </w:tblStylePr>
    <w:tblStylePr w:type="lastRow">
      <w:rPr>
        <w:b/>
        <w:bCs/>
        <w:color w:val="000000" w:themeColor="text1"/>
      </w:rPr>
      <w:tblPr/>
      <w:tcPr>
        <w:shd w:val="clear" w:color="auto" w:fill="F6B8B8" w:themeFill="accent1" w:themeFillTint="66"/>
      </w:tcPr>
    </w:tblStylePr>
    <w:tblStylePr w:type="firstCol">
      <w:rPr>
        <w:color w:val="FFFFFF" w:themeColor="background1"/>
      </w:rPr>
      <w:tblPr/>
      <w:tcPr>
        <w:shd w:val="clear" w:color="auto" w:fill="D01818" w:themeFill="accent1" w:themeFillShade="BF"/>
      </w:tcPr>
    </w:tblStylePr>
    <w:tblStylePr w:type="lastCol">
      <w:rPr>
        <w:color w:val="FFFFFF" w:themeColor="background1"/>
      </w:rPr>
      <w:tblPr/>
      <w:tcPr>
        <w:shd w:val="clear" w:color="auto" w:fill="D01818" w:themeFill="accent1" w:themeFillShade="BF"/>
      </w:tcPr>
    </w:tblStylePr>
    <w:tblStylePr w:type="band1Vert">
      <w:tblPr/>
      <w:tcPr>
        <w:shd w:val="clear" w:color="auto" w:fill="F4A6A6" w:themeFill="accent1" w:themeFillTint="7F"/>
      </w:tcPr>
    </w:tblStylePr>
    <w:tblStylePr w:type="band1Horz">
      <w:tblPr/>
      <w:tcPr>
        <w:shd w:val="clear" w:color="auto" w:fill="F4A6A6" w:themeFill="accent1" w:themeFillTint="7F"/>
      </w:tcPr>
    </w:tblStylePr>
  </w:style>
  <w:style w:type="table" w:styleId="Cuadrculavistosa-nfasis2">
    <w:name w:val="Colorful Grid Accent 2"/>
    <w:basedOn w:val="Tablanormal"/>
    <w:uiPriority w:val="73"/>
    <w:semiHidden/>
    <w:unhideWhenUsed/>
    <w:rsid w:val="00AA75F6"/>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uadrculavistosa-nfasis3">
    <w:name w:val="Colorful Grid Accent 3"/>
    <w:basedOn w:val="Tablanormal"/>
    <w:uiPriority w:val="73"/>
    <w:semiHidden/>
    <w:unhideWhenUsed/>
    <w:rsid w:val="00AA75F6"/>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uadrculavistosa-nfasis4">
    <w:name w:val="Colorful Grid Accent 4"/>
    <w:basedOn w:val="Tablanormal"/>
    <w:uiPriority w:val="73"/>
    <w:semiHidden/>
    <w:unhideWhenUsed/>
    <w:rsid w:val="00AA75F6"/>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uadrculavistosa-nfasis5">
    <w:name w:val="Colorful Grid Accent 5"/>
    <w:basedOn w:val="Tablanormal"/>
    <w:uiPriority w:val="73"/>
    <w:semiHidden/>
    <w:unhideWhenUsed/>
    <w:rsid w:val="00AA75F6"/>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Cuadrculavistosa-nfasis6">
    <w:name w:val="Colorful Grid Accent 6"/>
    <w:basedOn w:val="Tablanormal"/>
    <w:uiPriority w:val="73"/>
    <w:semiHidden/>
    <w:unhideWhenUsed/>
    <w:rsid w:val="00AA75F6"/>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Listavistosa">
    <w:name w:val="Colorful List"/>
    <w:basedOn w:val="Tablanormal"/>
    <w:uiPriority w:val="72"/>
    <w:semiHidden/>
    <w:unhideWhenUsed/>
    <w:rsid w:val="00AA75F6"/>
    <w:pPr>
      <w:spacing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semiHidden/>
    <w:unhideWhenUsed/>
    <w:rsid w:val="00AA75F6"/>
    <w:pPr>
      <w:spacing w:line="240" w:lineRule="auto"/>
    </w:pPr>
    <w:rPr>
      <w:color w:val="000000" w:themeColor="text1"/>
    </w:rPr>
    <w:tblPr>
      <w:tblStyleRowBandSize w:val="1"/>
      <w:tblStyleColBandSize w:val="1"/>
    </w:tblPr>
    <w:tcPr>
      <w:shd w:val="clear" w:color="auto" w:fill="FDEDED"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D3D3" w:themeFill="accent1" w:themeFillTint="3F"/>
      </w:tcPr>
    </w:tblStylePr>
    <w:tblStylePr w:type="band1Horz">
      <w:tblPr/>
      <w:tcPr>
        <w:shd w:val="clear" w:color="auto" w:fill="FADBDB" w:themeFill="accent1" w:themeFillTint="33"/>
      </w:tcPr>
    </w:tblStylePr>
  </w:style>
  <w:style w:type="table" w:styleId="Listavistosa-nfasis2">
    <w:name w:val="Colorful List Accent 2"/>
    <w:basedOn w:val="Tablanormal"/>
    <w:uiPriority w:val="72"/>
    <w:semiHidden/>
    <w:unhideWhenUsed/>
    <w:rsid w:val="00AA75F6"/>
    <w:pPr>
      <w:spacing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Listavistosa-nfasis3">
    <w:name w:val="Colorful List Accent 3"/>
    <w:basedOn w:val="Tablanormal"/>
    <w:uiPriority w:val="72"/>
    <w:semiHidden/>
    <w:unhideWhenUsed/>
    <w:rsid w:val="00AA75F6"/>
    <w:pPr>
      <w:spacing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Listavistosa-nfasis4">
    <w:name w:val="Colorful List Accent 4"/>
    <w:basedOn w:val="Tablanormal"/>
    <w:uiPriority w:val="72"/>
    <w:semiHidden/>
    <w:unhideWhenUsed/>
    <w:rsid w:val="00AA75F6"/>
    <w:pPr>
      <w:spacing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Listavistosa-nfasis5">
    <w:name w:val="Colorful List Accent 5"/>
    <w:basedOn w:val="Tablanormal"/>
    <w:uiPriority w:val="72"/>
    <w:semiHidden/>
    <w:unhideWhenUsed/>
    <w:rsid w:val="00AA75F6"/>
    <w:pPr>
      <w:spacing w:line="240" w:lineRule="auto"/>
    </w:pPr>
    <w:rPr>
      <w:color w:val="000000" w:themeColor="text1"/>
    </w:rPr>
    <w:tblPr>
      <w:tblStyleRowBandSize w:val="1"/>
      <w:tblStyleColBandSize w:val="1"/>
    </w:tblPr>
    <w:tcPr>
      <w:shd w:val="clear" w:color="auto" w:fill="ECF1F9"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5" w:themeFillTint="3F"/>
      </w:tcPr>
    </w:tblStylePr>
    <w:tblStylePr w:type="band1Horz">
      <w:tblPr/>
      <w:tcPr>
        <w:shd w:val="clear" w:color="auto" w:fill="D9E2F3" w:themeFill="accent5" w:themeFillTint="33"/>
      </w:tcPr>
    </w:tblStylePr>
  </w:style>
  <w:style w:type="table" w:styleId="Listavistosa-nfasis6">
    <w:name w:val="Colorful List Accent 6"/>
    <w:basedOn w:val="Tablanormal"/>
    <w:uiPriority w:val="72"/>
    <w:semiHidden/>
    <w:unhideWhenUsed/>
    <w:rsid w:val="00AA75F6"/>
    <w:pPr>
      <w:spacing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259A0" w:themeFill="accent5" w:themeFillShade="CC"/>
      </w:tcPr>
    </w:tblStylePr>
    <w:tblStylePr w:type="lastRow">
      <w:rPr>
        <w:b/>
        <w:bCs/>
        <w:color w:val="3259A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Sombreadovistoso">
    <w:name w:val="Colorful Shading"/>
    <w:basedOn w:val="Tablanormal"/>
    <w:uiPriority w:val="71"/>
    <w:semiHidden/>
    <w:unhideWhenUsed/>
    <w:rsid w:val="00AA75F6"/>
    <w:pPr>
      <w:spacing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semiHidden/>
    <w:unhideWhenUsed/>
    <w:rsid w:val="00AA75F6"/>
    <w:pPr>
      <w:spacing w:line="240" w:lineRule="auto"/>
    </w:pPr>
    <w:rPr>
      <w:color w:val="000000" w:themeColor="text1"/>
    </w:rPr>
    <w:tblPr>
      <w:tblStyleRowBandSize w:val="1"/>
      <w:tblStyleColBandSize w:val="1"/>
      <w:tblBorders>
        <w:top w:val="single" w:sz="24" w:space="0" w:color="ED7D31" w:themeColor="accent2"/>
        <w:left w:val="single" w:sz="4" w:space="0" w:color="EA4E4E" w:themeColor="accent1"/>
        <w:bottom w:val="single" w:sz="4" w:space="0" w:color="EA4E4E" w:themeColor="accent1"/>
        <w:right w:val="single" w:sz="4" w:space="0" w:color="EA4E4E" w:themeColor="accent1"/>
        <w:insideH w:val="single" w:sz="4" w:space="0" w:color="FFFFFF" w:themeColor="background1"/>
        <w:insideV w:val="single" w:sz="4" w:space="0" w:color="FFFFFF" w:themeColor="background1"/>
      </w:tblBorders>
    </w:tblPr>
    <w:tcPr>
      <w:shd w:val="clear" w:color="auto" w:fill="FDEDED"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A71414" w:themeFill="accent1" w:themeFillShade="99"/>
      </w:tcPr>
    </w:tblStylePr>
    <w:tblStylePr w:type="firstCol">
      <w:rPr>
        <w:color w:val="FFFFFF" w:themeColor="background1"/>
      </w:rPr>
      <w:tblPr/>
      <w:tcPr>
        <w:tcBorders>
          <w:top w:val="nil"/>
          <w:left w:val="nil"/>
          <w:bottom w:val="nil"/>
          <w:right w:val="nil"/>
          <w:insideH w:val="single" w:sz="4" w:space="0" w:color="A71414" w:themeColor="accent1" w:themeShade="99"/>
          <w:insideV w:val="nil"/>
        </w:tcBorders>
        <w:shd w:val="clear" w:color="auto" w:fill="A7141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A71414" w:themeFill="accent1" w:themeFillShade="99"/>
      </w:tcPr>
    </w:tblStylePr>
    <w:tblStylePr w:type="band1Vert">
      <w:tblPr/>
      <w:tcPr>
        <w:shd w:val="clear" w:color="auto" w:fill="F6B8B8" w:themeFill="accent1" w:themeFillTint="66"/>
      </w:tcPr>
    </w:tblStylePr>
    <w:tblStylePr w:type="band1Horz">
      <w:tblPr/>
      <w:tcPr>
        <w:shd w:val="clear" w:color="auto" w:fill="F4A6A6"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semiHidden/>
    <w:unhideWhenUsed/>
    <w:rsid w:val="00AA75F6"/>
    <w:pPr>
      <w:spacing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semiHidden/>
    <w:unhideWhenUsed/>
    <w:rsid w:val="00AA75F6"/>
    <w:pPr>
      <w:spacing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Sombreadovistoso-nfasis4">
    <w:name w:val="Colorful Shading Accent 4"/>
    <w:basedOn w:val="Tablanormal"/>
    <w:uiPriority w:val="71"/>
    <w:semiHidden/>
    <w:unhideWhenUsed/>
    <w:rsid w:val="00AA75F6"/>
    <w:pPr>
      <w:spacing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semiHidden/>
    <w:unhideWhenUsed/>
    <w:rsid w:val="00AA75F6"/>
    <w:pPr>
      <w:spacing w:line="240" w:lineRule="auto"/>
    </w:pPr>
    <w:rPr>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semiHidden/>
    <w:unhideWhenUsed/>
    <w:rsid w:val="00AA75F6"/>
    <w:pPr>
      <w:spacing w:line="240" w:lineRule="auto"/>
    </w:pPr>
    <w:rPr>
      <w:color w:val="000000" w:themeColor="text1"/>
    </w:rPr>
    <w:tblPr>
      <w:tblStyleRowBandSize w:val="1"/>
      <w:tblStyleColBandSize w:val="1"/>
      <w:tblBorders>
        <w:top w:val="single" w:sz="24" w:space="0" w:color="4472C4"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character" w:styleId="Refdecomentario">
    <w:name w:val="annotation reference"/>
    <w:basedOn w:val="Fuentedeprrafopredeter"/>
    <w:uiPriority w:val="99"/>
    <w:semiHidden/>
    <w:unhideWhenUsed/>
    <w:rsid w:val="00AA75F6"/>
    <w:rPr>
      <w:sz w:val="22"/>
      <w:szCs w:val="16"/>
    </w:rPr>
  </w:style>
  <w:style w:type="paragraph" w:styleId="Textocomentario">
    <w:name w:val="annotation text"/>
    <w:basedOn w:val="Normal"/>
    <w:link w:val="TextocomentarioCar"/>
    <w:uiPriority w:val="99"/>
    <w:unhideWhenUsed/>
    <w:rsid w:val="00AA75F6"/>
    <w:pPr>
      <w:spacing w:line="240" w:lineRule="auto"/>
    </w:pPr>
    <w:rPr>
      <w:szCs w:val="20"/>
    </w:rPr>
  </w:style>
  <w:style w:type="character" w:customStyle="1" w:styleId="TextocomentarioCar">
    <w:name w:val="Texto comentario Car"/>
    <w:basedOn w:val="Fuentedeprrafopredeter"/>
    <w:link w:val="Textocomentario"/>
    <w:uiPriority w:val="99"/>
    <w:rsid w:val="00AA75F6"/>
    <w:rPr>
      <w:szCs w:val="20"/>
    </w:rPr>
  </w:style>
  <w:style w:type="paragraph" w:styleId="Asuntodelcomentario">
    <w:name w:val="annotation subject"/>
    <w:basedOn w:val="Textocomentario"/>
    <w:next w:val="Textocomentario"/>
    <w:link w:val="AsuntodelcomentarioCar"/>
    <w:uiPriority w:val="99"/>
    <w:semiHidden/>
    <w:unhideWhenUsed/>
    <w:rsid w:val="00AA75F6"/>
    <w:rPr>
      <w:b/>
      <w:bCs/>
    </w:rPr>
  </w:style>
  <w:style w:type="character" w:customStyle="1" w:styleId="AsuntodelcomentarioCar">
    <w:name w:val="Asunto del comentario Car"/>
    <w:basedOn w:val="TextocomentarioCar"/>
    <w:link w:val="Asuntodelcomentario"/>
    <w:uiPriority w:val="99"/>
    <w:semiHidden/>
    <w:rsid w:val="00AA75F6"/>
    <w:rPr>
      <w:b/>
      <w:bCs/>
      <w:szCs w:val="20"/>
    </w:rPr>
  </w:style>
  <w:style w:type="table" w:styleId="Listaoscura">
    <w:name w:val="Dark List"/>
    <w:basedOn w:val="Tablanormal"/>
    <w:uiPriority w:val="70"/>
    <w:semiHidden/>
    <w:unhideWhenUsed/>
    <w:rsid w:val="00AA75F6"/>
    <w:pPr>
      <w:spacing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semiHidden/>
    <w:unhideWhenUsed/>
    <w:rsid w:val="00AA75F6"/>
    <w:pPr>
      <w:spacing w:line="240" w:lineRule="auto"/>
    </w:pPr>
    <w:rPr>
      <w:color w:val="FFFFFF" w:themeColor="background1"/>
    </w:rPr>
    <w:tblPr>
      <w:tblStyleRowBandSize w:val="1"/>
      <w:tblStyleColBandSize w:val="1"/>
    </w:tblPr>
    <w:tcPr>
      <w:shd w:val="clear" w:color="auto" w:fill="EA4E4E"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A101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D0181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D01818" w:themeFill="accent1" w:themeFillShade="BF"/>
      </w:tcPr>
    </w:tblStylePr>
    <w:tblStylePr w:type="band1Vert">
      <w:tblPr/>
      <w:tcPr>
        <w:tcBorders>
          <w:top w:val="nil"/>
          <w:left w:val="nil"/>
          <w:bottom w:val="nil"/>
          <w:right w:val="nil"/>
          <w:insideH w:val="nil"/>
          <w:insideV w:val="nil"/>
        </w:tcBorders>
        <w:shd w:val="clear" w:color="auto" w:fill="D01818" w:themeFill="accent1" w:themeFillShade="BF"/>
      </w:tcPr>
    </w:tblStylePr>
    <w:tblStylePr w:type="band1Horz">
      <w:tblPr/>
      <w:tcPr>
        <w:tcBorders>
          <w:top w:val="nil"/>
          <w:left w:val="nil"/>
          <w:bottom w:val="nil"/>
          <w:right w:val="nil"/>
          <w:insideH w:val="nil"/>
          <w:insideV w:val="nil"/>
        </w:tcBorders>
        <w:shd w:val="clear" w:color="auto" w:fill="D01818" w:themeFill="accent1" w:themeFillShade="BF"/>
      </w:tcPr>
    </w:tblStylePr>
  </w:style>
  <w:style w:type="table" w:styleId="Listaoscura-nfasis2">
    <w:name w:val="Dark List Accent 2"/>
    <w:basedOn w:val="Tablanormal"/>
    <w:uiPriority w:val="70"/>
    <w:semiHidden/>
    <w:unhideWhenUsed/>
    <w:rsid w:val="00AA75F6"/>
    <w:pPr>
      <w:spacing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Listaoscura-nfasis3">
    <w:name w:val="Dark List Accent 3"/>
    <w:basedOn w:val="Tablanormal"/>
    <w:uiPriority w:val="70"/>
    <w:semiHidden/>
    <w:unhideWhenUsed/>
    <w:rsid w:val="00AA75F6"/>
    <w:pPr>
      <w:spacing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Listaoscura-nfasis4">
    <w:name w:val="Dark List Accent 4"/>
    <w:basedOn w:val="Tablanormal"/>
    <w:uiPriority w:val="70"/>
    <w:semiHidden/>
    <w:unhideWhenUsed/>
    <w:rsid w:val="00AA75F6"/>
    <w:pPr>
      <w:spacing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Listaoscura-nfasis5">
    <w:name w:val="Dark List Accent 5"/>
    <w:basedOn w:val="Tablanormal"/>
    <w:uiPriority w:val="70"/>
    <w:semiHidden/>
    <w:unhideWhenUsed/>
    <w:rsid w:val="00AA75F6"/>
    <w:pPr>
      <w:spacing w:line="240" w:lineRule="auto"/>
    </w:pPr>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Listaoscura-nfasis6">
    <w:name w:val="Dark List Accent 6"/>
    <w:basedOn w:val="Tablanormal"/>
    <w:uiPriority w:val="70"/>
    <w:semiHidden/>
    <w:unhideWhenUsed/>
    <w:rsid w:val="00AA75F6"/>
    <w:pPr>
      <w:spacing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paragraph" w:styleId="Fecha">
    <w:name w:val="Date"/>
    <w:basedOn w:val="Normal"/>
    <w:next w:val="Normal"/>
    <w:link w:val="FechaCar"/>
    <w:uiPriority w:val="99"/>
    <w:semiHidden/>
    <w:unhideWhenUsed/>
    <w:rsid w:val="00AA75F6"/>
  </w:style>
  <w:style w:type="character" w:customStyle="1" w:styleId="FechaCar">
    <w:name w:val="Fecha Car"/>
    <w:basedOn w:val="Fuentedeprrafopredeter"/>
    <w:link w:val="Fecha"/>
    <w:uiPriority w:val="99"/>
    <w:semiHidden/>
    <w:rsid w:val="00AA75F6"/>
  </w:style>
  <w:style w:type="paragraph" w:styleId="Mapadeldocumento">
    <w:name w:val="Document Map"/>
    <w:basedOn w:val="Normal"/>
    <w:link w:val="MapadeldocumentoCar"/>
    <w:uiPriority w:val="99"/>
    <w:semiHidden/>
    <w:unhideWhenUsed/>
    <w:rsid w:val="00AA75F6"/>
    <w:pPr>
      <w:spacing w:line="240" w:lineRule="auto"/>
    </w:pPr>
    <w:rPr>
      <w:rFonts w:ascii="Segoe UI" w:hAnsi="Segoe UI" w:cs="Segoe UI"/>
      <w:szCs w:val="16"/>
    </w:rPr>
  </w:style>
  <w:style w:type="character" w:customStyle="1" w:styleId="MapadeldocumentoCar">
    <w:name w:val="Mapa del documento Car"/>
    <w:basedOn w:val="Fuentedeprrafopredeter"/>
    <w:link w:val="Mapadeldocumento"/>
    <w:uiPriority w:val="99"/>
    <w:semiHidden/>
    <w:rsid w:val="00AA75F6"/>
    <w:rPr>
      <w:rFonts w:ascii="Segoe UI" w:hAnsi="Segoe UI" w:cs="Segoe UI"/>
      <w:szCs w:val="16"/>
    </w:rPr>
  </w:style>
  <w:style w:type="paragraph" w:styleId="Firmadecorreoelectrnico">
    <w:name w:val="E-mail Signature"/>
    <w:basedOn w:val="Normal"/>
    <w:link w:val="FirmadecorreoelectrnicoCar"/>
    <w:uiPriority w:val="99"/>
    <w:semiHidden/>
    <w:unhideWhenUsed/>
    <w:rsid w:val="00AA75F6"/>
    <w:pPr>
      <w:spacing w:line="240" w:lineRule="auto"/>
    </w:pPr>
  </w:style>
  <w:style w:type="character" w:customStyle="1" w:styleId="FirmadecorreoelectrnicoCar">
    <w:name w:val="Firma de correo electrónico Car"/>
    <w:basedOn w:val="Fuentedeprrafopredeter"/>
    <w:link w:val="Firmadecorreoelectrnico"/>
    <w:uiPriority w:val="99"/>
    <w:semiHidden/>
    <w:rsid w:val="00AA75F6"/>
  </w:style>
  <w:style w:type="character" w:styleId="nfasis">
    <w:name w:val="Emphasis"/>
    <w:basedOn w:val="Fuentedeprrafopredeter"/>
    <w:uiPriority w:val="10"/>
    <w:semiHidden/>
    <w:unhideWhenUsed/>
    <w:rsid w:val="00AA75F6"/>
    <w:rPr>
      <w:i/>
      <w:iCs/>
    </w:rPr>
  </w:style>
  <w:style w:type="character" w:styleId="Refdenotaalfinal">
    <w:name w:val="endnote reference"/>
    <w:basedOn w:val="Fuentedeprrafopredeter"/>
    <w:uiPriority w:val="99"/>
    <w:semiHidden/>
    <w:unhideWhenUsed/>
    <w:rsid w:val="00AA75F6"/>
    <w:rPr>
      <w:vertAlign w:val="superscript"/>
    </w:rPr>
  </w:style>
  <w:style w:type="paragraph" w:styleId="Textonotaalfinal">
    <w:name w:val="endnote text"/>
    <w:basedOn w:val="Normal"/>
    <w:link w:val="TextonotaalfinalCar"/>
    <w:uiPriority w:val="99"/>
    <w:semiHidden/>
    <w:unhideWhenUsed/>
    <w:rsid w:val="00AA75F6"/>
    <w:pPr>
      <w:spacing w:line="240" w:lineRule="auto"/>
    </w:pPr>
    <w:rPr>
      <w:szCs w:val="20"/>
    </w:rPr>
  </w:style>
  <w:style w:type="character" w:customStyle="1" w:styleId="TextonotaalfinalCar">
    <w:name w:val="Texto nota al final Car"/>
    <w:basedOn w:val="Fuentedeprrafopredeter"/>
    <w:link w:val="Textonotaalfinal"/>
    <w:uiPriority w:val="99"/>
    <w:semiHidden/>
    <w:rsid w:val="00AA75F6"/>
    <w:rPr>
      <w:szCs w:val="20"/>
    </w:rPr>
  </w:style>
  <w:style w:type="paragraph" w:styleId="Direccinsobre">
    <w:name w:val="envelope address"/>
    <w:basedOn w:val="Normal"/>
    <w:uiPriority w:val="99"/>
    <w:semiHidden/>
    <w:unhideWhenUsed/>
    <w:rsid w:val="00AA75F6"/>
    <w:pPr>
      <w:framePr w:w="7920" w:h="1980" w:hRule="exact" w:hSpace="180" w:wrap="auto" w:hAnchor="page" w:xAlign="center" w:yAlign="bottom"/>
      <w:spacing w:line="240" w:lineRule="auto"/>
      <w:ind w:left="2880"/>
    </w:pPr>
    <w:rPr>
      <w:rFonts w:asciiTheme="majorHAnsi" w:eastAsiaTheme="majorEastAsia" w:hAnsiTheme="majorHAnsi" w:cstheme="majorBidi"/>
      <w:sz w:val="24"/>
      <w:szCs w:val="24"/>
    </w:rPr>
  </w:style>
  <w:style w:type="paragraph" w:styleId="Remitedesobre">
    <w:name w:val="envelope return"/>
    <w:basedOn w:val="Normal"/>
    <w:uiPriority w:val="99"/>
    <w:semiHidden/>
    <w:unhideWhenUsed/>
    <w:rsid w:val="00AA75F6"/>
    <w:pPr>
      <w:spacing w:line="240" w:lineRule="auto"/>
    </w:pPr>
    <w:rPr>
      <w:rFonts w:asciiTheme="majorHAnsi" w:eastAsiaTheme="majorEastAsia" w:hAnsiTheme="majorHAnsi" w:cstheme="majorBidi"/>
      <w:szCs w:val="20"/>
    </w:rPr>
  </w:style>
  <w:style w:type="character" w:styleId="Hipervnculovisitado">
    <w:name w:val="FollowedHyperlink"/>
    <w:basedOn w:val="Fuentedeprrafopredeter"/>
    <w:uiPriority w:val="99"/>
    <w:semiHidden/>
    <w:unhideWhenUsed/>
    <w:rsid w:val="00AA75F6"/>
    <w:rPr>
      <w:color w:val="954F72" w:themeColor="followedHyperlink"/>
      <w:u w:val="single"/>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Texto de nota al p,F,R"/>
    <w:basedOn w:val="Fuentedeprrafopredeter"/>
    <w:link w:val="Appelnotedebasde"/>
    <w:uiPriority w:val="99"/>
    <w:unhideWhenUsed/>
    <w:qFormat/>
    <w:rsid w:val="00AA75F6"/>
    <w:rPr>
      <w:vertAlign w:val="superscript"/>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fn"/>
    <w:basedOn w:val="Normal"/>
    <w:link w:val="TextonotapieCar"/>
    <w:uiPriority w:val="99"/>
    <w:unhideWhenUsed/>
    <w:qFormat/>
    <w:rsid w:val="00AA75F6"/>
    <w:pPr>
      <w:spacing w:line="240" w:lineRule="auto"/>
    </w:pPr>
    <w:rPr>
      <w:szCs w:val="20"/>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rsid w:val="00AA75F6"/>
    <w:rPr>
      <w:szCs w:val="20"/>
    </w:rPr>
  </w:style>
  <w:style w:type="table" w:styleId="Tablaconcuadrcula1clara">
    <w:name w:val="Grid Table 1 Light"/>
    <w:basedOn w:val="Tablanormal"/>
    <w:uiPriority w:val="46"/>
    <w:rsid w:val="00AA75F6"/>
    <w:pPr>
      <w:spacing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aconcuadrcula1clara-nfasis1">
    <w:name w:val="Grid Table 1 Light Accent 1"/>
    <w:basedOn w:val="Tablanormal"/>
    <w:uiPriority w:val="46"/>
    <w:rsid w:val="00AA75F6"/>
    <w:pPr>
      <w:spacing w:line="240" w:lineRule="auto"/>
    </w:pPr>
    <w:tblPr>
      <w:tblStyleRowBandSize w:val="1"/>
      <w:tblStyleColBandSize w:val="1"/>
      <w:tblBorders>
        <w:top w:val="single" w:sz="4" w:space="0" w:color="F6B8B8" w:themeColor="accent1" w:themeTint="66"/>
        <w:left w:val="single" w:sz="4" w:space="0" w:color="F6B8B8" w:themeColor="accent1" w:themeTint="66"/>
        <w:bottom w:val="single" w:sz="4" w:space="0" w:color="F6B8B8" w:themeColor="accent1" w:themeTint="66"/>
        <w:right w:val="single" w:sz="4" w:space="0" w:color="F6B8B8" w:themeColor="accent1" w:themeTint="66"/>
        <w:insideH w:val="single" w:sz="4" w:space="0" w:color="F6B8B8" w:themeColor="accent1" w:themeTint="66"/>
        <w:insideV w:val="single" w:sz="4" w:space="0" w:color="F6B8B8" w:themeColor="accent1" w:themeTint="66"/>
      </w:tblBorders>
    </w:tblPr>
    <w:tblStylePr w:type="firstRow">
      <w:rPr>
        <w:b/>
        <w:bCs/>
      </w:rPr>
      <w:tblPr/>
      <w:tcPr>
        <w:tcBorders>
          <w:bottom w:val="single" w:sz="12" w:space="0" w:color="F29494" w:themeColor="accent1" w:themeTint="99"/>
        </w:tcBorders>
      </w:tcPr>
    </w:tblStylePr>
    <w:tblStylePr w:type="lastRow">
      <w:rPr>
        <w:b/>
        <w:bCs/>
      </w:rPr>
      <w:tblPr/>
      <w:tcPr>
        <w:tcBorders>
          <w:top w:val="double" w:sz="2" w:space="0" w:color="F29494" w:themeColor="accent1" w:themeTint="99"/>
        </w:tcBorders>
      </w:tcPr>
    </w:tblStylePr>
    <w:tblStylePr w:type="firstCol">
      <w:rPr>
        <w:b/>
        <w:bCs/>
      </w:rPr>
    </w:tblStylePr>
    <w:tblStylePr w:type="lastCol">
      <w:rPr>
        <w:b/>
        <w:bCs/>
      </w:rPr>
    </w:tblStylePr>
  </w:style>
  <w:style w:type="table" w:styleId="Tablaconcuadrcula1Claro-nfasis2">
    <w:name w:val="Grid Table 1 Light Accent 2"/>
    <w:basedOn w:val="Tablanormal"/>
    <w:uiPriority w:val="46"/>
    <w:rsid w:val="00AA75F6"/>
    <w:pPr>
      <w:spacing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Tablaconcuadrcula1clara-nfasis3">
    <w:name w:val="Grid Table 1 Light Accent 3"/>
    <w:basedOn w:val="Tablanormal"/>
    <w:uiPriority w:val="46"/>
    <w:rsid w:val="00AA75F6"/>
    <w:pPr>
      <w:spacing w:line="240" w:lineRule="auto"/>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Tablaconcuadrcula1clara-nfasis4">
    <w:name w:val="Grid Table 1 Light Accent 4"/>
    <w:basedOn w:val="Tablanormal"/>
    <w:uiPriority w:val="46"/>
    <w:rsid w:val="00AA75F6"/>
    <w:pPr>
      <w:spacing w:line="240" w:lineRule="auto"/>
    </w:pPr>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Tablaconcuadrcula1clara-nfasis5">
    <w:name w:val="Grid Table 1 Light Accent 5"/>
    <w:basedOn w:val="Tablanormal"/>
    <w:uiPriority w:val="46"/>
    <w:rsid w:val="00AA75F6"/>
    <w:pPr>
      <w:spacing w:line="240" w:lineRule="auto"/>
    </w:pPr>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styleId="Tablaconcuadrcula1clara-nfasis6">
    <w:name w:val="Grid Table 1 Light Accent 6"/>
    <w:basedOn w:val="Tablanormal"/>
    <w:uiPriority w:val="46"/>
    <w:rsid w:val="00AA75F6"/>
    <w:pPr>
      <w:spacing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Tabladecuadrcula2">
    <w:name w:val="Grid Table 2"/>
    <w:basedOn w:val="Tablanormal"/>
    <w:uiPriority w:val="47"/>
    <w:rsid w:val="00AA75F6"/>
    <w:pPr>
      <w:spacing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2-nfasis1">
    <w:name w:val="Grid Table 2 Accent 1"/>
    <w:basedOn w:val="Tablanormal"/>
    <w:uiPriority w:val="47"/>
    <w:rsid w:val="00AA75F6"/>
    <w:pPr>
      <w:spacing w:line="240" w:lineRule="auto"/>
    </w:pPr>
    <w:tblPr>
      <w:tblStyleRowBandSize w:val="1"/>
      <w:tblStyleColBandSize w:val="1"/>
      <w:tblBorders>
        <w:top w:val="single" w:sz="2" w:space="0" w:color="F29494" w:themeColor="accent1" w:themeTint="99"/>
        <w:bottom w:val="single" w:sz="2" w:space="0" w:color="F29494" w:themeColor="accent1" w:themeTint="99"/>
        <w:insideH w:val="single" w:sz="2" w:space="0" w:color="F29494" w:themeColor="accent1" w:themeTint="99"/>
        <w:insideV w:val="single" w:sz="2" w:space="0" w:color="F29494" w:themeColor="accent1" w:themeTint="99"/>
      </w:tblBorders>
    </w:tblPr>
    <w:tblStylePr w:type="firstRow">
      <w:rPr>
        <w:b/>
        <w:bCs/>
      </w:rPr>
      <w:tblPr/>
      <w:tcPr>
        <w:tcBorders>
          <w:top w:val="nil"/>
          <w:bottom w:val="single" w:sz="12" w:space="0" w:color="F29494" w:themeColor="accent1" w:themeTint="99"/>
          <w:insideH w:val="nil"/>
          <w:insideV w:val="nil"/>
        </w:tcBorders>
        <w:shd w:val="clear" w:color="auto" w:fill="FFFFFF" w:themeFill="background1"/>
      </w:tcPr>
    </w:tblStylePr>
    <w:tblStylePr w:type="lastRow">
      <w:rPr>
        <w:b/>
        <w:bCs/>
      </w:rPr>
      <w:tblPr/>
      <w:tcPr>
        <w:tcBorders>
          <w:top w:val="double" w:sz="2" w:space="0" w:color="F29494"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ADBDB" w:themeFill="accent1" w:themeFillTint="33"/>
      </w:tcPr>
    </w:tblStylePr>
    <w:tblStylePr w:type="band1Horz">
      <w:tblPr/>
      <w:tcPr>
        <w:shd w:val="clear" w:color="auto" w:fill="FADBDB" w:themeFill="accent1" w:themeFillTint="33"/>
      </w:tcPr>
    </w:tblStylePr>
  </w:style>
  <w:style w:type="table" w:styleId="Tablaconcuadrcula2-nfasis2">
    <w:name w:val="Grid Table 2 Accent 2"/>
    <w:basedOn w:val="Tablanormal"/>
    <w:uiPriority w:val="47"/>
    <w:rsid w:val="00AA75F6"/>
    <w:pPr>
      <w:spacing w:line="240" w:lineRule="auto"/>
    </w:pPr>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concuadrcula2-nfasis3">
    <w:name w:val="Grid Table 2 Accent 3"/>
    <w:basedOn w:val="Tablanormal"/>
    <w:uiPriority w:val="47"/>
    <w:rsid w:val="00AA75F6"/>
    <w:pPr>
      <w:spacing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concuadrcula2-nfasis4">
    <w:name w:val="Grid Table 2 Accent 4"/>
    <w:basedOn w:val="Tablanormal"/>
    <w:uiPriority w:val="47"/>
    <w:rsid w:val="00AA75F6"/>
    <w:pPr>
      <w:spacing w:line="240" w:lineRule="auto"/>
    </w:pPr>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concuadrcula2-nfasis5">
    <w:name w:val="Grid Table 2 Accent 5"/>
    <w:basedOn w:val="Tablanormal"/>
    <w:uiPriority w:val="47"/>
    <w:rsid w:val="00AA75F6"/>
    <w:pPr>
      <w:spacing w:line="240" w:lineRule="auto"/>
    </w:pPr>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concuadrcula2-nfasis6">
    <w:name w:val="Grid Table 2 Accent 6"/>
    <w:basedOn w:val="Tablanormal"/>
    <w:uiPriority w:val="47"/>
    <w:rsid w:val="00AA75F6"/>
    <w:pPr>
      <w:spacing w:line="240" w:lineRule="auto"/>
    </w:pPr>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cuadrcula3">
    <w:name w:val="Grid Table 3"/>
    <w:basedOn w:val="Tablanormal"/>
    <w:uiPriority w:val="48"/>
    <w:rsid w:val="00AA75F6"/>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Tablaconcuadrcula3-nfasis1">
    <w:name w:val="Grid Table 3 Accent 1"/>
    <w:basedOn w:val="Tablanormal"/>
    <w:uiPriority w:val="48"/>
    <w:rsid w:val="00AA75F6"/>
    <w:pPr>
      <w:spacing w:line="240" w:lineRule="auto"/>
    </w:pPr>
    <w:tblPr>
      <w:tblStyleRowBandSize w:val="1"/>
      <w:tblStyleColBandSize w:val="1"/>
      <w:tblBorders>
        <w:top w:val="single" w:sz="4" w:space="0" w:color="F29494" w:themeColor="accent1" w:themeTint="99"/>
        <w:left w:val="single" w:sz="4" w:space="0" w:color="F29494" w:themeColor="accent1" w:themeTint="99"/>
        <w:bottom w:val="single" w:sz="4" w:space="0" w:color="F29494" w:themeColor="accent1" w:themeTint="99"/>
        <w:right w:val="single" w:sz="4" w:space="0" w:color="F29494" w:themeColor="accent1" w:themeTint="99"/>
        <w:insideH w:val="single" w:sz="4" w:space="0" w:color="F29494" w:themeColor="accent1" w:themeTint="99"/>
        <w:insideV w:val="single" w:sz="4" w:space="0" w:color="F29494"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DBDB" w:themeFill="accent1" w:themeFillTint="33"/>
      </w:tcPr>
    </w:tblStylePr>
    <w:tblStylePr w:type="band1Horz">
      <w:tblPr/>
      <w:tcPr>
        <w:shd w:val="clear" w:color="auto" w:fill="FADBDB" w:themeFill="accent1" w:themeFillTint="33"/>
      </w:tcPr>
    </w:tblStylePr>
    <w:tblStylePr w:type="neCell">
      <w:tblPr/>
      <w:tcPr>
        <w:tcBorders>
          <w:bottom w:val="single" w:sz="4" w:space="0" w:color="F29494" w:themeColor="accent1" w:themeTint="99"/>
        </w:tcBorders>
      </w:tcPr>
    </w:tblStylePr>
    <w:tblStylePr w:type="nwCell">
      <w:tblPr/>
      <w:tcPr>
        <w:tcBorders>
          <w:bottom w:val="single" w:sz="4" w:space="0" w:color="F29494" w:themeColor="accent1" w:themeTint="99"/>
        </w:tcBorders>
      </w:tcPr>
    </w:tblStylePr>
    <w:tblStylePr w:type="seCell">
      <w:tblPr/>
      <w:tcPr>
        <w:tcBorders>
          <w:top w:val="single" w:sz="4" w:space="0" w:color="F29494" w:themeColor="accent1" w:themeTint="99"/>
        </w:tcBorders>
      </w:tcPr>
    </w:tblStylePr>
    <w:tblStylePr w:type="swCell">
      <w:tblPr/>
      <w:tcPr>
        <w:tcBorders>
          <w:top w:val="single" w:sz="4" w:space="0" w:color="F29494" w:themeColor="accent1" w:themeTint="99"/>
        </w:tcBorders>
      </w:tcPr>
    </w:tblStylePr>
  </w:style>
  <w:style w:type="table" w:styleId="Tablaconcuadrcula3-nfasis2">
    <w:name w:val="Grid Table 3 Accent 2"/>
    <w:basedOn w:val="Tablanormal"/>
    <w:uiPriority w:val="48"/>
    <w:rsid w:val="00AA75F6"/>
    <w:pPr>
      <w:spacing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Tablaconcuadrcula3-nfasis3">
    <w:name w:val="Grid Table 3 Accent 3"/>
    <w:basedOn w:val="Tablanormal"/>
    <w:uiPriority w:val="48"/>
    <w:rsid w:val="00AA75F6"/>
    <w:pPr>
      <w:spacing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Tablaconcuadrcula3-nfasis4">
    <w:name w:val="Grid Table 3 Accent 4"/>
    <w:basedOn w:val="Tablanormal"/>
    <w:uiPriority w:val="48"/>
    <w:rsid w:val="00AA75F6"/>
    <w:pPr>
      <w:spacing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Tablaconcuadrcula3-nfasis5">
    <w:name w:val="Grid Table 3 Accent 5"/>
    <w:basedOn w:val="Tablanormal"/>
    <w:uiPriority w:val="48"/>
    <w:rsid w:val="00AA75F6"/>
    <w:pPr>
      <w:spacing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Tablaconcuadrcula3-nfasis6">
    <w:name w:val="Grid Table 3 Accent 6"/>
    <w:basedOn w:val="Tablanormal"/>
    <w:uiPriority w:val="48"/>
    <w:rsid w:val="00AA75F6"/>
    <w:pPr>
      <w:spacing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Tabladecuadrcula4">
    <w:name w:val="Grid Table 4"/>
    <w:basedOn w:val="Tablanormal"/>
    <w:uiPriority w:val="49"/>
    <w:rsid w:val="00AA75F6"/>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4-nfasis1">
    <w:name w:val="Grid Table 4 Accent 1"/>
    <w:basedOn w:val="Tablanormal"/>
    <w:uiPriority w:val="49"/>
    <w:rsid w:val="00AA75F6"/>
    <w:pPr>
      <w:spacing w:line="240" w:lineRule="auto"/>
    </w:pPr>
    <w:tblPr>
      <w:tblStyleRowBandSize w:val="1"/>
      <w:tblStyleColBandSize w:val="1"/>
      <w:tblBorders>
        <w:top w:val="single" w:sz="4" w:space="0" w:color="F29494" w:themeColor="accent1" w:themeTint="99"/>
        <w:left w:val="single" w:sz="4" w:space="0" w:color="F29494" w:themeColor="accent1" w:themeTint="99"/>
        <w:bottom w:val="single" w:sz="4" w:space="0" w:color="F29494" w:themeColor="accent1" w:themeTint="99"/>
        <w:right w:val="single" w:sz="4" w:space="0" w:color="F29494" w:themeColor="accent1" w:themeTint="99"/>
        <w:insideH w:val="single" w:sz="4" w:space="0" w:color="F29494" w:themeColor="accent1" w:themeTint="99"/>
        <w:insideV w:val="single" w:sz="4" w:space="0" w:color="F29494" w:themeColor="accent1" w:themeTint="99"/>
      </w:tblBorders>
    </w:tblPr>
    <w:tblStylePr w:type="firstRow">
      <w:rPr>
        <w:b/>
        <w:bCs/>
        <w:color w:val="FFFFFF" w:themeColor="background1"/>
      </w:rPr>
      <w:tblPr/>
      <w:tcPr>
        <w:tcBorders>
          <w:top w:val="single" w:sz="4" w:space="0" w:color="EA4E4E" w:themeColor="accent1"/>
          <w:left w:val="single" w:sz="4" w:space="0" w:color="EA4E4E" w:themeColor="accent1"/>
          <w:bottom w:val="single" w:sz="4" w:space="0" w:color="EA4E4E" w:themeColor="accent1"/>
          <w:right w:val="single" w:sz="4" w:space="0" w:color="EA4E4E" w:themeColor="accent1"/>
          <w:insideH w:val="nil"/>
          <w:insideV w:val="nil"/>
        </w:tcBorders>
        <w:shd w:val="clear" w:color="auto" w:fill="EA4E4E" w:themeFill="accent1"/>
      </w:tcPr>
    </w:tblStylePr>
    <w:tblStylePr w:type="lastRow">
      <w:rPr>
        <w:b/>
        <w:bCs/>
      </w:rPr>
      <w:tblPr/>
      <w:tcPr>
        <w:tcBorders>
          <w:top w:val="double" w:sz="4" w:space="0" w:color="EA4E4E" w:themeColor="accent1"/>
        </w:tcBorders>
      </w:tcPr>
    </w:tblStylePr>
    <w:tblStylePr w:type="firstCol">
      <w:rPr>
        <w:b/>
        <w:bCs/>
      </w:rPr>
    </w:tblStylePr>
    <w:tblStylePr w:type="lastCol">
      <w:rPr>
        <w:b/>
        <w:bCs/>
      </w:rPr>
    </w:tblStylePr>
    <w:tblStylePr w:type="band1Vert">
      <w:tblPr/>
      <w:tcPr>
        <w:shd w:val="clear" w:color="auto" w:fill="FADBDB" w:themeFill="accent1" w:themeFillTint="33"/>
      </w:tcPr>
    </w:tblStylePr>
    <w:tblStylePr w:type="band1Horz">
      <w:tblPr/>
      <w:tcPr>
        <w:shd w:val="clear" w:color="auto" w:fill="FADBDB" w:themeFill="accent1" w:themeFillTint="33"/>
      </w:tcPr>
    </w:tblStylePr>
  </w:style>
  <w:style w:type="table" w:styleId="Tablaconcuadrcula4-nfasis2">
    <w:name w:val="Grid Table 4 Accent 2"/>
    <w:basedOn w:val="Tablanormal"/>
    <w:uiPriority w:val="49"/>
    <w:rsid w:val="00AA75F6"/>
    <w:pPr>
      <w:spacing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concuadrcula4-nfasis3">
    <w:name w:val="Grid Table 4 Accent 3"/>
    <w:basedOn w:val="Tablanormal"/>
    <w:uiPriority w:val="49"/>
    <w:rsid w:val="00AA75F6"/>
    <w:pPr>
      <w:spacing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concuadrcula4-nfasis4">
    <w:name w:val="Grid Table 4 Accent 4"/>
    <w:basedOn w:val="Tablanormal"/>
    <w:uiPriority w:val="49"/>
    <w:rsid w:val="00AA75F6"/>
    <w:pPr>
      <w:spacing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concuadrcula4-nfasis5">
    <w:name w:val="Grid Table 4 Accent 5"/>
    <w:basedOn w:val="Tablanormal"/>
    <w:uiPriority w:val="49"/>
    <w:rsid w:val="00AA75F6"/>
    <w:pPr>
      <w:spacing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concuadrcula4-nfasis6">
    <w:name w:val="Grid Table 4 Accent 6"/>
    <w:basedOn w:val="Tablanormal"/>
    <w:uiPriority w:val="49"/>
    <w:rsid w:val="00AA75F6"/>
    <w:pPr>
      <w:spacing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concuadrcula5oscura">
    <w:name w:val="Grid Table 5 Dark"/>
    <w:basedOn w:val="Tablanormal"/>
    <w:uiPriority w:val="50"/>
    <w:rsid w:val="00AA75F6"/>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Tablaconcuadrcula5oscura-nfasis1">
    <w:name w:val="Grid Table 5 Dark Accent 1"/>
    <w:basedOn w:val="Tablanormal"/>
    <w:uiPriority w:val="50"/>
    <w:rsid w:val="00AA75F6"/>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ADBDB"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A4E4E"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A4E4E"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A4E4E"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A4E4E" w:themeFill="accent1"/>
      </w:tcPr>
    </w:tblStylePr>
    <w:tblStylePr w:type="band1Vert">
      <w:tblPr/>
      <w:tcPr>
        <w:shd w:val="clear" w:color="auto" w:fill="F6B8B8" w:themeFill="accent1" w:themeFillTint="66"/>
      </w:tcPr>
    </w:tblStylePr>
    <w:tblStylePr w:type="band1Horz">
      <w:tblPr/>
      <w:tcPr>
        <w:shd w:val="clear" w:color="auto" w:fill="F6B8B8" w:themeFill="accent1" w:themeFillTint="66"/>
      </w:tcPr>
    </w:tblStylePr>
  </w:style>
  <w:style w:type="table" w:styleId="Tablaconcuadrcula5oscura-nfasis2">
    <w:name w:val="Grid Table 5 Dark Accent 2"/>
    <w:basedOn w:val="Tablanormal"/>
    <w:uiPriority w:val="50"/>
    <w:rsid w:val="00AA75F6"/>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Tablaconcuadrcula5oscura-nfasis3">
    <w:name w:val="Grid Table 5 Dark Accent 3"/>
    <w:basedOn w:val="Tablanormal"/>
    <w:uiPriority w:val="50"/>
    <w:rsid w:val="00AA75F6"/>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Tablaconcuadrcula5oscura-nfasis4">
    <w:name w:val="Grid Table 5 Dark Accent 4"/>
    <w:basedOn w:val="Tablanormal"/>
    <w:uiPriority w:val="50"/>
    <w:rsid w:val="00AA75F6"/>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Tablaconcuadrcula5oscura-nfasis5">
    <w:name w:val="Grid Table 5 Dark Accent 5"/>
    <w:basedOn w:val="Tablanormal"/>
    <w:uiPriority w:val="50"/>
    <w:rsid w:val="00AA75F6"/>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styleId="Tablaconcuadrcula5oscura-nfasis6">
    <w:name w:val="Grid Table 5 Dark Accent 6"/>
    <w:basedOn w:val="Tablanormal"/>
    <w:uiPriority w:val="50"/>
    <w:rsid w:val="00AA75F6"/>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Tablaconcuadrcula6concolores">
    <w:name w:val="Grid Table 6 Colorful"/>
    <w:basedOn w:val="Tablanormal"/>
    <w:uiPriority w:val="51"/>
    <w:rsid w:val="00AA75F6"/>
    <w:pPr>
      <w:spacing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6concolores-nfasis1">
    <w:name w:val="Grid Table 6 Colorful Accent 1"/>
    <w:basedOn w:val="Tablanormal"/>
    <w:uiPriority w:val="51"/>
    <w:rsid w:val="00AA75F6"/>
    <w:pPr>
      <w:spacing w:line="240" w:lineRule="auto"/>
    </w:pPr>
    <w:rPr>
      <w:color w:val="D01818" w:themeColor="accent1" w:themeShade="BF"/>
    </w:rPr>
    <w:tblPr>
      <w:tblStyleRowBandSize w:val="1"/>
      <w:tblStyleColBandSize w:val="1"/>
      <w:tblBorders>
        <w:top w:val="single" w:sz="4" w:space="0" w:color="F29494" w:themeColor="accent1" w:themeTint="99"/>
        <w:left w:val="single" w:sz="4" w:space="0" w:color="F29494" w:themeColor="accent1" w:themeTint="99"/>
        <w:bottom w:val="single" w:sz="4" w:space="0" w:color="F29494" w:themeColor="accent1" w:themeTint="99"/>
        <w:right w:val="single" w:sz="4" w:space="0" w:color="F29494" w:themeColor="accent1" w:themeTint="99"/>
        <w:insideH w:val="single" w:sz="4" w:space="0" w:color="F29494" w:themeColor="accent1" w:themeTint="99"/>
        <w:insideV w:val="single" w:sz="4" w:space="0" w:color="F29494" w:themeColor="accent1" w:themeTint="99"/>
      </w:tblBorders>
    </w:tblPr>
    <w:tblStylePr w:type="firstRow">
      <w:rPr>
        <w:b/>
        <w:bCs/>
      </w:rPr>
      <w:tblPr/>
      <w:tcPr>
        <w:tcBorders>
          <w:bottom w:val="single" w:sz="12" w:space="0" w:color="F29494" w:themeColor="accent1" w:themeTint="99"/>
        </w:tcBorders>
      </w:tcPr>
    </w:tblStylePr>
    <w:tblStylePr w:type="lastRow">
      <w:rPr>
        <w:b/>
        <w:bCs/>
      </w:rPr>
      <w:tblPr/>
      <w:tcPr>
        <w:tcBorders>
          <w:top w:val="double" w:sz="4" w:space="0" w:color="F29494" w:themeColor="accent1" w:themeTint="99"/>
        </w:tcBorders>
      </w:tcPr>
    </w:tblStylePr>
    <w:tblStylePr w:type="firstCol">
      <w:rPr>
        <w:b/>
        <w:bCs/>
      </w:rPr>
    </w:tblStylePr>
    <w:tblStylePr w:type="lastCol">
      <w:rPr>
        <w:b/>
        <w:bCs/>
      </w:rPr>
    </w:tblStylePr>
    <w:tblStylePr w:type="band1Vert">
      <w:tblPr/>
      <w:tcPr>
        <w:shd w:val="clear" w:color="auto" w:fill="FADBDB" w:themeFill="accent1" w:themeFillTint="33"/>
      </w:tcPr>
    </w:tblStylePr>
    <w:tblStylePr w:type="band1Horz">
      <w:tblPr/>
      <w:tcPr>
        <w:shd w:val="clear" w:color="auto" w:fill="FADBDB" w:themeFill="accent1" w:themeFillTint="33"/>
      </w:tcPr>
    </w:tblStylePr>
  </w:style>
  <w:style w:type="table" w:styleId="Tablaconcuadrcula6concolores-nfasis2">
    <w:name w:val="Grid Table 6 Colorful Accent 2"/>
    <w:basedOn w:val="Tablanormal"/>
    <w:uiPriority w:val="51"/>
    <w:rsid w:val="00AA75F6"/>
    <w:pPr>
      <w:spacing w:line="240" w:lineRule="auto"/>
    </w:pPr>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concuadrcula6concolores-nfasis3">
    <w:name w:val="Grid Table 6 Colorful Accent 3"/>
    <w:basedOn w:val="Tablanormal"/>
    <w:uiPriority w:val="51"/>
    <w:rsid w:val="00AA75F6"/>
    <w:pPr>
      <w:spacing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concuadrcula6concolores-nfasis4">
    <w:name w:val="Grid Table 6 Colorful Accent 4"/>
    <w:basedOn w:val="Tablanormal"/>
    <w:uiPriority w:val="51"/>
    <w:rsid w:val="00AA75F6"/>
    <w:pPr>
      <w:spacing w:line="240" w:lineRule="auto"/>
    </w:pPr>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concuadrcula6concolores-nfasis5">
    <w:name w:val="Grid Table 6 Colorful Accent 5"/>
    <w:basedOn w:val="Tablanormal"/>
    <w:uiPriority w:val="51"/>
    <w:rsid w:val="00AA75F6"/>
    <w:pPr>
      <w:spacing w:line="240" w:lineRule="auto"/>
    </w:pPr>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concuadrcula6concolores-nfasis6">
    <w:name w:val="Grid Table 6 Colorful Accent 6"/>
    <w:basedOn w:val="Tablanormal"/>
    <w:uiPriority w:val="51"/>
    <w:rsid w:val="00AA75F6"/>
    <w:pPr>
      <w:spacing w:line="240" w:lineRule="auto"/>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concuadrcula7concolores">
    <w:name w:val="Grid Table 7 Colorful"/>
    <w:basedOn w:val="Tablanormal"/>
    <w:uiPriority w:val="52"/>
    <w:rsid w:val="00AA75F6"/>
    <w:pPr>
      <w:spacing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Tablaconcuadrcula7concolores-nfasis1">
    <w:name w:val="Grid Table 7 Colorful Accent 1"/>
    <w:basedOn w:val="Tablanormal"/>
    <w:uiPriority w:val="52"/>
    <w:rsid w:val="00AA75F6"/>
    <w:pPr>
      <w:spacing w:line="240" w:lineRule="auto"/>
    </w:pPr>
    <w:rPr>
      <w:color w:val="D01818" w:themeColor="accent1" w:themeShade="BF"/>
    </w:rPr>
    <w:tblPr>
      <w:tblStyleRowBandSize w:val="1"/>
      <w:tblStyleColBandSize w:val="1"/>
      <w:tblBorders>
        <w:top w:val="single" w:sz="4" w:space="0" w:color="F29494" w:themeColor="accent1" w:themeTint="99"/>
        <w:left w:val="single" w:sz="4" w:space="0" w:color="F29494" w:themeColor="accent1" w:themeTint="99"/>
        <w:bottom w:val="single" w:sz="4" w:space="0" w:color="F29494" w:themeColor="accent1" w:themeTint="99"/>
        <w:right w:val="single" w:sz="4" w:space="0" w:color="F29494" w:themeColor="accent1" w:themeTint="99"/>
        <w:insideH w:val="single" w:sz="4" w:space="0" w:color="F29494" w:themeColor="accent1" w:themeTint="99"/>
        <w:insideV w:val="single" w:sz="4" w:space="0" w:color="F29494"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DBDB" w:themeFill="accent1" w:themeFillTint="33"/>
      </w:tcPr>
    </w:tblStylePr>
    <w:tblStylePr w:type="band1Horz">
      <w:tblPr/>
      <w:tcPr>
        <w:shd w:val="clear" w:color="auto" w:fill="FADBDB" w:themeFill="accent1" w:themeFillTint="33"/>
      </w:tcPr>
    </w:tblStylePr>
    <w:tblStylePr w:type="neCell">
      <w:tblPr/>
      <w:tcPr>
        <w:tcBorders>
          <w:bottom w:val="single" w:sz="4" w:space="0" w:color="F29494" w:themeColor="accent1" w:themeTint="99"/>
        </w:tcBorders>
      </w:tcPr>
    </w:tblStylePr>
    <w:tblStylePr w:type="nwCell">
      <w:tblPr/>
      <w:tcPr>
        <w:tcBorders>
          <w:bottom w:val="single" w:sz="4" w:space="0" w:color="F29494" w:themeColor="accent1" w:themeTint="99"/>
        </w:tcBorders>
      </w:tcPr>
    </w:tblStylePr>
    <w:tblStylePr w:type="seCell">
      <w:tblPr/>
      <w:tcPr>
        <w:tcBorders>
          <w:top w:val="single" w:sz="4" w:space="0" w:color="F29494" w:themeColor="accent1" w:themeTint="99"/>
        </w:tcBorders>
      </w:tcPr>
    </w:tblStylePr>
    <w:tblStylePr w:type="swCell">
      <w:tblPr/>
      <w:tcPr>
        <w:tcBorders>
          <w:top w:val="single" w:sz="4" w:space="0" w:color="F29494" w:themeColor="accent1" w:themeTint="99"/>
        </w:tcBorders>
      </w:tcPr>
    </w:tblStylePr>
  </w:style>
  <w:style w:type="table" w:styleId="Tablaconcuadrcula7concolores-nfasis2">
    <w:name w:val="Grid Table 7 Colorful Accent 2"/>
    <w:basedOn w:val="Tablanormal"/>
    <w:uiPriority w:val="52"/>
    <w:rsid w:val="00AA75F6"/>
    <w:pPr>
      <w:spacing w:line="240" w:lineRule="auto"/>
    </w:pPr>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Tablaconcuadrcula7concolores-nfasis3">
    <w:name w:val="Grid Table 7 Colorful Accent 3"/>
    <w:basedOn w:val="Tablanormal"/>
    <w:uiPriority w:val="52"/>
    <w:rsid w:val="00AA75F6"/>
    <w:pPr>
      <w:spacing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Tablaconcuadrcula7concolores-nfasis4">
    <w:name w:val="Grid Table 7 Colorful Accent 4"/>
    <w:basedOn w:val="Tablanormal"/>
    <w:uiPriority w:val="52"/>
    <w:rsid w:val="00AA75F6"/>
    <w:pPr>
      <w:spacing w:line="240" w:lineRule="auto"/>
    </w:pPr>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Tablaconcuadrcula7concolores-nfasis5">
    <w:name w:val="Grid Table 7 Colorful Accent 5"/>
    <w:basedOn w:val="Tablanormal"/>
    <w:uiPriority w:val="52"/>
    <w:rsid w:val="00AA75F6"/>
    <w:pPr>
      <w:spacing w:line="240" w:lineRule="auto"/>
    </w:pPr>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Tablaconcuadrcula7concolores-nfasis6">
    <w:name w:val="Grid Table 7 Colorful Accent 6"/>
    <w:basedOn w:val="Tablanormal"/>
    <w:uiPriority w:val="52"/>
    <w:rsid w:val="00AA75F6"/>
    <w:pPr>
      <w:spacing w:line="240" w:lineRule="auto"/>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character" w:customStyle="1" w:styleId="Ttulo5Car">
    <w:name w:val="Título 5 Car"/>
    <w:basedOn w:val="Fuentedeprrafopredeter"/>
    <w:link w:val="Ttulo5"/>
    <w:uiPriority w:val="9"/>
    <w:semiHidden/>
    <w:rsid w:val="00AA75F6"/>
    <w:rPr>
      <w:rFonts w:asciiTheme="majorHAnsi" w:eastAsiaTheme="majorEastAsia" w:hAnsiTheme="majorHAnsi" w:cstheme="majorBidi"/>
      <w:color w:val="D01818" w:themeColor="accent1" w:themeShade="BF"/>
    </w:rPr>
  </w:style>
  <w:style w:type="character" w:customStyle="1" w:styleId="Ttulo6Car">
    <w:name w:val="Título 6 Car"/>
    <w:basedOn w:val="Fuentedeprrafopredeter"/>
    <w:link w:val="Ttulo6"/>
    <w:uiPriority w:val="9"/>
    <w:semiHidden/>
    <w:rsid w:val="00AA75F6"/>
    <w:rPr>
      <w:rFonts w:asciiTheme="majorHAnsi" w:eastAsiaTheme="majorEastAsia" w:hAnsiTheme="majorHAnsi" w:cstheme="majorBidi"/>
      <w:color w:val="8A1010" w:themeColor="accent1" w:themeShade="7F"/>
    </w:rPr>
  </w:style>
  <w:style w:type="character" w:customStyle="1" w:styleId="Ttulo7Car">
    <w:name w:val="Título 7 Car"/>
    <w:basedOn w:val="Fuentedeprrafopredeter"/>
    <w:link w:val="Ttulo7"/>
    <w:uiPriority w:val="9"/>
    <w:semiHidden/>
    <w:rsid w:val="00AA75F6"/>
    <w:rPr>
      <w:rFonts w:asciiTheme="majorHAnsi" w:eastAsiaTheme="majorEastAsia" w:hAnsiTheme="majorHAnsi" w:cstheme="majorBidi"/>
      <w:i/>
      <w:iCs/>
      <w:color w:val="8A1010" w:themeColor="accent1" w:themeShade="7F"/>
    </w:rPr>
  </w:style>
  <w:style w:type="character" w:styleId="AcrnimoHTML">
    <w:name w:val="HTML Acronym"/>
    <w:basedOn w:val="Fuentedeprrafopredeter"/>
    <w:uiPriority w:val="99"/>
    <w:semiHidden/>
    <w:unhideWhenUsed/>
    <w:rsid w:val="00AA75F6"/>
  </w:style>
  <w:style w:type="paragraph" w:styleId="DireccinHTML">
    <w:name w:val="HTML Address"/>
    <w:basedOn w:val="Normal"/>
    <w:link w:val="DireccinHTMLCar"/>
    <w:uiPriority w:val="99"/>
    <w:semiHidden/>
    <w:unhideWhenUsed/>
    <w:rsid w:val="00AA75F6"/>
    <w:pPr>
      <w:spacing w:line="240" w:lineRule="auto"/>
    </w:pPr>
    <w:rPr>
      <w:i/>
      <w:iCs/>
    </w:rPr>
  </w:style>
  <w:style w:type="character" w:customStyle="1" w:styleId="DireccinHTMLCar">
    <w:name w:val="Dirección HTML Car"/>
    <w:basedOn w:val="Fuentedeprrafopredeter"/>
    <w:link w:val="DireccinHTML"/>
    <w:uiPriority w:val="99"/>
    <w:semiHidden/>
    <w:rsid w:val="00AA75F6"/>
    <w:rPr>
      <w:i/>
      <w:iCs/>
    </w:rPr>
  </w:style>
  <w:style w:type="character" w:styleId="CitaHTML">
    <w:name w:val="HTML Cite"/>
    <w:basedOn w:val="Fuentedeprrafopredeter"/>
    <w:uiPriority w:val="99"/>
    <w:semiHidden/>
    <w:unhideWhenUsed/>
    <w:rsid w:val="00AA75F6"/>
    <w:rPr>
      <w:i/>
      <w:iCs/>
    </w:rPr>
  </w:style>
  <w:style w:type="character" w:styleId="CdigoHTML">
    <w:name w:val="HTML Code"/>
    <w:basedOn w:val="Fuentedeprrafopredeter"/>
    <w:uiPriority w:val="99"/>
    <w:semiHidden/>
    <w:unhideWhenUsed/>
    <w:rsid w:val="00AA75F6"/>
    <w:rPr>
      <w:rFonts w:ascii="Consolas" w:hAnsi="Consolas"/>
      <w:sz w:val="22"/>
      <w:szCs w:val="20"/>
    </w:rPr>
  </w:style>
  <w:style w:type="character" w:styleId="DefinicinHTML">
    <w:name w:val="HTML Definition"/>
    <w:basedOn w:val="Fuentedeprrafopredeter"/>
    <w:uiPriority w:val="99"/>
    <w:semiHidden/>
    <w:unhideWhenUsed/>
    <w:rsid w:val="00AA75F6"/>
    <w:rPr>
      <w:i/>
      <w:iCs/>
    </w:rPr>
  </w:style>
  <w:style w:type="character" w:styleId="TecladoHTML">
    <w:name w:val="HTML Keyboard"/>
    <w:basedOn w:val="Fuentedeprrafopredeter"/>
    <w:uiPriority w:val="99"/>
    <w:semiHidden/>
    <w:unhideWhenUsed/>
    <w:rsid w:val="00AA75F6"/>
    <w:rPr>
      <w:rFonts w:ascii="Consolas" w:hAnsi="Consolas"/>
      <w:sz w:val="22"/>
      <w:szCs w:val="20"/>
    </w:rPr>
  </w:style>
  <w:style w:type="paragraph" w:styleId="HTMLconformatoprevio">
    <w:name w:val="HTML Preformatted"/>
    <w:basedOn w:val="Normal"/>
    <w:link w:val="HTMLconformatoprevioCar"/>
    <w:uiPriority w:val="99"/>
    <w:semiHidden/>
    <w:unhideWhenUsed/>
    <w:rsid w:val="00AA75F6"/>
    <w:pPr>
      <w:spacing w:line="240" w:lineRule="auto"/>
    </w:pPr>
    <w:rPr>
      <w:rFonts w:ascii="Consolas" w:hAnsi="Consolas"/>
      <w:szCs w:val="20"/>
    </w:rPr>
  </w:style>
  <w:style w:type="character" w:customStyle="1" w:styleId="HTMLconformatoprevioCar">
    <w:name w:val="HTML con formato previo Car"/>
    <w:basedOn w:val="Fuentedeprrafopredeter"/>
    <w:link w:val="HTMLconformatoprevio"/>
    <w:uiPriority w:val="99"/>
    <w:semiHidden/>
    <w:rsid w:val="00AA75F6"/>
    <w:rPr>
      <w:rFonts w:ascii="Consolas" w:hAnsi="Consolas"/>
      <w:szCs w:val="20"/>
    </w:rPr>
  </w:style>
  <w:style w:type="character" w:styleId="EjemplodeHTML">
    <w:name w:val="HTML Sample"/>
    <w:basedOn w:val="Fuentedeprrafopredeter"/>
    <w:uiPriority w:val="99"/>
    <w:semiHidden/>
    <w:unhideWhenUsed/>
    <w:rsid w:val="00AA75F6"/>
    <w:rPr>
      <w:rFonts w:ascii="Consolas" w:hAnsi="Consolas"/>
      <w:sz w:val="24"/>
      <w:szCs w:val="24"/>
    </w:rPr>
  </w:style>
  <w:style w:type="character" w:styleId="MquinadeescribirHTML">
    <w:name w:val="HTML Typewriter"/>
    <w:basedOn w:val="Fuentedeprrafopredeter"/>
    <w:uiPriority w:val="99"/>
    <w:semiHidden/>
    <w:unhideWhenUsed/>
    <w:rsid w:val="00AA75F6"/>
    <w:rPr>
      <w:rFonts w:ascii="Consolas" w:hAnsi="Consolas"/>
      <w:sz w:val="22"/>
      <w:szCs w:val="20"/>
    </w:rPr>
  </w:style>
  <w:style w:type="character" w:styleId="VariableHTML">
    <w:name w:val="HTML Variable"/>
    <w:basedOn w:val="Fuentedeprrafopredeter"/>
    <w:uiPriority w:val="99"/>
    <w:semiHidden/>
    <w:unhideWhenUsed/>
    <w:rsid w:val="00AA75F6"/>
    <w:rPr>
      <w:i/>
      <w:iCs/>
    </w:rPr>
  </w:style>
  <w:style w:type="character" w:styleId="Hipervnculo">
    <w:name w:val="Hyperlink"/>
    <w:basedOn w:val="Fuentedeprrafopredeter"/>
    <w:uiPriority w:val="99"/>
    <w:unhideWhenUsed/>
    <w:rsid w:val="00AA75F6"/>
    <w:rPr>
      <w:color w:val="0563C1" w:themeColor="hyperlink"/>
      <w:u w:val="single"/>
    </w:rPr>
  </w:style>
  <w:style w:type="paragraph" w:styleId="ndice1">
    <w:name w:val="index 1"/>
    <w:basedOn w:val="Normal"/>
    <w:next w:val="Normal"/>
    <w:autoRedefine/>
    <w:uiPriority w:val="99"/>
    <w:semiHidden/>
    <w:unhideWhenUsed/>
    <w:rsid w:val="00AA75F6"/>
    <w:pPr>
      <w:spacing w:line="240" w:lineRule="auto"/>
      <w:ind w:left="220" w:hanging="220"/>
    </w:pPr>
  </w:style>
  <w:style w:type="paragraph" w:styleId="ndice2">
    <w:name w:val="index 2"/>
    <w:basedOn w:val="Normal"/>
    <w:next w:val="Normal"/>
    <w:autoRedefine/>
    <w:uiPriority w:val="99"/>
    <w:semiHidden/>
    <w:unhideWhenUsed/>
    <w:rsid w:val="00AA75F6"/>
    <w:pPr>
      <w:spacing w:line="240" w:lineRule="auto"/>
      <w:ind w:left="440" w:hanging="220"/>
    </w:pPr>
  </w:style>
  <w:style w:type="paragraph" w:styleId="ndice3">
    <w:name w:val="index 3"/>
    <w:basedOn w:val="Normal"/>
    <w:next w:val="Normal"/>
    <w:autoRedefine/>
    <w:uiPriority w:val="99"/>
    <w:semiHidden/>
    <w:unhideWhenUsed/>
    <w:rsid w:val="00AA75F6"/>
    <w:pPr>
      <w:spacing w:line="240" w:lineRule="auto"/>
      <w:ind w:left="660" w:hanging="220"/>
    </w:pPr>
  </w:style>
  <w:style w:type="paragraph" w:styleId="ndice4">
    <w:name w:val="index 4"/>
    <w:basedOn w:val="Normal"/>
    <w:next w:val="Normal"/>
    <w:autoRedefine/>
    <w:uiPriority w:val="99"/>
    <w:semiHidden/>
    <w:unhideWhenUsed/>
    <w:rsid w:val="00AA75F6"/>
    <w:pPr>
      <w:spacing w:line="240" w:lineRule="auto"/>
      <w:ind w:left="880" w:hanging="220"/>
    </w:pPr>
  </w:style>
  <w:style w:type="paragraph" w:styleId="ndice5">
    <w:name w:val="index 5"/>
    <w:basedOn w:val="Normal"/>
    <w:next w:val="Normal"/>
    <w:autoRedefine/>
    <w:uiPriority w:val="99"/>
    <w:semiHidden/>
    <w:unhideWhenUsed/>
    <w:rsid w:val="00AA75F6"/>
    <w:pPr>
      <w:spacing w:line="240" w:lineRule="auto"/>
      <w:ind w:left="1100" w:hanging="220"/>
    </w:pPr>
  </w:style>
  <w:style w:type="paragraph" w:styleId="ndice6">
    <w:name w:val="index 6"/>
    <w:basedOn w:val="Normal"/>
    <w:next w:val="Normal"/>
    <w:autoRedefine/>
    <w:uiPriority w:val="99"/>
    <w:semiHidden/>
    <w:unhideWhenUsed/>
    <w:rsid w:val="00AA75F6"/>
    <w:pPr>
      <w:spacing w:line="240" w:lineRule="auto"/>
      <w:ind w:left="1320" w:hanging="220"/>
    </w:pPr>
  </w:style>
  <w:style w:type="paragraph" w:styleId="ndice7">
    <w:name w:val="index 7"/>
    <w:basedOn w:val="Normal"/>
    <w:next w:val="Normal"/>
    <w:autoRedefine/>
    <w:uiPriority w:val="99"/>
    <w:semiHidden/>
    <w:unhideWhenUsed/>
    <w:rsid w:val="00AA75F6"/>
    <w:pPr>
      <w:spacing w:line="240" w:lineRule="auto"/>
      <w:ind w:left="1540" w:hanging="220"/>
    </w:pPr>
  </w:style>
  <w:style w:type="paragraph" w:styleId="ndice8">
    <w:name w:val="index 8"/>
    <w:basedOn w:val="Normal"/>
    <w:next w:val="Normal"/>
    <w:autoRedefine/>
    <w:uiPriority w:val="99"/>
    <w:semiHidden/>
    <w:unhideWhenUsed/>
    <w:rsid w:val="00AA75F6"/>
    <w:pPr>
      <w:spacing w:line="240" w:lineRule="auto"/>
      <w:ind w:left="1760" w:hanging="220"/>
    </w:pPr>
  </w:style>
  <w:style w:type="paragraph" w:styleId="ndice9">
    <w:name w:val="index 9"/>
    <w:basedOn w:val="Normal"/>
    <w:next w:val="Normal"/>
    <w:autoRedefine/>
    <w:uiPriority w:val="99"/>
    <w:semiHidden/>
    <w:unhideWhenUsed/>
    <w:rsid w:val="00AA75F6"/>
    <w:pPr>
      <w:spacing w:line="240" w:lineRule="auto"/>
      <w:ind w:left="1980" w:hanging="220"/>
    </w:pPr>
  </w:style>
  <w:style w:type="paragraph" w:styleId="Ttulodendice">
    <w:name w:val="index heading"/>
    <w:basedOn w:val="Normal"/>
    <w:next w:val="ndice1"/>
    <w:uiPriority w:val="99"/>
    <w:semiHidden/>
    <w:unhideWhenUsed/>
    <w:rsid w:val="00AA75F6"/>
    <w:rPr>
      <w:rFonts w:asciiTheme="majorHAnsi" w:eastAsiaTheme="majorEastAsia" w:hAnsiTheme="majorHAnsi" w:cstheme="majorBidi"/>
      <w:b/>
      <w:bCs/>
    </w:rPr>
  </w:style>
  <w:style w:type="character" w:styleId="nfasisintenso">
    <w:name w:val="Intense Emphasis"/>
    <w:basedOn w:val="Fuentedeprrafopredeter"/>
    <w:uiPriority w:val="21"/>
    <w:semiHidden/>
    <w:unhideWhenUsed/>
    <w:qFormat/>
    <w:rsid w:val="003D03E5"/>
    <w:rPr>
      <w:i/>
      <w:iCs/>
      <w:color w:val="D01818" w:themeColor="accent1" w:themeShade="BF"/>
    </w:rPr>
  </w:style>
  <w:style w:type="paragraph" w:styleId="Citadestacada">
    <w:name w:val="Intense Quote"/>
    <w:basedOn w:val="Normal"/>
    <w:next w:val="Normal"/>
    <w:link w:val="CitadestacadaCar"/>
    <w:uiPriority w:val="30"/>
    <w:semiHidden/>
    <w:unhideWhenUsed/>
    <w:qFormat/>
    <w:rsid w:val="003D03E5"/>
    <w:pPr>
      <w:pBdr>
        <w:top w:val="single" w:sz="4" w:space="10" w:color="EA4E4E" w:themeColor="accent1"/>
        <w:bottom w:val="single" w:sz="4" w:space="10" w:color="EA4E4E" w:themeColor="accent1"/>
      </w:pBdr>
      <w:spacing w:before="360" w:after="360"/>
      <w:ind w:left="864" w:right="864"/>
      <w:jc w:val="center"/>
    </w:pPr>
    <w:rPr>
      <w:i/>
      <w:iCs/>
      <w:color w:val="D01818" w:themeColor="accent1" w:themeShade="BF"/>
    </w:rPr>
  </w:style>
  <w:style w:type="character" w:customStyle="1" w:styleId="CitadestacadaCar">
    <w:name w:val="Cita destacada Car"/>
    <w:basedOn w:val="Fuentedeprrafopredeter"/>
    <w:link w:val="Citadestacada"/>
    <w:uiPriority w:val="30"/>
    <w:semiHidden/>
    <w:rsid w:val="003D03E5"/>
    <w:rPr>
      <w:i/>
      <w:iCs/>
      <w:color w:val="D01818" w:themeColor="accent1" w:themeShade="BF"/>
    </w:rPr>
  </w:style>
  <w:style w:type="character" w:styleId="Referenciaintensa">
    <w:name w:val="Intense Reference"/>
    <w:basedOn w:val="Fuentedeprrafopredeter"/>
    <w:uiPriority w:val="32"/>
    <w:semiHidden/>
    <w:unhideWhenUsed/>
    <w:qFormat/>
    <w:rsid w:val="003D03E5"/>
    <w:rPr>
      <w:b/>
      <w:bCs/>
      <w:caps w:val="0"/>
      <w:smallCaps/>
      <w:color w:val="D01818" w:themeColor="accent1" w:themeShade="BF"/>
      <w:spacing w:val="5"/>
    </w:rPr>
  </w:style>
  <w:style w:type="table" w:styleId="Cuadrculaclara">
    <w:name w:val="Light Grid"/>
    <w:basedOn w:val="Tablanormal"/>
    <w:uiPriority w:val="62"/>
    <w:semiHidden/>
    <w:unhideWhenUsed/>
    <w:rsid w:val="00AA75F6"/>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semiHidden/>
    <w:unhideWhenUsed/>
    <w:rsid w:val="00AA75F6"/>
    <w:pPr>
      <w:spacing w:line="240" w:lineRule="auto"/>
    </w:pPr>
    <w:tblPr>
      <w:tblStyleRowBandSize w:val="1"/>
      <w:tblStyleColBandSize w:val="1"/>
      <w:tblBorders>
        <w:top w:val="single" w:sz="8" w:space="0" w:color="EA4E4E" w:themeColor="accent1"/>
        <w:left w:val="single" w:sz="8" w:space="0" w:color="EA4E4E" w:themeColor="accent1"/>
        <w:bottom w:val="single" w:sz="8" w:space="0" w:color="EA4E4E" w:themeColor="accent1"/>
        <w:right w:val="single" w:sz="8" w:space="0" w:color="EA4E4E" w:themeColor="accent1"/>
        <w:insideH w:val="single" w:sz="8" w:space="0" w:color="EA4E4E" w:themeColor="accent1"/>
        <w:insideV w:val="single" w:sz="8" w:space="0" w:color="EA4E4E"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A4E4E" w:themeColor="accent1"/>
          <w:left w:val="single" w:sz="8" w:space="0" w:color="EA4E4E" w:themeColor="accent1"/>
          <w:bottom w:val="single" w:sz="18" w:space="0" w:color="EA4E4E" w:themeColor="accent1"/>
          <w:right w:val="single" w:sz="8" w:space="0" w:color="EA4E4E" w:themeColor="accent1"/>
          <w:insideH w:val="nil"/>
          <w:insideV w:val="single" w:sz="8" w:space="0" w:color="EA4E4E"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A4E4E" w:themeColor="accent1"/>
          <w:left w:val="single" w:sz="8" w:space="0" w:color="EA4E4E" w:themeColor="accent1"/>
          <w:bottom w:val="single" w:sz="8" w:space="0" w:color="EA4E4E" w:themeColor="accent1"/>
          <w:right w:val="single" w:sz="8" w:space="0" w:color="EA4E4E" w:themeColor="accent1"/>
          <w:insideH w:val="nil"/>
          <w:insideV w:val="single" w:sz="8" w:space="0" w:color="EA4E4E"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A4E4E" w:themeColor="accent1"/>
          <w:left w:val="single" w:sz="8" w:space="0" w:color="EA4E4E" w:themeColor="accent1"/>
          <w:bottom w:val="single" w:sz="8" w:space="0" w:color="EA4E4E" w:themeColor="accent1"/>
          <w:right w:val="single" w:sz="8" w:space="0" w:color="EA4E4E" w:themeColor="accent1"/>
        </w:tcBorders>
      </w:tcPr>
    </w:tblStylePr>
    <w:tblStylePr w:type="band1Vert">
      <w:tblPr/>
      <w:tcPr>
        <w:tcBorders>
          <w:top w:val="single" w:sz="8" w:space="0" w:color="EA4E4E" w:themeColor="accent1"/>
          <w:left w:val="single" w:sz="8" w:space="0" w:color="EA4E4E" w:themeColor="accent1"/>
          <w:bottom w:val="single" w:sz="8" w:space="0" w:color="EA4E4E" w:themeColor="accent1"/>
          <w:right w:val="single" w:sz="8" w:space="0" w:color="EA4E4E" w:themeColor="accent1"/>
        </w:tcBorders>
        <w:shd w:val="clear" w:color="auto" w:fill="F9D3D3" w:themeFill="accent1" w:themeFillTint="3F"/>
      </w:tcPr>
    </w:tblStylePr>
    <w:tblStylePr w:type="band1Horz">
      <w:tblPr/>
      <w:tcPr>
        <w:tcBorders>
          <w:top w:val="single" w:sz="8" w:space="0" w:color="EA4E4E" w:themeColor="accent1"/>
          <w:left w:val="single" w:sz="8" w:space="0" w:color="EA4E4E" w:themeColor="accent1"/>
          <w:bottom w:val="single" w:sz="8" w:space="0" w:color="EA4E4E" w:themeColor="accent1"/>
          <w:right w:val="single" w:sz="8" w:space="0" w:color="EA4E4E" w:themeColor="accent1"/>
          <w:insideV w:val="single" w:sz="8" w:space="0" w:color="EA4E4E" w:themeColor="accent1"/>
        </w:tcBorders>
        <w:shd w:val="clear" w:color="auto" w:fill="F9D3D3" w:themeFill="accent1" w:themeFillTint="3F"/>
      </w:tcPr>
    </w:tblStylePr>
    <w:tblStylePr w:type="band2Horz">
      <w:tblPr/>
      <w:tcPr>
        <w:tcBorders>
          <w:top w:val="single" w:sz="8" w:space="0" w:color="EA4E4E" w:themeColor="accent1"/>
          <w:left w:val="single" w:sz="8" w:space="0" w:color="EA4E4E" w:themeColor="accent1"/>
          <w:bottom w:val="single" w:sz="8" w:space="0" w:color="EA4E4E" w:themeColor="accent1"/>
          <w:right w:val="single" w:sz="8" w:space="0" w:color="EA4E4E" w:themeColor="accent1"/>
          <w:insideV w:val="single" w:sz="8" w:space="0" w:color="EA4E4E" w:themeColor="accent1"/>
        </w:tcBorders>
      </w:tcPr>
    </w:tblStylePr>
  </w:style>
  <w:style w:type="table" w:styleId="Cuadrculaclara-nfasis2">
    <w:name w:val="Light Grid Accent 2"/>
    <w:basedOn w:val="Tablanormal"/>
    <w:uiPriority w:val="62"/>
    <w:semiHidden/>
    <w:unhideWhenUsed/>
    <w:rsid w:val="00AA75F6"/>
    <w:pPr>
      <w:spacing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Cuadrculaclara-nfasis3">
    <w:name w:val="Light Grid Accent 3"/>
    <w:basedOn w:val="Tablanormal"/>
    <w:uiPriority w:val="62"/>
    <w:semiHidden/>
    <w:unhideWhenUsed/>
    <w:rsid w:val="00AA75F6"/>
    <w:pPr>
      <w:spacing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Cuadrculaclara-nfasis4">
    <w:name w:val="Light Grid Accent 4"/>
    <w:basedOn w:val="Tablanormal"/>
    <w:uiPriority w:val="62"/>
    <w:semiHidden/>
    <w:unhideWhenUsed/>
    <w:rsid w:val="00AA75F6"/>
    <w:pPr>
      <w:spacing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Cuadrculaclara-nfasis5">
    <w:name w:val="Light Grid Accent 5"/>
    <w:basedOn w:val="Tablanormal"/>
    <w:uiPriority w:val="62"/>
    <w:semiHidden/>
    <w:unhideWhenUsed/>
    <w:rsid w:val="00AA75F6"/>
    <w:pPr>
      <w:spacing w:line="240" w:lineRule="auto"/>
    </w:p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styleId="Cuadrculaclara-nfasis6">
    <w:name w:val="Light Grid Accent 6"/>
    <w:basedOn w:val="Tablanormal"/>
    <w:uiPriority w:val="62"/>
    <w:semiHidden/>
    <w:unhideWhenUsed/>
    <w:rsid w:val="00AA75F6"/>
    <w:pPr>
      <w:spacing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Listaclara">
    <w:name w:val="Light List"/>
    <w:basedOn w:val="Tablanormal"/>
    <w:uiPriority w:val="61"/>
    <w:semiHidden/>
    <w:unhideWhenUsed/>
    <w:rsid w:val="00AA75F6"/>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semiHidden/>
    <w:unhideWhenUsed/>
    <w:rsid w:val="00AA75F6"/>
    <w:pPr>
      <w:spacing w:line="240" w:lineRule="auto"/>
    </w:pPr>
    <w:tblPr>
      <w:tblStyleRowBandSize w:val="1"/>
      <w:tblStyleColBandSize w:val="1"/>
      <w:tblBorders>
        <w:top w:val="single" w:sz="8" w:space="0" w:color="EA4E4E" w:themeColor="accent1"/>
        <w:left w:val="single" w:sz="8" w:space="0" w:color="EA4E4E" w:themeColor="accent1"/>
        <w:bottom w:val="single" w:sz="8" w:space="0" w:color="EA4E4E" w:themeColor="accent1"/>
        <w:right w:val="single" w:sz="8" w:space="0" w:color="EA4E4E" w:themeColor="accent1"/>
      </w:tblBorders>
    </w:tblPr>
    <w:tblStylePr w:type="firstRow">
      <w:pPr>
        <w:spacing w:before="0" w:after="0" w:line="240" w:lineRule="auto"/>
      </w:pPr>
      <w:rPr>
        <w:b/>
        <w:bCs/>
        <w:color w:val="FFFFFF" w:themeColor="background1"/>
      </w:rPr>
      <w:tblPr/>
      <w:tcPr>
        <w:shd w:val="clear" w:color="auto" w:fill="EA4E4E" w:themeFill="accent1"/>
      </w:tcPr>
    </w:tblStylePr>
    <w:tblStylePr w:type="lastRow">
      <w:pPr>
        <w:spacing w:before="0" w:after="0" w:line="240" w:lineRule="auto"/>
      </w:pPr>
      <w:rPr>
        <w:b/>
        <w:bCs/>
      </w:rPr>
      <w:tblPr/>
      <w:tcPr>
        <w:tcBorders>
          <w:top w:val="double" w:sz="6" w:space="0" w:color="EA4E4E" w:themeColor="accent1"/>
          <w:left w:val="single" w:sz="8" w:space="0" w:color="EA4E4E" w:themeColor="accent1"/>
          <w:bottom w:val="single" w:sz="8" w:space="0" w:color="EA4E4E" w:themeColor="accent1"/>
          <w:right w:val="single" w:sz="8" w:space="0" w:color="EA4E4E" w:themeColor="accent1"/>
        </w:tcBorders>
      </w:tcPr>
    </w:tblStylePr>
    <w:tblStylePr w:type="firstCol">
      <w:rPr>
        <w:b/>
        <w:bCs/>
      </w:rPr>
    </w:tblStylePr>
    <w:tblStylePr w:type="lastCol">
      <w:rPr>
        <w:b/>
        <w:bCs/>
      </w:rPr>
    </w:tblStylePr>
    <w:tblStylePr w:type="band1Vert">
      <w:tblPr/>
      <w:tcPr>
        <w:tcBorders>
          <w:top w:val="single" w:sz="8" w:space="0" w:color="EA4E4E" w:themeColor="accent1"/>
          <w:left w:val="single" w:sz="8" w:space="0" w:color="EA4E4E" w:themeColor="accent1"/>
          <w:bottom w:val="single" w:sz="8" w:space="0" w:color="EA4E4E" w:themeColor="accent1"/>
          <w:right w:val="single" w:sz="8" w:space="0" w:color="EA4E4E" w:themeColor="accent1"/>
        </w:tcBorders>
      </w:tcPr>
    </w:tblStylePr>
    <w:tblStylePr w:type="band1Horz">
      <w:tblPr/>
      <w:tcPr>
        <w:tcBorders>
          <w:top w:val="single" w:sz="8" w:space="0" w:color="EA4E4E" w:themeColor="accent1"/>
          <w:left w:val="single" w:sz="8" w:space="0" w:color="EA4E4E" w:themeColor="accent1"/>
          <w:bottom w:val="single" w:sz="8" w:space="0" w:color="EA4E4E" w:themeColor="accent1"/>
          <w:right w:val="single" w:sz="8" w:space="0" w:color="EA4E4E" w:themeColor="accent1"/>
        </w:tcBorders>
      </w:tcPr>
    </w:tblStylePr>
  </w:style>
  <w:style w:type="table" w:styleId="Listaclara-nfasis2">
    <w:name w:val="Light List Accent 2"/>
    <w:basedOn w:val="Tablanormal"/>
    <w:uiPriority w:val="61"/>
    <w:semiHidden/>
    <w:unhideWhenUsed/>
    <w:rsid w:val="00AA75F6"/>
    <w:pPr>
      <w:spacing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staclara-nfasis3">
    <w:name w:val="Light List Accent 3"/>
    <w:basedOn w:val="Tablanormal"/>
    <w:uiPriority w:val="61"/>
    <w:semiHidden/>
    <w:unhideWhenUsed/>
    <w:rsid w:val="00AA75F6"/>
    <w:pPr>
      <w:spacing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staclara-nfasis4">
    <w:name w:val="Light List Accent 4"/>
    <w:basedOn w:val="Tablanormal"/>
    <w:uiPriority w:val="61"/>
    <w:semiHidden/>
    <w:unhideWhenUsed/>
    <w:rsid w:val="00AA75F6"/>
    <w:pPr>
      <w:spacing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staclara-nfasis5">
    <w:name w:val="Light List Accent 5"/>
    <w:basedOn w:val="Tablanormal"/>
    <w:uiPriority w:val="61"/>
    <w:semiHidden/>
    <w:unhideWhenUsed/>
    <w:rsid w:val="00AA75F6"/>
    <w:pPr>
      <w:spacing w:line="240" w:lineRule="auto"/>
    </w:p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Listaclara-nfasis6">
    <w:name w:val="Light List Accent 6"/>
    <w:basedOn w:val="Tablanormal"/>
    <w:uiPriority w:val="61"/>
    <w:semiHidden/>
    <w:unhideWhenUsed/>
    <w:rsid w:val="00AA75F6"/>
    <w:pPr>
      <w:spacing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Sombreadoclaro">
    <w:name w:val="Light Shading"/>
    <w:basedOn w:val="Tablanormal"/>
    <w:uiPriority w:val="60"/>
    <w:semiHidden/>
    <w:unhideWhenUsed/>
    <w:rsid w:val="00AA75F6"/>
    <w:pPr>
      <w:spacing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semiHidden/>
    <w:unhideWhenUsed/>
    <w:rsid w:val="00AA75F6"/>
    <w:pPr>
      <w:spacing w:line="240" w:lineRule="auto"/>
    </w:pPr>
    <w:rPr>
      <w:color w:val="D01818" w:themeColor="accent1" w:themeShade="BF"/>
    </w:rPr>
    <w:tblPr>
      <w:tblStyleRowBandSize w:val="1"/>
      <w:tblStyleColBandSize w:val="1"/>
      <w:tblBorders>
        <w:top w:val="single" w:sz="8" w:space="0" w:color="EA4E4E" w:themeColor="accent1"/>
        <w:bottom w:val="single" w:sz="8" w:space="0" w:color="EA4E4E" w:themeColor="accent1"/>
      </w:tblBorders>
    </w:tblPr>
    <w:tblStylePr w:type="firstRow">
      <w:pPr>
        <w:spacing w:before="0" w:after="0" w:line="240" w:lineRule="auto"/>
      </w:pPr>
      <w:rPr>
        <w:b/>
        <w:bCs/>
      </w:rPr>
      <w:tblPr/>
      <w:tcPr>
        <w:tcBorders>
          <w:top w:val="single" w:sz="8" w:space="0" w:color="EA4E4E" w:themeColor="accent1"/>
          <w:left w:val="nil"/>
          <w:bottom w:val="single" w:sz="8" w:space="0" w:color="EA4E4E" w:themeColor="accent1"/>
          <w:right w:val="nil"/>
          <w:insideH w:val="nil"/>
          <w:insideV w:val="nil"/>
        </w:tcBorders>
      </w:tcPr>
    </w:tblStylePr>
    <w:tblStylePr w:type="lastRow">
      <w:pPr>
        <w:spacing w:before="0" w:after="0" w:line="240" w:lineRule="auto"/>
      </w:pPr>
      <w:rPr>
        <w:b/>
        <w:bCs/>
      </w:rPr>
      <w:tblPr/>
      <w:tcPr>
        <w:tcBorders>
          <w:top w:val="single" w:sz="8" w:space="0" w:color="EA4E4E" w:themeColor="accent1"/>
          <w:left w:val="nil"/>
          <w:bottom w:val="single" w:sz="8" w:space="0" w:color="EA4E4E"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D3D3" w:themeFill="accent1" w:themeFillTint="3F"/>
      </w:tcPr>
    </w:tblStylePr>
    <w:tblStylePr w:type="band1Horz">
      <w:tblPr/>
      <w:tcPr>
        <w:tcBorders>
          <w:left w:val="nil"/>
          <w:right w:val="nil"/>
          <w:insideH w:val="nil"/>
          <w:insideV w:val="nil"/>
        </w:tcBorders>
        <w:shd w:val="clear" w:color="auto" w:fill="F9D3D3" w:themeFill="accent1" w:themeFillTint="3F"/>
      </w:tcPr>
    </w:tblStylePr>
  </w:style>
  <w:style w:type="table" w:styleId="Sombreadoclaro-nfasis2">
    <w:name w:val="Light Shading Accent 2"/>
    <w:basedOn w:val="Tablanormal"/>
    <w:uiPriority w:val="60"/>
    <w:semiHidden/>
    <w:unhideWhenUsed/>
    <w:rsid w:val="00AA75F6"/>
    <w:pPr>
      <w:spacing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Sombreadoclaro-nfasis3">
    <w:name w:val="Light Shading Accent 3"/>
    <w:basedOn w:val="Tablanormal"/>
    <w:uiPriority w:val="60"/>
    <w:semiHidden/>
    <w:unhideWhenUsed/>
    <w:rsid w:val="00AA75F6"/>
    <w:pPr>
      <w:spacing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Sombreadoclaro-nfasis4">
    <w:name w:val="Light Shading Accent 4"/>
    <w:basedOn w:val="Tablanormal"/>
    <w:uiPriority w:val="60"/>
    <w:semiHidden/>
    <w:unhideWhenUsed/>
    <w:rsid w:val="00AA75F6"/>
    <w:pPr>
      <w:spacing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Sombreadoclaro-nfasis5">
    <w:name w:val="Light Shading Accent 5"/>
    <w:basedOn w:val="Tablanormal"/>
    <w:uiPriority w:val="60"/>
    <w:semiHidden/>
    <w:unhideWhenUsed/>
    <w:rsid w:val="00AA75F6"/>
    <w:pPr>
      <w:spacing w:line="240" w:lineRule="auto"/>
    </w:pPr>
    <w:rPr>
      <w:color w:val="2F5496" w:themeColor="accent5" w:themeShade="BF"/>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styleId="Sombreadoclaro-nfasis6">
    <w:name w:val="Light Shading Accent 6"/>
    <w:basedOn w:val="Tablanormal"/>
    <w:uiPriority w:val="60"/>
    <w:semiHidden/>
    <w:unhideWhenUsed/>
    <w:rsid w:val="00AA75F6"/>
    <w:pPr>
      <w:spacing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character" w:styleId="Nmerodelnea">
    <w:name w:val="line number"/>
    <w:basedOn w:val="Fuentedeprrafopredeter"/>
    <w:uiPriority w:val="99"/>
    <w:semiHidden/>
    <w:unhideWhenUsed/>
    <w:rsid w:val="00AA75F6"/>
  </w:style>
  <w:style w:type="paragraph" w:styleId="Lista">
    <w:name w:val="List"/>
    <w:basedOn w:val="Normal"/>
    <w:uiPriority w:val="99"/>
    <w:semiHidden/>
    <w:unhideWhenUsed/>
    <w:rsid w:val="00AA75F6"/>
    <w:pPr>
      <w:ind w:left="360" w:hanging="360"/>
      <w:contextualSpacing/>
    </w:pPr>
  </w:style>
  <w:style w:type="paragraph" w:styleId="Lista2">
    <w:name w:val="List 2"/>
    <w:basedOn w:val="Normal"/>
    <w:uiPriority w:val="99"/>
    <w:semiHidden/>
    <w:unhideWhenUsed/>
    <w:rsid w:val="00AA75F6"/>
    <w:pPr>
      <w:ind w:left="720" w:hanging="360"/>
      <w:contextualSpacing/>
    </w:pPr>
  </w:style>
  <w:style w:type="paragraph" w:styleId="Lista3">
    <w:name w:val="List 3"/>
    <w:basedOn w:val="Normal"/>
    <w:uiPriority w:val="99"/>
    <w:semiHidden/>
    <w:unhideWhenUsed/>
    <w:rsid w:val="00AA75F6"/>
    <w:pPr>
      <w:ind w:left="1080" w:hanging="360"/>
      <w:contextualSpacing/>
    </w:pPr>
  </w:style>
  <w:style w:type="paragraph" w:styleId="Lista4">
    <w:name w:val="List 4"/>
    <w:basedOn w:val="Normal"/>
    <w:uiPriority w:val="99"/>
    <w:semiHidden/>
    <w:unhideWhenUsed/>
    <w:rsid w:val="00AA75F6"/>
    <w:pPr>
      <w:ind w:left="1440" w:hanging="360"/>
      <w:contextualSpacing/>
    </w:pPr>
  </w:style>
  <w:style w:type="paragraph" w:styleId="Lista5">
    <w:name w:val="List 5"/>
    <w:basedOn w:val="Normal"/>
    <w:uiPriority w:val="99"/>
    <w:semiHidden/>
    <w:unhideWhenUsed/>
    <w:rsid w:val="00AA75F6"/>
    <w:pPr>
      <w:ind w:left="1800" w:hanging="360"/>
      <w:contextualSpacing/>
    </w:pPr>
  </w:style>
  <w:style w:type="paragraph" w:styleId="Listaconvietas">
    <w:name w:val="List Bullet"/>
    <w:basedOn w:val="Normal"/>
    <w:uiPriority w:val="99"/>
    <w:semiHidden/>
    <w:unhideWhenUsed/>
    <w:rsid w:val="00AA75F6"/>
    <w:pPr>
      <w:numPr>
        <w:numId w:val="1"/>
      </w:numPr>
      <w:contextualSpacing/>
    </w:pPr>
  </w:style>
  <w:style w:type="paragraph" w:styleId="Listaconvietas2">
    <w:name w:val="List Bullet 2"/>
    <w:basedOn w:val="Normal"/>
    <w:uiPriority w:val="99"/>
    <w:semiHidden/>
    <w:unhideWhenUsed/>
    <w:rsid w:val="00AA75F6"/>
    <w:pPr>
      <w:numPr>
        <w:numId w:val="2"/>
      </w:numPr>
      <w:contextualSpacing/>
    </w:pPr>
  </w:style>
  <w:style w:type="paragraph" w:styleId="Listaconvietas3">
    <w:name w:val="List Bullet 3"/>
    <w:basedOn w:val="Normal"/>
    <w:uiPriority w:val="99"/>
    <w:semiHidden/>
    <w:unhideWhenUsed/>
    <w:rsid w:val="00AA75F6"/>
    <w:pPr>
      <w:numPr>
        <w:numId w:val="3"/>
      </w:numPr>
      <w:contextualSpacing/>
    </w:pPr>
  </w:style>
  <w:style w:type="paragraph" w:styleId="Listaconvietas4">
    <w:name w:val="List Bullet 4"/>
    <w:basedOn w:val="Normal"/>
    <w:uiPriority w:val="99"/>
    <w:semiHidden/>
    <w:unhideWhenUsed/>
    <w:rsid w:val="00AA75F6"/>
    <w:pPr>
      <w:numPr>
        <w:numId w:val="4"/>
      </w:numPr>
      <w:contextualSpacing/>
    </w:pPr>
  </w:style>
  <w:style w:type="paragraph" w:styleId="Listaconvietas5">
    <w:name w:val="List Bullet 5"/>
    <w:basedOn w:val="Normal"/>
    <w:uiPriority w:val="99"/>
    <w:semiHidden/>
    <w:unhideWhenUsed/>
    <w:rsid w:val="00AA75F6"/>
    <w:pPr>
      <w:numPr>
        <w:numId w:val="5"/>
      </w:numPr>
      <w:contextualSpacing/>
    </w:pPr>
  </w:style>
  <w:style w:type="paragraph" w:styleId="Continuarlista">
    <w:name w:val="List Continue"/>
    <w:basedOn w:val="Normal"/>
    <w:uiPriority w:val="99"/>
    <w:semiHidden/>
    <w:unhideWhenUsed/>
    <w:rsid w:val="00AA75F6"/>
    <w:pPr>
      <w:spacing w:after="120"/>
      <w:ind w:left="360"/>
      <w:contextualSpacing/>
    </w:pPr>
  </w:style>
  <w:style w:type="paragraph" w:styleId="Continuarlista2">
    <w:name w:val="List Continue 2"/>
    <w:basedOn w:val="Normal"/>
    <w:uiPriority w:val="99"/>
    <w:semiHidden/>
    <w:unhideWhenUsed/>
    <w:rsid w:val="00AA75F6"/>
    <w:pPr>
      <w:spacing w:after="120"/>
      <w:ind w:left="720"/>
      <w:contextualSpacing/>
    </w:pPr>
  </w:style>
  <w:style w:type="paragraph" w:styleId="Continuarlista3">
    <w:name w:val="List Continue 3"/>
    <w:basedOn w:val="Normal"/>
    <w:uiPriority w:val="99"/>
    <w:semiHidden/>
    <w:unhideWhenUsed/>
    <w:rsid w:val="00AA75F6"/>
    <w:pPr>
      <w:spacing w:after="120"/>
      <w:ind w:left="1080"/>
      <w:contextualSpacing/>
    </w:pPr>
  </w:style>
  <w:style w:type="paragraph" w:styleId="Continuarlista4">
    <w:name w:val="List Continue 4"/>
    <w:basedOn w:val="Normal"/>
    <w:uiPriority w:val="99"/>
    <w:semiHidden/>
    <w:unhideWhenUsed/>
    <w:rsid w:val="00AA75F6"/>
    <w:pPr>
      <w:spacing w:after="120"/>
      <w:ind w:left="1440"/>
      <w:contextualSpacing/>
    </w:pPr>
  </w:style>
  <w:style w:type="paragraph" w:styleId="Continuarlista5">
    <w:name w:val="List Continue 5"/>
    <w:basedOn w:val="Normal"/>
    <w:uiPriority w:val="99"/>
    <w:semiHidden/>
    <w:unhideWhenUsed/>
    <w:rsid w:val="00AA75F6"/>
    <w:pPr>
      <w:spacing w:after="120"/>
      <w:ind w:left="1800"/>
      <w:contextualSpacing/>
    </w:pPr>
  </w:style>
  <w:style w:type="paragraph" w:styleId="Listaconnmeros">
    <w:name w:val="List Number"/>
    <w:basedOn w:val="Normal"/>
    <w:uiPriority w:val="99"/>
    <w:semiHidden/>
    <w:unhideWhenUsed/>
    <w:rsid w:val="00AA75F6"/>
    <w:pPr>
      <w:numPr>
        <w:numId w:val="6"/>
      </w:numPr>
      <w:contextualSpacing/>
    </w:pPr>
  </w:style>
  <w:style w:type="paragraph" w:styleId="Listaconnmeros2">
    <w:name w:val="List Number 2"/>
    <w:basedOn w:val="Normal"/>
    <w:uiPriority w:val="99"/>
    <w:semiHidden/>
    <w:unhideWhenUsed/>
    <w:rsid w:val="00AA75F6"/>
    <w:pPr>
      <w:numPr>
        <w:numId w:val="7"/>
      </w:numPr>
      <w:contextualSpacing/>
    </w:pPr>
  </w:style>
  <w:style w:type="paragraph" w:styleId="Listaconnmeros3">
    <w:name w:val="List Number 3"/>
    <w:basedOn w:val="Normal"/>
    <w:uiPriority w:val="99"/>
    <w:semiHidden/>
    <w:unhideWhenUsed/>
    <w:rsid w:val="00AA75F6"/>
    <w:pPr>
      <w:numPr>
        <w:numId w:val="8"/>
      </w:numPr>
      <w:contextualSpacing/>
    </w:pPr>
  </w:style>
  <w:style w:type="paragraph" w:styleId="Listaconnmeros4">
    <w:name w:val="List Number 4"/>
    <w:basedOn w:val="Normal"/>
    <w:uiPriority w:val="99"/>
    <w:semiHidden/>
    <w:unhideWhenUsed/>
    <w:rsid w:val="00AA75F6"/>
    <w:pPr>
      <w:numPr>
        <w:numId w:val="9"/>
      </w:numPr>
      <w:contextualSpacing/>
    </w:pPr>
  </w:style>
  <w:style w:type="paragraph" w:styleId="Listaconnmeros5">
    <w:name w:val="List Number 5"/>
    <w:basedOn w:val="Normal"/>
    <w:uiPriority w:val="99"/>
    <w:semiHidden/>
    <w:unhideWhenUsed/>
    <w:rsid w:val="00AA75F6"/>
    <w:pPr>
      <w:numPr>
        <w:numId w:val="10"/>
      </w:numPr>
      <w:contextualSpacing/>
    </w:p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unhideWhenUsed/>
    <w:qFormat/>
    <w:rsid w:val="00AA75F6"/>
    <w:pPr>
      <w:ind w:left="720"/>
      <w:contextualSpacing/>
    </w:pPr>
  </w:style>
  <w:style w:type="table" w:styleId="Tabladelista1clara">
    <w:name w:val="List Table 1 Light"/>
    <w:basedOn w:val="Tablanormal"/>
    <w:uiPriority w:val="46"/>
    <w:rsid w:val="00AA75F6"/>
    <w:pPr>
      <w:spacing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1clara-nfasis1">
    <w:name w:val="List Table 1 Light Accent 1"/>
    <w:basedOn w:val="Tablanormal"/>
    <w:uiPriority w:val="46"/>
    <w:rsid w:val="00AA75F6"/>
    <w:pPr>
      <w:spacing w:line="240" w:lineRule="auto"/>
    </w:pPr>
    <w:tblPr>
      <w:tblStyleRowBandSize w:val="1"/>
      <w:tblStyleColBandSize w:val="1"/>
    </w:tblPr>
    <w:tblStylePr w:type="firstRow">
      <w:rPr>
        <w:b/>
        <w:bCs/>
      </w:rPr>
      <w:tblPr/>
      <w:tcPr>
        <w:tcBorders>
          <w:bottom w:val="single" w:sz="4" w:space="0" w:color="F29494" w:themeColor="accent1" w:themeTint="99"/>
        </w:tcBorders>
      </w:tcPr>
    </w:tblStylePr>
    <w:tblStylePr w:type="lastRow">
      <w:rPr>
        <w:b/>
        <w:bCs/>
      </w:rPr>
      <w:tblPr/>
      <w:tcPr>
        <w:tcBorders>
          <w:top w:val="single" w:sz="4" w:space="0" w:color="F29494" w:themeColor="accent1" w:themeTint="99"/>
        </w:tcBorders>
      </w:tcPr>
    </w:tblStylePr>
    <w:tblStylePr w:type="firstCol">
      <w:rPr>
        <w:b/>
        <w:bCs/>
      </w:rPr>
    </w:tblStylePr>
    <w:tblStylePr w:type="lastCol">
      <w:rPr>
        <w:b/>
        <w:bCs/>
      </w:rPr>
    </w:tblStylePr>
    <w:tblStylePr w:type="band1Vert">
      <w:tblPr/>
      <w:tcPr>
        <w:shd w:val="clear" w:color="auto" w:fill="FADBDB" w:themeFill="accent1" w:themeFillTint="33"/>
      </w:tcPr>
    </w:tblStylePr>
    <w:tblStylePr w:type="band1Horz">
      <w:tblPr/>
      <w:tcPr>
        <w:shd w:val="clear" w:color="auto" w:fill="FADBDB" w:themeFill="accent1" w:themeFillTint="33"/>
      </w:tcPr>
    </w:tblStylePr>
  </w:style>
  <w:style w:type="table" w:styleId="Tabladelista1clara-nfasis2">
    <w:name w:val="List Table 1 Light Accent 2"/>
    <w:basedOn w:val="Tablanormal"/>
    <w:uiPriority w:val="46"/>
    <w:rsid w:val="00AA75F6"/>
    <w:pPr>
      <w:spacing w:line="240" w:lineRule="auto"/>
    </w:pPr>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lista1clara-nfasis3">
    <w:name w:val="List Table 1 Light Accent 3"/>
    <w:basedOn w:val="Tablanormal"/>
    <w:uiPriority w:val="46"/>
    <w:rsid w:val="00AA75F6"/>
    <w:pPr>
      <w:spacing w:line="240" w:lineRule="auto"/>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lista1clara-nfasis4">
    <w:name w:val="List Table 1 Light Accent 4"/>
    <w:basedOn w:val="Tablanormal"/>
    <w:uiPriority w:val="46"/>
    <w:rsid w:val="00AA75F6"/>
    <w:pPr>
      <w:spacing w:line="240" w:lineRule="auto"/>
    </w:pPr>
    <w:tblPr>
      <w:tblStyleRowBandSize w:val="1"/>
      <w:tblStyleColBandSize w:val="1"/>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lista1clara-nfasis5">
    <w:name w:val="List Table 1 Light Accent 5"/>
    <w:basedOn w:val="Tablanormal"/>
    <w:uiPriority w:val="46"/>
    <w:rsid w:val="00AA75F6"/>
    <w:pPr>
      <w:spacing w:line="240" w:lineRule="auto"/>
    </w:pPr>
    <w:tblPr>
      <w:tblStyleRowBandSize w:val="1"/>
      <w:tblStyleColBandSize w:val="1"/>
    </w:tblPr>
    <w:tblStylePr w:type="firstRow">
      <w:rPr>
        <w:b/>
        <w:bCs/>
      </w:rPr>
      <w:tblPr/>
      <w:tcPr>
        <w:tcBorders>
          <w:bottom w:val="single" w:sz="4" w:space="0" w:color="8EAADB" w:themeColor="accent5" w:themeTint="99"/>
        </w:tcBorders>
      </w:tcPr>
    </w:tblStylePr>
    <w:tblStylePr w:type="lastRow">
      <w:rPr>
        <w:b/>
        <w:bCs/>
      </w:rPr>
      <w:tblPr/>
      <w:tcPr>
        <w:tcBorders>
          <w:top w:val="sing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delista1clara-nfasis6">
    <w:name w:val="List Table 1 Light Accent 6"/>
    <w:basedOn w:val="Tablanormal"/>
    <w:uiPriority w:val="46"/>
    <w:rsid w:val="00AA75F6"/>
    <w:pPr>
      <w:spacing w:line="240" w:lineRule="auto"/>
    </w:pPr>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lista2">
    <w:name w:val="List Table 2"/>
    <w:basedOn w:val="Tablanormal"/>
    <w:uiPriority w:val="47"/>
    <w:rsid w:val="00AA75F6"/>
    <w:pPr>
      <w:spacing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2-nfasis1">
    <w:name w:val="List Table 2 Accent 1"/>
    <w:basedOn w:val="Tablanormal"/>
    <w:uiPriority w:val="47"/>
    <w:rsid w:val="00AA75F6"/>
    <w:pPr>
      <w:spacing w:line="240" w:lineRule="auto"/>
    </w:pPr>
    <w:tblPr>
      <w:tblStyleRowBandSize w:val="1"/>
      <w:tblStyleColBandSize w:val="1"/>
      <w:tblBorders>
        <w:top w:val="single" w:sz="4" w:space="0" w:color="F29494" w:themeColor="accent1" w:themeTint="99"/>
        <w:bottom w:val="single" w:sz="4" w:space="0" w:color="F29494" w:themeColor="accent1" w:themeTint="99"/>
        <w:insideH w:val="single" w:sz="4" w:space="0" w:color="F29494"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ADBDB" w:themeFill="accent1" w:themeFillTint="33"/>
      </w:tcPr>
    </w:tblStylePr>
    <w:tblStylePr w:type="band1Horz">
      <w:tblPr/>
      <w:tcPr>
        <w:shd w:val="clear" w:color="auto" w:fill="FADBDB" w:themeFill="accent1" w:themeFillTint="33"/>
      </w:tcPr>
    </w:tblStylePr>
  </w:style>
  <w:style w:type="table" w:styleId="Tabladelista2-nfasis2">
    <w:name w:val="List Table 2 Accent 2"/>
    <w:basedOn w:val="Tablanormal"/>
    <w:uiPriority w:val="47"/>
    <w:rsid w:val="00AA75F6"/>
    <w:pPr>
      <w:spacing w:line="240" w:lineRule="auto"/>
    </w:pPr>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lista2-nfasis3">
    <w:name w:val="List Table 2 Accent 3"/>
    <w:basedOn w:val="Tablanormal"/>
    <w:uiPriority w:val="47"/>
    <w:rsid w:val="00AA75F6"/>
    <w:pPr>
      <w:spacing w:line="240" w:lineRule="auto"/>
    </w:pPr>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lista2-nfasis4">
    <w:name w:val="List Table 2 Accent 4"/>
    <w:basedOn w:val="Tablanormal"/>
    <w:uiPriority w:val="47"/>
    <w:rsid w:val="00AA75F6"/>
    <w:pPr>
      <w:spacing w:line="240" w:lineRule="auto"/>
    </w:pPr>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lista2-nfasis5">
    <w:name w:val="List Table 2 Accent 5"/>
    <w:basedOn w:val="Tablanormal"/>
    <w:uiPriority w:val="47"/>
    <w:rsid w:val="00AA75F6"/>
    <w:pPr>
      <w:spacing w:line="240" w:lineRule="auto"/>
    </w:pPr>
    <w:tblPr>
      <w:tblStyleRowBandSize w:val="1"/>
      <w:tblStyleColBandSize w:val="1"/>
      <w:tblBorders>
        <w:top w:val="single" w:sz="4" w:space="0" w:color="8EAADB" w:themeColor="accent5" w:themeTint="99"/>
        <w:bottom w:val="single" w:sz="4" w:space="0" w:color="8EAADB" w:themeColor="accent5" w:themeTint="99"/>
        <w:insideH w:val="single" w:sz="4" w:space="0" w:color="8EAAD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delista2-nfasis6">
    <w:name w:val="List Table 2 Accent 6"/>
    <w:basedOn w:val="Tablanormal"/>
    <w:uiPriority w:val="47"/>
    <w:rsid w:val="00AA75F6"/>
    <w:pPr>
      <w:spacing w:line="240" w:lineRule="auto"/>
    </w:pPr>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lista3">
    <w:name w:val="List Table 3"/>
    <w:basedOn w:val="Tablanormal"/>
    <w:uiPriority w:val="48"/>
    <w:rsid w:val="00AA75F6"/>
    <w:pPr>
      <w:spacing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Tabladelista3-nfasis1">
    <w:name w:val="List Table 3 Accent 1"/>
    <w:basedOn w:val="Tablanormal"/>
    <w:uiPriority w:val="48"/>
    <w:rsid w:val="00AA75F6"/>
    <w:pPr>
      <w:spacing w:line="240" w:lineRule="auto"/>
    </w:pPr>
    <w:tblPr>
      <w:tblStyleRowBandSize w:val="1"/>
      <w:tblStyleColBandSize w:val="1"/>
      <w:tblBorders>
        <w:top w:val="single" w:sz="4" w:space="0" w:color="EA4E4E" w:themeColor="accent1"/>
        <w:left w:val="single" w:sz="4" w:space="0" w:color="EA4E4E" w:themeColor="accent1"/>
        <w:bottom w:val="single" w:sz="4" w:space="0" w:color="EA4E4E" w:themeColor="accent1"/>
        <w:right w:val="single" w:sz="4" w:space="0" w:color="EA4E4E" w:themeColor="accent1"/>
      </w:tblBorders>
    </w:tblPr>
    <w:tblStylePr w:type="firstRow">
      <w:rPr>
        <w:b/>
        <w:bCs/>
        <w:color w:val="FFFFFF" w:themeColor="background1"/>
      </w:rPr>
      <w:tblPr/>
      <w:tcPr>
        <w:shd w:val="clear" w:color="auto" w:fill="EA4E4E" w:themeFill="accent1"/>
      </w:tcPr>
    </w:tblStylePr>
    <w:tblStylePr w:type="lastRow">
      <w:rPr>
        <w:b/>
        <w:bCs/>
      </w:rPr>
      <w:tblPr/>
      <w:tcPr>
        <w:tcBorders>
          <w:top w:val="double" w:sz="4" w:space="0" w:color="EA4E4E"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A4E4E" w:themeColor="accent1"/>
          <w:right w:val="single" w:sz="4" w:space="0" w:color="EA4E4E" w:themeColor="accent1"/>
        </w:tcBorders>
      </w:tcPr>
    </w:tblStylePr>
    <w:tblStylePr w:type="band1Horz">
      <w:tblPr/>
      <w:tcPr>
        <w:tcBorders>
          <w:top w:val="single" w:sz="4" w:space="0" w:color="EA4E4E" w:themeColor="accent1"/>
          <w:bottom w:val="single" w:sz="4" w:space="0" w:color="EA4E4E"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4E4E" w:themeColor="accent1"/>
          <w:left w:val="nil"/>
        </w:tcBorders>
      </w:tcPr>
    </w:tblStylePr>
    <w:tblStylePr w:type="swCell">
      <w:tblPr/>
      <w:tcPr>
        <w:tcBorders>
          <w:top w:val="double" w:sz="4" w:space="0" w:color="EA4E4E" w:themeColor="accent1"/>
          <w:right w:val="nil"/>
        </w:tcBorders>
      </w:tcPr>
    </w:tblStylePr>
  </w:style>
  <w:style w:type="table" w:styleId="Tabladelista3-nfasis2">
    <w:name w:val="List Table 3 Accent 2"/>
    <w:basedOn w:val="Tablanormal"/>
    <w:uiPriority w:val="48"/>
    <w:rsid w:val="00AA75F6"/>
    <w:pPr>
      <w:spacing w:line="240" w:lineRule="auto"/>
    </w:p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Tabladelista3-nfasis3">
    <w:name w:val="List Table 3 Accent 3"/>
    <w:basedOn w:val="Tablanormal"/>
    <w:uiPriority w:val="48"/>
    <w:rsid w:val="00AA75F6"/>
    <w:pPr>
      <w:spacing w:line="240" w:lineRule="auto"/>
    </w:pPr>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Tabladelista3-nfasis4">
    <w:name w:val="List Table 3 Accent 4"/>
    <w:basedOn w:val="Tablanormal"/>
    <w:uiPriority w:val="48"/>
    <w:rsid w:val="00AA75F6"/>
    <w:pPr>
      <w:spacing w:line="240" w:lineRule="auto"/>
    </w:pPr>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Tabladelista3-nfasis5">
    <w:name w:val="List Table 3 Accent 5"/>
    <w:basedOn w:val="Tablanormal"/>
    <w:uiPriority w:val="48"/>
    <w:rsid w:val="00AA75F6"/>
    <w:pPr>
      <w:spacing w:line="240" w:lineRule="auto"/>
    </w:p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Tabladelista3-nfasis6">
    <w:name w:val="List Table 3 Accent 6"/>
    <w:basedOn w:val="Tablanormal"/>
    <w:uiPriority w:val="48"/>
    <w:rsid w:val="00AA75F6"/>
    <w:pPr>
      <w:spacing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Tabladelista4">
    <w:name w:val="List Table 4"/>
    <w:basedOn w:val="Tablanormal"/>
    <w:uiPriority w:val="49"/>
    <w:rsid w:val="00AA75F6"/>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4-nfasis1">
    <w:name w:val="List Table 4 Accent 1"/>
    <w:basedOn w:val="Tablanormal"/>
    <w:uiPriority w:val="49"/>
    <w:rsid w:val="00AA75F6"/>
    <w:pPr>
      <w:spacing w:line="240" w:lineRule="auto"/>
    </w:pPr>
    <w:tblPr>
      <w:tblStyleRowBandSize w:val="1"/>
      <w:tblStyleColBandSize w:val="1"/>
      <w:tblBorders>
        <w:top w:val="single" w:sz="4" w:space="0" w:color="F29494" w:themeColor="accent1" w:themeTint="99"/>
        <w:left w:val="single" w:sz="4" w:space="0" w:color="F29494" w:themeColor="accent1" w:themeTint="99"/>
        <w:bottom w:val="single" w:sz="4" w:space="0" w:color="F29494" w:themeColor="accent1" w:themeTint="99"/>
        <w:right w:val="single" w:sz="4" w:space="0" w:color="F29494" w:themeColor="accent1" w:themeTint="99"/>
        <w:insideH w:val="single" w:sz="4" w:space="0" w:color="F29494" w:themeColor="accent1" w:themeTint="99"/>
      </w:tblBorders>
    </w:tblPr>
    <w:tblStylePr w:type="firstRow">
      <w:rPr>
        <w:b/>
        <w:bCs/>
        <w:color w:val="FFFFFF" w:themeColor="background1"/>
      </w:rPr>
      <w:tblPr/>
      <w:tcPr>
        <w:tcBorders>
          <w:top w:val="single" w:sz="4" w:space="0" w:color="EA4E4E" w:themeColor="accent1"/>
          <w:left w:val="single" w:sz="4" w:space="0" w:color="EA4E4E" w:themeColor="accent1"/>
          <w:bottom w:val="single" w:sz="4" w:space="0" w:color="EA4E4E" w:themeColor="accent1"/>
          <w:right w:val="single" w:sz="4" w:space="0" w:color="EA4E4E" w:themeColor="accent1"/>
          <w:insideH w:val="nil"/>
        </w:tcBorders>
        <w:shd w:val="clear" w:color="auto" w:fill="EA4E4E" w:themeFill="accent1"/>
      </w:tcPr>
    </w:tblStylePr>
    <w:tblStylePr w:type="lastRow">
      <w:rPr>
        <w:b/>
        <w:bCs/>
      </w:rPr>
      <w:tblPr/>
      <w:tcPr>
        <w:tcBorders>
          <w:top w:val="double" w:sz="4" w:space="0" w:color="F29494" w:themeColor="accent1" w:themeTint="99"/>
        </w:tcBorders>
      </w:tcPr>
    </w:tblStylePr>
    <w:tblStylePr w:type="firstCol">
      <w:rPr>
        <w:b/>
        <w:bCs/>
      </w:rPr>
    </w:tblStylePr>
    <w:tblStylePr w:type="lastCol">
      <w:rPr>
        <w:b/>
        <w:bCs/>
      </w:rPr>
    </w:tblStylePr>
    <w:tblStylePr w:type="band1Vert">
      <w:tblPr/>
      <w:tcPr>
        <w:shd w:val="clear" w:color="auto" w:fill="FADBDB" w:themeFill="accent1" w:themeFillTint="33"/>
      </w:tcPr>
    </w:tblStylePr>
    <w:tblStylePr w:type="band1Horz">
      <w:tblPr/>
      <w:tcPr>
        <w:shd w:val="clear" w:color="auto" w:fill="FADBDB" w:themeFill="accent1" w:themeFillTint="33"/>
      </w:tcPr>
    </w:tblStylePr>
  </w:style>
  <w:style w:type="table" w:styleId="Tabladelista4-nfasis2">
    <w:name w:val="List Table 4 Accent 2"/>
    <w:basedOn w:val="Tablanormal"/>
    <w:uiPriority w:val="49"/>
    <w:rsid w:val="00AA75F6"/>
    <w:pPr>
      <w:spacing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lista4-nfasis3">
    <w:name w:val="List Table 4 Accent 3"/>
    <w:basedOn w:val="Tablanormal"/>
    <w:uiPriority w:val="49"/>
    <w:rsid w:val="00AA75F6"/>
    <w:pPr>
      <w:spacing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lista4-nfasis4">
    <w:name w:val="List Table 4 Accent 4"/>
    <w:basedOn w:val="Tablanormal"/>
    <w:uiPriority w:val="49"/>
    <w:rsid w:val="00AA75F6"/>
    <w:pPr>
      <w:spacing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lista4-nfasis5">
    <w:name w:val="List Table 4 Accent 5"/>
    <w:basedOn w:val="Tablanormal"/>
    <w:uiPriority w:val="49"/>
    <w:rsid w:val="00AA75F6"/>
    <w:pPr>
      <w:spacing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tcBorders>
        <w:shd w:val="clear" w:color="auto" w:fill="4472C4" w:themeFill="accent5"/>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delista4-nfasis6">
    <w:name w:val="List Table 4 Accent 6"/>
    <w:basedOn w:val="Tablanormal"/>
    <w:uiPriority w:val="49"/>
    <w:rsid w:val="00AA75F6"/>
    <w:pPr>
      <w:spacing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lista5oscura">
    <w:name w:val="List Table 5 Dark"/>
    <w:basedOn w:val="Tablanormal"/>
    <w:uiPriority w:val="50"/>
    <w:rsid w:val="00AA75F6"/>
    <w:pPr>
      <w:spacing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1">
    <w:name w:val="List Table 5 Dark Accent 1"/>
    <w:basedOn w:val="Tablanormal"/>
    <w:uiPriority w:val="50"/>
    <w:rsid w:val="00AA75F6"/>
    <w:pPr>
      <w:spacing w:line="240" w:lineRule="auto"/>
    </w:pPr>
    <w:rPr>
      <w:color w:val="FFFFFF" w:themeColor="background1"/>
    </w:rPr>
    <w:tblPr>
      <w:tblStyleRowBandSize w:val="1"/>
      <w:tblStyleColBandSize w:val="1"/>
      <w:tblBorders>
        <w:top w:val="single" w:sz="24" w:space="0" w:color="EA4E4E" w:themeColor="accent1"/>
        <w:left w:val="single" w:sz="24" w:space="0" w:color="EA4E4E" w:themeColor="accent1"/>
        <w:bottom w:val="single" w:sz="24" w:space="0" w:color="EA4E4E" w:themeColor="accent1"/>
        <w:right w:val="single" w:sz="24" w:space="0" w:color="EA4E4E" w:themeColor="accent1"/>
      </w:tblBorders>
    </w:tblPr>
    <w:tcPr>
      <w:shd w:val="clear" w:color="auto" w:fill="EA4E4E"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2">
    <w:name w:val="List Table 5 Dark Accent 2"/>
    <w:basedOn w:val="Tablanormal"/>
    <w:uiPriority w:val="50"/>
    <w:rsid w:val="00AA75F6"/>
    <w:pPr>
      <w:spacing w:line="240" w:lineRule="auto"/>
    </w:pPr>
    <w:rPr>
      <w:color w:val="FFFFFF" w:themeColor="background1"/>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3">
    <w:name w:val="List Table 5 Dark Accent 3"/>
    <w:basedOn w:val="Tablanormal"/>
    <w:uiPriority w:val="50"/>
    <w:rsid w:val="00AA75F6"/>
    <w:pPr>
      <w:spacing w:line="240" w:lineRule="auto"/>
    </w:pPr>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4">
    <w:name w:val="List Table 5 Dark Accent 4"/>
    <w:basedOn w:val="Tablanormal"/>
    <w:uiPriority w:val="50"/>
    <w:rsid w:val="00AA75F6"/>
    <w:pPr>
      <w:spacing w:line="240" w:lineRule="auto"/>
    </w:pPr>
    <w:rPr>
      <w:color w:val="FFFFFF" w:themeColor="background1"/>
    </w:rPr>
    <w:tblPr>
      <w:tblStyleRowBandSize w:val="1"/>
      <w:tblStyleColBandSize w:val="1"/>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5">
    <w:name w:val="List Table 5 Dark Accent 5"/>
    <w:basedOn w:val="Tablanormal"/>
    <w:uiPriority w:val="50"/>
    <w:rsid w:val="00AA75F6"/>
    <w:pPr>
      <w:spacing w:line="240" w:lineRule="auto"/>
    </w:pPr>
    <w:rPr>
      <w:color w:val="FFFFFF" w:themeColor="background1"/>
    </w:rPr>
    <w:tblPr>
      <w:tblStyleRowBandSize w:val="1"/>
      <w:tblStyleColBandSize w:val="1"/>
      <w:tblBorders>
        <w:top w:val="single" w:sz="24" w:space="0" w:color="4472C4" w:themeColor="accent5"/>
        <w:left w:val="single" w:sz="24" w:space="0" w:color="4472C4" w:themeColor="accent5"/>
        <w:bottom w:val="single" w:sz="24" w:space="0" w:color="4472C4" w:themeColor="accent5"/>
        <w:right w:val="single" w:sz="24" w:space="0" w:color="4472C4" w:themeColor="accent5"/>
      </w:tblBorders>
    </w:tblPr>
    <w:tcPr>
      <w:shd w:val="clear" w:color="auto" w:fill="4472C4"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6">
    <w:name w:val="List Table 5 Dark Accent 6"/>
    <w:basedOn w:val="Tablanormal"/>
    <w:uiPriority w:val="50"/>
    <w:rsid w:val="00AA75F6"/>
    <w:pPr>
      <w:spacing w:line="240" w:lineRule="auto"/>
    </w:pPr>
    <w:rPr>
      <w:color w:val="FFFFFF" w:themeColor="background1"/>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6concolores">
    <w:name w:val="List Table 6 Colorful"/>
    <w:basedOn w:val="Tablanormal"/>
    <w:uiPriority w:val="51"/>
    <w:rsid w:val="00AA75F6"/>
    <w:pPr>
      <w:spacing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6concolores-nfasis1">
    <w:name w:val="List Table 6 Colorful Accent 1"/>
    <w:basedOn w:val="Tablanormal"/>
    <w:uiPriority w:val="51"/>
    <w:rsid w:val="00AA75F6"/>
    <w:pPr>
      <w:spacing w:line="240" w:lineRule="auto"/>
    </w:pPr>
    <w:rPr>
      <w:color w:val="D01818" w:themeColor="accent1" w:themeShade="BF"/>
    </w:rPr>
    <w:tblPr>
      <w:tblStyleRowBandSize w:val="1"/>
      <w:tblStyleColBandSize w:val="1"/>
      <w:tblBorders>
        <w:top w:val="single" w:sz="4" w:space="0" w:color="EA4E4E" w:themeColor="accent1"/>
        <w:bottom w:val="single" w:sz="4" w:space="0" w:color="EA4E4E" w:themeColor="accent1"/>
      </w:tblBorders>
    </w:tblPr>
    <w:tblStylePr w:type="firstRow">
      <w:rPr>
        <w:b/>
        <w:bCs/>
      </w:rPr>
      <w:tblPr/>
      <w:tcPr>
        <w:tcBorders>
          <w:bottom w:val="single" w:sz="4" w:space="0" w:color="EA4E4E" w:themeColor="accent1"/>
        </w:tcBorders>
      </w:tcPr>
    </w:tblStylePr>
    <w:tblStylePr w:type="lastRow">
      <w:rPr>
        <w:b/>
        <w:bCs/>
      </w:rPr>
      <w:tblPr/>
      <w:tcPr>
        <w:tcBorders>
          <w:top w:val="double" w:sz="4" w:space="0" w:color="EA4E4E" w:themeColor="accent1"/>
        </w:tcBorders>
      </w:tcPr>
    </w:tblStylePr>
    <w:tblStylePr w:type="firstCol">
      <w:rPr>
        <w:b/>
        <w:bCs/>
      </w:rPr>
    </w:tblStylePr>
    <w:tblStylePr w:type="lastCol">
      <w:rPr>
        <w:b/>
        <w:bCs/>
      </w:rPr>
    </w:tblStylePr>
    <w:tblStylePr w:type="band1Vert">
      <w:tblPr/>
      <w:tcPr>
        <w:shd w:val="clear" w:color="auto" w:fill="FADBDB" w:themeFill="accent1" w:themeFillTint="33"/>
      </w:tcPr>
    </w:tblStylePr>
    <w:tblStylePr w:type="band1Horz">
      <w:tblPr/>
      <w:tcPr>
        <w:shd w:val="clear" w:color="auto" w:fill="FADBDB" w:themeFill="accent1" w:themeFillTint="33"/>
      </w:tcPr>
    </w:tblStylePr>
  </w:style>
  <w:style w:type="table" w:styleId="Tabladelista6concolores-nfasis2">
    <w:name w:val="List Table 6 Colorful Accent 2"/>
    <w:basedOn w:val="Tablanormal"/>
    <w:uiPriority w:val="51"/>
    <w:rsid w:val="00AA75F6"/>
    <w:pPr>
      <w:spacing w:line="240" w:lineRule="auto"/>
    </w:pPr>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lista6concolores-nfasis3">
    <w:name w:val="List Table 6 Colorful Accent 3"/>
    <w:basedOn w:val="Tablanormal"/>
    <w:uiPriority w:val="51"/>
    <w:rsid w:val="00AA75F6"/>
    <w:pPr>
      <w:spacing w:line="240" w:lineRule="auto"/>
    </w:pPr>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lista6concolores-nfasis4">
    <w:name w:val="List Table 6 Colorful Accent 4"/>
    <w:basedOn w:val="Tablanormal"/>
    <w:uiPriority w:val="51"/>
    <w:rsid w:val="00AA75F6"/>
    <w:pPr>
      <w:spacing w:line="240" w:lineRule="auto"/>
    </w:pPr>
    <w:rPr>
      <w:color w:val="BF8F00" w:themeColor="accent4" w:themeShade="BF"/>
    </w:rPr>
    <w:tblPr>
      <w:tblStyleRowBandSize w:val="1"/>
      <w:tblStyleColBandSize w:val="1"/>
      <w:tblBorders>
        <w:top w:val="single" w:sz="4" w:space="0" w:color="FFC000" w:themeColor="accent4"/>
        <w:bottom w:val="single" w:sz="4" w:space="0" w:color="FFC000" w:themeColor="accent4"/>
      </w:tblBorders>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lista6concolores-nfasis5">
    <w:name w:val="List Table 6 Colorful Accent 5"/>
    <w:basedOn w:val="Tablanormal"/>
    <w:uiPriority w:val="51"/>
    <w:rsid w:val="00AA75F6"/>
    <w:pPr>
      <w:spacing w:line="240" w:lineRule="auto"/>
    </w:pPr>
    <w:rPr>
      <w:color w:val="2F5496" w:themeColor="accent5" w:themeShade="BF"/>
    </w:rPr>
    <w:tblPr>
      <w:tblStyleRowBandSize w:val="1"/>
      <w:tblStyleColBandSize w:val="1"/>
      <w:tblBorders>
        <w:top w:val="single" w:sz="4" w:space="0" w:color="4472C4" w:themeColor="accent5"/>
        <w:bottom w:val="single" w:sz="4" w:space="0" w:color="4472C4" w:themeColor="accent5"/>
      </w:tblBorders>
    </w:tblPr>
    <w:tblStylePr w:type="firstRow">
      <w:rPr>
        <w:b/>
        <w:bCs/>
      </w:rPr>
      <w:tblPr/>
      <w:tcPr>
        <w:tcBorders>
          <w:bottom w:val="single" w:sz="4" w:space="0" w:color="4472C4" w:themeColor="accent5"/>
        </w:tcBorders>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delista6concolores-nfasis6">
    <w:name w:val="List Table 6 Colorful Accent 6"/>
    <w:basedOn w:val="Tablanormal"/>
    <w:uiPriority w:val="51"/>
    <w:rsid w:val="00AA75F6"/>
    <w:pPr>
      <w:spacing w:line="240" w:lineRule="auto"/>
    </w:pPr>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lista7concolores">
    <w:name w:val="List Table 7 Colorful"/>
    <w:basedOn w:val="Tablanormal"/>
    <w:uiPriority w:val="52"/>
    <w:rsid w:val="00AA75F6"/>
    <w:pPr>
      <w:spacing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1">
    <w:name w:val="List Table 7 Colorful Accent 1"/>
    <w:basedOn w:val="Tablanormal"/>
    <w:uiPriority w:val="52"/>
    <w:rsid w:val="00AA75F6"/>
    <w:pPr>
      <w:spacing w:line="240" w:lineRule="auto"/>
    </w:pPr>
    <w:rPr>
      <w:color w:val="D01818"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A4E4E"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A4E4E"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A4E4E"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A4E4E" w:themeColor="accent1"/>
        </w:tcBorders>
        <w:shd w:val="clear" w:color="auto" w:fill="FFFFFF" w:themeFill="background1"/>
      </w:tcPr>
    </w:tblStylePr>
    <w:tblStylePr w:type="band1Vert">
      <w:tblPr/>
      <w:tcPr>
        <w:shd w:val="clear" w:color="auto" w:fill="FADBDB" w:themeFill="accent1" w:themeFillTint="33"/>
      </w:tcPr>
    </w:tblStylePr>
    <w:tblStylePr w:type="band1Horz">
      <w:tblPr/>
      <w:tcPr>
        <w:shd w:val="clear" w:color="auto" w:fill="FADBDB"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2">
    <w:name w:val="List Table 7 Colorful Accent 2"/>
    <w:basedOn w:val="Tablanormal"/>
    <w:uiPriority w:val="52"/>
    <w:rsid w:val="00AA75F6"/>
    <w:pPr>
      <w:spacing w:line="240" w:lineRule="auto"/>
    </w:pPr>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3">
    <w:name w:val="List Table 7 Colorful Accent 3"/>
    <w:basedOn w:val="Tablanormal"/>
    <w:uiPriority w:val="52"/>
    <w:rsid w:val="00AA75F6"/>
    <w:pPr>
      <w:spacing w:line="240" w:lineRule="auto"/>
    </w:pPr>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4">
    <w:name w:val="List Table 7 Colorful Accent 4"/>
    <w:basedOn w:val="Tablanormal"/>
    <w:uiPriority w:val="52"/>
    <w:rsid w:val="00AA75F6"/>
    <w:pPr>
      <w:spacing w:line="240" w:lineRule="auto"/>
    </w:pPr>
    <w:rPr>
      <w:color w:val="BF8F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5">
    <w:name w:val="List Table 7 Colorful Accent 5"/>
    <w:basedOn w:val="Tablanormal"/>
    <w:uiPriority w:val="52"/>
    <w:rsid w:val="00AA75F6"/>
    <w:pPr>
      <w:spacing w:line="240" w:lineRule="auto"/>
    </w:pPr>
    <w:rPr>
      <w:color w:val="2F5496"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5"/>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6">
    <w:name w:val="List Table 7 Colorful Accent 6"/>
    <w:basedOn w:val="Tablanormal"/>
    <w:uiPriority w:val="52"/>
    <w:rsid w:val="00AA75F6"/>
    <w:pPr>
      <w:spacing w:line="240" w:lineRule="auto"/>
    </w:pPr>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Textomacro">
    <w:name w:val="macro"/>
    <w:link w:val="TextomacroCar"/>
    <w:uiPriority w:val="99"/>
    <w:semiHidden/>
    <w:unhideWhenUsed/>
    <w:rsid w:val="00AA75F6"/>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TextomacroCar">
    <w:name w:val="Texto macro Car"/>
    <w:basedOn w:val="Fuentedeprrafopredeter"/>
    <w:link w:val="Textomacro"/>
    <w:uiPriority w:val="99"/>
    <w:semiHidden/>
    <w:rsid w:val="00AA75F6"/>
    <w:rPr>
      <w:rFonts w:ascii="Consolas" w:hAnsi="Consolas"/>
      <w:szCs w:val="20"/>
    </w:rPr>
  </w:style>
  <w:style w:type="table" w:styleId="Cuadrculamedia1">
    <w:name w:val="Medium Grid 1"/>
    <w:basedOn w:val="Tablanormal"/>
    <w:uiPriority w:val="67"/>
    <w:semiHidden/>
    <w:unhideWhenUsed/>
    <w:rsid w:val="00AA75F6"/>
    <w:pPr>
      <w:spacing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semiHidden/>
    <w:unhideWhenUsed/>
    <w:rsid w:val="00AA75F6"/>
    <w:pPr>
      <w:spacing w:line="240" w:lineRule="auto"/>
    </w:pPr>
    <w:tblPr>
      <w:tblStyleRowBandSize w:val="1"/>
      <w:tblStyleColBandSize w:val="1"/>
      <w:tblBorders>
        <w:top w:val="single" w:sz="8" w:space="0" w:color="EF7A7A" w:themeColor="accent1" w:themeTint="BF"/>
        <w:left w:val="single" w:sz="8" w:space="0" w:color="EF7A7A" w:themeColor="accent1" w:themeTint="BF"/>
        <w:bottom w:val="single" w:sz="8" w:space="0" w:color="EF7A7A" w:themeColor="accent1" w:themeTint="BF"/>
        <w:right w:val="single" w:sz="8" w:space="0" w:color="EF7A7A" w:themeColor="accent1" w:themeTint="BF"/>
        <w:insideH w:val="single" w:sz="8" w:space="0" w:color="EF7A7A" w:themeColor="accent1" w:themeTint="BF"/>
        <w:insideV w:val="single" w:sz="8" w:space="0" w:color="EF7A7A" w:themeColor="accent1" w:themeTint="BF"/>
      </w:tblBorders>
    </w:tblPr>
    <w:tcPr>
      <w:shd w:val="clear" w:color="auto" w:fill="F9D3D3" w:themeFill="accent1" w:themeFillTint="3F"/>
    </w:tcPr>
    <w:tblStylePr w:type="firstRow">
      <w:rPr>
        <w:b/>
        <w:bCs/>
      </w:rPr>
    </w:tblStylePr>
    <w:tblStylePr w:type="lastRow">
      <w:rPr>
        <w:b/>
        <w:bCs/>
      </w:rPr>
      <w:tblPr/>
      <w:tcPr>
        <w:tcBorders>
          <w:top w:val="single" w:sz="18" w:space="0" w:color="EF7A7A" w:themeColor="accent1" w:themeTint="BF"/>
        </w:tcBorders>
      </w:tcPr>
    </w:tblStylePr>
    <w:tblStylePr w:type="firstCol">
      <w:rPr>
        <w:b/>
        <w:bCs/>
      </w:rPr>
    </w:tblStylePr>
    <w:tblStylePr w:type="lastCol">
      <w:rPr>
        <w:b/>
        <w:bCs/>
      </w:rPr>
    </w:tblStylePr>
    <w:tblStylePr w:type="band1Vert">
      <w:tblPr/>
      <w:tcPr>
        <w:shd w:val="clear" w:color="auto" w:fill="F4A6A6" w:themeFill="accent1" w:themeFillTint="7F"/>
      </w:tcPr>
    </w:tblStylePr>
    <w:tblStylePr w:type="band1Horz">
      <w:tblPr/>
      <w:tcPr>
        <w:shd w:val="clear" w:color="auto" w:fill="F4A6A6" w:themeFill="accent1" w:themeFillTint="7F"/>
      </w:tcPr>
    </w:tblStylePr>
  </w:style>
  <w:style w:type="table" w:styleId="Cuadrculamedia1-nfasis2">
    <w:name w:val="Medium Grid 1 Accent 2"/>
    <w:basedOn w:val="Tablanormal"/>
    <w:uiPriority w:val="67"/>
    <w:semiHidden/>
    <w:unhideWhenUsed/>
    <w:rsid w:val="00AA75F6"/>
    <w:pPr>
      <w:spacing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uadrculamedia1-nfasis3">
    <w:name w:val="Medium Grid 1 Accent 3"/>
    <w:basedOn w:val="Tablanormal"/>
    <w:uiPriority w:val="67"/>
    <w:semiHidden/>
    <w:unhideWhenUsed/>
    <w:rsid w:val="00AA75F6"/>
    <w:pPr>
      <w:spacing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uadrculamedia1-nfasis4">
    <w:name w:val="Medium Grid 1 Accent 4"/>
    <w:basedOn w:val="Tablanormal"/>
    <w:uiPriority w:val="67"/>
    <w:semiHidden/>
    <w:unhideWhenUsed/>
    <w:rsid w:val="00AA75F6"/>
    <w:pPr>
      <w:spacing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uadrculamedia1-nfasis5">
    <w:name w:val="Medium Grid 1 Accent 5"/>
    <w:basedOn w:val="Tablanormal"/>
    <w:uiPriority w:val="67"/>
    <w:semiHidden/>
    <w:unhideWhenUsed/>
    <w:rsid w:val="00AA75F6"/>
    <w:pPr>
      <w:spacing w:line="240" w:lineRule="auto"/>
    </w:pPr>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insideV w:val="single" w:sz="8" w:space="0" w:color="7295D2" w:themeColor="accent5" w:themeTint="BF"/>
      </w:tblBorders>
    </w:tblPr>
    <w:tcPr>
      <w:shd w:val="clear" w:color="auto" w:fill="D0DBF0" w:themeFill="accent5" w:themeFillTint="3F"/>
    </w:tcPr>
    <w:tblStylePr w:type="firstRow">
      <w:rPr>
        <w:b/>
        <w:bCs/>
      </w:rPr>
    </w:tblStylePr>
    <w:tblStylePr w:type="lastRow">
      <w:rPr>
        <w:b/>
        <w:bCs/>
      </w:rPr>
      <w:tblPr/>
      <w:tcPr>
        <w:tcBorders>
          <w:top w:val="single" w:sz="18" w:space="0" w:color="7295D2" w:themeColor="accent5" w:themeTint="BF"/>
        </w:tcBorders>
      </w:tcPr>
    </w:tblStylePr>
    <w:tblStylePr w:type="firstCol">
      <w:rPr>
        <w:b/>
        <w:bCs/>
      </w:rPr>
    </w:tblStylePr>
    <w:tblStylePr w:type="lastCol">
      <w:rPr>
        <w:b/>
        <w:bCs/>
      </w:r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Cuadrculamedia1-nfasis6">
    <w:name w:val="Medium Grid 1 Accent 6"/>
    <w:basedOn w:val="Tablanormal"/>
    <w:uiPriority w:val="67"/>
    <w:semiHidden/>
    <w:unhideWhenUsed/>
    <w:rsid w:val="00AA75F6"/>
    <w:pPr>
      <w:spacing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Cuadrculamedia2">
    <w:name w:val="Medium Grid 2"/>
    <w:basedOn w:val="Tablanormal"/>
    <w:uiPriority w:val="68"/>
    <w:semiHidden/>
    <w:unhideWhenUsed/>
    <w:rsid w:val="00AA75F6"/>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semiHidden/>
    <w:unhideWhenUsed/>
    <w:rsid w:val="00AA75F6"/>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A4E4E" w:themeColor="accent1"/>
        <w:left w:val="single" w:sz="8" w:space="0" w:color="EA4E4E" w:themeColor="accent1"/>
        <w:bottom w:val="single" w:sz="8" w:space="0" w:color="EA4E4E" w:themeColor="accent1"/>
        <w:right w:val="single" w:sz="8" w:space="0" w:color="EA4E4E" w:themeColor="accent1"/>
        <w:insideH w:val="single" w:sz="8" w:space="0" w:color="EA4E4E" w:themeColor="accent1"/>
        <w:insideV w:val="single" w:sz="8" w:space="0" w:color="EA4E4E" w:themeColor="accent1"/>
      </w:tblBorders>
    </w:tblPr>
    <w:tcPr>
      <w:shd w:val="clear" w:color="auto" w:fill="F9D3D3" w:themeFill="accent1" w:themeFillTint="3F"/>
    </w:tcPr>
    <w:tblStylePr w:type="firstRow">
      <w:rPr>
        <w:b/>
        <w:bCs/>
        <w:color w:val="000000" w:themeColor="text1"/>
      </w:rPr>
      <w:tblPr/>
      <w:tcPr>
        <w:shd w:val="clear" w:color="auto" w:fill="FDEDED"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ADBDB" w:themeFill="accent1" w:themeFillTint="33"/>
      </w:tcPr>
    </w:tblStylePr>
    <w:tblStylePr w:type="band1Vert">
      <w:tblPr/>
      <w:tcPr>
        <w:shd w:val="clear" w:color="auto" w:fill="F4A6A6" w:themeFill="accent1" w:themeFillTint="7F"/>
      </w:tcPr>
    </w:tblStylePr>
    <w:tblStylePr w:type="band1Horz">
      <w:tblPr/>
      <w:tcPr>
        <w:tcBorders>
          <w:insideH w:val="single" w:sz="6" w:space="0" w:color="EA4E4E" w:themeColor="accent1"/>
          <w:insideV w:val="single" w:sz="6" w:space="0" w:color="EA4E4E" w:themeColor="accent1"/>
        </w:tcBorders>
        <w:shd w:val="clear" w:color="auto" w:fill="F4A6A6"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semiHidden/>
    <w:unhideWhenUsed/>
    <w:rsid w:val="00AA75F6"/>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semiHidden/>
    <w:unhideWhenUsed/>
    <w:rsid w:val="00AA75F6"/>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semiHidden/>
    <w:unhideWhenUsed/>
    <w:rsid w:val="00AA75F6"/>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semiHidden/>
    <w:unhideWhenUsed/>
    <w:rsid w:val="00AA75F6"/>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cPr>
      <w:shd w:val="clear" w:color="auto" w:fill="D0DBF0" w:themeFill="accent5" w:themeFillTint="3F"/>
    </w:tcPr>
    <w:tblStylePr w:type="firstRow">
      <w:rPr>
        <w:b/>
        <w:bCs/>
        <w:color w:val="000000" w:themeColor="text1"/>
      </w:rPr>
      <w:tblPr/>
      <w:tcPr>
        <w:shd w:val="clear" w:color="auto" w:fill="ECF1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5" w:themeFillTint="33"/>
      </w:tcPr>
    </w:tblStylePr>
    <w:tblStylePr w:type="band1Vert">
      <w:tblPr/>
      <w:tcPr>
        <w:shd w:val="clear" w:color="auto" w:fill="A1B8E1" w:themeFill="accent5" w:themeFillTint="7F"/>
      </w:tcPr>
    </w:tblStylePr>
    <w:tblStylePr w:type="band1Horz">
      <w:tblPr/>
      <w:tcPr>
        <w:tcBorders>
          <w:insideH w:val="single" w:sz="6" w:space="0" w:color="4472C4" w:themeColor="accent5"/>
          <w:insideV w:val="single" w:sz="6" w:space="0" w:color="4472C4" w:themeColor="accent5"/>
        </w:tcBorders>
        <w:shd w:val="clear" w:color="auto" w:fill="A1B8E1"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semiHidden/>
    <w:unhideWhenUsed/>
    <w:rsid w:val="00AA75F6"/>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semiHidden/>
    <w:unhideWhenUsed/>
    <w:rsid w:val="00AA75F6"/>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semiHidden/>
    <w:unhideWhenUsed/>
    <w:rsid w:val="00AA75F6"/>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9D3D3"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A4E4E"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A4E4E"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A4E4E"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A4E4E"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4A6A6"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4A6A6" w:themeFill="accent1" w:themeFillTint="7F"/>
      </w:tcPr>
    </w:tblStylePr>
  </w:style>
  <w:style w:type="table" w:styleId="Cuadrculamedia3-nfasis2">
    <w:name w:val="Medium Grid 3 Accent 2"/>
    <w:basedOn w:val="Tablanormal"/>
    <w:uiPriority w:val="69"/>
    <w:semiHidden/>
    <w:unhideWhenUsed/>
    <w:rsid w:val="00AA75F6"/>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Cuadrculamedia3-nfasis3">
    <w:name w:val="Medium Grid 3 Accent 3"/>
    <w:basedOn w:val="Tablanormal"/>
    <w:uiPriority w:val="69"/>
    <w:semiHidden/>
    <w:unhideWhenUsed/>
    <w:rsid w:val="00AA75F6"/>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Cuadrculamedia3-nfasis4">
    <w:name w:val="Medium Grid 3 Accent 4"/>
    <w:basedOn w:val="Tablanormal"/>
    <w:uiPriority w:val="69"/>
    <w:semiHidden/>
    <w:unhideWhenUsed/>
    <w:rsid w:val="00AA75F6"/>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Cuadrculamedia3-nfasis5">
    <w:name w:val="Medium Grid 3 Accent 5"/>
    <w:basedOn w:val="Tablanormal"/>
    <w:uiPriority w:val="69"/>
    <w:semiHidden/>
    <w:unhideWhenUsed/>
    <w:rsid w:val="00AA75F6"/>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styleId="Cuadrculamedia3-nfasis6">
    <w:name w:val="Medium Grid 3 Accent 6"/>
    <w:basedOn w:val="Tablanormal"/>
    <w:uiPriority w:val="69"/>
    <w:semiHidden/>
    <w:unhideWhenUsed/>
    <w:rsid w:val="00AA75F6"/>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Listamedia1">
    <w:name w:val="Medium List 1"/>
    <w:basedOn w:val="Tablanormal"/>
    <w:uiPriority w:val="65"/>
    <w:semiHidden/>
    <w:unhideWhenUsed/>
    <w:rsid w:val="00AA75F6"/>
    <w:pPr>
      <w:spacing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semiHidden/>
    <w:unhideWhenUsed/>
    <w:rsid w:val="00AA75F6"/>
    <w:pPr>
      <w:spacing w:line="240" w:lineRule="auto"/>
    </w:pPr>
    <w:rPr>
      <w:color w:val="000000" w:themeColor="text1"/>
    </w:rPr>
    <w:tblPr>
      <w:tblStyleRowBandSize w:val="1"/>
      <w:tblStyleColBandSize w:val="1"/>
      <w:tblBorders>
        <w:top w:val="single" w:sz="8" w:space="0" w:color="EA4E4E" w:themeColor="accent1"/>
        <w:bottom w:val="single" w:sz="8" w:space="0" w:color="EA4E4E" w:themeColor="accent1"/>
      </w:tblBorders>
    </w:tblPr>
    <w:tblStylePr w:type="firstRow">
      <w:rPr>
        <w:rFonts w:asciiTheme="majorHAnsi" w:eastAsiaTheme="majorEastAsia" w:hAnsiTheme="majorHAnsi" w:cstheme="majorBidi"/>
      </w:rPr>
      <w:tblPr/>
      <w:tcPr>
        <w:tcBorders>
          <w:top w:val="nil"/>
          <w:bottom w:val="single" w:sz="8" w:space="0" w:color="EA4E4E" w:themeColor="accent1"/>
        </w:tcBorders>
      </w:tcPr>
    </w:tblStylePr>
    <w:tblStylePr w:type="lastRow">
      <w:rPr>
        <w:b/>
        <w:bCs/>
        <w:color w:val="44546A" w:themeColor="text2"/>
      </w:rPr>
      <w:tblPr/>
      <w:tcPr>
        <w:tcBorders>
          <w:top w:val="single" w:sz="8" w:space="0" w:color="EA4E4E" w:themeColor="accent1"/>
          <w:bottom w:val="single" w:sz="8" w:space="0" w:color="EA4E4E" w:themeColor="accent1"/>
        </w:tcBorders>
      </w:tcPr>
    </w:tblStylePr>
    <w:tblStylePr w:type="firstCol">
      <w:rPr>
        <w:b/>
        <w:bCs/>
      </w:rPr>
    </w:tblStylePr>
    <w:tblStylePr w:type="lastCol">
      <w:rPr>
        <w:b/>
        <w:bCs/>
      </w:rPr>
      <w:tblPr/>
      <w:tcPr>
        <w:tcBorders>
          <w:top w:val="single" w:sz="8" w:space="0" w:color="EA4E4E" w:themeColor="accent1"/>
          <w:bottom w:val="single" w:sz="8" w:space="0" w:color="EA4E4E" w:themeColor="accent1"/>
        </w:tcBorders>
      </w:tcPr>
    </w:tblStylePr>
    <w:tblStylePr w:type="band1Vert">
      <w:tblPr/>
      <w:tcPr>
        <w:shd w:val="clear" w:color="auto" w:fill="F9D3D3" w:themeFill="accent1" w:themeFillTint="3F"/>
      </w:tcPr>
    </w:tblStylePr>
    <w:tblStylePr w:type="band1Horz">
      <w:tblPr/>
      <w:tcPr>
        <w:shd w:val="clear" w:color="auto" w:fill="F9D3D3" w:themeFill="accent1" w:themeFillTint="3F"/>
      </w:tcPr>
    </w:tblStylePr>
  </w:style>
  <w:style w:type="table" w:styleId="Listamedia1-nfasis2">
    <w:name w:val="Medium List 1 Accent 2"/>
    <w:basedOn w:val="Tablanormal"/>
    <w:uiPriority w:val="65"/>
    <w:semiHidden/>
    <w:unhideWhenUsed/>
    <w:rsid w:val="00AA75F6"/>
    <w:pPr>
      <w:spacing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Listamedia1-nfasis3">
    <w:name w:val="Medium List 1 Accent 3"/>
    <w:basedOn w:val="Tablanormal"/>
    <w:uiPriority w:val="65"/>
    <w:semiHidden/>
    <w:unhideWhenUsed/>
    <w:rsid w:val="00AA75F6"/>
    <w:pPr>
      <w:spacing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Listamedia1-nfasis4">
    <w:name w:val="Medium List 1 Accent 4"/>
    <w:basedOn w:val="Tablanormal"/>
    <w:uiPriority w:val="65"/>
    <w:semiHidden/>
    <w:unhideWhenUsed/>
    <w:rsid w:val="00AA75F6"/>
    <w:pPr>
      <w:spacing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Listamedia1-nfasis5">
    <w:name w:val="Medium List 1 Accent 5"/>
    <w:basedOn w:val="Tablanormal"/>
    <w:uiPriority w:val="65"/>
    <w:semiHidden/>
    <w:unhideWhenUsed/>
    <w:rsid w:val="00AA75F6"/>
    <w:pPr>
      <w:spacing w:line="240" w:lineRule="auto"/>
    </w:pPr>
    <w:rPr>
      <w:color w:val="000000" w:themeColor="text1"/>
    </w:rPr>
    <w:tblPr>
      <w:tblStyleRowBandSize w:val="1"/>
      <w:tblStyleColBandSize w:val="1"/>
      <w:tblBorders>
        <w:top w:val="single" w:sz="8" w:space="0" w:color="4472C4" w:themeColor="accent5"/>
        <w:bottom w:val="single" w:sz="8" w:space="0" w:color="4472C4" w:themeColor="accent5"/>
      </w:tblBorders>
    </w:tblPr>
    <w:tblStylePr w:type="firstRow">
      <w:rPr>
        <w:rFonts w:asciiTheme="majorHAnsi" w:eastAsiaTheme="majorEastAsia" w:hAnsiTheme="majorHAnsi" w:cstheme="majorBidi"/>
      </w:rPr>
      <w:tblPr/>
      <w:tcPr>
        <w:tcBorders>
          <w:top w:val="nil"/>
          <w:bottom w:val="single" w:sz="8" w:space="0" w:color="4472C4" w:themeColor="accent5"/>
        </w:tcBorders>
      </w:tcPr>
    </w:tblStylePr>
    <w:tblStylePr w:type="lastRow">
      <w:rPr>
        <w:b/>
        <w:bCs/>
        <w:color w:val="44546A" w:themeColor="text2"/>
      </w:rPr>
      <w:tblPr/>
      <w:tcPr>
        <w:tcBorders>
          <w:top w:val="single" w:sz="8" w:space="0" w:color="4472C4" w:themeColor="accent5"/>
          <w:bottom w:val="single" w:sz="8" w:space="0" w:color="4472C4" w:themeColor="accent5"/>
        </w:tcBorders>
      </w:tcPr>
    </w:tblStylePr>
    <w:tblStylePr w:type="firstCol">
      <w:rPr>
        <w:b/>
        <w:bCs/>
      </w:rPr>
    </w:tblStylePr>
    <w:tblStylePr w:type="lastCol">
      <w:rPr>
        <w:b/>
        <w:bCs/>
      </w:rPr>
      <w:tblPr/>
      <w:tcPr>
        <w:tcBorders>
          <w:top w:val="single" w:sz="8" w:space="0" w:color="4472C4" w:themeColor="accent5"/>
          <w:bottom w:val="single" w:sz="8" w:space="0" w:color="4472C4" w:themeColor="accent5"/>
        </w:tcBorders>
      </w:tcPr>
    </w:tblStylePr>
    <w:tblStylePr w:type="band1Vert">
      <w:tblPr/>
      <w:tcPr>
        <w:shd w:val="clear" w:color="auto" w:fill="D0DBF0" w:themeFill="accent5" w:themeFillTint="3F"/>
      </w:tcPr>
    </w:tblStylePr>
    <w:tblStylePr w:type="band1Horz">
      <w:tblPr/>
      <w:tcPr>
        <w:shd w:val="clear" w:color="auto" w:fill="D0DBF0" w:themeFill="accent5" w:themeFillTint="3F"/>
      </w:tcPr>
    </w:tblStylePr>
  </w:style>
  <w:style w:type="table" w:styleId="Listamedia1-nfasis6">
    <w:name w:val="Medium List 1 Accent 6"/>
    <w:basedOn w:val="Tablanormal"/>
    <w:uiPriority w:val="65"/>
    <w:semiHidden/>
    <w:unhideWhenUsed/>
    <w:rsid w:val="00AA75F6"/>
    <w:pPr>
      <w:spacing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Listamedia2">
    <w:name w:val="Medium List 2"/>
    <w:basedOn w:val="Tablanormal"/>
    <w:uiPriority w:val="66"/>
    <w:semiHidden/>
    <w:unhideWhenUsed/>
    <w:rsid w:val="00AA75F6"/>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semiHidden/>
    <w:unhideWhenUsed/>
    <w:rsid w:val="00AA75F6"/>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A4E4E" w:themeColor="accent1"/>
        <w:left w:val="single" w:sz="8" w:space="0" w:color="EA4E4E" w:themeColor="accent1"/>
        <w:bottom w:val="single" w:sz="8" w:space="0" w:color="EA4E4E" w:themeColor="accent1"/>
        <w:right w:val="single" w:sz="8" w:space="0" w:color="EA4E4E" w:themeColor="accent1"/>
      </w:tblBorders>
    </w:tblPr>
    <w:tblStylePr w:type="firstRow">
      <w:rPr>
        <w:sz w:val="24"/>
        <w:szCs w:val="24"/>
      </w:rPr>
      <w:tblPr/>
      <w:tcPr>
        <w:tcBorders>
          <w:top w:val="nil"/>
          <w:left w:val="nil"/>
          <w:bottom w:val="single" w:sz="24" w:space="0" w:color="EA4E4E"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A4E4E" w:themeColor="accent1"/>
          <w:insideH w:val="nil"/>
          <w:insideV w:val="nil"/>
        </w:tcBorders>
        <w:shd w:val="clear" w:color="auto" w:fill="FFFFFF" w:themeFill="background1"/>
      </w:tcPr>
    </w:tblStylePr>
    <w:tblStylePr w:type="lastCol">
      <w:tblPr/>
      <w:tcPr>
        <w:tcBorders>
          <w:top w:val="nil"/>
          <w:left w:val="single" w:sz="8" w:space="0" w:color="EA4E4E"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9D3D3" w:themeFill="accent1" w:themeFillTint="3F"/>
      </w:tcPr>
    </w:tblStylePr>
    <w:tblStylePr w:type="band1Horz">
      <w:tblPr/>
      <w:tcPr>
        <w:tcBorders>
          <w:top w:val="nil"/>
          <w:bottom w:val="nil"/>
          <w:insideH w:val="nil"/>
          <w:insideV w:val="nil"/>
        </w:tcBorders>
        <w:shd w:val="clear" w:color="auto" w:fill="F9D3D3"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semiHidden/>
    <w:unhideWhenUsed/>
    <w:rsid w:val="00AA75F6"/>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semiHidden/>
    <w:unhideWhenUsed/>
    <w:rsid w:val="00AA75F6"/>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semiHidden/>
    <w:unhideWhenUsed/>
    <w:rsid w:val="00AA75F6"/>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semiHidden/>
    <w:unhideWhenUsed/>
    <w:rsid w:val="00AA75F6"/>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rPr>
        <w:sz w:val="24"/>
        <w:szCs w:val="24"/>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5"/>
          <w:insideH w:val="nil"/>
          <w:insideV w:val="nil"/>
        </w:tcBorders>
        <w:shd w:val="clear" w:color="auto" w:fill="FFFFFF" w:themeFill="background1"/>
      </w:tcPr>
    </w:tblStylePr>
    <w:tblStylePr w:type="lastCol">
      <w:tblPr/>
      <w:tcPr>
        <w:tcBorders>
          <w:top w:val="nil"/>
          <w:left w:val="single" w:sz="8" w:space="0" w:color="4472C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top w:val="nil"/>
          <w:bottom w:val="nil"/>
          <w:insideH w:val="nil"/>
          <w:insideV w:val="nil"/>
        </w:tcBorders>
        <w:shd w:val="clear" w:color="auto" w:fill="D0DB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semiHidden/>
    <w:unhideWhenUsed/>
    <w:rsid w:val="00AA75F6"/>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Sombreadomedio1">
    <w:name w:val="Medium Shading 1"/>
    <w:basedOn w:val="Tablanormal"/>
    <w:uiPriority w:val="63"/>
    <w:semiHidden/>
    <w:unhideWhenUsed/>
    <w:rsid w:val="00AA75F6"/>
    <w:pPr>
      <w:spacing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semiHidden/>
    <w:unhideWhenUsed/>
    <w:rsid w:val="00AA75F6"/>
    <w:pPr>
      <w:spacing w:line="240" w:lineRule="auto"/>
    </w:pPr>
    <w:tblPr>
      <w:tblStyleRowBandSize w:val="1"/>
      <w:tblStyleColBandSize w:val="1"/>
      <w:tblBorders>
        <w:top w:val="single" w:sz="8" w:space="0" w:color="EF7A7A" w:themeColor="accent1" w:themeTint="BF"/>
        <w:left w:val="single" w:sz="8" w:space="0" w:color="EF7A7A" w:themeColor="accent1" w:themeTint="BF"/>
        <w:bottom w:val="single" w:sz="8" w:space="0" w:color="EF7A7A" w:themeColor="accent1" w:themeTint="BF"/>
        <w:right w:val="single" w:sz="8" w:space="0" w:color="EF7A7A" w:themeColor="accent1" w:themeTint="BF"/>
        <w:insideH w:val="single" w:sz="8" w:space="0" w:color="EF7A7A" w:themeColor="accent1" w:themeTint="BF"/>
      </w:tblBorders>
    </w:tblPr>
    <w:tblStylePr w:type="firstRow">
      <w:pPr>
        <w:spacing w:before="0" w:after="0" w:line="240" w:lineRule="auto"/>
      </w:pPr>
      <w:rPr>
        <w:b/>
        <w:bCs/>
        <w:color w:val="FFFFFF" w:themeColor="background1"/>
      </w:rPr>
      <w:tblPr/>
      <w:tcPr>
        <w:tcBorders>
          <w:top w:val="single" w:sz="8" w:space="0" w:color="EF7A7A" w:themeColor="accent1" w:themeTint="BF"/>
          <w:left w:val="single" w:sz="8" w:space="0" w:color="EF7A7A" w:themeColor="accent1" w:themeTint="BF"/>
          <w:bottom w:val="single" w:sz="8" w:space="0" w:color="EF7A7A" w:themeColor="accent1" w:themeTint="BF"/>
          <w:right w:val="single" w:sz="8" w:space="0" w:color="EF7A7A" w:themeColor="accent1" w:themeTint="BF"/>
          <w:insideH w:val="nil"/>
          <w:insideV w:val="nil"/>
        </w:tcBorders>
        <w:shd w:val="clear" w:color="auto" w:fill="EA4E4E" w:themeFill="accent1"/>
      </w:tcPr>
    </w:tblStylePr>
    <w:tblStylePr w:type="lastRow">
      <w:pPr>
        <w:spacing w:before="0" w:after="0" w:line="240" w:lineRule="auto"/>
      </w:pPr>
      <w:rPr>
        <w:b/>
        <w:bCs/>
      </w:rPr>
      <w:tblPr/>
      <w:tcPr>
        <w:tcBorders>
          <w:top w:val="double" w:sz="6" w:space="0" w:color="EF7A7A" w:themeColor="accent1" w:themeTint="BF"/>
          <w:left w:val="single" w:sz="8" w:space="0" w:color="EF7A7A" w:themeColor="accent1" w:themeTint="BF"/>
          <w:bottom w:val="single" w:sz="8" w:space="0" w:color="EF7A7A" w:themeColor="accent1" w:themeTint="BF"/>
          <w:right w:val="single" w:sz="8" w:space="0" w:color="EF7A7A" w:themeColor="accent1" w:themeTint="BF"/>
          <w:insideH w:val="nil"/>
          <w:insideV w:val="nil"/>
        </w:tcBorders>
      </w:tcPr>
    </w:tblStylePr>
    <w:tblStylePr w:type="firstCol">
      <w:rPr>
        <w:b/>
        <w:bCs/>
      </w:rPr>
    </w:tblStylePr>
    <w:tblStylePr w:type="lastCol">
      <w:rPr>
        <w:b/>
        <w:bCs/>
      </w:rPr>
    </w:tblStylePr>
    <w:tblStylePr w:type="band1Vert">
      <w:tblPr/>
      <w:tcPr>
        <w:shd w:val="clear" w:color="auto" w:fill="F9D3D3" w:themeFill="accent1" w:themeFillTint="3F"/>
      </w:tcPr>
    </w:tblStylePr>
    <w:tblStylePr w:type="band1Horz">
      <w:tblPr/>
      <w:tcPr>
        <w:tcBorders>
          <w:insideH w:val="nil"/>
          <w:insideV w:val="nil"/>
        </w:tcBorders>
        <w:shd w:val="clear" w:color="auto" w:fill="F9D3D3"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semiHidden/>
    <w:unhideWhenUsed/>
    <w:rsid w:val="00AA75F6"/>
    <w:pPr>
      <w:spacing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semiHidden/>
    <w:unhideWhenUsed/>
    <w:rsid w:val="00AA75F6"/>
    <w:pPr>
      <w:spacing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semiHidden/>
    <w:unhideWhenUsed/>
    <w:rsid w:val="00AA75F6"/>
    <w:pPr>
      <w:spacing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semiHidden/>
    <w:unhideWhenUsed/>
    <w:rsid w:val="00AA75F6"/>
    <w:pPr>
      <w:spacing w:line="240" w:lineRule="auto"/>
    </w:pPr>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semiHidden/>
    <w:unhideWhenUsed/>
    <w:rsid w:val="00AA75F6"/>
    <w:pPr>
      <w:spacing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semiHidden/>
    <w:unhideWhenUsed/>
    <w:rsid w:val="00AA75F6"/>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1">
    <w:name w:val="Medium Shading 2 Accent 1"/>
    <w:basedOn w:val="Tablanormal"/>
    <w:uiPriority w:val="64"/>
    <w:semiHidden/>
    <w:unhideWhenUsed/>
    <w:rsid w:val="00AA75F6"/>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A4E4E"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A4E4E" w:themeFill="accent1"/>
      </w:tcPr>
    </w:tblStylePr>
    <w:tblStylePr w:type="lastCol">
      <w:rPr>
        <w:b/>
        <w:bCs/>
        <w:color w:val="FFFFFF" w:themeColor="background1"/>
      </w:rPr>
      <w:tblPr/>
      <w:tcPr>
        <w:tcBorders>
          <w:left w:val="nil"/>
          <w:right w:val="nil"/>
          <w:insideH w:val="nil"/>
          <w:insideV w:val="nil"/>
        </w:tcBorders>
        <w:shd w:val="clear" w:color="auto" w:fill="EA4E4E"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2">
    <w:name w:val="Medium Shading 2 Accent 2"/>
    <w:basedOn w:val="Tablanormal"/>
    <w:uiPriority w:val="64"/>
    <w:semiHidden/>
    <w:unhideWhenUsed/>
    <w:rsid w:val="00AA75F6"/>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3">
    <w:name w:val="Medium Shading 2 Accent 3"/>
    <w:basedOn w:val="Tablanormal"/>
    <w:uiPriority w:val="64"/>
    <w:semiHidden/>
    <w:unhideWhenUsed/>
    <w:rsid w:val="00AA75F6"/>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4">
    <w:name w:val="Medium Shading 2 Accent 4"/>
    <w:basedOn w:val="Tablanormal"/>
    <w:uiPriority w:val="64"/>
    <w:semiHidden/>
    <w:unhideWhenUsed/>
    <w:rsid w:val="00AA75F6"/>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5">
    <w:name w:val="Medium Shading 2 Accent 5"/>
    <w:basedOn w:val="Tablanormal"/>
    <w:uiPriority w:val="64"/>
    <w:semiHidden/>
    <w:unhideWhenUsed/>
    <w:rsid w:val="00AA75F6"/>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6">
    <w:name w:val="Medium Shading 2 Accent 6"/>
    <w:basedOn w:val="Tablanormal"/>
    <w:uiPriority w:val="64"/>
    <w:semiHidden/>
    <w:unhideWhenUsed/>
    <w:rsid w:val="00AA75F6"/>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Encabezadodemensaje">
    <w:name w:val="Message Header"/>
    <w:basedOn w:val="Normal"/>
    <w:link w:val="EncabezadodemensajeCar"/>
    <w:uiPriority w:val="99"/>
    <w:semiHidden/>
    <w:unhideWhenUsed/>
    <w:rsid w:val="00AA75F6"/>
    <w:pPr>
      <w:pBdr>
        <w:top w:val="single" w:sz="6" w:space="1" w:color="auto"/>
        <w:left w:val="single" w:sz="6" w:space="1" w:color="auto"/>
        <w:bottom w:val="single" w:sz="6" w:space="1" w:color="auto"/>
        <w:right w:val="single" w:sz="6" w:space="1" w:color="auto"/>
      </w:pBdr>
      <w:shd w:val="pct20" w:color="auto" w:fill="auto"/>
      <w:spacing w:line="240" w:lineRule="auto"/>
      <w:ind w:left="1080" w:hanging="1080"/>
    </w:pPr>
    <w:rPr>
      <w:rFonts w:asciiTheme="majorHAnsi" w:eastAsiaTheme="majorEastAsia" w:hAnsiTheme="majorHAnsi" w:cstheme="majorBidi"/>
      <w:sz w:val="24"/>
      <w:szCs w:val="24"/>
    </w:rPr>
  </w:style>
  <w:style w:type="character" w:customStyle="1" w:styleId="EncabezadodemensajeCar">
    <w:name w:val="Encabezado de mensaje Car"/>
    <w:basedOn w:val="Fuentedeprrafopredeter"/>
    <w:link w:val="Encabezadodemensaje"/>
    <w:uiPriority w:val="99"/>
    <w:semiHidden/>
    <w:rsid w:val="00AA75F6"/>
    <w:rPr>
      <w:rFonts w:asciiTheme="majorHAnsi" w:eastAsiaTheme="majorEastAsia" w:hAnsiTheme="majorHAnsi" w:cstheme="majorBidi"/>
      <w:sz w:val="24"/>
      <w:szCs w:val="24"/>
      <w:shd w:val="pct20" w:color="auto" w:fill="auto"/>
    </w:rPr>
  </w:style>
  <w:style w:type="paragraph" w:styleId="NormalWeb">
    <w:name w:val="Normal (Web)"/>
    <w:basedOn w:val="Normal"/>
    <w:link w:val="NormalWebCar"/>
    <w:uiPriority w:val="99"/>
    <w:unhideWhenUsed/>
    <w:rsid w:val="00AA75F6"/>
    <w:rPr>
      <w:rFonts w:ascii="Times New Roman" w:hAnsi="Times New Roman" w:cs="Times New Roman"/>
      <w:sz w:val="24"/>
      <w:szCs w:val="24"/>
    </w:rPr>
  </w:style>
  <w:style w:type="paragraph" w:styleId="Sangranormal">
    <w:name w:val="Normal Indent"/>
    <w:basedOn w:val="Normal"/>
    <w:uiPriority w:val="99"/>
    <w:semiHidden/>
    <w:unhideWhenUsed/>
    <w:rsid w:val="00AA75F6"/>
    <w:pPr>
      <w:ind w:left="720"/>
    </w:pPr>
  </w:style>
  <w:style w:type="paragraph" w:styleId="Encabezadodenota">
    <w:name w:val="Note Heading"/>
    <w:basedOn w:val="Normal"/>
    <w:next w:val="Normal"/>
    <w:link w:val="EncabezadodenotaCar"/>
    <w:uiPriority w:val="99"/>
    <w:semiHidden/>
    <w:unhideWhenUsed/>
    <w:rsid w:val="00AA75F6"/>
    <w:pPr>
      <w:spacing w:line="240" w:lineRule="auto"/>
    </w:pPr>
  </w:style>
  <w:style w:type="character" w:customStyle="1" w:styleId="EncabezadodenotaCar">
    <w:name w:val="Encabezado de nota Car"/>
    <w:basedOn w:val="Fuentedeprrafopredeter"/>
    <w:link w:val="Encabezadodenota"/>
    <w:uiPriority w:val="99"/>
    <w:semiHidden/>
    <w:rsid w:val="00AA75F6"/>
  </w:style>
  <w:style w:type="character" w:styleId="Nmerodepgina">
    <w:name w:val="page number"/>
    <w:basedOn w:val="Fuentedeprrafopredeter"/>
    <w:uiPriority w:val="99"/>
    <w:semiHidden/>
    <w:unhideWhenUsed/>
    <w:rsid w:val="00AA75F6"/>
  </w:style>
  <w:style w:type="table" w:styleId="Tablanormal1">
    <w:name w:val="Plain Table 1"/>
    <w:basedOn w:val="Tablanormal"/>
    <w:uiPriority w:val="41"/>
    <w:rsid w:val="00AA75F6"/>
    <w:pPr>
      <w:spacing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anormal2">
    <w:name w:val="Plain Table 2"/>
    <w:basedOn w:val="Tablanormal"/>
    <w:uiPriority w:val="42"/>
    <w:rsid w:val="00AA75F6"/>
    <w:pPr>
      <w:spacing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anormal3">
    <w:name w:val="Plain Table 3"/>
    <w:basedOn w:val="Tablanormal"/>
    <w:uiPriority w:val="43"/>
    <w:rsid w:val="00AA75F6"/>
    <w:pPr>
      <w:spacing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lanormal4">
    <w:name w:val="Plain Table 4"/>
    <w:basedOn w:val="Tablanormal"/>
    <w:uiPriority w:val="44"/>
    <w:rsid w:val="00AA75F6"/>
    <w:pPr>
      <w:spacing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anormal5">
    <w:name w:val="Plain Table 5"/>
    <w:basedOn w:val="Tablanormal"/>
    <w:uiPriority w:val="45"/>
    <w:rsid w:val="00AA75F6"/>
    <w:pPr>
      <w:spacing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Textosinformato">
    <w:name w:val="Plain Text"/>
    <w:basedOn w:val="Normal"/>
    <w:link w:val="TextosinformatoCar"/>
    <w:uiPriority w:val="99"/>
    <w:semiHidden/>
    <w:unhideWhenUsed/>
    <w:rsid w:val="00AA75F6"/>
    <w:pPr>
      <w:spacing w:line="240" w:lineRule="auto"/>
    </w:pPr>
    <w:rPr>
      <w:rFonts w:ascii="Consolas" w:hAnsi="Consolas"/>
      <w:szCs w:val="21"/>
    </w:rPr>
  </w:style>
  <w:style w:type="character" w:customStyle="1" w:styleId="TextosinformatoCar">
    <w:name w:val="Texto sin formato Car"/>
    <w:basedOn w:val="Fuentedeprrafopredeter"/>
    <w:link w:val="Textosinformato"/>
    <w:uiPriority w:val="99"/>
    <w:semiHidden/>
    <w:rsid w:val="00AA75F6"/>
    <w:rPr>
      <w:rFonts w:ascii="Consolas" w:hAnsi="Consolas"/>
      <w:szCs w:val="21"/>
    </w:rPr>
  </w:style>
  <w:style w:type="paragraph" w:styleId="Cita">
    <w:name w:val="Quote"/>
    <w:basedOn w:val="Normal"/>
    <w:next w:val="Normal"/>
    <w:link w:val="CitaCar"/>
    <w:uiPriority w:val="29"/>
    <w:semiHidden/>
    <w:unhideWhenUsed/>
    <w:qFormat/>
    <w:rsid w:val="00AA75F6"/>
    <w:pPr>
      <w:spacing w:before="200" w:after="160"/>
      <w:ind w:left="864" w:right="864"/>
      <w:jc w:val="center"/>
    </w:pPr>
    <w:rPr>
      <w:i/>
      <w:iCs/>
      <w:color w:val="404040" w:themeColor="text1" w:themeTint="BF"/>
    </w:rPr>
  </w:style>
  <w:style w:type="character" w:customStyle="1" w:styleId="CitaCar">
    <w:name w:val="Cita Car"/>
    <w:basedOn w:val="Fuentedeprrafopredeter"/>
    <w:link w:val="Cita"/>
    <w:uiPriority w:val="29"/>
    <w:semiHidden/>
    <w:rsid w:val="00AA75F6"/>
    <w:rPr>
      <w:i/>
      <w:iCs/>
      <w:color w:val="404040" w:themeColor="text1" w:themeTint="BF"/>
    </w:rPr>
  </w:style>
  <w:style w:type="paragraph" w:styleId="Saludo">
    <w:name w:val="Salutation"/>
    <w:basedOn w:val="Normal"/>
    <w:next w:val="Normal"/>
    <w:link w:val="SaludoCar"/>
    <w:uiPriority w:val="99"/>
    <w:semiHidden/>
    <w:unhideWhenUsed/>
    <w:rsid w:val="00AA75F6"/>
  </w:style>
  <w:style w:type="character" w:customStyle="1" w:styleId="SaludoCar">
    <w:name w:val="Saludo Car"/>
    <w:basedOn w:val="Fuentedeprrafopredeter"/>
    <w:link w:val="Saludo"/>
    <w:uiPriority w:val="99"/>
    <w:semiHidden/>
    <w:rsid w:val="00AA75F6"/>
  </w:style>
  <w:style w:type="paragraph" w:styleId="Firma">
    <w:name w:val="Signature"/>
    <w:basedOn w:val="Normal"/>
    <w:link w:val="FirmaCar"/>
    <w:uiPriority w:val="99"/>
    <w:semiHidden/>
    <w:unhideWhenUsed/>
    <w:rsid w:val="00AA75F6"/>
    <w:pPr>
      <w:spacing w:line="240" w:lineRule="auto"/>
      <w:ind w:left="4320"/>
    </w:pPr>
  </w:style>
  <w:style w:type="character" w:customStyle="1" w:styleId="FirmaCar">
    <w:name w:val="Firma Car"/>
    <w:basedOn w:val="Fuentedeprrafopredeter"/>
    <w:link w:val="Firma"/>
    <w:uiPriority w:val="99"/>
    <w:semiHidden/>
    <w:rsid w:val="00AA75F6"/>
  </w:style>
  <w:style w:type="character" w:styleId="Textoennegrita">
    <w:name w:val="Strong"/>
    <w:basedOn w:val="Fuentedeprrafopredeter"/>
    <w:uiPriority w:val="22"/>
    <w:unhideWhenUsed/>
    <w:qFormat/>
    <w:rsid w:val="00AA75F6"/>
    <w:rPr>
      <w:b/>
      <w:bCs/>
    </w:rPr>
  </w:style>
  <w:style w:type="character" w:styleId="nfasissutil">
    <w:name w:val="Subtle Emphasis"/>
    <w:basedOn w:val="Fuentedeprrafopredeter"/>
    <w:uiPriority w:val="19"/>
    <w:semiHidden/>
    <w:unhideWhenUsed/>
    <w:qFormat/>
    <w:rsid w:val="00AA75F6"/>
    <w:rPr>
      <w:i/>
      <w:iCs/>
      <w:color w:val="404040" w:themeColor="text1" w:themeTint="BF"/>
    </w:rPr>
  </w:style>
  <w:style w:type="character" w:styleId="Referenciasutil">
    <w:name w:val="Subtle Reference"/>
    <w:basedOn w:val="Fuentedeprrafopredeter"/>
    <w:uiPriority w:val="31"/>
    <w:semiHidden/>
    <w:unhideWhenUsed/>
    <w:qFormat/>
    <w:rsid w:val="00AA75F6"/>
    <w:rPr>
      <w:smallCaps/>
      <w:color w:val="5A5A5A" w:themeColor="text1" w:themeTint="A5"/>
    </w:rPr>
  </w:style>
  <w:style w:type="table" w:styleId="Tablaconefectos3D1">
    <w:name w:val="Table 3D effects 1"/>
    <w:basedOn w:val="Tablanormal"/>
    <w:uiPriority w:val="99"/>
    <w:semiHidden/>
    <w:unhideWhenUsed/>
    <w:rsid w:val="00AA75F6"/>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aconefectos3D2">
    <w:name w:val="Table 3D effects 2"/>
    <w:basedOn w:val="Tablanormal"/>
    <w:uiPriority w:val="99"/>
    <w:semiHidden/>
    <w:unhideWhenUsed/>
    <w:rsid w:val="00AA75F6"/>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efectos3D3">
    <w:name w:val="Table 3D effects 3"/>
    <w:basedOn w:val="Tablanormal"/>
    <w:uiPriority w:val="99"/>
    <w:semiHidden/>
    <w:unhideWhenUsed/>
    <w:rsid w:val="00AA75F6"/>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1">
    <w:name w:val="Table Classic 1"/>
    <w:basedOn w:val="Tablanormal"/>
    <w:uiPriority w:val="99"/>
    <w:semiHidden/>
    <w:unhideWhenUsed/>
    <w:rsid w:val="00AA75F6"/>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2">
    <w:name w:val="Table Classic 2"/>
    <w:basedOn w:val="Tablanormal"/>
    <w:uiPriority w:val="99"/>
    <w:semiHidden/>
    <w:unhideWhenUsed/>
    <w:rsid w:val="00AA75F6"/>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aclsica3">
    <w:name w:val="Table Classic 3"/>
    <w:basedOn w:val="Tablanormal"/>
    <w:uiPriority w:val="99"/>
    <w:semiHidden/>
    <w:unhideWhenUsed/>
    <w:rsid w:val="00AA75F6"/>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aclsica4">
    <w:name w:val="Table Classic 4"/>
    <w:basedOn w:val="Tablanormal"/>
    <w:uiPriority w:val="99"/>
    <w:semiHidden/>
    <w:unhideWhenUsed/>
    <w:rsid w:val="00AA75F6"/>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vistosa1">
    <w:name w:val="Table Colorful 1"/>
    <w:basedOn w:val="Tablanormal"/>
    <w:uiPriority w:val="99"/>
    <w:semiHidden/>
    <w:unhideWhenUsed/>
    <w:rsid w:val="00AA75F6"/>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avistosa2">
    <w:name w:val="Table Colorful 2"/>
    <w:basedOn w:val="Tablanormal"/>
    <w:uiPriority w:val="99"/>
    <w:semiHidden/>
    <w:unhideWhenUsed/>
    <w:rsid w:val="00AA75F6"/>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avistosa3">
    <w:name w:val="Table Colorful 3"/>
    <w:basedOn w:val="Tablanormal"/>
    <w:uiPriority w:val="99"/>
    <w:semiHidden/>
    <w:unhideWhenUsed/>
    <w:rsid w:val="00AA75F6"/>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aconcolumnas1">
    <w:name w:val="Table Columns 1"/>
    <w:basedOn w:val="Tablanormal"/>
    <w:uiPriority w:val="99"/>
    <w:semiHidden/>
    <w:unhideWhenUsed/>
    <w:rsid w:val="00AA75F6"/>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2">
    <w:name w:val="Table Columns 2"/>
    <w:basedOn w:val="Tablanormal"/>
    <w:uiPriority w:val="99"/>
    <w:semiHidden/>
    <w:unhideWhenUsed/>
    <w:rsid w:val="00AA75F6"/>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3">
    <w:name w:val="Table Columns 3"/>
    <w:basedOn w:val="Tablanormal"/>
    <w:uiPriority w:val="99"/>
    <w:semiHidden/>
    <w:unhideWhenUsed/>
    <w:rsid w:val="00AA75F6"/>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aconcolumnas4">
    <w:name w:val="Table Columns 4"/>
    <w:basedOn w:val="Tablanormal"/>
    <w:uiPriority w:val="99"/>
    <w:semiHidden/>
    <w:unhideWhenUsed/>
    <w:rsid w:val="00AA75F6"/>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aconcolumnas5">
    <w:name w:val="Table Columns 5"/>
    <w:basedOn w:val="Tablanormal"/>
    <w:uiPriority w:val="99"/>
    <w:semiHidden/>
    <w:unhideWhenUsed/>
    <w:rsid w:val="00AA75F6"/>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amoderna">
    <w:name w:val="Table Contemporary"/>
    <w:basedOn w:val="Tablanormal"/>
    <w:uiPriority w:val="99"/>
    <w:semiHidden/>
    <w:unhideWhenUsed/>
    <w:rsid w:val="00AA75F6"/>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aelegante">
    <w:name w:val="Table Elegant"/>
    <w:basedOn w:val="Tablanormal"/>
    <w:uiPriority w:val="99"/>
    <w:semiHidden/>
    <w:unhideWhenUsed/>
    <w:rsid w:val="00AA75F6"/>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aconcuadrcula1">
    <w:name w:val="Table Grid 1"/>
    <w:basedOn w:val="Tablanormal"/>
    <w:uiPriority w:val="99"/>
    <w:semiHidden/>
    <w:unhideWhenUsed/>
    <w:rsid w:val="00AA75F6"/>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Cuadrculadetabla2">
    <w:name w:val="Table Grid 2"/>
    <w:basedOn w:val="Tablanormal"/>
    <w:uiPriority w:val="99"/>
    <w:semiHidden/>
    <w:unhideWhenUsed/>
    <w:rsid w:val="00AA75F6"/>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Cuadrculadetabla3">
    <w:name w:val="Table Grid 3"/>
    <w:basedOn w:val="Tablanormal"/>
    <w:uiPriority w:val="99"/>
    <w:semiHidden/>
    <w:unhideWhenUsed/>
    <w:rsid w:val="00AA75F6"/>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Cuadrculadetabla4">
    <w:name w:val="Table Grid 4"/>
    <w:basedOn w:val="Tablanormal"/>
    <w:uiPriority w:val="99"/>
    <w:semiHidden/>
    <w:unhideWhenUsed/>
    <w:rsid w:val="00AA75F6"/>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aconcuadrcula5">
    <w:name w:val="Table Grid 5"/>
    <w:basedOn w:val="Tablanormal"/>
    <w:uiPriority w:val="99"/>
    <w:semiHidden/>
    <w:unhideWhenUsed/>
    <w:rsid w:val="00AA75F6"/>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aconcuadrcula6">
    <w:name w:val="Table Grid 6"/>
    <w:basedOn w:val="Tablanormal"/>
    <w:uiPriority w:val="99"/>
    <w:semiHidden/>
    <w:unhideWhenUsed/>
    <w:rsid w:val="00AA75F6"/>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aconcuadrcula7">
    <w:name w:val="Table Grid 7"/>
    <w:basedOn w:val="Tablanormal"/>
    <w:uiPriority w:val="99"/>
    <w:semiHidden/>
    <w:unhideWhenUsed/>
    <w:rsid w:val="00AA75F6"/>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aconcuadrcula8">
    <w:name w:val="Table Grid 8"/>
    <w:basedOn w:val="Tablanormal"/>
    <w:uiPriority w:val="99"/>
    <w:semiHidden/>
    <w:unhideWhenUsed/>
    <w:rsid w:val="00AA75F6"/>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aconcuadrculaclara">
    <w:name w:val="Grid Table Light"/>
    <w:basedOn w:val="Tablanormal"/>
    <w:uiPriority w:val="40"/>
    <w:rsid w:val="00AA75F6"/>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conlista1">
    <w:name w:val="Table List 1"/>
    <w:basedOn w:val="Tablanormal"/>
    <w:uiPriority w:val="99"/>
    <w:semiHidden/>
    <w:unhideWhenUsed/>
    <w:rsid w:val="00AA75F6"/>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lista2">
    <w:name w:val="Table List 2"/>
    <w:basedOn w:val="Tablanormal"/>
    <w:uiPriority w:val="99"/>
    <w:semiHidden/>
    <w:unhideWhenUsed/>
    <w:rsid w:val="00AA75F6"/>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lista3">
    <w:name w:val="Table List 3"/>
    <w:basedOn w:val="Tablanormal"/>
    <w:uiPriority w:val="99"/>
    <w:semiHidden/>
    <w:unhideWhenUsed/>
    <w:rsid w:val="00AA75F6"/>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aconlista4">
    <w:name w:val="Table List 4"/>
    <w:basedOn w:val="Tablanormal"/>
    <w:uiPriority w:val="99"/>
    <w:semiHidden/>
    <w:unhideWhenUsed/>
    <w:rsid w:val="00AA75F6"/>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aconlista5">
    <w:name w:val="Table List 5"/>
    <w:basedOn w:val="Tablanormal"/>
    <w:uiPriority w:val="99"/>
    <w:semiHidden/>
    <w:unhideWhenUsed/>
    <w:rsid w:val="00AA75F6"/>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aconlista6">
    <w:name w:val="Table List 6"/>
    <w:basedOn w:val="Tablanormal"/>
    <w:uiPriority w:val="99"/>
    <w:semiHidden/>
    <w:unhideWhenUsed/>
    <w:rsid w:val="00AA75F6"/>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aconlista7">
    <w:name w:val="Table List 7"/>
    <w:basedOn w:val="Tablanormal"/>
    <w:uiPriority w:val="99"/>
    <w:semiHidden/>
    <w:unhideWhenUsed/>
    <w:rsid w:val="00AA75F6"/>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aconlista8">
    <w:name w:val="Table List 8"/>
    <w:basedOn w:val="Tablanormal"/>
    <w:uiPriority w:val="99"/>
    <w:semiHidden/>
    <w:unhideWhenUsed/>
    <w:rsid w:val="00AA75F6"/>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extoconsangra">
    <w:name w:val="table of authorities"/>
    <w:basedOn w:val="Normal"/>
    <w:next w:val="Normal"/>
    <w:uiPriority w:val="99"/>
    <w:semiHidden/>
    <w:unhideWhenUsed/>
    <w:rsid w:val="00AA75F6"/>
    <w:pPr>
      <w:ind w:left="220" w:hanging="220"/>
    </w:pPr>
  </w:style>
  <w:style w:type="paragraph" w:styleId="Tabladeilustraciones">
    <w:name w:val="table of figures"/>
    <w:basedOn w:val="Normal"/>
    <w:next w:val="Normal"/>
    <w:uiPriority w:val="99"/>
    <w:semiHidden/>
    <w:unhideWhenUsed/>
    <w:rsid w:val="00AA75F6"/>
  </w:style>
  <w:style w:type="table" w:styleId="Tablaprofesional">
    <w:name w:val="Table Professional"/>
    <w:basedOn w:val="Tablanormal"/>
    <w:uiPriority w:val="99"/>
    <w:semiHidden/>
    <w:unhideWhenUsed/>
    <w:rsid w:val="00AA75F6"/>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absica1">
    <w:name w:val="Table Simple 1"/>
    <w:basedOn w:val="Tablanormal"/>
    <w:uiPriority w:val="99"/>
    <w:semiHidden/>
    <w:unhideWhenUsed/>
    <w:rsid w:val="00AA75F6"/>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absica2">
    <w:name w:val="Table Simple 2"/>
    <w:basedOn w:val="Tablanormal"/>
    <w:uiPriority w:val="99"/>
    <w:semiHidden/>
    <w:unhideWhenUsed/>
    <w:rsid w:val="00AA75F6"/>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absica3">
    <w:name w:val="Table Simple 3"/>
    <w:basedOn w:val="Tablanormal"/>
    <w:uiPriority w:val="99"/>
    <w:semiHidden/>
    <w:unhideWhenUsed/>
    <w:rsid w:val="00AA75F6"/>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asutil1">
    <w:name w:val="Table Subtle 1"/>
    <w:basedOn w:val="Tablanormal"/>
    <w:uiPriority w:val="99"/>
    <w:semiHidden/>
    <w:unhideWhenUsed/>
    <w:rsid w:val="00AA75F6"/>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sutil2">
    <w:name w:val="Table Subtle 2"/>
    <w:basedOn w:val="Tablanormal"/>
    <w:uiPriority w:val="99"/>
    <w:semiHidden/>
    <w:unhideWhenUsed/>
    <w:rsid w:val="00AA75F6"/>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tema">
    <w:name w:val="Table Theme"/>
    <w:basedOn w:val="Tablanormal"/>
    <w:uiPriority w:val="99"/>
    <w:semiHidden/>
    <w:unhideWhenUsed/>
    <w:rsid w:val="00AA75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web1">
    <w:name w:val="Table Web 1"/>
    <w:basedOn w:val="Tablanormal"/>
    <w:uiPriority w:val="99"/>
    <w:semiHidden/>
    <w:unhideWhenUsed/>
    <w:rsid w:val="00AA75F6"/>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aweb2">
    <w:name w:val="Table Web 2"/>
    <w:basedOn w:val="Tablanormal"/>
    <w:uiPriority w:val="99"/>
    <w:semiHidden/>
    <w:unhideWhenUsed/>
    <w:rsid w:val="00AA75F6"/>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aweb3">
    <w:name w:val="Table Web 3"/>
    <w:basedOn w:val="Tablanormal"/>
    <w:uiPriority w:val="99"/>
    <w:semiHidden/>
    <w:unhideWhenUsed/>
    <w:rsid w:val="00AA75F6"/>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Encabezadodelista">
    <w:name w:val="toa heading"/>
    <w:basedOn w:val="Normal"/>
    <w:next w:val="Normal"/>
    <w:uiPriority w:val="99"/>
    <w:semiHidden/>
    <w:unhideWhenUsed/>
    <w:rsid w:val="00AA75F6"/>
    <w:pPr>
      <w:spacing w:before="120"/>
    </w:pPr>
    <w:rPr>
      <w:rFonts w:asciiTheme="majorHAnsi" w:eastAsiaTheme="majorEastAsia" w:hAnsiTheme="majorHAnsi" w:cstheme="majorBidi"/>
      <w:b/>
      <w:bCs/>
      <w:sz w:val="24"/>
      <w:szCs w:val="24"/>
    </w:rPr>
  </w:style>
  <w:style w:type="paragraph" w:styleId="TDC1">
    <w:name w:val="toc 1"/>
    <w:basedOn w:val="Normal"/>
    <w:next w:val="Normal"/>
    <w:autoRedefine/>
    <w:uiPriority w:val="39"/>
    <w:semiHidden/>
    <w:unhideWhenUsed/>
    <w:rsid w:val="00AA75F6"/>
    <w:pPr>
      <w:spacing w:after="100"/>
    </w:pPr>
  </w:style>
  <w:style w:type="paragraph" w:styleId="TDC2">
    <w:name w:val="toc 2"/>
    <w:basedOn w:val="Normal"/>
    <w:next w:val="Normal"/>
    <w:autoRedefine/>
    <w:uiPriority w:val="39"/>
    <w:semiHidden/>
    <w:unhideWhenUsed/>
    <w:rsid w:val="00AA75F6"/>
    <w:pPr>
      <w:spacing w:after="100"/>
      <w:ind w:left="220"/>
    </w:pPr>
  </w:style>
  <w:style w:type="paragraph" w:styleId="TDC3">
    <w:name w:val="toc 3"/>
    <w:basedOn w:val="Normal"/>
    <w:next w:val="Normal"/>
    <w:autoRedefine/>
    <w:uiPriority w:val="39"/>
    <w:semiHidden/>
    <w:unhideWhenUsed/>
    <w:rsid w:val="00AA75F6"/>
    <w:pPr>
      <w:spacing w:after="100"/>
      <w:ind w:left="440"/>
    </w:pPr>
  </w:style>
  <w:style w:type="paragraph" w:styleId="TDC4">
    <w:name w:val="toc 4"/>
    <w:basedOn w:val="Normal"/>
    <w:next w:val="Normal"/>
    <w:autoRedefine/>
    <w:uiPriority w:val="39"/>
    <w:semiHidden/>
    <w:unhideWhenUsed/>
    <w:rsid w:val="00AA75F6"/>
    <w:pPr>
      <w:spacing w:after="100"/>
      <w:ind w:left="660"/>
    </w:pPr>
  </w:style>
  <w:style w:type="paragraph" w:styleId="TDC5">
    <w:name w:val="toc 5"/>
    <w:basedOn w:val="Normal"/>
    <w:next w:val="Normal"/>
    <w:autoRedefine/>
    <w:uiPriority w:val="39"/>
    <w:semiHidden/>
    <w:unhideWhenUsed/>
    <w:rsid w:val="00AA75F6"/>
    <w:pPr>
      <w:spacing w:after="100"/>
      <w:ind w:left="880"/>
    </w:pPr>
  </w:style>
  <w:style w:type="paragraph" w:styleId="TDC6">
    <w:name w:val="toc 6"/>
    <w:basedOn w:val="Normal"/>
    <w:next w:val="Normal"/>
    <w:autoRedefine/>
    <w:uiPriority w:val="39"/>
    <w:semiHidden/>
    <w:unhideWhenUsed/>
    <w:rsid w:val="00AA75F6"/>
    <w:pPr>
      <w:spacing w:after="100"/>
      <w:ind w:left="1100"/>
    </w:pPr>
  </w:style>
  <w:style w:type="paragraph" w:styleId="TDC7">
    <w:name w:val="toc 7"/>
    <w:basedOn w:val="Normal"/>
    <w:next w:val="Normal"/>
    <w:autoRedefine/>
    <w:uiPriority w:val="39"/>
    <w:semiHidden/>
    <w:unhideWhenUsed/>
    <w:rsid w:val="00AA75F6"/>
    <w:pPr>
      <w:spacing w:after="100"/>
      <w:ind w:left="1320"/>
    </w:pPr>
  </w:style>
  <w:style w:type="paragraph" w:styleId="TDC8">
    <w:name w:val="toc 8"/>
    <w:basedOn w:val="Normal"/>
    <w:next w:val="Normal"/>
    <w:autoRedefine/>
    <w:uiPriority w:val="39"/>
    <w:semiHidden/>
    <w:unhideWhenUsed/>
    <w:rsid w:val="00AA75F6"/>
    <w:pPr>
      <w:spacing w:after="100"/>
      <w:ind w:left="1540"/>
    </w:pPr>
  </w:style>
  <w:style w:type="paragraph" w:styleId="TDC9">
    <w:name w:val="toc 9"/>
    <w:basedOn w:val="Normal"/>
    <w:next w:val="Normal"/>
    <w:autoRedefine/>
    <w:uiPriority w:val="39"/>
    <w:semiHidden/>
    <w:unhideWhenUsed/>
    <w:rsid w:val="00AA75F6"/>
    <w:pPr>
      <w:spacing w:after="100"/>
      <w:ind w:left="1760"/>
    </w:pPr>
  </w:style>
  <w:style w:type="paragraph" w:styleId="TtuloTDC">
    <w:name w:val="TOC Heading"/>
    <w:basedOn w:val="Ttulo1"/>
    <w:next w:val="Normal"/>
    <w:uiPriority w:val="39"/>
    <w:semiHidden/>
    <w:unhideWhenUsed/>
    <w:qFormat/>
    <w:rsid w:val="00AA75F6"/>
    <w:pPr>
      <w:spacing w:before="240" w:after="0" w:line="259" w:lineRule="auto"/>
      <w:contextualSpacing w:val="0"/>
      <w:jc w:val="left"/>
      <w:outlineLvl w:val="9"/>
    </w:pPr>
    <w:rPr>
      <w:caps w:val="0"/>
      <w:color w:val="D01818" w:themeColor="accent1" w:themeShade="BF"/>
      <w:sz w:val="32"/>
    </w:rPr>
  </w:style>
  <w:style w:type="character" w:styleId="Mencinsinresolver">
    <w:name w:val="Unresolved Mention"/>
    <w:basedOn w:val="Fuentedeprrafopredeter"/>
    <w:uiPriority w:val="99"/>
    <w:semiHidden/>
    <w:unhideWhenUsed/>
    <w:rsid w:val="00CB227F"/>
    <w:rPr>
      <w:color w:val="605E5C"/>
      <w:shd w:val="clear" w:color="auto" w:fill="E1DFDD"/>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1529F"/>
  </w:style>
  <w:style w:type="paragraph" w:customStyle="1" w:styleId="Appelnotedebasde">
    <w:name w:val="Appel note de bas de..."/>
    <w:basedOn w:val="Normal"/>
    <w:link w:val="Refdenotaalpie"/>
    <w:uiPriority w:val="99"/>
    <w:rsid w:val="002F5B81"/>
    <w:pPr>
      <w:spacing w:after="160" w:line="240" w:lineRule="exact"/>
    </w:pPr>
    <w:rPr>
      <w:vertAlign w:val="superscript"/>
    </w:rPr>
  </w:style>
  <w:style w:type="character" w:customStyle="1" w:styleId="SinespaciadoCar">
    <w:name w:val="Sin espaciado Car"/>
    <w:aliases w:val="No Indent Car"/>
    <w:link w:val="Sinespaciado"/>
    <w:uiPriority w:val="1"/>
    <w:rsid w:val="00120ED5"/>
  </w:style>
  <w:style w:type="character" w:customStyle="1" w:styleId="NormalWebCar">
    <w:name w:val="Normal (Web) Car"/>
    <w:link w:val="NormalWeb"/>
    <w:uiPriority w:val="99"/>
    <w:rsid w:val="00A92E43"/>
    <w:rPr>
      <w:rFonts w:ascii="Times New Roman" w:hAnsi="Times New Roman" w:cs="Times New Roman"/>
      <w:sz w:val="24"/>
      <w:szCs w:val="24"/>
    </w:rPr>
  </w:style>
  <w:style w:type="paragraph" w:styleId="Revisin">
    <w:name w:val="Revision"/>
    <w:hidden/>
    <w:uiPriority w:val="99"/>
    <w:semiHidden/>
    <w:rsid w:val="002F6B51"/>
    <w:pPr>
      <w:spacing w:line="240" w:lineRule="auto"/>
    </w:pPr>
  </w:style>
  <w:style w:type="paragraph" w:customStyle="1" w:styleId="paragraph">
    <w:name w:val="paragraph"/>
    <w:basedOn w:val="Normal"/>
    <w:rsid w:val="002E1C27"/>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character" w:customStyle="1" w:styleId="normaltextrun">
    <w:name w:val="normaltextrun"/>
    <w:basedOn w:val="Fuentedeprrafopredeter"/>
    <w:rsid w:val="002E1C27"/>
  </w:style>
  <w:style w:type="character" w:customStyle="1" w:styleId="eop">
    <w:name w:val="eop"/>
    <w:basedOn w:val="Fuentedeprrafopredeter"/>
    <w:rsid w:val="002E1C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4632538">
      <w:bodyDiv w:val="1"/>
      <w:marLeft w:val="0"/>
      <w:marRight w:val="0"/>
      <w:marTop w:val="0"/>
      <w:marBottom w:val="0"/>
      <w:divBdr>
        <w:top w:val="none" w:sz="0" w:space="0" w:color="auto"/>
        <w:left w:val="none" w:sz="0" w:space="0" w:color="auto"/>
        <w:bottom w:val="none" w:sz="0" w:space="0" w:color="auto"/>
        <w:right w:val="none" w:sz="0" w:space="0" w:color="auto"/>
      </w:divBdr>
    </w:div>
    <w:div w:id="302318634">
      <w:bodyDiv w:val="1"/>
      <w:marLeft w:val="0"/>
      <w:marRight w:val="0"/>
      <w:marTop w:val="0"/>
      <w:marBottom w:val="0"/>
      <w:divBdr>
        <w:top w:val="none" w:sz="0" w:space="0" w:color="auto"/>
        <w:left w:val="none" w:sz="0" w:space="0" w:color="auto"/>
        <w:bottom w:val="none" w:sz="0" w:space="0" w:color="auto"/>
        <w:right w:val="none" w:sz="0" w:space="0" w:color="auto"/>
      </w:divBdr>
    </w:div>
    <w:div w:id="368339675">
      <w:bodyDiv w:val="1"/>
      <w:marLeft w:val="0"/>
      <w:marRight w:val="0"/>
      <w:marTop w:val="0"/>
      <w:marBottom w:val="0"/>
      <w:divBdr>
        <w:top w:val="none" w:sz="0" w:space="0" w:color="auto"/>
        <w:left w:val="none" w:sz="0" w:space="0" w:color="auto"/>
        <w:bottom w:val="none" w:sz="0" w:space="0" w:color="auto"/>
        <w:right w:val="none" w:sz="0" w:space="0" w:color="auto"/>
      </w:divBdr>
    </w:div>
    <w:div w:id="408310512">
      <w:bodyDiv w:val="1"/>
      <w:marLeft w:val="0"/>
      <w:marRight w:val="0"/>
      <w:marTop w:val="0"/>
      <w:marBottom w:val="0"/>
      <w:divBdr>
        <w:top w:val="none" w:sz="0" w:space="0" w:color="auto"/>
        <w:left w:val="none" w:sz="0" w:space="0" w:color="auto"/>
        <w:bottom w:val="none" w:sz="0" w:space="0" w:color="auto"/>
        <w:right w:val="none" w:sz="0" w:space="0" w:color="auto"/>
      </w:divBdr>
    </w:div>
    <w:div w:id="522791052">
      <w:bodyDiv w:val="1"/>
      <w:marLeft w:val="0"/>
      <w:marRight w:val="0"/>
      <w:marTop w:val="0"/>
      <w:marBottom w:val="0"/>
      <w:divBdr>
        <w:top w:val="none" w:sz="0" w:space="0" w:color="auto"/>
        <w:left w:val="none" w:sz="0" w:space="0" w:color="auto"/>
        <w:bottom w:val="none" w:sz="0" w:space="0" w:color="auto"/>
        <w:right w:val="none" w:sz="0" w:space="0" w:color="auto"/>
      </w:divBdr>
    </w:div>
    <w:div w:id="534119807">
      <w:bodyDiv w:val="1"/>
      <w:marLeft w:val="0"/>
      <w:marRight w:val="0"/>
      <w:marTop w:val="0"/>
      <w:marBottom w:val="0"/>
      <w:divBdr>
        <w:top w:val="none" w:sz="0" w:space="0" w:color="auto"/>
        <w:left w:val="none" w:sz="0" w:space="0" w:color="auto"/>
        <w:bottom w:val="none" w:sz="0" w:space="0" w:color="auto"/>
        <w:right w:val="none" w:sz="0" w:space="0" w:color="auto"/>
      </w:divBdr>
    </w:div>
    <w:div w:id="847256141">
      <w:bodyDiv w:val="1"/>
      <w:marLeft w:val="0"/>
      <w:marRight w:val="0"/>
      <w:marTop w:val="0"/>
      <w:marBottom w:val="0"/>
      <w:divBdr>
        <w:top w:val="none" w:sz="0" w:space="0" w:color="auto"/>
        <w:left w:val="none" w:sz="0" w:space="0" w:color="auto"/>
        <w:bottom w:val="none" w:sz="0" w:space="0" w:color="auto"/>
        <w:right w:val="none" w:sz="0" w:space="0" w:color="auto"/>
      </w:divBdr>
    </w:div>
    <w:div w:id="858659614">
      <w:bodyDiv w:val="1"/>
      <w:marLeft w:val="0"/>
      <w:marRight w:val="0"/>
      <w:marTop w:val="0"/>
      <w:marBottom w:val="0"/>
      <w:divBdr>
        <w:top w:val="none" w:sz="0" w:space="0" w:color="auto"/>
        <w:left w:val="none" w:sz="0" w:space="0" w:color="auto"/>
        <w:bottom w:val="none" w:sz="0" w:space="0" w:color="auto"/>
        <w:right w:val="none" w:sz="0" w:space="0" w:color="auto"/>
      </w:divBdr>
    </w:div>
    <w:div w:id="1153832967">
      <w:bodyDiv w:val="1"/>
      <w:marLeft w:val="0"/>
      <w:marRight w:val="0"/>
      <w:marTop w:val="0"/>
      <w:marBottom w:val="0"/>
      <w:divBdr>
        <w:top w:val="none" w:sz="0" w:space="0" w:color="auto"/>
        <w:left w:val="none" w:sz="0" w:space="0" w:color="auto"/>
        <w:bottom w:val="none" w:sz="0" w:space="0" w:color="auto"/>
        <w:right w:val="none" w:sz="0" w:space="0" w:color="auto"/>
      </w:divBdr>
      <w:divsChild>
        <w:div w:id="2114935047">
          <w:marLeft w:val="0"/>
          <w:marRight w:val="0"/>
          <w:marTop w:val="0"/>
          <w:marBottom w:val="0"/>
          <w:divBdr>
            <w:top w:val="none" w:sz="0" w:space="0" w:color="auto"/>
            <w:left w:val="none" w:sz="0" w:space="0" w:color="auto"/>
            <w:bottom w:val="none" w:sz="0" w:space="0" w:color="auto"/>
            <w:right w:val="none" w:sz="0" w:space="0" w:color="auto"/>
          </w:divBdr>
        </w:div>
        <w:div w:id="45880049">
          <w:marLeft w:val="0"/>
          <w:marRight w:val="0"/>
          <w:marTop w:val="0"/>
          <w:marBottom w:val="0"/>
          <w:divBdr>
            <w:top w:val="none" w:sz="0" w:space="0" w:color="auto"/>
            <w:left w:val="none" w:sz="0" w:space="0" w:color="auto"/>
            <w:bottom w:val="none" w:sz="0" w:space="0" w:color="auto"/>
            <w:right w:val="none" w:sz="0" w:space="0" w:color="auto"/>
          </w:divBdr>
        </w:div>
      </w:divsChild>
    </w:div>
    <w:div w:id="1501431120">
      <w:bodyDiv w:val="1"/>
      <w:marLeft w:val="0"/>
      <w:marRight w:val="0"/>
      <w:marTop w:val="0"/>
      <w:marBottom w:val="0"/>
      <w:divBdr>
        <w:top w:val="none" w:sz="0" w:space="0" w:color="auto"/>
        <w:left w:val="none" w:sz="0" w:space="0" w:color="auto"/>
        <w:bottom w:val="none" w:sz="0" w:space="0" w:color="auto"/>
        <w:right w:val="none" w:sz="0" w:space="0" w:color="auto"/>
      </w:divBdr>
    </w:div>
    <w:div w:id="1668089770">
      <w:bodyDiv w:val="1"/>
      <w:marLeft w:val="0"/>
      <w:marRight w:val="0"/>
      <w:marTop w:val="0"/>
      <w:marBottom w:val="0"/>
      <w:divBdr>
        <w:top w:val="none" w:sz="0" w:space="0" w:color="auto"/>
        <w:left w:val="none" w:sz="0" w:space="0" w:color="auto"/>
        <w:bottom w:val="none" w:sz="0" w:space="0" w:color="auto"/>
        <w:right w:val="none" w:sz="0" w:space="0" w:color="auto"/>
      </w:divBdr>
      <w:divsChild>
        <w:div w:id="3439239">
          <w:marLeft w:val="0"/>
          <w:marRight w:val="0"/>
          <w:marTop w:val="0"/>
          <w:marBottom w:val="0"/>
          <w:divBdr>
            <w:top w:val="none" w:sz="0" w:space="0" w:color="auto"/>
            <w:left w:val="none" w:sz="0" w:space="0" w:color="auto"/>
            <w:bottom w:val="none" w:sz="0" w:space="0" w:color="auto"/>
            <w:right w:val="none" w:sz="0" w:space="0" w:color="auto"/>
          </w:divBdr>
        </w:div>
        <w:div w:id="1154836593">
          <w:marLeft w:val="0"/>
          <w:marRight w:val="0"/>
          <w:marTop w:val="0"/>
          <w:marBottom w:val="0"/>
          <w:divBdr>
            <w:top w:val="none" w:sz="0" w:space="0" w:color="auto"/>
            <w:left w:val="none" w:sz="0" w:space="0" w:color="auto"/>
            <w:bottom w:val="none" w:sz="0" w:space="0" w:color="auto"/>
            <w:right w:val="none" w:sz="0" w:space="0" w:color="auto"/>
          </w:divBdr>
        </w:div>
      </w:divsChild>
    </w:div>
    <w:div w:id="1979606160">
      <w:bodyDiv w:val="1"/>
      <w:marLeft w:val="0"/>
      <w:marRight w:val="0"/>
      <w:marTop w:val="0"/>
      <w:marBottom w:val="0"/>
      <w:divBdr>
        <w:top w:val="none" w:sz="0" w:space="0" w:color="auto"/>
        <w:left w:val="none" w:sz="0" w:space="0" w:color="auto"/>
        <w:bottom w:val="none" w:sz="0" w:space="0" w:color="auto"/>
        <w:right w:val="none" w:sz="0" w:space="0" w:color="auto"/>
      </w:divBdr>
    </w:div>
    <w:div w:id="20356144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tmp"/><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5.jpg"/></Relationships>
</file>

<file path=word/_rels/footer2.xml.rels><?xml version="1.0" encoding="UTF-8" standalone="yes"?>
<Relationships xmlns="http://schemas.openxmlformats.org/package/2006/relationships"><Relationship Id="rId1" Type="http://schemas.openxmlformats.org/officeDocument/2006/relationships/image" Target="media/image5.jpg"/></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manuales-guias-y-pliegos-tipo/manuales-y-guias" TargetMode="External"/><Relationship Id="rId1"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corr\AppData\Roaming\Microsoft\Templates\Polished%20resume,%20designed%20by%20MOO.dotx" TargetMode="External"/></Relationships>
</file>

<file path=word/theme/theme1.xml><?xml version="1.0" encoding="utf-8"?>
<a:theme xmlns:a="http://schemas.openxmlformats.org/drawingml/2006/main" name="Office Theme">
  <a:themeElements>
    <a:clrScheme name="Custom 15">
      <a:dk1>
        <a:sysClr val="windowText" lastClr="000000"/>
      </a:dk1>
      <a:lt1>
        <a:sysClr val="window" lastClr="FFFFFF"/>
      </a:lt1>
      <a:dk2>
        <a:srgbClr val="44546A"/>
      </a:dk2>
      <a:lt2>
        <a:srgbClr val="E7E6E6"/>
      </a:lt2>
      <a:accent1>
        <a:srgbClr val="EA4E4E"/>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ustom 4">
      <a:majorFont>
        <a:latin typeface="Franklin Gothic Demi"/>
        <a:ea typeface=""/>
        <a:cs typeface=""/>
      </a:majorFont>
      <a:minorFont>
        <a:latin typeface="Rockwel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6fefc81145b88c108162955c226470b5">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3856a95c4658442fdcd06593afacd42"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38B1A1-8E3E-4ECB-AF6A-9696112F2FE3}">
  <ds:schemaRefs>
    <ds:schemaRef ds:uri="http://schemas.microsoft.com/sharepoint/v3/contenttype/forms"/>
  </ds:schemaRefs>
</ds:datastoreItem>
</file>

<file path=customXml/itemProps2.xml><?xml version="1.0" encoding="utf-8"?>
<ds:datastoreItem xmlns:ds="http://schemas.openxmlformats.org/officeDocument/2006/customXml" ds:itemID="{4A3C8DCA-D3C8-4D30-9B0E-CDC675DABD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085D5BD-05B7-40A6-9CC5-2EF39466DF93}">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4.xml><?xml version="1.0" encoding="utf-8"?>
<ds:datastoreItem xmlns:ds="http://schemas.openxmlformats.org/officeDocument/2006/customXml" ds:itemID="{E0EC8E11-AEBC-4814-998E-DD4719D5CA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Polished resume, designed by MOO</Template>
  <TotalTime>0</TotalTime>
  <Pages>16</Pages>
  <Words>5669</Words>
  <Characters>31181</Characters>
  <Application>Microsoft Office Word</Application>
  <DocSecurity>0</DocSecurity>
  <Lines>259</Lines>
  <Paragraphs>73</Paragraphs>
  <ScaleCrop>false</ScaleCrop>
  <Company/>
  <LinksUpToDate>false</LinksUpToDate>
  <CharactersWithSpaces>36777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2023-04-10T18:25:00Z</dcterms:created>
  <dcterms:modified xsi:type="dcterms:W3CDTF">2025-11-12T20:55:00Z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