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1C722" w14:textId="77777777" w:rsidR="00567013" w:rsidRPr="00EA7F40" w:rsidRDefault="00567013" w:rsidP="00567013">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EA7F40">
        <w:rPr>
          <w:rFonts w:ascii="Arial" w:hAnsi="Arial" w:cs="Arial"/>
          <w:b/>
          <w:color w:val="000000" w:themeColor="text1"/>
          <w:sz w:val="20"/>
          <w:szCs w:val="20"/>
          <w:lang w:val="es-ES_tradnl" w:eastAsia="es-ES"/>
        </w:rPr>
        <w:tab/>
      </w:r>
      <w:r w:rsidRPr="00EA7F40">
        <w:rPr>
          <w:rFonts w:ascii="Arial" w:hAnsi="Arial" w:cs="Arial"/>
          <w:b/>
          <w:color w:val="000000" w:themeColor="text1"/>
          <w:sz w:val="16"/>
          <w:szCs w:val="16"/>
          <w:lang w:val="es-ES_tradnl" w:eastAsia="es-ES"/>
        </w:rPr>
        <w:t>CCE-DES-FM-17</w:t>
      </w:r>
    </w:p>
    <w:p w14:paraId="1EA10D64" w14:textId="77777777" w:rsidR="00567013" w:rsidRPr="005A4702" w:rsidRDefault="00567013" w:rsidP="00567013">
      <w:pPr>
        <w:jc w:val="both"/>
        <w:rPr>
          <w:rFonts w:ascii="Arial" w:eastAsia="Calibri" w:hAnsi="Arial" w:cs="Arial"/>
          <w:b/>
          <w:color w:val="000000" w:themeColor="text1"/>
          <w:sz w:val="16"/>
          <w:szCs w:val="16"/>
          <w:lang w:val="es-ES_tradnl"/>
        </w:rPr>
      </w:pPr>
    </w:p>
    <w:p w14:paraId="238B64FC" w14:textId="75F6CFBF" w:rsidR="00567013" w:rsidRPr="00203A5B" w:rsidRDefault="00567013" w:rsidP="00567013">
      <w:pPr>
        <w:rPr>
          <w:rFonts w:ascii="Arial" w:eastAsia="Calibri" w:hAnsi="Arial" w:cs="Arial"/>
          <w:b/>
          <w:bCs/>
          <w:color w:val="000000" w:themeColor="text1"/>
          <w:sz w:val="22"/>
        </w:rPr>
      </w:pPr>
      <w:r w:rsidRPr="00203A5B">
        <w:rPr>
          <w:rFonts w:ascii="Arial" w:eastAsia="Calibri" w:hAnsi="Arial" w:cs="Arial"/>
          <w:b/>
          <w:bCs/>
          <w:color w:val="000000" w:themeColor="text1"/>
          <w:sz w:val="22"/>
        </w:rPr>
        <w:t xml:space="preserve">SEGURIDAD SOCIAL </w:t>
      </w:r>
      <w:r w:rsidR="00203A5B" w:rsidRPr="00203A5B">
        <w:rPr>
          <w:rFonts w:ascii="Arial" w:eastAsia="Calibri" w:hAnsi="Arial" w:cs="Arial"/>
          <w:b/>
          <w:bCs/>
          <w:color w:val="000000" w:themeColor="text1"/>
          <w:sz w:val="22"/>
        </w:rPr>
        <w:t>–</w:t>
      </w:r>
      <w:r w:rsidRPr="00203A5B">
        <w:rPr>
          <w:rFonts w:ascii="Arial" w:eastAsia="Calibri" w:hAnsi="Arial" w:cs="Arial"/>
          <w:b/>
          <w:bCs/>
          <w:color w:val="000000" w:themeColor="text1"/>
          <w:sz w:val="22"/>
        </w:rPr>
        <w:t xml:space="preserve"> Verificación </w:t>
      </w:r>
      <w:r w:rsidR="00203A5B" w:rsidRPr="00203A5B">
        <w:rPr>
          <w:rFonts w:ascii="Arial" w:eastAsia="Calibri" w:hAnsi="Arial" w:cs="Arial"/>
          <w:b/>
          <w:bCs/>
          <w:color w:val="000000" w:themeColor="text1"/>
          <w:sz w:val="22"/>
        </w:rPr>
        <w:t>–</w:t>
      </w:r>
      <w:r w:rsidRPr="00203A5B">
        <w:rPr>
          <w:rFonts w:ascii="Arial" w:eastAsia="Calibri" w:hAnsi="Arial" w:cs="Arial"/>
          <w:b/>
          <w:bCs/>
          <w:color w:val="000000" w:themeColor="text1"/>
          <w:sz w:val="22"/>
        </w:rPr>
        <w:t xml:space="preserve"> Pago </w:t>
      </w:r>
      <w:r w:rsidR="00203A5B" w:rsidRPr="00203A5B">
        <w:rPr>
          <w:rFonts w:ascii="Arial" w:eastAsia="Calibri" w:hAnsi="Arial" w:cs="Arial"/>
          <w:b/>
          <w:bCs/>
          <w:color w:val="000000" w:themeColor="text1"/>
          <w:sz w:val="22"/>
        </w:rPr>
        <w:t>–</w:t>
      </w:r>
      <w:r w:rsidRPr="00203A5B">
        <w:rPr>
          <w:rFonts w:ascii="Arial" w:eastAsia="Calibri" w:hAnsi="Arial" w:cs="Arial"/>
          <w:b/>
          <w:bCs/>
          <w:color w:val="000000" w:themeColor="text1"/>
          <w:sz w:val="22"/>
        </w:rPr>
        <w:t xml:space="preserve"> Persona natural </w:t>
      </w:r>
      <w:r w:rsidR="00203A5B" w:rsidRPr="00203A5B">
        <w:rPr>
          <w:rFonts w:ascii="Arial" w:eastAsia="Calibri" w:hAnsi="Arial" w:cs="Arial"/>
          <w:b/>
          <w:bCs/>
          <w:color w:val="000000" w:themeColor="text1"/>
          <w:sz w:val="22"/>
        </w:rPr>
        <w:t>–</w:t>
      </w:r>
      <w:r w:rsidRPr="00203A5B">
        <w:rPr>
          <w:rFonts w:ascii="Arial" w:eastAsia="Calibri" w:hAnsi="Arial" w:cs="Arial"/>
          <w:b/>
          <w:bCs/>
          <w:color w:val="000000" w:themeColor="text1"/>
          <w:sz w:val="22"/>
        </w:rPr>
        <w:t xml:space="preserve"> Persona jurídica</w:t>
      </w:r>
    </w:p>
    <w:p w14:paraId="35ADDF1B" w14:textId="77777777" w:rsidR="00567013" w:rsidRPr="00EA7F40" w:rsidRDefault="00567013" w:rsidP="00567013">
      <w:pPr>
        <w:rPr>
          <w:rFonts w:ascii="Arial" w:eastAsia="Calibri" w:hAnsi="Arial" w:cs="Arial"/>
          <w:b/>
          <w:bCs/>
          <w:color w:val="000000" w:themeColor="text1"/>
          <w:sz w:val="20"/>
          <w:szCs w:val="20"/>
        </w:rPr>
      </w:pPr>
    </w:p>
    <w:p w14:paraId="6A54D431" w14:textId="77777777" w:rsidR="00567013" w:rsidRPr="00EA7F40" w:rsidRDefault="00567013" w:rsidP="00567013">
      <w:pPr>
        <w:jc w:val="both"/>
        <w:rPr>
          <w:rFonts w:ascii="Arial" w:hAnsi="Arial" w:cs="Arial"/>
          <w:color w:val="000000" w:themeColor="text1"/>
          <w:sz w:val="20"/>
          <w:szCs w:val="20"/>
        </w:rPr>
      </w:pPr>
      <w:r w:rsidRPr="00EA7F40">
        <w:rPr>
          <w:rFonts w:ascii="Arial" w:hAnsi="Arial" w:cs="Arial"/>
          <w:color w:val="000000" w:themeColor="text1"/>
          <w:sz w:val="20"/>
          <w:szCs w:val="20"/>
        </w:rPr>
        <w:t>La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p>
    <w:p w14:paraId="535D3D48" w14:textId="77777777" w:rsidR="00567013" w:rsidRPr="00EA7F40" w:rsidRDefault="00567013" w:rsidP="00567013">
      <w:pPr>
        <w:jc w:val="both"/>
        <w:rPr>
          <w:rFonts w:ascii="Arial" w:hAnsi="Arial" w:cs="Arial"/>
          <w:color w:val="000000" w:themeColor="text1"/>
          <w:sz w:val="20"/>
          <w:szCs w:val="20"/>
        </w:rPr>
      </w:pPr>
    </w:p>
    <w:p w14:paraId="3B04D90F" w14:textId="0323856A" w:rsidR="00567013" w:rsidRPr="00203A5B" w:rsidRDefault="00567013" w:rsidP="00567013">
      <w:pPr>
        <w:jc w:val="both"/>
        <w:rPr>
          <w:rFonts w:ascii="Arial" w:hAnsi="Arial" w:cs="Arial"/>
          <w:b/>
          <w:bCs/>
          <w:color w:val="000000" w:themeColor="text1"/>
          <w:sz w:val="22"/>
        </w:rPr>
      </w:pPr>
      <w:r w:rsidRPr="00203A5B">
        <w:rPr>
          <w:rFonts w:ascii="Arial" w:hAnsi="Arial" w:cs="Arial"/>
          <w:b/>
          <w:bCs/>
          <w:color w:val="000000" w:themeColor="text1"/>
          <w:sz w:val="22"/>
        </w:rPr>
        <w:t xml:space="preserve">SEGURIDAD SOCIAL </w:t>
      </w:r>
      <w:r w:rsidR="00203A5B" w:rsidRPr="00203A5B">
        <w:rPr>
          <w:rFonts w:ascii="Arial" w:eastAsia="Calibri" w:hAnsi="Arial" w:cs="Arial"/>
          <w:b/>
          <w:bCs/>
          <w:color w:val="000000" w:themeColor="text1"/>
          <w:sz w:val="22"/>
        </w:rPr>
        <w:t>–</w:t>
      </w:r>
      <w:r w:rsidRPr="00203A5B">
        <w:rPr>
          <w:rFonts w:ascii="Arial" w:hAnsi="Arial" w:cs="Arial"/>
          <w:b/>
          <w:bCs/>
          <w:color w:val="000000" w:themeColor="text1"/>
          <w:sz w:val="22"/>
        </w:rPr>
        <w:t xml:space="preserve"> Ley 1955 de 2019 </w:t>
      </w:r>
      <w:r w:rsidR="00203A5B" w:rsidRPr="00203A5B">
        <w:rPr>
          <w:rFonts w:ascii="Arial" w:eastAsia="Calibri" w:hAnsi="Arial" w:cs="Arial"/>
          <w:b/>
          <w:bCs/>
          <w:color w:val="000000" w:themeColor="text1"/>
          <w:sz w:val="22"/>
        </w:rPr>
        <w:t>–</w:t>
      </w:r>
      <w:r w:rsidR="00203A5B">
        <w:rPr>
          <w:rFonts w:ascii="Arial" w:eastAsia="Calibri" w:hAnsi="Arial" w:cs="Arial"/>
          <w:b/>
          <w:bCs/>
          <w:color w:val="000000" w:themeColor="text1"/>
          <w:sz w:val="22"/>
        </w:rPr>
        <w:t xml:space="preserve"> R</w:t>
      </w:r>
      <w:r w:rsidRPr="00203A5B">
        <w:rPr>
          <w:rFonts w:ascii="Arial" w:hAnsi="Arial" w:cs="Arial"/>
          <w:b/>
          <w:bCs/>
          <w:color w:val="000000" w:themeColor="text1"/>
          <w:sz w:val="22"/>
        </w:rPr>
        <w:t>etención y giro</w:t>
      </w:r>
    </w:p>
    <w:p w14:paraId="4407EF7D" w14:textId="77777777" w:rsidR="00567013" w:rsidRPr="00EA7F40" w:rsidRDefault="00567013" w:rsidP="00567013">
      <w:pPr>
        <w:jc w:val="both"/>
        <w:rPr>
          <w:rFonts w:ascii="Arial" w:hAnsi="Arial" w:cs="Arial"/>
          <w:color w:val="000000" w:themeColor="text1"/>
          <w:sz w:val="20"/>
          <w:szCs w:val="20"/>
        </w:rPr>
      </w:pPr>
    </w:p>
    <w:p w14:paraId="7F7B5C7B" w14:textId="77777777" w:rsidR="00567013" w:rsidRPr="00EA7F40" w:rsidRDefault="00567013" w:rsidP="00567013">
      <w:pPr>
        <w:jc w:val="both"/>
        <w:rPr>
          <w:rFonts w:ascii="Arial" w:hAnsi="Arial" w:cs="Arial"/>
          <w:color w:val="000000" w:themeColor="text1"/>
          <w:sz w:val="20"/>
          <w:szCs w:val="20"/>
        </w:rPr>
      </w:pPr>
      <w:r w:rsidRPr="00EA7F40">
        <w:rPr>
          <w:rFonts w:ascii="Arial" w:hAnsi="Arial" w:cs="Arial"/>
          <w:color w:val="000000" w:themeColor="text1"/>
          <w:sz w:val="20"/>
          <w:szCs w:val="20"/>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dejó sin efectos el Decreto 1273 de 2018; por lo tanto, la retención del pago y el giro al Sistema de Seguridad Social Integral por parte de los contratantes públicos y privados ya no será posible.</w:t>
      </w:r>
    </w:p>
    <w:p w14:paraId="3A97E53A" w14:textId="77777777" w:rsidR="00567013" w:rsidRPr="00EA7F40" w:rsidRDefault="00567013" w:rsidP="00567013">
      <w:pPr>
        <w:rPr>
          <w:rFonts w:ascii="Arial" w:eastAsia="Calibri" w:hAnsi="Arial" w:cs="Arial"/>
          <w:b/>
          <w:bCs/>
          <w:color w:val="000000" w:themeColor="text1"/>
          <w:sz w:val="20"/>
          <w:szCs w:val="20"/>
        </w:rPr>
      </w:pPr>
    </w:p>
    <w:p w14:paraId="7041B65D" w14:textId="717C7F36" w:rsidR="00567013" w:rsidRPr="00203A5B" w:rsidRDefault="00567013" w:rsidP="00567013">
      <w:pPr>
        <w:jc w:val="both"/>
        <w:rPr>
          <w:rFonts w:ascii="Arial" w:hAnsi="Arial" w:cs="Arial"/>
          <w:b/>
          <w:bCs/>
          <w:color w:val="000000" w:themeColor="text1"/>
          <w:sz w:val="22"/>
        </w:rPr>
      </w:pPr>
      <w:r w:rsidRPr="00203A5B">
        <w:rPr>
          <w:rFonts w:ascii="Arial" w:eastAsia="Calibri" w:hAnsi="Arial" w:cs="Arial"/>
          <w:b/>
          <w:bCs/>
          <w:color w:val="000000" w:themeColor="text1"/>
          <w:sz w:val="22"/>
        </w:rPr>
        <w:t xml:space="preserve">CONTRATO DE PRESTACIÓN DE SERVICIOS </w:t>
      </w:r>
      <w:r w:rsidR="00203A5B" w:rsidRPr="00203A5B">
        <w:rPr>
          <w:rFonts w:ascii="Arial" w:eastAsia="Calibri" w:hAnsi="Arial" w:cs="Arial"/>
          <w:b/>
          <w:bCs/>
          <w:color w:val="000000" w:themeColor="text1"/>
          <w:sz w:val="22"/>
        </w:rPr>
        <w:t>–</w:t>
      </w:r>
      <w:r w:rsidR="00203A5B">
        <w:rPr>
          <w:rFonts w:ascii="Arial" w:eastAsia="Calibri" w:hAnsi="Arial" w:cs="Arial"/>
          <w:b/>
          <w:bCs/>
          <w:color w:val="000000" w:themeColor="text1"/>
          <w:sz w:val="22"/>
        </w:rPr>
        <w:t xml:space="preserve"> </w:t>
      </w:r>
      <w:r w:rsidRPr="00203A5B">
        <w:rPr>
          <w:rFonts w:ascii="Arial" w:eastAsia="Calibri" w:hAnsi="Arial" w:cs="Arial"/>
          <w:b/>
          <w:bCs/>
          <w:color w:val="000000" w:themeColor="text1"/>
          <w:sz w:val="22"/>
        </w:rPr>
        <w:t xml:space="preserve">Pagos </w:t>
      </w:r>
      <w:r w:rsidR="00203A5B" w:rsidRPr="00203A5B">
        <w:rPr>
          <w:rFonts w:ascii="Arial" w:eastAsia="Calibri" w:hAnsi="Arial" w:cs="Arial"/>
          <w:b/>
          <w:bCs/>
          <w:color w:val="000000" w:themeColor="text1"/>
          <w:sz w:val="22"/>
        </w:rPr>
        <w:t>–</w:t>
      </w:r>
      <w:r w:rsidR="00203A5B">
        <w:rPr>
          <w:rFonts w:ascii="Arial" w:eastAsia="Calibri" w:hAnsi="Arial" w:cs="Arial"/>
          <w:b/>
          <w:bCs/>
          <w:color w:val="000000" w:themeColor="text1"/>
          <w:sz w:val="22"/>
        </w:rPr>
        <w:t xml:space="preserve"> </w:t>
      </w:r>
      <w:r w:rsidRPr="00203A5B">
        <w:rPr>
          <w:rFonts w:ascii="Arial" w:eastAsia="Calibri" w:hAnsi="Arial" w:cs="Arial"/>
          <w:b/>
          <w:bCs/>
          <w:color w:val="000000" w:themeColor="text1"/>
          <w:sz w:val="22"/>
        </w:rPr>
        <w:t xml:space="preserve">Seguridad social </w:t>
      </w:r>
      <w:r w:rsidR="00203A5B" w:rsidRPr="00203A5B">
        <w:rPr>
          <w:rFonts w:ascii="Arial" w:eastAsia="Calibri" w:hAnsi="Arial" w:cs="Arial"/>
          <w:b/>
          <w:bCs/>
          <w:color w:val="000000" w:themeColor="text1"/>
          <w:sz w:val="22"/>
        </w:rPr>
        <w:t>–</w:t>
      </w:r>
      <w:r w:rsidRPr="00203A5B">
        <w:rPr>
          <w:rFonts w:ascii="Arial" w:eastAsia="Calibri" w:hAnsi="Arial" w:cs="Arial"/>
          <w:b/>
          <w:bCs/>
          <w:color w:val="000000" w:themeColor="text1"/>
          <w:sz w:val="22"/>
        </w:rPr>
        <w:t xml:space="preserve"> Mes vencido</w:t>
      </w:r>
    </w:p>
    <w:p w14:paraId="23FDF4E3" w14:textId="77777777" w:rsidR="00567013" w:rsidRPr="00EA7F40" w:rsidRDefault="00567013" w:rsidP="00567013">
      <w:pPr>
        <w:rPr>
          <w:rFonts w:ascii="Arial" w:hAnsi="Arial" w:cs="Arial"/>
          <w:color w:val="000000" w:themeColor="text1"/>
          <w:sz w:val="20"/>
          <w:szCs w:val="20"/>
        </w:rPr>
      </w:pPr>
    </w:p>
    <w:p w14:paraId="60A87FE8" w14:textId="77777777" w:rsidR="00567013" w:rsidRPr="00EA7F40" w:rsidRDefault="00567013" w:rsidP="00567013">
      <w:pPr>
        <w:jc w:val="both"/>
        <w:rPr>
          <w:rFonts w:ascii="Arial" w:hAnsi="Arial" w:cs="Arial"/>
          <w:color w:val="000000" w:themeColor="text1"/>
          <w:sz w:val="20"/>
          <w:szCs w:val="20"/>
        </w:rPr>
      </w:pPr>
      <w:r w:rsidRPr="00EA7F40">
        <w:rPr>
          <w:rFonts w:ascii="Arial" w:hAnsi="Arial" w:cs="Arial"/>
          <w:color w:val="000000" w:themeColor="text1"/>
          <w:sz w:val="20"/>
          <w:szCs w:val="20"/>
        </w:rPr>
        <w:t xml:space="preserve">Las entidades estatales deben respetar el derecho del contratista de hacer sus aportes al Sistema de Seguridad Social Integral a más tardar en las fechas indicadas en el artículo 3.2.2.1. del Decreto 1990 de 2016 y de conformidad con el artículo 244 de la Ley 1955 de 2019, que establece que la cotización se realiza </w:t>
      </w:r>
      <w:r w:rsidRPr="00EA7F40">
        <w:rPr>
          <w:rFonts w:ascii="Arial" w:hAnsi="Arial" w:cs="Arial"/>
          <w:i/>
          <w:color w:val="000000" w:themeColor="text1"/>
          <w:sz w:val="20"/>
          <w:szCs w:val="20"/>
        </w:rPr>
        <w:t>mes vencido</w:t>
      </w:r>
      <w:r w:rsidRPr="00EA7F40">
        <w:rPr>
          <w:rFonts w:ascii="Arial" w:hAnsi="Arial" w:cs="Arial"/>
          <w:color w:val="000000" w:themeColor="text1"/>
          <w:sz w:val="20"/>
          <w:szCs w:val="20"/>
        </w:rPr>
        <w:t xml:space="preserve">. Por tanto, en diciembre, el supervidor debe verificar que el contratista haya hecho sus aportes por lo devengado en noviembre. Sin perjuicio de lo anterior, en todo caso, las entidades estatales –los supervisores o interventores, pero también los ordenadores del gasto– tienen el deber de verificar que el contratista haya cumplido con la cotización al Sistema de Seguridad Social Integral por el IBC de diciembre, así ya se haya firmado el acta de recibo final o se haya efectuado el pago de los honorarios de dicho mes. Ello a partir de lo previsto en el artículo 50 de la Ley 789 de 2002, que establece que este deber de verificación es por </w:t>
      </w:r>
      <w:r w:rsidRPr="00EA7F40">
        <w:rPr>
          <w:rFonts w:ascii="Arial" w:hAnsi="Arial" w:cs="Arial"/>
          <w:i/>
          <w:color w:val="000000" w:themeColor="text1"/>
          <w:sz w:val="20"/>
          <w:szCs w:val="20"/>
        </w:rPr>
        <w:t>toda la vigencia del contrato</w:t>
      </w:r>
      <w:r w:rsidRPr="00EA7F40">
        <w:rPr>
          <w:rFonts w:ascii="Arial" w:hAnsi="Arial" w:cs="Arial"/>
          <w:color w:val="000000" w:themeColor="text1"/>
          <w:sz w:val="20"/>
          <w:szCs w:val="20"/>
        </w:rPr>
        <w:t>.</w:t>
      </w:r>
    </w:p>
    <w:p w14:paraId="3B3FC026" w14:textId="77777777" w:rsidR="00567013" w:rsidRPr="00EA7F40" w:rsidRDefault="00567013" w:rsidP="00567013">
      <w:pPr>
        <w:spacing w:line="276" w:lineRule="auto"/>
        <w:jc w:val="both"/>
        <w:rPr>
          <w:rFonts w:ascii="Arial" w:eastAsia="Calibri" w:hAnsi="Arial" w:cs="Arial"/>
          <w:color w:val="000000" w:themeColor="text1"/>
          <w:sz w:val="20"/>
          <w:szCs w:val="20"/>
        </w:rPr>
      </w:pPr>
    </w:p>
    <w:p w14:paraId="363ABE44" w14:textId="77777777" w:rsidR="00B675F0" w:rsidRPr="00B675F0" w:rsidRDefault="00B675F0" w:rsidP="00B675F0">
      <w:pPr>
        <w:pStyle w:val="Default"/>
        <w:rPr>
          <w:sz w:val="20"/>
          <w:szCs w:val="20"/>
        </w:rPr>
      </w:pPr>
    </w:p>
    <w:p w14:paraId="06A209CD" w14:textId="48A9C374" w:rsidR="00B675F0" w:rsidRDefault="00B675F0" w:rsidP="00B675F0">
      <w:pPr>
        <w:pStyle w:val="Default"/>
        <w:rPr>
          <w:sz w:val="22"/>
          <w:szCs w:val="22"/>
        </w:rPr>
      </w:pPr>
      <w:r>
        <w:rPr>
          <w:sz w:val="22"/>
          <w:szCs w:val="22"/>
        </w:rPr>
        <w:t xml:space="preserve">Bogotá D.C., </w:t>
      </w:r>
      <w:r>
        <w:rPr>
          <w:b/>
          <w:bCs/>
          <w:sz w:val="22"/>
          <w:szCs w:val="22"/>
        </w:rPr>
        <w:t xml:space="preserve">03/03/2020 Hora 12:18:5s </w:t>
      </w:r>
    </w:p>
    <w:p w14:paraId="0404B0A4" w14:textId="115EC1CF" w:rsidR="00567013" w:rsidRPr="005A4702" w:rsidRDefault="00B675F0" w:rsidP="00B675F0">
      <w:pPr>
        <w:spacing w:line="276" w:lineRule="auto"/>
        <w:jc w:val="right"/>
        <w:rPr>
          <w:rFonts w:ascii="Arial" w:hAnsi="Arial" w:cs="Arial"/>
          <w:b/>
          <w:color w:val="000000" w:themeColor="text1"/>
          <w:sz w:val="22"/>
          <w:lang w:val="es-ES_tradnl"/>
        </w:rPr>
      </w:pPr>
      <w:r w:rsidRPr="005A4702">
        <w:rPr>
          <w:rFonts w:ascii="Arial" w:hAnsi="Arial" w:cs="Arial"/>
          <w:b/>
          <w:bCs/>
          <w:sz w:val="22"/>
        </w:rPr>
        <w:t>N° Radicado: 2202013000001546</w:t>
      </w:r>
    </w:p>
    <w:p w14:paraId="42F92692" w14:textId="77777777" w:rsidR="00567013" w:rsidRPr="00EA7F40" w:rsidRDefault="00567013" w:rsidP="00567013">
      <w:pPr>
        <w:tabs>
          <w:tab w:val="left" w:pos="3374"/>
        </w:tabs>
        <w:spacing w:line="276" w:lineRule="auto"/>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ab/>
      </w:r>
    </w:p>
    <w:p w14:paraId="6B498235" w14:textId="77777777" w:rsidR="00567013" w:rsidRPr="00EA7F40" w:rsidRDefault="00567013" w:rsidP="00567013">
      <w:pPr>
        <w:spacing w:line="276" w:lineRule="auto"/>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Señor</w:t>
      </w:r>
    </w:p>
    <w:p w14:paraId="7E151CEB" w14:textId="77777777" w:rsidR="00567013" w:rsidRPr="00EA7F40" w:rsidRDefault="00567013" w:rsidP="00567013">
      <w:pPr>
        <w:spacing w:line="276" w:lineRule="auto"/>
        <w:rPr>
          <w:rFonts w:ascii="Arial" w:eastAsia="Calibri" w:hAnsi="Arial" w:cs="Arial"/>
          <w:b/>
          <w:color w:val="000000" w:themeColor="text1"/>
          <w:sz w:val="22"/>
          <w:lang w:val="es-ES_tradnl"/>
        </w:rPr>
      </w:pPr>
      <w:r w:rsidRPr="00EA7F40">
        <w:rPr>
          <w:rFonts w:ascii="Arial" w:eastAsia="Calibri" w:hAnsi="Arial" w:cs="Arial"/>
          <w:b/>
          <w:color w:val="000000" w:themeColor="text1"/>
          <w:sz w:val="22"/>
          <w:lang w:val="es-ES_tradnl"/>
        </w:rPr>
        <w:t>Gustavo Adolfo Patarroyo Cubides</w:t>
      </w:r>
    </w:p>
    <w:p w14:paraId="0B035258" w14:textId="77777777" w:rsidR="00567013" w:rsidRPr="00EA7F40" w:rsidRDefault="00567013" w:rsidP="00567013">
      <w:pPr>
        <w:spacing w:line="276" w:lineRule="auto"/>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Ciudad</w:t>
      </w:r>
    </w:p>
    <w:p w14:paraId="197AADE6" w14:textId="77777777" w:rsidR="00567013" w:rsidRPr="00EA7F40" w:rsidRDefault="00567013" w:rsidP="00567013">
      <w:pPr>
        <w:spacing w:line="276" w:lineRule="auto"/>
        <w:jc w:val="center"/>
        <w:rPr>
          <w:rFonts w:ascii="Arial" w:eastAsia="Calibri" w:hAnsi="Arial" w:cs="Arial"/>
          <w:b/>
          <w:color w:val="000000" w:themeColor="text1"/>
          <w:sz w:val="22"/>
          <w:lang w:val="es-ES_tradnl"/>
        </w:rPr>
      </w:pPr>
      <w:r w:rsidRPr="00EA7F40">
        <w:rPr>
          <w:rFonts w:ascii="Arial" w:eastAsia="Calibri" w:hAnsi="Arial" w:cs="Arial"/>
          <w:b/>
          <w:color w:val="000000" w:themeColor="text1"/>
          <w:sz w:val="22"/>
          <w:lang w:val="es-ES_tradnl"/>
        </w:rPr>
        <w:t>Concepto C ─ 118 de 2020</w:t>
      </w:r>
    </w:p>
    <w:p w14:paraId="126DFF50" w14:textId="77777777" w:rsidR="00567013" w:rsidRPr="00EA7F40" w:rsidRDefault="00567013" w:rsidP="00567013">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7F40" w:rsidRPr="00EA7F40" w14:paraId="132FD0FC" w14:textId="77777777" w:rsidTr="008A7750">
        <w:tc>
          <w:tcPr>
            <w:tcW w:w="2689" w:type="dxa"/>
            <w:hideMark/>
          </w:tcPr>
          <w:p w14:paraId="20E860BA" w14:textId="77777777" w:rsidR="00567013" w:rsidRPr="00EA7F40" w:rsidRDefault="00567013" w:rsidP="008A7750">
            <w:pPr>
              <w:spacing w:line="276" w:lineRule="auto"/>
              <w:rPr>
                <w:rFonts w:ascii="Arial" w:eastAsia="Calibri" w:hAnsi="Arial" w:cs="Arial"/>
                <w:color w:val="000000" w:themeColor="text1"/>
                <w:sz w:val="22"/>
                <w:lang w:val="es-ES_tradnl"/>
              </w:rPr>
            </w:pPr>
            <w:r w:rsidRPr="00EA7F40">
              <w:rPr>
                <w:rFonts w:ascii="Arial" w:eastAsia="Calibri" w:hAnsi="Arial" w:cs="Arial"/>
                <w:b/>
                <w:color w:val="000000" w:themeColor="text1"/>
                <w:sz w:val="22"/>
                <w:lang w:val="es-ES_tradnl"/>
              </w:rPr>
              <w:t>Temas:</w:t>
            </w:r>
            <w:r w:rsidRPr="00EA7F40">
              <w:rPr>
                <w:rFonts w:ascii="Arial" w:eastAsia="Calibri" w:hAnsi="Arial" w:cs="Arial"/>
                <w:color w:val="000000" w:themeColor="text1"/>
                <w:sz w:val="22"/>
                <w:lang w:val="es-ES_tradnl"/>
              </w:rPr>
              <w:t xml:space="preserve">           </w:t>
            </w:r>
          </w:p>
          <w:p w14:paraId="0DD3900C" w14:textId="77777777" w:rsidR="00567013" w:rsidRPr="00EA7F40" w:rsidRDefault="00567013" w:rsidP="008A7750">
            <w:pPr>
              <w:spacing w:line="276" w:lineRule="auto"/>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 xml:space="preserve">                           </w:t>
            </w:r>
          </w:p>
        </w:tc>
        <w:tc>
          <w:tcPr>
            <w:tcW w:w="6237" w:type="dxa"/>
            <w:hideMark/>
          </w:tcPr>
          <w:p w14:paraId="0849D2FC" w14:textId="77777777" w:rsidR="00567013" w:rsidRPr="00EA7F40" w:rsidRDefault="00567013" w:rsidP="008A7750">
            <w:pPr>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rPr>
              <w:t xml:space="preserve">SEGURIDAD SOCIAL ― Verificación ― Pago ― Persona natural ― Persona jurídica / SEGURIDAD SOCIAL ― Ley 1955 de 2019 ― Imposibilidad de retención y giro / CONTRATO DE </w:t>
            </w:r>
            <w:r w:rsidRPr="00EA7F40">
              <w:rPr>
                <w:rFonts w:ascii="Arial" w:eastAsia="Calibri" w:hAnsi="Arial" w:cs="Arial"/>
                <w:color w:val="000000" w:themeColor="text1"/>
                <w:sz w:val="22"/>
              </w:rPr>
              <w:lastRenderedPageBreak/>
              <w:t>PRESTACIÓN DE SERVICIOS ― Pagos ― Seguridad social ― Mes vencido</w:t>
            </w:r>
          </w:p>
        </w:tc>
      </w:tr>
      <w:tr w:rsidR="00567013" w:rsidRPr="00EA7F40" w14:paraId="23596BE9" w14:textId="77777777" w:rsidTr="008A7750">
        <w:tc>
          <w:tcPr>
            <w:tcW w:w="2689" w:type="dxa"/>
          </w:tcPr>
          <w:p w14:paraId="2C71194E" w14:textId="77777777" w:rsidR="00567013" w:rsidRPr="00EA7F40" w:rsidRDefault="00567013" w:rsidP="008A7750">
            <w:pPr>
              <w:spacing w:line="276" w:lineRule="auto"/>
              <w:rPr>
                <w:rFonts w:ascii="Arial" w:eastAsia="Calibri" w:hAnsi="Arial" w:cs="Arial"/>
                <w:b/>
                <w:color w:val="000000" w:themeColor="text1"/>
                <w:sz w:val="22"/>
                <w:lang w:val="es-ES_tradnl"/>
              </w:rPr>
            </w:pPr>
            <w:r w:rsidRPr="00EA7F40">
              <w:rPr>
                <w:rFonts w:ascii="Arial" w:eastAsia="Calibri" w:hAnsi="Arial" w:cs="Arial"/>
                <w:b/>
                <w:color w:val="000000" w:themeColor="text1"/>
                <w:sz w:val="22"/>
                <w:lang w:val="es-ES_tradnl"/>
              </w:rPr>
              <w:lastRenderedPageBreak/>
              <w:t>Radicación:</w:t>
            </w:r>
            <w:r w:rsidRPr="00EA7F40">
              <w:rPr>
                <w:rFonts w:ascii="Arial" w:eastAsia="Calibri" w:hAnsi="Arial" w:cs="Arial"/>
                <w:color w:val="000000" w:themeColor="text1"/>
                <w:sz w:val="22"/>
                <w:lang w:val="es-ES_tradnl"/>
              </w:rPr>
              <w:t xml:space="preserve">                              </w:t>
            </w:r>
          </w:p>
        </w:tc>
        <w:tc>
          <w:tcPr>
            <w:tcW w:w="6237" w:type="dxa"/>
          </w:tcPr>
          <w:p w14:paraId="09E4A34D" w14:textId="77777777" w:rsidR="00567013" w:rsidRPr="00EA7F40" w:rsidRDefault="00567013" w:rsidP="008A7750">
            <w:pPr>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 xml:space="preserve">Respuesta a consulta # </w:t>
            </w:r>
            <w:r w:rsidRPr="00EA7F40">
              <w:rPr>
                <w:rFonts w:ascii="Arial" w:hAnsi="Arial" w:cs="Arial"/>
                <w:color w:val="000000" w:themeColor="text1"/>
                <w:sz w:val="22"/>
                <w:lang w:val="es-ES_tradnl"/>
              </w:rPr>
              <w:t>4202013000001017</w:t>
            </w:r>
          </w:p>
        </w:tc>
      </w:tr>
    </w:tbl>
    <w:p w14:paraId="388D8031"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p>
    <w:p w14:paraId="277BBAA2" w14:textId="77777777" w:rsidR="00567013" w:rsidRPr="00EA7F40" w:rsidRDefault="00567013" w:rsidP="00567013">
      <w:pPr>
        <w:spacing w:line="276" w:lineRule="auto"/>
        <w:rPr>
          <w:rFonts w:ascii="Arial" w:eastAsia="Calibri" w:hAnsi="Arial" w:cs="Arial"/>
          <w:color w:val="000000" w:themeColor="text1"/>
          <w:sz w:val="22"/>
          <w:lang w:val="es-ES_tradnl"/>
        </w:rPr>
      </w:pPr>
    </w:p>
    <w:p w14:paraId="50B3A2BB" w14:textId="77777777" w:rsidR="00567013" w:rsidRPr="00EA7F40" w:rsidRDefault="00567013" w:rsidP="00567013">
      <w:pPr>
        <w:spacing w:line="276" w:lineRule="auto"/>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Estimado señor Patarroyo Cubides,</w:t>
      </w:r>
    </w:p>
    <w:p w14:paraId="1676BD86" w14:textId="77777777" w:rsidR="00567013" w:rsidRPr="00EA7F40" w:rsidRDefault="00567013" w:rsidP="00567013">
      <w:pPr>
        <w:spacing w:line="276" w:lineRule="auto"/>
        <w:rPr>
          <w:rFonts w:ascii="Arial" w:eastAsia="Calibri" w:hAnsi="Arial" w:cs="Arial"/>
          <w:color w:val="000000" w:themeColor="text1"/>
          <w:sz w:val="22"/>
          <w:lang w:val="es-ES_tradnl"/>
        </w:rPr>
      </w:pPr>
    </w:p>
    <w:p w14:paraId="64516C22" w14:textId="77777777" w:rsidR="00567013" w:rsidRPr="00EA7F40" w:rsidRDefault="00567013" w:rsidP="00567013">
      <w:pPr>
        <w:tabs>
          <w:tab w:val="left" w:pos="426"/>
        </w:tabs>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La Agencia Nacional de Contratación Pública ― Colombia Compra Eficiente responde su consulta del 7 de febrero de 2020, remitida a esta entidad por competencia el 11 del mismo mes y año, en ejercicio de la competencia otorgada por el numeral 8 del artículo 11 y el numeral 5 del artículo 3 del Decreto Ley 4170 de 2011.</w:t>
      </w:r>
    </w:p>
    <w:p w14:paraId="22AE45DF" w14:textId="77777777" w:rsidR="00567013" w:rsidRPr="00EA7F40" w:rsidRDefault="00567013" w:rsidP="00567013">
      <w:pPr>
        <w:tabs>
          <w:tab w:val="left" w:pos="426"/>
        </w:tabs>
        <w:spacing w:line="276" w:lineRule="auto"/>
        <w:jc w:val="both"/>
        <w:rPr>
          <w:rFonts w:ascii="Arial" w:eastAsia="Calibri" w:hAnsi="Arial" w:cs="Arial"/>
          <w:color w:val="000000" w:themeColor="text1"/>
          <w:sz w:val="22"/>
          <w:lang w:val="es-ES_tradnl"/>
        </w:rPr>
      </w:pPr>
    </w:p>
    <w:p w14:paraId="12BB369C" w14:textId="77777777" w:rsidR="00567013" w:rsidRPr="00EA7F40" w:rsidRDefault="00567013" w:rsidP="00567013">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EA7F40">
        <w:rPr>
          <w:rFonts w:ascii="Arial" w:eastAsia="Calibri" w:hAnsi="Arial" w:cs="Arial"/>
          <w:b/>
          <w:color w:val="000000" w:themeColor="text1"/>
          <w:sz w:val="22"/>
          <w:lang w:val="es-ES_tradnl"/>
        </w:rPr>
        <w:t xml:space="preserve">Problemas planteados </w:t>
      </w:r>
    </w:p>
    <w:p w14:paraId="332AB3CC" w14:textId="77777777" w:rsidR="00567013" w:rsidRPr="00EA7F40" w:rsidRDefault="00567013" w:rsidP="00567013">
      <w:pPr>
        <w:tabs>
          <w:tab w:val="left" w:pos="426"/>
        </w:tabs>
        <w:spacing w:line="276" w:lineRule="auto"/>
        <w:jc w:val="both"/>
        <w:rPr>
          <w:rFonts w:ascii="Arial" w:eastAsia="Calibri" w:hAnsi="Arial" w:cs="Arial"/>
          <w:b/>
          <w:color w:val="000000" w:themeColor="text1"/>
          <w:sz w:val="22"/>
          <w:lang w:val="es-ES_tradnl"/>
        </w:rPr>
      </w:pPr>
    </w:p>
    <w:p w14:paraId="08406AA3" w14:textId="77777777" w:rsidR="00567013" w:rsidRPr="00EA7F40" w:rsidRDefault="00567013" w:rsidP="00567013">
      <w:pPr>
        <w:tabs>
          <w:tab w:val="left" w:pos="426"/>
        </w:tabs>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Usted realiza las siguientes preguntas: i) ¿Es necesario para la celebración del contrato de prestación de servicios exigir el pago anticipado de la seguridad social? ii) ¿Para la liquidación del contrato de prestación de servicios el contratista debe estar al día en el pago de sus aportes a la seguridad social o se le debe exigir que los pague anticipadamente? Por ejemplo, si el contrato se termina en diciembre, ¿debe estar a paz y salvo por los aportes a la seguridad social de noviembre o debe hacer también los aportes de diciembre como requisito para el pago?</w:t>
      </w:r>
    </w:p>
    <w:p w14:paraId="2A47944E" w14:textId="77777777" w:rsidR="00567013" w:rsidRPr="00EA7F40" w:rsidRDefault="00567013" w:rsidP="00567013">
      <w:pPr>
        <w:tabs>
          <w:tab w:val="left" w:pos="426"/>
        </w:tabs>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 xml:space="preserve"> </w:t>
      </w:r>
    </w:p>
    <w:p w14:paraId="17114ACE" w14:textId="77777777" w:rsidR="00567013" w:rsidRPr="00EA7F40" w:rsidRDefault="00567013" w:rsidP="00567013">
      <w:pPr>
        <w:tabs>
          <w:tab w:val="left" w:pos="426"/>
        </w:tabs>
        <w:spacing w:line="276" w:lineRule="auto"/>
        <w:jc w:val="both"/>
        <w:rPr>
          <w:rFonts w:ascii="Arial" w:eastAsia="Calibri" w:hAnsi="Arial" w:cs="Arial"/>
          <w:b/>
          <w:color w:val="000000" w:themeColor="text1"/>
          <w:sz w:val="22"/>
          <w:lang w:val="es-ES_tradnl"/>
        </w:rPr>
      </w:pPr>
      <w:r w:rsidRPr="00EA7F40">
        <w:rPr>
          <w:rFonts w:ascii="Arial" w:eastAsia="Calibri" w:hAnsi="Arial" w:cs="Arial"/>
          <w:b/>
          <w:color w:val="000000" w:themeColor="text1"/>
          <w:sz w:val="22"/>
          <w:lang w:val="es-ES_tradnl"/>
        </w:rPr>
        <w:t>2. Consideraciones</w:t>
      </w:r>
    </w:p>
    <w:bookmarkEnd w:id="0"/>
    <w:bookmarkEnd w:id="1"/>
    <w:p w14:paraId="0D6F8BD8" w14:textId="77777777" w:rsidR="00567013" w:rsidRPr="00EA7F40" w:rsidRDefault="00567013" w:rsidP="00567013">
      <w:pPr>
        <w:spacing w:line="276" w:lineRule="auto"/>
        <w:jc w:val="both"/>
        <w:rPr>
          <w:rFonts w:ascii="Arial" w:hAnsi="Arial" w:cs="Arial"/>
          <w:color w:val="000000" w:themeColor="text1"/>
          <w:sz w:val="22"/>
          <w:lang w:val="es-ES_tradnl"/>
        </w:rPr>
      </w:pPr>
    </w:p>
    <w:p w14:paraId="0B548A21" w14:textId="77777777" w:rsidR="00567013" w:rsidRPr="00EA7F40" w:rsidRDefault="00567013" w:rsidP="00567013">
      <w:pPr>
        <w:spacing w:line="276" w:lineRule="auto"/>
        <w:jc w:val="both"/>
        <w:rPr>
          <w:rFonts w:ascii="Arial" w:eastAsia="Calibri" w:hAnsi="Arial" w:cs="Arial"/>
          <w:color w:val="000000" w:themeColor="text1"/>
          <w:sz w:val="22"/>
        </w:rPr>
      </w:pPr>
      <w:r w:rsidRPr="00EA7F40">
        <w:rPr>
          <w:rFonts w:ascii="Arial" w:eastAsia="Calibri" w:hAnsi="Arial" w:cs="Arial"/>
          <w:color w:val="000000" w:themeColor="text1"/>
          <w:sz w:val="22"/>
        </w:rPr>
        <w:t>Para desarrollar el problema planteado, en primer lugar se explicará en qué momento las entidades pueden solicitar el pago de los aportes al Sistema de Seguridad Social; en segundo lugar, se analizarán los cambios que efectuó la Ley 1955 de 2019 sobre la metodología que había implementado el Decreto 1273 de 2018 –dejado sin efectos–, referido al pago al Sistema de Seguridad Social Integral por parte de los trabajadores independientes; y, por último, se determinará si el supervisor tiene la facultad de solicitar el pago del mes de diciembre, a pesar de que para el pago del contrato solo se requiere presentar el pago de seguridad social mes vencido. Se ratificarán las consideraciones expuestas en el concepto emitido con ocasión de la consulta con radicado 4201912000008226.</w:t>
      </w:r>
    </w:p>
    <w:p w14:paraId="4543D15B" w14:textId="77777777" w:rsidR="00567013" w:rsidRPr="00EA7F40" w:rsidRDefault="00567013" w:rsidP="00567013">
      <w:pPr>
        <w:pStyle w:val="Prrafodelista"/>
        <w:tabs>
          <w:tab w:val="left" w:pos="142"/>
          <w:tab w:val="left" w:pos="426"/>
        </w:tabs>
        <w:spacing w:line="276" w:lineRule="auto"/>
        <w:ind w:left="0"/>
        <w:jc w:val="both"/>
        <w:rPr>
          <w:rFonts w:ascii="Arial" w:eastAsia="Calibri" w:hAnsi="Arial" w:cs="Arial"/>
          <w:b/>
          <w:color w:val="000000" w:themeColor="text1"/>
          <w:sz w:val="22"/>
        </w:rPr>
      </w:pPr>
    </w:p>
    <w:p w14:paraId="55C360D5" w14:textId="77777777" w:rsidR="00567013" w:rsidRPr="00EA7F40" w:rsidRDefault="00567013" w:rsidP="00567013">
      <w:pPr>
        <w:pStyle w:val="Prrafodelista"/>
        <w:tabs>
          <w:tab w:val="left" w:pos="142"/>
          <w:tab w:val="left" w:pos="426"/>
        </w:tabs>
        <w:spacing w:line="276" w:lineRule="auto"/>
        <w:ind w:left="0"/>
        <w:jc w:val="both"/>
        <w:rPr>
          <w:rFonts w:ascii="Arial" w:eastAsia="Calibri" w:hAnsi="Arial" w:cs="Arial"/>
          <w:b/>
          <w:color w:val="000000" w:themeColor="text1"/>
          <w:sz w:val="22"/>
        </w:rPr>
      </w:pPr>
      <w:r w:rsidRPr="00EA7F40">
        <w:rPr>
          <w:rFonts w:ascii="Arial" w:eastAsia="Calibri" w:hAnsi="Arial" w:cs="Arial"/>
          <w:b/>
          <w:color w:val="000000" w:themeColor="text1"/>
          <w:sz w:val="22"/>
        </w:rPr>
        <w:t xml:space="preserve">2.1. Verificación por parte de las entidades estatales del pago al Sistema de Seguridad Social Integral </w:t>
      </w:r>
    </w:p>
    <w:p w14:paraId="43669DE0" w14:textId="77777777" w:rsidR="00567013" w:rsidRPr="00EA7F40" w:rsidRDefault="00567013" w:rsidP="00567013">
      <w:pPr>
        <w:tabs>
          <w:tab w:val="left" w:pos="142"/>
          <w:tab w:val="left" w:pos="426"/>
        </w:tabs>
        <w:spacing w:line="276" w:lineRule="auto"/>
        <w:jc w:val="both"/>
        <w:rPr>
          <w:rFonts w:ascii="Arial" w:eastAsia="Calibri" w:hAnsi="Arial" w:cs="Arial"/>
          <w:b/>
          <w:color w:val="000000" w:themeColor="text1"/>
          <w:sz w:val="22"/>
        </w:rPr>
      </w:pPr>
    </w:p>
    <w:p w14:paraId="52C373B0" w14:textId="77777777" w:rsidR="00567013" w:rsidRPr="00EA7F40" w:rsidRDefault="00567013" w:rsidP="00567013">
      <w:pPr>
        <w:spacing w:line="276" w:lineRule="auto"/>
        <w:jc w:val="both"/>
        <w:rPr>
          <w:rFonts w:ascii="Arial" w:hAnsi="Arial" w:cs="Arial"/>
          <w:color w:val="000000" w:themeColor="text1"/>
          <w:sz w:val="22"/>
        </w:rPr>
      </w:pPr>
      <w:r w:rsidRPr="00EA7F40">
        <w:rPr>
          <w:rFonts w:ascii="Arial" w:hAnsi="Arial" w:cs="Arial"/>
          <w:color w:val="000000" w:themeColor="text1"/>
          <w:sz w:val="22"/>
        </w:rPr>
        <w:t>La Ley 80 de 1993, en el texto original del artículo 41,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2F3A148F" w14:textId="77777777" w:rsidR="00567013" w:rsidRPr="00EA7F40" w:rsidRDefault="00567013" w:rsidP="00567013">
      <w:pPr>
        <w:spacing w:line="276" w:lineRule="auto"/>
        <w:ind w:firstLine="708"/>
        <w:jc w:val="both"/>
        <w:rPr>
          <w:rFonts w:ascii="Arial" w:hAnsi="Arial" w:cs="Arial"/>
          <w:color w:val="000000" w:themeColor="text1"/>
          <w:sz w:val="22"/>
        </w:rPr>
      </w:pPr>
      <w:r w:rsidRPr="00EA7F40">
        <w:rPr>
          <w:rFonts w:ascii="Arial" w:hAnsi="Arial" w:cs="Arial"/>
          <w:color w:val="000000" w:themeColor="text1"/>
          <w:sz w:val="22"/>
        </w:rPr>
        <w:lastRenderedPageBreak/>
        <w:t xml:space="preserve">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w:t>
      </w:r>
      <w:proofErr w:type="gramStart"/>
      <w:r w:rsidRPr="00EA7F40">
        <w:rPr>
          <w:rFonts w:ascii="Arial" w:hAnsi="Arial" w:cs="Arial"/>
          <w:color w:val="000000" w:themeColor="text1"/>
          <w:sz w:val="22"/>
        </w:rPr>
        <w:t>se  facultó</w:t>
      </w:r>
      <w:proofErr w:type="gramEnd"/>
      <w:r w:rsidRPr="00EA7F40">
        <w:rPr>
          <w:rFonts w:ascii="Arial" w:hAnsi="Arial" w:cs="Arial"/>
          <w:color w:val="000000" w:themeColor="text1"/>
          <w:sz w:val="22"/>
        </w:rPr>
        <w:t xml:space="preserve">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EA7F40">
        <w:rPr>
          <w:rStyle w:val="Refdenotaalpie"/>
          <w:rFonts w:ascii="Arial" w:hAnsi="Arial" w:cs="Arial"/>
          <w:color w:val="000000" w:themeColor="text1"/>
          <w:sz w:val="22"/>
        </w:rPr>
        <w:footnoteReference w:id="1"/>
      </w:r>
      <w:r w:rsidRPr="00EA7F40">
        <w:rPr>
          <w:rFonts w:ascii="Arial" w:hAnsi="Arial" w:cs="Arial"/>
          <w:color w:val="000000" w:themeColor="text1"/>
          <w:sz w:val="22"/>
        </w:rPr>
        <w:t xml:space="preserve">. </w:t>
      </w:r>
    </w:p>
    <w:p w14:paraId="623381D2" w14:textId="77777777" w:rsidR="00567013" w:rsidRPr="00EA7F40" w:rsidRDefault="00567013" w:rsidP="00567013">
      <w:pPr>
        <w:spacing w:line="276" w:lineRule="auto"/>
        <w:ind w:firstLine="708"/>
        <w:jc w:val="both"/>
        <w:rPr>
          <w:rFonts w:ascii="Arial" w:hAnsi="Arial" w:cs="Arial"/>
          <w:color w:val="000000" w:themeColor="text1"/>
          <w:sz w:val="22"/>
        </w:rPr>
      </w:pPr>
      <w:r w:rsidRPr="00EA7F40">
        <w:rPr>
          <w:rFonts w:ascii="Arial" w:hAnsi="Arial" w:cs="Arial"/>
          <w:color w:val="000000" w:themeColor="text1"/>
          <w:sz w:val="22"/>
        </w:rPr>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6D084741" w14:textId="77777777" w:rsidR="00567013" w:rsidRPr="00EA7F40" w:rsidRDefault="00567013" w:rsidP="00567013">
      <w:pPr>
        <w:spacing w:line="276" w:lineRule="auto"/>
        <w:ind w:firstLine="708"/>
        <w:jc w:val="both"/>
        <w:rPr>
          <w:rFonts w:ascii="Arial" w:hAnsi="Arial" w:cs="Arial"/>
          <w:color w:val="000000" w:themeColor="text1"/>
          <w:sz w:val="22"/>
        </w:rPr>
      </w:pPr>
      <w:r w:rsidRPr="00EA7F40">
        <w:rPr>
          <w:rFonts w:ascii="Arial" w:hAnsi="Arial" w:cs="Arial"/>
          <w:color w:val="000000" w:themeColor="text1"/>
          <w:sz w:val="22"/>
        </w:rPr>
        <w:t xml:space="preserve">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w:t>
      </w:r>
      <w:r w:rsidRPr="00EA7F40">
        <w:rPr>
          <w:rFonts w:ascii="Arial" w:hAnsi="Arial" w:cs="Arial"/>
          <w:color w:val="000000" w:themeColor="text1"/>
          <w:sz w:val="22"/>
        </w:rPr>
        <w:lastRenderedPageBreak/>
        <w:t>al Sistema de Seguridad Social Integral</w:t>
      </w:r>
      <w:r w:rsidRPr="00EA7F40">
        <w:rPr>
          <w:rStyle w:val="Refdenotaalpie"/>
          <w:rFonts w:ascii="Arial" w:hAnsi="Arial" w:cs="Arial"/>
          <w:color w:val="000000" w:themeColor="text1"/>
          <w:sz w:val="22"/>
        </w:rPr>
        <w:footnoteReference w:id="2"/>
      </w:r>
      <w:r w:rsidRPr="00EA7F40">
        <w:rPr>
          <w:rFonts w:ascii="Arial" w:hAnsi="Arial" w:cs="Arial"/>
          <w:color w:val="000000" w:themeColor="text1"/>
          <w:sz w:val="22"/>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71A26D04" w14:textId="77777777" w:rsidR="00567013" w:rsidRPr="00EA7F40" w:rsidRDefault="00567013" w:rsidP="00567013">
      <w:pPr>
        <w:spacing w:line="276" w:lineRule="auto"/>
        <w:ind w:firstLine="708"/>
        <w:jc w:val="both"/>
        <w:rPr>
          <w:rFonts w:ascii="Arial" w:hAnsi="Arial" w:cs="Arial"/>
          <w:color w:val="000000" w:themeColor="text1"/>
          <w:sz w:val="22"/>
        </w:rPr>
      </w:pPr>
      <w:r w:rsidRPr="00EA7F40">
        <w:rPr>
          <w:rFonts w:ascii="Arial" w:hAnsi="Arial" w:cs="Arial"/>
          <w:color w:val="000000" w:themeColor="text1"/>
          <w:sz w:val="22"/>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7F3D1B93" w14:textId="77777777" w:rsidR="00567013" w:rsidRPr="00EA7F40" w:rsidRDefault="00567013" w:rsidP="00567013">
      <w:pPr>
        <w:pStyle w:val="NormalWeb"/>
        <w:spacing w:before="0" w:beforeAutospacing="0" w:after="0" w:afterAutospacing="0"/>
        <w:ind w:right="709"/>
        <w:jc w:val="both"/>
        <w:rPr>
          <w:rFonts w:ascii="Arial" w:hAnsi="Arial" w:cs="Arial"/>
          <w:color w:val="000000" w:themeColor="text1"/>
          <w:sz w:val="21"/>
          <w:szCs w:val="21"/>
        </w:rPr>
      </w:pPr>
    </w:p>
    <w:p w14:paraId="6657D09C" w14:textId="77777777" w:rsidR="00567013" w:rsidRPr="00EA7F40" w:rsidRDefault="00567013" w:rsidP="00567013">
      <w:pPr>
        <w:pStyle w:val="NormalWeb"/>
        <w:spacing w:before="0" w:beforeAutospacing="0" w:after="0" w:afterAutospacing="0"/>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w:t>
      </w:r>
    </w:p>
    <w:p w14:paraId="51EAD467" w14:textId="77777777" w:rsidR="00567013" w:rsidRPr="00EA7F40" w:rsidRDefault="00567013" w:rsidP="00567013">
      <w:pPr>
        <w:pStyle w:val="NormalWeb"/>
        <w:spacing w:before="0" w:beforeAutospacing="0" w:after="0" w:afterAutospacing="0"/>
        <w:ind w:left="709" w:right="709"/>
        <w:jc w:val="both"/>
        <w:rPr>
          <w:rFonts w:ascii="Arial" w:hAnsi="Arial" w:cs="Arial"/>
          <w:color w:val="000000" w:themeColor="text1"/>
          <w:sz w:val="21"/>
          <w:szCs w:val="21"/>
        </w:rPr>
      </w:pPr>
    </w:p>
    <w:p w14:paraId="38E34431" w14:textId="77777777" w:rsidR="00567013" w:rsidRPr="00EA7F40" w:rsidRDefault="00567013" w:rsidP="00567013">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1BBDE4D" w14:textId="77777777" w:rsidR="00567013" w:rsidRPr="00EA7F40" w:rsidRDefault="00567013" w:rsidP="00567013">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rPr>
      </w:pPr>
    </w:p>
    <w:p w14:paraId="1F4BE2ED" w14:textId="77777777" w:rsidR="00567013" w:rsidRPr="00EA7F40" w:rsidRDefault="00567013" w:rsidP="00567013">
      <w:pPr>
        <w:pStyle w:val="NormalWeb"/>
        <w:spacing w:before="0" w:beforeAutospacing="0" w:after="0" w:afterAutospacing="0"/>
        <w:ind w:left="709" w:right="709"/>
        <w:jc w:val="both"/>
        <w:rPr>
          <w:rFonts w:ascii="Arial" w:hAnsi="Arial" w:cs="Arial"/>
          <w:color w:val="000000" w:themeColor="text1"/>
          <w:sz w:val="21"/>
          <w:szCs w:val="21"/>
        </w:rPr>
      </w:pPr>
      <w:r w:rsidRPr="00EA7F40">
        <w:rPr>
          <w:rStyle w:val="baj"/>
          <w:rFonts w:ascii="Arial" w:hAnsi="Arial" w:cs="Arial"/>
          <w:bCs/>
          <w:color w:val="000000" w:themeColor="text1"/>
          <w:sz w:val="21"/>
          <w:szCs w:val="21"/>
        </w:rPr>
        <w:t>Parágrafo 1.</w:t>
      </w:r>
      <w:r w:rsidRPr="00EA7F40">
        <w:rPr>
          <w:rFonts w:ascii="Arial" w:hAnsi="Arial" w:cs="Arial"/>
          <w:color w:val="000000" w:themeColor="text1"/>
          <w:sz w:val="21"/>
          <w:szCs w:val="21"/>
        </w:rPr>
        <w:t> El requisito establecido en la parte final del inciso segundo de este artículo deberá acreditarse para la realización de cada pago derivado del contrato estatal.</w:t>
      </w:r>
    </w:p>
    <w:p w14:paraId="3D4D655B" w14:textId="77777777" w:rsidR="00567013" w:rsidRPr="00EA7F40" w:rsidRDefault="00567013" w:rsidP="00567013">
      <w:pPr>
        <w:pStyle w:val="NormalWeb"/>
        <w:spacing w:before="0" w:beforeAutospacing="0" w:after="0" w:afterAutospacing="0"/>
        <w:ind w:left="709" w:right="709"/>
        <w:jc w:val="both"/>
        <w:rPr>
          <w:rFonts w:ascii="Arial" w:hAnsi="Arial" w:cs="Arial"/>
          <w:color w:val="000000" w:themeColor="text1"/>
          <w:sz w:val="21"/>
          <w:szCs w:val="21"/>
        </w:rPr>
      </w:pPr>
    </w:p>
    <w:p w14:paraId="5D363AEF" w14:textId="77777777" w:rsidR="00567013" w:rsidRPr="00EA7F40" w:rsidRDefault="00567013" w:rsidP="00567013">
      <w:pPr>
        <w:pStyle w:val="NormalWeb"/>
        <w:spacing w:before="0" w:beforeAutospacing="0" w:after="0" w:afterAutospacing="0"/>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El servidor público que sin justa causa no verifique el pago de los aportes a que se refiere el presente artículo, incurrirá en causal de mala conducta, que será sancionada con arreglo al régimen disciplinario vigente.</w:t>
      </w:r>
    </w:p>
    <w:p w14:paraId="047FCBBA" w14:textId="77777777" w:rsidR="00567013" w:rsidRPr="00EA7F40" w:rsidRDefault="00567013" w:rsidP="00567013">
      <w:pPr>
        <w:spacing w:line="276" w:lineRule="auto"/>
        <w:ind w:firstLine="709"/>
        <w:jc w:val="both"/>
        <w:rPr>
          <w:rFonts w:ascii="Arial" w:hAnsi="Arial" w:cs="Arial"/>
          <w:color w:val="000000" w:themeColor="text1"/>
          <w:sz w:val="22"/>
        </w:rPr>
      </w:pPr>
    </w:p>
    <w:p w14:paraId="35B75D70"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 xml:space="preserve">De la lectura integral del artículo 23 de la Ley 1150 de 2007 se infiere </w:t>
      </w:r>
      <w:proofErr w:type="gramStart"/>
      <w:r w:rsidRPr="00EA7F40">
        <w:rPr>
          <w:rFonts w:ascii="Arial" w:hAnsi="Arial" w:cs="Arial"/>
          <w:color w:val="000000" w:themeColor="text1"/>
          <w:sz w:val="22"/>
        </w:rPr>
        <w:t>que</w:t>
      </w:r>
      <w:proofErr w:type="gramEnd"/>
      <w:r w:rsidRPr="00EA7F40">
        <w:rPr>
          <w:rFonts w:ascii="Arial" w:hAnsi="Arial" w:cs="Arial"/>
          <w:color w:val="000000" w:themeColor="text1"/>
          <w:sz w:val="22"/>
        </w:rPr>
        <w:t xml:space="preserve"> si bien los proponentes y los contratistas deben estar al día en el pago al Sistema de Seguridad Social Integral, la verificación de este requisito, por parte de las entidades estatales, se efectuará cuando realicen los pagos del contrato, es decir, durante la ejecución. </w:t>
      </w:r>
    </w:p>
    <w:p w14:paraId="5688545F"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4719B3AD"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w:t>
      </w:r>
      <w:r w:rsidRPr="00EA7F40">
        <w:rPr>
          <w:rFonts w:ascii="Arial" w:hAnsi="Arial" w:cs="Arial"/>
          <w:color w:val="000000" w:themeColor="text1"/>
          <w:sz w:val="22"/>
        </w:rPr>
        <w:lastRenderedPageBreak/>
        <w:t xml:space="preserve">se realicen los pagos del contrato, es decir, durante su ejecución y ii)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p>
    <w:p w14:paraId="400ED4A8"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1400FE96"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lang w:val="es-ES"/>
        </w:rPr>
        <w:t xml:space="preserve">En </w:t>
      </w:r>
      <w:r w:rsidRPr="00EA7F40">
        <w:rPr>
          <w:rFonts w:ascii="Arial" w:hAnsi="Arial" w:cs="Arial"/>
          <w:color w:val="000000" w:themeColor="text1"/>
          <w:sz w:val="22"/>
        </w:rPr>
        <w:t>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053373E6" w14:textId="77777777" w:rsidR="00567013" w:rsidRPr="00EA7F40" w:rsidRDefault="00567013" w:rsidP="00567013">
      <w:pPr>
        <w:pStyle w:val="Prrafodelista"/>
        <w:tabs>
          <w:tab w:val="left" w:pos="142"/>
          <w:tab w:val="left" w:pos="426"/>
        </w:tabs>
        <w:spacing w:line="276" w:lineRule="auto"/>
        <w:ind w:left="360"/>
        <w:jc w:val="both"/>
        <w:rPr>
          <w:rFonts w:ascii="Arial" w:eastAsia="Calibri" w:hAnsi="Arial" w:cs="Arial"/>
          <w:b/>
          <w:color w:val="000000" w:themeColor="text1"/>
          <w:sz w:val="22"/>
        </w:rPr>
      </w:pPr>
    </w:p>
    <w:p w14:paraId="21F1E2E6" w14:textId="77777777" w:rsidR="00567013" w:rsidRPr="00EA7F40" w:rsidRDefault="00567013" w:rsidP="00567013">
      <w:pPr>
        <w:spacing w:line="276" w:lineRule="auto"/>
        <w:jc w:val="both"/>
        <w:rPr>
          <w:rFonts w:ascii="Arial" w:eastAsia="Calibri" w:hAnsi="Arial" w:cs="Arial"/>
          <w:b/>
          <w:color w:val="000000" w:themeColor="text1"/>
          <w:sz w:val="22"/>
        </w:rPr>
      </w:pPr>
      <w:r w:rsidRPr="00EA7F40">
        <w:rPr>
          <w:rFonts w:ascii="Arial" w:eastAsia="Calibri" w:hAnsi="Arial" w:cs="Arial"/>
          <w:b/>
          <w:color w:val="000000" w:themeColor="text1"/>
          <w:sz w:val="22"/>
        </w:rPr>
        <w:t>2.2. Cambios que realizó la Ley 1955 de 2019 al Decreto 1273 de 2018. Cotización mes vencido y deber de verificación de las entidades estatales durante toda la vigencia del contrato</w:t>
      </w:r>
    </w:p>
    <w:p w14:paraId="579A48B3" w14:textId="77777777" w:rsidR="00567013" w:rsidRPr="00EA7F40" w:rsidRDefault="00567013" w:rsidP="00567013">
      <w:pPr>
        <w:spacing w:line="276" w:lineRule="auto"/>
        <w:jc w:val="both"/>
        <w:rPr>
          <w:rFonts w:ascii="Arial" w:eastAsia="Calibri" w:hAnsi="Arial" w:cs="Arial"/>
          <w:b/>
          <w:color w:val="000000" w:themeColor="text1"/>
          <w:sz w:val="22"/>
        </w:rPr>
      </w:pPr>
    </w:p>
    <w:p w14:paraId="54E3EF3D" w14:textId="77777777" w:rsidR="00567013" w:rsidRPr="00EA7F40" w:rsidRDefault="00567013" w:rsidP="00567013">
      <w:pPr>
        <w:spacing w:line="276" w:lineRule="auto"/>
        <w:jc w:val="both"/>
        <w:rPr>
          <w:rFonts w:ascii="Avenir Roman" w:hAnsi="Avenir Roman" w:cs="Arial"/>
          <w:color w:val="000000" w:themeColor="text1"/>
          <w:lang w:val="es-ES"/>
        </w:rPr>
      </w:pPr>
      <w:r w:rsidRPr="00EA7F40">
        <w:rPr>
          <w:rFonts w:ascii="Arial" w:hAnsi="Arial" w:cs="Arial"/>
          <w:color w:val="000000" w:themeColor="text1"/>
          <w:sz w:val="22"/>
        </w:rPr>
        <w:t>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EA7F40">
        <w:rPr>
          <w:rStyle w:val="Refdenotaalpie"/>
          <w:rFonts w:ascii="Arial" w:hAnsi="Arial" w:cs="Arial"/>
          <w:color w:val="000000" w:themeColor="text1"/>
          <w:sz w:val="22"/>
        </w:rPr>
        <w:footnoteReference w:id="3"/>
      </w:r>
      <w:r w:rsidRPr="00EA7F40">
        <w:rPr>
          <w:rFonts w:ascii="Arial" w:hAnsi="Arial" w:cs="Arial"/>
          <w:color w:val="000000" w:themeColor="text1"/>
          <w:sz w:val="22"/>
        </w:rPr>
        <w:t>.</w:t>
      </w:r>
      <w:r w:rsidRPr="00EA7F40">
        <w:rPr>
          <w:rFonts w:ascii="Avenir Roman" w:hAnsi="Avenir Roman" w:cs="Arial"/>
          <w:color w:val="000000" w:themeColor="text1"/>
          <w:lang w:val="es-ES"/>
        </w:rPr>
        <w:t xml:space="preserve"> </w:t>
      </w:r>
    </w:p>
    <w:p w14:paraId="475DECCC" w14:textId="77777777" w:rsidR="00567013" w:rsidRPr="00EA7F40" w:rsidRDefault="00567013" w:rsidP="00567013">
      <w:pPr>
        <w:spacing w:line="276" w:lineRule="auto"/>
        <w:ind w:firstLine="709"/>
        <w:jc w:val="both"/>
        <w:rPr>
          <w:rFonts w:ascii="Arial" w:hAnsi="Arial" w:cs="Arial"/>
          <w:color w:val="000000" w:themeColor="text1"/>
          <w:sz w:val="22"/>
          <w:lang w:val="es-ES"/>
        </w:rPr>
      </w:pPr>
      <w:r w:rsidRPr="00EA7F40">
        <w:rPr>
          <w:rFonts w:ascii="Arial" w:hAnsi="Arial" w:cs="Arial"/>
          <w:color w:val="000000" w:themeColor="text1"/>
          <w:sz w:val="22"/>
          <w:lang w:val="es-ES"/>
        </w:rPr>
        <w:lastRenderedPageBreak/>
        <w:t>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w:t>
      </w:r>
    </w:p>
    <w:p w14:paraId="79522EB0"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EA7F40">
        <w:rPr>
          <w:rStyle w:val="Refdenotaalpie"/>
          <w:rFonts w:ascii="Arial" w:hAnsi="Arial" w:cs="Arial"/>
          <w:color w:val="000000" w:themeColor="text1"/>
          <w:sz w:val="22"/>
        </w:rPr>
        <w:footnoteReference w:id="4"/>
      </w:r>
      <w:r w:rsidRPr="00EA7F40">
        <w:rPr>
          <w:rFonts w:ascii="Arial" w:hAnsi="Arial" w:cs="Arial"/>
          <w:color w:val="000000" w:themeColor="text1"/>
          <w:sz w:val="22"/>
        </w:rPr>
        <w:t xml:space="preserve">. Conforme a lo previsto, para pagar el mes de diciembre basta acreditar el pago de la seguridad social de noviembre. </w:t>
      </w:r>
    </w:p>
    <w:p w14:paraId="60D61B4F" w14:textId="77777777" w:rsidR="00567013" w:rsidRPr="00EA7F40" w:rsidRDefault="00567013" w:rsidP="00567013">
      <w:pPr>
        <w:spacing w:line="276" w:lineRule="auto"/>
        <w:ind w:firstLine="709"/>
        <w:jc w:val="both"/>
        <w:rPr>
          <w:rFonts w:ascii="Arial" w:hAnsi="Arial" w:cs="Arial"/>
          <w:color w:val="000000" w:themeColor="text1"/>
          <w:sz w:val="22"/>
          <w:szCs w:val="20"/>
        </w:rPr>
      </w:pPr>
      <w:r w:rsidRPr="00EA7F40">
        <w:rPr>
          <w:rFonts w:ascii="Arial" w:hAnsi="Arial" w:cs="Arial"/>
          <w:color w:val="000000" w:themeColor="text1"/>
          <w:sz w:val="22"/>
          <w:szCs w:val="20"/>
        </w:rPr>
        <w:t xml:space="preserve">El </w:t>
      </w:r>
      <w:r w:rsidRPr="00EA7F40">
        <w:rPr>
          <w:rFonts w:ascii="Arial" w:hAnsi="Arial" w:cs="Arial"/>
          <w:color w:val="000000" w:themeColor="text1"/>
          <w:sz w:val="22"/>
        </w:rPr>
        <w:t>pago</w:t>
      </w:r>
      <w:r w:rsidRPr="00EA7F40">
        <w:rPr>
          <w:rFonts w:ascii="Arial" w:hAnsi="Arial" w:cs="Arial"/>
          <w:color w:val="000000" w:themeColor="text1"/>
          <w:sz w:val="22"/>
          <w:szCs w:val="20"/>
        </w:rPr>
        <w:t xml:space="preserve"> mes vencido se reiteró en el artículo 3.2.7.6 del citado Decreto, previendo que dicho ajuste empezaría a regir a partir del 1 de octubre de 2018. Así lo sostuvo en los siguientes términos:</w:t>
      </w:r>
    </w:p>
    <w:p w14:paraId="10E28BD4" w14:textId="77777777" w:rsidR="00567013" w:rsidRPr="00EA7F40" w:rsidRDefault="00567013" w:rsidP="00567013">
      <w:pPr>
        <w:jc w:val="both"/>
        <w:rPr>
          <w:rFonts w:ascii="Arial" w:hAnsi="Arial" w:cs="Arial"/>
          <w:color w:val="000000" w:themeColor="text1"/>
          <w:sz w:val="22"/>
          <w:szCs w:val="20"/>
        </w:rPr>
      </w:pPr>
    </w:p>
    <w:p w14:paraId="5E1B0D98" w14:textId="77777777" w:rsidR="00567013" w:rsidRPr="00EA7F40" w:rsidRDefault="00567013" w:rsidP="00567013">
      <w:pPr>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4EE5684B" w14:textId="77777777" w:rsidR="00567013" w:rsidRPr="00EA7F40" w:rsidRDefault="00567013" w:rsidP="00567013">
      <w:pPr>
        <w:spacing w:line="276" w:lineRule="auto"/>
        <w:ind w:right="333"/>
        <w:jc w:val="both"/>
        <w:rPr>
          <w:rFonts w:ascii="Arial" w:hAnsi="Arial" w:cs="Arial"/>
          <w:color w:val="000000" w:themeColor="text1"/>
          <w:sz w:val="20"/>
        </w:rPr>
      </w:pPr>
    </w:p>
    <w:p w14:paraId="51DEEA8C" w14:textId="77777777" w:rsidR="00567013" w:rsidRPr="00EA7F40" w:rsidRDefault="00567013" w:rsidP="00567013">
      <w:pPr>
        <w:spacing w:line="276" w:lineRule="auto"/>
        <w:ind w:firstLine="709"/>
        <w:jc w:val="both"/>
        <w:rPr>
          <w:rFonts w:ascii="Arial" w:hAnsi="Arial" w:cs="Arial"/>
          <w:color w:val="000000" w:themeColor="text1"/>
          <w:sz w:val="22"/>
          <w:szCs w:val="20"/>
        </w:rPr>
      </w:pPr>
      <w:r w:rsidRPr="00EA7F40">
        <w:rPr>
          <w:rFonts w:ascii="Arial" w:hAnsi="Arial" w:cs="Arial"/>
          <w:color w:val="000000" w:themeColor="text1"/>
          <w:sz w:val="22"/>
          <w:szCs w:val="20"/>
        </w:rPr>
        <w:t xml:space="preserve">Lo anterior implica que el pago al Sistema de Seguridad Social Integral, como se observa en la norma transcrita, es mes vencido. </w:t>
      </w:r>
    </w:p>
    <w:p w14:paraId="6FD8ECE0" w14:textId="77777777" w:rsidR="00567013" w:rsidRPr="00EA7F40" w:rsidRDefault="00567013" w:rsidP="00567013">
      <w:pPr>
        <w:spacing w:line="276" w:lineRule="auto"/>
        <w:ind w:firstLine="709"/>
        <w:jc w:val="both"/>
        <w:rPr>
          <w:rFonts w:ascii="Arial" w:hAnsi="Arial" w:cs="Arial"/>
          <w:color w:val="000000" w:themeColor="text1"/>
          <w:sz w:val="22"/>
          <w:szCs w:val="20"/>
        </w:rPr>
      </w:pPr>
      <w:r w:rsidRPr="00EA7F40">
        <w:rPr>
          <w:rFonts w:ascii="Arial" w:hAnsi="Arial" w:cs="Arial"/>
          <w:color w:val="000000" w:themeColor="text1"/>
          <w:sz w:val="22"/>
          <w:szCs w:val="20"/>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70043C6B"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szCs w:val="20"/>
        </w:rPr>
        <w:t>Posteriormente, la Ley 1955 de 2019</w:t>
      </w:r>
      <w:r w:rsidRPr="00EA7F40">
        <w:rPr>
          <w:rFonts w:ascii="Arial" w:hAnsi="Arial" w:cs="Arial"/>
          <w:color w:val="000000" w:themeColor="text1"/>
          <w:sz w:val="22"/>
        </w:rPr>
        <w:t xml:space="preserve">, en el artículo 336, dejó sin efectos el artículo 135 de la Ley 1735 de 2015 y reguló el tema en el artículo 244, señalando </w:t>
      </w:r>
      <w:r w:rsidRPr="00EA7F40">
        <w:rPr>
          <w:rFonts w:ascii="Arial" w:hAnsi="Arial" w:cs="Arial"/>
          <w:color w:val="000000" w:themeColor="text1"/>
          <w:sz w:val="22"/>
          <w:szCs w:val="20"/>
        </w:rPr>
        <w:t>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r w:rsidRPr="00EA7F40">
        <w:rPr>
          <w:rStyle w:val="Refdenotaalpie"/>
          <w:rFonts w:ascii="Arial" w:hAnsi="Arial" w:cs="Arial"/>
          <w:color w:val="000000" w:themeColor="text1"/>
          <w:sz w:val="22"/>
          <w:szCs w:val="20"/>
        </w:rPr>
        <w:footnoteReference w:id="5"/>
      </w:r>
      <w:r w:rsidRPr="00EA7F40">
        <w:rPr>
          <w:rFonts w:ascii="Arial" w:hAnsi="Arial" w:cs="Arial"/>
          <w:color w:val="000000" w:themeColor="text1"/>
          <w:sz w:val="22"/>
          <w:szCs w:val="20"/>
        </w:rPr>
        <w:t>.</w:t>
      </w:r>
    </w:p>
    <w:p w14:paraId="6D8EB633"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 xml:space="preserve">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w:t>
      </w:r>
      <w:r w:rsidRPr="00EA7F40">
        <w:rPr>
          <w:rFonts w:ascii="Arial" w:hAnsi="Arial" w:cs="Arial"/>
          <w:color w:val="000000" w:themeColor="text1"/>
          <w:sz w:val="22"/>
        </w:rPr>
        <w:lastRenderedPageBreak/>
        <w:t xml:space="preserve">de </w:t>
      </w:r>
      <w:proofErr w:type="gramStart"/>
      <w:r w:rsidRPr="00EA7F40">
        <w:rPr>
          <w:rFonts w:ascii="Arial" w:hAnsi="Arial" w:cs="Arial"/>
          <w:color w:val="000000" w:themeColor="text1"/>
          <w:sz w:val="22"/>
        </w:rPr>
        <w:t>2018;  por</w:t>
      </w:r>
      <w:proofErr w:type="gramEnd"/>
      <w:r w:rsidRPr="00EA7F40">
        <w:rPr>
          <w:rFonts w:ascii="Arial" w:hAnsi="Arial" w:cs="Arial"/>
          <w:color w:val="000000" w:themeColor="text1"/>
          <w:sz w:val="22"/>
        </w:rPr>
        <w:t xml:space="preserve"> lo tanto, la retención del pago y el giro al Sistema de Seguridad Social Integral por parte de los contratantes públicos y privados ya no será posible. Así lo determinó el Ministerio de Trabajo, mediante el concepto con radicado No.</w:t>
      </w:r>
      <w:r w:rsidRPr="00EA7F40">
        <w:rPr>
          <w:color w:val="000000" w:themeColor="text1"/>
        </w:rPr>
        <w:t xml:space="preserve"> </w:t>
      </w:r>
      <w:r w:rsidRPr="00EA7F40">
        <w:rPr>
          <w:rFonts w:ascii="Arial" w:hAnsi="Arial" w:cs="Arial"/>
          <w:color w:val="000000" w:themeColor="text1"/>
          <w:sz w:val="22"/>
        </w:rPr>
        <w:t xml:space="preserve">08SE2019120300000025234 del 28 de junio de 2019, en los siguientes términos: </w:t>
      </w:r>
    </w:p>
    <w:p w14:paraId="16F0C0EF" w14:textId="77777777" w:rsidR="00567013" w:rsidRPr="00EA7F40" w:rsidRDefault="00567013" w:rsidP="00567013">
      <w:pPr>
        <w:spacing w:line="276" w:lineRule="auto"/>
        <w:jc w:val="both"/>
        <w:rPr>
          <w:rFonts w:ascii="Arial" w:hAnsi="Arial" w:cs="Arial"/>
          <w:color w:val="000000" w:themeColor="text1"/>
          <w:sz w:val="22"/>
        </w:rPr>
      </w:pPr>
    </w:p>
    <w:p w14:paraId="2D2654C9" w14:textId="77777777" w:rsidR="00567013" w:rsidRPr="00EA7F40" w:rsidRDefault="00567013" w:rsidP="00567013">
      <w:pPr>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328F7332" w14:textId="77777777" w:rsidR="00567013" w:rsidRPr="00EA7F40" w:rsidRDefault="00567013" w:rsidP="00567013">
      <w:pPr>
        <w:ind w:left="709" w:right="709"/>
        <w:jc w:val="both"/>
        <w:rPr>
          <w:rFonts w:ascii="Arial" w:hAnsi="Arial" w:cs="Arial"/>
          <w:color w:val="000000" w:themeColor="text1"/>
          <w:sz w:val="21"/>
          <w:szCs w:val="21"/>
        </w:rPr>
      </w:pPr>
    </w:p>
    <w:p w14:paraId="44430647" w14:textId="77777777" w:rsidR="00567013" w:rsidRPr="00EA7F40" w:rsidRDefault="00567013" w:rsidP="00567013">
      <w:pPr>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5A54A5B6" w14:textId="77777777" w:rsidR="00567013" w:rsidRPr="00EA7F40" w:rsidRDefault="00567013" w:rsidP="00567013">
      <w:pPr>
        <w:ind w:left="709" w:right="709"/>
        <w:jc w:val="both"/>
        <w:rPr>
          <w:rFonts w:ascii="Arial" w:hAnsi="Arial" w:cs="Arial"/>
          <w:color w:val="000000" w:themeColor="text1"/>
          <w:sz w:val="21"/>
          <w:szCs w:val="21"/>
        </w:rPr>
      </w:pPr>
    </w:p>
    <w:p w14:paraId="7C6621BD" w14:textId="77777777" w:rsidR="00567013" w:rsidRPr="00EA7F40" w:rsidRDefault="00567013" w:rsidP="00567013">
      <w:pPr>
        <w:ind w:left="709" w:right="709"/>
        <w:jc w:val="both"/>
        <w:rPr>
          <w:rFonts w:ascii="Arial" w:hAnsi="Arial" w:cs="Arial"/>
          <w:color w:val="000000" w:themeColor="text1"/>
          <w:sz w:val="21"/>
          <w:szCs w:val="21"/>
        </w:rPr>
      </w:pPr>
      <w:r w:rsidRPr="00EA7F40">
        <w:rPr>
          <w:rFonts w:ascii="Arial" w:hAnsi="Arial" w:cs="Arial"/>
          <w:color w:val="000000" w:themeColor="text1"/>
          <w:sz w:val="21"/>
          <w:szCs w:val="21"/>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75293BB4" w14:textId="77777777" w:rsidR="00567013" w:rsidRPr="00EA7F40" w:rsidRDefault="00567013" w:rsidP="00567013">
      <w:pPr>
        <w:ind w:right="709"/>
        <w:jc w:val="both"/>
        <w:rPr>
          <w:rFonts w:ascii="Arial" w:hAnsi="Arial" w:cs="Arial"/>
          <w:color w:val="000000" w:themeColor="text1"/>
          <w:sz w:val="21"/>
          <w:szCs w:val="21"/>
        </w:rPr>
      </w:pPr>
    </w:p>
    <w:p w14:paraId="49E465E5"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hAnsi="Arial" w:cs="Arial"/>
          <w:color w:val="000000" w:themeColor="text1"/>
          <w:sz w:val="22"/>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40% del valor mensualizado de ingresos o del contrato, iii) la cotización se realizará mes vencido, y finalmente, iv) el pago lo efectuará directamente el trabajador independiente. </w:t>
      </w:r>
    </w:p>
    <w:p w14:paraId="5A25E59F"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hAnsi="Arial" w:cs="Arial"/>
          <w:color w:val="000000" w:themeColor="text1"/>
          <w:sz w:val="22"/>
        </w:rPr>
        <w:t xml:space="preserve">En este sentido, para que a los contratistas se les pague el mes de diciembre, bastará con que presenten el pago del sistema de seguridad social del mes de noviembre. Ahora, </w:t>
      </w:r>
      <w:r w:rsidRPr="00EA7F40">
        <w:rPr>
          <w:rFonts w:ascii="Arial" w:eastAsia="Calibri" w:hAnsi="Arial" w:cs="Arial"/>
          <w:color w:val="000000" w:themeColor="text1"/>
          <w:sz w:val="22"/>
        </w:rPr>
        <w:t>¿es posible que los supervisores soliciten el pago del mes de diciembre aun cuando la planilla no se encuentre vencida, para la firma del acta final? Para responder, previamente se explicará el alcance del deber de verificación a cargo de los supervidores y ordenadores del gasto.</w:t>
      </w:r>
    </w:p>
    <w:p w14:paraId="7AE6E005"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color w:val="000000" w:themeColor="text1"/>
          <w:sz w:val="22"/>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w:t>
      </w:r>
      <w:r w:rsidRPr="00EA7F40">
        <w:rPr>
          <w:rFonts w:ascii="Arial" w:eastAsia="Calibri" w:hAnsi="Arial" w:cs="Arial"/>
          <w:color w:val="000000" w:themeColor="text1"/>
          <w:sz w:val="22"/>
        </w:rPr>
        <w:lastRenderedPageBreak/>
        <w:t xml:space="preserve">en que aplica–, «verificar y dejar constancia del cumplimiento de las obligaciones del contratista frente a los aportes mencionados durante toda su vigencia», según el artículo 50 de la Ley 789 de 2002. Es decir, para el último pago y para la liquidar el contrato, cuando </w:t>
      </w:r>
      <w:proofErr w:type="gramStart"/>
      <w:r w:rsidRPr="00EA7F40">
        <w:rPr>
          <w:rFonts w:ascii="Arial" w:eastAsia="Calibri" w:hAnsi="Arial" w:cs="Arial"/>
          <w:color w:val="000000" w:themeColor="text1"/>
          <w:sz w:val="22"/>
        </w:rPr>
        <w:t>esta aplique</w:t>
      </w:r>
      <w:proofErr w:type="gramEnd"/>
      <w:r w:rsidRPr="00EA7F40">
        <w:rPr>
          <w:rFonts w:ascii="Arial" w:eastAsia="Calibri" w:hAnsi="Arial" w:cs="Arial"/>
          <w:color w:val="000000" w:themeColor="text1"/>
          <w:sz w:val="22"/>
        </w:rPr>
        <w:t xml:space="preserve">, las entidades estatales deben verificar que el contratista se encuentre al día en el pago de sus aportes al Sistema de Seguridad Social Integral, «durante toda su vigencia», o sea, durante toda la vigencia del contrato, pues así lo exige el mencionado artículo. Ahora, ¿qué se entiende por </w:t>
      </w:r>
      <w:r w:rsidRPr="00EA7F40">
        <w:rPr>
          <w:rFonts w:ascii="Arial" w:eastAsia="Calibri" w:hAnsi="Arial" w:cs="Arial"/>
          <w:i/>
          <w:iCs/>
          <w:color w:val="000000" w:themeColor="text1"/>
          <w:sz w:val="22"/>
        </w:rPr>
        <w:t>vigencia</w:t>
      </w:r>
      <w:r w:rsidRPr="00EA7F40">
        <w:rPr>
          <w:rFonts w:ascii="Arial" w:eastAsia="Calibri" w:hAnsi="Arial" w:cs="Arial"/>
          <w:color w:val="000000" w:themeColor="text1"/>
          <w:sz w:val="22"/>
        </w:rPr>
        <w:t xml:space="preserve">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14:paraId="062D292A"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color w:val="000000" w:themeColor="text1"/>
          <w:sz w:val="22"/>
        </w:rPr>
        <w:t xml:space="preserve">La vigencia del contrato se define como el período en el que existen obligaciones derivadas de aquel. En tal sentido, </w:t>
      </w:r>
      <w:r w:rsidRPr="00EA7F40">
        <w:rPr>
          <w:rFonts w:ascii="Arial" w:eastAsia="Calibri" w:hAnsi="Arial" w:cs="Arial"/>
          <w:i/>
          <w:color w:val="000000" w:themeColor="text1"/>
          <w:sz w:val="22"/>
        </w:rPr>
        <w:t>plazo</w:t>
      </w:r>
      <w:r w:rsidRPr="00EA7F40">
        <w:rPr>
          <w:rFonts w:ascii="Arial" w:eastAsia="Calibri" w:hAnsi="Arial" w:cs="Arial"/>
          <w:color w:val="000000" w:themeColor="text1"/>
          <w:sz w:val="22"/>
        </w:rPr>
        <w:t xml:space="preserve"> del contrato no es sinónimo de su </w:t>
      </w:r>
      <w:r w:rsidRPr="00EA7F40">
        <w:rPr>
          <w:rFonts w:ascii="Arial" w:eastAsia="Calibri" w:hAnsi="Arial" w:cs="Arial"/>
          <w:i/>
          <w:color w:val="000000" w:themeColor="text1"/>
          <w:sz w:val="22"/>
        </w:rPr>
        <w:t>vigencia</w:t>
      </w:r>
      <w:r w:rsidRPr="00EA7F40">
        <w:rPr>
          <w:rFonts w:ascii="Arial" w:eastAsia="Calibri" w:hAnsi="Arial" w:cs="Arial"/>
          <w:color w:val="000000" w:themeColor="text1"/>
          <w:sz w:val="22"/>
        </w:rPr>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EA7F40">
        <w:rPr>
          <w:rStyle w:val="Refdenotaalpie"/>
          <w:rFonts w:ascii="Arial" w:eastAsia="Calibri" w:hAnsi="Arial" w:cs="Arial"/>
          <w:color w:val="000000" w:themeColor="text1"/>
          <w:sz w:val="22"/>
        </w:rPr>
        <w:footnoteReference w:id="6"/>
      </w:r>
      <w:r w:rsidRPr="00EA7F40">
        <w:rPr>
          <w:rFonts w:ascii="Arial" w:eastAsia="Calibri" w:hAnsi="Arial" w:cs="Arial"/>
          <w:color w:val="000000" w:themeColor="text1"/>
          <w:sz w:val="22"/>
        </w:rPr>
        <w:t>– o bien 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EA7F40">
        <w:rPr>
          <w:rStyle w:val="Refdenotaalpie"/>
          <w:rFonts w:ascii="Arial" w:eastAsia="Calibri" w:hAnsi="Arial" w:cs="Arial"/>
          <w:color w:val="000000" w:themeColor="text1"/>
          <w:sz w:val="22"/>
        </w:rPr>
        <w:footnoteReference w:id="7"/>
      </w:r>
      <w:r w:rsidRPr="00EA7F40">
        <w:rPr>
          <w:rFonts w:ascii="Arial" w:eastAsia="Calibri" w:hAnsi="Arial" w:cs="Arial"/>
          <w:color w:val="000000" w:themeColor="text1"/>
          <w:sz w:val="22"/>
        </w:rPr>
        <w:t>.</w:t>
      </w:r>
    </w:p>
    <w:p w14:paraId="0D90E1CA"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color w:val="000000" w:themeColor="text1"/>
          <w:sz w:val="22"/>
        </w:rPr>
        <w:t xml:space="preserve">Esta forma de concebir el plazo de ejecución, como tiempo dentro del cual han de cumplirse las obligaciones, pero cuyo vencimiento no extingue el contrato, guarda </w:t>
      </w:r>
      <w:r w:rsidRPr="00EA7F40">
        <w:rPr>
          <w:rFonts w:ascii="Arial" w:eastAsia="Calibri" w:hAnsi="Arial" w:cs="Arial"/>
          <w:color w:val="000000" w:themeColor="text1"/>
          <w:sz w:val="22"/>
        </w:rPr>
        <w:lastRenderedPageBreak/>
        <w:t>consonancia con el artículo 1625 del Código Civil, que regula las formas de extinción de las obligaciones, del siguiente modo:</w:t>
      </w:r>
    </w:p>
    <w:p w14:paraId="0A32B856" w14:textId="77777777" w:rsidR="00567013" w:rsidRPr="00EA7F40" w:rsidRDefault="00567013" w:rsidP="00567013">
      <w:pPr>
        <w:spacing w:line="276" w:lineRule="auto"/>
        <w:ind w:firstLine="709"/>
        <w:jc w:val="both"/>
        <w:rPr>
          <w:rFonts w:ascii="Arial" w:eastAsia="Calibri" w:hAnsi="Arial" w:cs="Arial"/>
          <w:color w:val="000000" w:themeColor="text1"/>
          <w:sz w:val="22"/>
        </w:rPr>
      </w:pPr>
    </w:p>
    <w:p w14:paraId="56D66653"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Toda obligación puede extinguirse por una convención en que las partes interesadas, siendo capaces de disponer libremente de lo suyo, consientan en darla por nula. </w:t>
      </w:r>
    </w:p>
    <w:p w14:paraId="7A2068FF" w14:textId="77777777" w:rsidR="00567013" w:rsidRPr="00EA7F40" w:rsidRDefault="00567013" w:rsidP="00567013">
      <w:pPr>
        <w:ind w:right="709"/>
        <w:jc w:val="both"/>
        <w:rPr>
          <w:rFonts w:ascii="Arial" w:eastAsia="Calibri" w:hAnsi="Arial" w:cs="Arial"/>
          <w:color w:val="000000" w:themeColor="text1"/>
          <w:sz w:val="21"/>
          <w:szCs w:val="21"/>
        </w:rPr>
      </w:pPr>
    </w:p>
    <w:p w14:paraId="4868FF97"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Las obligaciones se extinguen además en todo o en parte: </w:t>
      </w:r>
    </w:p>
    <w:p w14:paraId="7F220E8E" w14:textId="77777777" w:rsidR="00567013" w:rsidRPr="00EA7F40" w:rsidRDefault="00567013" w:rsidP="00567013">
      <w:pPr>
        <w:ind w:right="709"/>
        <w:jc w:val="both"/>
        <w:rPr>
          <w:rFonts w:ascii="Arial" w:eastAsia="Calibri" w:hAnsi="Arial" w:cs="Arial"/>
          <w:color w:val="000000" w:themeColor="text1"/>
          <w:sz w:val="21"/>
          <w:szCs w:val="21"/>
        </w:rPr>
      </w:pPr>
    </w:p>
    <w:p w14:paraId="58956175"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1° Por la solución o pago efectivo; </w:t>
      </w:r>
    </w:p>
    <w:p w14:paraId="75C8B9B7" w14:textId="77777777" w:rsidR="00567013" w:rsidRPr="00EA7F40" w:rsidRDefault="00567013" w:rsidP="00567013">
      <w:pPr>
        <w:ind w:left="709" w:right="709"/>
        <w:jc w:val="both"/>
        <w:rPr>
          <w:rFonts w:ascii="Arial" w:eastAsia="Calibri" w:hAnsi="Arial" w:cs="Arial"/>
          <w:color w:val="000000" w:themeColor="text1"/>
          <w:sz w:val="21"/>
          <w:szCs w:val="21"/>
        </w:rPr>
      </w:pPr>
    </w:p>
    <w:p w14:paraId="3089971F"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2° Por la novación; </w:t>
      </w:r>
    </w:p>
    <w:p w14:paraId="29773AA2" w14:textId="77777777" w:rsidR="00567013" w:rsidRPr="00EA7F40" w:rsidRDefault="00567013" w:rsidP="00567013">
      <w:pPr>
        <w:ind w:left="709" w:right="709"/>
        <w:jc w:val="both"/>
        <w:rPr>
          <w:rFonts w:ascii="Arial" w:eastAsia="Calibri" w:hAnsi="Arial" w:cs="Arial"/>
          <w:color w:val="000000" w:themeColor="text1"/>
          <w:sz w:val="21"/>
          <w:szCs w:val="21"/>
        </w:rPr>
      </w:pPr>
    </w:p>
    <w:p w14:paraId="5E111F6F"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3° Por la transacción; </w:t>
      </w:r>
    </w:p>
    <w:p w14:paraId="51EFC335" w14:textId="77777777" w:rsidR="00567013" w:rsidRPr="00EA7F40" w:rsidRDefault="00567013" w:rsidP="00567013">
      <w:pPr>
        <w:ind w:right="709"/>
        <w:jc w:val="both"/>
        <w:rPr>
          <w:rFonts w:ascii="Arial" w:eastAsia="Calibri" w:hAnsi="Arial" w:cs="Arial"/>
          <w:color w:val="000000" w:themeColor="text1"/>
          <w:sz w:val="21"/>
          <w:szCs w:val="21"/>
        </w:rPr>
      </w:pPr>
    </w:p>
    <w:p w14:paraId="7620B8F1"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4° Por la remisión; </w:t>
      </w:r>
    </w:p>
    <w:p w14:paraId="6063FCF2" w14:textId="77777777" w:rsidR="00567013" w:rsidRPr="00EA7F40" w:rsidRDefault="00567013" w:rsidP="00567013">
      <w:pPr>
        <w:ind w:right="709"/>
        <w:jc w:val="both"/>
        <w:rPr>
          <w:rFonts w:ascii="Arial" w:eastAsia="Calibri" w:hAnsi="Arial" w:cs="Arial"/>
          <w:color w:val="000000" w:themeColor="text1"/>
          <w:sz w:val="21"/>
          <w:szCs w:val="21"/>
        </w:rPr>
      </w:pPr>
    </w:p>
    <w:p w14:paraId="76EBB271"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5° Por la compensación; </w:t>
      </w:r>
    </w:p>
    <w:p w14:paraId="4B2993C8" w14:textId="77777777" w:rsidR="00567013" w:rsidRPr="00EA7F40" w:rsidRDefault="00567013" w:rsidP="00567013">
      <w:pPr>
        <w:ind w:right="709"/>
        <w:jc w:val="both"/>
        <w:rPr>
          <w:rFonts w:ascii="Arial" w:eastAsia="Calibri" w:hAnsi="Arial" w:cs="Arial"/>
          <w:color w:val="000000" w:themeColor="text1"/>
          <w:sz w:val="21"/>
          <w:szCs w:val="21"/>
        </w:rPr>
      </w:pPr>
    </w:p>
    <w:p w14:paraId="15174DE1"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6° Por la confusión; </w:t>
      </w:r>
    </w:p>
    <w:p w14:paraId="3A136BA2" w14:textId="77777777" w:rsidR="00567013" w:rsidRPr="00EA7F40" w:rsidRDefault="00567013" w:rsidP="00567013">
      <w:pPr>
        <w:ind w:right="709"/>
        <w:jc w:val="both"/>
        <w:rPr>
          <w:rFonts w:ascii="Arial" w:eastAsia="Calibri" w:hAnsi="Arial" w:cs="Arial"/>
          <w:color w:val="000000" w:themeColor="text1"/>
          <w:sz w:val="21"/>
          <w:szCs w:val="21"/>
        </w:rPr>
      </w:pPr>
    </w:p>
    <w:p w14:paraId="1614F6DA"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7° Por la pérdida de la cosa que se debe; </w:t>
      </w:r>
    </w:p>
    <w:p w14:paraId="3D4ECA3C" w14:textId="77777777" w:rsidR="00567013" w:rsidRPr="00EA7F40" w:rsidRDefault="00567013" w:rsidP="00567013">
      <w:pPr>
        <w:ind w:right="709"/>
        <w:jc w:val="both"/>
        <w:rPr>
          <w:rFonts w:ascii="Arial" w:eastAsia="Calibri" w:hAnsi="Arial" w:cs="Arial"/>
          <w:color w:val="000000" w:themeColor="text1"/>
          <w:sz w:val="21"/>
          <w:szCs w:val="21"/>
        </w:rPr>
      </w:pPr>
    </w:p>
    <w:p w14:paraId="12B12CC0"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8° Por la declaración de nulidad o por la rescisión;</w:t>
      </w:r>
    </w:p>
    <w:p w14:paraId="320E8A22" w14:textId="77777777" w:rsidR="00567013" w:rsidRPr="00EA7F40" w:rsidRDefault="00567013" w:rsidP="00567013">
      <w:pPr>
        <w:ind w:left="709" w:right="709"/>
        <w:jc w:val="both"/>
        <w:rPr>
          <w:rFonts w:ascii="Arial" w:eastAsia="Calibri" w:hAnsi="Arial" w:cs="Arial"/>
          <w:color w:val="000000" w:themeColor="text1"/>
          <w:sz w:val="21"/>
          <w:szCs w:val="21"/>
        </w:rPr>
      </w:pPr>
    </w:p>
    <w:p w14:paraId="72D5FFA8"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9° Por el evento de la condición resolutoria; </w:t>
      </w:r>
    </w:p>
    <w:p w14:paraId="16BDD0E9" w14:textId="77777777" w:rsidR="00567013" w:rsidRPr="00EA7F40" w:rsidRDefault="00567013" w:rsidP="00567013">
      <w:pPr>
        <w:ind w:left="709" w:right="709"/>
        <w:jc w:val="both"/>
        <w:rPr>
          <w:rFonts w:ascii="Arial" w:eastAsia="Calibri" w:hAnsi="Arial" w:cs="Arial"/>
          <w:color w:val="000000" w:themeColor="text1"/>
          <w:sz w:val="21"/>
          <w:szCs w:val="21"/>
        </w:rPr>
      </w:pPr>
    </w:p>
    <w:p w14:paraId="0B043E4F"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10° Por la prescripción. </w:t>
      </w:r>
    </w:p>
    <w:p w14:paraId="3CD71100" w14:textId="77777777" w:rsidR="00567013" w:rsidRPr="00EA7F40" w:rsidRDefault="00567013" w:rsidP="00567013">
      <w:pPr>
        <w:ind w:right="709"/>
        <w:jc w:val="both"/>
        <w:rPr>
          <w:rFonts w:ascii="Arial" w:eastAsia="Calibri" w:hAnsi="Arial" w:cs="Arial"/>
          <w:color w:val="000000" w:themeColor="text1"/>
          <w:sz w:val="22"/>
        </w:rPr>
      </w:pPr>
    </w:p>
    <w:p w14:paraId="21B3FE99"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r w:rsidRPr="00EA7F40">
        <w:rPr>
          <w:rFonts w:ascii="Arial" w:eastAsia="Calibri" w:hAnsi="Arial" w:cs="Arial"/>
          <w:color w:val="000000" w:themeColor="text1"/>
          <w:sz w:val="22"/>
          <w:lang w:val="es-ES"/>
        </w:rPr>
        <w:t xml:space="preserve">Esto significa </w:t>
      </w:r>
      <w:proofErr w:type="gramStart"/>
      <w:r w:rsidRPr="00EA7F40">
        <w:rPr>
          <w:rFonts w:ascii="Arial" w:eastAsia="Calibri" w:hAnsi="Arial" w:cs="Arial"/>
          <w:color w:val="000000" w:themeColor="text1"/>
          <w:sz w:val="22"/>
          <w:lang w:val="es-ES"/>
        </w:rPr>
        <w:t>que</w:t>
      </w:r>
      <w:proofErr w:type="gramEnd"/>
      <w:r w:rsidRPr="00EA7F40">
        <w:rPr>
          <w:rFonts w:ascii="Arial" w:eastAsia="Calibri" w:hAnsi="Arial" w:cs="Arial"/>
          <w:color w:val="000000" w:themeColor="text1"/>
          <w:sz w:val="22"/>
          <w:lang w:val="es-ES"/>
        </w:rPr>
        <w:t xml:space="preserve"> si la totalidad de las obligaciones no se ha extinguido por alguno de los modos previstos en el citado artículo, el contrato permanece vigente.</w:t>
      </w:r>
    </w:p>
    <w:p w14:paraId="113B0602"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r w:rsidRPr="00EA7F40">
        <w:rPr>
          <w:rFonts w:ascii="Arial" w:eastAsia="Calibri" w:hAnsi="Arial" w:cs="Arial"/>
          <w:color w:val="000000" w:themeColor="text1"/>
          <w:sz w:val="22"/>
          <w:lang w:val="es-ES"/>
        </w:rPr>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w:t>
      </w:r>
    </w:p>
    <w:p w14:paraId="206226B6"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color w:val="000000" w:themeColor="text1"/>
          <w:sz w:val="22"/>
          <w:lang w:val="es-ES"/>
        </w:rPr>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7073DF7E"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p>
    <w:p w14:paraId="2851DAA3" w14:textId="77777777" w:rsidR="00567013" w:rsidRPr="00EA7F40" w:rsidRDefault="00567013" w:rsidP="00567013">
      <w:pPr>
        <w:ind w:left="709" w:right="709"/>
        <w:jc w:val="both"/>
        <w:rPr>
          <w:rFonts w:ascii="Arial" w:eastAsia="Calibri" w:hAnsi="Arial" w:cs="Arial"/>
          <w:bCs/>
          <w:color w:val="000000" w:themeColor="text1"/>
          <w:sz w:val="21"/>
          <w:szCs w:val="21"/>
        </w:rPr>
      </w:pPr>
      <w:r w:rsidRPr="00EA7F40">
        <w:rPr>
          <w:rFonts w:ascii="Arial" w:eastAsia="Calibri" w:hAnsi="Arial" w:cs="Arial"/>
          <w:bCs/>
          <w:color w:val="000000" w:themeColor="text1"/>
          <w:sz w:val="21"/>
          <w:szCs w:val="21"/>
          <w:lang w:val="es-ES"/>
        </w:rPr>
        <w:lastRenderedPageBreak/>
        <w:t>«Artículo </w:t>
      </w:r>
      <w:r w:rsidRPr="00EA7F40">
        <w:rPr>
          <w:rFonts w:ascii="Arial" w:eastAsia="Calibri" w:hAnsi="Arial" w:cs="Arial"/>
          <w:bCs/>
          <w:i/>
          <w:iCs/>
          <w:color w:val="000000" w:themeColor="text1"/>
          <w:sz w:val="21"/>
          <w:szCs w:val="21"/>
          <w:lang w:val="es-ES"/>
        </w:rPr>
        <w:t>3.2.2.1. Plazos para la autoliquidación y el pago de los aportes al Sistema de Seguridad Social Integral y Aportes Parafiscales.</w:t>
      </w:r>
      <w:r w:rsidRPr="00EA7F40">
        <w:rPr>
          <w:rFonts w:ascii="Arial" w:eastAsia="Calibri" w:hAnsi="Arial" w:cs="Arial"/>
          <w:bCs/>
          <w:color w:val="000000" w:themeColor="text1"/>
          <w:sz w:val="21"/>
          <w:szCs w:val="21"/>
          <w:lang w:val="es-ES"/>
        </w:rPr>
        <w:t> Todos los aportantes a los Sistemas de Salud, Pensiones y Riesgos Laborales del Sistema 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673D6E69"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 </w:t>
      </w:r>
    </w:p>
    <w:tbl>
      <w:tblPr>
        <w:tblW w:w="0" w:type="auto"/>
        <w:jc w:val="center"/>
        <w:tblCellMar>
          <w:left w:w="0" w:type="dxa"/>
          <w:right w:w="0" w:type="dxa"/>
        </w:tblCellMar>
        <w:tblLook w:val="04A0" w:firstRow="1" w:lastRow="0" w:firstColumn="1" w:lastColumn="0" w:noHBand="0" w:noVBand="1"/>
      </w:tblPr>
      <w:tblGrid>
        <w:gridCol w:w="1939"/>
        <w:gridCol w:w="4147"/>
      </w:tblGrid>
      <w:tr w:rsidR="00EA7F40" w:rsidRPr="00EA7F40" w14:paraId="7B290C14" w14:textId="77777777" w:rsidTr="008A7750">
        <w:trPr>
          <w:trHeight w:val="491"/>
          <w:jc w:val="center"/>
        </w:trPr>
        <w:tc>
          <w:tcPr>
            <w:tcW w:w="1479"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hideMark/>
          </w:tcPr>
          <w:p w14:paraId="3AC1B21F"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b/>
                <w:bCs/>
                <w:color w:val="000000" w:themeColor="text1"/>
                <w:sz w:val="21"/>
                <w:szCs w:val="21"/>
                <w:lang w:val="es-ES"/>
              </w:rPr>
              <w:t>Día hábil</w:t>
            </w:r>
          </w:p>
        </w:tc>
        <w:tc>
          <w:tcPr>
            <w:tcW w:w="4147" w:type="dxa"/>
            <w:tcBorders>
              <w:top w:val="double" w:sz="4" w:space="0" w:color="auto"/>
              <w:left w:val="nil"/>
              <w:bottom w:val="double" w:sz="4" w:space="0" w:color="auto"/>
              <w:right w:val="double" w:sz="4" w:space="0" w:color="auto"/>
            </w:tcBorders>
            <w:shd w:val="clear" w:color="auto" w:fill="FFFFFF"/>
            <w:tcMar>
              <w:top w:w="0" w:type="dxa"/>
              <w:left w:w="10" w:type="dxa"/>
              <w:bottom w:w="0" w:type="dxa"/>
              <w:right w:w="10" w:type="dxa"/>
            </w:tcMar>
            <w:vAlign w:val="center"/>
            <w:hideMark/>
          </w:tcPr>
          <w:p w14:paraId="33DB3265"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b/>
                <w:bCs/>
                <w:color w:val="000000" w:themeColor="text1"/>
                <w:sz w:val="21"/>
                <w:szCs w:val="21"/>
                <w:lang w:val="es-ES"/>
              </w:rPr>
              <w:t>Dos últimos dígitos del NIT o documento de identificación</w:t>
            </w:r>
          </w:p>
        </w:tc>
      </w:tr>
      <w:tr w:rsidR="00EA7F40" w:rsidRPr="00EA7F40" w14:paraId="79F5849F" w14:textId="77777777" w:rsidTr="008A7750">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70C14EBA"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2</w:t>
            </w:r>
            <w:r w:rsidRPr="00EA7F40">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42F63253"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00 al 07</w:t>
            </w:r>
          </w:p>
        </w:tc>
      </w:tr>
      <w:tr w:rsidR="00EA7F40" w:rsidRPr="00EA7F40" w14:paraId="591E7C93"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AEDCC3C"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6FC0F907"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08 al 14</w:t>
            </w:r>
          </w:p>
        </w:tc>
      </w:tr>
      <w:tr w:rsidR="00EA7F40" w:rsidRPr="00EA7F40" w14:paraId="468B321F"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019DF723"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41EA420"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15 al 21</w:t>
            </w:r>
          </w:p>
        </w:tc>
      </w:tr>
      <w:tr w:rsidR="00EA7F40" w:rsidRPr="00EA7F40" w14:paraId="48DFAD56"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50EB413"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5</w:t>
            </w:r>
            <w:r w:rsidRPr="00EA7F40">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001F3923"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22 al 28</w:t>
            </w:r>
          </w:p>
        </w:tc>
      </w:tr>
      <w:tr w:rsidR="00EA7F40" w:rsidRPr="00EA7F40" w14:paraId="27265F5B" w14:textId="77777777" w:rsidTr="008A7750">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80989DF"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6</w:t>
            </w:r>
            <w:r w:rsidRPr="00EA7F40">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0FAF8C5"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29 al 35</w:t>
            </w:r>
          </w:p>
        </w:tc>
      </w:tr>
      <w:tr w:rsidR="00EA7F40" w:rsidRPr="00EA7F40" w14:paraId="4F3E3F8B"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0624EBF8"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i/>
                <w:iCs/>
                <w:color w:val="000000" w:themeColor="text1"/>
                <w:sz w:val="21"/>
                <w:szCs w:val="21"/>
                <w:lang w:val="es-ES"/>
              </w:rPr>
              <w:t>7</w:t>
            </w:r>
            <w:r w:rsidRPr="00EA7F40">
              <w:rPr>
                <w:rFonts w:ascii="Arial" w:eastAsia="Calibri" w:hAnsi="Arial" w:cs="Arial"/>
                <w:i/>
                <w:iCs/>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17D4EA0"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36 al 42</w:t>
            </w:r>
          </w:p>
        </w:tc>
      </w:tr>
      <w:tr w:rsidR="00EA7F40" w:rsidRPr="00EA7F40" w14:paraId="539C3FD2"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2189529"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8</w:t>
            </w:r>
            <w:r w:rsidRPr="00EA7F40">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41EFB52"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43 al 49</w:t>
            </w:r>
          </w:p>
        </w:tc>
      </w:tr>
      <w:tr w:rsidR="00EA7F40" w:rsidRPr="00EA7F40" w14:paraId="03A8FDDB"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C493C9F"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9°</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0A777BB"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50 al 56</w:t>
            </w:r>
          </w:p>
        </w:tc>
      </w:tr>
      <w:tr w:rsidR="00EA7F40" w:rsidRPr="00EA7F40" w14:paraId="65868333" w14:textId="77777777" w:rsidTr="008A7750">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051F6186"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10°</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FED168B"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57 al 63</w:t>
            </w:r>
          </w:p>
        </w:tc>
      </w:tr>
      <w:tr w:rsidR="00EA7F40" w:rsidRPr="00EA7F40" w14:paraId="08ABC9F7"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746417E9"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11°</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EF6446C"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64 al 69</w:t>
            </w:r>
          </w:p>
        </w:tc>
      </w:tr>
      <w:tr w:rsidR="00EA7F40" w:rsidRPr="00EA7F40" w14:paraId="1F2DA7D9" w14:textId="77777777" w:rsidTr="008A7750">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16FBD55"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12°</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76BF2CFC"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70 al 75</w:t>
            </w:r>
          </w:p>
        </w:tc>
      </w:tr>
      <w:tr w:rsidR="00EA7F40" w:rsidRPr="00EA7F40" w14:paraId="1F0809AC" w14:textId="77777777" w:rsidTr="008A7750">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358D03AE"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7DD2E780"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76 al 81</w:t>
            </w:r>
          </w:p>
        </w:tc>
      </w:tr>
      <w:tr w:rsidR="00EA7F40" w:rsidRPr="00EA7F40" w14:paraId="1141BA9E" w14:textId="77777777" w:rsidTr="008A7750">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267BBD1"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09CFA79"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82 al 87</w:t>
            </w:r>
          </w:p>
        </w:tc>
      </w:tr>
      <w:tr w:rsidR="00EA7F40" w:rsidRPr="00EA7F40" w14:paraId="78116CAC" w14:textId="77777777" w:rsidTr="008A7750">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1A0FDE4"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15°</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838DA09"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88 al 93</w:t>
            </w:r>
          </w:p>
        </w:tc>
      </w:tr>
      <w:tr w:rsidR="00EA7F40" w:rsidRPr="00EA7F40" w14:paraId="38B4997F" w14:textId="77777777" w:rsidTr="008A7750">
        <w:trPr>
          <w:trHeight w:val="26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F8307C8"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16°</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70CE62E3" w14:textId="77777777" w:rsidR="00567013" w:rsidRPr="00EA7F40" w:rsidRDefault="00567013" w:rsidP="008A7750">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lang w:val="es-ES"/>
              </w:rPr>
              <w:t>94 al 99</w:t>
            </w:r>
          </w:p>
        </w:tc>
      </w:tr>
    </w:tbl>
    <w:p w14:paraId="037180DF"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b/>
          <w:bCs/>
          <w:color w:val="000000" w:themeColor="text1"/>
          <w:sz w:val="21"/>
          <w:szCs w:val="21"/>
          <w:lang w:val="es-ES"/>
        </w:rPr>
        <w:t> </w:t>
      </w:r>
    </w:p>
    <w:p w14:paraId="3469956C" w14:textId="77777777" w:rsidR="00567013" w:rsidRPr="00EA7F40" w:rsidRDefault="00567013" w:rsidP="00567013">
      <w:pPr>
        <w:spacing w:line="276" w:lineRule="auto"/>
        <w:jc w:val="both"/>
        <w:rPr>
          <w:rFonts w:ascii="Arial" w:eastAsia="Calibri" w:hAnsi="Arial" w:cs="Arial"/>
          <w:color w:val="000000" w:themeColor="text1"/>
          <w:sz w:val="22"/>
        </w:rPr>
      </w:pPr>
      <w:r w:rsidRPr="00EA7F40">
        <w:rPr>
          <w:rFonts w:ascii="Arial" w:eastAsia="Calibri" w:hAnsi="Arial" w:cs="Arial"/>
          <w:color w:val="000000" w:themeColor="text1"/>
          <w:sz w:val="22"/>
        </w:rPr>
        <w:t>Así lo reconoció el Ministerio de Salud recientemente:</w:t>
      </w:r>
    </w:p>
    <w:p w14:paraId="519622BB" w14:textId="77777777" w:rsidR="00567013" w:rsidRPr="00EA7F40" w:rsidRDefault="00567013" w:rsidP="00567013">
      <w:pPr>
        <w:spacing w:line="276" w:lineRule="auto"/>
        <w:jc w:val="both"/>
        <w:rPr>
          <w:rFonts w:ascii="Arial" w:eastAsia="Calibri" w:hAnsi="Arial" w:cs="Arial"/>
          <w:color w:val="000000" w:themeColor="text1"/>
          <w:sz w:val="22"/>
        </w:rPr>
      </w:pPr>
    </w:p>
    <w:p w14:paraId="07BF3940"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respecto del pago de la seguridad social, como requisito a cumplir por parte de los contratistas de prestación de servicios, le informo que, a la luz de la Ley</w:t>
      </w:r>
      <w:r w:rsidRPr="00EA7F40">
        <w:rPr>
          <w:color w:val="000000" w:themeColor="text1"/>
          <w:sz w:val="21"/>
          <w:szCs w:val="21"/>
        </w:rPr>
        <w:t xml:space="preserve"> </w:t>
      </w:r>
      <w:r w:rsidRPr="00EA7F40">
        <w:rPr>
          <w:rFonts w:ascii="Arial" w:eastAsia="Calibri" w:hAnsi="Arial" w:cs="Arial"/>
          <w:color w:val="000000" w:themeColor="text1"/>
          <w:sz w:val="21"/>
          <w:szCs w:val="21"/>
        </w:rPr>
        <w:t>1955 de 2019, el artículo 244 establece que la cotización se realiza mes vencido, al disponer lo siguiente:</w:t>
      </w:r>
    </w:p>
    <w:p w14:paraId="4E041382" w14:textId="77777777" w:rsidR="00567013" w:rsidRPr="00EA7F40" w:rsidRDefault="00567013" w:rsidP="00567013">
      <w:pPr>
        <w:ind w:left="709" w:right="709"/>
        <w:jc w:val="both"/>
        <w:rPr>
          <w:rFonts w:ascii="Arial" w:eastAsia="Calibri" w:hAnsi="Arial" w:cs="Arial"/>
          <w:color w:val="000000" w:themeColor="text1"/>
          <w:sz w:val="21"/>
          <w:szCs w:val="21"/>
        </w:rPr>
      </w:pPr>
    </w:p>
    <w:p w14:paraId="0D6D321B" w14:textId="77777777" w:rsidR="00567013" w:rsidRPr="00EA7F40" w:rsidRDefault="00567013" w:rsidP="00567013">
      <w:pPr>
        <w:ind w:left="709" w:right="709"/>
        <w:jc w:val="both"/>
        <w:rPr>
          <w:rFonts w:ascii="Arial" w:eastAsia="Calibri" w:hAnsi="Arial" w:cs="Arial"/>
          <w:iCs/>
          <w:color w:val="000000" w:themeColor="text1"/>
          <w:sz w:val="21"/>
          <w:szCs w:val="21"/>
        </w:rPr>
      </w:pPr>
      <w:r w:rsidRPr="00EA7F40">
        <w:rPr>
          <w:rFonts w:ascii="Arial" w:eastAsia="Calibri" w:hAnsi="Arial" w:cs="Arial"/>
          <w:iCs/>
          <w:color w:val="000000" w:themeColor="text1"/>
          <w:sz w:val="21"/>
          <w:szCs w:val="21"/>
        </w:rPr>
        <w:t xml:space="preserve">ARTÍCULO 244. INGRESO BASE DE COTIZACIÓN (IBC) DE LOS INDEPENDIENTES. </w:t>
      </w:r>
      <w:r w:rsidRPr="00EA7F40">
        <w:rPr>
          <w:rFonts w:ascii="Arial" w:eastAsia="Calibri" w:hAnsi="Arial" w:cs="Arial"/>
          <w:i/>
          <w:color w:val="000000" w:themeColor="text1"/>
          <w:sz w:val="21"/>
          <w:szCs w:val="21"/>
        </w:rPr>
        <w:t>Los trabajadores independientes</w:t>
      </w:r>
      <w:r w:rsidRPr="00EA7F40">
        <w:rPr>
          <w:rFonts w:ascii="Arial" w:eastAsia="Calibri" w:hAnsi="Arial" w:cs="Arial"/>
          <w:iCs/>
          <w:color w:val="000000" w:themeColor="text1"/>
          <w:sz w:val="21"/>
          <w:szCs w:val="21"/>
        </w:rPr>
        <w:t xml:space="preserve"> con ingresos netos iguales o superiores a 1 salario mínimo legal mensual vigente que </w:t>
      </w:r>
      <w:r w:rsidRPr="00EA7F40">
        <w:rPr>
          <w:rFonts w:ascii="Arial" w:eastAsia="Calibri" w:hAnsi="Arial" w:cs="Arial"/>
          <w:i/>
          <w:color w:val="000000" w:themeColor="text1"/>
          <w:sz w:val="21"/>
          <w:szCs w:val="21"/>
        </w:rPr>
        <w:t>celebren contratos de prestación de servicios personales, cotizarán mes vencido al Sistema de Seguridad Social Integral</w:t>
      </w:r>
      <w:r w:rsidRPr="00EA7F40">
        <w:rPr>
          <w:rFonts w:ascii="Arial" w:eastAsia="Calibri" w:hAnsi="Arial" w:cs="Arial"/>
          <w:iCs/>
          <w:color w:val="000000" w:themeColor="text1"/>
          <w:sz w:val="21"/>
          <w:szCs w:val="21"/>
        </w:rPr>
        <w:t>, sobre una base mínima del 40% del valor mensualizado del contrato, sin incluir el valor del Impuesto al Valor Agregado (IVA).</w:t>
      </w:r>
    </w:p>
    <w:p w14:paraId="3127DB0D" w14:textId="77777777" w:rsidR="00567013" w:rsidRPr="00EA7F40" w:rsidRDefault="00567013" w:rsidP="00567013">
      <w:pPr>
        <w:ind w:left="709" w:right="709"/>
        <w:jc w:val="both"/>
        <w:rPr>
          <w:rFonts w:ascii="Arial" w:eastAsia="Calibri" w:hAnsi="Arial" w:cs="Arial"/>
          <w:i/>
          <w:color w:val="000000" w:themeColor="text1"/>
          <w:sz w:val="21"/>
          <w:szCs w:val="21"/>
        </w:rPr>
      </w:pPr>
      <w:r w:rsidRPr="00EA7F40">
        <w:rPr>
          <w:rFonts w:ascii="Arial" w:eastAsia="Calibri" w:hAnsi="Arial" w:cs="Arial"/>
          <w:i/>
          <w:color w:val="000000" w:themeColor="text1"/>
          <w:sz w:val="21"/>
          <w:szCs w:val="21"/>
        </w:rPr>
        <w:t>(...). (cursivas fuera de texto)</w:t>
      </w:r>
    </w:p>
    <w:p w14:paraId="610B3FC3" w14:textId="77777777" w:rsidR="00567013" w:rsidRPr="00EA7F40" w:rsidRDefault="00567013" w:rsidP="00567013">
      <w:pPr>
        <w:ind w:left="709" w:right="709"/>
        <w:jc w:val="both"/>
        <w:rPr>
          <w:rFonts w:ascii="Arial" w:eastAsia="Calibri" w:hAnsi="Arial" w:cs="Arial"/>
          <w:color w:val="000000" w:themeColor="text1"/>
          <w:sz w:val="21"/>
          <w:szCs w:val="21"/>
        </w:rPr>
      </w:pPr>
    </w:p>
    <w:p w14:paraId="079A04F8" w14:textId="77777777" w:rsidR="00567013" w:rsidRPr="00EA7F40" w:rsidRDefault="00567013" w:rsidP="00567013">
      <w:pPr>
        <w:ind w:left="709" w:right="709"/>
        <w:jc w:val="both"/>
        <w:rPr>
          <w:rFonts w:ascii="Arial" w:eastAsia="Calibri" w:hAnsi="Arial" w:cs="Arial"/>
          <w:color w:val="000000" w:themeColor="text1"/>
          <w:sz w:val="21"/>
          <w:szCs w:val="21"/>
        </w:rPr>
      </w:pPr>
      <w:r w:rsidRPr="00EA7F40">
        <w:rPr>
          <w:rFonts w:ascii="Arial" w:eastAsia="Calibri" w:hAnsi="Arial" w:cs="Arial"/>
          <w:color w:val="000000" w:themeColor="text1"/>
          <w:sz w:val="21"/>
          <w:szCs w:val="21"/>
        </w:rPr>
        <w:t xml:space="preserve">Es decir, se entiende por mes vencido, el aporte posterior que realiza un contratista independiente, al Sistema de Seguridad Social Integral, el cual debe ser sobre la base mínima del 40% del valor mensual del mismo. A manera de </w:t>
      </w:r>
      <w:r w:rsidRPr="00EA7F40">
        <w:rPr>
          <w:rFonts w:ascii="Arial" w:eastAsia="Calibri" w:hAnsi="Arial" w:cs="Arial"/>
          <w:color w:val="000000" w:themeColor="text1"/>
          <w:sz w:val="21"/>
          <w:szCs w:val="21"/>
        </w:rPr>
        <w:lastRenderedPageBreak/>
        <w:t xml:space="preserve">ejemplo, el pago de septiembre se paga en el mes de octubre, y así sucesivamente, cumpliendo en estricto orden con las fechas o plazos de pago, según los últimos dos dígitos del documento de identidad, </w:t>
      </w:r>
      <w:r w:rsidRPr="00EA7F40">
        <w:rPr>
          <w:rFonts w:ascii="Arial" w:eastAsia="Calibri" w:hAnsi="Arial" w:cs="Arial"/>
          <w:bCs/>
          <w:color w:val="000000" w:themeColor="text1"/>
          <w:sz w:val="21"/>
          <w:szCs w:val="21"/>
        </w:rPr>
        <w:t>conforme a lo establecido en el Decreto 1990 de 2016,</w:t>
      </w:r>
      <w:r w:rsidRPr="00EA7F40">
        <w:rPr>
          <w:rFonts w:ascii="Arial" w:eastAsia="Calibri" w:hAnsi="Arial" w:cs="Arial"/>
          <w:color w:val="000000" w:themeColor="text1"/>
          <w:sz w:val="21"/>
          <w:szCs w:val="21"/>
        </w:rPr>
        <w:t xml:space="preserve"> por el cual se </w:t>
      </w:r>
      <w:r w:rsidRPr="00EA7F40">
        <w:rPr>
          <w:rFonts w:ascii="Arial" w:eastAsia="Calibri" w:hAnsi="Arial" w:cs="Arial"/>
          <w:i/>
          <w:color w:val="000000" w:themeColor="text1"/>
          <w:sz w:val="21"/>
          <w:szCs w:val="21"/>
        </w:rPr>
        <w:t>“Sustitúyase el Título 2 de la Parte 2 del Libro 3 del Decreto Único Reglamentario del Sector Salud y Protección Social, Decreto 780 de 2016, el cual quedará así: TÍTULO 2 PLAZOS PARA EL PAGO, Artículo 3.2.2.1.Plazos para la autoliquidación y el pago de los aportes al Sistema de Seguridad Social Integral y Aportes Parafiscales.(...)”</w:t>
      </w:r>
      <w:r w:rsidRPr="00EA7F40">
        <w:rPr>
          <w:rStyle w:val="Refdenotaalpie"/>
          <w:rFonts w:ascii="Arial" w:eastAsia="Calibri" w:hAnsi="Arial" w:cs="Arial"/>
          <w:iCs/>
          <w:color w:val="000000" w:themeColor="text1"/>
          <w:sz w:val="21"/>
          <w:szCs w:val="21"/>
        </w:rPr>
        <w:footnoteReference w:id="8"/>
      </w:r>
      <w:r w:rsidRPr="00EA7F40">
        <w:rPr>
          <w:rFonts w:ascii="Arial" w:eastAsia="Calibri" w:hAnsi="Arial" w:cs="Arial"/>
          <w:iCs/>
          <w:color w:val="000000" w:themeColor="text1"/>
          <w:sz w:val="21"/>
          <w:szCs w:val="21"/>
        </w:rPr>
        <w:t xml:space="preserve"> </w:t>
      </w:r>
    </w:p>
    <w:p w14:paraId="3ABD4B80" w14:textId="77777777" w:rsidR="00567013" w:rsidRPr="00EA7F40" w:rsidRDefault="00567013" w:rsidP="00567013">
      <w:pPr>
        <w:spacing w:line="276" w:lineRule="auto"/>
        <w:jc w:val="both"/>
        <w:rPr>
          <w:rFonts w:ascii="Arial" w:eastAsia="Calibri" w:hAnsi="Arial" w:cs="Arial"/>
          <w:color w:val="000000" w:themeColor="text1"/>
          <w:sz w:val="22"/>
        </w:rPr>
      </w:pPr>
    </w:p>
    <w:p w14:paraId="0B064A31"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color w:val="000000" w:themeColor="text1"/>
          <w:sz w:val="22"/>
        </w:rPr>
        <w:t>De lo anterior, puede concluirse:</w:t>
      </w:r>
    </w:p>
    <w:p w14:paraId="0B58E15E"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i/>
          <w:color w:val="000000" w:themeColor="text1"/>
          <w:sz w:val="22"/>
        </w:rPr>
        <w:t>i)</w:t>
      </w:r>
      <w:r w:rsidRPr="00EA7F40">
        <w:rPr>
          <w:rFonts w:ascii="Arial" w:eastAsia="Calibri" w:hAnsi="Arial" w:cs="Arial"/>
          <w:color w:val="000000" w:themeColor="text1"/>
          <w:sz w:val="22"/>
        </w:rPr>
        <w:t xml:space="preserve"> Los contratistas de prestación de servicios –trabajadores independientes–, que devenguen una suma neta igual o superior a un salario mínimo legal mensual vigente, tienen la obligación de pagar sus aportes al Sistema de Seguridad Social Integral, </w:t>
      </w:r>
      <w:r w:rsidRPr="00EA7F40">
        <w:rPr>
          <w:rFonts w:ascii="Arial" w:eastAsia="Calibri" w:hAnsi="Arial" w:cs="Arial"/>
          <w:i/>
          <w:color w:val="000000" w:themeColor="text1"/>
          <w:sz w:val="22"/>
        </w:rPr>
        <w:t>mes vencido</w:t>
      </w:r>
      <w:r w:rsidRPr="00EA7F40">
        <w:rPr>
          <w:rFonts w:ascii="Arial" w:eastAsia="Calibri" w:hAnsi="Arial" w:cs="Arial"/>
          <w:color w:val="000000" w:themeColor="text1"/>
          <w:sz w:val="22"/>
        </w:rPr>
        <w:t xml:space="preserve">, sobre la base mínima del 40% del valor mensualizado del contrato, sin incluir el IVA. Así se deduce actualmente del artículo 244 de la Ley 1955 de 2019. </w:t>
      </w:r>
    </w:p>
    <w:p w14:paraId="6BCA8306" w14:textId="77777777" w:rsidR="00567013" w:rsidRPr="00EA7F40" w:rsidRDefault="00567013" w:rsidP="00567013">
      <w:pPr>
        <w:spacing w:line="276" w:lineRule="auto"/>
        <w:ind w:firstLine="709"/>
        <w:jc w:val="both"/>
        <w:rPr>
          <w:rFonts w:ascii="Arial" w:eastAsia="Calibri" w:hAnsi="Arial" w:cs="Arial"/>
          <w:color w:val="000000" w:themeColor="text1"/>
          <w:sz w:val="22"/>
        </w:rPr>
      </w:pPr>
      <w:r w:rsidRPr="00EA7F40">
        <w:rPr>
          <w:rFonts w:ascii="Arial" w:eastAsia="Calibri" w:hAnsi="Arial" w:cs="Arial"/>
          <w:i/>
          <w:color w:val="000000" w:themeColor="text1"/>
          <w:sz w:val="22"/>
        </w:rPr>
        <w:t>ii)</w:t>
      </w:r>
      <w:r w:rsidRPr="00EA7F40">
        <w:rPr>
          <w:rFonts w:ascii="Arial" w:eastAsia="Calibri" w:hAnsi="Arial" w:cs="Arial"/>
          <w:color w:val="000000" w:themeColor="text1"/>
          <w:sz w:val="22"/>
        </w:rPr>
        <w:t xml:space="preserve"> Los contratistas obligados a cotizar al Sistema de Seguridad Social Integral deben hacerlo, a más tardar, en los días hábiles previstos en el artículo 3.2.2.1. del Decreto </w:t>
      </w:r>
      <w:r w:rsidRPr="00EA7F40">
        <w:rPr>
          <w:rFonts w:ascii="Arial" w:eastAsia="Calibri" w:hAnsi="Arial" w:cs="Arial"/>
          <w:color w:val="000000" w:themeColor="text1"/>
          <w:sz w:val="22"/>
          <w:lang w:val="es-ES"/>
        </w:rPr>
        <w:t>1990 de 2016, según los dos últimos dígitos del NIT o documento de identificación, por el mes anterior. Así, por ejemplo, el pago de los aportes a la seguridad social del mes de diciembre debe efectuarse en enero, según los plazos establecidos en dicho Decreto.</w:t>
      </w:r>
      <w:r w:rsidRPr="00EA7F40">
        <w:rPr>
          <w:rFonts w:ascii="Arial" w:eastAsia="Calibri" w:hAnsi="Arial" w:cs="Arial"/>
          <w:color w:val="000000" w:themeColor="text1"/>
          <w:sz w:val="22"/>
        </w:rPr>
        <w:t xml:space="preserve"> </w:t>
      </w:r>
    </w:p>
    <w:p w14:paraId="53118001"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r w:rsidRPr="00EA7F40">
        <w:rPr>
          <w:rFonts w:ascii="Arial" w:eastAsia="Calibri" w:hAnsi="Arial" w:cs="Arial"/>
          <w:i/>
          <w:color w:val="000000" w:themeColor="text1"/>
          <w:sz w:val="22"/>
        </w:rPr>
        <w:t>iii)</w:t>
      </w:r>
      <w:r w:rsidRPr="00EA7F40">
        <w:rPr>
          <w:rFonts w:ascii="Arial" w:hAnsi="Arial" w:cs="Arial"/>
          <w:color w:val="000000" w:themeColor="text1"/>
          <w:sz w:val="22"/>
        </w:rPr>
        <w:t xml:space="preserve"> Como las entidades estatales tienen el deber de verificar, para «cada pago», que los contratistas hayan cumplido sus obligaciones con el Sistema de Seguridad Social 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w:t>
      </w:r>
      <w:r w:rsidRPr="00EA7F40">
        <w:rPr>
          <w:rFonts w:ascii="Arial" w:eastAsia="Calibri" w:hAnsi="Arial" w:cs="Arial"/>
          <w:color w:val="000000" w:themeColor="text1"/>
          <w:sz w:val="22"/>
        </w:rPr>
        <w:t xml:space="preserve">artículo 3.2.2.1. del Decreto </w:t>
      </w:r>
      <w:r w:rsidRPr="00EA7F40">
        <w:rPr>
          <w:rFonts w:ascii="Arial" w:eastAsia="Calibri" w:hAnsi="Arial" w:cs="Arial"/>
          <w:color w:val="000000" w:themeColor="text1"/>
          <w:sz w:val="22"/>
          <w:lang w:val="es-ES"/>
        </w:rPr>
        <w:t>1990 de 2016.</w:t>
      </w:r>
    </w:p>
    <w:p w14:paraId="616885E5"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r w:rsidRPr="00EA7F40">
        <w:rPr>
          <w:rFonts w:ascii="Arial" w:eastAsia="Calibri" w:hAnsi="Arial" w:cs="Arial"/>
          <w:i/>
          <w:color w:val="000000" w:themeColor="text1"/>
          <w:sz w:val="22"/>
          <w:lang w:val="es-ES"/>
        </w:rPr>
        <w:t xml:space="preserve">iv) </w:t>
      </w:r>
      <w:r w:rsidRPr="00EA7F40">
        <w:rPr>
          <w:rFonts w:ascii="Arial" w:eastAsia="Calibri" w:hAnsi="Arial" w:cs="Arial"/>
          <w:color w:val="000000" w:themeColor="text1"/>
          <w:sz w:val="22"/>
          <w:lang w:val="es-ES"/>
        </w:rPr>
        <w:t>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w:t>
      </w:r>
      <w:r w:rsidRPr="00EA7F40">
        <w:rPr>
          <w:rFonts w:ascii="Arial" w:eastAsia="Calibri" w:hAnsi="Arial" w:cs="Arial"/>
          <w:color w:val="000000" w:themeColor="text1"/>
          <w:sz w:val="22"/>
          <w:lang w:val="es-ES"/>
        </w:rPr>
        <w:lastRenderedPageBreak/>
        <w:t>porque constituyó la correspondiente cuenta por pagar, según el artículo 89 del Decreto 111 de 1996</w:t>
      </w:r>
      <w:r w:rsidRPr="00EA7F40">
        <w:rPr>
          <w:rStyle w:val="Refdenotaalpie"/>
          <w:rFonts w:ascii="Arial" w:eastAsia="Calibri" w:hAnsi="Arial" w:cs="Arial"/>
          <w:color w:val="000000" w:themeColor="text1"/>
          <w:sz w:val="22"/>
          <w:lang w:val="es-ES"/>
        </w:rPr>
        <w:footnoteReference w:id="9"/>
      </w:r>
      <w:r w:rsidRPr="00EA7F40">
        <w:rPr>
          <w:rFonts w:ascii="Arial" w:eastAsia="Calibri" w:hAnsi="Arial" w:cs="Arial"/>
          <w:color w:val="000000" w:themeColor="text1"/>
          <w:sz w:val="22"/>
          <w:lang w:val="es-ES"/>
        </w:rPr>
        <w:t xml:space="preserve"> y el artículo 13 del Decreto 115 de 1996</w:t>
      </w:r>
      <w:r w:rsidRPr="00EA7F40">
        <w:rPr>
          <w:rStyle w:val="Refdenotaalpie"/>
          <w:rFonts w:ascii="Arial" w:eastAsia="Calibri" w:hAnsi="Arial" w:cs="Arial"/>
          <w:color w:val="000000" w:themeColor="text1"/>
          <w:sz w:val="22"/>
          <w:lang w:val="es-ES"/>
        </w:rPr>
        <w:footnoteReference w:id="10"/>
      </w:r>
      <w:r w:rsidRPr="00EA7F40">
        <w:rPr>
          <w:rFonts w:ascii="Arial" w:eastAsia="Calibri" w:hAnsi="Arial" w:cs="Arial"/>
          <w:color w:val="000000" w:themeColor="text1"/>
          <w:sz w:val="22"/>
          <w:lang w:val="es-ES"/>
        </w:rPr>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01E592BD"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
        </w:rPr>
      </w:pPr>
      <w:r w:rsidRPr="00EA7F40">
        <w:rPr>
          <w:rFonts w:ascii="Arial" w:eastAsia="Calibri" w:hAnsi="Arial" w:cs="Arial"/>
          <w:i/>
          <w:color w:val="000000" w:themeColor="text1"/>
          <w:sz w:val="22"/>
          <w:lang w:val="es-ES"/>
        </w:rPr>
        <w:t xml:space="preserve">v) </w:t>
      </w:r>
      <w:r w:rsidRPr="00EA7F40">
        <w:rPr>
          <w:rFonts w:ascii="Arial" w:eastAsia="Calibri" w:hAnsi="Arial" w:cs="Arial"/>
          <w:color w:val="000000" w:themeColor="text1"/>
          <w:sz w:val="22"/>
          <w:lang w:val="es-ES"/>
        </w:rPr>
        <w:t xml:space="preserve">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w:t>
      </w:r>
      <w:r w:rsidRPr="00EA7F40">
        <w:rPr>
          <w:rFonts w:ascii="Arial" w:eastAsia="Calibri" w:hAnsi="Arial" w:cs="Arial"/>
          <w:color w:val="000000" w:themeColor="text1"/>
          <w:sz w:val="22"/>
          <w:lang w:val="es-ES"/>
        </w:rPr>
        <w:lastRenderedPageBreak/>
        <w:t>le haya efectuado el pago y, en caso negativo, requerirlo y reportarlo a las autoridades competentes para adelantar las investigaciones y procedimientos administrativos sancionatorios pertinentes, entre las que se encuentra la Unidad de Gestión Pensional y Parafiscales [UGPP].</w:t>
      </w:r>
    </w:p>
    <w:p w14:paraId="5F3B0964" w14:textId="77777777" w:rsidR="00567013" w:rsidRPr="00EA7F40" w:rsidRDefault="00567013" w:rsidP="00567013">
      <w:pPr>
        <w:spacing w:line="276" w:lineRule="auto"/>
        <w:ind w:firstLine="709"/>
        <w:jc w:val="both"/>
        <w:rPr>
          <w:rFonts w:ascii="Arial" w:hAnsi="Arial" w:cs="Arial"/>
          <w:color w:val="000000" w:themeColor="text1"/>
          <w:sz w:val="22"/>
        </w:rPr>
      </w:pPr>
      <w:r w:rsidRPr="00EA7F40">
        <w:rPr>
          <w:rFonts w:ascii="Arial" w:eastAsia="Calibri" w:hAnsi="Arial" w:cs="Arial"/>
          <w:i/>
          <w:color w:val="000000" w:themeColor="text1"/>
          <w:sz w:val="22"/>
          <w:lang w:val="es-ES"/>
        </w:rPr>
        <w:t>vi)</w:t>
      </w:r>
      <w:r w:rsidRPr="00EA7F40">
        <w:rPr>
          <w:rFonts w:ascii="Arial" w:eastAsia="Calibri" w:hAnsi="Arial" w:cs="Arial"/>
          <w:color w:val="000000" w:themeColor="text1"/>
          <w:sz w:val="22"/>
          <w:lang w:val="es-ES"/>
        </w:rPr>
        <w:t xml:space="preserve">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 noviembre.  </w:t>
      </w:r>
    </w:p>
    <w:p w14:paraId="76E42C06" w14:textId="77777777" w:rsidR="00567013" w:rsidRPr="00EA7F40" w:rsidRDefault="00567013" w:rsidP="00567013">
      <w:pPr>
        <w:spacing w:line="276" w:lineRule="auto"/>
        <w:jc w:val="both"/>
        <w:rPr>
          <w:rFonts w:ascii="Arial" w:hAnsi="Arial" w:cs="Arial"/>
          <w:color w:val="000000" w:themeColor="text1"/>
          <w:sz w:val="22"/>
          <w:lang w:val="es-ES_tradnl"/>
        </w:rPr>
      </w:pPr>
    </w:p>
    <w:p w14:paraId="2A79EC33" w14:textId="77777777" w:rsidR="00567013" w:rsidRPr="00EA7F40" w:rsidRDefault="00567013" w:rsidP="00567013">
      <w:pPr>
        <w:pStyle w:val="Prrafodelista"/>
        <w:tabs>
          <w:tab w:val="left" w:pos="284"/>
        </w:tabs>
        <w:spacing w:line="276" w:lineRule="auto"/>
        <w:ind w:left="0"/>
        <w:jc w:val="both"/>
        <w:rPr>
          <w:rFonts w:ascii="Arial" w:eastAsia="Calibri" w:hAnsi="Arial" w:cs="Arial"/>
          <w:color w:val="000000" w:themeColor="text1"/>
          <w:sz w:val="22"/>
          <w:lang w:val="es-ES_tradnl"/>
        </w:rPr>
      </w:pPr>
      <w:r w:rsidRPr="00EA7F40">
        <w:rPr>
          <w:rFonts w:ascii="Arial" w:eastAsia="Calibri" w:hAnsi="Arial" w:cs="Arial"/>
          <w:b/>
          <w:color w:val="000000" w:themeColor="text1"/>
          <w:sz w:val="22"/>
          <w:lang w:val="es-ES_tradnl"/>
        </w:rPr>
        <w:t>3. Respuestas</w:t>
      </w:r>
    </w:p>
    <w:p w14:paraId="22672A7C" w14:textId="77777777" w:rsidR="00567013" w:rsidRPr="00EA7F40" w:rsidRDefault="00567013" w:rsidP="00567013">
      <w:pPr>
        <w:spacing w:line="276" w:lineRule="auto"/>
        <w:ind w:left="709" w:right="709"/>
        <w:jc w:val="both"/>
        <w:rPr>
          <w:rFonts w:ascii="Arial" w:eastAsia="Calibri" w:hAnsi="Arial" w:cs="Arial"/>
          <w:i/>
          <w:color w:val="000000" w:themeColor="text1"/>
          <w:sz w:val="22"/>
          <w:lang w:val="es-ES_tradnl"/>
        </w:rPr>
      </w:pPr>
    </w:p>
    <w:p w14:paraId="6AD5953C" w14:textId="77777777" w:rsidR="00567013" w:rsidRPr="00EA7F40" w:rsidRDefault="00567013" w:rsidP="00567013">
      <w:pPr>
        <w:spacing w:line="276" w:lineRule="auto"/>
        <w:ind w:left="708" w:right="709"/>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i) «¿Es necesario para la celebración del contrato de prestación de servicios exigir el pago anticipado de la seguridad social?»</w:t>
      </w:r>
    </w:p>
    <w:p w14:paraId="1ECB15DC"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p>
    <w:p w14:paraId="70126486"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De conformidad con lo establecido en el artículo 244 de la Ley 1955 de 2019, la cotización a la seguridad social por parte de los contratistas se efectúa mes vencido. Por tanto, para la celebración del contrato, las entidades estatales no le pueden exigir al contratista que haya efectuado anticipadamente los aportes por el IBC del primer mes de ejecución del contrato que celebrará o que se ha perfeccionado, sino que deben verificar que esté afiliado en calidad de independiente al sistema de seguridad social integral y que además esté al día con este sistema, pues así se deduce del artículo 50 de la Ley 789 de 2002, que establece que «La celebración, […],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deber ratificado por el artículo 23 de la Ley 1150 de 2007.</w:t>
      </w:r>
    </w:p>
    <w:p w14:paraId="0CA74D16"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_tradnl"/>
        </w:rPr>
      </w:pPr>
    </w:p>
    <w:p w14:paraId="094507C2" w14:textId="77777777" w:rsidR="00567013" w:rsidRPr="00EA7F40" w:rsidRDefault="00567013" w:rsidP="00567013">
      <w:pPr>
        <w:spacing w:line="276" w:lineRule="auto"/>
        <w:ind w:left="708" w:right="709"/>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ii) «¿Para la liquidación del contrato de prestación de servicios el contratista debe estar al día en el pago de sus aportes a la seguridad social o se le debe exigir que los pague anticipadamente? Por ejemplo, si el contrato se termina en diciembre, ¿debe estar a paz y salvo por los aportes a la seguridad social de noviembre o debe hacer también los aportes de diciembre como requisito para el pago?»</w:t>
      </w:r>
    </w:p>
    <w:p w14:paraId="38474AE2" w14:textId="77777777" w:rsidR="00567013" w:rsidRPr="00EA7F40" w:rsidRDefault="00567013" w:rsidP="00567013">
      <w:pPr>
        <w:spacing w:line="276" w:lineRule="auto"/>
        <w:ind w:left="708" w:right="709"/>
        <w:jc w:val="both"/>
        <w:rPr>
          <w:rFonts w:ascii="Arial" w:eastAsia="Calibri" w:hAnsi="Arial" w:cs="Arial"/>
          <w:color w:val="000000" w:themeColor="text1"/>
          <w:sz w:val="22"/>
          <w:lang w:val="es-ES_tradnl"/>
        </w:rPr>
      </w:pPr>
    </w:p>
    <w:p w14:paraId="22109CCA"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 xml:space="preserve">Las entidades estatales deben respetar el derecho del contratista a hacer los aportes al Sistema de Seguridad Social Integral a más tardar en las fechas indicadas en el artículo </w:t>
      </w:r>
      <w:r w:rsidRPr="00EA7F40">
        <w:rPr>
          <w:rFonts w:ascii="Arial" w:eastAsia="Calibri" w:hAnsi="Arial" w:cs="Arial"/>
          <w:color w:val="000000" w:themeColor="text1"/>
          <w:sz w:val="22"/>
          <w:lang w:val="es-ES_tradnl"/>
        </w:rPr>
        <w:lastRenderedPageBreak/>
        <w:t>3.2.2.1. del Decreto 1990 de 2016 y de conformidad con el artículo 244 de la Ley 1955 de 2019, que establece que la cotización se realiza mes vencido. Por tanto, en diciembre, el supervisor debe verificar que el contratista haya hecho sus aportes por lo devengado en noviembre.</w:t>
      </w:r>
    </w:p>
    <w:p w14:paraId="725BBF4E" w14:textId="77777777" w:rsidR="00567013" w:rsidRPr="00EA7F40" w:rsidRDefault="00567013" w:rsidP="00567013">
      <w:pPr>
        <w:spacing w:line="276" w:lineRule="auto"/>
        <w:ind w:firstLine="709"/>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 xml:space="preserve">Sin perjuicio de lo anterior, en todo caso, las entidades estatales –los supervisores o interventores, pero también los ordenadores del gasto– tienen el deber de verificar que el contratista haya cumplido con la cotización al Sistema de Seguridad Social Integral por el IBC de diciembre, así se haya firmado el acta de recibo final o efectuado el pago de los honorarios de dicho mes, ello a partir de lo previsto en el artículo 50 de la Ley 789 de 2002, que establece que este deber de verificación es por toda la vigencia del contrato. Sin embargo, como se indicó en las consideraciones de este concepto, las entidades estatales pueden configurar en el contrato la cláusula de pago de tal forma que este quede condicionado al cumplimiento del pago de los aportes al Sistema de Seguridad Social Integral por parte del contratista. </w:t>
      </w:r>
    </w:p>
    <w:p w14:paraId="44C70FF1"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p>
    <w:p w14:paraId="23BB6D17"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r w:rsidRPr="00EA7F40">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854CB58"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p>
    <w:p w14:paraId="1809CD75" w14:textId="77777777" w:rsidR="00567013" w:rsidRPr="00EA7F40" w:rsidRDefault="00567013" w:rsidP="00567013">
      <w:pPr>
        <w:spacing w:line="276" w:lineRule="auto"/>
        <w:jc w:val="both"/>
        <w:rPr>
          <w:rFonts w:ascii="Arial" w:eastAsia="Calibri" w:hAnsi="Arial" w:cs="Arial"/>
          <w:color w:val="000000" w:themeColor="text1"/>
          <w:sz w:val="22"/>
          <w:lang w:val="es-ES_tradnl"/>
        </w:rPr>
      </w:pPr>
      <w:r w:rsidRPr="00EA7F40">
        <w:rPr>
          <w:noProof/>
          <w:color w:val="000000" w:themeColor="text1"/>
          <w:lang w:val="en-US"/>
        </w:rPr>
        <mc:AlternateContent>
          <mc:Choice Requires="wps">
            <w:drawing>
              <wp:anchor distT="0" distB="0" distL="114300" distR="114300" simplePos="0" relativeHeight="251658240" behindDoc="0" locked="0" layoutInCell="1" allowOverlap="1" wp14:anchorId="74042322" wp14:editId="5DC4C9E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790C48"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B1BB6DA" w14:textId="77777777" w:rsidR="00567013" w:rsidRPr="00EA7F40" w:rsidRDefault="00567013" w:rsidP="00567013">
      <w:pPr>
        <w:spacing w:line="276" w:lineRule="auto"/>
        <w:rPr>
          <w:rFonts w:ascii="Arial" w:hAnsi="Arial" w:cs="Arial"/>
          <w:color w:val="000000" w:themeColor="text1"/>
          <w:sz w:val="22"/>
          <w:lang w:val="es-ES_tradnl" w:eastAsia="es-CO"/>
        </w:rPr>
      </w:pPr>
      <w:r w:rsidRPr="00EA7F40">
        <w:rPr>
          <w:rFonts w:ascii="Arial" w:hAnsi="Arial" w:cs="Arial"/>
          <w:color w:val="000000" w:themeColor="text1"/>
          <w:sz w:val="22"/>
          <w:lang w:val="es-ES_tradnl" w:eastAsia="es-CO"/>
        </w:rPr>
        <w:t>Atentamente,</w:t>
      </w:r>
    </w:p>
    <w:p w14:paraId="0142AFA0" w14:textId="156AED67" w:rsidR="00567013" w:rsidRPr="00EA7F40" w:rsidRDefault="002A70AD" w:rsidP="002A70AD">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42225837" wp14:editId="3A9F20F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A7F40" w:rsidRPr="00EA7F40" w14:paraId="62592074" w14:textId="77777777" w:rsidTr="008A7750">
        <w:trPr>
          <w:trHeight w:val="315"/>
        </w:trPr>
        <w:tc>
          <w:tcPr>
            <w:tcW w:w="812" w:type="dxa"/>
            <w:vAlign w:val="center"/>
            <w:hideMark/>
          </w:tcPr>
          <w:p w14:paraId="76584C36"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470B193"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Cristian Andrés Díaz Díez</w:t>
            </w:r>
          </w:p>
        </w:tc>
      </w:tr>
      <w:tr w:rsidR="00EA7F40" w:rsidRPr="00EA7F40" w14:paraId="3FE3356C" w14:textId="77777777" w:rsidTr="008A7750">
        <w:trPr>
          <w:trHeight w:val="330"/>
        </w:trPr>
        <w:tc>
          <w:tcPr>
            <w:tcW w:w="812" w:type="dxa"/>
            <w:vAlign w:val="center"/>
            <w:hideMark/>
          </w:tcPr>
          <w:p w14:paraId="103EE9FF"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A385AC"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Fabián Gonzalo Marín Cortés</w:t>
            </w:r>
          </w:p>
          <w:p w14:paraId="144BED81"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Subdirector de Gestión Contractual</w:t>
            </w:r>
          </w:p>
        </w:tc>
      </w:tr>
      <w:tr w:rsidR="00567013" w:rsidRPr="00EA7F40" w14:paraId="19EDFE9E" w14:textId="77777777" w:rsidTr="008A7750">
        <w:trPr>
          <w:trHeight w:val="300"/>
        </w:trPr>
        <w:tc>
          <w:tcPr>
            <w:tcW w:w="812" w:type="dxa"/>
            <w:vAlign w:val="center"/>
            <w:hideMark/>
          </w:tcPr>
          <w:p w14:paraId="0A85359F"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66CFE2"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Fabián Gonzalo Marín Cortés</w:t>
            </w:r>
          </w:p>
          <w:p w14:paraId="0A41D0A5" w14:textId="77777777" w:rsidR="00567013" w:rsidRPr="00EA7F40" w:rsidRDefault="00567013" w:rsidP="008A7750">
            <w:pPr>
              <w:spacing w:line="276" w:lineRule="auto"/>
              <w:rPr>
                <w:rFonts w:ascii="Arial" w:hAnsi="Arial" w:cs="Arial"/>
                <w:color w:val="000000" w:themeColor="text1"/>
                <w:sz w:val="16"/>
                <w:szCs w:val="16"/>
                <w:lang w:val="es-ES_tradnl" w:eastAsia="es-ES"/>
              </w:rPr>
            </w:pPr>
            <w:r w:rsidRPr="00EA7F40">
              <w:rPr>
                <w:rFonts w:ascii="Arial" w:hAnsi="Arial" w:cs="Arial"/>
                <w:color w:val="000000" w:themeColor="text1"/>
                <w:sz w:val="16"/>
                <w:szCs w:val="16"/>
                <w:lang w:val="es-ES_tradnl" w:eastAsia="es-ES"/>
              </w:rPr>
              <w:t>Subdirector de Gestión Contractual</w:t>
            </w:r>
          </w:p>
        </w:tc>
      </w:tr>
    </w:tbl>
    <w:p w14:paraId="5A4DC179" w14:textId="77777777" w:rsidR="00567013" w:rsidRPr="00EA7F40" w:rsidRDefault="00567013" w:rsidP="00567013">
      <w:pPr>
        <w:spacing w:line="276" w:lineRule="auto"/>
        <w:rPr>
          <w:rFonts w:ascii="Arial" w:hAnsi="Arial" w:cs="Arial"/>
          <w:color w:val="000000" w:themeColor="text1"/>
          <w:sz w:val="16"/>
          <w:szCs w:val="16"/>
          <w:lang w:val="es-ES_tradnl" w:eastAsia="es-ES"/>
        </w:rPr>
      </w:pPr>
    </w:p>
    <w:bookmarkEnd w:id="2"/>
    <w:p w14:paraId="7EBF297E" w14:textId="77777777" w:rsidR="007B0854" w:rsidRPr="00EA7F40" w:rsidRDefault="007B0854" w:rsidP="00567013">
      <w:pPr>
        <w:rPr>
          <w:color w:val="000000" w:themeColor="text1"/>
          <w:lang w:val="es-ES_tradnl"/>
        </w:rPr>
      </w:pPr>
    </w:p>
    <w:sectPr w:rsidR="007B0854" w:rsidRPr="00EA7F40"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819C" w14:textId="77777777" w:rsidR="00283CC6" w:rsidRDefault="00283CC6">
      <w:r>
        <w:separator/>
      </w:r>
    </w:p>
  </w:endnote>
  <w:endnote w:type="continuationSeparator" w:id="0">
    <w:p w14:paraId="6E763A4A" w14:textId="77777777" w:rsidR="00283CC6" w:rsidRDefault="002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Roman">
    <w:altName w:val="Calibri"/>
    <w:charset w:val="4D"/>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5AB5E964"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2A70AD">
      <w:rPr>
        <w:rFonts w:ascii="Arial" w:hAnsi="Arial" w:cs="Arial"/>
        <w:noProof/>
        <w:sz w:val="18"/>
        <w:szCs w:val="18"/>
      </w:rPr>
      <w:t>15</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987E" w14:textId="77777777" w:rsidR="00283CC6" w:rsidRDefault="00283CC6">
      <w:r>
        <w:separator/>
      </w:r>
    </w:p>
  </w:footnote>
  <w:footnote w:type="continuationSeparator" w:id="0">
    <w:p w14:paraId="783863A4" w14:textId="77777777" w:rsidR="00283CC6" w:rsidRDefault="00283CC6">
      <w:r>
        <w:continuationSeparator/>
      </w:r>
    </w:p>
  </w:footnote>
  <w:footnote w:id="1">
    <w:p w14:paraId="2FDABA2B" w14:textId="77777777" w:rsidR="00567013" w:rsidRPr="00EA7F40" w:rsidRDefault="00567013" w:rsidP="00567013">
      <w:pPr>
        <w:pStyle w:val="NormalWeb"/>
        <w:spacing w:before="0" w:beforeAutospacing="0" w:after="0" w:afterAutospacing="0"/>
        <w:ind w:firstLine="709"/>
        <w:jc w:val="both"/>
        <w:rPr>
          <w:rFonts w:ascii="Arial" w:hAnsi="Arial" w:cs="Arial"/>
          <w:color w:val="000000" w:themeColor="text1"/>
          <w:sz w:val="19"/>
          <w:szCs w:val="19"/>
          <w:lang w:eastAsia="en-US"/>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Ley 789 de 2002: «Artículo 50. Control a la evasión de los recursos parafiscales </w:t>
      </w:r>
      <w:r w:rsidRPr="00EA7F40">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524CAF3" w14:textId="77777777" w:rsidR="00567013" w:rsidRPr="00EA7F40" w:rsidRDefault="00567013" w:rsidP="00567013">
      <w:pPr>
        <w:ind w:firstLine="709"/>
        <w:jc w:val="both"/>
        <w:rPr>
          <w:rFonts w:ascii="Arial" w:hAnsi="Arial" w:cs="Arial"/>
          <w:color w:val="000000" w:themeColor="text1"/>
          <w:sz w:val="19"/>
          <w:szCs w:val="19"/>
        </w:rPr>
      </w:pPr>
      <w:proofErr w:type="gramStart"/>
      <w:r w:rsidRPr="00EA7F40">
        <w:rPr>
          <w:rFonts w:ascii="Arial" w:hAnsi="Arial" w:cs="Arial"/>
          <w:color w:val="000000" w:themeColor="text1"/>
          <w:sz w:val="19"/>
          <w:szCs w:val="19"/>
        </w:rPr>
        <w:t>»En</w:t>
      </w:r>
      <w:proofErr w:type="gramEnd"/>
      <w:r w:rsidRPr="00EA7F40">
        <w:rPr>
          <w:rFonts w:ascii="Arial" w:hAnsi="Arial" w:cs="Arial"/>
          <w:color w:val="000000" w:themeColor="text1"/>
          <w:sz w:val="19"/>
          <w:szCs w:val="19"/>
        </w:rPr>
        <w:t xml:space="preserve">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1F8AC97C" w14:textId="77777777" w:rsidR="00567013" w:rsidRPr="00EA7F40" w:rsidRDefault="00567013" w:rsidP="00567013">
      <w:pPr>
        <w:ind w:firstLine="709"/>
        <w:jc w:val="both"/>
        <w:rPr>
          <w:rFonts w:ascii="Arial" w:hAnsi="Arial" w:cs="Arial"/>
          <w:color w:val="000000" w:themeColor="text1"/>
          <w:sz w:val="19"/>
          <w:szCs w:val="19"/>
        </w:rPr>
      </w:pPr>
      <w:r w:rsidRPr="00EA7F40">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2A60619B" w14:textId="77777777" w:rsidR="00567013" w:rsidRPr="00EA7F40" w:rsidRDefault="00567013" w:rsidP="00567013">
      <w:pPr>
        <w:ind w:firstLine="709"/>
        <w:jc w:val="both"/>
        <w:rPr>
          <w:rFonts w:ascii="Arial" w:hAnsi="Arial" w:cs="Arial"/>
          <w:color w:val="000000" w:themeColor="text1"/>
          <w:sz w:val="19"/>
          <w:szCs w:val="19"/>
        </w:rPr>
      </w:pPr>
      <w:proofErr w:type="gramStart"/>
      <w:r w:rsidRPr="00EA7F40">
        <w:rPr>
          <w:rFonts w:ascii="Arial" w:hAnsi="Arial" w:cs="Arial"/>
          <w:color w:val="000000" w:themeColor="text1"/>
          <w:sz w:val="19"/>
          <w:szCs w:val="19"/>
        </w:rPr>
        <w:t>»Para</w:t>
      </w:r>
      <w:proofErr w:type="gramEnd"/>
      <w:r w:rsidRPr="00EA7F40">
        <w:rPr>
          <w:rFonts w:ascii="Arial" w:hAnsi="Arial" w:cs="Arial"/>
          <w:color w:val="000000" w:themeColor="text1"/>
          <w:sz w:val="19"/>
          <w:szCs w:val="19"/>
        </w:rPr>
        <w:t xml:space="preserve">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2">
    <w:p w14:paraId="4E8D3CB1" w14:textId="77777777" w:rsidR="00567013" w:rsidRPr="00EA7F40" w:rsidRDefault="00567013" w:rsidP="00567013">
      <w:pPr>
        <w:pStyle w:val="Textonotapie"/>
        <w:ind w:firstLine="709"/>
        <w:jc w:val="both"/>
        <w:rPr>
          <w:rFonts w:ascii="Arial" w:hAnsi="Arial" w:cs="Arial"/>
          <w:color w:val="000000" w:themeColor="text1"/>
          <w:sz w:val="19"/>
          <w:szCs w:val="19"/>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3">
    <w:p w14:paraId="1B5E33C9" w14:textId="77777777" w:rsidR="00567013" w:rsidRPr="00EA7F40" w:rsidRDefault="00567013" w:rsidP="00567013">
      <w:pPr>
        <w:ind w:firstLine="709"/>
        <w:jc w:val="both"/>
        <w:rPr>
          <w:rFonts w:ascii="Arial" w:hAnsi="Arial" w:cs="Arial"/>
          <w:color w:val="000000" w:themeColor="text1"/>
          <w:sz w:val="19"/>
          <w:szCs w:val="19"/>
          <w:lang w:val="es-ES"/>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Ley 1753 de 2015: </w:t>
      </w:r>
      <w:r w:rsidRPr="00EA7F40">
        <w:rPr>
          <w:rFonts w:ascii="Arial" w:hAnsi="Arial" w:cs="Arial"/>
          <w:color w:val="000000" w:themeColor="text1"/>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14:paraId="07F56590" w14:textId="77777777" w:rsidR="00567013" w:rsidRPr="00EA7F40" w:rsidRDefault="00567013" w:rsidP="00567013">
      <w:pPr>
        <w:ind w:firstLine="709"/>
        <w:jc w:val="both"/>
        <w:rPr>
          <w:rFonts w:ascii="Arial" w:hAnsi="Arial" w:cs="Arial"/>
          <w:color w:val="000000" w:themeColor="text1"/>
          <w:sz w:val="19"/>
          <w:szCs w:val="19"/>
          <w:lang w:val="es-ES"/>
        </w:rPr>
      </w:pPr>
      <w:proofErr w:type="gramStart"/>
      <w:r w:rsidRPr="00EA7F40">
        <w:rPr>
          <w:rFonts w:ascii="Arial" w:hAnsi="Arial" w:cs="Arial"/>
          <w:color w:val="000000" w:themeColor="text1"/>
          <w:sz w:val="19"/>
          <w:szCs w:val="19"/>
          <w:lang w:val="es-ES"/>
        </w:rPr>
        <w:t>»En</w:t>
      </w:r>
      <w:proofErr w:type="gramEnd"/>
      <w:r w:rsidRPr="00EA7F40">
        <w:rPr>
          <w:rFonts w:ascii="Arial" w:hAnsi="Arial" w:cs="Arial"/>
          <w:color w:val="000000" w:themeColor="text1"/>
          <w:sz w:val="19"/>
          <w:szCs w:val="19"/>
          <w:lang w:val="es-ES"/>
        </w:rPr>
        <w:t xml:space="preserve">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14:paraId="6C45F9FC" w14:textId="77777777" w:rsidR="00567013" w:rsidRPr="00EA7F40" w:rsidRDefault="00567013" w:rsidP="00567013">
      <w:pPr>
        <w:ind w:firstLine="709"/>
        <w:jc w:val="both"/>
        <w:rPr>
          <w:rFonts w:ascii="Arial" w:hAnsi="Arial" w:cs="Arial"/>
          <w:color w:val="000000" w:themeColor="text1"/>
          <w:sz w:val="19"/>
          <w:szCs w:val="19"/>
          <w:lang w:val="es-ES"/>
        </w:rPr>
      </w:pPr>
      <w:r w:rsidRPr="00EA7F40">
        <w:rPr>
          <w:rFonts w:ascii="Arial" w:hAnsi="Arial" w:cs="Arial"/>
          <w:color w:val="000000" w:themeColor="text1"/>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14:paraId="53942CFC"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proofErr w:type="gramStart"/>
      <w:r w:rsidRPr="00EA7F40">
        <w:rPr>
          <w:rFonts w:ascii="Arial" w:hAnsi="Arial" w:cs="Arial"/>
          <w:color w:val="000000" w:themeColor="text1"/>
          <w:sz w:val="19"/>
          <w:szCs w:val="19"/>
          <w:lang w:val="es-ES"/>
        </w:rPr>
        <w:t>»Cuando</w:t>
      </w:r>
      <w:proofErr w:type="gramEnd"/>
      <w:r w:rsidRPr="00EA7F40">
        <w:rPr>
          <w:rFonts w:ascii="Arial" w:hAnsi="Arial" w:cs="Arial"/>
          <w:color w:val="000000" w:themeColor="text1"/>
          <w:sz w:val="19"/>
          <w:szCs w:val="19"/>
          <w:lang w:val="es-ES"/>
        </w:rPr>
        <w:t xml:space="preserve">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14:paraId="768EA3DF" w14:textId="77777777" w:rsidR="00567013" w:rsidRPr="00EA7F40" w:rsidRDefault="00567013" w:rsidP="00567013">
      <w:pPr>
        <w:pStyle w:val="Textonotapie"/>
        <w:ind w:firstLine="709"/>
        <w:jc w:val="both"/>
        <w:rPr>
          <w:rFonts w:ascii="Arial" w:hAnsi="Arial" w:cs="Arial"/>
          <w:color w:val="000000" w:themeColor="text1"/>
          <w:sz w:val="19"/>
          <w:szCs w:val="19"/>
        </w:rPr>
      </w:pPr>
    </w:p>
  </w:footnote>
  <w:footnote w:id="4">
    <w:p w14:paraId="5931AA88" w14:textId="77777777" w:rsidR="00567013" w:rsidRPr="00EA7F40" w:rsidRDefault="00567013" w:rsidP="00567013">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n-US"/>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Decreto 1273 de 2018: «Artículo 2.2.1.1.1.7 </w:t>
      </w:r>
      <w:r w:rsidRPr="00EA7F40">
        <w:rPr>
          <w:rFonts w:ascii="Arial" w:hAnsi="Arial" w:cs="Arial"/>
          <w:bCs/>
          <w:iCs/>
          <w:color w:val="000000" w:themeColor="text1"/>
          <w:sz w:val="19"/>
          <w:szCs w:val="19"/>
          <w:lang w:eastAsia="en-US"/>
        </w:rPr>
        <w:t>Pago de cotizaciones de los trabajadores independientes al Sistema de Seguridad Social Integral. </w:t>
      </w:r>
      <w:r w:rsidRPr="00EA7F40">
        <w:rPr>
          <w:rFonts w:ascii="Arial" w:hAnsi="Arial" w:cs="Arial"/>
          <w:iCs/>
          <w:color w:val="000000" w:themeColor="text1"/>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14:paraId="6167FB72" w14:textId="77777777" w:rsidR="00567013" w:rsidRPr="00EA7F40" w:rsidRDefault="00567013" w:rsidP="00567013">
      <w:pPr>
        <w:shd w:val="clear" w:color="auto" w:fill="FFFFFF"/>
        <w:ind w:firstLine="709"/>
        <w:jc w:val="both"/>
        <w:rPr>
          <w:rFonts w:ascii="Arial" w:hAnsi="Arial" w:cs="Arial"/>
          <w:color w:val="000000" w:themeColor="text1"/>
          <w:sz w:val="19"/>
          <w:szCs w:val="19"/>
        </w:rPr>
      </w:pPr>
      <w:proofErr w:type="gramStart"/>
      <w:r w:rsidRPr="00EA7F40">
        <w:rPr>
          <w:rFonts w:ascii="Arial" w:hAnsi="Arial" w:cs="Arial"/>
          <w:iCs/>
          <w:color w:val="000000" w:themeColor="text1"/>
          <w:sz w:val="19"/>
          <w:szCs w:val="19"/>
        </w:rPr>
        <w:t>»Lo</w:t>
      </w:r>
      <w:proofErr w:type="gramEnd"/>
      <w:r w:rsidRPr="00EA7F40">
        <w:rPr>
          <w:rFonts w:ascii="Arial" w:hAnsi="Arial" w:cs="Arial"/>
          <w:iCs/>
          <w:color w:val="000000" w:themeColor="text1"/>
          <w:sz w:val="19"/>
          <w:szCs w:val="19"/>
        </w:rPr>
        <w:t xml:space="preserve"> dispuesto en el presente artículo no afecta las coberturas de las prestaciones de cada uno de los Subsistemas del Sistema de Seguridad Social Integral que, conforme a la normativa vigente, las entidades administradoras de los mismos deben garantizar a sus afiliados».</w:t>
      </w:r>
    </w:p>
  </w:footnote>
  <w:footnote w:id="5">
    <w:p w14:paraId="6D262EA9" w14:textId="77777777" w:rsidR="00567013" w:rsidRPr="00EA7F40" w:rsidRDefault="00567013" w:rsidP="00567013">
      <w:pPr>
        <w:pStyle w:val="Textonotapie"/>
        <w:ind w:firstLine="709"/>
        <w:jc w:val="both"/>
        <w:rPr>
          <w:rFonts w:ascii="Arial" w:hAnsi="Arial" w:cs="Arial"/>
          <w:iCs/>
          <w:color w:val="000000" w:themeColor="text1"/>
          <w:sz w:val="19"/>
          <w:szCs w:val="19"/>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w:t>
      </w:r>
      <w:r w:rsidRPr="00EA7F40">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CD8F8F6" w14:textId="77777777" w:rsidR="00567013" w:rsidRPr="00EA7F40" w:rsidRDefault="00567013" w:rsidP="00567013">
      <w:pPr>
        <w:pStyle w:val="Textonotapie"/>
        <w:ind w:firstLine="709"/>
        <w:jc w:val="both"/>
        <w:rPr>
          <w:rFonts w:ascii="Arial" w:hAnsi="Arial" w:cs="Arial"/>
          <w:iCs/>
          <w:color w:val="000000" w:themeColor="text1"/>
          <w:sz w:val="19"/>
          <w:szCs w:val="19"/>
        </w:rPr>
      </w:pPr>
      <w:proofErr w:type="gramStart"/>
      <w:r w:rsidRPr="00EA7F40">
        <w:rPr>
          <w:rFonts w:ascii="Arial" w:hAnsi="Arial" w:cs="Arial"/>
          <w:iCs/>
          <w:color w:val="000000" w:themeColor="text1"/>
          <w:sz w:val="19"/>
          <w:szCs w:val="19"/>
        </w:rPr>
        <w:t>»Los</w:t>
      </w:r>
      <w:proofErr w:type="gramEnd"/>
      <w:r w:rsidRPr="00EA7F40">
        <w:rPr>
          <w:rFonts w:ascii="Arial" w:hAnsi="Arial" w:cs="Arial"/>
          <w:iCs/>
          <w:color w:val="000000" w:themeColor="text1"/>
          <w:sz w:val="19"/>
          <w:szCs w:val="19"/>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AD3E10A" w14:textId="77777777" w:rsidR="00567013" w:rsidRPr="00EA7F40" w:rsidRDefault="00567013" w:rsidP="00567013">
      <w:pPr>
        <w:pStyle w:val="Textonotapie"/>
        <w:ind w:firstLine="709"/>
        <w:jc w:val="both"/>
        <w:rPr>
          <w:rFonts w:ascii="Arial" w:hAnsi="Arial" w:cs="Arial"/>
          <w:iCs/>
          <w:color w:val="000000" w:themeColor="text1"/>
          <w:sz w:val="19"/>
          <w:szCs w:val="19"/>
        </w:rPr>
      </w:pPr>
      <w:proofErr w:type="gramStart"/>
      <w:r w:rsidRPr="00EA7F40">
        <w:rPr>
          <w:rFonts w:ascii="Arial" w:hAnsi="Arial" w:cs="Arial"/>
          <w:iCs/>
          <w:color w:val="000000" w:themeColor="text1"/>
          <w:sz w:val="19"/>
          <w:szCs w:val="19"/>
        </w:rPr>
        <w:t>»El</w:t>
      </w:r>
      <w:proofErr w:type="gramEnd"/>
      <w:r w:rsidRPr="00EA7F40">
        <w:rPr>
          <w:rFonts w:ascii="Arial" w:hAnsi="Arial" w:cs="Arial"/>
          <w:iCs/>
          <w:color w:val="000000" w:themeColor="text1"/>
          <w:sz w:val="19"/>
          <w:szCs w:val="19"/>
        </w:rPr>
        <w:t xml:space="preserve"> Gobierno nacional reglamentará el mecanismo para realizar la mensualización de que trata el presente artículo.</w:t>
      </w:r>
    </w:p>
    <w:p w14:paraId="0D6D1739" w14:textId="77777777" w:rsidR="00567013" w:rsidRPr="00EA7F40" w:rsidRDefault="00567013" w:rsidP="00567013">
      <w:pPr>
        <w:pStyle w:val="Textonotapie"/>
        <w:ind w:firstLine="709"/>
        <w:jc w:val="both"/>
        <w:rPr>
          <w:rFonts w:ascii="Arial" w:hAnsi="Arial" w:cs="Arial"/>
          <w:iCs/>
          <w:color w:val="000000" w:themeColor="text1"/>
          <w:sz w:val="19"/>
          <w:szCs w:val="19"/>
        </w:rPr>
      </w:pPr>
      <w:proofErr w:type="gramStart"/>
      <w:r w:rsidRPr="00EA7F40">
        <w:rPr>
          <w:rFonts w:ascii="Arial" w:hAnsi="Arial" w:cs="Arial"/>
          <w:iCs/>
          <w:color w:val="000000" w:themeColor="text1"/>
          <w:sz w:val="19"/>
          <w:szCs w:val="19"/>
        </w:rPr>
        <w:t>»Parágrafo</w:t>
      </w:r>
      <w:proofErr w:type="gramEnd"/>
      <w:r w:rsidRPr="00EA7F40">
        <w:rPr>
          <w:rFonts w:ascii="Arial" w:hAnsi="Arial" w:cs="Arial"/>
          <w:iCs/>
          <w:color w:val="000000" w:themeColor="text1"/>
          <w:sz w:val="19"/>
          <w:szCs w:val="19"/>
        </w:rPr>
        <w:t>.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2D20B056" w14:textId="77777777" w:rsidR="00567013" w:rsidRPr="00EA7F40" w:rsidRDefault="00567013" w:rsidP="00567013">
      <w:pPr>
        <w:pStyle w:val="Textonotapie"/>
        <w:ind w:firstLine="709"/>
        <w:jc w:val="both"/>
        <w:rPr>
          <w:rFonts w:ascii="Arial" w:hAnsi="Arial" w:cs="Arial"/>
          <w:iCs/>
          <w:color w:val="000000" w:themeColor="text1"/>
          <w:sz w:val="19"/>
          <w:szCs w:val="19"/>
        </w:rPr>
      </w:pPr>
      <w:proofErr w:type="gramStart"/>
      <w:r w:rsidRPr="00EA7F40">
        <w:rPr>
          <w:rFonts w:ascii="Arial" w:hAnsi="Arial" w:cs="Arial"/>
          <w:iCs/>
          <w:color w:val="000000" w:themeColor="text1"/>
          <w:sz w:val="19"/>
          <w:szCs w:val="19"/>
        </w:rPr>
        <w:t>»No</w:t>
      </w:r>
      <w:proofErr w:type="gramEnd"/>
      <w:r w:rsidRPr="00EA7F40">
        <w:rPr>
          <w:rFonts w:ascii="Arial" w:hAnsi="Arial" w:cs="Arial"/>
          <w:iCs/>
          <w:color w:val="000000" w:themeColor="text1"/>
          <w:sz w:val="19"/>
          <w:szCs w:val="19"/>
        </w:rPr>
        <w:t xml:space="preserve">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A19A9C8" w14:textId="77777777" w:rsidR="00567013" w:rsidRPr="00EA7F40" w:rsidRDefault="00567013" w:rsidP="00567013">
      <w:pPr>
        <w:pStyle w:val="Textonotapie"/>
        <w:ind w:firstLine="709"/>
        <w:jc w:val="both"/>
        <w:rPr>
          <w:rFonts w:ascii="Arial" w:hAnsi="Arial" w:cs="Arial"/>
          <w:iCs/>
          <w:color w:val="000000" w:themeColor="text1"/>
          <w:sz w:val="19"/>
          <w:szCs w:val="19"/>
        </w:rPr>
      </w:pPr>
    </w:p>
    <w:p w14:paraId="259355FE" w14:textId="77777777" w:rsidR="00567013" w:rsidRPr="00EA7F40" w:rsidRDefault="00567013" w:rsidP="00567013">
      <w:pPr>
        <w:pStyle w:val="Textonotapie"/>
        <w:ind w:firstLine="709"/>
        <w:jc w:val="both"/>
        <w:rPr>
          <w:rFonts w:ascii="Arial" w:hAnsi="Arial" w:cs="Arial"/>
          <w:iCs/>
          <w:color w:val="000000" w:themeColor="text1"/>
          <w:sz w:val="19"/>
          <w:szCs w:val="19"/>
        </w:rPr>
      </w:pPr>
    </w:p>
  </w:footnote>
  <w:footnote w:id="6">
    <w:p w14:paraId="2056C02D" w14:textId="77777777" w:rsidR="00567013" w:rsidRPr="00EA7F40" w:rsidRDefault="00567013" w:rsidP="00567013">
      <w:pPr>
        <w:pStyle w:val="Textonotapie"/>
        <w:ind w:firstLine="709"/>
        <w:jc w:val="both"/>
        <w:rPr>
          <w:rFonts w:ascii="Arial" w:hAnsi="Arial" w:cs="Arial"/>
          <w:color w:val="000000" w:themeColor="text1"/>
          <w:sz w:val="19"/>
          <w:szCs w:val="19"/>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En efecto, el artículo 1608 del Código Civil prevé lo siguiente: </w:t>
      </w:r>
      <w:proofErr w:type="gramStart"/>
      <w:r w:rsidRPr="00EA7F40">
        <w:rPr>
          <w:rFonts w:ascii="Arial" w:hAnsi="Arial" w:cs="Arial"/>
          <w:color w:val="000000" w:themeColor="text1"/>
          <w:sz w:val="19"/>
          <w:szCs w:val="19"/>
        </w:rPr>
        <w:t>« El</w:t>
      </w:r>
      <w:proofErr w:type="gramEnd"/>
      <w:r w:rsidRPr="00EA7F40">
        <w:rPr>
          <w:rFonts w:ascii="Arial" w:hAnsi="Arial" w:cs="Arial"/>
          <w:color w:val="000000" w:themeColor="text1"/>
          <w:sz w:val="19"/>
          <w:szCs w:val="19"/>
        </w:rPr>
        <w:t xml:space="preserve"> deudor está en mora: </w:t>
      </w:r>
    </w:p>
    <w:p w14:paraId="3B173C17" w14:textId="77777777" w:rsidR="00567013" w:rsidRPr="00EA7F40" w:rsidRDefault="00567013" w:rsidP="00567013">
      <w:pPr>
        <w:pStyle w:val="Textonotapie"/>
        <w:ind w:firstLine="709"/>
        <w:jc w:val="both"/>
        <w:rPr>
          <w:rFonts w:ascii="Arial" w:hAnsi="Arial" w:cs="Arial"/>
          <w:color w:val="000000" w:themeColor="text1"/>
          <w:sz w:val="19"/>
          <w:szCs w:val="19"/>
        </w:rPr>
      </w:pPr>
      <w:r w:rsidRPr="00EA7F40">
        <w:rPr>
          <w:rFonts w:ascii="Arial" w:hAnsi="Arial" w:cs="Arial"/>
          <w:color w:val="000000" w:themeColor="text1"/>
          <w:sz w:val="19"/>
          <w:szCs w:val="19"/>
        </w:rPr>
        <w:t xml:space="preserve">1° </w:t>
      </w:r>
      <w:r w:rsidRPr="00EA7F40">
        <w:rPr>
          <w:rFonts w:ascii="Arial" w:hAnsi="Arial" w:cs="Arial"/>
          <w:i/>
          <w:iCs/>
          <w:color w:val="000000" w:themeColor="text1"/>
          <w:sz w:val="19"/>
          <w:szCs w:val="19"/>
        </w:rPr>
        <w:t>Cuando no ha cumplido la obligación dentro del término estipulado</w:t>
      </w:r>
      <w:r w:rsidRPr="00EA7F40">
        <w:rPr>
          <w:rFonts w:ascii="Arial" w:hAnsi="Arial" w:cs="Arial"/>
          <w:color w:val="000000" w:themeColor="text1"/>
          <w:sz w:val="19"/>
          <w:szCs w:val="19"/>
        </w:rPr>
        <w:t xml:space="preserve">; salvo que la ley, en casos especiales, exija que se requiera al deudor para constituirlo en mora. </w:t>
      </w:r>
    </w:p>
    <w:p w14:paraId="05690B9C" w14:textId="77777777" w:rsidR="00567013" w:rsidRPr="00EA7F40" w:rsidRDefault="00567013" w:rsidP="00567013">
      <w:pPr>
        <w:pStyle w:val="Textonotapie"/>
        <w:ind w:firstLine="709"/>
        <w:jc w:val="both"/>
        <w:rPr>
          <w:rFonts w:ascii="Arial" w:hAnsi="Arial" w:cs="Arial"/>
          <w:color w:val="000000" w:themeColor="text1"/>
          <w:sz w:val="19"/>
          <w:szCs w:val="19"/>
        </w:rPr>
      </w:pPr>
      <w:r w:rsidRPr="00EA7F40">
        <w:rPr>
          <w:rFonts w:ascii="Arial" w:hAnsi="Arial" w:cs="Arial"/>
          <w:color w:val="000000" w:themeColor="text1"/>
          <w:sz w:val="19"/>
          <w:szCs w:val="19"/>
        </w:rPr>
        <w:t xml:space="preserve">2° Cuando la cosa no ha podido ser dada o ejecutada sino dentro de cierto tiempo y el deudor lo ha dejado pasar sin darla o ejecutarla. </w:t>
      </w:r>
    </w:p>
    <w:p w14:paraId="29EF1D90"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r w:rsidRPr="00EA7F40">
        <w:rPr>
          <w:rFonts w:ascii="Arial" w:hAnsi="Arial" w:cs="Arial"/>
          <w:color w:val="000000" w:themeColor="text1"/>
          <w:sz w:val="19"/>
          <w:szCs w:val="19"/>
        </w:rPr>
        <w:t>3° En los demás casos, cuando el deudor ha sido judicialmente reconvenido por el acreedor» (cursivas fuera de texto).</w:t>
      </w:r>
    </w:p>
  </w:footnote>
  <w:footnote w:id="7">
    <w:p w14:paraId="554DF880" w14:textId="77777777" w:rsidR="00567013" w:rsidRPr="00EA7F40" w:rsidRDefault="00567013" w:rsidP="00567013">
      <w:pPr>
        <w:ind w:firstLine="709"/>
        <w:jc w:val="both"/>
        <w:rPr>
          <w:rFonts w:ascii="Arial" w:eastAsia="Calibri" w:hAnsi="Arial" w:cs="Arial"/>
          <w:color w:val="000000" w:themeColor="text1"/>
          <w:sz w:val="19"/>
          <w:szCs w:val="19"/>
          <w:lang w:val="es-ES_tradnl"/>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w:t>
      </w:r>
      <w:proofErr w:type="gramStart"/>
      <w:r w:rsidRPr="00EA7F40">
        <w:rPr>
          <w:rFonts w:ascii="Arial" w:hAnsi="Arial" w:cs="Arial"/>
          <w:color w:val="000000" w:themeColor="text1"/>
          <w:sz w:val="19"/>
          <w:szCs w:val="19"/>
        </w:rPr>
        <w:t>contrato,</w:t>
      </w:r>
      <w:proofErr w:type="gramEnd"/>
      <w:r w:rsidRPr="00EA7F40">
        <w:rPr>
          <w:rFonts w:ascii="Arial" w:hAnsi="Arial" w:cs="Arial"/>
          <w:color w:val="000000" w:themeColor="text1"/>
          <w:sz w:val="19"/>
          <w:szCs w:val="19"/>
        </w:rPr>
        <w:t xml:space="preserve"> puede consultarse el fallo del Consejo de Estado. Sección Tercera. Subsección B. Sentencia del 1 de agosto de 2018. Exp. 40.237. Consejero Ponente: Ramiro Pazos Guerrero. </w:t>
      </w:r>
    </w:p>
    <w:p w14:paraId="2B432283" w14:textId="77777777" w:rsidR="00567013" w:rsidRPr="00EA7F40" w:rsidRDefault="00567013" w:rsidP="00567013">
      <w:pPr>
        <w:ind w:firstLine="709"/>
        <w:jc w:val="both"/>
        <w:rPr>
          <w:rFonts w:ascii="Arial" w:eastAsia="Calibri" w:hAnsi="Arial" w:cs="Arial"/>
          <w:color w:val="000000" w:themeColor="text1"/>
          <w:sz w:val="19"/>
          <w:szCs w:val="19"/>
        </w:rPr>
      </w:pPr>
      <w:r w:rsidRPr="00EA7F40">
        <w:rPr>
          <w:rFonts w:ascii="Arial" w:eastAsia="Calibri" w:hAnsi="Arial" w:cs="Arial"/>
          <w:color w:val="000000" w:themeColor="text1"/>
          <w:sz w:val="19"/>
          <w:szCs w:val="19"/>
        </w:rPr>
        <w:t xml:space="preserve">  </w:t>
      </w:r>
    </w:p>
    <w:p w14:paraId="498FD787"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p>
  </w:footnote>
  <w:footnote w:id="8">
    <w:p w14:paraId="2E4C2B03"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w:t>
      </w:r>
      <w:r w:rsidRPr="00EA7F40">
        <w:rPr>
          <w:rFonts w:ascii="Arial" w:hAnsi="Arial" w:cs="Arial"/>
          <w:color w:val="000000" w:themeColor="text1"/>
          <w:sz w:val="19"/>
          <w:szCs w:val="19"/>
          <w:lang w:val="es-ES"/>
        </w:rPr>
        <w:t>Ministerio de Salud. Concepto del 28 de octubre de 2019. Radicado 201911601443771.</w:t>
      </w:r>
    </w:p>
  </w:footnote>
  <w:footnote w:id="9">
    <w:p w14:paraId="3B1AEB2E" w14:textId="77777777" w:rsidR="00567013" w:rsidRPr="00EA7F40" w:rsidRDefault="00567013" w:rsidP="00567013">
      <w:pPr>
        <w:pStyle w:val="Textonotapie"/>
        <w:ind w:firstLine="709"/>
        <w:jc w:val="both"/>
        <w:rPr>
          <w:rFonts w:ascii="Arial" w:hAnsi="Arial" w:cs="Arial"/>
          <w:color w:val="000000" w:themeColor="text1"/>
          <w:sz w:val="19"/>
          <w:szCs w:val="19"/>
          <w:lang w:val="es-ES_tradnl"/>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w:t>
      </w:r>
      <w:r w:rsidRPr="00EA7F40">
        <w:rPr>
          <w:rFonts w:ascii="Arial" w:hAnsi="Arial" w:cs="Arial"/>
          <w:color w:val="000000" w:themeColor="text1"/>
          <w:sz w:val="19"/>
          <w:szCs w:val="19"/>
          <w:lang w:val="es-ES"/>
        </w:rPr>
        <w:t>Esta norma establece: «</w:t>
      </w:r>
      <w:r w:rsidRPr="00EA7F40">
        <w:rPr>
          <w:rFonts w:ascii="Arial" w:hAnsi="Arial" w:cs="Arial"/>
          <w:color w:val="000000" w:themeColor="text1"/>
          <w:sz w:val="19"/>
          <w:szCs w:val="19"/>
          <w:lang w:val="es-ES_tradnl"/>
        </w:rPr>
        <w:t>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w:t>
      </w:r>
    </w:p>
    <w:p w14:paraId="12BD1C6E" w14:textId="77777777" w:rsidR="00567013" w:rsidRPr="00EA7F40" w:rsidRDefault="00567013" w:rsidP="00567013">
      <w:pPr>
        <w:pStyle w:val="Textonotapie"/>
        <w:ind w:firstLine="709"/>
        <w:jc w:val="both"/>
        <w:rPr>
          <w:rFonts w:ascii="Arial" w:hAnsi="Arial" w:cs="Arial"/>
          <w:color w:val="000000" w:themeColor="text1"/>
          <w:sz w:val="19"/>
          <w:szCs w:val="19"/>
          <w:lang w:val="es-ES_tradnl"/>
        </w:rPr>
      </w:pPr>
      <w:proofErr w:type="gramStart"/>
      <w:r w:rsidRPr="00EA7F40">
        <w:rPr>
          <w:rFonts w:ascii="Arial" w:hAnsi="Arial" w:cs="Arial"/>
          <w:color w:val="000000" w:themeColor="text1"/>
          <w:sz w:val="19"/>
          <w:szCs w:val="19"/>
          <w:lang w:val="es-ES_tradnl"/>
        </w:rPr>
        <w:t>»Al</w:t>
      </w:r>
      <w:proofErr w:type="gramEnd"/>
      <w:r w:rsidRPr="00EA7F40">
        <w:rPr>
          <w:rFonts w:ascii="Arial" w:hAnsi="Arial" w:cs="Arial"/>
          <w:color w:val="000000" w:themeColor="text1"/>
          <w:sz w:val="19"/>
          <w:szCs w:val="19"/>
          <w:lang w:val="es-ES_tradnl"/>
        </w:rPr>
        <w:t xml:space="preserve">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w:t>
      </w:r>
    </w:p>
    <w:p w14:paraId="7BF85DD5" w14:textId="77777777" w:rsidR="00567013" w:rsidRPr="00EA7F40" w:rsidRDefault="00567013" w:rsidP="00567013">
      <w:pPr>
        <w:pStyle w:val="Textonotapie"/>
        <w:ind w:firstLine="709"/>
        <w:jc w:val="both"/>
        <w:rPr>
          <w:rFonts w:ascii="Arial" w:hAnsi="Arial" w:cs="Arial"/>
          <w:color w:val="000000" w:themeColor="text1"/>
          <w:sz w:val="19"/>
          <w:szCs w:val="19"/>
          <w:lang w:val="es-ES_tradnl"/>
        </w:rPr>
      </w:pPr>
      <w:proofErr w:type="gramStart"/>
      <w:r w:rsidRPr="00EA7F40">
        <w:rPr>
          <w:rFonts w:ascii="Arial" w:hAnsi="Arial" w:cs="Arial"/>
          <w:color w:val="000000" w:themeColor="text1"/>
          <w:sz w:val="19"/>
          <w:szCs w:val="19"/>
          <w:lang w:val="es-ES_tradnl"/>
        </w:rPr>
        <w:t>»Igualmente</w:t>
      </w:r>
      <w:proofErr w:type="gramEnd"/>
      <w:r w:rsidRPr="00EA7F40">
        <w:rPr>
          <w:rFonts w:ascii="Arial" w:hAnsi="Arial" w:cs="Arial"/>
          <w:color w:val="000000" w:themeColor="text1"/>
          <w:sz w:val="19"/>
          <w:szCs w:val="19"/>
          <w:lang w:val="es-ES_tradnl"/>
        </w:rPr>
        <w:t>, cada órgano constituirá al 31 de diciembre del año cuentas por pagar con las obligaciones correspondientes a los anticipas pactados en los contratos y a la entrega de bienes y servicios.</w:t>
      </w:r>
    </w:p>
    <w:p w14:paraId="0234A53A" w14:textId="77777777" w:rsidR="00567013" w:rsidRPr="00EA7F40" w:rsidRDefault="00567013" w:rsidP="00567013">
      <w:pPr>
        <w:pStyle w:val="Textonotapie"/>
        <w:ind w:firstLine="709"/>
        <w:jc w:val="both"/>
        <w:rPr>
          <w:rFonts w:ascii="Arial" w:hAnsi="Arial" w:cs="Arial"/>
          <w:color w:val="000000" w:themeColor="text1"/>
          <w:sz w:val="19"/>
          <w:szCs w:val="19"/>
          <w:lang w:val="es-ES_tradnl"/>
        </w:rPr>
      </w:pPr>
      <w:r w:rsidRPr="00EA7F40">
        <w:rPr>
          <w:rFonts w:ascii="Arial" w:hAnsi="Arial" w:cs="Arial"/>
          <w:color w:val="000000" w:themeColor="text1"/>
          <w:sz w:val="19"/>
          <w:szCs w:val="19"/>
          <w:lang w:val="es-ES_tradnl"/>
        </w:rPr>
        <w:t>»El Gobierno Nacional establecerá los requisitos y plazos que se deben observar para el cumplimiento del presente artículo (Ley 38/89, artículo 72, Ley 179/94, artículo </w:t>
      </w:r>
      <w:hyperlink r:id="rId1" w:anchor="38" w:history="1">
        <w:r w:rsidRPr="00EA7F40">
          <w:rPr>
            <w:rFonts w:ascii="Arial" w:hAnsi="Arial" w:cs="Arial"/>
            <w:color w:val="000000" w:themeColor="text1"/>
            <w:sz w:val="19"/>
            <w:szCs w:val="19"/>
            <w:lang w:val="es-ES_tradnl"/>
          </w:rPr>
          <w:t>38</w:t>
        </w:r>
      </w:hyperlink>
      <w:r w:rsidRPr="00EA7F40">
        <w:rPr>
          <w:rFonts w:ascii="Arial" w:hAnsi="Arial" w:cs="Arial"/>
          <w:color w:val="000000" w:themeColor="text1"/>
          <w:sz w:val="19"/>
          <w:szCs w:val="19"/>
          <w:lang w:val="es-ES_tradnl"/>
        </w:rPr>
        <w:t>, Ley 225/95, artículo 8o. )».</w:t>
      </w:r>
    </w:p>
  </w:footnote>
  <w:footnote w:id="10">
    <w:p w14:paraId="38B34477"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r w:rsidRPr="00EA7F40">
        <w:rPr>
          <w:rStyle w:val="Refdenotaalpie"/>
          <w:rFonts w:ascii="Arial" w:hAnsi="Arial" w:cs="Arial"/>
          <w:color w:val="000000" w:themeColor="text1"/>
          <w:sz w:val="19"/>
          <w:szCs w:val="19"/>
        </w:rPr>
        <w:footnoteRef/>
      </w:r>
      <w:r w:rsidRPr="00EA7F40">
        <w:rPr>
          <w:rFonts w:ascii="Arial" w:hAnsi="Arial" w:cs="Arial"/>
          <w:color w:val="000000" w:themeColor="text1"/>
          <w:sz w:val="19"/>
          <w:szCs w:val="19"/>
        </w:rPr>
        <w:t xml:space="preserve"> </w:t>
      </w:r>
      <w:r w:rsidRPr="00EA7F40">
        <w:rPr>
          <w:rFonts w:ascii="Arial" w:hAnsi="Arial" w:cs="Arial"/>
          <w:color w:val="000000" w:themeColor="text1"/>
          <w:sz w:val="19"/>
          <w:szCs w:val="19"/>
          <w:lang w:val="es-ES"/>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50564B05" w14:textId="77777777" w:rsidR="00567013" w:rsidRPr="00EA7F40" w:rsidRDefault="00567013" w:rsidP="00567013">
      <w:pPr>
        <w:pStyle w:val="Textonotapie"/>
        <w:ind w:firstLine="709"/>
        <w:jc w:val="both"/>
        <w:rPr>
          <w:rFonts w:ascii="Arial" w:hAnsi="Arial" w:cs="Arial"/>
          <w:color w:val="000000" w:themeColor="text1"/>
          <w:sz w:val="19"/>
          <w:szCs w:val="19"/>
          <w:lang w:val="es-ES"/>
        </w:rPr>
      </w:pPr>
      <w:proofErr w:type="gramStart"/>
      <w:r w:rsidRPr="00EA7F40">
        <w:rPr>
          <w:rFonts w:ascii="Arial" w:hAnsi="Arial" w:cs="Arial"/>
          <w:color w:val="000000" w:themeColor="text1"/>
          <w:sz w:val="19"/>
          <w:szCs w:val="19"/>
          <w:lang w:val="es-ES"/>
        </w:rPr>
        <w:t>»La</w:t>
      </w:r>
      <w:proofErr w:type="gramEnd"/>
      <w:r w:rsidRPr="00EA7F40">
        <w:rPr>
          <w:rFonts w:ascii="Arial" w:hAnsi="Arial" w:cs="Arial"/>
          <w:color w:val="000000" w:themeColor="text1"/>
          <w:sz w:val="19"/>
          <w:szCs w:val="19"/>
          <w:lang w:val="es-ES"/>
        </w:rPr>
        <w:t xml:space="preserve"> causación del gasto debe contar con la apropiación presupuestal correspondiente, así su pago se efectúe en la siguiente vigencia fiscal. El pago deberá incluirse en el presupuesto del año siguiente como una cuenta por pagar».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EF0B5C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942EB"/>
    <w:rsid w:val="000B103F"/>
    <w:rsid w:val="000F14E8"/>
    <w:rsid w:val="00103915"/>
    <w:rsid w:val="00122B23"/>
    <w:rsid w:val="00137FFA"/>
    <w:rsid w:val="00203A5B"/>
    <w:rsid w:val="00234B84"/>
    <w:rsid w:val="00283CC6"/>
    <w:rsid w:val="002A70AD"/>
    <w:rsid w:val="003033BA"/>
    <w:rsid w:val="0034680A"/>
    <w:rsid w:val="00386456"/>
    <w:rsid w:val="003A581E"/>
    <w:rsid w:val="004422D6"/>
    <w:rsid w:val="004A34D2"/>
    <w:rsid w:val="0051074C"/>
    <w:rsid w:val="00513AF2"/>
    <w:rsid w:val="0054413A"/>
    <w:rsid w:val="005564CA"/>
    <w:rsid w:val="00567013"/>
    <w:rsid w:val="005A4702"/>
    <w:rsid w:val="00655371"/>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E1C15"/>
    <w:rsid w:val="009047C5"/>
    <w:rsid w:val="0095385A"/>
    <w:rsid w:val="00A24560"/>
    <w:rsid w:val="00A34538"/>
    <w:rsid w:val="00AA442B"/>
    <w:rsid w:val="00AF2D08"/>
    <w:rsid w:val="00B22E22"/>
    <w:rsid w:val="00B525CB"/>
    <w:rsid w:val="00B63CB2"/>
    <w:rsid w:val="00B675F0"/>
    <w:rsid w:val="00BD78FE"/>
    <w:rsid w:val="00CC00CD"/>
    <w:rsid w:val="00D16E39"/>
    <w:rsid w:val="00D72E9D"/>
    <w:rsid w:val="00D82CE5"/>
    <w:rsid w:val="00DA5AB1"/>
    <w:rsid w:val="00DC62E5"/>
    <w:rsid w:val="00DD735D"/>
    <w:rsid w:val="00DE3119"/>
    <w:rsid w:val="00DF236B"/>
    <w:rsid w:val="00E13AB8"/>
    <w:rsid w:val="00E33B62"/>
    <w:rsid w:val="00EA7F40"/>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baj">
    <w:name w:val="b_aj"/>
    <w:basedOn w:val="Fuentedeprrafopredeter"/>
    <w:rsid w:val="00567013"/>
  </w:style>
  <w:style w:type="paragraph" w:customStyle="1" w:styleId="Default">
    <w:name w:val="Default"/>
    <w:rsid w:val="00B675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DCE3-45C4-4D54-B7C8-BF7045103901}">
  <ds:schemaRefs>
    <ds:schemaRef ds:uri="http://schemas.microsoft.com/office/infopath/2007/PartnerControls"/>
    <ds:schemaRef ds:uri="http://purl.org/dc/dcmitype/"/>
    <ds:schemaRef ds:uri="http://purl.org/dc/elements/1.1/"/>
    <ds:schemaRef ds:uri="a6cb9e4b-f1d1-4245-83ec-6cad768d538a"/>
    <ds:schemaRef ds:uri="http://schemas.microsoft.com/office/2006/metadata/properties"/>
    <ds:schemaRef ds:uri="http://schemas.microsoft.com/office/2006/documentManagement/types"/>
    <ds:schemaRef ds:uri="http://schemas.openxmlformats.org/package/2006/metadata/core-properties"/>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45AC7178-D527-4415-9EED-0DDA230F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DC8040A-D93E-4471-A89D-07B39403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15</Pages>
  <Words>5359</Words>
  <Characters>29477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2020-03-03T17:20:00Z</dcterms:created>
  <dcterms:modified xsi:type="dcterms:W3CDTF">2020-08-03T21:17:00Z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