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E354F" w:rsidR="007D7F8D" w:rsidP="007D7F8D" w:rsidRDefault="007D7F8D" w14:paraId="24EF01A2" w14:textId="77777777">
      <w:pPr>
        <w:jc w:val="right"/>
        <w:rPr>
          <w:rFonts w:ascii="Arial" w:hAnsi="Arial" w:cs="Arial"/>
          <w:b/>
          <w:sz w:val="16"/>
          <w:szCs w:val="16"/>
          <w:lang w:eastAsia="es-ES"/>
        </w:rPr>
      </w:pPr>
      <w:bookmarkStart w:name="_Hlk34041509" w:id="0"/>
      <w:bookmarkStart w:name="_Hlk28946138" w:id="1"/>
      <w:bookmarkStart w:name="_Hlk29548183" w:id="2"/>
      <w:bookmarkEnd w:id="0"/>
      <w:r w:rsidRPr="007E354F">
        <w:rPr>
          <w:rFonts w:ascii="Arial" w:hAnsi="Arial" w:cs="Arial"/>
          <w:b/>
          <w:sz w:val="16"/>
          <w:szCs w:val="16"/>
          <w:lang w:eastAsia="es-ES"/>
        </w:rPr>
        <w:t>CCE-DES-FM-17</w:t>
      </w:r>
    </w:p>
    <w:p w:rsidRPr="007E354F" w:rsidR="004E3D78" w:rsidP="004E3D78" w:rsidRDefault="004E3D78" w14:paraId="0B1653B6" w14:textId="77777777">
      <w:pPr>
        <w:jc w:val="both"/>
        <w:rPr>
          <w:rFonts w:ascii="Arial" w:hAnsi="Arial" w:eastAsia="Calibri" w:cs="Arial"/>
          <w:sz w:val="16"/>
          <w:szCs w:val="16"/>
        </w:rPr>
      </w:pPr>
    </w:p>
    <w:p w:rsidRPr="007E354F" w:rsidR="004E3D78" w:rsidP="75FF4BF0" w:rsidRDefault="004E3D78" w14:paraId="72961F51" w14:textId="298D3060">
      <w:pPr>
        <w:pStyle w:val="Normal"/>
        <w:jc w:val="both"/>
        <w:rPr>
          <w:rFonts w:ascii="Arial" w:hAnsi="Arial" w:eastAsia="Calibri" w:cs="Arial"/>
          <w:b w:val="1"/>
          <w:bCs w:val="1"/>
          <w:sz w:val="22"/>
          <w:szCs w:val="22"/>
        </w:rPr>
      </w:pPr>
      <w:r w:rsidRPr="75FF4BF0" w:rsidR="004E3D78">
        <w:rPr>
          <w:rFonts w:ascii="Arial" w:hAnsi="Arial" w:eastAsia="Calibri" w:cs="Arial"/>
          <w:b w:val="1"/>
          <w:bCs w:val="1"/>
          <w:sz w:val="22"/>
          <w:szCs w:val="22"/>
        </w:rPr>
        <w:t xml:space="preserve">PUBLICIDAD </w:t>
      </w:r>
      <w:r w:rsidRPr="75FF4BF0" w:rsidR="50F78069">
        <w:rPr>
          <w:rFonts w:ascii="Arial" w:hAnsi="Arial" w:eastAsia="Calibri" w:cs="Arial"/>
          <w:b w:val="1"/>
          <w:bCs w:val="1"/>
          <w:sz w:val="22"/>
          <w:szCs w:val="22"/>
        </w:rPr>
        <w:t xml:space="preserve">– Secop </w:t>
      </w:r>
      <w:r w:rsidRPr="75FF4BF0" w:rsidR="00BC5522">
        <w:rPr>
          <w:rFonts w:ascii="Arial" w:hAnsi="Arial" w:eastAsia="Calibri" w:cs="Arial"/>
          <w:b w:val="1"/>
          <w:bCs w:val="1"/>
          <w:sz w:val="22"/>
          <w:szCs w:val="22"/>
        </w:rPr>
        <w:t>–</w:t>
      </w:r>
      <w:r w:rsidRPr="75FF4BF0" w:rsidR="004E3D78">
        <w:rPr>
          <w:rFonts w:ascii="Arial" w:hAnsi="Arial" w:eastAsia="Calibri" w:cs="Arial"/>
          <w:b w:val="1"/>
          <w:bCs w:val="1"/>
          <w:sz w:val="22"/>
          <w:szCs w:val="22"/>
        </w:rPr>
        <w:t xml:space="preserve"> Entidades de régimen especial</w:t>
      </w:r>
      <w:r w:rsidRPr="75FF4BF0" w:rsidR="00BC5522">
        <w:rPr>
          <w:rFonts w:ascii="Arial" w:hAnsi="Arial" w:eastAsia="Calibri" w:cs="Arial"/>
          <w:b w:val="1"/>
          <w:bCs w:val="1"/>
          <w:sz w:val="22"/>
          <w:szCs w:val="22"/>
        </w:rPr>
        <w:t xml:space="preserve"> –</w:t>
      </w:r>
      <w:r w:rsidRPr="75FF4BF0" w:rsidR="004E3D78">
        <w:rPr>
          <w:rFonts w:ascii="Arial" w:hAnsi="Arial" w:eastAsia="Calibri" w:cs="Arial"/>
          <w:b w:val="1"/>
          <w:bCs w:val="1"/>
          <w:sz w:val="22"/>
          <w:szCs w:val="22"/>
        </w:rPr>
        <w:t xml:space="preserve"> Fundamento normativo</w:t>
      </w:r>
    </w:p>
    <w:p w:rsidRPr="007E354F" w:rsidR="004E3D78" w:rsidP="003D283E" w:rsidRDefault="004E3D78" w14:paraId="043C5B18" w14:textId="77777777">
      <w:pPr>
        <w:jc w:val="both"/>
        <w:rPr>
          <w:rFonts w:ascii="Arial" w:hAnsi="Arial" w:eastAsia="Calibri" w:cs="Arial"/>
          <w:b/>
          <w:sz w:val="20"/>
          <w:szCs w:val="20"/>
        </w:rPr>
      </w:pPr>
    </w:p>
    <w:p w:rsidRPr="007E354F" w:rsidR="004E3D78" w:rsidP="003D283E" w:rsidRDefault="005F6C9A" w14:paraId="1A7F5427" w14:textId="3E30CF17">
      <w:pPr>
        <w:jc w:val="both"/>
        <w:rPr>
          <w:rFonts w:ascii="Arial" w:hAnsi="Arial" w:cs="Arial"/>
          <w:sz w:val="20"/>
          <w:szCs w:val="20"/>
          <w:lang w:val="es-ES"/>
        </w:rPr>
      </w:pPr>
      <w:r w:rsidRPr="007E354F">
        <w:rPr>
          <w:rFonts w:ascii="Arial" w:hAnsi="Arial" w:cs="Arial"/>
          <w:sz w:val="20"/>
          <w:szCs w:val="20"/>
          <w:lang w:val="es-ES"/>
        </w:rPr>
        <w:t xml:space="preserve">[…] </w:t>
      </w:r>
      <w:r w:rsidRPr="007E354F" w:rsidR="0DE8F615">
        <w:rPr>
          <w:rFonts w:ascii="Arial" w:hAnsi="Arial" w:cs="Arial"/>
          <w:sz w:val="20"/>
          <w:szCs w:val="20"/>
          <w:lang w:val="es-ES"/>
        </w:rPr>
        <w:t>e</w:t>
      </w:r>
      <w:r w:rsidRPr="007E354F" w:rsidR="004E3D78">
        <w:rPr>
          <w:rFonts w:ascii="Arial" w:hAnsi="Arial" w:cs="Arial"/>
          <w:sz w:val="20"/>
          <w:szCs w:val="20"/>
          <w:lang w:val="es-ES"/>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Pr="007E354F" w:rsidR="004E3D78" w:rsidP="003D283E" w:rsidRDefault="004E3D78" w14:paraId="21CC2AFF" w14:textId="77777777">
      <w:pPr>
        <w:jc w:val="both"/>
        <w:rPr>
          <w:rFonts w:ascii="Arial" w:hAnsi="Arial" w:eastAsia="Calibri" w:cs="Arial"/>
          <w:sz w:val="20"/>
          <w:szCs w:val="20"/>
          <w:lang w:val="es-ES"/>
        </w:rPr>
      </w:pPr>
      <w:r w:rsidRPr="007E354F">
        <w:rPr>
          <w:rFonts w:ascii="Arial" w:hAnsi="Arial" w:eastAsia="Calibri" w:cs="Arial"/>
          <w:sz w:val="21"/>
          <w:szCs w:val="21"/>
        </w:rPr>
        <w:t xml:space="preserve"> </w:t>
      </w:r>
    </w:p>
    <w:p w:rsidRPr="007E354F" w:rsidR="004E3D78" w:rsidP="003D283E" w:rsidRDefault="004E3D78" w14:paraId="309A2F69" w14:textId="11738436">
      <w:pPr>
        <w:pStyle w:val="Prrafodelista"/>
        <w:ind w:left="0"/>
        <w:contextualSpacing w:val="0"/>
        <w:jc w:val="both"/>
        <w:rPr>
          <w:rFonts w:ascii="Arial" w:hAnsi="Arial" w:eastAsia="Calibri" w:cs="Arial"/>
          <w:b/>
          <w:sz w:val="22"/>
        </w:rPr>
      </w:pPr>
      <w:r w:rsidRPr="007E354F">
        <w:rPr>
          <w:rFonts w:ascii="Arial" w:hAnsi="Arial" w:eastAsia="Calibri" w:cs="Arial"/>
          <w:b/>
          <w:sz w:val="22"/>
        </w:rPr>
        <w:t xml:space="preserve">DOCUMENTOS </w:t>
      </w:r>
      <w:r w:rsidRPr="007E354F" w:rsidR="00597CB5">
        <w:rPr>
          <w:rFonts w:ascii="Arial" w:hAnsi="Arial" w:eastAsia="Calibri" w:cs="Arial"/>
          <w:b/>
          <w:sz w:val="22"/>
        </w:rPr>
        <w:t>PUBLICADOS</w:t>
      </w:r>
      <w:r w:rsidRPr="007E354F">
        <w:rPr>
          <w:rFonts w:ascii="Arial" w:hAnsi="Arial" w:eastAsia="Calibri" w:cs="Arial"/>
          <w:b/>
          <w:sz w:val="22"/>
        </w:rPr>
        <w:t xml:space="preserve"> </w:t>
      </w:r>
      <w:r w:rsidRPr="007E354F" w:rsidR="00BC5522">
        <w:rPr>
          <w:rFonts w:ascii="Arial" w:hAnsi="Arial" w:eastAsia="Calibri" w:cs="Arial"/>
          <w:b/>
          <w:sz w:val="22"/>
        </w:rPr>
        <w:t>–</w:t>
      </w:r>
      <w:r w:rsidRPr="007E354F">
        <w:rPr>
          <w:rFonts w:ascii="Arial" w:hAnsi="Arial" w:eastAsia="Calibri" w:cs="Arial"/>
          <w:b/>
          <w:sz w:val="22"/>
        </w:rPr>
        <w:t xml:space="preserve"> Entidades de régimen especial</w:t>
      </w:r>
    </w:p>
    <w:p w:rsidRPr="007E354F" w:rsidR="004E3D78" w:rsidP="003D283E" w:rsidRDefault="004E3D78" w14:paraId="2619A085" w14:textId="77777777">
      <w:pPr>
        <w:pStyle w:val="Prrafodelista"/>
        <w:ind w:left="0"/>
        <w:contextualSpacing w:val="0"/>
        <w:jc w:val="both"/>
        <w:rPr>
          <w:rFonts w:ascii="Arial" w:hAnsi="Arial" w:eastAsia="Calibri" w:cs="Arial"/>
          <w:sz w:val="20"/>
          <w:szCs w:val="20"/>
        </w:rPr>
      </w:pPr>
    </w:p>
    <w:p w:rsidRPr="007E354F" w:rsidR="00FA0C95" w:rsidP="00C82A0B" w:rsidRDefault="004E3D78" w14:paraId="62F609CA" w14:textId="7022049B">
      <w:pPr>
        <w:spacing w:after="120"/>
        <w:jc w:val="both"/>
        <w:rPr>
          <w:rFonts w:ascii="Arial" w:hAnsi="Arial" w:eastAsia="Calibri" w:cs="Arial"/>
          <w:sz w:val="20"/>
          <w:szCs w:val="20"/>
        </w:rPr>
      </w:pPr>
      <w:r w:rsidRPr="007E354F">
        <w:rPr>
          <w:rFonts w:ascii="Arial" w:hAnsi="Arial" w:eastAsia="Calibri" w:cs="Arial"/>
          <w:sz w:val="20"/>
          <w:szCs w:val="20"/>
        </w:rPr>
        <w:t>[…]</w:t>
      </w:r>
      <w:r w:rsidRPr="007E354F" w:rsidR="00FA0C95">
        <w:rPr>
          <w:rFonts w:ascii="Arial" w:hAnsi="Arial" w:eastAsia="Calibri" w:cs="Arial"/>
          <w:sz w:val="20"/>
          <w:szCs w:val="20"/>
        </w:rPr>
        <w:t xml:space="preserve"> </w:t>
      </w:r>
      <w:r w:rsidRPr="007E354F" w:rsidR="0511BAED">
        <w:rPr>
          <w:rFonts w:ascii="Arial" w:hAnsi="Arial" w:eastAsia="Calibri" w:cs="Arial"/>
          <w:sz w:val="20"/>
          <w:szCs w:val="20"/>
        </w:rPr>
        <w:t>e</w:t>
      </w:r>
      <w:r w:rsidRPr="007E354F">
        <w:rPr>
          <w:rFonts w:ascii="Arial" w:hAnsi="Arial" w:eastAsia="Calibri" w:cs="Arial"/>
          <w:sz w:val="20"/>
          <w:szCs w:val="20"/>
        </w:rPr>
        <w:t xml:space="preserve">l Decreto 103 de 2015 señala que los documentos que deben publicar las entidades estatales a quienes les aplica la Ley 1712 de 2019,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7E354F">
        <w:rPr>
          <w:rFonts w:ascii="Arial" w:hAnsi="Arial" w:eastAsia="Calibri" w:cs="Arial"/>
          <w:sz w:val="20"/>
          <w:szCs w:val="20"/>
        </w:rPr>
        <w:t>ii</w:t>
      </w:r>
      <w:proofErr w:type="spellEnd"/>
      <w:r w:rsidRPr="007E354F">
        <w:rPr>
          <w:rFonts w:ascii="Arial" w:hAnsi="Arial" w:eastAsia="Calibri" w:cs="Arial"/>
          <w:sz w:val="20"/>
          <w:szCs w:val="20"/>
        </w:rPr>
        <w:t xml:space="preserve">) los procedimientos, lineamientos y políticas en materia de adquisición que corresponden a los  documentos que los conforman, previstos en el manual de contratación de la entidad, y finalmente, </w:t>
      </w:r>
      <w:proofErr w:type="spellStart"/>
      <w:r w:rsidRPr="007E354F">
        <w:rPr>
          <w:rFonts w:ascii="Arial" w:hAnsi="Arial" w:eastAsia="Calibri" w:cs="Arial"/>
          <w:sz w:val="20"/>
          <w:szCs w:val="20"/>
        </w:rPr>
        <w:t>iii</w:t>
      </w:r>
      <w:proofErr w:type="spellEnd"/>
      <w:r w:rsidRPr="007E354F">
        <w:rPr>
          <w:rFonts w:ascii="Arial" w:hAnsi="Arial" w:eastAsia="Calibri" w:cs="Arial"/>
          <w:sz w:val="20"/>
          <w:szCs w:val="20"/>
        </w:rPr>
        <w:t>) el plan anual de adquisiciones</w:t>
      </w:r>
      <w:r w:rsidRPr="007E354F" w:rsidR="00FA0C95">
        <w:rPr>
          <w:rFonts w:ascii="Arial" w:hAnsi="Arial" w:eastAsia="Calibri" w:cs="Arial"/>
          <w:sz w:val="20"/>
          <w:szCs w:val="20"/>
        </w:rPr>
        <w:t>.</w:t>
      </w:r>
    </w:p>
    <w:p w:rsidRPr="007E354F" w:rsidR="00FA0C95" w:rsidP="003D283E" w:rsidRDefault="004E3D78" w14:paraId="33B44712" w14:textId="77777777">
      <w:pPr>
        <w:spacing w:after="120"/>
        <w:jc w:val="both"/>
        <w:rPr>
          <w:rFonts w:ascii="Arial" w:hAnsi="Arial" w:eastAsia="Calibri" w:cs="Arial"/>
          <w:sz w:val="20"/>
          <w:szCs w:val="20"/>
        </w:rPr>
      </w:pPr>
      <w:r w:rsidRPr="007E354F">
        <w:rPr>
          <w:rFonts w:ascii="Arial" w:hAnsi="Arial" w:eastAsia="Calibri" w:cs="Arial"/>
          <w:sz w:val="20"/>
          <w:szCs w:val="20"/>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rsidRPr="007E354F" w:rsidR="004E3D78" w:rsidP="003D283E" w:rsidRDefault="004E3D78" w14:paraId="402FCBD5" w14:textId="2A199A0B">
      <w:pPr>
        <w:jc w:val="both"/>
        <w:rPr>
          <w:rFonts w:ascii="Arial" w:hAnsi="Arial" w:eastAsia="Calibri" w:cs="Arial"/>
          <w:sz w:val="20"/>
          <w:szCs w:val="20"/>
        </w:rPr>
      </w:pPr>
      <w:r w:rsidRPr="007E354F">
        <w:rPr>
          <w:rFonts w:ascii="Arial" w:hAnsi="Arial" w:eastAsia="Calibri" w:cs="Arial"/>
          <w:sz w:val="20"/>
          <w:szCs w:val="20"/>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rsidRPr="007E354F" w:rsidR="004E3D78" w:rsidP="003D283E" w:rsidRDefault="004E3D78" w14:paraId="04AB8918" w14:textId="77777777">
      <w:pPr>
        <w:jc w:val="both"/>
        <w:rPr>
          <w:rFonts w:ascii="Arial" w:hAnsi="Arial" w:eastAsia="Calibri" w:cs="Arial"/>
          <w:sz w:val="20"/>
          <w:szCs w:val="20"/>
        </w:rPr>
      </w:pPr>
    </w:p>
    <w:p w:rsidRPr="007E354F" w:rsidR="004E3D78" w:rsidP="75FF4BF0" w:rsidRDefault="004E3D78" w14:paraId="43B7019C" w14:textId="3D227D95">
      <w:pPr>
        <w:pStyle w:val="Normal"/>
        <w:jc w:val="both"/>
        <w:rPr>
          <w:rFonts w:ascii="Arial" w:hAnsi="Arial" w:cs="Arial"/>
          <w:b w:val="1"/>
          <w:bCs w:val="1"/>
          <w:sz w:val="22"/>
          <w:szCs w:val="22"/>
        </w:rPr>
      </w:pPr>
      <w:r w:rsidRPr="75FF4BF0" w:rsidR="004E3D78">
        <w:rPr>
          <w:rFonts w:ascii="Arial" w:hAnsi="Arial" w:cs="Arial"/>
          <w:b w:val="1"/>
          <w:bCs w:val="1"/>
          <w:sz w:val="22"/>
          <w:szCs w:val="22"/>
        </w:rPr>
        <w:t>PUBLIC</w:t>
      </w:r>
      <w:r w:rsidRPr="75FF4BF0" w:rsidR="1F59356E">
        <w:rPr>
          <w:rFonts w:ascii="Arial" w:hAnsi="Arial" w:cs="Arial"/>
          <w:b w:val="1"/>
          <w:bCs w:val="1"/>
          <w:sz w:val="22"/>
          <w:szCs w:val="22"/>
        </w:rPr>
        <w:t>IDAD</w:t>
      </w:r>
      <w:r w:rsidRPr="75FF4BF0" w:rsidR="004E3D78">
        <w:rPr>
          <w:rFonts w:ascii="Arial" w:hAnsi="Arial" w:cs="Arial"/>
          <w:b w:val="1"/>
          <w:bCs w:val="1"/>
          <w:sz w:val="22"/>
          <w:szCs w:val="22"/>
        </w:rPr>
        <w:t xml:space="preserve"> </w:t>
      </w:r>
      <w:r w:rsidRPr="75FF4BF0" w:rsidR="6AB73284">
        <w:rPr>
          <w:rFonts w:ascii="Arial" w:hAnsi="Arial" w:eastAsia="Calibri" w:cs="Arial"/>
          <w:b w:val="1"/>
          <w:bCs w:val="1"/>
          <w:sz w:val="22"/>
          <w:szCs w:val="22"/>
        </w:rPr>
        <w:t xml:space="preserve">– </w:t>
      </w:r>
      <w:proofErr w:type="spellStart"/>
      <w:r w:rsidRPr="75FF4BF0" w:rsidR="004E3D78">
        <w:rPr>
          <w:rFonts w:ascii="Arial" w:hAnsi="Arial" w:cs="Arial"/>
          <w:b w:val="1"/>
          <w:bCs w:val="1"/>
          <w:sz w:val="22"/>
          <w:szCs w:val="22"/>
        </w:rPr>
        <w:t>S</w:t>
      </w:r>
      <w:r w:rsidRPr="75FF4BF0" w:rsidR="459EB5B2">
        <w:rPr>
          <w:rFonts w:ascii="Arial" w:hAnsi="Arial" w:cs="Arial"/>
          <w:b w:val="1"/>
          <w:bCs w:val="1"/>
          <w:sz w:val="22"/>
          <w:szCs w:val="22"/>
        </w:rPr>
        <w:t>ecop</w:t>
      </w:r>
      <w:proofErr w:type="spellEnd"/>
      <w:r w:rsidRPr="75FF4BF0" w:rsidR="004E3D78">
        <w:rPr>
          <w:rFonts w:ascii="Arial" w:hAnsi="Arial" w:cs="Arial"/>
          <w:b w:val="1"/>
          <w:bCs w:val="1"/>
          <w:sz w:val="22"/>
          <w:szCs w:val="22"/>
        </w:rPr>
        <w:t xml:space="preserve"> </w:t>
      </w:r>
      <w:r w:rsidRPr="75FF4BF0" w:rsidR="00BC5522">
        <w:rPr>
          <w:rFonts w:ascii="Arial" w:hAnsi="Arial" w:eastAsia="Calibri" w:cs="Arial"/>
          <w:b w:val="1"/>
          <w:bCs w:val="1"/>
          <w:sz w:val="22"/>
          <w:szCs w:val="22"/>
        </w:rPr>
        <w:t>–</w:t>
      </w:r>
      <w:r w:rsidRPr="75FF4BF0" w:rsidR="004E3D78">
        <w:rPr>
          <w:rFonts w:ascii="Arial" w:hAnsi="Arial" w:cs="Arial"/>
          <w:b w:val="1"/>
          <w:bCs w:val="1"/>
          <w:sz w:val="22"/>
          <w:szCs w:val="22"/>
        </w:rPr>
        <w:t xml:space="preserve"> </w:t>
      </w:r>
      <w:r w:rsidRPr="75FF4BF0" w:rsidR="00597CB5">
        <w:rPr>
          <w:rFonts w:ascii="Arial" w:hAnsi="Arial" w:cs="Arial"/>
          <w:b w:val="1"/>
          <w:bCs w:val="1"/>
          <w:sz w:val="22"/>
          <w:szCs w:val="22"/>
        </w:rPr>
        <w:t xml:space="preserve">Plazos </w:t>
      </w:r>
      <w:r w:rsidRPr="75FF4BF0" w:rsidR="00597CB5">
        <w:rPr>
          <w:rFonts w:ascii="Arial" w:hAnsi="Arial" w:eastAsia="Calibri" w:cs="Arial"/>
          <w:b w:val="1"/>
          <w:bCs w:val="1"/>
          <w:sz w:val="22"/>
          <w:szCs w:val="22"/>
          <w:lang w:val="es-ES"/>
        </w:rPr>
        <w:t>–</w:t>
      </w:r>
      <w:r w:rsidRPr="75FF4BF0" w:rsidR="00597CB5">
        <w:rPr>
          <w:rFonts w:ascii="Arial" w:hAnsi="Arial" w:eastAsia="Calibri" w:cs="Arial"/>
          <w:b w:val="1"/>
          <w:bCs w:val="1"/>
          <w:sz w:val="22"/>
          <w:szCs w:val="22"/>
        </w:rPr>
        <w:t xml:space="preserve"> </w:t>
      </w:r>
      <w:r w:rsidRPr="75FF4BF0" w:rsidR="004E3D78">
        <w:rPr>
          <w:rFonts w:ascii="Arial" w:hAnsi="Arial" w:cs="Arial"/>
          <w:b w:val="1"/>
          <w:bCs w:val="1"/>
          <w:sz w:val="22"/>
          <w:szCs w:val="22"/>
        </w:rPr>
        <w:t>Entidades régimen especial</w:t>
      </w:r>
    </w:p>
    <w:p w:rsidRPr="007E354F" w:rsidR="004E3D78" w:rsidP="003D283E" w:rsidRDefault="004E3D78" w14:paraId="5EC597BC" w14:textId="77777777">
      <w:pPr>
        <w:jc w:val="both"/>
        <w:rPr>
          <w:rFonts w:ascii="Arial" w:hAnsi="Arial" w:cs="Arial"/>
          <w:sz w:val="20"/>
          <w:szCs w:val="20"/>
        </w:rPr>
      </w:pPr>
    </w:p>
    <w:p w:rsidRPr="007E354F" w:rsidR="00FA0C95" w:rsidP="00C82A0B" w:rsidRDefault="004E3D78" w14:paraId="20D32221" w14:textId="77777777">
      <w:pPr>
        <w:spacing w:after="120"/>
        <w:jc w:val="both"/>
        <w:rPr>
          <w:rFonts w:ascii="Arial" w:hAnsi="Arial" w:cs="Arial"/>
          <w:sz w:val="20"/>
          <w:szCs w:val="20"/>
        </w:rPr>
      </w:pPr>
      <w:r w:rsidRPr="007E354F">
        <w:rPr>
          <w:rFonts w:ascii="Arial" w:hAnsi="Arial" w:cs="Arial"/>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7E354F">
        <w:rPr>
          <w:rFonts w:ascii="Arial" w:hAnsi="Arial" w:cs="Arial"/>
          <w:sz w:val="20"/>
          <w:szCs w:val="20"/>
        </w:rPr>
        <w:t>aplicarle</w:t>
      </w:r>
      <w:proofErr w:type="gramEnd"/>
      <w:r w:rsidRPr="007E354F">
        <w:rPr>
          <w:rFonts w:ascii="Arial" w:hAnsi="Arial" w:cs="Arial"/>
          <w:sz w:val="20"/>
          <w:szCs w:val="20"/>
        </w:rPr>
        <w:t xml:space="preserve"> su consecuencia jurídica a las entidades de régimen especial.</w:t>
      </w:r>
    </w:p>
    <w:p w:rsidRPr="007E354F" w:rsidR="00FA0C95" w:rsidP="00C82A0B" w:rsidRDefault="004E3D78" w14:paraId="490B5F9F" w14:textId="77777777">
      <w:pPr>
        <w:spacing w:after="120"/>
        <w:jc w:val="both"/>
        <w:rPr>
          <w:rFonts w:ascii="Arial" w:hAnsi="Arial" w:cs="Arial"/>
          <w:sz w:val="20"/>
          <w:szCs w:val="20"/>
        </w:rPr>
      </w:pPr>
      <w:r w:rsidRPr="007E354F">
        <w:rPr>
          <w:rFonts w:ascii="Arial" w:hAnsi="Arial" w:cs="Arial"/>
          <w:sz w:val="20"/>
          <w:szCs w:val="20"/>
        </w:rPr>
        <w:t>A su vez, no es posible que las entidades definan en su manual de contratación el momento en el cual publicarán sus documentos contractuales, porque este es un asunto que debe definir el legislador o el gobierno por medio de un reglamento.</w:t>
      </w:r>
    </w:p>
    <w:p w:rsidRPr="007E354F" w:rsidR="00273983" w:rsidP="00D3017A" w:rsidRDefault="004E3D78" w14:paraId="5EA958CD" w14:textId="77777777">
      <w:pPr>
        <w:spacing w:after="120"/>
        <w:jc w:val="both"/>
        <w:rPr>
          <w:rFonts w:ascii="Arial" w:hAnsi="Arial" w:cs="Arial"/>
          <w:sz w:val="20"/>
          <w:szCs w:val="20"/>
        </w:rPr>
      </w:pPr>
      <w:r w:rsidRPr="007E354F">
        <w:rPr>
          <w:rFonts w:ascii="Arial" w:hAnsi="Arial" w:cs="Arial"/>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rsidRPr="007E354F" w:rsidR="004E3D78" w:rsidP="00D3017A" w:rsidRDefault="004E3D78" w14:paraId="5D5AEDDF" w14:textId="55E06675">
      <w:pPr>
        <w:spacing w:after="120"/>
        <w:jc w:val="both"/>
        <w:rPr>
          <w:rFonts w:ascii="Arial" w:hAnsi="Arial" w:cs="Arial"/>
          <w:sz w:val="20"/>
          <w:szCs w:val="20"/>
        </w:rPr>
      </w:pPr>
      <w:r w:rsidRPr="007E354F">
        <w:rPr>
          <w:rFonts w:ascii="Arial" w:hAnsi="Arial" w:cs="Arial"/>
          <w:sz w:val="20"/>
          <w:szCs w:val="20"/>
        </w:rPr>
        <w:lastRenderedPageBreak/>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rsidRPr="007E354F" w:rsidR="004E3D78" w:rsidP="003D283E" w:rsidRDefault="004E3D78" w14:paraId="04647768" w14:textId="77777777">
      <w:pPr>
        <w:jc w:val="both"/>
        <w:rPr>
          <w:rFonts w:ascii="Arial" w:hAnsi="Arial" w:cs="Arial"/>
          <w:sz w:val="20"/>
          <w:szCs w:val="20"/>
        </w:rPr>
      </w:pPr>
    </w:p>
    <w:p w:rsidRPr="007E354F" w:rsidR="004E3D78" w:rsidP="75FF4BF0" w:rsidRDefault="004E3D78" w14:paraId="1D4579C5" w14:textId="77765A1E">
      <w:pPr>
        <w:pStyle w:val="Normal"/>
        <w:jc w:val="both"/>
        <w:rPr>
          <w:rFonts w:ascii="Arial" w:hAnsi="Arial" w:cs="Arial"/>
          <w:b w:val="1"/>
          <w:bCs w:val="1"/>
          <w:sz w:val="22"/>
          <w:szCs w:val="22"/>
        </w:rPr>
      </w:pPr>
      <w:r w:rsidRPr="75FF4BF0" w:rsidR="004E3D78">
        <w:rPr>
          <w:rFonts w:ascii="Arial" w:hAnsi="Arial" w:cs="Arial"/>
          <w:b w:val="1"/>
          <w:bCs w:val="1"/>
          <w:sz w:val="22"/>
          <w:szCs w:val="22"/>
        </w:rPr>
        <w:t xml:space="preserve">ENTIDADES EXCEPTUADAS </w:t>
      </w:r>
      <w:r w:rsidRPr="75FF4BF0" w:rsidR="2F338214">
        <w:rPr>
          <w:rFonts w:ascii="Arial" w:hAnsi="Arial" w:eastAsia="Calibri" w:cs="Arial"/>
          <w:b w:val="1"/>
          <w:bCs w:val="1"/>
          <w:sz w:val="22"/>
          <w:szCs w:val="22"/>
        </w:rPr>
        <w:t>–</w:t>
      </w:r>
      <w:r w:rsidRPr="75FF4BF0" w:rsidR="6B85D5C2">
        <w:rPr>
          <w:rFonts w:ascii="Arial" w:hAnsi="Arial" w:eastAsia="Calibri" w:cs="Arial"/>
          <w:b w:val="1"/>
          <w:bCs w:val="1"/>
          <w:sz w:val="22"/>
          <w:szCs w:val="22"/>
        </w:rPr>
        <w:t xml:space="preserve"> </w:t>
      </w:r>
      <w:proofErr w:type="spellStart"/>
      <w:r w:rsidRPr="75FF4BF0" w:rsidR="6B85D5C2">
        <w:rPr>
          <w:rFonts w:ascii="Arial" w:hAnsi="Arial" w:eastAsia="Calibri" w:cs="Arial"/>
          <w:b w:val="1"/>
          <w:bCs w:val="1"/>
          <w:sz w:val="22"/>
          <w:szCs w:val="22"/>
        </w:rPr>
        <w:t>Secop</w:t>
      </w:r>
      <w:proofErr w:type="spellEnd"/>
      <w:r w:rsidRPr="75FF4BF0" w:rsidR="6B85D5C2">
        <w:rPr>
          <w:rFonts w:ascii="Arial" w:hAnsi="Arial" w:eastAsia="Calibri" w:cs="Arial"/>
          <w:b w:val="1"/>
          <w:bCs w:val="1"/>
          <w:sz w:val="22"/>
          <w:szCs w:val="22"/>
        </w:rPr>
        <w:t xml:space="preserve"> </w:t>
      </w:r>
      <w:r w:rsidRPr="75FF4BF0" w:rsidR="004E3D78">
        <w:rPr>
          <w:rFonts w:ascii="Arial" w:hAnsi="Arial" w:cs="Arial"/>
          <w:b w:val="1"/>
          <w:bCs w:val="1"/>
          <w:sz w:val="22"/>
          <w:szCs w:val="22"/>
        </w:rPr>
        <w:t xml:space="preserve">II </w:t>
      </w:r>
      <w:bookmarkStart w:name="_Hlk39676694" w:id="3"/>
      <w:r w:rsidRPr="75FF4BF0" w:rsidR="00BC5522">
        <w:rPr>
          <w:rFonts w:ascii="Arial" w:hAnsi="Arial" w:eastAsia="Calibri" w:cs="Arial"/>
          <w:b w:val="1"/>
          <w:bCs w:val="1"/>
          <w:sz w:val="22"/>
          <w:szCs w:val="22"/>
        </w:rPr>
        <w:t>–</w:t>
      </w:r>
      <w:r w:rsidRPr="75FF4BF0" w:rsidR="27237CD8">
        <w:rPr>
          <w:rFonts w:ascii="Arial" w:hAnsi="Arial" w:eastAsia="Calibri" w:cs="Arial"/>
          <w:b w:val="1"/>
          <w:bCs w:val="1"/>
          <w:sz w:val="22"/>
          <w:szCs w:val="22"/>
        </w:rPr>
        <w:t xml:space="preserve"> Deber de publicidad </w:t>
      </w:r>
      <w:bookmarkEnd w:id="3"/>
      <w:r w:rsidRPr="75FF4BF0" w:rsidR="27237CD8">
        <w:rPr>
          <w:rFonts w:ascii="Arial" w:hAnsi="Arial" w:eastAsia="Calibri" w:cs="Arial"/>
          <w:b w:val="1"/>
          <w:bCs w:val="1"/>
          <w:sz w:val="22"/>
          <w:szCs w:val="22"/>
        </w:rPr>
        <w:t>–</w:t>
      </w:r>
      <w:r w:rsidRPr="75FF4BF0" w:rsidR="004E3D78">
        <w:rPr>
          <w:rFonts w:ascii="Arial" w:hAnsi="Arial" w:cs="Arial"/>
          <w:b w:val="1"/>
          <w:bCs w:val="1"/>
          <w:sz w:val="22"/>
          <w:szCs w:val="22"/>
        </w:rPr>
        <w:t xml:space="preserve"> Empresas descentralizadas </w:t>
      </w:r>
      <w:r w:rsidRPr="75FF4BF0" w:rsidR="075B659B">
        <w:rPr>
          <w:rFonts w:ascii="Arial" w:hAnsi="Arial" w:eastAsia="Calibri" w:cs="Arial"/>
          <w:b w:val="1"/>
          <w:bCs w:val="1"/>
          <w:sz w:val="22"/>
          <w:szCs w:val="22"/>
        </w:rPr>
        <w:t>– N</w:t>
      </w:r>
      <w:r w:rsidRPr="75FF4BF0" w:rsidR="004E3D78">
        <w:rPr>
          <w:rFonts w:ascii="Arial" w:hAnsi="Arial" w:cs="Arial"/>
          <w:b w:val="1"/>
          <w:bCs w:val="1"/>
          <w:sz w:val="22"/>
          <w:szCs w:val="22"/>
        </w:rPr>
        <w:t xml:space="preserve">ivel municipal </w:t>
      </w:r>
    </w:p>
    <w:p w:rsidRPr="007E354F" w:rsidR="004E3D78" w:rsidP="003D283E" w:rsidRDefault="004E3D78" w14:paraId="0D5D3BC2" w14:textId="77777777">
      <w:pPr>
        <w:jc w:val="both"/>
        <w:rPr>
          <w:rFonts w:ascii="Arial" w:hAnsi="Arial" w:cs="Arial"/>
          <w:sz w:val="20"/>
          <w:szCs w:val="20"/>
        </w:rPr>
      </w:pPr>
    </w:p>
    <w:p w:rsidRPr="007E354F" w:rsidR="004E3D78" w:rsidP="00BC5522" w:rsidRDefault="003D283E" w14:paraId="4CCA3600" w14:textId="7A6F9888">
      <w:pPr>
        <w:jc w:val="both"/>
        <w:rPr>
          <w:rFonts w:ascii="Arial" w:hAnsi="Arial" w:cs="Arial"/>
          <w:sz w:val="20"/>
          <w:szCs w:val="20"/>
        </w:rPr>
      </w:pPr>
      <w:r w:rsidRPr="007E354F">
        <w:rPr>
          <w:rFonts w:ascii="Arial" w:hAnsi="Arial" w:eastAsia="Calibri" w:cs="Arial"/>
          <w:sz w:val="20"/>
          <w:szCs w:val="20"/>
          <w:lang w:val="es-ES"/>
        </w:rPr>
        <w:t xml:space="preserve">[…] </w:t>
      </w:r>
      <w:r w:rsidRPr="007E354F" w:rsidR="2D71F583">
        <w:rPr>
          <w:rFonts w:ascii="Arial" w:hAnsi="Arial" w:eastAsia="Calibri" w:cs="Arial"/>
          <w:sz w:val="20"/>
          <w:szCs w:val="20"/>
          <w:lang w:val="es-ES"/>
        </w:rPr>
        <w:t>a</w:t>
      </w:r>
      <w:r w:rsidRPr="007E354F" w:rsidR="004E3D78">
        <w:rPr>
          <w:rFonts w:ascii="Arial" w:hAnsi="Arial" w:eastAsia="Calibri" w:cs="Arial"/>
          <w:sz w:val="20"/>
          <w:szCs w:val="20"/>
          <w:lang w:val="es-ES"/>
        </w:rPr>
        <w:t xml:space="preserve">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p w:rsidRPr="007E354F" w:rsidR="00ED260B" w:rsidP="00BC5522" w:rsidRDefault="00ED260B" w14:paraId="3E82E38D" w14:textId="77777777">
      <w:pPr>
        <w:jc w:val="both"/>
        <w:rPr>
          <w:rFonts w:ascii="Arial" w:hAnsi="Arial" w:cs="Arial"/>
          <w:sz w:val="20"/>
          <w:szCs w:val="20"/>
        </w:rPr>
      </w:pPr>
    </w:p>
    <w:p w:rsidRPr="007E354F" w:rsidR="00C731A8" w:rsidP="00C731A8" w:rsidRDefault="00C731A8" w14:paraId="58C02129" w14:textId="77777777">
      <w:pPr>
        <w:pStyle w:val="Default"/>
        <w:rPr>
          <w:color w:val="auto"/>
          <w:sz w:val="20"/>
          <w:szCs w:val="20"/>
        </w:rPr>
      </w:pPr>
    </w:p>
    <w:p w:rsidRPr="007E354F" w:rsidR="00C731A8" w:rsidP="00C731A8" w:rsidRDefault="00C731A8" w14:paraId="5DC5059F" w14:textId="1114BFF0">
      <w:pPr>
        <w:pStyle w:val="Default"/>
        <w:rPr>
          <w:color w:val="auto"/>
          <w:sz w:val="22"/>
          <w:szCs w:val="22"/>
        </w:rPr>
      </w:pPr>
      <w:r w:rsidRPr="007E354F">
        <w:rPr>
          <w:color w:val="auto"/>
          <w:sz w:val="22"/>
          <w:szCs w:val="22"/>
        </w:rPr>
        <w:t xml:space="preserve">Bogotá D.C., </w:t>
      </w:r>
      <w:r w:rsidRPr="007E354F">
        <w:rPr>
          <w:b/>
          <w:bCs/>
          <w:color w:val="auto"/>
          <w:sz w:val="22"/>
          <w:szCs w:val="22"/>
        </w:rPr>
        <w:t xml:space="preserve">29/03/2020 Hora 12:7:0s </w:t>
      </w:r>
    </w:p>
    <w:p w:rsidRPr="007E354F" w:rsidR="00A37FB6" w:rsidP="00C731A8" w:rsidRDefault="00C731A8" w14:paraId="7E80B7C1" w14:textId="6A759BE5">
      <w:pPr>
        <w:tabs>
          <w:tab w:val="left" w:pos="3374"/>
        </w:tabs>
        <w:spacing w:before="120" w:after="120" w:line="276" w:lineRule="auto"/>
        <w:jc w:val="right"/>
        <w:rPr>
          <w:rFonts w:ascii="Arial" w:hAnsi="Arial" w:eastAsia="Calibri" w:cs="Arial"/>
          <w:sz w:val="22"/>
        </w:rPr>
      </w:pPr>
      <w:proofErr w:type="spellStart"/>
      <w:r w:rsidRPr="007E354F">
        <w:rPr>
          <w:rFonts w:ascii="Arial" w:hAnsi="Arial" w:cs="Arial"/>
          <w:b/>
          <w:bCs/>
          <w:sz w:val="22"/>
        </w:rPr>
        <w:t>N°</w:t>
      </w:r>
      <w:proofErr w:type="spellEnd"/>
      <w:r w:rsidRPr="007E354F">
        <w:rPr>
          <w:rFonts w:ascii="Arial" w:hAnsi="Arial" w:cs="Arial"/>
          <w:b/>
          <w:bCs/>
          <w:sz w:val="22"/>
        </w:rPr>
        <w:t xml:space="preserve"> Radicado: 2202013000002272</w:t>
      </w:r>
      <w:r w:rsidRPr="007E354F" w:rsidR="00A37FB6">
        <w:rPr>
          <w:rFonts w:ascii="Arial" w:hAnsi="Arial" w:eastAsia="Calibri" w:cs="Arial"/>
          <w:sz w:val="22"/>
        </w:rPr>
        <w:tab/>
      </w:r>
    </w:p>
    <w:p w:rsidRPr="007E354F" w:rsidR="00A37FB6" w:rsidP="00F13C05" w:rsidRDefault="005219F7" w14:paraId="2B166DFC" w14:textId="58DB082A">
      <w:pPr>
        <w:spacing w:before="120" w:after="120" w:line="276" w:lineRule="auto"/>
        <w:rPr>
          <w:rFonts w:ascii="Arial" w:hAnsi="Arial" w:eastAsia="Calibri" w:cs="Arial"/>
          <w:sz w:val="22"/>
        </w:rPr>
      </w:pPr>
      <w:r w:rsidRPr="007E354F">
        <w:rPr>
          <w:rFonts w:ascii="Arial" w:hAnsi="Arial" w:eastAsia="Calibri" w:cs="Arial"/>
          <w:sz w:val="22"/>
        </w:rPr>
        <w:t>Señor</w:t>
      </w:r>
      <w:r w:rsidRPr="007E354F" w:rsidR="00137404">
        <w:rPr>
          <w:rFonts w:ascii="Arial" w:hAnsi="Arial" w:eastAsia="Calibri" w:cs="Arial"/>
          <w:sz w:val="22"/>
        </w:rPr>
        <w:t>a</w:t>
      </w:r>
    </w:p>
    <w:p w:rsidRPr="007E354F" w:rsidR="00137404" w:rsidP="00F13C05" w:rsidRDefault="004E09CF" w14:paraId="68C7ECF9" w14:textId="74376553">
      <w:pPr>
        <w:spacing w:before="120" w:after="120" w:line="276" w:lineRule="auto"/>
        <w:rPr>
          <w:rFonts w:ascii="Arial" w:hAnsi="Arial" w:eastAsia="Calibri" w:cs="Arial"/>
          <w:b/>
          <w:sz w:val="22"/>
        </w:rPr>
      </w:pPr>
      <w:proofErr w:type="spellStart"/>
      <w:r w:rsidRPr="007E354F">
        <w:rPr>
          <w:rFonts w:ascii="Arial" w:hAnsi="Arial" w:cs="Arial"/>
          <w:b/>
          <w:sz w:val="22"/>
          <w:shd w:val="clear" w:color="auto" w:fill="FFFFFF"/>
        </w:rPr>
        <w:t>Nansy</w:t>
      </w:r>
      <w:proofErr w:type="spellEnd"/>
      <w:r w:rsidRPr="007E354F">
        <w:rPr>
          <w:rFonts w:ascii="Arial" w:hAnsi="Arial" w:cs="Arial"/>
          <w:b/>
          <w:sz w:val="22"/>
          <w:shd w:val="clear" w:color="auto" w:fill="FFFFFF"/>
        </w:rPr>
        <w:t xml:space="preserve"> </w:t>
      </w:r>
      <w:proofErr w:type="spellStart"/>
      <w:r w:rsidRPr="007E354F">
        <w:rPr>
          <w:rFonts w:ascii="Arial" w:hAnsi="Arial" w:cs="Arial"/>
          <w:b/>
          <w:sz w:val="22"/>
          <w:shd w:val="clear" w:color="auto" w:fill="FFFFFF"/>
        </w:rPr>
        <w:t>Yasmyne</w:t>
      </w:r>
      <w:proofErr w:type="spellEnd"/>
      <w:r w:rsidRPr="007E354F">
        <w:rPr>
          <w:rFonts w:ascii="Arial" w:hAnsi="Arial" w:cs="Arial"/>
          <w:b/>
          <w:sz w:val="22"/>
          <w:shd w:val="clear" w:color="auto" w:fill="FFFFFF"/>
        </w:rPr>
        <w:t xml:space="preserve"> Álvarez Ramírez </w:t>
      </w:r>
      <w:r w:rsidRPr="007E354F" w:rsidR="00137404">
        <w:rPr>
          <w:rFonts w:ascii="Arial" w:hAnsi="Arial" w:cs="Arial"/>
          <w:b/>
          <w:sz w:val="22"/>
          <w:shd w:val="clear" w:color="auto" w:fill="FFFFFF"/>
        </w:rPr>
        <w:t xml:space="preserve"> </w:t>
      </w:r>
    </w:p>
    <w:p w:rsidRPr="007E354F" w:rsidR="00B221E4" w:rsidP="005F71A8" w:rsidRDefault="00A37FB6" w14:paraId="2F398867" w14:textId="4DA924BD">
      <w:pPr>
        <w:spacing w:before="120" w:after="120" w:line="276" w:lineRule="auto"/>
        <w:rPr>
          <w:rFonts w:ascii="Arial" w:hAnsi="Arial" w:eastAsia="Calibri" w:cs="Arial"/>
          <w:b/>
          <w:sz w:val="22"/>
        </w:rPr>
      </w:pPr>
      <w:r w:rsidRPr="007E354F">
        <w:rPr>
          <w:rFonts w:ascii="Arial" w:hAnsi="Arial" w:eastAsia="Calibri" w:cs="Arial"/>
          <w:sz w:val="22"/>
        </w:rPr>
        <w:t>Ciudad</w:t>
      </w:r>
    </w:p>
    <w:p w:rsidRPr="007E354F" w:rsidR="00A37FB6" w:rsidP="00F13C05" w:rsidRDefault="00CB3127" w14:paraId="479F6A3A" w14:textId="22CE2215">
      <w:pPr>
        <w:spacing w:before="120" w:after="120" w:line="276" w:lineRule="auto"/>
        <w:jc w:val="center"/>
        <w:rPr>
          <w:rFonts w:ascii="Arial" w:hAnsi="Arial" w:eastAsia="Calibri" w:cs="Arial"/>
          <w:b/>
          <w:sz w:val="22"/>
        </w:rPr>
      </w:pPr>
      <w:r w:rsidRPr="007E354F">
        <w:rPr>
          <w:rFonts w:ascii="Arial" w:hAnsi="Arial" w:eastAsia="Calibri" w:cs="Arial"/>
          <w:b/>
          <w:sz w:val="22"/>
        </w:rPr>
        <w:t xml:space="preserve">Concepto C ─ 206 </w:t>
      </w:r>
      <w:r w:rsidRPr="007E354F" w:rsidR="00A37FB6">
        <w:rPr>
          <w:rFonts w:ascii="Arial" w:hAnsi="Arial" w:eastAsia="Calibri" w:cs="Arial"/>
          <w:b/>
          <w:sz w:val="22"/>
        </w:rPr>
        <w:t>de 2020</w:t>
      </w:r>
    </w:p>
    <w:p w:rsidRPr="007E354F" w:rsidR="00A37FB6" w:rsidP="00F13C05" w:rsidRDefault="00A37FB6" w14:paraId="49BB1EAB" w14:textId="77777777">
      <w:pPr>
        <w:spacing w:before="120" w:after="120" w:line="276" w:lineRule="auto"/>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7E354F" w:rsidR="007E354F" w:rsidTr="00612A5E" w14:paraId="20C2FA60" w14:textId="77777777">
        <w:tc>
          <w:tcPr>
            <w:tcW w:w="2689" w:type="dxa"/>
            <w:hideMark/>
          </w:tcPr>
          <w:p w:rsidRPr="007E354F" w:rsidR="00A37FB6" w:rsidP="00DC29BB" w:rsidRDefault="00A37FB6" w14:paraId="2A9459AB" w14:textId="77777777">
            <w:pPr>
              <w:rPr>
                <w:rFonts w:ascii="Arial" w:hAnsi="Arial" w:eastAsia="Calibri" w:cs="Arial"/>
                <w:sz w:val="22"/>
              </w:rPr>
            </w:pPr>
            <w:r w:rsidRPr="007E354F">
              <w:rPr>
                <w:rFonts w:ascii="Arial" w:hAnsi="Arial" w:eastAsia="Calibri" w:cs="Arial"/>
                <w:b/>
                <w:sz w:val="22"/>
              </w:rPr>
              <w:t>Temas:</w:t>
            </w:r>
            <w:r w:rsidRPr="007E354F">
              <w:rPr>
                <w:rFonts w:ascii="Arial" w:hAnsi="Arial" w:eastAsia="Calibri" w:cs="Arial"/>
                <w:sz w:val="22"/>
              </w:rPr>
              <w:t xml:space="preserve">           </w:t>
            </w:r>
          </w:p>
          <w:p w:rsidRPr="007E354F" w:rsidR="00A37FB6" w:rsidP="00DC29BB" w:rsidRDefault="00A37FB6" w14:paraId="1840BCE8" w14:textId="77777777">
            <w:pPr>
              <w:rPr>
                <w:rFonts w:ascii="Arial" w:hAnsi="Arial" w:eastAsia="Calibri" w:cs="Arial"/>
                <w:sz w:val="22"/>
              </w:rPr>
            </w:pPr>
            <w:r w:rsidRPr="007E354F">
              <w:rPr>
                <w:rFonts w:ascii="Arial" w:hAnsi="Arial" w:eastAsia="Calibri" w:cs="Arial"/>
                <w:sz w:val="22"/>
              </w:rPr>
              <w:t xml:space="preserve">                           </w:t>
            </w:r>
          </w:p>
        </w:tc>
        <w:tc>
          <w:tcPr>
            <w:tcW w:w="6237" w:type="dxa"/>
            <w:hideMark/>
          </w:tcPr>
          <w:p w:rsidRPr="007E354F" w:rsidR="004E3D78" w:rsidP="004E3D78" w:rsidRDefault="004E3D78" w14:paraId="6B3B4ADA" w14:textId="05D97251">
            <w:pPr>
              <w:jc w:val="both"/>
              <w:rPr>
                <w:rFonts w:ascii="Arial" w:hAnsi="Arial" w:cs="Arial"/>
                <w:sz w:val="22"/>
              </w:rPr>
            </w:pPr>
            <w:r w:rsidRPr="007E354F">
              <w:rPr>
                <w:rFonts w:ascii="Arial" w:hAnsi="Arial" w:eastAsia="Calibri" w:cs="Arial"/>
                <w:sz w:val="22"/>
              </w:rPr>
              <w:t>PUBLICIDAD SECOP― Entidades de régimen especial― Fundamento normativo / DOCUMENTOS PUBLICABLES EN SECOP ― Entidades de régimen especial / PLAZO</w:t>
            </w:r>
            <w:r w:rsidRPr="007E354F">
              <w:rPr>
                <w:rFonts w:ascii="Arial" w:hAnsi="Arial" w:cs="Arial"/>
                <w:sz w:val="22"/>
              </w:rPr>
              <w:t xml:space="preserve"> PUBLICACIÓN SECOP </w:t>
            </w:r>
            <w:r w:rsidRPr="007E354F">
              <w:rPr>
                <w:rFonts w:ascii="Arial" w:hAnsi="Arial" w:eastAsia="Calibri" w:cs="Arial"/>
                <w:sz w:val="22"/>
              </w:rPr>
              <w:t>―</w:t>
            </w:r>
            <w:r w:rsidRPr="007E354F">
              <w:rPr>
                <w:rFonts w:ascii="Arial" w:hAnsi="Arial" w:cs="Arial"/>
                <w:sz w:val="22"/>
              </w:rPr>
              <w:t xml:space="preserve"> Entidades régimen especial / ENTIDADES EXCEPTUADAS DE PUBLICAR EN SECOP II </w:t>
            </w:r>
            <w:r w:rsidRPr="007E354F">
              <w:rPr>
                <w:rFonts w:ascii="Arial" w:hAnsi="Arial" w:eastAsia="Calibri" w:cs="Arial"/>
                <w:sz w:val="22"/>
              </w:rPr>
              <w:t>―</w:t>
            </w:r>
            <w:r w:rsidRPr="007E354F">
              <w:rPr>
                <w:rFonts w:ascii="Arial" w:hAnsi="Arial" w:cs="Arial"/>
                <w:sz w:val="22"/>
              </w:rPr>
              <w:t xml:space="preserve"> Empresas descentralizadas del nivel municipal</w:t>
            </w:r>
          </w:p>
          <w:p w:rsidRPr="007E354F" w:rsidR="004E3D78" w:rsidP="004E3D78" w:rsidRDefault="004E3D78" w14:paraId="71BA60F9" w14:textId="7585F78A">
            <w:pPr>
              <w:pStyle w:val="Prrafodelista"/>
              <w:ind w:left="0"/>
              <w:contextualSpacing w:val="0"/>
              <w:jc w:val="both"/>
              <w:rPr>
                <w:rFonts w:ascii="Arial" w:hAnsi="Arial" w:eastAsia="Calibri" w:cs="Arial"/>
                <w:b/>
                <w:sz w:val="22"/>
              </w:rPr>
            </w:pPr>
          </w:p>
          <w:p w:rsidRPr="007E354F" w:rsidR="00A37FB6" w:rsidP="00DC29BB" w:rsidRDefault="00A37FB6" w14:paraId="069BC436" w14:textId="04868481">
            <w:pPr>
              <w:jc w:val="both"/>
              <w:rPr>
                <w:rFonts w:ascii="Arial" w:hAnsi="Arial" w:eastAsia="Calibri" w:cs="Arial"/>
                <w:sz w:val="22"/>
              </w:rPr>
            </w:pPr>
          </w:p>
        </w:tc>
      </w:tr>
      <w:tr w:rsidRPr="007E354F" w:rsidR="00A37FB6" w:rsidTr="00DC29BB" w14:paraId="62473A71" w14:textId="77777777">
        <w:trPr>
          <w:trHeight w:val="297"/>
        </w:trPr>
        <w:tc>
          <w:tcPr>
            <w:tcW w:w="2689" w:type="dxa"/>
          </w:tcPr>
          <w:p w:rsidRPr="007E354F" w:rsidR="00A37FB6" w:rsidP="007762F3" w:rsidRDefault="00DC29BB" w14:paraId="730BF589" w14:textId="1EF934B6">
            <w:pPr>
              <w:rPr>
                <w:rFonts w:ascii="Arial" w:hAnsi="Arial" w:eastAsia="Calibri" w:cs="Arial"/>
                <w:b/>
                <w:sz w:val="22"/>
              </w:rPr>
            </w:pPr>
            <w:r w:rsidRPr="007E354F">
              <w:rPr>
                <w:rFonts w:ascii="Arial" w:hAnsi="Arial" w:eastAsia="Calibri" w:cs="Arial"/>
                <w:b/>
                <w:sz w:val="22"/>
              </w:rPr>
              <w:t xml:space="preserve"> </w:t>
            </w:r>
            <w:r w:rsidRPr="007E354F" w:rsidR="00A37FB6">
              <w:rPr>
                <w:rFonts w:ascii="Arial" w:hAnsi="Arial" w:eastAsia="Calibri" w:cs="Arial"/>
                <w:b/>
                <w:sz w:val="22"/>
              </w:rPr>
              <w:t>Radicación:</w:t>
            </w:r>
            <w:r w:rsidRPr="007E354F" w:rsidR="00A37FB6">
              <w:rPr>
                <w:rFonts w:ascii="Arial" w:hAnsi="Arial" w:eastAsia="Calibri" w:cs="Arial"/>
                <w:sz w:val="22"/>
              </w:rPr>
              <w:t xml:space="preserve">                              </w:t>
            </w:r>
          </w:p>
        </w:tc>
        <w:tc>
          <w:tcPr>
            <w:tcW w:w="6237" w:type="dxa"/>
          </w:tcPr>
          <w:p w:rsidRPr="007E354F" w:rsidR="00A37FB6" w:rsidP="007762F3" w:rsidRDefault="00A37FB6" w14:paraId="2CD77F9B" w14:textId="00576628">
            <w:pPr>
              <w:jc w:val="both"/>
              <w:rPr>
                <w:rFonts w:ascii="Arial" w:hAnsi="Arial" w:eastAsia="Calibri" w:cs="Arial"/>
                <w:sz w:val="22"/>
              </w:rPr>
            </w:pPr>
            <w:r w:rsidRPr="007E354F">
              <w:rPr>
                <w:rFonts w:ascii="Arial" w:hAnsi="Arial" w:eastAsia="Calibri" w:cs="Arial"/>
                <w:sz w:val="22"/>
              </w:rPr>
              <w:t>Respu</w:t>
            </w:r>
            <w:r w:rsidRPr="007E354F" w:rsidR="005219F7">
              <w:rPr>
                <w:rFonts w:ascii="Arial" w:hAnsi="Arial" w:eastAsia="Calibri" w:cs="Arial"/>
                <w:sz w:val="22"/>
              </w:rPr>
              <w:t>es</w:t>
            </w:r>
            <w:r w:rsidRPr="007E354F" w:rsidR="00CB3127">
              <w:rPr>
                <w:rFonts w:ascii="Arial" w:hAnsi="Arial" w:eastAsia="Calibri" w:cs="Arial"/>
                <w:sz w:val="22"/>
              </w:rPr>
              <w:t>ta a consulta # 4202013000001639</w:t>
            </w:r>
          </w:p>
        </w:tc>
      </w:tr>
    </w:tbl>
    <w:p w:rsidRPr="007E354F" w:rsidR="00B221E4" w:rsidP="007762F3" w:rsidRDefault="00B221E4" w14:paraId="23758B13" w14:textId="77777777">
      <w:pPr>
        <w:spacing w:before="120" w:after="120"/>
        <w:rPr>
          <w:rFonts w:ascii="Arial" w:hAnsi="Arial" w:eastAsia="Calibri" w:cs="Arial"/>
          <w:sz w:val="22"/>
        </w:rPr>
      </w:pPr>
    </w:p>
    <w:p w:rsidRPr="007E354F" w:rsidR="00A37FB6" w:rsidP="00D3017A" w:rsidRDefault="00137404" w14:paraId="3216C844" w14:textId="420A35B3">
      <w:pPr>
        <w:rPr>
          <w:rFonts w:ascii="Arial" w:hAnsi="Arial" w:eastAsia="Calibri" w:cs="Arial"/>
          <w:sz w:val="22"/>
        </w:rPr>
      </w:pPr>
      <w:r w:rsidRPr="007E354F">
        <w:rPr>
          <w:rFonts w:ascii="Arial" w:hAnsi="Arial" w:eastAsia="Calibri" w:cs="Arial"/>
          <w:sz w:val="22"/>
        </w:rPr>
        <w:t>Estimada</w:t>
      </w:r>
      <w:r w:rsidRPr="007E354F" w:rsidR="005219F7">
        <w:rPr>
          <w:rFonts w:ascii="Arial" w:hAnsi="Arial" w:eastAsia="Calibri" w:cs="Arial"/>
          <w:sz w:val="22"/>
        </w:rPr>
        <w:t xml:space="preserve"> señor</w:t>
      </w:r>
      <w:r w:rsidRPr="007E354F" w:rsidR="007762F3">
        <w:rPr>
          <w:rFonts w:ascii="Arial" w:hAnsi="Arial" w:eastAsia="Calibri" w:cs="Arial"/>
          <w:sz w:val="22"/>
        </w:rPr>
        <w:t>a</w:t>
      </w:r>
      <w:r w:rsidRPr="007E354F" w:rsidR="00905F30">
        <w:rPr>
          <w:rFonts w:ascii="Arial" w:hAnsi="Arial" w:eastAsia="Calibri" w:cs="Arial"/>
          <w:sz w:val="22"/>
        </w:rPr>
        <w:t xml:space="preserve"> Mejía</w:t>
      </w:r>
      <w:r w:rsidRPr="007E354F" w:rsidR="00A37FB6">
        <w:rPr>
          <w:rFonts w:ascii="Arial" w:hAnsi="Arial" w:eastAsia="Calibri" w:cs="Arial"/>
          <w:sz w:val="22"/>
        </w:rPr>
        <w:t>,</w:t>
      </w:r>
    </w:p>
    <w:p w:rsidRPr="007E354F" w:rsidR="00D3017A" w:rsidP="00D3017A" w:rsidRDefault="00D3017A" w14:paraId="1CBAEDF2" w14:textId="77777777">
      <w:pPr>
        <w:rPr>
          <w:rFonts w:ascii="Arial" w:hAnsi="Arial" w:eastAsia="Calibri" w:cs="Arial"/>
          <w:sz w:val="22"/>
        </w:rPr>
      </w:pPr>
    </w:p>
    <w:p w:rsidRPr="007E354F" w:rsidR="00A37FB6" w:rsidP="00D3017A" w:rsidRDefault="00A37FB6" w14:paraId="39316B12" w14:textId="29E2EF0C">
      <w:pPr>
        <w:spacing w:line="276" w:lineRule="auto"/>
        <w:ind w:right="49"/>
        <w:jc w:val="both"/>
        <w:rPr>
          <w:rFonts w:ascii="Arial" w:hAnsi="Arial" w:eastAsia="Calibri" w:cs="Arial"/>
          <w:sz w:val="22"/>
        </w:rPr>
      </w:pPr>
      <w:r w:rsidRPr="007E354F">
        <w:rPr>
          <w:rFonts w:ascii="Arial" w:hAnsi="Arial" w:eastAsia="Calibri" w:cs="Arial"/>
          <w:sz w:val="22"/>
        </w:rPr>
        <w:t>La Agencia Na</w:t>
      </w:r>
      <w:r w:rsidRPr="007E354F" w:rsidR="00137404">
        <w:rPr>
          <w:rFonts w:ascii="Arial" w:hAnsi="Arial" w:eastAsia="Calibri" w:cs="Arial"/>
          <w:sz w:val="22"/>
        </w:rPr>
        <w:t xml:space="preserve">cional de Contratación Pública -‒ </w:t>
      </w:r>
      <w:r w:rsidRPr="007E354F">
        <w:rPr>
          <w:rFonts w:ascii="Arial" w:hAnsi="Arial" w:eastAsia="Calibri" w:cs="Arial"/>
          <w:sz w:val="22"/>
        </w:rPr>
        <w:t>Colombia Compra Eficie</w:t>
      </w:r>
      <w:r w:rsidRPr="007E354F" w:rsidR="005219F7">
        <w:rPr>
          <w:rFonts w:ascii="Arial" w:hAnsi="Arial" w:eastAsia="Calibri" w:cs="Arial"/>
          <w:sz w:val="22"/>
        </w:rPr>
        <w:t xml:space="preserve">nte― responde su consulta del </w:t>
      </w:r>
      <w:r w:rsidRPr="007E354F" w:rsidR="00CB3127">
        <w:rPr>
          <w:rFonts w:ascii="Arial" w:hAnsi="Arial" w:eastAsia="Calibri" w:cs="Arial"/>
          <w:sz w:val="22"/>
        </w:rPr>
        <w:t>3 de marzo</w:t>
      </w:r>
      <w:r w:rsidRPr="007E354F" w:rsidR="005219F7">
        <w:rPr>
          <w:rFonts w:ascii="Arial" w:hAnsi="Arial" w:eastAsia="Calibri" w:cs="Arial"/>
          <w:sz w:val="22"/>
        </w:rPr>
        <w:t xml:space="preserve"> de 2020</w:t>
      </w:r>
      <w:r w:rsidRPr="007E354F">
        <w:rPr>
          <w:rFonts w:ascii="Arial" w:hAnsi="Arial" w:eastAsia="Calibri" w:cs="Arial"/>
          <w:sz w:val="22"/>
        </w:rPr>
        <w:t xml:space="preserve">, en ejercicio de la competencia otorgada por el numeral 8 del artículo 11 y el numeral 5 del artículo 3 del Decreto Ley 4170 de 2011. </w:t>
      </w:r>
    </w:p>
    <w:p w:rsidRPr="007E354F" w:rsidR="005F71A8" w:rsidP="00CB3127" w:rsidRDefault="005F71A8" w14:paraId="797F2D86" w14:textId="77777777">
      <w:pPr>
        <w:pStyle w:val="Prrafodelista"/>
        <w:tabs>
          <w:tab w:val="left" w:pos="284"/>
        </w:tabs>
        <w:ind w:left="0"/>
        <w:jc w:val="both"/>
        <w:rPr>
          <w:rFonts w:ascii="Arial" w:hAnsi="Arial" w:eastAsia="Calibri" w:cs="Arial"/>
          <w:b/>
          <w:sz w:val="22"/>
        </w:rPr>
      </w:pPr>
    </w:p>
    <w:p w:rsidRPr="007E354F" w:rsidR="00A37FB6" w:rsidP="00CB3127" w:rsidRDefault="00905F30" w14:paraId="737E2623" w14:textId="24129F8A">
      <w:pPr>
        <w:pStyle w:val="Prrafodelista"/>
        <w:tabs>
          <w:tab w:val="left" w:pos="284"/>
        </w:tabs>
        <w:ind w:left="0"/>
        <w:jc w:val="both"/>
        <w:rPr>
          <w:rFonts w:ascii="Arial" w:hAnsi="Arial" w:eastAsia="Calibri" w:cs="Arial"/>
          <w:b/>
          <w:sz w:val="22"/>
        </w:rPr>
      </w:pPr>
      <w:r w:rsidRPr="007E354F">
        <w:rPr>
          <w:rFonts w:ascii="Arial" w:hAnsi="Arial" w:eastAsia="Calibri" w:cs="Arial"/>
          <w:b/>
          <w:sz w:val="22"/>
        </w:rPr>
        <w:t xml:space="preserve">1. </w:t>
      </w:r>
      <w:r w:rsidRPr="007E354F" w:rsidR="00A37FB6">
        <w:rPr>
          <w:rFonts w:ascii="Arial" w:hAnsi="Arial" w:eastAsia="Calibri" w:cs="Arial"/>
          <w:b/>
          <w:sz w:val="22"/>
        </w:rPr>
        <w:t xml:space="preserve">Problemas planteados </w:t>
      </w:r>
    </w:p>
    <w:p w:rsidRPr="007E354F" w:rsidR="00905F30" w:rsidP="00CB3127" w:rsidRDefault="00905F30" w14:paraId="2EF61297" w14:textId="77777777">
      <w:pPr>
        <w:pStyle w:val="Prrafodelista"/>
        <w:tabs>
          <w:tab w:val="left" w:pos="284"/>
        </w:tabs>
        <w:ind w:left="0"/>
        <w:jc w:val="both"/>
        <w:rPr>
          <w:rFonts w:ascii="Arial" w:hAnsi="Arial" w:eastAsia="Calibri" w:cs="Arial"/>
          <w:b/>
          <w:sz w:val="22"/>
        </w:rPr>
      </w:pPr>
    </w:p>
    <w:p w:rsidRPr="007E354F" w:rsidR="00FD49BF" w:rsidP="007762F3" w:rsidRDefault="00CB3127" w14:paraId="634A1DCD" w14:textId="1C5B4C12">
      <w:pPr>
        <w:pStyle w:val="NormalWeb"/>
        <w:shd w:val="clear" w:color="auto" w:fill="FFFFFF"/>
        <w:spacing w:before="0" w:beforeAutospacing="0" w:after="0" w:afterAutospacing="0" w:line="276" w:lineRule="auto"/>
        <w:jc w:val="both"/>
        <w:textAlignment w:val="baseline"/>
        <w:rPr>
          <w:rFonts w:ascii="Arial" w:hAnsi="Arial" w:cs="Arial"/>
          <w:sz w:val="22"/>
          <w:szCs w:val="22"/>
          <w:bdr w:val="none" w:color="auto" w:sz="0" w:space="0" w:frame="1"/>
        </w:rPr>
      </w:pPr>
      <w:r w:rsidRPr="007E354F">
        <w:rPr>
          <w:rFonts w:ascii="Arial" w:hAnsi="Arial" w:eastAsia="Calibri" w:cs="Arial"/>
          <w:sz w:val="22"/>
          <w:szCs w:val="22"/>
        </w:rPr>
        <w:lastRenderedPageBreak/>
        <w:t>Usted realiza la siguiente pregunta</w:t>
      </w:r>
      <w:r w:rsidRPr="007E354F" w:rsidR="00A37FB6">
        <w:rPr>
          <w:rFonts w:ascii="Arial" w:hAnsi="Arial" w:eastAsia="Calibri" w:cs="Arial"/>
          <w:sz w:val="22"/>
          <w:szCs w:val="22"/>
        </w:rPr>
        <w:t>:</w:t>
      </w:r>
      <w:r w:rsidRPr="007E354F">
        <w:rPr>
          <w:rFonts w:ascii="Arial" w:hAnsi="Arial" w:cs="Arial"/>
          <w:sz w:val="22"/>
          <w:szCs w:val="22"/>
          <w:bdr w:val="none" w:color="auto" w:sz="0" w:space="0" w:frame="1"/>
        </w:rPr>
        <w:t xml:space="preserve"> «si las Empresas Sociales del Estado que son de </w:t>
      </w:r>
      <w:proofErr w:type="spellStart"/>
      <w:r w:rsidRPr="007E354F">
        <w:rPr>
          <w:rFonts w:ascii="Arial" w:hAnsi="Arial" w:cs="Arial"/>
          <w:sz w:val="22"/>
          <w:szCs w:val="22"/>
          <w:bdr w:val="none" w:color="auto" w:sz="0" w:space="0" w:frame="1"/>
        </w:rPr>
        <w:t>Regimen</w:t>
      </w:r>
      <w:proofErr w:type="spellEnd"/>
      <w:r w:rsidRPr="007E354F">
        <w:rPr>
          <w:rFonts w:ascii="Arial" w:hAnsi="Arial" w:cs="Arial"/>
          <w:sz w:val="22"/>
          <w:szCs w:val="22"/>
          <w:bdr w:val="none" w:color="auto" w:sz="0" w:space="0" w:frame="1"/>
        </w:rPr>
        <w:t xml:space="preserve"> (sic) especial, tienen un plazo </w:t>
      </w:r>
      <w:proofErr w:type="spellStart"/>
      <w:r w:rsidRPr="007E354F">
        <w:rPr>
          <w:rFonts w:ascii="Arial" w:hAnsi="Arial" w:cs="Arial"/>
          <w:sz w:val="22"/>
          <w:szCs w:val="22"/>
          <w:bdr w:val="none" w:color="auto" w:sz="0" w:space="0" w:frame="1"/>
        </w:rPr>
        <w:t>limite</w:t>
      </w:r>
      <w:proofErr w:type="spellEnd"/>
      <w:r w:rsidRPr="007E354F">
        <w:rPr>
          <w:rFonts w:ascii="Arial" w:hAnsi="Arial" w:cs="Arial"/>
          <w:sz w:val="22"/>
          <w:szCs w:val="22"/>
          <w:bdr w:val="none" w:color="auto" w:sz="0" w:space="0" w:frame="1"/>
        </w:rPr>
        <w:t xml:space="preserve"> (sic) para publicar en </w:t>
      </w:r>
      <w:proofErr w:type="gramStart"/>
      <w:r w:rsidRPr="007E354F">
        <w:rPr>
          <w:rFonts w:ascii="Arial" w:hAnsi="Arial" w:cs="Arial"/>
          <w:sz w:val="22"/>
          <w:szCs w:val="22"/>
          <w:bdr w:val="none" w:color="auto" w:sz="0" w:space="0" w:frame="1"/>
        </w:rPr>
        <w:t xml:space="preserve">el  </w:t>
      </w:r>
      <w:proofErr w:type="spellStart"/>
      <w:r w:rsidRPr="007E354F">
        <w:rPr>
          <w:rFonts w:ascii="Arial" w:hAnsi="Arial" w:cs="Arial"/>
          <w:sz w:val="22"/>
          <w:szCs w:val="22"/>
          <w:bdr w:val="none" w:color="auto" w:sz="0" w:space="0" w:frame="1"/>
        </w:rPr>
        <w:t>secop</w:t>
      </w:r>
      <w:proofErr w:type="spellEnd"/>
      <w:proofErr w:type="gramEnd"/>
      <w:r w:rsidRPr="007E354F">
        <w:rPr>
          <w:rFonts w:ascii="Arial" w:hAnsi="Arial" w:cs="Arial"/>
          <w:sz w:val="22"/>
          <w:szCs w:val="22"/>
          <w:bdr w:val="none" w:color="auto" w:sz="0" w:space="0" w:frame="1"/>
        </w:rPr>
        <w:t xml:space="preserve"> el contrato y los documentos de ejecución o si de (sic) puede realizar la publicación de los mismos durante el mes que se genere cada documento contractual». </w:t>
      </w:r>
    </w:p>
    <w:p w:rsidRPr="007E354F" w:rsidR="00B221E4" w:rsidP="00CB3127" w:rsidRDefault="00B221E4" w14:paraId="24DD1C6E" w14:textId="77777777">
      <w:pPr>
        <w:pStyle w:val="NormalWeb"/>
        <w:shd w:val="clear" w:color="auto" w:fill="FFFFFF"/>
        <w:spacing w:before="0" w:beforeAutospacing="0" w:after="0" w:afterAutospacing="0"/>
        <w:jc w:val="both"/>
        <w:textAlignment w:val="baseline"/>
        <w:rPr>
          <w:rFonts w:ascii="Arial" w:hAnsi="Arial" w:cs="Arial"/>
          <w:sz w:val="22"/>
          <w:szCs w:val="22"/>
        </w:rPr>
      </w:pPr>
    </w:p>
    <w:p w:rsidRPr="007E354F" w:rsidR="00A37FB6" w:rsidP="00CB3127" w:rsidRDefault="00FA1CFD" w14:paraId="6A32A1B1" w14:textId="0636C6BF">
      <w:pPr>
        <w:tabs>
          <w:tab w:val="left" w:pos="426"/>
        </w:tabs>
        <w:jc w:val="both"/>
        <w:rPr>
          <w:rFonts w:ascii="Arial" w:hAnsi="Arial" w:eastAsia="Calibri" w:cs="Arial"/>
          <w:b/>
          <w:sz w:val="22"/>
        </w:rPr>
      </w:pPr>
      <w:r w:rsidRPr="007E354F">
        <w:rPr>
          <w:rFonts w:ascii="Arial" w:hAnsi="Arial" w:eastAsia="Calibri" w:cs="Arial"/>
          <w:b/>
          <w:sz w:val="22"/>
        </w:rPr>
        <w:t xml:space="preserve">2. </w:t>
      </w:r>
      <w:r w:rsidRPr="007E354F" w:rsidR="00A37FB6">
        <w:rPr>
          <w:rFonts w:ascii="Arial" w:hAnsi="Arial" w:eastAsia="Calibri" w:cs="Arial"/>
          <w:b/>
          <w:sz w:val="22"/>
        </w:rPr>
        <w:t>Consideraciones</w:t>
      </w:r>
    </w:p>
    <w:p w:rsidRPr="007E354F" w:rsidR="007762F3" w:rsidP="00CB3127" w:rsidRDefault="007762F3" w14:paraId="5EE3B85E" w14:textId="77777777">
      <w:pPr>
        <w:tabs>
          <w:tab w:val="left" w:pos="426"/>
        </w:tabs>
        <w:jc w:val="both"/>
        <w:rPr>
          <w:rFonts w:ascii="Arial" w:hAnsi="Arial" w:eastAsia="Calibri" w:cs="Arial"/>
          <w:b/>
          <w:sz w:val="22"/>
        </w:rPr>
      </w:pPr>
    </w:p>
    <w:p w:rsidRPr="007E354F" w:rsidR="00137404" w:rsidP="007762F3" w:rsidRDefault="00137404" w14:paraId="174524FA" w14:textId="6C6C58E8">
      <w:pPr>
        <w:spacing w:before="120" w:after="120" w:line="276" w:lineRule="auto"/>
        <w:jc w:val="both"/>
        <w:rPr>
          <w:rFonts w:ascii="Arial" w:hAnsi="Arial" w:eastAsia="Calibri" w:cs="Arial"/>
          <w:sz w:val="22"/>
        </w:rPr>
      </w:pPr>
      <w:r w:rsidRPr="007E354F">
        <w:rPr>
          <w:rFonts w:ascii="Arial" w:hAnsi="Arial" w:eastAsia="Calibri" w:cs="Arial"/>
          <w:sz w:val="22"/>
        </w:rPr>
        <w:t xml:space="preserve">Para dar desarrollo a los problemas planteados se explicará, cómo el SECOP es la plataforma </w:t>
      </w:r>
      <w:r w:rsidRPr="007E354F" w:rsidR="00795349">
        <w:rPr>
          <w:rFonts w:ascii="Arial" w:hAnsi="Arial" w:eastAsia="Calibri" w:cs="Arial"/>
          <w:sz w:val="22"/>
        </w:rPr>
        <w:t>que las entidades deben usar</w:t>
      </w:r>
      <w:r w:rsidRPr="007E354F">
        <w:rPr>
          <w:rFonts w:ascii="Arial" w:hAnsi="Arial" w:eastAsia="Calibri" w:cs="Arial"/>
          <w:sz w:val="22"/>
        </w:rPr>
        <w:t xml:space="preserve"> para publicar la actividad contractual, para luego determinar los documentos contractuales que deben publicar las </w:t>
      </w:r>
      <w:r w:rsidRPr="007E354F" w:rsidR="00362C5C">
        <w:rPr>
          <w:rFonts w:ascii="Arial" w:hAnsi="Arial" w:cs="Arial"/>
          <w:sz w:val="22"/>
          <w:lang w:val="es-ES"/>
        </w:rPr>
        <w:t>entidades con régimen especial</w:t>
      </w:r>
      <w:r w:rsidRPr="007E354F" w:rsidR="00362C5C">
        <w:rPr>
          <w:rFonts w:ascii="Arial" w:hAnsi="Arial" w:eastAsia="Calibri" w:cs="Arial"/>
          <w:sz w:val="22"/>
        </w:rPr>
        <w:t xml:space="preserve"> de contratación pública </w:t>
      </w:r>
      <w:r w:rsidRPr="007E354F" w:rsidR="00A86509">
        <w:rPr>
          <w:rFonts w:ascii="Arial" w:hAnsi="Arial" w:eastAsia="Calibri" w:cs="Arial"/>
          <w:sz w:val="22"/>
        </w:rPr>
        <w:t>en el SECOP.</w:t>
      </w:r>
    </w:p>
    <w:p w:rsidRPr="007E354F" w:rsidR="00137404" w:rsidP="00CB3127" w:rsidRDefault="00137404" w14:paraId="52A851C7" w14:textId="77777777">
      <w:pPr>
        <w:rPr>
          <w:rFonts w:ascii="Arial" w:hAnsi="Arial" w:eastAsia="Calibri" w:cs="Arial"/>
          <w:sz w:val="22"/>
        </w:rPr>
      </w:pPr>
    </w:p>
    <w:p w:rsidRPr="007E354F" w:rsidR="00137404" w:rsidP="00CB3127" w:rsidRDefault="00FA1CFD" w14:paraId="07F34721" w14:textId="631FBBE4">
      <w:pPr>
        <w:tabs>
          <w:tab w:val="left" w:pos="426"/>
        </w:tabs>
        <w:rPr>
          <w:rFonts w:ascii="Arial" w:hAnsi="Arial" w:eastAsia="Calibri" w:cs="Arial"/>
          <w:b/>
          <w:sz w:val="22"/>
        </w:rPr>
      </w:pPr>
      <w:r w:rsidRPr="007E354F">
        <w:rPr>
          <w:rFonts w:ascii="Arial" w:hAnsi="Arial" w:eastAsia="Calibri" w:cs="Arial"/>
          <w:b/>
          <w:sz w:val="22"/>
        </w:rPr>
        <w:t>2.1</w:t>
      </w:r>
      <w:r w:rsidRPr="007E354F" w:rsidR="00137404">
        <w:rPr>
          <w:rFonts w:ascii="Arial" w:hAnsi="Arial" w:eastAsia="Calibri" w:cs="Arial"/>
          <w:b/>
          <w:sz w:val="22"/>
        </w:rPr>
        <w:t>. Publicidad de los contratos en el Sistema Electrónico de Contratación Pública –SECOP–</w:t>
      </w:r>
    </w:p>
    <w:p w:rsidRPr="007E354F" w:rsidR="00240457" w:rsidP="00CB3127" w:rsidRDefault="00240457" w14:paraId="10B27915" w14:textId="77777777">
      <w:pPr>
        <w:tabs>
          <w:tab w:val="left" w:pos="426"/>
        </w:tabs>
        <w:rPr>
          <w:rFonts w:ascii="Arial" w:hAnsi="Arial" w:eastAsia="Calibri" w:cs="Arial"/>
          <w:b/>
          <w:sz w:val="22"/>
        </w:rPr>
      </w:pPr>
    </w:p>
    <w:p w:rsidRPr="007E354F" w:rsidR="00137404" w:rsidP="007762F3" w:rsidRDefault="00137404" w14:paraId="64367716" w14:textId="70A131ED">
      <w:pPr>
        <w:spacing w:before="120" w:after="120" w:line="276" w:lineRule="auto"/>
        <w:jc w:val="both"/>
        <w:rPr>
          <w:rFonts w:ascii="Arial" w:hAnsi="Arial" w:eastAsia="Calibri" w:cs="Arial"/>
          <w:bCs/>
          <w:sz w:val="22"/>
        </w:rPr>
      </w:pPr>
      <w:r w:rsidRPr="007E354F">
        <w:rPr>
          <w:rFonts w:ascii="Arial" w:hAnsi="Arial" w:eastAsia="Calibri" w:cs="Arial"/>
          <w:bCs/>
          <w:sz w:val="22"/>
        </w:rPr>
        <w:t>La Agencia Nacional de Contratación Pública</w:t>
      </w:r>
      <w:r w:rsidRPr="007E354F" w:rsidR="00905F30">
        <w:rPr>
          <w:rFonts w:ascii="Arial" w:hAnsi="Arial" w:eastAsia="Calibri" w:cs="Arial"/>
          <w:bCs/>
          <w:sz w:val="22"/>
        </w:rPr>
        <w:t xml:space="preserve"> – Colombia Compra Eficiente</w:t>
      </w:r>
      <w:r w:rsidRPr="007E354F">
        <w:rPr>
          <w:rFonts w:ascii="Arial" w:hAnsi="Arial" w:eastAsia="Calibri" w:cs="Arial"/>
          <w:bCs/>
          <w:sz w:val="22"/>
        </w:rPr>
        <w:t xml:space="preserve">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4201912000007828 del 13 de noviembre de 2019</w:t>
      </w:r>
      <w:r w:rsidRPr="007E354F" w:rsidR="0061063A">
        <w:rPr>
          <w:rFonts w:ascii="Arial" w:hAnsi="Arial" w:eastAsia="Calibri" w:cs="Arial"/>
          <w:bCs/>
          <w:sz w:val="22"/>
        </w:rPr>
        <w:t xml:space="preserve">, </w:t>
      </w:r>
      <w:r w:rsidRPr="007E354F" w:rsidR="00905F30">
        <w:rPr>
          <w:rFonts w:ascii="Arial" w:hAnsi="Arial" w:eastAsia="Calibri" w:cs="Arial"/>
          <w:bCs/>
          <w:sz w:val="22"/>
        </w:rPr>
        <w:t xml:space="preserve">en las consultas </w:t>
      </w:r>
      <w:r w:rsidRPr="007E354F" w:rsidR="0061063A">
        <w:rPr>
          <w:rFonts w:ascii="Arial" w:hAnsi="Arial" w:eastAsia="Calibri" w:cs="Arial"/>
          <w:bCs/>
          <w:sz w:val="22"/>
        </w:rPr>
        <w:t>420191</w:t>
      </w:r>
      <w:r w:rsidRPr="007E354F" w:rsidR="00240457">
        <w:rPr>
          <w:rFonts w:ascii="Arial" w:hAnsi="Arial" w:eastAsia="Calibri" w:cs="Arial"/>
          <w:bCs/>
          <w:sz w:val="22"/>
        </w:rPr>
        <w:t>2000008073,</w:t>
      </w:r>
      <w:r w:rsidRPr="007E354F" w:rsidR="00905F30">
        <w:rPr>
          <w:rFonts w:ascii="Arial" w:hAnsi="Arial" w:eastAsia="Calibri" w:cs="Arial"/>
          <w:bCs/>
          <w:sz w:val="22"/>
        </w:rPr>
        <w:t xml:space="preserve"> 420201200000029 del 1</w:t>
      </w:r>
      <w:r w:rsidRPr="007E354F" w:rsidR="002752CC">
        <w:rPr>
          <w:rFonts w:ascii="Arial" w:hAnsi="Arial" w:eastAsia="Calibri" w:cs="Arial"/>
          <w:bCs/>
          <w:sz w:val="22"/>
        </w:rPr>
        <w:t>5</w:t>
      </w:r>
      <w:r w:rsidRPr="007E354F" w:rsidR="0061063A">
        <w:rPr>
          <w:rFonts w:ascii="Arial" w:hAnsi="Arial" w:eastAsia="Calibri" w:cs="Arial"/>
          <w:bCs/>
          <w:sz w:val="22"/>
        </w:rPr>
        <w:t xml:space="preserve"> de enero de 2020</w:t>
      </w:r>
      <w:r w:rsidRPr="007E354F" w:rsidR="00905F30">
        <w:rPr>
          <w:rFonts w:ascii="Arial" w:hAnsi="Arial" w:eastAsia="Calibri" w:cs="Arial"/>
          <w:bCs/>
          <w:sz w:val="22"/>
        </w:rPr>
        <w:t xml:space="preserve"> con radicado interno CU – 003 de 2020</w:t>
      </w:r>
      <w:r w:rsidRPr="007E354F" w:rsidR="00240457">
        <w:rPr>
          <w:rFonts w:ascii="Arial" w:hAnsi="Arial" w:eastAsia="Calibri" w:cs="Arial"/>
          <w:bCs/>
          <w:sz w:val="22"/>
        </w:rPr>
        <w:t xml:space="preserve"> y finalmente en el concepto </w:t>
      </w:r>
      <w:r w:rsidRPr="007E354F" w:rsidR="00240457">
        <w:rPr>
          <w:rFonts w:ascii="Arial" w:hAnsi="Arial" w:eastAsia="Calibri" w:cs="Arial"/>
          <w:sz w:val="22"/>
        </w:rPr>
        <w:t>4202013000000741 del 29 de enero de 2020, con radicado interno C ‒ 095 de 2020, en  donde  se sostuvo la idea que se reitera a continuación</w:t>
      </w:r>
      <w:r w:rsidRPr="007E354F">
        <w:rPr>
          <w:rFonts w:ascii="Arial" w:hAnsi="Arial" w:eastAsia="Calibri" w:cs="Arial"/>
          <w:bCs/>
          <w:sz w:val="22"/>
        </w:rPr>
        <w:t xml:space="preserve">: </w:t>
      </w:r>
    </w:p>
    <w:p w:rsidRPr="007E354F" w:rsidR="00240457" w:rsidP="00240457" w:rsidRDefault="00240457" w14:paraId="29054E42" w14:textId="77777777">
      <w:pPr>
        <w:spacing w:line="276" w:lineRule="auto"/>
        <w:ind w:firstLine="708"/>
        <w:jc w:val="both"/>
        <w:rPr>
          <w:rFonts w:ascii="Arial" w:hAnsi="Arial" w:cs="Arial"/>
          <w:sz w:val="22"/>
        </w:rPr>
      </w:pPr>
      <w:r w:rsidRPr="007E354F">
        <w:rPr>
          <w:rFonts w:ascii="Arial" w:hAnsi="Arial" w:eastAsia="Calibri" w:cs="Arial"/>
          <w:sz w:val="22"/>
        </w:rPr>
        <w:t xml:space="preserve">Para la Corte Constitucional, el principio de publicidad es la garantía que tienen las personas de conocer las actuaciones judiciales y administrativas y con base en ese </w:t>
      </w:r>
      <w:r w:rsidRPr="007E354F">
        <w:rPr>
          <w:rFonts w:ascii="Arial" w:hAnsi="Arial" w:cs="Arial"/>
          <w:sz w:val="22"/>
        </w:rPr>
        <w:t xml:space="preserve">conocimiento tener la posibilidad de exigir que se surtan conforme a la ley: </w:t>
      </w:r>
    </w:p>
    <w:p w:rsidRPr="007E354F" w:rsidR="00240457" w:rsidP="00240457" w:rsidRDefault="00240457" w14:paraId="4B97F937" w14:textId="77777777">
      <w:pPr>
        <w:ind w:firstLine="708"/>
        <w:jc w:val="both"/>
        <w:rPr>
          <w:rFonts w:ascii="Arial" w:hAnsi="Arial" w:cs="Arial"/>
          <w:sz w:val="22"/>
        </w:rPr>
      </w:pPr>
    </w:p>
    <w:p w:rsidRPr="007E354F" w:rsidR="00240457" w:rsidP="00240457" w:rsidRDefault="00240457" w14:paraId="20409883" w14:textId="77777777">
      <w:pPr>
        <w:ind w:left="708"/>
        <w:jc w:val="both"/>
        <w:rPr>
          <w:rFonts w:ascii="Arial" w:hAnsi="Arial" w:cs="Arial"/>
          <w:sz w:val="21"/>
          <w:szCs w:val="21"/>
        </w:rPr>
      </w:pPr>
      <w:r w:rsidRPr="007E354F">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7E354F" w:rsidR="00CB3127" w:rsidP="00240457" w:rsidRDefault="00CB3127" w14:paraId="73B73F07" w14:textId="77777777">
      <w:pPr>
        <w:ind w:left="708"/>
        <w:jc w:val="both"/>
        <w:rPr>
          <w:rFonts w:ascii="Arial" w:hAnsi="Arial" w:cs="Arial"/>
          <w:sz w:val="21"/>
          <w:szCs w:val="21"/>
        </w:rPr>
      </w:pPr>
    </w:p>
    <w:p w:rsidRPr="007E354F" w:rsidR="00240457" w:rsidP="00240457" w:rsidRDefault="00240457" w14:paraId="692791C9" w14:textId="77777777">
      <w:pPr>
        <w:ind w:left="708"/>
        <w:jc w:val="both"/>
        <w:rPr>
          <w:rFonts w:ascii="Arial" w:hAnsi="Arial" w:cs="Arial"/>
          <w:sz w:val="21"/>
          <w:szCs w:val="21"/>
        </w:rPr>
      </w:pPr>
      <w:r w:rsidRPr="007E354F">
        <w:rPr>
          <w:rFonts w:ascii="Arial" w:hAnsi="Arial" w:cs="Arial"/>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7E354F">
        <w:rPr>
          <w:rFonts w:ascii="Arial" w:hAnsi="Arial" w:cs="Arial"/>
          <w:sz w:val="21"/>
          <w:szCs w:val="21"/>
        </w:rPr>
        <w:t>autoridades públicas</w:t>
      </w:r>
      <w:proofErr w:type="gramEnd"/>
      <w:r w:rsidRPr="007E354F">
        <w:rPr>
          <w:rFonts w:ascii="Arial" w:hAnsi="Arial" w:cs="Arial"/>
          <w:sz w:val="21"/>
          <w:szCs w:val="21"/>
        </w:rPr>
        <w:t xml:space="preserve"> y, a través de ese conocimiento, a exigir que ellas se surtan conforme a la ley</w:t>
      </w:r>
      <w:r w:rsidRPr="007E354F">
        <w:rPr>
          <w:rStyle w:val="Refdenotaalpie"/>
          <w:rFonts w:ascii="Arial" w:hAnsi="Arial" w:cs="Arial"/>
          <w:sz w:val="21"/>
          <w:szCs w:val="21"/>
        </w:rPr>
        <w:footnoteReference w:id="2"/>
      </w:r>
      <w:r w:rsidRPr="007E354F">
        <w:rPr>
          <w:rFonts w:ascii="Arial" w:hAnsi="Arial" w:cs="Arial"/>
          <w:sz w:val="21"/>
          <w:szCs w:val="21"/>
        </w:rPr>
        <w:t>.</w:t>
      </w:r>
    </w:p>
    <w:p w:rsidRPr="007E354F" w:rsidR="00240457" w:rsidP="00240457" w:rsidRDefault="00240457" w14:paraId="2E10AEB4" w14:textId="77777777">
      <w:pPr>
        <w:ind w:firstLine="708"/>
        <w:jc w:val="both"/>
        <w:rPr>
          <w:rFonts w:ascii="Arial" w:hAnsi="Arial" w:cs="Arial"/>
          <w:sz w:val="21"/>
          <w:szCs w:val="21"/>
        </w:rPr>
      </w:pPr>
    </w:p>
    <w:p w:rsidRPr="007E354F" w:rsidR="00240457" w:rsidP="00240457" w:rsidRDefault="00240457" w14:paraId="510AEB55" w14:textId="77777777">
      <w:pPr>
        <w:spacing w:line="276" w:lineRule="auto"/>
        <w:ind w:firstLine="708"/>
        <w:jc w:val="both"/>
        <w:rPr>
          <w:rFonts w:ascii="Arial" w:hAnsi="Arial" w:eastAsia="Calibri" w:cs="Arial"/>
          <w:sz w:val="22"/>
        </w:rPr>
      </w:pPr>
      <w:r w:rsidRPr="007E354F">
        <w:rPr>
          <w:rFonts w:ascii="Arial" w:hAnsi="Arial" w:cs="Arial"/>
          <w:sz w:val="22"/>
        </w:rPr>
        <w:t>El principio de publicidad impone a las autoridades administrativas el deber de dar</w:t>
      </w:r>
      <w:r w:rsidRPr="007E354F">
        <w:rPr>
          <w:rFonts w:ascii="Arial" w:hAnsi="Arial" w:eastAsia="Calibri" w:cs="Arial"/>
          <w:sz w:val="22"/>
        </w:rPr>
        <w:t xml:space="preserve"> a conocer sus actos, contratos y decisiones, para que se divulguen y eventualmente se controlen las actuaciones. </w:t>
      </w:r>
    </w:p>
    <w:p w:rsidRPr="007E354F" w:rsidR="00240457" w:rsidP="00240457" w:rsidRDefault="00240457" w14:paraId="2AF301B5"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El literal c) del artículo 3 de la Ley 1150 de 2007 establece que el Sistema Electrónico para la Contratación Pública «contará con la información oficial de </w:t>
      </w:r>
      <w:proofErr w:type="gramStart"/>
      <w:r w:rsidRPr="007E354F">
        <w:rPr>
          <w:rFonts w:ascii="Arial" w:hAnsi="Arial" w:eastAsia="Calibri" w:cs="Arial"/>
          <w:sz w:val="22"/>
        </w:rPr>
        <w:t>la  contratación</w:t>
      </w:r>
      <w:proofErr w:type="gramEnd"/>
      <w:r w:rsidRPr="007E354F">
        <w:rPr>
          <w:rFonts w:ascii="Arial" w:hAnsi="Arial" w:eastAsia="Calibri" w:cs="Arial"/>
          <w:sz w:val="22"/>
        </w:rPr>
        <w:t xml:space="preserve"> realizada con dineros públicos, para lo cual establecerá los patrones a que haya lugar y se encargará de su difusión a través de canales electrónicos»</w:t>
      </w:r>
      <w:r w:rsidRPr="007E354F">
        <w:rPr>
          <w:rFonts w:ascii="Arial" w:hAnsi="Arial" w:eastAsia="Calibri" w:cs="Arial"/>
          <w:sz w:val="22"/>
          <w:vertAlign w:val="superscript"/>
        </w:rPr>
        <w:footnoteReference w:id="3"/>
      </w:r>
      <w:r w:rsidRPr="007E354F">
        <w:rPr>
          <w:rFonts w:ascii="Arial" w:hAnsi="Arial" w:eastAsia="Calibri" w:cs="Arial"/>
          <w:sz w:val="22"/>
        </w:rPr>
        <w:t xml:space="preserve">. </w:t>
      </w:r>
    </w:p>
    <w:p w:rsidRPr="007E354F" w:rsidR="00240457" w:rsidP="00240457" w:rsidRDefault="00240457" w14:paraId="479550D3" w14:textId="77777777">
      <w:pPr>
        <w:spacing w:before="120" w:after="120" w:line="276" w:lineRule="auto"/>
        <w:ind w:firstLine="709"/>
        <w:jc w:val="both"/>
        <w:rPr>
          <w:rFonts w:ascii="Arial" w:hAnsi="Arial" w:eastAsia="Calibri" w:cs="Arial"/>
          <w:sz w:val="22"/>
        </w:rPr>
      </w:pPr>
      <w:r w:rsidRPr="007E354F">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E354F">
        <w:rPr>
          <w:rFonts w:ascii="Arial" w:hAnsi="Arial" w:cs="Arial"/>
          <w:sz w:val="22"/>
          <w:vertAlign w:val="superscript"/>
        </w:rPr>
        <w:footnoteReference w:id="4"/>
      </w:r>
      <w:r w:rsidRPr="007E354F">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7E354F" w:rsidR="00240457" w:rsidP="00240457" w:rsidRDefault="00240457" w14:paraId="464A80D9" w14:textId="77777777">
      <w:pPr>
        <w:spacing w:before="120" w:after="120" w:line="276" w:lineRule="auto"/>
        <w:ind w:firstLine="709"/>
        <w:jc w:val="both"/>
        <w:rPr>
          <w:rFonts w:ascii="Arial" w:hAnsi="Arial" w:cs="Arial"/>
          <w:sz w:val="22"/>
        </w:rPr>
      </w:pPr>
      <w:r w:rsidRPr="007E354F">
        <w:rPr>
          <w:rFonts w:ascii="Arial" w:hAnsi="Arial" w:cs="Arial"/>
          <w:sz w:val="22"/>
        </w:rPr>
        <w:t>La ley citada establece, en el literal e) del artículo 9, que los sujetos obligados, que son todas las entidades públicas</w:t>
      </w:r>
      <w:r w:rsidRPr="007E354F">
        <w:rPr>
          <w:rFonts w:ascii="Arial" w:hAnsi="Arial" w:cs="Arial"/>
          <w:sz w:val="22"/>
          <w:vertAlign w:val="superscript"/>
        </w:rPr>
        <w:footnoteReference w:id="5"/>
      </w:r>
      <w:r w:rsidRPr="007E354F">
        <w:rPr>
          <w:rFonts w:ascii="Arial" w:hAnsi="Arial" w:cs="Arial"/>
          <w:sz w:val="22"/>
        </w:rPr>
        <w:t xml:space="preserve">, deben publicar la información relativa a su contratación. </w:t>
      </w:r>
      <w:r w:rsidRPr="007E354F">
        <w:rPr>
          <w:rFonts w:ascii="Arial" w:hAnsi="Arial" w:cs="Arial"/>
          <w:sz w:val="22"/>
        </w:rPr>
        <w:lastRenderedPageBreak/>
        <w:t>Esta obligación fue desarrollada por el Decreto Único Reglamentario 1081 de 2015</w:t>
      </w:r>
      <w:r w:rsidRPr="007E354F">
        <w:rPr>
          <w:rFonts w:ascii="Arial" w:hAnsi="Arial" w:cs="Arial"/>
          <w:sz w:val="22"/>
          <w:vertAlign w:val="superscript"/>
        </w:rPr>
        <w:footnoteReference w:id="6"/>
      </w:r>
      <w:r w:rsidRPr="007E354F">
        <w:rPr>
          <w:rFonts w:ascii="Arial" w:hAnsi="Arial" w:cs="Arial"/>
          <w:sz w:val="22"/>
        </w:rPr>
        <w:t>, el cual dispuso que la publicación de la información contractual de los sujetos obligados, que contratan con cargo a recursos públicos, debe hacerse en el Sistema Electrónico de Contratación Pública ─ SECOP.</w:t>
      </w:r>
    </w:p>
    <w:p w:rsidRPr="007E354F" w:rsidR="00240457" w:rsidP="00240457" w:rsidRDefault="00240457" w14:paraId="333DE8A3" w14:textId="77777777">
      <w:pPr>
        <w:spacing w:before="120" w:after="120" w:line="276" w:lineRule="auto"/>
        <w:ind w:firstLine="709"/>
        <w:jc w:val="both"/>
        <w:rPr>
          <w:rFonts w:ascii="Arial" w:hAnsi="Arial" w:cs="Arial"/>
          <w:sz w:val="22"/>
          <w:lang w:val="es-ES"/>
        </w:rPr>
      </w:pPr>
      <w:r w:rsidRPr="007E354F">
        <w:rPr>
          <w:rFonts w:ascii="Arial" w:hAnsi="Arial" w:cs="Arial"/>
          <w:sz w:val="22"/>
        </w:rPr>
        <w:t xml:space="preserve">Asimismo, de </w:t>
      </w:r>
      <w:r w:rsidRPr="007E354F">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Pr="007E354F" w:rsidR="00240457" w:rsidP="00240457" w:rsidRDefault="00240457" w14:paraId="69128CF4"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7E354F">
        <w:rPr>
          <w:rFonts w:ascii="Arial" w:hAnsi="Arial" w:eastAsia="Calibri" w:cs="Arial"/>
          <w:sz w:val="22"/>
          <w:vertAlign w:val="superscript"/>
        </w:rPr>
        <w:footnoteReference w:id="7"/>
      </w:r>
      <w:r w:rsidRPr="007E354F">
        <w:rPr>
          <w:rFonts w:ascii="Arial" w:hAnsi="Arial" w:eastAsia="Calibri" w:cs="Arial"/>
          <w:sz w:val="22"/>
        </w:rPr>
        <w:t>.</w:t>
      </w:r>
    </w:p>
    <w:p w:rsidRPr="007E354F" w:rsidR="00240457" w:rsidP="00240457" w:rsidRDefault="00240457" w14:paraId="07B66162" w14:textId="0EDFF665">
      <w:pPr>
        <w:spacing w:before="120" w:after="120" w:line="276" w:lineRule="auto"/>
        <w:ind w:firstLine="709"/>
        <w:jc w:val="both"/>
        <w:rPr>
          <w:rFonts w:ascii="Arial" w:hAnsi="Arial" w:cs="Arial"/>
          <w:sz w:val="22"/>
          <w:lang w:val="es-ES"/>
        </w:rPr>
      </w:pPr>
      <w:r w:rsidRPr="007E354F">
        <w:rPr>
          <w:rFonts w:ascii="Arial" w:hAnsi="Arial" w:cs="Arial"/>
          <w:sz w:val="22"/>
          <w:lang w:val="es-ES"/>
        </w:rPr>
        <w:t>Para el año 2013, la Agencia Nacional de Contratación Pública ─ Colombia Compra Eficiente, mediante la Circular Externa No 1 del</w:t>
      </w:r>
      <w:r w:rsidRPr="007E354F">
        <w:rPr>
          <w:rFonts w:ascii="Arial" w:hAnsi="Arial" w:cs="Arial"/>
          <w:sz w:val="22"/>
        </w:rPr>
        <w:t xml:space="preserve"> </w:t>
      </w:r>
      <w:r w:rsidRPr="007E354F">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7E354F">
        <w:rPr>
          <w:rFonts w:ascii="Arial" w:hAnsi="Arial" w:cs="Arial"/>
          <w:sz w:val="22"/>
          <w:vertAlign w:val="superscript"/>
          <w:lang w:val="es-ES"/>
        </w:rPr>
        <w:footnoteReference w:id="8"/>
      </w:r>
      <w:r w:rsidRPr="007E354F">
        <w:rPr>
          <w:rFonts w:ascii="Arial" w:hAnsi="Arial" w:cs="Arial"/>
          <w:sz w:val="22"/>
          <w:lang w:val="es-ES"/>
        </w:rPr>
        <w:t xml:space="preserve">. Además, la Circular Externa Única, en el numeral 1.1., establece, de manera enunciativa, que deben publicar en el SECOP: «2. Las entidades del Estado que tienen un régimen especial de contratación, siempre y cuando el contrato ejecute o tenga como fuente de financiación </w:t>
      </w:r>
      <w:r w:rsidRPr="007E354F">
        <w:rPr>
          <w:rFonts w:ascii="Arial" w:hAnsi="Arial" w:cs="Arial"/>
          <w:sz w:val="22"/>
          <w:lang w:val="es-ES"/>
        </w:rPr>
        <w:lastRenderedPageBreak/>
        <w:t>dineros públicos, sin importar su proporción, a través del módulo [Régimen Especial], de acuerdo con lo establecido en su propio manual de contratación».</w:t>
      </w:r>
    </w:p>
    <w:p w:rsidRPr="007E354F" w:rsidR="00240457" w:rsidP="00240457" w:rsidRDefault="00240457" w14:paraId="7AC29FED" w14:textId="77777777">
      <w:pPr>
        <w:spacing w:line="276" w:lineRule="auto"/>
        <w:ind w:firstLine="709"/>
        <w:jc w:val="both"/>
        <w:rPr>
          <w:rFonts w:ascii="Arial" w:hAnsi="Arial" w:cs="Arial"/>
          <w:sz w:val="22"/>
          <w:lang w:val="es-ES"/>
        </w:rPr>
      </w:pPr>
      <w:r w:rsidRPr="007E354F">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rsidRPr="007E354F" w:rsidR="00240457" w:rsidP="00240457" w:rsidRDefault="00240457" w14:paraId="177E3133" w14:textId="77777777">
      <w:pPr>
        <w:ind w:firstLine="709"/>
        <w:jc w:val="both"/>
        <w:rPr>
          <w:rFonts w:ascii="Arial" w:hAnsi="Arial" w:cs="Arial"/>
          <w:sz w:val="22"/>
          <w:lang w:val="es-ES"/>
        </w:rPr>
      </w:pPr>
    </w:p>
    <w:p w:rsidRPr="007E354F" w:rsidR="00240457" w:rsidP="00240457" w:rsidRDefault="00240457" w14:paraId="5F322CCB" w14:textId="77777777">
      <w:pPr>
        <w:tabs>
          <w:tab w:val="left" w:pos="3885"/>
        </w:tabs>
        <w:ind w:left="709" w:right="709"/>
        <w:jc w:val="both"/>
        <w:rPr>
          <w:rFonts w:ascii="Arial" w:hAnsi="Arial" w:cs="Arial"/>
          <w:sz w:val="21"/>
          <w:szCs w:val="21"/>
          <w:lang w:val="es-ES"/>
        </w:rPr>
      </w:pPr>
      <w:r w:rsidRPr="007E354F">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7E354F" w:rsidR="00240457" w:rsidP="00240457" w:rsidRDefault="00240457" w14:paraId="22ED5B96" w14:textId="77777777">
      <w:pPr>
        <w:tabs>
          <w:tab w:val="left" w:pos="3885"/>
        </w:tabs>
        <w:ind w:left="709" w:right="709"/>
        <w:jc w:val="both"/>
        <w:rPr>
          <w:rFonts w:ascii="Arial" w:hAnsi="Arial" w:cs="Arial"/>
          <w:sz w:val="21"/>
          <w:szCs w:val="21"/>
          <w:lang w:val="es-ES"/>
        </w:rPr>
      </w:pPr>
    </w:p>
    <w:p w:rsidRPr="007E354F" w:rsidR="00240457" w:rsidP="00240457" w:rsidRDefault="00240457" w14:paraId="06DF5C4B" w14:textId="77777777">
      <w:pPr>
        <w:tabs>
          <w:tab w:val="left" w:pos="3885"/>
        </w:tabs>
        <w:ind w:left="709" w:right="709"/>
        <w:jc w:val="both"/>
        <w:rPr>
          <w:rFonts w:ascii="Arial" w:hAnsi="Arial" w:cs="Arial"/>
          <w:sz w:val="21"/>
          <w:szCs w:val="21"/>
          <w:lang w:val="es-ES"/>
        </w:rPr>
      </w:pPr>
      <w:r w:rsidRPr="007E354F">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7E354F">
        <w:rPr>
          <w:rFonts w:ascii="Arial" w:hAnsi="Arial" w:cs="Arial"/>
          <w:sz w:val="21"/>
          <w:szCs w:val="21"/>
          <w:lang w:val="es-ES"/>
        </w:rPr>
        <w:t>en razón de</w:t>
      </w:r>
      <w:proofErr w:type="gramEnd"/>
      <w:r w:rsidRPr="007E354F">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7E354F" w:rsidR="00240457" w:rsidP="00240457" w:rsidRDefault="00240457" w14:paraId="41E451B5" w14:textId="77777777">
      <w:pPr>
        <w:tabs>
          <w:tab w:val="left" w:pos="3885"/>
        </w:tabs>
        <w:ind w:left="709" w:right="709"/>
        <w:jc w:val="both"/>
        <w:rPr>
          <w:rFonts w:ascii="Arial" w:hAnsi="Arial" w:cs="Arial"/>
          <w:sz w:val="21"/>
          <w:szCs w:val="21"/>
          <w:lang w:val="es-ES"/>
        </w:rPr>
      </w:pPr>
      <w:r w:rsidRPr="007E354F">
        <w:rPr>
          <w:rFonts w:ascii="Arial" w:hAnsi="Arial" w:cs="Arial"/>
          <w:sz w:val="21"/>
          <w:szCs w:val="21"/>
          <w:lang w:val="es-ES"/>
        </w:rPr>
        <w:t>[…]</w:t>
      </w:r>
    </w:p>
    <w:p w:rsidRPr="007E354F" w:rsidR="00240457" w:rsidP="00240457" w:rsidRDefault="00240457" w14:paraId="6F1F69E3" w14:textId="77777777">
      <w:pPr>
        <w:tabs>
          <w:tab w:val="left" w:pos="3885"/>
        </w:tabs>
        <w:ind w:left="709" w:right="709"/>
        <w:jc w:val="both"/>
        <w:rPr>
          <w:rFonts w:ascii="Arial" w:hAnsi="Arial" w:cs="Arial"/>
          <w:sz w:val="21"/>
          <w:szCs w:val="21"/>
          <w:lang w:val="es-ES"/>
        </w:rPr>
      </w:pPr>
    </w:p>
    <w:p w:rsidRPr="007E354F" w:rsidR="00240457" w:rsidP="00240457" w:rsidRDefault="00240457" w14:paraId="232E2134" w14:textId="77777777">
      <w:pPr>
        <w:tabs>
          <w:tab w:val="left" w:pos="3885"/>
        </w:tabs>
        <w:ind w:left="709" w:right="709"/>
        <w:jc w:val="both"/>
        <w:rPr>
          <w:rFonts w:ascii="Arial" w:hAnsi="Arial" w:cs="Arial"/>
          <w:sz w:val="21"/>
          <w:szCs w:val="21"/>
          <w:lang w:val="es-ES"/>
        </w:rPr>
      </w:pPr>
      <w:r w:rsidRPr="007E354F">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7E354F">
        <w:rPr>
          <w:rFonts w:ascii="Arial" w:hAnsi="Arial" w:cs="Arial"/>
          <w:sz w:val="21"/>
          <w:szCs w:val="21"/>
          <w:vertAlign w:val="superscript"/>
        </w:rPr>
        <w:footnoteReference w:id="9"/>
      </w:r>
      <w:r w:rsidRPr="007E354F">
        <w:rPr>
          <w:rFonts w:ascii="Arial" w:hAnsi="Arial" w:cs="Arial"/>
          <w:sz w:val="21"/>
          <w:szCs w:val="21"/>
          <w:lang w:val="es-ES"/>
        </w:rPr>
        <w:t>.</w:t>
      </w:r>
    </w:p>
    <w:p w:rsidRPr="007E354F" w:rsidR="00240457" w:rsidP="00240457" w:rsidRDefault="00240457" w14:paraId="3BBC858F" w14:textId="77777777">
      <w:pPr>
        <w:tabs>
          <w:tab w:val="left" w:pos="3885"/>
        </w:tabs>
        <w:spacing w:line="276" w:lineRule="auto"/>
        <w:ind w:left="709" w:right="709"/>
        <w:jc w:val="both"/>
        <w:rPr>
          <w:rFonts w:ascii="Arial" w:hAnsi="Arial" w:cs="Arial"/>
          <w:sz w:val="21"/>
          <w:szCs w:val="21"/>
          <w:lang w:val="es-ES"/>
        </w:rPr>
      </w:pPr>
    </w:p>
    <w:p w:rsidRPr="007E354F" w:rsidR="00240457" w:rsidP="00240457" w:rsidRDefault="00240457" w14:paraId="4A5C853B" w14:textId="77777777">
      <w:pPr>
        <w:spacing w:line="276" w:lineRule="auto"/>
        <w:ind w:firstLine="708"/>
        <w:jc w:val="both"/>
        <w:rPr>
          <w:rFonts w:ascii="Arial" w:hAnsi="Arial" w:cs="Arial"/>
          <w:sz w:val="22"/>
          <w:lang w:val="es-ES"/>
        </w:rPr>
      </w:pPr>
      <w:r w:rsidRPr="007E354F">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rsidRPr="007E354F" w:rsidR="00240457" w:rsidP="00240457" w:rsidRDefault="00240457" w14:paraId="5A7010CF" w14:textId="77777777">
      <w:pPr>
        <w:ind w:firstLine="708"/>
        <w:jc w:val="both"/>
        <w:rPr>
          <w:rFonts w:ascii="Arial" w:hAnsi="Arial" w:cs="Arial"/>
          <w:sz w:val="21"/>
          <w:szCs w:val="21"/>
          <w:lang w:val="es-ES"/>
        </w:rPr>
      </w:pPr>
    </w:p>
    <w:p w:rsidRPr="007E354F" w:rsidR="00240457" w:rsidP="00240457" w:rsidRDefault="00240457" w14:paraId="1841B004" w14:textId="77777777">
      <w:pPr>
        <w:ind w:left="708" w:leftChars="295" w:right="709"/>
        <w:jc w:val="both"/>
        <w:rPr>
          <w:rFonts w:ascii="Arial" w:hAnsi="Arial" w:cs="Arial"/>
          <w:sz w:val="21"/>
          <w:szCs w:val="21"/>
          <w:lang w:val="es-ES"/>
        </w:rPr>
      </w:pPr>
      <w:r w:rsidRPr="007E354F">
        <w:rPr>
          <w:rFonts w:ascii="Arial" w:hAnsi="Arial" w:cs="Arial"/>
          <w:sz w:val="21"/>
          <w:szCs w:val="21"/>
          <w:lang w:val="es-ES"/>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rsidRPr="007E354F" w:rsidR="00240457" w:rsidP="00240457" w:rsidRDefault="00240457" w14:paraId="2B0A42A0" w14:textId="77777777">
      <w:pPr>
        <w:ind w:left="708" w:leftChars="295" w:right="709"/>
        <w:jc w:val="both"/>
        <w:rPr>
          <w:rFonts w:ascii="Arial" w:hAnsi="Arial" w:cs="Arial"/>
          <w:sz w:val="21"/>
          <w:szCs w:val="21"/>
          <w:lang w:val="es-ES"/>
        </w:rPr>
      </w:pPr>
    </w:p>
    <w:p w:rsidRPr="007E354F" w:rsidR="00240457" w:rsidP="00240457" w:rsidRDefault="00240457" w14:paraId="43AABE4E" w14:textId="77777777">
      <w:pPr>
        <w:spacing w:before="120" w:after="120" w:line="276" w:lineRule="auto"/>
        <w:ind w:firstLine="709"/>
        <w:jc w:val="both"/>
        <w:rPr>
          <w:rFonts w:ascii="Arial" w:hAnsi="Arial" w:cs="Arial"/>
          <w:sz w:val="22"/>
          <w:lang w:val="es-ES"/>
        </w:rPr>
      </w:pPr>
      <w:r w:rsidRPr="007E354F">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w:t>
      </w:r>
      <w:proofErr w:type="gramStart"/>
      <w:r w:rsidRPr="007E354F">
        <w:rPr>
          <w:rFonts w:ascii="Arial" w:hAnsi="Arial" w:cs="Arial"/>
          <w:sz w:val="22"/>
          <w:lang w:val="es-ES"/>
        </w:rPr>
        <w:t>pues,  a</w:t>
      </w:r>
      <w:proofErr w:type="gramEnd"/>
      <w:r w:rsidRPr="007E354F">
        <w:rPr>
          <w:rFonts w:ascii="Arial" w:hAnsi="Arial" w:cs="Arial"/>
          <w:sz w:val="22"/>
          <w:lang w:val="es-ES"/>
        </w:rPr>
        <w:t xml:space="preserve">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Pr="007E354F" w:rsidR="00240457" w:rsidP="00240457" w:rsidRDefault="00240457" w14:paraId="0853896F" w14:textId="77777777">
      <w:pPr>
        <w:spacing w:line="276" w:lineRule="auto"/>
        <w:ind w:firstLine="709"/>
        <w:jc w:val="both"/>
        <w:rPr>
          <w:rFonts w:ascii="Arial" w:hAnsi="Arial" w:cs="Arial"/>
          <w:sz w:val="22"/>
          <w:lang w:val="es-ES"/>
        </w:rPr>
      </w:pPr>
      <w:r w:rsidRPr="007E354F">
        <w:rPr>
          <w:rFonts w:ascii="Arial" w:hAnsi="Arial" w:cs="Arial"/>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rsidRPr="007E354F" w:rsidR="00240457" w:rsidP="006A6BEB" w:rsidRDefault="00240457" w14:paraId="07CC2BAA" w14:textId="77777777">
      <w:pPr>
        <w:ind w:firstLine="709"/>
        <w:jc w:val="both"/>
        <w:rPr>
          <w:rFonts w:ascii="Arial" w:hAnsi="Arial" w:eastAsia="Calibri" w:cs="Arial"/>
          <w:sz w:val="22"/>
          <w:lang w:val="es-ES"/>
        </w:rPr>
      </w:pPr>
    </w:p>
    <w:p w:rsidRPr="007E354F" w:rsidR="00240457" w:rsidP="00240457" w:rsidRDefault="00240457" w14:paraId="3EB3BF0C" w14:textId="77777777">
      <w:pPr>
        <w:tabs>
          <w:tab w:val="left" w:pos="284"/>
          <w:tab w:val="left" w:pos="426"/>
        </w:tabs>
        <w:spacing w:line="276" w:lineRule="auto"/>
        <w:jc w:val="both"/>
        <w:rPr>
          <w:rFonts w:ascii="Arial" w:hAnsi="Arial" w:cs="Arial"/>
          <w:b/>
          <w:sz w:val="22"/>
          <w:lang w:val="es-ES"/>
        </w:rPr>
      </w:pPr>
      <w:r w:rsidRPr="007E354F">
        <w:rPr>
          <w:rFonts w:ascii="Arial" w:hAnsi="Arial" w:cs="Arial"/>
          <w:b/>
          <w:sz w:val="22"/>
          <w:lang w:val="es-ES"/>
        </w:rPr>
        <w:t>2.2. Documentos que publican las entidades de régimen especial en el SECOP y término para hacerlo</w:t>
      </w:r>
    </w:p>
    <w:p w:rsidRPr="007E354F" w:rsidR="00240457" w:rsidP="006A6BEB" w:rsidRDefault="00240457" w14:paraId="10B5023C" w14:textId="77777777">
      <w:pPr>
        <w:tabs>
          <w:tab w:val="left" w:pos="284"/>
          <w:tab w:val="left" w:pos="426"/>
        </w:tabs>
        <w:ind w:left="142"/>
        <w:jc w:val="both"/>
        <w:rPr>
          <w:rFonts w:ascii="Arial" w:hAnsi="Arial" w:cs="Arial"/>
          <w:b/>
          <w:sz w:val="22"/>
          <w:lang w:val="es-ES"/>
        </w:rPr>
      </w:pPr>
    </w:p>
    <w:p w:rsidRPr="007E354F" w:rsidR="00240457" w:rsidP="00240457" w:rsidRDefault="00240457" w14:paraId="0B23673B" w14:textId="77777777">
      <w:pPr>
        <w:spacing w:line="276" w:lineRule="auto"/>
        <w:jc w:val="both"/>
        <w:rPr>
          <w:rFonts w:ascii="Arial" w:hAnsi="Arial" w:eastAsia="Calibri" w:cs="Arial"/>
          <w:sz w:val="22"/>
          <w:lang w:val="es-ES"/>
        </w:rPr>
      </w:pPr>
      <w:r w:rsidRPr="007E354F">
        <w:rPr>
          <w:rFonts w:ascii="Arial" w:hAnsi="Arial" w:eastAsia="Calibri" w:cs="Arial"/>
          <w:sz w:val="22"/>
          <w:lang w:val="es-ES"/>
        </w:rPr>
        <w:t xml:space="preserve">Determinada la obligación que tienen las entidades sujetas a un régimen especial de publicar su actividad contractual en el SECOP, a </w:t>
      </w:r>
      <w:proofErr w:type="gramStart"/>
      <w:r w:rsidRPr="007E354F">
        <w:rPr>
          <w:rFonts w:ascii="Arial" w:hAnsi="Arial" w:eastAsia="Calibri" w:cs="Arial"/>
          <w:sz w:val="22"/>
          <w:lang w:val="es-ES"/>
        </w:rPr>
        <w:t>continuación</w:t>
      </w:r>
      <w:proofErr w:type="gramEnd"/>
      <w:r w:rsidRPr="007E354F">
        <w:rPr>
          <w:rFonts w:ascii="Arial" w:hAnsi="Arial" w:eastAsia="Calibri" w:cs="Arial"/>
          <w:sz w:val="22"/>
          <w:lang w:val="es-ES"/>
        </w:rPr>
        <w:t xml:space="preserve"> se identificarán los documentos que deben publicar, n</w:t>
      </w:r>
      <w:r w:rsidRPr="007E354F">
        <w:rPr>
          <w:rFonts w:ascii="Arial" w:hAnsi="Arial" w:cs="Arial"/>
          <w:bCs/>
          <w:sz w:val="22"/>
          <w:lang w:val="es-ES"/>
        </w:rPr>
        <w:t>o sin antes explicar la posición que la Agencia Nacional de Contratación Pública ─ Colombia Compra Eficiente ha adoptado desde el 2016 hasta el 2019.</w:t>
      </w:r>
    </w:p>
    <w:p w:rsidRPr="007E354F" w:rsidR="00240457" w:rsidP="00240457" w:rsidRDefault="00240457" w14:paraId="683BF515" w14:textId="77777777">
      <w:pPr>
        <w:spacing w:line="276" w:lineRule="auto"/>
        <w:ind w:firstLine="708"/>
        <w:jc w:val="both"/>
        <w:rPr>
          <w:rFonts w:ascii="Arial" w:hAnsi="Arial" w:eastAsia="Calibri" w:cs="Arial"/>
          <w:sz w:val="22"/>
          <w:lang w:val="es-ES"/>
        </w:rPr>
      </w:pPr>
      <w:r w:rsidRPr="007E354F">
        <w:rPr>
          <w:rFonts w:ascii="Arial" w:hAnsi="Arial" w:cs="Arial"/>
          <w:bCs/>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7E354F">
        <w:rPr>
          <w:rFonts w:ascii="Arial" w:hAnsi="Arial" w:cs="Arial"/>
          <w:bCs/>
          <w:sz w:val="22"/>
          <w:vertAlign w:val="superscript"/>
          <w:lang w:val="es-ES"/>
        </w:rPr>
        <w:footnoteReference w:id="10"/>
      </w:r>
      <w:r w:rsidRPr="007E354F">
        <w:rPr>
          <w:rFonts w:ascii="Arial" w:hAnsi="Arial" w:cs="Arial"/>
          <w:bCs/>
          <w:sz w:val="22"/>
          <w:lang w:val="es-ES"/>
        </w:rPr>
        <w:t>.</w:t>
      </w:r>
    </w:p>
    <w:p w:rsidRPr="007E354F" w:rsidR="00240457" w:rsidP="00240457" w:rsidRDefault="00240457" w14:paraId="5F361EBD" w14:textId="77777777">
      <w:pPr>
        <w:spacing w:before="120" w:after="120" w:line="276" w:lineRule="auto"/>
        <w:ind w:firstLine="709"/>
        <w:jc w:val="both"/>
        <w:rPr>
          <w:rFonts w:ascii="Arial" w:hAnsi="Arial" w:eastAsia="Calibri" w:cs="Arial"/>
          <w:sz w:val="22"/>
          <w:lang w:val="es-ES"/>
        </w:rPr>
      </w:pPr>
      <w:r w:rsidRPr="007E354F">
        <w:rPr>
          <w:rFonts w:ascii="Arial" w:hAnsi="Arial" w:cs="Arial"/>
          <w:sz w:val="22"/>
          <w:lang w:val="es-ES"/>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7E354F">
        <w:rPr>
          <w:rFonts w:ascii="Arial" w:hAnsi="Arial" w:eastAsia="Calibri" w:cs="Arial"/>
          <w:sz w:val="22"/>
          <w:lang w:val="es-ES"/>
        </w:rPr>
        <w:t xml:space="preserve">documentos del proceso que se debían publicar. </w:t>
      </w:r>
    </w:p>
    <w:p w:rsidRPr="007E354F" w:rsidR="00240457" w:rsidP="00240457" w:rsidRDefault="00240457" w14:paraId="3A461905" w14:textId="77777777">
      <w:pPr>
        <w:spacing w:before="120" w:after="120" w:line="276" w:lineRule="auto"/>
        <w:ind w:firstLine="709"/>
        <w:jc w:val="both"/>
        <w:rPr>
          <w:rFonts w:ascii="Arial" w:hAnsi="Arial" w:eastAsia="Calibri" w:cs="Arial"/>
          <w:sz w:val="22"/>
          <w:lang w:val="es-ES"/>
        </w:rPr>
      </w:pPr>
      <w:r w:rsidRPr="007E354F">
        <w:rPr>
          <w:rFonts w:ascii="Arial" w:hAnsi="Arial" w:eastAsia="Calibri" w:cs="Arial"/>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7E354F">
        <w:rPr>
          <w:rFonts w:ascii="Arial" w:hAnsi="Arial" w:eastAsia="Calibri" w:cs="Arial"/>
          <w:sz w:val="22"/>
          <w:vertAlign w:val="superscript"/>
          <w:lang w:val="es-ES"/>
        </w:rPr>
        <w:footnoteReference w:id="11"/>
      </w:r>
      <w:r w:rsidRPr="007E354F">
        <w:rPr>
          <w:rFonts w:ascii="Arial" w:hAnsi="Arial" w:eastAsia="Calibri" w:cs="Arial"/>
          <w:sz w:val="22"/>
          <w:lang w:val="es-ES"/>
        </w:rPr>
        <w:t xml:space="preserve">. </w:t>
      </w:r>
    </w:p>
    <w:p w:rsidRPr="007E354F" w:rsidR="00240457" w:rsidP="00240457" w:rsidRDefault="00240457" w14:paraId="2E3A9EEC" w14:textId="77777777">
      <w:pPr>
        <w:spacing w:before="120" w:after="120" w:line="276" w:lineRule="auto"/>
        <w:ind w:firstLine="709"/>
        <w:jc w:val="both"/>
        <w:rPr>
          <w:rFonts w:ascii="Arial" w:hAnsi="Arial" w:eastAsia="Calibri" w:cs="Arial"/>
          <w:sz w:val="22"/>
          <w:lang w:val="es-ES"/>
        </w:rPr>
      </w:pPr>
      <w:r w:rsidRPr="007E354F">
        <w:rPr>
          <w:rFonts w:ascii="Arial" w:hAnsi="Arial" w:eastAsia="Calibri" w:cs="Arial"/>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rsidRPr="007E354F" w:rsidR="00240457" w:rsidP="00240457" w:rsidRDefault="00240457" w14:paraId="19EF8FDD"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lastRenderedPageBreak/>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rsidRPr="007E354F" w:rsidR="00240457" w:rsidP="00240457" w:rsidRDefault="00240457" w14:paraId="166ED9BE"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7E354F">
        <w:rPr>
          <w:rFonts w:ascii="Arial" w:hAnsi="Arial" w:eastAsia="Calibri" w:cs="Arial"/>
          <w:sz w:val="22"/>
          <w:vertAlign w:val="superscript"/>
        </w:rPr>
        <w:footnoteReference w:id="12"/>
      </w:r>
      <w:r w:rsidRPr="007E354F">
        <w:rPr>
          <w:rFonts w:ascii="Arial" w:hAnsi="Arial" w:eastAsia="Calibri" w:cs="Arial"/>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7E354F">
        <w:rPr>
          <w:rFonts w:ascii="Arial" w:hAnsi="Arial" w:eastAsia="Calibri" w:cs="Arial"/>
          <w:sz w:val="22"/>
          <w:vertAlign w:val="superscript"/>
        </w:rPr>
        <w:footnoteReference w:id="13"/>
      </w:r>
      <w:r w:rsidRPr="007E354F">
        <w:rPr>
          <w:rFonts w:ascii="Arial" w:hAnsi="Arial" w:eastAsia="Calibri" w:cs="Arial"/>
          <w:sz w:val="22"/>
        </w:rPr>
        <w:t>. Finalmente, el artículo 10 establece la obligación que tienen las entidades de publicar en el SECOP el Plan Anual de Adquisiciones</w:t>
      </w:r>
      <w:r w:rsidRPr="007E354F">
        <w:rPr>
          <w:rFonts w:ascii="Arial" w:hAnsi="Arial" w:eastAsia="Calibri" w:cs="Arial"/>
          <w:sz w:val="22"/>
          <w:vertAlign w:val="superscript"/>
        </w:rPr>
        <w:footnoteReference w:id="14"/>
      </w:r>
      <w:r w:rsidRPr="007E354F">
        <w:rPr>
          <w:rFonts w:ascii="Arial" w:hAnsi="Arial" w:eastAsia="Calibri" w:cs="Arial"/>
          <w:sz w:val="22"/>
        </w:rPr>
        <w:t xml:space="preserve">.  </w:t>
      </w:r>
    </w:p>
    <w:p w:rsidRPr="007E354F" w:rsidR="00240457" w:rsidP="00240457" w:rsidRDefault="00240457" w14:paraId="35A41A4D"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De conformidad con lo anterior, el Decreto 103 de 2015 señala que los documentos que deben publicar las entidades estatales a quienes les aplica la Ley 1712 de 2014, entre </w:t>
      </w:r>
      <w:r w:rsidRPr="007E354F">
        <w:rPr>
          <w:rFonts w:ascii="Arial" w:hAnsi="Arial" w:eastAsia="Calibri" w:cs="Arial"/>
          <w:sz w:val="22"/>
        </w:rPr>
        <w:lastRenderedPageBreak/>
        <w:t xml:space="preserve">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7E354F">
        <w:rPr>
          <w:rFonts w:ascii="Arial" w:hAnsi="Arial" w:eastAsia="Calibri" w:cs="Arial"/>
          <w:sz w:val="22"/>
        </w:rPr>
        <w:t>ii</w:t>
      </w:r>
      <w:proofErr w:type="spellEnd"/>
      <w:r w:rsidRPr="007E354F">
        <w:rPr>
          <w:rFonts w:ascii="Arial" w:hAnsi="Arial" w:eastAsia="Calibri"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7E354F">
        <w:rPr>
          <w:rFonts w:ascii="Arial" w:hAnsi="Arial" w:eastAsia="Calibri" w:cs="Arial"/>
          <w:sz w:val="22"/>
        </w:rPr>
        <w:t>iii</w:t>
      </w:r>
      <w:proofErr w:type="spellEnd"/>
      <w:r w:rsidRPr="007E354F">
        <w:rPr>
          <w:rFonts w:ascii="Arial" w:hAnsi="Arial" w:eastAsia="Calibri" w:cs="Arial"/>
          <w:sz w:val="22"/>
        </w:rPr>
        <w:t xml:space="preserve">) el plan anual de adquisiciones. </w:t>
      </w:r>
    </w:p>
    <w:p w:rsidRPr="007E354F" w:rsidR="00240457" w:rsidP="00240457" w:rsidRDefault="00240457" w14:paraId="7391D25D"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rsidRPr="007E354F" w:rsidR="00240457" w:rsidP="00240457" w:rsidRDefault="00240457" w14:paraId="3C40242F"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rsidRPr="007E354F" w:rsidR="00240457" w:rsidP="00240457" w:rsidRDefault="00240457" w14:paraId="03B8F638"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7E354F">
        <w:rPr>
          <w:rFonts w:ascii="Arial" w:hAnsi="Arial" w:cs="Arial"/>
          <w:sz w:val="22"/>
        </w:rPr>
        <w:t xml:space="preserve"> </w:t>
      </w:r>
      <w:r w:rsidRPr="007E354F">
        <w:rPr>
          <w:rFonts w:ascii="Arial" w:hAnsi="Arial" w:eastAsia="Times New Roman" w:cs="Arial"/>
          <w:sz w:val="22"/>
          <w:lang w:val="es-CO" w:eastAsia="es-CO"/>
        </w:rPr>
        <w:t xml:space="preserve">las pertenecientes a todas las Ramas del Poder Público, en todos los niveles de la estructura estatal, central o descentralizada por servicios o territorialmente, en los </w:t>
      </w:r>
      <w:r w:rsidRPr="007E354F">
        <w:rPr>
          <w:rFonts w:ascii="Arial" w:hAnsi="Arial" w:eastAsia="Calibri" w:cs="Arial"/>
          <w:sz w:val="22"/>
        </w:rPr>
        <w:t xml:space="preserve">órdenes nacional, departamental, municipal y distrital. </w:t>
      </w:r>
    </w:p>
    <w:p w:rsidRPr="007E354F" w:rsidR="00240457" w:rsidP="00240457" w:rsidRDefault="00240457" w14:paraId="69CA7F55"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Identificados los documentos que deben publicar las entidades de régimen especial y su fundamento normativo, a </w:t>
      </w:r>
      <w:proofErr w:type="gramStart"/>
      <w:r w:rsidRPr="007E354F">
        <w:rPr>
          <w:rFonts w:ascii="Arial" w:hAnsi="Arial" w:eastAsia="Calibri" w:cs="Arial"/>
          <w:sz w:val="22"/>
        </w:rPr>
        <w:t>continuación</w:t>
      </w:r>
      <w:proofErr w:type="gramEnd"/>
      <w:r w:rsidRPr="007E354F">
        <w:rPr>
          <w:rFonts w:ascii="Arial" w:hAnsi="Arial" w:eastAsia="Calibri" w:cs="Arial"/>
          <w:sz w:val="22"/>
        </w:rPr>
        <w:t xml:space="preserve"> se explicará cuando se deben publicar, no sin antes explicar la posición que Colombia Compra Eficiente ha tenido en relación con este asunto. </w:t>
      </w:r>
    </w:p>
    <w:p w:rsidRPr="007E354F" w:rsidR="00240457" w:rsidP="00240457" w:rsidRDefault="00240457" w14:paraId="1883DA8A"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En el año 2017, en la consulta con radicado No. 4201713000005390 se prevé que: el plazo para publicar por parte de las entidades de régimen especial es el que se fije en el manual de contratación de la entidad</w:t>
      </w:r>
      <w:r w:rsidRPr="007E354F">
        <w:rPr>
          <w:rStyle w:val="Refdenotaalpie"/>
          <w:rFonts w:ascii="Arial" w:hAnsi="Arial" w:eastAsia="Calibri" w:cs="Arial"/>
          <w:sz w:val="22"/>
        </w:rPr>
        <w:footnoteReference w:id="15"/>
      </w:r>
      <w:r w:rsidRPr="007E354F">
        <w:rPr>
          <w:rFonts w:ascii="Arial" w:hAnsi="Arial" w:eastAsia="Calibri" w:cs="Arial"/>
          <w:sz w:val="22"/>
        </w:rPr>
        <w:t xml:space="preserve">. Por su parte, en el año 2018, con la expedición de </w:t>
      </w:r>
      <w:r w:rsidRPr="007E354F">
        <w:rPr>
          <w:rFonts w:ascii="Arial" w:hAnsi="Arial" w:eastAsia="Calibri" w:cs="Arial"/>
          <w:sz w:val="22"/>
        </w:rPr>
        <w:lastRenderedPageBreak/>
        <w:t>la Circular Externa Única, se cambió la postura y se indica: «las entidades que aun utilizan el SECOP I están obligadas a publicar los documentos del proceso dentro de los tres (3) días siguientes a su expedición […]</w:t>
      </w:r>
      <w:r w:rsidRPr="007E354F">
        <w:rPr>
          <w:rStyle w:val="Refdenotaalpie"/>
          <w:rFonts w:ascii="Arial" w:hAnsi="Arial" w:eastAsia="Calibri" w:cs="Arial"/>
          <w:sz w:val="22"/>
        </w:rPr>
        <w:footnoteReference w:id="16"/>
      </w:r>
      <w:r w:rsidRPr="007E354F">
        <w:rPr>
          <w:rFonts w:ascii="Arial" w:hAnsi="Arial" w:eastAsia="Calibri" w:cs="Arial"/>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rsidRPr="007E354F" w:rsidR="00240457" w:rsidP="00240457" w:rsidRDefault="00240457" w14:paraId="1563A0E0"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rsidRPr="007E354F" w:rsidR="00240457" w:rsidP="00240457" w:rsidRDefault="00240457" w14:paraId="2A1F6274"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7E354F">
        <w:rPr>
          <w:rStyle w:val="Refdenotaalpie"/>
          <w:rFonts w:ascii="Arial" w:hAnsi="Arial" w:eastAsia="Calibri" w:cs="Arial"/>
          <w:sz w:val="22"/>
        </w:rPr>
        <w:footnoteReference w:id="17"/>
      </w:r>
      <w:r w:rsidRPr="007E354F">
        <w:rPr>
          <w:rFonts w:ascii="Arial" w:hAnsi="Arial" w:eastAsia="Calibri" w:cs="Arial"/>
          <w:sz w:val="22"/>
        </w:rPr>
        <w:t xml:space="preserve">. En este sentido, el juez razona por analogía, cuando aplica una ley frente una </w:t>
      </w:r>
      <w:r w:rsidRPr="007E354F">
        <w:rPr>
          <w:rFonts w:ascii="Arial" w:hAnsi="Arial" w:eastAsia="Calibri" w:cs="Arial"/>
          <w:sz w:val="22"/>
        </w:rPr>
        <w:lastRenderedPageBreak/>
        <w:t>situación no contemplada explícitamente en ella, a partir del estudio de situaciones fácticas que fueron tratadas por el legislador y guardan similitud con el asunto tratado.</w:t>
      </w:r>
    </w:p>
    <w:p w:rsidRPr="007E354F" w:rsidR="00240457" w:rsidP="00240457" w:rsidRDefault="00240457" w14:paraId="1110D502"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7E354F">
        <w:rPr>
          <w:rStyle w:val="Refdenotaalpie"/>
          <w:rFonts w:ascii="Arial" w:hAnsi="Arial" w:eastAsia="Calibri" w:cs="Arial"/>
          <w:sz w:val="22"/>
        </w:rPr>
        <w:footnoteReference w:id="18"/>
      </w:r>
      <w:r w:rsidRPr="007E354F">
        <w:rPr>
          <w:rFonts w:ascii="Arial" w:hAnsi="Arial" w:eastAsia="Calibri" w:cs="Arial"/>
          <w:sz w:val="22"/>
        </w:rPr>
        <w:t xml:space="preserve">. En este sentido, las entidades sometidas al régimen de contratación de Ley 80 de 1993 publican en el SECOP sus documentos dentro de los 3 días siguientes a su expedición. </w:t>
      </w:r>
    </w:p>
    <w:p w:rsidRPr="007E354F" w:rsidR="00240457" w:rsidP="00240457" w:rsidRDefault="00240457" w14:paraId="4DC87189"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7E354F">
        <w:rPr>
          <w:rFonts w:ascii="Arial" w:hAnsi="Arial" w:eastAsia="Calibri" w:cs="Arial"/>
          <w:sz w:val="22"/>
        </w:rPr>
        <w:t>aplicarle</w:t>
      </w:r>
      <w:proofErr w:type="gramEnd"/>
      <w:r w:rsidRPr="007E354F">
        <w:rPr>
          <w:rFonts w:ascii="Arial" w:hAnsi="Arial" w:eastAsia="Calibri" w:cs="Arial"/>
          <w:sz w:val="22"/>
        </w:rPr>
        <w:t xml:space="preserve"> su consecuencia jurídica a las entidades de régimen especial. </w:t>
      </w:r>
    </w:p>
    <w:p w:rsidRPr="007E354F" w:rsidR="00240457" w:rsidP="00240457" w:rsidRDefault="00240457" w14:paraId="1DB87D5F"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rsidRPr="007E354F" w:rsidR="00240457" w:rsidP="00240457" w:rsidRDefault="00240457" w14:paraId="49AE6EDE" w14:textId="77777777">
      <w:pPr>
        <w:spacing w:before="120" w:after="120" w:line="276" w:lineRule="auto"/>
        <w:ind w:firstLine="709"/>
        <w:jc w:val="both"/>
        <w:rPr>
          <w:rFonts w:ascii="Arial" w:hAnsi="Arial" w:eastAsia="Calibri" w:cs="Arial"/>
          <w:sz w:val="22"/>
        </w:rPr>
      </w:pPr>
      <w:r w:rsidRPr="007E354F">
        <w:rPr>
          <w:rFonts w:ascii="Arial" w:hAnsi="Arial" w:eastAsia="Calibri"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rsidRPr="007E354F" w:rsidR="00240457" w:rsidP="00240457" w:rsidRDefault="00240457" w14:paraId="43E00DD2" w14:textId="77777777">
      <w:pPr>
        <w:spacing w:line="276" w:lineRule="auto"/>
        <w:ind w:firstLine="709"/>
        <w:jc w:val="both"/>
        <w:rPr>
          <w:rFonts w:ascii="Arial" w:hAnsi="Arial" w:eastAsia="Calibri" w:cs="Arial"/>
          <w:sz w:val="22"/>
        </w:rPr>
      </w:pPr>
      <w:r w:rsidRPr="007E354F">
        <w:rPr>
          <w:rFonts w:ascii="Arial" w:hAnsi="Arial" w:eastAsia="Calibri"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w:t>
      </w:r>
      <w:r w:rsidRPr="007E354F">
        <w:rPr>
          <w:rFonts w:ascii="Arial" w:hAnsi="Arial" w:eastAsia="Calibri" w:cs="Arial"/>
          <w:sz w:val="22"/>
        </w:rPr>
        <w:lastRenderedPageBreak/>
        <w:t xml:space="preserve">entidad, porque el Decreto 1082 de 2015 reglamenta el artículo 3 de la Ley 1150 de 2007, y se aplicaría el artículo 2.2.1.1.1.7.1. </w:t>
      </w:r>
    </w:p>
    <w:p w:rsidRPr="007E354F" w:rsidR="00240457" w:rsidP="009A0ED8" w:rsidRDefault="00240457" w14:paraId="73AD1BBF" w14:textId="77777777">
      <w:pPr>
        <w:jc w:val="both"/>
        <w:rPr>
          <w:rFonts w:ascii="Arial" w:hAnsi="Arial" w:eastAsia="Calibri" w:cs="Arial"/>
          <w:b/>
          <w:sz w:val="22"/>
        </w:rPr>
      </w:pPr>
    </w:p>
    <w:p w:rsidRPr="007E354F" w:rsidR="00240457" w:rsidP="009A0ED8" w:rsidRDefault="00240457" w14:paraId="530E67FF" w14:textId="77777777">
      <w:pPr>
        <w:jc w:val="both"/>
        <w:rPr>
          <w:rFonts w:ascii="Arial" w:hAnsi="Arial" w:eastAsia="Calibri" w:cs="Arial"/>
          <w:b/>
          <w:sz w:val="22"/>
        </w:rPr>
      </w:pPr>
      <w:r w:rsidRPr="007E354F">
        <w:rPr>
          <w:rFonts w:ascii="Arial" w:hAnsi="Arial" w:eastAsia="Calibri" w:cs="Arial"/>
          <w:b/>
          <w:sz w:val="22"/>
        </w:rPr>
        <w:t xml:space="preserve">2.3. Publicidad en las plataformas SECOP I y II </w:t>
      </w:r>
    </w:p>
    <w:p w:rsidRPr="007E354F" w:rsidR="00240457" w:rsidP="009A0ED8" w:rsidRDefault="00240457" w14:paraId="6AB873FB" w14:textId="77777777">
      <w:pPr>
        <w:jc w:val="both"/>
        <w:rPr>
          <w:rFonts w:ascii="Arial" w:hAnsi="Arial" w:eastAsia="Calibri" w:cs="Arial"/>
          <w:b/>
          <w:sz w:val="22"/>
        </w:rPr>
      </w:pPr>
    </w:p>
    <w:p w:rsidRPr="007E354F" w:rsidR="00240457" w:rsidP="00240457" w:rsidRDefault="00240457" w14:paraId="414655ED" w14:textId="77777777">
      <w:pPr>
        <w:spacing w:before="120" w:after="120" w:line="276" w:lineRule="auto"/>
        <w:jc w:val="both"/>
        <w:rPr>
          <w:rFonts w:ascii="Arial" w:hAnsi="Arial" w:eastAsia="Calibri" w:cs="Arial"/>
          <w:sz w:val="22"/>
          <w:lang w:val="es-ES"/>
        </w:rPr>
      </w:pPr>
      <w:r w:rsidRPr="007E354F">
        <w:rPr>
          <w:rFonts w:ascii="Arial" w:hAnsi="Arial" w:eastAsia="Calibri"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rsidRPr="007E354F" w:rsidR="00240457" w:rsidP="00240457" w:rsidRDefault="009A0ED8" w14:paraId="425B3499" w14:textId="5F26EC32">
      <w:pPr>
        <w:spacing w:before="120" w:after="120" w:line="276" w:lineRule="auto"/>
        <w:ind w:firstLine="709"/>
        <w:jc w:val="both"/>
        <w:rPr>
          <w:rFonts w:ascii="Arial" w:hAnsi="Arial" w:eastAsia="Calibri" w:cs="Arial"/>
          <w:sz w:val="22"/>
          <w:lang w:val="es-ES"/>
        </w:rPr>
      </w:pPr>
      <w:r w:rsidRPr="007E354F">
        <w:rPr>
          <w:rFonts w:ascii="Arial" w:hAnsi="Arial" w:eastAsia="Calibri" w:cs="Arial"/>
          <w:sz w:val="22"/>
          <w:lang w:val="es-ES"/>
        </w:rPr>
        <w:t>Este</w:t>
      </w:r>
      <w:r w:rsidRPr="007E354F" w:rsidR="00240457">
        <w:rPr>
          <w:rFonts w:ascii="Arial" w:hAnsi="Arial" w:eastAsia="Calibri" w:cs="Arial"/>
          <w:sz w:val="22"/>
          <w:lang w:val="es-ES"/>
        </w:rPr>
        <w:t xml:space="preserve"> plazo fue prorrogado por la Agencia Nacional de Contratación Pública – Colombia Compra Eficiente, mediante la Circular Externa No. 2 de 2019, a través de la cual se amplió «la </w:t>
      </w:r>
      <w:proofErr w:type="gramStart"/>
      <w:r w:rsidRPr="007E354F" w:rsidR="00240457">
        <w:rPr>
          <w:rFonts w:ascii="Arial" w:hAnsi="Arial" w:eastAsia="Calibri" w:cs="Arial"/>
          <w:sz w:val="22"/>
          <w:lang w:val="es-ES"/>
        </w:rPr>
        <w:t>entrada en vigencia</w:t>
      </w:r>
      <w:proofErr w:type="gramEnd"/>
      <w:r w:rsidRPr="007E354F" w:rsidR="00240457">
        <w:rPr>
          <w:rFonts w:ascii="Arial" w:hAnsi="Arial" w:eastAsia="Calibri" w:cs="Arial"/>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rsidRPr="007E354F" w:rsidR="00240457" w:rsidP="00240457" w:rsidRDefault="00240457" w14:paraId="3FFDA0B5" w14:textId="77777777">
      <w:pPr>
        <w:spacing w:before="120" w:after="120" w:line="276" w:lineRule="auto"/>
        <w:ind w:firstLine="709"/>
        <w:jc w:val="both"/>
        <w:rPr>
          <w:rFonts w:ascii="Arial" w:hAnsi="Arial" w:eastAsia="Calibri" w:cs="Arial"/>
          <w:sz w:val="22"/>
          <w:lang w:val="es-ES"/>
        </w:rPr>
      </w:pPr>
      <w:r w:rsidRPr="007E354F">
        <w:rPr>
          <w:rFonts w:ascii="Arial" w:hAnsi="Arial" w:eastAsia="Calibri" w:cs="Arial"/>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7E354F">
        <w:rPr>
          <w:rFonts w:ascii="Arial" w:hAnsi="Arial" w:cs="Arial"/>
          <w:sz w:val="22"/>
        </w:rPr>
        <w:t xml:space="preserve">sólo incluye el sector central. No incluye entidades descentralizadas del respectivo nivel» y estableció </w:t>
      </w:r>
      <w:r w:rsidRPr="007E354F">
        <w:rPr>
          <w:rFonts w:ascii="Arial" w:hAnsi="Arial" w:eastAsia="Calibri" w:cs="Arial"/>
          <w:sz w:val="22"/>
          <w:lang w:val="es-ES"/>
        </w:rPr>
        <w:t xml:space="preserve">la obligatoriedad del uso del SECOP II únicamente a las alcaldías capitales de departamentos. </w:t>
      </w:r>
    </w:p>
    <w:p w:rsidRPr="007E354F" w:rsidR="00B221E4" w:rsidP="00240457" w:rsidRDefault="00240457" w14:paraId="3A55FE72" w14:textId="000B1267">
      <w:pPr>
        <w:shd w:val="clear" w:color="auto" w:fill="FFFFFF"/>
        <w:spacing w:before="120" w:after="120" w:line="276" w:lineRule="auto"/>
        <w:ind w:firstLine="709"/>
        <w:jc w:val="both"/>
        <w:rPr>
          <w:rFonts w:ascii="Arial" w:hAnsi="Arial" w:eastAsia="Calibri" w:cs="Arial"/>
          <w:sz w:val="22"/>
          <w:lang w:val="es-ES"/>
        </w:rPr>
      </w:pPr>
      <w:r w:rsidRPr="007E354F">
        <w:rPr>
          <w:rFonts w:ascii="Arial" w:hAnsi="Arial" w:eastAsia="Calibri" w:cs="Arial"/>
          <w:sz w:val="22"/>
          <w:lang w:val="es-ES"/>
        </w:rPr>
        <w:t>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bookmarkEnd w:id="1"/>
    <w:bookmarkEnd w:id="2"/>
    <w:p w:rsidRPr="007E354F" w:rsidR="009A0ED8" w:rsidP="00E04ED0" w:rsidRDefault="009A0ED8" w14:paraId="28DE981C" w14:textId="77777777">
      <w:pPr>
        <w:pStyle w:val="Prrafodelista"/>
        <w:tabs>
          <w:tab w:val="left" w:pos="284"/>
        </w:tabs>
        <w:ind w:left="0"/>
        <w:jc w:val="both"/>
        <w:rPr>
          <w:rFonts w:ascii="Arial" w:hAnsi="Arial" w:eastAsia="Times New Roman" w:cs="Arial"/>
          <w:b/>
          <w:sz w:val="22"/>
          <w:lang w:val="es-CO" w:eastAsia="es-CO"/>
        </w:rPr>
      </w:pPr>
    </w:p>
    <w:p w:rsidRPr="007E354F" w:rsidR="00A37FB6" w:rsidP="00E04ED0" w:rsidRDefault="00905F30" w14:paraId="687CB649" w14:textId="26FBD13A">
      <w:pPr>
        <w:pStyle w:val="Prrafodelista"/>
        <w:tabs>
          <w:tab w:val="left" w:pos="284"/>
        </w:tabs>
        <w:ind w:left="0"/>
        <w:jc w:val="both"/>
        <w:rPr>
          <w:rFonts w:ascii="Arial" w:hAnsi="Arial" w:eastAsia="Calibri" w:cs="Arial"/>
          <w:sz w:val="22"/>
        </w:rPr>
      </w:pPr>
      <w:r w:rsidRPr="007E354F">
        <w:rPr>
          <w:rFonts w:ascii="Arial" w:hAnsi="Arial" w:eastAsia="Times New Roman" w:cs="Arial"/>
          <w:b/>
          <w:sz w:val="22"/>
          <w:lang w:val="es-CO" w:eastAsia="es-CO"/>
        </w:rPr>
        <w:t xml:space="preserve">3. </w:t>
      </w:r>
      <w:r w:rsidRPr="007E354F" w:rsidR="00A37FB6">
        <w:rPr>
          <w:rFonts w:ascii="Arial" w:hAnsi="Arial" w:eastAsia="Calibri" w:cs="Arial"/>
          <w:b/>
          <w:sz w:val="22"/>
        </w:rPr>
        <w:t>Respuestas</w:t>
      </w:r>
    </w:p>
    <w:p w:rsidRPr="007E354F" w:rsidR="00905F30" w:rsidP="00E04ED0" w:rsidRDefault="00905F30" w14:paraId="602CB2F1" w14:textId="77777777">
      <w:pPr>
        <w:pStyle w:val="Prrafodelista"/>
        <w:tabs>
          <w:tab w:val="left" w:pos="284"/>
        </w:tabs>
        <w:ind w:left="0"/>
        <w:jc w:val="both"/>
        <w:rPr>
          <w:rFonts w:ascii="Arial" w:hAnsi="Arial" w:eastAsia="Calibri" w:cs="Arial"/>
          <w:sz w:val="22"/>
        </w:rPr>
      </w:pPr>
    </w:p>
    <w:p w:rsidRPr="007E354F" w:rsidR="00FD6727" w:rsidP="00F13C05" w:rsidRDefault="0061140E" w14:paraId="52BBEB23" w14:textId="4D5FFCCB">
      <w:pPr>
        <w:spacing w:before="120" w:after="120" w:line="276" w:lineRule="auto"/>
        <w:ind w:left="709" w:right="709"/>
        <w:jc w:val="both"/>
        <w:rPr>
          <w:rFonts w:ascii="Arial" w:hAnsi="Arial" w:eastAsia="Calibri" w:cs="Arial"/>
          <w:sz w:val="21"/>
          <w:szCs w:val="21"/>
        </w:rPr>
      </w:pPr>
      <w:r w:rsidRPr="007E354F">
        <w:rPr>
          <w:rFonts w:ascii="Arial" w:hAnsi="Arial" w:cs="Arial"/>
          <w:sz w:val="21"/>
          <w:szCs w:val="21"/>
          <w:bdr w:val="none" w:color="auto" w:sz="0" w:space="0" w:frame="1"/>
        </w:rPr>
        <w:t xml:space="preserve">«si las Empresas Sociales del Estado que son de </w:t>
      </w:r>
      <w:proofErr w:type="spellStart"/>
      <w:r w:rsidRPr="007E354F">
        <w:rPr>
          <w:rFonts w:ascii="Arial" w:hAnsi="Arial" w:cs="Arial"/>
          <w:sz w:val="21"/>
          <w:szCs w:val="21"/>
          <w:bdr w:val="none" w:color="auto" w:sz="0" w:space="0" w:frame="1"/>
        </w:rPr>
        <w:t>Regimen</w:t>
      </w:r>
      <w:proofErr w:type="spellEnd"/>
      <w:r w:rsidRPr="007E354F">
        <w:rPr>
          <w:rFonts w:ascii="Arial" w:hAnsi="Arial" w:cs="Arial"/>
          <w:sz w:val="21"/>
          <w:szCs w:val="21"/>
          <w:bdr w:val="none" w:color="auto" w:sz="0" w:space="0" w:frame="1"/>
        </w:rPr>
        <w:t xml:space="preserve"> (sic) especial, tienen un plazo </w:t>
      </w:r>
      <w:proofErr w:type="spellStart"/>
      <w:r w:rsidRPr="007E354F">
        <w:rPr>
          <w:rFonts w:ascii="Arial" w:hAnsi="Arial" w:cs="Arial"/>
          <w:sz w:val="21"/>
          <w:szCs w:val="21"/>
          <w:bdr w:val="none" w:color="auto" w:sz="0" w:space="0" w:frame="1"/>
        </w:rPr>
        <w:t>limite</w:t>
      </w:r>
      <w:proofErr w:type="spellEnd"/>
      <w:r w:rsidRPr="007E354F">
        <w:rPr>
          <w:rFonts w:ascii="Arial" w:hAnsi="Arial" w:cs="Arial"/>
          <w:sz w:val="21"/>
          <w:szCs w:val="21"/>
          <w:bdr w:val="none" w:color="auto" w:sz="0" w:space="0" w:frame="1"/>
        </w:rPr>
        <w:t xml:space="preserve"> (sic) para publicar en el </w:t>
      </w:r>
      <w:proofErr w:type="spellStart"/>
      <w:r w:rsidRPr="007E354F">
        <w:rPr>
          <w:rFonts w:ascii="Arial" w:hAnsi="Arial" w:cs="Arial"/>
          <w:sz w:val="21"/>
          <w:szCs w:val="21"/>
          <w:bdr w:val="none" w:color="auto" w:sz="0" w:space="0" w:frame="1"/>
        </w:rPr>
        <w:t>secop</w:t>
      </w:r>
      <w:proofErr w:type="spellEnd"/>
      <w:r w:rsidRPr="007E354F">
        <w:rPr>
          <w:rFonts w:ascii="Arial" w:hAnsi="Arial" w:cs="Arial"/>
          <w:sz w:val="21"/>
          <w:szCs w:val="21"/>
          <w:bdr w:val="none" w:color="auto" w:sz="0" w:space="0" w:frame="1"/>
        </w:rPr>
        <w:t xml:space="preserve"> el contrato y los documentos de ejecución o si de (sic) puede realizar la publicación de </w:t>
      </w:r>
      <w:proofErr w:type="gramStart"/>
      <w:r w:rsidRPr="007E354F">
        <w:rPr>
          <w:rFonts w:ascii="Arial" w:hAnsi="Arial" w:cs="Arial"/>
          <w:sz w:val="21"/>
          <w:szCs w:val="21"/>
          <w:bdr w:val="none" w:color="auto" w:sz="0" w:space="0" w:frame="1"/>
        </w:rPr>
        <w:t>los mismos</w:t>
      </w:r>
      <w:proofErr w:type="gramEnd"/>
      <w:r w:rsidRPr="007E354F">
        <w:rPr>
          <w:rFonts w:ascii="Arial" w:hAnsi="Arial" w:cs="Arial"/>
          <w:sz w:val="21"/>
          <w:szCs w:val="21"/>
          <w:bdr w:val="none" w:color="auto" w:sz="0" w:space="0" w:frame="1"/>
        </w:rPr>
        <w:t xml:space="preserve"> durante el mes que se genere cada documento contractual».</w:t>
      </w:r>
    </w:p>
    <w:p w:rsidRPr="007E354F" w:rsidR="0061140E" w:rsidP="0061140E" w:rsidRDefault="0061140E" w14:paraId="5C812E79" w14:textId="77777777">
      <w:pPr>
        <w:pStyle w:val="Textonotapie"/>
        <w:ind w:firstLine="709"/>
        <w:jc w:val="both"/>
        <w:rPr>
          <w:rFonts w:ascii="Arial" w:hAnsi="Arial" w:cs="Arial"/>
          <w:sz w:val="22"/>
          <w:szCs w:val="22"/>
        </w:rPr>
      </w:pPr>
    </w:p>
    <w:p w:rsidRPr="007E354F" w:rsidR="0061140E" w:rsidP="008917F9" w:rsidRDefault="0061140E" w14:paraId="44623CF7" w14:textId="617A6312">
      <w:pPr>
        <w:pStyle w:val="Textonotapie"/>
        <w:spacing w:before="120" w:after="120" w:line="276" w:lineRule="auto"/>
        <w:jc w:val="both"/>
        <w:rPr>
          <w:rFonts w:ascii="Arial" w:hAnsi="Arial" w:cs="Arial"/>
          <w:sz w:val="22"/>
          <w:szCs w:val="22"/>
        </w:rPr>
      </w:pPr>
      <w:r w:rsidRPr="007E354F">
        <w:rPr>
          <w:rFonts w:ascii="Arial" w:hAnsi="Arial" w:cs="Arial"/>
          <w:sz w:val="22"/>
          <w:szCs w:val="22"/>
        </w:rPr>
        <w:lastRenderedPageBreak/>
        <w:t xml:space="preserve">Con fundamento en las consideraciones desarrolladas en este concepto, los contratos y los documentos </w:t>
      </w:r>
      <w:r w:rsidRPr="007E354F" w:rsidR="00F14F7A">
        <w:rPr>
          <w:rFonts w:ascii="Arial" w:hAnsi="Arial" w:cs="Arial"/>
          <w:sz w:val="22"/>
          <w:szCs w:val="22"/>
        </w:rPr>
        <w:t>relacionado</w:t>
      </w:r>
      <w:r w:rsidRPr="007E354F" w:rsidR="0090477E">
        <w:rPr>
          <w:rFonts w:ascii="Arial" w:hAnsi="Arial" w:cs="Arial"/>
          <w:sz w:val="22"/>
          <w:szCs w:val="22"/>
        </w:rPr>
        <w:t>s</w:t>
      </w:r>
      <w:r w:rsidRPr="007E354F" w:rsidR="00F14F7A">
        <w:rPr>
          <w:rFonts w:ascii="Arial" w:hAnsi="Arial" w:cs="Arial"/>
          <w:sz w:val="22"/>
          <w:szCs w:val="22"/>
        </w:rPr>
        <w:t xml:space="preserve"> con su</w:t>
      </w:r>
      <w:r w:rsidRPr="007E354F">
        <w:rPr>
          <w:rFonts w:ascii="Arial" w:hAnsi="Arial" w:cs="Arial"/>
          <w:sz w:val="22"/>
          <w:szCs w:val="22"/>
        </w:rPr>
        <w:t xml:space="preserve"> ejecución</w:t>
      </w:r>
      <w:r w:rsidRPr="007E354F" w:rsidR="00F14F7A">
        <w:rPr>
          <w:rFonts w:ascii="Arial" w:hAnsi="Arial" w:cs="Arial"/>
          <w:sz w:val="22"/>
          <w:szCs w:val="22"/>
        </w:rPr>
        <w:t>,</w:t>
      </w:r>
      <w:r w:rsidRPr="007E354F">
        <w:rPr>
          <w:rFonts w:ascii="Arial" w:hAnsi="Arial" w:cs="Arial"/>
          <w:sz w:val="22"/>
          <w:szCs w:val="22"/>
        </w:rPr>
        <w:t xml:space="preserve"> </w:t>
      </w:r>
      <w:r w:rsidRPr="007E354F" w:rsidR="0090477E">
        <w:rPr>
          <w:rFonts w:ascii="Arial" w:hAnsi="Arial" w:cs="Arial"/>
          <w:sz w:val="22"/>
          <w:szCs w:val="22"/>
        </w:rPr>
        <w:t>celebrados</w:t>
      </w:r>
      <w:r w:rsidRPr="007E354F">
        <w:rPr>
          <w:rFonts w:ascii="Arial" w:hAnsi="Arial" w:cs="Arial"/>
          <w:sz w:val="22"/>
          <w:szCs w:val="22"/>
        </w:rPr>
        <w:t xml:space="preserve"> por empresas sociales del Estado, </w:t>
      </w:r>
      <w:r w:rsidRPr="007E354F" w:rsidR="0090477E">
        <w:rPr>
          <w:rFonts w:ascii="Arial" w:hAnsi="Arial" w:cs="Arial"/>
          <w:sz w:val="22"/>
          <w:szCs w:val="22"/>
        </w:rPr>
        <w:t xml:space="preserve">que tienen </w:t>
      </w:r>
      <w:r w:rsidRPr="007E354F">
        <w:rPr>
          <w:rFonts w:ascii="Arial" w:hAnsi="Arial" w:cs="Arial"/>
          <w:sz w:val="22"/>
          <w:szCs w:val="22"/>
        </w:rPr>
        <w:t>un régimen</w:t>
      </w:r>
      <w:r w:rsidRPr="007E354F" w:rsidR="00F14F7A">
        <w:rPr>
          <w:rFonts w:ascii="Arial" w:hAnsi="Arial" w:cs="Arial"/>
          <w:sz w:val="22"/>
          <w:szCs w:val="22"/>
        </w:rPr>
        <w:t xml:space="preserve"> de contratación</w:t>
      </w:r>
      <w:r w:rsidRPr="007E354F">
        <w:rPr>
          <w:rFonts w:ascii="Arial" w:hAnsi="Arial" w:cs="Arial"/>
          <w:sz w:val="22"/>
          <w:szCs w:val="22"/>
        </w:rPr>
        <w:t xml:space="preserve"> especial </w:t>
      </w:r>
      <w:r w:rsidRPr="007E354F" w:rsidR="00BA4D40">
        <w:rPr>
          <w:rFonts w:ascii="Arial" w:hAnsi="Arial" w:cs="Arial"/>
          <w:sz w:val="22"/>
          <w:szCs w:val="22"/>
        </w:rPr>
        <w:t>―</w:t>
      </w:r>
      <w:r w:rsidRPr="007E354F" w:rsidR="0090477E">
        <w:rPr>
          <w:rFonts w:ascii="Arial" w:hAnsi="Arial" w:cs="Arial"/>
          <w:sz w:val="22"/>
          <w:szCs w:val="22"/>
        </w:rPr>
        <w:t>sin perjuicio de que esto también aplique a las sometidas a la Ley 80 de 1993</w:t>
      </w:r>
      <w:r w:rsidRPr="007E354F" w:rsidR="00BA4D40">
        <w:rPr>
          <w:rFonts w:ascii="Arial" w:hAnsi="Arial" w:cs="Arial"/>
          <w:sz w:val="22"/>
          <w:szCs w:val="22"/>
        </w:rPr>
        <w:t>―,</w:t>
      </w:r>
      <w:r w:rsidRPr="007E354F" w:rsidR="0090477E">
        <w:rPr>
          <w:rFonts w:ascii="Arial" w:hAnsi="Arial" w:cs="Arial"/>
          <w:sz w:val="22"/>
          <w:szCs w:val="22"/>
        </w:rPr>
        <w:t xml:space="preserve"> </w:t>
      </w:r>
      <w:r w:rsidRPr="007E354F">
        <w:rPr>
          <w:rFonts w:ascii="Arial" w:hAnsi="Arial" w:cs="Arial"/>
          <w:sz w:val="22"/>
          <w:szCs w:val="22"/>
        </w:rPr>
        <w:t>deberán publicar</w:t>
      </w:r>
      <w:r w:rsidRPr="007E354F" w:rsidR="0090477E">
        <w:rPr>
          <w:rFonts w:ascii="Arial" w:hAnsi="Arial" w:cs="Arial"/>
          <w:sz w:val="22"/>
          <w:szCs w:val="22"/>
        </w:rPr>
        <w:t>se</w:t>
      </w:r>
      <w:r w:rsidRPr="007E354F">
        <w:rPr>
          <w:rFonts w:ascii="Arial" w:hAnsi="Arial" w:cs="Arial"/>
          <w:sz w:val="22"/>
          <w:szCs w:val="22"/>
        </w:rPr>
        <w:t xml:space="preserve"> dentro de los (3) días siguientes a su expedición, por disposición del artículo 2.2.1.1.1.7.1 del Decreto 1082 de 2015. </w:t>
      </w:r>
    </w:p>
    <w:p w:rsidRPr="007E354F" w:rsidR="0090477E" w:rsidP="0090477E" w:rsidRDefault="0090477E" w14:paraId="7E32B29F" w14:textId="77777777">
      <w:pPr>
        <w:pStyle w:val="Textonotapie"/>
        <w:spacing w:before="120" w:after="120" w:line="276" w:lineRule="auto"/>
        <w:jc w:val="both"/>
        <w:rPr>
          <w:rFonts w:ascii="Arial" w:hAnsi="Arial" w:cs="Arial"/>
          <w:sz w:val="22"/>
          <w:szCs w:val="22"/>
        </w:rPr>
      </w:pPr>
    </w:p>
    <w:p w:rsidRPr="007E354F" w:rsidR="00FA1CFD" w:rsidP="0090477E" w:rsidRDefault="00FA1CFD" w14:paraId="41080449" w14:textId="79FD1C46">
      <w:pPr>
        <w:pStyle w:val="Textonotapie"/>
        <w:spacing w:before="120" w:after="120" w:line="276" w:lineRule="auto"/>
        <w:jc w:val="both"/>
        <w:rPr>
          <w:rFonts w:ascii="Arial" w:hAnsi="Arial" w:cs="Arial"/>
          <w:sz w:val="22"/>
          <w:szCs w:val="22"/>
        </w:rPr>
      </w:pPr>
      <w:r w:rsidRPr="007E354F">
        <w:rPr>
          <w:rFonts w:ascii="Arial" w:hAnsi="Arial" w:cs="Arial"/>
          <w:sz w:val="22"/>
          <w:szCs w:val="22"/>
        </w:rPr>
        <w:t>Este concepto tiene el alcance previsto en el artículo 28 del Código de Procedimiento Administrativo y de lo Contencioso Administrativo.</w:t>
      </w:r>
    </w:p>
    <w:p w:rsidRPr="007E354F" w:rsidR="00A37FB6" w:rsidP="00F13C05" w:rsidRDefault="00A37FB6" w14:paraId="0F8C901F" w14:textId="77777777">
      <w:pPr>
        <w:spacing w:before="120" w:after="120" w:line="276" w:lineRule="auto"/>
        <w:jc w:val="both"/>
        <w:rPr>
          <w:rFonts w:ascii="Arial" w:hAnsi="Arial" w:eastAsia="Calibri" w:cs="Arial"/>
          <w:sz w:val="22"/>
        </w:rPr>
      </w:pPr>
      <w:r w:rsidRPr="007E354F">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ED01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7E354F" w:rsidR="00A37FB6" w:rsidP="006C4407" w:rsidRDefault="00A37FB6" w14:paraId="1E81A930" w14:textId="77777777">
      <w:pPr>
        <w:pStyle w:val="Textonotapie"/>
        <w:spacing w:before="120" w:after="120" w:line="276" w:lineRule="auto"/>
        <w:jc w:val="both"/>
        <w:rPr>
          <w:rFonts w:ascii="Arial" w:hAnsi="Arial" w:cs="Arial"/>
          <w:sz w:val="22"/>
          <w:szCs w:val="22"/>
        </w:rPr>
      </w:pPr>
      <w:r w:rsidRPr="007E354F">
        <w:rPr>
          <w:rFonts w:ascii="Arial" w:hAnsi="Arial" w:cs="Arial"/>
          <w:sz w:val="22"/>
          <w:szCs w:val="22"/>
        </w:rPr>
        <w:t>Atentamente,</w:t>
      </w:r>
    </w:p>
    <w:p w:rsidRPr="007E354F" w:rsidR="00746E08" w:rsidP="00F13C05" w:rsidRDefault="002041FC" w14:paraId="57DD1EBD" w14:textId="440FF313">
      <w:pPr>
        <w:spacing w:before="120" w:after="120" w:line="276" w:lineRule="auto"/>
        <w:jc w:val="center"/>
        <w:rPr>
          <w:rFonts w:ascii="Arial" w:hAnsi="Arial" w:eastAsia="Times New Roman" w:cs="Arial"/>
          <w:sz w:val="18"/>
          <w:szCs w:val="20"/>
          <w:lang w:eastAsia="es-CO"/>
        </w:rPr>
      </w:pPr>
      <w:r w:rsidR="002041FC">
        <w:drawing>
          <wp:inline wp14:editId="466D5939" wp14:anchorId="7125F172">
            <wp:extent cx="2773045" cy="988695"/>
            <wp:effectExtent l="0" t="0" r="0" b="0"/>
            <wp:docPr id="1209137464" name="Imagen 3" title=""/>
            <wp:cNvGraphicFramePr>
              <a:graphicFrameLocks/>
            </wp:cNvGraphicFramePr>
            <a:graphic>
              <a:graphicData uri="http://schemas.openxmlformats.org/drawingml/2006/picture">
                <pic:pic>
                  <pic:nvPicPr>
                    <pic:cNvPr id="0" name="Imagen 3"/>
                    <pic:cNvPicPr/>
                  </pic:nvPicPr>
                  <pic:blipFill>
                    <a:blip r:embed="R8771e7733a0540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7E354F" w:rsidR="002041FC" w:rsidP="00F13C05" w:rsidRDefault="002041FC" w14:paraId="32ECFA7E" w14:textId="77777777">
      <w:pPr>
        <w:spacing w:before="120" w:after="120" w:line="276" w:lineRule="auto"/>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E354F" w:rsidR="007E354F" w:rsidTr="00DC29BB" w14:paraId="469202AF" w14:textId="77777777">
        <w:trPr>
          <w:trHeight w:val="315"/>
        </w:trPr>
        <w:tc>
          <w:tcPr>
            <w:tcW w:w="812" w:type="dxa"/>
            <w:vAlign w:val="center"/>
            <w:hideMark/>
          </w:tcPr>
          <w:p w:rsidRPr="007E354F" w:rsidR="00746E08" w:rsidP="00DC29BB" w:rsidRDefault="00746E08" w14:paraId="3F62A0B3" w14:textId="77777777">
            <w:pPr>
              <w:spacing w:before="120" w:after="120"/>
              <w:rPr>
                <w:rFonts w:ascii="Arial" w:hAnsi="Arial" w:eastAsia="Times New Roman" w:cs="Arial"/>
                <w:sz w:val="16"/>
                <w:szCs w:val="16"/>
                <w:lang w:eastAsia="es-ES"/>
              </w:rPr>
            </w:pPr>
            <w:r w:rsidRPr="007E354F">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7E354F" w:rsidR="00DC29BB" w:rsidP="00DC29BB" w:rsidRDefault="00DC29BB" w14:paraId="74D8831D" w14:textId="4AED50D1">
            <w:pPr>
              <w:rPr>
                <w:rFonts w:ascii="Arial" w:hAnsi="Arial" w:eastAsia="Times New Roman" w:cs="Arial"/>
                <w:sz w:val="16"/>
                <w:szCs w:val="16"/>
                <w:lang w:eastAsia="es-ES"/>
              </w:rPr>
            </w:pPr>
            <w:r w:rsidRPr="007E354F">
              <w:rPr>
                <w:rFonts w:ascii="Arial" w:hAnsi="Arial" w:eastAsia="Times New Roman" w:cs="Arial"/>
                <w:sz w:val="16"/>
                <w:szCs w:val="16"/>
                <w:lang w:eastAsia="es-ES"/>
              </w:rPr>
              <w:t xml:space="preserve">Carlos Mario </w:t>
            </w:r>
            <w:r w:rsidRPr="007E354F" w:rsidR="009A0ED8">
              <w:rPr>
                <w:rFonts w:ascii="Arial" w:hAnsi="Arial" w:eastAsia="Times New Roman" w:cs="Arial"/>
                <w:sz w:val="16"/>
                <w:szCs w:val="16"/>
                <w:lang w:eastAsia="es-ES"/>
              </w:rPr>
              <w:t>Castrillón</w:t>
            </w:r>
            <w:r w:rsidRPr="007E354F">
              <w:rPr>
                <w:rFonts w:ascii="Arial" w:hAnsi="Arial" w:eastAsia="Times New Roman" w:cs="Arial"/>
                <w:sz w:val="16"/>
                <w:szCs w:val="16"/>
                <w:lang w:eastAsia="es-ES"/>
              </w:rPr>
              <w:t xml:space="preserve"> Endo</w:t>
            </w:r>
          </w:p>
          <w:p w:rsidRPr="007E354F" w:rsidR="00746E08" w:rsidP="00DC29BB" w:rsidRDefault="00DC29BB" w14:paraId="51C325E7" w14:textId="312AE207">
            <w:pPr>
              <w:rPr>
                <w:rFonts w:ascii="Arial" w:hAnsi="Arial" w:eastAsia="Times New Roman" w:cs="Arial"/>
                <w:sz w:val="16"/>
                <w:szCs w:val="16"/>
                <w:lang w:eastAsia="es-ES"/>
              </w:rPr>
            </w:pPr>
            <w:r w:rsidRPr="007E354F">
              <w:rPr>
                <w:rFonts w:ascii="Arial" w:hAnsi="Arial" w:eastAsia="Times New Roman" w:cs="Arial"/>
                <w:sz w:val="16"/>
                <w:szCs w:val="16"/>
                <w:lang w:eastAsia="es-ES"/>
              </w:rPr>
              <w:t xml:space="preserve">Contratista </w:t>
            </w:r>
          </w:p>
        </w:tc>
      </w:tr>
      <w:tr w:rsidRPr="007E354F" w:rsidR="007E354F" w:rsidTr="00DC29BB" w14:paraId="10BC78E8" w14:textId="77777777">
        <w:trPr>
          <w:trHeight w:val="330"/>
        </w:trPr>
        <w:tc>
          <w:tcPr>
            <w:tcW w:w="812" w:type="dxa"/>
            <w:vAlign w:val="center"/>
            <w:hideMark/>
          </w:tcPr>
          <w:p w:rsidRPr="007E354F" w:rsidR="00746E08" w:rsidP="00DC29BB" w:rsidRDefault="00746E08" w14:paraId="6A7DBF66" w14:textId="77777777">
            <w:pPr>
              <w:rPr>
                <w:rFonts w:ascii="Arial" w:hAnsi="Arial" w:eastAsia="Times New Roman" w:cs="Arial"/>
                <w:sz w:val="16"/>
                <w:szCs w:val="16"/>
                <w:lang w:eastAsia="es-ES"/>
              </w:rPr>
            </w:pPr>
            <w:r w:rsidRPr="007E354F">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E354F" w:rsidR="00746E08" w:rsidP="00DC29BB" w:rsidRDefault="0070121F" w14:paraId="644949D7" w14:textId="0B97283E">
            <w:pPr>
              <w:rPr>
                <w:rFonts w:ascii="Arial" w:hAnsi="Arial" w:eastAsia="Times New Roman" w:cs="Arial"/>
                <w:sz w:val="16"/>
                <w:szCs w:val="16"/>
                <w:lang w:eastAsia="es-ES"/>
              </w:rPr>
            </w:pPr>
            <w:r w:rsidRPr="007E354F">
              <w:rPr>
                <w:rFonts w:ascii="Arial" w:hAnsi="Arial" w:eastAsia="Times New Roman" w:cs="Arial"/>
                <w:sz w:val="16"/>
                <w:szCs w:val="16"/>
                <w:lang w:eastAsia="es-ES"/>
              </w:rPr>
              <w:t>Sebastián Ramírez Grisales</w:t>
            </w:r>
          </w:p>
          <w:p w:rsidRPr="007E354F" w:rsidR="00746E08" w:rsidP="00DC29BB" w:rsidRDefault="0070121F" w14:paraId="19E8BD8D" w14:textId="0751CC81">
            <w:pPr>
              <w:rPr>
                <w:rFonts w:ascii="Arial" w:hAnsi="Arial" w:eastAsia="Times New Roman" w:cs="Arial"/>
                <w:sz w:val="16"/>
                <w:szCs w:val="16"/>
                <w:lang w:eastAsia="es-ES"/>
              </w:rPr>
            </w:pPr>
            <w:r w:rsidRPr="007E354F">
              <w:rPr>
                <w:rFonts w:ascii="Arial" w:hAnsi="Arial" w:eastAsia="Times New Roman" w:cs="Arial"/>
                <w:sz w:val="16"/>
                <w:szCs w:val="16"/>
                <w:lang w:eastAsia="es-ES"/>
              </w:rPr>
              <w:t>Contratista</w:t>
            </w:r>
          </w:p>
        </w:tc>
      </w:tr>
      <w:tr w:rsidRPr="007E354F" w:rsidR="0070121F" w:rsidTr="00DC29BB" w14:paraId="50741B38" w14:textId="77777777">
        <w:trPr>
          <w:trHeight w:val="300"/>
        </w:trPr>
        <w:tc>
          <w:tcPr>
            <w:tcW w:w="812" w:type="dxa"/>
            <w:vAlign w:val="center"/>
            <w:hideMark/>
          </w:tcPr>
          <w:p w:rsidRPr="007E354F" w:rsidR="0070121F" w:rsidP="0070121F" w:rsidRDefault="0070121F" w14:paraId="297715FA" w14:textId="77777777">
            <w:pPr>
              <w:spacing w:before="120" w:after="120"/>
              <w:rPr>
                <w:rFonts w:ascii="Arial" w:hAnsi="Arial" w:eastAsia="Times New Roman" w:cs="Arial"/>
                <w:sz w:val="16"/>
                <w:szCs w:val="16"/>
                <w:lang w:eastAsia="es-ES"/>
              </w:rPr>
            </w:pPr>
            <w:r w:rsidRPr="007E354F">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E354F" w:rsidR="0070121F" w:rsidP="0070121F" w:rsidRDefault="00E04ED0" w14:paraId="4C57CAB5" w14:textId="7D400FB9">
            <w:pPr>
              <w:rPr>
                <w:rFonts w:ascii="Arial" w:hAnsi="Arial" w:eastAsia="Times New Roman" w:cs="Arial"/>
                <w:sz w:val="16"/>
                <w:szCs w:val="16"/>
                <w:lang w:eastAsia="es-ES"/>
              </w:rPr>
            </w:pPr>
            <w:r w:rsidRPr="007E354F">
              <w:rPr>
                <w:rFonts w:ascii="Arial" w:hAnsi="Arial" w:eastAsia="Times New Roman" w:cs="Arial"/>
                <w:sz w:val="16"/>
                <w:szCs w:val="16"/>
                <w:lang w:eastAsia="es-ES"/>
              </w:rPr>
              <w:t>Fabián Gonzalo Marín Cortés</w:t>
            </w:r>
          </w:p>
          <w:p w:rsidRPr="007E354F" w:rsidR="0070121F" w:rsidP="0070121F" w:rsidRDefault="00E04ED0" w14:paraId="17847B1F" w14:textId="1478FEAE">
            <w:pPr>
              <w:rPr>
                <w:rFonts w:ascii="Arial" w:hAnsi="Arial" w:eastAsia="Times New Roman" w:cs="Arial"/>
                <w:sz w:val="16"/>
                <w:szCs w:val="16"/>
                <w:lang w:eastAsia="es-ES"/>
              </w:rPr>
            </w:pPr>
            <w:r w:rsidRPr="007E354F">
              <w:rPr>
                <w:rFonts w:ascii="Arial" w:hAnsi="Arial" w:eastAsia="Times New Roman" w:cs="Arial"/>
                <w:sz w:val="16"/>
                <w:szCs w:val="16"/>
                <w:lang w:eastAsia="es-ES"/>
              </w:rPr>
              <w:t xml:space="preserve">Subdirector de </w:t>
            </w:r>
            <w:proofErr w:type="gramStart"/>
            <w:r w:rsidRPr="007E354F">
              <w:rPr>
                <w:rFonts w:ascii="Arial" w:hAnsi="Arial" w:eastAsia="Times New Roman" w:cs="Arial"/>
                <w:sz w:val="16"/>
                <w:szCs w:val="16"/>
                <w:lang w:eastAsia="es-ES"/>
              </w:rPr>
              <w:t>Gestión  Contractual</w:t>
            </w:r>
            <w:proofErr w:type="gramEnd"/>
          </w:p>
        </w:tc>
      </w:tr>
    </w:tbl>
    <w:p w:rsidRPr="007E354F" w:rsidR="00746E08" w:rsidP="00F13C05" w:rsidRDefault="00746E08" w14:paraId="35B56F46" w14:textId="77777777">
      <w:pPr>
        <w:spacing w:before="120" w:after="120" w:line="276" w:lineRule="auto"/>
        <w:rPr>
          <w:rFonts w:ascii="Arial" w:hAnsi="Arial" w:eastAsia="Times New Roman" w:cs="Arial"/>
          <w:sz w:val="16"/>
          <w:szCs w:val="16"/>
          <w:lang w:eastAsia="es-ES"/>
        </w:rPr>
      </w:pPr>
    </w:p>
    <w:sectPr w:rsidRPr="007E354F"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2A5E" w:rsidRDefault="00612A5E" w14:paraId="21FF55CB" w14:textId="77777777">
      <w:r>
        <w:separator/>
      </w:r>
    </w:p>
  </w:endnote>
  <w:endnote w:type="continuationSeparator" w:id="0">
    <w:p w:rsidR="00612A5E" w:rsidRDefault="00612A5E" w14:paraId="7E6C1E30" w14:textId="77777777">
      <w:r>
        <w:continuationSeparator/>
      </w:r>
    </w:p>
  </w:endnote>
  <w:endnote w:type="continuationNotice" w:id="1">
    <w:p w:rsidR="00612A5E" w:rsidRDefault="00612A5E" w14:paraId="64DF61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8217B7" w14:paraId="62F02A34" w14:textId="77777777">
    <w:pPr>
      <w:pStyle w:val="Sinespaciado"/>
      <w:jc w:val="right"/>
      <w:rPr>
        <w:rFonts w:ascii="Arial" w:hAnsi="Arial" w:cs="Arial"/>
        <w:sz w:val="18"/>
        <w:szCs w:val="18"/>
      </w:rPr>
    </w:pPr>
  </w:p>
  <w:p w:rsidRPr="008217B7" w:rsidR="00FE42ED" w:rsidP="00FE42ED" w:rsidRDefault="008F538E" w14:paraId="7A3785F3" w14:textId="6C2A66C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597CB5">
      <w:rPr>
        <w:rFonts w:ascii="Arial" w:hAnsi="Arial" w:cs="Arial"/>
        <w:b/>
        <w:bCs/>
        <w:noProof/>
        <w:color w:val="7F7F7F" w:themeColor="text1" w:themeTint="80"/>
        <w:sz w:val="16"/>
        <w:szCs w:val="16"/>
      </w:rPr>
      <w:t>1</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597CB5">
      <w:rPr>
        <w:rFonts w:ascii="Arial" w:hAnsi="Arial" w:cs="Arial"/>
        <w:b/>
        <w:bCs/>
        <w:noProof/>
        <w:color w:val="7F7F7F" w:themeColor="text1" w:themeTint="80"/>
        <w:sz w:val="16"/>
        <w:szCs w:val="16"/>
      </w:rPr>
      <w:t>14</w:t>
    </w:r>
    <w:r w:rsidRPr="00084B97" w:rsidR="00FE42ED">
      <w:rPr>
        <w:rFonts w:ascii="Arial" w:hAnsi="Arial" w:cs="Arial"/>
        <w:b/>
        <w:bCs/>
        <w:color w:val="7F7F7F" w:themeColor="text1" w:themeTint="80"/>
        <w:sz w:val="16"/>
        <w:szCs w:val="16"/>
      </w:rPr>
      <w:fldChar w:fldCharType="end"/>
    </w:r>
  </w:p>
  <w:p w:rsidR="009047C5" w:rsidP="00322937" w:rsidRDefault="1847B935" w14:paraId="48FC6A04" w14:textId="5FD1A7C9">
    <w:pPr>
      <w:pStyle w:val="Piedepgina"/>
      <w:jc w:val="center"/>
      <w:rPr>
        <w:lang w:val="es-ES"/>
      </w:rPr>
    </w:pPr>
    <w:r w:rsidR="75FF4BF0">
      <w:drawing>
        <wp:inline wp14:editId="398684DD" wp14:anchorId="608B196D">
          <wp:extent cx="3700130" cy="519139"/>
          <wp:effectExtent l="0" t="0" r="0" b="0"/>
          <wp:docPr id="1930510726" name="Imagen 3" title=""/>
          <wp:cNvGraphicFramePr>
            <a:graphicFrameLocks noChangeAspect="1"/>
          </wp:cNvGraphicFramePr>
          <a:graphic>
            <a:graphicData uri="http://schemas.openxmlformats.org/drawingml/2006/picture">
              <pic:pic>
                <pic:nvPicPr>
                  <pic:cNvPr id="0" name="Imagen 3"/>
                  <pic:cNvPicPr/>
                </pic:nvPicPr>
                <pic:blipFill>
                  <a:blip r:embed="Re738f3287e6d42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2937" w:rsidP="007B0854" w:rsidRDefault="00322937" w14:paraId="5D0E988C" w14:textId="77777777">
    <w:pPr>
      <w:pStyle w:val="Piedepgina"/>
      <w:jc w:val="center"/>
      <w:rPr>
        <w:lang w:val="es-ES"/>
      </w:rPr>
    </w:pP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2A5E" w:rsidRDefault="00612A5E" w14:paraId="18AA9F35" w14:textId="77777777">
      <w:r>
        <w:separator/>
      </w:r>
    </w:p>
  </w:footnote>
  <w:footnote w:type="continuationSeparator" w:id="0">
    <w:p w:rsidR="00612A5E" w:rsidRDefault="00612A5E" w14:paraId="7CB2B08E" w14:textId="77777777">
      <w:r>
        <w:continuationSeparator/>
      </w:r>
    </w:p>
  </w:footnote>
  <w:footnote w:type="continuationNotice" w:id="1">
    <w:p w:rsidR="00612A5E" w:rsidRDefault="00612A5E" w14:paraId="2E0998B9" w14:textId="77777777"/>
  </w:footnote>
  <w:footnote w:id="2">
    <w:p w:rsidRPr="00D3017A" w:rsidR="00240457" w:rsidP="00240457" w:rsidRDefault="00240457" w14:paraId="43CDBA4E"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Corte Constitucional. Sentencia C- 341 del 4 de junio de 2014. M. P. Mauricio González Cuervo.</w:t>
      </w:r>
    </w:p>
    <w:p w:rsidRPr="00D3017A" w:rsidR="00240457" w:rsidP="00240457" w:rsidRDefault="00240457" w14:paraId="467127B7" w14:textId="77777777">
      <w:pPr>
        <w:pStyle w:val="Textonotapie"/>
        <w:ind w:firstLine="708"/>
        <w:jc w:val="both"/>
        <w:rPr>
          <w:rFonts w:ascii="Arial" w:hAnsi="Arial" w:cs="Arial"/>
          <w:sz w:val="19"/>
          <w:szCs w:val="19"/>
          <w:lang w:val="es-CO"/>
        </w:rPr>
      </w:pPr>
    </w:p>
  </w:footnote>
  <w:footnote w:id="3">
    <w:p w:rsidRPr="00D3017A" w:rsidR="00240457" w:rsidP="00240457" w:rsidRDefault="00240457" w14:paraId="7E0D75BD"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D3017A" w:rsidR="00240457" w:rsidP="00240457" w:rsidRDefault="00240457" w14:paraId="656AC0D4" w14:textId="77777777">
      <w:pPr>
        <w:pStyle w:val="Textonotapie"/>
        <w:ind w:firstLine="708"/>
        <w:jc w:val="both"/>
        <w:rPr>
          <w:rFonts w:ascii="Arial" w:hAnsi="Arial" w:cs="Arial"/>
          <w:sz w:val="19"/>
          <w:szCs w:val="19"/>
        </w:rPr>
      </w:pPr>
      <w:proofErr w:type="gramStart"/>
      <w:r w:rsidRPr="00D3017A">
        <w:rPr>
          <w:rFonts w:ascii="Arial" w:hAnsi="Arial" w:cs="Arial"/>
          <w:sz w:val="19"/>
          <w:szCs w:val="19"/>
        </w:rPr>
        <w:t>»Lo</w:t>
      </w:r>
      <w:proofErr w:type="gramEnd"/>
      <w:r w:rsidRPr="00D3017A">
        <w:rPr>
          <w:rFonts w:ascii="Arial" w:hAnsi="Arial" w:cs="Arial"/>
          <w:sz w:val="19"/>
          <w:szCs w:val="19"/>
        </w:rPr>
        <w:t xml:space="preserve"> anterior, sin perjuicio de las publicaciones previstas en el numeral 3 del artículo 30 de la Ley 80 de 1993.</w:t>
      </w:r>
    </w:p>
    <w:p w:rsidRPr="00D3017A" w:rsidR="00240457" w:rsidP="00240457" w:rsidRDefault="00240457" w14:paraId="4B7477E1" w14:textId="77777777">
      <w:pPr>
        <w:pStyle w:val="Textonotapie"/>
        <w:ind w:firstLine="708"/>
        <w:jc w:val="both"/>
        <w:rPr>
          <w:rFonts w:ascii="Arial" w:hAnsi="Arial" w:cs="Arial"/>
          <w:sz w:val="19"/>
          <w:szCs w:val="19"/>
        </w:rPr>
      </w:pPr>
      <w:proofErr w:type="gramStart"/>
      <w:r w:rsidRPr="00D3017A">
        <w:rPr>
          <w:rFonts w:ascii="Arial" w:hAnsi="Arial" w:cs="Arial"/>
          <w:sz w:val="19"/>
          <w:szCs w:val="19"/>
        </w:rPr>
        <w:t>»Con</w:t>
      </w:r>
      <w:proofErr w:type="gramEnd"/>
      <w:r w:rsidRPr="00D3017A">
        <w:rPr>
          <w:rFonts w:ascii="Arial" w:hAnsi="Arial" w:cs="Arial"/>
          <w:sz w:val="19"/>
          <w:szCs w:val="19"/>
        </w:rPr>
        <w:t xml:space="preserve"> el fin de materializar los objetivos a que se refiere el inciso anterior, el Gobierno Nacional desarrollará el Sistema Electrónico para la Contratación Pública, </w:t>
      </w:r>
      <w:proofErr w:type="spellStart"/>
      <w:r w:rsidRPr="00D3017A">
        <w:rPr>
          <w:rFonts w:ascii="Arial" w:hAnsi="Arial" w:cs="Arial"/>
          <w:sz w:val="19"/>
          <w:szCs w:val="19"/>
        </w:rPr>
        <w:t>Secop</w:t>
      </w:r>
      <w:proofErr w:type="spellEnd"/>
      <w:r w:rsidRPr="00D3017A">
        <w:rPr>
          <w:rFonts w:ascii="Arial" w:hAnsi="Arial" w:cs="Arial"/>
          <w:sz w:val="19"/>
          <w:szCs w:val="19"/>
        </w:rPr>
        <w:t xml:space="preserve">, el cual: </w:t>
      </w:r>
    </w:p>
    <w:p w:rsidRPr="00D3017A" w:rsidR="00240457" w:rsidP="00240457" w:rsidRDefault="00240457" w14:paraId="4E27DE09" w14:textId="77777777">
      <w:pPr>
        <w:pStyle w:val="Textonotapie"/>
        <w:ind w:firstLine="708"/>
        <w:jc w:val="both"/>
        <w:rPr>
          <w:rFonts w:ascii="Arial" w:hAnsi="Arial" w:cs="Arial"/>
          <w:sz w:val="19"/>
          <w:szCs w:val="19"/>
        </w:rPr>
      </w:pPr>
      <w:r w:rsidRPr="00D3017A">
        <w:rPr>
          <w:rFonts w:ascii="Arial" w:hAnsi="Arial" w:cs="Arial"/>
          <w:sz w:val="19"/>
          <w:szCs w:val="19"/>
        </w:rPr>
        <w:t>[…]</w:t>
      </w:r>
    </w:p>
    <w:p w:rsidRPr="00D3017A" w:rsidR="00240457" w:rsidP="00240457" w:rsidRDefault="00240457" w14:paraId="6A7DDD4D" w14:textId="77777777">
      <w:pPr>
        <w:pStyle w:val="Textonotapie"/>
        <w:ind w:firstLine="708"/>
        <w:jc w:val="both"/>
        <w:rPr>
          <w:rFonts w:ascii="Arial" w:hAnsi="Arial" w:cs="Arial"/>
          <w:sz w:val="19"/>
          <w:szCs w:val="19"/>
        </w:rPr>
      </w:pPr>
      <w:r w:rsidRPr="00D3017A">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D3017A" w:rsidR="00240457" w:rsidP="00240457" w:rsidRDefault="00240457" w14:paraId="799FD199" w14:textId="77777777">
      <w:pPr>
        <w:pStyle w:val="Textonotapie"/>
        <w:ind w:firstLine="708"/>
        <w:jc w:val="both"/>
        <w:rPr>
          <w:rFonts w:ascii="Arial" w:hAnsi="Arial" w:cs="Arial"/>
          <w:sz w:val="19"/>
          <w:szCs w:val="19"/>
        </w:rPr>
      </w:pPr>
    </w:p>
  </w:footnote>
  <w:footnote w:id="4">
    <w:p w:rsidRPr="00D3017A" w:rsidR="00240457" w:rsidP="00240457" w:rsidRDefault="00240457" w14:paraId="0338D9BD"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D3017A" w:rsidR="00240457" w:rsidP="00240457" w:rsidRDefault="00240457" w14:paraId="3705E494" w14:textId="77777777">
      <w:pPr>
        <w:pStyle w:val="Textonotapie"/>
        <w:ind w:firstLine="708"/>
        <w:jc w:val="both"/>
        <w:rPr>
          <w:rFonts w:ascii="Arial" w:hAnsi="Arial" w:cs="Arial"/>
          <w:sz w:val="19"/>
          <w:szCs w:val="19"/>
        </w:rPr>
      </w:pPr>
    </w:p>
  </w:footnote>
  <w:footnote w:id="5">
    <w:p w:rsidRPr="00D3017A" w:rsidR="00240457" w:rsidP="00240457" w:rsidRDefault="00240457" w14:paraId="781ECF17"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Ley 1712 de 2014: «Artículo 5. Ámbito de aplicación. Las disposiciones de esta ley serán aplicables a las siguientes personas en calidad de sujetos obligados: </w:t>
      </w:r>
    </w:p>
    <w:p w:rsidRPr="00D3017A" w:rsidR="00240457" w:rsidP="00240457" w:rsidRDefault="00240457" w14:paraId="50FBA795" w14:textId="77777777">
      <w:pPr>
        <w:pStyle w:val="Textonotapie"/>
        <w:ind w:firstLine="708"/>
        <w:jc w:val="both"/>
        <w:rPr>
          <w:rFonts w:ascii="Arial" w:hAnsi="Arial" w:cs="Arial"/>
          <w:sz w:val="19"/>
          <w:szCs w:val="19"/>
        </w:rPr>
      </w:pPr>
      <w:r w:rsidRPr="00D3017A">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D3017A" w:rsidR="00240457" w:rsidP="00240457" w:rsidRDefault="00240457" w14:paraId="6158CD47" w14:textId="77777777">
      <w:pPr>
        <w:pStyle w:val="Textonotapie"/>
        <w:jc w:val="both"/>
        <w:rPr>
          <w:rFonts w:ascii="Arial" w:hAnsi="Arial" w:cs="Arial"/>
          <w:sz w:val="19"/>
          <w:szCs w:val="19"/>
          <w:lang w:val="es-CO"/>
        </w:rPr>
      </w:pPr>
    </w:p>
  </w:footnote>
  <w:footnote w:id="6">
    <w:p w:rsidRPr="00D3017A" w:rsidR="00240457" w:rsidP="00240457" w:rsidRDefault="00240457" w14:paraId="26C807F1" w14:textId="77777777">
      <w:pPr>
        <w:pStyle w:val="Textonotapie"/>
        <w:ind w:firstLine="709"/>
        <w:jc w:val="both"/>
        <w:rPr>
          <w:rFonts w:ascii="Arial" w:hAnsi="Arial" w:cs="Arial"/>
          <w:sz w:val="19"/>
          <w:szCs w:val="19"/>
        </w:rPr>
      </w:pPr>
      <w:r w:rsidRPr="00D3017A">
        <w:rPr>
          <w:rFonts w:ascii="Arial" w:hAnsi="Arial" w:eastAsia="Times New Roman" w:cs="Arial"/>
          <w:sz w:val="19"/>
          <w:szCs w:val="19"/>
          <w:vertAlign w:val="superscript"/>
          <w:lang w:val="es-ES" w:eastAsia="es-ES"/>
        </w:rPr>
        <w:footnoteRef/>
      </w:r>
      <w:r w:rsidRPr="00D3017A">
        <w:rPr>
          <w:rFonts w:ascii="Arial" w:hAnsi="Arial" w:eastAsia="Times New Roman" w:cs="Arial"/>
          <w:sz w:val="19"/>
          <w:szCs w:val="19"/>
          <w:vertAlign w:val="superscript"/>
          <w:lang w:val="es-ES" w:eastAsia="es-ES"/>
        </w:rPr>
        <w:t xml:space="preserve"> </w:t>
      </w:r>
      <w:r w:rsidRPr="00D3017A">
        <w:rPr>
          <w:rFonts w:ascii="Arial" w:hAnsi="Arial" w:eastAsia="Times New Roman" w:cs="Arial"/>
          <w:sz w:val="19"/>
          <w:szCs w:val="19"/>
          <w:lang w:val="es-ES" w:eastAsia="es-ES"/>
        </w:rPr>
        <w:t>«</w:t>
      </w:r>
      <w:r w:rsidRPr="00D3017A">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D3017A" w:rsidR="00240457" w:rsidP="00240457" w:rsidRDefault="00240457" w14:paraId="62E578A6" w14:textId="77777777">
      <w:pPr>
        <w:pStyle w:val="Textonotapie"/>
        <w:ind w:firstLine="709"/>
        <w:jc w:val="both"/>
        <w:rPr>
          <w:rFonts w:ascii="Arial" w:hAnsi="Arial" w:cs="Arial"/>
          <w:sz w:val="19"/>
          <w:szCs w:val="19"/>
        </w:rPr>
      </w:pPr>
      <w:r w:rsidRPr="00D3017A">
        <w:rPr>
          <w:rFonts w:ascii="Arial" w:hAnsi="Arial" w:cs="Arial"/>
          <w:sz w:val="19"/>
          <w:szCs w:val="19"/>
        </w:rPr>
        <w:t>[…]</w:t>
      </w:r>
    </w:p>
    <w:p w:rsidRPr="00D3017A" w:rsidR="00240457" w:rsidP="00240457" w:rsidRDefault="00240457" w14:paraId="185258D1" w14:textId="77777777">
      <w:pPr>
        <w:pStyle w:val="Textonotapie"/>
        <w:ind w:firstLine="709"/>
        <w:jc w:val="both"/>
        <w:rPr>
          <w:rFonts w:ascii="Arial" w:hAnsi="Arial" w:cs="Arial"/>
          <w:sz w:val="19"/>
          <w:szCs w:val="19"/>
        </w:rPr>
      </w:pPr>
    </w:p>
    <w:p w:rsidRPr="00D3017A" w:rsidR="00240457" w:rsidP="00240457" w:rsidRDefault="00240457" w14:paraId="2A25FB9B" w14:textId="77777777">
      <w:pPr>
        <w:pStyle w:val="Textonotapie"/>
        <w:ind w:firstLine="709"/>
        <w:jc w:val="both"/>
        <w:rPr>
          <w:rFonts w:ascii="Arial" w:hAnsi="Arial" w:eastAsia="Times New Roman" w:cs="Arial"/>
          <w:sz w:val="19"/>
          <w:szCs w:val="19"/>
          <w:lang w:val="es-ES" w:eastAsia="es-ES"/>
        </w:rPr>
      </w:pPr>
      <w:proofErr w:type="gramStart"/>
      <w:r w:rsidRPr="00D3017A">
        <w:rPr>
          <w:rFonts w:ascii="Arial" w:hAnsi="Arial" w:eastAsia="Times New Roman" w:cs="Arial"/>
          <w:sz w:val="19"/>
          <w:szCs w:val="19"/>
          <w:lang w:val="es-ES" w:eastAsia="es-ES"/>
        </w:rPr>
        <w:t>»Los</w:t>
      </w:r>
      <w:proofErr w:type="gramEnd"/>
      <w:r w:rsidRPr="00D3017A">
        <w:rPr>
          <w:rFonts w:ascii="Arial" w:hAnsi="Arial" w:eastAsia="Times New Roman" w:cs="Arial"/>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rsidRPr="00D3017A" w:rsidR="00240457" w:rsidP="00240457" w:rsidRDefault="00240457" w14:paraId="0E322D32" w14:textId="77777777">
      <w:pPr>
        <w:pStyle w:val="Textonotapie"/>
        <w:ind w:firstLine="709"/>
        <w:jc w:val="both"/>
        <w:rPr>
          <w:rFonts w:ascii="Arial" w:hAnsi="Arial" w:eastAsia="Times New Roman" w:cs="Arial"/>
          <w:sz w:val="19"/>
          <w:szCs w:val="19"/>
          <w:lang w:val="es-ES" w:eastAsia="es-ES"/>
        </w:rPr>
      </w:pPr>
    </w:p>
  </w:footnote>
  <w:footnote w:id="7">
    <w:p w:rsidRPr="00D3017A" w:rsidR="00240457" w:rsidP="00240457" w:rsidRDefault="00240457" w14:paraId="35FCA05F" w14:textId="77777777">
      <w:pPr>
        <w:pStyle w:val="Textonotapie"/>
        <w:ind w:firstLine="708"/>
        <w:jc w:val="both"/>
        <w:rPr>
          <w:rFonts w:ascii="Arial" w:hAnsi="Arial" w:eastAsia="Times New Roman" w:cs="Arial"/>
          <w:sz w:val="19"/>
          <w:szCs w:val="19"/>
          <w:lang w:val="es-ES" w:eastAsia="es-ES"/>
        </w:rPr>
      </w:pPr>
      <w:r w:rsidRPr="00D3017A">
        <w:rPr>
          <w:rStyle w:val="Refdenotaalpie"/>
          <w:rFonts w:ascii="Arial" w:hAnsi="Arial" w:cs="Arial"/>
          <w:sz w:val="19"/>
          <w:szCs w:val="19"/>
        </w:rPr>
        <w:footnoteRef/>
      </w:r>
      <w:r w:rsidRPr="00D3017A">
        <w:rPr>
          <w:rFonts w:ascii="Arial" w:hAnsi="Arial" w:cs="Arial"/>
          <w:sz w:val="19"/>
          <w:szCs w:val="19"/>
        </w:rPr>
        <w:t xml:space="preserve"> C</w:t>
      </w:r>
      <w:proofErr w:type="spellStart"/>
      <w:r w:rsidRPr="00D3017A">
        <w:rPr>
          <w:rFonts w:ascii="Arial" w:hAnsi="Arial" w:eastAsia="Times New Roman" w:cs="Arial"/>
          <w:sz w:val="19"/>
          <w:szCs w:val="19"/>
          <w:lang w:val="es-ES" w:eastAsia="es-ES"/>
        </w:rPr>
        <w:t>orte</w:t>
      </w:r>
      <w:proofErr w:type="spellEnd"/>
      <w:r w:rsidRPr="00D3017A">
        <w:rPr>
          <w:rFonts w:ascii="Arial" w:hAnsi="Arial" w:eastAsia="Times New Roman" w:cs="Arial"/>
          <w:sz w:val="19"/>
          <w:szCs w:val="19"/>
          <w:lang w:val="es-ES" w:eastAsia="es-ES"/>
        </w:rPr>
        <w:t xml:space="preserve"> Constitucional. Sentencia C─274 de 9 de mayo de 2013. M.P. María Victoria Calle Correa. </w:t>
      </w:r>
    </w:p>
    <w:p w:rsidRPr="00D3017A" w:rsidR="00240457" w:rsidP="00240457" w:rsidRDefault="00240457" w14:paraId="37A121BF" w14:textId="77777777">
      <w:pPr>
        <w:pStyle w:val="Textonotapie"/>
        <w:ind w:firstLine="708"/>
        <w:jc w:val="both"/>
        <w:rPr>
          <w:rFonts w:ascii="Arial" w:hAnsi="Arial" w:eastAsia="Times New Roman" w:cs="Arial"/>
          <w:sz w:val="19"/>
          <w:szCs w:val="19"/>
          <w:lang w:val="es-ES" w:eastAsia="es-ES"/>
        </w:rPr>
      </w:pPr>
    </w:p>
  </w:footnote>
  <w:footnote w:id="8">
    <w:p w:rsidRPr="00D3017A" w:rsidR="00240457" w:rsidP="00240457" w:rsidRDefault="00240457" w14:paraId="3B986FEF" w14:textId="77777777">
      <w:pPr>
        <w:pStyle w:val="Textonotapie"/>
        <w:ind w:firstLine="708"/>
        <w:jc w:val="both"/>
        <w:rPr>
          <w:rFonts w:ascii="Arial" w:hAnsi="Arial" w:cs="Arial"/>
          <w:sz w:val="19"/>
          <w:szCs w:val="19"/>
          <w:lang w:val="es-CO"/>
        </w:rPr>
      </w:pPr>
      <w:r w:rsidRPr="00D3017A">
        <w:rPr>
          <w:rStyle w:val="Refdenotaalpie"/>
          <w:rFonts w:ascii="Arial" w:hAnsi="Arial" w:cs="Arial"/>
          <w:sz w:val="19"/>
          <w:szCs w:val="19"/>
        </w:rPr>
        <w:footnoteRef/>
      </w:r>
      <w:r w:rsidRPr="00D3017A">
        <w:rPr>
          <w:rFonts w:ascii="Arial" w:hAnsi="Arial" w:cs="Arial"/>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9">
    <w:p w:rsidRPr="00D3017A" w:rsidR="00240457" w:rsidP="00240457" w:rsidRDefault="00240457" w14:paraId="620AEB9B"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Consejo de Estado. Sección Tercera. Auto del 14 de agosto de 2017.  </w:t>
      </w:r>
      <w:proofErr w:type="spellStart"/>
      <w:r w:rsidRPr="00D3017A">
        <w:rPr>
          <w:rFonts w:ascii="Arial" w:hAnsi="Arial" w:cs="Arial"/>
          <w:sz w:val="19"/>
          <w:szCs w:val="19"/>
        </w:rPr>
        <w:t>Exp</w:t>
      </w:r>
      <w:proofErr w:type="spellEnd"/>
      <w:r w:rsidRPr="00D3017A">
        <w:rPr>
          <w:rFonts w:ascii="Arial" w:hAnsi="Arial" w:cs="Arial"/>
          <w:sz w:val="19"/>
          <w:szCs w:val="19"/>
        </w:rPr>
        <w:t xml:space="preserve">: 58.820. C.P. Jaime Orlando Santofimio Gamboa. </w:t>
      </w:r>
    </w:p>
    <w:p w:rsidRPr="00D3017A" w:rsidR="00240457" w:rsidP="00240457" w:rsidRDefault="00240457" w14:paraId="57FD7399" w14:textId="77777777">
      <w:pPr>
        <w:pStyle w:val="Textonotapie"/>
        <w:ind w:firstLine="708"/>
        <w:jc w:val="both"/>
        <w:rPr>
          <w:rFonts w:ascii="Arial" w:hAnsi="Arial" w:cs="Arial"/>
          <w:sz w:val="19"/>
          <w:szCs w:val="19"/>
          <w:lang w:val="es-CO"/>
        </w:rPr>
      </w:pPr>
    </w:p>
  </w:footnote>
  <w:footnote w:id="10">
    <w:p w:rsidRPr="00D3017A" w:rsidR="00240457" w:rsidP="00240457" w:rsidRDefault="00240457" w14:paraId="314889B4" w14:textId="77777777">
      <w:pPr>
        <w:pStyle w:val="Prrafodelista"/>
        <w:ind w:left="0" w:firstLine="708"/>
        <w:contextualSpacing w:val="0"/>
        <w:jc w:val="both"/>
        <w:rPr>
          <w:rFonts w:ascii="Arial" w:hAnsi="Arial" w:cs="Arial"/>
          <w:bCs/>
          <w:sz w:val="19"/>
          <w:szCs w:val="19"/>
          <w:lang w:val="es-ES"/>
        </w:rPr>
      </w:pPr>
      <w:r w:rsidRPr="00D3017A">
        <w:rPr>
          <w:rStyle w:val="Refdenotaalpie"/>
          <w:rFonts w:ascii="Arial" w:hAnsi="Arial" w:cs="Arial"/>
          <w:sz w:val="19"/>
          <w:szCs w:val="19"/>
        </w:rPr>
        <w:footnoteRef/>
      </w:r>
      <w:r w:rsidRPr="00D3017A">
        <w:rPr>
          <w:rFonts w:ascii="Arial" w:hAnsi="Arial" w:cs="Arial"/>
          <w:sz w:val="19"/>
          <w:szCs w:val="19"/>
        </w:rPr>
        <w:t xml:space="preserve"> </w:t>
      </w:r>
      <w:r w:rsidRPr="00D3017A">
        <w:rPr>
          <w:rFonts w:ascii="Arial" w:hAnsi="Arial" w:cs="Arial"/>
          <w:bCs/>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rsidRPr="00D3017A" w:rsidR="00240457" w:rsidP="00240457" w:rsidRDefault="00240457" w14:paraId="46D77F0E" w14:textId="77777777">
      <w:pPr>
        <w:pStyle w:val="Textonotapie"/>
        <w:ind w:firstLine="708"/>
        <w:jc w:val="both"/>
        <w:rPr>
          <w:rFonts w:ascii="Arial" w:hAnsi="Arial" w:cs="Arial"/>
          <w:sz w:val="19"/>
          <w:szCs w:val="19"/>
          <w:lang w:val="es-ES"/>
        </w:rPr>
      </w:pPr>
    </w:p>
  </w:footnote>
  <w:footnote w:id="11">
    <w:p w:rsidRPr="00D3017A" w:rsidR="00240457" w:rsidP="00240457" w:rsidRDefault="00240457" w14:paraId="54320C8F"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rsidRPr="00D3017A" w:rsidR="00240457" w:rsidP="00240457" w:rsidRDefault="00240457" w14:paraId="1F18A6F0" w14:textId="77777777">
      <w:pPr>
        <w:pStyle w:val="Textonotapie"/>
        <w:ind w:firstLine="708"/>
        <w:jc w:val="both"/>
        <w:rPr>
          <w:rFonts w:ascii="Arial" w:hAnsi="Arial" w:eastAsia="Times New Roman" w:cs="Arial"/>
          <w:sz w:val="19"/>
          <w:szCs w:val="19"/>
          <w:lang w:val="es-ES" w:eastAsia="es-ES"/>
        </w:rPr>
      </w:pPr>
      <w:proofErr w:type="gramStart"/>
      <w:r w:rsidRPr="00D3017A">
        <w:rPr>
          <w:rFonts w:ascii="Arial" w:hAnsi="Arial" w:cs="Arial"/>
          <w:sz w:val="19"/>
          <w:szCs w:val="19"/>
          <w:lang w:val="es-ES"/>
        </w:rPr>
        <w:t>»</w:t>
      </w:r>
      <w:r w:rsidRPr="00D3017A">
        <w:rPr>
          <w:rFonts w:ascii="Arial" w:hAnsi="Arial" w:cs="Arial"/>
          <w:sz w:val="19"/>
          <w:szCs w:val="19"/>
        </w:rPr>
        <w:t>Así</w:t>
      </w:r>
      <w:proofErr w:type="gramEnd"/>
      <w:r w:rsidRPr="00D3017A">
        <w:rPr>
          <w:rFonts w:ascii="Arial" w:hAnsi="Arial" w:cs="Arial"/>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2">
    <w:p w:rsidRPr="00D3017A" w:rsidR="00240457" w:rsidP="00240457" w:rsidRDefault="00240457" w14:paraId="0FC908A0"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rsidRPr="00D3017A" w:rsidR="00240457" w:rsidP="00240457" w:rsidRDefault="00240457" w14:paraId="2E5CA7E2" w14:textId="77777777">
      <w:pPr>
        <w:pStyle w:val="Textonotapie"/>
        <w:ind w:firstLine="708"/>
        <w:jc w:val="both"/>
        <w:rPr>
          <w:rFonts w:ascii="Arial" w:hAnsi="Arial" w:cs="Arial"/>
          <w:sz w:val="19"/>
          <w:szCs w:val="19"/>
        </w:rPr>
      </w:pPr>
    </w:p>
  </w:footnote>
  <w:footnote w:id="13">
    <w:p w:rsidRPr="00D3017A" w:rsidR="00240457" w:rsidP="00240457" w:rsidRDefault="00240457" w14:paraId="33A16710"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rsidRPr="00D3017A" w:rsidR="00240457" w:rsidP="00240457" w:rsidRDefault="00240457" w14:paraId="51FBA21C" w14:textId="77777777">
      <w:pPr>
        <w:pStyle w:val="Textonotapie"/>
        <w:ind w:firstLine="708"/>
        <w:jc w:val="both"/>
        <w:rPr>
          <w:rFonts w:ascii="Arial" w:hAnsi="Arial" w:cs="Arial"/>
          <w:sz w:val="19"/>
          <w:szCs w:val="19"/>
        </w:rPr>
      </w:pPr>
    </w:p>
  </w:footnote>
  <w:footnote w:id="14">
    <w:p w:rsidRPr="00D3017A" w:rsidR="00240457" w:rsidP="00240457" w:rsidRDefault="00240457" w14:paraId="3D86E915"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Decreto 103 de 2015: «Artículo 10. Publicación del Plan Anual de Adquisiciones. Los sujetos obligados que contratan con cargo a recursos públicos deben publicar en su página web y en el </w:t>
      </w:r>
      <w:proofErr w:type="spellStart"/>
      <w:r w:rsidRPr="00D3017A">
        <w:rPr>
          <w:rFonts w:ascii="Arial" w:hAnsi="Arial" w:cs="Arial"/>
          <w:sz w:val="19"/>
          <w:szCs w:val="19"/>
        </w:rPr>
        <w:t>Secop</w:t>
      </w:r>
      <w:proofErr w:type="spellEnd"/>
      <w:r w:rsidRPr="00D3017A">
        <w:rPr>
          <w:rFonts w:ascii="Arial" w:hAnsi="Arial" w:cs="Arial"/>
          <w:sz w:val="19"/>
          <w:szCs w:val="19"/>
        </w:rPr>
        <w:t xml:space="preserve"> el Plan Anual de Adquisiciones, de acuerdo con lo previsto en el artículo 74 de la Ley 1474 de 2011, el literal e) del artículo 9° de la Ley 1712 de 2014 y el Decreto 1510 de 2013, o el que lo modifique, sustituya o adicione.</w:t>
      </w:r>
    </w:p>
    <w:p w:rsidRPr="00D3017A" w:rsidR="00240457" w:rsidP="00240457" w:rsidRDefault="00240457" w14:paraId="7BA8AD75" w14:textId="77777777">
      <w:pPr>
        <w:pStyle w:val="Textonotapie"/>
        <w:ind w:firstLine="708"/>
        <w:jc w:val="both"/>
        <w:rPr>
          <w:rFonts w:ascii="Arial" w:hAnsi="Arial" w:cs="Arial"/>
          <w:sz w:val="19"/>
          <w:szCs w:val="19"/>
        </w:rPr>
      </w:pPr>
      <w:proofErr w:type="gramStart"/>
      <w:r w:rsidRPr="00D3017A">
        <w:rPr>
          <w:rFonts w:ascii="Arial" w:hAnsi="Arial" w:cs="Arial"/>
          <w:sz w:val="19"/>
          <w:szCs w:val="19"/>
          <w:lang w:val="es-ES"/>
        </w:rPr>
        <w:t>»</w:t>
      </w:r>
      <w:r w:rsidRPr="00D3017A">
        <w:rPr>
          <w:rFonts w:ascii="Arial" w:hAnsi="Arial" w:cs="Arial"/>
          <w:sz w:val="19"/>
          <w:szCs w:val="19"/>
        </w:rPr>
        <w:t>Los</w:t>
      </w:r>
      <w:proofErr w:type="gramEnd"/>
      <w:r w:rsidRPr="00D3017A">
        <w:rPr>
          <w:rFonts w:ascii="Arial" w:hAnsi="Arial" w:cs="Arial"/>
          <w:sz w:val="19"/>
          <w:szCs w:val="19"/>
        </w:rPr>
        <w:t xml:space="preserve"> sujetos obligados que no contratan con cargo a recursos públicos no están obligados a publicar su Plan Anual de Adquisiciones.</w:t>
      </w:r>
    </w:p>
    <w:p w:rsidRPr="00D3017A" w:rsidR="00240457" w:rsidP="00240457" w:rsidRDefault="00240457" w14:paraId="111351C0" w14:textId="77777777">
      <w:pPr>
        <w:pStyle w:val="Textonotapie"/>
        <w:ind w:firstLine="708"/>
        <w:jc w:val="both"/>
        <w:rPr>
          <w:rFonts w:ascii="Arial" w:hAnsi="Arial" w:cs="Arial"/>
          <w:sz w:val="19"/>
          <w:szCs w:val="19"/>
        </w:rPr>
      </w:pPr>
      <w:proofErr w:type="gramStart"/>
      <w:r w:rsidRPr="00D3017A">
        <w:rPr>
          <w:rFonts w:ascii="Arial" w:hAnsi="Arial" w:cs="Arial"/>
          <w:sz w:val="19"/>
          <w:szCs w:val="19"/>
          <w:lang w:val="es-ES"/>
        </w:rPr>
        <w:t>»</w:t>
      </w:r>
      <w:r w:rsidRPr="00D3017A">
        <w:rPr>
          <w:rFonts w:ascii="Arial" w:hAnsi="Arial" w:cs="Arial"/>
          <w:sz w:val="19"/>
          <w:szCs w:val="19"/>
        </w:rPr>
        <w:t>Los</w:t>
      </w:r>
      <w:proofErr w:type="gramEnd"/>
      <w:r w:rsidRPr="00D3017A">
        <w:rPr>
          <w:rFonts w:ascii="Arial" w:hAnsi="Arial" w:cs="Arial"/>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rsidRPr="00D3017A" w:rsidR="00240457" w:rsidP="00240457" w:rsidRDefault="00240457" w14:paraId="2D33EA20" w14:textId="77777777">
      <w:pPr>
        <w:pStyle w:val="Textonotapie"/>
        <w:ind w:firstLine="708"/>
        <w:jc w:val="both"/>
        <w:rPr>
          <w:rFonts w:ascii="Arial" w:hAnsi="Arial" w:cs="Arial"/>
          <w:sz w:val="19"/>
          <w:szCs w:val="19"/>
        </w:rPr>
      </w:pPr>
      <w:proofErr w:type="gramStart"/>
      <w:r w:rsidRPr="00D3017A">
        <w:rPr>
          <w:rFonts w:ascii="Arial" w:hAnsi="Arial" w:cs="Arial"/>
          <w:sz w:val="19"/>
          <w:szCs w:val="19"/>
          <w:lang w:val="es-ES"/>
        </w:rPr>
        <w:t>»</w:t>
      </w:r>
      <w:r w:rsidRPr="00D3017A">
        <w:rPr>
          <w:rFonts w:ascii="Arial" w:hAnsi="Arial" w:cs="Arial"/>
          <w:sz w:val="19"/>
          <w:szCs w:val="19"/>
        </w:rPr>
        <w:t>Se</w:t>
      </w:r>
      <w:proofErr w:type="gramEnd"/>
      <w:r w:rsidRPr="00D3017A">
        <w:rPr>
          <w:rFonts w:ascii="Arial" w:hAnsi="Arial" w:cs="Arial"/>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5">
    <w:p w:rsidRPr="00D3017A" w:rsidR="00240457" w:rsidP="00240457" w:rsidRDefault="00240457" w14:paraId="3BA98A05"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rsidRPr="00D3017A" w:rsidR="00240457" w:rsidP="00240457" w:rsidRDefault="00240457" w14:paraId="7220A4BA" w14:textId="77777777">
      <w:pPr>
        <w:pStyle w:val="Textonotapie"/>
        <w:ind w:firstLine="708"/>
        <w:jc w:val="both"/>
        <w:rPr>
          <w:rFonts w:ascii="Arial" w:hAnsi="Arial" w:cs="Arial"/>
          <w:sz w:val="19"/>
          <w:szCs w:val="19"/>
        </w:rPr>
      </w:pPr>
      <w:proofErr w:type="gramStart"/>
      <w:r w:rsidRPr="00D3017A">
        <w:rPr>
          <w:rFonts w:ascii="Arial" w:hAnsi="Arial" w:eastAsia="Calibri" w:cs="Arial"/>
          <w:sz w:val="19"/>
          <w:szCs w:val="19"/>
        </w:rPr>
        <w:t>»</w:t>
      </w:r>
      <w:r w:rsidRPr="00D3017A">
        <w:rPr>
          <w:rFonts w:ascii="Arial" w:hAnsi="Arial" w:cs="Arial"/>
          <w:sz w:val="19"/>
          <w:szCs w:val="19"/>
        </w:rPr>
        <w:t>En</w:t>
      </w:r>
      <w:proofErr w:type="gramEnd"/>
      <w:r w:rsidRPr="00D3017A">
        <w:rPr>
          <w:rFonts w:ascii="Arial" w:hAnsi="Arial" w:cs="Arial"/>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rsidRPr="00D3017A" w:rsidR="00240457" w:rsidP="00240457" w:rsidRDefault="00240457" w14:paraId="695C5546" w14:textId="77777777">
      <w:pPr>
        <w:pStyle w:val="Textonotapie"/>
        <w:ind w:firstLine="708"/>
        <w:jc w:val="both"/>
        <w:rPr>
          <w:rFonts w:ascii="Arial" w:hAnsi="Arial" w:cs="Arial"/>
          <w:sz w:val="19"/>
          <w:szCs w:val="19"/>
          <w:lang w:val="es-CO"/>
        </w:rPr>
      </w:pPr>
    </w:p>
  </w:footnote>
  <w:footnote w:id="16">
    <w:p w:rsidRPr="00D3017A" w:rsidR="00240457" w:rsidP="00240457" w:rsidRDefault="00240457" w14:paraId="1640593D" w14:textId="77777777">
      <w:pPr>
        <w:pStyle w:val="Textonotapie"/>
        <w:ind w:firstLine="709"/>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rsidRPr="00D3017A" w:rsidR="00240457" w:rsidP="00240457" w:rsidRDefault="00240457" w14:paraId="3DAC47D6" w14:textId="77777777">
      <w:pPr>
        <w:pStyle w:val="Textonotapie"/>
        <w:ind w:firstLine="709"/>
        <w:jc w:val="both"/>
        <w:rPr>
          <w:rFonts w:ascii="Arial" w:hAnsi="Arial" w:cs="Arial"/>
          <w:sz w:val="19"/>
          <w:szCs w:val="19"/>
        </w:rPr>
      </w:pPr>
      <w:proofErr w:type="gramStart"/>
      <w:r w:rsidRPr="00D3017A">
        <w:rPr>
          <w:rFonts w:ascii="Arial" w:hAnsi="Arial" w:eastAsia="Calibri" w:cs="Arial"/>
          <w:sz w:val="19"/>
          <w:szCs w:val="19"/>
        </w:rPr>
        <w:t>»</w:t>
      </w:r>
      <w:r w:rsidRPr="00D3017A">
        <w:rPr>
          <w:rFonts w:ascii="Arial" w:hAnsi="Arial" w:cs="Arial"/>
          <w:sz w:val="19"/>
          <w:szCs w:val="19"/>
        </w:rPr>
        <w:t>La</w:t>
      </w:r>
      <w:proofErr w:type="gramEnd"/>
      <w:r w:rsidRPr="00D3017A">
        <w:rPr>
          <w:rFonts w:ascii="Arial" w:hAnsi="Arial" w:cs="Arial"/>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D3017A">
        <w:rPr>
          <w:rFonts w:ascii="Arial" w:hAnsi="Arial" w:eastAsia="Calibri" w:cs="Arial"/>
          <w:sz w:val="19"/>
          <w:szCs w:val="19"/>
        </w:rPr>
        <w:t>»</w:t>
      </w:r>
      <w:r w:rsidRPr="00D3017A">
        <w:rPr>
          <w:rFonts w:ascii="Arial" w:hAnsi="Arial" w:cs="Arial"/>
          <w:sz w:val="19"/>
          <w:szCs w:val="19"/>
        </w:rPr>
        <w:t xml:space="preserve">. </w:t>
      </w:r>
    </w:p>
    <w:p w:rsidRPr="00D3017A" w:rsidR="00240457" w:rsidP="00240457" w:rsidRDefault="00240457" w14:paraId="154CABF2" w14:textId="77777777">
      <w:pPr>
        <w:pStyle w:val="Textonotapie"/>
        <w:ind w:firstLine="708"/>
        <w:jc w:val="both"/>
        <w:rPr>
          <w:rFonts w:ascii="Arial" w:hAnsi="Arial" w:cs="Arial"/>
          <w:sz w:val="19"/>
          <w:szCs w:val="19"/>
        </w:rPr>
      </w:pPr>
      <w:proofErr w:type="gramStart"/>
      <w:r w:rsidRPr="00D3017A">
        <w:rPr>
          <w:rFonts w:ascii="Arial" w:hAnsi="Arial" w:eastAsia="Calibri" w:cs="Arial"/>
          <w:sz w:val="19"/>
          <w:szCs w:val="19"/>
        </w:rPr>
        <w:t>»</w:t>
      </w:r>
      <w:r w:rsidRPr="00D3017A">
        <w:rPr>
          <w:rFonts w:ascii="Arial" w:hAnsi="Arial" w:cs="Arial"/>
          <w:sz w:val="19"/>
          <w:szCs w:val="19"/>
        </w:rPr>
        <w:t>Con</w:t>
      </w:r>
      <w:proofErr w:type="gramEnd"/>
      <w:r w:rsidRPr="00D3017A">
        <w:rPr>
          <w:rFonts w:ascii="Arial" w:hAnsi="Arial" w:cs="Arial"/>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rsidRPr="00D3017A" w:rsidR="00240457" w:rsidP="00240457" w:rsidRDefault="00240457" w14:paraId="396D162A" w14:textId="77777777">
      <w:pPr>
        <w:pStyle w:val="Textonotapie"/>
        <w:ind w:firstLine="708"/>
        <w:jc w:val="both"/>
        <w:rPr>
          <w:rFonts w:ascii="Arial" w:hAnsi="Arial" w:cs="Arial"/>
          <w:sz w:val="19"/>
          <w:szCs w:val="19"/>
          <w:lang w:val="es-CO"/>
        </w:rPr>
      </w:pPr>
    </w:p>
  </w:footnote>
  <w:footnote w:id="17">
    <w:p w:rsidRPr="00D3017A" w:rsidR="00240457" w:rsidP="00240457" w:rsidRDefault="00240457" w14:paraId="28F82C64"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Corte Constitucional. Sentencia C- 083 del 1 de marzo de 1995. M.P. Carlos Gaviria Díaz.</w:t>
      </w:r>
    </w:p>
    <w:p w:rsidRPr="00D3017A" w:rsidR="00240457" w:rsidP="00240457" w:rsidRDefault="00240457" w14:paraId="53CBB7B7" w14:textId="77777777">
      <w:pPr>
        <w:pStyle w:val="Textonotapie"/>
        <w:ind w:firstLine="708"/>
        <w:jc w:val="both"/>
        <w:rPr>
          <w:rFonts w:ascii="Arial" w:hAnsi="Arial" w:cs="Arial"/>
          <w:sz w:val="19"/>
          <w:szCs w:val="19"/>
          <w:lang w:val="es-CO"/>
        </w:rPr>
      </w:pPr>
    </w:p>
  </w:footnote>
  <w:footnote w:id="18">
    <w:p w:rsidRPr="00D3017A" w:rsidR="00240457" w:rsidP="00240457" w:rsidRDefault="00240457" w14:paraId="4953DAF2" w14:textId="77777777">
      <w:pPr>
        <w:pStyle w:val="Textonotapie"/>
        <w:ind w:firstLine="708"/>
        <w:jc w:val="both"/>
        <w:rPr>
          <w:rFonts w:ascii="Arial" w:hAnsi="Arial" w:cs="Arial"/>
          <w:sz w:val="19"/>
          <w:szCs w:val="19"/>
        </w:rPr>
      </w:pPr>
      <w:r w:rsidRPr="00D3017A">
        <w:rPr>
          <w:rStyle w:val="Refdenotaalpie"/>
          <w:rFonts w:ascii="Arial" w:hAnsi="Arial" w:cs="Arial"/>
          <w:sz w:val="19"/>
          <w:szCs w:val="19"/>
        </w:rPr>
        <w:footnoteRef/>
      </w:r>
      <w:r w:rsidRPr="00D3017A">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D3017A" w:rsidR="00240457" w:rsidP="00240457" w:rsidRDefault="00240457" w14:paraId="31034C3C" w14:textId="77777777">
      <w:pPr>
        <w:pStyle w:val="Textonotapie"/>
        <w:ind w:firstLine="708"/>
        <w:jc w:val="both"/>
        <w:rPr>
          <w:rFonts w:ascii="Arial" w:hAnsi="Arial" w:cs="Arial"/>
          <w:sz w:val="19"/>
          <w:szCs w:val="19"/>
        </w:rPr>
      </w:pPr>
      <w:proofErr w:type="gramStart"/>
      <w:r w:rsidRPr="00D3017A">
        <w:rPr>
          <w:rFonts w:ascii="Arial" w:hAnsi="Arial" w:eastAsia="Calibri" w:cs="Arial"/>
          <w:sz w:val="19"/>
          <w:szCs w:val="19"/>
        </w:rPr>
        <w:t>»</w:t>
      </w:r>
      <w:r w:rsidRPr="00D3017A">
        <w:rPr>
          <w:rFonts w:ascii="Arial" w:hAnsi="Arial" w:cs="Arial"/>
          <w:sz w:val="19"/>
          <w:szCs w:val="19"/>
        </w:rPr>
        <w:t>La</w:t>
      </w:r>
      <w:proofErr w:type="gramEnd"/>
      <w:r w:rsidRPr="00D3017A">
        <w:rPr>
          <w:rFonts w:ascii="Arial" w:hAnsi="Arial" w:cs="Arial"/>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Pr="00D3017A" w:rsidR="00240457" w:rsidP="00240457" w:rsidRDefault="00240457" w14:paraId="669056DD" w14:textId="77777777">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5FF4BF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EA2793A"/>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845E4"/>
    <w:rsid w:val="00084B97"/>
    <w:rsid w:val="000942EB"/>
    <w:rsid w:val="000B103F"/>
    <w:rsid w:val="000F0FA7"/>
    <w:rsid w:val="000F14E8"/>
    <w:rsid w:val="00103915"/>
    <w:rsid w:val="00122B23"/>
    <w:rsid w:val="00137404"/>
    <w:rsid w:val="00137FFA"/>
    <w:rsid w:val="001775AE"/>
    <w:rsid w:val="00196556"/>
    <w:rsid w:val="001B0444"/>
    <w:rsid w:val="001D3F5A"/>
    <w:rsid w:val="002041FC"/>
    <w:rsid w:val="0020632A"/>
    <w:rsid w:val="002110EB"/>
    <w:rsid w:val="00211338"/>
    <w:rsid w:val="00234B84"/>
    <w:rsid w:val="002370A2"/>
    <w:rsid w:val="00237E2B"/>
    <w:rsid w:val="00240457"/>
    <w:rsid w:val="00273983"/>
    <w:rsid w:val="002752CC"/>
    <w:rsid w:val="002C4C0C"/>
    <w:rsid w:val="003033BA"/>
    <w:rsid w:val="00322937"/>
    <w:rsid w:val="00337B84"/>
    <w:rsid w:val="0034177C"/>
    <w:rsid w:val="00342241"/>
    <w:rsid w:val="0034680A"/>
    <w:rsid w:val="00353DD5"/>
    <w:rsid w:val="00362C5C"/>
    <w:rsid w:val="00386456"/>
    <w:rsid w:val="003A0878"/>
    <w:rsid w:val="003A581E"/>
    <w:rsid w:val="003C1DF0"/>
    <w:rsid w:val="003D283E"/>
    <w:rsid w:val="00423F9F"/>
    <w:rsid w:val="004422D6"/>
    <w:rsid w:val="00457C5F"/>
    <w:rsid w:val="0049241A"/>
    <w:rsid w:val="004A34D2"/>
    <w:rsid w:val="004D1DEE"/>
    <w:rsid w:val="004E09CF"/>
    <w:rsid w:val="004E3D78"/>
    <w:rsid w:val="0051074C"/>
    <w:rsid w:val="00513AF2"/>
    <w:rsid w:val="005219F7"/>
    <w:rsid w:val="00537B39"/>
    <w:rsid w:val="0054413A"/>
    <w:rsid w:val="005564CA"/>
    <w:rsid w:val="0056182B"/>
    <w:rsid w:val="005756AA"/>
    <w:rsid w:val="00597CB5"/>
    <w:rsid w:val="005B3FD6"/>
    <w:rsid w:val="005D51FA"/>
    <w:rsid w:val="005D791B"/>
    <w:rsid w:val="005F6C9A"/>
    <w:rsid w:val="005F71A8"/>
    <w:rsid w:val="0061063A"/>
    <w:rsid w:val="0061140E"/>
    <w:rsid w:val="00612A5E"/>
    <w:rsid w:val="00614817"/>
    <w:rsid w:val="00633DBF"/>
    <w:rsid w:val="00655371"/>
    <w:rsid w:val="00697665"/>
    <w:rsid w:val="006A6BEB"/>
    <w:rsid w:val="006A7CB5"/>
    <w:rsid w:val="006A7FD0"/>
    <w:rsid w:val="006C4407"/>
    <w:rsid w:val="006D7687"/>
    <w:rsid w:val="006E0572"/>
    <w:rsid w:val="0070121F"/>
    <w:rsid w:val="00705631"/>
    <w:rsid w:val="00715EAA"/>
    <w:rsid w:val="00742DD2"/>
    <w:rsid w:val="00746E08"/>
    <w:rsid w:val="00747C96"/>
    <w:rsid w:val="0075094E"/>
    <w:rsid w:val="007522E8"/>
    <w:rsid w:val="0075647A"/>
    <w:rsid w:val="007634AD"/>
    <w:rsid w:val="007762F3"/>
    <w:rsid w:val="0078122E"/>
    <w:rsid w:val="00795349"/>
    <w:rsid w:val="00795647"/>
    <w:rsid w:val="007B0854"/>
    <w:rsid w:val="007B09CE"/>
    <w:rsid w:val="007D7F8D"/>
    <w:rsid w:val="007E354F"/>
    <w:rsid w:val="007F6B46"/>
    <w:rsid w:val="007F72CB"/>
    <w:rsid w:val="008217B7"/>
    <w:rsid w:val="0083119B"/>
    <w:rsid w:val="00836EAB"/>
    <w:rsid w:val="0085092D"/>
    <w:rsid w:val="00850F79"/>
    <w:rsid w:val="008917F9"/>
    <w:rsid w:val="0089774F"/>
    <w:rsid w:val="008E1C15"/>
    <w:rsid w:val="008E5042"/>
    <w:rsid w:val="008F538E"/>
    <w:rsid w:val="00904571"/>
    <w:rsid w:val="0090477E"/>
    <w:rsid w:val="009047C5"/>
    <w:rsid w:val="00905F30"/>
    <w:rsid w:val="00927D06"/>
    <w:rsid w:val="00951EE5"/>
    <w:rsid w:val="0095385A"/>
    <w:rsid w:val="009A0ED8"/>
    <w:rsid w:val="009A20D5"/>
    <w:rsid w:val="009C183C"/>
    <w:rsid w:val="009E2A1F"/>
    <w:rsid w:val="009F59C2"/>
    <w:rsid w:val="00A14DA0"/>
    <w:rsid w:val="00A24560"/>
    <w:rsid w:val="00A34538"/>
    <w:rsid w:val="00A37FB6"/>
    <w:rsid w:val="00A86509"/>
    <w:rsid w:val="00A93C98"/>
    <w:rsid w:val="00AA08E7"/>
    <w:rsid w:val="00AA442B"/>
    <w:rsid w:val="00AA669D"/>
    <w:rsid w:val="00B12EA5"/>
    <w:rsid w:val="00B13EC0"/>
    <w:rsid w:val="00B221E4"/>
    <w:rsid w:val="00B22E22"/>
    <w:rsid w:val="00B4486C"/>
    <w:rsid w:val="00B525CB"/>
    <w:rsid w:val="00B63872"/>
    <w:rsid w:val="00B63CB2"/>
    <w:rsid w:val="00B64EDB"/>
    <w:rsid w:val="00B7315F"/>
    <w:rsid w:val="00B91B8E"/>
    <w:rsid w:val="00BA4D40"/>
    <w:rsid w:val="00BC5522"/>
    <w:rsid w:val="00BC5712"/>
    <w:rsid w:val="00BD0B90"/>
    <w:rsid w:val="00BD78FE"/>
    <w:rsid w:val="00C700B7"/>
    <w:rsid w:val="00C731A8"/>
    <w:rsid w:val="00C82A0B"/>
    <w:rsid w:val="00CA574E"/>
    <w:rsid w:val="00CB3127"/>
    <w:rsid w:val="00CC00CD"/>
    <w:rsid w:val="00D01760"/>
    <w:rsid w:val="00D16E39"/>
    <w:rsid w:val="00D223B6"/>
    <w:rsid w:val="00D3017A"/>
    <w:rsid w:val="00D42685"/>
    <w:rsid w:val="00D60327"/>
    <w:rsid w:val="00D72E9D"/>
    <w:rsid w:val="00D82CE5"/>
    <w:rsid w:val="00DA5AB1"/>
    <w:rsid w:val="00DC29BB"/>
    <w:rsid w:val="00DC62E5"/>
    <w:rsid w:val="00DD4454"/>
    <w:rsid w:val="00DD735D"/>
    <w:rsid w:val="00DE3119"/>
    <w:rsid w:val="00DF236B"/>
    <w:rsid w:val="00E04ED0"/>
    <w:rsid w:val="00E13AB8"/>
    <w:rsid w:val="00E154AA"/>
    <w:rsid w:val="00E25CB3"/>
    <w:rsid w:val="00E3335D"/>
    <w:rsid w:val="00E33B62"/>
    <w:rsid w:val="00E4143A"/>
    <w:rsid w:val="00E53DA1"/>
    <w:rsid w:val="00EC4CBF"/>
    <w:rsid w:val="00ED260B"/>
    <w:rsid w:val="00EE59B5"/>
    <w:rsid w:val="00EF6510"/>
    <w:rsid w:val="00F13C05"/>
    <w:rsid w:val="00F14F7A"/>
    <w:rsid w:val="00F203CC"/>
    <w:rsid w:val="00F84899"/>
    <w:rsid w:val="00F859F0"/>
    <w:rsid w:val="00FA0C95"/>
    <w:rsid w:val="00FA1CFD"/>
    <w:rsid w:val="00FD49BF"/>
    <w:rsid w:val="00FD6727"/>
    <w:rsid w:val="00FE141E"/>
    <w:rsid w:val="00FE42ED"/>
    <w:rsid w:val="00FE5C1E"/>
    <w:rsid w:val="0511BAED"/>
    <w:rsid w:val="075B659B"/>
    <w:rsid w:val="0DE8F615"/>
    <w:rsid w:val="1847B935"/>
    <w:rsid w:val="1F59356E"/>
    <w:rsid w:val="27237CD8"/>
    <w:rsid w:val="2D71F583"/>
    <w:rsid w:val="2F338214"/>
    <w:rsid w:val="459EB5B2"/>
    <w:rsid w:val="50F78069"/>
    <w:rsid w:val="51F6803E"/>
    <w:rsid w:val="609E65BD"/>
    <w:rsid w:val="62973B34"/>
    <w:rsid w:val="6AB73284"/>
    <w:rsid w:val="6B85D5C2"/>
    <w:rsid w:val="75FF4BF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71B6C23D-A27C-41D2-9899-4939E482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137404"/>
    <w:rPr>
      <w:rFonts w:ascii="Times New Roman" w:hAnsi="Times New Roman" w:eastAsia="Times New Roman" w:cs="Times New Roman"/>
      <w:sz w:val="24"/>
      <w:szCs w:val="24"/>
      <w:lang w:eastAsia="es-CO"/>
    </w:rPr>
  </w:style>
  <w:style w:type="paragraph" w:styleId="Default" w:customStyle="1">
    <w:name w:val="Default"/>
    <w:rsid w:val="00C731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2833109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771e7733a0540a2" /></Relationships>
</file>

<file path=word/_rels/footer1.xml.rels>&#65279;<?xml version="1.0" encoding="utf-8"?><Relationships xmlns="http://schemas.openxmlformats.org/package/2006/relationships"><Relationship Type="http://schemas.openxmlformats.org/officeDocument/2006/relationships/image" Target="/media/image5.png" Id="Re738f3287e6d427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3A86D74-C7BC-4E9B-8564-4D3A9D581623}">
  <ds:schemaRefs>
    <ds:schemaRef ds:uri="http://schemas.microsoft.com/office/2006/documentManagement/types"/>
    <ds:schemaRef ds:uri="http://purl.org/dc/elements/1.1/"/>
    <ds:schemaRef ds:uri="a6cb9e4b-f1d1-4245-83ec-6cad768d538a"/>
    <ds:schemaRef ds:uri="http://schemas.openxmlformats.org/package/2006/metadata/core-properties"/>
    <ds:schemaRef ds:uri="http://purl.org/dc/terms/"/>
    <ds:schemaRef ds:uri="9d85dbaf-23eb-4e57-a637-93dcacc8b1a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E82AD37-EB90-4F70-87EB-73E00DB171EB}">
  <ds:schemaRefs>
    <ds:schemaRef ds:uri="http://schemas.openxmlformats.org/officeDocument/2006/bibliography"/>
  </ds:schemaRefs>
</ds:datastoreItem>
</file>

<file path=customXml/itemProps4.xml><?xml version="1.0" encoding="utf-8"?>
<ds:datastoreItem xmlns:ds="http://schemas.openxmlformats.org/officeDocument/2006/customXml" ds:itemID="{AC96D8E9-A186-4BAE-A0CB-4BC6B311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lastModifiedBy>Nina María Padrón</lastModifiedBy>
  <revision>18</revision>
  <lastPrinted>2020-01-30T18:05:00.0000000Z</lastPrinted>
  <dcterms:created xsi:type="dcterms:W3CDTF">2020-04-10T23:25:00.0000000Z</dcterms:created>
  <dcterms:modified xsi:type="dcterms:W3CDTF">2020-07-23T20:26:20.8598294Z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